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0B0C" w14:textId="2E8CE030" w:rsidR="00DA0378" w:rsidRPr="00DA0378" w:rsidRDefault="00DA0378" w:rsidP="007D4437">
      <w:pPr>
        <w:pStyle w:val="Heading1"/>
      </w:pPr>
      <w:r w:rsidRPr="00DA0378">
        <w:rPr>
          <w:spacing w:val="-7"/>
        </w:rPr>
        <w:t xml:space="preserve">Guidelines for Medical Necessity Determination </w:t>
      </w:r>
      <w:r w:rsidRPr="00DA0378">
        <w:t xml:space="preserve">for </w:t>
      </w:r>
      <w:r w:rsidRPr="007D4437">
        <w:t>Diabetes</w:t>
      </w:r>
      <w:r w:rsidRPr="00DA0378">
        <w:t xml:space="preserve"> Management Devices: Continuous Glucose Monitoring Systems and Insulin Pumps</w:t>
      </w:r>
    </w:p>
    <w:p w14:paraId="43B598AF" w14:textId="287255AC"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These Guidelines for Medical Necessity Determination (Guidelines) identify the clinical information that MassHealth needs to determine medical necessity for </w:t>
      </w:r>
      <w:r w:rsidR="00AB3A50">
        <w:rPr>
          <w:rFonts w:cstheme="minorHAnsi"/>
          <w:color w:val="000000"/>
          <w:sz w:val="21"/>
          <w:szCs w:val="21"/>
        </w:rPr>
        <w:t>c</w:t>
      </w:r>
      <w:r w:rsidRPr="00DA0378">
        <w:rPr>
          <w:rFonts w:cstheme="minorHAnsi"/>
          <w:color w:val="000000"/>
          <w:sz w:val="21"/>
          <w:szCs w:val="21"/>
        </w:rPr>
        <w:t xml:space="preserve">ontinuous </w:t>
      </w:r>
      <w:r w:rsidR="00AB3A50">
        <w:rPr>
          <w:rFonts w:cstheme="minorHAnsi"/>
          <w:color w:val="000000"/>
          <w:sz w:val="21"/>
          <w:szCs w:val="21"/>
        </w:rPr>
        <w:t>g</w:t>
      </w:r>
      <w:r w:rsidRPr="00DA0378">
        <w:rPr>
          <w:rFonts w:cstheme="minorHAnsi"/>
          <w:color w:val="000000"/>
          <w:sz w:val="21"/>
          <w:szCs w:val="21"/>
        </w:rPr>
        <w:t xml:space="preserve">lucose </w:t>
      </w:r>
      <w:r w:rsidR="00AB3A50">
        <w:rPr>
          <w:rFonts w:cstheme="minorHAnsi"/>
          <w:color w:val="000000"/>
          <w:sz w:val="21"/>
          <w:szCs w:val="21"/>
        </w:rPr>
        <w:t>m</w:t>
      </w:r>
      <w:r w:rsidRPr="00DA0378">
        <w:rPr>
          <w:rFonts w:cstheme="minorHAnsi"/>
          <w:color w:val="000000"/>
          <w:sz w:val="21"/>
          <w:szCs w:val="21"/>
        </w:rPr>
        <w:t xml:space="preserve">onitoring </w:t>
      </w:r>
      <w:r w:rsidR="000F76F5">
        <w:rPr>
          <w:rFonts w:cstheme="minorHAnsi"/>
          <w:color w:val="000000"/>
          <w:sz w:val="21"/>
          <w:szCs w:val="21"/>
        </w:rPr>
        <w:t>(</w:t>
      </w:r>
      <w:proofErr w:type="spellStart"/>
      <w:r w:rsidR="000F76F5">
        <w:rPr>
          <w:rFonts w:cstheme="minorHAnsi"/>
          <w:color w:val="000000"/>
          <w:sz w:val="21"/>
          <w:szCs w:val="21"/>
        </w:rPr>
        <w:t>CGM</w:t>
      </w:r>
      <w:proofErr w:type="spellEnd"/>
      <w:r w:rsidR="000F76F5">
        <w:rPr>
          <w:rFonts w:cstheme="minorHAnsi"/>
          <w:color w:val="000000"/>
          <w:sz w:val="21"/>
          <w:szCs w:val="21"/>
        </w:rPr>
        <w:t xml:space="preserve">) </w:t>
      </w:r>
      <w:r w:rsidR="00AB3A50">
        <w:rPr>
          <w:rFonts w:cstheme="minorHAnsi"/>
          <w:color w:val="000000"/>
          <w:sz w:val="21"/>
          <w:szCs w:val="21"/>
        </w:rPr>
        <w:t>s</w:t>
      </w:r>
      <w:r w:rsidRPr="00DA0378">
        <w:rPr>
          <w:rFonts w:cstheme="minorHAnsi"/>
          <w:color w:val="000000"/>
          <w:sz w:val="21"/>
          <w:szCs w:val="21"/>
        </w:rPr>
        <w:t>ystems and insulin pumps. These Guidelines are based on generally accepted standards of practice, review of the medical literature, and federal and state policies and laws applicable to Medicaid programs.</w:t>
      </w:r>
    </w:p>
    <w:p w14:paraId="28AF5CCC" w14:textId="55C44210" w:rsidR="00DA0378" w:rsidRPr="009B23B6"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9B23B6">
        <w:rPr>
          <w:rFonts w:cstheme="minorHAnsi"/>
          <w:color w:val="000000"/>
          <w:sz w:val="21"/>
          <w:szCs w:val="21"/>
        </w:rPr>
        <w:t xml:space="preserve">Providers should consult MassHealth regulations </w:t>
      </w:r>
      <w:r w:rsidRPr="009B23B6">
        <w:rPr>
          <w:rFonts w:cstheme="minorHAnsi"/>
          <w:color w:val="000000" w:themeColor="text1"/>
          <w:sz w:val="21"/>
          <w:szCs w:val="21"/>
        </w:rPr>
        <w:t xml:space="preserve">at </w:t>
      </w:r>
      <w:hyperlink r:id="rId11" w:history="1">
        <w:r w:rsidRPr="00B31BF1">
          <w:rPr>
            <w:rFonts w:cstheme="minorHAnsi"/>
            <w:color w:val="000000"/>
            <w:sz w:val="21"/>
            <w:szCs w:val="21"/>
            <w:u w:val="single"/>
          </w:rPr>
          <w:t>130 CMR 409.000</w:t>
        </w:r>
      </w:hyperlink>
      <w:r w:rsidRPr="009B23B6">
        <w:rPr>
          <w:rFonts w:cstheme="minorHAnsi"/>
          <w:color w:val="000000"/>
          <w:sz w:val="21"/>
          <w:szCs w:val="21"/>
        </w:rPr>
        <w:t xml:space="preserve"> </w:t>
      </w:r>
      <w:r w:rsidR="00127166" w:rsidRPr="009B23B6">
        <w:rPr>
          <w:rFonts w:cstheme="minorHAnsi"/>
          <w:color w:val="000000"/>
          <w:sz w:val="21"/>
          <w:szCs w:val="21"/>
        </w:rPr>
        <w:t xml:space="preserve">(Durable Medical Equipment Services), </w:t>
      </w:r>
      <w:hyperlink r:id="rId12" w:history="1">
        <w:r w:rsidR="00127166" w:rsidRPr="00B31BF1">
          <w:rPr>
            <w:color w:val="000000"/>
            <w:sz w:val="21"/>
            <w:szCs w:val="21"/>
            <w:u w:val="single"/>
          </w:rPr>
          <w:t xml:space="preserve">130 CMR </w:t>
        </w:r>
        <w:r w:rsidRPr="00B31BF1">
          <w:rPr>
            <w:rFonts w:cstheme="minorHAnsi"/>
            <w:color w:val="000000"/>
            <w:sz w:val="21"/>
            <w:szCs w:val="21"/>
            <w:u w:val="single"/>
          </w:rPr>
          <w:t>450.000</w:t>
        </w:r>
      </w:hyperlink>
      <w:r w:rsidR="00127166" w:rsidRPr="00B31BF1">
        <w:rPr>
          <w:rFonts w:cstheme="minorHAnsi"/>
          <w:color w:val="000000"/>
          <w:sz w:val="21"/>
          <w:szCs w:val="21"/>
        </w:rPr>
        <w:t xml:space="preserve"> (Administrative and Billing Regulations)</w:t>
      </w:r>
      <w:r w:rsidRPr="009B23B6">
        <w:rPr>
          <w:rFonts w:cstheme="minorHAnsi"/>
          <w:color w:val="000000"/>
          <w:sz w:val="21"/>
          <w:szCs w:val="21"/>
        </w:rPr>
        <w:t xml:space="preserve">, </w:t>
      </w:r>
      <w:hyperlink r:id="rId13" w:history="1">
        <w:r w:rsidRPr="00B31BF1">
          <w:rPr>
            <w:rFonts w:cstheme="minorHAnsi"/>
            <w:color w:val="000000"/>
            <w:sz w:val="21"/>
            <w:szCs w:val="21"/>
          </w:rPr>
          <w:t xml:space="preserve">Subchapter 6 of the Durable Medical Equipment </w:t>
        </w:r>
        <w:r w:rsidR="002C7323">
          <w:rPr>
            <w:rFonts w:cstheme="minorHAnsi"/>
            <w:color w:val="000000"/>
            <w:sz w:val="21"/>
            <w:szCs w:val="21"/>
          </w:rPr>
          <w:t>[</w:t>
        </w:r>
        <w:proofErr w:type="spellStart"/>
        <w:r w:rsidR="002C7323">
          <w:rPr>
            <w:rFonts w:cstheme="minorHAnsi"/>
            <w:color w:val="000000"/>
            <w:sz w:val="21"/>
            <w:szCs w:val="21"/>
          </w:rPr>
          <w:t>DME</w:t>
        </w:r>
        <w:proofErr w:type="spellEnd"/>
        <w:r w:rsidR="002C7323">
          <w:rPr>
            <w:rFonts w:cstheme="minorHAnsi"/>
            <w:color w:val="000000"/>
            <w:sz w:val="21"/>
            <w:szCs w:val="21"/>
          </w:rPr>
          <w:t xml:space="preserve">] </w:t>
        </w:r>
        <w:r w:rsidRPr="00B31BF1">
          <w:rPr>
            <w:rFonts w:cstheme="minorHAnsi"/>
            <w:color w:val="000000"/>
            <w:sz w:val="21"/>
            <w:szCs w:val="21"/>
          </w:rPr>
          <w:t>Manual</w:t>
        </w:r>
      </w:hyperlink>
      <w:r w:rsidRPr="009B23B6">
        <w:rPr>
          <w:rFonts w:cstheme="minorHAnsi"/>
          <w:color w:val="000000"/>
          <w:sz w:val="21"/>
          <w:szCs w:val="21"/>
        </w:rPr>
        <w:t xml:space="preserve">, the online </w:t>
      </w:r>
      <w:r w:rsidRPr="00B31BF1">
        <w:rPr>
          <w:rFonts w:cstheme="minorHAnsi"/>
          <w:color w:val="000000"/>
          <w:sz w:val="21"/>
          <w:szCs w:val="21"/>
        </w:rPr>
        <w:t xml:space="preserve">MassHealth </w:t>
      </w:r>
      <w:proofErr w:type="spellStart"/>
      <w:r w:rsidR="00127166" w:rsidRPr="00B31BF1">
        <w:rPr>
          <w:rFonts w:cstheme="minorHAnsi"/>
          <w:color w:val="000000"/>
          <w:sz w:val="21"/>
          <w:szCs w:val="21"/>
        </w:rPr>
        <w:t>DME</w:t>
      </w:r>
      <w:proofErr w:type="spellEnd"/>
      <w:r w:rsidR="00127166" w:rsidRPr="00B31BF1">
        <w:rPr>
          <w:rFonts w:cstheme="minorHAnsi"/>
          <w:color w:val="000000"/>
          <w:sz w:val="21"/>
          <w:szCs w:val="21"/>
        </w:rPr>
        <w:t xml:space="preserve"> </w:t>
      </w:r>
      <w:r w:rsidRPr="00B31BF1">
        <w:rPr>
          <w:rFonts w:cstheme="minorHAnsi"/>
          <w:color w:val="000000"/>
          <w:sz w:val="21"/>
          <w:szCs w:val="21"/>
        </w:rPr>
        <w:t xml:space="preserve">and Oxygen </w:t>
      </w:r>
      <w:hyperlink r:id="rId14" w:anchor="masshealth-durable-medical-equipment-and-oxygen-payment-and-coverage-guideline-tool-" w:history="1">
        <w:r w:rsidRPr="00B31BF1">
          <w:rPr>
            <w:rFonts w:cstheme="minorHAnsi"/>
            <w:color w:val="000000"/>
            <w:sz w:val="21"/>
            <w:szCs w:val="21"/>
            <w:u w:val="single"/>
          </w:rPr>
          <w:t>Payment and Coverage Guidelines Tool</w:t>
        </w:r>
      </w:hyperlink>
      <w:r w:rsidR="003A5A0E" w:rsidRPr="009B23B6">
        <w:rPr>
          <w:rFonts w:cstheme="minorHAnsi"/>
          <w:color w:val="000000"/>
          <w:sz w:val="21"/>
          <w:szCs w:val="21"/>
        </w:rPr>
        <w:t>, and</w:t>
      </w:r>
      <w:r w:rsidR="00FC45F8" w:rsidRPr="009B23B6">
        <w:rPr>
          <w:rFonts w:cstheme="minorHAnsi"/>
          <w:color w:val="000000"/>
          <w:sz w:val="21"/>
          <w:szCs w:val="21"/>
        </w:rPr>
        <w:t xml:space="preserve"> </w:t>
      </w:r>
      <w:hyperlink r:id="rId15" w:history="1">
        <w:r w:rsidR="00FC45F8" w:rsidRPr="00B31BF1">
          <w:rPr>
            <w:color w:val="000000"/>
            <w:sz w:val="21"/>
            <w:szCs w:val="21"/>
            <w:u w:val="single"/>
          </w:rPr>
          <w:t>Therapeutic Class</w:t>
        </w:r>
        <w:r w:rsidR="003A5A0E" w:rsidRPr="00B31BF1">
          <w:rPr>
            <w:color w:val="000000"/>
            <w:sz w:val="21"/>
            <w:szCs w:val="21"/>
            <w:u w:val="single"/>
          </w:rPr>
          <w:t xml:space="preserve"> </w:t>
        </w:r>
        <w:r w:rsidR="00BE0418" w:rsidRPr="00B31BF1">
          <w:rPr>
            <w:color w:val="000000"/>
            <w:sz w:val="21"/>
            <w:szCs w:val="21"/>
            <w:u w:val="single"/>
          </w:rPr>
          <w:t>Table 78</w:t>
        </w:r>
      </w:hyperlink>
      <w:r w:rsidR="00BE0418" w:rsidRPr="00B31BF1">
        <w:rPr>
          <w:color w:val="000000"/>
          <w:sz w:val="21"/>
          <w:szCs w:val="21"/>
        </w:rPr>
        <w:t xml:space="preserve"> </w:t>
      </w:r>
      <w:r w:rsidR="00BE0418" w:rsidRPr="009B23B6">
        <w:rPr>
          <w:rFonts w:cstheme="minorHAnsi"/>
          <w:color w:val="000000"/>
          <w:sz w:val="21"/>
          <w:szCs w:val="21"/>
        </w:rPr>
        <w:t xml:space="preserve">of the MassHealth Drug List </w:t>
      </w:r>
      <w:r w:rsidR="00B27F42" w:rsidRPr="009B23B6">
        <w:rPr>
          <w:rFonts w:cstheme="minorHAnsi"/>
          <w:color w:val="000000"/>
          <w:sz w:val="21"/>
          <w:szCs w:val="21"/>
        </w:rPr>
        <w:t xml:space="preserve">(Diabetes Medical Supplies and Emergency Treatments) </w:t>
      </w:r>
      <w:r w:rsidRPr="009B23B6">
        <w:rPr>
          <w:rFonts w:cstheme="minorHAnsi"/>
          <w:color w:val="000000"/>
          <w:sz w:val="21"/>
          <w:szCs w:val="21"/>
        </w:rPr>
        <w:t>for information about coverage, limitatio</w:t>
      </w:r>
      <w:r w:rsidRPr="009B23B6">
        <w:rPr>
          <w:rFonts w:cstheme="minorHAnsi"/>
          <w:color w:val="000000" w:themeColor="text1"/>
          <w:sz w:val="21"/>
          <w:szCs w:val="21"/>
        </w:rPr>
        <w:t>ns</w:t>
      </w:r>
      <w:r w:rsidRPr="009B23B6">
        <w:rPr>
          <w:rFonts w:cstheme="minorHAnsi"/>
          <w:color w:val="000000"/>
          <w:sz w:val="21"/>
          <w:szCs w:val="21"/>
        </w:rPr>
        <w:t xml:space="preserve">, service conditions, and other prior-authorization (PA) requirements. </w:t>
      </w:r>
    </w:p>
    <w:p w14:paraId="291EFE76" w14:textId="4170013F" w:rsidR="00945B92" w:rsidRPr="00B31BF1" w:rsidRDefault="00945B92" w:rsidP="00B31BF1">
      <w:pPr>
        <w:suppressAutoHyphens/>
        <w:autoSpaceDE w:val="0"/>
        <w:autoSpaceDN w:val="0"/>
        <w:adjustRightInd w:val="0"/>
        <w:spacing w:before="120" w:after="120" w:line="288" w:lineRule="auto"/>
        <w:textAlignment w:val="center"/>
        <w:rPr>
          <w:rFonts w:cstheme="minorHAnsi"/>
          <w:color w:val="000000"/>
          <w:sz w:val="21"/>
          <w:szCs w:val="21"/>
        </w:rPr>
      </w:pPr>
      <w:r w:rsidRPr="00B31BF1">
        <w:rPr>
          <w:rFonts w:cstheme="minorHAnsi"/>
          <w:color w:val="000000"/>
          <w:sz w:val="21"/>
          <w:szCs w:val="21"/>
        </w:rPr>
        <w:t xml:space="preserve">Providers serving members enrolled in a MassHealth-contracted </w:t>
      </w:r>
      <w:r w:rsidR="00B752FB">
        <w:rPr>
          <w:rFonts w:cstheme="minorHAnsi"/>
          <w:color w:val="000000"/>
          <w:sz w:val="21"/>
          <w:szCs w:val="21"/>
        </w:rPr>
        <w:t>A</w:t>
      </w:r>
      <w:r w:rsidRPr="00B31BF1">
        <w:rPr>
          <w:rFonts w:cstheme="minorHAnsi"/>
          <w:color w:val="000000"/>
          <w:sz w:val="21"/>
          <w:szCs w:val="21"/>
        </w:rPr>
        <w:t xml:space="preserve">ccountable </w:t>
      </w:r>
      <w:r w:rsidR="00B752FB">
        <w:rPr>
          <w:rFonts w:cstheme="minorHAnsi"/>
          <w:color w:val="000000"/>
          <w:sz w:val="21"/>
          <w:szCs w:val="21"/>
        </w:rPr>
        <w:t>C</w:t>
      </w:r>
      <w:r w:rsidRPr="00B31BF1">
        <w:rPr>
          <w:rFonts w:cstheme="minorHAnsi"/>
          <w:color w:val="000000"/>
          <w:sz w:val="21"/>
          <w:szCs w:val="21"/>
        </w:rPr>
        <w:t xml:space="preserve">are </w:t>
      </w:r>
      <w:r w:rsidR="00B752FB">
        <w:rPr>
          <w:rFonts w:cstheme="minorHAnsi"/>
          <w:color w:val="000000"/>
          <w:sz w:val="21"/>
          <w:szCs w:val="21"/>
        </w:rPr>
        <w:t>P</w:t>
      </w:r>
      <w:r w:rsidRPr="00B31BF1">
        <w:rPr>
          <w:rFonts w:cstheme="minorHAnsi"/>
          <w:color w:val="000000"/>
          <w:sz w:val="21"/>
          <w:szCs w:val="21"/>
        </w:rPr>
        <w:t xml:space="preserve">artnership </w:t>
      </w:r>
      <w:r w:rsidR="00B752FB">
        <w:rPr>
          <w:rFonts w:cstheme="minorHAnsi"/>
          <w:color w:val="000000"/>
          <w:sz w:val="21"/>
          <w:szCs w:val="21"/>
        </w:rPr>
        <w:t>P</w:t>
      </w:r>
      <w:r w:rsidRPr="00B31BF1">
        <w:rPr>
          <w:rFonts w:cstheme="minorHAnsi"/>
          <w:color w:val="000000"/>
          <w:sz w:val="21"/>
          <w:szCs w:val="21"/>
        </w:rPr>
        <w:t>lan (</w:t>
      </w:r>
      <w:proofErr w:type="spellStart"/>
      <w:r w:rsidRPr="00B31BF1">
        <w:rPr>
          <w:rFonts w:cstheme="minorHAnsi"/>
          <w:color w:val="000000"/>
          <w:sz w:val="21"/>
          <w:szCs w:val="21"/>
        </w:rPr>
        <w:t>ACPP</w:t>
      </w:r>
      <w:proofErr w:type="spellEnd"/>
      <w:r w:rsidRPr="00B31BF1">
        <w:rPr>
          <w:rFonts w:cstheme="minorHAnsi"/>
          <w:color w:val="000000"/>
          <w:sz w:val="21"/>
          <w:szCs w:val="21"/>
        </w:rPr>
        <w:t xml:space="preserve">), </w:t>
      </w:r>
      <w:r w:rsidR="00B752FB">
        <w:rPr>
          <w:rFonts w:cstheme="minorHAnsi"/>
          <w:color w:val="000000"/>
          <w:sz w:val="21"/>
          <w:szCs w:val="21"/>
        </w:rPr>
        <w:t>M</w:t>
      </w:r>
      <w:r w:rsidRPr="00B31BF1">
        <w:rPr>
          <w:rFonts w:cstheme="minorHAnsi"/>
          <w:color w:val="000000"/>
          <w:sz w:val="21"/>
          <w:szCs w:val="21"/>
        </w:rPr>
        <w:t xml:space="preserve">anaged </w:t>
      </w:r>
      <w:r w:rsidR="00B752FB">
        <w:rPr>
          <w:rFonts w:cstheme="minorHAnsi"/>
          <w:color w:val="000000"/>
          <w:sz w:val="21"/>
          <w:szCs w:val="21"/>
        </w:rPr>
        <w:t>C</w:t>
      </w:r>
      <w:r w:rsidRPr="00B31BF1">
        <w:rPr>
          <w:rFonts w:cstheme="minorHAnsi"/>
          <w:color w:val="000000"/>
          <w:sz w:val="21"/>
          <w:szCs w:val="21"/>
        </w:rPr>
        <w:t xml:space="preserve">are </w:t>
      </w:r>
      <w:r w:rsidR="00B752FB">
        <w:rPr>
          <w:rFonts w:cstheme="minorHAnsi"/>
          <w:color w:val="000000"/>
          <w:sz w:val="21"/>
          <w:szCs w:val="21"/>
        </w:rPr>
        <w:t>O</w:t>
      </w:r>
      <w:r w:rsidRPr="00B31BF1">
        <w:rPr>
          <w:rFonts w:cstheme="minorHAnsi"/>
          <w:color w:val="000000"/>
          <w:sz w:val="21"/>
          <w:szCs w:val="21"/>
        </w:rPr>
        <w:t>rganization (</w:t>
      </w:r>
      <w:proofErr w:type="spellStart"/>
      <w:r w:rsidRPr="00B31BF1">
        <w:rPr>
          <w:rFonts w:cstheme="minorHAnsi"/>
          <w:color w:val="000000"/>
          <w:sz w:val="21"/>
          <w:szCs w:val="21"/>
        </w:rPr>
        <w:t>MCO</w:t>
      </w:r>
      <w:proofErr w:type="spellEnd"/>
      <w:r w:rsidRPr="00B31BF1">
        <w:rPr>
          <w:rFonts w:cstheme="minorHAnsi"/>
          <w:color w:val="000000"/>
          <w:sz w:val="21"/>
          <w:szCs w:val="21"/>
        </w:rPr>
        <w:t xml:space="preserve">), One Care Organization, Senior Care Options (SCO), or Program of All-inclusive Care for the Elderly (PACE) should refer to the </w:t>
      </w:r>
      <w:proofErr w:type="spellStart"/>
      <w:r w:rsidRPr="00B31BF1">
        <w:rPr>
          <w:rFonts w:cstheme="minorHAnsi"/>
          <w:color w:val="000000"/>
          <w:sz w:val="21"/>
          <w:szCs w:val="21"/>
        </w:rPr>
        <w:t>ACPP’s</w:t>
      </w:r>
      <w:proofErr w:type="spellEnd"/>
      <w:r w:rsidRPr="00B31BF1">
        <w:rPr>
          <w:rFonts w:cstheme="minorHAnsi"/>
          <w:color w:val="000000"/>
          <w:sz w:val="21"/>
          <w:szCs w:val="21"/>
        </w:rPr>
        <w:t xml:space="preserve">, </w:t>
      </w:r>
      <w:proofErr w:type="spellStart"/>
      <w:r w:rsidRPr="00B31BF1">
        <w:rPr>
          <w:rFonts w:cstheme="minorHAnsi"/>
          <w:color w:val="000000"/>
          <w:sz w:val="21"/>
          <w:szCs w:val="21"/>
        </w:rPr>
        <w:t>MCO’s</w:t>
      </w:r>
      <w:proofErr w:type="spellEnd"/>
      <w:r w:rsidRPr="00B31BF1">
        <w:rPr>
          <w:rFonts w:cstheme="minorHAnsi"/>
          <w:color w:val="000000"/>
          <w:sz w:val="21"/>
          <w:szCs w:val="21"/>
        </w:rPr>
        <w:t xml:space="preserve">, One Care Organization’s, SCO’s, or </w:t>
      </w:r>
      <w:proofErr w:type="spellStart"/>
      <w:r w:rsidRPr="00B31BF1">
        <w:rPr>
          <w:rFonts w:cstheme="minorHAnsi"/>
          <w:color w:val="000000"/>
          <w:sz w:val="21"/>
          <w:szCs w:val="21"/>
        </w:rPr>
        <w:t>PACE’s</w:t>
      </w:r>
      <w:proofErr w:type="spellEnd"/>
      <w:r w:rsidRPr="00B31BF1">
        <w:rPr>
          <w:rFonts w:cstheme="minorHAnsi"/>
          <w:color w:val="000000"/>
          <w:sz w:val="21"/>
          <w:szCs w:val="21"/>
        </w:rPr>
        <w:t xml:space="preserve"> medical policies for covered services.</w:t>
      </w:r>
    </w:p>
    <w:p w14:paraId="7809FBBB" w14:textId="3BF0C38B"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MassHealth requires PA for </w:t>
      </w:r>
      <w:proofErr w:type="spellStart"/>
      <w:r w:rsidR="00B90925">
        <w:rPr>
          <w:rFonts w:cstheme="minorHAnsi"/>
          <w:color w:val="000000"/>
          <w:sz w:val="21"/>
          <w:szCs w:val="21"/>
        </w:rPr>
        <w:t>CGM</w:t>
      </w:r>
      <w:proofErr w:type="spellEnd"/>
      <w:r w:rsidRPr="00DA0378">
        <w:rPr>
          <w:rFonts w:cstheme="minorHAnsi"/>
          <w:color w:val="000000"/>
          <w:sz w:val="21"/>
          <w:szCs w:val="21"/>
        </w:rPr>
        <w:t xml:space="preserve"> </w:t>
      </w:r>
      <w:r w:rsidR="00CC0590">
        <w:rPr>
          <w:rFonts w:cstheme="minorHAnsi"/>
          <w:color w:val="000000"/>
          <w:sz w:val="21"/>
          <w:szCs w:val="21"/>
        </w:rPr>
        <w:t xml:space="preserve">systems </w:t>
      </w:r>
      <w:r w:rsidRPr="00DA0378">
        <w:rPr>
          <w:rFonts w:cstheme="minorHAnsi"/>
          <w:color w:val="000000"/>
          <w:sz w:val="21"/>
          <w:szCs w:val="21"/>
        </w:rPr>
        <w:t xml:space="preserve">and insulin pump devices. MassHealth reviews requests for </w:t>
      </w:r>
      <w:r w:rsidR="00127166">
        <w:rPr>
          <w:rFonts w:cstheme="minorHAnsi"/>
          <w:color w:val="000000"/>
          <w:sz w:val="21"/>
          <w:szCs w:val="21"/>
        </w:rPr>
        <w:t xml:space="preserve">PA </w:t>
      </w:r>
      <w:r w:rsidRPr="00DA0378">
        <w:rPr>
          <w:rFonts w:cstheme="minorHAnsi"/>
          <w:color w:val="000000"/>
          <w:sz w:val="21"/>
          <w:szCs w:val="21"/>
        </w:rPr>
        <w:t>on the basis of medical necessity. If MassHealth approves the request, payment is still subject to all general conditions of MassHealth, including member eligibility, other insurance, and program restrictions.</w:t>
      </w:r>
    </w:p>
    <w:p w14:paraId="320B33B7" w14:textId="26E2E601"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MassHealth considers approval for coverage of the </w:t>
      </w:r>
      <w:proofErr w:type="spellStart"/>
      <w:r w:rsidR="00CC0590">
        <w:rPr>
          <w:rFonts w:cstheme="minorHAnsi"/>
          <w:color w:val="000000"/>
          <w:sz w:val="21"/>
          <w:szCs w:val="21"/>
        </w:rPr>
        <w:t>CGM</w:t>
      </w:r>
      <w:proofErr w:type="spellEnd"/>
      <w:r w:rsidR="00CC0590">
        <w:rPr>
          <w:rFonts w:cstheme="minorHAnsi"/>
          <w:color w:val="000000"/>
          <w:sz w:val="21"/>
          <w:szCs w:val="21"/>
        </w:rPr>
        <w:t xml:space="preserve"> systems and insulin pump devices </w:t>
      </w:r>
      <w:r w:rsidRPr="00DA0378">
        <w:rPr>
          <w:rFonts w:cstheme="minorHAnsi"/>
          <w:color w:val="000000"/>
          <w:sz w:val="21"/>
          <w:szCs w:val="21"/>
        </w:rPr>
        <w:t>on an individual, case-by-case basis, in accordance with 130 CMR 450.204</w:t>
      </w:r>
      <w:r w:rsidR="00127166">
        <w:rPr>
          <w:rFonts w:cstheme="minorHAnsi"/>
          <w:color w:val="000000"/>
          <w:sz w:val="21"/>
          <w:szCs w:val="21"/>
        </w:rPr>
        <w:t xml:space="preserve">: </w:t>
      </w:r>
      <w:r w:rsidR="00127166" w:rsidRPr="00AB3A50">
        <w:rPr>
          <w:rFonts w:cstheme="minorHAnsi"/>
          <w:i/>
          <w:iCs/>
          <w:color w:val="000000"/>
          <w:sz w:val="21"/>
          <w:szCs w:val="21"/>
        </w:rPr>
        <w:t>Medical Necessity</w:t>
      </w:r>
      <w:r w:rsidRPr="00DA0378">
        <w:rPr>
          <w:rFonts w:cstheme="minorHAnsi"/>
          <w:color w:val="000000"/>
          <w:sz w:val="21"/>
          <w:szCs w:val="21"/>
        </w:rPr>
        <w:t xml:space="preserve">. MassHealth covers both insulin pumps and </w:t>
      </w:r>
      <w:proofErr w:type="spellStart"/>
      <w:r w:rsidRPr="00DA0378">
        <w:rPr>
          <w:rFonts w:cstheme="minorHAnsi"/>
          <w:color w:val="000000"/>
          <w:sz w:val="21"/>
          <w:szCs w:val="21"/>
        </w:rPr>
        <w:t>CGM</w:t>
      </w:r>
      <w:proofErr w:type="spellEnd"/>
      <w:r w:rsidR="00CC0590">
        <w:rPr>
          <w:rFonts w:cstheme="minorHAnsi"/>
          <w:color w:val="000000"/>
          <w:sz w:val="21"/>
          <w:szCs w:val="21"/>
        </w:rPr>
        <w:t xml:space="preserve"> system</w:t>
      </w:r>
      <w:r w:rsidRPr="00DA0378">
        <w:rPr>
          <w:rFonts w:cstheme="minorHAnsi"/>
          <w:color w:val="000000"/>
          <w:sz w:val="21"/>
          <w:szCs w:val="21"/>
        </w:rPr>
        <w:t xml:space="preserve">s under </w:t>
      </w:r>
      <w:proofErr w:type="spellStart"/>
      <w:r w:rsidRPr="00DA0378">
        <w:rPr>
          <w:rFonts w:cstheme="minorHAnsi"/>
          <w:color w:val="000000"/>
          <w:sz w:val="21"/>
          <w:szCs w:val="21"/>
        </w:rPr>
        <w:t>DME</w:t>
      </w:r>
      <w:proofErr w:type="spellEnd"/>
      <w:r w:rsidRPr="00DA0378">
        <w:rPr>
          <w:rFonts w:cstheme="minorHAnsi"/>
          <w:color w:val="000000"/>
          <w:sz w:val="21"/>
          <w:szCs w:val="21"/>
        </w:rPr>
        <w:t xml:space="preserve"> services. Note that members may obtain insulin pumps only from </w:t>
      </w:r>
      <w:proofErr w:type="spellStart"/>
      <w:r w:rsidRPr="00DA0378">
        <w:rPr>
          <w:rFonts w:cstheme="minorHAnsi"/>
          <w:color w:val="000000"/>
          <w:sz w:val="21"/>
          <w:szCs w:val="21"/>
        </w:rPr>
        <w:t>DME</w:t>
      </w:r>
      <w:proofErr w:type="spellEnd"/>
      <w:r w:rsidRPr="00DA0378">
        <w:rPr>
          <w:rFonts w:cstheme="minorHAnsi"/>
          <w:color w:val="000000"/>
          <w:sz w:val="21"/>
          <w:szCs w:val="21"/>
        </w:rPr>
        <w:t xml:space="preserve"> providers under MassHealth’s Medicaid Management Information System (MMIS). However, the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w:t>
      </w:r>
      <w:r w:rsidR="00CC0590">
        <w:rPr>
          <w:rFonts w:cstheme="minorHAnsi"/>
          <w:color w:val="000000"/>
          <w:sz w:val="21"/>
          <w:szCs w:val="21"/>
        </w:rPr>
        <w:t xml:space="preserve">system </w:t>
      </w:r>
      <w:r w:rsidRPr="00DA0378">
        <w:rPr>
          <w:rFonts w:cstheme="minorHAnsi"/>
          <w:color w:val="000000"/>
          <w:sz w:val="21"/>
          <w:szCs w:val="21"/>
        </w:rPr>
        <w:t xml:space="preserve">and parts may be obtained from </w:t>
      </w:r>
      <w:proofErr w:type="spellStart"/>
      <w:r w:rsidRPr="00DA0378">
        <w:rPr>
          <w:rFonts w:cstheme="minorHAnsi"/>
          <w:color w:val="000000"/>
          <w:sz w:val="21"/>
          <w:szCs w:val="21"/>
        </w:rPr>
        <w:t>DME</w:t>
      </w:r>
      <w:proofErr w:type="spellEnd"/>
      <w:r w:rsidRPr="00DA0378">
        <w:rPr>
          <w:rFonts w:cstheme="minorHAnsi"/>
          <w:color w:val="000000"/>
          <w:sz w:val="21"/>
          <w:szCs w:val="21"/>
        </w:rPr>
        <w:t xml:space="preserve"> pharmacy providers who bill through MMIS, or pharmacy providers who bill through the Pharmacy Online Processing System (POPS). </w:t>
      </w:r>
    </w:p>
    <w:p w14:paraId="645200D3" w14:textId="301C979A" w:rsidR="00C915B5" w:rsidRDefault="00DA0378" w:rsidP="00C915B5">
      <w:pPr>
        <w:suppressAutoHyphens/>
        <w:autoSpaceDE w:val="0"/>
        <w:autoSpaceDN w:val="0"/>
        <w:adjustRightInd w:val="0"/>
        <w:spacing w:before="120" w:after="120" w:line="288" w:lineRule="auto"/>
        <w:textAlignment w:val="center"/>
        <w:rPr>
          <w:rFonts w:cstheme="minorHAnsi"/>
          <w:color w:val="000000"/>
          <w:sz w:val="36"/>
          <w:szCs w:val="36"/>
        </w:rPr>
      </w:pPr>
      <w:r w:rsidRPr="00DA0378">
        <w:rPr>
          <w:rFonts w:cstheme="minorHAnsi"/>
          <w:color w:val="000000"/>
          <w:sz w:val="20"/>
          <w:szCs w:val="20"/>
        </w:rPr>
        <w:t>Th</w:t>
      </w:r>
      <w:r w:rsidR="00127166">
        <w:rPr>
          <w:rFonts w:cstheme="minorHAnsi"/>
          <w:color w:val="000000"/>
          <w:sz w:val="20"/>
          <w:szCs w:val="20"/>
        </w:rPr>
        <w:t>ese</w:t>
      </w:r>
      <w:r w:rsidRPr="00DA0378">
        <w:rPr>
          <w:rFonts w:cstheme="minorHAnsi"/>
          <w:color w:val="000000"/>
          <w:sz w:val="20"/>
          <w:szCs w:val="20"/>
        </w:rPr>
        <w:t xml:space="preserve"> Guideline</w:t>
      </w:r>
      <w:r w:rsidR="00127166">
        <w:rPr>
          <w:rFonts w:cstheme="minorHAnsi"/>
          <w:color w:val="000000"/>
          <w:sz w:val="20"/>
          <w:szCs w:val="20"/>
        </w:rPr>
        <w:t>s</w:t>
      </w:r>
      <w:r w:rsidRPr="00DA0378">
        <w:rPr>
          <w:rFonts w:cstheme="minorHAnsi"/>
          <w:color w:val="000000"/>
          <w:sz w:val="20"/>
          <w:szCs w:val="20"/>
        </w:rPr>
        <w:t xml:space="preserve"> address the MMIS-based PA process administered through the Long Term Services and Supports Management System (</w:t>
      </w:r>
      <w:proofErr w:type="spellStart"/>
      <w:r w:rsidRPr="00DA0378">
        <w:rPr>
          <w:rFonts w:cstheme="minorHAnsi"/>
          <w:color w:val="000000"/>
          <w:sz w:val="20"/>
          <w:szCs w:val="20"/>
        </w:rPr>
        <w:t>LTMS</w:t>
      </w:r>
      <w:proofErr w:type="spellEnd"/>
      <w:r w:rsidRPr="00DA0378">
        <w:rPr>
          <w:rFonts w:cstheme="minorHAnsi"/>
          <w:color w:val="000000"/>
          <w:sz w:val="20"/>
          <w:szCs w:val="20"/>
        </w:rPr>
        <w:t>) or Provider Online Service Center (</w:t>
      </w:r>
      <w:proofErr w:type="spellStart"/>
      <w:r w:rsidRPr="00DA0378">
        <w:rPr>
          <w:rFonts w:cstheme="minorHAnsi"/>
          <w:color w:val="000000"/>
          <w:sz w:val="20"/>
          <w:szCs w:val="20"/>
        </w:rPr>
        <w:t>POSC</w:t>
      </w:r>
      <w:proofErr w:type="spellEnd"/>
      <w:r w:rsidRPr="00DA0378">
        <w:rPr>
          <w:rFonts w:cstheme="minorHAnsi"/>
          <w:color w:val="000000"/>
          <w:sz w:val="20"/>
          <w:szCs w:val="20"/>
        </w:rPr>
        <w:t xml:space="preserve">) for insulin pumps or </w:t>
      </w:r>
      <w:proofErr w:type="spellStart"/>
      <w:r w:rsidRPr="00DA0378">
        <w:rPr>
          <w:rFonts w:cstheme="minorHAnsi"/>
          <w:color w:val="000000"/>
          <w:sz w:val="20"/>
          <w:szCs w:val="20"/>
        </w:rPr>
        <w:t>CGM</w:t>
      </w:r>
      <w:proofErr w:type="spellEnd"/>
      <w:r w:rsidR="00CC0590">
        <w:rPr>
          <w:rFonts w:cstheme="minorHAnsi"/>
          <w:color w:val="000000"/>
          <w:sz w:val="20"/>
          <w:szCs w:val="20"/>
        </w:rPr>
        <w:t xml:space="preserve"> system</w:t>
      </w:r>
      <w:r w:rsidR="00FD2A27">
        <w:rPr>
          <w:rFonts w:cstheme="minorHAnsi"/>
          <w:color w:val="000000"/>
          <w:sz w:val="20"/>
          <w:szCs w:val="20"/>
        </w:rPr>
        <w:t>s</w:t>
      </w:r>
      <w:r w:rsidRPr="00DA0378">
        <w:rPr>
          <w:rFonts w:cstheme="minorHAnsi"/>
          <w:color w:val="000000"/>
          <w:sz w:val="20"/>
          <w:szCs w:val="20"/>
        </w:rPr>
        <w:t xml:space="preserve"> supplied by either a MassHealth-enrolled </w:t>
      </w:r>
      <w:proofErr w:type="spellStart"/>
      <w:r w:rsidRPr="00DA0378">
        <w:rPr>
          <w:rFonts w:cstheme="minorHAnsi"/>
          <w:color w:val="000000"/>
          <w:sz w:val="20"/>
          <w:szCs w:val="20"/>
        </w:rPr>
        <w:t>DME</w:t>
      </w:r>
      <w:proofErr w:type="spellEnd"/>
      <w:r w:rsidRPr="00DA0378">
        <w:rPr>
          <w:rFonts w:cstheme="minorHAnsi"/>
          <w:color w:val="000000"/>
          <w:sz w:val="20"/>
          <w:szCs w:val="20"/>
        </w:rPr>
        <w:t xml:space="preserve"> provider or </w:t>
      </w:r>
      <w:r w:rsidR="00B22132">
        <w:rPr>
          <w:rFonts w:cstheme="minorHAnsi"/>
          <w:color w:val="000000"/>
          <w:sz w:val="20"/>
          <w:szCs w:val="20"/>
        </w:rPr>
        <w:t xml:space="preserve">a </w:t>
      </w:r>
      <w:r w:rsidRPr="00DA0378">
        <w:rPr>
          <w:rFonts w:cstheme="minorHAnsi"/>
          <w:color w:val="000000"/>
          <w:sz w:val="20"/>
          <w:szCs w:val="20"/>
        </w:rPr>
        <w:t xml:space="preserve">pharmacy that uses MMIS. For pharmacies that are only using POPS, submission criteria can be found </w:t>
      </w:r>
      <w:r w:rsidRPr="00AB3A50">
        <w:rPr>
          <w:rFonts w:cstheme="minorHAnsi"/>
          <w:color w:val="000000" w:themeColor="text1"/>
          <w:sz w:val="20"/>
          <w:szCs w:val="20"/>
        </w:rPr>
        <w:t xml:space="preserve">in the </w:t>
      </w:r>
      <w:r w:rsidRPr="00AB3A50">
        <w:rPr>
          <w:rStyle w:val="Hyperlink"/>
          <w:b w:val="0"/>
          <w:color w:val="000000" w:themeColor="text1"/>
        </w:rPr>
        <w:t>MassHealth Drug List</w:t>
      </w:r>
      <w:r w:rsidRPr="00AB3A50">
        <w:rPr>
          <w:rFonts w:cstheme="minorHAnsi"/>
          <w:color w:val="000000" w:themeColor="text1"/>
          <w:sz w:val="21"/>
          <w:szCs w:val="21"/>
        </w:rPr>
        <w:t xml:space="preserve">, </w:t>
      </w:r>
      <w:r w:rsidRPr="00AB3A50">
        <w:rPr>
          <w:rFonts w:cstheme="minorHAnsi"/>
          <w:color w:val="000000" w:themeColor="text1"/>
          <w:sz w:val="20"/>
          <w:szCs w:val="20"/>
        </w:rPr>
        <w:t xml:space="preserve">Therapeutic Class </w:t>
      </w:r>
      <w:r w:rsidRPr="00DA0378">
        <w:rPr>
          <w:rFonts w:cstheme="minorHAnsi"/>
          <w:color w:val="000000"/>
          <w:sz w:val="20"/>
          <w:szCs w:val="20"/>
        </w:rPr>
        <w:t>Table 78: Diabetes Medical Supplies and Emergency Treatments (non-drug formulary).</w:t>
      </w:r>
    </w:p>
    <w:p w14:paraId="0BBF406F" w14:textId="77FEE09C" w:rsidR="00DA0378" w:rsidRPr="001B7E49" w:rsidRDefault="00DA0378" w:rsidP="001B7E49">
      <w:pPr>
        <w:pStyle w:val="Heading2"/>
        <w:tabs>
          <w:tab w:val="left" w:pos="302"/>
          <w:tab w:val="left" w:pos="605"/>
          <w:tab w:val="left" w:pos="965"/>
          <w:tab w:val="left" w:pos="1325"/>
        </w:tabs>
      </w:pPr>
      <w:r w:rsidRPr="00DA0378">
        <w:t>Section I.</w:t>
      </w:r>
      <w:r w:rsidR="00EF089A">
        <w:tab/>
      </w:r>
      <w:r w:rsidR="009E15B4">
        <w:tab/>
      </w:r>
      <w:r w:rsidRPr="00DA0378">
        <w:t xml:space="preserve">General Information </w:t>
      </w:r>
    </w:p>
    <w:p w14:paraId="4317A995" w14:textId="07FBC021" w:rsidR="00DA0378" w:rsidRPr="00B80BDA" w:rsidRDefault="00DA0378" w:rsidP="00B80BDA">
      <w:pPr>
        <w:pStyle w:val="Heading3"/>
      </w:pPr>
      <w:r w:rsidRPr="00B80BDA">
        <w:t>I.</w:t>
      </w:r>
      <w:r w:rsidR="00EF089A" w:rsidRPr="00B80BDA">
        <w:tab/>
      </w:r>
      <w:r w:rsidRPr="00B80BDA">
        <w:t>Continuous Glucose Monitor</w:t>
      </w:r>
    </w:p>
    <w:p w14:paraId="7DD18900" w14:textId="01E1FCA7"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A </w:t>
      </w:r>
      <w:proofErr w:type="spellStart"/>
      <w:r w:rsidRPr="00DA0378">
        <w:rPr>
          <w:rFonts w:cstheme="minorHAnsi"/>
          <w:color w:val="000000"/>
          <w:sz w:val="21"/>
          <w:szCs w:val="21"/>
        </w:rPr>
        <w:t>CGM</w:t>
      </w:r>
      <w:proofErr w:type="spellEnd"/>
      <w:r w:rsidR="00CC0590">
        <w:rPr>
          <w:rFonts w:cstheme="minorHAnsi"/>
          <w:color w:val="000000"/>
          <w:sz w:val="21"/>
          <w:szCs w:val="21"/>
        </w:rPr>
        <w:t xml:space="preserve"> system</w:t>
      </w:r>
      <w:r w:rsidRPr="00DA0378">
        <w:rPr>
          <w:rFonts w:cstheme="minorHAnsi"/>
          <w:color w:val="000000"/>
          <w:sz w:val="21"/>
          <w:szCs w:val="21"/>
        </w:rPr>
        <w:t xml:space="preserve"> is a small wearable glucose monitoring device that continuously measures and tracks a person´s glucose levels for the management of diabetes.</w:t>
      </w:r>
    </w:p>
    <w:p w14:paraId="6A81B6F7" w14:textId="55A6543B"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lastRenderedPageBreak/>
        <w:t>Glycemic control is fundamental to the medical management of diabetes mellitus. Tools that assist with glucose monitoring and trending play an important role in managing diabetes and avoiding or limiting diabetic complications attributed to blood sugar levels that are too high or too low. Traditional finger stick blood glucose monitoring provides individuals with diabetes an immediate blood glucose level reading and is used to regulate insulin dosing (</w:t>
      </w:r>
      <w:r w:rsidR="00634F54">
        <w:rPr>
          <w:rFonts w:cstheme="minorHAnsi"/>
          <w:color w:val="000000"/>
          <w:sz w:val="21"/>
          <w:szCs w:val="21"/>
        </w:rPr>
        <w:t>Americans With Disabilities Act [ADA]</w:t>
      </w:r>
      <w:r w:rsidRPr="00DA0378">
        <w:rPr>
          <w:rFonts w:cstheme="minorHAnsi"/>
          <w:color w:val="000000"/>
          <w:sz w:val="21"/>
          <w:szCs w:val="21"/>
        </w:rPr>
        <w:t xml:space="preserve">, 2013). For many, it is necessary to perform six to eight (or more) finger sticks a day. </w:t>
      </w:r>
      <w:r w:rsidR="009A3A44">
        <w:rPr>
          <w:rFonts w:cstheme="minorHAnsi"/>
          <w:color w:val="000000"/>
          <w:sz w:val="21"/>
          <w:szCs w:val="21"/>
        </w:rPr>
        <w:t>Glycated h</w:t>
      </w:r>
      <w:r w:rsidRPr="00DA0378">
        <w:rPr>
          <w:rFonts w:cstheme="minorHAnsi"/>
          <w:color w:val="000000"/>
          <w:sz w:val="21"/>
          <w:szCs w:val="21"/>
        </w:rPr>
        <w:t xml:space="preserve">emoglobin </w:t>
      </w:r>
      <w:r w:rsidR="009A3A44">
        <w:rPr>
          <w:rFonts w:cstheme="minorHAnsi"/>
          <w:color w:val="000000"/>
          <w:sz w:val="21"/>
          <w:szCs w:val="21"/>
        </w:rPr>
        <w:t>(</w:t>
      </w:r>
      <w:proofErr w:type="spellStart"/>
      <w:r w:rsidRPr="00DA0378">
        <w:rPr>
          <w:rFonts w:cstheme="minorHAnsi"/>
          <w:color w:val="000000"/>
          <w:sz w:val="21"/>
          <w:szCs w:val="21"/>
        </w:rPr>
        <w:t>A1C</w:t>
      </w:r>
      <w:proofErr w:type="spellEnd"/>
      <w:r w:rsidR="009A3A44">
        <w:rPr>
          <w:rFonts w:cstheme="minorHAnsi"/>
          <w:color w:val="000000"/>
          <w:sz w:val="21"/>
          <w:szCs w:val="21"/>
        </w:rPr>
        <w:t>)</w:t>
      </w:r>
      <w:r w:rsidRPr="00DA0378">
        <w:rPr>
          <w:rFonts w:cstheme="minorHAnsi"/>
          <w:color w:val="000000"/>
          <w:sz w:val="21"/>
          <w:szCs w:val="21"/>
        </w:rPr>
        <w:t xml:space="preserve"> tests, performed in a provider’s office, measure the attachment of glucose to hemoglobin, which reflects the average of a person’s blood glucose levels over the previous three months, thereby estimating overall glucose trends.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introduces the ability to measure interstitial glucose levels on a more continuous basis and reveal glucose level trends that might be important for management.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w:t>
      </w:r>
      <w:r w:rsidR="00CC0590">
        <w:rPr>
          <w:rFonts w:cstheme="minorHAnsi"/>
          <w:color w:val="000000"/>
          <w:sz w:val="21"/>
          <w:szCs w:val="21"/>
        </w:rPr>
        <w:t xml:space="preserve">systems </w:t>
      </w:r>
      <w:r w:rsidRPr="00DA0378">
        <w:rPr>
          <w:rFonts w:cstheme="minorHAnsi"/>
          <w:color w:val="000000"/>
          <w:sz w:val="21"/>
          <w:szCs w:val="21"/>
        </w:rPr>
        <w:t xml:space="preserve">measure blood glucose either in a minimally invasive manner through continuous measurement of interstitial fluid or noninvasively by applying electromagnetic radiation through the skin to blood vessels in the body. Results are available to the member in real time or retrospectively. </w:t>
      </w:r>
    </w:p>
    <w:p w14:paraId="0D550636" w14:textId="5EFB9BB5"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w:t>
      </w:r>
      <w:r w:rsidR="00CC0590">
        <w:rPr>
          <w:rFonts w:cstheme="minorHAnsi"/>
          <w:color w:val="000000"/>
          <w:sz w:val="21"/>
          <w:szCs w:val="21"/>
        </w:rPr>
        <w:t xml:space="preserve">systems </w:t>
      </w:r>
      <w:r w:rsidRPr="00DA0378">
        <w:rPr>
          <w:rFonts w:cstheme="minorHAnsi"/>
          <w:color w:val="000000"/>
          <w:sz w:val="21"/>
          <w:szCs w:val="21"/>
        </w:rPr>
        <w:t>ha</w:t>
      </w:r>
      <w:r w:rsidR="00CC0590">
        <w:rPr>
          <w:rFonts w:cstheme="minorHAnsi"/>
          <w:color w:val="000000"/>
          <w:sz w:val="21"/>
          <w:szCs w:val="21"/>
        </w:rPr>
        <w:t>ve</w:t>
      </w:r>
      <w:r w:rsidRPr="00DA0378">
        <w:rPr>
          <w:rFonts w:cstheme="minorHAnsi"/>
          <w:color w:val="000000"/>
          <w:sz w:val="21"/>
          <w:szCs w:val="21"/>
        </w:rPr>
        <w:t xml:space="preserve"> three main components: an external receiver (monitor), an external transmitter, and a disposable subcutaneous sensor (National Institute of Diabetes and Digestive and Kidney Diseases, 2017). Usually, the sensors are implanted on the abdomen or on the lower back for three to seven days. Interstitial glucose levels are sent from the sensor to the receiver in one- to five-minute intervals. The glucose values are read on the receiver (monitor). Data from the </w:t>
      </w:r>
      <w:proofErr w:type="spellStart"/>
      <w:r w:rsidRPr="00DA0378">
        <w:rPr>
          <w:rFonts w:cstheme="minorHAnsi"/>
          <w:color w:val="000000"/>
          <w:sz w:val="21"/>
          <w:szCs w:val="21"/>
        </w:rPr>
        <w:t>CGM</w:t>
      </w:r>
      <w:proofErr w:type="spellEnd"/>
      <w:r w:rsidR="00CC0590">
        <w:rPr>
          <w:rFonts w:cstheme="minorHAnsi"/>
          <w:color w:val="000000"/>
          <w:sz w:val="21"/>
          <w:szCs w:val="21"/>
        </w:rPr>
        <w:t xml:space="preserve"> system</w:t>
      </w:r>
      <w:r w:rsidRPr="00DA0378">
        <w:rPr>
          <w:rFonts w:cstheme="minorHAnsi"/>
          <w:color w:val="000000"/>
          <w:sz w:val="21"/>
          <w:szCs w:val="21"/>
        </w:rPr>
        <w:t xml:space="preserve"> may be stored in the device and can alert the individual that </w:t>
      </w:r>
      <w:r w:rsidR="000D30E5">
        <w:rPr>
          <w:rFonts w:cstheme="minorHAnsi"/>
          <w:color w:val="000000"/>
          <w:sz w:val="21"/>
          <w:szCs w:val="21"/>
        </w:rPr>
        <w:t xml:space="preserve">they </w:t>
      </w:r>
      <w:r w:rsidRPr="00DA0378">
        <w:rPr>
          <w:rFonts w:cstheme="minorHAnsi"/>
          <w:color w:val="000000"/>
          <w:sz w:val="21"/>
          <w:szCs w:val="21"/>
        </w:rPr>
        <w:t xml:space="preserve">may be experiencing a potentially harmful, sudden fluctuation in blood sugar level. A </w:t>
      </w:r>
      <w:proofErr w:type="spellStart"/>
      <w:r w:rsidRPr="00DA0378">
        <w:rPr>
          <w:rFonts w:cstheme="minorHAnsi"/>
          <w:color w:val="000000"/>
          <w:sz w:val="21"/>
          <w:szCs w:val="21"/>
        </w:rPr>
        <w:t>CGM</w:t>
      </w:r>
      <w:proofErr w:type="spellEnd"/>
      <w:r w:rsidR="00CC0590">
        <w:rPr>
          <w:rFonts w:cstheme="minorHAnsi"/>
          <w:color w:val="000000"/>
          <w:sz w:val="21"/>
          <w:szCs w:val="21"/>
        </w:rPr>
        <w:t xml:space="preserve"> system</w:t>
      </w:r>
      <w:r w:rsidRPr="00DA0378">
        <w:rPr>
          <w:rFonts w:cstheme="minorHAnsi"/>
          <w:color w:val="000000"/>
          <w:sz w:val="21"/>
          <w:szCs w:val="21"/>
        </w:rPr>
        <w:t xml:space="preserve"> can be customized; each individual user may customize the threshold settings to detect high and low glucose levels that trigger the alarm; and the alarm is shareable, for example, to alert a parent of their child’s blood sugar. The </w:t>
      </w:r>
      <w:r w:rsidR="00994A1E">
        <w:rPr>
          <w:rFonts w:cstheme="minorHAnsi"/>
          <w:color w:val="000000"/>
          <w:sz w:val="21"/>
          <w:szCs w:val="21"/>
        </w:rPr>
        <w:t>US Food and Drug Administration (</w:t>
      </w:r>
      <w:r w:rsidRPr="00DA0378">
        <w:rPr>
          <w:rFonts w:cstheme="minorHAnsi"/>
          <w:color w:val="000000"/>
          <w:sz w:val="21"/>
          <w:szCs w:val="21"/>
        </w:rPr>
        <w:t>FDA</w:t>
      </w:r>
      <w:r w:rsidR="00994A1E">
        <w:rPr>
          <w:rFonts w:cstheme="minorHAnsi"/>
          <w:color w:val="000000"/>
          <w:sz w:val="21"/>
          <w:szCs w:val="21"/>
        </w:rPr>
        <w:t>)</w:t>
      </w:r>
      <w:r w:rsidRPr="00DA0378">
        <w:rPr>
          <w:rFonts w:cstheme="minorHAnsi"/>
          <w:color w:val="000000"/>
          <w:sz w:val="21"/>
          <w:szCs w:val="21"/>
        </w:rPr>
        <w:t xml:space="preserve"> labeling for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w:t>
      </w:r>
      <w:r w:rsidR="00CC0590">
        <w:rPr>
          <w:rFonts w:cstheme="minorHAnsi"/>
          <w:color w:val="000000"/>
          <w:sz w:val="21"/>
          <w:szCs w:val="21"/>
        </w:rPr>
        <w:t xml:space="preserve">systems </w:t>
      </w:r>
      <w:r w:rsidRPr="00DA0378">
        <w:rPr>
          <w:rFonts w:cstheme="minorHAnsi"/>
          <w:color w:val="000000"/>
          <w:sz w:val="21"/>
          <w:szCs w:val="21"/>
        </w:rPr>
        <w:t xml:space="preserve">notes they are not to be used as a replacement for standard blood glucose monitors (ADA, 2013; FDA, 2017). Their intent is to supplement standard glucose monitors and assist in future diabetes management. Data from </w:t>
      </w:r>
      <w:proofErr w:type="spellStart"/>
      <w:r w:rsidRPr="00DA0378">
        <w:rPr>
          <w:rFonts w:cstheme="minorHAnsi"/>
          <w:color w:val="000000"/>
          <w:sz w:val="21"/>
          <w:szCs w:val="21"/>
        </w:rPr>
        <w:t>CGM</w:t>
      </w:r>
      <w:proofErr w:type="spellEnd"/>
      <w:r w:rsidR="00CC0590">
        <w:rPr>
          <w:rFonts w:cstheme="minorHAnsi"/>
          <w:color w:val="000000"/>
          <w:sz w:val="21"/>
          <w:szCs w:val="21"/>
        </w:rPr>
        <w:t xml:space="preserve"> systems i</w:t>
      </w:r>
      <w:r w:rsidRPr="00DA0378">
        <w:rPr>
          <w:rFonts w:cstheme="minorHAnsi"/>
          <w:color w:val="000000"/>
          <w:sz w:val="21"/>
          <w:szCs w:val="21"/>
        </w:rPr>
        <w:t xml:space="preserve">nclude glycemic trends and the appropriate timing and frequency of finger stick blood glucose samples. Any changes in an individual’s insulin therapy should be confirmed by a finger stick blood glucose sampling and not </w:t>
      </w:r>
      <w:r w:rsidR="002E450A">
        <w:rPr>
          <w:rFonts w:cstheme="minorHAnsi"/>
          <w:color w:val="000000"/>
          <w:sz w:val="21"/>
          <w:szCs w:val="21"/>
        </w:rPr>
        <w:t xml:space="preserve">a </w:t>
      </w:r>
      <w:proofErr w:type="spellStart"/>
      <w:r w:rsidRPr="00DA0378">
        <w:rPr>
          <w:rFonts w:cstheme="minorHAnsi"/>
          <w:color w:val="000000"/>
          <w:sz w:val="21"/>
          <w:szCs w:val="21"/>
        </w:rPr>
        <w:t>CGM</w:t>
      </w:r>
      <w:proofErr w:type="spellEnd"/>
      <w:r w:rsidR="00CC0590">
        <w:rPr>
          <w:rFonts w:cstheme="minorHAnsi"/>
          <w:color w:val="000000"/>
          <w:sz w:val="21"/>
          <w:szCs w:val="21"/>
        </w:rPr>
        <w:t xml:space="preserve"> system</w:t>
      </w:r>
      <w:r w:rsidRPr="00DA0378">
        <w:rPr>
          <w:rFonts w:cstheme="minorHAnsi"/>
          <w:color w:val="000000"/>
          <w:sz w:val="21"/>
          <w:szCs w:val="21"/>
        </w:rPr>
        <w:t xml:space="preserve">. </w:t>
      </w:r>
    </w:p>
    <w:p w14:paraId="11DC0F5A" w14:textId="759161EA"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The individual using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should use the information provided to take an active, collaborative role with their professional health care provider to develop a diabetes care plan. The treatment plan should include updates on the use of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and contain targeted, personalized goals and outcomes. It should also reflect the individual’s active role in </w:t>
      </w:r>
      <w:r w:rsidR="00C91479">
        <w:rPr>
          <w:rFonts w:cstheme="minorHAnsi"/>
          <w:color w:val="000000"/>
          <w:sz w:val="21"/>
          <w:szCs w:val="21"/>
        </w:rPr>
        <w:t>their</w:t>
      </w:r>
      <w:r w:rsidRPr="00DA0378">
        <w:rPr>
          <w:rFonts w:cstheme="minorHAnsi"/>
          <w:color w:val="000000"/>
          <w:sz w:val="21"/>
          <w:szCs w:val="21"/>
        </w:rPr>
        <w:t xml:space="preserve"> current diabetes management status.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w:t>
      </w:r>
      <w:r w:rsidR="00CC0590" w:rsidRPr="00CC0590">
        <w:rPr>
          <w:rFonts w:cstheme="minorHAnsi"/>
          <w:color w:val="000000"/>
          <w:sz w:val="21"/>
          <w:szCs w:val="21"/>
        </w:rPr>
        <w:t>system</w:t>
      </w:r>
      <w:r w:rsidR="00CC0590">
        <w:rPr>
          <w:rFonts w:cstheme="minorHAnsi"/>
          <w:color w:val="000000"/>
          <w:sz w:val="21"/>
          <w:szCs w:val="21"/>
        </w:rPr>
        <w:t xml:space="preserve">s </w:t>
      </w:r>
      <w:r w:rsidRPr="00DA0378">
        <w:rPr>
          <w:rFonts w:cstheme="minorHAnsi"/>
          <w:color w:val="000000"/>
          <w:sz w:val="21"/>
          <w:szCs w:val="21"/>
        </w:rPr>
        <w:t>may be used to monitor unexplained glycemic excursions and episodes of hypoglycemic unawareness. If not addressed, hypoglycemia may cause complications such as seizures, diabetic coma</w:t>
      </w:r>
      <w:r w:rsidR="00810423">
        <w:rPr>
          <w:rFonts w:cstheme="minorHAnsi"/>
          <w:color w:val="000000"/>
          <w:sz w:val="21"/>
          <w:szCs w:val="21"/>
        </w:rPr>
        <w:t>,</w:t>
      </w:r>
      <w:r w:rsidRPr="00DA0378">
        <w:rPr>
          <w:rFonts w:cstheme="minorHAnsi"/>
          <w:color w:val="000000"/>
          <w:sz w:val="21"/>
          <w:szCs w:val="21"/>
        </w:rPr>
        <w:t xml:space="preserve"> or brain damage (Wolpert, 2007).</w:t>
      </w:r>
    </w:p>
    <w:p w14:paraId="424598FB" w14:textId="0026D8CD"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Members with diabetes need to be closely monitored. When blood glucose levels are poorly controlled, members are at risk of complications</w:t>
      </w:r>
      <w:r w:rsidR="00810423">
        <w:rPr>
          <w:rFonts w:cstheme="minorHAnsi"/>
          <w:color w:val="000000"/>
          <w:sz w:val="21"/>
          <w:szCs w:val="21"/>
        </w:rPr>
        <w:t>,</w:t>
      </w:r>
      <w:r w:rsidRPr="00DA0378">
        <w:rPr>
          <w:rFonts w:cstheme="minorHAnsi"/>
          <w:color w:val="000000"/>
          <w:sz w:val="21"/>
          <w:szCs w:val="21"/>
        </w:rPr>
        <w:t xml:space="preserve"> including heart disease, peripheral vascular disease, stroke, retinal damage, kidney disease, impotence</w:t>
      </w:r>
      <w:r w:rsidR="00DB107C">
        <w:rPr>
          <w:rFonts w:cstheme="minorHAnsi"/>
          <w:color w:val="000000"/>
          <w:sz w:val="21"/>
          <w:szCs w:val="21"/>
        </w:rPr>
        <w:t>,</w:t>
      </w:r>
      <w:r w:rsidRPr="00DA0378">
        <w:rPr>
          <w:rFonts w:cstheme="minorHAnsi"/>
          <w:color w:val="000000"/>
          <w:sz w:val="21"/>
          <w:szCs w:val="21"/>
        </w:rPr>
        <w:t xml:space="preserve"> and nerve damage. Members should also be monitored for comorbidities that may not be present during the early stages of the disease, but develop as the disease progresses</w:t>
      </w:r>
      <w:r w:rsidR="00DB107C">
        <w:rPr>
          <w:rFonts w:cstheme="minorHAnsi"/>
          <w:color w:val="000000"/>
          <w:sz w:val="21"/>
          <w:szCs w:val="21"/>
        </w:rPr>
        <w:t>;</w:t>
      </w:r>
      <w:r w:rsidRPr="00DA0378">
        <w:rPr>
          <w:rFonts w:cstheme="minorHAnsi"/>
          <w:color w:val="000000"/>
          <w:sz w:val="21"/>
          <w:szCs w:val="21"/>
        </w:rPr>
        <w:t xml:space="preserve"> these include hearing impairment, fatty liver disease, sleep apnea, periodontal disease, depression, anxiety, cognitive impairment</w:t>
      </w:r>
      <w:r w:rsidR="00DB107C">
        <w:rPr>
          <w:rFonts w:cstheme="minorHAnsi"/>
          <w:color w:val="000000"/>
          <w:sz w:val="21"/>
          <w:szCs w:val="21"/>
        </w:rPr>
        <w:t>,</w:t>
      </w:r>
      <w:r w:rsidRPr="00DA0378">
        <w:rPr>
          <w:rFonts w:cstheme="minorHAnsi"/>
          <w:color w:val="000000"/>
          <w:sz w:val="21"/>
          <w:szCs w:val="21"/>
        </w:rPr>
        <w:t xml:space="preserve"> and fractures.</w:t>
      </w:r>
    </w:p>
    <w:p w14:paraId="030AB240" w14:textId="60FE855F"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lastRenderedPageBreak/>
        <w:t xml:space="preserve">Reasonable </w:t>
      </w:r>
      <w:proofErr w:type="spellStart"/>
      <w:r w:rsidRPr="00DA0378">
        <w:rPr>
          <w:rFonts w:cstheme="minorHAnsi"/>
          <w:color w:val="000000"/>
          <w:sz w:val="21"/>
          <w:szCs w:val="21"/>
        </w:rPr>
        <w:t>A1C</w:t>
      </w:r>
      <w:proofErr w:type="spellEnd"/>
      <w:r w:rsidRPr="00DA0378">
        <w:rPr>
          <w:rFonts w:cstheme="minorHAnsi"/>
          <w:color w:val="000000"/>
          <w:sz w:val="21"/>
          <w:szCs w:val="21"/>
        </w:rPr>
        <w:t xml:space="preserve"> goals for diabetic members should be customized for the individual member</w:t>
      </w:r>
      <w:r w:rsidR="00265364">
        <w:rPr>
          <w:rFonts w:cstheme="minorHAnsi"/>
          <w:color w:val="000000"/>
          <w:sz w:val="21"/>
          <w:szCs w:val="21"/>
        </w:rPr>
        <w:t>,</w:t>
      </w:r>
      <w:r w:rsidRPr="00DA0378">
        <w:rPr>
          <w:rFonts w:cstheme="minorHAnsi"/>
          <w:color w:val="000000"/>
          <w:sz w:val="21"/>
          <w:szCs w:val="21"/>
        </w:rPr>
        <w:t xml:space="preserve"> balancing established benefits with prevention of complications and risk of hypoglycemia. Goals vary depending on age, members with comorbidities, limited lifetime expectancy</w:t>
      </w:r>
      <w:r w:rsidR="00265364">
        <w:rPr>
          <w:rFonts w:cstheme="minorHAnsi"/>
          <w:color w:val="000000"/>
          <w:sz w:val="21"/>
          <w:szCs w:val="21"/>
        </w:rPr>
        <w:t>,</w:t>
      </w:r>
      <w:r w:rsidRPr="00DA0378">
        <w:rPr>
          <w:rFonts w:cstheme="minorHAnsi"/>
          <w:color w:val="000000"/>
          <w:sz w:val="21"/>
          <w:szCs w:val="21"/>
        </w:rPr>
        <w:t xml:space="preserve"> and benefits of intensive therapy. Members with type 1 diabetes and pregnancy may require stricter control.</w:t>
      </w:r>
    </w:p>
    <w:p w14:paraId="4C64E54A" w14:textId="5AC18BB4"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For members with type </w:t>
      </w:r>
      <w:proofErr w:type="spellStart"/>
      <w:r w:rsidRPr="00DA0378">
        <w:rPr>
          <w:rFonts w:cstheme="minorHAnsi"/>
          <w:color w:val="000000"/>
          <w:sz w:val="21"/>
          <w:szCs w:val="21"/>
        </w:rPr>
        <w:t>1x</w:t>
      </w:r>
      <w:proofErr w:type="spellEnd"/>
      <w:r w:rsidRPr="00DA0378">
        <w:rPr>
          <w:rFonts w:cstheme="minorHAnsi"/>
          <w:color w:val="000000"/>
          <w:sz w:val="21"/>
          <w:szCs w:val="21"/>
        </w:rPr>
        <w:t xml:space="preserve"> diabetes mellitus (</w:t>
      </w:r>
      <w:proofErr w:type="spellStart"/>
      <w:r w:rsidRPr="00DA0378">
        <w:rPr>
          <w:rFonts w:cstheme="minorHAnsi"/>
          <w:color w:val="000000"/>
          <w:sz w:val="21"/>
          <w:szCs w:val="21"/>
        </w:rPr>
        <w:t>T1DM</w:t>
      </w:r>
      <w:proofErr w:type="spellEnd"/>
      <w:r w:rsidRPr="00DA0378">
        <w:rPr>
          <w:rFonts w:cstheme="minorHAnsi"/>
          <w:color w:val="000000"/>
          <w:sz w:val="21"/>
          <w:szCs w:val="21"/>
        </w:rPr>
        <w:t>), tight glucose control is critical because they require ongoing treatment with exogenous insulin. Self-monitoring of blood glucose (</w:t>
      </w:r>
      <w:proofErr w:type="spellStart"/>
      <w:r w:rsidRPr="00DA0378">
        <w:rPr>
          <w:rFonts w:cstheme="minorHAnsi"/>
          <w:color w:val="000000"/>
          <w:sz w:val="21"/>
          <w:szCs w:val="21"/>
        </w:rPr>
        <w:t>SMBG</w:t>
      </w:r>
      <w:proofErr w:type="spellEnd"/>
      <w:r w:rsidRPr="00DA0378">
        <w:rPr>
          <w:rFonts w:cstheme="minorHAnsi"/>
          <w:color w:val="000000"/>
          <w:sz w:val="21"/>
          <w:szCs w:val="21"/>
        </w:rPr>
        <w:t>) is normally accomplished by measuring blood glucose concentration through intermittent capillary blood sampling with a reagent strip, cartridge</w:t>
      </w:r>
      <w:r w:rsidR="00011997">
        <w:rPr>
          <w:rFonts w:cstheme="minorHAnsi"/>
          <w:color w:val="000000"/>
          <w:sz w:val="21"/>
          <w:szCs w:val="21"/>
        </w:rPr>
        <w:t>,</w:t>
      </w:r>
      <w:r w:rsidRPr="00DA0378">
        <w:rPr>
          <w:rFonts w:cstheme="minorHAnsi"/>
          <w:color w:val="000000"/>
          <w:sz w:val="21"/>
          <w:szCs w:val="21"/>
        </w:rPr>
        <w:t xml:space="preserve"> or cuvette and a drop of capillary blood from a finger puncture. Different testing frequency may be indicated for type 1 and type 2 diabetes as well as for gestational diabetes or cystic</w:t>
      </w:r>
      <w:r w:rsidR="00011997">
        <w:rPr>
          <w:rFonts w:cstheme="minorHAnsi"/>
          <w:color w:val="000000"/>
          <w:sz w:val="21"/>
          <w:szCs w:val="21"/>
        </w:rPr>
        <w:t>-</w:t>
      </w:r>
      <w:r w:rsidRPr="00DA0378">
        <w:rPr>
          <w:rFonts w:cstheme="minorHAnsi"/>
          <w:color w:val="000000"/>
          <w:sz w:val="21"/>
          <w:szCs w:val="21"/>
        </w:rPr>
        <w:t xml:space="preserve">fibrosis-related diabetes. Devices are available for continuous glucose monitoring from interstitial fluid, but </w:t>
      </w:r>
      <w:proofErr w:type="spellStart"/>
      <w:r w:rsidRPr="00DA0378">
        <w:rPr>
          <w:rFonts w:cstheme="minorHAnsi"/>
          <w:color w:val="000000"/>
          <w:sz w:val="21"/>
          <w:szCs w:val="21"/>
        </w:rPr>
        <w:t>SMBG</w:t>
      </w:r>
      <w:proofErr w:type="spellEnd"/>
      <w:r w:rsidRPr="00DA0378">
        <w:rPr>
          <w:rFonts w:cstheme="minorHAnsi"/>
          <w:color w:val="000000"/>
          <w:sz w:val="21"/>
          <w:szCs w:val="21"/>
        </w:rPr>
        <w:t xml:space="preserve"> testing must still be used in conjunction with </w:t>
      </w:r>
      <w:proofErr w:type="spellStart"/>
      <w:r w:rsidRPr="00DA0378">
        <w:rPr>
          <w:rFonts w:cstheme="minorHAnsi"/>
          <w:color w:val="000000"/>
          <w:sz w:val="21"/>
          <w:szCs w:val="21"/>
        </w:rPr>
        <w:t>CGM</w:t>
      </w:r>
      <w:proofErr w:type="spellEnd"/>
      <w:r w:rsidR="00F41F4A">
        <w:rPr>
          <w:rFonts w:cstheme="minorHAnsi"/>
          <w:color w:val="000000"/>
          <w:sz w:val="21"/>
          <w:szCs w:val="21"/>
        </w:rPr>
        <w:t xml:space="preserve"> system</w:t>
      </w:r>
      <w:r w:rsidR="00011997">
        <w:rPr>
          <w:rFonts w:cstheme="minorHAnsi"/>
          <w:color w:val="000000"/>
          <w:sz w:val="21"/>
          <w:szCs w:val="21"/>
        </w:rPr>
        <w:t>s</w:t>
      </w:r>
      <w:r w:rsidRPr="00DA0378">
        <w:rPr>
          <w:rFonts w:cstheme="minorHAnsi"/>
          <w:color w:val="000000"/>
          <w:sz w:val="21"/>
          <w:szCs w:val="21"/>
        </w:rPr>
        <w:t xml:space="preserve"> to confirm high and low continuous glucose monitoring values.</w:t>
      </w:r>
    </w:p>
    <w:p w14:paraId="55BD2FE2" w14:textId="228BD54A"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offers the most benefit in members or members</w:t>
      </w:r>
      <w:r w:rsidR="00011997">
        <w:rPr>
          <w:rFonts w:cstheme="minorHAnsi"/>
          <w:color w:val="000000"/>
          <w:sz w:val="21"/>
          <w:szCs w:val="21"/>
        </w:rPr>
        <w:t>’</w:t>
      </w:r>
      <w:r w:rsidRPr="00DA0378">
        <w:rPr>
          <w:rFonts w:cstheme="minorHAnsi"/>
          <w:color w:val="000000"/>
          <w:sz w:val="21"/>
          <w:szCs w:val="21"/>
        </w:rPr>
        <w:t xml:space="preserve"> parents </w:t>
      </w:r>
      <w:r w:rsidR="00011997">
        <w:rPr>
          <w:rFonts w:cstheme="minorHAnsi"/>
          <w:color w:val="000000"/>
          <w:sz w:val="21"/>
          <w:szCs w:val="21"/>
        </w:rPr>
        <w:t xml:space="preserve">who </w:t>
      </w:r>
      <w:r w:rsidRPr="00DA0378">
        <w:rPr>
          <w:rFonts w:cstheme="minorHAnsi"/>
          <w:color w:val="000000"/>
          <w:sz w:val="21"/>
          <w:szCs w:val="21"/>
        </w:rPr>
        <w:t xml:space="preserve">are willing to use them consistently and in members with hypoglycemic unawareness who are at risk or have a history of severe recurrent hypoglycemia. Recent studies show that continuous glucose monitoring is associated with improved glycemic control in adult members with type 1 diabetes. Studies for the role of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in Type </w:t>
      </w:r>
      <w:r w:rsidR="00661A3B">
        <w:rPr>
          <w:rFonts w:cstheme="minorHAnsi"/>
          <w:color w:val="000000"/>
          <w:sz w:val="21"/>
          <w:szCs w:val="21"/>
        </w:rPr>
        <w:t>2</w:t>
      </w:r>
      <w:r w:rsidRPr="00DA0378">
        <w:rPr>
          <w:rFonts w:cstheme="minorHAnsi"/>
          <w:color w:val="000000"/>
          <w:sz w:val="21"/>
          <w:szCs w:val="21"/>
        </w:rPr>
        <w:t xml:space="preserve"> diabetes mellitus (</w:t>
      </w:r>
      <w:proofErr w:type="spellStart"/>
      <w:r w:rsidRPr="00DA0378">
        <w:rPr>
          <w:rFonts w:cstheme="minorHAnsi"/>
          <w:color w:val="000000"/>
          <w:sz w:val="21"/>
          <w:szCs w:val="21"/>
        </w:rPr>
        <w:t>T2DM</w:t>
      </w:r>
      <w:proofErr w:type="spellEnd"/>
      <w:r w:rsidRPr="00DA0378">
        <w:rPr>
          <w:rFonts w:cstheme="minorHAnsi"/>
          <w:color w:val="000000"/>
          <w:sz w:val="21"/>
          <w:szCs w:val="21"/>
        </w:rPr>
        <w:t xml:space="preserve">) </w:t>
      </w:r>
      <w:r w:rsidR="00F41952">
        <w:rPr>
          <w:rFonts w:cstheme="minorHAnsi"/>
          <w:color w:val="000000"/>
          <w:sz w:val="21"/>
          <w:szCs w:val="21"/>
        </w:rPr>
        <w:t>are</w:t>
      </w:r>
      <w:r w:rsidR="00F41952" w:rsidRPr="00DA0378">
        <w:rPr>
          <w:rFonts w:cstheme="minorHAnsi"/>
          <w:color w:val="000000"/>
          <w:sz w:val="21"/>
          <w:szCs w:val="21"/>
        </w:rPr>
        <w:t xml:space="preserve"> </w:t>
      </w:r>
      <w:r w:rsidRPr="00DA0378">
        <w:rPr>
          <w:rFonts w:cstheme="minorHAnsi"/>
          <w:color w:val="000000"/>
          <w:sz w:val="21"/>
          <w:szCs w:val="21"/>
        </w:rPr>
        <w:t>less clear, and studies in pregnancy show only minimal benefit (</w:t>
      </w:r>
      <w:proofErr w:type="spellStart"/>
      <w:r w:rsidRPr="00DA0378">
        <w:rPr>
          <w:rFonts w:cstheme="minorHAnsi"/>
          <w:color w:val="000000"/>
          <w:sz w:val="21"/>
          <w:szCs w:val="21"/>
        </w:rPr>
        <w:t>HgA1C</w:t>
      </w:r>
      <w:proofErr w:type="spellEnd"/>
      <w:r w:rsidRPr="00DA0378">
        <w:rPr>
          <w:rFonts w:cstheme="minorHAnsi"/>
          <w:color w:val="000000"/>
          <w:sz w:val="21"/>
          <w:szCs w:val="21"/>
        </w:rPr>
        <w:t xml:space="preserve"> reduction of only 0.2) with some forms of </w:t>
      </w:r>
      <w:proofErr w:type="spellStart"/>
      <w:r w:rsidRPr="00DA0378">
        <w:rPr>
          <w:rFonts w:cstheme="minorHAnsi"/>
          <w:color w:val="000000"/>
          <w:sz w:val="21"/>
          <w:szCs w:val="21"/>
        </w:rPr>
        <w:t>CGM</w:t>
      </w:r>
      <w:proofErr w:type="spellEnd"/>
      <w:r w:rsidR="00F41F4A">
        <w:rPr>
          <w:rFonts w:cstheme="minorHAnsi"/>
          <w:color w:val="000000"/>
          <w:sz w:val="21"/>
          <w:szCs w:val="21"/>
        </w:rPr>
        <w:t xml:space="preserve"> </w:t>
      </w:r>
      <w:r w:rsidR="00F41F4A" w:rsidRPr="00F41F4A">
        <w:rPr>
          <w:rFonts w:cstheme="minorHAnsi"/>
          <w:color w:val="000000"/>
          <w:sz w:val="21"/>
          <w:szCs w:val="21"/>
        </w:rPr>
        <w:t>system</w:t>
      </w:r>
      <w:r w:rsidR="00F41952">
        <w:rPr>
          <w:rFonts w:cstheme="minorHAnsi"/>
          <w:color w:val="000000"/>
          <w:sz w:val="21"/>
          <w:szCs w:val="21"/>
        </w:rPr>
        <w:t>s</w:t>
      </w:r>
      <w:r w:rsidRPr="00DA0378">
        <w:rPr>
          <w:rFonts w:cstheme="minorHAnsi"/>
          <w:color w:val="000000"/>
          <w:sz w:val="21"/>
          <w:szCs w:val="21"/>
        </w:rPr>
        <w:t xml:space="preserve"> (</w:t>
      </w:r>
      <w:proofErr w:type="spellStart"/>
      <w:r w:rsidRPr="00DA0378">
        <w:rPr>
          <w:rFonts w:cstheme="minorHAnsi"/>
          <w:color w:val="000000"/>
          <w:sz w:val="21"/>
          <w:szCs w:val="21"/>
        </w:rPr>
        <w:t>CONCEPTT</w:t>
      </w:r>
      <w:proofErr w:type="spellEnd"/>
      <w:r w:rsidRPr="00DA0378">
        <w:rPr>
          <w:rFonts w:cstheme="minorHAnsi"/>
          <w:color w:val="000000"/>
          <w:sz w:val="21"/>
          <w:szCs w:val="21"/>
        </w:rPr>
        <w:t xml:space="preserve"> Trial, 2017). The decision to use </w:t>
      </w:r>
      <w:proofErr w:type="spellStart"/>
      <w:r w:rsidRPr="00DA0378">
        <w:rPr>
          <w:rFonts w:cstheme="minorHAnsi"/>
          <w:color w:val="000000"/>
          <w:sz w:val="21"/>
          <w:szCs w:val="21"/>
        </w:rPr>
        <w:t>CGM</w:t>
      </w:r>
      <w:proofErr w:type="spellEnd"/>
      <w:r w:rsidR="00F41F4A">
        <w:rPr>
          <w:rFonts w:cstheme="minorHAnsi"/>
          <w:color w:val="000000"/>
          <w:sz w:val="21"/>
          <w:szCs w:val="21"/>
        </w:rPr>
        <w:t xml:space="preserve"> </w:t>
      </w:r>
      <w:r w:rsidR="00F41F4A" w:rsidRPr="00F41F4A">
        <w:rPr>
          <w:rFonts w:cstheme="minorHAnsi"/>
          <w:color w:val="000000"/>
          <w:sz w:val="21"/>
          <w:szCs w:val="21"/>
        </w:rPr>
        <w:t>system</w:t>
      </w:r>
      <w:r w:rsidR="00F41952">
        <w:rPr>
          <w:rFonts w:cstheme="minorHAnsi"/>
          <w:color w:val="000000"/>
          <w:sz w:val="21"/>
          <w:szCs w:val="21"/>
        </w:rPr>
        <w:t>s</w:t>
      </w:r>
      <w:r w:rsidRPr="00DA0378">
        <w:rPr>
          <w:rFonts w:cstheme="minorHAnsi"/>
          <w:color w:val="000000"/>
          <w:sz w:val="21"/>
          <w:szCs w:val="21"/>
        </w:rPr>
        <w:t xml:space="preserve"> for </w:t>
      </w:r>
      <w:proofErr w:type="spellStart"/>
      <w:r w:rsidR="006419AD">
        <w:rPr>
          <w:rFonts w:cstheme="minorHAnsi"/>
          <w:color w:val="000000"/>
          <w:sz w:val="21"/>
          <w:szCs w:val="21"/>
        </w:rPr>
        <w:t>T2DM</w:t>
      </w:r>
      <w:proofErr w:type="spellEnd"/>
      <w:r w:rsidRPr="00DA0378">
        <w:rPr>
          <w:rFonts w:cstheme="minorHAnsi"/>
          <w:color w:val="000000"/>
          <w:sz w:val="21"/>
          <w:szCs w:val="21"/>
        </w:rPr>
        <w:t>, pregnancy, or other conditions thus must be the result of careful decision-making between member and provider, with guidance regarding the pros</w:t>
      </w:r>
      <w:r w:rsidR="005A239C">
        <w:rPr>
          <w:rFonts w:cstheme="minorHAnsi"/>
          <w:color w:val="000000"/>
          <w:sz w:val="21"/>
          <w:szCs w:val="21"/>
        </w:rPr>
        <w:t xml:space="preserve">, </w:t>
      </w:r>
      <w:r w:rsidRPr="00DA0378">
        <w:rPr>
          <w:rFonts w:cstheme="minorHAnsi"/>
          <w:color w:val="000000"/>
          <w:sz w:val="21"/>
          <w:szCs w:val="21"/>
        </w:rPr>
        <w:t>cons</w:t>
      </w:r>
      <w:r w:rsidR="005A239C">
        <w:rPr>
          <w:rFonts w:cstheme="minorHAnsi"/>
          <w:color w:val="000000"/>
          <w:sz w:val="21"/>
          <w:szCs w:val="21"/>
        </w:rPr>
        <w:t>,</w:t>
      </w:r>
      <w:r w:rsidRPr="00DA0378">
        <w:rPr>
          <w:rFonts w:cstheme="minorHAnsi"/>
          <w:color w:val="000000"/>
          <w:sz w:val="21"/>
          <w:szCs w:val="21"/>
        </w:rPr>
        <w:t xml:space="preserve"> risks</w:t>
      </w:r>
      <w:r w:rsidR="005A239C">
        <w:rPr>
          <w:rFonts w:cstheme="minorHAnsi"/>
          <w:color w:val="000000"/>
          <w:sz w:val="21"/>
          <w:szCs w:val="21"/>
        </w:rPr>
        <w:t>,</w:t>
      </w:r>
      <w:r w:rsidRPr="00DA0378">
        <w:rPr>
          <w:rFonts w:cstheme="minorHAnsi"/>
          <w:color w:val="000000"/>
          <w:sz w:val="21"/>
          <w:szCs w:val="21"/>
        </w:rPr>
        <w:t xml:space="preserve"> and benefits clearly delineated. </w:t>
      </w:r>
    </w:p>
    <w:p w14:paraId="55E2E670" w14:textId="25BC8356" w:rsidR="00DA0378" w:rsidRPr="00DA0378" w:rsidRDefault="00DA0378" w:rsidP="00B80BDA">
      <w:pPr>
        <w:pStyle w:val="Heading3"/>
      </w:pPr>
      <w:r w:rsidRPr="00DA0378">
        <w:t>II.</w:t>
      </w:r>
      <w:r w:rsidR="00EF089A">
        <w:tab/>
      </w:r>
      <w:r w:rsidRPr="00DA0378">
        <w:t>Insulin Pump</w:t>
      </w:r>
    </w:p>
    <w:p w14:paraId="7CAF41C2" w14:textId="4BF8ABED"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An ambulatory infusion pump (insulin pump) is an externally worn device for the continuous or pulsed subcutaneous administration of insulin to diabetics who require insulin but who either </w:t>
      </w:r>
      <w:r w:rsidR="005A239C" w:rsidRPr="00DA0378">
        <w:rPr>
          <w:rFonts w:cstheme="minorHAnsi"/>
          <w:color w:val="000000"/>
          <w:sz w:val="21"/>
          <w:szCs w:val="21"/>
        </w:rPr>
        <w:t xml:space="preserve">are </w:t>
      </w:r>
      <w:r w:rsidRPr="00DA0378">
        <w:rPr>
          <w:rFonts w:cstheme="minorHAnsi"/>
          <w:color w:val="000000"/>
          <w:sz w:val="21"/>
          <w:szCs w:val="21"/>
        </w:rPr>
        <w:t xml:space="preserve">unable to self-administer medication or require meticulous medication to minimize effects or complications of diabetes. It consists of an external battery-operated pump that carries the insulin beneath the skin. </w:t>
      </w:r>
    </w:p>
    <w:p w14:paraId="6A7A9EF8" w14:textId="1DE88B7A"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Insulin pumps should be used in diabetic members who are demonstrated to have </w:t>
      </w:r>
      <w:proofErr w:type="spellStart"/>
      <w:r w:rsidRPr="00DA0378">
        <w:rPr>
          <w:rFonts w:cstheme="minorHAnsi"/>
          <w:color w:val="000000"/>
          <w:sz w:val="21"/>
          <w:szCs w:val="21"/>
        </w:rPr>
        <w:t>T1DM</w:t>
      </w:r>
      <w:proofErr w:type="spellEnd"/>
      <w:r w:rsidRPr="00DA0378">
        <w:rPr>
          <w:rFonts w:cstheme="minorHAnsi"/>
          <w:color w:val="000000"/>
          <w:sz w:val="21"/>
          <w:szCs w:val="21"/>
        </w:rPr>
        <w:t xml:space="preserve"> or are </w:t>
      </w:r>
      <w:proofErr w:type="spellStart"/>
      <w:r w:rsidRPr="00DA0378">
        <w:rPr>
          <w:rFonts w:cstheme="minorHAnsi"/>
          <w:color w:val="000000"/>
          <w:sz w:val="21"/>
          <w:szCs w:val="21"/>
        </w:rPr>
        <w:t>insulinopenic</w:t>
      </w:r>
      <w:proofErr w:type="spellEnd"/>
      <w:r w:rsidRPr="00DA0378">
        <w:rPr>
          <w:rFonts w:cstheme="minorHAnsi"/>
          <w:color w:val="000000"/>
          <w:sz w:val="21"/>
          <w:szCs w:val="21"/>
        </w:rPr>
        <w:t xml:space="preserve">. With </w:t>
      </w:r>
      <w:proofErr w:type="spellStart"/>
      <w:r w:rsidRPr="00DA0378">
        <w:rPr>
          <w:rFonts w:cstheme="minorHAnsi"/>
          <w:color w:val="000000"/>
          <w:sz w:val="21"/>
          <w:szCs w:val="21"/>
        </w:rPr>
        <w:t>T1DM</w:t>
      </w:r>
      <w:proofErr w:type="spellEnd"/>
      <w:r w:rsidRPr="00DA0378">
        <w:rPr>
          <w:rFonts w:cstheme="minorHAnsi"/>
          <w:color w:val="000000"/>
          <w:sz w:val="21"/>
          <w:szCs w:val="21"/>
        </w:rPr>
        <w:t>, most or all insulin</w:t>
      </w:r>
      <w:r w:rsidR="009E15B4">
        <w:rPr>
          <w:rFonts w:cstheme="minorHAnsi"/>
          <w:color w:val="000000"/>
          <w:sz w:val="21"/>
          <w:szCs w:val="21"/>
        </w:rPr>
        <w:t>-</w:t>
      </w:r>
      <w:r w:rsidRPr="00DA0378">
        <w:rPr>
          <w:rFonts w:cstheme="minorHAnsi"/>
          <w:color w:val="000000"/>
          <w:sz w:val="21"/>
          <w:szCs w:val="21"/>
        </w:rPr>
        <w:t xml:space="preserve">producing capacity is lost within 12 months of presentation. In </w:t>
      </w:r>
      <w:proofErr w:type="spellStart"/>
      <w:r w:rsidRPr="00DA0378">
        <w:rPr>
          <w:rFonts w:cstheme="minorHAnsi"/>
          <w:color w:val="000000"/>
          <w:sz w:val="21"/>
          <w:szCs w:val="21"/>
        </w:rPr>
        <w:t>T2DM</w:t>
      </w:r>
      <w:proofErr w:type="spellEnd"/>
      <w:r w:rsidRPr="00DA0378">
        <w:rPr>
          <w:rFonts w:cstheme="minorHAnsi"/>
          <w:color w:val="000000"/>
          <w:sz w:val="21"/>
          <w:szCs w:val="21"/>
        </w:rPr>
        <w:t xml:space="preserve">, insulin capacity may not be impaired initially. Members typically have insulin resistance and can produce high levels of endogenous insulin, but the insulin is less effective. Thus, for </w:t>
      </w:r>
      <w:proofErr w:type="spellStart"/>
      <w:r w:rsidRPr="00DA0378">
        <w:rPr>
          <w:rFonts w:cstheme="minorHAnsi"/>
          <w:color w:val="000000"/>
          <w:sz w:val="21"/>
          <w:szCs w:val="21"/>
        </w:rPr>
        <w:t>T2DM</w:t>
      </w:r>
      <w:proofErr w:type="spellEnd"/>
      <w:r w:rsidRPr="00DA0378">
        <w:rPr>
          <w:rFonts w:cstheme="minorHAnsi"/>
          <w:color w:val="000000"/>
          <w:sz w:val="21"/>
          <w:szCs w:val="21"/>
        </w:rPr>
        <w:t xml:space="preserve">, oral agents are used first-line to either cause more insulin to be released or improve the effectiveness of available insulin. Over time, however, the pancreatic beta cells become exhausted, and oral agents become less effective. Other rare conditions may also cause </w:t>
      </w:r>
      <w:proofErr w:type="spellStart"/>
      <w:r w:rsidRPr="00DA0378">
        <w:rPr>
          <w:rFonts w:cstheme="minorHAnsi"/>
          <w:color w:val="000000"/>
          <w:sz w:val="21"/>
          <w:szCs w:val="21"/>
        </w:rPr>
        <w:t>insulinopenia</w:t>
      </w:r>
      <w:proofErr w:type="spellEnd"/>
      <w:r w:rsidRPr="00DA0378">
        <w:rPr>
          <w:rFonts w:cstheme="minorHAnsi"/>
          <w:color w:val="000000"/>
          <w:sz w:val="21"/>
          <w:szCs w:val="21"/>
        </w:rPr>
        <w:t xml:space="preserve">. </w:t>
      </w:r>
    </w:p>
    <w:p w14:paraId="7D3174B8" w14:textId="7D3B7BC4" w:rsidR="00DA0378" w:rsidRPr="00DA0378" w:rsidRDefault="00DA0378" w:rsidP="00B80BDA">
      <w:pPr>
        <w:pStyle w:val="Heading3"/>
      </w:pPr>
      <w:r w:rsidRPr="00DA0378">
        <w:t>III.</w:t>
      </w:r>
      <w:r w:rsidR="00EF089A">
        <w:tab/>
      </w:r>
      <w:r w:rsidRPr="00DA0378">
        <w:t>Definitions</w:t>
      </w:r>
    </w:p>
    <w:p w14:paraId="6D57B4DF" w14:textId="6E081419"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For the purposes of these Guidelines, “poorly controlled blood sugar level</w:t>
      </w:r>
      <w:r w:rsidR="009E15B4">
        <w:rPr>
          <w:rFonts w:cstheme="minorHAnsi"/>
          <w:color w:val="000000"/>
          <w:sz w:val="21"/>
          <w:szCs w:val="21"/>
        </w:rPr>
        <w:t>”</w:t>
      </w:r>
      <w:r w:rsidRPr="00DA0378">
        <w:rPr>
          <w:rFonts w:cstheme="minorHAnsi"/>
          <w:color w:val="000000"/>
          <w:sz w:val="21"/>
          <w:szCs w:val="21"/>
        </w:rPr>
        <w:t xml:space="preserve"> is defined as unexplained hypoglycemic episodes, hypoglycemic unawareness, suspected post-prandial hyperglycemia, or recurrent diabetic ketoacidosis.</w:t>
      </w:r>
    </w:p>
    <w:p w14:paraId="58C2BCEE" w14:textId="2A2870E0" w:rsidR="00DA0378" w:rsidRPr="00DA0378" w:rsidRDefault="00DA0378" w:rsidP="001B7E49">
      <w:pPr>
        <w:pStyle w:val="Heading2"/>
        <w:tabs>
          <w:tab w:val="left" w:pos="302"/>
          <w:tab w:val="left" w:pos="605"/>
          <w:tab w:val="left" w:pos="965"/>
          <w:tab w:val="left" w:pos="1325"/>
        </w:tabs>
      </w:pPr>
      <w:r w:rsidRPr="00DA0378">
        <w:lastRenderedPageBreak/>
        <w:t xml:space="preserve">Section </w:t>
      </w:r>
      <w:r w:rsidR="00962A78">
        <w:t>II</w:t>
      </w:r>
      <w:r w:rsidRPr="00DA0378">
        <w:t>.</w:t>
      </w:r>
      <w:r w:rsidR="00EF089A">
        <w:tab/>
      </w:r>
      <w:r w:rsidRPr="00DA0378">
        <w:t>Clinical Guidelines</w:t>
      </w:r>
    </w:p>
    <w:p w14:paraId="41D6E248" w14:textId="314CF42B" w:rsidR="00DA0378" w:rsidRPr="00DA0378" w:rsidRDefault="00DA0378" w:rsidP="00B80BDA">
      <w:pPr>
        <w:pStyle w:val="Heading3"/>
      </w:pPr>
      <w:r w:rsidRPr="00DA0378">
        <w:t>I.</w:t>
      </w:r>
      <w:r w:rsidR="00EF089A">
        <w:tab/>
      </w:r>
      <w:r w:rsidRPr="00DA0378">
        <w:t>Clinical Coverage</w:t>
      </w:r>
    </w:p>
    <w:p w14:paraId="6BB3CC9B" w14:textId="6566552D" w:rsidR="00DA0378" w:rsidRPr="00B80BDA" w:rsidRDefault="00DA0378" w:rsidP="00B80BDA">
      <w:pPr>
        <w:pStyle w:val="Heading4"/>
      </w:pPr>
      <w:r w:rsidRPr="00B80BDA">
        <w:t>A.</w:t>
      </w:r>
      <w:r w:rsidRPr="00B80BDA">
        <w:tab/>
      </w:r>
      <w:proofErr w:type="spellStart"/>
      <w:r w:rsidR="00127166" w:rsidRPr="00B80BDA">
        <w:t>CGM</w:t>
      </w:r>
      <w:proofErr w:type="spellEnd"/>
      <w:r w:rsidR="002A5296" w:rsidRPr="00B80BDA">
        <w:t xml:space="preserve"> Systems</w:t>
      </w:r>
    </w:p>
    <w:p w14:paraId="6BBD3816" w14:textId="14301F10" w:rsidR="00DA0378" w:rsidRPr="00DA0378" w:rsidRDefault="00DA0378" w:rsidP="001B7E49">
      <w:pPr>
        <w:suppressAutoHyphens/>
        <w:autoSpaceDE w:val="0"/>
        <w:autoSpaceDN w:val="0"/>
        <w:adjustRightInd w:val="0"/>
        <w:spacing w:before="60" w:after="60" w:line="288" w:lineRule="auto"/>
        <w:ind w:left="600" w:firstLine="4"/>
        <w:textAlignment w:val="center"/>
        <w:rPr>
          <w:rFonts w:cstheme="minorHAnsi"/>
          <w:color w:val="000000"/>
          <w:sz w:val="21"/>
          <w:szCs w:val="21"/>
        </w:rPr>
      </w:pPr>
      <w:r w:rsidRPr="00DA0378">
        <w:rPr>
          <w:rFonts w:cstheme="minorHAnsi"/>
          <w:color w:val="000000"/>
          <w:sz w:val="21"/>
          <w:szCs w:val="21"/>
        </w:rPr>
        <w:t xml:space="preserve">MassHealth considers </w:t>
      </w:r>
      <w:proofErr w:type="spellStart"/>
      <w:r w:rsidRPr="00DA0378">
        <w:rPr>
          <w:rFonts w:cstheme="minorHAnsi"/>
          <w:color w:val="000000"/>
          <w:sz w:val="21"/>
          <w:szCs w:val="21"/>
        </w:rPr>
        <w:t>CGM</w:t>
      </w:r>
      <w:proofErr w:type="spellEnd"/>
      <w:r w:rsidR="002A5296">
        <w:rPr>
          <w:rFonts w:cstheme="minorHAnsi"/>
          <w:color w:val="000000"/>
          <w:sz w:val="21"/>
          <w:szCs w:val="21"/>
        </w:rPr>
        <w:t xml:space="preserve"> </w:t>
      </w:r>
      <w:r w:rsidR="002A5296" w:rsidRPr="002A5296">
        <w:rPr>
          <w:rFonts w:cstheme="minorHAnsi"/>
          <w:color w:val="000000"/>
          <w:sz w:val="21"/>
          <w:szCs w:val="21"/>
        </w:rPr>
        <w:t>system</w:t>
      </w:r>
      <w:r w:rsidR="00536A53">
        <w:rPr>
          <w:rFonts w:cstheme="minorHAnsi"/>
          <w:color w:val="000000"/>
          <w:sz w:val="21"/>
          <w:szCs w:val="21"/>
        </w:rPr>
        <w:t>s</w:t>
      </w:r>
      <w:r w:rsidRPr="00DA0378">
        <w:rPr>
          <w:rFonts w:cstheme="minorHAnsi"/>
          <w:color w:val="000000"/>
          <w:sz w:val="21"/>
          <w:szCs w:val="21"/>
        </w:rPr>
        <w:t xml:space="preserve"> medically necessary for insulin-dependent individuals with poorly controlled blood sugar</w:t>
      </w:r>
      <w:r w:rsidR="00301B31">
        <w:rPr>
          <w:rFonts w:cstheme="minorHAnsi"/>
          <w:color w:val="000000"/>
          <w:sz w:val="21"/>
          <w:szCs w:val="21"/>
        </w:rPr>
        <w:t xml:space="preserve"> level</w:t>
      </w:r>
      <w:r w:rsidRPr="00DA0378">
        <w:rPr>
          <w:rFonts w:cstheme="minorHAnsi"/>
          <w:color w:val="000000"/>
          <w:sz w:val="21"/>
          <w:szCs w:val="21"/>
        </w:rPr>
        <w:t xml:space="preserve">. MassHealth bases its determination of medical necessity for </w:t>
      </w:r>
      <w:proofErr w:type="spellStart"/>
      <w:r w:rsidRPr="00DA0378">
        <w:rPr>
          <w:rFonts w:cstheme="minorHAnsi"/>
          <w:color w:val="000000"/>
          <w:sz w:val="21"/>
          <w:szCs w:val="21"/>
        </w:rPr>
        <w:t>CGM</w:t>
      </w:r>
      <w:proofErr w:type="spellEnd"/>
      <w:r w:rsidR="002A5296">
        <w:rPr>
          <w:rFonts w:cstheme="minorHAnsi"/>
          <w:color w:val="000000"/>
          <w:sz w:val="21"/>
          <w:szCs w:val="21"/>
        </w:rPr>
        <w:t xml:space="preserve"> </w:t>
      </w:r>
      <w:r w:rsidR="002A5296" w:rsidRPr="002A5296">
        <w:rPr>
          <w:rFonts w:cstheme="minorHAnsi"/>
          <w:color w:val="000000"/>
          <w:sz w:val="21"/>
          <w:szCs w:val="21"/>
        </w:rPr>
        <w:t>system</w:t>
      </w:r>
      <w:r w:rsidR="00536A53">
        <w:rPr>
          <w:rFonts w:cstheme="minorHAnsi"/>
          <w:color w:val="000000"/>
          <w:sz w:val="21"/>
          <w:szCs w:val="21"/>
        </w:rPr>
        <w:t>s</w:t>
      </w:r>
      <w:r w:rsidRPr="00DA0378">
        <w:rPr>
          <w:rFonts w:cstheme="minorHAnsi"/>
          <w:color w:val="000000"/>
          <w:sz w:val="21"/>
          <w:szCs w:val="21"/>
        </w:rPr>
        <w:t xml:space="preserve"> on clinical information including, but not limited to, indicators that would affect the relative risks and benefits of using the device</w:t>
      </w:r>
      <w:r w:rsidR="00EF089A" w:rsidRPr="00DA0378">
        <w:rPr>
          <w:rFonts w:cstheme="minorHAnsi"/>
          <w:color w:val="000000"/>
          <w:sz w:val="21"/>
          <w:szCs w:val="21"/>
        </w:rPr>
        <w:t>.</w:t>
      </w:r>
      <w:r w:rsidR="00EF089A">
        <w:rPr>
          <w:rFonts w:cstheme="minorHAnsi"/>
          <w:color w:val="000000"/>
          <w:sz w:val="21"/>
          <w:szCs w:val="21"/>
        </w:rPr>
        <w:t xml:space="preserve"> </w:t>
      </w:r>
      <w:r w:rsidRPr="00DA0378">
        <w:rPr>
          <w:rFonts w:cstheme="minorHAnsi"/>
          <w:color w:val="000000"/>
          <w:sz w:val="21"/>
          <w:szCs w:val="21"/>
        </w:rPr>
        <w:t>These criteria include the following:</w:t>
      </w:r>
    </w:p>
    <w:p w14:paraId="551DA5D8" w14:textId="1C9B0E44"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 xml:space="preserve">1. </w:t>
      </w:r>
      <w:r w:rsidRPr="00DA0378">
        <w:rPr>
          <w:rFonts w:cstheme="minorHAnsi"/>
          <w:color w:val="000000"/>
          <w:sz w:val="21"/>
          <w:szCs w:val="21"/>
        </w:rPr>
        <w:tab/>
        <w:t>INITIAL</w:t>
      </w:r>
      <w:r w:rsidR="00AA4695">
        <w:rPr>
          <w:rFonts w:cstheme="minorHAnsi"/>
          <w:color w:val="000000"/>
          <w:sz w:val="21"/>
          <w:szCs w:val="21"/>
        </w:rPr>
        <w:t>—</w:t>
      </w:r>
      <w:r w:rsidRPr="00DA0378">
        <w:rPr>
          <w:rFonts w:cstheme="minorHAnsi"/>
          <w:color w:val="000000"/>
          <w:sz w:val="21"/>
          <w:szCs w:val="21"/>
        </w:rPr>
        <w:t xml:space="preserve">MassHealth considers initial use of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00536A53">
        <w:rPr>
          <w:rFonts w:cstheme="minorHAnsi"/>
          <w:color w:val="000000"/>
          <w:sz w:val="21"/>
          <w:szCs w:val="21"/>
        </w:rPr>
        <w:t>s</w:t>
      </w:r>
      <w:r w:rsidRPr="00DA0378">
        <w:rPr>
          <w:rFonts w:cstheme="minorHAnsi"/>
          <w:color w:val="000000"/>
          <w:sz w:val="21"/>
          <w:szCs w:val="21"/>
        </w:rPr>
        <w:t xml:space="preserve"> medically necessary in members who experience problems controlling blood glucose levels and meet ALL of the following criteria:</w:t>
      </w:r>
    </w:p>
    <w:p w14:paraId="6D702110" w14:textId="05814250" w:rsidR="00DA0378" w:rsidRPr="00DA0378" w:rsidRDefault="00DA0378" w:rsidP="7265947B">
      <w:pPr>
        <w:suppressAutoHyphens/>
        <w:autoSpaceDE w:val="0"/>
        <w:autoSpaceDN w:val="0"/>
        <w:adjustRightInd w:val="0"/>
        <w:spacing w:before="60" w:after="60" w:line="288" w:lineRule="auto"/>
        <w:ind w:left="1320" w:hanging="360"/>
        <w:textAlignment w:val="center"/>
        <w:rPr>
          <w:color w:val="000000"/>
          <w:sz w:val="21"/>
          <w:szCs w:val="21"/>
        </w:rPr>
      </w:pPr>
      <w:r w:rsidRPr="7265947B">
        <w:rPr>
          <w:color w:val="000000" w:themeColor="text1"/>
          <w:sz w:val="21"/>
          <w:szCs w:val="21"/>
        </w:rPr>
        <w:t>a)</w:t>
      </w:r>
      <w:r>
        <w:tab/>
      </w:r>
      <w:r w:rsidRPr="7265947B">
        <w:rPr>
          <w:color w:val="000000" w:themeColor="text1"/>
          <w:sz w:val="21"/>
          <w:szCs w:val="21"/>
        </w:rPr>
        <w:t>The member has a diagnosis of diabetes</w:t>
      </w:r>
      <w:r w:rsidR="00BC5DCA" w:rsidRPr="7265947B">
        <w:rPr>
          <w:color w:val="000000" w:themeColor="text1"/>
          <w:sz w:val="21"/>
          <w:szCs w:val="21"/>
        </w:rPr>
        <w:t xml:space="preserve"> mellitus</w:t>
      </w:r>
      <w:r w:rsidRPr="7265947B">
        <w:rPr>
          <w:color w:val="000000" w:themeColor="text1"/>
          <w:sz w:val="21"/>
          <w:szCs w:val="21"/>
        </w:rPr>
        <w:t>; AND</w:t>
      </w:r>
    </w:p>
    <w:p w14:paraId="01B15B9A" w14:textId="4B0B2A21" w:rsidR="00DA0378" w:rsidRPr="00DA0378" w:rsidRDefault="00DA0378" w:rsidP="7265947B">
      <w:pPr>
        <w:suppressAutoHyphens/>
        <w:autoSpaceDE w:val="0"/>
        <w:autoSpaceDN w:val="0"/>
        <w:adjustRightInd w:val="0"/>
        <w:spacing w:before="60" w:after="60" w:line="288" w:lineRule="auto"/>
        <w:ind w:left="1320" w:hanging="360"/>
        <w:textAlignment w:val="center"/>
        <w:rPr>
          <w:color w:val="000000"/>
          <w:sz w:val="21"/>
          <w:szCs w:val="21"/>
        </w:rPr>
      </w:pPr>
      <w:r w:rsidRPr="2C20B2CA">
        <w:rPr>
          <w:color w:val="000000" w:themeColor="text1"/>
          <w:sz w:val="21"/>
          <w:szCs w:val="21"/>
        </w:rPr>
        <w:t>b)</w:t>
      </w:r>
      <w:r>
        <w:tab/>
      </w:r>
      <w:r w:rsidRPr="2C20B2CA">
        <w:rPr>
          <w:color w:val="000000" w:themeColor="text1"/>
          <w:sz w:val="21"/>
          <w:szCs w:val="21"/>
        </w:rPr>
        <w:t>The member</w:t>
      </w:r>
      <w:r w:rsidR="00BC5DCA" w:rsidRPr="2C20B2CA">
        <w:rPr>
          <w:color w:val="000000" w:themeColor="text1"/>
          <w:sz w:val="21"/>
          <w:szCs w:val="21"/>
        </w:rPr>
        <w:t xml:space="preserve">’s treatment regimen includes </w:t>
      </w:r>
      <w:r w:rsidRPr="2C20B2CA">
        <w:rPr>
          <w:color w:val="000000" w:themeColor="text1"/>
          <w:sz w:val="21"/>
          <w:szCs w:val="21"/>
        </w:rPr>
        <w:t>insulin administration</w:t>
      </w:r>
      <w:r w:rsidR="00AA4695">
        <w:rPr>
          <w:color w:val="000000" w:themeColor="text1"/>
          <w:sz w:val="21"/>
          <w:szCs w:val="21"/>
        </w:rPr>
        <w:t>,</w:t>
      </w:r>
      <w:r w:rsidRPr="2C20B2CA">
        <w:rPr>
          <w:color w:val="000000" w:themeColor="text1"/>
          <w:sz w:val="21"/>
          <w:szCs w:val="21"/>
        </w:rPr>
        <w:t xml:space="preserve"> or an insulin pump is being used (</w:t>
      </w:r>
      <w:r w:rsidR="007A7345">
        <w:rPr>
          <w:color w:val="000000" w:themeColor="text1"/>
          <w:sz w:val="21"/>
          <w:szCs w:val="21"/>
        </w:rPr>
        <w:t>c</w:t>
      </w:r>
      <w:r w:rsidRPr="2C20B2CA">
        <w:rPr>
          <w:color w:val="000000" w:themeColor="text1"/>
          <w:sz w:val="21"/>
          <w:szCs w:val="21"/>
        </w:rPr>
        <w:t xml:space="preserve">laims in MassHealth’s systems or previous documented history showing need of a short acting insulin or concurrent claims for multiple types of insulin are sufficient). Exceptions: Providers may request an exception from the insulin use requirement for members not receiving insulin due to physical disability, visual impairment, </w:t>
      </w:r>
      <w:r w:rsidR="00BC5DCA" w:rsidRPr="2C20B2CA">
        <w:rPr>
          <w:color w:val="000000" w:themeColor="text1"/>
          <w:sz w:val="21"/>
          <w:szCs w:val="21"/>
        </w:rPr>
        <w:t xml:space="preserve">documented needle phobia, </w:t>
      </w:r>
      <w:r w:rsidRPr="2C20B2CA">
        <w:rPr>
          <w:color w:val="000000" w:themeColor="text1"/>
          <w:sz w:val="21"/>
          <w:szCs w:val="21"/>
        </w:rPr>
        <w:t>cognitive impairment, or age &lt;18; such instances may bypass this requirement. Other comorbidities should be reviewed on a case-by-case basis; AND</w:t>
      </w:r>
    </w:p>
    <w:p w14:paraId="0C13CEEF"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c)</w:t>
      </w:r>
      <w:r w:rsidRPr="00DA0378">
        <w:rPr>
          <w:rFonts w:cstheme="minorHAnsi"/>
          <w:color w:val="000000"/>
          <w:sz w:val="21"/>
          <w:szCs w:val="21"/>
        </w:rPr>
        <w:tab/>
        <w:t>The member meets at least one of the following:</w:t>
      </w:r>
    </w:p>
    <w:p w14:paraId="6EF64BD7" w14:textId="7CDAAF0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proofErr w:type="spellStart"/>
      <w:r w:rsidRPr="00DA0378">
        <w:rPr>
          <w:rFonts w:cstheme="minorHAnsi"/>
          <w:color w:val="000000"/>
          <w:sz w:val="21"/>
          <w:szCs w:val="21"/>
        </w:rPr>
        <w:t>i</w:t>
      </w:r>
      <w:proofErr w:type="spellEnd"/>
      <w:r w:rsidRPr="00DA0378">
        <w:rPr>
          <w:rFonts w:cstheme="minorHAnsi"/>
          <w:color w:val="000000"/>
          <w:sz w:val="21"/>
          <w:szCs w:val="21"/>
        </w:rPr>
        <w:t>.</w:t>
      </w:r>
      <w:r w:rsidRPr="00DA0378">
        <w:rPr>
          <w:rFonts w:cstheme="minorHAnsi"/>
          <w:color w:val="000000"/>
          <w:sz w:val="21"/>
          <w:szCs w:val="21"/>
        </w:rPr>
        <w:tab/>
      </w:r>
      <w:r w:rsidR="00483C45" w:rsidRPr="00483C45">
        <w:rPr>
          <w:rFonts w:cstheme="minorHAnsi"/>
          <w:color w:val="000000"/>
          <w:sz w:val="21"/>
          <w:szCs w:val="21"/>
        </w:rPr>
        <w:t xml:space="preserve">glycosylated hemoglobin </w:t>
      </w:r>
      <w:r w:rsidR="00483C45">
        <w:rPr>
          <w:rFonts w:cstheme="minorHAnsi"/>
          <w:color w:val="000000"/>
          <w:sz w:val="21"/>
          <w:szCs w:val="21"/>
        </w:rPr>
        <w:t>(</w:t>
      </w:r>
      <w:proofErr w:type="spellStart"/>
      <w:r w:rsidRPr="00DA0378">
        <w:rPr>
          <w:rFonts w:cstheme="minorHAnsi"/>
          <w:color w:val="000000"/>
          <w:sz w:val="21"/>
          <w:szCs w:val="21"/>
        </w:rPr>
        <w:t>HbA1c</w:t>
      </w:r>
      <w:proofErr w:type="spellEnd"/>
      <w:r w:rsidR="00483C45">
        <w:rPr>
          <w:rFonts w:cstheme="minorHAnsi"/>
          <w:color w:val="000000"/>
          <w:sz w:val="21"/>
          <w:szCs w:val="21"/>
        </w:rPr>
        <w:t>)</w:t>
      </w:r>
      <w:r w:rsidRPr="00DA0378">
        <w:rPr>
          <w:rFonts w:cstheme="minorHAnsi"/>
          <w:color w:val="000000"/>
          <w:sz w:val="21"/>
          <w:szCs w:val="21"/>
        </w:rPr>
        <w:t xml:space="preserve"> ≥7% or at a value that does not meet documented target treatment; OR</w:t>
      </w:r>
    </w:p>
    <w:p w14:paraId="79C85D98" w14:textId="065C1BD8"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ii.</w:t>
      </w:r>
      <w:r w:rsidRPr="00DA0378">
        <w:rPr>
          <w:rFonts w:cstheme="minorHAnsi"/>
          <w:color w:val="000000"/>
          <w:sz w:val="21"/>
          <w:szCs w:val="21"/>
        </w:rPr>
        <w:tab/>
      </w:r>
      <w:r w:rsidR="00194ABD">
        <w:rPr>
          <w:rFonts w:cstheme="minorHAnsi"/>
          <w:color w:val="000000"/>
          <w:sz w:val="21"/>
          <w:szCs w:val="21"/>
        </w:rPr>
        <w:t>f</w:t>
      </w:r>
      <w:r w:rsidR="00194ABD" w:rsidRPr="00DA0378">
        <w:rPr>
          <w:rFonts w:cstheme="minorHAnsi"/>
          <w:color w:val="000000"/>
          <w:sz w:val="21"/>
          <w:szCs w:val="21"/>
        </w:rPr>
        <w:t xml:space="preserve">requent </w:t>
      </w:r>
      <w:r w:rsidRPr="00DA0378">
        <w:rPr>
          <w:rFonts w:cstheme="minorHAnsi"/>
          <w:color w:val="000000"/>
          <w:sz w:val="21"/>
          <w:szCs w:val="21"/>
        </w:rPr>
        <w:t>hypoglycemia or nocturnal hypoglycemia; OR</w:t>
      </w:r>
    </w:p>
    <w:p w14:paraId="16BB93DF" w14:textId="16A4D782"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iii.</w:t>
      </w:r>
      <w:r w:rsidRPr="00DA0378">
        <w:rPr>
          <w:rFonts w:cstheme="minorHAnsi"/>
          <w:color w:val="000000"/>
          <w:sz w:val="21"/>
          <w:szCs w:val="21"/>
        </w:rPr>
        <w:tab/>
      </w:r>
      <w:r w:rsidR="00194ABD">
        <w:rPr>
          <w:rFonts w:cstheme="minorHAnsi"/>
          <w:color w:val="000000"/>
          <w:sz w:val="21"/>
          <w:szCs w:val="21"/>
        </w:rPr>
        <w:t>h</w:t>
      </w:r>
      <w:r w:rsidRPr="00DA0378">
        <w:rPr>
          <w:rFonts w:cstheme="minorHAnsi"/>
          <w:color w:val="000000"/>
          <w:sz w:val="21"/>
          <w:szCs w:val="21"/>
        </w:rPr>
        <w:t xml:space="preserve">istory of hypoglycemic unawareness; OR </w:t>
      </w:r>
    </w:p>
    <w:p w14:paraId="35248B08" w14:textId="4CEC45E1"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iv.</w:t>
      </w:r>
      <w:r w:rsidRPr="00DA0378">
        <w:rPr>
          <w:rFonts w:cstheme="minorHAnsi"/>
          <w:color w:val="000000"/>
          <w:sz w:val="21"/>
          <w:szCs w:val="21"/>
        </w:rPr>
        <w:tab/>
      </w:r>
      <w:r w:rsidR="00194ABD">
        <w:rPr>
          <w:rFonts w:cstheme="minorHAnsi"/>
          <w:color w:val="000000"/>
          <w:sz w:val="21"/>
          <w:szCs w:val="21"/>
        </w:rPr>
        <w:t>d</w:t>
      </w:r>
      <w:r w:rsidRPr="00DA0378">
        <w:rPr>
          <w:rFonts w:cstheme="minorHAnsi"/>
          <w:color w:val="000000"/>
          <w:sz w:val="21"/>
          <w:szCs w:val="21"/>
        </w:rPr>
        <w:t xml:space="preserve">awn phenomenon with fasting blood sugars frequently exceeding </w:t>
      </w:r>
      <w:proofErr w:type="spellStart"/>
      <w:r w:rsidRPr="00DA0378">
        <w:rPr>
          <w:rFonts w:cstheme="minorHAnsi"/>
          <w:color w:val="000000"/>
          <w:sz w:val="21"/>
          <w:szCs w:val="21"/>
        </w:rPr>
        <w:t>200mg</w:t>
      </w:r>
      <w:proofErr w:type="spellEnd"/>
      <w:r w:rsidRPr="00DA0378">
        <w:rPr>
          <w:rFonts w:cstheme="minorHAnsi"/>
          <w:color w:val="000000"/>
          <w:sz w:val="21"/>
          <w:szCs w:val="21"/>
        </w:rPr>
        <w:t xml:space="preserve">/dL; OR </w:t>
      </w:r>
    </w:p>
    <w:p w14:paraId="55F69483" w14:textId="1F41B6A9"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v.</w:t>
      </w:r>
      <w:r w:rsidRPr="00DA0378">
        <w:rPr>
          <w:rFonts w:cstheme="minorHAnsi"/>
          <w:color w:val="000000"/>
          <w:sz w:val="21"/>
          <w:szCs w:val="21"/>
        </w:rPr>
        <w:tab/>
      </w:r>
      <w:r w:rsidR="00194ABD">
        <w:rPr>
          <w:rFonts w:cstheme="minorHAnsi"/>
          <w:color w:val="000000"/>
          <w:sz w:val="21"/>
          <w:szCs w:val="21"/>
        </w:rPr>
        <w:t>h</w:t>
      </w:r>
      <w:r w:rsidRPr="00DA0378">
        <w:rPr>
          <w:rFonts w:cstheme="minorHAnsi"/>
          <w:color w:val="000000"/>
          <w:sz w:val="21"/>
          <w:szCs w:val="21"/>
        </w:rPr>
        <w:t xml:space="preserve">istory of emergency room visit or hospitalization related to ketoacidosis or hypoglycemia; OR </w:t>
      </w:r>
    </w:p>
    <w:p w14:paraId="6FAC40ED" w14:textId="370936C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vi.</w:t>
      </w:r>
      <w:r w:rsidRPr="00DA0378">
        <w:rPr>
          <w:rFonts w:cstheme="minorHAnsi"/>
          <w:color w:val="000000"/>
          <w:sz w:val="21"/>
          <w:szCs w:val="21"/>
        </w:rPr>
        <w:tab/>
      </w:r>
      <w:r w:rsidR="00194ABD">
        <w:rPr>
          <w:rFonts w:cstheme="minorHAnsi"/>
          <w:color w:val="000000"/>
          <w:sz w:val="21"/>
          <w:szCs w:val="21"/>
        </w:rPr>
        <w:t>u</w:t>
      </w:r>
      <w:r w:rsidRPr="00DA0378">
        <w:rPr>
          <w:rFonts w:cstheme="minorHAnsi"/>
          <w:color w:val="000000"/>
          <w:sz w:val="21"/>
          <w:szCs w:val="21"/>
        </w:rPr>
        <w:t>se of a compatible insulin pump to achieve glycemic control; OR</w:t>
      </w:r>
    </w:p>
    <w:p w14:paraId="3E43AE0C" w14:textId="778751C6"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vii.</w:t>
      </w:r>
      <w:r w:rsidRPr="00DA0378">
        <w:rPr>
          <w:rFonts w:cstheme="minorHAnsi"/>
          <w:color w:val="000000"/>
          <w:sz w:val="21"/>
          <w:szCs w:val="21"/>
        </w:rPr>
        <w:tab/>
      </w:r>
      <w:r w:rsidR="00194ABD">
        <w:rPr>
          <w:rFonts w:cstheme="minorHAnsi"/>
          <w:color w:val="000000"/>
          <w:sz w:val="21"/>
          <w:szCs w:val="21"/>
        </w:rPr>
        <w:t>p</w:t>
      </w:r>
      <w:r w:rsidRPr="00DA0378">
        <w:rPr>
          <w:rFonts w:cstheme="minorHAnsi"/>
          <w:color w:val="000000"/>
          <w:sz w:val="21"/>
          <w:szCs w:val="21"/>
        </w:rPr>
        <w:t>regnancy.</w:t>
      </w:r>
    </w:p>
    <w:p w14:paraId="4578D634"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OR</w:t>
      </w:r>
    </w:p>
    <w:p w14:paraId="47BE6C8C" w14:textId="3B25C5BB"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d)</w:t>
      </w:r>
      <w:r w:rsidRPr="00DA0378">
        <w:rPr>
          <w:rFonts w:cstheme="minorHAnsi"/>
          <w:color w:val="000000"/>
          <w:sz w:val="21"/>
          <w:szCs w:val="21"/>
        </w:rPr>
        <w:tab/>
        <w:t>The member has another non-diabetes-based condition causing disorder of glucose metabolism or improper endogenous insulin secretion resulting in frequent hypoglycemia or nocturnal hypoglycemia or hypoglycemic unawareness. Such disorders may include</w:t>
      </w:r>
      <w:r w:rsidR="004700A2">
        <w:rPr>
          <w:rFonts w:cstheme="minorHAnsi"/>
          <w:color w:val="000000"/>
          <w:sz w:val="21"/>
          <w:szCs w:val="21"/>
        </w:rPr>
        <w:t xml:space="preserve">, but are not limited to, </w:t>
      </w:r>
      <w:r w:rsidRPr="00DA0378">
        <w:rPr>
          <w:rFonts w:cstheme="minorHAnsi"/>
          <w:color w:val="000000"/>
          <w:sz w:val="21"/>
          <w:szCs w:val="21"/>
        </w:rPr>
        <w:t xml:space="preserve">seizure disorder, insulinoma, genetic conditions causing hyperinsulinemia, effects from post-surgical conditions including post esophagectomy, post fundoplication, post gastrectomy, post gastric bypass, </w:t>
      </w:r>
      <w:r w:rsidR="00DB7008">
        <w:rPr>
          <w:rFonts w:cstheme="minorHAnsi"/>
          <w:color w:val="000000"/>
          <w:sz w:val="21"/>
          <w:szCs w:val="21"/>
        </w:rPr>
        <w:t xml:space="preserve">and </w:t>
      </w:r>
      <w:r w:rsidRPr="00DA0378">
        <w:rPr>
          <w:rFonts w:cstheme="minorHAnsi"/>
          <w:color w:val="000000"/>
          <w:sz w:val="21"/>
          <w:szCs w:val="21"/>
        </w:rPr>
        <w:t>post sleeve gastrectomy. Such cases should speak to hypoglycemic risk and events and will be reviewed on a case-by-case basis.</w:t>
      </w:r>
    </w:p>
    <w:p w14:paraId="6F5700A9" w14:textId="1D58FED6"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2.</w:t>
      </w:r>
      <w:r w:rsidRPr="00DA0378">
        <w:rPr>
          <w:rFonts w:cstheme="minorHAnsi"/>
          <w:color w:val="000000"/>
          <w:sz w:val="21"/>
          <w:szCs w:val="21"/>
        </w:rPr>
        <w:tab/>
        <w:t>CONTINUED USE</w:t>
      </w:r>
      <w:r w:rsidR="00B60A66">
        <w:rPr>
          <w:rFonts w:cstheme="minorHAnsi"/>
          <w:color w:val="000000"/>
          <w:sz w:val="21"/>
          <w:szCs w:val="21"/>
        </w:rPr>
        <w:t>—</w:t>
      </w:r>
      <w:r w:rsidRPr="00DA0378">
        <w:rPr>
          <w:rFonts w:cstheme="minorHAnsi"/>
          <w:color w:val="000000"/>
          <w:sz w:val="21"/>
          <w:szCs w:val="21"/>
        </w:rPr>
        <w:t xml:space="preserve">Continuation of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use is considered medically necessary in each of the following circumstances:</w:t>
      </w:r>
    </w:p>
    <w:p w14:paraId="77C1505F"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lastRenderedPageBreak/>
        <w:t>a)</w:t>
      </w:r>
      <w:r w:rsidRPr="00DA0378">
        <w:rPr>
          <w:rFonts w:cstheme="minorHAnsi"/>
          <w:color w:val="000000"/>
          <w:sz w:val="21"/>
          <w:szCs w:val="21"/>
        </w:rPr>
        <w:tab/>
        <w:t>There is objective documented evidence of improvement in control of diabetes (specific to baseline status of disease for individual members); OR</w:t>
      </w:r>
    </w:p>
    <w:p w14:paraId="4E354BD0"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b)</w:t>
      </w:r>
      <w:r w:rsidRPr="00DA0378">
        <w:rPr>
          <w:rFonts w:cstheme="minorHAnsi"/>
          <w:color w:val="000000"/>
          <w:sz w:val="21"/>
          <w:szCs w:val="21"/>
        </w:rPr>
        <w:tab/>
        <w:t xml:space="preserve">There is documented evidence of compliance with a current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treatment plan based on log data of the device; OR</w:t>
      </w:r>
    </w:p>
    <w:p w14:paraId="6DAA5BC7" w14:textId="7A350C6A"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c)</w:t>
      </w:r>
      <w:r w:rsidRPr="00DA0378">
        <w:rPr>
          <w:rFonts w:cstheme="minorHAnsi"/>
          <w:color w:val="000000"/>
          <w:sz w:val="21"/>
          <w:szCs w:val="21"/>
        </w:rPr>
        <w:tab/>
      </w:r>
      <w:r w:rsidR="00B60A66">
        <w:rPr>
          <w:rFonts w:cstheme="minorHAnsi"/>
          <w:color w:val="000000"/>
          <w:sz w:val="21"/>
          <w:szCs w:val="21"/>
        </w:rPr>
        <w:t>A</w:t>
      </w:r>
      <w:r w:rsidRPr="00DA0378">
        <w:rPr>
          <w:rFonts w:cstheme="minorHAnsi"/>
          <w:color w:val="000000"/>
          <w:sz w:val="21"/>
          <w:szCs w:val="21"/>
        </w:rPr>
        <w:t xml:space="preserve"> member is new to MassHealth from another insurer and is stable on </w:t>
      </w:r>
      <w:proofErr w:type="spellStart"/>
      <w:r w:rsidRPr="00DA0378">
        <w:rPr>
          <w:rFonts w:cstheme="minorHAnsi"/>
          <w:color w:val="000000"/>
          <w:sz w:val="21"/>
          <w:szCs w:val="21"/>
        </w:rPr>
        <w:t>CGM</w:t>
      </w:r>
      <w:proofErr w:type="spellEnd"/>
      <w:r w:rsidRPr="00DA0378">
        <w:rPr>
          <w:rFonts w:cstheme="minorHAnsi"/>
          <w:color w:val="000000"/>
          <w:sz w:val="21"/>
          <w:szCs w:val="21"/>
        </w:rPr>
        <w:t>.</w:t>
      </w:r>
    </w:p>
    <w:p w14:paraId="3B8FCCBE" w14:textId="602A32F2" w:rsidR="00DA0378" w:rsidRPr="00AB3A50" w:rsidRDefault="00DA0378" w:rsidP="00B80BDA">
      <w:pPr>
        <w:pStyle w:val="Heading4"/>
        <w:rPr>
          <w:sz w:val="21"/>
          <w:szCs w:val="21"/>
        </w:rPr>
      </w:pPr>
      <w:r w:rsidRPr="00AB3A50">
        <w:rPr>
          <w:sz w:val="21"/>
          <w:szCs w:val="21"/>
        </w:rPr>
        <w:t>B.</w:t>
      </w:r>
      <w:r w:rsidRPr="00AB3A50">
        <w:rPr>
          <w:sz w:val="21"/>
          <w:szCs w:val="21"/>
        </w:rPr>
        <w:tab/>
      </w:r>
      <w:r w:rsidRPr="00EA4D36">
        <w:t>Insulin Pumps</w:t>
      </w:r>
    </w:p>
    <w:p w14:paraId="16AE5AC9" w14:textId="4DF1523E" w:rsidR="00DA0378" w:rsidRPr="00DA0378" w:rsidRDefault="00DA0378" w:rsidP="001B7E49">
      <w:pPr>
        <w:suppressAutoHyphens/>
        <w:autoSpaceDE w:val="0"/>
        <w:autoSpaceDN w:val="0"/>
        <w:adjustRightInd w:val="0"/>
        <w:spacing w:before="60" w:after="60" w:line="288" w:lineRule="auto"/>
        <w:ind w:left="600" w:firstLine="4"/>
        <w:textAlignment w:val="center"/>
        <w:rPr>
          <w:rFonts w:cstheme="minorHAnsi"/>
          <w:color w:val="000000"/>
          <w:sz w:val="21"/>
          <w:szCs w:val="21"/>
        </w:rPr>
      </w:pPr>
      <w:r w:rsidRPr="00DA0378">
        <w:rPr>
          <w:rFonts w:cstheme="minorHAnsi"/>
          <w:color w:val="000000"/>
          <w:sz w:val="21"/>
          <w:szCs w:val="21"/>
        </w:rPr>
        <w:t>MassHealth bases its determination of medical necessity for insulin pumps on clinical data including, but not limited to, indicators that would affect the relative risks and benefits of using the device. There are criteria for initial use and for continued use of an insulin pump. The criteria are as follows:</w:t>
      </w:r>
    </w:p>
    <w:p w14:paraId="39DD889E" w14:textId="3DECF6AE"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 xml:space="preserve">1. </w:t>
      </w:r>
      <w:r w:rsidRPr="00DA0378">
        <w:rPr>
          <w:rFonts w:cstheme="minorHAnsi"/>
          <w:color w:val="000000"/>
          <w:sz w:val="21"/>
          <w:szCs w:val="21"/>
        </w:rPr>
        <w:tab/>
        <w:t>INITIAL</w:t>
      </w:r>
      <w:r w:rsidR="00194ABD">
        <w:rPr>
          <w:rFonts w:cstheme="minorHAnsi"/>
          <w:color w:val="000000"/>
          <w:sz w:val="21"/>
          <w:szCs w:val="21"/>
        </w:rPr>
        <w:t>—</w:t>
      </w:r>
      <w:r w:rsidRPr="00DA0378">
        <w:rPr>
          <w:rFonts w:cstheme="minorHAnsi"/>
          <w:color w:val="000000"/>
          <w:sz w:val="21"/>
          <w:szCs w:val="21"/>
        </w:rPr>
        <w:t>Initial use criteria include, but are not limited to, the following, as documented in the clinical record:</w:t>
      </w:r>
    </w:p>
    <w:p w14:paraId="663080F9" w14:textId="77777777" w:rsidR="00F32486"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a)</w:t>
      </w:r>
      <w:r w:rsidRPr="00DA0378">
        <w:rPr>
          <w:rFonts w:cstheme="minorHAnsi"/>
          <w:color w:val="000000"/>
          <w:sz w:val="21"/>
          <w:szCs w:val="21"/>
        </w:rPr>
        <w:tab/>
        <w:t>The member has</w:t>
      </w:r>
      <w:r w:rsidR="00F32486">
        <w:rPr>
          <w:rFonts w:cstheme="minorHAnsi"/>
          <w:color w:val="000000"/>
          <w:sz w:val="21"/>
          <w:szCs w:val="21"/>
        </w:rPr>
        <w:t>:</w:t>
      </w:r>
    </w:p>
    <w:p w14:paraId="02CEE6B3" w14:textId="59C146C1" w:rsidR="00DA0378" w:rsidRPr="00AB3A50" w:rsidRDefault="00F7578E" w:rsidP="00AB3A50">
      <w:pPr>
        <w:suppressAutoHyphens/>
        <w:autoSpaceDE w:val="0"/>
        <w:autoSpaceDN w:val="0"/>
        <w:adjustRightInd w:val="0"/>
        <w:spacing w:before="60" w:after="60" w:line="288" w:lineRule="auto"/>
        <w:ind w:left="1685" w:hanging="360"/>
        <w:textAlignment w:val="center"/>
        <w:rPr>
          <w:color w:val="000000" w:themeColor="text1"/>
          <w:sz w:val="21"/>
          <w:szCs w:val="21"/>
        </w:rPr>
      </w:pPr>
      <w:proofErr w:type="spellStart"/>
      <w:r w:rsidRPr="00AB3A50">
        <w:rPr>
          <w:color w:val="000000" w:themeColor="text1"/>
          <w:sz w:val="21"/>
          <w:szCs w:val="21"/>
        </w:rPr>
        <w:t>i</w:t>
      </w:r>
      <w:proofErr w:type="spellEnd"/>
      <w:r w:rsidRPr="00AB3A50">
        <w:rPr>
          <w:color w:val="000000" w:themeColor="text1"/>
          <w:sz w:val="21"/>
          <w:szCs w:val="21"/>
        </w:rPr>
        <w:t>.</w:t>
      </w:r>
      <w:r w:rsidR="00EF089A" w:rsidRPr="00AB3A50">
        <w:rPr>
          <w:color w:val="000000" w:themeColor="text1"/>
          <w:sz w:val="21"/>
          <w:szCs w:val="21"/>
        </w:rPr>
        <w:tab/>
      </w:r>
      <w:r w:rsidR="00DA0378" w:rsidRPr="00AB3A50">
        <w:rPr>
          <w:color w:val="000000" w:themeColor="text1"/>
          <w:sz w:val="21"/>
          <w:szCs w:val="21"/>
        </w:rPr>
        <w:t xml:space="preserve">a primary diagnosis of diabetes mellitus; </w:t>
      </w:r>
    </w:p>
    <w:p w14:paraId="56751793" w14:textId="66C451EC" w:rsidR="00DA0378" w:rsidRPr="00DA0378" w:rsidRDefault="00DA0378" w:rsidP="00AB3A50">
      <w:pPr>
        <w:suppressAutoHyphens/>
        <w:autoSpaceDE w:val="0"/>
        <w:autoSpaceDN w:val="0"/>
        <w:adjustRightInd w:val="0"/>
        <w:spacing w:before="60" w:after="60" w:line="288" w:lineRule="auto"/>
        <w:ind w:left="1685" w:hanging="360"/>
        <w:textAlignment w:val="center"/>
        <w:rPr>
          <w:rFonts w:cstheme="minorHAnsi"/>
          <w:color w:val="000000"/>
          <w:sz w:val="21"/>
          <w:szCs w:val="21"/>
        </w:rPr>
      </w:pPr>
      <w:r w:rsidRPr="00DA0378">
        <w:rPr>
          <w:rFonts w:cstheme="minorHAnsi"/>
          <w:color w:val="000000"/>
          <w:sz w:val="21"/>
          <w:szCs w:val="21"/>
        </w:rPr>
        <w:t>OR</w:t>
      </w:r>
    </w:p>
    <w:p w14:paraId="6516453C" w14:textId="1487B596" w:rsidR="00DA0378" w:rsidRPr="00DA0378" w:rsidRDefault="00DE6564" w:rsidP="00AB3A50">
      <w:pPr>
        <w:suppressAutoHyphens/>
        <w:autoSpaceDE w:val="0"/>
        <w:autoSpaceDN w:val="0"/>
        <w:adjustRightInd w:val="0"/>
        <w:spacing w:before="60" w:after="60" w:line="288" w:lineRule="auto"/>
        <w:ind w:left="1685" w:hanging="360"/>
        <w:textAlignment w:val="center"/>
        <w:rPr>
          <w:color w:val="000000"/>
          <w:sz w:val="21"/>
          <w:szCs w:val="21"/>
        </w:rPr>
      </w:pPr>
      <w:r w:rsidRPr="7265947B">
        <w:rPr>
          <w:color w:val="000000" w:themeColor="text1"/>
          <w:sz w:val="21"/>
          <w:szCs w:val="21"/>
        </w:rPr>
        <w:t>ii.</w:t>
      </w:r>
      <w:r w:rsidR="00EF089A">
        <w:rPr>
          <w:color w:val="000000" w:themeColor="text1"/>
          <w:sz w:val="21"/>
          <w:szCs w:val="21"/>
        </w:rPr>
        <w:tab/>
      </w:r>
      <w:r w:rsidR="00DA0378" w:rsidRPr="7265947B">
        <w:rPr>
          <w:color w:val="000000" w:themeColor="text1"/>
          <w:sz w:val="21"/>
          <w:szCs w:val="21"/>
        </w:rPr>
        <w:t>another non-</w:t>
      </w:r>
      <w:r w:rsidR="20280EF9" w:rsidRPr="7265947B">
        <w:rPr>
          <w:color w:val="000000" w:themeColor="text1"/>
          <w:sz w:val="21"/>
          <w:szCs w:val="21"/>
        </w:rPr>
        <w:t>diabetes-based condition</w:t>
      </w:r>
      <w:r w:rsidR="00DA0378" w:rsidRPr="7265947B">
        <w:rPr>
          <w:color w:val="000000" w:themeColor="text1"/>
          <w:sz w:val="21"/>
          <w:szCs w:val="21"/>
        </w:rPr>
        <w:t xml:space="preserve"> causing </w:t>
      </w:r>
      <w:proofErr w:type="spellStart"/>
      <w:r w:rsidR="00DA0378" w:rsidRPr="7265947B">
        <w:rPr>
          <w:color w:val="000000" w:themeColor="text1"/>
          <w:sz w:val="21"/>
          <w:szCs w:val="21"/>
        </w:rPr>
        <w:t>insulinopenia</w:t>
      </w:r>
      <w:proofErr w:type="spellEnd"/>
      <w:r w:rsidR="00DA0378" w:rsidRPr="7265947B">
        <w:rPr>
          <w:color w:val="000000" w:themeColor="text1"/>
          <w:sz w:val="21"/>
          <w:szCs w:val="21"/>
        </w:rPr>
        <w:t xml:space="preserve">. Such disorders may include post pancreatectomy and others. Such cases should speak to </w:t>
      </w:r>
      <w:proofErr w:type="spellStart"/>
      <w:r w:rsidR="00DA0378" w:rsidRPr="7265947B">
        <w:rPr>
          <w:color w:val="000000" w:themeColor="text1"/>
          <w:sz w:val="21"/>
          <w:szCs w:val="21"/>
        </w:rPr>
        <w:t>insulinopenic</w:t>
      </w:r>
      <w:proofErr w:type="spellEnd"/>
      <w:r w:rsidR="00DA0378" w:rsidRPr="7265947B">
        <w:rPr>
          <w:color w:val="000000" w:themeColor="text1"/>
          <w:sz w:val="21"/>
          <w:szCs w:val="21"/>
        </w:rPr>
        <w:t xml:space="preserve"> risk</w:t>
      </w:r>
      <w:r w:rsidR="00127166">
        <w:rPr>
          <w:color w:val="000000" w:themeColor="text1"/>
          <w:sz w:val="21"/>
          <w:szCs w:val="21"/>
        </w:rPr>
        <w:t>,</w:t>
      </w:r>
      <w:r w:rsidR="00DA0378" w:rsidRPr="7265947B">
        <w:rPr>
          <w:color w:val="000000" w:themeColor="text1"/>
          <w:sz w:val="21"/>
          <w:szCs w:val="21"/>
        </w:rPr>
        <w:t xml:space="preserve"> </w:t>
      </w:r>
      <w:r w:rsidR="542FDC68" w:rsidRPr="7265947B">
        <w:rPr>
          <w:color w:val="000000" w:themeColor="text1"/>
          <w:sz w:val="21"/>
          <w:szCs w:val="21"/>
        </w:rPr>
        <w:t xml:space="preserve">and events </w:t>
      </w:r>
      <w:r w:rsidR="00DA0378" w:rsidRPr="7265947B">
        <w:rPr>
          <w:color w:val="000000" w:themeColor="text1"/>
          <w:sz w:val="21"/>
          <w:szCs w:val="21"/>
        </w:rPr>
        <w:t>will be reviewed on a case-by-case basis.</w:t>
      </w:r>
    </w:p>
    <w:p w14:paraId="226AEFAE"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AND</w:t>
      </w:r>
    </w:p>
    <w:p w14:paraId="7B79BABA" w14:textId="09F2307A"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b)</w:t>
      </w:r>
      <w:r w:rsidRPr="00DA0378">
        <w:rPr>
          <w:rFonts w:cstheme="minorHAnsi"/>
          <w:color w:val="000000"/>
          <w:sz w:val="21"/>
          <w:szCs w:val="21"/>
        </w:rPr>
        <w:tab/>
        <w:t>The member has been performing multiple daily injections (MDIs) consisting of at least three injections per day. Exceptions: Providers may request an exception to the compliance requirement for individuals with comorbidities that inhibit the ability to self-administer</w:t>
      </w:r>
      <w:r w:rsidR="00EF089A" w:rsidRPr="00DA0378">
        <w:rPr>
          <w:rFonts w:cstheme="minorHAnsi"/>
          <w:color w:val="000000"/>
          <w:sz w:val="21"/>
          <w:szCs w:val="21"/>
        </w:rPr>
        <w:t>.</w:t>
      </w:r>
      <w:r w:rsidR="00EF089A">
        <w:rPr>
          <w:rFonts w:cstheme="minorHAnsi"/>
          <w:color w:val="000000"/>
          <w:sz w:val="21"/>
          <w:szCs w:val="21"/>
        </w:rPr>
        <w:t xml:space="preserve"> </w:t>
      </w:r>
      <w:r w:rsidRPr="00DA0378">
        <w:rPr>
          <w:rFonts w:cstheme="minorHAnsi"/>
          <w:color w:val="000000"/>
          <w:sz w:val="21"/>
          <w:szCs w:val="21"/>
        </w:rPr>
        <w:t>Such requests will be reviewed on a case-by-case basis; AND</w:t>
      </w:r>
    </w:p>
    <w:p w14:paraId="07FD6D95"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c)</w:t>
      </w:r>
      <w:r w:rsidRPr="00DA0378">
        <w:rPr>
          <w:rFonts w:cstheme="minorHAnsi"/>
          <w:color w:val="000000"/>
          <w:sz w:val="21"/>
          <w:szCs w:val="21"/>
        </w:rPr>
        <w:tab/>
        <w:t xml:space="preserve">The member’s current treatment plan involves testing blood glucose at least four times per day; AND </w:t>
      </w:r>
    </w:p>
    <w:p w14:paraId="206191EC" w14:textId="2B3A6880"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d)</w:t>
      </w:r>
      <w:r w:rsidRPr="00DA0378">
        <w:rPr>
          <w:rFonts w:cstheme="minorHAnsi"/>
          <w:color w:val="000000"/>
          <w:sz w:val="21"/>
          <w:szCs w:val="21"/>
        </w:rPr>
        <w:tab/>
        <w:t xml:space="preserve">Indications of </w:t>
      </w:r>
      <w:r w:rsidRPr="00DA0378">
        <w:rPr>
          <w:rFonts w:cstheme="minorHAnsi"/>
          <w:b/>
          <w:bCs/>
          <w:color w:val="000000"/>
          <w:sz w:val="21"/>
          <w:szCs w:val="21"/>
        </w:rPr>
        <w:t>at least one</w:t>
      </w:r>
      <w:r w:rsidRPr="00DA0378">
        <w:rPr>
          <w:rFonts w:cstheme="minorHAnsi"/>
          <w:color w:val="000000"/>
          <w:sz w:val="21"/>
          <w:szCs w:val="21"/>
        </w:rPr>
        <w:t xml:space="preserve"> of the following factors (</w:t>
      </w:r>
      <w:proofErr w:type="spellStart"/>
      <w:r w:rsidRPr="00DA0378">
        <w:rPr>
          <w:rFonts w:cstheme="minorHAnsi"/>
          <w:color w:val="000000"/>
          <w:sz w:val="21"/>
          <w:szCs w:val="21"/>
        </w:rPr>
        <w:t>i</w:t>
      </w:r>
      <w:proofErr w:type="spellEnd"/>
      <w:r w:rsidR="00F10076">
        <w:rPr>
          <w:rFonts w:cstheme="minorHAnsi"/>
          <w:color w:val="000000"/>
          <w:sz w:val="21"/>
          <w:szCs w:val="21"/>
        </w:rPr>
        <w:t>–</w:t>
      </w:r>
      <w:r w:rsidR="00323790">
        <w:rPr>
          <w:rFonts w:cstheme="minorHAnsi"/>
          <w:color w:val="000000"/>
          <w:sz w:val="21"/>
          <w:szCs w:val="21"/>
        </w:rPr>
        <w:t>v</w:t>
      </w:r>
      <w:r w:rsidRPr="00DA0378">
        <w:rPr>
          <w:rFonts w:cstheme="minorHAnsi"/>
          <w:color w:val="000000"/>
          <w:sz w:val="21"/>
          <w:szCs w:val="21"/>
        </w:rPr>
        <w:t xml:space="preserve">) are present. </w:t>
      </w:r>
    </w:p>
    <w:p w14:paraId="5A27C554"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proofErr w:type="spellStart"/>
      <w:r w:rsidRPr="00DA0378">
        <w:rPr>
          <w:rFonts w:cstheme="minorHAnsi"/>
          <w:color w:val="000000"/>
          <w:sz w:val="21"/>
          <w:szCs w:val="21"/>
        </w:rPr>
        <w:t>i</w:t>
      </w:r>
      <w:proofErr w:type="spellEnd"/>
      <w:r w:rsidRPr="00DA0378">
        <w:rPr>
          <w:rFonts w:cstheme="minorHAnsi"/>
          <w:color w:val="000000"/>
          <w:sz w:val="21"/>
          <w:szCs w:val="21"/>
        </w:rPr>
        <w:t>.</w:t>
      </w:r>
      <w:r w:rsidRPr="00DA0378">
        <w:rPr>
          <w:rFonts w:cstheme="minorHAnsi"/>
          <w:color w:val="000000"/>
          <w:sz w:val="21"/>
          <w:szCs w:val="21"/>
        </w:rPr>
        <w:tab/>
        <w:t>The member has a history of recurring hypoglycemia; OR</w:t>
      </w:r>
    </w:p>
    <w:p w14:paraId="42CA0301"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ii.</w:t>
      </w:r>
      <w:r w:rsidRPr="00DA0378">
        <w:rPr>
          <w:rFonts w:cstheme="minorHAnsi"/>
          <w:color w:val="000000"/>
          <w:sz w:val="21"/>
          <w:szCs w:val="21"/>
        </w:rPr>
        <w:tab/>
        <w:t>The member has experienced fluctuations of more than 100 mg/dL in blood glucose before mealtime; OR</w:t>
      </w:r>
    </w:p>
    <w:p w14:paraId="5AE20EE2"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iii.</w:t>
      </w:r>
      <w:r w:rsidRPr="00DA0378">
        <w:rPr>
          <w:rFonts w:cstheme="minorHAnsi"/>
          <w:color w:val="000000"/>
          <w:sz w:val="21"/>
          <w:szCs w:val="21"/>
        </w:rPr>
        <w:tab/>
        <w:t>The member has experienced dawn phenomenon with fasting blood sugars exceeding 200 mg/dL; OR</w:t>
      </w:r>
    </w:p>
    <w:p w14:paraId="2D61E5EB" w14:textId="48433FE1"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iv.</w:t>
      </w:r>
      <w:r w:rsidRPr="00DA0378">
        <w:rPr>
          <w:rFonts w:cstheme="minorHAnsi"/>
          <w:color w:val="000000"/>
          <w:sz w:val="21"/>
          <w:szCs w:val="21"/>
        </w:rPr>
        <w:tab/>
        <w:t>The most recent lab values indicate a</w:t>
      </w:r>
      <w:r w:rsidR="00483C45">
        <w:rPr>
          <w:rFonts w:cstheme="minorHAnsi"/>
          <w:color w:val="000000"/>
          <w:sz w:val="21"/>
          <w:szCs w:val="21"/>
        </w:rPr>
        <w:t>n</w:t>
      </w:r>
      <w:r w:rsidRPr="00DA0378">
        <w:rPr>
          <w:rFonts w:cstheme="minorHAnsi"/>
          <w:color w:val="000000"/>
          <w:sz w:val="21"/>
          <w:szCs w:val="21"/>
        </w:rPr>
        <w:t xml:space="preserve"> </w:t>
      </w:r>
      <w:proofErr w:type="spellStart"/>
      <w:r w:rsidR="00483C45" w:rsidRPr="00483C45">
        <w:rPr>
          <w:rFonts w:cstheme="minorHAnsi"/>
          <w:color w:val="000000"/>
          <w:sz w:val="21"/>
          <w:szCs w:val="21"/>
        </w:rPr>
        <w:t>HbA1c</w:t>
      </w:r>
      <w:r w:rsidRPr="00DA0378">
        <w:rPr>
          <w:rFonts w:cstheme="minorHAnsi"/>
          <w:color w:val="000000"/>
          <w:sz w:val="21"/>
          <w:szCs w:val="21"/>
        </w:rPr>
        <w:t>level</w:t>
      </w:r>
      <w:proofErr w:type="spellEnd"/>
      <w:r w:rsidRPr="00DA0378">
        <w:rPr>
          <w:rFonts w:cstheme="minorHAnsi"/>
          <w:color w:val="000000"/>
          <w:sz w:val="21"/>
          <w:szCs w:val="21"/>
        </w:rPr>
        <w:t xml:space="preserve"> &gt; 7.0 percent; OR</w:t>
      </w:r>
    </w:p>
    <w:p w14:paraId="1FBE3ED7"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v.</w:t>
      </w:r>
      <w:r w:rsidRPr="00DA0378">
        <w:rPr>
          <w:rFonts w:cstheme="minorHAnsi"/>
          <w:color w:val="000000"/>
          <w:sz w:val="21"/>
          <w:szCs w:val="21"/>
        </w:rPr>
        <w:tab/>
        <w:t>The member has a history of severe glycemic excursions; AND</w:t>
      </w:r>
    </w:p>
    <w:p w14:paraId="607D891B"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e)</w:t>
      </w:r>
      <w:r w:rsidRPr="00DA0378">
        <w:rPr>
          <w:rFonts w:cstheme="minorHAnsi"/>
          <w:color w:val="000000"/>
          <w:sz w:val="21"/>
          <w:szCs w:val="21"/>
        </w:rPr>
        <w:tab/>
        <w:t>Prior treatments with MDIs were tried and were not effective in managing blood sugars and/or medical symptoms.</w:t>
      </w:r>
    </w:p>
    <w:p w14:paraId="4B01CA31" w14:textId="48D49893"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2.</w:t>
      </w:r>
      <w:r w:rsidRPr="00DA0378">
        <w:rPr>
          <w:rFonts w:cstheme="minorHAnsi"/>
          <w:color w:val="000000"/>
          <w:sz w:val="21"/>
          <w:szCs w:val="21"/>
        </w:rPr>
        <w:tab/>
        <w:t>CONTINUED USE—At the time of the PA request for continued use of the insulin pump:</w:t>
      </w:r>
    </w:p>
    <w:p w14:paraId="1EB69D88"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a)</w:t>
      </w:r>
      <w:r w:rsidRPr="00DA0378">
        <w:rPr>
          <w:rFonts w:cstheme="minorHAnsi"/>
          <w:color w:val="000000"/>
          <w:sz w:val="21"/>
          <w:szCs w:val="21"/>
        </w:rPr>
        <w:tab/>
        <w:t xml:space="preserve">The </w:t>
      </w:r>
      <w:proofErr w:type="spellStart"/>
      <w:r w:rsidRPr="00DA0378">
        <w:rPr>
          <w:rFonts w:cstheme="minorHAnsi"/>
          <w:color w:val="000000"/>
          <w:sz w:val="21"/>
          <w:szCs w:val="21"/>
        </w:rPr>
        <w:t>HbA1c</w:t>
      </w:r>
      <w:proofErr w:type="spellEnd"/>
      <w:r w:rsidRPr="00DA0378">
        <w:rPr>
          <w:rFonts w:cstheme="minorHAnsi"/>
          <w:color w:val="000000"/>
          <w:sz w:val="21"/>
          <w:szCs w:val="21"/>
        </w:rPr>
        <w:t xml:space="preserve"> level has stabilized or improved (compared to baseline); AND </w:t>
      </w:r>
    </w:p>
    <w:p w14:paraId="5EC63B2D"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lastRenderedPageBreak/>
        <w:t>b)</w:t>
      </w:r>
      <w:r w:rsidRPr="00DA0378">
        <w:rPr>
          <w:rFonts w:cstheme="minorHAnsi"/>
          <w:color w:val="000000"/>
          <w:sz w:val="21"/>
          <w:szCs w:val="21"/>
        </w:rPr>
        <w:tab/>
        <w:t xml:space="preserve">There is clinical evidence demonstrating stabilization or improvement of the initial indication for the device, including, but not limited to, the following: </w:t>
      </w:r>
    </w:p>
    <w:p w14:paraId="75D92634"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proofErr w:type="spellStart"/>
      <w:r w:rsidRPr="00DA0378">
        <w:rPr>
          <w:rFonts w:cstheme="minorHAnsi"/>
          <w:color w:val="000000"/>
          <w:sz w:val="21"/>
          <w:szCs w:val="21"/>
        </w:rPr>
        <w:t>i</w:t>
      </w:r>
      <w:proofErr w:type="spellEnd"/>
      <w:r w:rsidRPr="00DA0378">
        <w:rPr>
          <w:rFonts w:cstheme="minorHAnsi"/>
          <w:color w:val="000000"/>
          <w:sz w:val="21"/>
          <w:szCs w:val="21"/>
        </w:rPr>
        <w:t>.</w:t>
      </w:r>
      <w:r w:rsidRPr="00DA0378">
        <w:rPr>
          <w:rFonts w:cstheme="minorHAnsi"/>
          <w:color w:val="000000"/>
          <w:sz w:val="21"/>
          <w:szCs w:val="21"/>
        </w:rPr>
        <w:tab/>
        <w:t>The member’s recent history of recurring hypoglycemia has stabilized or improved; OR</w:t>
      </w:r>
    </w:p>
    <w:p w14:paraId="269B9892"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ii.</w:t>
      </w:r>
      <w:r w:rsidRPr="00DA0378">
        <w:rPr>
          <w:rFonts w:cstheme="minorHAnsi"/>
          <w:color w:val="000000"/>
          <w:sz w:val="21"/>
          <w:szCs w:val="21"/>
        </w:rPr>
        <w:tab/>
        <w:t>The member’s fluctuations of more than 100 mg/dL in blood glucose before mealtime have stabilized or improved; OR</w:t>
      </w:r>
    </w:p>
    <w:p w14:paraId="3A38E04C"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iii.</w:t>
      </w:r>
      <w:r w:rsidRPr="00DA0378">
        <w:rPr>
          <w:rFonts w:cstheme="minorHAnsi"/>
          <w:color w:val="000000"/>
          <w:sz w:val="21"/>
          <w:szCs w:val="21"/>
        </w:rPr>
        <w:tab/>
        <w:t>The member’s experience(s) of dawn phenomenon with fasting blood sugars frequently exceeding 200 mg/dL has stabilized or improved; OR</w:t>
      </w:r>
    </w:p>
    <w:p w14:paraId="3301937C" w14:textId="77777777" w:rsidR="00DA0378" w:rsidRPr="00DA0378" w:rsidRDefault="00DA0378" w:rsidP="00DA0378">
      <w:pPr>
        <w:suppressAutoHyphens/>
        <w:autoSpaceDE w:val="0"/>
        <w:autoSpaceDN w:val="0"/>
        <w:adjustRightInd w:val="0"/>
        <w:spacing w:before="60" w:after="60" w:line="288" w:lineRule="auto"/>
        <w:ind w:left="1680" w:hanging="360"/>
        <w:textAlignment w:val="center"/>
        <w:rPr>
          <w:rFonts w:cstheme="minorHAnsi"/>
          <w:color w:val="000000"/>
          <w:sz w:val="21"/>
          <w:szCs w:val="21"/>
        </w:rPr>
      </w:pPr>
      <w:r w:rsidRPr="00DA0378">
        <w:rPr>
          <w:rFonts w:cstheme="minorHAnsi"/>
          <w:color w:val="000000"/>
          <w:sz w:val="21"/>
          <w:szCs w:val="21"/>
        </w:rPr>
        <w:t>iv.</w:t>
      </w:r>
      <w:r w:rsidRPr="00DA0378">
        <w:rPr>
          <w:rFonts w:cstheme="minorHAnsi"/>
          <w:color w:val="000000"/>
          <w:sz w:val="21"/>
          <w:szCs w:val="21"/>
        </w:rPr>
        <w:tab/>
        <w:t>The member’s history of severe glycemic excursions has stabilized or improved; AND</w:t>
      </w:r>
    </w:p>
    <w:p w14:paraId="5E83C7A6" w14:textId="3EE07FAF"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c)</w:t>
      </w:r>
      <w:r w:rsidRPr="00DA0378">
        <w:rPr>
          <w:rFonts w:cstheme="minorHAnsi"/>
          <w:color w:val="000000"/>
          <w:sz w:val="21"/>
          <w:szCs w:val="21"/>
        </w:rPr>
        <w:tab/>
        <w:t>Continued coverage of an insulin pump requires that the member be seen and evaluated by the prescribing provider at least every three months</w:t>
      </w:r>
      <w:r w:rsidR="009D52E1">
        <w:rPr>
          <w:rFonts w:cstheme="minorHAnsi"/>
          <w:color w:val="000000"/>
          <w:sz w:val="21"/>
          <w:szCs w:val="21"/>
        </w:rPr>
        <w:t>,</w:t>
      </w:r>
      <w:r w:rsidRPr="00DA0378">
        <w:rPr>
          <w:rFonts w:cstheme="minorHAnsi"/>
          <w:color w:val="000000"/>
          <w:sz w:val="21"/>
          <w:szCs w:val="21"/>
        </w:rPr>
        <w:t xml:space="preserve"> or as determined by clinical need, and that the prescribing provider work closely with a team including nurses, diabetic educators, and dieticians who are knowledgeable in the use of continuous subcutaneous insulin infusion therapy; AND </w:t>
      </w:r>
    </w:p>
    <w:p w14:paraId="008F0FB6" w14:textId="77777777"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d)</w:t>
      </w:r>
      <w:r w:rsidRPr="00DA0378">
        <w:rPr>
          <w:rFonts w:cstheme="minorHAnsi"/>
          <w:color w:val="000000"/>
          <w:sz w:val="21"/>
          <w:szCs w:val="21"/>
        </w:rPr>
        <w:tab/>
        <w:t>Any other pertinent clinical information requested by MassHealth about the member’s clinical presentation. OR</w:t>
      </w:r>
    </w:p>
    <w:p w14:paraId="0B5A7BE2" w14:textId="1EEE17E5"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 xml:space="preserve">3. </w:t>
      </w:r>
      <w:r w:rsidRPr="00DA0378">
        <w:rPr>
          <w:rFonts w:cstheme="minorHAnsi"/>
          <w:color w:val="000000"/>
          <w:sz w:val="21"/>
          <w:szCs w:val="21"/>
        </w:rPr>
        <w:tab/>
        <w:t xml:space="preserve">The member is new to MassHealth from another insurer and the provider provides clinical evidence that the member is stable on the insulin pump as described in subsections </w:t>
      </w:r>
      <w:proofErr w:type="spellStart"/>
      <w:r w:rsidR="00067A34">
        <w:rPr>
          <w:rFonts w:cstheme="minorHAnsi"/>
          <w:color w:val="000000"/>
          <w:sz w:val="21"/>
          <w:szCs w:val="21"/>
        </w:rPr>
        <w:t>B.</w:t>
      </w:r>
      <w:r w:rsidRPr="00DA0378">
        <w:rPr>
          <w:rFonts w:cstheme="minorHAnsi"/>
          <w:color w:val="000000"/>
          <w:sz w:val="21"/>
          <w:szCs w:val="21"/>
        </w:rPr>
        <w:t>2.a</w:t>
      </w:r>
      <w:proofErr w:type="spellEnd"/>
      <w:r w:rsidRPr="00DA0378">
        <w:rPr>
          <w:rFonts w:cstheme="minorHAnsi"/>
          <w:color w:val="000000"/>
          <w:sz w:val="21"/>
          <w:szCs w:val="21"/>
        </w:rPr>
        <w:t xml:space="preserve"> and </w:t>
      </w:r>
      <w:proofErr w:type="spellStart"/>
      <w:r w:rsidR="00067A34">
        <w:rPr>
          <w:rFonts w:cstheme="minorHAnsi"/>
          <w:color w:val="000000"/>
          <w:sz w:val="21"/>
          <w:szCs w:val="21"/>
        </w:rPr>
        <w:t>B.</w:t>
      </w:r>
      <w:r w:rsidRPr="00DA0378">
        <w:rPr>
          <w:rFonts w:cstheme="minorHAnsi"/>
          <w:color w:val="000000"/>
          <w:sz w:val="21"/>
          <w:szCs w:val="21"/>
        </w:rPr>
        <w:t>2.b</w:t>
      </w:r>
      <w:proofErr w:type="spellEnd"/>
      <w:r w:rsidRPr="00DA0378">
        <w:rPr>
          <w:rFonts w:cstheme="minorHAnsi"/>
          <w:color w:val="000000"/>
          <w:sz w:val="21"/>
          <w:szCs w:val="21"/>
        </w:rPr>
        <w:t>.</w:t>
      </w:r>
    </w:p>
    <w:p w14:paraId="294F3A83"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 xml:space="preserve">4. </w:t>
      </w:r>
      <w:r w:rsidRPr="00DA0378">
        <w:rPr>
          <w:rFonts w:cstheme="minorHAnsi"/>
          <w:color w:val="000000"/>
          <w:sz w:val="21"/>
          <w:szCs w:val="21"/>
        </w:rPr>
        <w:tab/>
        <w:t>The member has diabetes in pregnancy endangering fetal health.</w:t>
      </w:r>
    </w:p>
    <w:p w14:paraId="5F84756A" w14:textId="31B7B286" w:rsidR="00DA0378" w:rsidRPr="00AB3A50" w:rsidRDefault="00DA0378" w:rsidP="00B80BDA">
      <w:pPr>
        <w:pStyle w:val="Heading4"/>
        <w:rPr>
          <w:sz w:val="21"/>
          <w:szCs w:val="21"/>
        </w:rPr>
      </w:pPr>
      <w:r w:rsidRPr="00AB3A50">
        <w:rPr>
          <w:sz w:val="21"/>
          <w:szCs w:val="21"/>
        </w:rPr>
        <w:t>C.</w:t>
      </w:r>
      <w:r w:rsidR="00EF089A">
        <w:rPr>
          <w:sz w:val="21"/>
          <w:szCs w:val="21"/>
        </w:rPr>
        <w:tab/>
      </w:r>
      <w:r w:rsidRPr="00EA4D36">
        <w:t>Replacement</w:t>
      </w:r>
    </w:p>
    <w:p w14:paraId="77994014" w14:textId="21DE9344" w:rsidR="00DA0378" w:rsidRPr="00DA0378" w:rsidRDefault="00DA0378" w:rsidP="00AB3A50">
      <w:pPr>
        <w:suppressAutoHyphens/>
        <w:autoSpaceDE w:val="0"/>
        <w:autoSpaceDN w:val="0"/>
        <w:adjustRightInd w:val="0"/>
        <w:spacing w:before="60" w:after="60" w:line="288" w:lineRule="auto"/>
        <w:ind w:left="600" w:firstLine="4"/>
        <w:textAlignment w:val="center"/>
        <w:rPr>
          <w:rFonts w:cstheme="minorHAnsi"/>
          <w:color w:val="000000"/>
          <w:sz w:val="21"/>
          <w:szCs w:val="21"/>
        </w:rPr>
      </w:pPr>
      <w:r w:rsidRPr="00DA0378">
        <w:rPr>
          <w:rFonts w:cstheme="minorHAnsi"/>
          <w:color w:val="000000"/>
          <w:sz w:val="21"/>
          <w:szCs w:val="21"/>
        </w:rPr>
        <w:t xml:space="preserve">MassHealth considers the replacement of a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system</w:t>
      </w:r>
      <w:r w:rsidRPr="00DA0378">
        <w:rPr>
          <w:rFonts w:cstheme="minorHAnsi"/>
          <w:color w:val="000000"/>
          <w:sz w:val="21"/>
          <w:szCs w:val="21"/>
        </w:rPr>
        <w:t>, insulin pump, or combined system as reasonable and medically necessary when ALL of the following indications are met:</w:t>
      </w:r>
    </w:p>
    <w:p w14:paraId="4D3C3C3F"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1.</w:t>
      </w:r>
      <w:r w:rsidRPr="00DA0378">
        <w:rPr>
          <w:rFonts w:cstheme="minorHAnsi"/>
          <w:color w:val="000000"/>
          <w:sz w:val="21"/>
          <w:szCs w:val="21"/>
        </w:rPr>
        <w:tab/>
        <w:t>Supporting documentation is in the form of clinical notes or letters generated by a clinician overseeing the member’s diabetic condition; AND</w:t>
      </w:r>
    </w:p>
    <w:p w14:paraId="1AE015D4"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2.</w:t>
      </w:r>
      <w:r w:rsidRPr="00DA0378">
        <w:rPr>
          <w:rFonts w:cstheme="minorHAnsi"/>
          <w:color w:val="000000"/>
          <w:sz w:val="21"/>
          <w:szCs w:val="21"/>
        </w:rPr>
        <w:tab/>
        <w:t>The present monitor has been rendered ineffective or inoperable due to EITHER:</w:t>
      </w:r>
    </w:p>
    <w:p w14:paraId="21B230CC" w14:textId="03593C65"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a</w:t>
      </w:r>
      <w:r w:rsidR="00EF089A">
        <w:rPr>
          <w:rFonts w:cstheme="minorHAnsi"/>
          <w:color w:val="000000"/>
          <w:sz w:val="21"/>
          <w:szCs w:val="21"/>
        </w:rPr>
        <w:t>)</w:t>
      </w:r>
      <w:r w:rsidRPr="00DA0378">
        <w:rPr>
          <w:rFonts w:cstheme="minorHAnsi"/>
          <w:color w:val="000000"/>
          <w:sz w:val="21"/>
          <w:szCs w:val="21"/>
        </w:rPr>
        <w:tab/>
      </w:r>
      <w:r w:rsidR="00364BBD">
        <w:rPr>
          <w:rFonts w:cstheme="minorHAnsi"/>
          <w:color w:val="000000"/>
          <w:sz w:val="21"/>
          <w:szCs w:val="21"/>
        </w:rPr>
        <w:t>a</w:t>
      </w:r>
      <w:r w:rsidR="00364BBD" w:rsidRPr="00DA0378">
        <w:rPr>
          <w:rFonts w:cstheme="minorHAnsi"/>
          <w:color w:val="000000"/>
          <w:sz w:val="21"/>
          <w:szCs w:val="21"/>
        </w:rPr>
        <w:t xml:space="preserve"> </w:t>
      </w:r>
      <w:r w:rsidRPr="00DA0378">
        <w:rPr>
          <w:rFonts w:cstheme="minorHAnsi"/>
          <w:color w:val="000000"/>
          <w:sz w:val="21"/>
          <w:szCs w:val="21"/>
        </w:rPr>
        <w:t>change in member condition that the current monitor is unable to accommodate, OR</w:t>
      </w:r>
    </w:p>
    <w:p w14:paraId="4C06C039" w14:textId="5C671C42" w:rsidR="00DA0378" w:rsidRPr="00DA0378" w:rsidRDefault="00DA0378" w:rsidP="00DA0378">
      <w:pPr>
        <w:suppressAutoHyphens/>
        <w:autoSpaceDE w:val="0"/>
        <w:autoSpaceDN w:val="0"/>
        <w:adjustRightInd w:val="0"/>
        <w:spacing w:before="60" w:after="60" w:line="288" w:lineRule="auto"/>
        <w:ind w:left="1320" w:hanging="360"/>
        <w:textAlignment w:val="center"/>
        <w:rPr>
          <w:rFonts w:cstheme="minorHAnsi"/>
          <w:color w:val="000000"/>
          <w:sz w:val="21"/>
          <w:szCs w:val="21"/>
        </w:rPr>
      </w:pPr>
      <w:r w:rsidRPr="00DA0378">
        <w:rPr>
          <w:rFonts w:cstheme="minorHAnsi"/>
          <w:color w:val="000000"/>
          <w:sz w:val="21"/>
          <w:szCs w:val="21"/>
        </w:rPr>
        <w:t>b</w:t>
      </w:r>
      <w:r w:rsidR="00EF089A">
        <w:rPr>
          <w:rFonts w:cstheme="minorHAnsi"/>
          <w:color w:val="000000"/>
          <w:sz w:val="21"/>
          <w:szCs w:val="21"/>
        </w:rPr>
        <w:t>)</w:t>
      </w:r>
      <w:r w:rsidRPr="00DA0378">
        <w:rPr>
          <w:rFonts w:cstheme="minorHAnsi"/>
          <w:color w:val="000000"/>
          <w:sz w:val="21"/>
          <w:szCs w:val="21"/>
        </w:rPr>
        <w:tab/>
      </w:r>
      <w:r w:rsidR="00364BBD">
        <w:rPr>
          <w:rFonts w:cstheme="minorHAnsi"/>
          <w:color w:val="000000"/>
          <w:sz w:val="21"/>
          <w:szCs w:val="21"/>
        </w:rPr>
        <w:t>d</w:t>
      </w:r>
      <w:r w:rsidR="00364BBD" w:rsidRPr="00DA0378">
        <w:rPr>
          <w:rFonts w:cstheme="minorHAnsi"/>
          <w:color w:val="000000"/>
          <w:sz w:val="21"/>
          <w:szCs w:val="21"/>
        </w:rPr>
        <w:t xml:space="preserve">amage </w:t>
      </w:r>
      <w:r w:rsidRPr="00DA0378">
        <w:rPr>
          <w:rFonts w:cstheme="minorHAnsi"/>
          <w:color w:val="000000"/>
          <w:sz w:val="21"/>
          <w:szCs w:val="21"/>
        </w:rPr>
        <w:t>by events outside the control of the user; AND</w:t>
      </w:r>
    </w:p>
    <w:p w14:paraId="3A093ACD"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3.</w:t>
      </w:r>
      <w:r w:rsidRPr="00DA0378">
        <w:rPr>
          <w:rFonts w:cstheme="minorHAnsi"/>
          <w:color w:val="000000"/>
          <w:sz w:val="21"/>
          <w:szCs w:val="21"/>
        </w:rPr>
        <w:tab/>
        <w:t>The device has been used according to a current treatment plan; AND</w:t>
      </w:r>
    </w:p>
    <w:p w14:paraId="0F219A20"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4.</w:t>
      </w:r>
      <w:r w:rsidRPr="00DA0378">
        <w:rPr>
          <w:rFonts w:cstheme="minorHAnsi"/>
          <w:color w:val="000000"/>
          <w:sz w:val="21"/>
          <w:szCs w:val="21"/>
        </w:rPr>
        <w:tab/>
        <w:t>Continued use of the device is clinically supported; AND</w:t>
      </w:r>
    </w:p>
    <w:p w14:paraId="17227453"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5.</w:t>
      </w:r>
      <w:r w:rsidRPr="00DA0378">
        <w:rPr>
          <w:rFonts w:cstheme="minorHAnsi"/>
          <w:color w:val="000000"/>
          <w:sz w:val="21"/>
          <w:szCs w:val="21"/>
        </w:rPr>
        <w:tab/>
        <w:t>Device replacement cannot be obtained from the manufacturer or supplier for reasons including the expiration of device warranty; AND</w:t>
      </w:r>
    </w:p>
    <w:p w14:paraId="1FD55E8F"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6.</w:t>
      </w:r>
      <w:r w:rsidRPr="00DA0378">
        <w:rPr>
          <w:rFonts w:cstheme="minorHAnsi"/>
          <w:color w:val="000000"/>
          <w:sz w:val="21"/>
          <w:szCs w:val="21"/>
        </w:rPr>
        <w:tab/>
        <w:t>Loss/damage is not attributable to abuse, damage, or neglect on the part of the user; AND</w:t>
      </w:r>
    </w:p>
    <w:p w14:paraId="57995596" w14:textId="77777777"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7.</w:t>
      </w:r>
      <w:r w:rsidRPr="00DA0378">
        <w:rPr>
          <w:rFonts w:cstheme="minorHAnsi"/>
          <w:color w:val="000000"/>
          <w:sz w:val="21"/>
          <w:szCs w:val="21"/>
        </w:rPr>
        <w:tab/>
        <w:t>The cost of replacement rather than repair is justified by the nature of the damage and the useful lifetime of the device; AND</w:t>
      </w:r>
    </w:p>
    <w:p w14:paraId="307539D4" w14:textId="7D8B9AA0"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t>8.</w:t>
      </w:r>
      <w:r w:rsidRPr="00DA0378">
        <w:rPr>
          <w:rFonts w:cstheme="minorHAnsi"/>
          <w:color w:val="000000"/>
          <w:sz w:val="21"/>
          <w:szCs w:val="21"/>
        </w:rPr>
        <w:tab/>
        <w:t xml:space="preserve">In the case of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s, replacement is not an additional/backup monitor; AND</w:t>
      </w:r>
    </w:p>
    <w:p w14:paraId="1C3847CB" w14:textId="354B5D29" w:rsidR="00DA0378" w:rsidRPr="00DA0378" w:rsidRDefault="00DA0378" w:rsidP="00DA037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DA0378">
        <w:rPr>
          <w:rFonts w:cstheme="minorHAnsi"/>
          <w:color w:val="000000"/>
          <w:sz w:val="21"/>
          <w:szCs w:val="21"/>
        </w:rPr>
        <w:lastRenderedPageBreak/>
        <w:t>9.</w:t>
      </w:r>
      <w:r w:rsidRPr="00DA0378">
        <w:rPr>
          <w:rFonts w:cstheme="minorHAnsi"/>
          <w:color w:val="000000"/>
          <w:sz w:val="21"/>
          <w:szCs w:val="21"/>
        </w:rPr>
        <w:tab/>
        <w:t xml:space="preserve">In the case of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s, replacement monitor is synonymous to the monitor being replaced unless replacement has been necessitated by a change in member condition that the old device is unable to accommodate.</w:t>
      </w:r>
    </w:p>
    <w:p w14:paraId="0AA0A03B" w14:textId="72DA0BA1" w:rsidR="00324227" w:rsidRDefault="00DA0378" w:rsidP="00AB3A50">
      <w:pPr>
        <w:suppressAutoHyphens/>
        <w:autoSpaceDE w:val="0"/>
        <w:autoSpaceDN w:val="0"/>
        <w:adjustRightInd w:val="0"/>
        <w:spacing w:before="240" w:after="240" w:line="288" w:lineRule="auto"/>
        <w:ind w:left="634" w:hanging="29"/>
        <w:textAlignment w:val="center"/>
      </w:pPr>
      <w:r w:rsidRPr="00931B94">
        <w:rPr>
          <w:rFonts w:cstheme="minorHAnsi"/>
          <w:b/>
          <w:bCs/>
          <w:color w:val="000000"/>
          <w:sz w:val="21"/>
          <w:szCs w:val="21"/>
        </w:rPr>
        <w:t>Note:</w:t>
      </w:r>
      <w:r w:rsidRPr="00DA0378">
        <w:rPr>
          <w:rFonts w:cstheme="minorHAnsi"/>
          <w:color w:val="000000"/>
          <w:sz w:val="21"/>
          <w:szCs w:val="21"/>
        </w:rPr>
        <w:t xml:space="preserve"> </w:t>
      </w:r>
      <w:r w:rsidR="003A43A3">
        <w:rPr>
          <w:rFonts w:cstheme="minorHAnsi"/>
          <w:color w:val="000000"/>
          <w:sz w:val="21"/>
          <w:szCs w:val="21"/>
        </w:rPr>
        <w:t>I</w:t>
      </w:r>
      <w:r w:rsidRPr="00DA0378">
        <w:rPr>
          <w:rFonts w:cstheme="minorHAnsi"/>
          <w:color w:val="000000"/>
          <w:sz w:val="21"/>
          <w:szCs w:val="21"/>
        </w:rPr>
        <w:t xml:space="preserve">n cases where neither the make and model of the device being replaced nor directly competitive devices from other brands are available, approval of a new device will be based on meeting the requirements set forth in Sections </w:t>
      </w:r>
      <w:proofErr w:type="spellStart"/>
      <w:r w:rsidRPr="00DA0378">
        <w:rPr>
          <w:rFonts w:cstheme="minorHAnsi"/>
          <w:color w:val="000000"/>
          <w:sz w:val="21"/>
          <w:szCs w:val="21"/>
        </w:rPr>
        <w:t>2.I.A</w:t>
      </w:r>
      <w:proofErr w:type="spellEnd"/>
      <w:r w:rsidRPr="00DA0378">
        <w:rPr>
          <w:rFonts w:cstheme="minorHAnsi"/>
          <w:color w:val="000000"/>
          <w:sz w:val="21"/>
          <w:szCs w:val="21"/>
        </w:rPr>
        <w:t xml:space="preserve"> or </w:t>
      </w:r>
      <w:proofErr w:type="spellStart"/>
      <w:r w:rsidRPr="00DA0378">
        <w:rPr>
          <w:rFonts w:cstheme="minorHAnsi"/>
          <w:color w:val="000000"/>
          <w:sz w:val="21"/>
          <w:szCs w:val="21"/>
        </w:rPr>
        <w:t>2.I.B</w:t>
      </w:r>
      <w:proofErr w:type="spellEnd"/>
      <w:r w:rsidRPr="00DA0378">
        <w:rPr>
          <w:rFonts w:cstheme="minorHAnsi"/>
          <w:color w:val="000000"/>
          <w:sz w:val="21"/>
          <w:szCs w:val="21"/>
        </w:rPr>
        <w:t>.</w:t>
      </w:r>
    </w:p>
    <w:p w14:paraId="11137A6E" w14:textId="54571642" w:rsidR="00DA0378" w:rsidRPr="00AB3A50" w:rsidRDefault="0053555B" w:rsidP="00B80BDA">
      <w:pPr>
        <w:pStyle w:val="Heading4"/>
      </w:pPr>
      <w:r>
        <w:t>D</w:t>
      </w:r>
      <w:r w:rsidR="00DA0378" w:rsidRPr="00AB3A50">
        <w:t>.</w:t>
      </w:r>
      <w:r w:rsidR="00EF089A" w:rsidRPr="00AB3A50">
        <w:tab/>
      </w:r>
      <w:r w:rsidR="00DA0378" w:rsidRPr="00AB3A50">
        <w:t xml:space="preserve">Non-coverage </w:t>
      </w:r>
    </w:p>
    <w:p w14:paraId="334C863C" w14:textId="2F65DBD9" w:rsidR="00DA0378" w:rsidRPr="00DA0378" w:rsidRDefault="00DA0378" w:rsidP="00AB3A50">
      <w:pPr>
        <w:suppressAutoHyphens/>
        <w:autoSpaceDE w:val="0"/>
        <w:autoSpaceDN w:val="0"/>
        <w:adjustRightInd w:val="0"/>
        <w:spacing w:before="120" w:after="120" w:line="288" w:lineRule="auto"/>
        <w:ind w:left="302"/>
        <w:textAlignment w:val="center"/>
        <w:rPr>
          <w:rFonts w:cstheme="minorHAnsi"/>
          <w:color w:val="000000"/>
          <w:sz w:val="21"/>
          <w:szCs w:val="21"/>
        </w:rPr>
      </w:pPr>
      <w:r w:rsidRPr="00DA0378">
        <w:rPr>
          <w:rFonts w:cstheme="minorHAnsi"/>
          <w:color w:val="000000"/>
          <w:sz w:val="21"/>
          <w:szCs w:val="21"/>
        </w:rPr>
        <w:t xml:space="preserve">MassHealth does not consider </w:t>
      </w:r>
      <w:proofErr w:type="spellStart"/>
      <w:r w:rsidR="00127166">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00127166">
        <w:rPr>
          <w:rFonts w:cstheme="minorHAnsi"/>
          <w:color w:val="000000"/>
          <w:sz w:val="21"/>
          <w:szCs w:val="21"/>
        </w:rPr>
        <w:t xml:space="preserve">s </w:t>
      </w:r>
      <w:r w:rsidRPr="00DA0378">
        <w:rPr>
          <w:rFonts w:cstheme="minorHAnsi"/>
          <w:color w:val="000000"/>
          <w:sz w:val="21"/>
          <w:szCs w:val="21"/>
        </w:rPr>
        <w:t>or other products to be medically necessary under certain circumstances where effectiveness has not been established or when there is noncompliance or an inability to comply with a current treatment plan. Examples of such circumstances include, but are not limited to, the following:</w:t>
      </w:r>
    </w:p>
    <w:p w14:paraId="19C66F16" w14:textId="37C9E258"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1.</w:t>
      </w:r>
      <w:r w:rsidRPr="00DA0378">
        <w:rPr>
          <w:rFonts w:cstheme="minorHAnsi"/>
          <w:color w:val="000000"/>
          <w:sz w:val="21"/>
          <w:szCs w:val="21"/>
        </w:rPr>
        <w:tab/>
        <w:t>Non</w:t>
      </w:r>
      <w:r w:rsidR="00EA4D36">
        <w:rPr>
          <w:rFonts w:cstheme="minorHAnsi"/>
          <w:color w:val="000000"/>
          <w:sz w:val="21"/>
          <w:szCs w:val="21"/>
        </w:rPr>
        <w:t>-</w:t>
      </w:r>
      <w:r w:rsidRPr="00DA0378">
        <w:rPr>
          <w:rFonts w:cstheme="minorHAnsi"/>
          <w:color w:val="000000"/>
          <w:sz w:val="21"/>
          <w:szCs w:val="21"/>
        </w:rPr>
        <w:t xml:space="preserve">FDA-approved devices. </w:t>
      </w:r>
    </w:p>
    <w:p w14:paraId="6CA056D0" w14:textId="533D38E6"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2.</w:t>
      </w:r>
      <w:r w:rsidRPr="00DA0378">
        <w:rPr>
          <w:rFonts w:cstheme="minorHAnsi"/>
          <w:color w:val="000000"/>
          <w:sz w:val="21"/>
          <w:szCs w:val="21"/>
        </w:rPr>
        <w:tab/>
        <w:t xml:space="preserve">Remote continuous glucose monitoring devices, accessories, and additional hardware or software that are ancillary to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s and are not considered medically necessary (e.g., complementary watches)</w:t>
      </w:r>
      <w:r w:rsidR="000E685E">
        <w:rPr>
          <w:rFonts w:cstheme="minorHAnsi"/>
          <w:color w:val="000000"/>
          <w:sz w:val="21"/>
          <w:szCs w:val="21"/>
        </w:rPr>
        <w:t>.</w:t>
      </w:r>
      <w:r w:rsidRPr="00DA0378">
        <w:rPr>
          <w:rFonts w:cstheme="minorHAnsi"/>
          <w:color w:val="000000"/>
          <w:sz w:val="21"/>
          <w:szCs w:val="21"/>
        </w:rPr>
        <w:t xml:space="preserve"> </w:t>
      </w:r>
    </w:p>
    <w:p w14:paraId="5E2F4FC3" w14:textId="4E703D69"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3.</w:t>
      </w:r>
      <w:r w:rsidRPr="00DA0378">
        <w:rPr>
          <w:rFonts w:cstheme="minorHAnsi"/>
          <w:color w:val="000000"/>
          <w:sz w:val="21"/>
          <w:szCs w:val="21"/>
        </w:rPr>
        <w:tab/>
        <w:t xml:space="preserve">Replacement of an existing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 xml:space="preserve"> with another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 xml:space="preserve"> for additional features </w:t>
      </w:r>
      <w:r w:rsidR="004B3E51">
        <w:rPr>
          <w:rFonts w:cstheme="minorHAnsi"/>
          <w:color w:val="000000"/>
          <w:sz w:val="21"/>
          <w:szCs w:val="21"/>
        </w:rPr>
        <w:t>that</w:t>
      </w:r>
      <w:r w:rsidR="004B3E51" w:rsidRPr="00DA0378">
        <w:rPr>
          <w:rFonts w:cstheme="minorHAnsi"/>
          <w:color w:val="000000"/>
          <w:sz w:val="21"/>
          <w:szCs w:val="21"/>
        </w:rPr>
        <w:t xml:space="preserve"> </w:t>
      </w:r>
      <w:r w:rsidRPr="00DA0378">
        <w:rPr>
          <w:rFonts w:cstheme="minorHAnsi"/>
          <w:color w:val="000000"/>
          <w:sz w:val="21"/>
          <w:szCs w:val="21"/>
        </w:rPr>
        <w:t>are not medically necessary.</w:t>
      </w:r>
    </w:p>
    <w:p w14:paraId="5813E2C0" w14:textId="48EB9918"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4.</w:t>
      </w:r>
      <w:r w:rsidRPr="00DA0378">
        <w:rPr>
          <w:rFonts w:cstheme="minorHAnsi"/>
          <w:color w:val="000000"/>
          <w:sz w:val="21"/>
          <w:szCs w:val="21"/>
        </w:rPr>
        <w:tab/>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 xml:space="preserve">s are contraindicated for individuals who are unable or unwilling to perform required necessary calibration of a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 which may include, but not be limited to, self-monitored blood glucose checks at least twice per day; or a member’s symptoms and clinical presentation do not match/align with device readings</w:t>
      </w:r>
      <w:r w:rsidR="00CB637B">
        <w:rPr>
          <w:rFonts w:cstheme="minorHAnsi"/>
          <w:color w:val="000000"/>
          <w:sz w:val="21"/>
          <w:szCs w:val="21"/>
        </w:rPr>
        <w:t>;</w:t>
      </w:r>
      <w:r w:rsidRPr="00DA0378">
        <w:rPr>
          <w:rFonts w:cstheme="minorHAnsi"/>
          <w:color w:val="000000"/>
          <w:sz w:val="21"/>
          <w:szCs w:val="21"/>
        </w:rPr>
        <w:t xml:space="preserve"> or </w:t>
      </w:r>
      <w:r w:rsidR="00CB637B">
        <w:rPr>
          <w:rFonts w:cstheme="minorHAnsi"/>
          <w:color w:val="000000"/>
          <w:sz w:val="21"/>
          <w:szCs w:val="21"/>
        </w:rPr>
        <w:t xml:space="preserve">a </w:t>
      </w:r>
      <w:r w:rsidRPr="00DA0378">
        <w:rPr>
          <w:rFonts w:cstheme="minorHAnsi"/>
          <w:color w:val="000000"/>
          <w:sz w:val="21"/>
          <w:szCs w:val="21"/>
        </w:rPr>
        <w:t>member do</w:t>
      </w:r>
      <w:r w:rsidR="00CB637B">
        <w:rPr>
          <w:rFonts w:cstheme="minorHAnsi"/>
          <w:color w:val="000000"/>
          <w:sz w:val="21"/>
          <w:szCs w:val="21"/>
        </w:rPr>
        <w:t>es</w:t>
      </w:r>
      <w:r w:rsidRPr="00DA0378">
        <w:rPr>
          <w:rFonts w:cstheme="minorHAnsi"/>
          <w:color w:val="000000"/>
          <w:sz w:val="21"/>
          <w:szCs w:val="21"/>
        </w:rPr>
        <w:t xml:space="preserve"> not maintain contact with their health care professionals.</w:t>
      </w:r>
    </w:p>
    <w:p w14:paraId="0DEEC3B5" w14:textId="78462F9D"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5.</w:t>
      </w:r>
      <w:r w:rsidRPr="00DA0378">
        <w:rPr>
          <w:rFonts w:cstheme="minorHAnsi"/>
          <w:color w:val="000000"/>
          <w:sz w:val="21"/>
          <w:szCs w:val="21"/>
        </w:rPr>
        <w:tab/>
        <w:t>The member enrolled in an initial three-month insulin pump trial and either failed or is not motivated or is otherwise noncompliant with a current treatment plan and is not likely to benefit from another three-month trial.</w:t>
      </w:r>
    </w:p>
    <w:p w14:paraId="1BD6B612" w14:textId="77777777"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6.</w:t>
      </w:r>
      <w:r w:rsidRPr="00DA0378">
        <w:rPr>
          <w:rFonts w:cstheme="minorHAnsi"/>
          <w:color w:val="000000"/>
          <w:sz w:val="21"/>
          <w:szCs w:val="21"/>
        </w:rPr>
        <w:tab/>
        <w:t>The member is unable to perform frequent blood glucose monitoring or is unable to technically operate an insulin pump because of behavioral, psychological, or other reasons.</w:t>
      </w:r>
    </w:p>
    <w:p w14:paraId="171396AD" w14:textId="379D94D8" w:rsidR="00DA0378" w:rsidRPr="00DA0378" w:rsidRDefault="00DA0378" w:rsidP="001B7E49">
      <w:pPr>
        <w:pStyle w:val="Heading2"/>
        <w:tabs>
          <w:tab w:val="left" w:pos="302"/>
          <w:tab w:val="left" w:pos="605"/>
          <w:tab w:val="left" w:pos="965"/>
          <w:tab w:val="left" w:pos="1325"/>
        </w:tabs>
      </w:pPr>
      <w:r w:rsidRPr="00DA0378">
        <w:t>Section III:</w:t>
      </w:r>
      <w:r w:rsidR="000E685E">
        <w:tab/>
      </w:r>
      <w:r w:rsidRPr="00DA0378">
        <w:t>Submitting Clinical Documentation</w:t>
      </w:r>
    </w:p>
    <w:p w14:paraId="65881EEC" w14:textId="632996A6" w:rsidR="00DA0378" w:rsidRPr="00DA0378" w:rsidRDefault="00DA0378" w:rsidP="00AB3A50">
      <w:pPr>
        <w:suppressAutoHyphens/>
        <w:autoSpaceDE w:val="0"/>
        <w:autoSpaceDN w:val="0"/>
        <w:adjustRightInd w:val="0"/>
        <w:spacing w:before="120" w:after="120" w:line="288" w:lineRule="auto"/>
        <w:ind w:left="302"/>
        <w:textAlignment w:val="center"/>
        <w:rPr>
          <w:rFonts w:cstheme="minorHAnsi"/>
          <w:color w:val="000000"/>
          <w:sz w:val="21"/>
          <w:szCs w:val="21"/>
        </w:rPr>
      </w:pPr>
      <w:r w:rsidRPr="00DA0378">
        <w:rPr>
          <w:rFonts w:cstheme="minorHAnsi"/>
          <w:color w:val="000000"/>
          <w:sz w:val="21"/>
          <w:szCs w:val="21"/>
        </w:rPr>
        <w:t xml:space="preserve">Requests for PA for </w:t>
      </w:r>
      <w:proofErr w:type="spellStart"/>
      <w:r w:rsidR="00127166">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00127166">
        <w:rPr>
          <w:rFonts w:cstheme="minorHAnsi"/>
          <w:color w:val="000000"/>
          <w:sz w:val="21"/>
          <w:szCs w:val="21"/>
        </w:rPr>
        <w:t xml:space="preserve">s </w:t>
      </w:r>
      <w:r w:rsidRPr="00DA0378">
        <w:rPr>
          <w:rFonts w:cstheme="minorHAnsi"/>
          <w:color w:val="000000"/>
          <w:sz w:val="21"/>
          <w:szCs w:val="21"/>
        </w:rPr>
        <w:t xml:space="preserve">or insulin pumps must be accompanied by clinical documentation that supports the medical necessity of the requested device.  </w:t>
      </w:r>
    </w:p>
    <w:p w14:paraId="321726CA" w14:textId="7D9E2F51" w:rsidR="00DA0378" w:rsidRPr="00DA0378" w:rsidRDefault="00DA0378" w:rsidP="00AB3A50">
      <w:pPr>
        <w:suppressAutoHyphens/>
        <w:autoSpaceDE w:val="0"/>
        <w:autoSpaceDN w:val="0"/>
        <w:adjustRightInd w:val="0"/>
        <w:spacing w:before="120" w:after="120" w:line="288" w:lineRule="auto"/>
        <w:ind w:left="302"/>
        <w:textAlignment w:val="center"/>
        <w:rPr>
          <w:rFonts w:cstheme="minorHAnsi"/>
          <w:color w:val="000000"/>
          <w:sz w:val="21"/>
          <w:szCs w:val="21"/>
        </w:rPr>
      </w:pPr>
      <w:r w:rsidRPr="00DA0378">
        <w:rPr>
          <w:rFonts w:cstheme="minorHAnsi"/>
          <w:color w:val="000000"/>
          <w:sz w:val="21"/>
          <w:szCs w:val="21"/>
        </w:rPr>
        <w:t xml:space="preserve">Clinical documentation by the provider (endocrinologist) of the supporting rationale for the requested device (insulin pump or </w:t>
      </w:r>
      <w:proofErr w:type="spellStart"/>
      <w:r w:rsidRPr="00DA0378">
        <w:rPr>
          <w:rFonts w:cstheme="minorHAnsi"/>
          <w:color w:val="000000"/>
          <w:sz w:val="21"/>
          <w:szCs w:val="21"/>
        </w:rPr>
        <w:t>CGM</w:t>
      </w:r>
      <w:proofErr w:type="spellEnd"/>
      <w:r w:rsidR="001754FD">
        <w:rPr>
          <w:rFonts w:cstheme="minorHAnsi"/>
          <w:color w:val="000000"/>
          <w:sz w:val="21"/>
          <w:szCs w:val="21"/>
        </w:rPr>
        <w:t xml:space="preserve"> </w:t>
      </w:r>
      <w:r w:rsidR="001754FD" w:rsidRPr="001754FD">
        <w:rPr>
          <w:rFonts w:cstheme="minorHAnsi"/>
          <w:color w:val="000000"/>
          <w:sz w:val="21"/>
          <w:szCs w:val="21"/>
        </w:rPr>
        <w:t>system</w:t>
      </w:r>
      <w:r w:rsidRPr="00DA0378">
        <w:rPr>
          <w:rFonts w:cstheme="minorHAnsi"/>
          <w:color w:val="000000"/>
          <w:sz w:val="21"/>
          <w:szCs w:val="21"/>
        </w:rPr>
        <w:t xml:space="preserve">) must show that the member’s blood sugar remains poorly controlled despite appropriate adjustments to a physician-ordered and physician-monitored treatment plan based on previous self-monitoring. Specifically, documentation of medical necessity </w:t>
      </w:r>
      <w:r w:rsidRPr="00DA0378">
        <w:rPr>
          <w:rFonts w:cstheme="minorHAnsi"/>
          <w:b/>
          <w:bCs/>
          <w:color w:val="000000"/>
          <w:sz w:val="21"/>
          <w:szCs w:val="21"/>
        </w:rPr>
        <w:t>must include all of the following</w:t>
      </w:r>
      <w:r w:rsidRPr="00DA0378">
        <w:rPr>
          <w:rFonts w:cstheme="minorHAnsi"/>
          <w:color w:val="000000"/>
          <w:sz w:val="21"/>
          <w:szCs w:val="21"/>
        </w:rPr>
        <w:t>:</w:t>
      </w:r>
    </w:p>
    <w:p w14:paraId="3D37F22B" w14:textId="353D8322"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lastRenderedPageBreak/>
        <w:t>1.</w:t>
      </w:r>
      <w:r w:rsidRPr="00DA0378">
        <w:rPr>
          <w:rFonts w:cstheme="minorHAnsi"/>
          <w:color w:val="000000"/>
          <w:sz w:val="21"/>
          <w:szCs w:val="21"/>
        </w:rPr>
        <w:tab/>
        <w:t xml:space="preserve">Documentation that indicates that the member remains compliant with the insulin therapy recommended by an endocrinologist for at least </w:t>
      </w:r>
      <w:r w:rsidR="00BB45DA">
        <w:rPr>
          <w:rFonts w:cstheme="minorHAnsi"/>
          <w:color w:val="000000"/>
          <w:sz w:val="21"/>
          <w:szCs w:val="21"/>
        </w:rPr>
        <w:t>three</w:t>
      </w:r>
      <w:r w:rsidRPr="00DA0378">
        <w:rPr>
          <w:rFonts w:cstheme="minorHAnsi"/>
          <w:color w:val="000000"/>
          <w:sz w:val="21"/>
          <w:szCs w:val="21"/>
        </w:rPr>
        <w:t xml:space="preserve"> months. </w:t>
      </w:r>
      <w:r w:rsidRPr="00DA0378">
        <w:rPr>
          <w:rFonts w:cstheme="minorHAnsi"/>
          <w:b/>
          <w:bCs/>
          <w:color w:val="000000"/>
          <w:sz w:val="21"/>
          <w:szCs w:val="21"/>
        </w:rPr>
        <w:t>Exceptions</w:t>
      </w:r>
      <w:r w:rsidRPr="00DA0378">
        <w:rPr>
          <w:rFonts w:cstheme="minorHAnsi"/>
          <w:color w:val="000000"/>
          <w:sz w:val="21"/>
          <w:szCs w:val="21"/>
        </w:rPr>
        <w:t>: Providers may request an exception to the compliance requirement due to comorbidities that inhibit the ability to self-monitor blood sugar or self-administer insulin. Requests for exceptions will be considered on a case-by-case basis.</w:t>
      </w:r>
    </w:p>
    <w:p w14:paraId="26522CD8" w14:textId="0FC9DFFE"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2.</w:t>
      </w:r>
      <w:r w:rsidRPr="00DA0378">
        <w:rPr>
          <w:rFonts w:cstheme="minorHAnsi"/>
          <w:color w:val="000000"/>
          <w:sz w:val="21"/>
          <w:szCs w:val="21"/>
        </w:rPr>
        <w:tab/>
        <w:t xml:space="preserve">Documentation that indicates the member’s </w:t>
      </w:r>
      <w:proofErr w:type="spellStart"/>
      <w:r w:rsidRPr="00DA0378">
        <w:rPr>
          <w:rFonts w:cstheme="minorHAnsi"/>
          <w:color w:val="000000"/>
          <w:sz w:val="21"/>
          <w:szCs w:val="21"/>
        </w:rPr>
        <w:t>HbA1C</w:t>
      </w:r>
      <w:proofErr w:type="spellEnd"/>
      <w:r w:rsidRPr="00DA0378">
        <w:rPr>
          <w:rFonts w:cstheme="minorHAnsi"/>
          <w:color w:val="000000"/>
          <w:sz w:val="21"/>
          <w:szCs w:val="21"/>
        </w:rPr>
        <w:t xml:space="preserve"> level(s) (at least </w:t>
      </w:r>
      <w:r w:rsidR="00EF4CFB">
        <w:rPr>
          <w:rFonts w:cstheme="minorHAnsi"/>
          <w:color w:val="000000"/>
          <w:sz w:val="21"/>
          <w:szCs w:val="21"/>
        </w:rPr>
        <w:t>two</w:t>
      </w:r>
      <w:r w:rsidRPr="00DA0378">
        <w:rPr>
          <w:rFonts w:cstheme="minorHAnsi"/>
          <w:color w:val="000000"/>
          <w:sz w:val="21"/>
          <w:szCs w:val="21"/>
        </w:rPr>
        <w:t xml:space="preserve"> readings representing at least </w:t>
      </w:r>
      <w:r w:rsidR="00EF4CFB">
        <w:rPr>
          <w:rFonts w:cstheme="minorHAnsi"/>
          <w:color w:val="000000"/>
          <w:sz w:val="21"/>
          <w:szCs w:val="21"/>
        </w:rPr>
        <w:t>six</w:t>
      </w:r>
      <w:r w:rsidRPr="00DA0378">
        <w:rPr>
          <w:rFonts w:cstheme="minorHAnsi"/>
          <w:color w:val="000000"/>
          <w:sz w:val="21"/>
          <w:szCs w:val="21"/>
        </w:rPr>
        <w:t xml:space="preserve"> months). </w:t>
      </w:r>
    </w:p>
    <w:p w14:paraId="398F306A" w14:textId="77777777" w:rsidR="00DA0378" w:rsidRPr="00DA0378" w:rsidRDefault="00DA0378" w:rsidP="00AB3A50">
      <w:pPr>
        <w:suppressAutoHyphens/>
        <w:autoSpaceDE w:val="0"/>
        <w:autoSpaceDN w:val="0"/>
        <w:adjustRightInd w:val="0"/>
        <w:spacing w:before="120" w:after="120" w:line="288" w:lineRule="auto"/>
        <w:ind w:left="905" w:hanging="300"/>
        <w:textAlignment w:val="center"/>
        <w:rPr>
          <w:rFonts w:cstheme="minorHAnsi"/>
          <w:color w:val="000000"/>
          <w:sz w:val="21"/>
          <w:szCs w:val="21"/>
        </w:rPr>
      </w:pPr>
      <w:r w:rsidRPr="00DA0378">
        <w:rPr>
          <w:rFonts w:cstheme="minorHAnsi"/>
          <w:color w:val="000000"/>
          <w:sz w:val="21"/>
          <w:szCs w:val="21"/>
        </w:rPr>
        <w:t>3.</w:t>
      </w:r>
      <w:r w:rsidRPr="00DA0378">
        <w:rPr>
          <w:rFonts w:cstheme="minorHAnsi"/>
          <w:color w:val="000000"/>
          <w:sz w:val="21"/>
          <w:szCs w:val="21"/>
        </w:rPr>
        <w:tab/>
        <w:t xml:space="preserve">Documentation demonstrating that criteria for Sections </w:t>
      </w:r>
      <w:proofErr w:type="spellStart"/>
      <w:r w:rsidRPr="00DA0378">
        <w:rPr>
          <w:rFonts w:cstheme="minorHAnsi"/>
          <w:color w:val="000000"/>
          <w:sz w:val="21"/>
          <w:szCs w:val="21"/>
        </w:rPr>
        <w:t>2.I.A</w:t>
      </w:r>
      <w:proofErr w:type="spellEnd"/>
      <w:r w:rsidRPr="00DA0378">
        <w:rPr>
          <w:rFonts w:cstheme="minorHAnsi"/>
          <w:color w:val="000000"/>
          <w:sz w:val="21"/>
          <w:szCs w:val="21"/>
        </w:rPr>
        <w:t>, B, or C are met as appropriate to the clinical situation as outlined above.</w:t>
      </w:r>
    </w:p>
    <w:p w14:paraId="45411319" w14:textId="3546DED9" w:rsidR="00DA0378" w:rsidRPr="00DA0378" w:rsidRDefault="00DA0378" w:rsidP="00AB3A50">
      <w:pPr>
        <w:suppressAutoHyphens/>
        <w:autoSpaceDE w:val="0"/>
        <w:autoSpaceDN w:val="0"/>
        <w:adjustRightInd w:val="0"/>
        <w:spacing w:before="120" w:after="120" w:line="288" w:lineRule="auto"/>
        <w:ind w:left="302"/>
        <w:textAlignment w:val="center"/>
        <w:rPr>
          <w:rFonts w:cstheme="minorHAnsi"/>
          <w:color w:val="000000"/>
          <w:sz w:val="20"/>
          <w:szCs w:val="20"/>
        </w:rPr>
      </w:pPr>
      <w:proofErr w:type="spellStart"/>
      <w:r w:rsidRPr="00DA0378">
        <w:rPr>
          <w:rFonts w:cstheme="minorHAnsi"/>
          <w:color w:val="000000"/>
          <w:sz w:val="21"/>
          <w:szCs w:val="21"/>
        </w:rPr>
        <w:t>DME</w:t>
      </w:r>
      <w:proofErr w:type="spellEnd"/>
      <w:r w:rsidRPr="00DA0378">
        <w:rPr>
          <w:rFonts w:cstheme="minorHAnsi"/>
          <w:color w:val="000000"/>
          <w:sz w:val="21"/>
          <w:szCs w:val="21"/>
        </w:rPr>
        <w:t xml:space="preserve"> providers must submit all information related to the PA request through the </w:t>
      </w:r>
      <w:proofErr w:type="spellStart"/>
      <w:r w:rsidRPr="00DA0378">
        <w:rPr>
          <w:rFonts w:cstheme="minorHAnsi"/>
          <w:color w:val="000000"/>
          <w:sz w:val="21"/>
          <w:szCs w:val="21"/>
        </w:rPr>
        <w:t>LTMS</w:t>
      </w:r>
      <w:proofErr w:type="spellEnd"/>
      <w:r w:rsidRPr="00DA0378">
        <w:rPr>
          <w:rFonts w:cstheme="minorHAnsi"/>
          <w:color w:val="000000"/>
          <w:sz w:val="21"/>
          <w:szCs w:val="21"/>
        </w:rPr>
        <w:t xml:space="preserve"> or by mail</w:t>
      </w:r>
      <w:r w:rsidR="003973B6">
        <w:rPr>
          <w:rFonts w:cstheme="minorHAnsi"/>
          <w:color w:val="000000"/>
          <w:sz w:val="21"/>
          <w:szCs w:val="21"/>
        </w:rPr>
        <w:t>,</w:t>
      </w:r>
      <w:r w:rsidRPr="00DA0378">
        <w:rPr>
          <w:rFonts w:cstheme="minorHAnsi"/>
          <w:color w:val="000000"/>
          <w:sz w:val="21"/>
          <w:szCs w:val="21"/>
        </w:rPr>
        <w:t xml:space="preserve"> completing a MassHealth Prior Authorization Request (PA-1) </w:t>
      </w:r>
      <w:r w:rsidR="00127166" w:rsidRPr="00DA0378">
        <w:rPr>
          <w:rFonts w:cstheme="minorHAnsi"/>
          <w:color w:val="000000"/>
          <w:sz w:val="21"/>
          <w:szCs w:val="21"/>
        </w:rPr>
        <w:t xml:space="preserve">form </w:t>
      </w:r>
      <w:r w:rsidRPr="00DA0378">
        <w:rPr>
          <w:rFonts w:cstheme="minorHAnsi"/>
          <w:color w:val="000000"/>
          <w:sz w:val="21"/>
          <w:szCs w:val="21"/>
        </w:rPr>
        <w:t xml:space="preserve">and attaching supporting documentation. If submitting a nonelectronic request, a </w:t>
      </w:r>
      <w:proofErr w:type="spellStart"/>
      <w:r w:rsidRPr="00DA0378">
        <w:rPr>
          <w:rFonts w:cstheme="minorHAnsi"/>
          <w:color w:val="000000"/>
          <w:sz w:val="21"/>
          <w:szCs w:val="21"/>
        </w:rPr>
        <w:t>DME</w:t>
      </w:r>
      <w:proofErr w:type="spellEnd"/>
      <w:r w:rsidRPr="00DA0378">
        <w:rPr>
          <w:rFonts w:cstheme="minorHAnsi"/>
          <w:color w:val="000000"/>
          <w:sz w:val="21"/>
          <w:szCs w:val="21"/>
        </w:rPr>
        <w:t xml:space="preserve"> provider should mail the PA-1 form, and any supporting documentation, to the address on the back of the PA-1 form. </w:t>
      </w:r>
      <w:proofErr w:type="spellStart"/>
      <w:r w:rsidRPr="00DA0378">
        <w:rPr>
          <w:rFonts w:cstheme="minorHAnsi"/>
          <w:color w:val="000000"/>
          <w:sz w:val="21"/>
          <w:szCs w:val="21"/>
        </w:rPr>
        <w:t>DME</w:t>
      </w:r>
      <w:proofErr w:type="spellEnd"/>
      <w:r w:rsidRPr="00DA0378">
        <w:rPr>
          <w:rFonts w:cstheme="minorHAnsi"/>
          <w:color w:val="000000"/>
          <w:sz w:val="21"/>
          <w:szCs w:val="21"/>
        </w:rPr>
        <w:t xml:space="preserve"> providers with any questions about </w:t>
      </w:r>
      <w:proofErr w:type="spellStart"/>
      <w:r w:rsidRPr="00DA0378">
        <w:rPr>
          <w:rFonts w:cstheme="minorHAnsi"/>
          <w:color w:val="000000"/>
          <w:sz w:val="21"/>
          <w:szCs w:val="21"/>
        </w:rPr>
        <w:t>LTMS</w:t>
      </w:r>
      <w:proofErr w:type="spellEnd"/>
      <w:r w:rsidRPr="00DA0378">
        <w:rPr>
          <w:rFonts w:cstheme="minorHAnsi"/>
          <w:color w:val="000000"/>
          <w:sz w:val="21"/>
          <w:szCs w:val="21"/>
        </w:rPr>
        <w:t xml:space="preserve"> access may direct them to the MassHealth </w:t>
      </w:r>
      <w:r w:rsidR="008C1DF8">
        <w:rPr>
          <w:rFonts w:cstheme="minorHAnsi"/>
          <w:color w:val="000000"/>
          <w:sz w:val="21"/>
          <w:szCs w:val="21"/>
        </w:rPr>
        <w:t>Long Term Services and Supports</w:t>
      </w:r>
      <w:r w:rsidR="008C1DF8" w:rsidRPr="00DA0378">
        <w:rPr>
          <w:rFonts w:cstheme="minorHAnsi"/>
          <w:color w:val="000000"/>
          <w:sz w:val="21"/>
          <w:szCs w:val="21"/>
        </w:rPr>
        <w:t xml:space="preserve"> </w:t>
      </w:r>
      <w:r w:rsidRPr="00DA0378">
        <w:rPr>
          <w:rFonts w:cstheme="minorHAnsi"/>
          <w:color w:val="000000"/>
          <w:sz w:val="21"/>
          <w:szCs w:val="21"/>
        </w:rPr>
        <w:t xml:space="preserve">Provider Service Center at </w:t>
      </w:r>
      <w:r w:rsidR="007520A0">
        <w:rPr>
          <w:rFonts w:cstheme="minorHAnsi"/>
          <w:color w:val="000000"/>
          <w:sz w:val="21"/>
          <w:szCs w:val="21"/>
        </w:rPr>
        <w:t>(</w:t>
      </w:r>
      <w:r w:rsidRPr="00DA0378">
        <w:rPr>
          <w:rFonts w:cstheme="minorHAnsi"/>
          <w:color w:val="000000"/>
          <w:sz w:val="21"/>
          <w:szCs w:val="21"/>
        </w:rPr>
        <w:t>844</w:t>
      </w:r>
      <w:r w:rsidR="007520A0">
        <w:rPr>
          <w:rFonts w:cstheme="minorHAnsi"/>
          <w:color w:val="000000"/>
          <w:sz w:val="21"/>
          <w:szCs w:val="21"/>
        </w:rPr>
        <w:t xml:space="preserve">) </w:t>
      </w:r>
      <w:r w:rsidRPr="00DA0378">
        <w:rPr>
          <w:rFonts w:cstheme="minorHAnsi"/>
          <w:color w:val="000000"/>
          <w:sz w:val="21"/>
          <w:szCs w:val="21"/>
        </w:rPr>
        <w:t>368-5184.</w:t>
      </w:r>
    </w:p>
    <w:p w14:paraId="6C866F96" w14:textId="269AE68F" w:rsidR="00DA0378" w:rsidRPr="00DA0378" w:rsidRDefault="00DA0378" w:rsidP="00AB3A50">
      <w:pPr>
        <w:suppressAutoHyphens/>
        <w:autoSpaceDE w:val="0"/>
        <w:autoSpaceDN w:val="0"/>
        <w:adjustRightInd w:val="0"/>
        <w:spacing w:before="120" w:after="120" w:line="288" w:lineRule="auto"/>
        <w:ind w:left="302"/>
        <w:textAlignment w:val="center"/>
        <w:rPr>
          <w:rFonts w:cstheme="minorHAnsi"/>
          <w:color w:val="000000"/>
          <w:sz w:val="21"/>
          <w:szCs w:val="21"/>
        </w:rPr>
      </w:pPr>
      <w:r w:rsidRPr="00AB3A50">
        <w:rPr>
          <w:rFonts w:cstheme="minorHAnsi"/>
          <w:color w:val="000000" w:themeColor="text1"/>
          <w:sz w:val="21"/>
          <w:szCs w:val="21"/>
        </w:rPr>
        <w:t xml:space="preserve">When submitting PA requests for Community Case Management </w:t>
      </w:r>
      <w:r w:rsidR="007A7345">
        <w:rPr>
          <w:rFonts w:cstheme="minorHAnsi"/>
          <w:color w:val="000000" w:themeColor="text1"/>
          <w:sz w:val="21"/>
          <w:szCs w:val="21"/>
        </w:rPr>
        <w:t>Program</w:t>
      </w:r>
      <w:r w:rsidRPr="00AB3A50">
        <w:rPr>
          <w:rFonts w:cstheme="minorHAnsi"/>
          <w:color w:val="000000" w:themeColor="text1"/>
          <w:sz w:val="21"/>
          <w:szCs w:val="21"/>
        </w:rPr>
        <w:t xml:space="preserve"> members, </w:t>
      </w:r>
      <w:proofErr w:type="spellStart"/>
      <w:r w:rsidRPr="00AB3A50">
        <w:rPr>
          <w:rFonts w:cstheme="minorHAnsi"/>
          <w:color w:val="000000" w:themeColor="text1"/>
          <w:sz w:val="21"/>
          <w:szCs w:val="21"/>
        </w:rPr>
        <w:t>DME</w:t>
      </w:r>
      <w:proofErr w:type="spellEnd"/>
      <w:r w:rsidRPr="00AB3A50">
        <w:rPr>
          <w:rFonts w:cstheme="minorHAnsi"/>
          <w:color w:val="000000" w:themeColor="text1"/>
          <w:sz w:val="21"/>
          <w:szCs w:val="21"/>
        </w:rPr>
        <w:t xml:space="preserve"> providers must submit all information related to the PA request through the </w:t>
      </w:r>
      <w:proofErr w:type="spellStart"/>
      <w:r w:rsidRPr="00AB3A50">
        <w:rPr>
          <w:rStyle w:val="Hyperlink"/>
          <w:b w:val="0"/>
          <w:color w:val="000000" w:themeColor="text1"/>
        </w:rPr>
        <w:t>POSC</w:t>
      </w:r>
      <w:proofErr w:type="spellEnd"/>
      <w:r w:rsidRPr="00AB3A50">
        <w:rPr>
          <w:rFonts w:cstheme="minorHAnsi"/>
          <w:color w:val="000000" w:themeColor="text1"/>
          <w:sz w:val="21"/>
          <w:szCs w:val="21"/>
        </w:rPr>
        <w:t xml:space="preserve"> or by completing a PA-1 </w:t>
      </w:r>
      <w:r w:rsidR="00127166" w:rsidRPr="00537B33">
        <w:rPr>
          <w:rFonts w:cstheme="minorHAnsi"/>
          <w:color w:val="000000" w:themeColor="text1"/>
          <w:sz w:val="21"/>
          <w:szCs w:val="21"/>
        </w:rPr>
        <w:t xml:space="preserve">form </w:t>
      </w:r>
      <w:r w:rsidRPr="00AB3A50">
        <w:rPr>
          <w:rFonts w:cstheme="minorHAnsi"/>
          <w:color w:val="000000" w:themeColor="text1"/>
          <w:sz w:val="21"/>
          <w:szCs w:val="21"/>
        </w:rPr>
        <w:t xml:space="preserve">and attaching the supporting </w:t>
      </w:r>
      <w:r w:rsidRPr="00DA0378">
        <w:rPr>
          <w:rFonts w:cstheme="minorHAnsi"/>
          <w:color w:val="000000"/>
          <w:sz w:val="21"/>
          <w:szCs w:val="21"/>
        </w:rPr>
        <w:t xml:space="preserve">documentation. If submitting a nonelectronic request, the provider should mail the PA-1 form, and any supporting documentation, to the address on the back of the PA-1 form. Providers with any questions about </w:t>
      </w:r>
      <w:proofErr w:type="spellStart"/>
      <w:r w:rsidRPr="00DA0378">
        <w:rPr>
          <w:rFonts w:cstheme="minorHAnsi"/>
          <w:color w:val="000000"/>
          <w:sz w:val="21"/>
          <w:szCs w:val="21"/>
        </w:rPr>
        <w:t>POSC</w:t>
      </w:r>
      <w:proofErr w:type="spellEnd"/>
      <w:r w:rsidRPr="00DA0378">
        <w:rPr>
          <w:rFonts w:cstheme="minorHAnsi"/>
          <w:color w:val="000000"/>
          <w:sz w:val="21"/>
          <w:szCs w:val="21"/>
        </w:rPr>
        <w:t xml:space="preserve"> access may direct them to the MassHealth Customer Service Center at (800) 841-2900</w:t>
      </w:r>
      <w:r w:rsidR="00127166">
        <w:rPr>
          <w:rFonts w:cstheme="minorHAnsi"/>
          <w:color w:val="000000"/>
          <w:sz w:val="21"/>
          <w:szCs w:val="21"/>
        </w:rPr>
        <w:t xml:space="preserve">, </w:t>
      </w:r>
      <w:proofErr w:type="spellStart"/>
      <w:r w:rsidR="00127166">
        <w:rPr>
          <w:rFonts w:cstheme="minorHAnsi"/>
          <w:color w:val="000000"/>
          <w:sz w:val="21"/>
          <w:szCs w:val="21"/>
        </w:rPr>
        <w:t>TDD</w:t>
      </w:r>
      <w:proofErr w:type="spellEnd"/>
      <w:r w:rsidR="00127166">
        <w:rPr>
          <w:rFonts w:cstheme="minorHAnsi"/>
          <w:color w:val="000000"/>
          <w:sz w:val="21"/>
          <w:szCs w:val="21"/>
        </w:rPr>
        <w:t>/TTY: 711</w:t>
      </w:r>
      <w:r w:rsidRPr="00DA0378">
        <w:rPr>
          <w:rFonts w:cstheme="minorHAnsi"/>
          <w:color w:val="000000"/>
          <w:sz w:val="21"/>
          <w:szCs w:val="21"/>
        </w:rPr>
        <w:t>.</w:t>
      </w:r>
    </w:p>
    <w:p w14:paraId="7C73AE99" w14:textId="1F8BB08D" w:rsidR="00DA0378" w:rsidRPr="00DA0378" w:rsidRDefault="00DA0378" w:rsidP="00AB3A50">
      <w:pPr>
        <w:suppressAutoHyphens/>
        <w:autoSpaceDE w:val="0"/>
        <w:autoSpaceDN w:val="0"/>
        <w:adjustRightInd w:val="0"/>
        <w:spacing w:before="120" w:after="120" w:line="288" w:lineRule="auto"/>
        <w:ind w:left="302"/>
        <w:textAlignment w:val="center"/>
        <w:rPr>
          <w:rFonts w:cstheme="minorHAnsi"/>
          <w:color w:val="000000"/>
          <w:sz w:val="21"/>
          <w:szCs w:val="21"/>
        </w:rPr>
      </w:pPr>
      <w:r w:rsidRPr="00DA0378">
        <w:rPr>
          <w:rFonts w:cstheme="minorHAnsi"/>
          <w:color w:val="000000"/>
          <w:sz w:val="21"/>
          <w:szCs w:val="21"/>
        </w:rPr>
        <w:t xml:space="preserve">For pharmacy providers that are only using POPS, submission criteria may be found on the MassHealth Drug </w:t>
      </w:r>
      <w:r w:rsidR="0099231F">
        <w:rPr>
          <w:rFonts w:cstheme="minorHAnsi"/>
          <w:color w:val="000000"/>
          <w:sz w:val="21"/>
          <w:szCs w:val="21"/>
        </w:rPr>
        <w:t>L</w:t>
      </w:r>
      <w:r w:rsidRPr="00DA0378">
        <w:rPr>
          <w:rFonts w:cstheme="minorHAnsi"/>
          <w:color w:val="000000"/>
          <w:sz w:val="21"/>
          <w:szCs w:val="21"/>
        </w:rPr>
        <w:t xml:space="preserve">ist in Therapeutic Class Table 78: Diabetes Medical Supplies and Emergency Treatments. </w:t>
      </w:r>
    </w:p>
    <w:p w14:paraId="7CFE0D01" w14:textId="77777777" w:rsidR="00DA0378" w:rsidRPr="00DA0378" w:rsidRDefault="00DA0378" w:rsidP="00AE03DC">
      <w:pPr>
        <w:pStyle w:val="Heading2"/>
      </w:pPr>
      <w:r w:rsidRPr="00DA0378">
        <w:t xml:space="preserve">Appendix: </w:t>
      </w:r>
      <w:r w:rsidRPr="00DA0378">
        <w:br/>
        <w:t xml:space="preserve">MassHealth Covered Diabetes Management Devices </w:t>
      </w:r>
    </w:p>
    <w:tbl>
      <w:tblPr>
        <w:tblStyle w:val="TableGridLight"/>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020" w:firstRow="1" w:lastRow="0" w:firstColumn="0" w:lastColumn="0" w:noHBand="0" w:noVBand="0"/>
      </w:tblPr>
      <w:tblGrid>
        <w:gridCol w:w="1170"/>
        <w:gridCol w:w="7450"/>
      </w:tblGrid>
      <w:tr w:rsidR="00DA0378" w:rsidRPr="00DA0378" w14:paraId="416E02A6" w14:textId="77777777" w:rsidTr="000045E6">
        <w:trPr>
          <w:trHeight w:val="210"/>
          <w:tblHeader/>
        </w:trPr>
        <w:tc>
          <w:tcPr>
            <w:tcW w:w="1170" w:type="dxa"/>
            <w:shd w:val="clear" w:color="auto" w:fill="D9D9D9" w:themeFill="background1" w:themeFillShade="D9"/>
          </w:tcPr>
          <w:p w14:paraId="3945CF15"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pacing w:val="7"/>
                <w:sz w:val="28"/>
                <w:szCs w:val="28"/>
              </w:rPr>
            </w:pPr>
            <w:r w:rsidRPr="00DA0378">
              <w:rPr>
                <w:rFonts w:cstheme="minorHAnsi"/>
                <w:b/>
                <w:bCs/>
                <w:color w:val="000000"/>
                <w:spacing w:val="7"/>
                <w:sz w:val="23"/>
                <w:szCs w:val="23"/>
              </w:rPr>
              <w:t>Code</w:t>
            </w:r>
          </w:p>
        </w:tc>
        <w:tc>
          <w:tcPr>
            <w:tcW w:w="7450" w:type="dxa"/>
            <w:shd w:val="clear" w:color="auto" w:fill="D9D9D9" w:themeFill="background1" w:themeFillShade="D9"/>
          </w:tcPr>
          <w:p w14:paraId="46262BE0" w14:textId="77777777" w:rsidR="00DA0378" w:rsidRPr="00DA0378" w:rsidRDefault="00DA0378" w:rsidP="00FE2166">
            <w:pPr>
              <w:suppressAutoHyphens/>
              <w:autoSpaceDE w:val="0"/>
              <w:autoSpaceDN w:val="0"/>
              <w:adjustRightInd w:val="0"/>
              <w:spacing w:before="120" w:after="120"/>
              <w:textAlignment w:val="center"/>
              <w:rPr>
                <w:rFonts w:cstheme="minorHAnsi"/>
                <w:color w:val="000000"/>
                <w:spacing w:val="7"/>
                <w:sz w:val="28"/>
                <w:szCs w:val="28"/>
              </w:rPr>
            </w:pPr>
            <w:r w:rsidRPr="00DA0378">
              <w:rPr>
                <w:rFonts w:cstheme="minorHAnsi"/>
                <w:b/>
                <w:bCs/>
                <w:color w:val="000000"/>
                <w:spacing w:val="7"/>
                <w:sz w:val="23"/>
                <w:szCs w:val="23"/>
              </w:rPr>
              <w:t>Description</w:t>
            </w:r>
          </w:p>
        </w:tc>
      </w:tr>
      <w:tr w:rsidR="00DA0378" w:rsidRPr="00DA0378" w14:paraId="4787C232" w14:textId="77777777" w:rsidTr="000045E6">
        <w:trPr>
          <w:trHeight w:val="341"/>
        </w:trPr>
        <w:tc>
          <w:tcPr>
            <w:tcW w:w="1170" w:type="dxa"/>
          </w:tcPr>
          <w:p w14:paraId="34685EB7"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A4253</w:t>
            </w:r>
            <w:proofErr w:type="spellEnd"/>
          </w:p>
        </w:tc>
        <w:tc>
          <w:tcPr>
            <w:tcW w:w="7450" w:type="dxa"/>
          </w:tcPr>
          <w:p w14:paraId="2306661A" w14:textId="77777777"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Blood glucose test or reagent strips for home blood glucose monitor, per 50 strips</w:t>
            </w:r>
          </w:p>
        </w:tc>
      </w:tr>
      <w:tr w:rsidR="00DA0378" w:rsidRPr="00DA0378" w14:paraId="0B41E805" w14:textId="77777777" w:rsidTr="000045E6">
        <w:trPr>
          <w:trHeight w:val="296"/>
        </w:trPr>
        <w:tc>
          <w:tcPr>
            <w:tcW w:w="1170" w:type="dxa"/>
          </w:tcPr>
          <w:p w14:paraId="3E31CE55"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A4255</w:t>
            </w:r>
            <w:proofErr w:type="spellEnd"/>
          </w:p>
        </w:tc>
        <w:tc>
          <w:tcPr>
            <w:tcW w:w="7450" w:type="dxa"/>
          </w:tcPr>
          <w:p w14:paraId="17C56860" w14:textId="77777777"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Platforms for home blood glucose monitor, 50 per box</w:t>
            </w:r>
          </w:p>
        </w:tc>
      </w:tr>
      <w:tr w:rsidR="00DA0378" w:rsidRPr="00DA0378" w14:paraId="29CF4DAB" w14:textId="77777777" w:rsidTr="000045E6">
        <w:trPr>
          <w:trHeight w:val="341"/>
        </w:trPr>
        <w:tc>
          <w:tcPr>
            <w:tcW w:w="1170" w:type="dxa"/>
          </w:tcPr>
          <w:p w14:paraId="7A6EC3AE"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A4256</w:t>
            </w:r>
            <w:proofErr w:type="spellEnd"/>
          </w:p>
        </w:tc>
        <w:tc>
          <w:tcPr>
            <w:tcW w:w="7450" w:type="dxa"/>
          </w:tcPr>
          <w:p w14:paraId="0655EF70" w14:textId="77777777"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Normal, low and high calibrator solution/chips</w:t>
            </w:r>
          </w:p>
        </w:tc>
      </w:tr>
      <w:tr w:rsidR="00DA0378" w:rsidRPr="00DA0378" w14:paraId="12BA535E" w14:textId="77777777" w:rsidTr="000045E6">
        <w:trPr>
          <w:trHeight w:val="485"/>
        </w:trPr>
        <w:tc>
          <w:tcPr>
            <w:tcW w:w="1170" w:type="dxa"/>
          </w:tcPr>
          <w:p w14:paraId="10E35285"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A9274</w:t>
            </w:r>
            <w:proofErr w:type="spellEnd"/>
          </w:p>
        </w:tc>
        <w:tc>
          <w:tcPr>
            <w:tcW w:w="7450" w:type="dxa"/>
          </w:tcPr>
          <w:p w14:paraId="7BE17109" w14:textId="77777777"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External ambulatory insulin delivery system, disposable, each, includes all supplies and accessories</w:t>
            </w:r>
          </w:p>
        </w:tc>
      </w:tr>
      <w:tr w:rsidR="00DA0378" w:rsidRPr="00DA0378" w14:paraId="2C96E042" w14:textId="77777777" w:rsidTr="000045E6">
        <w:trPr>
          <w:trHeight w:val="638"/>
        </w:trPr>
        <w:tc>
          <w:tcPr>
            <w:tcW w:w="1170" w:type="dxa"/>
          </w:tcPr>
          <w:p w14:paraId="111D029C"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A9276</w:t>
            </w:r>
            <w:proofErr w:type="spellEnd"/>
          </w:p>
        </w:tc>
        <w:tc>
          <w:tcPr>
            <w:tcW w:w="7450" w:type="dxa"/>
          </w:tcPr>
          <w:p w14:paraId="20F9DCC3" w14:textId="3477F6D1"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 xml:space="preserve">Sensor, invasive (e.g., subcutaneous), disposable, for use with interstitial </w:t>
            </w:r>
            <w:proofErr w:type="spellStart"/>
            <w:r w:rsidR="004D7FA4">
              <w:rPr>
                <w:rFonts w:cstheme="minorHAnsi"/>
                <w:color w:val="000000"/>
                <w:sz w:val="21"/>
                <w:szCs w:val="21"/>
              </w:rPr>
              <w:t>CGM</w:t>
            </w:r>
            <w:proofErr w:type="spellEnd"/>
            <w:r w:rsidR="004D7FA4">
              <w:rPr>
                <w:rFonts w:cstheme="minorHAnsi"/>
                <w:color w:val="000000"/>
                <w:sz w:val="21"/>
                <w:szCs w:val="21"/>
              </w:rPr>
              <w:t xml:space="preserve"> </w:t>
            </w:r>
            <w:r w:rsidRPr="00DA0378">
              <w:rPr>
                <w:rFonts w:cstheme="minorHAnsi"/>
                <w:color w:val="000000"/>
                <w:sz w:val="21"/>
                <w:szCs w:val="21"/>
              </w:rPr>
              <w:t>system</w:t>
            </w:r>
          </w:p>
        </w:tc>
      </w:tr>
      <w:tr w:rsidR="00DA0378" w:rsidRPr="00DA0378" w14:paraId="027AF2AE" w14:textId="77777777" w:rsidTr="000045E6">
        <w:trPr>
          <w:trHeight w:val="431"/>
        </w:trPr>
        <w:tc>
          <w:tcPr>
            <w:tcW w:w="1170" w:type="dxa"/>
          </w:tcPr>
          <w:p w14:paraId="33261F64"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A9277</w:t>
            </w:r>
            <w:proofErr w:type="spellEnd"/>
          </w:p>
        </w:tc>
        <w:tc>
          <w:tcPr>
            <w:tcW w:w="7450" w:type="dxa"/>
          </w:tcPr>
          <w:p w14:paraId="588F09E1" w14:textId="54800038"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 xml:space="preserve">Transmitter, external for use with interstitial </w:t>
            </w:r>
            <w:proofErr w:type="spellStart"/>
            <w:r w:rsidR="004D7FA4">
              <w:rPr>
                <w:rFonts w:cstheme="minorHAnsi"/>
                <w:color w:val="000000"/>
                <w:sz w:val="21"/>
                <w:szCs w:val="21"/>
              </w:rPr>
              <w:t>CGM</w:t>
            </w:r>
            <w:proofErr w:type="spellEnd"/>
            <w:r w:rsidR="004D7FA4">
              <w:rPr>
                <w:rFonts w:cstheme="minorHAnsi"/>
                <w:color w:val="000000"/>
                <w:sz w:val="21"/>
                <w:szCs w:val="21"/>
              </w:rPr>
              <w:t xml:space="preserve"> </w:t>
            </w:r>
            <w:r w:rsidRPr="00DA0378">
              <w:rPr>
                <w:rFonts w:cstheme="minorHAnsi"/>
                <w:color w:val="000000"/>
                <w:sz w:val="21"/>
                <w:szCs w:val="21"/>
              </w:rPr>
              <w:t>system</w:t>
            </w:r>
          </w:p>
        </w:tc>
      </w:tr>
      <w:tr w:rsidR="00DA0378" w:rsidRPr="00DA0378" w14:paraId="7AFC9F87" w14:textId="77777777" w:rsidTr="000045E6">
        <w:trPr>
          <w:trHeight w:val="647"/>
        </w:trPr>
        <w:tc>
          <w:tcPr>
            <w:tcW w:w="1170" w:type="dxa"/>
          </w:tcPr>
          <w:p w14:paraId="41BCACF1"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lastRenderedPageBreak/>
              <w:t>A9278</w:t>
            </w:r>
            <w:proofErr w:type="spellEnd"/>
          </w:p>
        </w:tc>
        <w:tc>
          <w:tcPr>
            <w:tcW w:w="7450" w:type="dxa"/>
          </w:tcPr>
          <w:p w14:paraId="7E436813" w14:textId="74DDBBF2"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 xml:space="preserve">Receiver (monitor), external for use with interstitial </w:t>
            </w:r>
            <w:proofErr w:type="spellStart"/>
            <w:r w:rsidR="004D7FA4">
              <w:rPr>
                <w:rFonts w:cstheme="minorHAnsi"/>
                <w:color w:val="000000"/>
                <w:sz w:val="21"/>
                <w:szCs w:val="21"/>
              </w:rPr>
              <w:t>CGM</w:t>
            </w:r>
            <w:proofErr w:type="spellEnd"/>
            <w:r w:rsidR="004D7FA4">
              <w:rPr>
                <w:rFonts w:cstheme="minorHAnsi"/>
                <w:color w:val="000000"/>
                <w:sz w:val="21"/>
                <w:szCs w:val="21"/>
              </w:rPr>
              <w:t xml:space="preserve"> </w:t>
            </w:r>
            <w:r w:rsidRPr="00DA0378">
              <w:rPr>
                <w:rFonts w:cstheme="minorHAnsi"/>
                <w:color w:val="000000"/>
                <w:sz w:val="21"/>
                <w:szCs w:val="21"/>
              </w:rPr>
              <w:t>system</w:t>
            </w:r>
          </w:p>
        </w:tc>
      </w:tr>
      <w:tr w:rsidR="00DA0378" w:rsidRPr="00DA0378" w14:paraId="3F879886" w14:textId="77777777" w:rsidTr="000045E6">
        <w:trPr>
          <w:trHeight w:val="440"/>
        </w:trPr>
        <w:tc>
          <w:tcPr>
            <w:tcW w:w="1170" w:type="dxa"/>
          </w:tcPr>
          <w:p w14:paraId="4880FD59"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E0784</w:t>
            </w:r>
            <w:proofErr w:type="spellEnd"/>
          </w:p>
        </w:tc>
        <w:tc>
          <w:tcPr>
            <w:tcW w:w="7450" w:type="dxa"/>
          </w:tcPr>
          <w:p w14:paraId="17840A30" w14:textId="77777777"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External ambulatory infusion pump, insulin</w:t>
            </w:r>
          </w:p>
        </w:tc>
      </w:tr>
      <w:tr w:rsidR="00DA0378" w:rsidRPr="00DA0378" w14:paraId="27254DD3" w14:textId="77777777" w:rsidTr="000045E6">
        <w:trPr>
          <w:trHeight w:val="440"/>
        </w:trPr>
        <w:tc>
          <w:tcPr>
            <w:tcW w:w="1170" w:type="dxa"/>
          </w:tcPr>
          <w:p w14:paraId="4FF3124A"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K0553</w:t>
            </w:r>
            <w:proofErr w:type="spellEnd"/>
          </w:p>
        </w:tc>
        <w:tc>
          <w:tcPr>
            <w:tcW w:w="7450" w:type="dxa"/>
          </w:tcPr>
          <w:p w14:paraId="3B1170E8" w14:textId="44D7276C"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 xml:space="preserve">Supply allowance for therapeutic </w:t>
            </w:r>
            <w:proofErr w:type="spellStart"/>
            <w:r w:rsidRPr="00DA0378">
              <w:rPr>
                <w:rFonts w:cstheme="minorHAnsi"/>
                <w:color w:val="000000"/>
                <w:sz w:val="21"/>
                <w:szCs w:val="21"/>
              </w:rPr>
              <w:t>CGM</w:t>
            </w:r>
            <w:proofErr w:type="spellEnd"/>
            <w:r w:rsidRPr="00DA0378">
              <w:rPr>
                <w:rFonts w:cstheme="minorHAnsi"/>
                <w:color w:val="000000"/>
                <w:sz w:val="21"/>
                <w:szCs w:val="21"/>
              </w:rPr>
              <w:t xml:space="preserve">, includes all supplies and accessories, 1 unit of service = 1 month’s supply </w:t>
            </w:r>
          </w:p>
        </w:tc>
      </w:tr>
      <w:tr w:rsidR="00DA0378" w:rsidRPr="00DA0378" w14:paraId="094BB966" w14:textId="77777777" w:rsidTr="000045E6">
        <w:trPr>
          <w:trHeight w:val="503"/>
        </w:trPr>
        <w:tc>
          <w:tcPr>
            <w:tcW w:w="1170" w:type="dxa"/>
          </w:tcPr>
          <w:p w14:paraId="5D274D73" w14:textId="77777777" w:rsidR="00DA0378" w:rsidRPr="00DA0378" w:rsidRDefault="00DA0378" w:rsidP="00FE2166">
            <w:pPr>
              <w:suppressAutoHyphens/>
              <w:autoSpaceDE w:val="0"/>
              <w:autoSpaceDN w:val="0"/>
              <w:adjustRightInd w:val="0"/>
              <w:spacing w:before="120" w:after="120"/>
              <w:jc w:val="center"/>
              <w:textAlignment w:val="center"/>
              <w:rPr>
                <w:rFonts w:cstheme="minorHAnsi"/>
                <w:color w:val="000000"/>
                <w:sz w:val="21"/>
                <w:szCs w:val="21"/>
              </w:rPr>
            </w:pPr>
            <w:proofErr w:type="spellStart"/>
            <w:r w:rsidRPr="00DA0378">
              <w:rPr>
                <w:rFonts w:cstheme="minorHAnsi"/>
                <w:color w:val="000000"/>
                <w:sz w:val="21"/>
                <w:szCs w:val="21"/>
              </w:rPr>
              <w:t>K0554</w:t>
            </w:r>
            <w:proofErr w:type="spellEnd"/>
          </w:p>
        </w:tc>
        <w:tc>
          <w:tcPr>
            <w:tcW w:w="7450" w:type="dxa"/>
          </w:tcPr>
          <w:p w14:paraId="47D31EA7" w14:textId="4342BC36" w:rsidR="00DA0378" w:rsidRPr="00DA0378" w:rsidRDefault="00DA0378" w:rsidP="00FE2166">
            <w:pPr>
              <w:suppressAutoHyphens/>
              <w:autoSpaceDE w:val="0"/>
              <w:autoSpaceDN w:val="0"/>
              <w:adjustRightInd w:val="0"/>
              <w:spacing w:before="120" w:after="120"/>
              <w:textAlignment w:val="center"/>
              <w:rPr>
                <w:rFonts w:cstheme="minorHAnsi"/>
                <w:color w:val="000000"/>
                <w:sz w:val="21"/>
                <w:szCs w:val="21"/>
              </w:rPr>
            </w:pPr>
            <w:r w:rsidRPr="00DA0378">
              <w:rPr>
                <w:rFonts w:cstheme="minorHAnsi"/>
                <w:color w:val="000000"/>
                <w:sz w:val="21"/>
                <w:szCs w:val="21"/>
              </w:rPr>
              <w:t>Receiver (</w:t>
            </w:r>
            <w:r w:rsidR="000C6DF0">
              <w:rPr>
                <w:rFonts w:cstheme="minorHAnsi"/>
                <w:color w:val="000000"/>
                <w:sz w:val="21"/>
                <w:szCs w:val="21"/>
              </w:rPr>
              <w:t>m</w:t>
            </w:r>
            <w:r w:rsidRPr="00DA0378">
              <w:rPr>
                <w:rFonts w:cstheme="minorHAnsi"/>
                <w:color w:val="000000"/>
                <w:sz w:val="21"/>
                <w:szCs w:val="21"/>
              </w:rPr>
              <w:t xml:space="preserve">onitor), dedicated, for use with therapeutic continuous glucose monitor system </w:t>
            </w:r>
          </w:p>
        </w:tc>
      </w:tr>
    </w:tbl>
    <w:p w14:paraId="39143188" w14:textId="77777777" w:rsidR="00DA0378" w:rsidRPr="00DA0378" w:rsidRDefault="00DA0378" w:rsidP="001B7E49">
      <w:pPr>
        <w:autoSpaceDE w:val="0"/>
        <w:autoSpaceDN w:val="0"/>
        <w:adjustRightInd w:val="0"/>
        <w:spacing w:after="0" w:line="288" w:lineRule="auto"/>
        <w:textAlignment w:val="center"/>
        <w:rPr>
          <w:rFonts w:cstheme="minorHAnsi"/>
          <w:b/>
          <w:bCs/>
          <w:color w:val="000000"/>
          <w:sz w:val="24"/>
          <w:szCs w:val="24"/>
        </w:rPr>
      </w:pPr>
    </w:p>
    <w:p w14:paraId="42B53E66" w14:textId="77777777" w:rsidR="00DA0378" w:rsidRPr="00DA0378" w:rsidRDefault="00DA0378" w:rsidP="0039033B">
      <w:pPr>
        <w:pStyle w:val="Heading2"/>
        <w:spacing w:before="0"/>
        <w:rPr>
          <w:sz w:val="24"/>
          <w:szCs w:val="24"/>
        </w:rPr>
      </w:pPr>
      <w:r w:rsidRPr="00DA0378">
        <w:t>Select References</w:t>
      </w:r>
    </w:p>
    <w:p w14:paraId="3E279F74"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American Diabetes Association. Standards of Medical Care in Diabetes – 2017. Diabetes Care Volume 40, Supplement 1, January 2017.</w:t>
      </w:r>
    </w:p>
    <w:p w14:paraId="111CFB29"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Aronson R, Reznik Y, </w:t>
      </w:r>
      <w:proofErr w:type="spellStart"/>
      <w:r w:rsidRPr="000664AD">
        <w:rPr>
          <w:rFonts w:cstheme="minorHAnsi"/>
          <w:color w:val="000000"/>
          <w:sz w:val="21"/>
          <w:szCs w:val="21"/>
        </w:rPr>
        <w:t>Conget</w:t>
      </w:r>
      <w:proofErr w:type="spellEnd"/>
      <w:r w:rsidRPr="000664AD">
        <w:rPr>
          <w:rFonts w:cstheme="minorHAnsi"/>
          <w:color w:val="000000"/>
          <w:sz w:val="21"/>
          <w:szCs w:val="21"/>
        </w:rPr>
        <w:t xml:space="preserve"> I, et al. Sustained efficacy of insulin pump therapy compared with multiple daily injections in type 2 diabetes: 12‐month data from the </w:t>
      </w:r>
      <w:proofErr w:type="spellStart"/>
      <w:r w:rsidRPr="000664AD">
        <w:rPr>
          <w:rFonts w:cstheme="minorHAnsi"/>
          <w:color w:val="000000"/>
          <w:sz w:val="21"/>
          <w:szCs w:val="21"/>
        </w:rPr>
        <w:t>OpT2mise</w:t>
      </w:r>
      <w:proofErr w:type="spellEnd"/>
      <w:r w:rsidRPr="000664AD">
        <w:rPr>
          <w:rFonts w:cstheme="minorHAnsi"/>
          <w:color w:val="000000"/>
          <w:sz w:val="21"/>
          <w:szCs w:val="21"/>
        </w:rPr>
        <w:t xml:space="preserve"> randomized trial. Diabetes </w:t>
      </w:r>
      <w:proofErr w:type="spellStart"/>
      <w:r w:rsidRPr="000664AD">
        <w:rPr>
          <w:rFonts w:cstheme="minorHAnsi"/>
          <w:color w:val="000000"/>
          <w:sz w:val="21"/>
          <w:szCs w:val="21"/>
        </w:rPr>
        <w:t>Obes</w:t>
      </w:r>
      <w:proofErr w:type="spellEnd"/>
      <w:r w:rsidRPr="000664AD">
        <w:rPr>
          <w:rFonts w:cstheme="minorHAnsi"/>
          <w:color w:val="000000"/>
          <w:sz w:val="21"/>
          <w:szCs w:val="21"/>
        </w:rPr>
        <w:t xml:space="preserve"> </w:t>
      </w:r>
      <w:proofErr w:type="spellStart"/>
      <w:r w:rsidRPr="000664AD">
        <w:rPr>
          <w:rFonts w:cstheme="minorHAnsi"/>
          <w:color w:val="000000"/>
          <w:sz w:val="21"/>
          <w:szCs w:val="21"/>
        </w:rPr>
        <w:t>Metab</w:t>
      </w:r>
      <w:proofErr w:type="spellEnd"/>
      <w:r w:rsidRPr="000664AD">
        <w:rPr>
          <w:rFonts w:cstheme="minorHAnsi"/>
          <w:color w:val="000000"/>
          <w:sz w:val="21"/>
          <w:szCs w:val="21"/>
        </w:rPr>
        <w:t xml:space="preserve">. 2016;18(5):500-507. </w:t>
      </w:r>
      <w:proofErr w:type="spellStart"/>
      <w:r w:rsidRPr="000664AD">
        <w:rPr>
          <w:rFonts w:cstheme="minorHAnsi"/>
          <w:color w:val="000000"/>
          <w:sz w:val="21"/>
          <w:szCs w:val="21"/>
        </w:rPr>
        <w:t>doi:10.1111</w:t>
      </w:r>
      <w:proofErr w:type="spellEnd"/>
      <w:r w:rsidRPr="000664AD">
        <w:rPr>
          <w:rFonts w:cstheme="minorHAnsi"/>
          <w:color w:val="000000"/>
          <w:sz w:val="21"/>
          <w:szCs w:val="21"/>
        </w:rPr>
        <w:t>/</w:t>
      </w:r>
      <w:proofErr w:type="spellStart"/>
      <w:r w:rsidRPr="000664AD">
        <w:rPr>
          <w:rFonts w:cstheme="minorHAnsi"/>
          <w:color w:val="000000"/>
          <w:sz w:val="21"/>
          <w:szCs w:val="21"/>
        </w:rPr>
        <w:t>dom.12642</w:t>
      </w:r>
      <w:proofErr w:type="spellEnd"/>
      <w:r w:rsidRPr="000664AD">
        <w:rPr>
          <w:rFonts w:cstheme="minorHAnsi"/>
          <w:color w:val="000000"/>
          <w:sz w:val="21"/>
          <w:szCs w:val="21"/>
        </w:rPr>
        <w:t xml:space="preserve">. </w:t>
      </w:r>
    </w:p>
    <w:p w14:paraId="1FDC1B74"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Beck </w:t>
      </w:r>
      <w:proofErr w:type="spellStart"/>
      <w:r w:rsidRPr="000664AD">
        <w:rPr>
          <w:rFonts w:cstheme="minorHAnsi"/>
          <w:color w:val="000000"/>
          <w:sz w:val="21"/>
          <w:szCs w:val="21"/>
        </w:rPr>
        <w:t>RW</w:t>
      </w:r>
      <w:proofErr w:type="spellEnd"/>
      <w:r w:rsidRPr="000664AD">
        <w:rPr>
          <w:rFonts w:cstheme="minorHAnsi"/>
          <w:color w:val="000000"/>
          <w:sz w:val="21"/>
          <w:szCs w:val="21"/>
        </w:rPr>
        <w:t xml:space="preserve">, </w:t>
      </w:r>
      <w:proofErr w:type="spellStart"/>
      <w:r w:rsidRPr="000664AD">
        <w:rPr>
          <w:rFonts w:cstheme="minorHAnsi"/>
          <w:color w:val="000000"/>
          <w:sz w:val="21"/>
          <w:szCs w:val="21"/>
        </w:rPr>
        <w:t>Riddlesworth</w:t>
      </w:r>
      <w:proofErr w:type="spellEnd"/>
      <w:r w:rsidRPr="000664AD">
        <w:rPr>
          <w:rFonts w:cstheme="minorHAnsi"/>
          <w:color w:val="000000"/>
          <w:sz w:val="21"/>
          <w:szCs w:val="21"/>
        </w:rPr>
        <w:t xml:space="preserve"> TD, Ruedy K, et al. Continuous Glucose Monitoring Versus Usual Care in Patients With Type 2 Diabetes Receiving Multiple Daily Insulin Injections: A Randomized Trial. Ann Intern Med 2017;167:365-74. (Beck, </w:t>
      </w:r>
      <w:proofErr w:type="spellStart"/>
      <w:r w:rsidRPr="000664AD">
        <w:rPr>
          <w:rFonts w:cstheme="minorHAnsi"/>
          <w:color w:val="000000"/>
          <w:sz w:val="21"/>
          <w:szCs w:val="21"/>
        </w:rPr>
        <w:t>2017a</w:t>
      </w:r>
      <w:proofErr w:type="spellEnd"/>
      <w:r w:rsidRPr="000664AD">
        <w:rPr>
          <w:rFonts w:cstheme="minorHAnsi"/>
          <w:color w:val="000000"/>
          <w:sz w:val="21"/>
          <w:szCs w:val="21"/>
        </w:rPr>
        <w:t xml:space="preserve">). </w:t>
      </w:r>
      <w:proofErr w:type="spellStart"/>
      <w:r w:rsidRPr="000664AD">
        <w:rPr>
          <w:rFonts w:cstheme="minorHAnsi"/>
          <w:color w:val="000000"/>
          <w:sz w:val="21"/>
          <w:szCs w:val="21"/>
        </w:rPr>
        <w:t>PMID</w:t>
      </w:r>
      <w:proofErr w:type="spellEnd"/>
      <w:r w:rsidRPr="000664AD">
        <w:rPr>
          <w:rFonts w:cstheme="minorHAnsi"/>
          <w:color w:val="000000"/>
          <w:sz w:val="21"/>
          <w:szCs w:val="21"/>
        </w:rPr>
        <w:t>: 28828487.</w:t>
      </w:r>
    </w:p>
    <w:p w14:paraId="5A15F686"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Blevins TC, et. al. Statement by the American Association of Clinical Endocrinologists Consensus Panel on Continuous Glucose Monitoring. </w:t>
      </w:r>
      <w:proofErr w:type="spellStart"/>
      <w:r w:rsidRPr="000664AD">
        <w:rPr>
          <w:rFonts w:cstheme="minorHAnsi"/>
          <w:color w:val="000000"/>
          <w:sz w:val="21"/>
          <w:szCs w:val="21"/>
        </w:rPr>
        <w:t>Endocr</w:t>
      </w:r>
      <w:proofErr w:type="spellEnd"/>
      <w:r w:rsidRPr="000664AD">
        <w:rPr>
          <w:rFonts w:cstheme="minorHAnsi"/>
          <w:color w:val="000000"/>
          <w:sz w:val="21"/>
          <w:szCs w:val="21"/>
        </w:rPr>
        <w:t xml:space="preserve"> </w:t>
      </w:r>
      <w:proofErr w:type="spellStart"/>
      <w:r w:rsidRPr="000664AD">
        <w:rPr>
          <w:rFonts w:cstheme="minorHAnsi"/>
          <w:color w:val="000000"/>
          <w:sz w:val="21"/>
          <w:szCs w:val="21"/>
        </w:rPr>
        <w:t>Pract</w:t>
      </w:r>
      <w:proofErr w:type="spellEnd"/>
      <w:r w:rsidRPr="000664AD">
        <w:rPr>
          <w:rFonts w:cstheme="minorHAnsi"/>
          <w:color w:val="000000"/>
          <w:sz w:val="21"/>
          <w:szCs w:val="21"/>
        </w:rPr>
        <w:t>. 2010; 16(No. 5).</w:t>
      </w:r>
    </w:p>
    <w:p w14:paraId="179F542A"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Carlson AL, Mullen DM, </w:t>
      </w:r>
      <w:proofErr w:type="spellStart"/>
      <w:r w:rsidRPr="000664AD">
        <w:rPr>
          <w:rFonts w:cstheme="minorHAnsi"/>
          <w:color w:val="000000"/>
          <w:sz w:val="21"/>
          <w:szCs w:val="21"/>
        </w:rPr>
        <w:t>Bergenstal</w:t>
      </w:r>
      <w:proofErr w:type="spellEnd"/>
      <w:r w:rsidRPr="000664AD">
        <w:rPr>
          <w:rFonts w:cstheme="minorHAnsi"/>
          <w:color w:val="000000"/>
          <w:sz w:val="21"/>
          <w:szCs w:val="21"/>
        </w:rPr>
        <w:t xml:space="preserve"> RM. Clinical Use of Continuous Glucose Monitoring in Adults with Type 2 Diabetes. Diabetes Technol Ther. 2017;19(</w:t>
      </w:r>
      <w:proofErr w:type="spellStart"/>
      <w:r w:rsidRPr="000664AD">
        <w:rPr>
          <w:rFonts w:cstheme="minorHAnsi"/>
          <w:color w:val="000000"/>
          <w:sz w:val="21"/>
          <w:szCs w:val="21"/>
        </w:rPr>
        <w:t>S2</w:t>
      </w:r>
      <w:proofErr w:type="spellEnd"/>
      <w:r w:rsidRPr="000664AD">
        <w:rPr>
          <w:rFonts w:cstheme="minorHAnsi"/>
          <w:color w:val="000000"/>
          <w:sz w:val="21"/>
          <w:szCs w:val="21"/>
        </w:rPr>
        <w:t>):</w:t>
      </w:r>
      <w:proofErr w:type="spellStart"/>
      <w:r w:rsidRPr="000664AD">
        <w:rPr>
          <w:rFonts w:cstheme="minorHAnsi"/>
          <w:color w:val="000000"/>
          <w:sz w:val="21"/>
          <w:szCs w:val="21"/>
        </w:rPr>
        <w:t>S4-S11</w:t>
      </w:r>
      <w:proofErr w:type="spellEnd"/>
      <w:r w:rsidRPr="000664AD">
        <w:rPr>
          <w:rFonts w:cstheme="minorHAnsi"/>
          <w:color w:val="000000"/>
          <w:sz w:val="21"/>
          <w:szCs w:val="21"/>
        </w:rPr>
        <w:t xml:space="preserve">. </w:t>
      </w:r>
      <w:proofErr w:type="spellStart"/>
      <w:r w:rsidRPr="000664AD">
        <w:rPr>
          <w:rFonts w:cstheme="minorHAnsi"/>
          <w:color w:val="000000"/>
          <w:sz w:val="21"/>
          <w:szCs w:val="21"/>
        </w:rPr>
        <w:t>doi:10.1089</w:t>
      </w:r>
      <w:proofErr w:type="spellEnd"/>
      <w:r w:rsidRPr="000664AD">
        <w:rPr>
          <w:rFonts w:cstheme="minorHAnsi"/>
          <w:color w:val="000000"/>
          <w:sz w:val="21"/>
          <w:szCs w:val="21"/>
        </w:rPr>
        <w:t>/</w:t>
      </w:r>
      <w:proofErr w:type="spellStart"/>
      <w:r w:rsidRPr="000664AD">
        <w:rPr>
          <w:rFonts w:cstheme="minorHAnsi"/>
          <w:color w:val="000000"/>
          <w:sz w:val="21"/>
          <w:szCs w:val="21"/>
        </w:rPr>
        <w:t>dia.2017.0024</w:t>
      </w:r>
      <w:proofErr w:type="spellEnd"/>
      <w:r w:rsidRPr="000664AD">
        <w:rPr>
          <w:rFonts w:cstheme="minorHAnsi"/>
          <w:color w:val="000000"/>
          <w:sz w:val="21"/>
          <w:szCs w:val="21"/>
        </w:rPr>
        <w:t xml:space="preserve">. </w:t>
      </w:r>
    </w:p>
    <w:p w14:paraId="566C8ECC"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Castle JR, DeVries JH, Kovatchev B. Future of Automated Insulin Delivery Systems. Diabetes Technol Ther. 2017;19(Suppl 3):S-67-S-72. </w:t>
      </w:r>
      <w:proofErr w:type="spellStart"/>
      <w:r w:rsidRPr="000664AD">
        <w:rPr>
          <w:rFonts w:cstheme="minorHAnsi"/>
          <w:color w:val="000000"/>
          <w:sz w:val="21"/>
          <w:szCs w:val="21"/>
        </w:rPr>
        <w:t>doi:10.1089</w:t>
      </w:r>
      <w:proofErr w:type="spellEnd"/>
      <w:r w:rsidRPr="000664AD">
        <w:rPr>
          <w:rFonts w:cstheme="minorHAnsi"/>
          <w:color w:val="000000"/>
          <w:sz w:val="21"/>
          <w:szCs w:val="21"/>
        </w:rPr>
        <w:t>/</w:t>
      </w:r>
      <w:proofErr w:type="spellStart"/>
      <w:r w:rsidRPr="000664AD">
        <w:rPr>
          <w:rFonts w:cstheme="minorHAnsi"/>
          <w:color w:val="000000"/>
          <w:sz w:val="21"/>
          <w:szCs w:val="21"/>
        </w:rPr>
        <w:t>dia.2017.0012</w:t>
      </w:r>
      <w:proofErr w:type="spellEnd"/>
      <w:r w:rsidRPr="000664AD">
        <w:rPr>
          <w:rFonts w:cstheme="minorHAnsi"/>
          <w:color w:val="000000"/>
          <w:sz w:val="21"/>
          <w:szCs w:val="21"/>
        </w:rPr>
        <w:t>.</w:t>
      </w:r>
    </w:p>
    <w:p w14:paraId="1DAF0326"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Christiansen MP, et al. A Prospective Multicenter Evaluation of the Accuracy and Safety of an Implanted Continuous Glucose Sensor: The PRECISION Study. DIABETES TECHNOLOGY &amp; THERAPEUTICS Volume 21, Number 5, 2019.</w:t>
      </w:r>
    </w:p>
    <w:p w14:paraId="5E1896E1"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Cohen O, Valentine W. Do We Need Updated Guidelines on the Use of Insulin Pump Therapy in Type 2 Diabetes? A Review of National and International Practice Guidelines. J Diabetes Sci Technol. 2016;10(6):1388-1398. </w:t>
      </w:r>
    </w:p>
    <w:p w14:paraId="706119EA" w14:textId="4D2AA4A0" w:rsidR="00DA0378" w:rsidRPr="00AB3A50"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themeColor="text1"/>
          <w:sz w:val="21"/>
          <w:szCs w:val="21"/>
        </w:rPr>
      </w:pPr>
      <w:r w:rsidRPr="000664AD">
        <w:rPr>
          <w:rFonts w:cstheme="minorHAnsi"/>
          <w:color w:val="000000"/>
          <w:sz w:val="21"/>
          <w:szCs w:val="21"/>
        </w:rPr>
        <w:t xml:space="preserve">Continuous subcutaneous insulin infusion for the treatment of diabetes mellitus | Guidance and </w:t>
      </w:r>
      <w:r w:rsidRPr="00AB3A50">
        <w:rPr>
          <w:rFonts w:cstheme="minorHAnsi"/>
          <w:color w:val="000000" w:themeColor="text1"/>
          <w:sz w:val="21"/>
          <w:szCs w:val="21"/>
        </w:rPr>
        <w:t xml:space="preserve">guidelines | NICE. </w:t>
      </w:r>
      <w:hyperlink r:id="rId16" w:history="1">
        <w:r w:rsidRPr="00AB3A50">
          <w:rPr>
            <w:rStyle w:val="Hyperlink"/>
            <w:b w:val="0"/>
            <w:color w:val="000000" w:themeColor="text1"/>
            <w:u w:val="single"/>
          </w:rPr>
          <w:t>https://www.nice.org.uk/guidance/TA151/chapter/1-guidance</w:t>
        </w:r>
      </w:hyperlink>
      <w:r w:rsidRPr="00AB3A50">
        <w:rPr>
          <w:rFonts w:cstheme="minorHAnsi"/>
          <w:color w:val="000000" w:themeColor="text1"/>
          <w:sz w:val="21"/>
          <w:szCs w:val="21"/>
        </w:rPr>
        <w:t>. Accessed Dec 10, 2019.</w:t>
      </w:r>
    </w:p>
    <w:p w14:paraId="582C2097"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Feig DS, Donovan LE, </w:t>
      </w:r>
      <w:proofErr w:type="spellStart"/>
      <w:r w:rsidRPr="000664AD">
        <w:rPr>
          <w:rFonts w:cstheme="minorHAnsi"/>
          <w:color w:val="000000"/>
          <w:sz w:val="21"/>
          <w:szCs w:val="21"/>
        </w:rPr>
        <w:t>Corcoy</w:t>
      </w:r>
      <w:proofErr w:type="spellEnd"/>
      <w:r w:rsidRPr="000664AD">
        <w:rPr>
          <w:rFonts w:cstheme="minorHAnsi"/>
          <w:color w:val="000000"/>
          <w:sz w:val="21"/>
          <w:szCs w:val="21"/>
        </w:rPr>
        <w:t xml:space="preserve"> R, et al. Continuous glucose monitoring in pregnant women with type 1 diabetes (</w:t>
      </w:r>
      <w:proofErr w:type="spellStart"/>
      <w:r w:rsidRPr="000664AD">
        <w:rPr>
          <w:rFonts w:cstheme="minorHAnsi"/>
          <w:color w:val="000000"/>
          <w:sz w:val="21"/>
          <w:szCs w:val="21"/>
        </w:rPr>
        <w:t>CONCEPTT</w:t>
      </w:r>
      <w:proofErr w:type="spellEnd"/>
      <w:r w:rsidRPr="000664AD">
        <w:rPr>
          <w:rFonts w:cstheme="minorHAnsi"/>
          <w:color w:val="000000"/>
          <w:sz w:val="21"/>
          <w:szCs w:val="21"/>
        </w:rPr>
        <w:t xml:space="preserve">): a </w:t>
      </w:r>
      <w:proofErr w:type="spellStart"/>
      <w:r w:rsidRPr="000664AD">
        <w:rPr>
          <w:rFonts w:cstheme="minorHAnsi"/>
          <w:color w:val="000000"/>
          <w:sz w:val="21"/>
          <w:szCs w:val="21"/>
        </w:rPr>
        <w:t>multicentre</w:t>
      </w:r>
      <w:proofErr w:type="spellEnd"/>
      <w:r w:rsidRPr="000664AD">
        <w:rPr>
          <w:rFonts w:cstheme="minorHAnsi"/>
          <w:color w:val="000000"/>
          <w:sz w:val="21"/>
          <w:szCs w:val="21"/>
        </w:rPr>
        <w:t xml:space="preserve"> international </w:t>
      </w:r>
      <w:proofErr w:type="spellStart"/>
      <w:r w:rsidRPr="000664AD">
        <w:rPr>
          <w:rFonts w:cstheme="minorHAnsi"/>
          <w:color w:val="000000"/>
          <w:sz w:val="21"/>
          <w:szCs w:val="21"/>
        </w:rPr>
        <w:t>randomised</w:t>
      </w:r>
      <w:proofErr w:type="spellEnd"/>
      <w:r w:rsidRPr="000664AD">
        <w:rPr>
          <w:rFonts w:cstheme="minorHAnsi"/>
          <w:color w:val="000000"/>
          <w:sz w:val="21"/>
          <w:szCs w:val="21"/>
        </w:rPr>
        <w:t xml:space="preserve"> controlled trial [published correction appears in Lancet. 2017 Nov 25;390(10110):2346]. Lancet. 2017;390(10110):2347–2359. </w:t>
      </w:r>
    </w:p>
    <w:p w14:paraId="2FEB20FD"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0"/>
          <w:szCs w:val="20"/>
        </w:rPr>
      </w:pPr>
      <w:proofErr w:type="spellStart"/>
      <w:r w:rsidRPr="000664AD">
        <w:rPr>
          <w:rFonts w:cstheme="minorHAnsi"/>
          <w:color w:val="000000"/>
          <w:sz w:val="21"/>
          <w:szCs w:val="21"/>
        </w:rPr>
        <w:t>Hermanides</w:t>
      </w:r>
      <w:proofErr w:type="spellEnd"/>
      <w:r w:rsidRPr="000664AD">
        <w:rPr>
          <w:rFonts w:cstheme="minorHAnsi"/>
          <w:color w:val="000000"/>
          <w:sz w:val="21"/>
          <w:szCs w:val="21"/>
        </w:rPr>
        <w:t xml:space="preserve"> J, Phillip M, Devries JH. Current Application of Continuous Glucose Monitoring in the Treatment of Diabetes. DIABETES CARE, VOLUME 34, SUPPLEMENT 2, MAY 2011.</w:t>
      </w:r>
    </w:p>
    <w:p w14:paraId="6A5D6578" w14:textId="77777777" w:rsidR="00DA0378" w:rsidRPr="000664AD" w:rsidRDefault="00DA0378" w:rsidP="00AB3A50">
      <w:pPr>
        <w:pStyle w:val="ListParagraph"/>
        <w:numPr>
          <w:ilvl w:val="0"/>
          <w:numId w:val="1"/>
        </w:numPr>
        <w:autoSpaceDE w:val="0"/>
        <w:autoSpaceDN w:val="0"/>
        <w:adjustRightInd w:val="0"/>
        <w:spacing w:after="200" w:line="288" w:lineRule="auto"/>
        <w:ind w:left="662"/>
        <w:textAlignment w:val="center"/>
        <w:rPr>
          <w:rFonts w:cstheme="minorHAnsi"/>
          <w:color w:val="000000"/>
          <w:sz w:val="20"/>
          <w:szCs w:val="20"/>
        </w:rPr>
      </w:pPr>
      <w:r w:rsidRPr="000664AD">
        <w:rPr>
          <w:rFonts w:cstheme="minorHAnsi"/>
          <w:color w:val="000000"/>
          <w:sz w:val="20"/>
          <w:szCs w:val="20"/>
        </w:rPr>
        <w:lastRenderedPageBreak/>
        <w:t xml:space="preserve">Hommel E, et al. Impact of continuous glucose monitoring on quality of life, treatment satisfaction, and use of medical care resources: analyses from the SWITCH study. Acta </w:t>
      </w:r>
      <w:proofErr w:type="spellStart"/>
      <w:r w:rsidRPr="000664AD">
        <w:rPr>
          <w:rFonts w:cstheme="minorHAnsi"/>
          <w:color w:val="000000"/>
          <w:sz w:val="20"/>
          <w:szCs w:val="20"/>
        </w:rPr>
        <w:t>Diabetol</w:t>
      </w:r>
      <w:proofErr w:type="spellEnd"/>
      <w:r w:rsidRPr="000664AD">
        <w:rPr>
          <w:rFonts w:cstheme="minorHAnsi"/>
          <w:color w:val="000000"/>
          <w:sz w:val="20"/>
          <w:szCs w:val="20"/>
        </w:rPr>
        <w:t xml:space="preserve"> (2014) 51:845–851.</w:t>
      </w:r>
    </w:p>
    <w:p w14:paraId="1C0AAB73" w14:textId="77777777" w:rsidR="00DA0378" w:rsidRPr="000664AD" w:rsidRDefault="00DA0378" w:rsidP="00AB3A50">
      <w:pPr>
        <w:pStyle w:val="ListParagraph"/>
        <w:numPr>
          <w:ilvl w:val="0"/>
          <w:numId w:val="1"/>
        </w:numPr>
        <w:autoSpaceDE w:val="0"/>
        <w:autoSpaceDN w:val="0"/>
        <w:adjustRightInd w:val="0"/>
        <w:spacing w:after="200" w:line="288" w:lineRule="auto"/>
        <w:ind w:left="662"/>
        <w:textAlignment w:val="center"/>
        <w:rPr>
          <w:rFonts w:cstheme="minorHAnsi"/>
          <w:color w:val="000000"/>
          <w:sz w:val="20"/>
          <w:szCs w:val="20"/>
        </w:rPr>
      </w:pPr>
      <w:r w:rsidRPr="000664AD">
        <w:rPr>
          <w:rFonts w:cstheme="minorHAnsi"/>
          <w:color w:val="000000"/>
          <w:sz w:val="20"/>
          <w:szCs w:val="20"/>
        </w:rPr>
        <w:t>Juvenile Diabetes Research Foundation Continuous Glucose Monitoring Study Group. Continuous glucose monitoring and intensive treatment of type 1 diabetes. N Engl J Med 2008; 359(14): 1469- 76.</w:t>
      </w:r>
    </w:p>
    <w:p w14:paraId="6060221C" w14:textId="77777777" w:rsidR="00DA0378" w:rsidRPr="000664AD" w:rsidRDefault="00DA0378" w:rsidP="00AB3A50">
      <w:pPr>
        <w:pStyle w:val="ListParagraph"/>
        <w:numPr>
          <w:ilvl w:val="0"/>
          <w:numId w:val="1"/>
        </w:numPr>
        <w:autoSpaceDE w:val="0"/>
        <w:autoSpaceDN w:val="0"/>
        <w:adjustRightInd w:val="0"/>
        <w:spacing w:after="200" w:line="288" w:lineRule="auto"/>
        <w:ind w:left="662"/>
        <w:textAlignment w:val="center"/>
        <w:rPr>
          <w:rFonts w:cstheme="minorHAnsi"/>
          <w:b/>
          <w:bCs/>
          <w:color w:val="000000"/>
          <w:sz w:val="23"/>
          <w:szCs w:val="23"/>
        </w:rPr>
      </w:pPr>
      <w:r w:rsidRPr="000664AD">
        <w:rPr>
          <w:rFonts w:cstheme="minorHAnsi"/>
          <w:color w:val="000000"/>
          <w:sz w:val="20"/>
          <w:szCs w:val="20"/>
        </w:rPr>
        <w:t xml:space="preserve">Lind M, Polonsky W, Hirsch </w:t>
      </w:r>
      <w:proofErr w:type="spellStart"/>
      <w:r w:rsidRPr="000664AD">
        <w:rPr>
          <w:rFonts w:cstheme="minorHAnsi"/>
          <w:color w:val="000000"/>
          <w:sz w:val="20"/>
          <w:szCs w:val="20"/>
        </w:rPr>
        <w:t>IB</w:t>
      </w:r>
      <w:proofErr w:type="spellEnd"/>
      <w:r w:rsidRPr="000664AD">
        <w:rPr>
          <w:rFonts w:cstheme="minorHAnsi"/>
          <w:color w:val="000000"/>
          <w:sz w:val="20"/>
          <w:szCs w:val="20"/>
        </w:rPr>
        <w:t xml:space="preserve">, et al. Continuous Glucose Monitoring vs Conventional Therapy for Glycemic Control in Adults With Type 1 Diabetes Treated With Multiple Daily Insulin Injections: The GOLD Randomized Clinical Trial. JAMA. 2017;317(4):379-387. </w:t>
      </w:r>
      <w:proofErr w:type="spellStart"/>
      <w:r w:rsidRPr="000664AD">
        <w:rPr>
          <w:rFonts w:cstheme="minorHAnsi"/>
          <w:color w:val="000000"/>
          <w:sz w:val="20"/>
          <w:szCs w:val="20"/>
        </w:rPr>
        <w:t>doi:10.1001</w:t>
      </w:r>
      <w:proofErr w:type="spellEnd"/>
      <w:r w:rsidRPr="000664AD">
        <w:rPr>
          <w:rFonts w:cstheme="minorHAnsi"/>
          <w:color w:val="000000"/>
          <w:sz w:val="20"/>
          <w:szCs w:val="20"/>
        </w:rPr>
        <w:t>/</w:t>
      </w:r>
      <w:proofErr w:type="spellStart"/>
      <w:r w:rsidRPr="000664AD">
        <w:rPr>
          <w:rFonts w:cstheme="minorHAnsi"/>
          <w:color w:val="000000"/>
          <w:sz w:val="20"/>
          <w:szCs w:val="20"/>
        </w:rPr>
        <w:t>jama.2016.19976</w:t>
      </w:r>
      <w:proofErr w:type="spellEnd"/>
      <w:r w:rsidRPr="000664AD">
        <w:rPr>
          <w:rFonts w:cstheme="minorHAnsi"/>
          <w:color w:val="000000"/>
          <w:sz w:val="20"/>
          <w:szCs w:val="20"/>
        </w:rPr>
        <w:t>.</w:t>
      </w:r>
    </w:p>
    <w:p w14:paraId="63096303"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Maiorino MI, Signoriello S, Maio A, et al. Effects of Continuous Glucose Monitoring on Metrics of Glycemic Control in Diabetes: A Systematic Review With Meta-analysis of Randomized Controlled Trials. Diabetes Care. 2020;43(5):1146–1156. </w:t>
      </w:r>
      <w:proofErr w:type="spellStart"/>
      <w:r w:rsidRPr="000664AD">
        <w:rPr>
          <w:rFonts w:cstheme="minorHAnsi"/>
          <w:color w:val="000000"/>
          <w:sz w:val="21"/>
          <w:szCs w:val="21"/>
        </w:rPr>
        <w:t>doi:10.2337</w:t>
      </w:r>
      <w:proofErr w:type="spellEnd"/>
      <w:r w:rsidRPr="000664AD">
        <w:rPr>
          <w:rFonts w:cstheme="minorHAnsi"/>
          <w:color w:val="000000"/>
          <w:sz w:val="21"/>
          <w:szCs w:val="21"/>
        </w:rPr>
        <w:t>/</w:t>
      </w:r>
      <w:proofErr w:type="spellStart"/>
      <w:r w:rsidRPr="000664AD">
        <w:rPr>
          <w:rFonts w:cstheme="minorHAnsi"/>
          <w:color w:val="000000"/>
          <w:sz w:val="21"/>
          <w:szCs w:val="21"/>
        </w:rPr>
        <w:t>dc19</w:t>
      </w:r>
      <w:proofErr w:type="spellEnd"/>
      <w:r w:rsidRPr="000664AD">
        <w:rPr>
          <w:rFonts w:cstheme="minorHAnsi"/>
          <w:color w:val="000000"/>
          <w:sz w:val="21"/>
          <w:szCs w:val="21"/>
        </w:rPr>
        <w:t>-1459</w:t>
      </w:r>
    </w:p>
    <w:p w14:paraId="7A2857EE"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proofErr w:type="spellStart"/>
      <w:r w:rsidRPr="000664AD">
        <w:rPr>
          <w:rFonts w:cstheme="minorHAnsi"/>
          <w:color w:val="000000"/>
          <w:sz w:val="21"/>
          <w:szCs w:val="21"/>
        </w:rPr>
        <w:t>Nuboer</w:t>
      </w:r>
      <w:proofErr w:type="spellEnd"/>
      <w:r w:rsidRPr="000664AD">
        <w:rPr>
          <w:rFonts w:cstheme="minorHAnsi"/>
          <w:color w:val="000000"/>
          <w:sz w:val="21"/>
          <w:szCs w:val="21"/>
        </w:rPr>
        <w:t xml:space="preserve"> R, Borsboom GJ, </w:t>
      </w:r>
      <w:proofErr w:type="spellStart"/>
      <w:r w:rsidRPr="000664AD">
        <w:rPr>
          <w:rFonts w:cstheme="minorHAnsi"/>
          <w:color w:val="000000"/>
          <w:sz w:val="21"/>
          <w:szCs w:val="21"/>
        </w:rPr>
        <w:t>Zoethout</w:t>
      </w:r>
      <w:proofErr w:type="spellEnd"/>
      <w:r w:rsidRPr="000664AD">
        <w:rPr>
          <w:rFonts w:cstheme="minorHAnsi"/>
          <w:color w:val="000000"/>
          <w:sz w:val="21"/>
          <w:szCs w:val="21"/>
        </w:rPr>
        <w:t xml:space="preserve"> JA, et al. Effects of insulin pump vs. injection treatment on quality of life and impact of disease in children with type 1 diabetes mellitus in a randomized, prospective comparison. </w:t>
      </w:r>
      <w:proofErr w:type="spellStart"/>
      <w:r w:rsidRPr="000664AD">
        <w:rPr>
          <w:rFonts w:cstheme="minorHAnsi"/>
          <w:color w:val="000000"/>
          <w:sz w:val="21"/>
          <w:szCs w:val="21"/>
        </w:rPr>
        <w:t>Pediatr</w:t>
      </w:r>
      <w:proofErr w:type="spellEnd"/>
      <w:r w:rsidRPr="000664AD">
        <w:rPr>
          <w:rFonts w:cstheme="minorHAnsi"/>
          <w:color w:val="000000"/>
          <w:sz w:val="21"/>
          <w:szCs w:val="21"/>
        </w:rPr>
        <w:t xml:space="preserve"> Diabetes. 2008; 9(4 Pt 1):291-296. </w:t>
      </w:r>
    </w:p>
    <w:p w14:paraId="78C2509A" w14:textId="4BACFC01"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Oskarsson P, Antuna R, Geelhoed-</w:t>
      </w:r>
      <w:proofErr w:type="spellStart"/>
      <w:r w:rsidRPr="000664AD">
        <w:rPr>
          <w:rFonts w:cstheme="minorHAnsi"/>
          <w:color w:val="000000"/>
          <w:sz w:val="21"/>
          <w:szCs w:val="21"/>
        </w:rPr>
        <w:t>Duijvestijn</w:t>
      </w:r>
      <w:proofErr w:type="spellEnd"/>
      <w:r w:rsidRPr="000664AD">
        <w:rPr>
          <w:rFonts w:cstheme="minorHAnsi"/>
          <w:color w:val="000000"/>
          <w:sz w:val="21"/>
          <w:szCs w:val="21"/>
        </w:rPr>
        <w:t xml:space="preserve"> P, </w:t>
      </w:r>
      <w:proofErr w:type="spellStart"/>
      <w:r w:rsidRPr="000664AD">
        <w:rPr>
          <w:rFonts w:cstheme="minorHAnsi"/>
          <w:color w:val="000000"/>
          <w:sz w:val="21"/>
          <w:szCs w:val="21"/>
        </w:rPr>
        <w:t>Kr</w:t>
      </w:r>
      <w:r w:rsidR="002C3186" w:rsidRPr="002C3186">
        <w:rPr>
          <w:rFonts w:cstheme="minorHAnsi"/>
          <w:color w:val="000000"/>
          <w:sz w:val="21"/>
          <w:szCs w:val="21"/>
        </w:rPr>
        <w:t>ӧ</w:t>
      </w:r>
      <w:r w:rsidRPr="000664AD">
        <w:rPr>
          <w:rFonts w:cstheme="minorHAnsi"/>
          <w:color w:val="000000"/>
          <w:sz w:val="21"/>
          <w:szCs w:val="21"/>
        </w:rPr>
        <w:t>ger</w:t>
      </w:r>
      <w:proofErr w:type="spellEnd"/>
      <w:r w:rsidRPr="000664AD">
        <w:rPr>
          <w:rFonts w:cstheme="minorHAnsi"/>
          <w:color w:val="000000"/>
          <w:sz w:val="21"/>
          <w:szCs w:val="21"/>
        </w:rPr>
        <w:t xml:space="preserve"> J, </w:t>
      </w:r>
      <w:proofErr w:type="spellStart"/>
      <w:r w:rsidRPr="000664AD">
        <w:rPr>
          <w:rFonts w:cstheme="minorHAnsi"/>
          <w:color w:val="000000"/>
          <w:sz w:val="21"/>
          <w:szCs w:val="21"/>
        </w:rPr>
        <w:t>Weitgasser</w:t>
      </w:r>
      <w:proofErr w:type="spellEnd"/>
      <w:r w:rsidRPr="000664AD">
        <w:rPr>
          <w:rFonts w:cstheme="minorHAnsi"/>
          <w:color w:val="000000"/>
          <w:sz w:val="21"/>
          <w:szCs w:val="21"/>
        </w:rPr>
        <w:t xml:space="preserve"> R, Bolinder J. Impact of flash glucose monitoring on </w:t>
      </w:r>
      <w:proofErr w:type="spellStart"/>
      <w:r w:rsidRPr="000664AD">
        <w:rPr>
          <w:rFonts w:cstheme="minorHAnsi"/>
          <w:color w:val="000000"/>
          <w:sz w:val="21"/>
          <w:szCs w:val="21"/>
        </w:rPr>
        <w:t>hypoglycaemia</w:t>
      </w:r>
      <w:proofErr w:type="spellEnd"/>
      <w:r w:rsidRPr="000664AD">
        <w:rPr>
          <w:rFonts w:cstheme="minorHAnsi"/>
          <w:color w:val="000000"/>
          <w:sz w:val="21"/>
          <w:szCs w:val="21"/>
        </w:rPr>
        <w:t xml:space="preserve"> in adults with type 1 diabetes managed with multiple daily injection therapy: a pre-specified subgroup analysis of the IMPACT </w:t>
      </w:r>
      <w:proofErr w:type="spellStart"/>
      <w:r w:rsidRPr="000664AD">
        <w:rPr>
          <w:rFonts w:cstheme="minorHAnsi"/>
          <w:color w:val="000000"/>
          <w:sz w:val="21"/>
          <w:szCs w:val="21"/>
        </w:rPr>
        <w:t>randomised</w:t>
      </w:r>
      <w:proofErr w:type="spellEnd"/>
      <w:r w:rsidRPr="000664AD">
        <w:rPr>
          <w:rFonts w:cstheme="minorHAnsi"/>
          <w:color w:val="000000"/>
          <w:sz w:val="21"/>
          <w:szCs w:val="21"/>
        </w:rPr>
        <w:t xml:space="preserve"> controlled trial. </w:t>
      </w:r>
      <w:proofErr w:type="spellStart"/>
      <w:r w:rsidRPr="000664AD">
        <w:rPr>
          <w:rFonts w:cstheme="minorHAnsi"/>
          <w:color w:val="000000"/>
          <w:sz w:val="21"/>
          <w:szCs w:val="21"/>
        </w:rPr>
        <w:t>Diabetologia</w:t>
      </w:r>
      <w:proofErr w:type="spellEnd"/>
      <w:r w:rsidRPr="000664AD">
        <w:rPr>
          <w:rFonts w:cstheme="minorHAnsi"/>
          <w:color w:val="000000"/>
          <w:sz w:val="21"/>
          <w:szCs w:val="21"/>
        </w:rPr>
        <w:t xml:space="preserve">. 2018;61(3):539-550. </w:t>
      </w:r>
    </w:p>
    <w:p w14:paraId="519B099F" w14:textId="1FA8D6DF"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proofErr w:type="spellStart"/>
      <w:r w:rsidRPr="000664AD">
        <w:rPr>
          <w:rFonts w:cstheme="minorHAnsi"/>
          <w:color w:val="000000"/>
          <w:sz w:val="21"/>
          <w:szCs w:val="21"/>
        </w:rPr>
        <w:t>Pańkowska</w:t>
      </w:r>
      <w:proofErr w:type="spellEnd"/>
      <w:r w:rsidRPr="000664AD">
        <w:rPr>
          <w:rFonts w:cstheme="minorHAnsi"/>
          <w:color w:val="000000"/>
          <w:sz w:val="21"/>
          <w:szCs w:val="21"/>
        </w:rPr>
        <w:t xml:space="preserve"> E, </w:t>
      </w:r>
      <w:proofErr w:type="spellStart"/>
      <w:r w:rsidRPr="000664AD">
        <w:rPr>
          <w:rFonts w:cstheme="minorHAnsi"/>
          <w:color w:val="000000"/>
          <w:sz w:val="21"/>
          <w:szCs w:val="21"/>
        </w:rPr>
        <w:t>Błazik</w:t>
      </w:r>
      <w:proofErr w:type="spellEnd"/>
      <w:r w:rsidRPr="000664AD">
        <w:rPr>
          <w:rFonts w:cstheme="minorHAnsi"/>
          <w:color w:val="000000"/>
          <w:sz w:val="21"/>
          <w:szCs w:val="21"/>
        </w:rPr>
        <w:t xml:space="preserve"> M, </w:t>
      </w:r>
      <w:proofErr w:type="spellStart"/>
      <w:r w:rsidRPr="000664AD">
        <w:rPr>
          <w:rFonts w:cstheme="minorHAnsi"/>
          <w:color w:val="000000"/>
          <w:sz w:val="21"/>
          <w:szCs w:val="21"/>
        </w:rPr>
        <w:t>Dziechciarz</w:t>
      </w:r>
      <w:proofErr w:type="spellEnd"/>
      <w:r w:rsidRPr="000664AD">
        <w:rPr>
          <w:rFonts w:cstheme="minorHAnsi"/>
          <w:color w:val="000000"/>
          <w:sz w:val="21"/>
          <w:szCs w:val="21"/>
        </w:rPr>
        <w:t xml:space="preserve"> P, et al. Continuous subcutaneous insulin infusion vs multiple daily injections in children with type 1 diabetes: a systematic review and meta-analysis of randomized control trials. </w:t>
      </w:r>
      <w:proofErr w:type="spellStart"/>
      <w:r w:rsidRPr="000664AD">
        <w:rPr>
          <w:rFonts w:cstheme="minorHAnsi"/>
          <w:color w:val="000000"/>
          <w:sz w:val="21"/>
          <w:szCs w:val="21"/>
        </w:rPr>
        <w:t>Pediatr</w:t>
      </w:r>
      <w:proofErr w:type="spellEnd"/>
      <w:r w:rsidRPr="000664AD">
        <w:rPr>
          <w:rFonts w:cstheme="minorHAnsi"/>
          <w:color w:val="000000"/>
          <w:sz w:val="21"/>
          <w:szCs w:val="21"/>
        </w:rPr>
        <w:t xml:space="preserve"> Diabetes. 2009; 10(1):52-58. </w:t>
      </w:r>
    </w:p>
    <w:p w14:paraId="43CD0555"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Park C, Le QA. The effectiveness of continuous glucose monitoring in patients with type 2 diabetes: a systematic review of literature and meta-analysis. Diabetes Technol Ther. 2018;20(9):613-621. </w:t>
      </w:r>
    </w:p>
    <w:p w14:paraId="2B526F4A" w14:textId="0C01A296"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Pickup J, Keen H. Continuous subcutaneous insulin infusion at 25 years: evidence base for </w:t>
      </w:r>
      <w:r w:rsidR="00637F70">
        <w:rPr>
          <w:rFonts w:cstheme="minorHAnsi"/>
          <w:color w:val="000000"/>
          <w:sz w:val="21"/>
          <w:szCs w:val="21"/>
        </w:rPr>
        <w:t xml:space="preserve">the </w:t>
      </w:r>
      <w:r w:rsidRPr="000664AD">
        <w:rPr>
          <w:rFonts w:cstheme="minorHAnsi"/>
          <w:color w:val="000000"/>
          <w:sz w:val="21"/>
          <w:szCs w:val="21"/>
        </w:rPr>
        <w:t xml:space="preserve">expanding use of insulin pump therapy in type 1 diabetes. Diabetes Care. 2002; 25(3):593-598. </w:t>
      </w:r>
    </w:p>
    <w:p w14:paraId="14842275"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Wang X, </w:t>
      </w:r>
      <w:proofErr w:type="spellStart"/>
      <w:r w:rsidRPr="000664AD">
        <w:rPr>
          <w:rFonts w:cstheme="minorHAnsi"/>
          <w:color w:val="000000"/>
          <w:sz w:val="21"/>
          <w:szCs w:val="21"/>
        </w:rPr>
        <w:t>Ioacara</w:t>
      </w:r>
      <w:proofErr w:type="spellEnd"/>
      <w:r w:rsidRPr="000664AD">
        <w:rPr>
          <w:rFonts w:cstheme="minorHAnsi"/>
          <w:color w:val="000000"/>
          <w:sz w:val="21"/>
          <w:szCs w:val="21"/>
        </w:rPr>
        <w:t xml:space="preserve"> S, </w:t>
      </w:r>
      <w:proofErr w:type="spellStart"/>
      <w:r w:rsidRPr="000664AD">
        <w:rPr>
          <w:rFonts w:cstheme="minorHAnsi"/>
          <w:color w:val="000000"/>
          <w:sz w:val="21"/>
          <w:szCs w:val="21"/>
        </w:rPr>
        <w:t>DeHennis</w:t>
      </w:r>
      <w:proofErr w:type="spellEnd"/>
      <w:r w:rsidRPr="000664AD">
        <w:rPr>
          <w:rFonts w:cstheme="minorHAnsi"/>
          <w:color w:val="000000"/>
          <w:sz w:val="21"/>
          <w:szCs w:val="21"/>
        </w:rPr>
        <w:t xml:space="preserve"> A. Long-Term Home Study on Nocturnal Hypoglycemic Alarms Using a New Fully Implantable Continuous Glucose Monitoring System in Type 1 Diabetes. Diabetes Technol Ther 2015;17:780-6. </w:t>
      </w:r>
      <w:proofErr w:type="spellStart"/>
      <w:r w:rsidRPr="000664AD">
        <w:rPr>
          <w:rFonts w:cstheme="minorHAnsi"/>
          <w:color w:val="000000"/>
          <w:sz w:val="21"/>
          <w:szCs w:val="21"/>
        </w:rPr>
        <w:t>PMID</w:t>
      </w:r>
      <w:proofErr w:type="spellEnd"/>
      <w:r w:rsidRPr="000664AD">
        <w:rPr>
          <w:rFonts w:cstheme="minorHAnsi"/>
          <w:color w:val="000000"/>
          <w:sz w:val="21"/>
          <w:szCs w:val="21"/>
        </w:rPr>
        <w:t>: 26177299</w:t>
      </w:r>
    </w:p>
    <w:p w14:paraId="2C2A9B4D"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 xml:space="preserve">Wolpert HA. Use of continuous glucose monitoring in the detection and prevention of hypoglycemia. J Diabetes Sci Technol. 2007; 1(1): 146-150. </w:t>
      </w:r>
    </w:p>
    <w:p w14:paraId="7994A6AC" w14:textId="77777777" w:rsidR="00DA0378" w:rsidRPr="000664AD"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0664AD">
        <w:rPr>
          <w:rFonts w:cstheme="minorHAnsi"/>
          <w:color w:val="000000"/>
          <w:sz w:val="21"/>
          <w:szCs w:val="21"/>
        </w:rPr>
        <w:t>Yates K, Hasnat Milton A, Dear K, Ambler G. Continuous glucose monitoring-guided insulin adjustment in children and adolescents on near-physiological insulin regimens: a randomized controlled trial. Diabetes Care. 2006 Jul; 29(7): 1512-7.</w:t>
      </w:r>
    </w:p>
    <w:p w14:paraId="44397FE6" w14:textId="4BA6CC95" w:rsidR="00324227" w:rsidRPr="00AB3A50" w:rsidRDefault="00DA0378" w:rsidP="00AB3A50">
      <w:pPr>
        <w:pStyle w:val="ListParagraph"/>
        <w:numPr>
          <w:ilvl w:val="0"/>
          <w:numId w:val="1"/>
        </w:numPr>
        <w:suppressAutoHyphens/>
        <w:autoSpaceDE w:val="0"/>
        <w:autoSpaceDN w:val="0"/>
        <w:adjustRightInd w:val="0"/>
        <w:spacing w:before="120" w:after="120" w:line="288" w:lineRule="auto"/>
        <w:ind w:left="662"/>
        <w:textAlignment w:val="center"/>
        <w:rPr>
          <w:rFonts w:cstheme="minorHAnsi"/>
          <w:color w:val="000000"/>
          <w:sz w:val="21"/>
          <w:szCs w:val="21"/>
        </w:rPr>
      </w:pPr>
      <w:r w:rsidRPr="00240055">
        <w:rPr>
          <w:rFonts w:cstheme="minorHAnsi"/>
          <w:color w:val="000000"/>
          <w:sz w:val="21"/>
          <w:szCs w:val="21"/>
        </w:rPr>
        <w:t>Yeh H-C, et al. Comparative Effectiveness and Safety of Methods of Insulin Delivery and Glucose Monitoring for Diabetes Mellitus. Ann Intern Med. 2012;157:336-347</w:t>
      </w:r>
      <w:r w:rsidR="00324227" w:rsidRPr="00AB3A50">
        <w:rPr>
          <w:rFonts w:cstheme="minorHAnsi"/>
          <w:color w:val="000000"/>
          <w:sz w:val="21"/>
          <w:szCs w:val="21"/>
        </w:rPr>
        <w:br w:type="page"/>
      </w:r>
    </w:p>
    <w:p w14:paraId="27FFE8CD" w14:textId="77777777"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lastRenderedPageBreak/>
        <w:t xml:space="preserve">These Guidelines are based on review of the medical literature and current use of continuous glucose monitoring systems. MassHealth reserves the right to review and update the contents of these Guidelines and cited references as new clinical evidence and medical technology emerge.  </w:t>
      </w:r>
    </w:p>
    <w:p w14:paraId="1F92C569" w14:textId="77777777"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r w:rsidRPr="00DA0378">
        <w:rPr>
          <w:rFonts w:cstheme="minorHAnsi"/>
          <w:color w:val="000000"/>
          <w:sz w:val="21"/>
          <w:szCs w:val="21"/>
        </w:rPr>
        <w:t xml:space="preserve">This document was prepared for medical professionals to assist them in submitting documentation supporting the medical necessity of the proposed treatment, products or services. Some language used in this communication may be unfamiliar to other readers; in this case, contact your health-care provider for guidance or explanation. </w:t>
      </w:r>
    </w:p>
    <w:p w14:paraId="256B2794" w14:textId="6E786960" w:rsidR="00127166" w:rsidRDefault="00DA0378" w:rsidP="00AB3A50">
      <w:pPr>
        <w:suppressAutoHyphens/>
        <w:autoSpaceDE w:val="0"/>
        <w:autoSpaceDN w:val="0"/>
        <w:adjustRightInd w:val="0"/>
        <w:spacing w:after="0" w:line="288" w:lineRule="auto"/>
        <w:textAlignment w:val="center"/>
      </w:pPr>
      <w:r>
        <w:br/>
      </w:r>
      <w:r>
        <w:br/>
      </w:r>
      <w:r w:rsidRPr="7265947B">
        <w:rPr>
          <w:color w:val="000000" w:themeColor="text1"/>
          <w:sz w:val="21"/>
          <w:szCs w:val="21"/>
        </w:rPr>
        <w:t>Policy effective date:</w:t>
      </w:r>
      <w:r>
        <w:tab/>
      </w:r>
      <w:r w:rsidR="0024585C">
        <w:t>January 18, 2024</w:t>
      </w:r>
    </w:p>
    <w:p w14:paraId="36C9FCFF" w14:textId="13C500FC" w:rsidR="00127166" w:rsidRDefault="00D02214" w:rsidP="00AB3A50">
      <w:pPr>
        <w:tabs>
          <w:tab w:val="left" w:pos="2160"/>
          <w:tab w:val="left" w:pos="5760"/>
          <w:tab w:val="right" w:pos="9360"/>
        </w:tabs>
        <w:suppressAutoHyphens/>
        <w:autoSpaceDE w:val="0"/>
        <w:autoSpaceDN w:val="0"/>
        <w:adjustRightInd w:val="0"/>
        <w:spacing w:after="0" w:line="288" w:lineRule="auto"/>
        <w:textAlignment w:val="center"/>
      </w:pPr>
      <w:r>
        <w:rPr>
          <w:color w:val="000000" w:themeColor="text1"/>
          <w:sz w:val="21"/>
          <w:szCs w:val="21"/>
        </w:rPr>
        <w:tab/>
      </w:r>
      <w:r w:rsidR="00127166">
        <w:rPr>
          <w:color w:val="000000" w:themeColor="text1"/>
          <w:sz w:val="21"/>
          <w:szCs w:val="21"/>
        </w:rPr>
        <w:tab/>
      </w:r>
      <w:r w:rsidR="00DA0378" w:rsidRPr="7265947B">
        <w:rPr>
          <w:color w:val="000000" w:themeColor="text1"/>
          <w:sz w:val="21"/>
          <w:szCs w:val="21"/>
        </w:rPr>
        <w:t>Approved by:</w:t>
      </w:r>
      <w:r w:rsidR="00DA0378">
        <w:tab/>
      </w:r>
      <w:r w:rsidR="00DA0378" w:rsidRPr="7265947B">
        <w:rPr>
          <w:color w:val="000000" w:themeColor="text1"/>
          <w:sz w:val="21"/>
          <w:szCs w:val="21"/>
        </w:rPr>
        <w:t>Jatin K. Dave MD, MPH</w:t>
      </w:r>
    </w:p>
    <w:p w14:paraId="5CAC04D1" w14:textId="77E7A43D" w:rsidR="00DA0378" w:rsidRPr="00DA0378" w:rsidRDefault="00DA0378" w:rsidP="00AB3A50">
      <w:pPr>
        <w:tabs>
          <w:tab w:val="right" w:pos="9360"/>
        </w:tabs>
        <w:suppressAutoHyphens/>
        <w:autoSpaceDE w:val="0"/>
        <w:autoSpaceDN w:val="0"/>
        <w:adjustRightInd w:val="0"/>
        <w:spacing w:after="0" w:line="288" w:lineRule="auto"/>
        <w:textAlignment w:val="center"/>
        <w:rPr>
          <w:color w:val="000000"/>
          <w:sz w:val="21"/>
          <w:szCs w:val="21"/>
        </w:rPr>
      </w:pPr>
      <w:r>
        <w:tab/>
      </w:r>
      <w:r w:rsidRPr="7265947B">
        <w:rPr>
          <w:color w:val="000000" w:themeColor="text1"/>
          <w:sz w:val="21"/>
          <w:szCs w:val="21"/>
        </w:rPr>
        <w:t>Chief Medical Officer, MassHealth</w:t>
      </w:r>
    </w:p>
    <w:p w14:paraId="4E419E31" w14:textId="77777777" w:rsidR="00DA0378" w:rsidRPr="00DA0378" w:rsidRDefault="00DA0378" w:rsidP="00DA0378">
      <w:pPr>
        <w:suppressAutoHyphens/>
        <w:autoSpaceDE w:val="0"/>
        <w:autoSpaceDN w:val="0"/>
        <w:adjustRightInd w:val="0"/>
        <w:spacing w:before="120" w:after="120" w:line="288" w:lineRule="auto"/>
        <w:textAlignment w:val="center"/>
        <w:rPr>
          <w:rFonts w:cstheme="minorHAnsi"/>
          <w:color w:val="000000"/>
          <w:sz w:val="21"/>
          <w:szCs w:val="21"/>
        </w:rPr>
      </w:pPr>
    </w:p>
    <w:p w14:paraId="53580C1B" w14:textId="0C94B7FE" w:rsidR="00945B92" w:rsidRPr="007C0E06" w:rsidRDefault="00DA0378" w:rsidP="00DA0378">
      <w:pPr>
        <w:rPr>
          <w:rFonts w:cstheme="minorHAnsi"/>
        </w:rPr>
      </w:pPr>
      <w:r w:rsidRPr="007C0E06">
        <w:rPr>
          <w:rFonts w:cstheme="minorHAnsi"/>
          <w:color w:val="000000"/>
          <w:sz w:val="21"/>
          <w:szCs w:val="21"/>
        </w:rPr>
        <w:t xml:space="preserve">Supersedes </w:t>
      </w:r>
      <w:r w:rsidR="00127166">
        <w:rPr>
          <w:rFonts w:cstheme="minorHAnsi"/>
          <w:color w:val="000000"/>
          <w:sz w:val="21"/>
          <w:szCs w:val="21"/>
        </w:rPr>
        <w:t>p</w:t>
      </w:r>
      <w:r w:rsidRPr="007C0E06">
        <w:rPr>
          <w:rFonts w:cstheme="minorHAnsi"/>
          <w:color w:val="000000"/>
          <w:sz w:val="21"/>
          <w:szCs w:val="21"/>
        </w:rPr>
        <w:t xml:space="preserve">olicy dated </w:t>
      </w:r>
      <w:r w:rsidR="00945B92">
        <w:rPr>
          <w:rFonts w:cstheme="minorHAnsi"/>
          <w:color w:val="000000"/>
          <w:sz w:val="21"/>
          <w:szCs w:val="21"/>
        </w:rPr>
        <w:t>July 13, 2022</w:t>
      </w:r>
    </w:p>
    <w:sectPr w:rsidR="00945B92" w:rsidRPr="007C0E06" w:rsidSect="006E18C5">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8A71" w14:textId="77777777" w:rsidR="00A40E19" w:rsidRDefault="00A40E19" w:rsidP="000F4286">
      <w:pPr>
        <w:spacing w:after="0" w:line="240" w:lineRule="auto"/>
      </w:pPr>
      <w:r>
        <w:separator/>
      </w:r>
    </w:p>
  </w:endnote>
  <w:endnote w:type="continuationSeparator" w:id="0">
    <w:p w14:paraId="7003CFB7" w14:textId="77777777" w:rsidR="00A40E19" w:rsidRDefault="00A40E19" w:rsidP="000F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Capt">
    <w:panose1 w:val="00000000000000000000"/>
    <w:charset w:val="00"/>
    <w:family w:val="roman"/>
    <w:notTrueType/>
    <w:pitch w:val="variable"/>
    <w:sig w:usb0="E00002AF" w:usb1="5000607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Med">
    <w:panose1 w:val="00000000000000000000"/>
    <w:charset w:val="00"/>
    <w:family w:val="roman"/>
    <w:notTrueType/>
    <w:pitch w:val="variable"/>
    <w:sig w:usb0="E00002AF" w:usb1="5000607B" w:usb2="00000000" w:usb3="00000000" w:csb0="0000009F" w:csb1="00000000"/>
  </w:font>
  <w:font w:name="Minion Pro SmBd Capt">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47638"/>
      <w:docPartObj>
        <w:docPartGallery w:val="Page Numbers (Bottom of Page)"/>
        <w:docPartUnique/>
      </w:docPartObj>
    </w:sdtPr>
    <w:sdtEndPr>
      <w:rPr>
        <w:noProof/>
      </w:rPr>
    </w:sdtEndPr>
    <w:sdtContent>
      <w:p w14:paraId="4662081D" w14:textId="175655AE" w:rsidR="009E39CB" w:rsidRDefault="009E39CB" w:rsidP="00052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1FAE1" w14:textId="77777777" w:rsidR="000F4286" w:rsidRDefault="000F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A669" w14:textId="40633A41" w:rsidR="007C4A57" w:rsidRDefault="00BD6D88">
    <w:pPr>
      <w:pStyle w:val="Footer"/>
      <w:jc w:val="right"/>
    </w:pPr>
    <w:proofErr w:type="spellStart"/>
    <w:r>
      <w:t>MNG</w:t>
    </w:r>
    <w:proofErr w:type="spellEnd"/>
    <w:r>
      <w:t xml:space="preserve">-DM </w:t>
    </w:r>
    <w:proofErr w:type="spellStart"/>
    <w:r>
      <w:t>CGM</w:t>
    </w:r>
    <w:proofErr w:type="spellEnd"/>
    <w:r>
      <w:t xml:space="preserve"> (</w:t>
    </w:r>
    <w:r w:rsidR="00E844E9">
      <w:t>10/23</w:t>
    </w:r>
    <w:r>
      <w:t xml:space="preserve">)           </w:t>
    </w:r>
    <w:sdt>
      <w:sdtPr>
        <w:id w:val="-31189358"/>
        <w:docPartObj>
          <w:docPartGallery w:val="Page Numbers (Bottom of Page)"/>
          <w:docPartUnique/>
        </w:docPartObj>
      </w:sdtPr>
      <w:sdtEndPr>
        <w:rPr>
          <w:noProof/>
        </w:rPr>
      </w:sdtEndPr>
      <w:sdtContent>
        <w:r w:rsidR="007C4A57">
          <w:fldChar w:fldCharType="begin"/>
        </w:r>
        <w:r w:rsidR="007C4A57">
          <w:instrText xml:space="preserve"> PAGE   \* MERGEFORMAT </w:instrText>
        </w:r>
        <w:r w:rsidR="007C4A57">
          <w:fldChar w:fldCharType="separate"/>
        </w:r>
        <w:r w:rsidR="007C4A57">
          <w:rPr>
            <w:noProof/>
          </w:rPr>
          <w:t>2</w:t>
        </w:r>
        <w:r w:rsidR="007C4A57">
          <w:rPr>
            <w:noProof/>
          </w:rPr>
          <w:fldChar w:fldCharType="end"/>
        </w:r>
      </w:sdtContent>
    </w:sdt>
  </w:p>
  <w:p w14:paraId="572D9BD0" w14:textId="5EDA29AA" w:rsidR="006E18C5" w:rsidRDefault="006E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A129" w14:textId="77777777" w:rsidR="00A40E19" w:rsidRDefault="00A40E19" w:rsidP="000F4286">
      <w:pPr>
        <w:spacing w:after="0" w:line="240" w:lineRule="auto"/>
      </w:pPr>
      <w:r>
        <w:separator/>
      </w:r>
    </w:p>
  </w:footnote>
  <w:footnote w:type="continuationSeparator" w:id="0">
    <w:p w14:paraId="33C82613" w14:textId="77777777" w:rsidR="00A40E19" w:rsidRDefault="00A40E19" w:rsidP="000F4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371"/>
    <w:multiLevelType w:val="hybridMultilevel"/>
    <w:tmpl w:val="AE22FF56"/>
    <w:lvl w:ilvl="0" w:tplc="3DE4A818">
      <w:start w:val="1"/>
      <w:numFmt w:val="decimal"/>
      <w:lvlText w:val="%1."/>
      <w:lvlJc w:val="left"/>
      <w:pPr>
        <w:ind w:left="720" w:hanging="360"/>
      </w:pPr>
      <w:rPr>
        <w:b w:val="0"/>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20D78"/>
    <w:multiLevelType w:val="hybridMultilevel"/>
    <w:tmpl w:val="EF4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488271">
    <w:abstractNumId w:val="0"/>
  </w:num>
  <w:num w:numId="2" w16cid:durableId="55924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78"/>
    <w:rsid w:val="000045E6"/>
    <w:rsid w:val="00006B15"/>
    <w:rsid w:val="0000747A"/>
    <w:rsid w:val="00011997"/>
    <w:rsid w:val="00025F84"/>
    <w:rsid w:val="000372B8"/>
    <w:rsid w:val="00041091"/>
    <w:rsid w:val="00052B3D"/>
    <w:rsid w:val="0005760B"/>
    <w:rsid w:val="000640E5"/>
    <w:rsid w:val="000664AD"/>
    <w:rsid w:val="00067A34"/>
    <w:rsid w:val="0009334B"/>
    <w:rsid w:val="000B11B0"/>
    <w:rsid w:val="000B2B95"/>
    <w:rsid w:val="000C1B2A"/>
    <w:rsid w:val="000C3BAE"/>
    <w:rsid w:val="000C6DF0"/>
    <w:rsid w:val="000D30E5"/>
    <w:rsid w:val="000E685E"/>
    <w:rsid w:val="000F1FB0"/>
    <w:rsid w:val="000F4286"/>
    <w:rsid w:val="000F76F5"/>
    <w:rsid w:val="00107D65"/>
    <w:rsid w:val="00127166"/>
    <w:rsid w:val="00130517"/>
    <w:rsid w:val="001325B5"/>
    <w:rsid w:val="00135C50"/>
    <w:rsid w:val="00155729"/>
    <w:rsid w:val="00157E6B"/>
    <w:rsid w:val="0016180D"/>
    <w:rsid w:val="001621BD"/>
    <w:rsid w:val="001754FD"/>
    <w:rsid w:val="001825EF"/>
    <w:rsid w:val="00194ABD"/>
    <w:rsid w:val="001A2740"/>
    <w:rsid w:val="001B0F41"/>
    <w:rsid w:val="001B560A"/>
    <w:rsid w:val="001B7E49"/>
    <w:rsid w:val="001C01FF"/>
    <w:rsid w:val="0022016B"/>
    <w:rsid w:val="00240055"/>
    <w:rsid w:val="0024585C"/>
    <w:rsid w:val="00252BCF"/>
    <w:rsid w:val="00265364"/>
    <w:rsid w:val="002A2727"/>
    <w:rsid w:val="002A5296"/>
    <w:rsid w:val="002C3186"/>
    <w:rsid w:val="002C7323"/>
    <w:rsid w:val="002E450A"/>
    <w:rsid w:val="00301B31"/>
    <w:rsid w:val="00323790"/>
    <w:rsid w:val="00324227"/>
    <w:rsid w:val="00325433"/>
    <w:rsid w:val="00364BBD"/>
    <w:rsid w:val="00365F52"/>
    <w:rsid w:val="003730C4"/>
    <w:rsid w:val="0039033B"/>
    <w:rsid w:val="003973B6"/>
    <w:rsid w:val="003A43A3"/>
    <w:rsid w:val="003A5A0E"/>
    <w:rsid w:val="003E0637"/>
    <w:rsid w:val="003E5BE2"/>
    <w:rsid w:val="004612A2"/>
    <w:rsid w:val="004700A2"/>
    <w:rsid w:val="00470B3D"/>
    <w:rsid w:val="00477B8F"/>
    <w:rsid w:val="004804FE"/>
    <w:rsid w:val="00483C45"/>
    <w:rsid w:val="004B3E51"/>
    <w:rsid w:val="004C1334"/>
    <w:rsid w:val="004D030B"/>
    <w:rsid w:val="004D1058"/>
    <w:rsid w:val="004D2019"/>
    <w:rsid w:val="004D4C70"/>
    <w:rsid w:val="004D7F33"/>
    <w:rsid w:val="004D7FA4"/>
    <w:rsid w:val="004E244B"/>
    <w:rsid w:val="004E41A8"/>
    <w:rsid w:val="004F4751"/>
    <w:rsid w:val="004F69C4"/>
    <w:rsid w:val="0050359F"/>
    <w:rsid w:val="00512813"/>
    <w:rsid w:val="005217C1"/>
    <w:rsid w:val="0053555B"/>
    <w:rsid w:val="00536A53"/>
    <w:rsid w:val="00537CCF"/>
    <w:rsid w:val="005949EC"/>
    <w:rsid w:val="005A239C"/>
    <w:rsid w:val="005B5439"/>
    <w:rsid w:val="005C2C9B"/>
    <w:rsid w:val="005F6063"/>
    <w:rsid w:val="006316CD"/>
    <w:rsid w:val="00634F54"/>
    <w:rsid w:val="00637F70"/>
    <w:rsid w:val="006419AD"/>
    <w:rsid w:val="0065031E"/>
    <w:rsid w:val="0065478E"/>
    <w:rsid w:val="00661A3B"/>
    <w:rsid w:val="00697F25"/>
    <w:rsid w:val="006B5D71"/>
    <w:rsid w:val="006E18C5"/>
    <w:rsid w:val="007075F0"/>
    <w:rsid w:val="007520A0"/>
    <w:rsid w:val="0075760B"/>
    <w:rsid w:val="007759AB"/>
    <w:rsid w:val="007A7345"/>
    <w:rsid w:val="007C0E06"/>
    <w:rsid w:val="007C4A57"/>
    <w:rsid w:val="007D4437"/>
    <w:rsid w:val="007F6921"/>
    <w:rsid w:val="00810423"/>
    <w:rsid w:val="008201AE"/>
    <w:rsid w:val="00827F69"/>
    <w:rsid w:val="0085123F"/>
    <w:rsid w:val="00864EDB"/>
    <w:rsid w:val="008854DA"/>
    <w:rsid w:val="0088705C"/>
    <w:rsid w:val="008B1864"/>
    <w:rsid w:val="008C1DF8"/>
    <w:rsid w:val="00907F9B"/>
    <w:rsid w:val="00914F6F"/>
    <w:rsid w:val="00931B94"/>
    <w:rsid w:val="009322A7"/>
    <w:rsid w:val="00933F92"/>
    <w:rsid w:val="00945B92"/>
    <w:rsid w:val="00962A78"/>
    <w:rsid w:val="0099231F"/>
    <w:rsid w:val="00994A1E"/>
    <w:rsid w:val="009A3A44"/>
    <w:rsid w:val="009B23B6"/>
    <w:rsid w:val="009D52E1"/>
    <w:rsid w:val="009E15B4"/>
    <w:rsid w:val="009E39CB"/>
    <w:rsid w:val="009F1CB1"/>
    <w:rsid w:val="00A13DE7"/>
    <w:rsid w:val="00A147FC"/>
    <w:rsid w:val="00A160F4"/>
    <w:rsid w:val="00A23FB0"/>
    <w:rsid w:val="00A2644A"/>
    <w:rsid w:val="00A31648"/>
    <w:rsid w:val="00A371E1"/>
    <w:rsid w:val="00A40E19"/>
    <w:rsid w:val="00A5041C"/>
    <w:rsid w:val="00A96DAB"/>
    <w:rsid w:val="00AA4695"/>
    <w:rsid w:val="00AB317C"/>
    <w:rsid w:val="00AB3A50"/>
    <w:rsid w:val="00AE03DC"/>
    <w:rsid w:val="00B22132"/>
    <w:rsid w:val="00B27F42"/>
    <w:rsid w:val="00B31BF1"/>
    <w:rsid w:val="00B35A46"/>
    <w:rsid w:val="00B44B85"/>
    <w:rsid w:val="00B552A6"/>
    <w:rsid w:val="00B60625"/>
    <w:rsid w:val="00B60A66"/>
    <w:rsid w:val="00B64D8C"/>
    <w:rsid w:val="00B752FB"/>
    <w:rsid w:val="00B80BDA"/>
    <w:rsid w:val="00B90925"/>
    <w:rsid w:val="00BB45DA"/>
    <w:rsid w:val="00BC5DCA"/>
    <w:rsid w:val="00BD0927"/>
    <w:rsid w:val="00BD6D88"/>
    <w:rsid w:val="00BE0418"/>
    <w:rsid w:val="00C10F0B"/>
    <w:rsid w:val="00C14D92"/>
    <w:rsid w:val="00C37FAE"/>
    <w:rsid w:val="00C91479"/>
    <w:rsid w:val="00C915B5"/>
    <w:rsid w:val="00CB637B"/>
    <w:rsid w:val="00CC0590"/>
    <w:rsid w:val="00D02214"/>
    <w:rsid w:val="00D83AB8"/>
    <w:rsid w:val="00D9462A"/>
    <w:rsid w:val="00DA0378"/>
    <w:rsid w:val="00DA69F0"/>
    <w:rsid w:val="00DA76BF"/>
    <w:rsid w:val="00DB107C"/>
    <w:rsid w:val="00DB7008"/>
    <w:rsid w:val="00DB7C9F"/>
    <w:rsid w:val="00DD20B2"/>
    <w:rsid w:val="00DD3CA4"/>
    <w:rsid w:val="00DE6564"/>
    <w:rsid w:val="00DF11E9"/>
    <w:rsid w:val="00DF16D1"/>
    <w:rsid w:val="00E22AFE"/>
    <w:rsid w:val="00E40AE6"/>
    <w:rsid w:val="00E45193"/>
    <w:rsid w:val="00E844E9"/>
    <w:rsid w:val="00E961C0"/>
    <w:rsid w:val="00EA4D36"/>
    <w:rsid w:val="00EB0982"/>
    <w:rsid w:val="00EC1BB4"/>
    <w:rsid w:val="00EC3B74"/>
    <w:rsid w:val="00ED048D"/>
    <w:rsid w:val="00EE3707"/>
    <w:rsid w:val="00EF089A"/>
    <w:rsid w:val="00EF4CFB"/>
    <w:rsid w:val="00EF764E"/>
    <w:rsid w:val="00F00266"/>
    <w:rsid w:val="00F06F11"/>
    <w:rsid w:val="00F10076"/>
    <w:rsid w:val="00F2283D"/>
    <w:rsid w:val="00F32486"/>
    <w:rsid w:val="00F359D8"/>
    <w:rsid w:val="00F41952"/>
    <w:rsid w:val="00F41F4A"/>
    <w:rsid w:val="00F425D5"/>
    <w:rsid w:val="00F60C5E"/>
    <w:rsid w:val="00F64754"/>
    <w:rsid w:val="00F74F14"/>
    <w:rsid w:val="00F7578E"/>
    <w:rsid w:val="00F85DC7"/>
    <w:rsid w:val="00F94255"/>
    <w:rsid w:val="00FC45F8"/>
    <w:rsid w:val="00FC4791"/>
    <w:rsid w:val="00FD2A27"/>
    <w:rsid w:val="00FE2166"/>
    <w:rsid w:val="00FE2ABE"/>
    <w:rsid w:val="20280EF9"/>
    <w:rsid w:val="283D48D8"/>
    <w:rsid w:val="2C20B2CA"/>
    <w:rsid w:val="46BC8534"/>
    <w:rsid w:val="542FDC68"/>
    <w:rsid w:val="70C9C41A"/>
    <w:rsid w:val="7265947B"/>
    <w:rsid w:val="7BEBC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2ED9"/>
  <w15:chartTrackingRefBased/>
  <w15:docId w15:val="{158F89FB-7F0E-4361-964E-E7F089E3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437"/>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9F1CB1"/>
    <w:pPr>
      <w:keepNext/>
      <w:keepLines/>
      <w:spacing w:before="2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B80BDA"/>
    <w:pPr>
      <w:keepNext/>
      <w:keepLines/>
      <w:tabs>
        <w:tab w:val="left" w:pos="302"/>
        <w:tab w:val="left" w:pos="605"/>
        <w:tab w:val="left" w:pos="965"/>
        <w:tab w:val="left" w:pos="1325"/>
      </w:tab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80BDA"/>
    <w:pPr>
      <w:keepNext/>
      <w:suppressAutoHyphens/>
      <w:autoSpaceDE w:val="0"/>
      <w:autoSpaceDN w:val="0"/>
      <w:adjustRightInd w:val="0"/>
      <w:spacing w:before="120" w:after="120" w:line="288" w:lineRule="auto"/>
      <w:ind w:left="602" w:hanging="300"/>
      <w:textAlignment w:val="center"/>
      <w:outlineLvl w:val="3"/>
    </w:pPr>
    <w:rPr>
      <w:rFonts w:cstheme="minorHAnsi"/>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uiPriority w:val="99"/>
    <w:rsid w:val="00DA0378"/>
    <w:pPr>
      <w:pBdr>
        <w:bottom w:val="single" w:sz="16" w:space="9" w:color="auto"/>
      </w:pBdr>
      <w:suppressAutoHyphens/>
      <w:autoSpaceDE w:val="0"/>
      <w:autoSpaceDN w:val="0"/>
      <w:adjustRightInd w:val="0"/>
      <w:spacing w:after="480" w:line="288" w:lineRule="auto"/>
      <w:textAlignment w:val="center"/>
    </w:pPr>
    <w:rPr>
      <w:rFonts w:ascii="Minion Pro Capt" w:hAnsi="Minion Pro Capt" w:cs="Minion Pro Capt"/>
      <w:b/>
      <w:bCs/>
      <w:color w:val="000000"/>
      <w:spacing w:val="-4"/>
      <w:sz w:val="44"/>
      <w:szCs w:val="44"/>
    </w:rPr>
  </w:style>
  <w:style w:type="paragraph" w:customStyle="1" w:styleId="BasicParagraph">
    <w:name w:val="[Basic Paragraph]"/>
    <w:basedOn w:val="Normal"/>
    <w:uiPriority w:val="99"/>
    <w:rsid w:val="00DA0378"/>
    <w:pPr>
      <w:suppressAutoHyphens/>
      <w:autoSpaceDE w:val="0"/>
      <w:autoSpaceDN w:val="0"/>
      <w:adjustRightInd w:val="0"/>
      <w:spacing w:before="120" w:after="120" w:line="288" w:lineRule="auto"/>
      <w:textAlignment w:val="center"/>
    </w:pPr>
    <w:rPr>
      <w:rFonts w:ascii="MinionPro-Regular" w:hAnsi="MinionPro-Regular" w:cs="MinionPro-Regular"/>
      <w:color w:val="000000"/>
      <w:sz w:val="21"/>
      <w:szCs w:val="21"/>
    </w:rPr>
  </w:style>
  <w:style w:type="paragraph" w:customStyle="1" w:styleId="sectionnumber">
    <w:name w:val="section number"/>
    <w:basedOn w:val="Normal"/>
    <w:uiPriority w:val="99"/>
    <w:rsid w:val="00DA0378"/>
    <w:pPr>
      <w:autoSpaceDE w:val="0"/>
      <w:autoSpaceDN w:val="0"/>
      <w:adjustRightInd w:val="0"/>
      <w:spacing w:before="240" w:after="120" w:line="288" w:lineRule="auto"/>
      <w:textAlignment w:val="center"/>
    </w:pPr>
    <w:rPr>
      <w:rFonts w:ascii="MinionPro-Regular" w:hAnsi="MinionPro-Regular" w:cs="MinionPro-Regular"/>
      <w:color w:val="000000"/>
      <w:sz w:val="36"/>
      <w:szCs w:val="36"/>
    </w:rPr>
  </w:style>
  <w:style w:type="paragraph" w:customStyle="1" w:styleId="sectionsubtitle">
    <w:name w:val="section subtitle"/>
    <w:basedOn w:val="Normal"/>
    <w:uiPriority w:val="99"/>
    <w:rsid w:val="00DA0378"/>
    <w:pPr>
      <w:suppressAutoHyphens/>
      <w:autoSpaceDE w:val="0"/>
      <w:autoSpaceDN w:val="0"/>
      <w:adjustRightInd w:val="0"/>
      <w:spacing w:before="120" w:after="120" w:line="288" w:lineRule="auto"/>
      <w:textAlignment w:val="center"/>
    </w:pPr>
    <w:rPr>
      <w:rFonts w:ascii="Minion Pro Med" w:hAnsi="Minion Pro Med" w:cs="Minion Pro Med"/>
      <w:color w:val="000000"/>
      <w:spacing w:val="7"/>
      <w:sz w:val="28"/>
      <w:szCs w:val="28"/>
    </w:rPr>
  </w:style>
  <w:style w:type="paragraph" w:customStyle="1" w:styleId="parabullet">
    <w:name w:val="para bullet"/>
    <w:basedOn w:val="BasicParagraph"/>
    <w:uiPriority w:val="99"/>
    <w:rsid w:val="00DA0378"/>
    <w:pPr>
      <w:ind w:left="300" w:hanging="300"/>
    </w:pPr>
  </w:style>
  <w:style w:type="paragraph" w:customStyle="1" w:styleId="parabulletindent">
    <w:name w:val="para bullet indent"/>
    <w:basedOn w:val="BasicParagraph"/>
    <w:uiPriority w:val="99"/>
    <w:rsid w:val="00DA0378"/>
    <w:pPr>
      <w:spacing w:before="60" w:after="60"/>
      <w:ind w:left="600" w:hanging="300"/>
    </w:pPr>
  </w:style>
  <w:style w:type="paragraph" w:customStyle="1" w:styleId="parabulletindentmore">
    <w:name w:val="para bullet indent more"/>
    <w:basedOn w:val="BasicParagraph"/>
    <w:uiPriority w:val="99"/>
    <w:rsid w:val="00DA0378"/>
    <w:pPr>
      <w:spacing w:before="60" w:after="60"/>
      <w:ind w:left="960" w:hanging="360"/>
    </w:pPr>
  </w:style>
  <w:style w:type="paragraph" w:customStyle="1" w:styleId="parabulletindentmore2">
    <w:name w:val="para bullet indent more 2"/>
    <w:basedOn w:val="BasicParagraph"/>
    <w:uiPriority w:val="99"/>
    <w:rsid w:val="00DA0378"/>
    <w:pPr>
      <w:spacing w:before="60" w:after="60"/>
      <w:ind w:left="1320" w:hanging="360"/>
    </w:pPr>
  </w:style>
  <w:style w:type="paragraph" w:customStyle="1" w:styleId="parabulletindentmore3">
    <w:name w:val="para bullet indent more 3"/>
    <w:basedOn w:val="BasicParagraph"/>
    <w:uiPriority w:val="99"/>
    <w:rsid w:val="00DA0378"/>
    <w:pPr>
      <w:spacing w:before="60" w:after="60"/>
      <w:ind w:left="1680" w:hanging="360"/>
    </w:pPr>
  </w:style>
  <w:style w:type="paragraph" w:styleId="EndnoteText">
    <w:name w:val="endnote text"/>
    <w:basedOn w:val="Normal"/>
    <w:link w:val="EndnoteTextChar"/>
    <w:uiPriority w:val="99"/>
    <w:rsid w:val="00DA0378"/>
    <w:pPr>
      <w:autoSpaceDE w:val="0"/>
      <w:autoSpaceDN w:val="0"/>
      <w:adjustRightInd w:val="0"/>
      <w:spacing w:after="200" w:line="288" w:lineRule="auto"/>
      <w:textAlignment w:val="center"/>
    </w:pPr>
    <w:rPr>
      <w:rFonts w:ascii="Times New Roman" w:hAnsi="Times New Roman" w:cs="Times New Roman"/>
      <w:color w:val="000000"/>
      <w:sz w:val="20"/>
      <w:szCs w:val="20"/>
    </w:rPr>
  </w:style>
  <w:style w:type="character" w:customStyle="1" w:styleId="EndnoteTextChar">
    <w:name w:val="Endnote Text Char"/>
    <w:basedOn w:val="DefaultParagraphFont"/>
    <w:link w:val="EndnoteText"/>
    <w:uiPriority w:val="99"/>
    <w:rsid w:val="00DA0378"/>
    <w:rPr>
      <w:rFonts w:ascii="Times New Roman" w:hAnsi="Times New Roman" w:cs="Times New Roman"/>
      <w:color w:val="000000"/>
      <w:sz w:val="20"/>
      <w:szCs w:val="20"/>
    </w:rPr>
  </w:style>
  <w:style w:type="paragraph" w:customStyle="1" w:styleId="selectreferences">
    <w:name w:val="select references"/>
    <w:basedOn w:val="Normal"/>
    <w:uiPriority w:val="99"/>
    <w:rsid w:val="00DA0378"/>
    <w:pPr>
      <w:autoSpaceDE w:val="0"/>
      <w:autoSpaceDN w:val="0"/>
      <w:adjustRightInd w:val="0"/>
      <w:spacing w:before="240" w:after="120" w:line="288" w:lineRule="auto"/>
      <w:jc w:val="center"/>
      <w:textAlignment w:val="center"/>
    </w:pPr>
    <w:rPr>
      <w:rFonts w:ascii="Minion Pro SmBd Capt" w:hAnsi="Minion Pro SmBd Capt" w:cs="Minion Pro SmBd Capt"/>
      <w:color w:val="000000"/>
      <w:sz w:val="28"/>
      <w:szCs w:val="28"/>
    </w:rPr>
  </w:style>
  <w:style w:type="paragraph" w:customStyle="1" w:styleId="Pararules">
    <w:name w:val="Para rules"/>
    <w:basedOn w:val="Normal"/>
    <w:uiPriority w:val="99"/>
    <w:rsid w:val="00DA0378"/>
    <w:pPr>
      <w:pBdr>
        <w:bottom w:val="single" w:sz="4" w:space="0" w:color="auto"/>
      </w:pBdr>
      <w:suppressAutoHyphens/>
      <w:autoSpaceDE w:val="0"/>
      <w:autoSpaceDN w:val="0"/>
      <w:adjustRightInd w:val="0"/>
      <w:spacing w:before="120" w:after="12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qFormat/>
    <w:rsid w:val="00DB7C9F"/>
    <w:rPr>
      <w:rFonts w:asciiTheme="minorHAnsi" w:hAnsiTheme="minorHAnsi" w:cs="Minion Pro Med"/>
      <w:b/>
      <w:color w:val="4472C4" w:themeColor="accent1"/>
      <w:sz w:val="21"/>
      <w:szCs w:val="21"/>
      <w:u w:val="none"/>
    </w:rPr>
  </w:style>
  <w:style w:type="character" w:styleId="Emphasis">
    <w:name w:val="Emphasis"/>
    <w:basedOn w:val="DefaultParagraphFont"/>
    <w:uiPriority w:val="99"/>
    <w:qFormat/>
    <w:rsid w:val="00DA0378"/>
    <w:rPr>
      <w:rFonts w:ascii="Minion Pro Capt" w:hAnsi="Minion Pro Capt" w:cs="Minion Pro Capt"/>
      <w:b/>
      <w:bCs/>
      <w:sz w:val="23"/>
      <w:szCs w:val="23"/>
    </w:rPr>
  </w:style>
  <w:style w:type="paragraph" w:styleId="Header">
    <w:name w:val="header"/>
    <w:basedOn w:val="Normal"/>
    <w:link w:val="HeaderChar"/>
    <w:uiPriority w:val="99"/>
    <w:unhideWhenUsed/>
    <w:rsid w:val="000F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6"/>
  </w:style>
  <w:style w:type="paragraph" w:styleId="Footer">
    <w:name w:val="footer"/>
    <w:basedOn w:val="Normal"/>
    <w:link w:val="FooterChar"/>
    <w:uiPriority w:val="99"/>
    <w:unhideWhenUsed/>
    <w:rsid w:val="000F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6"/>
  </w:style>
  <w:style w:type="paragraph" w:styleId="ListParagraph">
    <w:name w:val="List Paragraph"/>
    <w:basedOn w:val="Normal"/>
    <w:uiPriority w:val="34"/>
    <w:qFormat/>
    <w:rsid w:val="000664AD"/>
    <w:pPr>
      <w:ind w:left="720"/>
      <w:contextualSpacing/>
    </w:pPr>
  </w:style>
  <w:style w:type="character" w:styleId="IntenseReference">
    <w:name w:val="Intense Reference"/>
    <w:basedOn w:val="DefaultParagraphFont"/>
    <w:uiPriority w:val="32"/>
    <w:qFormat/>
    <w:rsid w:val="00697F25"/>
    <w:rPr>
      <w:b/>
      <w:bCs/>
      <w:smallCaps/>
      <w:color w:val="4472C4" w:themeColor="accent1"/>
      <w:spacing w:val="5"/>
    </w:rPr>
  </w:style>
  <w:style w:type="paragraph" w:styleId="Title">
    <w:name w:val="Title"/>
    <w:basedOn w:val="Normal"/>
    <w:next w:val="Normal"/>
    <w:link w:val="TitleChar"/>
    <w:uiPriority w:val="10"/>
    <w:qFormat/>
    <w:rsid w:val="005C2C9B"/>
    <w:pPr>
      <w:spacing w:after="0" w:line="240" w:lineRule="auto"/>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5C2C9B"/>
    <w:rPr>
      <w:rFonts w:asciiTheme="majorHAnsi" w:eastAsiaTheme="majorEastAsia" w:hAnsiTheme="majorHAnsi" w:cstheme="majorBidi"/>
      <w:b/>
      <w:spacing w:val="-10"/>
      <w:kern w:val="28"/>
      <w:sz w:val="44"/>
      <w:szCs w:val="56"/>
    </w:rPr>
  </w:style>
  <w:style w:type="character" w:customStyle="1" w:styleId="Heading1Char">
    <w:name w:val="Heading 1 Char"/>
    <w:basedOn w:val="DefaultParagraphFont"/>
    <w:link w:val="Heading1"/>
    <w:uiPriority w:val="9"/>
    <w:rsid w:val="007D4437"/>
    <w:rPr>
      <w:rFonts w:asciiTheme="majorHAnsi" w:eastAsiaTheme="majorEastAsia" w:hAnsiTheme="majorHAnsi" w:cstheme="majorBidi"/>
      <w:b/>
      <w:color w:val="2F5496" w:themeColor="accent1" w:themeShade="BF"/>
      <w:sz w:val="36"/>
      <w:szCs w:val="32"/>
    </w:rPr>
  </w:style>
  <w:style w:type="character" w:customStyle="1" w:styleId="Heading2Char">
    <w:name w:val="Heading 2 Char"/>
    <w:basedOn w:val="DefaultParagraphFont"/>
    <w:link w:val="Heading2"/>
    <w:uiPriority w:val="9"/>
    <w:rsid w:val="009F1CB1"/>
    <w:rPr>
      <w:rFonts w:asciiTheme="majorHAnsi" w:eastAsiaTheme="majorEastAsia" w:hAnsiTheme="majorHAnsi" w:cstheme="majorBidi"/>
      <w:b/>
      <w:color w:val="2F5496" w:themeColor="accent1" w:themeShade="BF"/>
      <w:sz w:val="26"/>
      <w:szCs w:val="26"/>
    </w:rPr>
  </w:style>
  <w:style w:type="table" w:styleId="TableGridLight">
    <w:name w:val="Grid Table Light"/>
    <w:basedOn w:val="TableNormal"/>
    <w:uiPriority w:val="40"/>
    <w:rsid w:val="00025F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B80BD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C5DCA"/>
    <w:pPr>
      <w:spacing w:after="0" w:line="240" w:lineRule="auto"/>
    </w:pPr>
  </w:style>
  <w:style w:type="character" w:styleId="UnresolvedMention">
    <w:name w:val="Unresolved Mention"/>
    <w:basedOn w:val="DefaultParagraphFont"/>
    <w:uiPriority w:val="99"/>
    <w:semiHidden/>
    <w:unhideWhenUsed/>
    <w:rsid w:val="00127166"/>
    <w:rPr>
      <w:color w:val="605E5C"/>
      <w:shd w:val="clear" w:color="auto" w:fill="E1DFDD"/>
    </w:rPr>
  </w:style>
  <w:style w:type="character" w:styleId="CommentReference">
    <w:name w:val="annotation reference"/>
    <w:basedOn w:val="DefaultParagraphFont"/>
    <w:uiPriority w:val="99"/>
    <w:semiHidden/>
    <w:unhideWhenUsed/>
    <w:rsid w:val="00127166"/>
    <w:rPr>
      <w:sz w:val="16"/>
      <w:szCs w:val="16"/>
    </w:rPr>
  </w:style>
  <w:style w:type="paragraph" w:styleId="CommentText">
    <w:name w:val="annotation text"/>
    <w:basedOn w:val="Normal"/>
    <w:link w:val="CommentTextChar"/>
    <w:uiPriority w:val="99"/>
    <w:unhideWhenUsed/>
    <w:rsid w:val="00127166"/>
    <w:pPr>
      <w:spacing w:line="240" w:lineRule="auto"/>
    </w:pPr>
    <w:rPr>
      <w:sz w:val="20"/>
      <w:szCs w:val="20"/>
    </w:rPr>
  </w:style>
  <w:style w:type="character" w:customStyle="1" w:styleId="CommentTextChar">
    <w:name w:val="Comment Text Char"/>
    <w:basedOn w:val="DefaultParagraphFont"/>
    <w:link w:val="CommentText"/>
    <w:uiPriority w:val="99"/>
    <w:rsid w:val="00127166"/>
    <w:rPr>
      <w:sz w:val="20"/>
      <w:szCs w:val="20"/>
    </w:rPr>
  </w:style>
  <w:style w:type="paragraph" w:styleId="CommentSubject">
    <w:name w:val="annotation subject"/>
    <w:basedOn w:val="CommentText"/>
    <w:next w:val="CommentText"/>
    <w:link w:val="CommentSubjectChar"/>
    <w:uiPriority w:val="99"/>
    <w:semiHidden/>
    <w:unhideWhenUsed/>
    <w:rsid w:val="00127166"/>
    <w:rPr>
      <w:b/>
      <w:bCs/>
    </w:rPr>
  </w:style>
  <w:style w:type="character" w:customStyle="1" w:styleId="CommentSubjectChar">
    <w:name w:val="Comment Subject Char"/>
    <w:basedOn w:val="CommentTextChar"/>
    <w:link w:val="CommentSubject"/>
    <w:uiPriority w:val="99"/>
    <w:semiHidden/>
    <w:rsid w:val="00127166"/>
    <w:rPr>
      <w:b/>
      <w:bCs/>
      <w:sz w:val="20"/>
      <w:szCs w:val="20"/>
    </w:rPr>
  </w:style>
  <w:style w:type="character" w:styleId="FollowedHyperlink">
    <w:name w:val="FollowedHyperlink"/>
    <w:basedOn w:val="DefaultParagraphFont"/>
    <w:uiPriority w:val="99"/>
    <w:semiHidden/>
    <w:unhideWhenUsed/>
    <w:rsid w:val="00914F6F"/>
    <w:rPr>
      <w:color w:val="954F72" w:themeColor="followedHyperlink"/>
      <w:u w:val="single"/>
    </w:rPr>
  </w:style>
  <w:style w:type="character" w:customStyle="1" w:styleId="Heading4Char">
    <w:name w:val="Heading 4 Char"/>
    <w:basedOn w:val="DefaultParagraphFont"/>
    <w:link w:val="Heading4"/>
    <w:uiPriority w:val="9"/>
    <w:rsid w:val="00B80BDA"/>
    <w:rPr>
      <w:rFonts w:cstheme="minorHAnsi"/>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durable-medical-equipment-manual-for-masshealth-providers%23subchapter-6:-durable-medical-equipment-service-cod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regulations/130-CMR-45000-administrative-and-billing-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ce.org.uk/guidance/TA151/chapter/1-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regulations/130-CMR-409000-durable-medical-equipment-services" TargetMode="External"/><Relationship Id="rId5" Type="http://schemas.openxmlformats.org/officeDocument/2006/relationships/numbering" Target="numbering.xml"/><Relationship Id="rId15" Type="http://schemas.openxmlformats.org/officeDocument/2006/relationships/hyperlink" Target="https://mhdl.pharmacy.services.conduent.com/MHDL/pubtheradetail.do?id=4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payment-and-coverage-guideline-tools?_gl=1*1x4lzgy*_ga*MTU2NTM2MDg2NC4xNjgyOTUxMTg3*_ga_MCLPEGW7WM*MTcwNTU4OTQ0Ny45NS4wLjE3MDU1ODk0NDc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4" ma:contentTypeDescription="Create a new document." ma:contentTypeScope="" ma:versionID="075100ff983271f799fb86594fce9c9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d17056ec1fb28e6f9cf38489339d540"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Props1.xml><?xml version="1.0" encoding="utf-8"?>
<ds:datastoreItem xmlns:ds="http://schemas.openxmlformats.org/officeDocument/2006/customXml" ds:itemID="{269CF350-521B-4B8F-9611-9A5D0721951E}">
  <ds:schemaRefs>
    <ds:schemaRef ds:uri="http://schemas.microsoft.com/sharepoint/v3/contenttype/forms"/>
  </ds:schemaRefs>
</ds:datastoreItem>
</file>

<file path=customXml/itemProps2.xml><?xml version="1.0" encoding="utf-8"?>
<ds:datastoreItem xmlns:ds="http://schemas.openxmlformats.org/officeDocument/2006/customXml" ds:itemID="{1994F84B-0770-4916-BCCC-7DE0E376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C6DCD-ED9A-43D8-A950-CC0617802E87}">
  <ds:schemaRefs>
    <ds:schemaRef ds:uri="http://schemas.openxmlformats.org/officeDocument/2006/bibliography"/>
  </ds:schemaRefs>
</ds:datastoreItem>
</file>

<file path=customXml/itemProps4.xml><?xml version="1.0" encoding="utf-8"?>
<ds:datastoreItem xmlns:ds="http://schemas.openxmlformats.org/officeDocument/2006/customXml" ds:itemID="{BB90FF36-5431-4B2E-A03A-B7554D91CAB7}">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Philippa Durbin</cp:lastModifiedBy>
  <cp:revision>4</cp:revision>
  <dcterms:created xsi:type="dcterms:W3CDTF">2024-01-18T15:47:00Z</dcterms:created>
  <dcterms:modified xsi:type="dcterms:W3CDTF">2024-01-18T19:14:00Z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