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00FC" w14:textId="2B7F84CF" w:rsidR="5911DA96" w:rsidRPr="00D73CB9" w:rsidRDefault="5911DA96" w:rsidP="00E23B24">
      <w:pPr>
        <w:pStyle w:val="Heading1"/>
      </w:pPr>
      <w:r w:rsidRPr="00D73CB9">
        <w:rPr>
          <w:rFonts w:eastAsia="Calibri"/>
        </w:rPr>
        <w:t>Guidelines for Medical Necessity</w:t>
      </w:r>
      <w:r w:rsidRPr="00D73CB9">
        <w:br/>
      </w:r>
      <w:r w:rsidRPr="00D73CB9">
        <w:rPr>
          <w:rFonts w:eastAsia="Calibri"/>
        </w:rPr>
        <w:t>Determination for Excision of Excessive Skin and Subcutaneous Tissue</w:t>
      </w:r>
    </w:p>
    <w:p w14:paraId="6EECA537" w14:textId="7A5EAC15" w:rsidR="5911DA96" w:rsidRPr="00D73CB9" w:rsidRDefault="5911DA96" w:rsidP="00215CE2">
      <w:r w:rsidRPr="00792D2D">
        <w:rPr>
          <w:rFonts w:ascii="Calibri" w:eastAsia="Calibri" w:hAnsi="Calibri" w:cs="Calibri"/>
          <w:color w:val="000000" w:themeColor="text1"/>
        </w:rPr>
        <w:t>Th</w:t>
      </w:r>
      <w:r w:rsidR="003830D9" w:rsidRPr="00792D2D">
        <w:rPr>
          <w:rFonts w:ascii="Calibri" w:eastAsia="Calibri" w:hAnsi="Calibri" w:cs="Calibri"/>
          <w:color w:val="000000" w:themeColor="text1"/>
        </w:rPr>
        <w:t xml:space="preserve">is edition of </w:t>
      </w:r>
      <w:r w:rsidRPr="00792D2D">
        <w:rPr>
          <w:rFonts w:ascii="Calibri" w:eastAsia="Calibri" w:hAnsi="Calibri" w:cs="Calibri"/>
          <w:color w:val="000000" w:themeColor="text1"/>
        </w:rPr>
        <w:t>Guidelines for Medical Necessity Determination (Guidelines) identif</w:t>
      </w:r>
      <w:r w:rsidR="003830D9" w:rsidRPr="00792D2D">
        <w:rPr>
          <w:rFonts w:ascii="Calibri" w:eastAsia="Calibri" w:hAnsi="Calibri" w:cs="Calibri"/>
          <w:color w:val="000000" w:themeColor="text1"/>
        </w:rPr>
        <w:t>ies</w:t>
      </w:r>
      <w:r w:rsidRPr="00792D2D">
        <w:rPr>
          <w:rFonts w:ascii="Calibri" w:eastAsia="Calibri" w:hAnsi="Calibri" w:cs="Calibri"/>
          <w:color w:val="000000" w:themeColor="text1"/>
        </w:rPr>
        <w:t xml:space="preserve"> the clinical information that MassHealth needs to determine medical necessity for the excision of excessive skin and subcutaneous tissue</w:t>
      </w:r>
      <w:r w:rsidR="009B721F" w:rsidRPr="00792D2D">
        <w:rPr>
          <w:rFonts w:ascii="Calibri" w:eastAsia="Calibri" w:hAnsi="Calibri" w:cs="Calibri"/>
          <w:color w:val="000000" w:themeColor="text1"/>
        </w:rPr>
        <w:t xml:space="preserve"> </w:t>
      </w:r>
      <w:r w:rsidRPr="00792D2D">
        <w:rPr>
          <w:rFonts w:ascii="Calibri" w:eastAsia="Calibri" w:hAnsi="Calibri" w:cs="Calibri"/>
          <w:color w:val="000000" w:themeColor="text1"/>
        </w:rPr>
        <w:t>from</w:t>
      </w:r>
      <w:r w:rsidR="0080434A" w:rsidRPr="00792D2D">
        <w:rPr>
          <w:rFonts w:ascii="Calibri" w:eastAsia="Calibri" w:hAnsi="Calibri" w:cs="Calibri"/>
          <w:color w:val="000000" w:themeColor="text1"/>
        </w:rPr>
        <w:t xml:space="preserve"> the abdomen, </w:t>
      </w:r>
      <w:r w:rsidRPr="00792D2D">
        <w:rPr>
          <w:rFonts w:ascii="Calibri" w:eastAsia="Calibri" w:hAnsi="Calibri" w:cs="Calibri"/>
          <w:color w:val="000000" w:themeColor="text1"/>
        </w:rPr>
        <w:t>forearm or hand, submental fat pad, or other area</w:t>
      </w:r>
      <w:r w:rsidR="009B721F" w:rsidRPr="00792D2D">
        <w:rPr>
          <w:rFonts w:ascii="Calibri" w:eastAsia="Calibri" w:hAnsi="Calibri" w:cs="Calibri"/>
          <w:color w:val="000000" w:themeColor="text1"/>
        </w:rPr>
        <w:t>.</w:t>
      </w:r>
      <w:r w:rsidR="007935AF">
        <w:rPr>
          <w:rFonts w:ascii="Calibri" w:eastAsia="Calibri" w:hAnsi="Calibri" w:cs="Calibri"/>
          <w:color w:val="000000" w:themeColor="text1"/>
        </w:rPr>
        <w:t xml:space="preserve"> </w:t>
      </w:r>
      <w:r w:rsidRPr="00792D2D">
        <w:rPr>
          <w:rFonts w:ascii="Calibri" w:eastAsia="Calibri" w:hAnsi="Calibri" w:cs="Calibri"/>
          <w:color w:val="000000" w:themeColor="text1"/>
        </w:rPr>
        <w:t>Panniculectomy is a surgical procedure to remove excessive skin and subcutaneous tissue from the abdomen.</w:t>
      </w:r>
      <w:r w:rsidRPr="00D73CB9">
        <w:rPr>
          <w:rFonts w:ascii="Calibri" w:eastAsia="Calibri" w:hAnsi="Calibri" w:cs="Calibri"/>
          <w:color w:val="000000" w:themeColor="text1"/>
        </w:rPr>
        <w:t xml:space="preserve"> This excessive abdominal skin and subcutaneous tissue is called a panniculus. Panniculectomy does not include relocating the umbilicus or tightening of the abdominal muscles (abdominoplasty</w:t>
      </w:r>
      <w:r w:rsidR="002A7FBD">
        <w:rPr>
          <w:rFonts w:ascii="Calibri" w:eastAsia="Calibri" w:hAnsi="Calibri" w:cs="Calibri"/>
          <w:color w:val="000000" w:themeColor="text1"/>
        </w:rPr>
        <w:t xml:space="preserve">). </w:t>
      </w:r>
      <w:r w:rsidR="002A67A4" w:rsidRPr="00D73CB9">
        <w:rPr>
          <w:rFonts w:ascii="Calibri" w:eastAsia="Calibri" w:hAnsi="Calibri" w:cs="Calibri"/>
          <w:color w:val="000000" w:themeColor="text1"/>
        </w:rPr>
        <w:t xml:space="preserve">These Guidelines do not address excision of </w:t>
      </w:r>
      <w:hyperlink r:id="rId11" w:history="1">
        <w:r w:rsidR="002A67A4" w:rsidRPr="00550841">
          <w:rPr>
            <w:rStyle w:val="Hyperlink"/>
            <w:rFonts w:ascii="Calibri" w:eastAsia="Calibri" w:hAnsi="Calibri" w:cs="Calibri"/>
          </w:rPr>
          <w:t>excessive breast tissue, i.e., mastopexy</w:t>
        </w:r>
      </w:hyperlink>
      <w:r w:rsidR="002A67A4" w:rsidRPr="00D73CB9">
        <w:rPr>
          <w:rFonts w:ascii="Calibri" w:eastAsia="Calibri" w:hAnsi="Calibri" w:cs="Calibri"/>
          <w:color w:val="000000" w:themeColor="text1"/>
        </w:rPr>
        <w:t xml:space="preserve"> (CPT 19316); </w:t>
      </w:r>
      <w:hyperlink r:id="rId12" w:history="1">
        <w:r w:rsidR="002A67A4" w:rsidRPr="00550841">
          <w:rPr>
            <w:rStyle w:val="Hyperlink"/>
            <w:rFonts w:ascii="Calibri" w:eastAsia="Calibri" w:hAnsi="Calibri" w:cs="Calibri"/>
          </w:rPr>
          <w:t>reduction mamm</w:t>
        </w:r>
        <w:r w:rsidR="00550841" w:rsidRPr="00550841">
          <w:rPr>
            <w:rStyle w:val="Hyperlink"/>
            <w:rFonts w:ascii="Calibri" w:eastAsia="Calibri" w:hAnsi="Calibri" w:cs="Calibri"/>
          </w:rPr>
          <w:t>o</w:t>
        </w:r>
        <w:r w:rsidR="002A67A4" w:rsidRPr="00550841">
          <w:rPr>
            <w:rStyle w:val="Hyperlink"/>
            <w:rFonts w:ascii="Calibri" w:eastAsia="Calibri" w:hAnsi="Calibri" w:cs="Calibri"/>
          </w:rPr>
          <w:t>plasty</w:t>
        </w:r>
      </w:hyperlink>
      <w:r w:rsidR="002A67A4" w:rsidRPr="00D73CB9">
        <w:rPr>
          <w:rFonts w:ascii="Calibri" w:eastAsia="Calibri" w:hAnsi="Calibri" w:cs="Calibri"/>
          <w:color w:val="000000" w:themeColor="text1"/>
        </w:rPr>
        <w:t xml:space="preserve"> (CPT 19318); or </w:t>
      </w:r>
      <w:hyperlink r:id="rId13" w:history="1">
        <w:r w:rsidR="002A67A4" w:rsidRPr="00550841">
          <w:rPr>
            <w:rStyle w:val="Hyperlink"/>
            <w:rFonts w:ascii="Calibri" w:eastAsia="Calibri" w:hAnsi="Calibri" w:cs="Calibri"/>
          </w:rPr>
          <w:t>mastectomy for gynecomastia</w:t>
        </w:r>
      </w:hyperlink>
      <w:r w:rsidR="002A67A4" w:rsidRPr="00D73CB9">
        <w:rPr>
          <w:rFonts w:ascii="Calibri" w:eastAsia="Calibri" w:hAnsi="Calibri" w:cs="Calibri"/>
          <w:color w:val="000000" w:themeColor="text1"/>
        </w:rPr>
        <w:t xml:space="preserve"> (CPT 19300).</w:t>
      </w:r>
      <w:r w:rsidR="00EC2AA4">
        <w:rPr>
          <w:rFonts w:ascii="Calibri" w:eastAsia="Calibri" w:hAnsi="Calibri" w:cs="Calibri"/>
          <w:color w:val="000000" w:themeColor="text1"/>
        </w:rPr>
        <w:t xml:space="preserve"> </w:t>
      </w:r>
      <w:r w:rsidRPr="00D73CB9">
        <w:rPr>
          <w:rFonts w:ascii="Calibri" w:eastAsia="Calibri" w:hAnsi="Calibri" w:cs="Calibri"/>
          <w:color w:val="000000" w:themeColor="text1"/>
        </w:rPr>
        <w:t xml:space="preserve">These Guidelines are based on generally accepted standards of practice, review of the medical literature, and federal and state policies and laws applicable to Medicaid programs. </w:t>
      </w:r>
    </w:p>
    <w:p w14:paraId="55E0C794" w14:textId="7297C946" w:rsidR="003830D9" w:rsidRPr="00D73CB9" w:rsidRDefault="003830D9" w:rsidP="00457893">
      <w:pPr>
        <w:pStyle w:val="BodyText"/>
        <w:spacing w:after="160" w:line="226" w:lineRule="auto"/>
        <w:ind w:right="547"/>
        <w:rPr>
          <w:rFonts w:ascii="Calibri" w:hAnsi="Calibri" w:cs="Calibri"/>
          <w:sz w:val="22"/>
          <w:szCs w:val="22"/>
        </w:rPr>
      </w:pPr>
      <w:r w:rsidRPr="55B062DE">
        <w:rPr>
          <w:rFonts w:ascii="Calibri" w:hAnsi="Calibri" w:cs="Calibri"/>
          <w:color w:val="231F20"/>
          <w:sz w:val="22"/>
          <w:szCs w:val="22"/>
        </w:rPr>
        <w:t xml:space="preserve">Providers should consult MassHealth regulations at </w:t>
      </w:r>
      <w:hyperlink r:id="rId14">
        <w:r w:rsidRPr="55B062DE">
          <w:rPr>
            <w:rStyle w:val="Hyperlink"/>
            <w:rFonts w:ascii="Calibri" w:hAnsi="Calibri" w:cs="Calibri"/>
            <w:sz w:val="22"/>
            <w:szCs w:val="22"/>
            <w:u w:val="none"/>
          </w:rPr>
          <w:t xml:space="preserve">130 CMR 415.000: </w:t>
        </w:r>
        <w:r w:rsidRPr="55B062DE">
          <w:rPr>
            <w:rStyle w:val="Hyperlink"/>
            <w:rFonts w:ascii="Calibri" w:hAnsi="Calibri" w:cs="Calibri"/>
            <w:i/>
            <w:iCs/>
            <w:sz w:val="22"/>
            <w:szCs w:val="22"/>
            <w:u w:val="none"/>
          </w:rPr>
          <w:t>Acute Inpatient Hospital Services</w:t>
        </w:r>
      </w:hyperlink>
      <w:r w:rsidRPr="55B062DE">
        <w:rPr>
          <w:rFonts w:ascii="Calibri" w:hAnsi="Calibri" w:cs="Calibri"/>
          <w:color w:val="231F20"/>
          <w:sz w:val="22"/>
          <w:szCs w:val="22"/>
        </w:rPr>
        <w:t xml:space="preserve">, </w:t>
      </w:r>
      <w:hyperlink r:id="rId15">
        <w:r w:rsidRPr="55B062DE">
          <w:rPr>
            <w:rStyle w:val="Hyperlink"/>
            <w:rFonts w:ascii="Calibri" w:hAnsi="Calibri" w:cs="Calibri"/>
            <w:sz w:val="22"/>
            <w:szCs w:val="22"/>
            <w:u w:val="none"/>
          </w:rPr>
          <w:t xml:space="preserve">130 CMR 433.00: </w:t>
        </w:r>
        <w:r w:rsidRPr="55B062DE">
          <w:rPr>
            <w:rStyle w:val="Hyperlink"/>
            <w:rFonts w:ascii="Calibri" w:hAnsi="Calibri" w:cs="Calibri"/>
            <w:i/>
            <w:iCs/>
            <w:sz w:val="22"/>
            <w:szCs w:val="22"/>
            <w:u w:val="none"/>
          </w:rPr>
          <w:t>Physician Services</w:t>
        </w:r>
      </w:hyperlink>
      <w:r w:rsidRPr="55B062DE">
        <w:rPr>
          <w:rFonts w:ascii="Calibri" w:hAnsi="Calibri" w:cs="Calibri"/>
          <w:color w:val="231F20"/>
          <w:sz w:val="22"/>
          <w:szCs w:val="22"/>
        </w:rPr>
        <w:t xml:space="preserve">, </w:t>
      </w:r>
      <w:hyperlink r:id="rId16">
        <w:r w:rsidRPr="55B062DE">
          <w:rPr>
            <w:rStyle w:val="Hyperlink"/>
            <w:rFonts w:ascii="Calibri" w:hAnsi="Calibri" w:cs="Calibri"/>
            <w:sz w:val="22"/>
            <w:szCs w:val="22"/>
            <w:u w:val="none"/>
          </w:rPr>
          <w:t xml:space="preserve">130 CMR 410.000: </w:t>
        </w:r>
        <w:r w:rsidRPr="55B062DE">
          <w:rPr>
            <w:rStyle w:val="Hyperlink"/>
            <w:rFonts w:ascii="Calibri" w:hAnsi="Calibri" w:cs="Calibri"/>
            <w:i/>
            <w:iCs/>
            <w:sz w:val="22"/>
            <w:szCs w:val="22"/>
            <w:u w:val="none"/>
          </w:rPr>
          <w:t>Outpatient Hospital Services</w:t>
        </w:r>
      </w:hyperlink>
      <w:r w:rsidRPr="55B062DE">
        <w:rPr>
          <w:rFonts w:ascii="Calibri" w:hAnsi="Calibri" w:cs="Calibri"/>
          <w:color w:val="231F20"/>
          <w:sz w:val="22"/>
          <w:szCs w:val="22"/>
        </w:rPr>
        <w:t xml:space="preserve">, and </w:t>
      </w:r>
      <w:hyperlink r:id="rId17">
        <w:r w:rsidRPr="55B062DE">
          <w:rPr>
            <w:rStyle w:val="Hyperlink"/>
            <w:rFonts w:ascii="Calibri" w:hAnsi="Calibri" w:cs="Calibri"/>
            <w:sz w:val="22"/>
            <w:szCs w:val="22"/>
            <w:u w:val="none"/>
          </w:rPr>
          <w:t xml:space="preserve">130 CMR 450.000: </w:t>
        </w:r>
        <w:r w:rsidRPr="55B062DE">
          <w:rPr>
            <w:rStyle w:val="Hyperlink"/>
            <w:rFonts w:ascii="Calibri" w:hAnsi="Calibri" w:cs="Calibri"/>
            <w:i/>
            <w:iCs/>
            <w:sz w:val="22"/>
            <w:szCs w:val="22"/>
            <w:u w:val="none"/>
          </w:rPr>
          <w:t>Administrative and Billing Regulations</w:t>
        </w:r>
      </w:hyperlink>
      <w:r w:rsidR="00F35949" w:rsidRPr="55B062DE">
        <w:rPr>
          <w:rFonts w:ascii="Calibri" w:hAnsi="Calibri" w:cs="Calibri"/>
          <w:sz w:val="22"/>
          <w:szCs w:val="22"/>
        </w:rPr>
        <w:t>;</w:t>
      </w:r>
      <w:r w:rsidR="00F35949" w:rsidRPr="55B062DE">
        <w:rPr>
          <w:rFonts w:ascii="Calibri" w:hAnsi="Calibri" w:cs="Calibri"/>
          <w:color w:val="231F20"/>
          <w:sz w:val="22"/>
          <w:szCs w:val="22"/>
        </w:rPr>
        <w:t xml:space="preserve"> </w:t>
      </w:r>
      <w:r w:rsidRPr="55B062DE">
        <w:rPr>
          <w:rFonts w:ascii="Calibri" w:hAnsi="Calibri" w:cs="Calibri"/>
          <w:color w:val="231F20"/>
          <w:sz w:val="22"/>
          <w:szCs w:val="22"/>
        </w:rPr>
        <w:t xml:space="preserve">Subchapter 6 of the </w:t>
      </w:r>
      <w:hyperlink r:id="rId18">
        <w:r w:rsidRPr="55B062DE">
          <w:rPr>
            <w:rStyle w:val="Hyperlink"/>
            <w:rFonts w:ascii="Calibri" w:hAnsi="Calibri" w:cs="Calibri"/>
            <w:sz w:val="22"/>
            <w:szCs w:val="22"/>
            <w:u w:val="none"/>
          </w:rPr>
          <w:t>Physician Manual</w:t>
        </w:r>
      </w:hyperlink>
      <w:r w:rsidR="00F35949" w:rsidRPr="55B062DE">
        <w:rPr>
          <w:rFonts w:ascii="Calibri" w:hAnsi="Calibri" w:cs="Calibri"/>
          <w:color w:val="231F20"/>
          <w:sz w:val="22"/>
          <w:szCs w:val="22"/>
        </w:rPr>
        <w:t xml:space="preserve">; </w:t>
      </w:r>
      <w:r w:rsidRPr="55B062DE">
        <w:rPr>
          <w:rFonts w:ascii="Calibri" w:hAnsi="Calibri" w:cs="Calibri"/>
          <w:color w:val="231F20"/>
          <w:sz w:val="22"/>
          <w:szCs w:val="22"/>
        </w:rPr>
        <w:t xml:space="preserve">and Subchapter 6 of the </w:t>
      </w:r>
      <w:hyperlink r:id="rId19">
        <w:r w:rsidRPr="0077541E">
          <w:rPr>
            <w:rStyle w:val="Hyperlink"/>
            <w:rFonts w:ascii="Calibri" w:hAnsi="Calibri" w:cs="Calibri"/>
            <w:i/>
            <w:iCs/>
            <w:sz w:val="22"/>
            <w:szCs w:val="22"/>
            <w:u w:val="none"/>
          </w:rPr>
          <w:t>Acute Outpatient Hospital Manual</w:t>
        </w:r>
      </w:hyperlink>
      <w:r w:rsidRPr="55B062DE">
        <w:rPr>
          <w:rFonts w:ascii="Calibri" w:hAnsi="Calibri" w:cs="Calibri"/>
          <w:i/>
          <w:iCs/>
          <w:color w:val="231F20"/>
          <w:sz w:val="22"/>
          <w:szCs w:val="22"/>
        </w:rPr>
        <w:t xml:space="preserve"> </w:t>
      </w:r>
      <w:r w:rsidRPr="55B062DE">
        <w:rPr>
          <w:rFonts w:ascii="Calibri" w:hAnsi="Calibri" w:cs="Calibri"/>
          <w:color w:val="231F20"/>
          <w:sz w:val="22"/>
          <w:szCs w:val="22"/>
        </w:rPr>
        <w:t>for information about coverage, limitations, service conditions, and other prior-authorization (PA) requirements applicable to this service.</w:t>
      </w:r>
    </w:p>
    <w:p w14:paraId="01AD6245" w14:textId="2E39C3E4" w:rsidR="104330AB" w:rsidRDefault="104330AB" w:rsidP="55B062DE">
      <w:pPr>
        <w:spacing w:line="257" w:lineRule="auto"/>
      </w:pPr>
      <w:r w:rsidRPr="55B062DE">
        <w:rPr>
          <w:rFonts w:ascii="Calibri" w:eastAsia="Calibri" w:hAnsi="Calibri" w:cs="Calibri"/>
        </w:rPr>
        <w:t xml:space="preserve">Providers serving members enrolled in a MassHealth-contracted accountable care partnership plan (ACPP), managed care organization (MCO), One Care organization, Senior Care </w:t>
      </w:r>
      <w:r w:rsidR="00FB35C2">
        <w:rPr>
          <w:rFonts w:ascii="Calibri" w:eastAsia="Calibri" w:hAnsi="Calibri" w:cs="Calibri"/>
        </w:rPr>
        <w:t xml:space="preserve">Options </w:t>
      </w:r>
      <w:r w:rsidRPr="55B062DE">
        <w:rPr>
          <w:rFonts w:ascii="Calibri" w:eastAsia="Calibri" w:hAnsi="Calibri" w:cs="Calibri"/>
        </w:rPr>
        <w:t>(SCO)</w:t>
      </w:r>
      <w:r w:rsidR="00FB35C2">
        <w:rPr>
          <w:rFonts w:ascii="Calibri" w:eastAsia="Calibri" w:hAnsi="Calibri" w:cs="Calibri"/>
        </w:rPr>
        <w:t xml:space="preserve"> plan</w:t>
      </w:r>
      <w:r w:rsidRPr="55B062DE">
        <w:rPr>
          <w:rFonts w:ascii="Calibri" w:eastAsia="Calibri" w:hAnsi="Calibri" w:cs="Calibri"/>
        </w:rPr>
        <w:t>, or Program of All-inclusive Care for the Elderly (PACE) should refer to the ACPP’s, MCO’s, One Care organization’s, SCO’s, or PACE’s medical policies, respectively, for covered services.</w:t>
      </w:r>
    </w:p>
    <w:p w14:paraId="2729A198" w14:textId="283F6868" w:rsidR="5911DA96" w:rsidRPr="00D73CB9" w:rsidRDefault="004A56F6" w:rsidP="004A56F6">
      <w:r w:rsidRPr="004A56F6">
        <w:rPr>
          <w:rFonts w:ascii="Calibri" w:eastAsia="Calibri" w:hAnsi="Calibri" w:cs="Calibri"/>
          <w:color w:val="000000" w:themeColor="text1"/>
        </w:rPr>
        <w:t>MassHealth requires PA for excision of excessive skin and subcutaneous tissue. MassHealth reviews requests for PA on the basis of medical necessity. If</w:t>
      </w:r>
      <w:r w:rsidRPr="00D73CB9">
        <w:rPr>
          <w:rFonts w:ascii="Calibri" w:eastAsia="Calibri" w:hAnsi="Calibri" w:cs="Calibri"/>
          <w:color w:val="000000" w:themeColor="text1"/>
        </w:rPr>
        <w:t xml:space="preserve"> </w:t>
      </w:r>
      <w:r w:rsidR="5911DA96" w:rsidRPr="00D73CB9">
        <w:rPr>
          <w:rFonts w:ascii="Calibri" w:eastAsia="Calibri" w:hAnsi="Calibri" w:cs="Calibri"/>
          <w:color w:val="000000" w:themeColor="text1"/>
        </w:rPr>
        <w:t>MassHealth</w:t>
      </w:r>
      <w:r w:rsidR="009845B2">
        <w:rPr>
          <w:rFonts w:ascii="Calibri" w:eastAsia="Calibri" w:hAnsi="Calibri" w:cs="Calibri"/>
          <w:color w:val="000000" w:themeColor="text1"/>
        </w:rPr>
        <w:t xml:space="preserve"> </w:t>
      </w:r>
      <w:r w:rsidR="009845B2">
        <w:t>approves the request, payment is still subject to all general conditions of MassHealth</w:t>
      </w:r>
      <w:r w:rsidR="5911DA96" w:rsidRPr="00D73CB9">
        <w:rPr>
          <w:rFonts w:ascii="Calibri" w:eastAsia="Calibri" w:hAnsi="Calibri" w:cs="Calibri"/>
          <w:color w:val="000000" w:themeColor="text1"/>
        </w:rPr>
        <w:t>, including member eligibility, other insurance, and program restrictions.</w:t>
      </w:r>
    </w:p>
    <w:p w14:paraId="53D20BB6" w14:textId="2F2B1C0B" w:rsidR="5911DA96" w:rsidRPr="00D73CB9" w:rsidRDefault="5911DA96" w:rsidP="00E23B24">
      <w:pPr>
        <w:pStyle w:val="Heading2"/>
      </w:pPr>
      <w:r w:rsidRPr="00D73CB9">
        <w:rPr>
          <w:rFonts w:eastAsia="Calibri"/>
        </w:rPr>
        <w:t>Section I. General Information</w:t>
      </w:r>
    </w:p>
    <w:p w14:paraId="5500D0D9" w14:textId="77777777" w:rsidR="008D6D76" w:rsidRDefault="529BF727" w:rsidP="28C7F967">
      <w:pPr>
        <w:rPr>
          <w:rFonts w:ascii="Calibri" w:eastAsia="Calibri" w:hAnsi="Calibri" w:cs="Calibri"/>
          <w:color w:val="000000" w:themeColor="text1"/>
        </w:rPr>
        <w:sectPr w:rsidR="008D6D76">
          <w:footerReference w:type="default" r:id="rId20"/>
          <w:pgSz w:w="12240" w:h="15840"/>
          <w:pgMar w:top="1440" w:right="1440" w:bottom="1440" w:left="1440" w:header="720" w:footer="720" w:gutter="0"/>
          <w:cols w:space="720"/>
          <w:docGrid w:linePitch="360"/>
        </w:sectPr>
      </w:pPr>
      <w:r w:rsidRPr="28C7F967">
        <w:rPr>
          <w:rFonts w:ascii="Calibri" w:eastAsia="Calibri" w:hAnsi="Calibri" w:cs="Calibri"/>
          <w:color w:val="000000" w:themeColor="text1"/>
        </w:rPr>
        <w:t>Rapid</w:t>
      </w:r>
      <w:r w:rsidR="4D0389F5" w:rsidRPr="28C7F967">
        <w:rPr>
          <w:rFonts w:ascii="Calibri" w:eastAsia="Calibri" w:hAnsi="Calibri" w:cs="Calibri"/>
          <w:color w:val="000000" w:themeColor="text1"/>
        </w:rPr>
        <w:t xml:space="preserve">, massive weight loss </w:t>
      </w:r>
      <w:r w:rsidRPr="28C7F967">
        <w:rPr>
          <w:rFonts w:ascii="Calibri" w:eastAsia="Calibri" w:hAnsi="Calibri" w:cs="Calibri"/>
          <w:color w:val="000000" w:themeColor="text1"/>
        </w:rPr>
        <w:t xml:space="preserve">results in excessive skin and subcutaneous tissue without potential for retraction. </w:t>
      </w:r>
      <w:r w:rsidR="227910FD" w:rsidRPr="28C7F967">
        <w:rPr>
          <w:rFonts w:ascii="Calibri" w:eastAsia="Calibri" w:hAnsi="Calibri" w:cs="Calibri"/>
          <w:color w:val="000000" w:themeColor="text1"/>
        </w:rPr>
        <w:t>E</w:t>
      </w:r>
      <w:r w:rsidRPr="28C7F967">
        <w:rPr>
          <w:rFonts w:ascii="Calibri" w:eastAsia="Calibri" w:hAnsi="Calibri" w:cs="Calibri"/>
          <w:color w:val="000000" w:themeColor="text1"/>
        </w:rPr>
        <w:t xml:space="preserve">xcessive skin and subcutaneous tissue </w:t>
      </w:r>
      <w:r w:rsidR="227910FD" w:rsidRPr="28C7F967">
        <w:rPr>
          <w:rFonts w:ascii="Calibri" w:eastAsia="Calibri" w:hAnsi="Calibri" w:cs="Calibri"/>
          <w:color w:val="000000" w:themeColor="text1"/>
        </w:rPr>
        <w:t xml:space="preserve">are </w:t>
      </w:r>
      <w:r w:rsidRPr="28C7F967">
        <w:rPr>
          <w:rFonts w:ascii="Calibri" w:eastAsia="Calibri" w:hAnsi="Calibri" w:cs="Calibri"/>
          <w:color w:val="000000" w:themeColor="text1"/>
        </w:rPr>
        <w:t>most prevalent in the lower abdomen. In addition to cosmetic concerns, a large and heavy abdominal panniculus can interfere with normal activities of daily living</w:t>
      </w:r>
      <w:r w:rsidR="227910FD" w:rsidRPr="28C7F967">
        <w:rPr>
          <w:rFonts w:ascii="Calibri" w:eastAsia="Calibri" w:hAnsi="Calibri" w:cs="Calibri"/>
          <w:color w:val="000000" w:themeColor="text1"/>
        </w:rPr>
        <w:t xml:space="preserve"> (ADL)</w:t>
      </w:r>
      <w:r w:rsidRPr="28C7F967">
        <w:rPr>
          <w:rFonts w:ascii="Calibri" w:eastAsia="Calibri" w:hAnsi="Calibri" w:cs="Calibri"/>
          <w:color w:val="000000" w:themeColor="text1"/>
        </w:rPr>
        <w:t>, such as walking, climbing stairs,</w:t>
      </w:r>
      <w:r w:rsidR="7CB38A78" w:rsidRPr="28C7F967">
        <w:rPr>
          <w:rFonts w:ascii="Calibri" w:eastAsia="Calibri" w:hAnsi="Calibri" w:cs="Calibri"/>
          <w:color w:val="000000" w:themeColor="text1"/>
        </w:rPr>
        <w:t xml:space="preserve"> sexual activity,</w:t>
      </w:r>
      <w:r w:rsidRPr="28C7F967">
        <w:rPr>
          <w:rFonts w:ascii="Calibri" w:eastAsia="Calibri" w:hAnsi="Calibri" w:cs="Calibri"/>
          <w:color w:val="000000" w:themeColor="text1"/>
        </w:rPr>
        <w:t xml:space="preserve"> </w:t>
      </w:r>
      <w:proofErr w:type="gramStart"/>
      <w:r w:rsidRPr="28C7F967">
        <w:rPr>
          <w:rFonts w:ascii="Calibri" w:eastAsia="Calibri" w:hAnsi="Calibri" w:cs="Calibri"/>
          <w:color w:val="000000" w:themeColor="text1"/>
        </w:rPr>
        <w:t>bathing</w:t>
      </w:r>
      <w:proofErr w:type="gramEnd"/>
      <w:r w:rsidRPr="28C7F967">
        <w:rPr>
          <w:rFonts w:ascii="Calibri" w:eastAsia="Calibri" w:hAnsi="Calibri" w:cs="Calibri"/>
          <w:color w:val="000000" w:themeColor="text1"/>
        </w:rPr>
        <w:t xml:space="preserve"> or showering, and getting dressed. Rashes and</w:t>
      </w:r>
      <w:r w:rsidR="14DC4EEE" w:rsidRPr="28C7F967">
        <w:rPr>
          <w:rFonts w:ascii="Calibri" w:eastAsia="Calibri" w:hAnsi="Calibri" w:cs="Calibri"/>
          <w:color w:val="000000" w:themeColor="text1"/>
        </w:rPr>
        <w:t xml:space="preserve"> </w:t>
      </w:r>
      <w:r w:rsidRPr="28C7F967">
        <w:rPr>
          <w:rFonts w:ascii="Calibri" w:eastAsia="Calibri" w:hAnsi="Calibri" w:cs="Calibri"/>
          <w:color w:val="000000" w:themeColor="text1"/>
        </w:rPr>
        <w:t xml:space="preserve">skin irritation may occur on the opposing surfaces of the skin, particularly in warm weather. </w:t>
      </w:r>
      <w:r w:rsidR="1D596D43" w:rsidRPr="28C7F967">
        <w:rPr>
          <w:rFonts w:ascii="Calibri" w:eastAsia="Calibri" w:hAnsi="Calibri" w:cs="Calibri"/>
          <w:color w:val="000000" w:themeColor="text1"/>
        </w:rPr>
        <w:t>S</w:t>
      </w:r>
      <w:r w:rsidRPr="28C7F967">
        <w:rPr>
          <w:rFonts w:ascii="Calibri" w:eastAsia="Calibri" w:hAnsi="Calibri" w:cs="Calibri"/>
          <w:color w:val="000000" w:themeColor="text1"/>
        </w:rPr>
        <w:t xml:space="preserve">econdary bacterial or fungal infections can </w:t>
      </w:r>
      <w:r w:rsidR="1D596D43" w:rsidRPr="28C7F967">
        <w:rPr>
          <w:rFonts w:ascii="Calibri" w:eastAsia="Calibri" w:hAnsi="Calibri" w:cs="Calibri"/>
          <w:color w:val="000000" w:themeColor="text1"/>
        </w:rPr>
        <w:t xml:space="preserve">occasionally </w:t>
      </w:r>
      <w:r w:rsidRPr="28C7F967">
        <w:rPr>
          <w:rFonts w:ascii="Calibri" w:eastAsia="Calibri" w:hAnsi="Calibri" w:cs="Calibri"/>
          <w:color w:val="000000" w:themeColor="text1"/>
        </w:rPr>
        <w:t xml:space="preserve">complicate these skin rashes. Timing of surgery to remove excessive skin and subcutaneous tissue should be determined by the stabilization of the member’s weight. For members who have had bariatric surgery, this usually occurs 18 to 24 months after the procedure. Rarely, </w:t>
      </w:r>
      <w:r w:rsidR="4D0389F5" w:rsidRPr="28C7F967">
        <w:rPr>
          <w:rFonts w:ascii="Calibri" w:eastAsia="Calibri" w:hAnsi="Calibri" w:cs="Calibri"/>
          <w:color w:val="000000" w:themeColor="text1"/>
        </w:rPr>
        <w:t>friction may</w:t>
      </w:r>
      <w:r w:rsidR="1D596D43" w:rsidRPr="28C7F967">
        <w:rPr>
          <w:rFonts w:ascii="Calibri" w:eastAsia="Calibri" w:hAnsi="Calibri" w:cs="Calibri"/>
          <w:color w:val="000000" w:themeColor="text1"/>
        </w:rPr>
        <w:t xml:space="preserve"> cause </w:t>
      </w:r>
      <w:r w:rsidRPr="28C7F967">
        <w:rPr>
          <w:rFonts w:ascii="Calibri" w:eastAsia="Calibri" w:hAnsi="Calibri" w:cs="Calibri"/>
          <w:color w:val="000000" w:themeColor="text1"/>
        </w:rPr>
        <w:t xml:space="preserve">excess tissue </w:t>
      </w:r>
      <w:r w:rsidR="1D596D43" w:rsidRPr="28C7F967">
        <w:rPr>
          <w:rFonts w:ascii="Calibri" w:eastAsia="Calibri" w:hAnsi="Calibri" w:cs="Calibri"/>
          <w:color w:val="000000" w:themeColor="text1"/>
        </w:rPr>
        <w:t xml:space="preserve">to </w:t>
      </w:r>
      <w:r w:rsidRPr="28C7F967">
        <w:rPr>
          <w:rFonts w:ascii="Calibri" w:eastAsia="Calibri" w:hAnsi="Calibri" w:cs="Calibri"/>
          <w:color w:val="000000" w:themeColor="text1"/>
        </w:rPr>
        <w:t>complicate wound healing</w:t>
      </w:r>
      <w:r w:rsidR="1D596D43" w:rsidRPr="28C7F967">
        <w:rPr>
          <w:rFonts w:ascii="Calibri" w:eastAsia="Calibri" w:hAnsi="Calibri" w:cs="Calibri"/>
          <w:color w:val="000000" w:themeColor="text1"/>
        </w:rPr>
        <w:t xml:space="preserve">. In these cases, the excess skin </w:t>
      </w:r>
      <w:r w:rsidRPr="28C7F967">
        <w:rPr>
          <w:rFonts w:ascii="Calibri" w:eastAsia="Calibri" w:hAnsi="Calibri" w:cs="Calibri"/>
          <w:color w:val="000000" w:themeColor="text1"/>
        </w:rPr>
        <w:t>may need to be removed to expose other surgical areas or to minimize complications from a complex surgical procedure.</w:t>
      </w:r>
    </w:p>
    <w:p w14:paraId="69709C2C" w14:textId="58A68416" w:rsidR="002A7FBD" w:rsidRPr="00D73CB9" w:rsidRDefault="529BF727">
      <w:pPr>
        <w:rPr>
          <w:rFonts w:ascii="Calibri" w:eastAsia="Calibri" w:hAnsi="Calibri" w:cs="Calibri"/>
          <w:color w:val="000000" w:themeColor="text1"/>
        </w:rPr>
      </w:pPr>
      <w:r w:rsidRPr="28C7F967">
        <w:rPr>
          <w:rFonts w:ascii="Calibri" w:eastAsia="Calibri" w:hAnsi="Calibri" w:cs="Calibri"/>
          <w:color w:val="000000" w:themeColor="text1"/>
        </w:rPr>
        <w:lastRenderedPageBreak/>
        <w:t>MassHealth considers approval for coverage of excision of excessive skin and subcutaneous tissue on an individual, case-by-case basis, in accordance with</w:t>
      </w:r>
      <w:r w:rsidR="4FAB8678" w:rsidRPr="28C7F967">
        <w:rPr>
          <w:rFonts w:ascii="Calibri" w:eastAsia="Calibri" w:hAnsi="Calibri" w:cs="Calibri"/>
          <w:color w:val="000000" w:themeColor="text1"/>
        </w:rPr>
        <w:t xml:space="preserve"> </w:t>
      </w:r>
      <w:r w:rsidR="4FAB8678" w:rsidRPr="28C7F967">
        <w:rPr>
          <w:color w:val="231F20"/>
        </w:rPr>
        <w:t>130 CMR 415.000, 130 CMR 433.00</w:t>
      </w:r>
      <w:r w:rsidR="56BC2D53" w:rsidRPr="28C7F967">
        <w:rPr>
          <w:color w:val="231F20"/>
        </w:rPr>
        <w:t>0</w:t>
      </w:r>
      <w:r w:rsidR="4FAB8678" w:rsidRPr="28C7F967">
        <w:rPr>
          <w:color w:val="231F20"/>
        </w:rPr>
        <w:t xml:space="preserve">, 130 CMR 410.000, </w:t>
      </w:r>
      <w:r w:rsidR="4FAB8678" w:rsidRPr="28C7F967">
        <w:rPr>
          <w:rFonts w:ascii="Calibri" w:eastAsia="Calibri" w:hAnsi="Calibri" w:cs="Calibri"/>
          <w:color w:val="000000" w:themeColor="text1"/>
        </w:rPr>
        <w:t xml:space="preserve">and </w:t>
      </w:r>
      <w:r w:rsidRPr="28C7F967">
        <w:rPr>
          <w:rFonts w:ascii="Calibri" w:eastAsia="Calibri" w:hAnsi="Calibri" w:cs="Calibri"/>
          <w:color w:val="000000" w:themeColor="text1"/>
        </w:rPr>
        <w:t>130 CMR 450.204.</w:t>
      </w:r>
      <w:r w:rsidR="15C84AD4" w:rsidRPr="28C7F967">
        <w:rPr>
          <w:rFonts w:ascii="Calibri" w:eastAsia="Calibri" w:hAnsi="Calibri" w:cs="Calibri"/>
          <w:color w:val="000000" w:themeColor="text1"/>
        </w:rPr>
        <w:t xml:space="preserve"> </w:t>
      </w:r>
    </w:p>
    <w:p w14:paraId="28FCD366" w14:textId="1E705BD4" w:rsidR="5911DA96" w:rsidRPr="00D73CB9" w:rsidRDefault="5911DA96" w:rsidP="00E23B24">
      <w:pPr>
        <w:pStyle w:val="Heading2"/>
      </w:pPr>
      <w:r w:rsidRPr="00D73CB9">
        <w:rPr>
          <w:rFonts w:eastAsia="Calibri"/>
        </w:rPr>
        <w:t>Section II. Clinical Guidelines</w:t>
      </w:r>
    </w:p>
    <w:p w14:paraId="42493F3E" w14:textId="2586F3BD" w:rsidR="5911DA96" w:rsidRPr="00D73CB9" w:rsidRDefault="5911DA96" w:rsidP="00E23B24">
      <w:pPr>
        <w:pStyle w:val="Heading3"/>
      </w:pPr>
      <w:r w:rsidRPr="00D73CB9">
        <w:rPr>
          <w:rFonts w:eastAsia="Calibri"/>
        </w:rPr>
        <w:t>A. Clinical Coverage</w:t>
      </w:r>
    </w:p>
    <w:p w14:paraId="370C69D7" w14:textId="44117B24" w:rsidR="5911DA96" w:rsidRPr="00D73CB9" w:rsidRDefault="5911DA96" w:rsidP="00704995">
      <w:pPr>
        <w:spacing w:after="0"/>
      </w:pPr>
      <w:r w:rsidRPr="00D73CB9">
        <w:rPr>
          <w:rFonts w:ascii="Calibri" w:eastAsia="Calibri" w:hAnsi="Calibri" w:cs="Calibri"/>
          <w:color w:val="000000" w:themeColor="text1"/>
        </w:rPr>
        <w:t>MassHealth bases its determination of medical necessity for excision of excessive skin and subcutaneous tissue on a combination of clinical data and the presence of indicators that would affect the relative risks and benefits of the procedure, including postoperative recovery. These criteria include all of the following:</w:t>
      </w:r>
    </w:p>
    <w:p w14:paraId="0E266392" w14:textId="29808A6A" w:rsidR="0056679C" w:rsidRPr="00D73CB9" w:rsidRDefault="0056679C" w:rsidP="2EAAD282">
      <w:pPr>
        <w:pStyle w:val="ListParagraph"/>
        <w:numPr>
          <w:ilvl w:val="0"/>
          <w:numId w:val="7"/>
        </w:numPr>
        <w:rPr>
          <w:rFonts w:eastAsiaTheme="minorEastAsia"/>
          <w:color w:val="000000" w:themeColor="text1"/>
        </w:rPr>
      </w:pPr>
      <w:r w:rsidRPr="00D73CB9">
        <w:rPr>
          <w:rFonts w:ascii="Calibri" w:eastAsia="Calibri" w:hAnsi="Calibri" w:cs="Calibri"/>
          <w:color w:val="000000" w:themeColor="text1"/>
        </w:rPr>
        <w:t xml:space="preserve">The patient must be at their nadir </w:t>
      </w:r>
      <w:r w:rsidR="00513A3F" w:rsidRPr="00D73CB9">
        <w:rPr>
          <w:rFonts w:ascii="Calibri" w:eastAsia="Calibri" w:hAnsi="Calibri" w:cs="Calibri"/>
          <w:color w:val="000000" w:themeColor="text1"/>
        </w:rPr>
        <w:t xml:space="preserve">(base) </w:t>
      </w:r>
      <w:r w:rsidRPr="00D73CB9">
        <w:rPr>
          <w:rFonts w:ascii="Calibri" w:eastAsia="Calibri" w:hAnsi="Calibri" w:cs="Calibri"/>
          <w:color w:val="000000" w:themeColor="text1"/>
        </w:rPr>
        <w:t xml:space="preserve">weight and must have remained weight stable for at least </w:t>
      </w:r>
      <w:r w:rsidR="00513A3F" w:rsidRPr="00D73CB9">
        <w:rPr>
          <w:rFonts w:ascii="Calibri" w:eastAsia="Calibri" w:hAnsi="Calibri" w:cs="Calibri"/>
          <w:color w:val="000000" w:themeColor="text1"/>
        </w:rPr>
        <w:t xml:space="preserve">one </w:t>
      </w:r>
      <w:r w:rsidRPr="00D73CB9">
        <w:rPr>
          <w:rFonts w:ascii="Calibri" w:eastAsia="Calibri" w:hAnsi="Calibri" w:cs="Calibri"/>
          <w:color w:val="000000" w:themeColor="text1"/>
        </w:rPr>
        <w:t xml:space="preserve">month. </w:t>
      </w:r>
    </w:p>
    <w:p w14:paraId="6A1AFE15" w14:textId="39BF9AD0" w:rsidR="5911DA96" w:rsidRPr="00D73CB9" w:rsidRDefault="5911DA96" w:rsidP="2EAAD282">
      <w:pPr>
        <w:pStyle w:val="ListParagraph"/>
        <w:numPr>
          <w:ilvl w:val="0"/>
          <w:numId w:val="7"/>
        </w:numPr>
        <w:rPr>
          <w:rFonts w:eastAsiaTheme="minorEastAsia"/>
          <w:color w:val="000000" w:themeColor="text1"/>
        </w:rPr>
      </w:pPr>
      <w:r w:rsidRPr="00D73CB9">
        <w:rPr>
          <w:rFonts w:ascii="Calibri" w:eastAsia="Calibri" w:hAnsi="Calibri" w:cs="Calibri"/>
          <w:color w:val="000000" w:themeColor="text1"/>
        </w:rPr>
        <w:t xml:space="preserve">Standing photographs of the member </w:t>
      </w:r>
      <w:r w:rsidR="00D54E2A">
        <w:rPr>
          <w:rFonts w:ascii="Calibri" w:eastAsia="Calibri" w:hAnsi="Calibri" w:cs="Calibri"/>
          <w:color w:val="000000" w:themeColor="text1"/>
        </w:rPr>
        <w:t xml:space="preserve">must </w:t>
      </w:r>
      <w:r w:rsidRPr="00D73CB9">
        <w:rPr>
          <w:rFonts w:ascii="Calibri" w:eastAsia="Calibri" w:hAnsi="Calibri" w:cs="Calibri"/>
          <w:color w:val="000000" w:themeColor="text1"/>
        </w:rPr>
        <w:t xml:space="preserve">clearly demonstrate excessive skin and subcutaneous tissue in the area being excised, and in the case of a request for panniculectomy, standing photographs (frontal and lateral) must clearly demonstrate that the panniculus covers the member’s </w:t>
      </w:r>
      <w:r w:rsidR="5579F0B7" w:rsidRPr="00D73CB9">
        <w:rPr>
          <w:rFonts w:ascii="Calibri" w:eastAsia="Calibri" w:hAnsi="Calibri" w:cs="Calibri"/>
          <w:color w:val="000000" w:themeColor="text1"/>
        </w:rPr>
        <w:t>mons pubis</w:t>
      </w:r>
      <w:r w:rsidRPr="00D73CB9">
        <w:rPr>
          <w:rFonts w:ascii="Calibri" w:eastAsia="Calibri" w:hAnsi="Calibri" w:cs="Calibri"/>
          <w:color w:val="000000" w:themeColor="text1"/>
        </w:rPr>
        <w:t xml:space="preserve"> (American Society of Plastic Surgeons (ASPS) Grade I).</w:t>
      </w:r>
    </w:p>
    <w:p w14:paraId="7DAB83AB" w14:textId="783C7BA3" w:rsidR="5911DA96" w:rsidRPr="00D73CB9" w:rsidRDefault="5911DA96" w:rsidP="2EAAD282">
      <w:pPr>
        <w:pStyle w:val="ListParagraph"/>
        <w:numPr>
          <w:ilvl w:val="0"/>
          <w:numId w:val="7"/>
        </w:numPr>
        <w:rPr>
          <w:rFonts w:eastAsiaTheme="minorEastAsia"/>
          <w:color w:val="000000" w:themeColor="text1"/>
        </w:rPr>
      </w:pPr>
      <w:r w:rsidRPr="00D73CB9">
        <w:rPr>
          <w:rFonts w:ascii="Calibri" w:eastAsia="Calibri" w:hAnsi="Calibri" w:cs="Calibri"/>
          <w:color w:val="000000" w:themeColor="text1"/>
        </w:rPr>
        <w:t>The excessive skin and subcutaneous tissue in the area being excised:</w:t>
      </w:r>
    </w:p>
    <w:p w14:paraId="5F056D30" w14:textId="39D32469" w:rsidR="5911DA96" w:rsidRPr="00D73CB9" w:rsidRDefault="5911DA96" w:rsidP="2EAAD282">
      <w:pPr>
        <w:pStyle w:val="ListParagraph"/>
        <w:numPr>
          <w:ilvl w:val="1"/>
          <w:numId w:val="2"/>
        </w:numPr>
        <w:rPr>
          <w:rFonts w:eastAsiaTheme="minorEastAsia"/>
          <w:color w:val="000000" w:themeColor="text1"/>
        </w:rPr>
      </w:pPr>
      <w:r w:rsidRPr="00D73CB9">
        <w:rPr>
          <w:rFonts w:ascii="Calibri" w:eastAsia="Calibri" w:hAnsi="Calibri" w:cs="Calibri"/>
          <w:color w:val="000000" w:themeColor="text1"/>
        </w:rPr>
        <w:t xml:space="preserve">significantly interferes with the performance (impaired physical function) of normal activities of daily living (ADL), such as walking, climbing stairs, </w:t>
      </w:r>
      <w:proofErr w:type="gramStart"/>
      <w:r w:rsidRPr="00D73CB9">
        <w:rPr>
          <w:rFonts w:ascii="Calibri" w:eastAsia="Calibri" w:hAnsi="Calibri" w:cs="Calibri"/>
          <w:color w:val="000000" w:themeColor="text1"/>
        </w:rPr>
        <w:t>bathing</w:t>
      </w:r>
      <w:proofErr w:type="gramEnd"/>
      <w:r w:rsidRPr="00D73CB9">
        <w:rPr>
          <w:rFonts w:ascii="Calibri" w:eastAsia="Calibri" w:hAnsi="Calibri" w:cs="Calibri"/>
          <w:color w:val="000000" w:themeColor="text1"/>
        </w:rPr>
        <w:t xml:space="preserve"> or showering, and getting dressed</w:t>
      </w:r>
      <w:r w:rsidR="001126AE">
        <w:rPr>
          <w:rFonts w:ascii="Calibri" w:eastAsia="Calibri" w:hAnsi="Calibri" w:cs="Calibri"/>
          <w:color w:val="000000" w:themeColor="text1"/>
        </w:rPr>
        <w:t>;</w:t>
      </w:r>
      <w:r w:rsidRPr="00D73CB9">
        <w:rPr>
          <w:rFonts w:ascii="Calibri" w:eastAsia="Calibri" w:hAnsi="Calibri" w:cs="Calibri"/>
          <w:color w:val="000000" w:themeColor="text1"/>
        </w:rPr>
        <w:t xml:space="preserve"> or</w:t>
      </w:r>
    </w:p>
    <w:p w14:paraId="72797B44" w14:textId="7428B61E" w:rsidR="5911DA96" w:rsidRPr="00D73CB9" w:rsidRDefault="5911DA96" w:rsidP="15DC7F77">
      <w:pPr>
        <w:pStyle w:val="ListParagraph"/>
        <w:numPr>
          <w:ilvl w:val="1"/>
          <w:numId w:val="2"/>
        </w:numPr>
        <w:rPr>
          <w:rFonts w:eastAsiaTheme="minorEastAsia"/>
          <w:color w:val="000000" w:themeColor="text1"/>
        </w:rPr>
      </w:pPr>
      <w:r w:rsidRPr="00D73CB9">
        <w:rPr>
          <w:rFonts w:ascii="Calibri" w:eastAsia="Calibri" w:hAnsi="Calibri" w:cs="Calibri"/>
          <w:color w:val="000000" w:themeColor="text1"/>
        </w:rPr>
        <w:t>is causing recurrent</w:t>
      </w:r>
      <w:r w:rsidR="7C8094BE" w:rsidRPr="00D73CB9">
        <w:rPr>
          <w:rFonts w:ascii="Calibri" w:eastAsia="Calibri" w:hAnsi="Calibri" w:cs="Calibri"/>
          <w:color w:val="000000" w:themeColor="text1"/>
        </w:rPr>
        <w:t xml:space="preserve"> rashes or irritation in the skin folds refractory to medical management</w:t>
      </w:r>
      <w:r w:rsidR="001126AE">
        <w:rPr>
          <w:rFonts w:ascii="Calibri" w:eastAsia="Calibri" w:hAnsi="Calibri" w:cs="Calibri"/>
          <w:color w:val="000000" w:themeColor="text1"/>
        </w:rPr>
        <w:t xml:space="preserve">; </w:t>
      </w:r>
      <w:r w:rsidR="7C8094BE" w:rsidRPr="00D73CB9">
        <w:rPr>
          <w:rFonts w:ascii="Calibri" w:eastAsia="Calibri" w:hAnsi="Calibri" w:cs="Calibri"/>
          <w:color w:val="000000" w:themeColor="text1"/>
        </w:rPr>
        <w:t>or</w:t>
      </w:r>
      <w:r w:rsidRPr="00D73CB9">
        <w:rPr>
          <w:rFonts w:ascii="Calibri" w:eastAsia="Calibri" w:hAnsi="Calibri" w:cs="Calibri"/>
          <w:color w:val="000000" w:themeColor="text1"/>
        </w:rPr>
        <w:t xml:space="preserve"> </w:t>
      </w:r>
    </w:p>
    <w:p w14:paraId="16D6A87E" w14:textId="27DD1EE9" w:rsidR="00415E3D" w:rsidRDefault="00513A3F" w:rsidP="007A0BAA">
      <w:pPr>
        <w:pStyle w:val="ListParagraph"/>
        <w:numPr>
          <w:ilvl w:val="1"/>
          <w:numId w:val="2"/>
        </w:numPr>
        <w:rPr>
          <w:rFonts w:ascii="Calibri" w:eastAsia="Calibri" w:hAnsi="Calibri" w:cs="Calibri"/>
          <w:color w:val="000000" w:themeColor="text1"/>
        </w:rPr>
      </w:pPr>
      <w:r w:rsidRPr="00415E3D">
        <w:rPr>
          <w:rFonts w:ascii="Calibri" w:eastAsia="Calibri" w:hAnsi="Calibri" w:cs="Calibri"/>
          <w:color w:val="000000" w:themeColor="text1"/>
        </w:rPr>
        <w:t xml:space="preserve">is </w:t>
      </w:r>
      <w:r w:rsidR="061D87BD" w:rsidRPr="00415E3D">
        <w:rPr>
          <w:rFonts w:ascii="Calibri" w:eastAsia="Calibri" w:hAnsi="Calibri" w:cs="Calibri"/>
          <w:color w:val="000000" w:themeColor="text1"/>
        </w:rPr>
        <w:t xml:space="preserve">causing </w:t>
      </w:r>
      <w:r w:rsidR="5911DA96" w:rsidRPr="00415E3D">
        <w:rPr>
          <w:rFonts w:ascii="Calibri" w:eastAsia="Calibri" w:hAnsi="Calibri" w:cs="Calibri"/>
          <w:color w:val="000000" w:themeColor="text1"/>
        </w:rPr>
        <w:t xml:space="preserve">skin or soft-tissue infections </w:t>
      </w:r>
      <w:r w:rsidR="00B26B56" w:rsidRPr="00415E3D">
        <w:rPr>
          <w:rFonts w:ascii="Calibri" w:eastAsia="Calibri" w:hAnsi="Calibri" w:cs="Calibri"/>
          <w:color w:val="000000" w:themeColor="text1"/>
        </w:rPr>
        <w:t xml:space="preserve">that </w:t>
      </w:r>
      <w:r w:rsidR="5911DA96" w:rsidRPr="00415E3D">
        <w:rPr>
          <w:rFonts w:ascii="Calibri" w:eastAsia="Calibri" w:hAnsi="Calibri" w:cs="Calibri"/>
          <w:color w:val="000000" w:themeColor="text1"/>
        </w:rPr>
        <w:t>have required medically supervised and documented antibiotic or antifungal therapy, which has not been effective.</w:t>
      </w:r>
    </w:p>
    <w:p w14:paraId="70B22F3A" w14:textId="2C5D6ACB" w:rsidR="5911DA96" w:rsidRPr="00415E3D" w:rsidRDefault="529BF727" w:rsidP="007A0BAA">
      <w:pPr>
        <w:pStyle w:val="ListParagraph"/>
        <w:tabs>
          <w:tab w:val="left" w:pos="720"/>
        </w:tabs>
        <w:rPr>
          <w:rFonts w:ascii="Calibri" w:eastAsia="Calibri" w:hAnsi="Calibri" w:cs="Calibri"/>
          <w:color w:val="000000" w:themeColor="text1"/>
        </w:rPr>
      </w:pPr>
      <w:r w:rsidRPr="00415E3D">
        <w:rPr>
          <w:rFonts w:ascii="Calibri" w:eastAsia="Calibri" w:hAnsi="Calibri" w:cs="Calibri"/>
          <w:color w:val="000000" w:themeColor="text1"/>
        </w:rPr>
        <w:t xml:space="preserve">Note: </w:t>
      </w:r>
      <w:r w:rsidR="2B2AE590" w:rsidRPr="00415E3D">
        <w:rPr>
          <w:rFonts w:ascii="Calibri" w:eastAsia="Calibri" w:hAnsi="Calibri" w:cs="Calibri"/>
          <w:color w:val="000000" w:themeColor="text1"/>
        </w:rPr>
        <w:t>MassHealth considers the excision of excessive skin and subcutaneous tissue in the arms, thighs, or buttocks to be</w:t>
      </w:r>
      <w:r w:rsidR="00E378AF" w:rsidRPr="00415E3D">
        <w:rPr>
          <w:rFonts w:ascii="Calibri" w:eastAsia="Calibri" w:hAnsi="Calibri" w:cs="Calibri"/>
          <w:color w:val="000000" w:themeColor="text1"/>
        </w:rPr>
        <w:t xml:space="preserve"> for</w:t>
      </w:r>
      <w:r w:rsidR="2B2AE590" w:rsidRPr="00415E3D">
        <w:rPr>
          <w:rFonts w:ascii="Calibri" w:eastAsia="Calibri" w:hAnsi="Calibri" w:cs="Calibri"/>
          <w:color w:val="000000" w:themeColor="text1"/>
        </w:rPr>
        <w:t xml:space="preserve"> cosmetic</w:t>
      </w:r>
      <w:r w:rsidR="00E378AF" w:rsidRPr="00415E3D">
        <w:rPr>
          <w:rFonts w:ascii="Calibri" w:eastAsia="Calibri" w:hAnsi="Calibri" w:cs="Calibri"/>
          <w:color w:val="000000" w:themeColor="text1"/>
        </w:rPr>
        <w:t xml:space="preserve"> purposes</w:t>
      </w:r>
      <w:r w:rsidR="001126AE" w:rsidRPr="00415E3D">
        <w:rPr>
          <w:rFonts w:ascii="Calibri" w:eastAsia="Calibri" w:hAnsi="Calibri" w:cs="Calibri"/>
          <w:color w:val="000000" w:themeColor="text1"/>
        </w:rPr>
        <w:t>,</w:t>
      </w:r>
      <w:r w:rsidR="2B2AE590" w:rsidRPr="00415E3D">
        <w:rPr>
          <w:rFonts w:ascii="Calibri" w:eastAsia="Calibri" w:hAnsi="Calibri" w:cs="Calibri"/>
          <w:color w:val="000000" w:themeColor="text1"/>
        </w:rPr>
        <w:t xml:space="preserve"> as these procedures do not improve functional impairments</w:t>
      </w:r>
      <w:r w:rsidR="00B26B56" w:rsidRPr="00415E3D">
        <w:rPr>
          <w:rFonts w:ascii="Calibri" w:eastAsia="Calibri" w:hAnsi="Calibri" w:cs="Calibri"/>
          <w:color w:val="000000" w:themeColor="text1"/>
        </w:rPr>
        <w:t xml:space="preserve">; </w:t>
      </w:r>
      <w:r w:rsidR="2B2AE590" w:rsidRPr="00415E3D">
        <w:rPr>
          <w:rFonts w:ascii="Calibri" w:eastAsia="Calibri" w:hAnsi="Calibri" w:cs="Calibri"/>
          <w:color w:val="000000" w:themeColor="text1"/>
        </w:rPr>
        <w:t>excess skin in these areas very rarely cause</w:t>
      </w:r>
      <w:r w:rsidR="00912D6D" w:rsidRPr="00415E3D">
        <w:rPr>
          <w:rFonts w:ascii="Calibri" w:eastAsia="Calibri" w:hAnsi="Calibri" w:cs="Calibri"/>
          <w:color w:val="000000" w:themeColor="text1"/>
        </w:rPr>
        <w:t>s</w:t>
      </w:r>
      <w:r w:rsidR="2B2AE590" w:rsidRPr="00415E3D">
        <w:rPr>
          <w:rFonts w:ascii="Calibri" w:eastAsia="Calibri" w:hAnsi="Calibri" w:cs="Calibri"/>
          <w:color w:val="000000" w:themeColor="text1"/>
        </w:rPr>
        <w:t xml:space="preserve"> recurrent skin or soft tissue infections.</w:t>
      </w:r>
    </w:p>
    <w:p w14:paraId="53264186" w14:textId="10F5FAE1" w:rsidR="003E751F" w:rsidRPr="006870B7" w:rsidRDefault="5911DA96" w:rsidP="003E751F">
      <w:pPr>
        <w:pStyle w:val="ListParagraph"/>
        <w:numPr>
          <w:ilvl w:val="0"/>
          <w:numId w:val="7"/>
        </w:numPr>
        <w:rPr>
          <w:rFonts w:eastAsiaTheme="minorEastAsia"/>
          <w:color w:val="000000" w:themeColor="text1"/>
        </w:rPr>
      </w:pPr>
      <w:r w:rsidRPr="00D73CB9">
        <w:rPr>
          <w:rFonts w:ascii="Calibri" w:eastAsia="Calibri" w:hAnsi="Calibri" w:cs="Calibri"/>
          <w:color w:val="000000" w:themeColor="text1"/>
        </w:rPr>
        <w:t>A comprehensive preoperative evaluation</w:t>
      </w:r>
      <w:r w:rsidR="00BC5D8E">
        <w:rPr>
          <w:rFonts w:ascii="Calibri" w:eastAsia="Calibri" w:hAnsi="Calibri" w:cs="Calibri"/>
          <w:color w:val="000000" w:themeColor="text1"/>
        </w:rPr>
        <w:t xml:space="preserve"> has been conducted to identify the potential risks of the procedure</w:t>
      </w:r>
      <w:r w:rsidRPr="00D73CB9">
        <w:rPr>
          <w:rFonts w:ascii="Calibri" w:eastAsia="Calibri" w:hAnsi="Calibri" w:cs="Calibri"/>
          <w:color w:val="000000" w:themeColor="text1"/>
        </w:rPr>
        <w:t>, including, but not limited to</w:t>
      </w:r>
      <w:r w:rsidR="001126AE">
        <w:rPr>
          <w:rFonts w:ascii="Calibri" w:eastAsia="Calibri" w:hAnsi="Calibri" w:cs="Calibri"/>
          <w:color w:val="000000" w:themeColor="text1"/>
        </w:rPr>
        <w:t>:</w:t>
      </w:r>
    </w:p>
    <w:p w14:paraId="3EA15A86" w14:textId="6107D086" w:rsidR="00F1277E" w:rsidRPr="006870B7" w:rsidRDefault="5911DA96" w:rsidP="006870B7">
      <w:pPr>
        <w:pStyle w:val="ListParagraph"/>
        <w:numPr>
          <w:ilvl w:val="1"/>
          <w:numId w:val="7"/>
        </w:numPr>
        <w:rPr>
          <w:rFonts w:eastAsiaTheme="minorEastAsia"/>
          <w:color w:val="000000" w:themeColor="text1"/>
        </w:rPr>
      </w:pPr>
      <w:r w:rsidRPr="006870B7">
        <w:rPr>
          <w:rFonts w:ascii="Calibri" w:eastAsia="Calibri" w:hAnsi="Calibri" w:cs="Calibri"/>
          <w:color w:val="000000" w:themeColor="text1"/>
        </w:rPr>
        <w:t>obesity</w:t>
      </w:r>
      <w:r w:rsidR="00EF7AB7" w:rsidRPr="006870B7">
        <w:rPr>
          <w:rFonts w:ascii="Calibri" w:eastAsia="Calibri" w:hAnsi="Calibri" w:cs="Calibri"/>
          <w:color w:val="000000" w:themeColor="text1"/>
        </w:rPr>
        <w:t>-</w:t>
      </w:r>
      <w:r w:rsidRPr="006870B7">
        <w:rPr>
          <w:rFonts w:ascii="Calibri" w:eastAsia="Calibri" w:hAnsi="Calibri" w:cs="Calibri"/>
          <w:color w:val="000000" w:themeColor="text1"/>
        </w:rPr>
        <w:t>related comorbidities, such as diabetes and sleep apnea</w:t>
      </w:r>
      <w:r w:rsidR="003E751F" w:rsidRPr="006870B7">
        <w:rPr>
          <w:rFonts w:ascii="Calibri" w:eastAsia="Calibri" w:hAnsi="Calibri" w:cs="Calibri"/>
          <w:color w:val="000000" w:themeColor="text1"/>
        </w:rPr>
        <w:t xml:space="preserve">; </w:t>
      </w:r>
      <w:r w:rsidRPr="006870B7">
        <w:rPr>
          <w:rFonts w:ascii="Calibri" w:eastAsia="Calibri" w:hAnsi="Calibri" w:cs="Calibri"/>
          <w:color w:val="000000" w:themeColor="text1"/>
        </w:rPr>
        <w:t xml:space="preserve">and </w:t>
      </w:r>
    </w:p>
    <w:p w14:paraId="15376CE0" w14:textId="77777777" w:rsidR="006870B7" w:rsidRPr="006870B7" w:rsidRDefault="5911DA96" w:rsidP="006870B7">
      <w:pPr>
        <w:pStyle w:val="ListParagraph"/>
        <w:numPr>
          <w:ilvl w:val="1"/>
          <w:numId w:val="7"/>
        </w:numPr>
        <w:spacing w:after="0"/>
        <w:rPr>
          <w:rFonts w:eastAsiaTheme="minorEastAsia"/>
          <w:color w:val="000000" w:themeColor="text1"/>
        </w:rPr>
      </w:pPr>
      <w:r w:rsidRPr="006870B7">
        <w:rPr>
          <w:rFonts w:ascii="Calibri" w:eastAsia="Calibri" w:hAnsi="Calibri" w:cs="Calibri"/>
          <w:color w:val="000000" w:themeColor="text1"/>
        </w:rPr>
        <w:t>non-obesity related comorbidities, such as chronic obstructive pulmonary disease (COPD), nutritional status</w:t>
      </w:r>
      <w:r w:rsidR="008A751B" w:rsidRPr="006870B7">
        <w:rPr>
          <w:rFonts w:ascii="Calibri" w:eastAsia="Calibri" w:hAnsi="Calibri" w:cs="Calibri"/>
          <w:color w:val="000000" w:themeColor="text1"/>
        </w:rPr>
        <w:t>,</w:t>
      </w:r>
      <w:r w:rsidRPr="006870B7">
        <w:rPr>
          <w:rFonts w:ascii="Calibri" w:eastAsia="Calibri" w:hAnsi="Calibri" w:cs="Calibri"/>
          <w:color w:val="000000" w:themeColor="text1"/>
        </w:rPr>
        <w:t xml:space="preserve"> and psychosocial status</w:t>
      </w:r>
      <w:r w:rsidR="00415E3D" w:rsidRPr="006870B7">
        <w:rPr>
          <w:rFonts w:ascii="Calibri" w:eastAsia="Calibri" w:hAnsi="Calibri" w:cs="Calibri"/>
          <w:color w:val="000000" w:themeColor="text1"/>
        </w:rPr>
        <w:t>.</w:t>
      </w:r>
      <w:r w:rsidR="006870B7">
        <w:rPr>
          <w:rFonts w:ascii="Calibri" w:eastAsia="Calibri" w:hAnsi="Calibri" w:cs="Calibri"/>
          <w:color w:val="000000" w:themeColor="text1"/>
        </w:rPr>
        <w:t xml:space="preserve"> </w:t>
      </w:r>
    </w:p>
    <w:p w14:paraId="3FDBBB4C" w14:textId="475D047B" w:rsidR="5911DA96" w:rsidRPr="006870B7" w:rsidRDefault="5911DA96" w:rsidP="002A203C">
      <w:pPr>
        <w:spacing w:after="0"/>
        <w:ind w:left="720"/>
        <w:rPr>
          <w:rFonts w:eastAsiaTheme="minorEastAsia"/>
          <w:color w:val="000000" w:themeColor="text1"/>
        </w:rPr>
      </w:pPr>
      <w:r w:rsidRPr="006870B7">
        <w:rPr>
          <w:rFonts w:ascii="Calibri" w:eastAsia="Calibri" w:hAnsi="Calibri" w:cs="Calibri"/>
          <w:color w:val="000000" w:themeColor="text1"/>
        </w:rPr>
        <w:t>Exception: In extraordinary circumstances</w:t>
      </w:r>
      <w:r w:rsidR="008A751B" w:rsidRPr="006870B7">
        <w:rPr>
          <w:rFonts w:ascii="Calibri" w:eastAsia="Calibri" w:hAnsi="Calibri" w:cs="Calibri"/>
          <w:color w:val="000000" w:themeColor="text1"/>
        </w:rPr>
        <w:t>,</w:t>
      </w:r>
      <w:r w:rsidRPr="006870B7">
        <w:rPr>
          <w:rFonts w:ascii="Calibri" w:eastAsia="Calibri" w:hAnsi="Calibri" w:cs="Calibri"/>
          <w:color w:val="000000" w:themeColor="text1"/>
        </w:rPr>
        <w:t xml:space="preserve"> panniculectomy may be performed to facilitate a complex surgical procedure</w:t>
      </w:r>
      <w:r w:rsidR="003E751F" w:rsidRPr="006870B7">
        <w:rPr>
          <w:rFonts w:ascii="Calibri" w:eastAsia="Calibri" w:hAnsi="Calibri" w:cs="Calibri"/>
          <w:color w:val="000000" w:themeColor="text1"/>
        </w:rPr>
        <w:t>,</w:t>
      </w:r>
      <w:r w:rsidRPr="006870B7">
        <w:rPr>
          <w:rFonts w:ascii="Calibri" w:eastAsia="Calibri" w:hAnsi="Calibri" w:cs="Calibri"/>
          <w:color w:val="000000" w:themeColor="text1"/>
        </w:rPr>
        <w:t xml:space="preserve"> such as </w:t>
      </w:r>
      <w:r w:rsidR="008A751B" w:rsidRPr="006870B7">
        <w:rPr>
          <w:rFonts w:ascii="Calibri" w:eastAsia="Calibri" w:hAnsi="Calibri" w:cs="Calibri"/>
          <w:color w:val="000000" w:themeColor="text1"/>
        </w:rPr>
        <w:t xml:space="preserve">a </w:t>
      </w:r>
      <w:r w:rsidRPr="006870B7">
        <w:rPr>
          <w:rFonts w:ascii="Calibri" w:eastAsia="Calibri" w:hAnsi="Calibri" w:cs="Calibri"/>
          <w:color w:val="000000" w:themeColor="text1"/>
        </w:rPr>
        <w:t xml:space="preserve">hysterectomy and bilateral </w:t>
      </w:r>
      <w:proofErr w:type="spellStart"/>
      <w:r w:rsidRPr="006870B7">
        <w:rPr>
          <w:rFonts w:ascii="Calibri" w:eastAsia="Calibri" w:hAnsi="Calibri" w:cs="Calibri"/>
          <w:color w:val="000000" w:themeColor="text1"/>
        </w:rPr>
        <w:t>salping</w:t>
      </w:r>
      <w:r w:rsidR="00173266" w:rsidRPr="006870B7">
        <w:rPr>
          <w:rFonts w:ascii="Calibri" w:eastAsia="Calibri" w:hAnsi="Calibri" w:cs="Calibri"/>
          <w:color w:val="000000" w:themeColor="text1"/>
        </w:rPr>
        <w:t>o</w:t>
      </w:r>
      <w:proofErr w:type="spellEnd"/>
      <w:r w:rsidR="00173266" w:rsidRPr="006870B7">
        <w:rPr>
          <w:rFonts w:ascii="Calibri" w:eastAsia="Calibri" w:hAnsi="Calibri" w:cs="Calibri"/>
          <w:color w:val="000000" w:themeColor="text1"/>
        </w:rPr>
        <w:t>-</w:t>
      </w:r>
      <w:r w:rsidRPr="006870B7">
        <w:rPr>
          <w:rFonts w:ascii="Calibri" w:eastAsia="Calibri" w:hAnsi="Calibri" w:cs="Calibri"/>
          <w:color w:val="000000" w:themeColor="text1"/>
        </w:rPr>
        <w:t xml:space="preserve">oophorectomy performed via laparotomy. The criteria </w:t>
      </w:r>
      <w:r w:rsidR="00125C01" w:rsidRPr="006870B7">
        <w:rPr>
          <w:rFonts w:ascii="Calibri" w:eastAsia="Calibri" w:hAnsi="Calibri" w:cs="Calibri"/>
          <w:color w:val="000000" w:themeColor="text1"/>
        </w:rPr>
        <w:t>listed in Section II A.</w:t>
      </w:r>
      <w:r w:rsidRPr="006870B7">
        <w:rPr>
          <w:rFonts w:ascii="Calibri" w:eastAsia="Calibri" w:hAnsi="Calibri" w:cs="Calibri"/>
          <w:color w:val="000000" w:themeColor="text1"/>
        </w:rPr>
        <w:t>1</w:t>
      </w:r>
      <w:r w:rsidR="00125C01" w:rsidRPr="006870B7">
        <w:rPr>
          <w:rFonts w:ascii="Calibri" w:eastAsia="Calibri" w:hAnsi="Calibri" w:cs="Calibri"/>
          <w:color w:val="000000" w:themeColor="text1"/>
        </w:rPr>
        <w:t>.</w:t>
      </w:r>
      <w:r w:rsidRPr="006870B7">
        <w:rPr>
          <w:rFonts w:ascii="Calibri" w:eastAsia="Calibri" w:hAnsi="Calibri" w:cs="Calibri"/>
          <w:color w:val="000000" w:themeColor="text1"/>
        </w:rPr>
        <w:t xml:space="preserve"> and 2</w:t>
      </w:r>
      <w:r w:rsidR="00125C01" w:rsidRPr="006870B7">
        <w:rPr>
          <w:rFonts w:ascii="Calibri" w:eastAsia="Calibri" w:hAnsi="Calibri" w:cs="Calibri"/>
          <w:color w:val="000000" w:themeColor="text1"/>
        </w:rPr>
        <w:t>.</w:t>
      </w:r>
      <w:r w:rsidRPr="006870B7">
        <w:rPr>
          <w:rFonts w:ascii="Calibri" w:eastAsia="Calibri" w:hAnsi="Calibri" w:cs="Calibri"/>
          <w:color w:val="000000" w:themeColor="text1"/>
        </w:rPr>
        <w:t xml:space="preserve"> related to weight loss do not apply in this case</w:t>
      </w:r>
      <w:r w:rsidR="00125C01" w:rsidRPr="006870B7">
        <w:rPr>
          <w:rFonts w:ascii="Calibri" w:eastAsia="Calibri" w:hAnsi="Calibri" w:cs="Calibri"/>
          <w:color w:val="000000" w:themeColor="text1"/>
        </w:rPr>
        <w:t>.</w:t>
      </w:r>
    </w:p>
    <w:p w14:paraId="47E8CD8B" w14:textId="35098562" w:rsidR="5911DA96" w:rsidRPr="00D73CB9" w:rsidRDefault="5911DA96" w:rsidP="00E23B24">
      <w:pPr>
        <w:pStyle w:val="Heading3"/>
      </w:pPr>
      <w:r w:rsidRPr="00D73CB9">
        <w:rPr>
          <w:rFonts w:eastAsia="Calibri"/>
        </w:rPr>
        <w:t>B. Noncoverage</w:t>
      </w:r>
    </w:p>
    <w:p w14:paraId="2DC006D1" w14:textId="3AE38A23" w:rsidR="5911DA96" w:rsidRPr="00D73CB9" w:rsidRDefault="5911DA96" w:rsidP="00704995">
      <w:pPr>
        <w:spacing w:after="0"/>
      </w:pPr>
      <w:r w:rsidRPr="00D73CB9">
        <w:rPr>
          <w:rFonts w:ascii="Calibri" w:eastAsia="Calibri" w:hAnsi="Calibri" w:cs="Calibri"/>
          <w:color w:val="000000" w:themeColor="text1"/>
        </w:rPr>
        <w:t>MassHealth does not consider excision of excessive skin and subcutaneous tissue to be medically necessary under certain circumstances. Examples of such circumstances include, but are not limited to, the following</w:t>
      </w:r>
      <w:r w:rsidR="008A751B" w:rsidRPr="00D73CB9">
        <w:rPr>
          <w:rFonts w:ascii="Calibri" w:eastAsia="Calibri" w:hAnsi="Calibri" w:cs="Calibri"/>
          <w:color w:val="000000" w:themeColor="text1"/>
        </w:rPr>
        <w:t>.</w:t>
      </w:r>
    </w:p>
    <w:p w14:paraId="5F84FE3C" w14:textId="62494FFA" w:rsidR="5911DA96" w:rsidRPr="00D73CB9" w:rsidRDefault="5911DA96" w:rsidP="2EAAD282">
      <w:pPr>
        <w:pStyle w:val="ListParagraph"/>
        <w:numPr>
          <w:ilvl w:val="0"/>
          <w:numId w:val="4"/>
        </w:numPr>
        <w:rPr>
          <w:rFonts w:eastAsiaTheme="minorEastAsia"/>
          <w:color w:val="000000" w:themeColor="text1"/>
        </w:rPr>
      </w:pPr>
      <w:r w:rsidRPr="00D73CB9">
        <w:rPr>
          <w:rFonts w:ascii="Calibri" w:eastAsia="Calibri" w:hAnsi="Calibri" w:cs="Calibri"/>
          <w:color w:val="000000" w:themeColor="text1"/>
        </w:rPr>
        <w:t xml:space="preserve">The member has difficulty fitting </w:t>
      </w:r>
      <w:r w:rsidR="00EA03C9" w:rsidRPr="00D73CB9">
        <w:rPr>
          <w:rFonts w:ascii="Calibri" w:eastAsia="Calibri" w:hAnsi="Calibri" w:cs="Calibri"/>
          <w:color w:val="000000" w:themeColor="text1"/>
        </w:rPr>
        <w:t xml:space="preserve">in </w:t>
      </w:r>
      <w:r w:rsidRPr="00D73CB9">
        <w:rPr>
          <w:rFonts w:ascii="Calibri" w:eastAsia="Calibri" w:hAnsi="Calibri" w:cs="Calibri"/>
          <w:color w:val="000000" w:themeColor="text1"/>
        </w:rPr>
        <w:t>clothes.</w:t>
      </w:r>
    </w:p>
    <w:p w14:paraId="748E8767" w14:textId="46373802" w:rsidR="5911DA96" w:rsidRPr="00D73CB9" w:rsidRDefault="00EA03C9" w:rsidP="2EAAD282">
      <w:pPr>
        <w:pStyle w:val="ListParagraph"/>
        <w:numPr>
          <w:ilvl w:val="0"/>
          <w:numId w:val="4"/>
        </w:numPr>
        <w:rPr>
          <w:color w:val="000000" w:themeColor="text1"/>
        </w:rPr>
      </w:pPr>
      <w:r w:rsidRPr="00D73CB9">
        <w:rPr>
          <w:rFonts w:ascii="Calibri" w:eastAsia="Calibri" w:hAnsi="Calibri" w:cs="Calibri"/>
          <w:color w:val="000000" w:themeColor="text1"/>
        </w:rPr>
        <w:t xml:space="preserve">A </w:t>
      </w:r>
      <w:r w:rsidR="5911DA96" w:rsidRPr="00D73CB9">
        <w:rPr>
          <w:rFonts w:ascii="Calibri" w:eastAsia="Calibri" w:hAnsi="Calibri" w:cs="Calibri"/>
          <w:color w:val="000000" w:themeColor="text1"/>
        </w:rPr>
        <w:t>panniculectomy is being performed at the same time as bariatric surgery.</w:t>
      </w:r>
    </w:p>
    <w:p w14:paraId="5CB7F3C2" w14:textId="4DA450FC" w:rsidR="5911DA96" w:rsidRPr="00D73CB9" w:rsidRDefault="00EA03C9" w:rsidP="2EAAD282">
      <w:pPr>
        <w:pStyle w:val="ListParagraph"/>
        <w:numPr>
          <w:ilvl w:val="0"/>
          <w:numId w:val="4"/>
        </w:numPr>
        <w:rPr>
          <w:color w:val="000000" w:themeColor="text1"/>
        </w:rPr>
      </w:pPr>
      <w:r w:rsidRPr="00D73CB9">
        <w:rPr>
          <w:rFonts w:ascii="Calibri" w:eastAsia="Calibri" w:hAnsi="Calibri" w:cs="Calibri"/>
          <w:color w:val="000000" w:themeColor="text1"/>
        </w:rPr>
        <w:lastRenderedPageBreak/>
        <w:t>A</w:t>
      </w:r>
      <w:r w:rsidR="5911DA96" w:rsidRPr="00D73CB9">
        <w:rPr>
          <w:rFonts w:ascii="Calibri" w:eastAsia="Calibri" w:hAnsi="Calibri" w:cs="Calibri"/>
          <w:color w:val="000000" w:themeColor="text1"/>
        </w:rPr>
        <w:t xml:space="preserve"> panniculectomy is being performed to prevent hernia occurrence or to prevent hernia recurrence in conjunction with a hernia </w:t>
      </w:r>
      <w:r w:rsidR="008443D8" w:rsidRPr="00D73CB9">
        <w:rPr>
          <w:rFonts w:ascii="Calibri" w:eastAsia="Calibri" w:hAnsi="Calibri" w:cs="Calibri"/>
          <w:color w:val="000000" w:themeColor="text1"/>
        </w:rPr>
        <w:t>repair</w:t>
      </w:r>
      <w:r w:rsidR="00D02C5A">
        <w:rPr>
          <w:rFonts w:ascii="Calibri" w:eastAsia="Calibri" w:hAnsi="Calibri" w:cs="Calibri"/>
          <w:color w:val="000000" w:themeColor="text1"/>
        </w:rPr>
        <w:t xml:space="preserve">, </w:t>
      </w:r>
      <w:r w:rsidR="008443D8" w:rsidRPr="00D73CB9">
        <w:rPr>
          <w:rFonts w:ascii="Calibri" w:eastAsia="Calibri" w:hAnsi="Calibri" w:cs="Calibri"/>
          <w:color w:val="000000" w:themeColor="text1"/>
        </w:rPr>
        <w:t>unless</w:t>
      </w:r>
      <w:r w:rsidR="5911DA96" w:rsidRPr="00D73CB9">
        <w:rPr>
          <w:rFonts w:ascii="Calibri" w:eastAsia="Calibri" w:hAnsi="Calibri" w:cs="Calibri"/>
          <w:color w:val="000000" w:themeColor="text1"/>
        </w:rPr>
        <w:t xml:space="preserve"> the member meets the criteria for panniculectomy stated in Section II. A. 1. </w:t>
      </w:r>
      <w:r w:rsidR="00B26B56">
        <w:rPr>
          <w:rFonts w:ascii="Calibri" w:eastAsia="Calibri" w:hAnsi="Calibri" w:cs="Calibri"/>
          <w:color w:val="000000" w:themeColor="text1"/>
        </w:rPr>
        <w:t>–</w:t>
      </w:r>
      <w:r w:rsidR="5911DA96" w:rsidRPr="00D73CB9">
        <w:rPr>
          <w:rFonts w:ascii="Calibri" w:eastAsia="Calibri" w:hAnsi="Calibri" w:cs="Calibri"/>
          <w:color w:val="000000" w:themeColor="text1"/>
        </w:rPr>
        <w:t xml:space="preserve"> </w:t>
      </w:r>
      <w:r w:rsidR="00AA286B" w:rsidRPr="00D73CB9">
        <w:rPr>
          <w:rFonts w:ascii="Calibri" w:eastAsia="Calibri" w:hAnsi="Calibri" w:cs="Calibri"/>
          <w:color w:val="000000" w:themeColor="text1"/>
        </w:rPr>
        <w:t>4</w:t>
      </w:r>
      <w:r w:rsidR="005971A6" w:rsidRPr="00D73CB9">
        <w:rPr>
          <w:rFonts w:ascii="Calibri" w:eastAsia="Calibri" w:hAnsi="Calibri" w:cs="Calibri"/>
          <w:color w:val="000000" w:themeColor="text1"/>
        </w:rPr>
        <w:t>.</w:t>
      </w:r>
      <w:r w:rsidR="5911DA96" w:rsidRPr="00D73CB9">
        <w:rPr>
          <w:rFonts w:ascii="Calibri" w:eastAsia="Calibri" w:hAnsi="Calibri" w:cs="Calibri"/>
          <w:color w:val="000000" w:themeColor="text1"/>
        </w:rPr>
        <w:t xml:space="preserve"> of these Guidelines.</w:t>
      </w:r>
    </w:p>
    <w:p w14:paraId="0ED95E77" w14:textId="761316D8" w:rsidR="7E4AD178" w:rsidRPr="00D73CB9" w:rsidRDefault="00EA03C9" w:rsidP="15DC7F77">
      <w:pPr>
        <w:pStyle w:val="ListParagraph"/>
        <w:numPr>
          <w:ilvl w:val="0"/>
          <w:numId w:val="4"/>
        </w:numPr>
        <w:rPr>
          <w:color w:val="000000" w:themeColor="text1"/>
        </w:rPr>
      </w:pPr>
      <w:r w:rsidRPr="00D73CB9">
        <w:rPr>
          <w:rFonts w:ascii="Calibri" w:eastAsia="Calibri" w:hAnsi="Calibri" w:cs="Calibri"/>
          <w:color w:val="000000" w:themeColor="text1"/>
        </w:rPr>
        <w:t xml:space="preserve">The </w:t>
      </w:r>
      <w:r w:rsidR="7E4AD178" w:rsidRPr="00D73CB9">
        <w:rPr>
          <w:rFonts w:ascii="Calibri" w:eastAsia="Calibri" w:hAnsi="Calibri" w:cs="Calibri"/>
          <w:color w:val="000000" w:themeColor="text1"/>
        </w:rPr>
        <w:t>excision of excessive skin and subcutaneous tissue is being performed for the purposes of</w:t>
      </w:r>
      <w:r w:rsidR="5EB9984E" w:rsidRPr="00D73CB9">
        <w:rPr>
          <w:rFonts w:ascii="Calibri" w:eastAsia="Calibri" w:hAnsi="Calibri" w:cs="Calibri"/>
          <w:color w:val="000000" w:themeColor="text1"/>
        </w:rPr>
        <w:t xml:space="preserve"> relieving</w:t>
      </w:r>
      <w:r w:rsidR="7E4AD178" w:rsidRPr="00D73CB9">
        <w:rPr>
          <w:rFonts w:ascii="Calibri" w:eastAsia="Calibri" w:hAnsi="Calibri" w:cs="Calibri"/>
          <w:color w:val="000000" w:themeColor="text1"/>
        </w:rPr>
        <w:t xml:space="preserve"> back</w:t>
      </w:r>
      <w:r w:rsidR="74BCB9E1" w:rsidRPr="00D73CB9">
        <w:rPr>
          <w:rFonts w:ascii="Calibri" w:eastAsia="Calibri" w:hAnsi="Calibri" w:cs="Calibri"/>
          <w:color w:val="000000" w:themeColor="text1"/>
        </w:rPr>
        <w:t xml:space="preserve"> or joint</w:t>
      </w:r>
      <w:r w:rsidR="7E4AD178" w:rsidRPr="00D73CB9">
        <w:rPr>
          <w:rFonts w:ascii="Calibri" w:eastAsia="Calibri" w:hAnsi="Calibri" w:cs="Calibri"/>
          <w:color w:val="000000" w:themeColor="text1"/>
        </w:rPr>
        <w:t xml:space="preserve"> pain</w:t>
      </w:r>
      <w:r w:rsidR="00D02C5A">
        <w:rPr>
          <w:rFonts w:ascii="Calibri" w:eastAsia="Calibri" w:hAnsi="Calibri" w:cs="Calibri"/>
          <w:color w:val="000000" w:themeColor="text1"/>
        </w:rPr>
        <w:t xml:space="preserve">, </w:t>
      </w:r>
      <w:r w:rsidR="008443D8" w:rsidRPr="00D73CB9">
        <w:rPr>
          <w:rFonts w:ascii="Calibri" w:eastAsia="Calibri" w:hAnsi="Calibri" w:cs="Calibri"/>
          <w:color w:val="000000" w:themeColor="text1"/>
        </w:rPr>
        <w:t>unless the member meets the criteria for panniculectomy stated in Section II. A. 1. – 4. of these Guidelines</w:t>
      </w:r>
      <w:r w:rsidRPr="00D73CB9">
        <w:rPr>
          <w:rFonts w:ascii="Calibri" w:eastAsia="Calibri" w:hAnsi="Calibri" w:cs="Calibri"/>
          <w:color w:val="000000" w:themeColor="text1"/>
        </w:rPr>
        <w:t>.</w:t>
      </w:r>
    </w:p>
    <w:p w14:paraId="1DCD64E5" w14:textId="2A6C8FA6" w:rsidR="5911DA96" w:rsidRPr="00D73CB9" w:rsidRDefault="00EA03C9" w:rsidP="2EAAD282">
      <w:pPr>
        <w:pStyle w:val="ListParagraph"/>
        <w:numPr>
          <w:ilvl w:val="0"/>
          <w:numId w:val="4"/>
        </w:numPr>
        <w:rPr>
          <w:color w:val="000000" w:themeColor="text1"/>
        </w:rPr>
      </w:pPr>
      <w:r w:rsidRPr="00D73CB9">
        <w:rPr>
          <w:rFonts w:ascii="Calibri" w:eastAsia="Calibri" w:hAnsi="Calibri" w:cs="Calibri"/>
          <w:color w:val="000000" w:themeColor="text1"/>
        </w:rPr>
        <w:t xml:space="preserve">The </w:t>
      </w:r>
      <w:r w:rsidR="5911DA96" w:rsidRPr="00D73CB9">
        <w:rPr>
          <w:rFonts w:ascii="Calibri" w:eastAsia="Calibri" w:hAnsi="Calibri" w:cs="Calibri"/>
          <w:color w:val="000000" w:themeColor="text1"/>
        </w:rPr>
        <w:t>excision of excessive skin and subcutaneous tissue is being performed for cosmetic purposes</w:t>
      </w:r>
      <w:r w:rsidRPr="00D73CB9">
        <w:rPr>
          <w:rFonts w:ascii="Calibri" w:eastAsia="Calibri" w:hAnsi="Calibri" w:cs="Calibri"/>
          <w:color w:val="000000" w:themeColor="text1"/>
        </w:rPr>
        <w:t xml:space="preserve"> (</w:t>
      </w:r>
      <w:r w:rsidR="5911DA96" w:rsidRPr="00D73CB9">
        <w:rPr>
          <w:rFonts w:ascii="Calibri" w:eastAsia="Calibri" w:hAnsi="Calibri" w:cs="Calibri"/>
          <w:color w:val="000000" w:themeColor="text1"/>
        </w:rPr>
        <w:t>i.e., for the purpose of altering appearance</w:t>
      </w:r>
      <w:r w:rsidRPr="00D73CB9">
        <w:rPr>
          <w:rFonts w:ascii="Calibri" w:eastAsia="Calibri" w:hAnsi="Calibri" w:cs="Calibri"/>
          <w:color w:val="000000" w:themeColor="text1"/>
        </w:rPr>
        <w:t xml:space="preserve">) </w:t>
      </w:r>
      <w:r w:rsidR="5911DA96" w:rsidRPr="00D73CB9">
        <w:rPr>
          <w:rFonts w:ascii="Calibri" w:eastAsia="Calibri" w:hAnsi="Calibri" w:cs="Calibri"/>
          <w:color w:val="000000" w:themeColor="text1"/>
        </w:rPr>
        <w:t>and is unrelated to physical disease or defect.</w:t>
      </w:r>
    </w:p>
    <w:p w14:paraId="7FB48F46" w14:textId="64C44604" w:rsidR="5911DA96" w:rsidRPr="00D73CB9" w:rsidRDefault="5911DA96" w:rsidP="00E23B24">
      <w:pPr>
        <w:pStyle w:val="Heading2"/>
      </w:pPr>
      <w:r w:rsidRPr="00D73CB9">
        <w:rPr>
          <w:rFonts w:eastAsia="Calibri"/>
        </w:rPr>
        <w:t>Section III. Submitting Clinical Documentation</w:t>
      </w:r>
    </w:p>
    <w:p w14:paraId="02BE38E8" w14:textId="6ABF1C06" w:rsidR="5911DA96" w:rsidRPr="00D73CB9" w:rsidRDefault="005E7E89">
      <w:r w:rsidRPr="00D73CB9">
        <w:rPr>
          <w:rFonts w:ascii="Calibri" w:eastAsia="Calibri" w:hAnsi="Calibri" w:cs="Calibri"/>
          <w:color w:val="000000" w:themeColor="text1"/>
        </w:rPr>
        <w:t xml:space="preserve">PA </w:t>
      </w:r>
      <w:r w:rsidR="00EA03C9" w:rsidRPr="00D73CB9">
        <w:rPr>
          <w:rFonts w:ascii="Calibri" w:eastAsia="Calibri" w:hAnsi="Calibri" w:cs="Calibri"/>
          <w:color w:val="000000" w:themeColor="text1"/>
        </w:rPr>
        <w:t xml:space="preserve">requests </w:t>
      </w:r>
      <w:r w:rsidR="5911DA96" w:rsidRPr="00D73CB9">
        <w:rPr>
          <w:rFonts w:ascii="Calibri" w:eastAsia="Calibri" w:hAnsi="Calibri" w:cs="Calibri"/>
          <w:color w:val="000000" w:themeColor="text1"/>
        </w:rPr>
        <w:t>for excision of excessive skin and subcutaneous tissue must be accompanied by clinical documentation that supports medical necessity. The quality of documentation is a critical factor in determin</w:t>
      </w:r>
      <w:r w:rsidR="004C5F72">
        <w:rPr>
          <w:rFonts w:ascii="Calibri" w:eastAsia="Calibri" w:hAnsi="Calibri" w:cs="Calibri"/>
          <w:color w:val="000000" w:themeColor="text1"/>
        </w:rPr>
        <w:t>ing</w:t>
      </w:r>
      <w:r w:rsidR="5911DA96" w:rsidRPr="00D73CB9">
        <w:rPr>
          <w:rFonts w:ascii="Calibri" w:eastAsia="Calibri" w:hAnsi="Calibri" w:cs="Calibri"/>
          <w:color w:val="000000" w:themeColor="text1"/>
        </w:rPr>
        <w:t xml:space="preserve"> medical necessity. In the absence of documentation supporting medical necessity, these procedures will be considered cosmetic.</w:t>
      </w:r>
    </w:p>
    <w:p w14:paraId="432D004E" w14:textId="40A30FE9" w:rsidR="5911DA96" w:rsidRPr="00D73CB9" w:rsidRDefault="5911DA96" w:rsidP="00704995">
      <w:pPr>
        <w:spacing w:after="0"/>
      </w:pPr>
      <w:r w:rsidRPr="00D73CB9">
        <w:rPr>
          <w:rFonts w:ascii="Calibri" w:eastAsia="Calibri" w:hAnsi="Calibri" w:cs="Calibri"/>
          <w:color w:val="000000" w:themeColor="text1"/>
        </w:rPr>
        <w:t>Documentation of medical necessity for each requested procedure must include the following (except for items 5 and 6 if the indication for tissue removal is not the result of massive weight loss):</w:t>
      </w:r>
    </w:p>
    <w:p w14:paraId="07A12D70" w14:textId="7F825228" w:rsidR="5911DA96" w:rsidRPr="00D73CB9" w:rsidRDefault="5911DA96" w:rsidP="2EAAD282">
      <w:pPr>
        <w:pStyle w:val="ListParagraph"/>
        <w:numPr>
          <w:ilvl w:val="0"/>
          <w:numId w:val="3"/>
        </w:numPr>
        <w:rPr>
          <w:rFonts w:eastAsiaTheme="minorEastAsia"/>
          <w:color w:val="000000" w:themeColor="text1"/>
        </w:rPr>
      </w:pPr>
      <w:r w:rsidRPr="00D73CB9">
        <w:rPr>
          <w:rFonts w:ascii="Calibri" w:eastAsia="Calibri" w:hAnsi="Calibri" w:cs="Calibri"/>
          <w:color w:val="000000" w:themeColor="text1"/>
        </w:rPr>
        <w:t>The primary diagnosis name and current ICD-CM code pertinent to the clinical symptoms</w:t>
      </w:r>
      <w:r w:rsidR="00415E3D">
        <w:rPr>
          <w:rFonts w:ascii="Calibri" w:eastAsia="Calibri" w:hAnsi="Calibri" w:cs="Calibri"/>
          <w:color w:val="000000" w:themeColor="text1"/>
        </w:rPr>
        <w:t>;</w:t>
      </w:r>
    </w:p>
    <w:p w14:paraId="2196FE17" w14:textId="4596C237" w:rsidR="5911DA96" w:rsidRPr="00D73CB9" w:rsidRDefault="5911DA96" w:rsidP="2EAAD282">
      <w:pPr>
        <w:pStyle w:val="ListParagraph"/>
        <w:numPr>
          <w:ilvl w:val="0"/>
          <w:numId w:val="3"/>
        </w:numPr>
        <w:rPr>
          <w:rFonts w:eastAsiaTheme="minorEastAsia"/>
          <w:color w:val="000000" w:themeColor="text1"/>
        </w:rPr>
      </w:pPr>
      <w:r w:rsidRPr="00D73CB9">
        <w:rPr>
          <w:rFonts w:ascii="Calibri" w:eastAsia="Calibri" w:hAnsi="Calibri" w:cs="Calibri"/>
          <w:color w:val="000000" w:themeColor="text1"/>
        </w:rPr>
        <w:t>The secondary diagnosis name and current ICD-CM code pertinent to comorbid condition(s</w:t>
      </w:r>
      <w:r w:rsidR="00415E3D" w:rsidRPr="00D73CB9">
        <w:rPr>
          <w:rFonts w:ascii="Calibri" w:eastAsia="Calibri" w:hAnsi="Calibri" w:cs="Calibri"/>
          <w:color w:val="000000" w:themeColor="text1"/>
        </w:rPr>
        <w:t>)</w:t>
      </w:r>
      <w:r w:rsidR="00415E3D">
        <w:rPr>
          <w:rFonts w:ascii="Calibri" w:eastAsia="Calibri" w:hAnsi="Calibri" w:cs="Calibri"/>
          <w:color w:val="000000" w:themeColor="text1"/>
        </w:rPr>
        <w:t>;</w:t>
      </w:r>
    </w:p>
    <w:p w14:paraId="027356A5" w14:textId="43A59138" w:rsidR="5911DA96" w:rsidRPr="00C77DAD" w:rsidRDefault="5911DA96" w:rsidP="2EAAD282">
      <w:pPr>
        <w:pStyle w:val="ListParagraph"/>
        <w:numPr>
          <w:ilvl w:val="0"/>
          <w:numId w:val="3"/>
        </w:numPr>
        <w:rPr>
          <w:rFonts w:eastAsiaTheme="minorEastAsia" w:cstheme="minorHAnsi"/>
          <w:color w:val="000000" w:themeColor="text1"/>
        </w:rPr>
      </w:pPr>
      <w:r w:rsidRPr="00D73CB9">
        <w:rPr>
          <w:rFonts w:ascii="Calibri" w:eastAsia="Calibri" w:hAnsi="Calibri" w:cs="Calibri"/>
          <w:color w:val="000000" w:themeColor="text1"/>
        </w:rPr>
        <w:t>The member’s comprehensive medical and surgical history</w:t>
      </w:r>
      <w:r w:rsidR="00EF7AB7" w:rsidRPr="00D73CB9">
        <w:rPr>
          <w:rFonts w:ascii="Calibri" w:eastAsia="Calibri" w:hAnsi="Calibri" w:cs="Calibri"/>
          <w:color w:val="000000" w:themeColor="text1"/>
        </w:rPr>
        <w:t xml:space="preserve">; </w:t>
      </w:r>
      <w:r w:rsidRPr="00D73CB9">
        <w:rPr>
          <w:rFonts w:ascii="Calibri" w:eastAsia="Calibri" w:hAnsi="Calibri" w:cs="Calibri"/>
          <w:color w:val="000000" w:themeColor="text1"/>
        </w:rPr>
        <w:t>and when massive weight loss is the result of bariatric surgery, documentation must include immediate and late complications of the surgery and post</w:t>
      </w:r>
      <w:r w:rsidRPr="0077541E">
        <w:rPr>
          <w:rFonts w:eastAsia="Calibri" w:cstheme="minorHAnsi"/>
          <w:color w:val="000000" w:themeColor="text1"/>
        </w:rPr>
        <w:t>-surgical recovery</w:t>
      </w:r>
      <w:r w:rsidR="00415E3D">
        <w:rPr>
          <w:rFonts w:eastAsia="Calibri" w:cstheme="minorHAnsi"/>
          <w:color w:val="000000" w:themeColor="text1"/>
        </w:rPr>
        <w:t>;</w:t>
      </w:r>
    </w:p>
    <w:p w14:paraId="3A3D4F4D" w14:textId="41C0F7FF" w:rsidR="5911DA96" w:rsidRPr="00C77DAD" w:rsidRDefault="5911DA96" w:rsidP="2EAAD282">
      <w:pPr>
        <w:pStyle w:val="ListParagraph"/>
        <w:numPr>
          <w:ilvl w:val="0"/>
          <w:numId w:val="3"/>
        </w:numPr>
        <w:rPr>
          <w:rFonts w:eastAsiaTheme="minorEastAsia" w:cstheme="minorHAnsi"/>
          <w:color w:val="000000" w:themeColor="text1"/>
        </w:rPr>
      </w:pPr>
      <w:r w:rsidRPr="0077541E">
        <w:rPr>
          <w:rFonts w:eastAsia="Calibri" w:cstheme="minorHAnsi"/>
          <w:color w:val="000000" w:themeColor="text1"/>
        </w:rPr>
        <w:t>A list of the member’s current prescribed and over-the-counter medications</w:t>
      </w:r>
      <w:r w:rsidR="00415E3D">
        <w:rPr>
          <w:rFonts w:eastAsia="Calibri" w:cstheme="minorHAnsi"/>
          <w:color w:val="000000" w:themeColor="text1"/>
        </w:rPr>
        <w:t>;</w:t>
      </w:r>
    </w:p>
    <w:p w14:paraId="56BD4B6A" w14:textId="22F6C5A2" w:rsidR="00E03098" w:rsidRPr="00C77DAD" w:rsidRDefault="00E03098" w:rsidP="2EAAD282">
      <w:pPr>
        <w:pStyle w:val="ListParagraph"/>
        <w:numPr>
          <w:ilvl w:val="0"/>
          <w:numId w:val="3"/>
        </w:numPr>
        <w:rPr>
          <w:rFonts w:eastAsiaTheme="minorEastAsia" w:cstheme="minorHAnsi"/>
          <w:color w:val="000000" w:themeColor="text1"/>
        </w:rPr>
      </w:pPr>
      <w:r w:rsidRPr="0077541E">
        <w:rPr>
          <w:rFonts w:eastAsia="Times New Roman" w:cstheme="minorHAnsi"/>
          <w:color w:val="000000"/>
        </w:rPr>
        <w:t>Documentation of massive weight loss (50% or greater loss of excess weight</w:t>
      </w:r>
      <w:r w:rsidR="00415E3D">
        <w:rPr>
          <w:rFonts w:eastAsia="Times New Roman" w:cstheme="minorHAnsi"/>
          <w:color w:val="000000"/>
        </w:rPr>
        <w:t>);</w:t>
      </w:r>
      <w:r w:rsidR="00C77DAD">
        <w:rPr>
          <w:rFonts w:eastAsia="Times New Roman" w:cstheme="minorHAnsi"/>
          <w:color w:val="000000"/>
        </w:rPr>
        <w:t xml:space="preserve"> </w:t>
      </w:r>
    </w:p>
    <w:p w14:paraId="7984F884" w14:textId="7008A314" w:rsidR="5911DA96" w:rsidRPr="00D73CB9" w:rsidRDefault="5911DA96" w:rsidP="2EAAD282">
      <w:pPr>
        <w:pStyle w:val="ListParagraph"/>
        <w:numPr>
          <w:ilvl w:val="0"/>
          <w:numId w:val="3"/>
        </w:numPr>
        <w:rPr>
          <w:rFonts w:eastAsiaTheme="minorEastAsia"/>
          <w:color w:val="000000" w:themeColor="text1"/>
        </w:rPr>
      </w:pPr>
      <w:r w:rsidRPr="00D73CB9">
        <w:rPr>
          <w:rFonts w:ascii="Calibri" w:eastAsia="Calibri" w:hAnsi="Calibri" w:cs="Calibri"/>
          <w:color w:val="000000" w:themeColor="text1"/>
        </w:rPr>
        <w:t xml:space="preserve">Documentation showing </w:t>
      </w:r>
      <w:r w:rsidR="00FF7AE1">
        <w:rPr>
          <w:rFonts w:ascii="Calibri" w:eastAsia="Calibri" w:hAnsi="Calibri" w:cs="Calibri"/>
          <w:color w:val="000000" w:themeColor="text1"/>
        </w:rPr>
        <w:t xml:space="preserve">that </w:t>
      </w:r>
      <w:r w:rsidRPr="00D73CB9">
        <w:rPr>
          <w:rFonts w:ascii="Calibri" w:eastAsia="Calibri" w:hAnsi="Calibri" w:cs="Calibri"/>
          <w:color w:val="000000" w:themeColor="text1"/>
        </w:rPr>
        <w:t>the member’s weight has been stable for the preceding</w:t>
      </w:r>
      <w:r w:rsidR="006663C3" w:rsidRPr="00D73CB9">
        <w:rPr>
          <w:rFonts w:ascii="Calibri" w:eastAsia="Calibri" w:hAnsi="Calibri" w:cs="Calibri"/>
          <w:color w:val="000000" w:themeColor="text1"/>
        </w:rPr>
        <w:t xml:space="preserve"> month and attestation </w:t>
      </w:r>
      <w:r w:rsidR="002F6C93" w:rsidRPr="00D73CB9">
        <w:rPr>
          <w:rFonts w:ascii="Calibri" w:eastAsia="Calibri" w:hAnsi="Calibri" w:cs="Calibri"/>
          <w:color w:val="000000" w:themeColor="text1"/>
        </w:rPr>
        <w:t xml:space="preserve">in the surgical evaluation </w:t>
      </w:r>
      <w:r w:rsidR="006663C3" w:rsidRPr="00D73CB9">
        <w:rPr>
          <w:rFonts w:ascii="Calibri" w:eastAsia="Calibri" w:hAnsi="Calibri" w:cs="Calibri"/>
          <w:color w:val="000000" w:themeColor="text1"/>
        </w:rPr>
        <w:t>that this is the patient’s nadir w</w:t>
      </w:r>
      <w:r w:rsidR="002E7D30" w:rsidRPr="00D73CB9">
        <w:rPr>
          <w:rFonts w:ascii="Calibri" w:eastAsia="Calibri" w:hAnsi="Calibri" w:cs="Calibri"/>
          <w:color w:val="000000" w:themeColor="text1"/>
        </w:rPr>
        <w:t>eight</w:t>
      </w:r>
      <w:r w:rsidR="006663C3" w:rsidRPr="00D73CB9">
        <w:rPr>
          <w:rFonts w:ascii="Calibri" w:eastAsia="Calibri" w:hAnsi="Calibri" w:cs="Calibri"/>
          <w:color w:val="000000" w:themeColor="text1"/>
        </w:rPr>
        <w:t xml:space="preserve">. </w:t>
      </w:r>
      <w:r w:rsidRPr="00D73CB9">
        <w:rPr>
          <w:rFonts w:ascii="Calibri" w:eastAsia="Calibri" w:hAnsi="Calibri" w:cs="Calibri"/>
          <w:color w:val="000000" w:themeColor="text1"/>
        </w:rPr>
        <w:t xml:space="preserve">Medical records documenting the member’s weight over the preceding </w:t>
      </w:r>
      <w:r w:rsidR="006663C3" w:rsidRPr="00D73CB9">
        <w:rPr>
          <w:rFonts w:ascii="Calibri" w:eastAsia="Calibri" w:hAnsi="Calibri" w:cs="Calibri"/>
          <w:color w:val="000000" w:themeColor="text1"/>
        </w:rPr>
        <w:t>three</w:t>
      </w:r>
      <w:r w:rsidRPr="00D73CB9">
        <w:rPr>
          <w:rFonts w:ascii="Calibri" w:eastAsia="Calibri" w:hAnsi="Calibri" w:cs="Calibri"/>
          <w:color w:val="000000" w:themeColor="text1"/>
        </w:rPr>
        <w:t xml:space="preserve"> months are required</w:t>
      </w:r>
      <w:r w:rsidR="00415E3D">
        <w:rPr>
          <w:rFonts w:ascii="Calibri" w:eastAsia="Calibri" w:hAnsi="Calibri" w:cs="Calibri"/>
          <w:color w:val="000000" w:themeColor="text1"/>
        </w:rPr>
        <w:t>;</w:t>
      </w:r>
    </w:p>
    <w:p w14:paraId="2B1268D9" w14:textId="16651E32" w:rsidR="5911DA96" w:rsidRPr="00D73CB9" w:rsidRDefault="5911DA96" w:rsidP="2EAAD282">
      <w:pPr>
        <w:pStyle w:val="ListParagraph"/>
        <w:numPr>
          <w:ilvl w:val="0"/>
          <w:numId w:val="3"/>
        </w:numPr>
        <w:rPr>
          <w:rFonts w:eastAsiaTheme="minorEastAsia"/>
          <w:color w:val="000000" w:themeColor="text1"/>
        </w:rPr>
      </w:pPr>
      <w:r w:rsidRPr="00D73CB9">
        <w:rPr>
          <w:rFonts w:ascii="Calibri" w:eastAsia="Calibri" w:hAnsi="Calibri" w:cs="Calibri"/>
          <w:color w:val="000000" w:themeColor="text1"/>
        </w:rPr>
        <w:t>Medical records documenting impaired physical function (if applicable</w:t>
      </w:r>
      <w:r w:rsidR="00415E3D" w:rsidRPr="00D73CB9">
        <w:rPr>
          <w:rFonts w:ascii="Calibri" w:eastAsia="Calibri" w:hAnsi="Calibri" w:cs="Calibri"/>
          <w:color w:val="000000" w:themeColor="text1"/>
        </w:rPr>
        <w:t>)</w:t>
      </w:r>
      <w:r w:rsidR="00415E3D">
        <w:rPr>
          <w:rFonts w:ascii="Calibri" w:eastAsia="Calibri" w:hAnsi="Calibri" w:cs="Calibri"/>
          <w:color w:val="000000" w:themeColor="text1"/>
        </w:rPr>
        <w:t>;</w:t>
      </w:r>
    </w:p>
    <w:p w14:paraId="35747262" w14:textId="4044153E" w:rsidR="5911DA96" w:rsidRPr="00D73CB9" w:rsidRDefault="5911DA96" w:rsidP="2EAAD282">
      <w:pPr>
        <w:pStyle w:val="ListParagraph"/>
        <w:numPr>
          <w:ilvl w:val="0"/>
          <w:numId w:val="3"/>
        </w:numPr>
        <w:rPr>
          <w:rFonts w:eastAsiaTheme="minorEastAsia"/>
          <w:color w:val="000000" w:themeColor="text1"/>
        </w:rPr>
      </w:pPr>
      <w:r w:rsidRPr="00D73CB9">
        <w:rPr>
          <w:rFonts w:ascii="Calibri" w:eastAsia="Calibri" w:hAnsi="Calibri" w:cs="Calibri"/>
          <w:color w:val="000000" w:themeColor="text1"/>
        </w:rPr>
        <w:t xml:space="preserve">Medical records documenting the assessment and treatment of </w:t>
      </w:r>
      <w:r w:rsidR="006C2472" w:rsidRPr="00D73CB9">
        <w:rPr>
          <w:rFonts w:ascii="Calibri" w:eastAsia="Calibri" w:hAnsi="Calibri" w:cs="Calibri"/>
          <w:color w:val="000000" w:themeColor="text1"/>
        </w:rPr>
        <w:t xml:space="preserve">two </w:t>
      </w:r>
      <w:r w:rsidRPr="00D73CB9">
        <w:rPr>
          <w:rFonts w:ascii="Calibri" w:eastAsia="Calibri" w:hAnsi="Calibri" w:cs="Calibri"/>
          <w:color w:val="000000" w:themeColor="text1"/>
        </w:rPr>
        <w:t>or more episodes of skin or soft-tissue infection over a 12-month period (if applicable</w:t>
      </w:r>
      <w:r w:rsidR="00415E3D" w:rsidRPr="00D73CB9">
        <w:rPr>
          <w:rFonts w:ascii="Calibri" w:eastAsia="Calibri" w:hAnsi="Calibri" w:cs="Calibri"/>
          <w:color w:val="000000" w:themeColor="text1"/>
        </w:rPr>
        <w:t>)</w:t>
      </w:r>
      <w:r w:rsidR="00415E3D">
        <w:rPr>
          <w:rFonts w:ascii="Calibri" w:eastAsia="Calibri" w:hAnsi="Calibri" w:cs="Calibri"/>
          <w:color w:val="000000" w:themeColor="text1"/>
        </w:rPr>
        <w:t>;</w:t>
      </w:r>
    </w:p>
    <w:p w14:paraId="0A8B214A" w14:textId="0EEFC464" w:rsidR="5911DA96" w:rsidRPr="00D73CB9" w:rsidRDefault="5911DA96" w:rsidP="2EAAD282">
      <w:pPr>
        <w:pStyle w:val="ListParagraph"/>
        <w:numPr>
          <w:ilvl w:val="0"/>
          <w:numId w:val="3"/>
        </w:numPr>
        <w:rPr>
          <w:color w:val="000000" w:themeColor="text1"/>
        </w:rPr>
      </w:pPr>
      <w:r w:rsidRPr="00D73CB9">
        <w:rPr>
          <w:rFonts w:ascii="Calibri" w:eastAsia="Calibri" w:hAnsi="Calibri" w:cs="Calibri"/>
          <w:color w:val="000000" w:themeColor="text1"/>
        </w:rPr>
        <w:t>Documentation of the preoperative evaluation specified in Section II.A.</w:t>
      </w:r>
      <w:r w:rsidR="00BC0E0D" w:rsidRPr="00D73CB9">
        <w:rPr>
          <w:rFonts w:ascii="Calibri" w:eastAsia="Calibri" w:hAnsi="Calibri" w:cs="Calibri"/>
          <w:color w:val="000000" w:themeColor="text1"/>
        </w:rPr>
        <w:t>4</w:t>
      </w:r>
      <w:r w:rsidR="00415E3D">
        <w:rPr>
          <w:rFonts w:ascii="Calibri" w:eastAsia="Calibri" w:hAnsi="Calibri" w:cs="Calibri"/>
          <w:color w:val="000000" w:themeColor="text1"/>
        </w:rPr>
        <w:t>; and</w:t>
      </w:r>
    </w:p>
    <w:p w14:paraId="782BBD76" w14:textId="14FFB20F" w:rsidR="5911DA96" w:rsidRPr="00D73CB9" w:rsidRDefault="5911DA96" w:rsidP="2EAAD282">
      <w:pPr>
        <w:pStyle w:val="ListParagraph"/>
        <w:numPr>
          <w:ilvl w:val="0"/>
          <w:numId w:val="3"/>
        </w:numPr>
        <w:rPr>
          <w:color w:val="000000" w:themeColor="text1"/>
        </w:rPr>
      </w:pPr>
      <w:r w:rsidRPr="00D73CB9">
        <w:rPr>
          <w:rFonts w:ascii="Calibri" w:eastAsia="Calibri" w:hAnsi="Calibri" w:cs="Calibri"/>
          <w:color w:val="000000" w:themeColor="text1"/>
        </w:rPr>
        <w:t xml:space="preserve">Other </w:t>
      </w:r>
      <w:r w:rsidR="00BC0E0D" w:rsidRPr="00D73CB9">
        <w:rPr>
          <w:rFonts w:ascii="Calibri" w:eastAsia="Calibri" w:hAnsi="Calibri" w:cs="Calibri"/>
          <w:color w:val="000000" w:themeColor="text1"/>
        </w:rPr>
        <w:t xml:space="preserve">pertinent information that MassHealth may request. </w:t>
      </w:r>
    </w:p>
    <w:p w14:paraId="52D1C9C3" w14:textId="1F4DF424" w:rsidR="00A8057E" w:rsidRPr="007A0BAA" w:rsidRDefault="003830D9" w:rsidP="0077541E">
      <w:r w:rsidRPr="007A0BAA">
        <w:t>Clinical</w:t>
      </w:r>
      <w:r w:rsidRPr="007A0BAA">
        <w:rPr>
          <w:spacing w:val="-4"/>
        </w:rPr>
        <w:t xml:space="preserve"> </w:t>
      </w:r>
      <w:r w:rsidRPr="007A0BAA">
        <w:t>information</w:t>
      </w:r>
      <w:r w:rsidRPr="007A0BAA">
        <w:rPr>
          <w:spacing w:val="-4"/>
        </w:rPr>
        <w:t xml:space="preserve"> </w:t>
      </w:r>
      <w:r w:rsidRPr="007A0BAA">
        <w:t>must</w:t>
      </w:r>
      <w:r w:rsidRPr="007A0BAA">
        <w:rPr>
          <w:spacing w:val="-4"/>
        </w:rPr>
        <w:t xml:space="preserve"> </w:t>
      </w:r>
      <w:r w:rsidRPr="007A0BAA">
        <w:t>be</w:t>
      </w:r>
      <w:r w:rsidRPr="007A0BAA">
        <w:rPr>
          <w:spacing w:val="-3"/>
        </w:rPr>
        <w:t xml:space="preserve"> </w:t>
      </w:r>
      <w:r w:rsidRPr="007A0BAA">
        <w:t>submitted</w:t>
      </w:r>
      <w:r w:rsidRPr="007A0BAA">
        <w:rPr>
          <w:spacing w:val="-4"/>
        </w:rPr>
        <w:t xml:space="preserve"> </w:t>
      </w:r>
      <w:r w:rsidRPr="007A0BAA">
        <w:t>by</w:t>
      </w:r>
      <w:r w:rsidRPr="007A0BAA">
        <w:rPr>
          <w:spacing w:val="-4"/>
        </w:rPr>
        <w:t xml:space="preserve"> </w:t>
      </w:r>
      <w:r w:rsidRPr="007A0BAA">
        <w:t>the</w:t>
      </w:r>
      <w:r w:rsidRPr="007A0BAA">
        <w:rPr>
          <w:spacing w:val="-4"/>
        </w:rPr>
        <w:t xml:space="preserve"> </w:t>
      </w:r>
      <w:r w:rsidRPr="007A0BAA">
        <w:t>treating</w:t>
      </w:r>
      <w:r w:rsidRPr="007A0BAA">
        <w:rPr>
          <w:spacing w:val="-3"/>
        </w:rPr>
        <w:t xml:space="preserve"> </w:t>
      </w:r>
      <w:r w:rsidRPr="007A0BAA">
        <w:t>surgeon.</w:t>
      </w:r>
    </w:p>
    <w:p w14:paraId="4174973E" w14:textId="181D358A" w:rsidR="003830D9" w:rsidRPr="00D73CB9" w:rsidRDefault="429D71F6" w:rsidP="007A0BAA">
      <w:pPr>
        <w:widowControl w:val="0"/>
        <w:tabs>
          <w:tab w:val="left" w:pos="2101"/>
        </w:tabs>
        <w:autoSpaceDE w:val="0"/>
        <w:autoSpaceDN w:val="0"/>
        <w:spacing w:after="0" w:line="240" w:lineRule="auto"/>
        <w:ind w:right="301"/>
        <w:rPr>
          <w:rFonts w:ascii="Calibri" w:eastAsia="Calibri" w:hAnsi="Calibri" w:cs="Calibri"/>
        </w:rPr>
      </w:pPr>
      <w:r w:rsidRPr="450DD1D2">
        <w:rPr>
          <w:rFonts w:ascii="Calibri" w:eastAsia="Calibri" w:hAnsi="Calibri" w:cs="Calibri"/>
        </w:rPr>
        <w:t xml:space="preserve">Providers must electronically submit PA requests and all supporting documentation using the </w:t>
      </w:r>
      <w:r w:rsidRPr="00415E3D">
        <w:rPr>
          <w:rFonts w:ascii="Calibri" w:eastAsia="Calibri" w:hAnsi="Calibri" w:cs="Calibri"/>
        </w:rPr>
        <w:t>Provider</w:t>
      </w:r>
      <w:r w:rsidRPr="450DD1D2">
        <w:rPr>
          <w:rFonts w:ascii="Calibri" w:eastAsia="Calibri" w:hAnsi="Calibri" w:cs="Calibri"/>
        </w:rPr>
        <w:t xml:space="preserve"> Online Service Center (POSC), unless the provider has a currently approved electronic claims waiver (hereinafter, “waiver”). Please see </w:t>
      </w:r>
      <w:hyperlink r:id="rId21" w:history="1">
        <w:r w:rsidRPr="450DD1D2">
          <w:rPr>
            <w:rStyle w:val="Hyperlink"/>
            <w:rFonts w:ascii="Calibri" w:eastAsia="Calibri" w:hAnsi="Calibri" w:cs="Calibri"/>
          </w:rPr>
          <w:t>All Provider Bulletin 369</w:t>
        </w:r>
      </w:hyperlink>
      <w:r w:rsidRPr="450DD1D2">
        <w:rPr>
          <w:rFonts w:ascii="Calibri" w:eastAsia="Calibri" w:hAnsi="Calibri" w:cs="Calibri"/>
        </w:rPr>
        <w:t xml:space="preserve"> for further waiver information. If you have questions about POSC access, contact MassHealth at (800) 841-2900, TDD/TTY: 711.</w:t>
      </w:r>
    </w:p>
    <w:p w14:paraId="032612F8" w14:textId="3BAB7C97" w:rsidR="003830D9" w:rsidRPr="00D73CB9" w:rsidRDefault="429D71F6" w:rsidP="007A0BAA">
      <w:pPr>
        <w:spacing w:after="0" w:line="240" w:lineRule="auto"/>
        <w:rPr>
          <w:rFonts w:ascii="Calibri" w:eastAsia="Calibri" w:hAnsi="Calibri" w:cs="Calibri"/>
        </w:rPr>
      </w:pPr>
      <w:r w:rsidRPr="450DD1D2">
        <w:rPr>
          <w:rFonts w:ascii="Calibri" w:eastAsia="Calibri" w:hAnsi="Calibri" w:cs="Calibri"/>
        </w:rPr>
        <w:t xml:space="preserve">For PA requests that are not submitted using the POSC, providers with currently approved waivers must include the MassHealth Prior Authorization Request (PA-1 Form) and all supporting documentation. The PA-1 Form can be found at </w:t>
      </w:r>
      <w:hyperlink r:id="rId22" w:history="1">
        <w:r w:rsidRPr="450DD1D2">
          <w:rPr>
            <w:rStyle w:val="Hyperlink"/>
            <w:rFonts w:ascii="Calibri" w:eastAsia="Calibri" w:hAnsi="Calibri" w:cs="Calibri"/>
          </w:rPr>
          <w:t>mass.gov/prior-authorization-for-</w:t>
        </w:r>
        <w:proofErr w:type="spellStart"/>
        <w:r w:rsidRPr="450DD1D2">
          <w:rPr>
            <w:rStyle w:val="Hyperlink"/>
            <w:rFonts w:ascii="Calibri" w:eastAsia="Calibri" w:hAnsi="Calibri" w:cs="Calibri"/>
          </w:rPr>
          <w:t>masshealth</w:t>
        </w:r>
        <w:proofErr w:type="spellEnd"/>
        <w:r w:rsidRPr="450DD1D2">
          <w:rPr>
            <w:rStyle w:val="Hyperlink"/>
            <w:rFonts w:ascii="Calibri" w:eastAsia="Calibri" w:hAnsi="Calibri" w:cs="Calibri"/>
          </w:rPr>
          <w:t>-providers</w:t>
        </w:r>
      </w:hyperlink>
      <w:r w:rsidRPr="450DD1D2">
        <w:rPr>
          <w:rFonts w:ascii="Calibri" w:eastAsia="Calibri" w:hAnsi="Calibri" w:cs="Calibri"/>
        </w:rPr>
        <w:t>.</w:t>
      </w:r>
    </w:p>
    <w:p w14:paraId="7E0CDD06" w14:textId="717C1DBD" w:rsidR="00F20B69" w:rsidRPr="00D73CB9" w:rsidRDefault="00F20B69">
      <w:pPr>
        <w:rPr>
          <w:rFonts w:ascii="Calibri" w:eastAsia="Calibri" w:hAnsi="Calibri" w:cs="Calibri"/>
          <w:color w:val="000000" w:themeColor="text1"/>
        </w:rPr>
      </w:pPr>
    </w:p>
    <w:p w14:paraId="3CF525A4" w14:textId="0117044B" w:rsidR="5911DA96" w:rsidRPr="00D73CB9" w:rsidRDefault="5911DA96" w:rsidP="00E23B24">
      <w:pPr>
        <w:pStyle w:val="Heading2"/>
      </w:pPr>
      <w:r w:rsidRPr="00D73CB9">
        <w:rPr>
          <w:rFonts w:eastAsia="Calibri"/>
        </w:rPr>
        <w:lastRenderedPageBreak/>
        <w:t>Select References</w:t>
      </w:r>
    </w:p>
    <w:p w14:paraId="3D0266FA" w14:textId="5F192F59" w:rsidR="5911DA96" w:rsidRPr="002B4AA3" w:rsidRDefault="5911DA96" w:rsidP="002B4AA3">
      <w:pPr>
        <w:ind w:left="360"/>
        <w:rPr>
          <w:rFonts w:eastAsiaTheme="minorEastAsia"/>
          <w:color w:val="000000" w:themeColor="text1"/>
        </w:rPr>
      </w:pPr>
      <w:proofErr w:type="spellStart"/>
      <w:r w:rsidRPr="002B4AA3">
        <w:rPr>
          <w:rFonts w:ascii="Calibri" w:eastAsia="Calibri" w:hAnsi="Calibri" w:cs="Calibri"/>
          <w:color w:val="000000" w:themeColor="text1"/>
        </w:rPr>
        <w:t>Acarturk</w:t>
      </w:r>
      <w:proofErr w:type="spellEnd"/>
      <w:r w:rsidRPr="002B4AA3">
        <w:rPr>
          <w:rFonts w:ascii="Calibri" w:eastAsia="Calibri" w:hAnsi="Calibri" w:cs="Calibri"/>
          <w:color w:val="000000" w:themeColor="text1"/>
        </w:rPr>
        <w:t xml:space="preserve"> TO, Wachtman G, Heil B, et al. Panniculectomy as an Adjuvant to Bariatric Surgery. </w:t>
      </w:r>
      <w:r w:rsidRPr="002B4AA3">
        <w:rPr>
          <w:rFonts w:ascii="Calibri" w:eastAsia="Calibri" w:hAnsi="Calibri" w:cs="Calibri"/>
          <w:i/>
          <w:iCs/>
          <w:color w:val="000000" w:themeColor="text1"/>
        </w:rPr>
        <w:t xml:space="preserve">Ann </w:t>
      </w:r>
      <w:proofErr w:type="spellStart"/>
      <w:r w:rsidRPr="002B4AA3">
        <w:rPr>
          <w:rFonts w:ascii="Calibri" w:eastAsia="Calibri" w:hAnsi="Calibri" w:cs="Calibri"/>
          <w:i/>
          <w:iCs/>
          <w:color w:val="000000" w:themeColor="text1"/>
        </w:rPr>
        <w:t>Plast</w:t>
      </w:r>
      <w:proofErr w:type="spellEnd"/>
      <w:r w:rsidR="0E83B8BC" w:rsidRPr="002B4AA3">
        <w:rPr>
          <w:rFonts w:ascii="Calibri" w:eastAsia="Calibri" w:hAnsi="Calibri" w:cs="Calibri"/>
          <w:i/>
          <w:iCs/>
          <w:color w:val="000000" w:themeColor="text1"/>
        </w:rPr>
        <w:t xml:space="preserve"> </w:t>
      </w:r>
      <w:r w:rsidRPr="002B4AA3">
        <w:rPr>
          <w:rFonts w:ascii="Calibri" w:eastAsia="Calibri" w:hAnsi="Calibri" w:cs="Calibri"/>
          <w:i/>
          <w:iCs/>
          <w:color w:val="000000" w:themeColor="text1"/>
        </w:rPr>
        <w:t xml:space="preserve">Surg. </w:t>
      </w:r>
      <w:r w:rsidRPr="002B4AA3">
        <w:rPr>
          <w:rFonts w:ascii="Calibri" w:eastAsia="Calibri" w:hAnsi="Calibri" w:cs="Calibri"/>
          <w:color w:val="000000" w:themeColor="text1"/>
        </w:rPr>
        <w:t>2004;</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53(4):</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360-7.</w:t>
      </w:r>
    </w:p>
    <w:p w14:paraId="4AB55510" w14:textId="463A2D24" w:rsidR="5911DA96" w:rsidRPr="002B4AA3" w:rsidRDefault="5911DA96" w:rsidP="002B4AA3">
      <w:pPr>
        <w:ind w:left="360"/>
        <w:rPr>
          <w:rFonts w:eastAsiaTheme="minorEastAsia"/>
          <w:color w:val="000000" w:themeColor="text1"/>
        </w:rPr>
      </w:pPr>
      <w:r w:rsidRPr="002B4AA3">
        <w:rPr>
          <w:rFonts w:ascii="Calibri" w:eastAsia="Calibri" w:hAnsi="Calibri" w:cs="Calibri"/>
          <w:color w:val="000000" w:themeColor="text1"/>
        </w:rPr>
        <w:t xml:space="preserve">American Society of Plastic Surgeons (ASPS). Practice Parameter for Surgical Treatment of Skin Redundancy for Obese and Massive Weight Loss Patients. </w:t>
      </w:r>
      <w:r w:rsidR="18085D34" w:rsidRPr="002B4AA3">
        <w:rPr>
          <w:rFonts w:ascii="Calibri" w:eastAsia="Calibri" w:hAnsi="Calibri" w:cs="Calibri"/>
          <w:color w:val="000000" w:themeColor="text1"/>
        </w:rPr>
        <w:t>June 2017</w:t>
      </w:r>
      <w:r w:rsidRPr="002B4AA3">
        <w:rPr>
          <w:rFonts w:ascii="Calibri" w:eastAsia="Calibri" w:hAnsi="Calibri" w:cs="Calibri"/>
          <w:color w:val="000000" w:themeColor="text1"/>
        </w:rPr>
        <w:t>. Accessed</w:t>
      </w:r>
      <w:r w:rsidR="213507DC" w:rsidRPr="002B4AA3">
        <w:rPr>
          <w:rFonts w:ascii="Calibri" w:eastAsia="Calibri" w:hAnsi="Calibri" w:cs="Calibri"/>
          <w:color w:val="000000" w:themeColor="text1"/>
        </w:rPr>
        <w:t xml:space="preserve"> October</w:t>
      </w:r>
      <w:r w:rsidR="4E96A4A7" w:rsidRPr="002B4AA3">
        <w:rPr>
          <w:rFonts w:ascii="Calibri" w:eastAsia="Calibri" w:hAnsi="Calibri" w:cs="Calibri"/>
          <w:color w:val="000000" w:themeColor="text1"/>
        </w:rPr>
        <w:t xml:space="preserve"> 2022</w:t>
      </w:r>
      <w:r w:rsidRPr="002B4AA3">
        <w:rPr>
          <w:rFonts w:ascii="Calibri" w:eastAsia="Calibri" w:hAnsi="Calibri" w:cs="Calibri"/>
          <w:color w:val="000000" w:themeColor="text1"/>
        </w:rPr>
        <w:t xml:space="preserve"> Available at: </w:t>
      </w:r>
      <w:hyperlink r:id="rId23" w:history="1">
        <w:r w:rsidR="00832DEB" w:rsidRPr="0095026B">
          <w:rPr>
            <w:rStyle w:val="Hyperlink"/>
            <w:rFonts w:ascii="Calibri" w:eastAsia="Calibri" w:hAnsi="Calibri" w:cs="Calibri"/>
          </w:rPr>
          <w:t>https://www.plasticsurgery.org/documents/Health-Policy/Guidelines/guideline-2017-skin-redundancy.pdf</w:t>
        </w:r>
      </w:hyperlink>
      <w:r w:rsidR="00832DEB" w:rsidRPr="002B4AA3">
        <w:rPr>
          <w:rFonts w:ascii="Calibri" w:eastAsia="Calibri" w:hAnsi="Calibri" w:cs="Calibri"/>
          <w:color w:val="000000" w:themeColor="text1"/>
        </w:rPr>
        <w:t xml:space="preserve">. </w:t>
      </w:r>
    </w:p>
    <w:p w14:paraId="4E3BF706" w14:textId="275D46DF" w:rsidR="5911DA96" w:rsidRPr="002B4AA3" w:rsidRDefault="5911DA96" w:rsidP="002B4AA3">
      <w:pPr>
        <w:ind w:left="360"/>
        <w:rPr>
          <w:rFonts w:eastAsiaTheme="minorEastAsia"/>
          <w:color w:val="000000" w:themeColor="text1"/>
        </w:rPr>
      </w:pPr>
      <w:r w:rsidRPr="002B4AA3">
        <w:rPr>
          <w:rFonts w:ascii="Calibri" w:eastAsia="Calibri" w:hAnsi="Calibri" w:cs="Calibri"/>
          <w:color w:val="000000" w:themeColor="text1"/>
        </w:rPr>
        <w:t xml:space="preserve">ASPS. ASPS Recommended Insurance Coverage Criteria for Third-Party Payers. Surgical Treatment of Skin Redundancy for Obese and Massive Weight Loss Patients. July 2006b. Accessed </w:t>
      </w:r>
      <w:r w:rsidR="4872CDB5" w:rsidRPr="002B4AA3">
        <w:rPr>
          <w:rFonts w:ascii="Calibri" w:eastAsia="Calibri" w:hAnsi="Calibri" w:cs="Calibri"/>
          <w:color w:val="000000" w:themeColor="text1"/>
        </w:rPr>
        <w:t>October</w:t>
      </w:r>
      <w:r w:rsidRPr="002B4AA3">
        <w:rPr>
          <w:rFonts w:ascii="Calibri" w:eastAsia="Calibri" w:hAnsi="Calibri" w:cs="Calibri"/>
          <w:color w:val="000000" w:themeColor="text1"/>
        </w:rPr>
        <w:t xml:space="preserve"> 20</w:t>
      </w:r>
      <w:r w:rsidR="3F340B89" w:rsidRPr="002B4AA3">
        <w:rPr>
          <w:rFonts w:ascii="Calibri" w:eastAsia="Calibri" w:hAnsi="Calibri" w:cs="Calibri"/>
          <w:color w:val="000000" w:themeColor="text1"/>
        </w:rPr>
        <w:t>22</w:t>
      </w:r>
      <w:r w:rsidRPr="002B4AA3">
        <w:rPr>
          <w:rFonts w:ascii="Calibri" w:eastAsia="Calibri" w:hAnsi="Calibri" w:cs="Calibri"/>
          <w:color w:val="000000" w:themeColor="text1"/>
        </w:rPr>
        <w:t xml:space="preserve"> Available at:</w:t>
      </w:r>
      <w:r w:rsidR="78DD6D19" w:rsidRPr="002B4AA3">
        <w:rPr>
          <w:rFonts w:ascii="Calibri" w:eastAsia="Calibri" w:hAnsi="Calibri" w:cs="Calibri"/>
          <w:color w:val="000000" w:themeColor="text1"/>
        </w:rPr>
        <w:t xml:space="preserve"> </w:t>
      </w:r>
      <w:hyperlink r:id="rId24" w:history="1">
        <w:r w:rsidR="00832DEB" w:rsidRPr="0095026B">
          <w:rPr>
            <w:rStyle w:val="Hyperlink"/>
            <w:rFonts w:ascii="Calibri" w:eastAsia="Calibri" w:hAnsi="Calibri" w:cs="Calibri"/>
          </w:rPr>
          <w:t>https://www.plasticsurgery.org/documents/Health-Policy/Reimbursement/insurance-2017-skin-redundancy-for-obese-and-massive-weight-loss-patients.pdf</w:t>
        </w:r>
      </w:hyperlink>
      <w:r w:rsidR="00832DEB" w:rsidRPr="002B4AA3">
        <w:rPr>
          <w:rFonts w:ascii="Calibri" w:eastAsia="Calibri" w:hAnsi="Calibri" w:cs="Calibri"/>
          <w:color w:val="000000" w:themeColor="text1"/>
        </w:rPr>
        <w:t xml:space="preserve">. </w:t>
      </w:r>
      <w:r w:rsidRPr="002B4AA3">
        <w:rPr>
          <w:rFonts w:ascii="Calibri" w:eastAsia="Calibri" w:hAnsi="Calibri" w:cs="Calibri"/>
          <w:color w:val="000000" w:themeColor="text1"/>
        </w:rPr>
        <w:t xml:space="preserve"> </w:t>
      </w:r>
    </w:p>
    <w:p w14:paraId="4C77CE88" w14:textId="2E0114B0" w:rsidR="5911DA96" w:rsidRPr="002B4AA3" w:rsidRDefault="5911DA96" w:rsidP="002B4AA3">
      <w:pPr>
        <w:ind w:left="360"/>
        <w:rPr>
          <w:color w:val="000000" w:themeColor="text1"/>
        </w:rPr>
      </w:pPr>
      <w:r w:rsidRPr="002B4AA3">
        <w:rPr>
          <w:rFonts w:ascii="Calibri" w:eastAsia="Calibri" w:hAnsi="Calibri" w:cs="Calibri"/>
          <w:color w:val="000000" w:themeColor="text1"/>
          <w:lang w:val="es-US"/>
        </w:rPr>
        <w:t xml:space="preserve">Baltasar A, </w:t>
      </w:r>
      <w:proofErr w:type="spellStart"/>
      <w:r w:rsidRPr="002B4AA3">
        <w:rPr>
          <w:rFonts w:ascii="Calibri" w:eastAsia="Calibri" w:hAnsi="Calibri" w:cs="Calibri"/>
          <w:color w:val="000000" w:themeColor="text1"/>
          <w:lang w:val="es-US"/>
        </w:rPr>
        <w:t>Perez</w:t>
      </w:r>
      <w:proofErr w:type="spellEnd"/>
      <w:r w:rsidRPr="002B4AA3">
        <w:rPr>
          <w:rFonts w:ascii="Calibri" w:eastAsia="Calibri" w:hAnsi="Calibri" w:cs="Calibri"/>
          <w:color w:val="000000" w:themeColor="text1"/>
          <w:lang w:val="es-US"/>
        </w:rPr>
        <w:t xml:space="preserve"> N, Serra C, et al. </w:t>
      </w:r>
      <w:r w:rsidRPr="002B4AA3">
        <w:rPr>
          <w:rFonts w:ascii="Calibri" w:eastAsia="Calibri" w:hAnsi="Calibri" w:cs="Calibri"/>
          <w:color w:val="000000" w:themeColor="text1"/>
        </w:rPr>
        <w:t xml:space="preserve">Weight Loss Reporting: Predicted Body Mass Index After Bariatric Surgery. </w:t>
      </w:r>
      <w:proofErr w:type="spellStart"/>
      <w:r w:rsidRPr="002B4AA3">
        <w:rPr>
          <w:rFonts w:ascii="Calibri" w:eastAsia="Calibri" w:hAnsi="Calibri" w:cs="Calibri"/>
          <w:i/>
          <w:iCs/>
          <w:color w:val="000000" w:themeColor="text1"/>
        </w:rPr>
        <w:t>Obes</w:t>
      </w:r>
      <w:proofErr w:type="spellEnd"/>
      <w:r w:rsidRPr="002B4AA3">
        <w:rPr>
          <w:rFonts w:ascii="Calibri" w:eastAsia="Calibri" w:hAnsi="Calibri" w:cs="Calibri"/>
          <w:i/>
          <w:iCs/>
          <w:color w:val="000000" w:themeColor="text1"/>
        </w:rPr>
        <w:t xml:space="preserve"> Surg. </w:t>
      </w:r>
      <w:r w:rsidRPr="002B4AA3">
        <w:rPr>
          <w:rFonts w:ascii="Calibri" w:eastAsia="Calibri" w:hAnsi="Calibri" w:cs="Calibri"/>
          <w:color w:val="000000" w:themeColor="text1"/>
        </w:rPr>
        <w:t>2011 Mar;</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21(3):</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367-72.</w:t>
      </w:r>
    </w:p>
    <w:p w14:paraId="262A30CF" w14:textId="1E697067" w:rsidR="5911DA96" w:rsidRPr="002B4AA3" w:rsidRDefault="5911DA96" w:rsidP="002B4AA3">
      <w:pPr>
        <w:ind w:left="360"/>
        <w:rPr>
          <w:color w:val="000000" w:themeColor="text1"/>
        </w:rPr>
      </w:pPr>
      <w:proofErr w:type="spellStart"/>
      <w:r w:rsidRPr="002B4AA3">
        <w:rPr>
          <w:rFonts w:ascii="Calibri" w:eastAsia="Calibri" w:hAnsi="Calibri" w:cs="Calibri"/>
          <w:color w:val="000000" w:themeColor="text1"/>
        </w:rPr>
        <w:t>Douvoyiannis</w:t>
      </w:r>
      <w:proofErr w:type="spellEnd"/>
      <w:r w:rsidRPr="002B4AA3">
        <w:rPr>
          <w:rFonts w:ascii="Calibri" w:eastAsia="Calibri" w:hAnsi="Calibri" w:cs="Calibri"/>
          <w:color w:val="000000" w:themeColor="text1"/>
        </w:rPr>
        <w:t xml:space="preserve"> M, Litman N, Dulau A, </w:t>
      </w:r>
      <w:proofErr w:type="spellStart"/>
      <w:r w:rsidRPr="002B4AA3">
        <w:rPr>
          <w:rFonts w:ascii="Calibri" w:eastAsia="Calibri" w:hAnsi="Calibri" w:cs="Calibri"/>
          <w:color w:val="000000" w:themeColor="text1"/>
        </w:rPr>
        <w:t>Ilowite</w:t>
      </w:r>
      <w:proofErr w:type="spellEnd"/>
      <w:r w:rsidRPr="002B4AA3">
        <w:rPr>
          <w:rFonts w:ascii="Calibri" w:eastAsia="Calibri" w:hAnsi="Calibri" w:cs="Calibri"/>
          <w:color w:val="000000" w:themeColor="text1"/>
        </w:rPr>
        <w:t xml:space="preserve"> NT. Panniculitis, Infection, and Dermatomyositis: Case and Literature Review. </w:t>
      </w:r>
      <w:r w:rsidRPr="002B4AA3">
        <w:rPr>
          <w:rFonts w:ascii="Calibri" w:eastAsia="Calibri" w:hAnsi="Calibri" w:cs="Calibri"/>
          <w:i/>
          <w:iCs/>
          <w:color w:val="000000" w:themeColor="text1"/>
        </w:rPr>
        <w:t xml:space="preserve">Clin </w:t>
      </w:r>
      <w:proofErr w:type="spellStart"/>
      <w:r w:rsidRPr="002B4AA3">
        <w:rPr>
          <w:rFonts w:ascii="Calibri" w:eastAsia="Calibri" w:hAnsi="Calibri" w:cs="Calibri"/>
          <w:i/>
          <w:iCs/>
          <w:color w:val="000000" w:themeColor="text1"/>
        </w:rPr>
        <w:t>Rheumatol</w:t>
      </w:r>
      <w:proofErr w:type="spellEnd"/>
      <w:r w:rsidRPr="002B4AA3">
        <w:rPr>
          <w:rFonts w:ascii="Calibri" w:eastAsia="Calibri" w:hAnsi="Calibri" w:cs="Calibri"/>
          <w:i/>
          <w:iCs/>
          <w:color w:val="000000" w:themeColor="text1"/>
        </w:rPr>
        <w:t xml:space="preserve">. </w:t>
      </w:r>
      <w:r w:rsidRPr="002B4AA3">
        <w:rPr>
          <w:rFonts w:ascii="Calibri" w:eastAsia="Calibri" w:hAnsi="Calibri" w:cs="Calibri"/>
          <w:color w:val="000000" w:themeColor="text1"/>
        </w:rPr>
        <w:t>2009;</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Suppl 1:</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S57-63.</w:t>
      </w:r>
    </w:p>
    <w:p w14:paraId="4372148A" w14:textId="6C5950ED" w:rsidR="5911DA96" w:rsidRPr="002B4AA3" w:rsidRDefault="5911DA96" w:rsidP="002B4AA3">
      <w:pPr>
        <w:ind w:left="360"/>
        <w:rPr>
          <w:color w:val="000000" w:themeColor="text1"/>
        </w:rPr>
      </w:pPr>
      <w:proofErr w:type="spellStart"/>
      <w:r w:rsidRPr="002B4AA3">
        <w:rPr>
          <w:rFonts w:ascii="Calibri" w:eastAsia="Calibri" w:hAnsi="Calibri" w:cs="Calibri"/>
          <w:color w:val="000000" w:themeColor="text1"/>
          <w:lang w:val="es-US"/>
        </w:rPr>
        <w:t>Eisenhauer</w:t>
      </w:r>
      <w:proofErr w:type="spellEnd"/>
      <w:r w:rsidRPr="002B4AA3">
        <w:rPr>
          <w:rFonts w:ascii="Calibri" w:eastAsia="Calibri" w:hAnsi="Calibri" w:cs="Calibri"/>
          <w:color w:val="000000" w:themeColor="text1"/>
          <w:lang w:val="es-US"/>
        </w:rPr>
        <w:t xml:space="preserve"> EL, </w:t>
      </w:r>
      <w:proofErr w:type="spellStart"/>
      <w:r w:rsidRPr="002B4AA3">
        <w:rPr>
          <w:rFonts w:ascii="Calibri" w:eastAsia="Calibri" w:hAnsi="Calibri" w:cs="Calibri"/>
          <w:color w:val="000000" w:themeColor="text1"/>
          <w:lang w:val="es-US"/>
        </w:rPr>
        <w:t>Wypych</w:t>
      </w:r>
      <w:proofErr w:type="spellEnd"/>
      <w:r w:rsidRPr="002B4AA3">
        <w:rPr>
          <w:rFonts w:ascii="Calibri" w:eastAsia="Calibri" w:hAnsi="Calibri" w:cs="Calibri"/>
          <w:color w:val="000000" w:themeColor="text1"/>
          <w:lang w:val="es-US"/>
        </w:rPr>
        <w:t xml:space="preserve"> KA, </w:t>
      </w:r>
      <w:proofErr w:type="spellStart"/>
      <w:r w:rsidRPr="002B4AA3">
        <w:rPr>
          <w:rFonts w:ascii="Calibri" w:eastAsia="Calibri" w:hAnsi="Calibri" w:cs="Calibri"/>
          <w:color w:val="000000" w:themeColor="text1"/>
          <w:lang w:val="es-US"/>
        </w:rPr>
        <w:t>Mehrara</w:t>
      </w:r>
      <w:proofErr w:type="spellEnd"/>
      <w:r w:rsidRPr="002B4AA3">
        <w:rPr>
          <w:rFonts w:ascii="Calibri" w:eastAsia="Calibri" w:hAnsi="Calibri" w:cs="Calibri"/>
          <w:color w:val="000000" w:themeColor="text1"/>
          <w:lang w:val="es-US"/>
        </w:rPr>
        <w:t xml:space="preserve"> BJ, et al. </w:t>
      </w:r>
      <w:r w:rsidRPr="002B4AA3">
        <w:rPr>
          <w:rFonts w:ascii="Calibri" w:eastAsia="Calibri" w:hAnsi="Calibri" w:cs="Calibri"/>
          <w:color w:val="000000" w:themeColor="text1"/>
        </w:rPr>
        <w:t xml:space="preserve">Comparing Surgical Outcomes in Obese Women Undergoing Laparotomy, Laparoscopy, or Laparotomy with Panniculectomy for the Staging of Uterine Malignancy. </w:t>
      </w:r>
      <w:r w:rsidRPr="002B4AA3">
        <w:rPr>
          <w:rFonts w:ascii="Calibri" w:eastAsia="Calibri" w:hAnsi="Calibri" w:cs="Calibri"/>
          <w:i/>
          <w:iCs/>
          <w:color w:val="000000" w:themeColor="text1"/>
        </w:rPr>
        <w:t xml:space="preserve">Ann Surg Oncol. </w:t>
      </w:r>
      <w:r w:rsidRPr="002B4AA3">
        <w:rPr>
          <w:rFonts w:ascii="Calibri" w:eastAsia="Calibri" w:hAnsi="Calibri" w:cs="Calibri"/>
          <w:color w:val="000000" w:themeColor="text1"/>
        </w:rPr>
        <w:t>2007;</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14(8):</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2384-91.</w:t>
      </w:r>
    </w:p>
    <w:p w14:paraId="5C136A77" w14:textId="6043EDF2" w:rsidR="5911DA96" w:rsidRPr="002B4AA3" w:rsidRDefault="5911DA96" w:rsidP="002B4AA3">
      <w:pPr>
        <w:ind w:left="360"/>
        <w:rPr>
          <w:color w:val="000000" w:themeColor="text1"/>
        </w:rPr>
      </w:pPr>
      <w:proofErr w:type="spellStart"/>
      <w:r w:rsidRPr="002B4AA3">
        <w:rPr>
          <w:rFonts w:ascii="Calibri" w:eastAsia="Calibri" w:hAnsi="Calibri" w:cs="Calibri"/>
          <w:color w:val="000000" w:themeColor="text1"/>
        </w:rPr>
        <w:t>Gurunluoglu</w:t>
      </w:r>
      <w:proofErr w:type="spellEnd"/>
      <w:r w:rsidRPr="002B4AA3">
        <w:rPr>
          <w:rFonts w:ascii="Calibri" w:eastAsia="Calibri" w:hAnsi="Calibri" w:cs="Calibri"/>
          <w:color w:val="000000" w:themeColor="text1"/>
        </w:rPr>
        <w:t xml:space="preserve"> R, Williams SA, Johnson JL. A Classification System in the Massive Weight Loss Patient Based on Skin Lesions and Activity of Daily Living. </w:t>
      </w:r>
      <w:proofErr w:type="spellStart"/>
      <w:r w:rsidRPr="002B4AA3">
        <w:rPr>
          <w:rFonts w:ascii="Calibri" w:eastAsia="Calibri" w:hAnsi="Calibri" w:cs="Calibri"/>
          <w:i/>
          <w:iCs/>
          <w:color w:val="000000" w:themeColor="text1"/>
        </w:rPr>
        <w:t>Eplasty</w:t>
      </w:r>
      <w:proofErr w:type="spellEnd"/>
      <w:r w:rsidRPr="002B4AA3">
        <w:rPr>
          <w:rFonts w:ascii="Calibri" w:eastAsia="Calibri" w:hAnsi="Calibri" w:cs="Calibri"/>
          <w:i/>
          <w:iCs/>
          <w:color w:val="000000" w:themeColor="text1"/>
        </w:rPr>
        <w:t xml:space="preserve">. </w:t>
      </w:r>
      <w:r w:rsidRPr="002B4AA3">
        <w:rPr>
          <w:rFonts w:ascii="Calibri" w:eastAsia="Calibri" w:hAnsi="Calibri" w:cs="Calibri"/>
          <w:color w:val="000000" w:themeColor="text1"/>
        </w:rPr>
        <w:t>2012;</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12:</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111-125.</w:t>
      </w:r>
    </w:p>
    <w:p w14:paraId="1E9EC2E2" w14:textId="54893CB1" w:rsidR="5911DA96" w:rsidRPr="002B4AA3" w:rsidRDefault="5911DA96" w:rsidP="002B4AA3">
      <w:pPr>
        <w:ind w:left="360"/>
        <w:rPr>
          <w:color w:val="000000" w:themeColor="text1"/>
        </w:rPr>
      </w:pPr>
      <w:r w:rsidRPr="002B4AA3">
        <w:rPr>
          <w:rFonts w:ascii="Calibri" w:eastAsia="Calibri" w:hAnsi="Calibri" w:cs="Calibri"/>
          <w:color w:val="000000" w:themeColor="text1"/>
          <w:lang w:val="es-US"/>
        </w:rPr>
        <w:t xml:space="preserve">Hardy JE, Salgado CJ, Matthews MS, et al. </w:t>
      </w:r>
      <w:r w:rsidRPr="002B4AA3">
        <w:rPr>
          <w:rFonts w:ascii="Calibri" w:eastAsia="Calibri" w:hAnsi="Calibri" w:cs="Calibri"/>
          <w:color w:val="000000" w:themeColor="text1"/>
        </w:rPr>
        <w:t xml:space="preserve">The Safety of Pelvic Surgery in the Morbidly Obese With and Without Combined Panniculectomy: A Comparison of Results. </w:t>
      </w:r>
      <w:r w:rsidRPr="002B4AA3">
        <w:rPr>
          <w:rFonts w:ascii="Calibri" w:eastAsia="Calibri" w:hAnsi="Calibri" w:cs="Calibri"/>
          <w:i/>
          <w:iCs/>
          <w:color w:val="000000" w:themeColor="text1"/>
        </w:rPr>
        <w:t xml:space="preserve">Ann Plastic Surg. </w:t>
      </w:r>
      <w:r w:rsidRPr="002B4AA3">
        <w:rPr>
          <w:rFonts w:ascii="Calibri" w:eastAsia="Calibri" w:hAnsi="Calibri" w:cs="Calibri"/>
          <w:color w:val="000000" w:themeColor="text1"/>
        </w:rPr>
        <w:t>2008;</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60(1):</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10-3.</w:t>
      </w:r>
    </w:p>
    <w:p w14:paraId="7C07E72E" w14:textId="442DE3F3" w:rsidR="5911DA96" w:rsidRPr="002B4AA3" w:rsidRDefault="5911DA96" w:rsidP="002B4AA3">
      <w:pPr>
        <w:ind w:left="360"/>
        <w:rPr>
          <w:color w:val="000000" w:themeColor="text1"/>
        </w:rPr>
      </w:pPr>
      <w:proofErr w:type="spellStart"/>
      <w:r w:rsidRPr="002B4AA3">
        <w:rPr>
          <w:rFonts w:ascii="Calibri" w:eastAsia="Calibri" w:hAnsi="Calibri" w:cs="Calibri"/>
          <w:color w:val="000000" w:themeColor="text1"/>
        </w:rPr>
        <w:t>Janniger</w:t>
      </w:r>
      <w:proofErr w:type="spellEnd"/>
      <w:r w:rsidRPr="002B4AA3">
        <w:rPr>
          <w:rFonts w:ascii="Calibri" w:eastAsia="Calibri" w:hAnsi="Calibri" w:cs="Calibri"/>
          <w:color w:val="000000" w:themeColor="text1"/>
        </w:rPr>
        <w:t xml:space="preserve"> C, Schwartz RA, </w:t>
      </w:r>
      <w:proofErr w:type="spellStart"/>
      <w:r w:rsidRPr="002B4AA3">
        <w:rPr>
          <w:rFonts w:ascii="Calibri" w:eastAsia="Calibri" w:hAnsi="Calibri" w:cs="Calibri"/>
          <w:color w:val="000000" w:themeColor="text1"/>
        </w:rPr>
        <w:t>Szepietowski</w:t>
      </w:r>
      <w:proofErr w:type="spellEnd"/>
      <w:r w:rsidRPr="002B4AA3">
        <w:rPr>
          <w:rFonts w:ascii="Calibri" w:eastAsia="Calibri" w:hAnsi="Calibri" w:cs="Calibri"/>
          <w:color w:val="000000" w:themeColor="text1"/>
        </w:rPr>
        <w:t xml:space="preserve"> JC, Reich A. Intertrigo and Common Secondary Skin Infections. </w:t>
      </w:r>
      <w:r w:rsidRPr="002B4AA3">
        <w:rPr>
          <w:rFonts w:ascii="Calibri" w:eastAsia="Calibri" w:hAnsi="Calibri" w:cs="Calibri"/>
          <w:i/>
          <w:iCs/>
          <w:color w:val="000000" w:themeColor="text1"/>
        </w:rPr>
        <w:t xml:space="preserve">Am Fam Physician. </w:t>
      </w:r>
      <w:r w:rsidRPr="002B4AA3">
        <w:rPr>
          <w:rFonts w:ascii="Calibri" w:eastAsia="Calibri" w:hAnsi="Calibri" w:cs="Calibri"/>
          <w:color w:val="000000" w:themeColor="text1"/>
        </w:rPr>
        <w:t>2005;</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72:</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833-8.</w:t>
      </w:r>
    </w:p>
    <w:p w14:paraId="71CFB38F" w14:textId="13428D57" w:rsidR="5911DA96" w:rsidRPr="002B4AA3" w:rsidRDefault="5911DA96" w:rsidP="002B4AA3">
      <w:pPr>
        <w:ind w:left="360"/>
        <w:rPr>
          <w:color w:val="000000" w:themeColor="text1"/>
        </w:rPr>
      </w:pPr>
      <w:r w:rsidRPr="002B4AA3">
        <w:rPr>
          <w:rFonts w:ascii="Calibri" w:eastAsia="Calibri" w:hAnsi="Calibri" w:cs="Calibri"/>
          <w:color w:val="000000" w:themeColor="text1"/>
        </w:rPr>
        <w:t xml:space="preserve">Ki V, Rotstein C. Bacterial Skin and Soft Tissue Infections in Adults: A Review of their Epidemiology, Pathogenesis, Diagnosis, Treatment and Site of Care. </w:t>
      </w:r>
      <w:r w:rsidRPr="002B4AA3">
        <w:rPr>
          <w:rFonts w:ascii="Calibri" w:eastAsia="Calibri" w:hAnsi="Calibri" w:cs="Calibri"/>
          <w:i/>
          <w:iCs/>
          <w:color w:val="000000" w:themeColor="text1"/>
        </w:rPr>
        <w:t xml:space="preserve">Can J Infect Dis Med </w:t>
      </w:r>
      <w:proofErr w:type="spellStart"/>
      <w:r w:rsidRPr="002B4AA3">
        <w:rPr>
          <w:rFonts w:ascii="Calibri" w:eastAsia="Calibri" w:hAnsi="Calibri" w:cs="Calibri"/>
          <w:i/>
          <w:iCs/>
          <w:color w:val="000000" w:themeColor="text1"/>
        </w:rPr>
        <w:t>Microbiol</w:t>
      </w:r>
      <w:proofErr w:type="spellEnd"/>
      <w:r w:rsidRPr="002B4AA3">
        <w:rPr>
          <w:rFonts w:ascii="Calibri" w:eastAsia="Calibri" w:hAnsi="Calibri" w:cs="Calibri"/>
          <w:i/>
          <w:iCs/>
          <w:color w:val="000000" w:themeColor="text1"/>
        </w:rPr>
        <w:t xml:space="preserve">. </w:t>
      </w:r>
      <w:r w:rsidRPr="002B4AA3">
        <w:rPr>
          <w:rFonts w:ascii="Calibri" w:eastAsia="Calibri" w:hAnsi="Calibri" w:cs="Calibri"/>
          <w:color w:val="000000" w:themeColor="text1"/>
        </w:rPr>
        <w:t>2008;</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19(2):</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173-84.</w:t>
      </w:r>
    </w:p>
    <w:p w14:paraId="0EF64D06" w14:textId="3D296444" w:rsidR="4D1B6527" w:rsidRPr="0095026B" w:rsidRDefault="4D1B6527" w:rsidP="002B4AA3">
      <w:pPr>
        <w:ind w:left="360"/>
        <w:rPr>
          <w:rFonts w:eastAsiaTheme="minorEastAsia" w:cstheme="minorHAnsi"/>
          <w:color w:val="000000" w:themeColor="text1"/>
        </w:rPr>
      </w:pPr>
      <w:r w:rsidRPr="002B4AA3">
        <w:rPr>
          <w:rFonts w:eastAsia="system-ui" w:cstheme="minorHAnsi"/>
          <w:color w:val="212121"/>
        </w:rPr>
        <w:t xml:space="preserve">Mendes FH, Viterbo F. Defining "Weight Stability" for Post-Bariatric Body Contouring Procedures. </w:t>
      </w:r>
      <w:r w:rsidRPr="002B4AA3">
        <w:rPr>
          <w:rFonts w:eastAsia="system-ui" w:cstheme="minorHAnsi"/>
          <w:i/>
          <w:iCs/>
          <w:color w:val="212121"/>
        </w:rPr>
        <w:t xml:space="preserve">Aesthetic </w:t>
      </w:r>
      <w:proofErr w:type="spellStart"/>
      <w:r w:rsidRPr="002B4AA3">
        <w:rPr>
          <w:rFonts w:eastAsia="system-ui" w:cstheme="minorHAnsi"/>
          <w:i/>
          <w:iCs/>
          <w:color w:val="212121"/>
        </w:rPr>
        <w:t>Plast</w:t>
      </w:r>
      <w:proofErr w:type="spellEnd"/>
      <w:r w:rsidRPr="002B4AA3">
        <w:rPr>
          <w:rFonts w:eastAsia="system-ui" w:cstheme="minorHAnsi"/>
          <w:i/>
          <w:iCs/>
          <w:color w:val="212121"/>
        </w:rPr>
        <w:t xml:space="preserve"> Surg</w:t>
      </w:r>
      <w:r w:rsidRPr="002B4AA3">
        <w:rPr>
          <w:rFonts w:eastAsia="system-ui" w:cstheme="minorHAnsi"/>
          <w:color w:val="212121"/>
        </w:rPr>
        <w:t>. 2017;</w:t>
      </w:r>
      <w:r w:rsidR="00FB35C2">
        <w:rPr>
          <w:rFonts w:eastAsia="system-ui" w:cstheme="minorHAnsi"/>
          <w:color w:val="212121"/>
        </w:rPr>
        <w:t xml:space="preserve"> </w:t>
      </w:r>
      <w:r w:rsidRPr="002B4AA3">
        <w:rPr>
          <w:rFonts w:eastAsia="system-ui" w:cstheme="minorHAnsi"/>
          <w:color w:val="212121"/>
        </w:rPr>
        <w:t>41(4):</w:t>
      </w:r>
      <w:r w:rsidR="00FB35C2">
        <w:rPr>
          <w:rFonts w:eastAsia="system-ui" w:cstheme="minorHAnsi"/>
          <w:color w:val="212121"/>
        </w:rPr>
        <w:t xml:space="preserve"> </w:t>
      </w:r>
      <w:r w:rsidRPr="002B4AA3">
        <w:rPr>
          <w:rFonts w:eastAsia="system-ui" w:cstheme="minorHAnsi"/>
          <w:color w:val="212121"/>
        </w:rPr>
        <w:t xml:space="preserve">979-980. </w:t>
      </w:r>
      <w:proofErr w:type="spellStart"/>
      <w:r w:rsidRPr="002B4AA3">
        <w:rPr>
          <w:rFonts w:eastAsia="system-ui" w:cstheme="minorHAnsi"/>
          <w:color w:val="212121"/>
        </w:rPr>
        <w:t>doi</w:t>
      </w:r>
      <w:proofErr w:type="spellEnd"/>
      <w:r w:rsidRPr="002B4AA3">
        <w:rPr>
          <w:rFonts w:eastAsia="system-ui" w:cstheme="minorHAnsi"/>
          <w:color w:val="212121"/>
        </w:rPr>
        <w:t>:</w:t>
      </w:r>
      <w:r w:rsidR="00FB35C2">
        <w:rPr>
          <w:rFonts w:eastAsia="system-ui" w:cstheme="minorHAnsi"/>
          <w:color w:val="212121"/>
        </w:rPr>
        <w:t xml:space="preserve"> </w:t>
      </w:r>
      <w:r w:rsidRPr="002B4AA3">
        <w:rPr>
          <w:rFonts w:eastAsia="system-ui" w:cstheme="minorHAnsi"/>
          <w:color w:val="212121"/>
        </w:rPr>
        <w:t>10.1007/s00266-017-0800-8</w:t>
      </w:r>
      <w:r w:rsidR="00FB35C2">
        <w:rPr>
          <w:rFonts w:eastAsia="system-ui" w:cstheme="minorHAnsi"/>
          <w:color w:val="212121"/>
        </w:rPr>
        <w:t>.</w:t>
      </w:r>
    </w:p>
    <w:p w14:paraId="34B056A1" w14:textId="65E92B27" w:rsidR="2C8689F9" w:rsidRPr="002B4AA3" w:rsidRDefault="2C8689F9" w:rsidP="002B4AA3">
      <w:pPr>
        <w:ind w:left="360"/>
        <w:rPr>
          <w:rFonts w:eastAsiaTheme="minorEastAsia" w:cstheme="minorHAnsi"/>
          <w:color w:val="212121"/>
        </w:rPr>
      </w:pPr>
      <w:proofErr w:type="spellStart"/>
      <w:r w:rsidRPr="002B4AA3">
        <w:rPr>
          <w:rFonts w:eastAsia="system-ui" w:cstheme="minorHAnsi"/>
          <w:color w:val="212121"/>
          <w:lang w:val="es-US"/>
        </w:rPr>
        <w:t>Mento</w:t>
      </w:r>
      <w:proofErr w:type="spellEnd"/>
      <w:r w:rsidRPr="002B4AA3">
        <w:rPr>
          <w:rFonts w:eastAsia="system-ui" w:cstheme="minorHAnsi"/>
          <w:color w:val="212121"/>
          <w:lang w:val="es-US"/>
        </w:rPr>
        <w:t xml:space="preserve"> C, Silvestri MC, </w:t>
      </w:r>
      <w:proofErr w:type="spellStart"/>
      <w:r w:rsidRPr="002B4AA3">
        <w:rPr>
          <w:rFonts w:eastAsia="system-ui" w:cstheme="minorHAnsi"/>
          <w:color w:val="212121"/>
          <w:lang w:val="es-US"/>
        </w:rPr>
        <w:t>Muscatello</w:t>
      </w:r>
      <w:proofErr w:type="spellEnd"/>
      <w:r w:rsidRPr="002B4AA3">
        <w:rPr>
          <w:rFonts w:eastAsia="system-ui" w:cstheme="minorHAnsi"/>
          <w:color w:val="212121"/>
          <w:lang w:val="es-US"/>
        </w:rPr>
        <w:t xml:space="preserve"> MRA, et al. </w:t>
      </w:r>
      <w:r w:rsidRPr="002B4AA3">
        <w:rPr>
          <w:rFonts w:eastAsia="system-ui" w:cstheme="minorHAnsi"/>
          <w:color w:val="212121"/>
        </w:rPr>
        <w:t xml:space="preserve">The role of body image in obese identity changes post bariatric surgery. </w:t>
      </w:r>
      <w:r w:rsidRPr="002B4AA3">
        <w:rPr>
          <w:rFonts w:eastAsia="system-ui" w:cstheme="minorHAnsi"/>
          <w:i/>
          <w:iCs/>
          <w:color w:val="212121"/>
        </w:rPr>
        <w:t xml:space="preserve">Eat Weight </w:t>
      </w:r>
      <w:proofErr w:type="spellStart"/>
      <w:r w:rsidRPr="002B4AA3">
        <w:rPr>
          <w:rFonts w:eastAsia="system-ui" w:cstheme="minorHAnsi"/>
          <w:i/>
          <w:iCs/>
          <w:color w:val="212121"/>
        </w:rPr>
        <w:t>Disord</w:t>
      </w:r>
      <w:proofErr w:type="spellEnd"/>
      <w:r w:rsidRPr="002B4AA3">
        <w:rPr>
          <w:rFonts w:eastAsia="system-ui" w:cstheme="minorHAnsi"/>
          <w:color w:val="212121"/>
        </w:rPr>
        <w:t>. 2022;</w:t>
      </w:r>
      <w:r w:rsidR="00FB35C2">
        <w:rPr>
          <w:rFonts w:eastAsia="system-ui" w:cstheme="minorHAnsi"/>
          <w:color w:val="212121"/>
        </w:rPr>
        <w:t xml:space="preserve"> </w:t>
      </w:r>
      <w:r w:rsidRPr="002B4AA3">
        <w:rPr>
          <w:rFonts w:eastAsia="system-ui" w:cstheme="minorHAnsi"/>
          <w:color w:val="212121"/>
        </w:rPr>
        <w:t>27(4):</w:t>
      </w:r>
      <w:r w:rsidR="00FB35C2">
        <w:rPr>
          <w:rFonts w:eastAsia="system-ui" w:cstheme="minorHAnsi"/>
          <w:color w:val="212121"/>
        </w:rPr>
        <w:t xml:space="preserve"> </w:t>
      </w:r>
      <w:r w:rsidRPr="002B4AA3">
        <w:rPr>
          <w:rFonts w:eastAsia="system-ui" w:cstheme="minorHAnsi"/>
          <w:color w:val="212121"/>
        </w:rPr>
        <w:t xml:space="preserve">1269-1278. </w:t>
      </w:r>
      <w:proofErr w:type="spellStart"/>
      <w:r w:rsidRPr="002B4AA3">
        <w:rPr>
          <w:rFonts w:eastAsia="system-ui" w:cstheme="minorHAnsi"/>
          <w:color w:val="212121"/>
        </w:rPr>
        <w:t>doi</w:t>
      </w:r>
      <w:proofErr w:type="spellEnd"/>
      <w:r w:rsidRPr="002B4AA3">
        <w:rPr>
          <w:rFonts w:eastAsia="system-ui" w:cstheme="minorHAnsi"/>
          <w:color w:val="212121"/>
        </w:rPr>
        <w:t>:</w:t>
      </w:r>
      <w:r w:rsidR="00FB35C2">
        <w:rPr>
          <w:rFonts w:eastAsia="system-ui" w:cstheme="minorHAnsi"/>
          <w:color w:val="212121"/>
        </w:rPr>
        <w:t xml:space="preserve"> </w:t>
      </w:r>
      <w:r w:rsidRPr="002B4AA3">
        <w:rPr>
          <w:rFonts w:eastAsia="system-ui" w:cstheme="minorHAnsi"/>
          <w:color w:val="212121"/>
        </w:rPr>
        <w:t>10.1007/s40519-021-01270-w</w:t>
      </w:r>
      <w:r w:rsidR="00FB35C2">
        <w:rPr>
          <w:rFonts w:eastAsia="system-ui" w:cstheme="minorHAnsi"/>
          <w:color w:val="212121"/>
        </w:rPr>
        <w:t>.</w:t>
      </w:r>
    </w:p>
    <w:p w14:paraId="7893DBAE" w14:textId="0B41EF59" w:rsidR="5911DA96" w:rsidRPr="002B4AA3" w:rsidRDefault="5911DA96" w:rsidP="002B4AA3">
      <w:pPr>
        <w:ind w:left="360"/>
        <w:rPr>
          <w:rFonts w:cstheme="minorHAnsi"/>
          <w:color w:val="000000" w:themeColor="text1"/>
        </w:rPr>
      </w:pPr>
      <w:proofErr w:type="spellStart"/>
      <w:r w:rsidRPr="002B4AA3">
        <w:rPr>
          <w:rFonts w:eastAsia="Calibri" w:cstheme="minorHAnsi"/>
          <w:color w:val="000000" w:themeColor="text1"/>
        </w:rPr>
        <w:t>Mistiaen</w:t>
      </w:r>
      <w:proofErr w:type="spellEnd"/>
      <w:r w:rsidRPr="002B4AA3">
        <w:rPr>
          <w:rFonts w:eastAsia="Calibri" w:cstheme="minorHAnsi"/>
          <w:color w:val="000000" w:themeColor="text1"/>
        </w:rPr>
        <w:t xml:space="preserve"> P, van Halm-Walters M. Prevention and Treatment of Intertrigo in Large Skin Folds of Adults: A Systematic Review. </w:t>
      </w:r>
      <w:r w:rsidRPr="002B4AA3">
        <w:rPr>
          <w:rFonts w:eastAsia="Calibri" w:cstheme="minorHAnsi"/>
          <w:i/>
          <w:iCs/>
          <w:color w:val="000000" w:themeColor="text1"/>
        </w:rPr>
        <w:t xml:space="preserve">BMC Nursing. </w:t>
      </w:r>
      <w:r w:rsidRPr="002B4AA3">
        <w:rPr>
          <w:rFonts w:eastAsia="Calibri" w:cstheme="minorHAnsi"/>
          <w:color w:val="000000" w:themeColor="text1"/>
        </w:rPr>
        <w:t>2010;</w:t>
      </w:r>
      <w:r w:rsidR="00FB35C2">
        <w:rPr>
          <w:rFonts w:eastAsia="Calibri" w:cstheme="minorHAnsi"/>
          <w:color w:val="000000" w:themeColor="text1"/>
        </w:rPr>
        <w:t xml:space="preserve"> </w:t>
      </w:r>
      <w:r w:rsidRPr="002B4AA3">
        <w:rPr>
          <w:rFonts w:eastAsia="Calibri" w:cstheme="minorHAnsi"/>
          <w:color w:val="000000" w:themeColor="text1"/>
        </w:rPr>
        <w:t>9:</w:t>
      </w:r>
      <w:r w:rsidR="00FB35C2">
        <w:rPr>
          <w:rFonts w:eastAsia="Calibri" w:cstheme="minorHAnsi"/>
          <w:color w:val="000000" w:themeColor="text1"/>
        </w:rPr>
        <w:t xml:space="preserve"> </w:t>
      </w:r>
      <w:r w:rsidRPr="002B4AA3">
        <w:rPr>
          <w:rFonts w:eastAsia="Calibri" w:cstheme="minorHAnsi"/>
          <w:color w:val="000000" w:themeColor="text1"/>
        </w:rPr>
        <w:t>12.</w:t>
      </w:r>
    </w:p>
    <w:p w14:paraId="3F5E37CA" w14:textId="70AB6ABD" w:rsidR="15DC7F77" w:rsidRPr="0095026B" w:rsidRDefault="76535353" w:rsidP="002B4AA3">
      <w:pPr>
        <w:ind w:left="360"/>
        <w:rPr>
          <w:rFonts w:cstheme="minorHAnsi"/>
          <w:color w:val="000000" w:themeColor="text1"/>
        </w:rPr>
      </w:pPr>
      <w:proofErr w:type="spellStart"/>
      <w:r w:rsidRPr="002B4AA3">
        <w:rPr>
          <w:rFonts w:eastAsia="system-ui" w:cstheme="minorHAnsi"/>
          <w:color w:val="212121"/>
          <w:lang w:val="es-US"/>
        </w:rPr>
        <w:t>Ngaage</w:t>
      </w:r>
      <w:proofErr w:type="spellEnd"/>
      <w:r w:rsidRPr="002B4AA3">
        <w:rPr>
          <w:rFonts w:eastAsia="system-ui" w:cstheme="minorHAnsi"/>
          <w:color w:val="212121"/>
          <w:lang w:val="es-US"/>
        </w:rPr>
        <w:t xml:space="preserve"> LM, </w:t>
      </w:r>
      <w:proofErr w:type="spellStart"/>
      <w:r w:rsidRPr="002B4AA3">
        <w:rPr>
          <w:rFonts w:eastAsia="system-ui" w:cstheme="minorHAnsi"/>
          <w:color w:val="212121"/>
          <w:lang w:val="es-US"/>
        </w:rPr>
        <w:t>Elegbede</w:t>
      </w:r>
      <w:proofErr w:type="spellEnd"/>
      <w:r w:rsidRPr="002B4AA3">
        <w:rPr>
          <w:rFonts w:eastAsia="system-ui" w:cstheme="minorHAnsi"/>
          <w:color w:val="212121"/>
          <w:lang w:val="es-US"/>
        </w:rPr>
        <w:t xml:space="preserve"> A, Pace L, et al. </w:t>
      </w:r>
      <w:r w:rsidRPr="002B4AA3">
        <w:rPr>
          <w:rFonts w:eastAsia="system-ui" w:cstheme="minorHAnsi"/>
          <w:color w:val="212121"/>
        </w:rPr>
        <w:t xml:space="preserve">Review of Insurance Coverage for Abdominal Contouring Procedures in the </w:t>
      </w:r>
      <w:proofErr w:type="spellStart"/>
      <w:r w:rsidRPr="002B4AA3">
        <w:rPr>
          <w:rFonts w:eastAsia="system-ui" w:cstheme="minorHAnsi"/>
          <w:color w:val="212121"/>
        </w:rPr>
        <w:t>Postbariatric</w:t>
      </w:r>
      <w:proofErr w:type="spellEnd"/>
      <w:r w:rsidRPr="002B4AA3">
        <w:rPr>
          <w:rFonts w:eastAsia="system-ui" w:cstheme="minorHAnsi"/>
          <w:color w:val="212121"/>
        </w:rPr>
        <w:t xml:space="preserve"> Population. </w:t>
      </w:r>
      <w:proofErr w:type="spellStart"/>
      <w:r w:rsidRPr="002B4AA3">
        <w:rPr>
          <w:rFonts w:eastAsia="system-ui" w:cstheme="minorHAnsi"/>
          <w:i/>
          <w:iCs/>
          <w:color w:val="212121"/>
        </w:rPr>
        <w:t>Plast</w:t>
      </w:r>
      <w:proofErr w:type="spellEnd"/>
      <w:r w:rsidRPr="002B4AA3">
        <w:rPr>
          <w:rFonts w:eastAsia="system-ui" w:cstheme="minorHAnsi"/>
          <w:i/>
          <w:iCs/>
          <w:color w:val="212121"/>
        </w:rPr>
        <w:t xml:space="preserve"> </w:t>
      </w:r>
      <w:proofErr w:type="spellStart"/>
      <w:r w:rsidRPr="002B4AA3">
        <w:rPr>
          <w:rFonts w:eastAsia="system-ui" w:cstheme="minorHAnsi"/>
          <w:i/>
          <w:iCs/>
          <w:color w:val="212121"/>
        </w:rPr>
        <w:t>Reconstr</w:t>
      </w:r>
      <w:proofErr w:type="spellEnd"/>
      <w:r w:rsidRPr="002B4AA3">
        <w:rPr>
          <w:rFonts w:eastAsia="system-ui" w:cstheme="minorHAnsi"/>
          <w:i/>
          <w:iCs/>
          <w:color w:val="212121"/>
        </w:rPr>
        <w:t xml:space="preserve"> Surg</w:t>
      </w:r>
      <w:r w:rsidRPr="002B4AA3">
        <w:rPr>
          <w:rFonts w:eastAsia="system-ui" w:cstheme="minorHAnsi"/>
          <w:color w:val="212121"/>
        </w:rPr>
        <w:t>. 2020;</w:t>
      </w:r>
      <w:r w:rsidR="00FB35C2">
        <w:rPr>
          <w:rFonts w:eastAsia="system-ui" w:cstheme="minorHAnsi"/>
          <w:color w:val="212121"/>
        </w:rPr>
        <w:t xml:space="preserve"> </w:t>
      </w:r>
      <w:r w:rsidRPr="002B4AA3">
        <w:rPr>
          <w:rFonts w:eastAsia="system-ui" w:cstheme="minorHAnsi"/>
          <w:color w:val="212121"/>
        </w:rPr>
        <w:t>145(2):</w:t>
      </w:r>
      <w:r w:rsidR="00FB35C2">
        <w:rPr>
          <w:rFonts w:eastAsia="system-ui" w:cstheme="minorHAnsi"/>
          <w:color w:val="212121"/>
        </w:rPr>
        <w:t xml:space="preserve"> </w:t>
      </w:r>
      <w:r w:rsidRPr="002B4AA3">
        <w:rPr>
          <w:rFonts w:eastAsia="system-ui" w:cstheme="minorHAnsi"/>
          <w:color w:val="212121"/>
        </w:rPr>
        <w:t>545-554. doi:10.1097/PRS.0000000000006513</w:t>
      </w:r>
      <w:r w:rsidR="00FB35C2">
        <w:rPr>
          <w:rFonts w:eastAsia="system-ui" w:cstheme="minorHAnsi"/>
          <w:color w:val="212121"/>
        </w:rPr>
        <w:t>.</w:t>
      </w:r>
    </w:p>
    <w:p w14:paraId="7FB46E95" w14:textId="35DE8C7A" w:rsidR="5911DA96" w:rsidRPr="002B4AA3" w:rsidRDefault="5911DA96" w:rsidP="002B4AA3">
      <w:pPr>
        <w:ind w:left="360"/>
        <w:rPr>
          <w:rFonts w:cstheme="minorHAnsi"/>
          <w:color w:val="000000" w:themeColor="text1"/>
        </w:rPr>
      </w:pPr>
      <w:proofErr w:type="spellStart"/>
      <w:r w:rsidRPr="002B4AA3">
        <w:rPr>
          <w:rFonts w:eastAsia="Calibri" w:cstheme="minorHAnsi"/>
          <w:color w:val="000000" w:themeColor="text1"/>
          <w:lang w:val="es-US"/>
        </w:rPr>
        <w:lastRenderedPageBreak/>
        <w:t>Pappas</w:t>
      </w:r>
      <w:proofErr w:type="spellEnd"/>
      <w:r w:rsidRPr="002B4AA3">
        <w:rPr>
          <w:rFonts w:eastAsia="Calibri" w:cstheme="minorHAnsi"/>
          <w:color w:val="000000" w:themeColor="text1"/>
          <w:lang w:val="es-US"/>
        </w:rPr>
        <w:t xml:space="preserve"> PG, Kauffman CA, Andes D, et al. </w:t>
      </w:r>
      <w:r w:rsidRPr="002B4AA3">
        <w:rPr>
          <w:rFonts w:eastAsia="Calibri" w:cstheme="minorHAnsi"/>
          <w:color w:val="000000" w:themeColor="text1"/>
        </w:rPr>
        <w:t xml:space="preserve">Clinical Practice Guidelines for the Management of Candidiasis: 2009 Update by the Infectious Diseases Society of America (ISDA Guidelines). </w:t>
      </w:r>
      <w:r w:rsidRPr="002B4AA3">
        <w:rPr>
          <w:rFonts w:eastAsia="Calibri" w:cstheme="minorHAnsi"/>
          <w:i/>
          <w:iCs/>
          <w:color w:val="000000" w:themeColor="text1"/>
        </w:rPr>
        <w:t xml:space="preserve">CID. </w:t>
      </w:r>
      <w:r w:rsidRPr="002B4AA3">
        <w:rPr>
          <w:rFonts w:eastAsia="Calibri" w:cstheme="minorHAnsi"/>
          <w:color w:val="000000" w:themeColor="text1"/>
        </w:rPr>
        <w:t>2009;</w:t>
      </w:r>
      <w:r w:rsidR="00FB35C2">
        <w:rPr>
          <w:rFonts w:eastAsia="Calibri" w:cstheme="minorHAnsi"/>
          <w:color w:val="000000" w:themeColor="text1"/>
        </w:rPr>
        <w:t xml:space="preserve"> </w:t>
      </w:r>
      <w:r w:rsidRPr="002B4AA3">
        <w:rPr>
          <w:rFonts w:eastAsia="Calibri" w:cstheme="minorHAnsi"/>
          <w:color w:val="000000" w:themeColor="text1"/>
        </w:rPr>
        <w:t>48:</w:t>
      </w:r>
      <w:r w:rsidR="00FB35C2">
        <w:rPr>
          <w:rFonts w:eastAsia="Calibri" w:cstheme="minorHAnsi"/>
          <w:color w:val="000000" w:themeColor="text1"/>
        </w:rPr>
        <w:t xml:space="preserve"> </w:t>
      </w:r>
      <w:r w:rsidRPr="002B4AA3">
        <w:rPr>
          <w:rFonts w:eastAsia="Calibri" w:cstheme="minorHAnsi"/>
          <w:color w:val="000000" w:themeColor="text1"/>
        </w:rPr>
        <w:t>503-35.</w:t>
      </w:r>
    </w:p>
    <w:p w14:paraId="44AE45A4" w14:textId="219D3B89" w:rsidR="5911DA96" w:rsidRPr="002B4AA3" w:rsidRDefault="5911DA96" w:rsidP="002B4AA3">
      <w:pPr>
        <w:ind w:left="360"/>
        <w:rPr>
          <w:rFonts w:cstheme="minorHAnsi"/>
          <w:color w:val="000000" w:themeColor="text1"/>
        </w:rPr>
      </w:pPr>
      <w:r w:rsidRPr="002B4AA3">
        <w:rPr>
          <w:rFonts w:eastAsia="Calibri" w:cstheme="minorHAnsi"/>
          <w:color w:val="000000" w:themeColor="text1"/>
        </w:rPr>
        <w:t xml:space="preserve">Reid RR, </w:t>
      </w:r>
      <w:proofErr w:type="spellStart"/>
      <w:r w:rsidRPr="002B4AA3">
        <w:rPr>
          <w:rFonts w:eastAsia="Calibri" w:cstheme="minorHAnsi"/>
          <w:color w:val="000000" w:themeColor="text1"/>
        </w:rPr>
        <w:t>Dumanian</w:t>
      </w:r>
      <w:proofErr w:type="spellEnd"/>
      <w:r w:rsidRPr="002B4AA3">
        <w:rPr>
          <w:rFonts w:eastAsia="Calibri" w:cstheme="minorHAnsi"/>
          <w:color w:val="000000" w:themeColor="text1"/>
        </w:rPr>
        <w:t xml:space="preserve"> GA. Panniculectomy and the Separation-of-Parts Hernia Repair: A Solution for the Large Infraumbilical Hernia in the Obese Patient. </w:t>
      </w:r>
      <w:r w:rsidRPr="002B4AA3">
        <w:rPr>
          <w:rFonts w:eastAsia="Calibri" w:cstheme="minorHAnsi"/>
          <w:i/>
          <w:iCs/>
          <w:color w:val="000000" w:themeColor="text1"/>
        </w:rPr>
        <w:t xml:space="preserve">Plastic and Reconstructive Surgery. </w:t>
      </w:r>
      <w:r w:rsidRPr="002B4AA3">
        <w:rPr>
          <w:rFonts w:eastAsia="Calibri" w:cstheme="minorHAnsi"/>
          <w:color w:val="000000" w:themeColor="text1"/>
        </w:rPr>
        <w:t>2004;</w:t>
      </w:r>
      <w:r w:rsidR="00FB35C2">
        <w:rPr>
          <w:rFonts w:eastAsia="Calibri" w:cstheme="minorHAnsi"/>
          <w:color w:val="000000" w:themeColor="text1"/>
        </w:rPr>
        <w:t xml:space="preserve"> </w:t>
      </w:r>
      <w:r w:rsidRPr="002B4AA3">
        <w:rPr>
          <w:rFonts w:eastAsia="Calibri" w:cstheme="minorHAnsi"/>
          <w:color w:val="000000" w:themeColor="text1"/>
        </w:rPr>
        <w:t>116,4:</w:t>
      </w:r>
      <w:r w:rsidR="00FB35C2">
        <w:rPr>
          <w:rFonts w:eastAsia="Calibri" w:cstheme="minorHAnsi"/>
          <w:color w:val="000000" w:themeColor="text1"/>
        </w:rPr>
        <w:t xml:space="preserve"> </w:t>
      </w:r>
      <w:r w:rsidRPr="002B4AA3">
        <w:rPr>
          <w:rFonts w:eastAsia="Calibri" w:cstheme="minorHAnsi"/>
          <w:color w:val="000000" w:themeColor="text1"/>
        </w:rPr>
        <w:t>1006- 1012.</w:t>
      </w:r>
    </w:p>
    <w:p w14:paraId="2BC8E624" w14:textId="0AD07437" w:rsidR="35951CE0" w:rsidRPr="0095026B" w:rsidRDefault="35951CE0" w:rsidP="002B4AA3">
      <w:pPr>
        <w:ind w:left="360"/>
        <w:rPr>
          <w:rFonts w:eastAsiaTheme="minorEastAsia" w:cstheme="minorHAnsi"/>
          <w:color w:val="000000" w:themeColor="text1"/>
        </w:rPr>
      </w:pPr>
      <w:r w:rsidRPr="002B4AA3">
        <w:rPr>
          <w:rFonts w:eastAsia="system-ui" w:cstheme="minorHAnsi"/>
          <w:color w:val="212121"/>
          <w:lang w:val="es-US"/>
        </w:rPr>
        <w:t xml:space="preserve">Rosa SC, Macedo JLS, Canedo LR, </w:t>
      </w:r>
      <w:proofErr w:type="spellStart"/>
      <w:r w:rsidRPr="002B4AA3">
        <w:rPr>
          <w:rFonts w:eastAsia="system-ui" w:cstheme="minorHAnsi"/>
          <w:color w:val="212121"/>
          <w:lang w:val="es-US"/>
        </w:rPr>
        <w:t>Casulari</w:t>
      </w:r>
      <w:proofErr w:type="spellEnd"/>
      <w:r w:rsidRPr="002B4AA3">
        <w:rPr>
          <w:rFonts w:eastAsia="system-ui" w:cstheme="minorHAnsi"/>
          <w:color w:val="212121"/>
          <w:lang w:val="es-US"/>
        </w:rPr>
        <w:t xml:space="preserve"> LA. </w:t>
      </w:r>
      <w:r w:rsidRPr="002B4AA3">
        <w:rPr>
          <w:rFonts w:eastAsia="system-ui" w:cstheme="minorHAnsi"/>
          <w:color w:val="212121"/>
        </w:rPr>
        <w:t xml:space="preserve">Quality of life and predictive factors for complications in patients undergoing abdominoplasty after gastric bypass: A retrospective cohort. </w:t>
      </w:r>
      <w:r w:rsidRPr="002B4AA3">
        <w:rPr>
          <w:rFonts w:eastAsia="system-ui" w:cstheme="minorHAnsi"/>
          <w:i/>
          <w:iCs/>
          <w:color w:val="212121"/>
        </w:rPr>
        <w:t xml:space="preserve">Surg </w:t>
      </w:r>
      <w:proofErr w:type="spellStart"/>
      <w:r w:rsidRPr="002B4AA3">
        <w:rPr>
          <w:rFonts w:eastAsia="system-ui" w:cstheme="minorHAnsi"/>
          <w:i/>
          <w:iCs/>
          <w:color w:val="212121"/>
        </w:rPr>
        <w:t>Obes</w:t>
      </w:r>
      <w:proofErr w:type="spellEnd"/>
      <w:r w:rsidRPr="002B4AA3">
        <w:rPr>
          <w:rFonts w:eastAsia="system-ui" w:cstheme="minorHAnsi"/>
          <w:i/>
          <w:iCs/>
          <w:color w:val="212121"/>
        </w:rPr>
        <w:t xml:space="preserve"> </w:t>
      </w:r>
      <w:proofErr w:type="spellStart"/>
      <w:r w:rsidRPr="002B4AA3">
        <w:rPr>
          <w:rFonts w:eastAsia="system-ui" w:cstheme="minorHAnsi"/>
          <w:i/>
          <w:iCs/>
          <w:color w:val="212121"/>
        </w:rPr>
        <w:t>Relat</w:t>
      </w:r>
      <w:proofErr w:type="spellEnd"/>
      <w:r w:rsidRPr="002B4AA3">
        <w:rPr>
          <w:rFonts w:eastAsia="system-ui" w:cstheme="minorHAnsi"/>
          <w:i/>
          <w:iCs/>
          <w:color w:val="212121"/>
        </w:rPr>
        <w:t xml:space="preserve"> Dis</w:t>
      </w:r>
      <w:r w:rsidRPr="002B4AA3">
        <w:rPr>
          <w:rFonts w:eastAsia="system-ui" w:cstheme="minorHAnsi"/>
          <w:color w:val="212121"/>
        </w:rPr>
        <w:t>. 2019;</w:t>
      </w:r>
      <w:r w:rsidR="00FB35C2">
        <w:rPr>
          <w:rFonts w:eastAsia="system-ui" w:cstheme="minorHAnsi"/>
          <w:color w:val="212121"/>
        </w:rPr>
        <w:t xml:space="preserve"> </w:t>
      </w:r>
      <w:r w:rsidRPr="002B4AA3">
        <w:rPr>
          <w:rFonts w:eastAsia="system-ui" w:cstheme="minorHAnsi"/>
          <w:color w:val="212121"/>
        </w:rPr>
        <w:t>15(3):</w:t>
      </w:r>
      <w:r w:rsidR="00FB35C2">
        <w:rPr>
          <w:rFonts w:eastAsia="system-ui" w:cstheme="minorHAnsi"/>
          <w:color w:val="212121"/>
        </w:rPr>
        <w:t xml:space="preserve"> </w:t>
      </w:r>
      <w:r w:rsidRPr="002B4AA3">
        <w:rPr>
          <w:rFonts w:eastAsia="system-ui" w:cstheme="minorHAnsi"/>
          <w:color w:val="212121"/>
        </w:rPr>
        <w:t xml:space="preserve">447-455. </w:t>
      </w:r>
      <w:proofErr w:type="spellStart"/>
      <w:r w:rsidRPr="002B4AA3">
        <w:rPr>
          <w:rFonts w:eastAsia="system-ui" w:cstheme="minorHAnsi"/>
          <w:color w:val="212121"/>
        </w:rPr>
        <w:t>doi</w:t>
      </w:r>
      <w:proofErr w:type="spellEnd"/>
      <w:r w:rsidRPr="002B4AA3">
        <w:rPr>
          <w:rFonts w:eastAsia="system-ui" w:cstheme="minorHAnsi"/>
          <w:color w:val="212121"/>
        </w:rPr>
        <w:t>:</w:t>
      </w:r>
      <w:r w:rsidR="00FB35C2">
        <w:rPr>
          <w:rFonts w:eastAsia="system-ui" w:cstheme="minorHAnsi"/>
          <w:color w:val="212121"/>
        </w:rPr>
        <w:t xml:space="preserve"> </w:t>
      </w:r>
      <w:r w:rsidRPr="002B4AA3">
        <w:rPr>
          <w:rFonts w:eastAsia="system-ui" w:cstheme="minorHAnsi"/>
          <w:color w:val="212121"/>
        </w:rPr>
        <w:t>10.1016/j.soard.2018.12.034</w:t>
      </w:r>
      <w:r w:rsidR="00FB35C2">
        <w:rPr>
          <w:rFonts w:eastAsia="system-ui" w:cstheme="minorHAnsi"/>
          <w:color w:val="212121"/>
        </w:rPr>
        <w:t>.</w:t>
      </w:r>
    </w:p>
    <w:p w14:paraId="600A7CFB" w14:textId="001C1528" w:rsidR="5911DA96" w:rsidRPr="002B4AA3" w:rsidRDefault="5911DA96" w:rsidP="002B4AA3">
      <w:pPr>
        <w:ind w:left="360"/>
        <w:rPr>
          <w:color w:val="000000" w:themeColor="text1"/>
        </w:rPr>
      </w:pPr>
      <w:proofErr w:type="spellStart"/>
      <w:r w:rsidRPr="002B4AA3">
        <w:rPr>
          <w:rFonts w:ascii="Calibri" w:eastAsia="Calibri" w:hAnsi="Calibri" w:cs="Calibri"/>
          <w:color w:val="000000" w:themeColor="text1"/>
        </w:rPr>
        <w:t>Shermak</w:t>
      </w:r>
      <w:proofErr w:type="spellEnd"/>
      <w:r w:rsidRPr="002B4AA3">
        <w:rPr>
          <w:rFonts w:ascii="Calibri" w:eastAsia="Calibri" w:hAnsi="Calibri" w:cs="Calibri"/>
          <w:color w:val="000000" w:themeColor="text1"/>
        </w:rPr>
        <w:t xml:space="preserve"> MA, Chang D, Magnuson TH, and Schweitzer, MA. An Outcomes Analysis of Patients Undergoing Body Contouring Surgery after Massive Weight Loss. </w:t>
      </w:r>
      <w:proofErr w:type="spellStart"/>
      <w:r w:rsidRPr="002B4AA3">
        <w:rPr>
          <w:rFonts w:ascii="Calibri" w:eastAsia="Calibri" w:hAnsi="Calibri" w:cs="Calibri"/>
          <w:i/>
          <w:iCs/>
          <w:color w:val="000000" w:themeColor="text1"/>
        </w:rPr>
        <w:t>Plast</w:t>
      </w:r>
      <w:proofErr w:type="spellEnd"/>
      <w:r w:rsidRPr="002B4AA3">
        <w:rPr>
          <w:rFonts w:ascii="Calibri" w:eastAsia="Calibri" w:hAnsi="Calibri" w:cs="Calibri"/>
          <w:i/>
          <w:iCs/>
          <w:color w:val="000000" w:themeColor="text1"/>
        </w:rPr>
        <w:t xml:space="preserve"> </w:t>
      </w:r>
      <w:proofErr w:type="spellStart"/>
      <w:r w:rsidRPr="002B4AA3">
        <w:rPr>
          <w:rFonts w:ascii="Calibri" w:eastAsia="Calibri" w:hAnsi="Calibri" w:cs="Calibri"/>
          <w:i/>
          <w:iCs/>
          <w:color w:val="000000" w:themeColor="text1"/>
        </w:rPr>
        <w:t>Reconstr</w:t>
      </w:r>
      <w:proofErr w:type="spellEnd"/>
      <w:r w:rsidRPr="002B4AA3">
        <w:rPr>
          <w:rFonts w:ascii="Calibri" w:eastAsia="Calibri" w:hAnsi="Calibri" w:cs="Calibri"/>
          <w:i/>
          <w:iCs/>
          <w:color w:val="000000" w:themeColor="text1"/>
        </w:rPr>
        <w:t xml:space="preserve"> Surg. </w:t>
      </w:r>
      <w:r w:rsidRPr="002B4AA3">
        <w:rPr>
          <w:rFonts w:ascii="Calibri" w:eastAsia="Calibri" w:hAnsi="Calibri" w:cs="Calibri"/>
          <w:color w:val="000000" w:themeColor="text1"/>
        </w:rPr>
        <w:t>2006;</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118:</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1026- 31.</w:t>
      </w:r>
    </w:p>
    <w:p w14:paraId="746AA569" w14:textId="36272A80" w:rsidR="5911DA96" w:rsidRPr="002B4AA3" w:rsidRDefault="5911DA96" w:rsidP="002B4AA3">
      <w:pPr>
        <w:ind w:left="360"/>
        <w:rPr>
          <w:color w:val="000000" w:themeColor="text1"/>
        </w:rPr>
      </w:pPr>
      <w:r w:rsidRPr="002B4AA3">
        <w:rPr>
          <w:rFonts w:ascii="Calibri" w:eastAsia="Calibri" w:hAnsi="Calibri" w:cs="Calibri"/>
          <w:color w:val="000000" w:themeColor="text1"/>
        </w:rPr>
        <w:t xml:space="preserve">Singh S, </w:t>
      </w:r>
      <w:proofErr w:type="spellStart"/>
      <w:r w:rsidRPr="002B4AA3">
        <w:rPr>
          <w:rFonts w:ascii="Calibri" w:eastAsia="Calibri" w:hAnsi="Calibri" w:cs="Calibri"/>
          <w:color w:val="000000" w:themeColor="text1"/>
        </w:rPr>
        <w:t>Laughingwell</w:t>
      </w:r>
      <w:proofErr w:type="spellEnd"/>
      <w:r w:rsidRPr="002B4AA3">
        <w:rPr>
          <w:rFonts w:ascii="Calibri" w:eastAsia="Calibri" w:hAnsi="Calibri" w:cs="Calibri"/>
          <w:color w:val="000000" w:themeColor="text1"/>
        </w:rPr>
        <w:t xml:space="preserve"> R, Rosenblum NG. Perioperative Morbidity Associated with Medically Necessary Panniculectomy in Gynecologic Oncologic Surgery. </w:t>
      </w:r>
      <w:r w:rsidRPr="002B4AA3">
        <w:rPr>
          <w:rFonts w:ascii="Calibri" w:eastAsia="Calibri" w:hAnsi="Calibri" w:cs="Calibri"/>
          <w:i/>
          <w:iCs/>
          <w:color w:val="000000" w:themeColor="text1"/>
        </w:rPr>
        <w:t xml:space="preserve">Int J Gyn Obstet. </w:t>
      </w:r>
      <w:r w:rsidRPr="002B4AA3">
        <w:rPr>
          <w:rFonts w:ascii="Calibri" w:eastAsia="Calibri" w:hAnsi="Calibri" w:cs="Calibri"/>
          <w:color w:val="000000" w:themeColor="text1"/>
        </w:rPr>
        <w:t>2012;</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118:</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47-51.</w:t>
      </w:r>
    </w:p>
    <w:p w14:paraId="745992C4" w14:textId="4B1A9852" w:rsidR="5911DA96" w:rsidRPr="002B4AA3" w:rsidRDefault="5911DA96" w:rsidP="002B4AA3">
      <w:pPr>
        <w:ind w:left="360"/>
        <w:rPr>
          <w:color w:val="000000" w:themeColor="text1"/>
        </w:rPr>
      </w:pPr>
      <w:r w:rsidRPr="002B4AA3">
        <w:rPr>
          <w:rFonts w:ascii="Calibri" w:eastAsia="Calibri" w:hAnsi="Calibri" w:cs="Calibri"/>
          <w:color w:val="000000" w:themeColor="text1"/>
        </w:rPr>
        <w:t>Stevens J, Truesdale KP, McClain JE, Cai, J. The definition of weight maintenance. International Journal of Obesity (2006) 30, 391–399.</w:t>
      </w:r>
    </w:p>
    <w:p w14:paraId="33FAD431" w14:textId="17964B17" w:rsidR="5911DA96" w:rsidRPr="002B4AA3" w:rsidRDefault="5911DA96" w:rsidP="002B4AA3">
      <w:pPr>
        <w:ind w:left="360"/>
        <w:rPr>
          <w:rFonts w:eastAsiaTheme="minorEastAsia"/>
          <w:color w:val="000000" w:themeColor="text1"/>
        </w:rPr>
      </w:pPr>
      <w:r w:rsidRPr="002B4AA3">
        <w:rPr>
          <w:rFonts w:ascii="Calibri" w:eastAsia="Calibri" w:hAnsi="Calibri" w:cs="Calibri"/>
          <w:color w:val="000000" w:themeColor="text1"/>
        </w:rPr>
        <w:t>Wright JD, Rosenbush EJ, Powell MA, Rader JS, Mutch DG, Gao F, et al. Long-term outcome of women</w:t>
      </w:r>
      <w:r w:rsidR="738B8352" w:rsidRPr="002B4AA3">
        <w:rPr>
          <w:rFonts w:ascii="Calibri" w:eastAsia="Calibri" w:hAnsi="Calibri" w:cs="Calibri"/>
          <w:color w:val="000000" w:themeColor="text1"/>
        </w:rPr>
        <w:t xml:space="preserve"> </w:t>
      </w:r>
      <w:r w:rsidRPr="002B4AA3">
        <w:rPr>
          <w:rFonts w:ascii="Calibri" w:eastAsia="Calibri" w:hAnsi="Calibri" w:cs="Calibri"/>
          <w:color w:val="000000" w:themeColor="text1"/>
        </w:rPr>
        <w:t xml:space="preserve">who undergo panniculectomy at the time of gynecologic surgery. </w:t>
      </w:r>
      <w:r w:rsidRPr="002B4AA3">
        <w:rPr>
          <w:rFonts w:ascii="Calibri" w:eastAsia="Calibri" w:hAnsi="Calibri" w:cs="Calibri"/>
          <w:i/>
          <w:iCs/>
          <w:color w:val="000000" w:themeColor="text1"/>
        </w:rPr>
        <w:t xml:space="preserve">Gynecologic Oncology. </w:t>
      </w:r>
      <w:r w:rsidRPr="002B4AA3">
        <w:rPr>
          <w:rFonts w:ascii="Calibri" w:eastAsia="Calibri" w:hAnsi="Calibri" w:cs="Calibri"/>
          <w:color w:val="000000" w:themeColor="text1"/>
        </w:rPr>
        <w:t>2006; 102:</w:t>
      </w:r>
      <w:r w:rsidR="00FB35C2">
        <w:rPr>
          <w:rFonts w:ascii="Calibri" w:eastAsia="Calibri" w:hAnsi="Calibri" w:cs="Calibri"/>
          <w:color w:val="000000" w:themeColor="text1"/>
        </w:rPr>
        <w:t xml:space="preserve"> </w:t>
      </w:r>
      <w:r w:rsidRPr="002B4AA3">
        <w:rPr>
          <w:rFonts w:ascii="Calibri" w:eastAsia="Calibri" w:hAnsi="Calibri" w:cs="Calibri"/>
          <w:color w:val="000000" w:themeColor="text1"/>
        </w:rPr>
        <w:t>86- 91.</w:t>
      </w:r>
    </w:p>
    <w:p w14:paraId="5F56DAA0" w14:textId="48604917" w:rsidR="00E03098" w:rsidRPr="002B4AA3" w:rsidRDefault="5911DA96" w:rsidP="002B4AA3">
      <w:pPr>
        <w:ind w:left="360"/>
        <w:rPr>
          <w:rFonts w:cstheme="minorHAnsi"/>
          <w:color w:val="000000" w:themeColor="text1"/>
        </w:rPr>
      </w:pPr>
      <w:r w:rsidRPr="002B4AA3">
        <w:rPr>
          <w:rFonts w:eastAsia="Calibri" w:cstheme="minorHAnsi"/>
          <w:color w:val="000000" w:themeColor="text1"/>
        </w:rPr>
        <w:t xml:space="preserve">Zannis J, Wood BC, Griffin LP, et al. Outcome Study of the Surgical Management of Panniculitis. </w:t>
      </w:r>
      <w:r w:rsidRPr="002B4AA3">
        <w:rPr>
          <w:rFonts w:eastAsia="Calibri" w:cstheme="minorHAnsi"/>
          <w:i/>
          <w:iCs/>
          <w:color w:val="000000" w:themeColor="text1"/>
        </w:rPr>
        <w:t xml:space="preserve">Ann </w:t>
      </w:r>
      <w:proofErr w:type="spellStart"/>
      <w:r w:rsidRPr="002B4AA3">
        <w:rPr>
          <w:rFonts w:eastAsia="Calibri" w:cstheme="minorHAnsi"/>
          <w:i/>
          <w:iCs/>
          <w:color w:val="000000" w:themeColor="text1"/>
        </w:rPr>
        <w:t>Plast</w:t>
      </w:r>
      <w:proofErr w:type="spellEnd"/>
      <w:r w:rsidRPr="002B4AA3">
        <w:rPr>
          <w:rFonts w:eastAsia="Calibri" w:cstheme="minorHAnsi"/>
          <w:i/>
          <w:iCs/>
          <w:color w:val="000000" w:themeColor="text1"/>
        </w:rPr>
        <w:t xml:space="preserve"> Surg. </w:t>
      </w:r>
      <w:r w:rsidRPr="002B4AA3">
        <w:rPr>
          <w:rFonts w:eastAsia="Calibri" w:cstheme="minorHAnsi"/>
          <w:color w:val="000000" w:themeColor="text1"/>
        </w:rPr>
        <w:t>2012;</w:t>
      </w:r>
      <w:r w:rsidR="00FB35C2">
        <w:rPr>
          <w:rFonts w:eastAsia="Calibri" w:cstheme="minorHAnsi"/>
          <w:color w:val="000000" w:themeColor="text1"/>
        </w:rPr>
        <w:t xml:space="preserve"> </w:t>
      </w:r>
      <w:r w:rsidRPr="002B4AA3">
        <w:rPr>
          <w:rFonts w:eastAsia="Calibri" w:cstheme="minorHAnsi"/>
          <w:color w:val="000000" w:themeColor="text1"/>
        </w:rPr>
        <w:t>68(2):</w:t>
      </w:r>
      <w:r w:rsidR="00FB35C2">
        <w:rPr>
          <w:rFonts w:eastAsia="Calibri" w:cstheme="minorHAnsi"/>
          <w:color w:val="000000" w:themeColor="text1"/>
        </w:rPr>
        <w:t xml:space="preserve"> </w:t>
      </w:r>
      <w:r w:rsidRPr="002B4AA3">
        <w:rPr>
          <w:rFonts w:eastAsia="Calibri" w:cstheme="minorHAnsi"/>
          <w:color w:val="000000" w:themeColor="text1"/>
        </w:rPr>
        <w:t>194-7.</w:t>
      </w:r>
    </w:p>
    <w:p w14:paraId="62F0719A" w14:textId="44A52252" w:rsidR="5911DA96" w:rsidRPr="00D73CB9" w:rsidRDefault="5911DA96">
      <w:r w:rsidRPr="00D73CB9">
        <w:rPr>
          <w:rFonts w:ascii="Calibri" w:eastAsia="Calibri" w:hAnsi="Calibri" w:cs="Calibri"/>
          <w:color w:val="000000" w:themeColor="text1"/>
        </w:rPr>
        <w:t>These Guidelines are based on review of the medical literature and current practice in excision of excessive skin and subcutaneous tissue. MassHealth reserves the right to review and update the contents of these Guidelines and cited references as new clinical evidence and medical technology emerge.</w:t>
      </w:r>
    </w:p>
    <w:p w14:paraId="4D098B5B" w14:textId="44F53E8C" w:rsidR="5911DA96" w:rsidRPr="00E30EEB" w:rsidRDefault="5911DA96">
      <w:pPr>
        <w:rPr>
          <w:rFonts w:cstheme="minorHAnsi"/>
        </w:rPr>
      </w:pPr>
      <w:r w:rsidRPr="00D73CB9">
        <w:rPr>
          <w:rFonts w:ascii="Calibri" w:eastAsia="Calibri" w:hAnsi="Calibri" w:cs="Calibri"/>
          <w:color w:val="000000" w:themeColor="text1"/>
        </w:rPr>
        <w:t>This document was prepared for medical professionals to assist them in submitting documentation supporting the medical necessity of the proposed treatment, products</w:t>
      </w:r>
      <w:r w:rsidR="004D4758" w:rsidRPr="00D73CB9">
        <w:rPr>
          <w:rFonts w:ascii="Calibri" w:eastAsia="Calibri" w:hAnsi="Calibri" w:cs="Calibri"/>
          <w:color w:val="000000" w:themeColor="text1"/>
        </w:rPr>
        <w:t>,</w:t>
      </w:r>
      <w:r w:rsidRPr="00D73CB9">
        <w:rPr>
          <w:rFonts w:ascii="Calibri" w:eastAsia="Calibri" w:hAnsi="Calibri" w:cs="Calibri"/>
          <w:color w:val="000000" w:themeColor="text1"/>
        </w:rPr>
        <w:t xml:space="preserve"> or services. Some language used in this communication may be unfamiliar to other readers; in this case, </w:t>
      </w:r>
      <w:r w:rsidR="00EF7AB7" w:rsidRPr="00D73CB9">
        <w:rPr>
          <w:rFonts w:ascii="Calibri" w:eastAsia="Calibri" w:hAnsi="Calibri" w:cs="Calibri"/>
          <w:color w:val="000000" w:themeColor="text1"/>
        </w:rPr>
        <w:t xml:space="preserve">such readers should </w:t>
      </w:r>
      <w:r w:rsidRPr="00D73CB9">
        <w:rPr>
          <w:rFonts w:ascii="Calibri" w:eastAsia="Calibri" w:hAnsi="Calibri" w:cs="Calibri"/>
          <w:color w:val="000000" w:themeColor="text1"/>
        </w:rPr>
        <w:t xml:space="preserve">contact </w:t>
      </w:r>
      <w:r w:rsidR="00EF7AB7" w:rsidRPr="00D73CB9">
        <w:rPr>
          <w:rFonts w:ascii="Calibri" w:eastAsia="Calibri" w:hAnsi="Calibri" w:cs="Calibri"/>
          <w:color w:val="000000" w:themeColor="text1"/>
        </w:rPr>
        <w:t xml:space="preserve">their </w:t>
      </w:r>
      <w:r w:rsidRPr="007A0BAA">
        <w:rPr>
          <w:rFonts w:eastAsia="Calibri" w:cstheme="minorHAnsi"/>
          <w:color w:val="000000" w:themeColor="text1"/>
        </w:rPr>
        <w:t>health</w:t>
      </w:r>
      <w:r w:rsidR="00815F33" w:rsidRPr="007A0BAA">
        <w:rPr>
          <w:rFonts w:eastAsia="Calibri" w:cstheme="minorHAnsi"/>
          <w:color w:val="000000" w:themeColor="text1"/>
        </w:rPr>
        <w:t xml:space="preserve"> </w:t>
      </w:r>
      <w:r w:rsidRPr="007A0BAA">
        <w:rPr>
          <w:rFonts w:eastAsia="Calibri" w:cstheme="minorHAnsi"/>
          <w:color w:val="000000" w:themeColor="text1"/>
        </w:rPr>
        <w:t>care provider for guidance or explanation.</w:t>
      </w:r>
    </w:p>
    <w:p w14:paraId="1C3CF7F8" w14:textId="6A01A741" w:rsidR="003918AE" w:rsidRPr="007A0BAA" w:rsidRDefault="003918AE">
      <w:pPr>
        <w:rPr>
          <w:rFonts w:eastAsia="Calibri" w:cstheme="minorHAnsi"/>
          <w:color w:val="000000" w:themeColor="text1"/>
        </w:rPr>
      </w:pPr>
    </w:p>
    <w:p w14:paraId="12CF94BD" w14:textId="146FB5BF" w:rsidR="003918AE" w:rsidRPr="007A0BAA" w:rsidRDefault="003918AE" w:rsidP="007A0BAA">
      <w:pPr>
        <w:pStyle w:val="BodyText"/>
        <w:tabs>
          <w:tab w:val="left" w:pos="4039"/>
          <w:tab w:val="left" w:pos="8786"/>
        </w:tabs>
        <w:spacing w:line="260" w:lineRule="exact"/>
        <w:ind w:left="440" w:hanging="440"/>
        <w:rPr>
          <w:rFonts w:asciiTheme="minorHAnsi" w:hAnsiTheme="minorHAnsi" w:cstheme="minorHAnsi"/>
          <w:color w:val="231F20"/>
          <w:spacing w:val="36"/>
        </w:rPr>
      </w:pPr>
      <w:r w:rsidRPr="007A0BAA">
        <w:rPr>
          <w:rFonts w:asciiTheme="minorHAnsi" w:hAnsiTheme="minorHAnsi" w:cstheme="minorHAnsi"/>
          <w:color w:val="231F20"/>
        </w:rPr>
        <w:t>Policy Revision Effective</w:t>
      </w:r>
      <w:r w:rsidRPr="007A0BAA">
        <w:rPr>
          <w:rFonts w:asciiTheme="minorHAnsi" w:hAnsiTheme="minorHAnsi" w:cstheme="minorHAnsi"/>
          <w:color w:val="231F20"/>
          <w:spacing w:val="-5"/>
        </w:rPr>
        <w:t xml:space="preserve"> </w:t>
      </w:r>
      <w:r w:rsidRPr="007A0BAA">
        <w:rPr>
          <w:rFonts w:asciiTheme="minorHAnsi" w:hAnsiTheme="minorHAnsi" w:cstheme="minorHAnsi"/>
          <w:color w:val="231F20"/>
        </w:rPr>
        <w:t>Date</w:t>
      </w:r>
      <w:r w:rsidR="00457893" w:rsidRPr="007A0BAA">
        <w:rPr>
          <w:rFonts w:asciiTheme="minorHAnsi" w:hAnsiTheme="minorHAnsi" w:cstheme="minorHAnsi"/>
          <w:color w:val="231F20"/>
        </w:rPr>
        <w:t xml:space="preserve">: </w:t>
      </w:r>
      <w:r w:rsidR="002A203C">
        <w:rPr>
          <w:rFonts w:asciiTheme="minorHAnsi" w:hAnsiTheme="minorHAnsi" w:cstheme="minorHAnsi"/>
          <w:color w:val="231F20"/>
        </w:rPr>
        <w:t>04/23/24</w:t>
      </w:r>
      <w:r w:rsidRPr="007A0BAA">
        <w:rPr>
          <w:rFonts w:asciiTheme="minorHAnsi" w:hAnsiTheme="minorHAnsi" w:cstheme="minorHAnsi"/>
          <w:color w:val="231F20"/>
          <w:spacing w:val="36"/>
        </w:rPr>
        <w:t xml:space="preserve"> </w:t>
      </w:r>
    </w:p>
    <w:p w14:paraId="4089E449" w14:textId="2936E901" w:rsidR="003918AE" w:rsidRPr="007A0BAA" w:rsidRDefault="003918AE" w:rsidP="003918AE">
      <w:pPr>
        <w:pStyle w:val="BodyText"/>
        <w:tabs>
          <w:tab w:val="left" w:pos="4039"/>
          <w:tab w:val="left" w:pos="8786"/>
        </w:tabs>
        <w:spacing w:line="260" w:lineRule="exact"/>
        <w:ind w:left="440"/>
        <w:rPr>
          <w:rFonts w:asciiTheme="minorHAnsi" w:hAnsiTheme="minorHAnsi" w:cstheme="minorHAnsi"/>
        </w:rPr>
      </w:pPr>
      <w:r w:rsidRPr="007A0BAA">
        <w:rPr>
          <w:rFonts w:asciiTheme="minorHAnsi" w:hAnsiTheme="minorHAnsi" w:cstheme="minorHAnsi"/>
          <w:color w:val="231F20"/>
        </w:rPr>
        <w:tab/>
        <w:t xml:space="preserve">                               </w:t>
      </w:r>
      <w:r w:rsidRPr="007A0BAA">
        <w:rPr>
          <w:rFonts w:asciiTheme="minorHAnsi" w:hAnsiTheme="minorHAnsi" w:cstheme="minorHAnsi"/>
          <w:color w:val="231F20"/>
          <w:spacing w:val="-3"/>
        </w:rPr>
        <w:t>Approved</w:t>
      </w:r>
      <w:r w:rsidRPr="007A0BAA">
        <w:rPr>
          <w:rFonts w:asciiTheme="minorHAnsi" w:hAnsiTheme="minorHAnsi" w:cstheme="minorHAnsi"/>
          <w:color w:val="231F20"/>
          <w:spacing w:val="2"/>
        </w:rPr>
        <w:t xml:space="preserve"> </w:t>
      </w:r>
      <w:r w:rsidRPr="007A0BAA">
        <w:rPr>
          <w:rFonts w:asciiTheme="minorHAnsi" w:hAnsiTheme="minorHAnsi" w:cstheme="minorHAnsi"/>
          <w:color w:val="231F20"/>
        </w:rPr>
        <w:t xml:space="preserve">by: </w:t>
      </w:r>
      <w:r w:rsidR="002A203C">
        <w:rPr>
          <w:rFonts w:asciiTheme="minorHAnsi" w:hAnsiTheme="minorHAnsi" w:cstheme="minorHAnsi"/>
          <w:color w:val="231F20"/>
          <w:u w:val="single" w:color="221E1F"/>
        </w:rPr>
        <w:t>[signature of Jatin K. Dave]</w:t>
      </w:r>
    </w:p>
    <w:p w14:paraId="0507A542" w14:textId="77777777" w:rsidR="003918AE" w:rsidRPr="007A0BAA" w:rsidRDefault="003918AE" w:rsidP="003918AE">
      <w:pPr>
        <w:pStyle w:val="BodyText"/>
        <w:spacing w:line="252" w:lineRule="exact"/>
        <w:ind w:left="5480"/>
        <w:rPr>
          <w:rFonts w:asciiTheme="minorHAnsi" w:hAnsiTheme="minorHAnsi" w:cstheme="minorHAnsi"/>
        </w:rPr>
      </w:pPr>
      <w:r w:rsidRPr="007A0BAA">
        <w:rPr>
          <w:rFonts w:asciiTheme="minorHAnsi" w:hAnsiTheme="minorHAnsi" w:cstheme="minorHAnsi"/>
          <w:color w:val="231F20"/>
        </w:rPr>
        <w:t>Jatin K. Dave, MD, MPH</w:t>
      </w:r>
    </w:p>
    <w:p w14:paraId="115B7533" w14:textId="57F41752" w:rsidR="003918AE" w:rsidRPr="007A0BAA" w:rsidRDefault="003918AE" w:rsidP="003918AE">
      <w:pPr>
        <w:spacing w:line="260" w:lineRule="exact"/>
        <w:ind w:left="4760" w:firstLine="720"/>
        <w:rPr>
          <w:rFonts w:cstheme="minorHAnsi"/>
          <w:iCs/>
          <w:color w:val="231F20"/>
          <w:sz w:val="21"/>
        </w:rPr>
      </w:pPr>
      <w:r w:rsidRPr="007A0BAA">
        <w:rPr>
          <w:rFonts w:cstheme="minorHAnsi"/>
          <w:iCs/>
          <w:color w:val="231F20"/>
          <w:sz w:val="21"/>
        </w:rPr>
        <w:t>Chief Medical Officer, MassHealth</w:t>
      </w:r>
    </w:p>
    <w:p w14:paraId="0DBC0E2D" w14:textId="0671EAD5" w:rsidR="00DA3963" w:rsidRPr="00E30EEB" w:rsidRDefault="003918AE" w:rsidP="0077541E">
      <w:pPr>
        <w:rPr>
          <w:rFonts w:cstheme="minorHAnsi"/>
        </w:rPr>
      </w:pPr>
      <w:r w:rsidRPr="00E30EEB">
        <w:rPr>
          <w:rFonts w:cstheme="minorHAnsi"/>
          <w:iCs/>
          <w:color w:val="231F20"/>
        </w:rPr>
        <w:t xml:space="preserve">Policy Effective Date:  </w:t>
      </w:r>
      <w:r w:rsidR="00CA5774" w:rsidRPr="00E30EEB">
        <w:rPr>
          <w:rFonts w:cstheme="minorHAnsi"/>
          <w:iCs/>
          <w:color w:val="231F20"/>
        </w:rPr>
        <w:t>05/08/2023</w:t>
      </w:r>
    </w:p>
    <w:p w14:paraId="514EB4B8" w14:textId="77777777" w:rsidR="003918AE" w:rsidRPr="007A0BAA" w:rsidRDefault="003918AE" w:rsidP="002648C8">
      <w:pPr>
        <w:pStyle w:val="BodyText"/>
        <w:tabs>
          <w:tab w:val="left" w:pos="4039"/>
          <w:tab w:val="left" w:pos="8786"/>
        </w:tabs>
        <w:spacing w:line="260" w:lineRule="exact"/>
        <w:ind w:left="440"/>
        <w:rPr>
          <w:rFonts w:asciiTheme="minorHAnsi" w:hAnsiTheme="minorHAnsi" w:cstheme="minorHAnsi"/>
          <w:iCs/>
        </w:rPr>
      </w:pPr>
    </w:p>
    <w:sectPr w:rsidR="003918AE" w:rsidRPr="007A0BA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7C2B" w14:textId="77777777" w:rsidR="00321C89" w:rsidRDefault="00321C89" w:rsidP="002A7FBD">
      <w:pPr>
        <w:spacing w:after="0" w:line="240" w:lineRule="auto"/>
      </w:pPr>
      <w:r>
        <w:separator/>
      </w:r>
    </w:p>
  </w:endnote>
  <w:endnote w:type="continuationSeparator" w:id="0">
    <w:p w14:paraId="06ADD61C" w14:textId="77777777" w:rsidR="00321C89" w:rsidRDefault="00321C89" w:rsidP="002A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329078"/>
      <w:docPartObj>
        <w:docPartGallery w:val="Page Numbers (Bottom of Page)"/>
        <w:docPartUnique/>
      </w:docPartObj>
    </w:sdtPr>
    <w:sdtEndPr>
      <w:rPr>
        <w:noProof/>
      </w:rPr>
    </w:sdtEndPr>
    <w:sdtContent>
      <w:p w14:paraId="003AD206" w14:textId="794742F8" w:rsidR="00A65B8D" w:rsidRDefault="00A65B8D">
        <w:pPr>
          <w:pStyle w:val="Footer"/>
        </w:pPr>
        <w:r>
          <w:fldChar w:fldCharType="begin"/>
        </w:r>
        <w:r>
          <w:instrText xml:space="preserve"> PAGE   \* MERGEFORMAT </w:instrText>
        </w:r>
        <w:r>
          <w:fldChar w:fldCharType="separate"/>
        </w:r>
        <w:r>
          <w:rPr>
            <w:noProof/>
          </w:rPr>
          <w:t>2</w:t>
        </w:r>
        <w:r>
          <w:rPr>
            <w:noProof/>
          </w:rPr>
          <w:fldChar w:fldCharType="end"/>
        </w:r>
      </w:p>
    </w:sdtContent>
  </w:sdt>
  <w:p w14:paraId="348B6780" w14:textId="77777777" w:rsidR="002A7FBD" w:rsidRDefault="002A7FBD">
    <w:pPr>
      <w:pStyle w:val="Footer"/>
    </w:pPr>
  </w:p>
  <w:p w14:paraId="72FAA879" w14:textId="27C90FBA" w:rsidR="008D6D76" w:rsidRDefault="008D6D76">
    <w:pPr>
      <w:pStyle w:val="Footer"/>
    </w:pPr>
    <w:r>
      <w:t>MNG-EST (Rev. 04/24)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87268"/>
      <w:docPartObj>
        <w:docPartGallery w:val="Page Numbers (Bottom of Page)"/>
        <w:docPartUnique/>
      </w:docPartObj>
    </w:sdtPr>
    <w:sdtEndPr>
      <w:rPr>
        <w:noProof/>
      </w:rPr>
    </w:sdtEndPr>
    <w:sdtContent>
      <w:p w14:paraId="53A10796" w14:textId="77777777" w:rsidR="008D6D76" w:rsidRDefault="008D6D76">
        <w:pPr>
          <w:pStyle w:val="Footer"/>
        </w:pPr>
        <w:r>
          <w:fldChar w:fldCharType="begin"/>
        </w:r>
        <w:r>
          <w:instrText xml:space="preserve"> PAGE   \* MERGEFORMAT </w:instrText>
        </w:r>
        <w:r>
          <w:fldChar w:fldCharType="separate"/>
        </w:r>
        <w:r>
          <w:rPr>
            <w:noProof/>
          </w:rPr>
          <w:t>2</w:t>
        </w:r>
        <w:r>
          <w:rPr>
            <w:noProof/>
          </w:rPr>
          <w:fldChar w:fldCharType="end"/>
        </w:r>
      </w:p>
    </w:sdtContent>
  </w:sdt>
  <w:p w14:paraId="63ACDF41" w14:textId="77777777" w:rsidR="008D6D76" w:rsidRDefault="008D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3522" w14:textId="77777777" w:rsidR="00321C89" w:rsidRDefault="00321C89" w:rsidP="002A7FBD">
      <w:pPr>
        <w:spacing w:after="0" w:line="240" w:lineRule="auto"/>
      </w:pPr>
      <w:r>
        <w:separator/>
      </w:r>
    </w:p>
  </w:footnote>
  <w:footnote w:type="continuationSeparator" w:id="0">
    <w:p w14:paraId="3C8C1A6F" w14:textId="77777777" w:rsidR="00321C89" w:rsidRDefault="00321C89" w:rsidP="002A7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52BC3"/>
    <w:multiLevelType w:val="hybridMultilevel"/>
    <w:tmpl w:val="FFFFFFFF"/>
    <w:lvl w:ilvl="0" w:tplc="0158DB9E">
      <w:start w:val="1"/>
      <w:numFmt w:val="decimal"/>
      <w:lvlText w:val="%1."/>
      <w:lvlJc w:val="left"/>
      <w:pPr>
        <w:ind w:left="720" w:hanging="360"/>
      </w:pPr>
    </w:lvl>
    <w:lvl w:ilvl="1" w:tplc="EF16DA06">
      <w:start w:val="1"/>
      <w:numFmt w:val="lowerLetter"/>
      <w:lvlText w:val="%2."/>
      <w:lvlJc w:val="left"/>
      <w:pPr>
        <w:ind w:left="1440" w:hanging="360"/>
      </w:pPr>
    </w:lvl>
    <w:lvl w:ilvl="2" w:tplc="DBD62CA6">
      <w:start w:val="1"/>
      <w:numFmt w:val="lowerRoman"/>
      <w:lvlText w:val="%3."/>
      <w:lvlJc w:val="right"/>
      <w:pPr>
        <w:ind w:left="2160" w:hanging="180"/>
      </w:pPr>
    </w:lvl>
    <w:lvl w:ilvl="3" w:tplc="2F148A76">
      <w:start w:val="1"/>
      <w:numFmt w:val="decimal"/>
      <w:lvlText w:val="%4."/>
      <w:lvlJc w:val="left"/>
      <w:pPr>
        <w:ind w:left="2880" w:hanging="360"/>
      </w:pPr>
    </w:lvl>
    <w:lvl w:ilvl="4" w:tplc="3E722390">
      <w:start w:val="1"/>
      <w:numFmt w:val="lowerLetter"/>
      <w:lvlText w:val="%5."/>
      <w:lvlJc w:val="left"/>
      <w:pPr>
        <w:ind w:left="3600" w:hanging="360"/>
      </w:pPr>
    </w:lvl>
    <w:lvl w:ilvl="5" w:tplc="92A0961E">
      <w:start w:val="1"/>
      <w:numFmt w:val="lowerRoman"/>
      <w:lvlText w:val="%6."/>
      <w:lvlJc w:val="right"/>
      <w:pPr>
        <w:ind w:left="4320" w:hanging="180"/>
      </w:pPr>
    </w:lvl>
    <w:lvl w:ilvl="6" w:tplc="67045A12">
      <w:start w:val="1"/>
      <w:numFmt w:val="decimal"/>
      <w:lvlText w:val="%7."/>
      <w:lvlJc w:val="left"/>
      <w:pPr>
        <w:ind w:left="5040" w:hanging="360"/>
      </w:pPr>
    </w:lvl>
    <w:lvl w:ilvl="7" w:tplc="BF3CE392">
      <w:start w:val="1"/>
      <w:numFmt w:val="lowerLetter"/>
      <w:lvlText w:val="%8."/>
      <w:lvlJc w:val="left"/>
      <w:pPr>
        <w:ind w:left="5760" w:hanging="360"/>
      </w:pPr>
    </w:lvl>
    <w:lvl w:ilvl="8" w:tplc="F3DCC428">
      <w:start w:val="1"/>
      <w:numFmt w:val="lowerRoman"/>
      <w:lvlText w:val="%9."/>
      <w:lvlJc w:val="right"/>
      <w:pPr>
        <w:ind w:left="6480" w:hanging="180"/>
      </w:pPr>
    </w:lvl>
  </w:abstractNum>
  <w:abstractNum w:abstractNumId="1" w15:restartNumberingAfterBreak="0">
    <w:nsid w:val="26FB179A"/>
    <w:multiLevelType w:val="hybridMultilevel"/>
    <w:tmpl w:val="FFFFFFFF"/>
    <w:lvl w:ilvl="0" w:tplc="6066850A">
      <w:start w:val="1"/>
      <w:numFmt w:val="decimal"/>
      <w:lvlText w:val="%1."/>
      <w:lvlJc w:val="left"/>
      <w:pPr>
        <w:ind w:left="720" w:hanging="360"/>
      </w:pPr>
    </w:lvl>
    <w:lvl w:ilvl="1" w:tplc="557A8E9C">
      <w:start w:val="1"/>
      <w:numFmt w:val="lowerLetter"/>
      <w:lvlText w:val="%2."/>
      <w:lvlJc w:val="left"/>
      <w:pPr>
        <w:ind w:left="1440" w:hanging="360"/>
      </w:pPr>
    </w:lvl>
    <w:lvl w:ilvl="2" w:tplc="9F6C6D26">
      <w:start w:val="1"/>
      <w:numFmt w:val="lowerRoman"/>
      <w:lvlText w:val="%3."/>
      <w:lvlJc w:val="right"/>
      <w:pPr>
        <w:ind w:left="2160" w:hanging="180"/>
      </w:pPr>
    </w:lvl>
    <w:lvl w:ilvl="3" w:tplc="D406AA76">
      <w:start w:val="1"/>
      <w:numFmt w:val="decimal"/>
      <w:lvlText w:val="%4."/>
      <w:lvlJc w:val="left"/>
      <w:pPr>
        <w:ind w:left="2880" w:hanging="360"/>
      </w:pPr>
    </w:lvl>
    <w:lvl w:ilvl="4" w:tplc="119E5646">
      <w:start w:val="1"/>
      <w:numFmt w:val="lowerLetter"/>
      <w:lvlText w:val="%5."/>
      <w:lvlJc w:val="left"/>
      <w:pPr>
        <w:ind w:left="3600" w:hanging="360"/>
      </w:pPr>
    </w:lvl>
    <w:lvl w:ilvl="5" w:tplc="3CCCEEC4">
      <w:start w:val="1"/>
      <w:numFmt w:val="lowerRoman"/>
      <w:lvlText w:val="%6."/>
      <w:lvlJc w:val="right"/>
      <w:pPr>
        <w:ind w:left="4320" w:hanging="180"/>
      </w:pPr>
    </w:lvl>
    <w:lvl w:ilvl="6" w:tplc="850A3F52">
      <w:start w:val="1"/>
      <w:numFmt w:val="decimal"/>
      <w:lvlText w:val="%7."/>
      <w:lvlJc w:val="left"/>
      <w:pPr>
        <w:ind w:left="5040" w:hanging="360"/>
      </w:pPr>
    </w:lvl>
    <w:lvl w:ilvl="7" w:tplc="A67C75D4">
      <w:start w:val="1"/>
      <w:numFmt w:val="lowerLetter"/>
      <w:lvlText w:val="%8."/>
      <w:lvlJc w:val="left"/>
      <w:pPr>
        <w:ind w:left="5760" w:hanging="360"/>
      </w:pPr>
    </w:lvl>
    <w:lvl w:ilvl="8" w:tplc="E306E502">
      <w:start w:val="1"/>
      <w:numFmt w:val="lowerRoman"/>
      <w:lvlText w:val="%9."/>
      <w:lvlJc w:val="right"/>
      <w:pPr>
        <w:ind w:left="6480" w:hanging="180"/>
      </w:pPr>
    </w:lvl>
  </w:abstractNum>
  <w:abstractNum w:abstractNumId="2" w15:restartNumberingAfterBreak="0">
    <w:nsid w:val="301D02F4"/>
    <w:multiLevelType w:val="hybridMultilevel"/>
    <w:tmpl w:val="FB6E30D0"/>
    <w:lvl w:ilvl="0" w:tplc="0612535E">
      <w:start w:val="1"/>
      <w:numFmt w:val="upperLetter"/>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8D01EE"/>
    <w:multiLevelType w:val="hybridMultilevel"/>
    <w:tmpl w:val="FFFFFFFF"/>
    <w:lvl w:ilvl="0" w:tplc="4A866B7A">
      <w:start w:val="1"/>
      <w:numFmt w:val="decimal"/>
      <w:lvlText w:val="%1."/>
      <w:lvlJc w:val="left"/>
      <w:pPr>
        <w:ind w:left="720" w:hanging="360"/>
      </w:pPr>
    </w:lvl>
    <w:lvl w:ilvl="1" w:tplc="8B966384">
      <w:start w:val="1"/>
      <w:numFmt w:val="lowerLetter"/>
      <w:lvlText w:val="%2."/>
      <w:lvlJc w:val="left"/>
      <w:pPr>
        <w:ind w:left="1440" w:hanging="360"/>
      </w:pPr>
    </w:lvl>
    <w:lvl w:ilvl="2" w:tplc="14C66DB6">
      <w:start w:val="1"/>
      <w:numFmt w:val="lowerRoman"/>
      <w:lvlText w:val="%3."/>
      <w:lvlJc w:val="right"/>
      <w:pPr>
        <w:ind w:left="2160" w:hanging="180"/>
      </w:pPr>
    </w:lvl>
    <w:lvl w:ilvl="3" w:tplc="6868B90C">
      <w:start w:val="1"/>
      <w:numFmt w:val="decimal"/>
      <w:lvlText w:val="%4."/>
      <w:lvlJc w:val="left"/>
      <w:pPr>
        <w:ind w:left="2880" w:hanging="360"/>
      </w:pPr>
    </w:lvl>
    <w:lvl w:ilvl="4" w:tplc="714620A0">
      <w:start w:val="1"/>
      <w:numFmt w:val="lowerLetter"/>
      <w:lvlText w:val="%5."/>
      <w:lvlJc w:val="left"/>
      <w:pPr>
        <w:ind w:left="3600" w:hanging="360"/>
      </w:pPr>
    </w:lvl>
    <w:lvl w:ilvl="5" w:tplc="E0641934">
      <w:start w:val="1"/>
      <w:numFmt w:val="lowerRoman"/>
      <w:lvlText w:val="%6."/>
      <w:lvlJc w:val="right"/>
      <w:pPr>
        <w:ind w:left="4320" w:hanging="180"/>
      </w:pPr>
    </w:lvl>
    <w:lvl w:ilvl="6" w:tplc="32821ABA">
      <w:start w:val="1"/>
      <w:numFmt w:val="decimal"/>
      <w:lvlText w:val="%7."/>
      <w:lvlJc w:val="left"/>
      <w:pPr>
        <w:ind w:left="5040" w:hanging="360"/>
      </w:pPr>
    </w:lvl>
    <w:lvl w:ilvl="7" w:tplc="C554A292">
      <w:start w:val="1"/>
      <w:numFmt w:val="lowerLetter"/>
      <w:lvlText w:val="%8."/>
      <w:lvlJc w:val="left"/>
      <w:pPr>
        <w:ind w:left="5760" w:hanging="360"/>
      </w:pPr>
    </w:lvl>
    <w:lvl w:ilvl="8" w:tplc="2B303088">
      <w:start w:val="1"/>
      <w:numFmt w:val="lowerRoman"/>
      <w:lvlText w:val="%9."/>
      <w:lvlJc w:val="right"/>
      <w:pPr>
        <w:ind w:left="6480" w:hanging="180"/>
      </w:pPr>
    </w:lvl>
  </w:abstractNum>
  <w:abstractNum w:abstractNumId="4" w15:restartNumberingAfterBreak="0">
    <w:nsid w:val="4E0D17A3"/>
    <w:multiLevelType w:val="hybridMultilevel"/>
    <w:tmpl w:val="E3A0E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3801DB"/>
    <w:multiLevelType w:val="hybridMultilevel"/>
    <w:tmpl w:val="FFFFFFFF"/>
    <w:lvl w:ilvl="0" w:tplc="9A4E1756">
      <w:start w:val="1"/>
      <w:numFmt w:val="decimal"/>
      <w:lvlText w:val="%1."/>
      <w:lvlJc w:val="left"/>
      <w:pPr>
        <w:ind w:left="720" w:hanging="360"/>
      </w:pPr>
    </w:lvl>
    <w:lvl w:ilvl="1" w:tplc="B52C02A0">
      <w:start w:val="1"/>
      <w:numFmt w:val="lowerLetter"/>
      <w:lvlText w:val="%2."/>
      <w:lvlJc w:val="left"/>
      <w:pPr>
        <w:ind w:left="1440" w:hanging="360"/>
      </w:pPr>
    </w:lvl>
    <w:lvl w:ilvl="2" w:tplc="F9EA39F0">
      <w:start w:val="1"/>
      <w:numFmt w:val="lowerRoman"/>
      <w:lvlText w:val="%3."/>
      <w:lvlJc w:val="right"/>
      <w:pPr>
        <w:ind w:left="2160" w:hanging="180"/>
      </w:pPr>
    </w:lvl>
    <w:lvl w:ilvl="3" w:tplc="F436518C">
      <w:start w:val="1"/>
      <w:numFmt w:val="decimal"/>
      <w:lvlText w:val="%4."/>
      <w:lvlJc w:val="left"/>
      <w:pPr>
        <w:ind w:left="2880" w:hanging="360"/>
      </w:pPr>
    </w:lvl>
    <w:lvl w:ilvl="4" w:tplc="D952CF2A">
      <w:start w:val="1"/>
      <w:numFmt w:val="lowerLetter"/>
      <w:lvlText w:val="%5."/>
      <w:lvlJc w:val="left"/>
      <w:pPr>
        <w:ind w:left="3600" w:hanging="360"/>
      </w:pPr>
    </w:lvl>
    <w:lvl w:ilvl="5" w:tplc="143CC6D4">
      <w:start w:val="1"/>
      <w:numFmt w:val="lowerRoman"/>
      <w:lvlText w:val="%6."/>
      <w:lvlJc w:val="right"/>
      <w:pPr>
        <w:ind w:left="4320" w:hanging="180"/>
      </w:pPr>
    </w:lvl>
    <w:lvl w:ilvl="6" w:tplc="5642A8C6">
      <w:start w:val="1"/>
      <w:numFmt w:val="decimal"/>
      <w:lvlText w:val="%7."/>
      <w:lvlJc w:val="left"/>
      <w:pPr>
        <w:ind w:left="5040" w:hanging="360"/>
      </w:pPr>
    </w:lvl>
    <w:lvl w:ilvl="7" w:tplc="54E420A4">
      <w:start w:val="1"/>
      <w:numFmt w:val="lowerLetter"/>
      <w:lvlText w:val="%8."/>
      <w:lvlJc w:val="left"/>
      <w:pPr>
        <w:ind w:left="5760" w:hanging="360"/>
      </w:pPr>
    </w:lvl>
    <w:lvl w:ilvl="8" w:tplc="98241906">
      <w:start w:val="1"/>
      <w:numFmt w:val="lowerRoman"/>
      <w:lvlText w:val="%9."/>
      <w:lvlJc w:val="right"/>
      <w:pPr>
        <w:ind w:left="6480" w:hanging="180"/>
      </w:pPr>
    </w:lvl>
  </w:abstractNum>
  <w:abstractNum w:abstractNumId="6" w15:restartNumberingAfterBreak="0">
    <w:nsid w:val="5FBD23FE"/>
    <w:multiLevelType w:val="hybridMultilevel"/>
    <w:tmpl w:val="239ED052"/>
    <w:lvl w:ilvl="0" w:tplc="AC20BD78">
      <w:start w:val="2"/>
      <w:numFmt w:val="upperLetter"/>
      <w:lvlText w:val="%1."/>
      <w:lvlJc w:val="left"/>
      <w:pPr>
        <w:ind w:left="359" w:hanging="360"/>
      </w:pPr>
      <w:rPr>
        <w:rFonts w:hint="default"/>
        <w:color w:val="231F2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605319CA"/>
    <w:multiLevelType w:val="hybridMultilevel"/>
    <w:tmpl w:val="FFFFFFFF"/>
    <w:lvl w:ilvl="0" w:tplc="129C509E">
      <w:start w:val="1"/>
      <w:numFmt w:val="decimal"/>
      <w:lvlText w:val="%1."/>
      <w:lvlJc w:val="left"/>
      <w:pPr>
        <w:ind w:left="720" w:hanging="360"/>
      </w:pPr>
    </w:lvl>
    <w:lvl w:ilvl="1" w:tplc="253E0E48">
      <w:start w:val="1"/>
      <w:numFmt w:val="lowerLetter"/>
      <w:lvlText w:val="%2."/>
      <w:lvlJc w:val="left"/>
      <w:pPr>
        <w:ind w:left="1440" w:hanging="360"/>
      </w:pPr>
    </w:lvl>
    <w:lvl w:ilvl="2" w:tplc="40EAA03A">
      <w:start w:val="1"/>
      <w:numFmt w:val="lowerRoman"/>
      <w:lvlText w:val="%3."/>
      <w:lvlJc w:val="right"/>
      <w:pPr>
        <w:ind w:left="2160" w:hanging="180"/>
      </w:pPr>
    </w:lvl>
    <w:lvl w:ilvl="3" w:tplc="49687152">
      <w:start w:val="1"/>
      <w:numFmt w:val="decimal"/>
      <w:lvlText w:val="%4."/>
      <w:lvlJc w:val="left"/>
      <w:pPr>
        <w:ind w:left="2880" w:hanging="360"/>
      </w:pPr>
    </w:lvl>
    <w:lvl w:ilvl="4" w:tplc="F7E46882">
      <w:start w:val="1"/>
      <w:numFmt w:val="lowerLetter"/>
      <w:lvlText w:val="%5."/>
      <w:lvlJc w:val="left"/>
      <w:pPr>
        <w:ind w:left="3600" w:hanging="360"/>
      </w:pPr>
    </w:lvl>
    <w:lvl w:ilvl="5" w:tplc="BF001CA0">
      <w:start w:val="1"/>
      <w:numFmt w:val="lowerRoman"/>
      <w:lvlText w:val="%6."/>
      <w:lvlJc w:val="right"/>
      <w:pPr>
        <w:ind w:left="4320" w:hanging="180"/>
      </w:pPr>
    </w:lvl>
    <w:lvl w:ilvl="6" w:tplc="6DB64BF2">
      <w:start w:val="1"/>
      <w:numFmt w:val="decimal"/>
      <w:lvlText w:val="%7."/>
      <w:lvlJc w:val="left"/>
      <w:pPr>
        <w:ind w:left="5040" w:hanging="360"/>
      </w:pPr>
    </w:lvl>
    <w:lvl w:ilvl="7" w:tplc="D42EA754">
      <w:start w:val="1"/>
      <w:numFmt w:val="lowerLetter"/>
      <w:lvlText w:val="%8."/>
      <w:lvlJc w:val="left"/>
      <w:pPr>
        <w:ind w:left="5760" w:hanging="360"/>
      </w:pPr>
    </w:lvl>
    <w:lvl w:ilvl="8" w:tplc="B19E9B34">
      <w:start w:val="1"/>
      <w:numFmt w:val="lowerRoman"/>
      <w:lvlText w:val="%9."/>
      <w:lvlJc w:val="right"/>
      <w:pPr>
        <w:ind w:left="6480" w:hanging="180"/>
      </w:pPr>
    </w:lvl>
  </w:abstractNum>
  <w:abstractNum w:abstractNumId="8" w15:restartNumberingAfterBreak="0">
    <w:nsid w:val="6D00573B"/>
    <w:multiLevelType w:val="hybridMultilevel"/>
    <w:tmpl w:val="8968BC38"/>
    <w:lvl w:ilvl="0" w:tplc="43E61ADE">
      <w:start w:val="1"/>
      <w:numFmt w:val="upperLetter"/>
      <w:lvlText w:val="%1."/>
      <w:lvlJc w:val="left"/>
      <w:pPr>
        <w:ind w:left="300" w:hanging="301"/>
      </w:pPr>
      <w:rPr>
        <w:rFonts w:ascii="Minion Pro" w:eastAsia="Minion Pro" w:hAnsi="Minion Pro" w:cs="Minion Pro" w:hint="default"/>
        <w:color w:val="231F20"/>
        <w:spacing w:val="-4"/>
        <w:w w:val="100"/>
        <w:sz w:val="21"/>
        <w:szCs w:val="21"/>
        <w:lang w:val="en-US" w:eastAsia="en-US" w:bidi="en-US"/>
      </w:rPr>
    </w:lvl>
    <w:lvl w:ilvl="1" w:tplc="26D65CEA">
      <w:start w:val="1"/>
      <w:numFmt w:val="decimal"/>
      <w:lvlText w:val="%2."/>
      <w:lvlJc w:val="left"/>
      <w:pPr>
        <w:ind w:left="600" w:hanging="301"/>
      </w:pPr>
      <w:rPr>
        <w:rFonts w:ascii="Minion Pro" w:eastAsia="Minion Pro" w:hAnsi="Minion Pro" w:cs="Minion Pro" w:hint="default"/>
        <w:color w:val="231F20"/>
        <w:spacing w:val="-4"/>
        <w:w w:val="100"/>
        <w:sz w:val="21"/>
        <w:szCs w:val="21"/>
        <w:lang w:val="en-US" w:eastAsia="en-US" w:bidi="en-US"/>
      </w:rPr>
    </w:lvl>
    <w:lvl w:ilvl="2" w:tplc="FEF6EB62">
      <w:start w:val="1"/>
      <w:numFmt w:val="lowerRoman"/>
      <w:lvlText w:val="%3."/>
      <w:lvlJc w:val="left"/>
      <w:pPr>
        <w:ind w:left="959" w:hanging="360"/>
      </w:pPr>
      <w:rPr>
        <w:rFonts w:ascii="Minion Pro" w:eastAsia="Minion Pro" w:hAnsi="Minion Pro" w:cs="Minion Pro" w:hint="default"/>
        <w:color w:val="231F20"/>
        <w:spacing w:val="-4"/>
        <w:w w:val="100"/>
        <w:sz w:val="21"/>
        <w:szCs w:val="21"/>
        <w:lang w:val="en-US" w:eastAsia="en-US" w:bidi="en-US"/>
      </w:rPr>
    </w:lvl>
    <w:lvl w:ilvl="3" w:tplc="9C4CAD88">
      <w:numFmt w:val="bullet"/>
      <w:lvlText w:val="•"/>
      <w:lvlJc w:val="left"/>
      <w:pPr>
        <w:ind w:left="960" w:hanging="360"/>
      </w:pPr>
      <w:rPr>
        <w:rFonts w:hint="default"/>
        <w:lang w:val="en-US" w:eastAsia="en-US" w:bidi="en-US"/>
      </w:rPr>
    </w:lvl>
    <w:lvl w:ilvl="4" w:tplc="DD4C28D0">
      <w:numFmt w:val="bullet"/>
      <w:lvlText w:val="•"/>
      <w:lvlJc w:val="left"/>
      <w:pPr>
        <w:ind w:left="2071" w:hanging="360"/>
      </w:pPr>
      <w:rPr>
        <w:rFonts w:hint="default"/>
        <w:lang w:val="en-US" w:eastAsia="en-US" w:bidi="en-US"/>
      </w:rPr>
    </w:lvl>
    <w:lvl w:ilvl="5" w:tplc="1D883A9E">
      <w:numFmt w:val="bullet"/>
      <w:lvlText w:val="•"/>
      <w:lvlJc w:val="left"/>
      <w:pPr>
        <w:ind w:left="3182" w:hanging="360"/>
      </w:pPr>
      <w:rPr>
        <w:rFonts w:hint="default"/>
        <w:lang w:val="en-US" w:eastAsia="en-US" w:bidi="en-US"/>
      </w:rPr>
    </w:lvl>
    <w:lvl w:ilvl="6" w:tplc="39F86F0C">
      <w:numFmt w:val="bullet"/>
      <w:lvlText w:val="•"/>
      <w:lvlJc w:val="left"/>
      <w:pPr>
        <w:ind w:left="4294" w:hanging="360"/>
      </w:pPr>
      <w:rPr>
        <w:rFonts w:hint="default"/>
        <w:lang w:val="en-US" w:eastAsia="en-US" w:bidi="en-US"/>
      </w:rPr>
    </w:lvl>
    <w:lvl w:ilvl="7" w:tplc="79682152">
      <w:numFmt w:val="bullet"/>
      <w:lvlText w:val="•"/>
      <w:lvlJc w:val="left"/>
      <w:pPr>
        <w:ind w:left="5405" w:hanging="360"/>
      </w:pPr>
      <w:rPr>
        <w:rFonts w:hint="default"/>
        <w:lang w:val="en-US" w:eastAsia="en-US" w:bidi="en-US"/>
      </w:rPr>
    </w:lvl>
    <w:lvl w:ilvl="8" w:tplc="9ABA5E64">
      <w:numFmt w:val="bullet"/>
      <w:lvlText w:val="•"/>
      <w:lvlJc w:val="left"/>
      <w:pPr>
        <w:ind w:left="6517" w:hanging="360"/>
      </w:pPr>
      <w:rPr>
        <w:rFonts w:hint="default"/>
        <w:lang w:val="en-US" w:eastAsia="en-US" w:bidi="en-US"/>
      </w:rPr>
    </w:lvl>
  </w:abstractNum>
  <w:abstractNum w:abstractNumId="9" w15:restartNumberingAfterBreak="0">
    <w:nsid w:val="72B559C7"/>
    <w:multiLevelType w:val="hybridMultilevel"/>
    <w:tmpl w:val="FFFFFFFF"/>
    <w:lvl w:ilvl="0" w:tplc="F0987736">
      <w:start w:val="13"/>
      <w:numFmt w:val="decimal"/>
      <w:lvlText w:val="%1."/>
      <w:lvlJc w:val="left"/>
      <w:pPr>
        <w:ind w:left="720" w:hanging="360"/>
      </w:pPr>
    </w:lvl>
    <w:lvl w:ilvl="1" w:tplc="D5AE20B8">
      <w:start w:val="1"/>
      <w:numFmt w:val="lowerLetter"/>
      <w:lvlText w:val="%2."/>
      <w:lvlJc w:val="left"/>
      <w:pPr>
        <w:ind w:left="1440" w:hanging="360"/>
      </w:pPr>
    </w:lvl>
    <w:lvl w:ilvl="2" w:tplc="75F0E8AC">
      <w:start w:val="1"/>
      <w:numFmt w:val="lowerRoman"/>
      <w:lvlText w:val="%3."/>
      <w:lvlJc w:val="right"/>
      <w:pPr>
        <w:ind w:left="2160" w:hanging="180"/>
      </w:pPr>
    </w:lvl>
    <w:lvl w:ilvl="3" w:tplc="B54C9B18">
      <w:start w:val="1"/>
      <w:numFmt w:val="decimal"/>
      <w:lvlText w:val="%4."/>
      <w:lvlJc w:val="left"/>
      <w:pPr>
        <w:ind w:left="2880" w:hanging="360"/>
      </w:pPr>
    </w:lvl>
    <w:lvl w:ilvl="4" w:tplc="8F621C46">
      <w:start w:val="1"/>
      <w:numFmt w:val="lowerLetter"/>
      <w:lvlText w:val="%5."/>
      <w:lvlJc w:val="left"/>
      <w:pPr>
        <w:ind w:left="3600" w:hanging="360"/>
      </w:pPr>
    </w:lvl>
    <w:lvl w:ilvl="5" w:tplc="FE34A9E6">
      <w:start w:val="1"/>
      <w:numFmt w:val="lowerRoman"/>
      <w:lvlText w:val="%6."/>
      <w:lvlJc w:val="right"/>
      <w:pPr>
        <w:ind w:left="4320" w:hanging="180"/>
      </w:pPr>
    </w:lvl>
    <w:lvl w:ilvl="6" w:tplc="72F45E7A">
      <w:start w:val="1"/>
      <w:numFmt w:val="decimal"/>
      <w:lvlText w:val="%7."/>
      <w:lvlJc w:val="left"/>
      <w:pPr>
        <w:ind w:left="5040" w:hanging="360"/>
      </w:pPr>
    </w:lvl>
    <w:lvl w:ilvl="7" w:tplc="DB529726">
      <w:start w:val="1"/>
      <w:numFmt w:val="lowerLetter"/>
      <w:lvlText w:val="%8."/>
      <w:lvlJc w:val="left"/>
      <w:pPr>
        <w:ind w:left="5760" w:hanging="360"/>
      </w:pPr>
    </w:lvl>
    <w:lvl w:ilvl="8" w:tplc="34540534">
      <w:start w:val="1"/>
      <w:numFmt w:val="lowerRoman"/>
      <w:lvlText w:val="%9."/>
      <w:lvlJc w:val="right"/>
      <w:pPr>
        <w:ind w:left="6480" w:hanging="180"/>
      </w:pPr>
    </w:lvl>
  </w:abstractNum>
  <w:abstractNum w:abstractNumId="10" w15:restartNumberingAfterBreak="0">
    <w:nsid w:val="758A05C6"/>
    <w:multiLevelType w:val="hybridMultilevel"/>
    <w:tmpl w:val="FFFFFFFF"/>
    <w:lvl w:ilvl="0" w:tplc="634CE8E8">
      <w:start w:val="1"/>
      <w:numFmt w:val="decimal"/>
      <w:lvlText w:val="%1."/>
      <w:lvlJc w:val="left"/>
      <w:pPr>
        <w:ind w:left="720" w:hanging="360"/>
      </w:pPr>
    </w:lvl>
    <w:lvl w:ilvl="1" w:tplc="AAFC2506">
      <w:start w:val="1"/>
      <w:numFmt w:val="lowerLetter"/>
      <w:lvlText w:val="%2."/>
      <w:lvlJc w:val="left"/>
      <w:pPr>
        <w:ind w:left="1440" w:hanging="360"/>
      </w:pPr>
    </w:lvl>
    <w:lvl w:ilvl="2" w:tplc="D1A8B7AE">
      <w:start w:val="1"/>
      <w:numFmt w:val="lowerRoman"/>
      <w:lvlText w:val="%3."/>
      <w:lvlJc w:val="right"/>
      <w:pPr>
        <w:ind w:left="2160" w:hanging="180"/>
      </w:pPr>
    </w:lvl>
    <w:lvl w:ilvl="3" w:tplc="3730AA66">
      <w:start w:val="1"/>
      <w:numFmt w:val="decimal"/>
      <w:lvlText w:val="%4."/>
      <w:lvlJc w:val="left"/>
      <w:pPr>
        <w:ind w:left="2880" w:hanging="360"/>
      </w:pPr>
    </w:lvl>
    <w:lvl w:ilvl="4" w:tplc="814CE718">
      <w:start w:val="1"/>
      <w:numFmt w:val="lowerLetter"/>
      <w:lvlText w:val="%5."/>
      <w:lvlJc w:val="left"/>
      <w:pPr>
        <w:ind w:left="3600" w:hanging="360"/>
      </w:pPr>
    </w:lvl>
    <w:lvl w:ilvl="5" w:tplc="1CA42B2A">
      <w:start w:val="1"/>
      <w:numFmt w:val="lowerRoman"/>
      <w:lvlText w:val="%6."/>
      <w:lvlJc w:val="right"/>
      <w:pPr>
        <w:ind w:left="4320" w:hanging="180"/>
      </w:pPr>
    </w:lvl>
    <w:lvl w:ilvl="6" w:tplc="53C05FAC">
      <w:start w:val="1"/>
      <w:numFmt w:val="decimal"/>
      <w:lvlText w:val="%7."/>
      <w:lvlJc w:val="left"/>
      <w:pPr>
        <w:ind w:left="5040" w:hanging="360"/>
      </w:pPr>
    </w:lvl>
    <w:lvl w:ilvl="7" w:tplc="BAD658EA">
      <w:start w:val="1"/>
      <w:numFmt w:val="lowerLetter"/>
      <w:lvlText w:val="%8."/>
      <w:lvlJc w:val="left"/>
      <w:pPr>
        <w:ind w:left="5760" w:hanging="360"/>
      </w:pPr>
    </w:lvl>
    <w:lvl w:ilvl="8" w:tplc="73563694">
      <w:start w:val="1"/>
      <w:numFmt w:val="lowerRoman"/>
      <w:lvlText w:val="%9."/>
      <w:lvlJc w:val="right"/>
      <w:pPr>
        <w:ind w:left="6480" w:hanging="180"/>
      </w:pPr>
    </w:lvl>
  </w:abstractNum>
  <w:num w:numId="1" w16cid:durableId="1571379779">
    <w:abstractNumId w:val="9"/>
  </w:num>
  <w:num w:numId="2" w16cid:durableId="519124799">
    <w:abstractNumId w:val="5"/>
  </w:num>
  <w:num w:numId="3" w16cid:durableId="1674994032">
    <w:abstractNumId w:val="3"/>
  </w:num>
  <w:num w:numId="4" w16cid:durableId="1055620274">
    <w:abstractNumId w:val="7"/>
  </w:num>
  <w:num w:numId="5" w16cid:durableId="1357803962">
    <w:abstractNumId w:val="1"/>
  </w:num>
  <w:num w:numId="6" w16cid:durableId="140737104">
    <w:abstractNumId w:val="10"/>
  </w:num>
  <w:num w:numId="7" w16cid:durableId="280067903">
    <w:abstractNumId w:val="0"/>
  </w:num>
  <w:num w:numId="8" w16cid:durableId="1499493123">
    <w:abstractNumId w:val="8"/>
  </w:num>
  <w:num w:numId="9" w16cid:durableId="1521817862">
    <w:abstractNumId w:val="6"/>
  </w:num>
  <w:num w:numId="10" w16cid:durableId="1198661651">
    <w:abstractNumId w:val="2"/>
  </w:num>
  <w:num w:numId="11" w16cid:durableId="984505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EA750B"/>
    <w:rsid w:val="00002EF6"/>
    <w:rsid w:val="0000746D"/>
    <w:rsid w:val="00020566"/>
    <w:rsid w:val="00025051"/>
    <w:rsid w:val="00064884"/>
    <w:rsid w:val="00066CD2"/>
    <w:rsid w:val="000C6BCA"/>
    <w:rsid w:val="000D59E5"/>
    <w:rsid w:val="001126AE"/>
    <w:rsid w:val="00125C01"/>
    <w:rsid w:val="00146BB6"/>
    <w:rsid w:val="00173266"/>
    <w:rsid w:val="001938A1"/>
    <w:rsid w:val="001A4F47"/>
    <w:rsid w:val="001E3724"/>
    <w:rsid w:val="002063FF"/>
    <w:rsid w:val="002078D4"/>
    <w:rsid w:val="00212557"/>
    <w:rsid w:val="00215CE2"/>
    <w:rsid w:val="00261811"/>
    <w:rsid w:val="002635A8"/>
    <w:rsid w:val="002648C8"/>
    <w:rsid w:val="0026739C"/>
    <w:rsid w:val="0027121E"/>
    <w:rsid w:val="00277545"/>
    <w:rsid w:val="002A203C"/>
    <w:rsid w:val="002A67A4"/>
    <w:rsid w:val="002A7FBD"/>
    <w:rsid w:val="002B4AA3"/>
    <w:rsid w:val="002D4FD7"/>
    <w:rsid w:val="002E466C"/>
    <w:rsid w:val="002E7D30"/>
    <w:rsid w:val="002F6C93"/>
    <w:rsid w:val="002F7BBD"/>
    <w:rsid w:val="00321C89"/>
    <w:rsid w:val="0032520F"/>
    <w:rsid w:val="00325A7C"/>
    <w:rsid w:val="00341910"/>
    <w:rsid w:val="00356F34"/>
    <w:rsid w:val="00367401"/>
    <w:rsid w:val="003830D9"/>
    <w:rsid w:val="003918AE"/>
    <w:rsid w:val="003A0CD6"/>
    <w:rsid w:val="003B1D18"/>
    <w:rsid w:val="003E751F"/>
    <w:rsid w:val="00415E3D"/>
    <w:rsid w:val="0044301F"/>
    <w:rsid w:val="00457893"/>
    <w:rsid w:val="004611E9"/>
    <w:rsid w:val="00492346"/>
    <w:rsid w:val="004A56F6"/>
    <w:rsid w:val="004C5F72"/>
    <w:rsid w:val="004D1770"/>
    <w:rsid w:val="004D4758"/>
    <w:rsid w:val="004E12EB"/>
    <w:rsid w:val="004F647A"/>
    <w:rsid w:val="00513A3F"/>
    <w:rsid w:val="005232E7"/>
    <w:rsid w:val="00546717"/>
    <w:rsid w:val="00550841"/>
    <w:rsid w:val="00564CAC"/>
    <w:rsid w:val="0056679C"/>
    <w:rsid w:val="005971A6"/>
    <w:rsid w:val="005A1E85"/>
    <w:rsid w:val="005D6DAA"/>
    <w:rsid w:val="005E7E89"/>
    <w:rsid w:val="005F7B79"/>
    <w:rsid w:val="00600C37"/>
    <w:rsid w:val="00604D90"/>
    <w:rsid w:val="006103AF"/>
    <w:rsid w:val="00654F49"/>
    <w:rsid w:val="006663C3"/>
    <w:rsid w:val="006870B7"/>
    <w:rsid w:val="006B279B"/>
    <w:rsid w:val="006C2472"/>
    <w:rsid w:val="006C461E"/>
    <w:rsid w:val="006D1DB0"/>
    <w:rsid w:val="006D2D99"/>
    <w:rsid w:val="006E7F28"/>
    <w:rsid w:val="00704995"/>
    <w:rsid w:val="007073F6"/>
    <w:rsid w:val="00736375"/>
    <w:rsid w:val="0076499B"/>
    <w:rsid w:val="0077541E"/>
    <w:rsid w:val="00792D2D"/>
    <w:rsid w:val="007935AF"/>
    <w:rsid w:val="007A0BAA"/>
    <w:rsid w:val="007D2C38"/>
    <w:rsid w:val="007E467F"/>
    <w:rsid w:val="007E51BD"/>
    <w:rsid w:val="00800160"/>
    <w:rsid w:val="0080434A"/>
    <w:rsid w:val="00815F33"/>
    <w:rsid w:val="00832DEB"/>
    <w:rsid w:val="008443D8"/>
    <w:rsid w:val="00873215"/>
    <w:rsid w:val="00896FF6"/>
    <w:rsid w:val="008A751B"/>
    <w:rsid w:val="008B26E7"/>
    <w:rsid w:val="008C29F3"/>
    <w:rsid w:val="008D6D76"/>
    <w:rsid w:val="008E6E83"/>
    <w:rsid w:val="008F19A9"/>
    <w:rsid w:val="00912D6D"/>
    <w:rsid w:val="0091567E"/>
    <w:rsid w:val="0093612B"/>
    <w:rsid w:val="0095026B"/>
    <w:rsid w:val="00975221"/>
    <w:rsid w:val="00983E4C"/>
    <w:rsid w:val="009845B2"/>
    <w:rsid w:val="00987E38"/>
    <w:rsid w:val="009B1BA0"/>
    <w:rsid w:val="009B721F"/>
    <w:rsid w:val="009C01AF"/>
    <w:rsid w:val="009D1313"/>
    <w:rsid w:val="00A141D6"/>
    <w:rsid w:val="00A1580A"/>
    <w:rsid w:val="00A26066"/>
    <w:rsid w:val="00A266F6"/>
    <w:rsid w:val="00A65B8D"/>
    <w:rsid w:val="00A75512"/>
    <w:rsid w:val="00A8057E"/>
    <w:rsid w:val="00A809D1"/>
    <w:rsid w:val="00AA20FD"/>
    <w:rsid w:val="00AA286B"/>
    <w:rsid w:val="00AA6A3B"/>
    <w:rsid w:val="00AC510F"/>
    <w:rsid w:val="00AF0EDA"/>
    <w:rsid w:val="00B03EA1"/>
    <w:rsid w:val="00B13003"/>
    <w:rsid w:val="00B26B56"/>
    <w:rsid w:val="00B3147C"/>
    <w:rsid w:val="00B34750"/>
    <w:rsid w:val="00BB4ED0"/>
    <w:rsid w:val="00BC0E0D"/>
    <w:rsid w:val="00BC5D8E"/>
    <w:rsid w:val="00BC6AB3"/>
    <w:rsid w:val="00BD5239"/>
    <w:rsid w:val="00BD784E"/>
    <w:rsid w:val="00BE521E"/>
    <w:rsid w:val="00BE6863"/>
    <w:rsid w:val="00BE7FF5"/>
    <w:rsid w:val="00C03042"/>
    <w:rsid w:val="00C04DA1"/>
    <w:rsid w:val="00C06B29"/>
    <w:rsid w:val="00C174FB"/>
    <w:rsid w:val="00C56DCE"/>
    <w:rsid w:val="00C77DAD"/>
    <w:rsid w:val="00C954A5"/>
    <w:rsid w:val="00CA5774"/>
    <w:rsid w:val="00D02C5A"/>
    <w:rsid w:val="00D1118B"/>
    <w:rsid w:val="00D27549"/>
    <w:rsid w:val="00D36C66"/>
    <w:rsid w:val="00D54E2A"/>
    <w:rsid w:val="00D73CB9"/>
    <w:rsid w:val="00DA215C"/>
    <w:rsid w:val="00DA3963"/>
    <w:rsid w:val="00DB6B4C"/>
    <w:rsid w:val="00DB79E7"/>
    <w:rsid w:val="00DF4C09"/>
    <w:rsid w:val="00E03098"/>
    <w:rsid w:val="00E12B25"/>
    <w:rsid w:val="00E23B24"/>
    <w:rsid w:val="00E30EEB"/>
    <w:rsid w:val="00E378AF"/>
    <w:rsid w:val="00E485AB"/>
    <w:rsid w:val="00E71E70"/>
    <w:rsid w:val="00E9057F"/>
    <w:rsid w:val="00E93802"/>
    <w:rsid w:val="00EA03C9"/>
    <w:rsid w:val="00EA0FC5"/>
    <w:rsid w:val="00EC2AA4"/>
    <w:rsid w:val="00EF3605"/>
    <w:rsid w:val="00EF7AB7"/>
    <w:rsid w:val="00F00D0A"/>
    <w:rsid w:val="00F1230E"/>
    <w:rsid w:val="00F1277E"/>
    <w:rsid w:val="00F20B69"/>
    <w:rsid w:val="00F3429D"/>
    <w:rsid w:val="00F35949"/>
    <w:rsid w:val="00F5060C"/>
    <w:rsid w:val="00F84942"/>
    <w:rsid w:val="00FB33E9"/>
    <w:rsid w:val="00FB35C2"/>
    <w:rsid w:val="00FB63B7"/>
    <w:rsid w:val="00FF7AE1"/>
    <w:rsid w:val="05ACFFBB"/>
    <w:rsid w:val="061D87BD"/>
    <w:rsid w:val="0CFA1729"/>
    <w:rsid w:val="0DE41D9B"/>
    <w:rsid w:val="0E192FE1"/>
    <w:rsid w:val="0E83B8BC"/>
    <w:rsid w:val="0F3FC0B9"/>
    <w:rsid w:val="0FB50042"/>
    <w:rsid w:val="0FF7603C"/>
    <w:rsid w:val="101E7B48"/>
    <w:rsid w:val="104330AB"/>
    <w:rsid w:val="1150D0A3"/>
    <w:rsid w:val="11AF2C5D"/>
    <w:rsid w:val="1286AB96"/>
    <w:rsid w:val="1440AF16"/>
    <w:rsid w:val="14DC4EEE"/>
    <w:rsid w:val="15C84AD4"/>
    <w:rsid w:val="15DC7F77"/>
    <w:rsid w:val="15DD5730"/>
    <w:rsid w:val="1679E391"/>
    <w:rsid w:val="16D1E972"/>
    <w:rsid w:val="18085D34"/>
    <w:rsid w:val="1C22FB32"/>
    <w:rsid w:val="1C5987BD"/>
    <w:rsid w:val="1D596D43"/>
    <w:rsid w:val="1F19ADCE"/>
    <w:rsid w:val="1F3CBC26"/>
    <w:rsid w:val="20F66C55"/>
    <w:rsid w:val="213507DC"/>
    <w:rsid w:val="21C91965"/>
    <w:rsid w:val="227910FD"/>
    <w:rsid w:val="24F7F8BB"/>
    <w:rsid w:val="25792FC5"/>
    <w:rsid w:val="26A425B7"/>
    <w:rsid w:val="28C7F967"/>
    <w:rsid w:val="2B2AE590"/>
    <w:rsid w:val="2C8689F9"/>
    <w:rsid w:val="2D360802"/>
    <w:rsid w:val="2D5F3C46"/>
    <w:rsid w:val="2DBBC700"/>
    <w:rsid w:val="2EAAD282"/>
    <w:rsid w:val="31372FC1"/>
    <w:rsid w:val="31B20DD7"/>
    <w:rsid w:val="31C3B7ED"/>
    <w:rsid w:val="32D0A33D"/>
    <w:rsid w:val="35951CE0"/>
    <w:rsid w:val="388BB39A"/>
    <w:rsid w:val="38CFACE4"/>
    <w:rsid w:val="396C7D9C"/>
    <w:rsid w:val="3B4E0E3A"/>
    <w:rsid w:val="3E085BC9"/>
    <w:rsid w:val="3F340B89"/>
    <w:rsid w:val="429D71F6"/>
    <w:rsid w:val="4504D87D"/>
    <w:rsid w:val="450DD1D2"/>
    <w:rsid w:val="47EC5FED"/>
    <w:rsid w:val="4872CDB5"/>
    <w:rsid w:val="49CF6304"/>
    <w:rsid w:val="4A306807"/>
    <w:rsid w:val="4A913DE9"/>
    <w:rsid w:val="4BBBBBB7"/>
    <w:rsid w:val="4C4FD59B"/>
    <w:rsid w:val="4C61D9C0"/>
    <w:rsid w:val="4D0389F5"/>
    <w:rsid w:val="4D1B6527"/>
    <w:rsid w:val="4E96A4A7"/>
    <w:rsid w:val="4F5CFFB8"/>
    <w:rsid w:val="4FAB8678"/>
    <w:rsid w:val="5032A220"/>
    <w:rsid w:val="50A5779F"/>
    <w:rsid w:val="529BF727"/>
    <w:rsid w:val="5323E8C3"/>
    <w:rsid w:val="54EA750B"/>
    <w:rsid w:val="55488355"/>
    <w:rsid w:val="556BCDE4"/>
    <w:rsid w:val="5579F0B7"/>
    <w:rsid w:val="55B062DE"/>
    <w:rsid w:val="56BC2D53"/>
    <w:rsid w:val="5911DA96"/>
    <w:rsid w:val="59608478"/>
    <w:rsid w:val="5C461257"/>
    <w:rsid w:val="5EB9984E"/>
    <w:rsid w:val="5F9379D9"/>
    <w:rsid w:val="600B09F8"/>
    <w:rsid w:val="603F8C0A"/>
    <w:rsid w:val="61A6DA59"/>
    <w:rsid w:val="620DDE00"/>
    <w:rsid w:val="6675B4A1"/>
    <w:rsid w:val="67F3C712"/>
    <w:rsid w:val="687FF0F2"/>
    <w:rsid w:val="68B1D7BB"/>
    <w:rsid w:val="6DAD0468"/>
    <w:rsid w:val="6E665BC8"/>
    <w:rsid w:val="71821B7A"/>
    <w:rsid w:val="738B8352"/>
    <w:rsid w:val="74A82012"/>
    <w:rsid w:val="74BCB9E1"/>
    <w:rsid w:val="76535353"/>
    <w:rsid w:val="775E829F"/>
    <w:rsid w:val="78DD6D19"/>
    <w:rsid w:val="7B6BE337"/>
    <w:rsid w:val="7C8094BE"/>
    <w:rsid w:val="7CB38A78"/>
    <w:rsid w:val="7E35D9FB"/>
    <w:rsid w:val="7E4AD178"/>
    <w:rsid w:val="7E6F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750B"/>
  <w15:chartTrackingRefBased/>
  <w15:docId w15:val="{4C302D6B-7995-49A3-BD78-75D004DA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3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3B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1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8AE"/>
    <w:rPr>
      <w:rFonts w:ascii="Segoe UI" w:hAnsi="Segoe UI" w:cs="Segoe UI"/>
      <w:sz w:val="18"/>
      <w:szCs w:val="18"/>
    </w:rPr>
  </w:style>
  <w:style w:type="paragraph" w:styleId="BodyText">
    <w:name w:val="Body Text"/>
    <w:basedOn w:val="Normal"/>
    <w:link w:val="BodyTextChar"/>
    <w:uiPriority w:val="1"/>
    <w:qFormat/>
    <w:rsid w:val="003918AE"/>
    <w:pPr>
      <w:widowControl w:val="0"/>
      <w:autoSpaceDE w:val="0"/>
      <w:autoSpaceDN w:val="0"/>
      <w:spacing w:after="0" w:line="240" w:lineRule="auto"/>
    </w:pPr>
    <w:rPr>
      <w:rFonts w:ascii="Minion Pro" w:eastAsia="Minion Pro" w:hAnsi="Minion Pro" w:cs="Minion Pro"/>
      <w:sz w:val="21"/>
      <w:szCs w:val="21"/>
    </w:rPr>
  </w:style>
  <w:style w:type="character" w:customStyle="1" w:styleId="BodyTextChar">
    <w:name w:val="Body Text Char"/>
    <w:basedOn w:val="DefaultParagraphFont"/>
    <w:link w:val="BodyText"/>
    <w:uiPriority w:val="1"/>
    <w:rsid w:val="003918AE"/>
    <w:rPr>
      <w:rFonts w:ascii="Minion Pro" w:eastAsia="Minion Pro" w:hAnsi="Minion Pro" w:cs="Minion Pro"/>
      <w:sz w:val="21"/>
      <w:szCs w:val="21"/>
    </w:rPr>
  </w:style>
  <w:style w:type="paragraph" w:styleId="Revision">
    <w:name w:val="Revision"/>
    <w:hidden/>
    <w:uiPriority w:val="99"/>
    <w:semiHidden/>
    <w:rsid w:val="00AC510F"/>
    <w:pPr>
      <w:spacing w:after="0" w:line="240" w:lineRule="auto"/>
    </w:pPr>
  </w:style>
  <w:style w:type="paragraph" w:styleId="CommentSubject">
    <w:name w:val="annotation subject"/>
    <w:basedOn w:val="CommentText"/>
    <w:next w:val="CommentText"/>
    <w:link w:val="CommentSubjectChar"/>
    <w:uiPriority w:val="99"/>
    <w:semiHidden/>
    <w:unhideWhenUsed/>
    <w:rsid w:val="00AC510F"/>
    <w:rPr>
      <w:b/>
      <w:bCs/>
    </w:rPr>
  </w:style>
  <w:style w:type="character" w:customStyle="1" w:styleId="CommentSubjectChar">
    <w:name w:val="Comment Subject Char"/>
    <w:basedOn w:val="CommentTextChar"/>
    <w:link w:val="CommentSubject"/>
    <w:uiPriority w:val="99"/>
    <w:semiHidden/>
    <w:rsid w:val="00AC510F"/>
    <w:rPr>
      <w:b/>
      <w:bCs/>
      <w:sz w:val="20"/>
      <w:szCs w:val="20"/>
    </w:rPr>
  </w:style>
  <w:style w:type="character" w:styleId="FollowedHyperlink">
    <w:name w:val="FollowedHyperlink"/>
    <w:basedOn w:val="DefaultParagraphFont"/>
    <w:uiPriority w:val="99"/>
    <w:semiHidden/>
    <w:unhideWhenUsed/>
    <w:rsid w:val="001A4F47"/>
    <w:rPr>
      <w:color w:val="954F72" w:themeColor="followedHyperlink"/>
      <w:u w:val="single"/>
    </w:rPr>
  </w:style>
  <w:style w:type="character" w:styleId="UnresolvedMention">
    <w:name w:val="Unresolved Mention"/>
    <w:basedOn w:val="DefaultParagraphFont"/>
    <w:uiPriority w:val="99"/>
    <w:semiHidden/>
    <w:unhideWhenUsed/>
    <w:rsid w:val="001A4F47"/>
    <w:rPr>
      <w:color w:val="605E5C"/>
      <w:shd w:val="clear" w:color="auto" w:fill="E1DFDD"/>
    </w:rPr>
  </w:style>
  <w:style w:type="table" w:styleId="TableGrid">
    <w:name w:val="Table Grid"/>
    <w:basedOn w:val="TableNormal"/>
    <w:uiPriority w:val="39"/>
    <w:rsid w:val="00F2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DA396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DA3963"/>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23B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3B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23B2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A7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FBD"/>
  </w:style>
  <w:style w:type="paragraph" w:styleId="Footer">
    <w:name w:val="footer"/>
    <w:basedOn w:val="Normal"/>
    <w:link w:val="FooterChar"/>
    <w:uiPriority w:val="99"/>
    <w:unhideWhenUsed/>
    <w:rsid w:val="002A7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67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guides/masshealth-guidelines-for-medical-necessity-determination-for-mastectomy-for-gynecomastia" TargetMode="External"/><Relationship Id="rId18" Type="http://schemas.openxmlformats.org/officeDocument/2006/relationships/hyperlink" Target="https://www.mass.gov/lists/physician-manual-for-masshealth-provid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ss.gov/lists/all-provider-bulletins" TargetMode="External"/><Relationship Id="rId7" Type="http://schemas.openxmlformats.org/officeDocument/2006/relationships/settings" Target="settings.xml"/><Relationship Id="rId12" Type="http://schemas.openxmlformats.org/officeDocument/2006/relationships/hyperlink" Target="https://www.mass.gov/guides/masshealth-guidelines-for-medical-necessity-determination-for-reduction-mammoplasty" TargetMode="External"/><Relationship Id="rId17" Type="http://schemas.openxmlformats.org/officeDocument/2006/relationships/hyperlink" Target="https://www.mass.gov/regulations/130-CMR-450000-administrative-and-billing-regulat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ass.gov/regulations/130-CMR-410000-outpatient-hospital-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guides/masshealth-guidelines-for-medical-necessity-determination-for-breast-reconstruction" TargetMode="External"/><Relationship Id="rId24" Type="http://schemas.openxmlformats.org/officeDocument/2006/relationships/hyperlink" Target="https://www.plasticsurgery.org/documents/Health-Policy/Reimbursement/insurance-2017-skin-redundancy-for-obese-and-massive-weight-loss-patients.pdf" TargetMode="External"/><Relationship Id="rId5" Type="http://schemas.openxmlformats.org/officeDocument/2006/relationships/numbering" Target="numbering.xml"/><Relationship Id="rId15" Type="http://schemas.openxmlformats.org/officeDocument/2006/relationships/hyperlink" Target="https://www.mass.gov/regulations/130-CMR-433000-physician-services" TargetMode="External"/><Relationship Id="rId23" Type="http://schemas.openxmlformats.org/officeDocument/2006/relationships/hyperlink" Target="https://www.plasticsurgery.org/documents/Health-Policy/Guidelines/guideline-2017-skin-redundancy.pdf" TargetMode="External"/><Relationship Id="rId10" Type="http://schemas.openxmlformats.org/officeDocument/2006/relationships/endnotes" Target="endnotes.xml"/><Relationship Id="rId19" Type="http://schemas.openxmlformats.org/officeDocument/2006/relationships/hyperlink" Target="https://www.mass.gov/lists/acute-outpatient-hospital-manual-for-masshealth-prov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30-CMR-415000-acute-inpatient-hospital-services" TargetMode="External"/><Relationship Id="rId22" Type="http://schemas.openxmlformats.org/officeDocument/2006/relationships/hyperlink" Target="https://www.mass.gov/prior-authorization-for-masshealth-provid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83811afd2ce910a86b260e85478a13d1">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cc38bc362932e7b91796fa025d96ac5"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01E49-2EEC-49E1-998D-BB383A8D77D2}">
  <ds:schemaRefs>
    <ds:schemaRef ds:uri="http://schemas.openxmlformats.org/officeDocument/2006/bibliography"/>
  </ds:schemaRefs>
</ds:datastoreItem>
</file>

<file path=customXml/itemProps2.xml><?xml version="1.0" encoding="utf-8"?>
<ds:datastoreItem xmlns:ds="http://schemas.openxmlformats.org/officeDocument/2006/customXml" ds:itemID="{8F4B5602-EFFA-4755-9DC4-436140EB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E24AA-709A-4807-9DA6-A7182228B7BF}">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4.xml><?xml version="1.0" encoding="utf-8"?>
<ds:datastoreItem xmlns:ds="http://schemas.openxmlformats.org/officeDocument/2006/customXml" ds:itemID="{EC2BC275-5B71-4AA5-89B5-83FAA626A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Swamy, Lakshman (EHS)</dc:creator>
  <cp:keywords/>
  <dc:description/>
  <cp:lastModifiedBy>Luca, Joseph (EHS)</cp:lastModifiedBy>
  <cp:revision>3</cp:revision>
  <dcterms:created xsi:type="dcterms:W3CDTF">2024-04-23T18:11:00Z</dcterms:created>
  <dcterms:modified xsi:type="dcterms:W3CDTF">2024-04-23T18:18:00Z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