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0CD08" w14:textId="42B2BA14" w:rsidR="00C972E9" w:rsidRDefault="06B52D76" w:rsidP="0BCB2AF2">
      <w:pPr>
        <w:pStyle w:val="Title"/>
        <w:spacing w:after="300"/>
        <w:rPr>
          <w:rFonts w:ascii="Cambria" w:eastAsia="Cambria" w:hAnsi="Cambria" w:cs="Cambria"/>
          <w:color w:val="17365D"/>
          <w:sz w:val="52"/>
          <w:szCs w:val="52"/>
        </w:rPr>
      </w:pPr>
      <w:r w:rsidRPr="0BCB2AF2">
        <w:rPr>
          <w:rFonts w:ascii="Cambria" w:eastAsia="Cambria" w:hAnsi="Cambria" w:cs="Cambria"/>
          <w:color w:val="17365D"/>
          <w:sz w:val="52"/>
          <w:szCs w:val="52"/>
        </w:rPr>
        <w:t>Guidelines for Medical Necessity Determination for Skin Substitutes</w:t>
      </w:r>
    </w:p>
    <w:p w14:paraId="6D718E58" w14:textId="0A15441A" w:rsidR="009167A4" w:rsidRDefault="009167A4" w:rsidP="0BCB2AF2">
      <w:pPr>
        <w:spacing w:after="200" w:line="276" w:lineRule="auto"/>
        <w:rPr>
          <w:rFonts w:ascii="Calibri" w:eastAsia="Calibri" w:hAnsi="Calibri" w:cs="Calibri"/>
          <w:color w:val="000000" w:themeColor="text1"/>
        </w:rPr>
      </w:pPr>
      <w:r>
        <w:rPr>
          <w:rFonts w:ascii="Calibri" w:eastAsia="Calibri" w:hAnsi="Calibri" w:cs="Calibri"/>
          <w:color w:val="000000" w:themeColor="text1"/>
        </w:rPr>
        <w:t>MNG-SS (</w:t>
      </w:r>
      <w:r w:rsidR="0083615D">
        <w:rPr>
          <w:rFonts w:ascii="Calibri" w:eastAsia="Calibri" w:hAnsi="Calibri" w:cs="Calibri"/>
          <w:color w:val="000000" w:themeColor="text1"/>
        </w:rPr>
        <w:t>02</w:t>
      </w:r>
      <w:r>
        <w:rPr>
          <w:rFonts w:ascii="Calibri" w:eastAsia="Calibri" w:hAnsi="Calibri" w:cs="Calibri"/>
          <w:color w:val="000000" w:themeColor="text1"/>
        </w:rPr>
        <w:t>/24)</w:t>
      </w:r>
    </w:p>
    <w:p w14:paraId="6627249B" w14:textId="095C4159" w:rsidR="00C972E9" w:rsidRDefault="06B52D76" w:rsidP="0BCB2AF2">
      <w:pPr>
        <w:spacing w:after="200" w:line="276" w:lineRule="auto"/>
        <w:rPr>
          <w:rFonts w:ascii="Calibri" w:eastAsia="Calibri" w:hAnsi="Calibri" w:cs="Calibri"/>
          <w:color w:val="000000" w:themeColor="text1"/>
        </w:rPr>
      </w:pPr>
      <w:r w:rsidRPr="0BCB2AF2">
        <w:rPr>
          <w:rFonts w:ascii="Calibri" w:eastAsia="Calibri" w:hAnsi="Calibri" w:cs="Calibri"/>
          <w:color w:val="000000" w:themeColor="text1"/>
        </w:rPr>
        <w:t xml:space="preserve">This edition of the Guidelines for Medical Necessity Determination (Guidelines) identifies the clinical information that MassHealth needs to determine medical necessity for </w:t>
      </w:r>
      <w:r w:rsidR="00442E41">
        <w:rPr>
          <w:rFonts w:ascii="Calibri" w:eastAsia="Calibri" w:hAnsi="Calibri" w:cs="Calibri"/>
          <w:color w:val="000000" w:themeColor="text1"/>
        </w:rPr>
        <w:t>s</w:t>
      </w:r>
      <w:r w:rsidRPr="0BCB2AF2">
        <w:rPr>
          <w:rFonts w:ascii="Calibri" w:eastAsia="Calibri" w:hAnsi="Calibri" w:cs="Calibri"/>
          <w:color w:val="000000" w:themeColor="text1"/>
        </w:rPr>
        <w:t xml:space="preserve">kin </w:t>
      </w:r>
      <w:r w:rsidR="00442E41">
        <w:rPr>
          <w:rFonts w:ascii="Calibri" w:eastAsia="Calibri" w:hAnsi="Calibri" w:cs="Calibri"/>
          <w:color w:val="000000" w:themeColor="text1"/>
        </w:rPr>
        <w:t>s</w:t>
      </w:r>
      <w:r w:rsidRPr="0BCB2AF2">
        <w:rPr>
          <w:rFonts w:ascii="Calibri" w:eastAsia="Calibri" w:hAnsi="Calibri" w:cs="Calibri"/>
          <w:color w:val="000000" w:themeColor="text1"/>
        </w:rPr>
        <w:t>ubstitutes. These Guidelines are based on generally accepted standards of practice, review of the medical literature, and federal and state policies and laws applicable to Medicaid programs.</w:t>
      </w:r>
    </w:p>
    <w:p w14:paraId="1755E19C" w14:textId="2A06A90F" w:rsidR="00C972E9" w:rsidRDefault="06B52D76" w:rsidP="0BCB2AF2">
      <w:pPr>
        <w:pStyle w:val="BasicParagraph"/>
        <w:spacing w:line="288" w:lineRule="auto"/>
        <w:rPr>
          <w:rFonts w:ascii="Calibri" w:eastAsia="Calibri" w:hAnsi="Calibri" w:cs="Calibri"/>
          <w:sz w:val="22"/>
          <w:szCs w:val="22"/>
        </w:rPr>
      </w:pPr>
      <w:r w:rsidRPr="4D1C6062">
        <w:rPr>
          <w:rFonts w:ascii="Calibri" w:eastAsia="Calibri" w:hAnsi="Calibri" w:cs="Calibri"/>
          <w:sz w:val="22"/>
          <w:szCs w:val="22"/>
        </w:rPr>
        <w:t xml:space="preserve">Providers should consult MassHealth regulations at </w:t>
      </w:r>
      <w:hyperlink r:id="rId10">
        <w:r w:rsidRPr="4D1C6062">
          <w:rPr>
            <w:rStyle w:val="Hyperlink"/>
            <w:rFonts w:ascii="Calibri" w:eastAsia="Calibri" w:hAnsi="Calibri" w:cs="Calibri"/>
            <w:sz w:val="22"/>
            <w:szCs w:val="22"/>
          </w:rPr>
          <w:t xml:space="preserve">130 CMR 415.000: </w:t>
        </w:r>
        <w:r w:rsidRPr="4D1C6062">
          <w:rPr>
            <w:rStyle w:val="Hyperlink"/>
            <w:rFonts w:ascii="Calibri" w:eastAsia="Calibri" w:hAnsi="Calibri" w:cs="Calibri"/>
            <w:i/>
            <w:iCs/>
            <w:sz w:val="22"/>
            <w:szCs w:val="22"/>
          </w:rPr>
          <w:t>Acute Inpatient Hospital Services</w:t>
        </w:r>
      </w:hyperlink>
      <w:r w:rsidRPr="009167A4">
        <w:rPr>
          <w:rFonts w:ascii="Calibri" w:eastAsia="Calibri" w:hAnsi="Calibri" w:cs="Calibri"/>
          <w:sz w:val="22"/>
          <w:szCs w:val="22"/>
        </w:rPr>
        <w:t>,</w:t>
      </w:r>
      <w:r w:rsidRPr="4D1C6062">
        <w:rPr>
          <w:rFonts w:ascii="Calibri" w:eastAsia="Calibri" w:hAnsi="Calibri" w:cs="Calibri"/>
          <w:sz w:val="22"/>
          <w:szCs w:val="22"/>
        </w:rPr>
        <w:t xml:space="preserve"> </w:t>
      </w:r>
      <w:hyperlink r:id="rId11">
        <w:r w:rsidRPr="4D1C6062">
          <w:rPr>
            <w:rStyle w:val="Hyperlink"/>
            <w:rFonts w:ascii="Calibri" w:eastAsia="Calibri" w:hAnsi="Calibri" w:cs="Calibri"/>
            <w:sz w:val="22"/>
            <w:szCs w:val="22"/>
          </w:rPr>
          <w:t xml:space="preserve">130 CMR 433.000: </w:t>
        </w:r>
        <w:r w:rsidRPr="4D1C6062">
          <w:rPr>
            <w:rStyle w:val="Hyperlink"/>
            <w:rFonts w:ascii="Calibri" w:eastAsia="Calibri" w:hAnsi="Calibri" w:cs="Calibri"/>
            <w:i/>
            <w:iCs/>
            <w:sz w:val="22"/>
            <w:szCs w:val="22"/>
          </w:rPr>
          <w:t>Physician Services</w:t>
        </w:r>
      </w:hyperlink>
      <w:r w:rsidRPr="4D1C6062">
        <w:rPr>
          <w:rFonts w:ascii="Calibri" w:eastAsia="Calibri" w:hAnsi="Calibri" w:cs="Calibri"/>
          <w:sz w:val="22"/>
          <w:szCs w:val="22"/>
        </w:rPr>
        <w:t xml:space="preserve">, </w:t>
      </w:r>
      <w:hyperlink r:id="rId12">
        <w:r w:rsidRPr="4D1C6062">
          <w:rPr>
            <w:rStyle w:val="Hyperlink"/>
            <w:rFonts w:ascii="Calibri" w:eastAsia="Calibri" w:hAnsi="Calibri" w:cs="Calibri"/>
            <w:sz w:val="22"/>
            <w:szCs w:val="22"/>
          </w:rPr>
          <w:t xml:space="preserve">130 CMR 410.000: </w:t>
        </w:r>
        <w:r w:rsidRPr="4D1C6062">
          <w:rPr>
            <w:rStyle w:val="Hyperlink"/>
            <w:rFonts w:ascii="Calibri" w:eastAsia="Calibri" w:hAnsi="Calibri" w:cs="Calibri"/>
            <w:i/>
            <w:iCs/>
            <w:sz w:val="22"/>
            <w:szCs w:val="22"/>
          </w:rPr>
          <w:t>Outpatient Hospital Services</w:t>
        </w:r>
      </w:hyperlink>
      <w:r w:rsidRPr="4D1C6062">
        <w:rPr>
          <w:rFonts w:ascii="Calibri" w:eastAsia="Calibri" w:hAnsi="Calibri" w:cs="Calibri"/>
          <w:sz w:val="22"/>
          <w:szCs w:val="22"/>
        </w:rPr>
        <w:t xml:space="preserve">, </w:t>
      </w:r>
      <w:hyperlink r:id="rId13">
        <w:r w:rsidRPr="4D1C6062">
          <w:rPr>
            <w:rStyle w:val="Hyperlink"/>
            <w:rFonts w:ascii="Calibri" w:eastAsia="Calibri" w:hAnsi="Calibri" w:cs="Calibri"/>
            <w:sz w:val="22"/>
            <w:szCs w:val="22"/>
          </w:rPr>
          <w:t xml:space="preserve">130 CMR 450.000: </w:t>
        </w:r>
        <w:r w:rsidRPr="4D1C6062">
          <w:rPr>
            <w:rStyle w:val="Hyperlink"/>
            <w:rFonts w:ascii="Calibri" w:eastAsia="Calibri" w:hAnsi="Calibri" w:cs="Calibri"/>
            <w:i/>
            <w:iCs/>
            <w:sz w:val="22"/>
            <w:szCs w:val="22"/>
          </w:rPr>
          <w:t>Administrative and Billing Regulations</w:t>
        </w:r>
      </w:hyperlink>
      <w:r w:rsidRPr="4D1C6062">
        <w:rPr>
          <w:rFonts w:ascii="Calibri" w:eastAsia="Calibri" w:hAnsi="Calibri" w:cs="Calibri"/>
          <w:sz w:val="22"/>
          <w:szCs w:val="22"/>
        </w:rPr>
        <w:t xml:space="preserve">, </w:t>
      </w:r>
      <w:hyperlink r:id="rId14" w:anchor="subchapter-6:-physician-service-codes-">
        <w:r w:rsidRPr="4D1C6062">
          <w:rPr>
            <w:rStyle w:val="Hyperlink"/>
            <w:rFonts w:ascii="Calibri" w:eastAsia="Calibri" w:hAnsi="Calibri" w:cs="Calibri"/>
            <w:sz w:val="22"/>
            <w:szCs w:val="22"/>
          </w:rPr>
          <w:t xml:space="preserve">Subchapter 6 of the </w:t>
        </w:r>
        <w:r w:rsidRPr="4D1C6062">
          <w:rPr>
            <w:rStyle w:val="Hyperlink"/>
            <w:rFonts w:ascii="Calibri" w:eastAsia="Calibri" w:hAnsi="Calibri" w:cs="Calibri"/>
            <w:i/>
            <w:iCs/>
            <w:sz w:val="22"/>
            <w:szCs w:val="22"/>
          </w:rPr>
          <w:t>Physician Manual</w:t>
        </w:r>
      </w:hyperlink>
      <w:r w:rsidRPr="4D1C6062">
        <w:rPr>
          <w:rFonts w:ascii="Calibri" w:eastAsia="Calibri" w:hAnsi="Calibri" w:cs="Calibri"/>
          <w:sz w:val="22"/>
          <w:szCs w:val="22"/>
        </w:rPr>
        <w:t xml:space="preserve">, and </w:t>
      </w:r>
      <w:hyperlink r:id="rId15" w:anchor="subchapter-6:-acute-outpatient-hospital-service-codes-">
        <w:r w:rsidRPr="4D1C6062">
          <w:rPr>
            <w:rStyle w:val="Hyperlink"/>
            <w:rFonts w:ascii="Calibri" w:eastAsia="Calibri" w:hAnsi="Calibri" w:cs="Calibri"/>
            <w:sz w:val="22"/>
            <w:szCs w:val="22"/>
          </w:rPr>
          <w:t xml:space="preserve">Subchapter 6 of the </w:t>
        </w:r>
        <w:r w:rsidRPr="4D1C6062">
          <w:rPr>
            <w:rStyle w:val="Hyperlink"/>
            <w:rFonts w:ascii="Calibri" w:eastAsia="Calibri" w:hAnsi="Calibri" w:cs="Calibri"/>
            <w:i/>
            <w:iCs/>
            <w:sz w:val="22"/>
            <w:szCs w:val="22"/>
          </w:rPr>
          <w:t>Acute Outpatient Hospital Manual</w:t>
        </w:r>
      </w:hyperlink>
      <w:r w:rsidRPr="4D1C6062">
        <w:rPr>
          <w:rFonts w:ascii="Calibri" w:eastAsia="Calibri" w:hAnsi="Calibri" w:cs="Calibri"/>
          <w:i/>
          <w:iCs/>
          <w:sz w:val="22"/>
          <w:szCs w:val="22"/>
        </w:rPr>
        <w:t xml:space="preserve"> </w:t>
      </w:r>
      <w:r w:rsidRPr="4D1C6062">
        <w:rPr>
          <w:rFonts w:ascii="Calibri" w:eastAsia="Calibri" w:hAnsi="Calibri" w:cs="Calibri"/>
          <w:sz w:val="22"/>
          <w:szCs w:val="22"/>
        </w:rPr>
        <w:t>for information about coverage, limitations, service conditions, and other prior-authorization (PA) requirements.</w:t>
      </w:r>
    </w:p>
    <w:p w14:paraId="539706DD" w14:textId="00B816BF" w:rsidR="00C972E9" w:rsidRDefault="4024721B" w:rsidP="1D336B3A">
      <w:pPr>
        <w:spacing w:after="200" w:line="276" w:lineRule="auto"/>
        <w:rPr>
          <w:rFonts w:ascii="Calibri" w:eastAsia="Calibri" w:hAnsi="Calibri" w:cs="Calibri"/>
        </w:rPr>
      </w:pPr>
      <w:r w:rsidRPr="1D336B3A">
        <w:rPr>
          <w:rFonts w:ascii="Calibri" w:eastAsia="Calibri" w:hAnsi="Calibri" w:cs="Calibri"/>
        </w:rPr>
        <w:t>Providers serving members enrolled in a MassHealth-contracted accountable care partnership plan (ACPP), managed care organization (MCO), One Care organization, Senior Care Organization (SCO), or Program of All-inclusive Care for the Elderly (PACE) should refer to the ACPP’s, MCO’s, One Care organization’s, SCO’s, or PACE’s medical policies, respectively, for covered services.</w:t>
      </w:r>
    </w:p>
    <w:p w14:paraId="19068DA7" w14:textId="5D919ABD" w:rsidR="00C972E9" w:rsidRDefault="7299B3AB" w:rsidP="4D1C6062">
      <w:pPr>
        <w:spacing w:after="200" w:line="276" w:lineRule="auto"/>
        <w:rPr>
          <w:rFonts w:ascii="Calibri" w:eastAsia="Calibri" w:hAnsi="Calibri" w:cs="Calibri"/>
          <w:color w:val="000000" w:themeColor="text1"/>
        </w:rPr>
      </w:pPr>
      <w:r w:rsidRPr="4D1C6062">
        <w:rPr>
          <w:rFonts w:ascii="Calibri" w:eastAsia="Calibri" w:hAnsi="Calibri" w:cs="Calibri"/>
          <w:color w:val="000000" w:themeColor="text1"/>
        </w:rPr>
        <w:t>MassHealth reviews requests for PA</w:t>
      </w:r>
      <w:r w:rsidR="7CFF2B7A" w:rsidRPr="4D1C6062">
        <w:rPr>
          <w:rFonts w:ascii="Calibri" w:eastAsia="Calibri" w:hAnsi="Calibri" w:cs="Calibri"/>
          <w:color w:val="000000" w:themeColor="text1"/>
        </w:rPr>
        <w:t xml:space="preserve"> for certain skin</w:t>
      </w:r>
      <w:r w:rsidR="00CC2428">
        <w:rPr>
          <w:rFonts w:ascii="Calibri" w:eastAsia="Calibri" w:hAnsi="Calibri" w:cs="Calibri"/>
          <w:color w:val="000000" w:themeColor="text1"/>
        </w:rPr>
        <w:t>-</w:t>
      </w:r>
      <w:r w:rsidR="7CFF2B7A" w:rsidRPr="4D1C6062">
        <w:rPr>
          <w:rFonts w:ascii="Calibri" w:eastAsia="Calibri" w:hAnsi="Calibri" w:cs="Calibri"/>
          <w:color w:val="000000" w:themeColor="text1"/>
        </w:rPr>
        <w:t>substitute products</w:t>
      </w:r>
      <w:r w:rsidRPr="4D1C6062">
        <w:rPr>
          <w:rFonts w:ascii="Calibri" w:eastAsia="Calibri" w:hAnsi="Calibri" w:cs="Calibri"/>
          <w:color w:val="000000" w:themeColor="text1"/>
        </w:rPr>
        <w:t xml:space="preserve"> on the basis of medical necessity. If MassHealth approves the request, payment is still subject to all general conditions of MassHealth, including member eligibility, other insurance, and program restrictions.</w:t>
      </w:r>
    </w:p>
    <w:p w14:paraId="47B540EB" w14:textId="1424071C" w:rsidR="00C972E9" w:rsidRDefault="7299B3AB" w:rsidP="0BCB2AF2">
      <w:pPr>
        <w:pStyle w:val="Heading1"/>
        <w:spacing w:before="480" w:line="276" w:lineRule="auto"/>
        <w:rPr>
          <w:rFonts w:ascii="Cambria" w:eastAsia="Cambria" w:hAnsi="Cambria" w:cs="Cambria"/>
          <w:b/>
          <w:bCs/>
          <w:color w:val="365F91"/>
          <w:sz w:val="28"/>
          <w:szCs w:val="28"/>
        </w:rPr>
      </w:pPr>
      <w:r w:rsidRPr="326E3735">
        <w:rPr>
          <w:rFonts w:ascii="Cambria" w:eastAsia="Cambria" w:hAnsi="Cambria" w:cs="Cambria"/>
          <w:b/>
          <w:bCs/>
          <w:color w:val="365F91"/>
          <w:sz w:val="28"/>
          <w:szCs w:val="28"/>
        </w:rPr>
        <w:t>Section I. General Information</w:t>
      </w:r>
    </w:p>
    <w:p w14:paraId="027CE462" w14:textId="1C58A4D6" w:rsidR="00C972E9" w:rsidRDefault="61DFFC1B" w:rsidP="326E3735">
      <w:pPr>
        <w:spacing w:after="200" w:line="276" w:lineRule="auto"/>
        <w:rPr>
          <w:rFonts w:ascii="Calibri" w:eastAsia="Calibri" w:hAnsi="Calibri" w:cs="Calibri"/>
          <w:color w:val="000000" w:themeColor="text1"/>
        </w:rPr>
      </w:pPr>
      <w:r>
        <w:br/>
      </w:r>
      <w:r w:rsidRPr="4A494498">
        <w:rPr>
          <w:rFonts w:ascii="Calibri" w:eastAsia="Calibri" w:hAnsi="Calibri" w:cs="Calibri"/>
          <w:color w:val="000000" w:themeColor="text1"/>
        </w:rPr>
        <w:t>Skin substitutes are cellular</w:t>
      </w:r>
      <w:r w:rsidR="00E143BB">
        <w:rPr>
          <w:rFonts w:ascii="Calibri" w:eastAsia="Calibri" w:hAnsi="Calibri" w:cs="Calibri"/>
          <w:color w:val="000000" w:themeColor="text1"/>
        </w:rPr>
        <w:t>-</w:t>
      </w:r>
      <w:r w:rsidRPr="4A494498">
        <w:rPr>
          <w:rFonts w:ascii="Calibri" w:eastAsia="Calibri" w:hAnsi="Calibri" w:cs="Calibri"/>
          <w:color w:val="000000" w:themeColor="text1"/>
        </w:rPr>
        <w:t xml:space="preserve"> and tissue-based products that may be derived from human tissue (autologous or allogeneic), nonhuman tissue (xenogeneic), synthetic materials, or a composite of these sources to replicate the functional and structural characteristics of normal skin. They are important adjuncts in the management of acute and chronic wounds, specifically for partial- and full-thickness skin loss in neuropathic diabetic ulcers, chronic venous ulcers, and pressure injuries. They can provide temporary or permanent coverage of open skin wounds following burns or injuries and be used for reconstruction. Skin substitutes have demonstrated benefits (in reduced healing time, pain, and post-operative contractures) when used alone or in addition to the standard of care for these conditions, and in situations where conservative treatment may appear insufficient to provide complete healing. </w:t>
      </w:r>
    </w:p>
    <w:p w14:paraId="3BA9A393" w14:textId="2F73ABAA" w:rsidR="49175D78" w:rsidRDefault="7F4B606C" w:rsidP="1D336B3A">
      <w:pPr>
        <w:spacing w:after="200" w:line="276" w:lineRule="auto"/>
        <w:rPr>
          <w:rFonts w:ascii="Calibri" w:eastAsia="Calibri" w:hAnsi="Calibri" w:cs="Calibri"/>
          <w:color w:val="000000" w:themeColor="text1"/>
        </w:rPr>
      </w:pPr>
      <w:r w:rsidRPr="1D336B3A">
        <w:rPr>
          <w:rFonts w:ascii="Calibri" w:eastAsia="Calibri" w:hAnsi="Calibri" w:cs="Calibri"/>
          <w:color w:val="000000" w:themeColor="text1"/>
        </w:rPr>
        <w:t>Specific manufacturing process</w:t>
      </w:r>
      <w:r w:rsidR="00DC7EE3">
        <w:rPr>
          <w:rFonts w:ascii="Calibri" w:eastAsia="Calibri" w:hAnsi="Calibri" w:cs="Calibri"/>
          <w:color w:val="000000" w:themeColor="text1"/>
        </w:rPr>
        <w:t>es</w:t>
      </w:r>
      <w:r w:rsidRPr="1D336B3A">
        <w:rPr>
          <w:rFonts w:ascii="Calibri" w:eastAsia="Calibri" w:hAnsi="Calibri" w:cs="Calibri"/>
          <w:color w:val="000000" w:themeColor="text1"/>
        </w:rPr>
        <w:t xml:space="preserve"> vary by company, but generally involve seeding selected cells onto a matrix, where they receive proteins and growth factors necessary to multiply and develop into the desired tissue. </w:t>
      </w:r>
      <w:r w:rsidR="3233B95D" w:rsidRPr="1D336B3A">
        <w:rPr>
          <w:rFonts w:ascii="Calibri" w:eastAsia="Calibri" w:hAnsi="Calibri" w:cs="Calibri"/>
          <w:color w:val="000000" w:themeColor="text1"/>
        </w:rPr>
        <w:t xml:space="preserve">Since wound healing tends to be unique to the individual, the choice of skin substitute used needs to be carefully considered. Some factors that may inform decision-making are the </w:t>
      </w:r>
      <w:r w:rsidR="0D8D3C8D" w:rsidRPr="1D336B3A">
        <w:rPr>
          <w:rFonts w:ascii="Calibri" w:eastAsia="Calibri" w:hAnsi="Calibri" w:cs="Calibri"/>
          <w:color w:val="000000" w:themeColor="text1"/>
        </w:rPr>
        <w:t>type</w:t>
      </w:r>
      <w:r w:rsidR="3233B95D" w:rsidRPr="1D336B3A">
        <w:rPr>
          <w:rFonts w:ascii="Calibri" w:eastAsia="Calibri" w:hAnsi="Calibri" w:cs="Calibri"/>
          <w:color w:val="000000" w:themeColor="text1"/>
        </w:rPr>
        <w:t xml:space="preserve"> of </w:t>
      </w:r>
      <w:r w:rsidR="3233B95D" w:rsidRPr="1D336B3A">
        <w:rPr>
          <w:rFonts w:ascii="Calibri" w:eastAsia="Calibri" w:hAnsi="Calibri" w:cs="Calibri"/>
          <w:color w:val="000000" w:themeColor="text1"/>
        </w:rPr>
        <w:lastRenderedPageBreak/>
        <w:t>skin substitutes available</w:t>
      </w:r>
      <w:r w:rsidR="0083615D">
        <w:rPr>
          <w:rFonts w:ascii="Calibri" w:eastAsia="Calibri" w:hAnsi="Calibri" w:cs="Calibri"/>
          <w:color w:val="000000" w:themeColor="text1"/>
        </w:rPr>
        <w:t>;</w:t>
      </w:r>
      <w:r w:rsidR="0083615D" w:rsidRPr="1D336B3A">
        <w:rPr>
          <w:rFonts w:ascii="Calibri" w:eastAsia="Calibri" w:hAnsi="Calibri" w:cs="Calibri"/>
          <w:color w:val="000000" w:themeColor="text1"/>
        </w:rPr>
        <w:t xml:space="preserve"> </w:t>
      </w:r>
      <w:r w:rsidR="3233B95D" w:rsidRPr="1D336B3A">
        <w:rPr>
          <w:rFonts w:ascii="Calibri" w:eastAsia="Calibri" w:hAnsi="Calibri" w:cs="Calibri"/>
          <w:color w:val="000000" w:themeColor="text1"/>
        </w:rPr>
        <w:t>indications</w:t>
      </w:r>
      <w:r w:rsidR="0083615D">
        <w:rPr>
          <w:rFonts w:ascii="Calibri" w:eastAsia="Calibri" w:hAnsi="Calibri" w:cs="Calibri"/>
          <w:color w:val="000000" w:themeColor="text1"/>
        </w:rPr>
        <w:t>;</w:t>
      </w:r>
      <w:r w:rsidR="0083615D" w:rsidRPr="1D336B3A">
        <w:rPr>
          <w:rFonts w:ascii="Calibri" w:eastAsia="Calibri" w:hAnsi="Calibri" w:cs="Calibri"/>
          <w:color w:val="000000" w:themeColor="text1"/>
        </w:rPr>
        <w:t xml:space="preserve"> </w:t>
      </w:r>
      <w:r w:rsidR="3233B95D" w:rsidRPr="1D336B3A">
        <w:rPr>
          <w:rFonts w:ascii="Calibri" w:eastAsia="Calibri" w:hAnsi="Calibri" w:cs="Calibri"/>
          <w:color w:val="000000" w:themeColor="text1"/>
        </w:rPr>
        <w:t>wound</w:t>
      </w:r>
      <w:r w:rsidR="2A09B9C1" w:rsidRPr="1D336B3A">
        <w:rPr>
          <w:rFonts w:ascii="Calibri" w:eastAsia="Calibri" w:hAnsi="Calibri" w:cs="Calibri"/>
          <w:color w:val="000000" w:themeColor="text1"/>
        </w:rPr>
        <w:t xml:space="preserve"> type</w:t>
      </w:r>
      <w:r w:rsidR="0083615D">
        <w:rPr>
          <w:rFonts w:ascii="Calibri" w:eastAsia="Calibri" w:hAnsi="Calibri" w:cs="Calibri"/>
          <w:color w:val="000000" w:themeColor="text1"/>
        </w:rPr>
        <w:t>;</w:t>
      </w:r>
      <w:r w:rsidR="0083615D" w:rsidRPr="1D336B3A">
        <w:rPr>
          <w:rFonts w:ascii="Calibri" w:eastAsia="Calibri" w:hAnsi="Calibri" w:cs="Calibri"/>
          <w:color w:val="000000" w:themeColor="text1"/>
        </w:rPr>
        <w:t xml:space="preserve"> </w:t>
      </w:r>
      <w:r w:rsidR="3233B95D" w:rsidRPr="1D336B3A">
        <w:rPr>
          <w:rFonts w:ascii="Calibri" w:eastAsia="Calibri" w:hAnsi="Calibri" w:cs="Calibri"/>
          <w:color w:val="000000" w:themeColor="text1"/>
        </w:rPr>
        <w:t>etiology</w:t>
      </w:r>
      <w:r w:rsidR="0083615D">
        <w:rPr>
          <w:rFonts w:ascii="Calibri" w:eastAsia="Calibri" w:hAnsi="Calibri" w:cs="Calibri"/>
          <w:color w:val="000000" w:themeColor="text1"/>
        </w:rPr>
        <w:t>;</w:t>
      </w:r>
      <w:r w:rsidR="0083615D" w:rsidRPr="1D336B3A">
        <w:rPr>
          <w:rFonts w:ascii="Calibri" w:eastAsia="Calibri" w:hAnsi="Calibri" w:cs="Calibri"/>
          <w:color w:val="000000" w:themeColor="text1"/>
        </w:rPr>
        <w:t xml:space="preserve"> </w:t>
      </w:r>
      <w:r w:rsidR="3233B95D" w:rsidRPr="1D336B3A">
        <w:rPr>
          <w:rFonts w:ascii="Calibri" w:eastAsia="Calibri" w:hAnsi="Calibri" w:cs="Calibri"/>
          <w:color w:val="000000" w:themeColor="text1"/>
        </w:rPr>
        <w:t>skin component that requires replacement</w:t>
      </w:r>
      <w:r w:rsidR="0083615D">
        <w:rPr>
          <w:rFonts w:ascii="Calibri" w:eastAsia="Calibri" w:hAnsi="Calibri" w:cs="Calibri"/>
          <w:color w:val="000000" w:themeColor="text1"/>
        </w:rPr>
        <w:t>;</w:t>
      </w:r>
      <w:r w:rsidR="0083615D" w:rsidRPr="1D336B3A">
        <w:rPr>
          <w:rFonts w:ascii="Calibri" w:eastAsia="Calibri" w:hAnsi="Calibri" w:cs="Calibri"/>
          <w:color w:val="000000" w:themeColor="text1"/>
        </w:rPr>
        <w:t xml:space="preserve"> </w:t>
      </w:r>
      <w:r w:rsidR="3233B95D" w:rsidRPr="1D336B3A">
        <w:rPr>
          <w:rFonts w:ascii="Calibri" w:eastAsia="Calibri" w:hAnsi="Calibri" w:cs="Calibri"/>
          <w:color w:val="000000" w:themeColor="text1"/>
        </w:rPr>
        <w:t>and desired outcomes.</w:t>
      </w:r>
      <w:r w:rsidR="0BD75B9D" w:rsidRPr="1D336B3A">
        <w:rPr>
          <w:rFonts w:ascii="Calibri" w:eastAsia="Calibri" w:hAnsi="Calibri" w:cs="Calibri"/>
          <w:color w:val="000000" w:themeColor="text1"/>
        </w:rPr>
        <w:t xml:space="preserve"> These Guidelines apply to the following </w:t>
      </w:r>
      <w:r w:rsidR="085E6E74" w:rsidRPr="1D336B3A">
        <w:rPr>
          <w:rFonts w:ascii="Calibri" w:eastAsia="Calibri" w:hAnsi="Calibri" w:cs="Calibri"/>
          <w:color w:val="000000" w:themeColor="text1"/>
        </w:rPr>
        <w:t xml:space="preserve">skin substitutes </w:t>
      </w:r>
      <w:r w:rsidR="41E4720B" w:rsidRPr="1D336B3A">
        <w:rPr>
          <w:rFonts w:ascii="Calibri" w:eastAsia="Calibri" w:hAnsi="Calibri" w:cs="Calibri"/>
          <w:color w:val="000000" w:themeColor="text1"/>
        </w:rPr>
        <w:t xml:space="preserve">for </w:t>
      </w:r>
      <w:r w:rsidR="085E6E74" w:rsidRPr="1D336B3A">
        <w:rPr>
          <w:rFonts w:ascii="Calibri" w:eastAsia="Calibri" w:hAnsi="Calibri" w:cs="Calibri"/>
          <w:color w:val="000000" w:themeColor="text1"/>
        </w:rPr>
        <w:t>individuals with diabetic foot ulcers</w:t>
      </w:r>
      <w:r w:rsidR="777385CB" w:rsidRPr="1D336B3A">
        <w:rPr>
          <w:rFonts w:ascii="Calibri" w:eastAsia="Calibri" w:hAnsi="Calibri" w:cs="Calibri"/>
          <w:color w:val="000000" w:themeColor="text1"/>
        </w:rPr>
        <w:t xml:space="preserve"> (DFUs)</w:t>
      </w:r>
      <w:r w:rsidR="085E6E74" w:rsidRPr="1D336B3A">
        <w:rPr>
          <w:rFonts w:ascii="Calibri" w:eastAsia="Calibri" w:hAnsi="Calibri" w:cs="Calibri"/>
          <w:color w:val="000000" w:themeColor="text1"/>
        </w:rPr>
        <w:t xml:space="preserve"> and venous leg ulcers</w:t>
      </w:r>
      <w:r w:rsidR="347C74F6" w:rsidRPr="1D336B3A">
        <w:rPr>
          <w:rFonts w:ascii="Calibri" w:eastAsia="Calibri" w:hAnsi="Calibri" w:cs="Calibri"/>
          <w:color w:val="000000" w:themeColor="text1"/>
        </w:rPr>
        <w:t xml:space="preserve"> (VLUs)</w:t>
      </w:r>
      <w:r w:rsidR="085E6E74" w:rsidRPr="1D336B3A">
        <w:rPr>
          <w:rFonts w:ascii="Calibri" w:eastAsia="Calibri" w:hAnsi="Calibri" w:cs="Calibri"/>
          <w:color w:val="000000" w:themeColor="text1"/>
        </w:rPr>
        <w:t>.</w:t>
      </w:r>
      <w:r w:rsidR="0E75F32A" w:rsidRPr="1D336B3A">
        <w:rPr>
          <w:rFonts w:ascii="Calibri" w:eastAsia="Calibri" w:hAnsi="Calibri" w:cs="Calibri"/>
          <w:color w:val="000000" w:themeColor="text1"/>
        </w:rPr>
        <w:t xml:space="preserve"> </w:t>
      </w:r>
      <w:r w:rsidR="0083615D">
        <w:rPr>
          <w:rFonts w:ascii="Calibri" w:eastAsia="Calibri" w:hAnsi="Calibri" w:cs="Calibri"/>
          <w:color w:val="000000" w:themeColor="text1"/>
        </w:rPr>
        <w:t>PA</w:t>
      </w:r>
      <w:r w:rsidR="49175D78" w:rsidRPr="1D336B3A">
        <w:rPr>
          <w:rFonts w:ascii="Calibri" w:eastAsia="Calibri" w:hAnsi="Calibri" w:cs="Calibri"/>
          <w:color w:val="000000" w:themeColor="text1"/>
        </w:rPr>
        <w:t xml:space="preserve"> is granted for 16 weeks from the date of approval for a maximum of one unit per week. Please submit a new PA request if additional units are needed. </w:t>
      </w:r>
    </w:p>
    <w:p w14:paraId="4712D795" w14:textId="2883EE1E" w:rsidR="49175D78" w:rsidRDefault="49175D78" w:rsidP="4505FB43">
      <w:pPr>
        <w:spacing w:after="200" w:line="276" w:lineRule="auto"/>
        <w:rPr>
          <w:rFonts w:ascii="Calibri" w:eastAsia="Calibri" w:hAnsi="Calibri" w:cs="Calibri"/>
          <w:color w:val="000000" w:themeColor="text1"/>
        </w:rPr>
      </w:pPr>
      <w:r w:rsidRPr="4D1C6062">
        <w:rPr>
          <w:rFonts w:ascii="Cambria" w:eastAsia="Cambria" w:hAnsi="Cambria" w:cs="Cambria"/>
          <w:b/>
          <w:bCs/>
          <w:color w:val="4F81BD"/>
          <w:sz w:val="26"/>
          <w:szCs w:val="26"/>
        </w:rPr>
        <w:t>Skin Substitutes for Adults with Diabetic Foot Ulcers (DFUs)</w:t>
      </w:r>
    </w:p>
    <w:p w14:paraId="4021424D" w14:textId="038D6484" w:rsidR="69175EB6" w:rsidRDefault="69175EB6" w:rsidP="00F0E3C1">
      <w:pPr>
        <w:pStyle w:val="ListParagraph"/>
        <w:numPr>
          <w:ilvl w:val="0"/>
          <w:numId w:val="5"/>
        </w:numPr>
        <w:spacing w:after="200" w:line="276" w:lineRule="auto"/>
        <w:rPr>
          <w:rFonts w:ascii="Calibri" w:eastAsia="Calibri" w:hAnsi="Calibri" w:cs="Calibri"/>
        </w:rPr>
      </w:pPr>
      <w:r w:rsidRPr="1D336B3A">
        <w:rPr>
          <w:rFonts w:ascii="Calibri" w:eastAsia="Calibri" w:hAnsi="Calibri" w:cs="Calibri"/>
        </w:rPr>
        <w:t xml:space="preserve"> Prior </w:t>
      </w:r>
      <w:r w:rsidR="0083615D">
        <w:rPr>
          <w:rFonts w:ascii="Calibri" w:eastAsia="Calibri" w:hAnsi="Calibri" w:cs="Calibri"/>
        </w:rPr>
        <w:t>a</w:t>
      </w:r>
      <w:r w:rsidR="0083615D" w:rsidRPr="1D336B3A">
        <w:rPr>
          <w:rFonts w:ascii="Calibri" w:eastAsia="Calibri" w:hAnsi="Calibri" w:cs="Calibri"/>
        </w:rPr>
        <w:t xml:space="preserve">uthorization </w:t>
      </w:r>
      <w:r w:rsidRPr="1D336B3A">
        <w:rPr>
          <w:rFonts w:ascii="Calibri" w:eastAsia="Calibri" w:hAnsi="Calibri" w:cs="Calibri"/>
        </w:rPr>
        <w:t xml:space="preserve">is NOT </w:t>
      </w:r>
      <w:r w:rsidR="00DC7EE3">
        <w:rPr>
          <w:rFonts w:ascii="Calibri" w:eastAsia="Calibri" w:hAnsi="Calibri" w:cs="Calibri"/>
        </w:rPr>
        <w:t>r</w:t>
      </w:r>
      <w:r w:rsidR="00DC7EE3" w:rsidRPr="1D336B3A">
        <w:rPr>
          <w:rFonts w:ascii="Calibri" w:eastAsia="Calibri" w:hAnsi="Calibri" w:cs="Calibri"/>
        </w:rPr>
        <w:t>equired</w:t>
      </w:r>
      <w:r w:rsidR="0083615D">
        <w:rPr>
          <w:rFonts w:ascii="Calibri" w:eastAsia="Calibri" w:hAnsi="Calibri" w:cs="Calibri"/>
        </w:rPr>
        <w:t xml:space="preserve"> for</w:t>
      </w:r>
      <w:r w:rsidRPr="1D336B3A">
        <w:rPr>
          <w:rFonts w:ascii="Calibri" w:eastAsia="Calibri" w:hAnsi="Calibri" w:cs="Calibri"/>
        </w:rPr>
        <w:t>:</w:t>
      </w:r>
    </w:p>
    <w:p w14:paraId="00AFE9C4" w14:textId="4F3B5006" w:rsidR="69175EB6" w:rsidRDefault="69175EB6" w:rsidP="326E3735">
      <w:pPr>
        <w:pStyle w:val="ListParagraph"/>
        <w:numPr>
          <w:ilvl w:val="1"/>
          <w:numId w:val="5"/>
        </w:numPr>
        <w:spacing w:after="200" w:line="276" w:lineRule="auto"/>
      </w:pPr>
      <w:r>
        <w:t xml:space="preserve">Apligraf (Q4101), one unit per week; OR </w:t>
      </w:r>
    </w:p>
    <w:p w14:paraId="054FD1FD" w14:textId="7679EFB8" w:rsidR="4D3392EF" w:rsidRDefault="4D3392EF" w:rsidP="326E3735">
      <w:pPr>
        <w:pStyle w:val="ListParagraph"/>
        <w:numPr>
          <w:ilvl w:val="1"/>
          <w:numId w:val="5"/>
        </w:numPr>
        <w:spacing w:after="200" w:line="276" w:lineRule="auto"/>
      </w:pPr>
      <w:r>
        <w:t>Epifix (Q4186), one unit per week; OR</w:t>
      </w:r>
    </w:p>
    <w:p w14:paraId="3914CD22" w14:textId="2FB31E4C" w:rsidR="69175EB6" w:rsidRDefault="69175EB6" w:rsidP="37656DD2">
      <w:pPr>
        <w:pStyle w:val="ListParagraph"/>
        <w:numPr>
          <w:ilvl w:val="1"/>
          <w:numId w:val="5"/>
        </w:numPr>
        <w:spacing w:after="200" w:line="276" w:lineRule="auto"/>
        <w:rPr>
          <w:rFonts w:ascii="Calibri" w:eastAsia="Calibri" w:hAnsi="Calibri" w:cs="Calibri"/>
        </w:rPr>
      </w:pPr>
      <w:r>
        <w:t>Dermagraft (Q4106), one unit per week</w:t>
      </w:r>
      <w:r w:rsidR="00DC7EE3">
        <w:t>.</w:t>
      </w:r>
      <w:r>
        <w:t xml:space="preserve"> </w:t>
      </w:r>
    </w:p>
    <w:p w14:paraId="01837122" w14:textId="6255C191" w:rsidR="69175EB6" w:rsidRDefault="69175EB6" w:rsidP="326E3735">
      <w:pPr>
        <w:pStyle w:val="ListParagraph"/>
        <w:numPr>
          <w:ilvl w:val="0"/>
          <w:numId w:val="5"/>
        </w:numPr>
        <w:spacing w:after="200" w:line="276" w:lineRule="auto"/>
        <w:rPr>
          <w:rFonts w:ascii="Calibri" w:eastAsia="Calibri" w:hAnsi="Calibri" w:cs="Calibri"/>
        </w:rPr>
      </w:pPr>
      <w:r w:rsidRPr="4A494498">
        <w:rPr>
          <w:rFonts w:ascii="Calibri" w:eastAsia="Calibri" w:hAnsi="Calibri" w:cs="Calibri"/>
        </w:rPr>
        <w:t xml:space="preserve"> Prior </w:t>
      </w:r>
      <w:r w:rsidR="0083615D">
        <w:rPr>
          <w:rFonts w:ascii="Calibri" w:eastAsia="Calibri" w:hAnsi="Calibri" w:cs="Calibri"/>
        </w:rPr>
        <w:t>a</w:t>
      </w:r>
      <w:r w:rsidR="0083615D" w:rsidRPr="4A494498">
        <w:rPr>
          <w:rFonts w:ascii="Calibri" w:eastAsia="Calibri" w:hAnsi="Calibri" w:cs="Calibri"/>
        </w:rPr>
        <w:t xml:space="preserve">uthorization </w:t>
      </w:r>
      <w:r w:rsidRPr="4A494498">
        <w:rPr>
          <w:rFonts w:ascii="Calibri" w:eastAsia="Calibri" w:hAnsi="Calibri" w:cs="Calibri"/>
        </w:rPr>
        <w:t>IS required and will cover a maximum of 16 weeks of therapy</w:t>
      </w:r>
      <w:r w:rsidR="0083615D">
        <w:rPr>
          <w:rFonts w:ascii="Calibri" w:eastAsia="Calibri" w:hAnsi="Calibri" w:cs="Calibri"/>
        </w:rPr>
        <w:t xml:space="preserve"> for</w:t>
      </w:r>
      <w:r w:rsidRPr="4A494498">
        <w:rPr>
          <w:rFonts w:ascii="Calibri" w:eastAsia="Calibri" w:hAnsi="Calibri" w:cs="Calibri"/>
        </w:rPr>
        <w:t>:</w:t>
      </w:r>
    </w:p>
    <w:p w14:paraId="6E268D85" w14:textId="573CAEB4" w:rsidR="2EF0BC8E" w:rsidRDefault="2EF0BC8E" w:rsidP="4354C978">
      <w:pPr>
        <w:pStyle w:val="ListParagraph"/>
        <w:numPr>
          <w:ilvl w:val="1"/>
          <w:numId w:val="5"/>
        </w:numPr>
        <w:spacing w:after="200" w:line="276" w:lineRule="auto"/>
        <w:rPr>
          <w:rFonts w:ascii="Calibri" w:eastAsia="Calibri" w:hAnsi="Calibri" w:cs="Calibri"/>
        </w:rPr>
      </w:pPr>
      <w:r w:rsidRPr="4D1C6062">
        <w:rPr>
          <w:rFonts w:ascii="Calibri" w:eastAsia="Calibri" w:hAnsi="Calibri" w:cs="Calibri"/>
        </w:rPr>
        <w:t>Grafix prime or Grafixpl prime (Q4133)</w:t>
      </w:r>
      <w:r>
        <w:t>, one unit per week</w:t>
      </w:r>
      <w:r w:rsidRPr="4D1C6062">
        <w:rPr>
          <w:rFonts w:ascii="Calibri" w:eastAsia="Calibri" w:hAnsi="Calibri" w:cs="Calibri"/>
        </w:rPr>
        <w:t>; OR</w:t>
      </w:r>
    </w:p>
    <w:p w14:paraId="0BB55A35" w14:textId="33EDFDA3" w:rsidR="2EF0BC8E" w:rsidRDefault="2EF0BC8E" w:rsidP="4354C978">
      <w:pPr>
        <w:pStyle w:val="ListParagraph"/>
        <w:numPr>
          <w:ilvl w:val="1"/>
          <w:numId w:val="5"/>
        </w:numPr>
        <w:spacing w:after="200" w:line="276" w:lineRule="auto"/>
      </w:pPr>
      <w:r>
        <w:t>Amnioband (Q4151), one unit per week; OR</w:t>
      </w:r>
    </w:p>
    <w:p w14:paraId="5A8FDE70" w14:textId="2D568AB5" w:rsidR="2EF0BC8E" w:rsidRDefault="2EF0BC8E" w:rsidP="37656DD2">
      <w:pPr>
        <w:pStyle w:val="ListParagraph"/>
        <w:numPr>
          <w:ilvl w:val="1"/>
          <w:numId w:val="5"/>
        </w:numPr>
        <w:spacing w:after="200" w:line="276" w:lineRule="auto"/>
      </w:pPr>
      <w:r w:rsidRPr="003341DD">
        <w:rPr>
          <w:rFonts w:eastAsia="Aptos" w:cstheme="minorHAnsi"/>
          <w:color w:val="000000" w:themeColor="text1"/>
        </w:rPr>
        <w:t>Affinity (Q4159)</w:t>
      </w:r>
      <w:r>
        <w:t>, one unit per week</w:t>
      </w:r>
      <w:r w:rsidRPr="003341DD">
        <w:rPr>
          <w:rFonts w:eastAsia="Aptos" w:cstheme="minorHAnsi"/>
          <w:color w:val="000000" w:themeColor="text1"/>
        </w:rPr>
        <w:t>; OR</w:t>
      </w:r>
    </w:p>
    <w:p w14:paraId="48C813A2" w14:textId="19DE26D5" w:rsidR="2EF0BC8E" w:rsidRDefault="2EF0BC8E" w:rsidP="37656DD2">
      <w:pPr>
        <w:pStyle w:val="ListParagraph"/>
        <w:numPr>
          <w:ilvl w:val="1"/>
          <w:numId w:val="5"/>
        </w:numPr>
        <w:spacing w:after="200" w:line="276" w:lineRule="auto"/>
      </w:pPr>
      <w:r w:rsidRPr="003341DD">
        <w:rPr>
          <w:rFonts w:eastAsia="Aptos" w:cstheme="minorHAnsi"/>
          <w:color w:val="000000" w:themeColor="text1"/>
        </w:rPr>
        <w:t>Puraply</w:t>
      </w:r>
      <w:r w:rsidR="00DC7EE3" w:rsidRPr="003341DD">
        <w:rPr>
          <w:rFonts w:eastAsia="Aptos" w:cstheme="minorHAnsi"/>
          <w:color w:val="000000" w:themeColor="text1"/>
        </w:rPr>
        <w:t xml:space="preserve"> </w:t>
      </w:r>
      <w:r w:rsidRPr="003341DD">
        <w:rPr>
          <w:rFonts w:eastAsia="Aptos" w:cstheme="minorHAnsi"/>
          <w:color w:val="000000" w:themeColor="text1"/>
        </w:rPr>
        <w:t>(Q4196)</w:t>
      </w:r>
      <w:r>
        <w:t>, one unit per week</w:t>
      </w:r>
      <w:r w:rsidR="00DC7EE3">
        <w:t>.</w:t>
      </w:r>
    </w:p>
    <w:p w14:paraId="7DA69284" w14:textId="3257289A" w:rsidR="2EF0BC8E" w:rsidRDefault="2EF0BC8E" w:rsidP="4354C978">
      <w:pPr>
        <w:spacing w:after="200" w:line="276" w:lineRule="auto"/>
        <w:rPr>
          <w:rFonts w:ascii="Calibri" w:eastAsia="Calibri" w:hAnsi="Calibri" w:cs="Calibri"/>
          <w:color w:val="000000" w:themeColor="text1"/>
        </w:rPr>
      </w:pPr>
      <w:r w:rsidRPr="4D1C6062">
        <w:rPr>
          <w:rFonts w:ascii="Cambria" w:eastAsia="Cambria" w:hAnsi="Cambria" w:cs="Cambria"/>
          <w:b/>
          <w:bCs/>
          <w:color w:val="4F81BD"/>
          <w:sz w:val="26"/>
          <w:szCs w:val="26"/>
        </w:rPr>
        <w:t>Skin Substitutes for Adults with Venous Leg Ulcers (VLUs)</w:t>
      </w:r>
    </w:p>
    <w:p w14:paraId="073C4B35" w14:textId="0EEFB890" w:rsidR="2E5EA6CD" w:rsidRDefault="2E5EA6CD" w:rsidP="00F0E3C1">
      <w:pPr>
        <w:pStyle w:val="ListParagraph"/>
        <w:numPr>
          <w:ilvl w:val="0"/>
          <w:numId w:val="4"/>
        </w:numPr>
        <w:spacing w:after="200" w:line="276" w:lineRule="auto"/>
        <w:rPr>
          <w:rFonts w:ascii="Calibri" w:eastAsia="Calibri" w:hAnsi="Calibri" w:cs="Calibri"/>
        </w:rPr>
      </w:pPr>
      <w:r w:rsidRPr="1D336B3A">
        <w:rPr>
          <w:rFonts w:ascii="Calibri" w:eastAsia="Calibri" w:hAnsi="Calibri" w:cs="Calibri"/>
        </w:rPr>
        <w:t xml:space="preserve"> Prior </w:t>
      </w:r>
      <w:r w:rsidR="0083615D">
        <w:rPr>
          <w:rFonts w:ascii="Calibri" w:eastAsia="Calibri" w:hAnsi="Calibri" w:cs="Calibri"/>
        </w:rPr>
        <w:t>a</w:t>
      </w:r>
      <w:r w:rsidR="0083615D" w:rsidRPr="1D336B3A">
        <w:rPr>
          <w:rFonts w:ascii="Calibri" w:eastAsia="Calibri" w:hAnsi="Calibri" w:cs="Calibri"/>
        </w:rPr>
        <w:t xml:space="preserve">uthorization </w:t>
      </w:r>
      <w:r w:rsidRPr="1D336B3A">
        <w:rPr>
          <w:rFonts w:ascii="Calibri" w:eastAsia="Calibri" w:hAnsi="Calibri" w:cs="Calibri"/>
        </w:rPr>
        <w:t xml:space="preserve">is NOT </w:t>
      </w:r>
      <w:r w:rsidR="00DC7EE3">
        <w:rPr>
          <w:rFonts w:ascii="Calibri" w:eastAsia="Calibri" w:hAnsi="Calibri" w:cs="Calibri"/>
        </w:rPr>
        <w:t>r</w:t>
      </w:r>
      <w:r w:rsidR="00DC7EE3" w:rsidRPr="1D336B3A">
        <w:rPr>
          <w:rFonts w:ascii="Calibri" w:eastAsia="Calibri" w:hAnsi="Calibri" w:cs="Calibri"/>
        </w:rPr>
        <w:t>equired</w:t>
      </w:r>
      <w:r w:rsidR="0083615D">
        <w:rPr>
          <w:rFonts w:ascii="Calibri" w:eastAsia="Calibri" w:hAnsi="Calibri" w:cs="Calibri"/>
        </w:rPr>
        <w:t xml:space="preserve"> for</w:t>
      </w:r>
      <w:r w:rsidRPr="1D336B3A">
        <w:rPr>
          <w:rFonts w:ascii="Calibri" w:eastAsia="Calibri" w:hAnsi="Calibri" w:cs="Calibri"/>
        </w:rPr>
        <w:t>:</w:t>
      </w:r>
    </w:p>
    <w:p w14:paraId="46EF5F0C" w14:textId="44DD538A" w:rsidR="2E5EA6CD" w:rsidRDefault="2E5EA6CD" w:rsidP="4505FB43">
      <w:pPr>
        <w:pStyle w:val="ListParagraph"/>
        <w:numPr>
          <w:ilvl w:val="1"/>
          <w:numId w:val="4"/>
        </w:numPr>
        <w:spacing w:after="200" w:line="276" w:lineRule="auto"/>
      </w:pPr>
      <w:r>
        <w:t>Epifix (Q4186), one unit per week; OR</w:t>
      </w:r>
    </w:p>
    <w:p w14:paraId="19A72712" w14:textId="18547813" w:rsidR="0D61CFE8" w:rsidRDefault="0D61CFE8" w:rsidP="1316B9C0">
      <w:pPr>
        <w:pStyle w:val="ListParagraph"/>
        <w:numPr>
          <w:ilvl w:val="1"/>
          <w:numId w:val="4"/>
        </w:numPr>
        <w:spacing w:after="200" w:line="276" w:lineRule="auto"/>
      </w:pPr>
      <w:r w:rsidDel="2349B5E4">
        <w:t>Apligraf</w:t>
      </w:r>
      <w:r w:rsidDel="72725DC0">
        <w:t xml:space="preserve"> (Q4191)</w:t>
      </w:r>
      <w:r w:rsidDel="59BC80EC">
        <w:t>, one unit per week</w:t>
      </w:r>
      <w:r w:rsidR="00DC7EE3">
        <w:t>.</w:t>
      </w:r>
    </w:p>
    <w:p w14:paraId="05049EA8" w14:textId="1D881A79" w:rsidR="0D61CFE8" w:rsidRDefault="0D61CFE8" w:rsidP="37656DD2">
      <w:pPr>
        <w:pStyle w:val="ListParagraph"/>
        <w:numPr>
          <w:ilvl w:val="0"/>
          <w:numId w:val="4"/>
        </w:numPr>
        <w:spacing w:after="200" w:line="276" w:lineRule="auto"/>
        <w:rPr>
          <w:rFonts w:ascii="Calibri" w:eastAsia="Calibri" w:hAnsi="Calibri" w:cs="Calibri"/>
        </w:rPr>
      </w:pPr>
      <w:r w:rsidRPr="1D336B3A">
        <w:rPr>
          <w:rFonts w:ascii="Calibri" w:eastAsia="Calibri" w:hAnsi="Calibri" w:cs="Calibri"/>
        </w:rPr>
        <w:t xml:space="preserve"> Prior </w:t>
      </w:r>
      <w:r w:rsidR="0083615D">
        <w:rPr>
          <w:rFonts w:ascii="Calibri" w:eastAsia="Calibri" w:hAnsi="Calibri" w:cs="Calibri"/>
        </w:rPr>
        <w:t>a</w:t>
      </w:r>
      <w:r w:rsidR="0083615D" w:rsidRPr="1D336B3A">
        <w:rPr>
          <w:rFonts w:ascii="Calibri" w:eastAsia="Calibri" w:hAnsi="Calibri" w:cs="Calibri"/>
        </w:rPr>
        <w:t xml:space="preserve">uthorization </w:t>
      </w:r>
      <w:r w:rsidRPr="1D336B3A">
        <w:rPr>
          <w:rFonts w:ascii="Calibri" w:eastAsia="Calibri" w:hAnsi="Calibri" w:cs="Calibri"/>
        </w:rPr>
        <w:t>IS required and will cover a maximum of 16 weeks of therapy</w:t>
      </w:r>
      <w:r w:rsidR="0083615D">
        <w:rPr>
          <w:rFonts w:ascii="Calibri" w:eastAsia="Calibri" w:hAnsi="Calibri" w:cs="Calibri"/>
        </w:rPr>
        <w:t xml:space="preserve"> for</w:t>
      </w:r>
      <w:r w:rsidRPr="1D336B3A">
        <w:rPr>
          <w:rFonts w:ascii="Calibri" w:eastAsia="Calibri" w:hAnsi="Calibri" w:cs="Calibri"/>
        </w:rPr>
        <w:t xml:space="preserve">: </w:t>
      </w:r>
    </w:p>
    <w:p w14:paraId="449233F0" w14:textId="629E6643" w:rsidR="0D61CFE8" w:rsidRDefault="0D61CFE8" w:rsidP="00DC55E4">
      <w:pPr>
        <w:pStyle w:val="ListParagraph"/>
        <w:numPr>
          <w:ilvl w:val="0"/>
          <w:numId w:val="12"/>
        </w:numPr>
        <w:spacing w:after="200" w:line="276" w:lineRule="auto"/>
        <w:rPr>
          <w:rFonts w:ascii="Calibri" w:eastAsia="Calibri" w:hAnsi="Calibri" w:cs="Calibri"/>
        </w:rPr>
      </w:pPr>
      <w:r w:rsidRPr="4D1C6062">
        <w:rPr>
          <w:rFonts w:ascii="Calibri" w:eastAsia="Calibri" w:hAnsi="Calibri" w:cs="Calibri"/>
        </w:rPr>
        <w:t>Grafix prime or Grafixpl prime (Q4133)</w:t>
      </w:r>
      <w:r>
        <w:t>, one unit per week</w:t>
      </w:r>
      <w:r w:rsidRPr="4D1C6062">
        <w:rPr>
          <w:rFonts w:ascii="Calibri" w:eastAsia="Calibri" w:hAnsi="Calibri" w:cs="Calibri"/>
        </w:rPr>
        <w:t>; OR</w:t>
      </w:r>
    </w:p>
    <w:p w14:paraId="6DCD72FD" w14:textId="564AC166" w:rsidR="0D61CFE8" w:rsidRDefault="0D61CFE8" w:rsidP="00DC55E4">
      <w:pPr>
        <w:pStyle w:val="ListParagraph"/>
        <w:numPr>
          <w:ilvl w:val="0"/>
          <w:numId w:val="12"/>
        </w:numPr>
        <w:spacing w:after="200" w:line="276" w:lineRule="auto"/>
      </w:pPr>
      <w:r>
        <w:t>Amnioband (Q4151), one unit per week; OR</w:t>
      </w:r>
    </w:p>
    <w:p w14:paraId="0B4BAB63" w14:textId="65971BC0" w:rsidR="0D61CFE8" w:rsidRDefault="0D61CFE8" w:rsidP="00DC55E4">
      <w:pPr>
        <w:pStyle w:val="ListParagraph"/>
        <w:numPr>
          <w:ilvl w:val="0"/>
          <w:numId w:val="12"/>
        </w:numPr>
        <w:spacing w:after="200" w:line="276" w:lineRule="auto"/>
      </w:pPr>
      <w:r w:rsidRPr="003341DD">
        <w:rPr>
          <w:rFonts w:eastAsia="Aptos" w:cstheme="minorHAnsi"/>
          <w:color w:val="000000" w:themeColor="text1"/>
        </w:rPr>
        <w:t>Affinity (Q4159)</w:t>
      </w:r>
      <w:r>
        <w:t>, one unit per week</w:t>
      </w:r>
      <w:r w:rsidRPr="003341DD">
        <w:rPr>
          <w:rFonts w:eastAsia="Aptos" w:cstheme="minorHAnsi"/>
          <w:color w:val="000000" w:themeColor="text1"/>
        </w:rPr>
        <w:t>; OR</w:t>
      </w:r>
    </w:p>
    <w:p w14:paraId="02C81A97" w14:textId="7FC28F78" w:rsidR="0D61CFE8" w:rsidRDefault="0D61CFE8" w:rsidP="00DC55E4">
      <w:pPr>
        <w:pStyle w:val="ListParagraph"/>
        <w:numPr>
          <w:ilvl w:val="0"/>
          <w:numId w:val="12"/>
        </w:numPr>
        <w:spacing w:after="200" w:line="276" w:lineRule="auto"/>
      </w:pPr>
      <w:r w:rsidRPr="003341DD">
        <w:rPr>
          <w:rFonts w:eastAsia="Aptos" w:cstheme="minorHAnsi"/>
          <w:color w:val="000000" w:themeColor="text1"/>
        </w:rPr>
        <w:t>Puraply</w:t>
      </w:r>
      <w:r w:rsidR="0083615D">
        <w:rPr>
          <w:rFonts w:eastAsia="Aptos" w:cstheme="minorHAnsi"/>
          <w:color w:val="000000" w:themeColor="text1"/>
        </w:rPr>
        <w:t xml:space="preserve"> </w:t>
      </w:r>
      <w:r w:rsidRPr="003341DD">
        <w:rPr>
          <w:rFonts w:eastAsia="Aptos" w:cstheme="minorHAnsi"/>
          <w:color w:val="000000" w:themeColor="text1"/>
        </w:rPr>
        <w:t>(Q4196)</w:t>
      </w:r>
      <w:r>
        <w:t>, one unit per week</w:t>
      </w:r>
      <w:r w:rsidR="00775D45">
        <w:t>.</w:t>
      </w:r>
    </w:p>
    <w:p w14:paraId="32E240BC" w14:textId="1CDB0B79" w:rsidR="00C972E9" w:rsidRDefault="0D2BB8BE" w:rsidP="00F0E3C1">
      <w:pPr>
        <w:pStyle w:val="Heading1"/>
        <w:spacing w:before="480" w:after="200" w:line="276" w:lineRule="auto"/>
        <w:rPr>
          <w:rFonts w:ascii="Cambria" w:eastAsia="Cambria" w:hAnsi="Cambria" w:cs="Cambria"/>
          <w:b/>
          <w:bCs/>
          <w:color w:val="365F91"/>
          <w:sz w:val="28"/>
          <w:szCs w:val="28"/>
        </w:rPr>
      </w:pPr>
      <w:r w:rsidRPr="00F0E3C1">
        <w:rPr>
          <w:rFonts w:ascii="Cambria" w:eastAsia="Cambria" w:hAnsi="Cambria" w:cs="Cambria"/>
          <w:b/>
          <w:bCs/>
          <w:color w:val="365F91"/>
          <w:sz w:val="28"/>
          <w:szCs w:val="28"/>
        </w:rPr>
        <w:t>Section II. Clinical Guidelines</w:t>
      </w:r>
    </w:p>
    <w:p w14:paraId="6CBA329B" w14:textId="7B6AAD1C" w:rsidR="00C972E9" w:rsidRDefault="06B52D76" w:rsidP="0BCB2AF2">
      <w:pPr>
        <w:pStyle w:val="Heading2"/>
        <w:spacing w:before="200" w:line="276" w:lineRule="auto"/>
        <w:rPr>
          <w:rFonts w:ascii="Cambria" w:eastAsia="Cambria" w:hAnsi="Cambria" w:cs="Cambria"/>
          <w:b/>
          <w:bCs/>
          <w:color w:val="4F81BD"/>
        </w:rPr>
      </w:pPr>
      <w:r w:rsidRPr="0BCB2AF2">
        <w:rPr>
          <w:rFonts w:ascii="Cambria" w:eastAsia="Cambria" w:hAnsi="Cambria" w:cs="Cambria"/>
          <w:b/>
          <w:bCs/>
          <w:color w:val="4F81BD"/>
        </w:rPr>
        <w:t>A. Clinical Coverage</w:t>
      </w:r>
    </w:p>
    <w:p w14:paraId="0A7E7BCF" w14:textId="231FC211" w:rsidR="00C972E9" w:rsidRDefault="7299B3AB" w:rsidP="326E3735">
      <w:p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MassHealth bases its determination of medical necessity for</w:t>
      </w:r>
      <w:r w:rsidRPr="326E3735">
        <w:rPr>
          <w:rFonts w:ascii="Calibri" w:eastAsia="Calibri" w:hAnsi="Calibri" w:cs="Calibri"/>
        </w:rPr>
        <w:t xml:space="preserve"> </w:t>
      </w:r>
      <w:r w:rsidR="5A259616" w:rsidRPr="326E3735">
        <w:rPr>
          <w:rFonts w:ascii="Calibri" w:eastAsia="Calibri" w:hAnsi="Calibri" w:cs="Calibri"/>
        </w:rPr>
        <w:t xml:space="preserve">a </w:t>
      </w:r>
      <w:r w:rsidR="349FCC07" w:rsidRPr="326E3735">
        <w:rPr>
          <w:rFonts w:ascii="Calibri" w:eastAsia="Calibri" w:hAnsi="Calibri" w:cs="Calibri"/>
        </w:rPr>
        <w:t>skin</w:t>
      </w:r>
      <w:r w:rsidR="001F721D">
        <w:rPr>
          <w:rFonts w:ascii="Calibri" w:eastAsia="Calibri" w:hAnsi="Calibri" w:cs="Calibri"/>
        </w:rPr>
        <w:t>-</w:t>
      </w:r>
      <w:r w:rsidR="349FCC07" w:rsidRPr="326E3735">
        <w:rPr>
          <w:rFonts w:ascii="Calibri" w:eastAsia="Calibri" w:hAnsi="Calibri" w:cs="Calibri"/>
        </w:rPr>
        <w:t>substitute</w:t>
      </w:r>
      <w:r w:rsidR="72332EB3" w:rsidRPr="326E3735">
        <w:rPr>
          <w:rFonts w:ascii="Calibri" w:eastAsia="Calibri" w:hAnsi="Calibri" w:cs="Calibri"/>
        </w:rPr>
        <w:t xml:space="preserve"> graft</w:t>
      </w:r>
      <w:r w:rsidR="59407D9A" w:rsidRPr="326E3735">
        <w:rPr>
          <w:rFonts w:ascii="Calibri" w:eastAsia="Calibri" w:hAnsi="Calibri" w:cs="Calibri"/>
        </w:rPr>
        <w:t xml:space="preserve"> on clinical data and the presence of indicators that would affect the relative risks and benefits of the product. </w:t>
      </w:r>
      <w:r w:rsidRPr="326E3735">
        <w:rPr>
          <w:rFonts w:ascii="Calibri" w:eastAsia="Calibri" w:hAnsi="Calibri" w:cs="Calibri"/>
          <w:color w:val="000000" w:themeColor="text1"/>
        </w:rPr>
        <w:t>These criteria include, but are not limited to, the following</w:t>
      </w:r>
      <w:r w:rsidR="0064149D">
        <w:rPr>
          <w:rFonts w:ascii="Calibri" w:eastAsia="Calibri" w:hAnsi="Calibri" w:cs="Calibri"/>
          <w:color w:val="000000" w:themeColor="text1"/>
        </w:rPr>
        <w:t xml:space="preserve">. </w:t>
      </w:r>
      <w:r w:rsidR="0064149D" w:rsidRPr="326E3735">
        <w:rPr>
          <w:rFonts w:ascii="Calibri" w:eastAsia="Calibri" w:hAnsi="Calibri" w:cs="Calibri"/>
          <w:color w:val="000000" w:themeColor="text1"/>
        </w:rPr>
        <w:t xml:space="preserve"> </w:t>
      </w:r>
    </w:p>
    <w:p w14:paraId="1DC325D4" w14:textId="45D1FD41" w:rsidR="519D990A" w:rsidRDefault="52196419" w:rsidP="326E3735">
      <w:pPr>
        <w:pStyle w:val="ListParagraph"/>
        <w:numPr>
          <w:ilvl w:val="0"/>
          <w:numId w:val="8"/>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The presence of a chronic, noninfected DFU or chronic, noninfected VLU </w:t>
      </w:r>
      <w:r w:rsidR="0064149D" w:rsidRPr="326E3735">
        <w:rPr>
          <w:rFonts w:ascii="Calibri" w:eastAsia="Calibri" w:hAnsi="Calibri" w:cs="Calibri"/>
          <w:color w:val="000000" w:themeColor="text1"/>
        </w:rPr>
        <w:t>ha</w:t>
      </w:r>
      <w:r w:rsidR="0064149D">
        <w:rPr>
          <w:rFonts w:ascii="Calibri" w:eastAsia="Calibri" w:hAnsi="Calibri" w:cs="Calibri"/>
          <w:color w:val="000000" w:themeColor="text1"/>
        </w:rPr>
        <w:t>s</w:t>
      </w:r>
      <w:r w:rsidR="0064149D" w:rsidRPr="326E3735">
        <w:rPr>
          <w:rFonts w:ascii="Calibri" w:eastAsia="Calibri" w:hAnsi="Calibri" w:cs="Calibri"/>
          <w:color w:val="000000" w:themeColor="text1"/>
        </w:rPr>
        <w:t xml:space="preserve"> </w:t>
      </w:r>
      <w:r w:rsidRPr="326E3735">
        <w:rPr>
          <w:rFonts w:ascii="Calibri" w:eastAsia="Calibri" w:hAnsi="Calibri" w:cs="Calibri"/>
          <w:color w:val="000000" w:themeColor="text1"/>
        </w:rPr>
        <w:t>failed to respond to documented standard of care treatment (outlined below) for a minimum of four weeks (defined as 30 days) with documented compliance to prescribed treatment.</w:t>
      </w:r>
    </w:p>
    <w:p w14:paraId="7F206878" w14:textId="096C433E" w:rsidR="519D990A" w:rsidRDefault="52196419" w:rsidP="326E3735">
      <w:pPr>
        <w:pStyle w:val="ListParagraph"/>
        <w:numPr>
          <w:ilvl w:val="1"/>
          <w:numId w:val="8"/>
        </w:numPr>
        <w:spacing w:after="200" w:line="276" w:lineRule="auto"/>
      </w:pPr>
      <w:r w:rsidRPr="326E3735">
        <w:rPr>
          <w:rFonts w:ascii="Calibri" w:eastAsia="Calibri" w:hAnsi="Calibri" w:cs="Calibri"/>
          <w:color w:val="000000" w:themeColor="text1"/>
        </w:rPr>
        <w:t xml:space="preserve">Failure to respond to documented standard of care treatment is defined as an ulcer that has increased in size or depth, </w:t>
      </w:r>
      <w:r w:rsidR="00B52DF0">
        <w:rPr>
          <w:rFonts w:ascii="Calibri" w:eastAsia="Calibri" w:hAnsi="Calibri" w:cs="Calibri"/>
          <w:color w:val="000000" w:themeColor="text1"/>
        </w:rPr>
        <w:t>has had</w:t>
      </w:r>
      <w:r w:rsidR="00B52DF0" w:rsidRPr="326E3735">
        <w:rPr>
          <w:rFonts w:ascii="Calibri" w:eastAsia="Calibri" w:hAnsi="Calibri" w:cs="Calibri"/>
          <w:color w:val="000000" w:themeColor="text1"/>
        </w:rPr>
        <w:t xml:space="preserve"> </w:t>
      </w:r>
      <w:r w:rsidRPr="326E3735">
        <w:rPr>
          <w:rFonts w:ascii="Calibri" w:eastAsia="Calibri" w:hAnsi="Calibri" w:cs="Calibri"/>
          <w:color w:val="000000" w:themeColor="text1"/>
        </w:rPr>
        <w:t xml:space="preserve">no change in baseline size or depth, </w:t>
      </w:r>
      <w:r w:rsidR="00D77DCF">
        <w:rPr>
          <w:rFonts w:ascii="Calibri" w:eastAsia="Calibri" w:hAnsi="Calibri" w:cs="Calibri"/>
          <w:color w:val="000000" w:themeColor="text1"/>
        </w:rPr>
        <w:t>and has</w:t>
      </w:r>
      <w:r w:rsidR="00B52DF0">
        <w:rPr>
          <w:rFonts w:ascii="Calibri" w:eastAsia="Calibri" w:hAnsi="Calibri" w:cs="Calibri"/>
          <w:color w:val="000000" w:themeColor="text1"/>
        </w:rPr>
        <w:t xml:space="preserve"> </w:t>
      </w:r>
      <w:r w:rsidR="00D77DCF">
        <w:rPr>
          <w:rFonts w:ascii="Calibri" w:eastAsia="Calibri" w:hAnsi="Calibri" w:cs="Calibri"/>
          <w:color w:val="000000" w:themeColor="text1"/>
        </w:rPr>
        <w:t>shown</w:t>
      </w:r>
      <w:r w:rsidR="00B52DF0">
        <w:rPr>
          <w:rFonts w:ascii="Calibri" w:eastAsia="Calibri" w:hAnsi="Calibri" w:cs="Calibri"/>
          <w:color w:val="000000" w:themeColor="text1"/>
        </w:rPr>
        <w:t xml:space="preserve"> </w:t>
      </w:r>
      <w:r w:rsidRPr="326E3735">
        <w:rPr>
          <w:rFonts w:ascii="Calibri" w:eastAsia="Calibri" w:hAnsi="Calibri" w:cs="Calibri"/>
          <w:color w:val="000000" w:themeColor="text1"/>
        </w:rPr>
        <w:t>no sign of improvement</w:t>
      </w:r>
      <w:r w:rsidR="00D77DCF">
        <w:rPr>
          <w:rFonts w:ascii="Calibri" w:eastAsia="Calibri" w:hAnsi="Calibri" w:cs="Calibri"/>
          <w:color w:val="000000" w:themeColor="text1"/>
        </w:rPr>
        <w:t xml:space="preserve"> or </w:t>
      </w:r>
      <w:r w:rsidRPr="326E3735">
        <w:rPr>
          <w:rFonts w:ascii="Calibri" w:eastAsia="Calibri" w:hAnsi="Calibri" w:cs="Calibri"/>
          <w:color w:val="000000" w:themeColor="text1"/>
        </w:rPr>
        <w:t xml:space="preserve">indication that improvement is likely (such as granulation, epithelialization, or progress toward closing). Documentation of response </w:t>
      </w:r>
      <w:r w:rsidRPr="326E3735">
        <w:rPr>
          <w:rFonts w:ascii="Calibri" w:eastAsia="Calibri" w:hAnsi="Calibri" w:cs="Calibri"/>
          <w:color w:val="000000" w:themeColor="text1"/>
        </w:rPr>
        <w:lastRenderedPageBreak/>
        <w:t xml:space="preserve">requires measurements of the initial ulcer, measurements at the completion of at least four weeks of standard of care treatment, and measurements immediately </w:t>
      </w:r>
      <w:r w:rsidR="0083615D">
        <w:rPr>
          <w:rFonts w:ascii="Calibri" w:eastAsia="Calibri" w:hAnsi="Calibri" w:cs="Calibri"/>
          <w:color w:val="000000" w:themeColor="text1"/>
        </w:rPr>
        <w:t>before</w:t>
      </w:r>
      <w:r w:rsidRPr="326E3735">
        <w:rPr>
          <w:rFonts w:ascii="Calibri" w:eastAsia="Calibri" w:hAnsi="Calibri" w:cs="Calibri"/>
          <w:color w:val="000000" w:themeColor="text1"/>
        </w:rPr>
        <w:t xml:space="preserve"> placement of the skin</w:t>
      </w:r>
      <w:r w:rsidR="001F721D">
        <w:rPr>
          <w:rFonts w:ascii="Calibri" w:eastAsia="Calibri" w:hAnsi="Calibri" w:cs="Calibri"/>
          <w:color w:val="000000" w:themeColor="text1"/>
        </w:rPr>
        <w:t>-</w:t>
      </w:r>
      <w:r w:rsidRPr="326E3735">
        <w:rPr>
          <w:rFonts w:ascii="Calibri" w:eastAsia="Calibri" w:hAnsi="Calibri" w:cs="Calibri"/>
          <w:color w:val="000000" w:themeColor="text1"/>
        </w:rPr>
        <w:t xml:space="preserve">substitute graft for DFUs and VLUs. </w:t>
      </w:r>
    </w:p>
    <w:p w14:paraId="15B927A6" w14:textId="592F8465" w:rsidR="519D990A" w:rsidRDefault="08C16344" w:rsidP="326E3735">
      <w:pPr>
        <w:pStyle w:val="ListParagraph"/>
        <w:numPr>
          <w:ilvl w:val="0"/>
          <w:numId w:val="8"/>
        </w:numPr>
        <w:spacing w:after="200" w:line="276" w:lineRule="auto"/>
      </w:pPr>
      <w:r>
        <w:t xml:space="preserve">Member is 18 years </w:t>
      </w:r>
      <w:r w:rsidR="00B52DF0">
        <w:t xml:space="preserve">of age or </w:t>
      </w:r>
      <w:r>
        <w:t>old</w:t>
      </w:r>
      <w:r w:rsidR="00B52DF0">
        <w:t>er</w:t>
      </w:r>
      <w:r w:rsidR="00D43F00">
        <w:t>.</w:t>
      </w:r>
    </w:p>
    <w:p w14:paraId="26C561DA" w14:textId="54F745A0" w:rsidR="519D990A" w:rsidRDefault="3AC0429D" w:rsidP="326E3735">
      <w:pPr>
        <w:pStyle w:val="ListParagraph"/>
        <w:numPr>
          <w:ilvl w:val="0"/>
          <w:numId w:val="8"/>
        </w:numPr>
        <w:spacing w:after="200" w:line="276" w:lineRule="auto"/>
      </w:pPr>
      <w:r w:rsidRPr="326E3735">
        <w:t xml:space="preserve">Member has </w:t>
      </w:r>
      <w:r w:rsidR="58449409" w:rsidRPr="326E3735">
        <w:t xml:space="preserve">a wound index </w:t>
      </w:r>
      <w:r w:rsidR="00B52DF0">
        <w:t xml:space="preserve">of </w:t>
      </w:r>
      <w:r w:rsidR="58449409" w:rsidRPr="326E3735">
        <w:t>1 to 25 cm</w:t>
      </w:r>
      <w:r w:rsidR="58449409" w:rsidRPr="326E3735">
        <w:rPr>
          <w:vertAlign w:val="superscript"/>
        </w:rPr>
        <w:t>2</w:t>
      </w:r>
      <w:r w:rsidR="00D43F00">
        <w:t>.</w:t>
      </w:r>
    </w:p>
    <w:p w14:paraId="7A1C141E" w14:textId="615ECD40" w:rsidR="519D990A" w:rsidRDefault="233273E1" w:rsidP="326E3735">
      <w:pPr>
        <w:pStyle w:val="ListParagraph"/>
        <w:numPr>
          <w:ilvl w:val="0"/>
          <w:numId w:val="8"/>
        </w:numPr>
        <w:spacing w:after="200" w:line="276" w:lineRule="auto"/>
      </w:pPr>
      <w:r w:rsidRPr="326E3735">
        <w:t xml:space="preserve">Member has </w:t>
      </w:r>
      <w:r w:rsidR="3AC0429D" w:rsidRPr="326E3735">
        <w:t>no ulcer within 3 cm of index ulcer</w:t>
      </w:r>
      <w:r w:rsidR="00D43F00">
        <w:t>.</w:t>
      </w:r>
    </w:p>
    <w:p w14:paraId="4D834B7C" w14:textId="494E2EF7" w:rsidR="519D990A" w:rsidRDefault="5CCC0F1C" w:rsidP="326E3735">
      <w:pPr>
        <w:pStyle w:val="ListParagraph"/>
        <w:numPr>
          <w:ilvl w:val="0"/>
          <w:numId w:val="8"/>
        </w:numPr>
        <w:spacing w:after="200" w:line="276" w:lineRule="auto"/>
      </w:pPr>
      <w:r w:rsidRPr="326E3735">
        <w:t>Member has an A</w:t>
      </w:r>
      <w:r w:rsidR="008B4C8D">
        <w:t xml:space="preserve">nkle </w:t>
      </w:r>
      <w:r w:rsidRPr="326E3735">
        <w:t>B</w:t>
      </w:r>
      <w:r w:rsidR="008B4C8D">
        <w:t xml:space="preserve">rachial </w:t>
      </w:r>
      <w:r w:rsidRPr="326E3735">
        <w:t>I</w:t>
      </w:r>
      <w:r w:rsidR="008B4C8D">
        <w:t>ndex (ABI)</w:t>
      </w:r>
      <w:r w:rsidRPr="326E3735">
        <w:t xml:space="preserve"> level </w:t>
      </w:r>
      <w:r w:rsidR="005F660E">
        <w:t>between</w:t>
      </w:r>
      <w:r w:rsidR="00294EFC">
        <w:t xml:space="preserve"> </w:t>
      </w:r>
      <w:r w:rsidRPr="326E3735">
        <w:t>0.7 and 1.2</w:t>
      </w:r>
      <w:r w:rsidR="00D43F00">
        <w:t>.</w:t>
      </w:r>
    </w:p>
    <w:p w14:paraId="00A4D435" w14:textId="09D28408" w:rsidR="519D990A" w:rsidRDefault="52196419" w:rsidP="326E3735">
      <w:pPr>
        <w:pStyle w:val="ListParagraph"/>
        <w:numPr>
          <w:ilvl w:val="0"/>
          <w:numId w:val="8"/>
        </w:numPr>
        <w:spacing w:after="200" w:line="276" w:lineRule="auto"/>
      </w:pPr>
      <w:r w:rsidRPr="326E3735">
        <w:rPr>
          <w:rFonts w:ascii="Calibri" w:eastAsia="Calibri" w:hAnsi="Calibri" w:cs="Calibri"/>
          <w:color w:val="000000" w:themeColor="text1"/>
        </w:rPr>
        <w:t xml:space="preserve">For </w:t>
      </w:r>
      <w:r w:rsidR="3F8F6E48" w:rsidRPr="326E3735">
        <w:rPr>
          <w:rFonts w:ascii="Calibri" w:eastAsia="Calibri" w:hAnsi="Calibri" w:cs="Calibri"/>
          <w:color w:val="000000" w:themeColor="text1"/>
        </w:rPr>
        <w:t xml:space="preserve">members </w:t>
      </w:r>
      <w:r w:rsidRPr="326E3735">
        <w:rPr>
          <w:rFonts w:ascii="Calibri" w:eastAsia="Calibri" w:hAnsi="Calibri" w:cs="Calibri"/>
          <w:color w:val="000000" w:themeColor="text1"/>
        </w:rPr>
        <w:t>with a DFU</w:t>
      </w:r>
      <w:r w:rsidR="00D43F00">
        <w:rPr>
          <w:rFonts w:ascii="Calibri" w:eastAsia="Calibri" w:hAnsi="Calibri" w:cs="Calibri"/>
          <w:color w:val="000000" w:themeColor="text1"/>
        </w:rPr>
        <w:t>:</w:t>
      </w:r>
      <w:r w:rsidRPr="326E3735">
        <w:rPr>
          <w:rFonts w:ascii="Calibri" w:eastAsia="Calibri" w:hAnsi="Calibri" w:cs="Calibri"/>
          <w:color w:val="000000" w:themeColor="text1"/>
        </w:rPr>
        <w:t xml:space="preserve"> </w:t>
      </w:r>
    </w:p>
    <w:p w14:paraId="1BFEF9A0" w14:textId="510E06CE" w:rsidR="519D990A" w:rsidRDefault="00D43F00" w:rsidP="326E3735">
      <w:pPr>
        <w:pStyle w:val="ListParagraph"/>
        <w:numPr>
          <w:ilvl w:val="1"/>
          <w:numId w:val="8"/>
        </w:numPr>
        <w:spacing w:after="200" w:line="276" w:lineRule="auto"/>
      </w:pPr>
      <w:r>
        <w:rPr>
          <w:rFonts w:ascii="Calibri" w:eastAsia="Calibri" w:hAnsi="Calibri" w:cs="Calibri"/>
          <w:color w:val="000000" w:themeColor="text1"/>
        </w:rPr>
        <w:t>Member has been assessed</w:t>
      </w:r>
      <w:r w:rsidRPr="326E3735">
        <w:rPr>
          <w:rFonts w:ascii="Calibri" w:eastAsia="Calibri" w:hAnsi="Calibri" w:cs="Calibri"/>
          <w:color w:val="000000" w:themeColor="text1"/>
        </w:rPr>
        <w:t xml:space="preserve"> </w:t>
      </w:r>
      <w:r w:rsidR="52196419" w:rsidRPr="326E3735">
        <w:rPr>
          <w:rFonts w:ascii="Calibri" w:eastAsia="Calibri" w:hAnsi="Calibri" w:cs="Calibri"/>
          <w:color w:val="000000" w:themeColor="text1"/>
        </w:rPr>
        <w:t>of Type 1 vs. Type 2 diabetes and management history with attention to certain comorbidities (e.g., vascular disease, neuropathy, osteomyelitis)</w:t>
      </w:r>
      <w:r>
        <w:rPr>
          <w:rFonts w:ascii="Calibri" w:eastAsia="Calibri" w:hAnsi="Calibri" w:cs="Calibri"/>
          <w:color w:val="000000" w:themeColor="text1"/>
        </w:rPr>
        <w:t>.</w:t>
      </w:r>
    </w:p>
    <w:p w14:paraId="24A3FCA4" w14:textId="04B5A670" w:rsidR="519D990A" w:rsidRDefault="00D43F00" w:rsidP="326E3735">
      <w:pPr>
        <w:pStyle w:val="ListParagraph"/>
        <w:numPr>
          <w:ilvl w:val="1"/>
          <w:numId w:val="8"/>
        </w:numPr>
        <w:spacing w:after="200" w:line="276" w:lineRule="auto"/>
      </w:pPr>
      <w:r>
        <w:rPr>
          <w:rFonts w:ascii="Calibri" w:eastAsia="Calibri" w:hAnsi="Calibri" w:cs="Calibri"/>
        </w:rPr>
        <w:t xml:space="preserve">Member has an </w:t>
      </w:r>
      <w:r w:rsidR="56C4C35E" w:rsidRPr="1316B9C0">
        <w:rPr>
          <w:rFonts w:ascii="Calibri" w:eastAsia="Calibri" w:hAnsi="Calibri" w:cs="Calibri"/>
        </w:rPr>
        <w:t>H</w:t>
      </w:r>
      <w:r w:rsidR="44C9AF0F" w:rsidRPr="1316B9C0">
        <w:rPr>
          <w:rFonts w:ascii="Calibri" w:eastAsia="Calibri" w:hAnsi="Calibri" w:cs="Calibri"/>
        </w:rPr>
        <w:t xml:space="preserve">ba1c level </w:t>
      </w:r>
      <w:r w:rsidR="00B52DF0">
        <w:rPr>
          <w:rFonts w:ascii="Calibri" w:eastAsia="Calibri" w:hAnsi="Calibri" w:cs="Calibri"/>
        </w:rPr>
        <w:t>of</w:t>
      </w:r>
      <w:r w:rsidR="00B52DF0" w:rsidRPr="1316B9C0">
        <w:rPr>
          <w:rFonts w:ascii="Calibri" w:eastAsia="Calibri" w:hAnsi="Calibri" w:cs="Calibri"/>
        </w:rPr>
        <w:t xml:space="preserve"> </w:t>
      </w:r>
      <w:r w:rsidR="00B52DF0">
        <w:rPr>
          <w:rFonts w:ascii="Calibri" w:eastAsia="Calibri" w:hAnsi="Calibri" w:cs="Calibri"/>
        </w:rPr>
        <w:t>less than</w:t>
      </w:r>
      <w:r w:rsidR="00B52DF0" w:rsidRPr="1316B9C0">
        <w:rPr>
          <w:rFonts w:ascii="Calibri" w:eastAsia="Calibri" w:hAnsi="Calibri" w:cs="Calibri"/>
        </w:rPr>
        <w:t xml:space="preserve"> </w:t>
      </w:r>
      <w:r w:rsidR="44C9AF0F" w:rsidRPr="1316B9C0">
        <w:rPr>
          <w:rFonts w:ascii="Calibri" w:eastAsia="Calibri" w:hAnsi="Calibri" w:cs="Calibri"/>
        </w:rPr>
        <w:t>12</w:t>
      </w:r>
      <w:r w:rsidR="1DF527F1" w:rsidRPr="1316B9C0">
        <w:rPr>
          <w:rFonts w:ascii="Calibri" w:eastAsia="Calibri" w:hAnsi="Calibri" w:cs="Calibri"/>
        </w:rPr>
        <w:t>%</w:t>
      </w:r>
      <w:r w:rsidR="68728EDE" w:rsidRPr="1316B9C0">
        <w:rPr>
          <w:rFonts w:ascii="Calibri" w:eastAsia="Calibri" w:hAnsi="Calibri" w:cs="Calibri"/>
        </w:rPr>
        <w:t xml:space="preserve"> within 90 days of PA submission</w:t>
      </w:r>
      <w:r>
        <w:rPr>
          <w:rFonts w:ascii="Calibri" w:eastAsia="Calibri" w:hAnsi="Calibri" w:cs="Calibri"/>
        </w:rPr>
        <w:t>.</w:t>
      </w:r>
    </w:p>
    <w:p w14:paraId="13C7B4D8" w14:textId="23D4F2A4" w:rsidR="519D990A" w:rsidRDefault="00D43F00" w:rsidP="326E3735">
      <w:pPr>
        <w:pStyle w:val="ListParagraph"/>
        <w:numPr>
          <w:ilvl w:val="1"/>
          <w:numId w:val="8"/>
        </w:numPr>
        <w:spacing w:after="200" w:line="276" w:lineRule="auto"/>
      </w:pPr>
      <w:r>
        <w:rPr>
          <w:rFonts w:ascii="Calibri" w:eastAsia="Calibri" w:hAnsi="Calibri" w:cs="Calibri"/>
        </w:rPr>
        <w:t>Member has a s</w:t>
      </w:r>
      <w:r w:rsidRPr="326E3735">
        <w:rPr>
          <w:rFonts w:ascii="Calibri" w:eastAsia="Calibri" w:hAnsi="Calibri" w:cs="Calibri"/>
        </w:rPr>
        <w:t xml:space="preserve">erum </w:t>
      </w:r>
      <w:r w:rsidR="2D93F00A" w:rsidRPr="326E3735">
        <w:rPr>
          <w:rFonts w:ascii="Calibri" w:eastAsia="Calibri" w:hAnsi="Calibri" w:cs="Calibri"/>
        </w:rPr>
        <w:t xml:space="preserve">creatinine </w:t>
      </w:r>
      <w:r>
        <w:rPr>
          <w:rFonts w:ascii="Calibri" w:eastAsia="Calibri" w:hAnsi="Calibri" w:cs="Calibri"/>
        </w:rPr>
        <w:t xml:space="preserve">level </w:t>
      </w:r>
      <w:r w:rsidR="2D93F00A" w:rsidRPr="326E3735">
        <w:rPr>
          <w:rFonts w:ascii="Calibri" w:eastAsia="Calibri" w:hAnsi="Calibri" w:cs="Calibri"/>
        </w:rPr>
        <w:t xml:space="preserve">of </w:t>
      </w:r>
      <w:r w:rsidR="00B52DF0">
        <w:rPr>
          <w:rFonts w:ascii="Calibri" w:eastAsia="Calibri" w:hAnsi="Calibri" w:cs="Calibri"/>
        </w:rPr>
        <w:t>less than</w:t>
      </w:r>
      <w:r w:rsidR="00B52DF0" w:rsidRPr="326E3735">
        <w:rPr>
          <w:rFonts w:ascii="Calibri" w:eastAsia="Calibri" w:hAnsi="Calibri" w:cs="Calibri"/>
        </w:rPr>
        <w:t xml:space="preserve"> </w:t>
      </w:r>
      <w:r w:rsidR="2D93F00A" w:rsidRPr="326E3735">
        <w:rPr>
          <w:rFonts w:ascii="Calibri" w:eastAsia="Calibri" w:hAnsi="Calibri" w:cs="Calibri"/>
        </w:rPr>
        <w:t>3.0 mg/dL</w:t>
      </w:r>
      <w:r>
        <w:rPr>
          <w:rFonts w:ascii="Calibri" w:eastAsia="Calibri" w:hAnsi="Calibri" w:cs="Calibri"/>
        </w:rPr>
        <w:t>.</w:t>
      </w:r>
    </w:p>
    <w:p w14:paraId="54FE64A9" w14:textId="68C02395" w:rsidR="519D990A" w:rsidRDefault="00D43F00" w:rsidP="326E3735">
      <w:pPr>
        <w:pStyle w:val="ListParagraph"/>
        <w:numPr>
          <w:ilvl w:val="1"/>
          <w:numId w:val="8"/>
        </w:numPr>
        <w:spacing w:after="200" w:line="276" w:lineRule="auto"/>
        <w:rPr>
          <w:rFonts w:ascii="Calibri" w:eastAsia="Calibri" w:hAnsi="Calibri" w:cs="Calibri"/>
        </w:rPr>
      </w:pPr>
      <w:r>
        <w:rPr>
          <w:rFonts w:ascii="Calibri" w:eastAsia="Calibri" w:hAnsi="Calibri" w:cs="Calibri"/>
        </w:rPr>
        <w:t>Member’s</w:t>
      </w:r>
      <w:r w:rsidR="2F59E5F7" w:rsidRPr="326E3735">
        <w:rPr>
          <w:rFonts w:ascii="Calibri" w:eastAsia="Calibri" w:hAnsi="Calibri" w:cs="Calibri"/>
        </w:rPr>
        <w:t xml:space="preserve"> </w:t>
      </w:r>
      <w:r w:rsidR="52196419" w:rsidRPr="326E3735">
        <w:rPr>
          <w:rFonts w:ascii="Calibri" w:eastAsia="Calibri" w:hAnsi="Calibri" w:cs="Calibri"/>
        </w:rPr>
        <w:t>diet</w:t>
      </w:r>
      <w:r>
        <w:rPr>
          <w:rFonts w:ascii="Calibri" w:eastAsia="Calibri" w:hAnsi="Calibri" w:cs="Calibri"/>
        </w:rPr>
        <w:t>,</w:t>
      </w:r>
      <w:r w:rsidR="52196419" w:rsidRPr="326E3735">
        <w:rPr>
          <w:rFonts w:ascii="Calibri" w:eastAsia="Calibri" w:hAnsi="Calibri" w:cs="Calibri"/>
        </w:rPr>
        <w:t xml:space="preserve"> nutritional status</w:t>
      </w:r>
      <w:r>
        <w:rPr>
          <w:rFonts w:ascii="Calibri" w:eastAsia="Calibri" w:hAnsi="Calibri" w:cs="Calibri"/>
        </w:rPr>
        <w:t>,</w:t>
      </w:r>
      <w:r w:rsidR="4DFD9EA8" w:rsidRPr="326E3735">
        <w:rPr>
          <w:rFonts w:ascii="Calibri" w:eastAsia="Calibri" w:hAnsi="Calibri" w:cs="Calibri"/>
        </w:rPr>
        <w:t xml:space="preserve"> and </w:t>
      </w:r>
      <w:r w:rsidR="52196419" w:rsidRPr="326E3735">
        <w:rPr>
          <w:rFonts w:ascii="Calibri" w:eastAsia="Calibri" w:hAnsi="Calibri" w:cs="Calibri"/>
        </w:rPr>
        <w:t>activity level</w:t>
      </w:r>
      <w:r>
        <w:rPr>
          <w:rFonts w:ascii="Calibri" w:eastAsia="Calibri" w:hAnsi="Calibri" w:cs="Calibri"/>
        </w:rPr>
        <w:t xml:space="preserve"> have been assessed.</w:t>
      </w:r>
    </w:p>
    <w:p w14:paraId="0A04CCE9" w14:textId="66AD0081" w:rsidR="519D990A" w:rsidRDefault="00D43F00" w:rsidP="1316B9C0">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Member’s u</w:t>
      </w:r>
      <w:r w:rsidRPr="1316B9C0">
        <w:rPr>
          <w:rFonts w:ascii="Calibri" w:eastAsia="Calibri" w:hAnsi="Calibri" w:cs="Calibri"/>
          <w:color w:val="000000" w:themeColor="text1"/>
        </w:rPr>
        <w:t xml:space="preserve">se </w:t>
      </w:r>
      <w:r w:rsidR="4343ED99" w:rsidRPr="1316B9C0">
        <w:rPr>
          <w:rFonts w:ascii="Calibri" w:eastAsia="Calibri" w:hAnsi="Calibri" w:cs="Calibri"/>
          <w:color w:val="000000" w:themeColor="text1"/>
        </w:rPr>
        <w:t xml:space="preserve">of </w:t>
      </w:r>
      <w:r w:rsidR="52196419" w:rsidRPr="1316B9C0">
        <w:rPr>
          <w:rFonts w:ascii="Calibri" w:eastAsia="Calibri" w:hAnsi="Calibri" w:cs="Calibri"/>
          <w:color w:val="000000" w:themeColor="text1"/>
        </w:rPr>
        <w:t>off-loading device or appropriate footwear</w:t>
      </w:r>
      <w:r>
        <w:rPr>
          <w:rFonts w:ascii="Calibri" w:eastAsia="Calibri" w:hAnsi="Calibri" w:cs="Calibri"/>
          <w:color w:val="000000" w:themeColor="text1"/>
        </w:rPr>
        <w:t xml:space="preserve"> has been assessed</w:t>
      </w:r>
      <w:r w:rsidR="050CDD9A" w:rsidRPr="1316B9C0">
        <w:rPr>
          <w:rFonts w:ascii="Calibri" w:eastAsia="Calibri" w:hAnsi="Calibri" w:cs="Calibri"/>
          <w:color w:val="000000" w:themeColor="text1"/>
        </w:rPr>
        <w:t>.</w:t>
      </w:r>
    </w:p>
    <w:p w14:paraId="449B268F" w14:textId="0C470DE1" w:rsidR="519D990A" w:rsidRDefault="02F80FCD" w:rsidP="326E3735">
      <w:pPr>
        <w:pStyle w:val="ListParagraph"/>
        <w:numPr>
          <w:ilvl w:val="0"/>
          <w:numId w:val="8"/>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For members with a </w:t>
      </w:r>
      <w:r w:rsidR="52196419" w:rsidRPr="326E3735">
        <w:rPr>
          <w:rFonts w:ascii="Calibri" w:eastAsia="Calibri" w:hAnsi="Calibri" w:cs="Calibri"/>
          <w:color w:val="000000" w:themeColor="text1"/>
        </w:rPr>
        <w:t>VLU</w:t>
      </w:r>
      <w:r w:rsidR="00D43F00">
        <w:rPr>
          <w:rFonts w:ascii="Calibri" w:eastAsia="Calibri" w:hAnsi="Calibri" w:cs="Calibri"/>
          <w:color w:val="000000" w:themeColor="text1"/>
        </w:rPr>
        <w:t>:</w:t>
      </w:r>
      <w:r w:rsidR="52196419" w:rsidRPr="326E3735">
        <w:rPr>
          <w:rFonts w:ascii="Calibri" w:eastAsia="Calibri" w:hAnsi="Calibri" w:cs="Calibri"/>
          <w:color w:val="000000" w:themeColor="text1"/>
        </w:rPr>
        <w:t xml:space="preserve"> </w:t>
      </w:r>
    </w:p>
    <w:p w14:paraId="564F33CF" w14:textId="56434AB5" w:rsidR="519D990A" w:rsidRDefault="000A670B" w:rsidP="326E3735">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Member’s</w:t>
      </w:r>
      <w:r w:rsidR="52196419" w:rsidRPr="326E3735">
        <w:rPr>
          <w:rFonts w:ascii="Calibri" w:eastAsia="Calibri" w:hAnsi="Calibri" w:cs="Calibri"/>
          <w:color w:val="000000" w:themeColor="text1"/>
        </w:rPr>
        <w:t xml:space="preserve"> clinical history (prior ulcers, thrombosis risks</w:t>
      </w:r>
      <w:r w:rsidRPr="326E3735">
        <w:rPr>
          <w:rFonts w:ascii="Calibri" w:eastAsia="Calibri" w:hAnsi="Calibri" w:cs="Calibri"/>
          <w:color w:val="000000" w:themeColor="text1"/>
        </w:rPr>
        <w:t>)</w:t>
      </w:r>
      <w:r>
        <w:rPr>
          <w:rFonts w:ascii="Calibri" w:eastAsia="Calibri" w:hAnsi="Calibri" w:cs="Calibri"/>
          <w:color w:val="000000" w:themeColor="text1"/>
        </w:rPr>
        <w:t xml:space="preserve"> and</w:t>
      </w:r>
      <w:r w:rsidRPr="326E3735">
        <w:rPr>
          <w:rFonts w:ascii="Calibri" w:eastAsia="Calibri" w:hAnsi="Calibri" w:cs="Calibri"/>
          <w:color w:val="000000" w:themeColor="text1"/>
        </w:rPr>
        <w:t xml:space="preserve"> </w:t>
      </w:r>
      <w:r w:rsidR="52196419" w:rsidRPr="326E3735">
        <w:rPr>
          <w:rFonts w:ascii="Calibri" w:eastAsia="Calibri" w:hAnsi="Calibri" w:cs="Calibri"/>
          <w:color w:val="000000" w:themeColor="text1"/>
        </w:rPr>
        <w:t>physical exam</w:t>
      </w:r>
      <w:r>
        <w:rPr>
          <w:rFonts w:ascii="Calibri" w:eastAsia="Calibri" w:hAnsi="Calibri" w:cs="Calibri"/>
          <w:color w:val="000000" w:themeColor="text1"/>
        </w:rPr>
        <w:t>(s)</w:t>
      </w:r>
      <w:r w:rsidR="52196419" w:rsidRPr="326E3735">
        <w:rPr>
          <w:rFonts w:ascii="Calibri" w:eastAsia="Calibri" w:hAnsi="Calibri" w:cs="Calibri"/>
          <w:color w:val="000000" w:themeColor="text1"/>
        </w:rPr>
        <w:t xml:space="preserve"> (edema, skin changes)</w:t>
      </w:r>
      <w:r>
        <w:rPr>
          <w:rFonts w:ascii="Calibri" w:eastAsia="Calibri" w:hAnsi="Calibri" w:cs="Calibri"/>
          <w:color w:val="000000" w:themeColor="text1"/>
        </w:rPr>
        <w:t xml:space="preserve"> have been assessed.</w:t>
      </w:r>
    </w:p>
    <w:p w14:paraId="57069CDF" w14:textId="079476B2" w:rsidR="519D990A" w:rsidRDefault="000A670B" w:rsidP="1316B9C0">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Member has had d</w:t>
      </w:r>
      <w:r w:rsidRPr="1316B9C0">
        <w:rPr>
          <w:rFonts w:ascii="Calibri" w:eastAsia="Calibri" w:hAnsi="Calibri" w:cs="Calibri"/>
          <w:color w:val="000000" w:themeColor="text1"/>
        </w:rPr>
        <w:t xml:space="preserve">iagnostic </w:t>
      </w:r>
      <w:r w:rsidR="52196419" w:rsidRPr="1316B9C0">
        <w:rPr>
          <w:rFonts w:ascii="Calibri" w:eastAsia="Calibri" w:hAnsi="Calibri" w:cs="Calibri"/>
          <w:color w:val="000000" w:themeColor="text1"/>
        </w:rPr>
        <w:t>testing to verify superficial or deep venous reflux, perforator incompetence, and chronic (or acute) venous thrombosis</w:t>
      </w:r>
      <w:r w:rsidR="7326D655" w:rsidRPr="1316B9C0">
        <w:rPr>
          <w:rFonts w:ascii="Calibri" w:eastAsia="Calibri" w:hAnsi="Calibri" w:cs="Calibri"/>
          <w:color w:val="000000" w:themeColor="text1"/>
        </w:rPr>
        <w:t xml:space="preserve"> </w:t>
      </w:r>
      <w:r w:rsidR="7326D655" w:rsidRPr="1316B9C0">
        <w:rPr>
          <w:rFonts w:ascii="Calibri" w:eastAsia="Calibri" w:hAnsi="Calibri" w:cs="Calibri"/>
          <w:i/>
          <w:iCs/>
          <w:color w:val="000000" w:themeColor="text1"/>
        </w:rPr>
        <w:t>or</w:t>
      </w:r>
      <w:r w:rsidR="7326D655" w:rsidRPr="1316B9C0">
        <w:rPr>
          <w:rFonts w:ascii="Calibri" w:eastAsia="Calibri" w:hAnsi="Calibri" w:cs="Calibri"/>
          <w:color w:val="000000" w:themeColor="text1"/>
        </w:rPr>
        <w:t xml:space="preserve"> evidence of varicosities, lipodermatosclerosis, venous dermatitis</w:t>
      </w:r>
      <w:r>
        <w:rPr>
          <w:rFonts w:ascii="Calibri" w:eastAsia="Calibri" w:hAnsi="Calibri" w:cs="Calibri"/>
          <w:color w:val="000000" w:themeColor="text1"/>
        </w:rPr>
        <w:t>,</w:t>
      </w:r>
      <w:r w:rsidR="7326D655" w:rsidRPr="1316B9C0">
        <w:rPr>
          <w:rFonts w:ascii="Calibri" w:eastAsia="Calibri" w:hAnsi="Calibri" w:cs="Calibri"/>
          <w:color w:val="000000" w:themeColor="text1"/>
        </w:rPr>
        <w:t xml:space="preserve"> or other clinical signs of a VLU.</w:t>
      </w:r>
    </w:p>
    <w:p w14:paraId="5F0327A2" w14:textId="6799D068" w:rsidR="519D990A" w:rsidRDefault="000A670B" w:rsidP="326E3735">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Member’s s</w:t>
      </w:r>
      <w:r w:rsidRPr="1316B9C0">
        <w:rPr>
          <w:rFonts w:ascii="Calibri" w:eastAsia="Calibri" w:hAnsi="Calibri" w:cs="Calibri"/>
          <w:color w:val="000000" w:themeColor="text1"/>
        </w:rPr>
        <w:t xml:space="preserve">tandard </w:t>
      </w:r>
      <w:r w:rsidR="54D6CF0C" w:rsidRPr="1316B9C0">
        <w:rPr>
          <w:rFonts w:ascii="Calibri" w:eastAsia="Calibri" w:hAnsi="Calibri" w:cs="Calibri"/>
          <w:color w:val="000000" w:themeColor="text1"/>
        </w:rPr>
        <w:t>of care treatment must continue for no less than four weeks and include ongoing compression therapy.</w:t>
      </w:r>
    </w:p>
    <w:p w14:paraId="106E459C" w14:textId="5807E472" w:rsidR="519D990A" w:rsidRDefault="52196419" w:rsidP="1316B9C0">
      <w:pPr>
        <w:pStyle w:val="ListParagraph"/>
        <w:numPr>
          <w:ilvl w:val="0"/>
          <w:numId w:val="8"/>
        </w:numPr>
        <w:spacing w:after="200" w:line="276" w:lineRule="auto"/>
        <w:rPr>
          <w:rFonts w:ascii="Calibri" w:eastAsia="Calibri" w:hAnsi="Calibri" w:cs="Calibri"/>
          <w:color w:val="000000" w:themeColor="text1"/>
        </w:rPr>
      </w:pPr>
      <w:r w:rsidRPr="1316B9C0">
        <w:rPr>
          <w:rFonts w:ascii="Calibri" w:eastAsia="Calibri" w:hAnsi="Calibri" w:cs="Calibri"/>
          <w:color w:val="000000" w:themeColor="text1"/>
        </w:rPr>
        <w:t xml:space="preserve">The implemented treatment demonstrates </w:t>
      </w:r>
      <w:r w:rsidR="31104350" w:rsidRPr="1316B9C0">
        <w:rPr>
          <w:rFonts w:ascii="Calibri" w:eastAsia="Calibri" w:hAnsi="Calibri" w:cs="Calibri"/>
          <w:color w:val="000000" w:themeColor="text1"/>
        </w:rPr>
        <w:t>all</w:t>
      </w:r>
      <w:r w:rsidRPr="1316B9C0">
        <w:rPr>
          <w:rFonts w:ascii="Calibri" w:eastAsia="Calibri" w:hAnsi="Calibri" w:cs="Calibri"/>
          <w:color w:val="000000" w:themeColor="text1"/>
        </w:rPr>
        <w:t xml:space="preserve"> the following:</w:t>
      </w:r>
    </w:p>
    <w:p w14:paraId="1C24090A" w14:textId="195C463E" w:rsidR="519D990A" w:rsidRDefault="0064149D" w:rsidP="326E3735">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d</w:t>
      </w:r>
      <w:r w:rsidRPr="326E3735">
        <w:rPr>
          <w:rFonts w:ascii="Calibri" w:eastAsia="Calibri" w:hAnsi="Calibri" w:cs="Calibri"/>
          <w:color w:val="000000" w:themeColor="text1"/>
        </w:rPr>
        <w:t xml:space="preserve">ebridement </w:t>
      </w:r>
      <w:r w:rsidR="52196419" w:rsidRPr="326E3735">
        <w:rPr>
          <w:rFonts w:ascii="Calibri" w:eastAsia="Calibri" w:hAnsi="Calibri" w:cs="Calibri"/>
          <w:color w:val="000000" w:themeColor="text1"/>
        </w:rPr>
        <w:t>as appropriate</w:t>
      </w:r>
      <w:r w:rsidR="00B73B09">
        <w:rPr>
          <w:rFonts w:ascii="Calibri" w:eastAsia="Calibri" w:hAnsi="Calibri" w:cs="Calibri"/>
          <w:color w:val="000000" w:themeColor="text1"/>
        </w:rPr>
        <w:t>;</w:t>
      </w:r>
    </w:p>
    <w:p w14:paraId="393EB817" w14:textId="03FF6C27" w:rsidR="519D990A" w:rsidRDefault="0064149D" w:rsidP="326E3735">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f</w:t>
      </w:r>
      <w:r w:rsidRPr="326E3735">
        <w:rPr>
          <w:rFonts w:ascii="Calibri" w:eastAsia="Calibri" w:hAnsi="Calibri" w:cs="Calibri"/>
          <w:color w:val="000000" w:themeColor="text1"/>
        </w:rPr>
        <w:t xml:space="preserve">orm </w:t>
      </w:r>
      <w:r w:rsidR="52196419" w:rsidRPr="326E3735">
        <w:rPr>
          <w:rFonts w:ascii="Calibri" w:eastAsia="Calibri" w:hAnsi="Calibri" w:cs="Calibri"/>
          <w:color w:val="000000" w:themeColor="text1"/>
        </w:rPr>
        <w:t>of offloading for DFUs</w:t>
      </w:r>
      <w:r w:rsidR="00B73B09">
        <w:rPr>
          <w:rFonts w:ascii="Calibri" w:eastAsia="Calibri" w:hAnsi="Calibri" w:cs="Calibri"/>
          <w:color w:val="000000" w:themeColor="text1"/>
        </w:rPr>
        <w:t>;</w:t>
      </w:r>
    </w:p>
    <w:p w14:paraId="5A9126DE" w14:textId="78E4CD69" w:rsidR="519D990A" w:rsidRDefault="0064149D" w:rsidP="326E3735">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f</w:t>
      </w:r>
      <w:r w:rsidRPr="326E3735">
        <w:rPr>
          <w:rFonts w:ascii="Calibri" w:eastAsia="Calibri" w:hAnsi="Calibri" w:cs="Calibri"/>
          <w:color w:val="000000" w:themeColor="text1"/>
        </w:rPr>
        <w:t xml:space="preserve">orm </w:t>
      </w:r>
      <w:r w:rsidR="52196419" w:rsidRPr="326E3735">
        <w:rPr>
          <w:rFonts w:ascii="Calibri" w:eastAsia="Calibri" w:hAnsi="Calibri" w:cs="Calibri"/>
          <w:color w:val="000000" w:themeColor="text1"/>
        </w:rPr>
        <w:t>of compression for VLUs</w:t>
      </w:r>
      <w:r w:rsidR="00B73B09">
        <w:rPr>
          <w:rFonts w:ascii="Calibri" w:eastAsia="Calibri" w:hAnsi="Calibri" w:cs="Calibri"/>
          <w:color w:val="000000" w:themeColor="text1"/>
        </w:rPr>
        <w:t>;</w:t>
      </w:r>
    </w:p>
    <w:p w14:paraId="7FD3F79E" w14:textId="7CA92CA7" w:rsidR="519D990A" w:rsidRDefault="000C2A46" w:rsidP="326E3735">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Pr="326E3735">
        <w:rPr>
          <w:rFonts w:ascii="Calibri" w:eastAsia="Calibri" w:hAnsi="Calibri" w:cs="Calibri"/>
          <w:color w:val="000000" w:themeColor="text1"/>
        </w:rPr>
        <w:t xml:space="preserve">nfection </w:t>
      </w:r>
      <w:r w:rsidR="52196419" w:rsidRPr="326E3735">
        <w:rPr>
          <w:rFonts w:ascii="Calibri" w:eastAsia="Calibri" w:hAnsi="Calibri" w:cs="Calibri"/>
          <w:color w:val="000000" w:themeColor="text1"/>
        </w:rPr>
        <w:t>control</w:t>
      </w:r>
      <w:r w:rsidR="00B73B09">
        <w:rPr>
          <w:rFonts w:ascii="Calibri" w:eastAsia="Calibri" w:hAnsi="Calibri" w:cs="Calibri"/>
          <w:color w:val="000000" w:themeColor="text1"/>
        </w:rPr>
        <w:t xml:space="preserve">; </w:t>
      </w:r>
      <w:r w:rsidR="000A670B">
        <w:rPr>
          <w:rFonts w:ascii="Calibri" w:eastAsia="Calibri" w:hAnsi="Calibri" w:cs="Calibri"/>
          <w:color w:val="000000" w:themeColor="text1"/>
        </w:rPr>
        <w:t>and</w:t>
      </w:r>
    </w:p>
    <w:p w14:paraId="465BEDE2" w14:textId="0122F816" w:rsidR="519D990A" w:rsidRDefault="0064149D" w:rsidP="1316B9C0">
      <w:pPr>
        <w:pStyle w:val="ListParagraph"/>
        <w:numPr>
          <w:ilvl w:val="1"/>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m</w:t>
      </w:r>
      <w:r w:rsidRPr="1316B9C0">
        <w:rPr>
          <w:rFonts w:ascii="Calibri" w:eastAsia="Calibri" w:hAnsi="Calibri" w:cs="Calibri"/>
          <w:color w:val="000000" w:themeColor="text1"/>
        </w:rPr>
        <w:t xml:space="preserve">anagement </w:t>
      </w:r>
      <w:r w:rsidR="52196419" w:rsidRPr="1316B9C0">
        <w:rPr>
          <w:rFonts w:ascii="Calibri" w:eastAsia="Calibri" w:hAnsi="Calibri" w:cs="Calibri"/>
          <w:color w:val="000000" w:themeColor="text1"/>
        </w:rPr>
        <w:t>of exudate</w:t>
      </w:r>
      <w:r w:rsidR="00B73B09">
        <w:rPr>
          <w:rFonts w:ascii="Calibri" w:eastAsia="Calibri" w:hAnsi="Calibri" w:cs="Calibri"/>
          <w:color w:val="000000" w:themeColor="text1"/>
        </w:rPr>
        <w:t>—</w:t>
      </w:r>
      <w:r w:rsidR="52196419" w:rsidRPr="1316B9C0">
        <w:rPr>
          <w:rFonts w:ascii="Calibri" w:eastAsia="Calibri" w:hAnsi="Calibri" w:cs="Calibri"/>
          <w:color w:val="000000" w:themeColor="text1"/>
        </w:rPr>
        <w:t>maintenance of a moist environment (moist saline gauze, other classic dressings, bioactive dressing, etc.)</w:t>
      </w:r>
      <w:r w:rsidR="2E160BC0" w:rsidRPr="1316B9C0">
        <w:rPr>
          <w:rFonts w:ascii="Calibri" w:eastAsia="Calibri" w:hAnsi="Calibri" w:cs="Calibri"/>
          <w:color w:val="000000" w:themeColor="text1"/>
        </w:rPr>
        <w:t xml:space="preserve"> and evaluation by a</w:t>
      </w:r>
      <w:r w:rsidR="37AE1FC9" w:rsidRPr="1316B9C0">
        <w:rPr>
          <w:rFonts w:ascii="Calibri" w:eastAsia="Calibri" w:hAnsi="Calibri" w:cs="Calibri"/>
          <w:color w:val="000000" w:themeColor="text1"/>
        </w:rPr>
        <w:t>n experienced wound clinician</w:t>
      </w:r>
      <w:r w:rsidR="000A670B">
        <w:rPr>
          <w:rFonts w:ascii="Calibri" w:eastAsia="Calibri" w:hAnsi="Calibri" w:cs="Calibri"/>
          <w:color w:val="000000" w:themeColor="text1"/>
        </w:rPr>
        <w:t>.</w:t>
      </w:r>
    </w:p>
    <w:p w14:paraId="70497011" w14:textId="66FFB211" w:rsidR="00722D7B" w:rsidRDefault="0064149D" w:rsidP="326E3735">
      <w:pPr>
        <w:pStyle w:val="ListParagraph"/>
        <w:numPr>
          <w:ilvl w:val="0"/>
          <w:numId w:val="8"/>
        </w:numPr>
        <w:spacing w:after="200" w:line="276" w:lineRule="auto"/>
        <w:rPr>
          <w:rFonts w:ascii="Calibri" w:eastAsia="Calibri" w:hAnsi="Calibri" w:cs="Calibri"/>
          <w:color w:val="000000" w:themeColor="text1"/>
        </w:rPr>
      </w:pPr>
      <w:r>
        <w:rPr>
          <w:rFonts w:ascii="Calibri" w:eastAsia="Calibri" w:hAnsi="Calibri" w:cs="Calibri"/>
          <w:color w:val="000000" w:themeColor="text1"/>
        </w:rPr>
        <w:t>Member has d</w:t>
      </w:r>
      <w:r w:rsidRPr="4354C978">
        <w:rPr>
          <w:rFonts w:ascii="Calibri" w:eastAsia="Calibri" w:hAnsi="Calibri" w:cs="Calibri"/>
          <w:color w:val="000000" w:themeColor="text1"/>
        </w:rPr>
        <w:t xml:space="preserve">ocumentation </w:t>
      </w:r>
      <w:r w:rsidR="52196419" w:rsidRPr="4354C978">
        <w:rPr>
          <w:rFonts w:ascii="Calibri" w:eastAsia="Calibri" w:hAnsi="Calibri" w:cs="Calibri"/>
          <w:color w:val="000000" w:themeColor="text1"/>
        </w:rPr>
        <w:t xml:space="preserve">of smoking history and </w:t>
      </w:r>
      <w:r>
        <w:rPr>
          <w:rFonts w:ascii="Calibri" w:eastAsia="Calibri" w:hAnsi="Calibri" w:cs="Calibri"/>
          <w:color w:val="000000" w:themeColor="text1"/>
        </w:rPr>
        <w:t>has</w:t>
      </w:r>
      <w:r w:rsidR="52196419" w:rsidRPr="4354C978">
        <w:rPr>
          <w:rFonts w:ascii="Calibri" w:eastAsia="Calibri" w:hAnsi="Calibri" w:cs="Calibri"/>
          <w:color w:val="000000" w:themeColor="text1"/>
        </w:rPr>
        <w:t xml:space="preserve"> received counseling on the effect of smoking on surgical outcomes and treatment for smoking cessation</w:t>
      </w:r>
      <w:r>
        <w:rPr>
          <w:rFonts w:ascii="Calibri" w:eastAsia="Calibri" w:hAnsi="Calibri" w:cs="Calibri"/>
          <w:color w:val="000000" w:themeColor="text1"/>
        </w:rPr>
        <w:t>.</w:t>
      </w:r>
    </w:p>
    <w:p w14:paraId="49D552A5" w14:textId="77777777" w:rsidR="00B73B09" w:rsidRDefault="660A606F" w:rsidP="00316393">
      <w:pPr>
        <w:pStyle w:val="ListParagraph"/>
        <w:numPr>
          <w:ilvl w:val="1"/>
          <w:numId w:val="8"/>
        </w:numPr>
        <w:spacing w:after="200" w:line="276" w:lineRule="auto"/>
        <w:rPr>
          <w:rFonts w:ascii="Calibri" w:eastAsia="Calibri" w:hAnsi="Calibri" w:cs="Calibri"/>
          <w:color w:val="000000" w:themeColor="text1"/>
        </w:rPr>
      </w:pPr>
      <w:r w:rsidRPr="00316393">
        <w:rPr>
          <w:rFonts w:ascii="Calibri" w:eastAsia="Calibri" w:hAnsi="Calibri" w:cs="Calibri"/>
          <w:color w:val="000000" w:themeColor="text1"/>
        </w:rPr>
        <w:t xml:space="preserve">Member </w:t>
      </w:r>
      <w:r w:rsidR="11B66B9B" w:rsidRPr="00316393">
        <w:rPr>
          <w:rFonts w:ascii="Calibri" w:eastAsia="Calibri" w:hAnsi="Calibri" w:cs="Calibri"/>
          <w:color w:val="000000" w:themeColor="text1"/>
        </w:rPr>
        <w:t>is</w:t>
      </w:r>
      <w:r w:rsidR="1BB3E0B4" w:rsidRPr="00316393">
        <w:rPr>
          <w:rFonts w:ascii="Calibri" w:eastAsia="Calibri" w:hAnsi="Calibri" w:cs="Calibri"/>
          <w:color w:val="000000" w:themeColor="text1"/>
        </w:rPr>
        <w:t xml:space="preserve"> a nonsmoker</w:t>
      </w:r>
      <w:r w:rsidR="00B73B09">
        <w:rPr>
          <w:rFonts w:ascii="Calibri" w:eastAsia="Calibri" w:hAnsi="Calibri" w:cs="Calibri"/>
          <w:color w:val="000000" w:themeColor="text1"/>
        </w:rPr>
        <w:t>;</w:t>
      </w:r>
      <w:r w:rsidR="1BB3E0B4" w:rsidRPr="00316393">
        <w:rPr>
          <w:rFonts w:ascii="Calibri" w:eastAsia="Calibri" w:hAnsi="Calibri" w:cs="Calibri"/>
          <w:color w:val="000000" w:themeColor="text1"/>
        </w:rPr>
        <w:t xml:space="preserve"> OR </w:t>
      </w:r>
    </w:p>
    <w:p w14:paraId="74A03A37" w14:textId="0B38C095" w:rsidR="00B73B09" w:rsidRDefault="1BB3E0B4" w:rsidP="00316393">
      <w:pPr>
        <w:pStyle w:val="ListParagraph"/>
        <w:numPr>
          <w:ilvl w:val="1"/>
          <w:numId w:val="8"/>
        </w:numPr>
        <w:spacing w:after="200" w:line="276" w:lineRule="auto"/>
        <w:rPr>
          <w:rFonts w:ascii="Calibri" w:eastAsia="Calibri" w:hAnsi="Calibri" w:cs="Calibri"/>
          <w:color w:val="000000" w:themeColor="text1"/>
        </w:rPr>
      </w:pPr>
      <w:r w:rsidRPr="00316393">
        <w:rPr>
          <w:rFonts w:ascii="Calibri" w:eastAsia="Calibri" w:hAnsi="Calibri" w:cs="Calibri"/>
          <w:color w:val="000000" w:themeColor="text1"/>
        </w:rPr>
        <w:t xml:space="preserve">should have refrained from smoking for at least </w:t>
      </w:r>
      <w:r w:rsidR="0064149D">
        <w:rPr>
          <w:rFonts w:ascii="Calibri" w:eastAsia="Calibri" w:hAnsi="Calibri" w:cs="Calibri"/>
          <w:color w:val="000000" w:themeColor="text1"/>
        </w:rPr>
        <w:t>six</w:t>
      </w:r>
      <w:r w:rsidR="0064149D" w:rsidRPr="00316393">
        <w:rPr>
          <w:rFonts w:ascii="Calibri" w:eastAsia="Calibri" w:hAnsi="Calibri" w:cs="Calibri"/>
          <w:color w:val="000000" w:themeColor="text1"/>
        </w:rPr>
        <w:t xml:space="preserve"> </w:t>
      </w:r>
      <w:r w:rsidRPr="00316393">
        <w:rPr>
          <w:rFonts w:ascii="Calibri" w:eastAsia="Calibri" w:hAnsi="Calibri" w:cs="Calibri"/>
          <w:color w:val="000000" w:themeColor="text1"/>
        </w:rPr>
        <w:t xml:space="preserve">weeks </w:t>
      </w:r>
      <w:r w:rsidR="00B73B09">
        <w:rPr>
          <w:rFonts w:ascii="Calibri" w:eastAsia="Calibri" w:hAnsi="Calibri" w:cs="Calibri"/>
          <w:color w:val="000000" w:themeColor="text1"/>
        </w:rPr>
        <w:t>before</w:t>
      </w:r>
      <w:r w:rsidR="6D4448C3" w:rsidRPr="00316393">
        <w:rPr>
          <w:rFonts w:ascii="Calibri" w:eastAsia="Calibri" w:hAnsi="Calibri" w:cs="Calibri"/>
          <w:color w:val="000000" w:themeColor="text1"/>
        </w:rPr>
        <w:t xml:space="preserve"> treatment</w:t>
      </w:r>
      <w:r w:rsidR="00B73B09">
        <w:rPr>
          <w:rFonts w:ascii="Calibri" w:eastAsia="Calibri" w:hAnsi="Calibri" w:cs="Calibri"/>
          <w:color w:val="000000" w:themeColor="text1"/>
        </w:rPr>
        <w:t>;</w:t>
      </w:r>
      <w:r w:rsidR="30E1C793" w:rsidRPr="00316393">
        <w:rPr>
          <w:rFonts w:ascii="Calibri" w:eastAsia="Calibri" w:hAnsi="Calibri" w:cs="Calibri"/>
          <w:color w:val="000000" w:themeColor="text1"/>
        </w:rPr>
        <w:t xml:space="preserve"> OR </w:t>
      </w:r>
    </w:p>
    <w:p w14:paraId="65B1899D" w14:textId="3A3DEC55" w:rsidR="519D990A" w:rsidRPr="00316393" w:rsidRDefault="30E1C793" w:rsidP="00316393">
      <w:pPr>
        <w:pStyle w:val="ListParagraph"/>
        <w:numPr>
          <w:ilvl w:val="1"/>
          <w:numId w:val="8"/>
        </w:numPr>
        <w:spacing w:after="200" w:line="276" w:lineRule="auto"/>
        <w:rPr>
          <w:rFonts w:ascii="Calibri" w:eastAsia="Calibri" w:hAnsi="Calibri" w:cs="Calibri"/>
          <w:color w:val="000000" w:themeColor="text1"/>
        </w:rPr>
      </w:pPr>
      <w:r w:rsidRPr="00316393">
        <w:rPr>
          <w:rFonts w:ascii="Calibri" w:eastAsia="Calibri" w:hAnsi="Calibri" w:cs="Calibri"/>
          <w:color w:val="000000" w:themeColor="text1"/>
        </w:rPr>
        <w:t>is undergoing treatment for smoking cessation.</w:t>
      </w:r>
    </w:p>
    <w:p w14:paraId="77A2BF72" w14:textId="1B40DA1D" w:rsidR="519D990A" w:rsidRDefault="6F2755B8" w:rsidP="326E3735">
      <w:pPr>
        <w:pStyle w:val="ListParagraph"/>
        <w:numPr>
          <w:ilvl w:val="0"/>
          <w:numId w:val="8"/>
        </w:numPr>
        <w:spacing w:after="200" w:line="276" w:lineRule="auto"/>
      </w:pPr>
      <w:r w:rsidRPr="4A494498">
        <w:rPr>
          <w:rFonts w:ascii="Calibri" w:eastAsia="Calibri" w:hAnsi="Calibri" w:cs="Calibri"/>
          <w:color w:val="000000" w:themeColor="text1"/>
        </w:rPr>
        <w:t xml:space="preserve">Member </w:t>
      </w:r>
      <w:r w:rsidR="282FAF2B" w:rsidRPr="4A494498">
        <w:rPr>
          <w:rFonts w:ascii="Calibri" w:eastAsia="Calibri" w:hAnsi="Calibri" w:cs="Calibri"/>
          <w:color w:val="000000" w:themeColor="text1"/>
        </w:rPr>
        <w:t xml:space="preserve">is able to </w:t>
      </w:r>
      <w:r w:rsidR="008C4AF0">
        <w:rPr>
          <w:rFonts w:ascii="Calibri" w:eastAsia="Calibri" w:hAnsi="Calibri" w:cs="Calibri"/>
          <w:color w:val="000000" w:themeColor="text1"/>
        </w:rPr>
        <w:t>follow</w:t>
      </w:r>
      <w:r w:rsidR="282FAF2B" w:rsidRPr="4A494498">
        <w:rPr>
          <w:rFonts w:ascii="Calibri" w:eastAsia="Calibri" w:hAnsi="Calibri" w:cs="Calibri"/>
          <w:color w:val="000000" w:themeColor="text1"/>
        </w:rPr>
        <w:t xml:space="preserve"> the treatment plan</w:t>
      </w:r>
      <w:r w:rsidR="0064149D">
        <w:rPr>
          <w:rFonts w:ascii="Calibri" w:eastAsia="Calibri" w:hAnsi="Calibri" w:cs="Calibri"/>
          <w:color w:val="000000" w:themeColor="text1"/>
        </w:rPr>
        <w:t>.</w:t>
      </w:r>
    </w:p>
    <w:p w14:paraId="63AE0FA3" w14:textId="0E41F4B7" w:rsidR="71F5B4F0" w:rsidRDefault="7FCAF68E" w:rsidP="326E3735">
      <w:pPr>
        <w:pStyle w:val="ListParagraph"/>
        <w:numPr>
          <w:ilvl w:val="0"/>
          <w:numId w:val="8"/>
        </w:numPr>
        <w:spacing w:after="200" w:line="276" w:lineRule="auto"/>
      </w:pPr>
      <w:r>
        <w:t xml:space="preserve">Ulcer improves significantly over </w:t>
      </w:r>
      <w:r w:rsidR="0064149D">
        <w:t xml:space="preserve">six </w:t>
      </w:r>
      <w:r>
        <w:t xml:space="preserve">weeks of treatment with skin substitutes, with continued significant improvement every </w:t>
      </w:r>
      <w:r w:rsidR="0064149D">
        <w:t xml:space="preserve">six </w:t>
      </w:r>
      <w:r>
        <w:t>weeks required for coverage of ongoing applications.</w:t>
      </w:r>
    </w:p>
    <w:p w14:paraId="718888A9" w14:textId="50FEFEBE" w:rsidR="2DA7B79C" w:rsidRDefault="2DA7B79C" w:rsidP="00F2493C">
      <w:pPr>
        <w:spacing w:after="200" w:line="276" w:lineRule="auto"/>
      </w:pPr>
      <w:r>
        <w:t xml:space="preserve">If the member is pregnant, provide informed consent as these products have largely not been tested in this population. </w:t>
      </w:r>
    </w:p>
    <w:p w14:paraId="7D1DD4D7" w14:textId="13DC28E5" w:rsidR="00C972E9" w:rsidRDefault="7299B3AB" w:rsidP="326E3735">
      <w:pPr>
        <w:pStyle w:val="Heading2"/>
        <w:spacing w:before="200" w:line="276" w:lineRule="auto"/>
        <w:rPr>
          <w:rFonts w:ascii="Cambria" w:eastAsia="Cambria" w:hAnsi="Cambria" w:cs="Cambria"/>
          <w:b/>
          <w:bCs/>
          <w:color w:val="4F81BD"/>
        </w:rPr>
      </w:pPr>
      <w:r w:rsidRPr="326E3735">
        <w:rPr>
          <w:rFonts w:ascii="Cambria" w:eastAsia="Cambria" w:hAnsi="Cambria" w:cs="Cambria"/>
          <w:b/>
          <w:bCs/>
          <w:color w:val="4F81BD"/>
        </w:rPr>
        <w:lastRenderedPageBreak/>
        <w:t>B. Noncoverage</w:t>
      </w:r>
    </w:p>
    <w:p w14:paraId="58BD16C5" w14:textId="6AC4BA56" w:rsidR="00C972E9" w:rsidRDefault="7299B3AB" w:rsidP="326E3735">
      <w:p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MassHealth does not provide coverage for</w:t>
      </w:r>
      <w:r w:rsidR="00437A0B">
        <w:rPr>
          <w:rFonts w:ascii="Calibri" w:eastAsia="Calibri" w:hAnsi="Calibri" w:cs="Calibri"/>
          <w:color w:val="000000" w:themeColor="text1"/>
        </w:rPr>
        <w:t xml:space="preserve"> </w:t>
      </w:r>
      <w:r w:rsidR="28F1F792" w:rsidRPr="326E3735">
        <w:rPr>
          <w:rFonts w:ascii="Calibri" w:eastAsia="Calibri" w:hAnsi="Calibri" w:cs="Calibri"/>
          <w:color w:val="000000" w:themeColor="text1"/>
        </w:rPr>
        <w:t>a skin</w:t>
      </w:r>
      <w:r w:rsidR="00437A0B">
        <w:rPr>
          <w:rFonts w:ascii="Calibri" w:eastAsia="Calibri" w:hAnsi="Calibri" w:cs="Calibri"/>
          <w:color w:val="000000" w:themeColor="text1"/>
        </w:rPr>
        <w:t>-</w:t>
      </w:r>
      <w:r w:rsidR="28F1F792" w:rsidRPr="326E3735">
        <w:rPr>
          <w:rFonts w:ascii="Calibri" w:eastAsia="Calibri" w:hAnsi="Calibri" w:cs="Calibri"/>
          <w:color w:val="000000" w:themeColor="text1"/>
        </w:rPr>
        <w:t>substitute graft</w:t>
      </w:r>
      <w:r w:rsidR="47496D2D" w:rsidRPr="326E3735">
        <w:rPr>
          <w:rFonts w:ascii="Calibri" w:eastAsia="Calibri" w:hAnsi="Calibri" w:cs="Calibri"/>
          <w:color w:val="000000" w:themeColor="text1"/>
        </w:rPr>
        <w:t xml:space="preserve"> </w:t>
      </w:r>
      <w:r w:rsidRPr="326E3735">
        <w:rPr>
          <w:rFonts w:ascii="Calibri" w:eastAsia="Calibri" w:hAnsi="Calibri" w:cs="Calibri"/>
          <w:color w:val="000000" w:themeColor="text1"/>
        </w:rPr>
        <w:t xml:space="preserve">to be medically necessary under certain circumstances. Examples of </w:t>
      </w:r>
      <w:r w:rsidR="2B5487C1" w:rsidRPr="326E3735">
        <w:rPr>
          <w:rFonts w:ascii="Calibri" w:eastAsia="Calibri" w:hAnsi="Calibri" w:cs="Calibri"/>
          <w:color w:val="000000" w:themeColor="text1"/>
        </w:rPr>
        <w:t xml:space="preserve">such circumstances </w:t>
      </w:r>
      <w:r w:rsidRPr="326E3735">
        <w:rPr>
          <w:rFonts w:ascii="Calibri" w:eastAsia="Calibri" w:hAnsi="Calibri" w:cs="Calibri"/>
          <w:color w:val="000000" w:themeColor="text1"/>
        </w:rPr>
        <w:t>include, but are not limited to, the following</w:t>
      </w:r>
      <w:r w:rsidR="00D77DCF">
        <w:rPr>
          <w:rFonts w:ascii="Calibri" w:eastAsia="Calibri" w:hAnsi="Calibri" w:cs="Calibri"/>
          <w:color w:val="000000" w:themeColor="text1"/>
        </w:rPr>
        <w:t>.</w:t>
      </w:r>
    </w:p>
    <w:p w14:paraId="2D56044C" w14:textId="6A2FA8A5" w:rsidR="64E3CB59" w:rsidRDefault="64E3CB59" w:rsidP="326E3735">
      <w:pPr>
        <w:pStyle w:val="ListParagraph"/>
        <w:numPr>
          <w:ilvl w:val="0"/>
          <w:numId w:val="6"/>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Member is </w:t>
      </w:r>
      <w:r w:rsidR="00D77DCF">
        <w:rPr>
          <w:rFonts w:ascii="Calibri" w:eastAsia="Calibri" w:hAnsi="Calibri" w:cs="Calibri"/>
          <w:color w:val="000000" w:themeColor="text1"/>
        </w:rPr>
        <w:t>younger than</w:t>
      </w:r>
      <w:r w:rsidR="00D77DCF" w:rsidRPr="326E3735">
        <w:rPr>
          <w:rFonts w:ascii="Calibri" w:eastAsia="Calibri" w:hAnsi="Calibri" w:cs="Calibri"/>
          <w:color w:val="000000" w:themeColor="text1"/>
        </w:rPr>
        <w:t xml:space="preserve"> </w:t>
      </w:r>
      <w:r w:rsidRPr="326E3735">
        <w:rPr>
          <w:rFonts w:ascii="Calibri" w:eastAsia="Calibri" w:hAnsi="Calibri" w:cs="Calibri"/>
          <w:color w:val="000000" w:themeColor="text1"/>
        </w:rPr>
        <w:t>18</w:t>
      </w:r>
      <w:r w:rsidR="00D77DCF">
        <w:rPr>
          <w:rFonts w:ascii="Calibri" w:eastAsia="Calibri" w:hAnsi="Calibri" w:cs="Calibri"/>
          <w:color w:val="000000" w:themeColor="text1"/>
        </w:rPr>
        <w:t>.</w:t>
      </w:r>
    </w:p>
    <w:p w14:paraId="16FA42F9" w14:textId="4922F5D1" w:rsidR="59DCDB7C" w:rsidRDefault="59DCDB7C" w:rsidP="326E3735">
      <w:pPr>
        <w:pStyle w:val="ListParagraph"/>
        <w:numPr>
          <w:ilvl w:val="0"/>
          <w:numId w:val="6"/>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Member has a</w:t>
      </w:r>
      <w:r w:rsidR="3CBAA9FD" w:rsidRPr="326E3735">
        <w:rPr>
          <w:rFonts w:ascii="Calibri" w:eastAsia="Calibri" w:hAnsi="Calibri" w:cs="Calibri"/>
          <w:color w:val="000000" w:themeColor="text1"/>
        </w:rPr>
        <w:t xml:space="preserve">n ulcer </w:t>
      </w:r>
      <w:r w:rsidRPr="326E3735">
        <w:rPr>
          <w:rFonts w:ascii="Calibri" w:eastAsia="Calibri" w:hAnsi="Calibri" w:cs="Calibri"/>
          <w:color w:val="000000" w:themeColor="text1"/>
        </w:rPr>
        <w:t>penetrating into muscle, tendon</w:t>
      </w:r>
      <w:r w:rsidR="00D77DCF">
        <w:rPr>
          <w:rFonts w:ascii="Calibri" w:eastAsia="Calibri" w:hAnsi="Calibri" w:cs="Calibri"/>
          <w:color w:val="000000" w:themeColor="text1"/>
        </w:rPr>
        <w:t>,</w:t>
      </w:r>
      <w:r w:rsidRPr="326E3735">
        <w:rPr>
          <w:rFonts w:ascii="Calibri" w:eastAsia="Calibri" w:hAnsi="Calibri" w:cs="Calibri"/>
          <w:color w:val="000000" w:themeColor="text1"/>
        </w:rPr>
        <w:t xml:space="preserve"> or bone</w:t>
      </w:r>
      <w:r w:rsidR="22D99564" w:rsidRPr="326E3735">
        <w:rPr>
          <w:rFonts w:ascii="Calibri" w:eastAsia="Calibri" w:hAnsi="Calibri" w:cs="Calibri"/>
          <w:color w:val="000000" w:themeColor="text1"/>
        </w:rPr>
        <w:t>.</w:t>
      </w:r>
    </w:p>
    <w:p w14:paraId="244387FB" w14:textId="578CAAC0" w:rsidR="59DCDB7C" w:rsidRDefault="59DCDB7C" w:rsidP="326E3735">
      <w:pPr>
        <w:pStyle w:val="ListParagraph"/>
        <w:numPr>
          <w:ilvl w:val="0"/>
          <w:numId w:val="6"/>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Member shows signs of ulcer infection</w:t>
      </w:r>
      <w:r w:rsidR="4679C01A" w:rsidRPr="326E3735">
        <w:rPr>
          <w:rFonts w:ascii="Calibri" w:eastAsia="Calibri" w:hAnsi="Calibri" w:cs="Calibri"/>
          <w:color w:val="000000" w:themeColor="text1"/>
        </w:rPr>
        <w:t xml:space="preserve">, </w:t>
      </w:r>
      <w:r w:rsidR="6FACCD67" w:rsidRPr="326E3735">
        <w:rPr>
          <w:rFonts w:ascii="Calibri" w:eastAsia="Calibri" w:hAnsi="Calibri" w:cs="Calibri"/>
          <w:color w:val="000000" w:themeColor="text1"/>
        </w:rPr>
        <w:t>bone infection</w:t>
      </w:r>
      <w:r w:rsidR="6CC62B99" w:rsidRPr="326E3735">
        <w:rPr>
          <w:rFonts w:ascii="Calibri" w:eastAsia="Calibri" w:hAnsi="Calibri" w:cs="Calibri"/>
          <w:color w:val="000000" w:themeColor="text1"/>
        </w:rPr>
        <w:t>, active Charcot arthropathy, or active vasculitis of the ulcer extremity.</w:t>
      </w:r>
    </w:p>
    <w:p w14:paraId="571CCBAE" w14:textId="63C05932" w:rsidR="59DCDB7C" w:rsidRDefault="59DCDB7C" w:rsidP="326E3735">
      <w:pPr>
        <w:pStyle w:val="ListParagraph"/>
        <w:numPr>
          <w:ilvl w:val="0"/>
          <w:numId w:val="6"/>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Member has a</w:t>
      </w:r>
      <w:r w:rsidR="635E6875" w:rsidRPr="326E3735">
        <w:rPr>
          <w:rFonts w:ascii="Calibri" w:eastAsia="Calibri" w:hAnsi="Calibri" w:cs="Calibri"/>
          <w:color w:val="000000" w:themeColor="text1"/>
        </w:rPr>
        <w:t xml:space="preserve">n ulcer </w:t>
      </w:r>
      <w:r w:rsidRPr="326E3735">
        <w:rPr>
          <w:rFonts w:ascii="Calibri" w:eastAsia="Calibri" w:hAnsi="Calibri" w:cs="Calibri"/>
          <w:color w:val="000000" w:themeColor="text1"/>
        </w:rPr>
        <w:t>located on the dorsum of the foot</w:t>
      </w:r>
      <w:r w:rsidR="00D77DCF">
        <w:rPr>
          <w:rFonts w:ascii="Calibri" w:eastAsia="Calibri" w:hAnsi="Calibri" w:cs="Calibri"/>
          <w:color w:val="000000" w:themeColor="text1"/>
        </w:rPr>
        <w:t>.</w:t>
      </w:r>
    </w:p>
    <w:p w14:paraId="5B370B97" w14:textId="0A932C5A" w:rsidR="59DCDB7C" w:rsidRDefault="59DCDB7C" w:rsidP="326E3735">
      <w:pPr>
        <w:pStyle w:val="ListParagraph"/>
        <w:numPr>
          <w:ilvl w:val="0"/>
          <w:numId w:val="6"/>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Member has more than 50% of the ulcer below the malleolus.</w:t>
      </w:r>
    </w:p>
    <w:p w14:paraId="6B4FB795" w14:textId="7463A557" w:rsidR="349E80A1" w:rsidRDefault="349E80A1" w:rsidP="326E3735">
      <w:pPr>
        <w:pStyle w:val="ListParagraph"/>
        <w:numPr>
          <w:ilvl w:val="0"/>
          <w:numId w:val="6"/>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Member has</w:t>
      </w:r>
      <w:r w:rsidR="59DCDB7C" w:rsidRPr="326E3735">
        <w:rPr>
          <w:rFonts w:ascii="Calibri" w:eastAsia="Calibri" w:hAnsi="Calibri" w:cs="Calibri"/>
          <w:color w:val="000000" w:themeColor="text1"/>
        </w:rPr>
        <w:t xml:space="preserve"> received negative pressure wound therapy or hyperbaric oxygen therapy in the last 7 days or treatment with other advanced wound care products within the past 30 days</w:t>
      </w:r>
      <w:r w:rsidR="00D77DCF">
        <w:rPr>
          <w:rFonts w:ascii="Calibri" w:eastAsia="Calibri" w:hAnsi="Calibri" w:cs="Calibri"/>
          <w:color w:val="000000" w:themeColor="text1"/>
        </w:rPr>
        <w:t>.</w:t>
      </w:r>
    </w:p>
    <w:p w14:paraId="41A0D4B3" w14:textId="4C8B2965" w:rsidR="60147E4A" w:rsidRDefault="158842F7" w:rsidP="2F39EC7F">
      <w:pPr>
        <w:pStyle w:val="ListParagraph"/>
        <w:numPr>
          <w:ilvl w:val="0"/>
          <w:numId w:val="6"/>
        </w:numPr>
        <w:spacing w:after="200" w:line="276" w:lineRule="auto"/>
        <w:rPr>
          <w:rFonts w:ascii="Calibri" w:eastAsia="Calibri" w:hAnsi="Calibri" w:cs="Calibri"/>
          <w:color w:val="000000" w:themeColor="text1"/>
        </w:rPr>
      </w:pPr>
      <w:r w:rsidRPr="2F39EC7F">
        <w:rPr>
          <w:rFonts w:ascii="Calibri" w:eastAsia="Calibri" w:hAnsi="Calibri" w:cs="Calibri"/>
          <w:color w:val="000000" w:themeColor="text1"/>
        </w:rPr>
        <w:t xml:space="preserve">Member has </w:t>
      </w:r>
      <w:r w:rsidR="518173A8" w:rsidRPr="2F39EC7F">
        <w:rPr>
          <w:rFonts w:ascii="Calibri" w:eastAsia="Calibri" w:hAnsi="Calibri" w:cs="Calibri"/>
          <w:color w:val="000000" w:themeColor="text1"/>
        </w:rPr>
        <w:t xml:space="preserve">an </w:t>
      </w:r>
      <w:r w:rsidR="635394B6" w:rsidRPr="2F39EC7F">
        <w:rPr>
          <w:rFonts w:ascii="Calibri" w:eastAsia="Calibri" w:hAnsi="Calibri" w:cs="Calibri"/>
          <w:color w:val="000000" w:themeColor="text1"/>
        </w:rPr>
        <w:t xml:space="preserve">uncontrolled </w:t>
      </w:r>
      <w:r w:rsidR="518173A8" w:rsidRPr="2F39EC7F">
        <w:rPr>
          <w:rFonts w:ascii="Calibri" w:eastAsia="Calibri" w:hAnsi="Calibri" w:cs="Calibri"/>
          <w:color w:val="000000" w:themeColor="text1"/>
        </w:rPr>
        <w:t>infection</w:t>
      </w:r>
      <w:r w:rsidR="00BD5011">
        <w:rPr>
          <w:rFonts w:ascii="Calibri" w:eastAsia="Calibri" w:hAnsi="Calibri" w:cs="Calibri"/>
          <w:color w:val="000000" w:themeColor="text1"/>
        </w:rPr>
        <w:t>,</w:t>
      </w:r>
      <w:r w:rsidR="518173A8" w:rsidRPr="2F39EC7F">
        <w:rPr>
          <w:rFonts w:ascii="Calibri" w:eastAsia="Calibri" w:hAnsi="Calibri" w:cs="Calibri"/>
          <w:color w:val="000000" w:themeColor="text1"/>
        </w:rPr>
        <w:t xml:space="preserve"> such as </w:t>
      </w:r>
      <w:r w:rsidR="65C6DA96" w:rsidRPr="2F39EC7F">
        <w:rPr>
          <w:rFonts w:ascii="Calibri" w:eastAsia="Calibri" w:hAnsi="Calibri" w:cs="Calibri"/>
          <w:color w:val="000000" w:themeColor="text1"/>
        </w:rPr>
        <w:t>bacteremia</w:t>
      </w:r>
      <w:r w:rsidR="12BD62A4" w:rsidRPr="2F39EC7F">
        <w:rPr>
          <w:rFonts w:ascii="Calibri" w:eastAsia="Calibri" w:hAnsi="Calibri" w:cs="Calibri"/>
          <w:color w:val="000000" w:themeColor="text1"/>
        </w:rPr>
        <w:t xml:space="preserve"> or</w:t>
      </w:r>
      <w:r w:rsidR="4E4A5621" w:rsidRPr="2F39EC7F">
        <w:rPr>
          <w:rFonts w:ascii="Calibri" w:eastAsia="Calibri" w:hAnsi="Calibri" w:cs="Calibri"/>
          <w:color w:val="000000" w:themeColor="text1"/>
        </w:rPr>
        <w:t xml:space="preserve"> osteomyelitis</w:t>
      </w:r>
      <w:r w:rsidR="00D77DCF">
        <w:rPr>
          <w:rFonts w:ascii="Calibri" w:eastAsia="Calibri" w:hAnsi="Calibri" w:cs="Calibri"/>
          <w:color w:val="000000" w:themeColor="text1"/>
        </w:rPr>
        <w:t>.</w:t>
      </w:r>
    </w:p>
    <w:p w14:paraId="5A7CA49D" w14:textId="3E7C610A" w:rsidR="1F9FA2E5" w:rsidRDefault="1F9FA2E5" w:rsidP="326E3735">
      <w:pPr>
        <w:pStyle w:val="ListParagraph"/>
        <w:numPr>
          <w:ilvl w:val="0"/>
          <w:numId w:val="6"/>
        </w:numPr>
        <w:spacing w:after="200" w:line="276" w:lineRule="auto"/>
        <w:rPr>
          <w:rFonts w:ascii="Calibri" w:eastAsia="Calibri" w:hAnsi="Calibri" w:cs="Calibri"/>
        </w:rPr>
      </w:pPr>
      <w:r w:rsidRPr="2F39EC7F">
        <w:rPr>
          <w:rFonts w:ascii="Calibri" w:eastAsia="Calibri" w:hAnsi="Calibri" w:cs="Calibri"/>
        </w:rPr>
        <w:t xml:space="preserve">Member is </w:t>
      </w:r>
      <w:r w:rsidR="1B79D3D5" w:rsidRPr="2F39EC7F">
        <w:rPr>
          <w:rFonts w:ascii="Calibri" w:eastAsia="Calibri" w:hAnsi="Calibri" w:cs="Calibri"/>
        </w:rPr>
        <w:t xml:space="preserve">receiving </w:t>
      </w:r>
      <w:r w:rsidR="60147E4A" w:rsidRPr="2F39EC7F">
        <w:rPr>
          <w:rFonts w:ascii="Calibri" w:eastAsia="Calibri" w:hAnsi="Calibri" w:cs="Calibri"/>
        </w:rPr>
        <w:t>immunosuppressant</w:t>
      </w:r>
      <w:r w:rsidR="6FBB75D8" w:rsidRPr="2F39EC7F">
        <w:rPr>
          <w:rFonts w:ascii="Calibri" w:eastAsia="Calibri" w:hAnsi="Calibri" w:cs="Calibri"/>
        </w:rPr>
        <w:t>s</w:t>
      </w:r>
      <w:r w:rsidR="59F21E74" w:rsidRPr="2F39EC7F">
        <w:rPr>
          <w:rFonts w:ascii="Calibri" w:eastAsia="Calibri" w:hAnsi="Calibri" w:cs="Calibri"/>
        </w:rPr>
        <w:t xml:space="preserve"> or corticosteroids</w:t>
      </w:r>
      <w:r w:rsidR="00D77DCF">
        <w:rPr>
          <w:rFonts w:ascii="Calibri" w:eastAsia="Calibri" w:hAnsi="Calibri" w:cs="Calibri"/>
        </w:rPr>
        <w:t>.</w:t>
      </w:r>
    </w:p>
    <w:p w14:paraId="0A18BA47" w14:textId="41659FE7" w:rsidR="17861AAC" w:rsidRDefault="17861AAC" w:rsidP="326E3735">
      <w:pPr>
        <w:pStyle w:val="ListParagraph"/>
        <w:numPr>
          <w:ilvl w:val="0"/>
          <w:numId w:val="6"/>
        </w:numPr>
        <w:spacing w:after="200" w:line="276" w:lineRule="auto"/>
        <w:rPr>
          <w:rFonts w:ascii="Calibri" w:eastAsia="Calibri" w:hAnsi="Calibri" w:cs="Calibri"/>
          <w:color w:val="000000" w:themeColor="text1"/>
        </w:rPr>
      </w:pPr>
      <w:r w:rsidRPr="2F39EC7F">
        <w:rPr>
          <w:rFonts w:ascii="Calibri" w:eastAsia="Calibri" w:hAnsi="Calibri" w:cs="Calibri"/>
        </w:rPr>
        <w:t>Membe</w:t>
      </w:r>
      <w:r w:rsidRPr="2F39EC7F">
        <w:rPr>
          <w:rFonts w:ascii="Calibri" w:eastAsia="Calibri" w:hAnsi="Calibri" w:cs="Calibri"/>
          <w:color w:val="000000" w:themeColor="text1"/>
        </w:rPr>
        <w:t xml:space="preserve">r is taking </w:t>
      </w:r>
      <w:r w:rsidR="00D77DCF">
        <w:rPr>
          <w:rFonts w:ascii="Calibri" w:eastAsia="Calibri" w:hAnsi="Calibri" w:cs="Calibri"/>
          <w:color w:val="000000" w:themeColor="text1"/>
        </w:rPr>
        <w:t>COX</w:t>
      </w:r>
      <w:r w:rsidRPr="2F39EC7F">
        <w:rPr>
          <w:rFonts w:ascii="Calibri" w:eastAsia="Calibri" w:hAnsi="Calibri" w:cs="Calibri"/>
          <w:color w:val="000000" w:themeColor="text1"/>
        </w:rPr>
        <w:t>-2 inhibitors</w:t>
      </w:r>
      <w:r w:rsidR="00D77DCF">
        <w:rPr>
          <w:rFonts w:ascii="Calibri" w:eastAsia="Calibri" w:hAnsi="Calibri" w:cs="Calibri"/>
          <w:color w:val="000000" w:themeColor="text1"/>
        </w:rPr>
        <w:t>.</w:t>
      </w:r>
    </w:p>
    <w:p w14:paraId="37428181" w14:textId="72B43236" w:rsidR="1098308B" w:rsidRDefault="00D77DCF" w:rsidP="1316B9C0">
      <w:pPr>
        <w:pStyle w:val="ListParagraph"/>
        <w:numPr>
          <w:ilvl w:val="0"/>
          <w:numId w:val="6"/>
        </w:numPr>
        <w:spacing w:after="200" w:line="276" w:lineRule="auto"/>
        <w:rPr>
          <w:rFonts w:ascii="Calibri" w:eastAsia="Calibri" w:hAnsi="Calibri" w:cs="Calibri"/>
          <w:color w:val="000000" w:themeColor="text1"/>
        </w:rPr>
      </w:pPr>
      <w:r>
        <w:rPr>
          <w:rFonts w:ascii="Calibri" w:eastAsia="Calibri" w:hAnsi="Calibri" w:cs="Calibri"/>
          <w:color w:val="000000" w:themeColor="text1"/>
        </w:rPr>
        <w:t>Member has w</w:t>
      </w:r>
      <w:r w:rsidRPr="2F39EC7F">
        <w:rPr>
          <w:rFonts w:ascii="Calibri" w:eastAsia="Calibri" w:hAnsi="Calibri" w:cs="Calibri"/>
          <w:color w:val="000000" w:themeColor="text1"/>
        </w:rPr>
        <w:t xml:space="preserve">ounds </w:t>
      </w:r>
      <w:r w:rsidR="1098308B" w:rsidRPr="2F39EC7F">
        <w:rPr>
          <w:rFonts w:ascii="Calibri" w:eastAsia="Calibri" w:hAnsi="Calibri" w:cs="Calibri"/>
          <w:color w:val="000000" w:themeColor="text1"/>
        </w:rPr>
        <w:t xml:space="preserve">of greater severity than Wagner </w:t>
      </w:r>
      <w:r w:rsidR="67D0D67B" w:rsidRPr="2F39EC7F">
        <w:rPr>
          <w:rFonts w:ascii="Calibri" w:eastAsia="Calibri" w:hAnsi="Calibri" w:cs="Calibri"/>
          <w:color w:val="000000" w:themeColor="text1"/>
        </w:rPr>
        <w:t>I</w:t>
      </w:r>
      <w:r w:rsidR="1098308B" w:rsidRPr="2F39EC7F">
        <w:rPr>
          <w:rFonts w:ascii="Calibri" w:eastAsia="Calibri" w:hAnsi="Calibri" w:cs="Calibri"/>
          <w:color w:val="000000" w:themeColor="text1"/>
        </w:rPr>
        <w:t>I</w:t>
      </w:r>
      <w:r w:rsidR="24F93FBF" w:rsidRPr="2F39EC7F">
        <w:rPr>
          <w:rFonts w:ascii="Calibri" w:eastAsia="Calibri" w:hAnsi="Calibri" w:cs="Calibri"/>
          <w:color w:val="000000" w:themeColor="text1"/>
        </w:rPr>
        <w:t>; in other words, these products are not covered for</w:t>
      </w:r>
      <w:r w:rsidR="7899BCE4" w:rsidRPr="2F39EC7F">
        <w:rPr>
          <w:rFonts w:ascii="Calibri" w:eastAsia="Calibri" w:hAnsi="Calibri" w:cs="Calibri"/>
          <w:color w:val="000000" w:themeColor="text1"/>
        </w:rPr>
        <w:t xml:space="preserve"> </w:t>
      </w:r>
      <w:r w:rsidR="24F93FBF" w:rsidRPr="2F39EC7F">
        <w:rPr>
          <w:rFonts w:ascii="Calibri" w:eastAsia="Calibri" w:hAnsi="Calibri" w:cs="Calibri"/>
          <w:color w:val="000000" w:themeColor="text1"/>
        </w:rPr>
        <w:t xml:space="preserve">ulcers with deep bone involvement or gangrene. </w:t>
      </w:r>
    </w:p>
    <w:p w14:paraId="49FC8823" w14:textId="05F744E5" w:rsidR="29E3DEF4" w:rsidRDefault="29E3DEF4" w:rsidP="326E3735">
      <w:pPr>
        <w:pStyle w:val="ListParagraph"/>
        <w:numPr>
          <w:ilvl w:val="0"/>
          <w:numId w:val="6"/>
        </w:numPr>
        <w:spacing w:after="200" w:line="276" w:lineRule="auto"/>
        <w:rPr>
          <w:rFonts w:ascii="Calibri" w:eastAsia="Calibri" w:hAnsi="Calibri" w:cs="Calibri"/>
          <w:color w:val="000000" w:themeColor="text1"/>
        </w:rPr>
      </w:pPr>
      <w:r w:rsidRPr="2F39EC7F">
        <w:rPr>
          <w:rFonts w:ascii="Calibri" w:eastAsia="Calibri" w:hAnsi="Calibri" w:cs="Calibri"/>
          <w:color w:val="000000" w:themeColor="text1"/>
        </w:rPr>
        <w:t xml:space="preserve">Member has had more than </w:t>
      </w:r>
      <w:r w:rsidR="2B669700" w:rsidRPr="2F39EC7F">
        <w:rPr>
          <w:rFonts w:ascii="Calibri" w:eastAsia="Calibri" w:hAnsi="Calibri" w:cs="Calibri"/>
          <w:color w:val="000000" w:themeColor="text1"/>
        </w:rPr>
        <w:t>manufacturer</w:t>
      </w:r>
      <w:r w:rsidR="00D77DCF">
        <w:rPr>
          <w:rFonts w:ascii="Calibri" w:eastAsia="Calibri" w:hAnsi="Calibri" w:cs="Calibri"/>
          <w:color w:val="000000" w:themeColor="text1"/>
        </w:rPr>
        <w:t>’</w:t>
      </w:r>
      <w:r w:rsidR="2B669700" w:rsidRPr="2F39EC7F">
        <w:rPr>
          <w:rFonts w:ascii="Calibri" w:eastAsia="Calibri" w:hAnsi="Calibri" w:cs="Calibri"/>
          <w:color w:val="000000" w:themeColor="text1"/>
        </w:rPr>
        <w:t xml:space="preserve">s recommended application procedures </w:t>
      </w:r>
      <w:r w:rsidRPr="2F39EC7F">
        <w:rPr>
          <w:rFonts w:ascii="Calibri" w:eastAsia="Calibri" w:hAnsi="Calibri" w:cs="Calibri"/>
          <w:color w:val="000000" w:themeColor="text1"/>
        </w:rPr>
        <w:t>within the episode of skin replacement surgery</w:t>
      </w:r>
      <w:r w:rsidR="7FFD4C7F" w:rsidRPr="2F39EC7F">
        <w:rPr>
          <w:rFonts w:ascii="Calibri" w:eastAsia="Calibri" w:hAnsi="Calibri" w:cs="Calibri"/>
          <w:color w:val="000000" w:themeColor="text1"/>
        </w:rPr>
        <w:t>.</w:t>
      </w:r>
    </w:p>
    <w:p w14:paraId="7688C9C3" w14:textId="5EC04730" w:rsidR="29E3DEF4" w:rsidRPr="00E8743E" w:rsidRDefault="29E3DEF4" w:rsidP="00F2493C">
      <w:pPr>
        <w:pStyle w:val="ListParagraph"/>
        <w:numPr>
          <w:ilvl w:val="0"/>
          <w:numId w:val="6"/>
        </w:numPr>
        <w:spacing w:after="200" w:line="276" w:lineRule="auto"/>
        <w:rPr>
          <w:rFonts w:ascii="Calibri" w:eastAsia="Calibri" w:hAnsi="Calibri" w:cs="Calibri"/>
          <w:color w:val="000000" w:themeColor="text1"/>
        </w:rPr>
      </w:pPr>
      <w:r w:rsidRPr="2F39EC7F">
        <w:rPr>
          <w:rFonts w:ascii="Calibri" w:eastAsia="Calibri" w:hAnsi="Calibri" w:cs="Calibri"/>
          <w:color w:val="000000" w:themeColor="text1"/>
        </w:rPr>
        <w:t xml:space="preserve">Member has had repeat applications of </w:t>
      </w:r>
      <w:r w:rsidR="00D77DCF" w:rsidRPr="2F39EC7F">
        <w:rPr>
          <w:rFonts w:ascii="Calibri" w:eastAsia="Calibri" w:hAnsi="Calibri" w:cs="Calibri"/>
          <w:color w:val="000000" w:themeColor="text1"/>
        </w:rPr>
        <w:t>skin</w:t>
      </w:r>
      <w:r w:rsidR="00D77DCF">
        <w:rPr>
          <w:rFonts w:ascii="Calibri" w:eastAsia="Calibri" w:hAnsi="Calibri" w:cs="Calibri"/>
          <w:color w:val="000000" w:themeColor="text1"/>
        </w:rPr>
        <w:t>-</w:t>
      </w:r>
      <w:r w:rsidRPr="2F39EC7F">
        <w:rPr>
          <w:rFonts w:ascii="Calibri" w:eastAsia="Calibri" w:hAnsi="Calibri" w:cs="Calibri"/>
          <w:color w:val="000000" w:themeColor="text1"/>
        </w:rPr>
        <w:t xml:space="preserve">substitute grafts when a previous application was unsuccessful. </w:t>
      </w:r>
      <w:r w:rsidRPr="00E8743E">
        <w:rPr>
          <w:rFonts w:ascii="Calibri" w:eastAsia="Calibri" w:hAnsi="Calibri" w:cs="Calibri"/>
          <w:color w:val="000000" w:themeColor="text1"/>
        </w:rPr>
        <w:t xml:space="preserve">Unsuccessful treatment is defined as </w:t>
      </w:r>
      <w:r w:rsidR="00D77DCF" w:rsidRPr="00E8743E">
        <w:rPr>
          <w:rFonts w:ascii="Calibri" w:eastAsia="Calibri" w:hAnsi="Calibri" w:cs="Calibri"/>
          <w:color w:val="000000" w:themeColor="text1"/>
        </w:rPr>
        <w:t xml:space="preserve">an ulcer that has </w:t>
      </w:r>
      <w:r w:rsidRPr="00E8743E">
        <w:rPr>
          <w:rFonts w:ascii="Calibri" w:eastAsia="Calibri" w:hAnsi="Calibri" w:cs="Calibri"/>
          <w:color w:val="000000" w:themeColor="text1"/>
        </w:rPr>
        <w:t>increase</w:t>
      </w:r>
      <w:r w:rsidR="00D77DCF" w:rsidRPr="00E8743E">
        <w:rPr>
          <w:rFonts w:ascii="Calibri" w:eastAsia="Calibri" w:hAnsi="Calibri" w:cs="Calibri"/>
          <w:color w:val="000000" w:themeColor="text1"/>
        </w:rPr>
        <w:t>d</w:t>
      </w:r>
      <w:r w:rsidRPr="00E8743E">
        <w:rPr>
          <w:rFonts w:ascii="Calibri" w:eastAsia="Calibri" w:hAnsi="Calibri" w:cs="Calibri"/>
          <w:color w:val="000000" w:themeColor="text1"/>
        </w:rPr>
        <w:t xml:space="preserve"> in size or depth, </w:t>
      </w:r>
      <w:r w:rsidR="00D77DCF" w:rsidRPr="00E8743E">
        <w:rPr>
          <w:rFonts w:ascii="Calibri" w:eastAsia="Calibri" w:hAnsi="Calibri" w:cs="Calibri"/>
          <w:color w:val="000000" w:themeColor="text1"/>
        </w:rPr>
        <w:t xml:space="preserve">has had </w:t>
      </w:r>
      <w:r w:rsidRPr="00E8743E">
        <w:rPr>
          <w:rFonts w:ascii="Calibri" w:eastAsia="Calibri" w:hAnsi="Calibri" w:cs="Calibri"/>
          <w:color w:val="000000" w:themeColor="text1"/>
        </w:rPr>
        <w:t>no change in baseline size</w:t>
      </w:r>
      <w:r w:rsidR="00D77DCF" w:rsidRPr="00E8743E">
        <w:rPr>
          <w:rFonts w:ascii="Calibri" w:eastAsia="Calibri" w:hAnsi="Calibri" w:cs="Calibri"/>
          <w:color w:val="000000" w:themeColor="text1"/>
        </w:rPr>
        <w:t xml:space="preserve"> or </w:t>
      </w:r>
      <w:r w:rsidRPr="00E8743E">
        <w:rPr>
          <w:rFonts w:ascii="Calibri" w:eastAsia="Calibri" w:hAnsi="Calibri" w:cs="Calibri"/>
          <w:color w:val="000000" w:themeColor="text1"/>
        </w:rPr>
        <w:t>depth</w:t>
      </w:r>
      <w:r w:rsidR="00D77DCF" w:rsidRPr="00E8743E">
        <w:rPr>
          <w:rFonts w:ascii="Calibri" w:eastAsia="Calibri" w:hAnsi="Calibri" w:cs="Calibri"/>
          <w:color w:val="000000" w:themeColor="text1"/>
        </w:rPr>
        <w:t>,</w:t>
      </w:r>
      <w:r w:rsidRPr="00E8743E">
        <w:rPr>
          <w:rFonts w:ascii="Calibri" w:eastAsia="Calibri" w:hAnsi="Calibri" w:cs="Calibri"/>
          <w:color w:val="000000" w:themeColor="text1"/>
        </w:rPr>
        <w:t xml:space="preserve"> and </w:t>
      </w:r>
      <w:r w:rsidR="00D77DCF" w:rsidRPr="00E8743E">
        <w:rPr>
          <w:rFonts w:ascii="Calibri" w:eastAsia="Calibri" w:hAnsi="Calibri" w:cs="Calibri"/>
          <w:color w:val="000000" w:themeColor="text1"/>
        </w:rPr>
        <w:t xml:space="preserve">has shown </w:t>
      </w:r>
      <w:r w:rsidRPr="00E8743E">
        <w:rPr>
          <w:rFonts w:ascii="Calibri" w:eastAsia="Calibri" w:hAnsi="Calibri" w:cs="Calibri"/>
          <w:color w:val="000000" w:themeColor="text1"/>
        </w:rPr>
        <w:t>no sign of improvement or indication that improvemen</w:t>
      </w:r>
      <w:r w:rsidR="054EC70A" w:rsidRPr="00E8743E">
        <w:rPr>
          <w:rFonts w:ascii="Calibri" w:eastAsia="Calibri" w:hAnsi="Calibri" w:cs="Calibri"/>
          <w:color w:val="000000" w:themeColor="text1"/>
        </w:rPr>
        <w:t>t</w:t>
      </w:r>
      <w:r w:rsidR="00D77DCF" w:rsidRPr="00E8743E">
        <w:rPr>
          <w:rFonts w:ascii="Calibri" w:eastAsia="Calibri" w:hAnsi="Calibri" w:cs="Calibri"/>
          <w:color w:val="000000" w:themeColor="text1"/>
        </w:rPr>
        <w:t xml:space="preserve"> is likely (such as</w:t>
      </w:r>
      <w:r w:rsidR="054EC70A" w:rsidRPr="00E8743E">
        <w:rPr>
          <w:rFonts w:ascii="Calibri" w:eastAsia="Calibri" w:hAnsi="Calibri" w:cs="Calibri"/>
          <w:color w:val="000000" w:themeColor="text1"/>
        </w:rPr>
        <w:t xml:space="preserve"> granulation, epithelialization, or progress toward closing</w:t>
      </w:r>
      <w:r w:rsidR="00D77DCF" w:rsidRPr="00E8743E">
        <w:rPr>
          <w:rFonts w:ascii="Calibri" w:eastAsia="Calibri" w:hAnsi="Calibri" w:cs="Calibri"/>
          <w:color w:val="000000" w:themeColor="text1"/>
        </w:rPr>
        <w:t>)</w:t>
      </w:r>
      <w:r w:rsidR="567F4DFF" w:rsidRPr="00E8743E">
        <w:rPr>
          <w:rFonts w:ascii="Calibri" w:eastAsia="Calibri" w:hAnsi="Calibri" w:cs="Calibri"/>
          <w:color w:val="000000" w:themeColor="text1"/>
        </w:rPr>
        <w:t>.</w:t>
      </w:r>
    </w:p>
    <w:p w14:paraId="66ABB811" w14:textId="50DBEAF4" w:rsidR="00F0E3C1" w:rsidRPr="000C2A46" w:rsidRDefault="58D97ED9" w:rsidP="00F0E3C1">
      <w:pPr>
        <w:pStyle w:val="ListParagraph"/>
        <w:numPr>
          <w:ilvl w:val="0"/>
          <w:numId w:val="6"/>
        </w:numPr>
        <w:spacing w:after="200" w:line="276" w:lineRule="auto"/>
        <w:rPr>
          <w:rFonts w:ascii="Calibri" w:eastAsia="Calibri" w:hAnsi="Calibri" w:cs="Calibri"/>
          <w:color w:val="000000" w:themeColor="text1"/>
        </w:rPr>
      </w:pPr>
      <w:r w:rsidRPr="2F39EC7F">
        <w:rPr>
          <w:rFonts w:ascii="Calibri" w:eastAsia="Calibri" w:hAnsi="Calibri" w:cs="Calibri"/>
          <w:color w:val="000000" w:themeColor="text1"/>
        </w:rPr>
        <w:t xml:space="preserve">Wound duration </w:t>
      </w:r>
      <w:r w:rsidR="00D77DCF">
        <w:rPr>
          <w:rFonts w:ascii="Calibri" w:eastAsia="Calibri" w:hAnsi="Calibri" w:cs="Calibri"/>
          <w:color w:val="000000" w:themeColor="text1"/>
        </w:rPr>
        <w:t xml:space="preserve">beyond </w:t>
      </w:r>
      <w:r w:rsidR="6C41DB53" w:rsidRPr="2F39EC7F">
        <w:rPr>
          <w:rFonts w:ascii="Calibri" w:eastAsia="Calibri" w:hAnsi="Calibri" w:cs="Calibri"/>
          <w:color w:val="000000" w:themeColor="text1"/>
        </w:rPr>
        <w:t>104</w:t>
      </w:r>
      <w:r w:rsidRPr="2F39EC7F">
        <w:rPr>
          <w:rFonts w:ascii="Calibri" w:eastAsia="Calibri" w:hAnsi="Calibri" w:cs="Calibri"/>
          <w:color w:val="000000" w:themeColor="text1"/>
        </w:rPr>
        <w:t xml:space="preserve"> weeks</w:t>
      </w:r>
      <w:r w:rsidR="04ED4735" w:rsidRPr="2F39EC7F">
        <w:rPr>
          <w:rFonts w:ascii="Calibri" w:eastAsia="Calibri" w:hAnsi="Calibri" w:cs="Calibri"/>
          <w:color w:val="000000" w:themeColor="text1"/>
        </w:rPr>
        <w:t>/2 years</w:t>
      </w:r>
      <w:r w:rsidR="00D77DCF">
        <w:rPr>
          <w:rFonts w:ascii="Calibri" w:eastAsia="Calibri" w:hAnsi="Calibri" w:cs="Calibri"/>
          <w:color w:val="000000" w:themeColor="text1"/>
        </w:rPr>
        <w:t>.</w:t>
      </w:r>
      <w:r w:rsidR="04ED4735" w:rsidRPr="2F39EC7F">
        <w:rPr>
          <w:rFonts w:ascii="Calibri" w:eastAsia="Calibri" w:hAnsi="Calibri" w:cs="Calibri"/>
          <w:color w:val="000000" w:themeColor="text1"/>
        </w:rPr>
        <w:t xml:space="preserve"> </w:t>
      </w:r>
    </w:p>
    <w:p w14:paraId="3E96452A" w14:textId="1E5877E6" w:rsidR="00C972E9" w:rsidRDefault="06B52D76" w:rsidP="0BCB2AF2">
      <w:pPr>
        <w:pStyle w:val="Heading1"/>
        <w:spacing w:before="480" w:line="276" w:lineRule="auto"/>
        <w:rPr>
          <w:rFonts w:ascii="Cambria" w:eastAsia="Cambria" w:hAnsi="Cambria" w:cs="Cambria"/>
          <w:b/>
          <w:bCs/>
          <w:color w:val="365F91"/>
          <w:sz w:val="28"/>
          <w:szCs w:val="28"/>
        </w:rPr>
      </w:pPr>
      <w:r w:rsidRPr="0BCB2AF2">
        <w:rPr>
          <w:rFonts w:ascii="Cambria" w:eastAsia="Cambria" w:hAnsi="Cambria" w:cs="Cambria"/>
          <w:b/>
          <w:bCs/>
          <w:color w:val="365F91"/>
          <w:sz w:val="28"/>
          <w:szCs w:val="28"/>
        </w:rPr>
        <w:t>Section III. Submitting Clinical Documentation</w:t>
      </w:r>
    </w:p>
    <w:p w14:paraId="1DE1E4A3" w14:textId="68A3DF91" w:rsidR="00C972E9" w:rsidRDefault="5E85F4F1" w:rsidP="326E3735">
      <w:pPr>
        <w:pStyle w:val="ListParagraph"/>
        <w:numPr>
          <w:ilvl w:val="0"/>
          <w:numId w:val="3"/>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Some skin substitutes r</w:t>
      </w:r>
      <w:r w:rsidR="7299B3AB" w:rsidRPr="326E3735">
        <w:rPr>
          <w:rFonts w:ascii="Calibri" w:eastAsia="Calibri" w:hAnsi="Calibri" w:cs="Calibri"/>
          <w:color w:val="000000" w:themeColor="text1"/>
        </w:rPr>
        <w:t>equ</w:t>
      </w:r>
      <w:r w:rsidR="29E9B4EE" w:rsidRPr="326E3735">
        <w:rPr>
          <w:rFonts w:ascii="Calibri" w:eastAsia="Calibri" w:hAnsi="Calibri" w:cs="Calibri"/>
          <w:color w:val="000000" w:themeColor="text1"/>
        </w:rPr>
        <w:t>ire</w:t>
      </w:r>
      <w:r w:rsidR="7299B3AB" w:rsidRPr="326E3735">
        <w:rPr>
          <w:rFonts w:ascii="Calibri" w:eastAsia="Calibri" w:hAnsi="Calibri" w:cs="Calibri"/>
          <w:color w:val="000000" w:themeColor="text1"/>
        </w:rPr>
        <w:t xml:space="preserve"> PA f</w:t>
      </w:r>
      <w:r w:rsidR="4D99B957" w:rsidRPr="326E3735">
        <w:rPr>
          <w:rFonts w:ascii="Calibri" w:eastAsia="Calibri" w:hAnsi="Calibri" w:cs="Calibri"/>
          <w:color w:val="000000" w:themeColor="text1"/>
        </w:rPr>
        <w:t>rom</w:t>
      </w:r>
      <w:r w:rsidR="39B7FA9B" w:rsidRPr="326E3735">
        <w:rPr>
          <w:rFonts w:ascii="Calibri" w:eastAsia="Calibri" w:hAnsi="Calibri" w:cs="Calibri"/>
          <w:color w:val="000000" w:themeColor="text1"/>
        </w:rPr>
        <w:t xml:space="preserve"> a</w:t>
      </w:r>
      <w:r w:rsidR="7299B3AB" w:rsidRPr="326E3735">
        <w:rPr>
          <w:rFonts w:ascii="Calibri" w:eastAsia="Calibri" w:hAnsi="Calibri" w:cs="Calibri"/>
          <w:color w:val="000000" w:themeColor="text1"/>
        </w:rPr>
        <w:t xml:space="preserve"> MassHealth-enrolled surgeon and </w:t>
      </w:r>
      <w:r w:rsidR="007454DD">
        <w:rPr>
          <w:rFonts w:ascii="Calibri" w:eastAsia="Calibri" w:hAnsi="Calibri" w:cs="Calibri"/>
          <w:color w:val="000000" w:themeColor="text1"/>
        </w:rPr>
        <w:t xml:space="preserve">must be </w:t>
      </w:r>
      <w:r w:rsidR="7299B3AB" w:rsidRPr="326E3735">
        <w:rPr>
          <w:rFonts w:ascii="Calibri" w:eastAsia="Calibri" w:hAnsi="Calibri" w:cs="Calibri"/>
          <w:color w:val="000000" w:themeColor="text1"/>
        </w:rPr>
        <w:t>accompanied by clinical documentation that supports the medical necessity for this procedure</w:t>
      </w:r>
      <w:r w:rsidR="00BD5011">
        <w:rPr>
          <w:rFonts w:ascii="Calibri" w:eastAsia="Calibri" w:hAnsi="Calibri" w:cs="Calibri"/>
          <w:color w:val="000000" w:themeColor="text1"/>
        </w:rPr>
        <w:t>.</w:t>
      </w:r>
      <w:r w:rsidR="00BD5011" w:rsidRPr="326E3735">
        <w:rPr>
          <w:rFonts w:ascii="Calibri" w:eastAsia="Calibri" w:hAnsi="Calibri" w:cs="Calibri"/>
          <w:color w:val="000000" w:themeColor="text1"/>
        </w:rPr>
        <w:t xml:space="preserve"> </w:t>
      </w:r>
      <w:r w:rsidR="00BD5011">
        <w:rPr>
          <w:rFonts w:ascii="Calibri" w:eastAsia="Calibri" w:hAnsi="Calibri" w:cs="Calibri"/>
          <w:color w:val="000000" w:themeColor="text1"/>
        </w:rPr>
        <w:t>Clinical documentation includes</w:t>
      </w:r>
      <w:r w:rsidR="7299B3AB" w:rsidRPr="326E3735">
        <w:rPr>
          <w:rFonts w:ascii="Calibri" w:eastAsia="Calibri" w:hAnsi="Calibri" w:cs="Calibri"/>
          <w:color w:val="000000" w:themeColor="text1"/>
        </w:rPr>
        <w:t xml:space="preserve">, but </w:t>
      </w:r>
      <w:r w:rsidR="00BD5011">
        <w:rPr>
          <w:rFonts w:ascii="Calibri" w:eastAsia="Calibri" w:hAnsi="Calibri" w:cs="Calibri"/>
          <w:color w:val="000000" w:themeColor="text1"/>
        </w:rPr>
        <w:t xml:space="preserve">is </w:t>
      </w:r>
      <w:r w:rsidR="7299B3AB" w:rsidRPr="326E3735">
        <w:rPr>
          <w:rFonts w:ascii="Calibri" w:eastAsia="Calibri" w:hAnsi="Calibri" w:cs="Calibri"/>
          <w:color w:val="000000" w:themeColor="text1"/>
        </w:rPr>
        <w:t>not limited to, documentation demonstrating that the member meets the clinical criteria for coverage of the intended procedure, as described in Section II.</w:t>
      </w:r>
    </w:p>
    <w:p w14:paraId="39D28E58" w14:textId="10F14B6E" w:rsidR="00C972E9" w:rsidRDefault="0F7B5631" w:rsidP="326E3735">
      <w:pPr>
        <w:pStyle w:val="ListParagraph"/>
        <w:numPr>
          <w:ilvl w:val="0"/>
          <w:numId w:val="3"/>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A summary of the member’s medical history </w:t>
      </w:r>
      <w:r w:rsidR="007454DD">
        <w:rPr>
          <w:rFonts w:ascii="Calibri" w:eastAsia="Calibri" w:hAnsi="Calibri" w:cs="Calibri"/>
          <w:color w:val="000000" w:themeColor="text1"/>
        </w:rPr>
        <w:t>must include</w:t>
      </w:r>
      <w:r w:rsidR="00860C1A">
        <w:rPr>
          <w:rFonts w:ascii="Calibri" w:eastAsia="Calibri" w:hAnsi="Calibri" w:cs="Calibri"/>
          <w:color w:val="000000" w:themeColor="text1"/>
        </w:rPr>
        <w:t xml:space="preserve"> all of the following: </w:t>
      </w:r>
      <w:r w:rsidRPr="326E3735">
        <w:rPr>
          <w:rFonts w:ascii="Calibri" w:eastAsia="Calibri" w:hAnsi="Calibri" w:cs="Calibri"/>
          <w:color w:val="000000" w:themeColor="text1"/>
        </w:rPr>
        <w:t xml:space="preserve"> </w:t>
      </w:r>
    </w:p>
    <w:p w14:paraId="63BC0EDC" w14:textId="2EBE64CB" w:rsidR="00C972E9" w:rsidRDefault="007454DD" w:rsidP="326E3735">
      <w:pPr>
        <w:pStyle w:val="ListParagraph"/>
        <w:numPr>
          <w:ilvl w:val="1"/>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t</w:t>
      </w:r>
      <w:r w:rsidRPr="326E3735">
        <w:rPr>
          <w:rFonts w:ascii="Calibri" w:eastAsia="Calibri" w:hAnsi="Calibri" w:cs="Calibri"/>
          <w:color w:val="000000" w:themeColor="text1"/>
        </w:rPr>
        <w:t xml:space="preserve">he </w:t>
      </w:r>
      <w:r w:rsidR="0F7B5631" w:rsidRPr="326E3735">
        <w:rPr>
          <w:rFonts w:ascii="Calibri" w:eastAsia="Calibri" w:hAnsi="Calibri" w:cs="Calibri"/>
          <w:color w:val="000000" w:themeColor="text1"/>
        </w:rPr>
        <w:t xml:space="preserve">primary diagnosis name and </w:t>
      </w:r>
      <w:r w:rsidR="39115C97" w:rsidRPr="326E3735">
        <w:rPr>
          <w:rFonts w:ascii="Calibri" w:eastAsia="Calibri" w:hAnsi="Calibri" w:cs="Calibri"/>
          <w:color w:val="000000" w:themeColor="text1"/>
        </w:rPr>
        <w:t>HCPCS</w:t>
      </w:r>
      <w:r w:rsidR="0F7B5631" w:rsidRPr="326E3735">
        <w:rPr>
          <w:rFonts w:ascii="Calibri" w:eastAsia="Calibri" w:hAnsi="Calibri" w:cs="Calibri"/>
          <w:color w:val="000000" w:themeColor="text1"/>
        </w:rPr>
        <w:t xml:space="preserve"> code specific to the condition requiring the</w:t>
      </w:r>
      <w:r w:rsidR="248217F0" w:rsidRPr="326E3735">
        <w:rPr>
          <w:rFonts w:ascii="Calibri" w:eastAsia="Calibri" w:hAnsi="Calibri" w:cs="Calibri"/>
          <w:color w:val="000000" w:themeColor="text1"/>
        </w:rPr>
        <w:t xml:space="preserve"> procedure</w:t>
      </w:r>
      <w:r w:rsidR="0F7B5631" w:rsidRPr="326E3735">
        <w:rPr>
          <w:rFonts w:ascii="Calibri" w:eastAsia="Calibri" w:hAnsi="Calibri" w:cs="Calibri"/>
          <w:color w:val="000000" w:themeColor="text1"/>
        </w:rPr>
        <w:t>;</w:t>
      </w:r>
    </w:p>
    <w:p w14:paraId="3AD0BDCF" w14:textId="28AD0D70" w:rsidR="00C972E9" w:rsidRDefault="0F7B5631" w:rsidP="326E3735">
      <w:pPr>
        <w:pStyle w:val="ListParagraph"/>
        <w:numPr>
          <w:ilvl w:val="1"/>
          <w:numId w:val="3"/>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the date the member was diagnosed with the medical condition requiring the </w:t>
      </w:r>
      <w:r w:rsidR="301D6F9C" w:rsidRPr="326E3735">
        <w:rPr>
          <w:rFonts w:ascii="Calibri" w:eastAsia="Calibri" w:hAnsi="Calibri" w:cs="Calibri"/>
          <w:color w:val="000000" w:themeColor="text1"/>
        </w:rPr>
        <w:t>procedure</w:t>
      </w:r>
      <w:r w:rsidRPr="326E3735">
        <w:rPr>
          <w:rFonts w:ascii="Calibri" w:eastAsia="Calibri" w:hAnsi="Calibri" w:cs="Calibri"/>
          <w:color w:val="000000" w:themeColor="text1"/>
        </w:rPr>
        <w:t>;</w:t>
      </w:r>
      <w:r w:rsidR="0071049C">
        <w:rPr>
          <w:rFonts w:ascii="Calibri" w:eastAsia="Calibri" w:hAnsi="Calibri" w:cs="Calibri"/>
          <w:color w:val="000000" w:themeColor="text1"/>
        </w:rPr>
        <w:t xml:space="preserve"> and </w:t>
      </w:r>
    </w:p>
    <w:p w14:paraId="7F7EE21A" w14:textId="439E23D2" w:rsidR="00C972E9" w:rsidRDefault="0F7B5631" w:rsidP="326E3735">
      <w:pPr>
        <w:pStyle w:val="ListParagraph"/>
        <w:numPr>
          <w:ilvl w:val="1"/>
          <w:numId w:val="3"/>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the past treatment course and current plan of care</w:t>
      </w:r>
      <w:r w:rsidR="3731A8FA" w:rsidRPr="326E3735">
        <w:rPr>
          <w:rFonts w:ascii="Calibri" w:eastAsia="Calibri" w:hAnsi="Calibri" w:cs="Calibri"/>
          <w:color w:val="000000" w:themeColor="text1"/>
        </w:rPr>
        <w:t>.</w:t>
      </w:r>
    </w:p>
    <w:p w14:paraId="0C47C760" w14:textId="453063C0" w:rsidR="00C972E9" w:rsidRDefault="0F7B5631" w:rsidP="326E3735">
      <w:pPr>
        <w:pStyle w:val="ListParagraph"/>
        <w:numPr>
          <w:ilvl w:val="0"/>
          <w:numId w:val="3"/>
        </w:num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Documentation of recent clinical evaluations </w:t>
      </w:r>
      <w:r w:rsidR="007454DD">
        <w:rPr>
          <w:rFonts w:ascii="Calibri" w:eastAsia="Calibri" w:hAnsi="Calibri" w:cs="Calibri"/>
          <w:color w:val="000000" w:themeColor="text1"/>
        </w:rPr>
        <w:t>must</w:t>
      </w:r>
      <w:r w:rsidR="007454DD" w:rsidRPr="326E3735">
        <w:rPr>
          <w:rFonts w:ascii="Calibri" w:eastAsia="Calibri" w:hAnsi="Calibri" w:cs="Calibri"/>
          <w:color w:val="000000" w:themeColor="text1"/>
        </w:rPr>
        <w:t xml:space="preserve"> </w:t>
      </w:r>
      <w:r w:rsidRPr="326E3735">
        <w:rPr>
          <w:rFonts w:ascii="Calibri" w:eastAsia="Calibri" w:hAnsi="Calibri" w:cs="Calibri"/>
          <w:color w:val="000000" w:themeColor="text1"/>
        </w:rPr>
        <w:t>include all of the following</w:t>
      </w:r>
      <w:r w:rsidR="007454DD">
        <w:rPr>
          <w:rFonts w:ascii="Calibri" w:eastAsia="Calibri" w:hAnsi="Calibri" w:cs="Calibri"/>
          <w:color w:val="000000" w:themeColor="text1"/>
        </w:rPr>
        <w:t>:</w:t>
      </w:r>
    </w:p>
    <w:p w14:paraId="41382C1B" w14:textId="1E966D63" w:rsidR="00C972E9" w:rsidRDefault="00BD5011" w:rsidP="326E3735">
      <w:pPr>
        <w:pStyle w:val="ListParagraph"/>
        <w:numPr>
          <w:ilvl w:val="1"/>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d</w:t>
      </w:r>
      <w:r w:rsidRPr="326E3735">
        <w:rPr>
          <w:rFonts w:ascii="Calibri" w:eastAsia="Calibri" w:hAnsi="Calibri" w:cs="Calibri"/>
          <w:color w:val="000000" w:themeColor="text1"/>
        </w:rPr>
        <w:t xml:space="preserve">iagnostic </w:t>
      </w:r>
      <w:r w:rsidR="0F7B5631" w:rsidRPr="326E3735">
        <w:rPr>
          <w:rFonts w:ascii="Calibri" w:eastAsia="Calibri" w:hAnsi="Calibri" w:cs="Calibri"/>
          <w:color w:val="000000" w:themeColor="text1"/>
        </w:rPr>
        <w:t>studies and laboratory tests—results of studies and tests deemed</w:t>
      </w:r>
      <w:r w:rsidR="4EC26A60"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 xml:space="preserve">relevant to the type of </w:t>
      </w:r>
      <w:r w:rsidR="4D3BAA39" w:rsidRPr="326E3735">
        <w:rPr>
          <w:rFonts w:ascii="Calibri" w:eastAsia="Calibri" w:hAnsi="Calibri" w:cs="Calibri"/>
          <w:color w:val="000000" w:themeColor="text1"/>
        </w:rPr>
        <w:t xml:space="preserve">procedure </w:t>
      </w:r>
      <w:r w:rsidR="0F7B5631" w:rsidRPr="326E3735">
        <w:rPr>
          <w:rFonts w:ascii="Calibri" w:eastAsia="Calibri" w:hAnsi="Calibri" w:cs="Calibri"/>
          <w:color w:val="000000" w:themeColor="text1"/>
        </w:rPr>
        <w:t xml:space="preserve">being requested </w:t>
      </w:r>
      <w:r w:rsidR="007454DD">
        <w:rPr>
          <w:rFonts w:ascii="Calibri" w:eastAsia="Calibri" w:hAnsi="Calibri" w:cs="Calibri"/>
          <w:color w:val="000000" w:themeColor="text1"/>
        </w:rPr>
        <w:t xml:space="preserve">and </w:t>
      </w:r>
      <w:r w:rsidR="0F7B5631" w:rsidRPr="326E3735">
        <w:rPr>
          <w:rFonts w:ascii="Calibri" w:eastAsia="Calibri" w:hAnsi="Calibri" w:cs="Calibri"/>
          <w:color w:val="000000" w:themeColor="text1"/>
        </w:rPr>
        <w:t>that have been conducted in the last year;</w:t>
      </w:r>
    </w:p>
    <w:p w14:paraId="4042ED45" w14:textId="6C506D72" w:rsidR="00C972E9" w:rsidRDefault="00BD5011" w:rsidP="326E3735">
      <w:pPr>
        <w:pStyle w:val="ListParagraph"/>
        <w:numPr>
          <w:ilvl w:val="1"/>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lastRenderedPageBreak/>
        <w:t>m</w:t>
      </w:r>
      <w:r w:rsidRPr="326E3735">
        <w:rPr>
          <w:rFonts w:ascii="Calibri" w:eastAsia="Calibri" w:hAnsi="Calibri" w:cs="Calibri"/>
          <w:color w:val="000000" w:themeColor="text1"/>
        </w:rPr>
        <w:t xml:space="preserve">edication </w:t>
      </w:r>
      <w:r w:rsidR="0F7B5631" w:rsidRPr="326E3735">
        <w:rPr>
          <w:rFonts w:ascii="Calibri" w:eastAsia="Calibri" w:hAnsi="Calibri" w:cs="Calibri"/>
          <w:color w:val="000000" w:themeColor="text1"/>
        </w:rPr>
        <w:t>regimen—the type and name of prescription and over-the-counter drugs</w:t>
      </w:r>
      <w:r w:rsidR="552900C4"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 xml:space="preserve">the member has received within the last </w:t>
      </w:r>
      <w:r w:rsidRPr="326E3735">
        <w:rPr>
          <w:rFonts w:ascii="Calibri" w:eastAsia="Calibri" w:hAnsi="Calibri" w:cs="Calibri"/>
          <w:color w:val="000000" w:themeColor="text1"/>
        </w:rPr>
        <w:t>three</w:t>
      </w:r>
      <w:r>
        <w:rPr>
          <w:rFonts w:ascii="Calibri" w:eastAsia="Calibri" w:hAnsi="Calibri" w:cs="Calibri"/>
          <w:color w:val="000000" w:themeColor="text1"/>
        </w:rPr>
        <w:t>-</w:t>
      </w:r>
      <w:r w:rsidRPr="326E3735">
        <w:rPr>
          <w:rFonts w:ascii="Calibri" w:eastAsia="Calibri" w:hAnsi="Calibri" w:cs="Calibri"/>
          <w:color w:val="000000" w:themeColor="text1"/>
        </w:rPr>
        <w:t>to</w:t>
      </w:r>
      <w:r>
        <w:rPr>
          <w:rFonts w:ascii="Calibri" w:eastAsia="Calibri" w:hAnsi="Calibri" w:cs="Calibri"/>
          <w:color w:val="000000" w:themeColor="text1"/>
        </w:rPr>
        <w:t>-</w:t>
      </w:r>
      <w:r w:rsidR="0F7B5631" w:rsidRPr="326E3735">
        <w:rPr>
          <w:rFonts w:ascii="Calibri" w:eastAsia="Calibri" w:hAnsi="Calibri" w:cs="Calibri"/>
          <w:color w:val="000000" w:themeColor="text1"/>
        </w:rPr>
        <w:t>six months;</w:t>
      </w:r>
    </w:p>
    <w:p w14:paraId="6B71A52C" w14:textId="2A55FA94" w:rsidR="00C972E9" w:rsidRDefault="00BD5011" w:rsidP="326E3735">
      <w:pPr>
        <w:pStyle w:val="ListParagraph"/>
        <w:numPr>
          <w:ilvl w:val="1"/>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r</w:t>
      </w:r>
      <w:r w:rsidRPr="326E3735">
        <w:rPr>
          <w:rFonts w:ascii="Calibri" w:eastAsia="Calibri" w:hAnsi="Calibri" w:cs="Calibri"/>
          <w:color w:val="000000" w:themeColor="text1"/>
        </w:rPr>
        <w:t xml:space="preserve">isk </w:t>
      </w:r>
      <w:r w:rsidR="0F7B5631" w:rsidRPr="326E3735">
        <w:rPr>
          <w:rFonts w:ascii="Calibri" w:eastAsia="Calibri" w:hAnsi="Calibri" w:cs="Calibri"/>
          <w:color w:val="000000" w:themeColor="text1"/>
        </w:rPr>
        <w:t>factors—description of all current medical or comorbid conditions (e.g., neurologic</w:t>
      </w:r>
      <w:r w:rsidR="70CF38F8"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disease, obesity, cardiovascular disease, diabetes, HIV), surgeries or procedures,</w:t>
      </w:r>
      <w:r w:rsidR="5CF66C22" w:rsidRPr="326E3735">
        <w:rPr>
          <w:rFonts w:ascii="Calibri" w:eastAsia="Calibri" w:hAnsi="Calibri" w:cs="Calibri"/>
          <w:color w:val="000000" w:themeColor="text1"/>
        </w:rPr>
        <w:t xml:space="preserve"> or</w:t>
      </w:r>
      <w:r w:rsidR="0F7B5631" w:rsidRPr="326E3735">
        <w:rPr>
          <w:rFonts w:ascii="Calibri" w:eastAsia="Calibri" w:hAnsi="Calibri" w:cs="Calibri"/>
          <w:color w:val="000000" w:themeColor="text1"/>
        </w:rPr>
        <w:t xml:space="preserve"> functional</w:t>
      </w:r>
      <w:r w:rsidR="19B04A38"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status</w:t>
      </w:r>
      <w:r w:rsidR="007454DD">
        <w:rPr>
          <w:rFonts w:ascii="Calibri" w:eastAsia="Calibri" w:hAnsi="Calibri" w:cs="Calibri"/>
          <w:color w:val="000000" w:themeColor="text1"/>
        </w:rPr>
        <w:t>;</w:t>
      </w:r>
      <w:r w:rsidR="007454DD" w:rsidRPr="326E3735">
        <w:rPr>
          <w:rFonts w:ascii="Calibri" w:eastAsia="Calibri" w:hAnsi="Calibri" w:cs="Calibri"/>
          <w:color w:val="000000" w:themeColor="text1"/>
        </w:rPr>
        <w:t xml:space="preserve"> </w:t>
      </w:r>
    </w:p>
    <w:p w14:paraId="3FAF1305" w14:textId="6526560F" w:rsidR="00C972E9" w:rsidRDefault="00BD5011" w:rsidP="326E3735">
      <w:pPr>
        <w:pStyle w:val="ListParagraph"/>
        <w:numPr>
          <w:ilvl w:val="2"/>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p</w:t>
      </w:r>
      <w:r w:rsidRPr="326E3735">
        <w:rPr>
          <w:rFonts w:ascii="Calibri" w:eastAsia="Calibri" w:hAnsi="Calibri" w:cs="Calibri"/>
          <w:color w:val="000000" w:themeColor="text1"/>
        </w:rPr>
        <w:t xml:space="preserve">ast </w:t>
      </w:r>
      <w:r w:rsidR="0F7B5631" w:rsidRPr="326E3735">
        <w:rPr>
          <w:rFonts w:ascii="Calibri" w:eastAsia="Calibri" w:hAnsi="Calibri" w:cs="Calibri"/>
          <w:color w:val="000000" w:themeColor="text1"/>
        </w:rPr>
        <w:t>and present substance misuse (e.g., alcohol, tobacco, marijuana, opiates,</w:t>
      </w:r>
      <w:r w:rsidR="50AFCD99"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cocaine), including date or period of time since last use. Serial blood and urine testing can</w:t>
      </w:r>
      <w:r w:rsidR="6259106B"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be used to verify abstinence from substances that are of concern;</w:t>
      </w:r>
    </w:p>
    <w:p w14:paraId="5BEB7C82" w14:textId="62F0DF34" w:rsidR="00C972E9" w:rsidRDefault="00BD5011" w:rsidP="326E3735">
      <w:pPr>
        <w:pStyle w:val="ListParagraph"/>
        <w:numPr>
          <w:ilvl w:val="2"/>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a</w:t>
      </w:r>
      <w:r w:rsidRPr="326E3735">
        <w:rPr>
          <w:rFonts w:ascii="Calibri" w:eastAsia="Calibri" w:hAnsi="Calibri" w:cs="Calibri"/>
          <w:color w:val="000000" w:themeColor="text1"/>
        </w:rPr>
        <w:t xml:space="preserve">ctive </w:t>
      </w:r>
      <w:r w:rsidR="0F7B5631" w:rsidRPr="326E3735">
        <w:rPr>
          <w:rFonts w:ascii="Calibri" w:eastAsia="Calibri" w:hAnsi="Calibri" w:cs="Calibri"/>
          <w:color w:val="000000" w:themeColor="text1"/>
        </w:rPr>
        <w:t>tobacco use</w:t>
      </w:r>
      <w:r w:rsidR="009C62E9">
        <w:rPr>
          <w:rFonts w:ascii="Calibri" w:eastAsia="Calibri" w:hAnsi="Calibri" w:cs="Calibri"/>
          <w:color w:val="000000" w:themeColor="text1"/>
        </w:rPr>
        <w:t>, which</w:t>
      </w:r>
      <w:r w:rsidR="0F7B5631" w:rsidRPr="326E3735">
        <w:rPr>
          <w:rFonts w:ascii="Calibri" w:eastAsia="Calibri" w:hAnsi="Calibri" w:cs="Calibri"/>
          <w:color w:val="000000" w:themeColor="text1"/>
        </w:rPr>
        <w:t xml:space="preserve"> is a</w:t>
      </w:r>
      <w:r w:rsidR="2A7EA117"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 xml:space="preserve">contraindication for </w:t>
      </w:r>
      <w:r w:rsidR="4E8A78DD" w:rsidRPr="326E3735">
        <w:rPr>
          <w:rFonts w:ascii="Calibri" w:eastAsia="Calibri" w:hAnsi="Calibri" w:cs="Calibri"/>
          <w:color w:val="000000" w:themeColor="text1"/>
        </w:rPr>
        <w:t>wound healing</w:t>
      </w:r>
      <w:r w:rsidR="6CB9C22A"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and has been shown to be related to increased postoperative complications</w:t>
      </w:r>
      <w:r w:rsidR="4A2AFA98" w:rsidRPr="326E3735">
        <w:rPr>
          <w:rFonts w:ascii="Calibri" w:eastAsia="Calibri" w:hAnsi="Calibri" w:cs="Calibri"/>
          <w:color w:val="000000" w:themeColor="text1"/>
        </w:rPr>
        <w:t xml:space="preserve"> and p</w:t>
      </w:r>
      <w:r w:rsidR="0F7B5631" w:rsidRPr="326E3735">
        <w:rPr>
          <w:rFonts w:ascii="Calibri" w:eastAsia="Calibri" w:hAnsi="Calibri" w:cs="Calibri"/>
          <w:color w:val="000000" w:themeColor="text1"/>
        </w:rPr>
        <w:t>oorer clinical outcomes</w:t>
      </w:r>
      <w:r w:rsidR="2F1D830D" w:rsidRPr="326E3735">
        <w:rPr>
          <w:rFonts w:ascii="Calibri" w:eastAsia="Calibri" w:hAnsi="Calibri" w:cs="Calibri"/>
          <w:color w:val="000000" w:themeColor="text1"/>
        </w:rPr>
        <w:t>.</w:t>
      </w:r>
      <w:r w:rsidR="0F7B5631" w:rsidRPr="326E3735">
        <w:rPr>
          <w:rFonts w:ascii="Calibri" w:eastAsia="Calibri" w:hAnsi="Calibri" w:cs="Calibri"/>
          <w:color w:val="000000" w:themeColor="text1"/>
        </w:rPr>
        <w:t xml:space="preserve"> </w:t>
      </w:r>
      <w:r w:rsidR="00FB2AA9">
        <w:rPr>
          <w:rFonts w:ascii="Calibri" w:eastAsia="Calibri" w:hAnsi="Calibri" w:cs="Calibri"/>
          <w:color w:val="000000" w:themeColor="text1"/>
        </w:rPr>
        <w:t>Provide d</w:t>
      </w:r>
      <w:r w:rsidR="00FB2AA9" w:rsidRPr="326E3735">
        <w:rPr>
          <w:rFonts w:ascii="Calibri" w:eastAsia="Calibri" w:hAnsi="Calibri" w:cs="Calibri"/>
          <w:color w:val="000000" w:themeColor="text1"/>
        </w:rPr>
        <w:t xml:space="preserve">ocumentation </w:t>
      </w:r>
      <w:r w:rsidR="06DE5005" w:rsidRPr="326E3735">
        <w:rPr>
          <w:rFonts w:ascii="Calibri" w:eastAsia="Calibri" w:hAnsi="Calibri" w:cs="Calibri"/>
          <w:color w:val="000000" w:themeColor="text1"/>
        </w:rPr>
        <w:t>of</w:t>
      </w:r>
      <w:r w:rsidR="0F7B5631" w:rsidRPr="326E3735">
        <w:rPr>
          <w:rFonts w:ascii="Calibri" w:eastAsia="Calibri" w:hAnsi="Calibri" w:cs="Calibri"/>
          <w:color w:val="000000" w:themeColor="text1"/>
        </w:rPr>
        <w:t xml:space="preserve"> tobacco-cessation efforts, including testing for abstinence, if clinically</w:t>
      </w:r>
      <w:r w:rsidR="19D7102C" w:rsidRPr="326E3735">
        <w:rPr>
          <w:rFonts w:ascii="Calibri" w:eastAsia="Calibri" w:hAnsi="Calibri" w:cs="Calibri"/>
          <w:color w:val="000000" w:themeColor="text1"/>
        </w:rPr>
        <w:t xml:space="preserve"> </w:t>
      </w:r>
      <w:r w:rsidR="0F7B5631" w:rsidRPr="326E3735">
        <w:rPr>
          <w:rFonts w:ascii="Calibri" w:eastAsia="Calibri" w:hAnsi="Calibri" w:cs="Calibri"/>
          <w:color w:val="000000" w:themeColor="text1"/>
        </w:rPr>
        <w:t>indicated; and</w:t>
      </w:r>
    </w:p>
    <w:p w14:paraId="08B5F613" w14:textId="6AA52CDC" w:rsidR="00C972E9" w:rsidRDefault="00BD5011" w:rsidP="326E3735">
      <w:pPr>
        <w:pStyle w:val="ListParagraph"/>
        <w:numPr>
          <w:ilvl w:val="2"/>
          <w:numId w:val="3"/>
        </w:numPr>
        <w:spacing w:after="200" w:line="276" w:lineRule="auto"/>
        <w:rPr>
          <w:rFonts w:ascii="Calibri" w:eastAsia="Calibri" w:hAnsi="Calibri" w:cs="Calibri"/>
          <w:color w:val="000000" w:themeColor="text1"/>
        </w:rPr>
      </w:pPr>
      <w:r>
        <w:rPr>
          <w:rFonts w:ascii="Calibri" w:eastAsia="Calibri" w:hAnsi="Calibri" w:cs="Calibri"/>
          <w:color w:val="000000" w:themeColor="text1"/>
        </w:rPr>
        <w:t>a</w:t>
      </w:r>
      <w:r w:rsidRPr="64A4178B">
        <w:rPr>
          <w:rFonts w:ascii="Calibri" w:eastAsia="Calibri" w:hAnsi="Calibri" w:cs="Calibri"/>
          <w:color w:val="000000" w:themeColor="text1"/>
        </w:rPr>
        <w:t xml:space="preserve">ny </w:t>
      </w:r>
      <w:r w:rsidR="6704E650" w:rsidRPr="64A4178B">
        <w:rPr>
          <w:rFonts w:ascii="Calibri" w:eastAsia="Calibri" w:hAnsi="Calibri" w:cs="Calibri"/>
          <w:color w:val="000000" w:themeColor="text1"/>
        </w:rPr>
        <w:t>other non-coverage circumstances listed in Section II.B.</w:t>
      </w:r>
    </w:p>
    <w:p w14:paraId="1BBE0859" w14:textId="5DB6E42A" w:rsidR="2E14F91B" w:rsidRDefault="2E14F91B" w:rsidP="715B5AB6">
      <w:pPr>
        <w:pStyle w:val="ListParagraph"/>
        <w:numPr>
          <w:ilvl w:val="1"/>
          <w:numId w:val="3"/>
        </w:numPr>
        <w:spacing w:after="200" w:line="276" w:lineRule="auto"/>
        <w:rPr>
          <w:rFonts w:ascii="Calibri" w:eastAsia="Calibri" w:hAnsi="Calibri" w:cs="Calibri"/>
          <w:color w:val="000000" w:themeColor="text1"/>
        </w:rPr>
      </w:pPr>
      <w:r w:rsidRPr="1D336B3A">
        <w:rPr>
          <w:rFonts w:ascii="Calibri" w:eastAsia="Calibri" w:hAnsi="Calibri" w:cs="Calibri"/>
          <w:color w:val="000000" w:themeColor="text1"/>
        </w:rPr>
        <w:t xml:space="preserve">Clinical photography with measurements </w:t>
      </w:r>
      <w:r w:rsidR="00FB2AA9">
        <w:rPr>
          <w:rFonts w:ascii="Calibri" w:eastAsia="Calibri" w:hAnsi="Calibri" w:cs="Calibri"/>
          <w:color w:val="000000" w:themeColor="text1"/>
        </w:rPr>
        <w:t>of</w:t>
      </w:r>
      <w:r w:rsidR="00FB2AA9" w:rsidRPr="1D336B3A">
        <w:rPr>
          <w:rFonts w:ascii="Calibri" w:eastAsia="Calibri" w:hAnsi="Calibri" w:cs="Calibri"/>
          <w:color w:val="000000" w:themeColor="text1"/>
        </w:rPr>
        <w:t xml:space="preserve"> </w:t>
      </w:r>
      <w:r w:rsidRPr="1D336B3A">
        <w:rPr>
          <w:rFonts w:ascii="Calibri" w:eastAsia="Calibri" w:hAnsi="Calibri" w:cs="Calibri"/>
          <w:color w:val="000000" w:themeColor="text1"/>
        </w:rPr>
        <w:t>each subsequent submission</w:t>
      </w:r>
      <w:r w:rsidR="00FB2AA9">
        <w:rPr>
          <w:rFonts w:ascii="Calibri" w:eastAsia="Calibri" w:hAnsi="Calibri" w:cs="Calibri"/>
          <w:color w:val="000000" w:themeColor="text1"/>
        </w:rPr>
        <w:t>,</w:t>
      </w:r>
      <w:r w:rsidRPr="1D336B3A">
        <w:rPr>
          <w:rFonts w:ascii="Calibri" w:eastAsia="Calibri" w:hAnsi="Calibri" w:cs="Calibri"/>
          <w:color w:val="000000" w:themeColor="text1"/>
        </w:rPr>
        <w:t xml:space="preserve"> including prior photos. </w:t>
      </w:r>
    </w:p>
    <w:p w14:paraId="62188A47" w14:textId="753364C6" w:rsidR="00C972E9" w:rsidRDefault="7299B3AB" w:rsidP="326E3735">
      <w:pPr>
        <w:pStyle w:val="Heading2"/>
        <w:spacing w:before="200" w:line="276" w:lineRule="auto"/>
        <w:rPr>
          <w:rFonts w:ascii="Cambria" w:eastAsia="Cambria" w:hAnsi="Cambria" w:cs="Cambria"/>
          <w:b/>
          <w:bCs/>
          <w:color w:val="4F81BD"/>
        </w:rPr>
      </w:pPr>
      <w:r w:rsidRPr="1316B9C0">
        <w:rPr>
          <w:rFonts w:ascii="Cambria" w:eastAsia="Cambria" w:hAnsi="Cambria" w:cs="Cambria"/>
          <w:b/>
          <w:bCs/>
          <w:color w:val="4F81BD"/>
        </w:rPr>
        <w:t>Clinical Information</w:t>
      </w:r>
    </w:p>
    <w:p w14:paraId="3B9C3DA3" w14:textId="1B82C8E8" w:rsidR="389D0894" w:rsidRDefault="389D0894" w:rsidP="1316B9C0">
      <w:pPr>
        <w:spacing w:line="276" w:lineRule="auto"/>
      </w:pPr>
      <w:r w:rsidRPr="1316B9C0">
        <w:rPr>
          <w:rFonts w:ascii="Calibri" w:eastAsia="Calibri" w:hAnsi="Calibri" w:cs="Calibri"/>
        </w:rPr>
        <w:t xml:space="preserve">Clinical information must be submitted by the MassHealth-enrolled surgeon who is performing the procedure. </w:t>
      </w:r>
    </w:p>
    <w:p w14:paraId="003A02F0" w14:textId="4B2448DE" w:rsidR="389D0894" w:rsidRDefault="389D0894" w:rsidP="1316B9C0">
      <w:pPr>
        <w:tabs>
          <w:tab w:val="left" w:pos="360"/>
        </w:tabs>
        <w:spacing w:line="276" w:lineRule="auto"/>
      </w:pPr>
      <w:r w:rsidRPr="1316B9C0">
        <w:rPr>
          <w:rFonts w:ascii="Calibri" w:eastAsia="Calibri" w:hAnsi="Calibri" w:cs="Calibri"/>
        </w:rPr>
        <w:t xml:space="preserve">Providers must electronically submit PA requests and all supporting documentation using the Provider Online Service Center (POSC), unless the provider has a currently approved electronic claims waiver (hereinafter, “waiver”). Please see </w:t>
      </w:r>
      <w:hyperlink r:id="rId16">
        <w:r w:rsidRPr="1316B9C0">
          <w:rPr>
            <w:rStyle w:val="Hyperlink"/>
            <w:rFonts w:ascii="Calibri" w:eastAsia="Calibri" w:hAnsi="Calibri" w:cs="Calibri"/>
          </w:rPr>
          <w:t>All Provider Bulletin 369</w:t>
        </w:r>
      </w:hyperlink>
      <w:r w:rsidRPr="1316B9C0">
        <w:rPr>
          <w:rFonts w:ascii="Calibri" w:eastAsia="Calibri" w:hAnsi="Calibri" w:cs="Calibri"/>
        </w:rPr>
        <w:t xml:space="preserve"> for further waiver information. </w:t>
      </w:r>
      <w:r w:rsidR="002A0FE1">
        <w:rPr>
          <w:rFonts w:ascii="Calibri" w:eastAsia="Calibri" w:hAnsi="Calibri" w:cs="Calibri"/>
        </w:rPr>
        <w:t>If you have q</w:t>
      </w:r>
      <w:r w:rsidR="002A0FE1" w:rsidRPr="1316B9C0">
        <w:rPr>
          <w:rFonts w:ascii="Calibri" w:eastAsia="Calibri" w:hAnsi="Calibri" w:cs="Calibri"/>
        </w:rPr>
        <w:t xml:space="preserve">uestions </w:t>
      </w:r>
      <w:r w:rsidRPr="1316B9C0">
        <w:rPr>
          <w:rFonts w:ascii="Calibri" w:eastAsia="Calibri" w:hAnsi="Calibri" w:cs="Calibri"/>
        </w:rPr>
        <w:t>about POSC access</w:t>
      </w:r>
      <w:r w:rsidR="002A0FE1">
        <w:rPr>
          <w:rFonts w:ascii="Calibri" w:eastAsia="Calibri" w:hAnsi="Calibri" w:cs="Calibri"/>
        </w:rPr>
        <w:t xml:space="preserve">, contact </w:t>
      </w:r>
      <w:r w:rsidRPr="1316B9C0">
        <w:rPr>
          <w:rFonts w:ascii="Calibri" w:eastAsia="Calibri" w:hAnsi="Calibri" w:cs="Calibri"/>
        </w:rPr>
        <w:t>MassHealth at (800) 841-2900, TDD/TTY: 711.</w:t>
      </w:r>
    </w:p>
    <w:p w14:paraId="473DFFA2" w14:textId="49ADA7E5" w:rsidR="1316B9C0" w:rsidRDefault="389D0894" w:rsidP="00316393">
      <w:pPr>
        <w:spacing w:line="276" w:lineRule="auto"/>
        <w:rPr>
          <w:rFonts w:ascii="Calibri" w:eastAsia="Calibri" w:hAnsi="Calibri" w:cs="Calibri"/>
          <w:color w:val="000000" w:themeColor="text1"/>
        </w:rPr>
      </w:pPr>
      <w:r w:rsidRPr="1316B9C0">
        <w:rPr>
          <w:rFonts w:ascii="Calibri" w:eastAsia="Calibri" w:hAnsi="Calibri" w:cs="Calibri"/>
        </w:rPr>
        <w:t xml:space="preserve">For PA requests that are not submitted using the POSC, providers with currently approved waivers must include the MassHealth Prior Authorization Request (PA-1 Form) and all supporting documentation. The PA-1 Form can be found at </w:t>
      </w:r>
      <w:hyperlink r:id="rId17">
        <w:r w:rsidRPr="1316B9C0">
          <w:rPr>
            <w:rStyle w:val="Hyperlink"/>
            <w:rFonts w:ascii="Calibri" w:eastAsia="Calibri" w:hAnsi="Calibri" w:cs="Calibri"/>
          </w:rPr>
          <w:t>mass.gov/prior-authorization-for-masshealth-providers</w:t>
        </w:r>
      </w:hyperlink>
      <w:r w:rsidRPr="1316B9C0">
        <w:rPr>
          <w:rFonts w:ascii="Calibri" w:eastAsia="Calibri" w:hAnsi="Calibri" w:cs="Calibri"/>
        </w:rPr>
        <w:t xml:space="preserve">. </w:t>
      </w:r>
    </w:p>
    <w:p w14:paraId="6197F74C" w14:textId="0EFF7184" w:rsidR="00C972E9" w:rsidRDefault="7299B3AB" w:rsidP="0BCB2AF2">
      <w:pPr>
        <w:pStyle w:val="Heading1"/>
        <w:spacing w:before="480" w:line="276" w:lineRule="auto"/>
        <w:rPr>
          <w:rFonts w:ascii="Cambria" w:eastAsia="Cambria" w:hAnsi="Cambria" w:cs="Cambria"/>
          <w:b/>
          <w:bCs/>
          <w:color w:val="365F91"/>
          <w:sz w:val="28"/>
          <w:szCs w:val="28"/>
        </w:rPr>
      </w:pPr>
      <w:r w:rsidRPr="326E3735">
        <w:rPr>
          <w:rFonts w:ascii="Cambria" w:eastAsia="Cambria" w:hAnsi="Cambria" w:cs="Cambria"/>
          <w:b/>
          <w:bCs/>
          <w:color w:val="365F91"/>
          <w:sz w:val="28"/>
          <w:szCs w:val="28"/>
        </w:rPr>
        <w:t>Select References</w:t>
      </w:r>
    </w:p>
    <w:p w14:paraId="3FAC7F20" w14:textId="526C383C" w:rsidR="67D09A74" w:rsidRDefault="67D09A74" w:rsidP="326E3735">
      <w:pPr>
        <w:pStyle w:val="ListParagraph"/>
        <w:numPr>
          <w:ilvl w:val="0"/>
          <w:numId w:val="11"/>
        </w:numPr>
        <w:spacing w:before="120" w:after="120" w:line="288" w:lineRule="auto"/>
      </w:pPr>
      <w:r>
        <w:t xml:space="preserve">Bianchi, C., Cazzell, S., Vayser, D., Reyzelman, A. M., Dosluoglu, H. H., &amp; Tovmassian, G. (2017). A multicentre randomised controlled trial evaluating the efficacy of dehydrated human amnion/chorion membrane (EpiFix® ) allograft for the treatment of venous leg ulcers. International Wound Journal, 15(1), 114–122. </w:t>
      </w:r>
      <w:hyperlink r:id="rId18" w:history="1">
        <w:r w:rsidR="00695B33" w:rsidRPr="00447FE7">
          <w:rPr>
            <w:rStyle w:val="Hyperlink"/>
          </w:rPr>
          <w:t>https://doi.org/10.1111/iwj.12843</w:t>
        </w:r>
      </w:hyperlink>
      <w:r w:rsidR="00695B33">
        <w:t xml:space="preserve"> </w:t>
      </w:r>
    </w:p>
    <w:p w14:paraId="22204F01" w14:textId="2AB28829" w:rsidR="67D09A74" w:rsidRDefault="67D09A74" w:rsidP="326E3735">
      <w:pPr>
        <w:pStyle w:val="ListParagraph"/>
        <w:numPr>
          <w:ilvl w:val="0"/>
          <w:numId w:val="11"/>
        </w:numPr>
        <w:spacing w:before="120" w:after="120" w:line="288" w:lineRule="auto"/>
      </w:pPr>
      <w:r>
        <w:t>Curran, M. P., &amp; Plosker, G. L. (2002). Bilayered Bioengineered Skin Substitute (Apligraf</w:t>
      </w:r>
      <w:r w:rsidR="2AECFA2C">
        <w:t xml:space="preserve"> ®</w:t>
      </w:r>
      <w:r>
        <w:t xml:space="preserve">). BioDrugs, 16(6), 439–455. </w:t>
      </w:r>
      <w:hyperlink r:id="rId19">
        <w:r w:rsidRPr="326E3735">
          <w:rPr>
            <w:rStyle w:val="Hyperlink"/>
          </w:rPr>
          <w:t>https://doi.org/10.2165/00063030-200216060-00005</w:t>
        </w:r>
      </w:hyperlink>
    </w:p>
    <w:p w14:paraId="46BC094C" w14:textId="684B8E83" w:rsidR="67D09A74" w:rsidRDefault="67D09A74" w:rsidP="326E3735">
      <w:pPr>
        <w:pStyle w:val="ListParagraph"/>
        <w:numPr>
          <w:ilvl w:val="0"/>
          <w:numId w:val="11"/>
        </w:numPr>
        <w:spacing w:before="120" w:after="120" w:line="288" w:lineRule="auto"/>
      </w:pPr>
      <w:r w:rsidRPr="326E3735">
        <w:t>Fivenson, D. P., &amp; Lubomira Scherschun. (2003). Clinical and economic impact of Apligraf</w:t>
      </w:r>
      <w:r w:rsidR="3C17252E" w:rsidRPr="326E3735">
        <w:t xml:space="preserve"> ®</w:t>
      </w:r>
    </w:p>
    <w:p w14:paraId="12AD62E9" w14:textId="69B5CF1D" w:rsidR="67D09A74" w:rsidRDefault="67D09A74" w:rsidP="00806055">
      <w:pPr>
        <w:pStyle w:val="ListParagraph"/>
        <w:spacing w:before="120" w:after="120" w:line="288" w:lineRule="auto"/>
      </w:pPr>
      <w:r w:rsidRPr="326E3735">
        <w:t xml:space="preserve">for the treatment of nonhealing venous leg ulcers. International Journal of Dermatology, 42(12), 960–965. </w:t>
      </w:r>
      <w:hyperlink r:id="rId20">
        <w:r w:rsidRPr="326E3735">
          <w:rPr>
            <w:rStyle w:val="Hyperlink"/>
          </w:rPr>
          <w:t>https://doi.org/10.1111/j.1365-4632.2003.02039.x</w:t>
        </w:r>
      </w:hyperlink>
    </w:p>
    <w:p w14:paraId="0436AC13" w14:textId="6975B594" w:rsidR="431EA68B" w:rsidRDefault="431EA68B" w:rsidP="326E3735">
      <w:pPr>
        <w:pStyle w:val="ListParagraph"/>
        <w:numPr>
          <w:ilvl w:val="0"/>
          <w:numId w:val="11"/>
        </w:numPr>
        <w:spacing w:before="120" w:after="120" w:line="288" w:lineRule="auto"/>
      </w:pPr>
      <w:r w:rsidRPr="326E3735">
        <w:t xml:space="preserve">Glat, Orgill, D. P., Galiano, R., Armstrong, D., Serena, T., DiDomenico, L. A., Kaufman, J., Carter, M. J., Jacobs, A. M., &amp; Zelen, C. M. (2019). Placental Membrane Provides Improved Healing </w:t>
      </w:r>
      <w:r w:rsidRPr="326E3735">
        <w:lastRenderedPageBreak/>
        <w:t xml:space="preserve">Efficacy and Lower Cost Versus a Tissue-Engineered Human Skin in the Treatment of Diabetic Foot Ulcerations. Plastic and Reconstructive Surgery. Global Open, 7(8), e2371–e2371. </w:t>
      </w:r>
      <w:hyperlink r:id="rId21">
        <w:r w:rsidRPr="326E3735">
          <w:rPr>
            <w:rStyle w:val="Hyperlink"/>
          </w:rPr>
          <w:t>https://doi.org/10.1097/GOX.0000000000002371</w:t>
        </w:r>
      </w:hyperlink>
    </w:p>
    <w:p w14:paraId="4AC65F10" w14:textId="0D590E70" w:rsidR="67D09A74" w:rsidRDefault="67D09A74" w:rsidP="326E3735">
      <w:pPr>
        <w:pStyle w:val="ListParagraph"/>
        <w:numPr>
          <w:ilvl w:val="0"/>
          <w:numId w:val="11"/>
        </w:numPr>
        <w:spacing w:before="120" w:after="120" w:line="288" w:lineRule="auto"/>
      </w:pPr>
      <w:r w:rsidRPr="326E3735">
        <w:t xml:space="preserve">Harding, K., Sumner, M., &amp; Cardinal, M. (2013). A prospective, multicentre, randomised controlled study of human fibroblast-derived dermal substitute (Dermagraft) in patients with venous leg ulcers. International Wound Journal, 10(2), 132–137. </w:t>
      </w:r>
      <w:hyperlink r:id="rId22">
        <w:r w:rsidRPr="326E3735">
          <w:rPr>
            <w:rStyle w:val="Hyperlink"/>
          </w:rPr>
          <w:t>https://doi.org/10.1111/iwj.12053</w:t>
        </w:r>
      </w:hyperlink>
    </w:p>
    <w:p w14:paraId="71A9B9DC" w14:textId="4A0C5998" w:rsidR="67D09A74" w:rsidRDefault="67D09A74" w:rsidP="326E3735">
      <w:pPr>
        <w:pStyle w:val="ListParagraph"/>
        <w:numPr>
          <w:ilvl w:val="0"/>
          <w:numId w:val="11"/>
        </w:numPr>
        <w:spacing w:before="120" w:after="120" w:line="288" w:lineRule="auto"/>
      </w:pPr>
      <w:r w:rsidRPr="326E3735">
        <w:t xml:space="preserve">Lavery, L. A., Fulmer, J., Karry Ann Shebetka, Regulski, M., Vayser, D., Fried, D. L., Kashefsky, H., Owings, T. M., &amp; Nadarajah, J. (2014). The efficacy and safety of Grafix® for the treatment of chronic diabetic foot ulcers: results of a multi‐centre, controlled, randomised, blinded, clinical trial. International Wound Journal, 11(5), 554–560. </w:t>
      </w:r>
      <w:hyperlink r:id="rId23" w:history="1">
        <w:r w:rsidR="00695B33" w:rsidRPr="00447FE7">
          <w:rPr>
            <w:rStyle w:val="Hyperlink"/>
          </w:rPr>
          <w:t>https://doi.org/10.1111/iwj.12329</w:t>
        </w:r>
      </w:hyperlink>
      <w:r w:rsidR="00695B33">
        <w:t xml:space="preserve"> </w:t>
      </w:r>
    </w:p>
    <w:p w14:paraId="1993332B" w14:textId="1360EE22" w:rsidR="00C972E9" w:rsidRDefault="3E917BEA" w:rsidP="0BCB2AF2">
      <w:pPr>
        <w:pStyle w:val="ListParagraph"/>
        <w:numPr>
          <w:ilvl w:val="0"/>
          <w:numId w:val="11"/>
        </w:numPr>
        <w:spacing w:before="120" w:after="120" w:line="288" w:lineRule="auto"/>
      </w:pPr>
      <w:r w:rsidRPr="326E3735">
        <w:rPr>
          <w:rFonts w:ascii="Calibri" w:eastAsia="Calibri" w:hAnsi="Calibri" w:cs="Calibri"/>
          <w:color w:val="231F20"/>
        </w:rPr>
        <w:t xml:space="preserve">Sabolinski, M. L., &amp; Gibbons, G. W. (2018). Comparative Effectiveness of a Bilayered Living Cellular Construct and an Acellular Fetal Bovine Collagen Dressing in the Treatment of Venous Leg Ulcers. 6(6), 803–803. </w:t>
      </w:r>
      <w:hyperlink r:id="rId24" w:history="1">
        <w:r w:rsidR="00695B33" w:rsidRPr="00447FE7">
          <w:rPr>
            <w:rStyle w:val="Hyperlink"/>
            <w:rFonts w:ascii="Calibri" w:eastAsia="Calibri" w:hAnsi="Calibri" w:cs="Calibri"/>
          </w:rPr>
          <w:t>https://doi.org/10.1016/j.jvsv.2018.09.006</w:t>
        </w:r>
      </w:hyperlink>
      <w:r w:rsidR="00695B33">
        <w:rPr>
          <w:rFonts w:ascii="Calibri" w:eastAsia="Calibri" w:hAnsi="Calibri" w:cs="Calibri"/>
          <w:color w:val="231F20"/>
        </w:rPr>
        <w:t xml:space="preserve"> </w:t>
      </w:r>
    </w:p>
    <w:p w14:paraId="0568DD88" w14:textId="481152C9" w:rsidR="00C972E9" w:rsidRDefault="09F554CA" w:rsidP="326E3735">
      <w:pPr>
        <w:pStyle w:val="ListParagraph"/>
        <w:numPr>
          <w:ilvl w:val="0"/>
          <w:numId w:val="11"/>
        </w:numPr>
        <w:spacing w:before="120" w:after="120" w:line="288" w:lineRule="auto"/>
      </w:pPr>
      <w:r w:rsidRPr="00507C84">
        <w:rPr>
          <w:lang w:val="es-US"/>
        </w:rPr>
        <w:t xml:space="preserve">Serena, T. E., Carter, M. J., Le, L. T., Sabo, M. J., &amp; DiMarco, D. T. (2014). </w:t>
      </w:r>
      <w:r w:rsidRPr="326E3735">
        <w:t xml:space="preserve">A multicenter, randomized, controlled clinical trial evaluating the use of dehydrated human amnion/chorion membrane allografts and multilayer compression therapy vs. multilayer compression therapy alone in the treatment of venous leg ulcers. Wound Repair and Regeneration, 22(6), 688–693. </w:t>
      </w:r>
      <w:hyperlink r:id="rId25" w:history="1">
        <w:r w:rsidR="00695B33" w:rsidRPr="00447FE7">
          <w:rPr>
            <w:rStyle w:val="Hyperlink"/>
          </w:rPr>
          <w:t>https://doi.org/10.1111/wrr.12227</w:t>
        </w:r>
      </w:hyperlink>
      <w:r w:rsidR="00695B33">
        <w:t xml:space="preserve"> </w:t>
      </w:r>
    </w:p>
    <w:p w14:paraId="585BB594" w14:textId="3CB744F4" w:rsidR="00C972E9" w:rsidRDefault="09F554CA" w:rsidP="326E3735">
      <w:pPr>
        <w:pStyle w:val="ListParagraph"/>
        <w:numPr>
          <w:ilvl w:val="0"/>
          <w:numId w:val="11"/>
        </w:numPr>
        <w:spacing w:before="120" w:after="120" w:line="288" w:lineRule="auto"/>
      </w:pPr>
      <w:r w:rsidRPr="326E3735">
        <w:t xml:space="preserve">Tettelbach, W., Cazzell, S., Reyzelman, A. M., Sigal, F., Caporusso, J. M., &amp; Agnew, P. (2018). A confirmatory study on the efficacy of dehydrated human amnion/chorion membrane dHACM allograft in the management of diabetic foot ulcers: A prospective, multicentre, randomised, controlled study of 110 patients from 14 wound clinics. International Wound Journal, 16(1), 19–29. </w:t>
      </w:r>
      <w:hyperlink r:id="rId26">
        <w:r w:rsidRPr="326E3735">
          <w:rPr>
            <w:rStyle w:val="Hyperlink"/>
          </w:rPr>
          <w:t>https://doi.org/10.1111/iwj.12976</w:t>
        </w:r>
      </w:hyperlink>
    </w:p>
    <w:p w14:paraId="772B4E35" w14:textId="7FE4BA3A" w:rsidR="00C972E9" w:rsidRDefault="3E917BEA" w:rsidP="326E3735">
      <w:pPr>
        <w:pStyle w:val="ListParagraph"/>
        <w:numPr>
          <w:ilvl w:val="0"/>
          <w:numId w:val="11"/>
        </w:numPr>
        <w:spacing w:before="120" w:after="120" w:line="288" w:lineRule="auto"/>
      </w:pPr>
      <w:r w:rsidRPr="326E3735">
        <w:t>Veves A, Falanga V, Armstrong DG, et al. 2001. Graftskin, a human skin equivalent, is effective in the management of noninfected neuropathic diabetic foot ulcers: a prospective randomized multicenter clinical trial. Diabetes Care, 24:290–5</w:t>
      </w:r>
    </w:p>
    <w:p w14:paraId="3CD6CC18" w14:textId="20B39EBF" w:rsidR="0311BCA2" w:rsidRDefault="0311BCA2" w:rsidP="326E3735">
      <w:pPr>
        <w:pStyle w:val="ListParagraph"/>
        <w:numPr>
          <w:ilvl w:val="0"/>
          <w:numId w:val="11"/>
        </w:numPr>
      </w:pPr>
      <w:r w:rsidRPr="00507C84">
        <w:rPr>
          <w:lang w:val="es-US"/>
        </w:rPr>
        <w:t xml:space="preserve">Zelen, C. M., Serena, T. E., Guilhem Denoziere, &amp; Fetterolf, D. (2013). </w:t>
      </w:r>
      <w:r w:rsidRPr="326E3735">
        <w:t xml:space="preserve">A prospective randomised comparative parallel study of amniotic membrane wound graft in the management of diabetic foot ulcers. International Wound Journal, 10(5), 502–507. </w:t>
      </w:r>
      <w:hyperlink r:id="rId27">
        <w:r w:rsidRPr="326E3735">
          <w:rPr>
            <w:rStyle w:val="Hyperlink"/>
          </w:rPr>
          <w:t>https://doi.org/10.1111/iwj.12097</w:t>
        </w:r>
      </w:hyperlink>
    </w:p>
    <w:p w14:paraId="58A29A87" w14:textId="576AB954" w:rsidR="296785D4" w:rsidRDefault="296785D4" w:rsidP="326E3735">
      <w:pPr>
        <w:pStyle w:val="ListParagraph"/>
        <w:numPr>
          <w:ilvl w:val="0"/>
          <w:numId w:val="11"/>
        </w:numPr>
      </w:pPr>
      <w:r w:rsidRPr="326E3735">
        <w:t xml:space="preserve">Zelen, C. M., Gould, L., Serena, T. E., Carter, M. J., Keller, J., &amp; Li, W. W. (2014). A prospective, randomised, controlled, multi‐centre comparative effectiveness study of healing using dehydrated human amnion/chorion membrane allograft, bioengineered skin substitute or standard of care for treatment of chronic lower extremity diabetic ulcers. International Wound Journal, 12(6), 724–732. </w:t>
      </w:r>
      <w:hyperlink r:id="rId28" w:history="1">
        <w:r w:rsidR="00695B33" w:rsidRPr="00447FE7">
          <w:rPr>
            <w:rStyle w:val="Hyperlink"/>
          </w:rPr>
          <w:t>https://doi.org/10.1111/iwj.12395</w:t>
        </w:r>
      </w:hyperlink>
      <w:r w:rsidR="00695B33">
        <w:t xml:space="preserve"> </w:t>
      </w:r>
    </w:p>
    <w:p w14:paraId="5079DB18" w14:textId="64F932D3" w:rsidR="296785D4" w:rsidRDefault="296785D4" w:rsidP="326E3735">
      <w:pPr>
        <w:pStyle w:val="ListParagraph"/>
        <w:numPr>
          <w:ilvl w:val="0"/>
          <w:numId w:val="11"/>
        </w:numPr>
      </w:pPr>
      <w:r w:rsidRPr="00507C84">
        <w:rPr>
          <w:lang w:val="es-US"/>
        </w:rPr>
        <w:t xml:space="preserve">Zelen, C. M., Serena, T. E., Gould, L., Le, L., Carter, M. J., Keller, J., &amp; Li, W. W. (2015). </w:t>
      </w:r>
      <w:r w:rsidRPr="326E3735">
        <w:t xml:space="preserve">Treatment of chronic diabetic lower extremity ulcers with advanced therapies: a prospective, randomised, controlled, multi‐centre comparative study examining clinical efficacy and cost. International Wound Journal, 13(2), 272–282. </w:t>
      </w:r>
      <w:hyperlink r:id="rId29">
        <w:r w:rsidRPr="326E3735">
          <w:rPr>
            <w:rStyle w:val="Hyperlink"/>
          </w:rPr>
          <w:t>https://doi.org/10.1111/iwj.12566</w:t>
        </w:r>
      </w:hyperlink>
    </w:p>
    <w:p w14:paraId="3029C288" w14:textId="12C6CEBF" w:rsidR="326E3735" w:rsidRDefault="326E3735" w:rsidP="326E3735"/>
    <w:p w14:paraId="3BAA06CC" w14:textId="44310895" w:rsidR="00C972E9" w:rsidRDefault="00C972E9" w:rsidP="0BCB2AF2">
      <w:pPr>
        <w:spacing w:after="200" w:line="276" w:lineRule="auto"/>
        <w:rPr>
          <w:rFonts w:ascii="Calibri" w:eastAsia="Calibri" w:hAnsi="Calibri" w:cs="Calibri"/>
          <w:color w:val="000000" w:themeColor="text1"/>
        </w:rPr>
      </w:pPr>
    </w:p>
    <w:p w14:paraId="720B251B" w14:textId="37158322" w:rsidR="00C972E9" w:rsidRDefault="7299B3AB" w:rsidP="326E3735">
      <w:pPr>
        <w:spacing w:after="200" w:line="276" w:lineRule="auto"/>
        <w:rPr>
          <w:rFonts w:ascii="Calibri" w:eastAsia="Calibri" w:hAnsi="Calibri" w:cs="Calibri"/>
          <w:color w:val="000000" w:themeColor="text1"/>
        </w:rPr>
      </w:pPr>
      <w:r w:rsidRPr="326E3735">
        <w:rPr>
          <w:rFonts w:ascii="Calibri" w:eastAsia="Calibri" w:hAnsi="Calibri" w:cs="Calibri"/>
          <w:color w:val="000000" w:themeColor="text1"/>
        </w:rPr>
        <w:t xml:space="preserve">These Guidelines are based on review of the medical literature and </w:t>
      </w:r>
      <w:r w:rsidR="4271B3FD" w:rsidRPr="326E3735">
        <w:rPr>
          <w:rFonts w:ascii="Calibri" w:eastAsia="Calibri" w:hAnsi="Calibri" w:cs="Calibri"/>
          <w:color w:val="000000" w:themeColor="text1"/>
        </w:rPr>
        <w:t xml:space="preserve">current standards of care in the use of </w:t>
      </w:r>
      <w:r w:rsidR="00695B33">
        <w:rPr>
          <w:rFonts w:ascii="Calibri" w:eastAsia="Calibri" w:hAnsi="Calibri" w:cs="Calibri"/>
          <w:color w:val="000000" w:themeColor="text1"/>
        </w:rPr>
        <w:t>s</w:t>
      </w:r>
      <w:r w:rsidR="00695B33" w:rsidRPr="326E3735">
        <w:rPr>
          <w:rFonts w:ascii="Calibri" w:eastAsia="Calibri" w:hAnsi="Calibri" w:cs="Calibri"/>
          <w:color w:val="000000" w:themeColor="text1"/>
        </w:rPr>
        <w:t xml:space="preserve">kin </w:t>
      </w:r>
      <w:r w:rsidR="00695B33">
        <w:rPr>
          <w:rFonts w:ascii="Calibri" w:eastAsia="Calibri" w:hAnsi="Calibri" w:cs="Calibri"/>
          <w:color w:val="000000" w:themeColor="text1"/>
        </w:rPr>
        <w:t>s</w:t>
      </w:r>
      <w:r w:rsidR="00695B33" w:rsidRPr="326E3735">
        <w:rPr>
          <w:rFonts w:ascii="Calibri" w:eastAsia="Calibri" w:hAnsi="Calibri" w:cs="Calibri"/>
          <w:color w:val="000000" w:themeColor="text1"/>
        </w:rPr>
        <w:t>ubstitutes</w:t>
      </w:r>
      <w:r w:rsidR="4271B3FD" w:rsidRPr="326E3735">
        <w:rPr>
          <w:rFonts w:ascii="Calibri" w:eastAsia="Calibri" w:hAnsi="Calibri" w:cs="Calibri"/>
          <w:color w:val="000000" w:themeColor="text1"/>
        </w:rPr>
        <w:t xml:space="preserve">. </w:t>
      </w:r>
      <w:r w:rsidRPr="326E3735">
        <w:rPr>
          <w:rFonts w:ascii="Calibri" w:eastAsia="Calibri" w:hAnsi="Calibri" w:cs="Calibri"/>
          <w:color w:val="000000" w:themeColor="text1"/>
        </w:rPr>
        <w:t>MassHealth reserves the right to review and update the contents of these Guidelines and cited references as new clinical evidence and medical technology emerge.</w:t>
      </w:r>
    </w:p>
    <w:p w14:paraId="3D1EC499" w14:textId="3129910F" w:rsidR="00C972E9" w:rsidRDefault="06B52D76" w:rsidP="0BCB2AF2">
      <w:pPr>
        <w:spacing w:after="200" w:line="276" w:lineRule="auto"/>
        <w:rPr>
          <w:rFonts w:ascii="Calibri" w:eastAsia="Calibri" w:hAnsi="Calibri" w:cs="Calibri"/>
          <w:color w:val="000000" w:themeColor="text1"/>
        </w:rPr>
      </w:pPr>
      <w:r w:rsidRPr="0BCB2AF2">
        <w:rPr>
          <w:rFonts w:ascii="Calibri" w:eastAsia="Calibri" w:hAnsi="Calibri" w:cs="Calibri"/>
          <w:color w:val="000000" w:themeColor="text1"/>
        </w:rPr>
        <w:t>This document was prepared for medical professionals to assist them in submitting documentation supporting the medical necessity of the proposed treatment, products, or services. Some language used in this communication may be unfamiliar to other readers; in this case, those readers should contact their health care provider for guidance or explanation.</w:t>
      </w:r>
    </w:p>
    <w:p w14:paraId="2D242530" w14:textId="6DCC83D3" w:rsidR="00C972E9" w:rsidRDefault="00C972E9" w:rsidP="1316B9C0">
      <w:pPr>
        <w:spacing w:after="200" w:line="276" w:lineRule="auto"/>
        <w:rPr>
          <w:rFonts w:ascii="Calibri" w:eastAsia="Calibri" w:hAnsi="Calibri" w:cs="Calibri"/>
          <w:color w:val="000000" w:themeColor="text1"/>
        </w:rPr>
      </w:pPr>
    </w:p>
    <w:p w14:paraId="455C2393" w14:textId="37D246D8" w:rsidR="4B4C999E" w:rsidRDefault="4B4C999E" w:rsidP="1316B9C0">
      <w:pPr>
        <w:spacing w:line="276" w:lineRule="auto"/>
      </w:pPr>
      <w:r w:rsidRPr="1316B9C0">
        <w:rPr>
          <w:rFonts w:ascii="Calibri" w:eastAsia="Calibri" w:hAnsi="Calibri" w:cs="Calibri"/>
        </w:rPr>
        <w:t xml:space="preserve">Policy Effective Date: </w:t>
      </w:r>
      <w:r w:rsidR="0085563C">
        <w:rPr>
          <w:rFonts w:ascii="Calibri" w:eastAsia="Calibri" w:hAnsi="Calibri" w:cs="Calibri"/>
        </w:rPr>
        <w:t>February 7, 2024</w:t>
      </w:r>
    </w:p>
    <w:p w14:paraId="0A23552C" w14:textId="4F5481EC" w:rsidR="4B4C999E" w:rsidRDefault="4B4C999E" w:rsidP="1316B9C0">
      <w:pPr>
        <w:spacing w:line="276" w:lineRule="auto"/>
        <w:ind w:left="5040"/>
      </w:pPr>
      <w:r>
        <w:br/>
      </w:r>
      <w:r w:rsidRPr="1316B9C0">
        <w:rPr>
          <w:rFonts w:ascii="Calibri" w:eastAsia="Calibri" w:hAnsi="Calibri" w:cs="Calibri"/>
          <w:color w:val="231F20"/>
        </w:rPr>
        <w:t xml:space="preserve">Approved by: </w:t>
      </w:r>
      <w:r>
        <w:tab/>
      </w:r>
      <w:r w:rsidRPr="1316B9C0">
        <w:rPr>
          <w:rFonts w:ascii="Calibri" w:eastAsia="Calibri" w:hAnsi="Calibri" w:cs="Calibri"/>
          <w:color w:val="231F20"/>
          <w:u w:val="single"/>
        </w:rPr>
        <w:t>______________________</w:t>
      </w:r>
    </w:p>
    <w:p w14:paraId="703556DB" w14:textId="04710E64" w:rsidR="4B4C999E" w:rsidRDefault="4B4C999E" w:rsidP="00BD5978">
      <w:pPr>
        <w:spacing w:after="0" w:line="240" w:lineRule="auto"/>
        <w:ind w:left="5040"/>
      </w:pPr>
      <w:r w:rsidRPr="1316B9C0">
        <w:rPr>
          <w:rFonts w:ascii="Calibri" w:eastAsia="Calibri" w:hAnsi="Calibri" w:cs="Calibri"/>
          <w:color w:val="231F20"/>
          <w:sz w:val="21"/>
          <w:szCs w:val="21"/>
        </w:rPr>
        <w:t>Jatin K. Dave, MD, MPH</w:t>
      </w:r>
    </w:p>
    <w:p w14:paraId="65FBA610" w14:textId="01A3AC8A" w:rsidR="4B4C999E" w:rsidRDefault="4B4C999E" w:rsidP="1316B9C0">
      <w:pPr>
        <w:ind w:left="5040"/>
      </w:pPr>
      <w:r w:rsidRPr="1316B9C0">
        <w:rPr>
          <w:rFonts w:ascii="Calibri" w:eastAsia="Calibri" w:hAnsi="Calibri" w:cs="Calibri"/>
          <w:i/>
          <w:iCs/>
          <w:color w:val="231F20"/>
          <w:sz w:val="21"/>
          <w:szCs w:val="21"/>
        </w:rPr>
        <w:t>Chief Medical Officer, MassHealth</w:t>
      </w:r>
    </w:p>
    <w:p w14:paraId="45A77A5D" w14:textId="509A8E00" w:rsidR="1316B9C0" w:rsidRDefault="1316B9C0" w:rsidP="1316B9C0">
      <w:pPr>
        <w:spacing w:after="200" w:line="276" w:lineRule="auto"/>
        <w:rPr>
          <w:rFonts w:ascii="Calibri" w:eastAsia="Calibri" w:hAnsi="Calibri" w:cs="Calibri"/>
          <w:color w:val="000000" w:themeColor="text1"/>
        </w:rPr>
      </w:pPr>
    </w:p>
    <w:p w14:paraId="2C078E63" w14:textId="02113545" w:rsidR="00C972E9" w:rsidRDefault="00C972E9" w:rsidP="00684757">
      <w:pPr>
        <w:pStyle w:val="ListParagraph"/>
        <w:spacing w:after="200" w:line="276" w:lineRule="auto"/>
        <w:rPr>
          <w:rFonts w:ascii="Calibri" w:eastAsia="Calibri" w:hAnsi="Calibri" w:cs="Calibri"/>
          <w:color w:val="000000" w:themeColor="text1"/>
        </w:rPr>
      </w:pPr>
    </w:p>
    <w:sectPr w:rsidR="00C972E9">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5BC95" w14:textId="77777777" w:rsidR="003A4F51" w:rsidRDefault="003A4F51">
      <w:pPr>
        <w:spacing w:after="0" w:line="240" w:lineRule="auto"/>
      </w:pPr>
      <w:r>
        <w:separator/>
      </w:r>
    </w:p>
  </w:endnote>
  <w:endnote w:type="continuationSeparator" w:id="0">
    <w:p w14:paraId="623685EB" w14:textId="77777777" w:rsidR="003A4F51" w:rsidRDefault="003A4F51">
      <w:pPr>
        <w:spacing w:after="0" w:line="240" w:lineRule="auto"/>
      </w:pPr>
      <w:r>
        <w:continuationSeparator/>
      </w:r>
    </w:p>
  </w:endnote>
  <w:endnote w:type="continuationNotice" w:id="1">
    <w:p w14:paraId="36DC9A1C" w14:textId="77777777" w:rsidR="003A4F51" w:rsidRDefault="003A4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316B9C0" w14:paraId="3A551464" w14:textId="77777777" w:rsidTr="1316B9C0">
      <w:trPr>
        <w:trHeight w:val="300"/>
      </w:trPr>
      <w:tc>
        <w:tcPr>
          <w:tcW w:w="3120" w:type="dxa"/>
        </w:tcPr>
        <w:p w14:paraId="0864D6AA" w14:textId="434086E3" w:rsidR="1316B9C0" w:rsidRDefault="1316B9C0" w:rsidP="1316B9C0">
          <w:pPr>
            <w:pStyle w:val="Header"/>
            <w:ind w:left="-115"/>
          </w:pPr>
        </w:p>
      </w:tc>
      <w:tc>
        <w:tcPr>
          <w:tcW w:w="3120" w:type="dxa"/>
        </w:tcPr>
        <w:p w14:paraId="383362A6" w14:textId="499581B4" w:rsidR="1316B9C0" w:rsidRDefault="1316B9C0" w:rsidP="1316B9C0">
          <w:pPr>
            <w:pStyle w:val="Header"/>
            <w:jc w:val="center"/>
          </w:pPr>
        </w:p>
      </w:tc>
      <w:tc>
        <w:tcPr>
          <w:tcW w:w="3120" w:type="dxa"/>
        </w:tcPr>
        <w:p w14:paraId="152C487D" w14:textId="53AD1449" w:rsidR="1316B9C0" w:rsidRDefault="1316B9C0" w:rsidP="1316B9C0">
          <w:pPr>
            <w:pStyle w:val="Header"/>
            <w:ind w:right="-115"/>
            <w:jc w:val="right"/>
          </w:pPr>
        </w:p>
      </w:tc>
    </w:tr>
  </w:tbl>
  <w:p w14:paraId="53C636D8" w14:textId="067ABB7D" w:rsidR="1316B9C0" w:rsidRDefault="1316B9C0" w:rsidP="1316B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D24B3" w14:textId="77777777" w:rsidR="003A4F51" w:rsidRDefault="003A4F51">
      <w:pPr>
        <w:spacing w:after="0" w:line="240" w:lineRule="auto"/>
      </w:pPr>
      <w:r>
        <w:separator/>
      </w:r>
    </w:p>
  </w:footnote>
  <w:footnote w:type="continuationSeparator" w:id="0">
    <w:p w14:paraId="7CCE136A" w14:textId="77777777" w:rsidR="003A4F51" w:rsidRDefault="003A4F51">
      <w:pPr>
        <w:spacing w:after="0" w:line="240" w:lineRule="auto"/>
      </w:pPr>
      <w:r>
        <w:continuationSeparator/>
      </w:r>
    </w:p>
  </w:footnote>
  <w:footnote w:type="continuationNotice" w:id="1">
    <w:p w14:paraId="0DEEF251" w14:textId="77777777" w:rsidR="003A4F51" w:rsidRDefault="003A4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316B9C0" w14:paraId="62C4AF06" w14:textId="77777777" w:rsidTr="1316B9C0">
      <w:trPr>
        <w:trHeight w:val="300"/>
      </w:trPr>
      <w:tc>
        <w:tcPr>
          <w:tcW w:w="3120" w:type="dxa"/>
        </w:tcPr>
        <w:p w14:paraId="43F88462" w14:textId="1D189779" w:rsidR="1316B9C0" w:rsidRDefault="1316B9C0" w:rsidP="1316B9C0">
          <w:pPr>
            <w:pStyle w:val="Header"/>
            <w:ind w:left="-115"/>
          </w:pPr>
        </w:p>
      </w:tc>
      <w:tc>
        <w:tcPr>
          <w:tcW w:w="3120" w:type="dxa"/>
        </w:tcPr>
        <w:p w14:paraId="5AFA9243" w14:textId="7F15FA87" w:rsidR="1316B9C0" w:rsidRDefault="1316B9C0" w:rsidP="1316B9C0">
          <w:pPr>
            <w:pStyle w:val="Header"/>
            <w:jc w:val="center"/>
          </w:pPr>
        </w:p>
      </w:tc>
      <w:tc>
        <w:tcPr>
          <w:tcW w:w="3120" w:type="dxa"/>
        </w:tcPr>
        <w:p w14:paraId="67B80B1F" w14:textId="7D61C31B" w:rsidR="1316B9C0" w:rsidRDefault="1316B9C0" w:rsidP="1316B9C0">
          <w:pPr>
            <w:pStyle w:val="Header"/>
            <w:ind w:right="-115"/>
            <w:jc w:val="right"/>
          </w:pPr>
        </w:p>
      </w:tc>
    </w:tr>
  </w:tbl>
  <w:p w14:paraId="02B7D0DD" w14:textId="6EB02EFB" w:rsidR="1316B9C0" w:rsidRDefault="1316B9C0" w:rsidP="1316B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BEBE"/>
    <w:multiLevelType w:val="hybridMultilevel"/>
    <w:tmpl w:val="F45E64F4"/>
    <w:lvl w:ilvl="0" w:tplc="49884430">
      <w:start w:val="10"/>
      <w:numFmt w:val="bullet"/>
      <w:lvlText w:val="-"/>
      <w:lvlJc w:val="left"/>
      <w:pPr>
        <w:ind w:left="720" w:hanging="360"/>
      </w:pPr>
      <w:rPr>
        <w:rFonts w:ascii="Calibri" w:hAnsi="Calibri" w:hint="default"/>
      </w:rPr>
    </w:lvl>
    <w:lvl w:ilvl="1" w:tplc="53DED2E2">
      <w:start w:val="1"/>
      <w:numFmt w:val="bullet"/>
      <w:lvlText w:val="o"/>
      <w:lvlJc w:val="left"/>
      <w:pPr>
        <w:ind w:left="1440" w:hanging="360"/>
      </w:pPr>
      <w:rPr>
        <w:rFonts w:ascii="Courier New" w:hAnsi="Courier New" w:hint="default"/>
      </w:rPr>
    </w:lvl>
    <w:lvl w:ilvl="2" w:tplc="9DFAF0E2">
      <w:start w:val="1"/>
      <w:numFmt w:val="bullet"/>
      <w:lvlText w:val=""/>
      <w:lvlJc w:val="left"/>
      <w:pPr>
        <w:ind w:left="2160" w:hanging="360"/>
      </w:pPr>
      <w:rPr>
        <w:rFonts w:ascii="Wingdings" w:hAnsi="Wingdings" w:hint="default"/>
      </w:rPr>
    </w:lvl>
    <w:lvl w:ilvl="3" w:tplc="B6403EA2">
      <w:start w:val="1"/>
      <w:numFmt w:val="bullet"/>
      <w:lvlText w:val=""/>
      <w:lvlJc w:val="left"/>
      <w:pPr>
        <w:ind w:left="2880" w:hanging="360"/>
      </w:pPr>
      <w:rPr>
        <w:rFonts w:ascii="Symbol" w:hAnsi="Symbol" w:hint="default"/>
      </w:rPr>
    </w:lvl>
    <w:lvl w:ilvl="4" w:tplc="48C4F1A4">
      <w:start w:val="1"/>
      <w:numFmt w:val="bullet"/>
      <w:lvlText w:val="o"/>
      <w:lvlJc w:val="left"/>
      <w:pPr>
        <w:ind w:left="3600" w:hanging="360"/>
      </w:pPr>
      <w:rPr>
        <w:rFonts w:ascii="Courier New" w:hAnsi="Courier New" w:hint="default"/>
      </w:rPr>
    </w:lvl>
    <w:lvl w:ilvl="5" w:tplc="BBA8BD6E">
      <w:start w:val="1"/>
      <w:numFmt w:val="bullet"/>
      <w:lvlText w:val=""/>
      <w:lvlJc w:val="left"/>
      <w:pPr>
        <w:ind w:left="4320" w:hanging="360"/>
      </w:pPr>
      <w:rPr>
        <w:rFonts w:ascii="Wingdings" w:hAnsi="Wingdings" w:hint="default"/>
      </w:rPr>
    </w:lvl>
    <w:lvl w:ilvl="6" w:tplc="9B220528">
      <w:start w:val="1"/>
      <w:numFmt w:val="bullet"/>
      <w:lvlText w:val=""/>
      <w:lvlJc w:val="left"/>
      <w:pPr>
        <w:ind w:left="5040" w:hanging="360"/>
      </w:pPr>
      <w:rPr>
        <w:rFonts w:ascii="Symbol" w:hAnsi="Symbol" w:hint="default"/>
      </w:rPr>
    </w:lvl>
    <w:lvl w:ilvl="7" w:tplc="53AEA97C">
      <w:start w:val="1"/>
      <w:numFmt w:val="bullet"/>
      <w:lvlText w:val="o"/>
      <w:lvlJc w:val="left"/>
      <w:pPr>
        <w:ind w:left="5760" w:hanging="360"/>
      </w:pPr>
      <w:rPr>
        <w:rFonts w:ascii="Courier New" w:hAnsi="Courier New" w:hint="default"/>
      </w:rPr>
    </w:lvl>
    <w:lvl w:ilvl="8" w:tplc="7D849746">
      <w:start w:val="1"/>
      <w:numFmt w:val="bullet"/>
      <w:lvlText w:val=""/>
      <w:lvlJc w:val="left"/>
      <w:pPr>
        <w:ind w:left="6480" w:hanging="360"/>
      </w:pPr>
      <w:rPr>
        <w:rFonts w:ascii="Wingdings" w:hAnsi="Wingdings" w:hint="default"/>
      </w:rPr>
    </w:lvl>
  </w:abstractNum>
  <w:abstractNum w:abstractNumId="1" w15:restartNumberingAfterBreak="0">
    <w:nsid w:val="07169DB9"/>
    <w:multiLevelType w:val="hybridMultilevel"/>
    <w:tmpl w:val="FB6600B0"/>
    <w:lvl w:ilvl="0" w:tplc="C2E42C94">
      <w:start w:val="1"/>
      <w:numFmt w:val="decimal"/>
      <w:lvlText w:val="%1."/>
      <w:lvlJc w:val="left"/>
      <w:pPr>
        <w:ind w:left="720" w:hanging="360"/>
      </w:pPr>
    </w:lvl>
    <w:lvl w:ilvl="1" w:tplc="A012799E">
      <w:start w:val="1"/>
      <w:numFmt w:val="lowerLetter"/>
      <w:lvlText w:val="%2."/>
      <w:lvlJc w:val="left"/>
      <w:pPr>
        <w:ind w:left="1440" w:hanging="360"/>
      </w:pPr>
    </w:lvl>
    <w:lvl w:ilvl="2" w:tplc="05E8E616">
      <w:start w:val="1"/>
      <w:numFmt w:val="lowerRoman"/>
      <w:lvlText w:val="%3."/>
      <w:lvlJc w:val="right"/>
      <w:pPr>
        <w:ind w:left="2160" w:hanging="180"/>
      </w:pPr>
    </w:lvl>
    <w:lvl w:ilvl="3" w:tplc="5EE847BA">
      <w:start w:val="1"/>
      <w:numFmt w:val="decimal"/>
      <w:lvlText w:val="%4."/>
      <w:lvlJc w:val="left"/>
      <w:pPr>
        <w:ind w:left="2880" w:hanging="360"/>
      </w:pPr>
    </w:lvl>
    <w:lvl w:ilvl="4" w:tplc="3ECA453C">
      <w:start w:val="1"/>
      <w:numFmt w:val="lowerLetter"/>
      <w:lvlText w:val="%5."/>
      <w:lvlJc w:val="left"/>
      <w:pPr>
        <w:ind w:left="3600" w:hanging="360"/>
      </w:pPr>
    </w:lvl>
    <w:lvl w:ilvl="5" w:tplc="9CFAA97A">
      <w:start w:val="1"/>
      <w:numFmt w:val="lowerRoman"/>
      <w:lvlText w:val="%6."/>
      <w:lvlJc w:val="right"/>
      <w:pPr>
        <w:ind w:left="4320" w:hanging="180"/>
      </w:pPr>
    </w:lvl>
    <w:lvl w:ilvl="6" w:tplc="2124BD84">
      <w:start w:val="1"/>
      <w:numFmt w:val="decimal"/>
      <w:lvlText w:val="%7."/>
      <w:lvlJc w:val="left"/>
      <w:pPr>
        <w:ind w:left="5040" w:hanging="360"/>
      </w:pPr>
    </w:lvl>
    <w:lvl w:ilvl="7" w:tplc="F672F9B2">
      <w:start w:val="1"/>
      <w:numFmt w:val="lowerLetter"/>
      <w:lvlText w:val="%8."/>
      <w:lvlJc w:val="left"/>
      <w:pPr>
        <w:ind w:left="5760" w:hanging="360"/>
      </w:pPr>
    </w:lvl>
    <w:lvl w:ilvl="8" w:tplc="D404411C">
      <w:start w:val="1"/>
      <w:numFmt w:val="lowerRoman"/>
      <w:lvlText w:val="%9."/>
      <w:lvlJc w:val="right"/>
      <w:pPr>
        <w:ind w:left="6480" w:hanging="180"/>
      </w:pPr>
    </w:lvl>
  </w:abstractNum>
  <w:abstractNum w:abstractNumId="2" w15:restartNumberingAfterBreak="0">
    <w:nsid w:val="10769BDB"/>
    <w:multiLevelType w:val="hybridMultilevel"/>
    <w:tmpl w:val="806C3042"/>
    <w:lvl w:ilvl="0" w:tplc="DC6CD4EC">
      <w:start w:val="1"/>
      <w:numFmt w:val="decimal"/>
      <w:lvlText w:val="%1."/>
      <w:lvlJc w:val="left"/>
      <w:pPr>
        <w:ind w:left="720" w:hanging="360"/>
      </w:pPr>
    </w:lvl>
    <w:lvl w:ilvl="1" w:tplc="FFFFFFFF">
      <w:start w:val="1"/>
      <w:numFmt w:val="lowerLetter"/>
      <w:lvlText w:val="%2."/>
      <w:lvlJc w:val="left"/>
      <w:pPr>
        <w:ind w:left="1440" w:hanging="360"/>
      </w:pPr>
    </w:lvl>
    <w:lvl w:ilvl="2" w:tplc="A9F83432">
      <w:start w:val="1"/>
      <w:numFmt w:val="lowerRoman"/>
      <w:lvlText w:val="%3."/>
      <w:lvlJc w:val="right"/>
      <w:pPr>
        <w:ind w:left="2160" w:hanging="180"/>
      </w:pPr>
    </w:lvl>
    <w:lvl w:ilvl="3" w:tplc="EFF8AF54">
      <w:start w:val="1"/>
      <w:numFmt w:val="decimal"/>
      <w:lvlText w:val="%4."/>
      <w:lvlJc w:val="left"/>
      <w:pPr>
        <w:ind w:left="2880" w:hanging="360"/>
      </w:pPr>
    </w:lvl>
    <w:lvl w:ilvl="4" w:tplc="DFE034FA">
      <w:start w:val="1"/>
      <w:numFmt w:val="lowerLetter"/>
      <w:lvlText w:val="%5."/>
      <w:lvlJc w:val="left"/>
      <w:pPr>
        <w:ind w:left="3600" w:hanging="360"/>
      </w:pPr>
    </w:lvl>
    <w:lvl w:ilvl="5" w:tplc="E19EF918">
      <w:start w:val="1"/>
      <w:numFmt w:val="lowerRoman"/>
      <w:lvlText w:val="%6."/>
      <w:lvlJc w:val="right"/>
      <w:pPr>
        <w:ind w:left="4320" w:hanging="180"/>
      </w:pPr>
    </w:lvl>
    <w:lvl w:ilvl="6" w:tplc="CEFE81B2">
      <w:start w:val="1"/>
      <w:numFmt w:val="decimal"/>
      <w:lvlText w:val="%7."/>
      <w:lvlJc w:val="left"/>
      <w:pPr>
        <w:ind w:left="5040" w:hanging="360"/>
      </w:pPr>
    </w:lvl>
    <w:lvl w:ilvl="7" w:tplc="08E6BEA6">
      <w:start w:val="1"/>
      <w:numFmt w:val="lowerLetter"/>
      <w:lvlText w:val="%8."/>
      <w:lvlJc w:val="left"/>
      <w:pPr>
        <w:ind w:left="5760" w:hanging="360"/>
      </w:pPr>
    </w:lvl>
    <w:lvl w:ilvl="8" w:tplc="7E1A241C">
      <w:start w:val="1"/>
      <w:numFmt w:val="lowerRoman"/>
      <w:lvlText w:val="%9."/>
      <w:lvlJc w:val="right"/>
      <w:pPr>
        <w:ind w:left="6480" w:hanging="180"/>
      </w:pPr>
    </w:lvl>
  </w:abstractNum>
  <w:abstractNum w:abstractNumId="3" w15:restartNumberingAfterBreak="0">
    <w:nsid w:val="1762315C"/>
    <w:multiLevelType w:val="hybridMultilevel"/>
    <w:tmpl w:val="1EAAA816"/>
    <w:lvl w:ilvl="0" w:tplc="D1A8A6E2">
      <w:start w:val="10"/>
      <w:numFmt w:val="bullet"/>
      <w:lvlText w:val="-"/>
      <w:lvlJc w:val="left"/>
      <w:pPr>
        <w:ind w:left="720" w:hanging="360"/>
      </w:pPr>
      <w:rPr>
        <w:rFonts w:ascii="Calibri" w:hAnsi="Calibri" w:hint="default"/>
      </w:rPr>
    </w:lvl>
    <w:lvl w:ilvl="1" w:tplc="D8AA7DDA">
      <w:start w:val="1"/>
      <w:numFmt w:val="bullet"/>
      <w:lvlText w:val="o"/>
      <w:lvlJc w:val="left"/>
      <w:pPr>
        <w:ind w:left="1440" w:hanging="360"/>
      </w:pPr>
      <w:rPr>
        <w:rFonts w:ascii="Courier New" w:hAnsi="Courier New" w:hint="default"/>
      </w:rPr>
    </w:lvl>
    <w:lvl w:ilvl="2" w:tplc="A364B28C">
      <w:start w:val="1"/>
      <w:numFmt w:val="bullet"/>
      <w:lvlText w:val=""/>
      <w:lvlJc w:val="left"/>
      <w:pPr>
        <w:ind w:left="2160" w:hanging="360"/>
      </w:pPr>
      <w:rPr>
        <w:rFonts w:ascii="Wingdings" w:hAnsi="Wingdings" w:hint="default"/>
      </w:rPr>
    </w:lvl>
    <w:lvl w:ilvl="3" w:tplc="385A5B1A">
      <w:start w:val="1"/>
      <w:numFmt w:val="bullet"/>
      <w:lvlText w:val=""/>
      <w:lvlJc w:val="left"/>
      <w:pPr>
        <w:ind w:left="2880" w:hanging="360"/>
      </w:pPr>
      <w:rPr>
        <w:rFonts w:ascii="Symbol" w:hAnsi="Symbol" w:hint="default"/>
      </w:rPr>
    </w:lvl>
    <w:lvl w:ilvl="4" w:tplc="518AA5FC">
      <w:start w:val="1"/>
      <w:numFmt w:val="bullet"/>
      <w:lvlText w:val="o"/>
      <w:lvlJc w:val="left"/>
      <w:pPr>
        <w:ind w:left="3600" w:hanging="360"/>
      </w:pPr>
      <w:rPr>
        <w:rFonts w:ascii="Courier New" w:hAnsi="Courier New" w:hint="default"/>
      </w:rPr>
    </w:lvl>
    <w:lvl w:ilvl="5" w:tplc="4B985F98">
      <w:start w:val="1"/>
      <w:numFmt w:val="bullet"/>
      <w:lvlText w:val=""/>
      <w:lvlJc w:val="left"/>
      <w:pPr>
        <w:ind w:left="4320" w:hanging="360"/>
      </w:pPr>
      <w:rPr>
        <w:rFonts w:ascii="Wingdings" w:hAnsi="Wingdings" w:hint="default"/>
      </w:rPr>
    </w:lvl>
    <w:lvl w:ilvl="6" w:tplc="B58405D0">
      <w:start w:val="1"/>
      <w:numFmt w:val="bullet"/>
      <w:lvlText w:val=""/>
      <w:lvlJc w:val="left"/>
      <w:pPr>
        <w:ind w:left="5040" w:hanging="360"/>
      </w:pPr>
      <w:rPr>
        <w:rFonts w:ascii="Symbol" w:hAnsi="Symbol" w:hint="default"/>
      </w:rPr>
    </w:lvl>
    <w:lvl w:ilvl="7" w:tplc="43768A3E">
      <w:start w:val="1"/>
      <w:numFmt w:val="bullet"/>
      <w:lvlText w:val="o"/>
      <w:lvlJc w:val="left"/>
      <w:pPr>
        <w:ind w:left="5760" w:hanging="360"/>
      </w:pPr>
      <w:rPr>
        <w:rFonts w:ascii="Courier New" w:hAnsi="Courier New" w:hint="default"/>
      </w:rPr>
    </w:lvl>
    <w:lvl w:ilvl="8" w:tplc="FF9A7274">
      <w:start w:val="1"/>
      <w:numFmt w:val="bullet"/>
      <w:lvlText w:val=""/>
      <w:lvlJc w:val="left"/>
      <w:pPr>
        <w:ind w:left="6480" w:hanging="360"/>
      </w:pPr>
      <w:rPr>
        <w:rFonts w:ascii="Wingdings" w:hAnsi="Wingdings" w:hint="default"/>
      </w:rPr>
    </w:lvl>
  </w:abstractNum>
  <w:abstractNum w:abstractNumId="4" w15:restartNumberingAfterBreak="0">
    <w:nsid w:val="224B3FB5"/>
    <w:multiLevelType w:val="hybridMultilevel"/>
    <w:tmpl w:val="A9B8A462"/>
    <w:lvl w:ilvl="0" w:tplc="FA52E4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42EBB"/>
    <w:multiLevelType w:val="hybridMultilevel"/>
    <w:tmpl w:val="3886CA90"/>
    <w:lvl w:ilvl="0" w:tplc="74EAAB74">
      <w:start w:val="1"/>
      <w:numFmt w:val="upperLetter"/>
      <w:lvlText w:val="%1."/>
      <w:lvlJc w:val="left"/>
      <w:pPr>
        <w:ind w:left="720" w:hanging="360"/>
      </w:pPr>
    </w:lvl>
    <w:lvl w:ilvl="1" w:tplc="EB5006B2">
      <w:start w:val="1"/>
      <w:numFmt w:val="lowerLetter"/>
      <w:lvlText w:val="%2."/>
      <w:lvlJc w:val="left"/>
      <w:pPr>
        <w:ind w:left="1440" w:hanging="360"/>
      </w:pPr>
    </w:lvl>
    <w:lvl w:ilvl="2" w:tplc="48F8B0B2">
      <w:start w:val="1"/>
      <w:numFmt w:val="lowerRoman"/>
      <w:lvlText w:val="%3."/>
      <w:lvlJc w:val="right"/>
      <w:pPr>
        <w:ind w:left="2160" w:hanging="180"/>
      </w:pPr>
    </w:lvl>
    <w:lvl w:ilvl="3" w:tplc="17289A58">
      <w:start w:val="1"/>
      <w:numFmt w:val="decimal"/>
      <w:lvlText w:val="%4."/>
      <w:lvlJc w:val="left"/>
      <w:pPr>
        <w:ind w:left="2880" w:hanging="360"/>
      </w:pPr>
    </w:lvl>
    <w:lvl w:ilvl="4" w:tplc="924870F4">
      <w:start w:val="1"/>
      <w:numFmt w:val="lowerLetter"/>
      <w:lvlText w:val="%5."/>
      <w:lvlJc w:val="left"/>
      <w:pPr>
        <w:ind w:left="3600" w:hanging="360"/>
      </w:pPr>
    </w:lvl>
    <w:lvl w:ilvl="5" w:tplc="E306E72A">
      <w:start w:val="1"/>
      <w:numFmt w:val="lowerRoman"/>
      <w:lvlText w:val="%6."/>
      <w:lvlJc w:val="right"/>
      <w:pPr>
        <w:ind w:left="4320" w:hanging="180"/>
      </w:pPr>
    </w:lvl>
    <w:lvl w:ilvl="6" w:tplc="ED4ADEDC">
      <w:start w:val="1"/>
      <w:numFmt w:val="decimal"/>
      <w:lvlText w:val="%7."/>
      <w:lvlJc w:val="left"/>
      <w:pPr>
        <w:ind w:left="5040" w:hanging="360"/>
      </w:pPr>
    </w:lvl>
    <w:lvl w:ilvl="7" w:tplc="5D98E672">
      <w:start w:val="1"/>
      <w:numFmt w:val="lowerLetter"/>
      <w:lvlText w:val="%8."/>
      <w:lvlJc w:val="left"/>
      <w:pPr>
        <w:ind w:left="5760" w:hanging="360"/>
      </w:pPr>
    </w:lvl>
    <w:lvl w:ilvl="8" w:tplc="6696F032">
      <w:start w:val="1"/>
      <w:numFmt w:val="lowerRoman"/>
      <w:lvlText w:val="%9."/>
      <w:lvlJc w:val="right"/>
      <w:pPr>
        <w:ind w:left="6480" w:hanging="180"/>
      </w:pPr>
    </w:lvl>
  </w:abstractNum>
  <w:abstractNum w:abstractNumId="6" w15:restartNumberingAfterBreak="0">
    <w:nsid w:val="5EBF0E2B"/>
    <w:multiLevelType w:val="hybridMultilevel"/>
    <w:tmpl w:val="499E7F40"/>
    <w:lvl w:ilvl="0" w:tplc="33DC016C">
      <w:start w:val="10"/>
      <w:numFmt w:val="bullet"/>
      <w:lvlText w:val="-"/>
      <w:lvlJc w:val="left"/>
      <w:pPr>
        <w:ind w:left="720" w:hanging="360"/>
      </w:pPr>
      <w:rPr>
        <w:rFonts w:ascii="Calibri" w:hAnsi="Calibri" w:hint="default"/>
      </w:rPr>
    </w:lvl>
    <w:lvl w:ilvl="1" w:tplc="D130C92E">
      <w:start w:val="1"/>
      <w:numFmt w:val="bullet"/>
      <w:lvlText w:val="o"/>
      <w:lvlJc w:val="left"/>
      <w:pPr>
        <w:ind w:left="1440" w:hanging="360"/>
      </w:pPr>
      <w:rPr>
        <w:rFonts w:ascii="Courier New" w:hAnsi="Courier New" w:hint="default"/>
      </w:rPr>
    </w:lvl>
    <w:lvl w:ilvl="2" w:tplc="7F764CB2">
      <w:start w:val="1"/>
      <w:numFmt w:val="bullet"/>
      <w:lvlText w:val=""/>
      <w:lvlJc w:val="left"/>
      <w:pPr>
        <w:ind w:left="2160" w:hanging="360"/>
      </w:pPr>
      <w:rPr>
        <w:rFonts w:ascii="Wingdings" w:hAnsi="Wingdings" w:hint="default"/>
      </w:rPr>
    </w:lvl>
    <w:lvl w:ilvl="3" w:tplc="B4EEB2EA">
      <w:start w:val="1"/>
      <w:numFmt w:val="bullet"/>
      <w:lvlText w:val=""/>
      <w:lvlJc w:val="left"/>
      <w:pPr>
        <w:ind w:left="2880" w:hanging="360"/>
      </w:pPr>
      <w:rPr>
        <w:rFonts w:ascii="Symbol" w:hAnsi="Symbol" w:hint="default"/>
      </w:rPr>
    </w:lvl>
    <w:lvl w:ilvl="4" w:tplc="68642A0C">
      <w:start w:val="1"/>
      <w:numFmt w:val="bullet"/>
      <w:lvlText w:val="o"/>
      <w:lvlJc w:val="left"/>
      <w:pPr>
        <w:ind w:left="3600" w:hanging="360"/>
      </w:pPr>
      <w:rPr>
        <w:rFonts w:ascii="Courier New" w:hAnsi="Courier New" w:hint="default"/>
      </w:rPr>
    </w:lvl>
    <w:lvl w:ilvl="5" w:tplc="6E4837E4">
      <w:start w:val="1"/>
      <w:numFmt w:val="bullet"/>
      <w:lvlText w:val=""/>
      <w:lvlJc w:val="left"/>
      <w:pPr>
        <w:ind w:left="4320" w:hanging="360"/>
      </w:pPr>
      <w:rPr>
        <w:rFonts w:ascii="Wingdings" w:hAnsi="Wingdings" w:hint="default"/>
      </w:rPr>
    </w:lvl>
    <w:lvl w:ilvl="6" w:tplc="B2E0E058">
      <w:start w:val="1"/>
      <w:numFmt w:val="bullet"/>
      <w:lvlText w:val=""/>
      <w:lvlJc w:val="left"/>
      <w:pPr>
        <w:ind w:left="5040" w:hanging="360"/>
      </w:pPr>
      <w:rPr>
        <w:rFonts w:ascii="Symbol" w:hAnsi="Symbol" w:hint="default"/>
      </w:rPr>
    </w:lvl>
    <w:lvl w:ilvl="7" w:tplc="3A705F14">
      <w:start w:val="1"/>
      <w:numFmt w:val="bullet"/>
      <w:lvlText w:val="o"/>
      <w:lvlJc w:val="left"/>
      <w:pPr>
        <w:ind w:left="5760" w:hanging="360"/>
      </w:pPr>
      <w:rPr>
        <w:rFonts w:ascii="Courier New" w:hAnsi="Courier New" w:hint="default"/>
      </w:rPr>
    </w:lvl>
    <w:lvl w:ilvl="8" w:tplc="FD8A2236">
      <w:start w:val="1"/>
      <w:numFmt w:val="bullet"/>
      <w:lvlText w:val=""/>
      <w:lvlJc w:val="left"/>
      <w:pPr>
        <w:ind w:left="6480" w:hanging="360"/>
      </w:pPr>
      <w:rPr>
        <w:rFonts w:ascii="Wingdings" w:hAnsi="Wingdings" w:hint="default"/>
      </w:rPr>
    </w:lvl>
  </w:abstractNum>
  <w:abstractNum w:abstractNumId="7" w15:restartNumberingAfterBreak="0">
    <w:nsid w:val="639D8C98"/>
    <w:multiLevelType w:val="hybridMultilevel"/>
    <w:tmpl w:val="2E5A8AAC"/>
    <w:lvl w:ilvl="0" w:tplc="4D983A92">
      <w:start w:val="1"/>
      <w:numFmt w:val="bullet"/>
      <w:lvlText w:val=""/>
      <w:lvlJc w:val="left"/>
      <w:pPr>
        <w:ind w:left="1080" w:hanging="360"/>
      </w:pPr>
      <w:rPr>
        <w:rFonts w:ascii="Symbol" w:hAnsi="Symbol" w:hint="default"/>
      </w:rPr>
    </w:lvl>
    <w:lvl w:ilvl="1" w:tplc="5A225DB6">
      <w:start w:val="1"/>
      <w:numFmt w:val="bullet"/>
      <w:lvlText w:val="o"/>
      <w:lvlJc w:val="left"/>
      <w:pPr>
        <w:ind w:left="1800" w:hanging="360"/>
      </w:pPr>
      <w:rPr>
        <w:rFonts w:ascii="Courier New" w:hAnsi="Courier New" w:hint="default"/>
      </w:rPr>
    </w:lvl>
    <w:lvl w:ilvl="2" w:tplc="65B2B474">
      <w:start w:val="1"/>
      <w:numFmt w:val="bullet"/>
      <w:lvlText w:val=""/>
      <w:lvlJc w:val="left"/>
      <w:pPr>
        <w:ind w:left="2520" w:hanging="360"/>
      </w:pPr>
      <w:rPr>
        <w:rFonts w:ascii="Wingdings" w:hAnsi="Wingdings" w:hint="default"/>
      </w:rPr>
    </w:lvl>
    <w:lvl w:ilvl="3" w:tplc="5F329CB6">
      <w:start w:val="1"/>
      <w:numFmt w:val="bullet"/>
      <w:lvlText w:val=""/>
      <w:lvlJc w:val="left"/>
      <w:pPr>
        <w:ind w:left="3240" w:hanging="360"/>
      </w:pPr>
      <w:rPr>
        <w:rFonts w:ascii="Symbol" w:hAnsi="Symbol" w:hint="default"/>
      </w:rPr>
    </w:lvl>
    <w:lvl w:ilvl="4" w:tplc="74DCA59A">
      <w:start w:val="1"/>
      <w:numFmt w:val="bullet"/>
      <w:lvlText w:val="o"/>
      <w:lvlJc w:val="left"/>
      <w:pPr>
        <w:ind w:left="3960" w:hanging="360"/>
      </w:pPr>
      <w:rPr>
        <w:rFonts w:ascii="Courier New" w:hAnsi="Courier New" w:hint="default"/>
      </w:rPr>
    </w:lvl>
    <w:lvl w:ilvl="5" w:tplc="B54CB412">
      <w:start w:val="1"/>
      <w:numFmt w:val="bullet"/>
      <w:lvlText w:val=""/>
      <w:lvlJc w:val="left"/>
      <w:pPr>
        <w:ind w:left="4680" w:hanging="360"/>
      </w:pPr>
      <w:rPr>
        <w:rFonts w:ascii="Wingdings" w:hAnsi="Wingdings" w:hint="default"/>
      </w:rPr>
    </w:lvl>
    <w:lvl w:ilvl="6" w:tplc="8E12C804">
      <w:start w:val="1"/>
      <w:numFmt w:val="bullet"/>
      <w:lvlText w:val=""/>
      <w:lvlJc w:val="left"/>
      <w:pPr>
        <w:ind w:left="5400" w:hanging="360"/>
      </w:pPr>
      <w:rPr>
        <w:rFonts w:ascii="Symbol" w:hAnsi="Symbol" w:hint="default"/>
      </w:rPr>
    </w:lvl>
    <w:lvl w:ilvl="7" w:tplc="CDF608D4">
      <w:start w:val="1"/>
      <w:numFmt w:val="bullet"/>
      <w:lvlText w:val="o"/>
      <w:lvlJc w:val="left"/>
      <w:pPr>
        <w:ind w:left="6120" w:hanging="360"/>
      </w:pPr>
      <w:rPr>
        <w:rFonts w:ascii="Courier New" w:hAnsi="Courier New" w:hint="default"/>
      </w:rPr>
    </w:lvl>
    <w:lvl w:ilvl="8" w:tplc="04441252">
      <w:start w:val="1"/>
      <w:numFmt w:val="bullet"/>
      <w:lvlText w:val=""/>
      <w:lvlJc w:val="left"/>
      <w:pPr>
        <w:ind w:left="6840" w:hanging="360"/>
      </w:pPr>
      <w:rPr>
        <w:rFonts w:ascii="Wingdings" w:hAnsi="Wingdings" w:hint="default"/>
      </w:rPr>
    </w:lvl>
  </w:abstractNum>
  <w:abstractNum w:abstractNumId="8" w15:restartNumberingAfterBreak="0">
    <w:nsid w:val="6B12AF03"/>
    <w:multiLevelType w:val="hybridMultilevel"/>
    <w:tmpl w:val="EE388B5E"/>
    <w:lvl w:ilvl="0" w:tplc="37CCFBA4">
      <w:start w:val="1"/>
      <w:numFmt w:val="decimal"/>
      <w:lvlText w:val="%1."/>
      <w:lvlJc w:val="left"/>
      <w:pPr>
        <w:ind w:left="720" w:hanging="360"/>
      </w:pPr>
    </w:lvl>
    <w:lvl w:ilvl="1" w:tplc="87B6B98C">
      <w:start w:val="1"/>
      <w:numFmt w:val="lowerLetter"/>
      <w:lvlText w:val="%2."/>
      <w:lvlJc w:val="left"/>
      <w:pPr>
        <w:ind w:left="1440" w:hanging="360"/>
      </w:pPr>
    </w:lvl>
    <w:lvl w:ilvl="2" w:tplc="C2AE2FE2">
      <w:start w:val="1"/>
      <w:numFmt w:val="lowerRoman"/>
      <w:lvlText w:val="%3."/>
      <w:lvlJc w:val="right"/>
      <w:pPr>
        <w:ind w:left="2160" w:hanging="180"/>
      </w:pPr>
    </w:lvl>
    <w:lvl w:ilvl="3" w:tplc="486CEA0C">
      <w:start w:val="1"/>
      <w:numFmt w:val="decimal"/>
      <w:lvlText w:val="%4."/>
      <w:lvlJc w:val="left"/>
      <w:pPr>
        <w:ind w:left="2880" w:hanging="360"/>
      </w:pPr>
    </w:lvl>
    <w:lvl w:ilvl="4" w:tplc="886AF44A">
      <w:start w:val="1"/>
      <w:numFmt w:val="lowerLetter"/>
      <w:lvlText w:val="%5."/>
      <w:lvlJc w:val="left"/>
      <w:pPr>
        <w:ind w:left="3600" w:hanging="360"/>
      </w:pPr>
    </w:lvl>
    <w:lvl w:ilvl="5" w:tplc="7CF65170">
      <w:start w:val="1"/>
      <w:numFmt w:val="lowerRoman"/>
      <w:lvlText w:val="%6."/>
      <w:lvlJc w:val="right"/>
      <w:pPr>
        <w:ind w:left="4320" w:hanging="180"/>
      </w:pPr>
    </w:lvl>
    <w:lvl w:ilvl="6" w:tplc="8ECA536A">
      <w:start w:val="1"/>
      <w:numFmt w:val="decimal"/>
      <w:lvlText w:val="%7."/>
      <w:lvlJc w:val="left"/>
      <w:pPr>
        <w:ind w:left="5040" w:hanging="360"/>
      </w:pPr>
    </w:lvl>
    <w:lvl w:ilvl="7" w:tplc="7CA660F2">
      <w:start w:val="1"/>
      <w:numFmt w:val="lowerLetter"/>
      <w:lvlText w:val="%8."/>
      <w:lvlJc w:val="left"/>
      <w:pPr>
        <w:ind w:left="5760" w:hanging="360"/>
      </w:pPr>
    </w:lvl>
    <w:lvl w:ilvl="8" w:tplc="9D7C476A">
      <w:start w:val="1"/>
      <w:numFmt w:val="lowerRoman"/>
      <w:lvlText w:val="%9."/>
      <w:lvlJc w:val="right"/>
      <w:pPr>
        <w:ind w:left="6480" w:hanging="180"/>
      </w:pPr>
    </w:lvl>
  </w:abstractNum>
  <w:abstractNum w:abstractNumId="9" w15:restartNumberingAfterBreak="0">
    <w:nsid w:val="71943C0E"/>
    <w:multiLevelType w:val="hybridMultilevel"/>
    <w:tmpl w:val="AA88D740"/>
    <w:lvl w:ilvl="0" w:tplc="442217D2">
      <w:start w:val="1"/>
      <w:numFmt w:val="decimal"/>
      <w:lvlText w:val="%1."/>
      <w:lvlJc w:val="left"/>
      <w:pPr>
        <w:ind w:left="720" w:hanging="360"/>
      </w:pPr>
    </w:lvl>
    <w:lvl w:ilvl="1" w:tplc="4DA06148">
      <w:start w:val="1"/>
      <w:numFmt w:val="lowerLetter"/>
      <w:lvlText w:val="%2."/>
      <w:lvlJc w:val="left"/>
      <w:pPr>
        <w:ind w:left="1440" w:hanging="360"/>
      </w:pPr>
    </w:lvl>
    <w:lvl w:ilvl="2" w:tplc="5AB2DC6E">
      <w:start w:val="1"/>
      <w:numFmt w:val="lowerRoman"/>
      <w:lvlText w:val="%3."/>
      <w:lvlJc w:val="right"/>
      <w:pPr>
        <w:ind w:left="2160" w:hanging="180"/>
      </w:pPr>
    </w:lvl>
    <w:lvl w:ilvl="3" w:tplc="F08EF6B8">
      <w:start w:val="1"/>
      <w:numFmt w:val="decimal"/>
      <w:lvlText w:val="%4."/>
      <w:lvlJc w:val="left"/>
      <w:pPr>
        <w:ind w:left="2880" w:hanging="360"/>
      </w:pPr>
    </w:lvl>
    <w:lvl w:ilvl="4" w:tplc="9EA6BB02">
      <w:start w:val="1"/>
      <w:numFmt w:val="lowerLetter"/>
      <w:lvlText w:val="%5."/>
      <w:lvlJc w:val="left"/>
      <w:pPr>
        <w:ind w:left="3600" w:hanging="360"/>
      </w:pPr>
    </w:lvl>
    <w:lvl w:ilvl="5" w:tplc="E54053F4">
      <w:start w:val="1"/>
      <w:numFmt w:val="lowerRoman"/>
      <w:lvlText w:val="%6."/>
      <w:lvlJc w:val="right"/>
      <w:pPr>
        <w:ind w:left="4320" w:hanging="180"/>
      </w:pPr>
    </w:lvl>
    <w:lvl w:ilvl="6" w:tplc="37308760">
      <w:start w:val="1"/>
      <w:numFmt w:val="decimal"/>
      <w:lvlText w:val="%7."/>
      <w:lvlJc w:val="left"/>
      <w:pPr>
        <w:ind w:left="5040" w:hanging="360"/>
      </w:pPr>
    </w:lvl>
    <w:lvl w:ilvl="7" w:tplc="1362EC70">
      <w:start w:val="1"/>
      <w:numFmt w:val="lowerLetter"/>
      <w:lvlText w:val="%8."/>
      <w:lvlJc w:val="left"/>
      <w:pPr>
        <w:ind w:left="5760" w:hanging="360"/>
      </w:pPr>
    </w:lvl>
    <w:lvl w:ilvl="8" w:tplc="3DA43026">
      <w:start w:val="1"/>
      <w:numFmt w:val="lowerRoman"/>
      <w:lvlText w:val="%9."/>
      <w:lvlJc w:val="right"/>
      <w:pPr>
        <w:ind w:left="6480" w:hanging="180"/>
      </w:pPr>
    </w:lvl>
  </w:abstractNum>
  <w:abstractNum w:abstractNumId="10" w15:restartNumberingAfterBreak="0">
    <w:nsid w:val="77DC2D5A"/>
    <w:multiLevelType w:val="hybridMultilevel"/>
    <w:tmpl w:val="C05C1552"/>
    <w:lvl w:ilvl="0" w:tplc="FFFFFFFF">
      <w:start w:val="10"/>
      <w:numFmt w:val="bullet"/>
      <w:lvlText w:val="-"/>
      <w:lvlJc w:val="left"/>
      <w:pPr>
        <w:ind w:left="720" w:hanging="360"/>
      </w:pPr>
      <w:rPr>
        <w:rFonts w:ascii="Calibri" w:hAnsi="Calibri" w:hint="default"/>
      </w:rPr>
    </w:lvl>
    <w:lvl w:ilvl="1" w:tplc="10562966">
      <w:start w:val="1"/>
      <w:numFmt w:val="bullet"/>
      <w:lvlText w:val="o"/>
      <w:lvlJc w:val="left"/>
      <w:pPr>
        <w:ind w:left="1440" w:hanging="360"/>
      </w:pPr>
      <w:rPr>
        <w:rFonts w:ascii="Courier New" w:hAnsi="Courier New" w:hint="default"/>
      </w:rPr>
    </w:lvl>
    <w:lvl w:ilvl="2" w:tplc="AD74E67C">
      <w:start w:val="1"/>
      <w:numFmt w:val="bullet"/>
      <w:lvlText w:val=""/>
      <w:lvlJc w:val="left"/>
      <w:pPr>
        <w:ind w:left="2160" w:hanging="360"/>
      </w:pPr>
      <w:rPr>
        <w:rFonts w:ascii="Wingdings" w:hAnsi="Wingdings" w:hint="default"/>
      </w:rPr>
    </w:lvl>
    <w:lvl w:ilvl="3" w:tplc="BDD2AABC">
      <w:start w:val="1"/>
      <w:numFmt w:val="bullet"/>
      <w:lvlText w:val=""/>
      <w:lvlJc w:val="left"/>
      <w:pPr>
        <w:ind w:left="2880" w:hanging="360"/>
      </w:pPr>
      <w:rPr>
        <w:rFonts w:ascii="Symbol" w:hAnsi="Symbol" w:hint="default"/>
      </w:rPr>
    </w:lvl>
    <w:lvl w:ilvl="4" w:tplc="6C4E4EB8">
      <w:start w:val="1"/>
      <w:numFmt w:val="bullet"/>
      <w:lvlText w:val="o"/>
      <w:lvlJc w:val="left"/>
      <w:pPr>
        <w:ind w:left="3600" w:hanging="360"/>
      </w:pPr>
      <w:rPr>
        <w:rFonts w:ascii="Courier New" w:hAnsi="Courier New" w:hint="default"/>
      </w:rPr>
    </w:lvl>
    <w:lvl w:ilvl="5" w:tplc="532C2E5A">
      <w:start w:val="1"/>
      <w:numFmt w:val="bullet"/>
      <w:lvlText w:val=""/>
      <w:lvlJc w:val="left"/>
      <w:pPr>
        <w:ind w:left="4320" w:hanging="360"/>
      </w:pPr>
      <w:rPr>
        <w:rFonts w:ascii="Wingdings" w:hAnsi="Wingdings" w:hint="default"/>
      </w:rPr>
    </w:lvl>
    <w:lvl w:ilvl="6" w:tplc="AF70032E">
      <w:start w:val="1"/>
      <w:numFmt w:val="bullet"/>
      <w:lvlText w:val=""/>
      <w:lvlJc w:val="left"/>
      <w:pPr>
        <w:ind w:left="5040" w:hanging="360"/>
      </w:pPr>
      <w:rPr>
        <w:rFonts w:ascii="Symbol" w:hAnsi="Symbol" w:hint="default"/>
      </w:rPr>
    </w:lvl>
    <w:lvl w:ilvl="7" w:tplc="4406120A">
      <w:start w:val="1"/>
      <w:numFmt w:val="bullet"/>
      <w:lvlText w:val="o"/>
      <w:lvlJc w:val="left"/>
      <w:pPr>
        <w:ind w:left="5760" w:hanging="360"/>
      </w:pPr>
      <w:rPr>
        <w:rFonts w:ascii="Courier New" w:hAnsi="Courier New" w:hint="default"/>
      </w:rPr>
    </w:lvl>
    <w:lvl w:ilvl="8" w:tplc="501CCBA4">
      <w:start w:val="1"/>
      <w:numFmt w:val="bullet"/>
      <w:lvlText w:val=""/>
      <w:lvlJc w:val="left"/>
      <w:pPr>
        <w:ind w:left="6480" w:hanging="360"/>
      </w:pPr>
      <w:rPr>
        <w:rFonts w:ascii="Wingdings" w:hAnsi="Wingdings" w:hint="default"/>
      </w:rPr>
    </w:lvl>
  </w:abstractNum>
  <w:abstractNum w:abstractNumId="11" w15:restartNumberingAfterBreak="0">
    <w:nsid w:val="78D73A6C"/>
    <w:multiLevelType w:val="hybridMultilevel"/>
    <w:tmpl w:val="E1B20446"/>
    <w:lvl w:ilvl="0" w:tplc="63D422C2">
      <w:start w:val="1"/>
      <w:numFmt w:val="decimal"/>
      <w:lvlText w:val="%1."/>
      <w:lvlJc w:val="left"/>
      <w:pPr>
        <w:ind w:left="720" w:hanging="360"/>
      </w:pPr>
    </w:lvl>
    <w:lvl w:ilvl="1" w:tplc="FA52E48A">
      <w:start w:val="1"/>
      <w:numFmt w:val="lowerLetter"/>
      <w:lvlText w:val="%2."/>
      <w:lvlJc w:val="left"/>
      <w:pPr>
        <w:ind w:left="1440" w:hanging="360"/>
      </w:pPr>
      <w:rPr>
        <w:rFonts w:hint="default"/>
      </w:rPr>
    </w:lvl>
    <w:lvl w:ilvl="2" w:tplc="20A81750">
      <w:start w:val="1"/>
      <w:numFmt w:val="lowerRoman"/>
      <w:lvlText w:val="%3."/>
      <w:lvlJc w:val="right"/>
      <w:pPr>
        <w:ind w:left="2160" w:hanging="180"/>
      </w:pPr>
    </w:lvl>
    <w:lvl w:ilvl="3" w:tplc="CA06DFBA">
      <w:start w:val="1"/>
      <w:numFmt w:val="decimal"/>
      <w:lvlText w:val="%4."/>
      <w:lvlJc w:val="left"/>
      <w:pPr>
        <w:ind w:left="2880" w:hanging="360"/>
      </w:pPr>
    </w:lvl>
    <w:lvl w:ilvl="4" w:tplc="9C96C0C2">
      <w:start w:val="1"/>
      <w:numFmt w:val="lowerLetter"/>
      <w:lvlText w:val="%5."/>
      <w:lvlJc w:val="left"/>
      <w:pPr>
        <w:ind w:left="3600" w:hanging="360"/>
      </w:pPr>
    </w:lvl>
    <w:lvl w:ilvl="5" w:tplc="7FCEA6C6">
      <w:start w:val="1"/>
      <w:numFmt w:val="lowerRoman"/>
      <w:lvlText w:val="%6."/>
      <w:lvlJc w:val="right"/>
      <w:pPr>
        <w:ind w:left="4320" w:hanging="180"/>
      </w:pPr>
    </w:lvl>
    <w:lvl w:ilvl="6" w:tplc="6FB4BADE">
      <w:start w:val="1"/>
      <w:numFmt w:val="decimal"/>
      <w:lvlText w:val="%7."/>
      <w:lvlJc w:val="left"/>
      <w:pPr>
        <w:ind w:left="5040" w:hanging="360"/>
      </w:pPr>
    </w:lvl>
    <w:lvl w:ilvl="7" w:tplc="74EA9080">
      <w:start w:val="1"/>
      <w:numFmt w:val="lowerLetter"/>
      <w:lvlText w:val="%8."/>
      <w:lvlJc w:val="left"/>
      <w:pPr>
        <w:ind w:left="5760" w:hanging="360"/>
      </w:pPr>
    </w:lvl>
    <w:lvl w:ilvl="8" w:tplc="EA625DCC">
      <w:start w:val="1"/>
      <w:numFmt w:val="lowerRoman"/>
      <w:lvlText w:val="%9."/>
      <w:lvlJc w:val="right"/>
      <w:pPr>
        <w:ind w:left="6480" w:hanging="180"/>
      </w:pPr>
    </w:lvl>
  </w:abstractNum>
  <w:num w:numId="1" w16cid:durableId="211816522">
    <w:abstractNumId w:val="0"/>
  </w:num>
  <w:num w:numId="2" w16cid:durableId="1878393293">
    <w:abstractNumId w:val="3"/>
  </w:num>
  <w:num w:numId="3" w16cid:durableId="393698">
    <w:abstractNumId w:val="5"/>
  </w:num>
  <w:num w:numId="4" w16cid:durableId="2107269115">
    <w:abstractNumId w:val="2"/>
  </w:num>
  <w:num w:numId="5" w16cid:durableId="97340334">
    <w:abstractNumId w:val="11"/>
  </w:num>
  <w:num w:numId="6" w16cid:durableId="1336686450">
    <w:abstractNumId w:val="8"/>
  </w:num>
  <w:num w:numId="7" w16cid:durableId="725222102">
    <w:abstractNumId w:val="7"/>
  </w:num>
  <w:num w:numId="8" w16cid:durableId="2005469606">
    <w:abstractNumId w:val="1"/>
  </w:num>
  <w:num w:numId="9" w16cid:durableId="1657763464">
    <w:abstractNumId w:val="6"/>
  </w:num>
  <w:num w:numId="10" w16cid:durableId="661351078">
    <w:abstractNumId w:val="10"/>
  </w:num>
  <w:num w:numId="11" w16cid:durableId="1975595122">
    <w:abstractNumId w:val="9"/>
  </w:num>
  <w:num w:numId="12" w16cid:durableId="33268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3FFFE8"/>
    <w:rsid w:val="0004454A"/>
    <w:rsid w:val="0007112D"/>
    <w:rsid w:val="000A670B"/>
    <w:rsid w:val="000C2A46"/>
    <w:rsid w:val="000D7657"/>
    <w:rsid w:val="00100659"/>
    <w:rsid w:val="00180F8C"/>
    <w:rsid w:val="00194A15"/>
    <w:rsid w:val="001F721D"/>
    <w:rsid w:val="0023FC4D"/>
    <w:rsid w:val="00246B7D"/>
    <w:rsid w:val="00253255"/>
    <w:rsid w:val="00272532"/>
    <w:rsid w:val="00274E70"/>
    <w:rsid w:val="00294EFC"/>
    <w:rsid w:val="002A0FE1"/>
    <w:rsid w:val="002F178E"/>
    <w:rsid w:val="00316393"/>
    <w:rsid w:val="003341DD"/>
    <w:rsid w:val="0033F5FC"/>
    <w:rsid w:val="003A4F51"/>
    <w:rsid w:val="003F0C07"/>
    <w:rsid w:val="003F7106"/>
    <w:rsid w:val="00411059"/>
    <w:rsid w:val="00437A0B"/>
    <w:rsid w:val="00442E41"/>
    <w:rsid w:val="00485AB7"/>
    <w:rsid w:val="00507C84"/>
    <w:rsid w:val="005759D5"/>
    <w:rsid w:val="005B1B83"/>
    <w:rsid w:val="005C7630"/>
    <w:rsid w:val="005F660E"/>
    <w:rsid w:val="00634806"/>
    <w:rsid w:val="0064149D"/>
    <w:rsid w:val="00652516"/>
    <w:rsid w:val="00660E6A"/>
    <w:rsid w:val="00663F9E"/>
    <w:rsid w:val="00684757"/>
    <w:rsid w:val="00695B33"/>
    <w:rsid w:val="006D6664"/>
    <w:rsid w:val="0071049C"/>
    <w:rsid w:val="00722D7B"/>
    <w:rsid w:val="007454DD"/>
    <w:rsid w:val="00775D45"/>
    <w:rsid w:val="007B1461"/>
    <w:rsid w:val="007E25BC"/>
    <w:rsid w:val="007E6CE1"/>
    <w:rsid w:val="00800084"/>
    <w:rsid w:val="00806055"/>
    <w:rsid w:val="0083615D"/>
    <w:rsid w:val="0085563C"/>
    <w:rsid w:val="00860C1A"/>
    <w:rsid w:val="008668F2"/>
    <w:rsid w:val="008710BB"/>
    <w:rsid w:val="008B4C8D"/>
    <w:rsid w:val="008C4AF0"/>
    <w:rsid w:val="008C6E38"/>
    <w:rsid w:val="008E4FDD"/>
    <w:rsid w:val="008F24D9"/>
    <w:rsid w:val="009167A4"/>
    <w:rsid w:val="00932DD5"/>
    <w:rsid w:val="009C62E9"/>
    <w:rsid w:val="00A22E17"/>
    <w:rsid w:val="00A558EB"/>
    <w:rsid w:val="00A8501C"/>
    <w:rsid w:val="00AA52C3"/>
    <w:rsid w:val="00B071EE"/>
    <w:rsid w:val="00B52DF0"/>
    <w:rsid w:val="00B73B09"/>
    <w:rsid w:val="00BD0BE2"/>
    <w:rsid w:val="00BD5011"/>
    <w:rsid w:val="00BD5978"/>
    <w:rsid w:val="00BE0874"/>
    <w:rsid w:val="00C46146"/>
    <w:rsid w:val="00C84692"/>
    <w:rsid w:val="00C972E9"/>
    <w:rsid w:val="00CC2428"/>
    <w:rsid w:val="00D43F00"/>
    <w:rsid w:val="00D766B2"/>
    <w:rsid w:val="00D77DCF"/>
    <w:rsid w:val="00DC55E4"/>
    <w:rsid w:val="00DC7EE3"/>
    <w:rsid w:val="00DD64A5"/>
    <w:rsid w:val="00DE4BB1"/>
    <w:rsid w:val="00E143BB"/>
    <w:rsid w:val="00E5366C"/>
    <w:rsid w:val="00E8743E"/>
    <w:rsid w:val="00E93F1E"/>
    <w:rsid w:val="00EC246D"/>
    <w:rsid w:val="00F07126"/>
    <w:rsid w:val="00F0E3C1"/>
    <w:rsid w:val="00F10F6B"/>
    <w:rsid w:val="00F178E0"/>
    <w:rsid w:val="00F2493C"/>
    <w:rsid w:val="00F2E91C"/>
    <w:rsid w:val="00FA1BBE"/>
    <w:rsid w:val="00FB2929"/>
    <w:rsid w:val="00FB2AA9"/>
    <w:rsid w:val="00FC6AF5"/>
    <w:rsid w:val="00FC6B9C"/>
    <w:rsid w:val="00FE91C4"/>
    <w:rsid w:val="00FF4BE8"/>
    <w:rsid w:val="018C8124"/>
    <w:rsid w:val="01A2E18E"/>
    <w:rsid w:val="01C4753B"/>
    <w:rsid w:val="01CFC65D"/>
    <w:rsid w:val="01F13FEC"/>
    <w:rsid w:val="026313C4"/>
    <w:rsid w:val="029E7883"/>
    <w:rsid w:val="02A3F49F"/>
    <w:rsid w:val="02F80FCD"/>
    <w:rsid w:val="0311BCA2"/>
    <w:rsid w:val="0323D2DA"/>
    <w:rsid w:val="03705183"/>
    <w:rsid w:val="03850DC1"/>
    <w:rsid w:val="03AE8E7F"/>
    <w:rsid w:val="03C73000"/>
    <w:rsid w:val="04588615"/>
    <w:rsid w:val="04A0EE21"/>
    <w:rsid w:val="04ED4735"/>
    <w:rsid w:val="05095872"/>
    <w:rsid w:val="050CDD9A"/>
    <w:rsid w:val="05473A91"/>
    <w:rsid w:val="054EC70A"/>
    <w:rsid w:val="058F2E79"/>
    <w:rsid w:val="059AB486"/>
    <w:rsid w:val="060BD511"/>
    <w:rsid w:val="063D1CE3"/>
    <w:rsid w:val="06B52D76"/>
    <w:rsid w:val="06B7E4BB"/>
    <w:rsid w:val="06DE5005"/>
    <w:rsid w:val="06EE999B"/>
    <w:rsid w:val="07514753"/>
    <w:rsid w:val="07864678"/>
    <w:rsid w:val="078A5C23"/>
    <w:rsid w:val="07919E80"/>
    <w:rsid w:val="07A9296F"/>
    <w:rsid w:val="07A9404E"/>
    <w:rsid w:val="085E6E74"/>
    <w:rsid w:val="089AC977"/>
    <w:rsid w:val="08B77D7F"/>
    <w:rsid w:val="08C16344"/>
    <w:rsid w:val="09484C43"/>
    <w:rsid w:val="094C046C"/>
    <w:rsid w:val="098B0710"/>
    <w:rsid w:val="09A46E36"/>
    <w:rsid w:val="09ED252B"/>
    <w:rsid w:val="09F554CA"/>
    <w:rsid w:val="0A0EDE0E"/>
    <w:rsid w:val="0A537708"/>
    <w:rsid w:val="0A7CBE92"/>
    <w:rsid w:val="0A8D6D3A"/>
    <w:rsid w:val="0A8DB41C"/>
    <w:rsid w:val="0B1A19E6"/>
    <w:rsid w:val="0B3E87E2"/>
    <w:rsid w:val="0B51E824"/>
    <w:rsid w:val="0BC20ABE"/>
    <w:rsid w:val="0BC8E0F8"/>
    <w:rsid w:val="0BCB2AF2"/>
    <w:rsid w:val="0BD75B9D"/>
    <w:rsid w:val="0BDA0EC3"/>
    <w:rsid w:val="0C00B19B"/>
    <w:rsid w:val="0C34AF30"/>
    <w:rsid w:val="0D2BB8BE"/>
    <w:rsid w:val="0D55B12B"/>
    <w:rsid w:val="0D5FB6D0"/>
    <w:rsid w:val="0D61CFE8"/>
    <w:rsid w:val="0D8D3C8D"/>
    <w:rsid w:val="0DE22EBF"/>
    <w:rsid w:val="0DF9E4A7"/>
    <w:rsid w:val="0E07C520"/>
    <w:rsid w:val="0E75F32A"/>
    <w:rsid w:val="0EFDCBA6"/>
    <w:rsid w:val="0F0E7327"/>
    <w:rsid w:val="0F7B5631"/>
    <w:rsid w:val="0FC49772"/>
    <w:rsid w:val="0FC7575E"/>
    <w:rsid w:val="0FCFBE22"/>
    <w:rsid w:val="0FE2ED17"/>
    <w:rsid w:val="0FED6E73"/>
    <w:rsid w:val="0FEE2F77"/>
    <w:rsid w:val="0FEF88ED"/>
    <w:rsid w:val="101A7E03"/>
    <w:rsid w:val="104E2D79"/>
    <w:rsid w:val="108E94C4"/>
    <w:rsid w:val="1098308B"/>
    <w:rsid w:val="11128F9E"/>
    <w:rsid w:val="11610AE3"/>
    <w:rsid w:val="11893ED4"/>
    <w:rsid w:val="118EB0F2"/>
    <w:rsid w:val="11B66B9B"/>
    <w:rsid w:val="11B831FB"/>
    <w:rsid w:val="12041157"/>
    <w:rsid w:val="1290BD23"/>
    <w:rsid w:val="12BD62A4"/>
    <w:rsid w:val="1316B9C0"/>
    <w:rsid w:val="131A8761"/>
    <w:rsid w:val="1357FC5E"/>
    <w:rsid w:val="1391F54D"/>
    <w:rsid w:val="141CF575"/>
    <w:rsid w:val="1472815F"/>
    <w:rsid w:val="14785E61"/>
    <w:rsid w:val="14C44D26"/>
    <w:rsid w:val="15300642"/>
    <w:rsid w:val="1575A553"/>
    <w:rsid w:val="158842F7"/>
    <w:rsid w:val="15A2AC4A"/>
    <w:rsid w:val="16763F56"/>
    <w:rsid w:val="16DABFD3"/>
    <w:rsid w:val="173E7CAB"/>
    <w:rsid w:val="17645FAC"/>
    <w:rsid w:val="177EA4C8"/>
    <w:rsid w:val="17861AAC"/>
    <w:rsid w:val="17D6968F"/>
    <w:rsid w:val="17DC05D4"/>
    <w:rsid w:val="18306362"/>
    <w:rsid w:val="184A7EB1"/>
    <w:rsid w:val="1862883E"/>
    <w:rsid w:val="188AE02B"/>
    <w:rsid w:val="18B7CEF8"/>
    <w:rsid w:val="18F06698"/>
    <w:rsid w:val="18FA0F44"/>
    <w:rsid w:val="1975274E"/>
    <w:rsid w:val="19962C6A"/>
    <w:rsid w:val="19B04A38"/>
    <w:rsid w:val="19D7102C"/>
    <w:rsid w:val="19E30113"/>
    <w:rsid w:val="1A0AD1E1"/>
    <w:rsid w:val="1A761D6D"/>
    <w:rsid w:val="1AA6E0DF"/>
    <w:rsid w:val="1AF005B3"/>
    <w:rsid w:val="1B79D3D5"/>
    <w:rsid w:val="1BB3E0B4"/>
    <w:rsid w:val="1C0EC927"/>
    <w:rsid w:val="1C11EDCE"/>
    <w:rsid w:val="1C3395A0"/>
    <w:rsid w:val="1C442A84"/>
    <w:rsid w:val="1CDFD8AE"/>
    <w:rsid w:val="1D336B3A"/>
    <w:rsid w:val="1D5A59B8"/>
    <w:rsid w:val="1D763C06"/>
    <w:rsid w:val="1D8B401B"/>
    <w:rsid w:val="1D92BA10"/>
    <w:rsid w:val="1DDE9A27"/>
    <w:rsid w:val="1DE532AD"/>
    <w:rsid w:val="1DF10B12"/>
    <w:rsid w:val="1DF527F1"/>
    <w:rsid w:val="1DF5BB5D"/>
    <w:rsid w:val="1E08A671"/>
    <w:rsid w:val="1E1535C0"/>
    <w:rsid w:val="1E47150E"/>
    <w:rsid w:val="1EF62A19"/>
    <w:rsid w:val="1F27107C"/>
    <w:rsid w:val="1F49AE9F"/>
    <w:rsid w:val="1F6129A5"/>
    <w:rsid w:val="1F9FA2E5"/>
    <w:rsid w:val="1FA3EC93"/>
    <w:rsid w:val="1FBE1A01"/>
    <w:rsid w:val="1FE4B977"/>
    <w:rsid w:val="200F2549"/>
    <w:rsid w:val="212330FB"/>
    <w:rsid w:val="21AD2E46"/>
    <w:rsid w:val="21B80953"/>
    <w:rsid w:val="2205C1F4"/>
    <w:rsid w:val="225C15E1"/>
    <w:rsid w:val="22BA7078"/>
    <w:rsid w:val="22D99564"/>
    <w:rsid w:val="22F49F96"/>
    <w:rsid w:val="23220AA2"/>
    <w:rsid w:val="233273E1"/>
    <w:rsid w:val="2349B5E4"/>
    <w:rsid w:val="23F89158"/>
    <w:rsid w:val="240D0C29"/>
    <w:rsid w:val="248217F0"/>
    <w:rsid w:val="2482D053"/>
    <w:rsid w:val="24F93FBF"/>
    <w:rsid w:val="2510BE5D"/>
    <w:rsid w:val="252783CE"/>
    <w:rsid w:val="257F9826"/>
    <w:rsid w:val="25ED8F95"/>
    <w:rsid w:val="25FDB37C"/>
    <w:rsid w:val="262D5B85"/>
    <w:rsid w:val="266E730B"/>
    <w:rsid w:val="26CC4FD6"/>
    <w:rsid w:val="26D6BF21"/>
    <w:rsid w:val="27D703DF"/>
    <w:rsid w:val="27E978DC"/>
    <w:rsid w:val="27E99DFF"/>
    <w:rsid w:val="280C104C"/>
    <w:rsid w:val="282FAF2B"/>
    <w:rsid w:val="28557D24"/>
    <w:rsid w:val="2855DB50"/>
    <w:rsid w:val="28682037"/>
    <w:rsid w:val="287027B8"/>
    <w:rsid w:val="28F1F792"/>
    <w:rsid w:val="28FBFAEE"/>
    <w:rsid w:val="2900A725"/>
    <w:rsid w:val="296785D4"/>
    <w:rsid w:val="298076F1"/>
    <w:rsid w:val="29856559"/>
    <w:rsid w:val="29E124F8"/>
    <w:rsid w:val="29E3DEF4"/>
    <w:rsid w:val="29E9B4EE"/>
    <w:rsid w:val="2A09B9C1"/>
    <w:rsid w:val="2A3997F8"/>
    <w:rsid w:val="2A44C1DC"/>
    <w:rsid w:val="2A6D9F70"/>
    <w:rsid w:val="2A7A3F44"/>
    <w:rsid w:val="2A7EA117"/>
    <w:rsid w:val="2AD61D56"/>
    <w:rsid w:val="2AECFA2C"/>
    <w:rsid w:val="2AF2BF7A"/>
    <w:rsid w:val="2B01A189"/>
    <w:rsid w:val="2B4107AD"/>
    <w:rsid w:val="2B4727E0"/>
    <w:rsid w:val="2B5487C1"/>
    <w:rsid w:val="2B669700"/>
    <w:rsid w:val="2B6CFBD4"/>
    <w:rsid w:val="2BB0C79C"/>
    <w:rsid w:val="2BD02BA0"/>
    <w:rsid w:val="2BE0923D"/>
    <w:rsid w:val="2C604A61"/>
    <w:rsid w:val="2C831263"/>
    <w:rsid w:val="2C918AB3"/>
    <w:rsid w:val="2C9EEF56"/>
    <w:rsid w:val="2CCFC322"/>
    <w:rsid w:val="2D93F00A"/>
    <w:rsid w:val="2DA32FC9"/>
    <w:rsid w:val="2DA7B79C"/>
    <w:rsid w:val="2DF4AFD9"/>
    <w:rsid w:val="2E14F91B"/>
    <w:rsid w:val="2E160BC0"/>
    <w:rsid w:val="2E21BB73"/>
    <w:rsid w:val="2E5EA6CD"/>
    <w:rsid w:val="2E6CAACF"/>
    <w:rsid w:val="2EEFFADA"/>
    <w:rsid w:val="2EF0BC8E"/>
    <w:rsid w:val="2F1D830D"/>
    <w:rsid w:val="2F39EC7F"/>
    <w:rsid w:val="2F52288B"/>
    <w:rsid w:val="2F59E5F7"/>
    <w:rsid w:val="301D6F9C"/>
    <w:rsid w:val="307827C2"/>
    <w:rsid w:val="30E1C793"/>
    <w:rsid w:val="30EA47E4"/>
    <w:rsid w:val="310805FA"/>
    <w:rsid w:val="310837D0"/>
    <w:rsid w:val="310BB320"/>
    <w:rsid w:val="31104350"/>
    <w:rsid w:val="32109E31"/>
    <w:rsid w:val="3233B95D"/>
    <w:rsid w:val="32509CE5"/>
    <w:rsid w:val="326E3735"/>
    <w:rsid w:val="329A3932"/>
    <w:rsid w:val="32F4FDE5"/>
    <w:rsid w:val="333FFFE8"/>
    <w:rsid w:val="33971E79"/>
    <w:rsid w:val="342BF15F"/>
    <w:rsid w:val="347C74F6"/>
    <w:rsid w:val="347DD36E"/>
    <w:rsid w:val="349E80A1"/>
    <w:rsid w:val="349FCC07"/>
    <w:rsid w:val="34CF5EAC"/>
    <w:rsid w:val="34EB3FFF"/>
    <w:rsid w:val="34F883DF"/>
    <w:rsid w:val="35633748"/>
    <w:rsid w:val="362389A7"/>
    <w:rsid w:val="36616176"/>
    <w:rsid w:val="367C877D"/>
    <w:rsid w:val="36897EE3"/>
    <w:rsid w:val="36FE77D1"/>
    <w:rsid w:val="3703C26E"/>
    <w:rsid w:val="372C21B8"/>
    <w:rsid w:val="3731A8FA"/>
    <w:rsid w:val="37453528"/>
    <w:rsid w:val="37656DD2"/>
    <w:rsid w:val="37AE1FC9"/>
    <w:rsid w:val="389D0894"/>
    <w:rsid w:val="38EAF689"/>
    <w:rsid w:val="39115C97"/>
    <w:rsid w:val="393F81DC"/>
    <w:rsid w:val="395B2A69"/>
    <w:rsid w:val="3994D453"/>
    <w:rsid w:val="39B7FA9B"/>
    <w:rsid w:val="39CB43EF"/>
    <w:rsid w:val="3A01E6C1"/>
    <w:rsid w:val="3A0A6E9E"/>
    <w:rsid w:val="3A753946"/>
    <w:rsid w:val="3AC0429D"/>
    <w:rsid w:val="3B0FCFA9"/>
    <w:rsid w:val="3B47FE44"/>
    <w:rsid w:val="3BDEDB55"/>
    <w:rsid w:val="3C17252E"/>
    <w:rsid w:val="3C25C5F8"/>
    <w:rsid w:val="3C3A30EA"/>
    <w:rsid w:val="3C86DC16"/>
    <w:rsid w:val="3CBAA9FD"/>
    <w:rsid w:val="3CFA80C4"/>
    <w:rsid w:val="3D31BC0F"/>
    <w:rsid w:val="3D86E1B2"/>
    <w:rsid w:val="3D94CE1D"/>
    <w:rsid w:val="3E89A4D3"/>
    <w:rsid w:val="3E917BEA"/>
    <w:rsid w:val="3F47320A"/>
    <w:rsid w:val="3F8F6E48"/>
    <w:rsid w:val="3FE838E4"/>
    <w:rsid w:val="4024721B"/>
    <w:rsid w:val="4085303B"/>
    <w:rsid w:val="40B37935"/>
    <w:rsid w:val="416CC5CB"/>
    <w:rsid w:val="418D3470"/>
    <w:rsid w:val="419997DC"/>
    <w:rsid w:val="41E4720B"/>
    <w:rsid w:val="423D0986"/>
    <w:rsid w:val="42631441"/>
    <w:rsid w:val="426FD5F3"/>
    <w:rsid w:val="4271B3FD"/>
    <w:rsid w:val="428B20EE"/>
    <w:rsid w:val="42973E8C"/>
    <w:rsid w:val="42A727C4"/>
    <w:rsid w:val="42E11F77"/>
    <w:rsid w:val="42FD72AD"/>
    <w:rsid w:val="43020CAF"/>
    <w:rsid w:val="431B1866"/>
    <w:rsid w:val="431EA68B"/>
    <w:rsid w:val="43228E3C"/>
    <w:rsid w:val="4324BB23"/>
    <w:rsid w:val="4331A3C5"/>
    <w:rsid w:val="4343ED99"/>
    <w:rsid w:val="4354C978"/>
    <w:rsid w:val="436EC0F1"/>
    <w:rsid w:val="444A02AF"/>
    <w:rsid w:val="4478C59E"/>
    <w:rsid w:val="44C9AF0F"/>
    <w:rsid w:val="4505FB43"/>
    <w:rsid w:val="45FDD715"/>
    <w:rsid w:val="4606A934"/>
    <w:rsid w:val="4639AD71"/>
    <w:rsid w:val="4643FBF9"/>
    <w:rsid w:val="4660A593"/>
    <w:rsid w:val="466D94E4"/>
    <w:rsid w:val="4679C01A"/>
    <w:rsid w:val="4682212A"/>
    <w:rsid w:val="470E2E76"/>
    <w:rsid w:val="472F9FA6"/>
    <w:rsid w:val="47496D2D"/>
    <w:rsid w:val="474F03EE"/>
    <w:rsid w:val="47979F88"/>
    <w:rsid w:val="47D57DD2"/>
    <w:rsid w:val="47E0ACCE"/>
    <w:rsid w:val="4854ED5F"/>
    <w:rsid w:val="4872F88E"/>
    <w:rsid w:val="487719C3"/>
    <w:rsid w:val="49175D78"/>
    <w:rsid w:val="495B2AFB"/>
    <w:rsid w:val="49B09CC9"/>
    <w:rsid w:val="4A2AFA98"/>
    <w:rsid w:val="4A494498"/>
    <w:rsid w:val="4A76334A"/>
    <w:rsid w:val="4A7C2C19"/>
    <w:rsid w:val="4AA6B909"/>
    <w:rsid w:val="4AD308FF"/>
    <w:rsid w:val="4ADB7969"/>
    <w:rsid w:val="4B1E211A"/>
    <w:rsid w:val="4B2236C5"/>
    <w:rsid w:val="4B29CC4B"/>
    <w:rsid w:val="4B4C999E"/>
    <w:rsid w:val="4B4FE859"/>
    <w:rsid w:val="4B81E88A"/>
    <w:rsid w:val="4BAD44E3"/>
    <w:rsid w:val="4BF36B02"/>
    <w:rsid w:val="4BF92057"/>
    <w:rsid w:val="4C4DBE86"/>
    <w:rsid w:val="4C66E6E3"/>
    <w:rsid w:val="4C68FBC7"/>
    <w:rsid w:val="4CB5CE1C"/>
    <w:rsid w:val="4CD065E8"/>
    <w:rsid w:val="4D1C6062"/>
    <w:rsid w:val="4D1DB8EB"/>
    <w:rsid w:val="4D24FB00"/>
    <w:rsid w:val="4D3392EF"/>
    <w:rsid w:val="4D3BAA39"/>
    <w:rsid w:val="4D697AA0"/>
    <w:rsid w:val="4D99B957"/>
    <w:rsid w:val="4D9A32E4"/>
    <w:rsid w:val="4DAD4AAA"/>
    <w:rsid w:val="4DFD9EA8"/>
    <w:rsid w:val="4E3A51CA"/>
    <w:rsid w:val="4E4A5621"/>
    <w:rsid w:val="4E51A3FB"/>
    <w:rsid w:val="4E53B66B"/>
    <w:rsid w:val="4E5E77B5"/>
    <w:rsid w:val="4E796A85"/>
    <w:rsid w:val="4E7F4D32"/>
    <w:rsid w:val="4E8A78DD"/>
    <w:rsid w:val="4E956B97"/>
    <w:rsid w:val="4EC26A60"/>
    <w:rsid w:val="4F898910"/>
    <w:rsid w:val="4F8FF012"/>
    <w:rsid w:val="4FEE5F7C"/>
    <w:rsid w:val="500DDC2B"/>
    <w:rsid w:val="5033E768"/>
    <w:rsid w:val="5057879F"/>
    <w:rsid w:val="50AFCD99"/>
    <w:rsid w:val="512E0567"/>
    <w:rsid w:val="515D2E3E"/>
    <w:rsid w:val="5177E2ED"/>
    <w:rsid w:val="518173A8"/>
    <w:rsid w:val="519D990A"/>
    <w:rsid w:val="51EA5D92"/>
    <w:rsid w:val="5213699D"/>
    <w:rsid w:val="52196419"/>
    <w:rsid w:val="5292843B"/>
    <w:rsid w:val="52A3A1D7"/>
    <w:rsid w:val="5301B1F0"/>
    <w:rsid w:val="53201DFF"/>
    <w:rsid w:val="5331E8D8"/>
    <w:rsid w:val="5347C699"/>
    <w:rsid w:val="544DD456"/>
    <w:rsid w:val="54998767"/>
    <w:rsid w:val="54B7DE86"/>
    <w:rsid w:val="54BBEE60"/>
    <w:rsid w:val="54D6CF0C"/>
    <w:rsid w:val="5507588B"/>
    <w:rsid w:val="552900C4"/>
    <w:rsid w:val="55483C99"/>
    <w:rsid w:val="554DB203"/>
    <w:rsid w:val="55AC6867"/>
    <w:rsid w:val="55C49EC8"/>
    <w:rsid w:val="55DCD91B"/>
    <w:rsid w:val="5632A74F"/>
    <w:rsid w:val="565CB5E0"/>
    <w:rsid w:val="565FE23A"/>
    <w:rsid w:val="567F4DFF"/>
    <w:rsid w:val="56C4C35E"/>
    <w:rsid w:val="5758AF2A"/>
    <w:rsid w:val="58009EA2"/>
    <w:rsid w:val="5806B938"/>
    <w:rsid w:val="58449409"/>
    <w:rsid w:val="5867D9FD"/>
    <w:rsid w:val="58C30A52"/>
    <w:rsid w:val="58D97ED9"/>
    <w:rsid w:val="59214579"/>
    <w:rsid w:val="593DD674"/>
    <w:rsid w:val="59407D9A"/>
    <w:rsid w:val="599883F0"/>
    <w:rsid w:val="59BC80EC"/>
    <w:rsid w:val="59BE7F86"/>
    <w:rsid w:val="59CEBF56"/>
    <w:rsid w:val="59DCDB7C"/>
    <w:rsid w:val="59F21E74"/>
    <w:rsid w:val="5A259616"/>
    <w:rsid w:val="5A2D830D"/>
    <w:rsid w:val="5B842DBA"/>
    <w:rsid w:val="5BC8AAA0"/>
    <w:rsid w:val="5BCC436E"/>
    <w:rsid w:val="5BCE1903"/>
    <w:rsid w:val="5C594D0E"/>
    <w:rsid w:val="5CCC0F1C"/>
    <w:rsid w:val="5CD14ECD"/>
    <w:rsid w:val="5CF66C22"/>
    <w:rsid w:val="5CFAA4C7"/>
    <w:rsid w:val="5D51812E"/>
    <w:rsid w:val="5D8CBE5F"/>
    <w:rsid w:val="5DC93F9C"/>
    <w:rsid w:val="5DDC1DC2"/>
    <w:rsid w:val="5E0F35AB"/>
    <w:rsid w:val="5E62D0A6"/>
    <w:rsid w:val="5E85F4F1"/>
    <w:rsid w:val="5E951274"/>
    <w:rsid w:val="5F1EACBE"/>
    <w:rsid w:val="5F2A9781"/>
    <w:rsid w:val="5F40ACB2"/>
    <w:rsid w:val="5F63E791"/>
    <w:rsid w:val="60147E4A"/>
    <w:rsid w:val="603090CD"/>
    <w:rsid w:val="60BA7D1F"/>
    <w:rsid w:val="60DB019B"/>
    <w:rsid w:val="610E3478"/>
    <w:rsid w:val="61132F01"/>
    <w:rsid w:val="6157C943"/>
    <w:rsid w:val="6196F477"/>
    <w:rsid w:val="61DFFC1B"/>
    <w:rsid w:val="62096921"/>
    <w:rsid w:val="623C0D59"/>
    <w:rsid w:val="6252FA2F"/>
    <w:rsid w:val="6259106B"/>
    <w:rsid w:val="62784D74"/>
    <w:rsid w:val="62A9F22D"/>
    <w:rsid w:val="635394B6"/>
    <w:rsid w:val="635E6875"/>
    <w:rsid w:val="63DE1BDD"/>
    <w:rsid w:val="6405DBB6"/>
    <w:rsid w:val="6419FBF7"/>
    <w:rsid w:val="645743B6"/>
    <w:rsid w:val="6474E529"/>
    <w:rsid w:val="64A4178B"/>
    <w:rsid w:val="64AC410A"/>
    <w:rsid w:val="64C33855"/>
    <w:rsid w:val="64E3CB59"/>
    <w:rsid w:val="6537BC7C"/>
    <w:rsid w:val="6583B954"/>
    <w:rsid w:val="659C5555"/>
    <w:rsid w:val="65C6DA96"/>
    <w:rsid w:val="65C831FF"/>
    <w:rsid w:val="660A606F"/>
    <w:rsid w:val="66619ED3"/>
    <w:rsid w:val="666B077B"/>
    <w:rsid w:val="668D99CF"/>
    <w:rsid w:val="6704E650"/>
    <w:rsid w:val="6745D7E0"/>
    <w:rsid w:val="674E5F60"/>
    <w:rsid w:val="6792DB7D"/>
    <w:rsid w:val="67B53580"/>
    <w:rsid w:val="67C5B215"/>
    <w:rsid w:val="67D09A74"/>
    <w:rsid w:val="67D0D67B"/>
    <w:rsid w:val="682A2CE9"/>
    <w:rsid w:val="68393611"/>
    <w:rsid w:val="68728EDE"/>
    <w:rsid w:val="68812F8D"/>
    <w:rsid w:val="68DE4DA2"/>
    <w:rsid w:val="68E44D82"/>
    <w:rsid w:val="69027AC6"/>
    <w:rsid w:val="69175EB6"/>
    <w:rsid w:val="692EABDE"/>
    <w:rsid w:val="696C3114"/>
    <w:rsid w:val="698EC24C"/>
    <w:rsid w:val="6A2C813F"/>
    <w:rsid w:val="6A384122"/>
    <w:rsid w:val="6AA20300"/>
    <w:rsid w:val="6AB5782A"/>
    <w:rsid w:val="6AECFA53"/>
    <w:rsid w:val="6B544670"/>
    <w:rsid w:val="6BFC34D6"/>
    <w:rsid w:val="6C39BB3B"/>
    <w:rsid w:val="6C41DB53"/>
    <w:rsid w:val="6C51488B"/>
    <w:rsid w:val="6C664CA0"/>
    <w:rsid w:val="6C6D15CE"/>
    <w:rsid w:val="6C74EC1A"/>
    <w:rsid w:val="6CB9C22A"/>
    <w:rsid w:val="6CC62B99"/>
    <w:rsid w:val="6CF2BB7C"/>
    <w:rsid w:val="6CF6BFC8"/>
    <w:rsid w:val="6D4448C3"/>
    <w:rsid w:val="6D54A0B0"/>
    <w:rsid w:val="6E048B84"/>
    <w:rsid w:val="6E0EB034"/>
    <w:rsid w:val="6E2D927F"/>
    <w:rsid w:val="6E7FEB7F"/>
    <w:rsid w:val="6E992686"/>
    <w:rsid w:val="6EC5220C"/>
    <w:rsid w:val="6EE52667"/>
    <w:rsid w:val="6EF07111"/>
    <w:rsid w:val="6F184119"/>
    <w:rsid w:val="6F1D9D44"/>
    <w:rsid w:val="6F2755B8"/>
    <w:rsid w:val="6F3A6FC6"/>
    <w:rsid w:val="6F78CB72"/>
    <w:rsid w:val="6FACCD67"/>
    <w:rsid w:val="6FBB75D8"/>
    <w:rsid w:val="705FA54E"/>
    <w:rsid w:val="708E5A49"/>
    <w:rsid w:val="70B43A2C"/>
    <w:rsid w:val="70C6525E"/>
    <w:rsid w:val="70CF38F8"/>
    <w:rsid w:val="70D6370A"/>
    <w:rsid w:val="7119F39D"/>
    <w:rsid w:val="715B5AB6"/>
    <w:rsid w:val="71896878"/>
    <w:rsid w:val="719BCBA6"/>
    <w:rsid w:val="71F5B4F0"/>
    <w:rsid w:val="72332EB3"/>
    <w:rsid w:val="72446E51"/>
    <w:rsid w:val="72529A19"/>
    <w:rsid w:val="72725DC0"/>
    <w:rsid w:val="7299B3AB"/>
    <w:rsid w:val="72BC7EC3"/>
    <w:rsid w:val="7303CD2E"/>
    <w:rsid w:val="7303F184"/>
    <w:rsid w:val="7326D655"/>
    <w:rsid w:val="737312B5"/>
    <w:rsid w:val="73E442FE"/>
    <w:rsid w:val="74758D65"/>
    <w:rsid w:val="747A902B"/>
    <w:rsid w:val="74A6A7B9"/>
    <w:rsid w:val="74F6FDED"/>
    <w:rsid w:val="75099996"/>
    <w:rsid w:val="76749062"/>
    <w:rsid w:val="76C23EAB"/>
    <w:rsid w:val="7754335F"/>
    <w:rsid w:val="777385CB"/>
    <w:rsid w:val="78378735"/>
    <w:rsid w:val="786059EA"/>
    <w:rsid w:val="7882ED32"/>
    <w:rsid w:val="7899BCE4"/>
    <w:rsid w:val="79392894"/>
    <w:rsid w:val="794DC7D8"/>
    <w:rsid w:val="798D2B2E"/>
    <w:rsid w:val="79F753D7"/>
    <w:rsid w:val="7A024351"/>
    <w:rsid w:val="7A2528C2"/>
    <w:rsid w:val="7A26784B"/>
    <w:rsid w:val="7A6B6EB1"/>
    <w:rsid w:val="7AE88D8F"/>
    <w:rsid w:val="7B198C21"/>
    <w:rsid w:val="7BD6E19F"/>
    <w:rsid w:val="7C02A04E"/>
    <w:rsid w:val="7C401B36"/>
    <w:rsid w:val="7C431F2C"/>
    <w:rsid w:val="7C55D012"/>
    <w:rsid w:val="7C5CB1B0"/>
    <w:rsid w:val="7CD843E4"/>
    <w:rsid w:val="7CD8C557"/>
    <w:rsid w:val="7CFF2B7A"/>
    <w:rsid w:val="7D0FEE1A"/>
    <w:rsid w:val="7D25D501"/>
    <w:rsid w:val="7D36611B"/>
    <w:rsid w:val="7DA3B629"/>
    <w:rsid w:val="7E08704B"/>
    <w:rsid w:val="7E882BEB"/>
    <w:rsid w:val="7F0E8261"/>
    <w:rsid w:val="7F12AC29"/>
    <w:rsid w:val="7F153564"/>
    <w:rsid w:val="7F4B606C"/>
    <w:rsid w:val="7F6261B0"/>
    <w:rsid w:val="7F9ACB22"/>
    <w:rsid w:val="7FB8D931"/>
    <w:rsid w:val="7FC2C7E0"/>
    <w:rsid w:val="7FCAF68E"/>
    <w:rsid w:val="7FFD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D30"/>
  <w15:docId w15:val="{4BF4C3DE-7D7F-4292-9C8A-876EEC7D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BCB2AF2"/>
    <w:pPr>
      <w:spacing w:before="120" w:after="120"/>
    </w:pPr>
    <w:rPr>
      <w:rFonts w:ascii="Minion Pro" w:eastAsiaTheme="minorEastAsia" w:hAnsi="Minion Pro" w:cs="Minion Pro"/>
      <w:color w:val="000000" w:themeColor="text1"/>
      <w:sz w:val="21"/>
      <w:szCs w:val="21"/>
    </w:rPr>
  </w:style>
  <w:style w:type="character" w:customStyle="1" w:styleId="italicandunderline">
    <w:name w:val="italic and underline"/>
    <w:basedOn w:val="DefaultParagraphFont"/>
    <w:uiPriority w:val="99"/>
    <w:rsid w:val="0BCB2AF2"/>
    <w:rPr>
      <w:rFonts w:ascii="Minion Pro" w:eastAsiaTheme="minorEastAsia" w:hAnsi="Minion Pro" w:cs="Minion Pro"/>
      <w:i/>
      <w:iCs/>
      <w:u w:val="thick"/>
    </w:rPr>
  </w:style>
  <w:style w:type="paragraph" w:customStyle="1" w:styleId="parabullet">
    <w:name w:val="para bullet"/>
    <w:basedOn w:val="Normal"/>
    <w:uiPriority w:val="99"/>
    <w:rsid w:val="0BCB2AF2"/>
    <w:pPr>
      <w:spacing w:before="120" w:after="120"/>
      <w:ind w:left="300" w:hanging="300"/>
    </w:pPr>
    <w:rPr>
      <w:rFonts w:ascii="Minion Pro" w:eastAsiaTheme="minorEastAsia" w:hAnsi="Minion Pro" w:cs="Minion Pro"/>
      <w:color w:val="000000" w:themeColor="text1"/>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C246D"/>
    <w:pPr>
      <w:spacing w:after="0" w:line="240" w:lineRule="auto"/>
    </w:pPr>
  </w:style>
  <w:style w:type="paragraph" w:styleId="CommentSubject">
    <w:name w:val="annotation subject"/>
    <w:basedOn w:val="CommentText"/>
    <w:next w:val="CommentText"/>
    <w:link w:val="CommentSubjectChar"/>
    <w:uiPriority w:val="99"/>
    <w:semiHidden/>
    <w:unhideWhenUsed/>
    <w:rsid w:val="00507C84"/>
    <w:rPr>
      <w:b/>
      <w:bCs/>
    </w:rPr>
  </w:style>
  <w:style w:type="character" w:customStyle="1" w:styleId="CommentSubjectChar">
    <w:name w:val="Comment Subject Char"/>
    <w:basedOn w:val="CommentTextChar"/>
    <w:link w:val="CommentSubject"/>
    <w:uiPriority w:val="99"/>
    <w:semiHidden/>
    <w:rsid w:val="00507C84"/>
    <w:rPr>
      <w:b/>
      <w:bCs/>
      <w:sz w:val="20"/>
      <w:szCs w:val="20"/>
    </w:rPr>
  </w:style>
  <w:style w:type="character" w:styleId="FollowedHyperlink">
    <w:name w:val="FollowedHyperlink"/>
    <w:basedOn w:val="DefaultParagraphFont"/>
    <w:uiPriority w:val="99"/>
    <w:semiHidden/>
    <w:unhideWhenUsed/>
    <w:rsid w:val="009167A4"/>
    <w:rPr>
      <w:color w:val="954F72" w:themeColor="followedHyperlink"/>
      <w:u w:val="single"/>
    </w:rPr>
  </w:style>
  <w:style w:type="character" w:styleId="UnresolvedMention">
    <w:name w:val="Unresolved Mention"/>
    <w:basedOn w:val="DefaultParagraphFont"/>
    <w:uiPriority w:val="99"/>
    <w:semiHidden/>
    <w:unhideWhenUsed/>
    <w:rsid w:val="00E1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450000-administrative-and-billing-regulations" TargetMode="External"/><Relationship Id="rId18" Type="http://schemas.openxmlformats.org/officeDocument/2006/relationships/hyperlink" Target="https://doi.org/10.1111/iwj.12843" TargetMode="External"/><Relationship Id="rId26" Type="http://schemas.openxmlformats.org/officeDocument/2006/relationships/hyperlink" Target="https://doi.org/10.1111/iwj.12976" TargetMode="External"/><Relationship Id="rId3" Type="http://schemas.openxmlformats.org/officeDocument/2006/relationships/customXml" Target="../customXml/item3.xml"/><Relationship Id="rId21" Type="http://schemas.openxmlformats.org/officeDocument/2006/relationships/hyperlink" Target="https://doi.org/10.1097/GOX.0000000000002371" TargetMode="External"/><Relationship Id="rId7" Type="http://schemas.openxmlformats.org/officeDocument/2006/relationships/webSettings" Target="webSettings.xml"/><Relationship Id="rId12" Type="http://schemas.openxmlformats.org/officeDocument/2006/relationships/hyperlink" Target="https://www.mass.gov/regulations/130-CMR-410000-outpatient-hospital-services" TargetMode="External"/><Relationship Id="rId17" Type="http://schemas.openxmlformats.org/officeDocument/2006/relationships/hyperlink" Target="https://www.mass.gov/prior-authorization-for-masshealth-providers" TargetMode="External"/><Relationship Id="rId25" Type="http://schemas.openxmlformats.org/officeDocument/2006/relationships/hyperlink" Target="https://doi.org/10.1111/wrr.1222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lists/all-provider-bulletins" TargetMode="External"/><Relationship Id="rId20" Type="http://schemas.openxmlformats.org/officeDocument/2006/relationships/hyperlink" Target="https://doi.org/10.1111/j.1365-4632.2003.02039.x" TargetMode="External"/><Relationship Id="rId29" Type="http://schemas.openxmlformats.org/officeDocument/2006/relationships/hyperlink" Target="https://doi.org/10.1111/iwj.125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30-CMR-433000-physician-services" TargetMode="External"/><Relationship Id="rId24" Type="http://schemas.openxmlformats.org/officeDocument/2006/relationships/hyperlink" Target="https://doi.org/10.1016/j.jvsv.2018.09.006"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lists/acute-outpatient-hospital-manual-for-masshealth-providers" TargetMode="External"/><Relationship Id="rId23" Type="http://schemas.openxmlformats.org/officeDocument/2006/relationships/hyperlink" Target="https://doi.org/10.1111/iwj.12329" TargetMode="External"/><Relationship Id="rId28" Type="http://schemas.openxmlformats.org/officeDocument/2006/relationships/hyperlink" Target="https://doi.org/10.1111/iwj.12395" TargetMode="External"/><Relationship Id="rId10" Type="http://schemas.openxmlformats.org/officeDocument/2006/relationships/hyperlink" Target="https://www.mass.gov/regulations/130-CMR-415000-acute-inpatient-hospital-services" TargetMode="External"/><Relationship Id="rId19" Type="http://schemas.openxmlformats.org/officeDocument/2006/relationships/hyperlink" Target="https://doi.org/10.2165/00063030-200216060-00005"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physician-manual-for-masshealth-providers" TargetMode="External"/><Relationship Id="rId22" Type="http://schemas.openxmlformats.org/officeDocument/2006/relationships/hyperlink" Target="https://doi.org/10.1111/iwj.12053" TargetMode="External"/><Relationship Id="rId27" Type="http://schemas.openxmlformats.org/officeDocument/2006/relationships/hyperlink" Target="https://doi.org/10.1111/iwj.12097"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4" ma:contentTypeDescription="Create a new document." ma:contentTypeScope="" ma:versionID="075100ff983271f799fb86594fce9c9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d17056ec1fb28e6f9cf38489339d540"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187807-d16b-4f26-8c23-1ecdc31f3e2b">
      <UserInfo>
        <DisplayName>Swamy, Lakshman (EHS)</DisplayName>
        <AccountId>12</AccountId>
        <AccountType/>
      </UserInfo>
      <UserInfo>
        <DisplayName>Schick, Sassicaia (EHS)</DisplayName>
        <AccountId>133</AccountId>
        <AccountType/>
      </UserInfo>
      <UserInfo>
        <DisplayName>Reid, Brittany (EHS)</DisplayName>
        <AccountId>220</AccountId>
        <AccountType/>
      </UserInfo>
    </SharedWithUsers>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Props1.xml><?xml version="1.0" encoding="utf-8"?>
<ds:datastoreItem xmlns:ds="http://schemas.openxmlformats.org/officeDocument/2006/customXml" ds:itemID="{0CB1F64B-CE97-4EB7-9ACF-2CF56C0F8DDF}">
  <ds:schemaRefs>
    <ds:schemaRef ds:uri="http://schemas.microsoft.com/sharepoint/v3/contenttype/forms"/>
  </ds:schemaRefs>
</ds:datastoreItem>
</file>

<file path=customXml/itemProps2.xml><?xml version="1.0" encoding="utf-8"?>
<ds:datastoreItem xmlns:ds="http://schemas.openxmlformats.org/officeDocument/2006/customXml" ds:itemID="{94651F17-2562-4F5E-A2DD-00BF3B8E6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9C50B-02C9-4326-90F7-CE26818ADF60}">
  <ds:schemaRefs>
    <ds:schemaRef ds:uri="79499340-b9cf-4458-9368-33036c1b4dc9"/>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a2187807-d16b-4f26-8c23-1ecdc31f3e2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Amiewalan, Precious (EHS)</dc:creator>
  <cp:keywords/>
  <dc:description/>
  <cp:lastModifiedBy>Kovach, Karen E (EHS)</cp:lastModifiedBy>
  <cp:revision>6</cp:revision>
  <dcterms:created xsi:type="dcterms:W3CDTF">2024-02-02T13:18:00Z</dcterms:created>
  <dcterms:modified xsi:type="dcterms:W3CDTF">2024-02-07T16:56:00Z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