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6F0" w:rsidRDefault="00F70265">
      <w:r w:rsidRPr="00F70265">
        <w:t>2019 Hea</w:t>
      </w:r>
      <w:r>
        <w:t xml:space="preserve">lth Care Associated Infections: </w:t>
      </w:r>
      <w:r w:rsidRPr="00F70265">
        <w:t>Acute Care Hospitals</w:t>
      </w:r>
    </w:p>
    <w:p w:rsidR="00F70265" w:rsidRPr="00F70265" w:rsidRDefault="00F70265" w:rsidP="00F70265">
      <w:r w:rsidRPr="00F70265">
        <w:t>Public Health Council</w:t>
      </w:r>
    </w:p>
    <w:p w:rsidR="00F70265" w:rsidRDefault="00F70265" w:rsidP="00F70265">
      <w:r w:rsidRPr="00F70265">
        <w:t>October 14, 2020</w:t>
      </w:r>
    </w:p>
    <w:p w:rsidR="00F70265" w:rsidRPr="00F70265" w:rsidRDefault="00F70265" w:rsidP="00F70265">
      <w:r w:rsidRPr="00F70265">
        <w:t xml:space="preserve">Christina </w:t>
      </w:r>
      <w:proofErr w:type="spellStart"/>
      <w:r w:rsidRPr="00F70265">
        <w:t>Brandeburg</w:t>
      </w:r>
      <w:proofErr w:type="spellEnd"/>
      <w:r w:rsidRPr="00F70265">
        <w:t>, MPH, Epidemiologist</w:t>
      </w:r>
    </w:p>
    <w:p w:rsidR="00F70265" w:rsidRPr="00F70265" w:rsidRDefault="00F70265" w:rsidP="00F70265">
      <w:r w:rsidRPr="00F70265">
        <w:t xml:space="preserve">Katherine T. </w:t>
      </w:r>
      <w:proofErr w:type="spellStart"/>
      <w:r w:rsidRPr="00F70265">
        <w:t>Fillo</w:t>
      </w:r>
      <w:proofErr w:type="spellEnd"/>
      <w:r w:rsidRPr="00F70265">
        <w:t xml:space="preserve">, </w:t>
      </w:r>
      <w:proofErr w:type="spellStart"/>
      <w:r w:rsidRPr="00F70265">
        <w:t>Ph.D</w:t>
      </w:r>
      <w:proofErr w:type="spellEnd"/>
      <w:r w:rsidRPr="00F70265">
        <w:t>, MPH, RN-BC, Director of Clinical Quality Improvement</w:t>
      </w:r>
    </w:p>
    <w:p w:rsidR="00F70265" w:rsidRDefault="00F70265" w:rsidP="00F70265">
      <w:r w:rsidRPr="00F70265">
        <w:t>Eileen McHale, RN, BSN, Healthcare Associated Infection Coordinator</w:t>
      </w:r>
    </w:p>
    <w:p w:rsidR="00F70265" w:rsidRDefault="00F70265">
      <w:r>
        <w:br w:type="page"/>
      </w:r>
    </w:p>
    <w:p w:rsidR="00F70265" w:rsidRDefault="00F70265" w:rsidP="00F70265">
      <w:pPr>
        <w:rPr>
          <w:b/>
          <w:bCs/>
        </w:rPr>
      </w:pPr>
      <w:r w:rsidRPr="00F70265">
        <w:rPr>
          <w:b/>
          <w:bCs/>
        </w:rPr>
        <w:lastRenderedPageBreak/>
        <w:t>Introduction</w:t>
      </w:r>
    </w:p>
    <w:p w:rsidR="00F70265" w:rsidRPr="00F70265" w:rsidRDefault="00F70265" w:rsidP="00F70265">
      <w:r w:rsidRPr="00F70265">
        <w:t xml:space="preserve">Healthcare-associated infections (HAIs) are infections that patients acquire during the course of receiving treatment for other conditions within a healthcare setting.  </w:t>
      </w:r>
    </w:p>
    <w:p w:rsidR="00F70265" w:rsidRPr="00F70265" w:rsidRDefault="00F70265" w:rsidP="00F70265">
      <w:r w:rsidRPr="00F70265">
        <w:t xml:space="preserve">HAIs are among the leading causes of preventable death in the United States, affecting 1 in 17 hospitalized patients, accounting for an estimated 1.7 million infections and an associated 98,000 deaths.* </w:t>
      </w:r>
    </w:p>
    <w:p w:rsidR="00F70265" w:rsidRPr="00F70265" w:rsidRDefault="00F70265" w:rsidP="00F70265">
      <w:r w:rsidRPr="00F70265">
        <w:t xml:space="preserve">The Massachusetts Department of Public Health (DPH) developed this data update as a component of the Statewide Infection Prevention and Control Program created pursuant to </w:t>
      </w:r>
      <w:hyperlink r:id="rId6" w:history="1">
        <w:r w:rsidRPr="00F70265">
          <w:rPr>
            <w:rStyle w:val="Hyperlink"/>
          </w:rPr>
          <w:t>Chapter 58 of the Acts of 2006</w:t>
        </w:r>
      </w:hyperlink>
      <w:r w:rsidRPr="00F70265">
        <w:t xml:space="preserve">. </w:t>
      </w:r>
    </w:p>
    <w:p w:rsidR="00B67CF7" w:rsidRPr="00F70265" w:rsidRDefault="00015AC0" w:rsidP="00F70265">
      <w:pPr>
        <w:numPr>
          <w:ilvl w:val="1"/>
          <w:numId w:val="1"/>
        </w:numPr>
      </w:pPr>
      <w:r w:rsidRPr="00F70265">
        <w:t>Massachusetts law provides DPH with the legal authority to conduct surveillance, and to investigate and control the spread of communicable and infectious diseases. (</w:t>
      </w:r>
      <w:hyperlink r:id="rId7" w:history="1">
        <w:r w:rsidRPr="00F70265">
          <w:rPr>
            <w:rStyle w:val="Hyperlink"/>
          </w:rPr>
          <w:t>MGL c. 111,sections 6 &amp; 7</w:t>
        </w:r>
      </w:hyperlink>
      <w:r w:rsidRPr="00F70265">
        <w:t>)</w:t>
      </w:r>
    </w:p>
    <w:p w:rsidR="00B67CF7" w:rsidRPr="00F70265" w:rsidRDefault="00015AC0" w:rsidP="00F70265">
      <w:pPr>
        <w:numPr>
          <w:ilvl w:val="1"/>
          <w:numId w:val="1"/>
        </w:numPr>
      </w:pPr>
      <w:r w:rsidRPr="00F70265">
        <w:t>DPH implements this responsibility in hospitals through the hospital licensing regulation. (</w:t>
      </w:r>
      <w:hyperlink r:id="rId8" w:history="1">
        <w:r w:rsidRPr="00F70265">
          <w:rPr>
            <w:rStyle w:val="Hyperlink"/>
          </w:rPr>
          <w:t>105 CMR 130.000</w:t>
        </w:r>
      </w:hyperlink>
      <w:r w:rsidRPr="00F70265">
        <w:t>)</w:t>
      </w:r>
    </w:p>
    <w:p w:rsidR="00B67CF7" w:rsidRPr="00F70265" w:rsidRDefault="00015AC0" w:rsidP="00F70265">
      <w:pPr>
        <w:numPr>
          <w:ilvl w:val="1"/>
          <w:numId w:val="1"/>
        </w:numPr>
      </w:pPr>
      <w:r w:rsidRPr="00F70265">
        <w:t>Section 51H of chapter 111 of the Massachusetts General Laws authorizes the Department to collect HAI data and disseminate the information publicly to encourage quality improvement. (</w:t>
      </w:r>
      <w:hyperlink r:id="rId9" w:history="1">
        <w:r w:rsidRPr="00F70265">
          <w:rPr>
            <w:rStyle w:val="Hyperlink"/>
          </w:rPr>
          <w:t>https://malegislature.gov/Laws/GeneralLaws/PartI/TitleXVI/Chapter111/Section51H</w:t>
        </w:r>
      </w:hyperlink>
      <w:r w:rsidRPr="00F70265">
        <w:t xml:space="preserve">) </w:t>
      </w:r>
    </w:p>
    <w:p w:rsidR="00F70265" w:rsidRPr="00F70265" w:rsidRDefault="00F70265" w:rsidP="00F70265">
      <w:r w:rsidRPr="00F70265">
        <w:t>*</w:t>
      </w:r>
      <w:proofErr w:type="spellStart"/>
      <w:r w:rsidRPr="00F70265">
        <w:t>Haque</w:t>
      </w:r>
      <w:proofErr w:type="spellEnd"/>
      <w:r w:rsidRPr="00F70265">
        <w:t xml:space="preserve"> M, </w:t>
      </w:r>
      <w:proofErr w:type="spellStart"/>
      <w:r w:rsidRPr="00F70265">
        <w:t>Sartelli</w:t>
      </w:r>
      <w:proofErr w:type="spellEnd"/>
      <w:r w:rsidRPr="00F70265">
        <w:t xml:space="preserve"> M, </w:t>
      </w:r>
      <w:proofErr w:type="spellStart"/>
      <w:r w:rsidRPr="00F70265">
        <w:t>McKimm</w:t>
      </w:r>
      <w:proofErr w:type="spellEnd"/>
      <w:r w:rsidRPr="00F70265">
        <w:t xml:space="preserve"> J, Abu Bakar M. Healthcare-associated Infections - an Overview. </w:t>
      </w:r>
      <w:r w:rsidRPr="00F70265">
        <w:rPr>
          <w:i/>
          <w:iCs/>
        </w:rPr>
        <w:t>Infect Drug Resist</w:t>
      </w:r>
      <w:r w:rsidRPr="00F70265">
        <w:t>. 2018</w:t>
      </w:r>
      <w:proofErr w:type="gramStart"/>
      <w:r w:rsidRPr="00F70265">
        <w:t>;11:2321</w:t>
      </w:r>
      <w:proofErr w:type="gramEnd"/>
      <w:r w:rsidRPr="00F70265">
        <w:t xml:space="preserve">–2333. </w:t>
      </w:r>
    </w:p>
    <w:p w:rsidR="00F70265" w:rsidRDefault="00F70265">
      <w:r>
        <w:br w:type="page"/>
      </w:r>
    </w:p>
    <w:p w:rsidR="00F70265" w:rsidRDefault="00F70265" w:rsidP="00F70265">
      <w:pPr>
        <w:rPr>
          <w:b/>
          <w:bCs/>
        </w:rPr>
      </w:pPr>
      <w:r w:rsidRPr="00F70265">
        <w:rPr>
          <w:b/>
          <w:bCs/>
        </w:rPr>
        <w:lastRenderedPageBreak/>
        <w:t>Purpose</w:t>
      </w:r>
    </w:p>
    <w:p w:rsidR="00F70265" w:rsidRPr="00F70265" w:rsidRDefault="00F70265" w:rsidP="00F70265">
      <w:r w:rsidRPr="00F70265">
        <w:t>This HAI presentation is the 11th annual Public Health</w:t>
      </w:r>
      <w:r w:rsidRPr="00F70265">
        <w:br/>
        <w:t xml:space="preserve">Council update: </w:t>
      </w:r>
    </w:p>
    <w:p w:rsidR="00B67CF7" w:rsidRPr="00F70265" w:rsidRDefault="00015AC0" w:rsidP="00F70265">
      <w:pPr>
        <w:numPr>
          <w:ilvl w:val="0"/>
          <w:numId w:val="2"/>
        </w:numPr>
      </w:pPr>
      <w:r w:rsidRPr="00F70265">
        <w:t xml:space="preserve">It is an important component of larger efforts to reduce preventable infections in health care settings </w:t>
      </w:r>
    </w:p>
    <w:p w:rsidR="00B67CF7" w:rsidRPr="00F70265" w:rsidRDefault="00015AC0" w:rsidP="00F70265">
      <w:pPr>
        <w:numPr>
          <w:ilvl w:val="0"/>
          <w:numId w:val="2"/>
        </w:numPr>
      </w:pPr>
      <w:r w:rsidRPr="00F70265">
        <w:t>It presents an analysis of progress on infection prevention within Massachusetts acute care hospitals</w:t>
      </w:r>
    </w:p>
    <w:p w:rsidR="00B67CF7" w:rsidRPr="00F70265" w:rsidRDefault="00015AC0" w:rsidP="00F70265">
      <w:pPr>
        <w:numPr>
          <w:ilvl w:val="0"/>
          <w:numId w:val="2"/>
        </w:numPr>
      </w:pPr>
      <w:r w:rsidRPr="00F70265">
        <w:t>It is based upon work supported by state funds and the Centers for Disease Control and Prevention (CDC)</w:t>
      </w:r>
    </w:p>
    <w:p w:rsidR="00B67CF7" w:rsidRPr="00F70265" w:rsidRDefault="00015AC0" w:rsidP="00F70265">
      <w:pPr>
        <w:numPr>
          <w:ilvl w:val="0"/>
          <w:numId w:val="2"/>
        </w:numPr>
      </w:pPr>
      <w:r w:rsidRPr="00F70265">
        <w:t>It provides an overview of antibiotic resistance and stewardship activities</w:t>
      </w:r>
    </w:p>
    <w:p w:rsidR="00F70265" w:rsidRDefault="00F70265">
      <w:r>
        <w:br w:type="page"/>
      </w:r>
    </w:p>
    <w:p w:rsidR="00F70265" w:rsidRDefault="00F70265" w:rsidP="00F70265">
      <w:pPr>
        <w:rPr>
          <w:b/>
          <w:bCs/>
        </w:rPr>
      </w:pPr>
      <w:r w:rsidRPr="00F70265">
        <w:rPr>
          <w:b/>
          <w:bCs/>
        </w:rPr>
        <w:lastRenderedPageBreak/>
        <w:t>Methods</w:t>
      </w:r>
    </w:p>
    <w:p w:rsidR="00F70265" w:rsidRPr="00F70265" w:rsidRDefault="00F70265" w:rsidP="00F70265">
      <w:r w:rsidRPr="00F70265">
        <w:t>This data summary includes the following statewide measures for the 2019 calendar year (January 1, 2019 – December 31, 2019) as reported to the CDC’s National Healthcare Safety Network (NHSN).</w:t>
      </w:r>
    </w:p>
    <w:p w:rsidR="00F70265" w:rsidRPr="00F70265" w:rsidRDefault="00F70265" w:rsidP="00F70265">
      <w:r w:rsidRPr="00F70265">
        <w:t xml:space="preserve">The DPH required measures are consistent with the Centers for Medicare and Medicaid Services (CMS) quality reporting measures.  </w:t>
      </w:r>
    </w:p>
    <w:p w:rsidR="00B67CF7" w:rsidRPr="00F70265" w:rsidRDefault="00015AC0" w:rsidP="00F70265">
      <w:pPr>
        <w:numPr>
          <w:ilvl w:val="0"/>
          <w:numId w:val="3"/>
        </w:numPr>
      </w:pPr>
      <w:r w:rsidRPr="00F70265">
        <w:t>Central line associated bloodstream infections (CLABSI) in intensive care units and wards (</w:t>
      </w:r>
      <w:r w:rsidRPr="00F70265">
        <w:rPr>
          <w:b/>
          <w:bCs/>
          <w:i/>
          <w:iCs/>
        </w:rPr>
        <w:t>New this year</w:t>
      </w:r>
      <w:r w:rsidRPr="00F70265">
        <w:t>)</w:t>
      </w:r>
    </w:p>
    <w:p w:rsidR="00B67CF7" w:rsidRPr="00F70265" w:rsidRDefault="00015AC0" w:rsidP="00F70265">
      <w:pPr>
        <w:numPr>
          <w:ilvl w:val="0"/>
          <w:numId w:val="3"/>
        </w:numPr>
      </w:pPr>
      <w:r w:rsidRPr="00F70265">
        <w:t>Catheter associated urinary tract infections (CAUTI) in intensive care units and wards (</w:t>
      </w:r>
      <w:r w:rsidRPr="00F70265">
        <w:rPr>
          <w:b/>
          <w:bCs/>
          <w:i/>
          <w:iCs/>
        </w:rPr>
        <w:t>New this year</w:t>
      </w:r>
      <w:r w:rsidRPr="00F70265">
        <w:t>)</w:t>
      </w:r>
    </w:p>
    <w:p w:rsidR="00B67CF7" w:rsidRPr="00F70265" w:rsidRDefault="00015AC0" w:rsidP="00F70265">
      <w:pPr>
        <w:numPr>
          <w:ilvl w:val="0"/>
          <w:numId w:val="3"/>
        </w:numPr>
      </w:pPr>
      <w:r w:rsidRPr="00F70265">
        <w:t>Specific surgical site infections (SSI)</w:t>
      </w:r>
    </w:p>
    <w:p w:rsidR="00B67CF7" w:rsidRPr="00F70265" w:rsidRDefault="00015AC0" w:rsidP="00F70265">
      <w:pPr>
        <w:numPr>
          <w:ilvl w:val="0"/>
          <w:numId w:val="3"/>
        </w:numPr>
      </w:pPr>
      <w:r w:rsidRPr="00F70265">
        <w:t>Specific facility wide laboratory identified events (</w:t>
      </w:r>
      <w:proofErr w:type="spellStart"/>
      <w:r w:rsidRPr="00F70265">
        <w:t>LabID</w:t>
      </w:r>
      <w:proofErr w:type="spellEnd"/>
      <w:r w:rsidRPr="00F70265">
        <w:t xml:space="preserve">) </w:t>
      </w:r>
    </w:p>
    <w:p w:rsidR="00F70265" w:rsidRPr="00F70265" w:rsidRDefault="00F70265" w:rsidP="00F70265">
      <w:r w:rsidRPr="00F70265">
        <w:t>* National baseline data for each measure are based on a statistical risk model derived from 2015 national data</w:t>
      </w:r>
    </w:p>
    <w:p w:rsidR="00F70265" w:rsidRDefault="00F70265" w:rsidP="00F70265">
      <w:r w:rsidRPr="00F70265">
        <w:t>^ All data were extracted from NHSN on September 21,</w:t>
      </w:r>
      <w:r w:rsidR="00824110">
        <w:t xml:space="preserve"> </w:t>
      </w:r>
      <w:r w:rsidRPr="00F70265">
        <w:t>2020</w:t>
      </w:r>
    </w:p>
    <w:p w:rsidR="00824110" w:rsidRDefault="00824110">
      <w:r>
        <w:br w:type="page"/>
      </w:r>
    </w:p>
    <w:p w:rsidR="00824110" w:rsidRPr="00824110" w:rsidRDefault="00824110" w:rsidP="00824110">
      <w:r w:rsidRPr="00824110">
        <w:rPr>
          <w:b/>
          <w:bCs/>
        </w:rPr>
        <w:lastRenderedPageBreak/>
        <w:t xml:space="preserve">Measures  </w:t>
      </w:r>
    </w:p>
    <w:p w:rsidR="00B67CF7" w:rsidRPr="00824110" w:rsidRDefault="00015AC0" w:rsidP="00824110">
      <w:pPr>
        <w:pStyle w:val="ListParagraph"/>
        <w:numPr>
          <w:ilvl w:val="0"/>
          <w:numId w:val="6"/>
        </w:numPr>
      </w:pPr>
      <w:r w:rsidRPr="00824110">
        <w:rPr>
          <w:b/>
          <w:bCs/>
        </w:rPr>
        <w:t>Standardized Infection Ratio (SIR)</w:t>
      </w:r>
    </w:p>
    <w:p w:rsidR="00824110" w:rsidRDefault="00824110" w:rsidP="00F70265">
      <w:r w:rsidRPr="00824110">
        <w:t>Standardized Infection Ratio (SIR) =</w:t>
      </w:r>
      <w:r>
        <w:t xml:space="preserve"> </w:t>
      </w:r>
      <w:r w:rsidRPr="00824110">
        <w:t>Actual Number of Infections</w:t>
      </w:r>
      <w:r>
        <w:t xml:space="preserve"> / </w:t>
      </w:r>
      <w:r w:rsidRPr="00824110">
        <w:t>Predicted Number of Infections</w:t>
      </w:r>
    </w:p>
    <w:p w:rsidR="00824110" w:rsidRPr="00824110" w:rsidRDefault="00824110" w:rsidP="00824110">
      <w:pPr>
        <w:pStyle w:val="ListParagraph"/>
        <w:numPr>
          <w:ilvl w:val="0"/>
          <w:numId w:val="5"/>
        </w:numPr>
      </w:pPr>
      <w:r w:rsidRPr="00824110">
        <w:rPr>
          <w:b/>
          <w:bCs/>
        </w:rPr>
        <w:t>Standard Utilization Ratio (SUR)</w:t>
      </w:r>
    </w:p>
    <w:p w:rsidR="00824110" w:rsidRPr="00824110" w:rsidRDefault="00824110" w:rsidP="00824110">
      <w:r w:rsidRPr="00824110">
        <w:t>Standard Utilization Ratio</w:t>
      </w:r>
      <w:r>
        <w:t xml:space="preserve"> </w:t>
      </w:r>
      <w:r w:rsidRPr="00824110">
        <w:t>=</w:t>
      </w:r>
      <w:r>
        <w:t xml:space="preserve"> </w:t>
      </w:r>
      <w:r w:rsidRPr="00824110">
        <w:t>Number of Device Days</w:t>
      </w:r>
      <w:r>
        <w:t xml:space="preserve"> / </w:t>
      </w:r>
      <w:r w:rsidRPr="00824110">
        <w:t>Predicted Number of Device Days</w:t>
      </w:r>
    </w:p>
    <w:p w:rsidR="00824110" w:rsidRPr="00824110" w:rsidRDefault="00824110" w:rsidP="00824110">
      <w:pPr>
        <w:pStyle w:val="ListParagraph"/>
        <w:numPr>
          <w:ilvl w:val="0"/>
          <w:numId w:val="5"/>
        </w:numPr>
      </w:pPr>
      <w:r w:rsidRPr="00824110">
        <w:t>If the SIR/SUR &gt; 1.0, then more infections/device days were reported than predicted</w:t>
      </w:r>
    </w:p>
    <w:p w:rsidR="00824110" w:rsidRPr="00824110" w:rsidRDefault="00824110" w:rsidP="00824110">
      <w:pPr>
        <w:pStyle w:val="ListParagraph"/>
        <w:numPr>
          <w:ilvl w:val="0"/>
          <w:numId w:val="5"/>
        </w:numPr>
      </w:pPr>
      <w:r w:rsidRPr="00824110">
        <w:t>If the SIR/SUR = 1.0, then the number of infections/number of device days is equal to the predicted number</w:t>
      </w:r>
    </w:p>
    <w:p w:rsidR="00824110" w:rsidRPr="00824110" w:rsidRDefault="00824110" w:rsidP="00824110">
      <w:pPr>
        <w:pStyle w:val="ListParagraph"/>
        <w:numPr>
          <w:ilvl w:val="0"/>
          <w:numId w:val="5"/>
        </w:numPr>
      </w:pPr>
      <w:r w:rsidRPr="00824110">
        <w:t>If the SIR/SUR &lt; 1.0, then fewer infections/device days were reported than predicted</w:t>
      </w:r>
    </w:p>
    <w:p w:rsidR="00824110" w:rsidRDefault="00824110">
      <w:r>
        <w:br w:type="page"/>
      </w:r>
    </w:p>
    <w:p w:rsidR="00824110" w:rsidRDefault="00352C74" w:rsidP="00824110">
      <w:pPr>
        <w:rPr>
          <w:b/>
          <w:bCs/>
        </w:rPr>
      </w:pPr>
      <w:r>
        <w:rPr>
          <w:noProof/>
        </w:rPr>
        <w:lastRenderedPageBreak/>
        <w:drawing>
          <wp:anchor distT="0" distB="0" distL="114300" distR="114300" simplePos="0" relativeHeight="251658240" behindDoc="0" locked="0" layoutInCell="1" allowOverlap="1">
            <wp:simplePos x="0" y="0"/>
            <wp:positionH relativeFrom="column">
              <wp:posOffset>-271463</wp:posOffset>
            </wp:positionH>
            <wp:positionV relativeFrom="paragraph">
              <wp:posOffset>428625</wp:posOffset>
            </wp:positionV>
            <wp:extent cx="6556248" cy="2386584"/>
            <wp:effectExtent l="0" t="0" r="0" b="0"/>
            <wp:wrapSquare wrapText="bothSides"/>
            <wp:docPr id="1" name="Picture 1" descr="A graph that depicts the relationship between Standardized Infection Ratio (SIR) and corresponding Confidence Intervals (CIs)." title="SI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R Grap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6248" cy="2386584"/>
                    </a:xfrm>
                    <a:prstGeom prst="rect">
                      <a:avLst/>
                    </a:prstGeom>
                  </pic:spPr>
                </pic:pic>
              </a:graphicData>
            </a:graphic>
            <wp14:sizeRelH relativeFrom="margin">
              <wp14:pctWidth>0</wp14:pctWidth>
            </wp14:sizeRelH>
            <wp14:sizeRelV relativeFrom="margin">
              <wp14:pctHeight>0</wp14:pctHeight>
            </wp14:sizeRelV>
          </wp:anchor>
        </w:drawing>
      </w:r>
      <w:r w:rsidR="00824110">
        <w:rPr>
          <w:b/>
          <w:bCs/>
        </w:rPr>
        <w:t xml:space="preserve">How to Interpret </w:t>
      </w:r>
      <w:r w:rsidR="00824110" w:rsidRPr="00824110">
        <w:rPr>
          <w:b/>
          <w:bCs/>
        </w:rPr>
        <w:t>SIRs and 95% Confidence Intervals (CIs)</w:t>
      </w:r>
    </w:p>
    <w:p w:rsidR="00352C74" w:rsidRDefault="00352C74" w:rsidP="00824110">
      <w:pPr>
        <w:rPr>
          <w:b/>
          <w:bCs/>
        </w:rPr>
      </w:pPr>
    </w:p>
    <w:p w:rsidR="00352C74" w:rsidRPr="00352C74" w:rsidRDefault="00352C74" w:rsidP="00352C74">
      <w:r w:rsidRPr="00352C74">
        <w:t xml:space="preserve">The </w:t>
      </w:r>
      <w:r w:rsidRPr="00352C74">
        <w:rPr>
          <w:b/>
          <w:bCs/>
        </w:rPr>
        <w:t>green</w:t>
      </w:r>
      <w:r w:rsidRPr="00352C74">
        <w:t xml:space="preserve"> hor</w:t>
      </w:r>
      <w:r>
        <w:t xml:space="preserve">izontal bar represents the SIR </w:t>
      </w:r>
      <w:r w:rsidRPr="00352C74">
        <w:t xml:space="preserve">and the </w:t>
      </w:r>
      <w:r w:rsidRPr="00352C74">
        <w:rPr>
          <w:b/>
          <w:bCs/>
        </w:rPr>
        <w:t>blue</w:t>
      </w:r>
      <w:r w:rsidRPr="00352C74">
        <w:t xml:space="preserve"> vertical bar represents the 95% confidence interval (CI). The 95% CI measures the probability that the true SIR falls between the two parameters. </w:t>
      </w:r>
    </w:p>
    <w:p w:rsidR="00B67CF7" w:rsidRPr="00352C74" w:rsidRDefault="00015AC0" w:rsidP="00352C74">
      <w:pPr>
        <w:numPr>
          <w:ilvl w:val="0"/>
          <w:numId w:val="7"/>
        </w:numPr>
      </w:pPr>
      <w:r w:rsidRPr="00352C74">
        <w:t xml:space="preserve">If the blue vertical bar crosses 1.0 (highlighted in </w:t>
      </w:r>
      <w:r w:rsidRPr="00352C74">
        <w:rPr>
          <w:b/>
          <w:bCs/>
        </w:rPr>
        <w:t>orange</w:t>
      </w:r>
      <w:r w:rsidRPr="00352C74">
        <w:t xml:space="preserve">), then the actual rate is </w:t>
      </w:r>
      <w:r w:rsidRPr="00352C74">
        <w:rPr>
          <w:u w:val="single"/>
        </w:rPr>
        <w:t>not</w:t>
      </w:r>
      <w:r w:rsidRPr="00352C74">
        <w:t xml:space="preserve"> statistically significantly different from the predicted rate.  </w:t>
      </w:r>
    </w:p>
    <w:p w:rsidR="00B67CF7" w:rsidRPr="00352C74" w:rsidRDefault="00015AC0" w:rsidP="00352C74">
      <w:pPr>
        <w:numPr>
          <w:ilvl w:val="0"/>
          <w:numId w:val="7"/>
        </w:numPr>
      </w:pPr>
      <w:r w:rsidRPr="00352C74">
        <w:t>If the blue vertical bar is completely above or below 1.0, then the actual is statistically significantly different from the predicted rate.</w:t>
      </w:r>
    </w:p>
    <w:p w:rsidR="00352C74" w:rsidRDefault="00352C74">
      <w:r>
        <w:br w:type="page"/>
      </w:r>
    </w:p>
    <w:p w:rsidR="00F70265" w:rsidRDefault="00352C74" w:rsidP="00F70265">
      <w:pPr>
        <w:rPr>
          <w:b/>
          <w:bCs/>
        </w:rPr>
      </w:pPr>
      <w:r w:rsidRPr="00352C74">
        <w:rPr>
          <w:b/>
          <w:bCs/>
        </w:rPr>
        <w:lastRenderedPageBreak/>
        <w:t>Central Line-Associated B</w:t>
      </w:r>
      <w:r>
        <w:rPr>
          <w:b/>
          <w:bCs/>
        </w:rPr>
        <w:t xml:space="preserve">loodstream Infections (CLABSI): </w:t>
      </w:r>
      <w:r w:rsidRPr="00352C74">
        <w:rPr>
          <w:b/>
          <w:bCs/>
        </w:rPr>
        <w:t>Standard Infection Ratio in Adult and Pediatric ICUs and Wards</w:t>
      </w:r>
    </w:p>
    <w:p w:rsidR="00352C74" w:rsidRPr="00352C74" w:rsidRDefault="00352C74" w:rsidP="00352C74">
      <w:r>
        <w:rPr>
          <w:noProof/>
        </w:rPr>
        <w:drawing>
          <wp:anchor distT="0" distB="0" distL="114300" distR="114300" simplePos="0" relativeHeight="251659264" behindDoc="0" locked="0" layoutInCell="1" allowOverlap="1">
            <wp:simplePos x="0" y="0"/>
            <wp:positionH relativeFrom="margin">
              <wp:posOffset>-568960</wp:posOffset>
            </wp:positionH>
            <wp:positionV relativeFrom="paragraph">
              <wp:posOffset>399415</wp:posOffset>
            </wp:positionV>
            <wp:extent cx="7197090" cy="2319020"/>
            <wp:effectExtent l="0" t="0" r="3810" b="5080"/>
            <wp:wrapSquare wrapText="bothSides"/>
            <wp:docPr id="2" name="Picture 2" descr="A graph depicting the relationship between Central Line-Associated Bloodstream Infections and Standard Infection Ratio. The graph is separated into two sections: &quot;ICU&quot; and &quot;Ward&quot;." title="Central Line-Associated Bloodstream Infections Standard Infection Ratio b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BSI Standard Infection Ratio by Un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7090" cy="2319020"/>
                    </a:xfrm>
                    <a:prstGeom prst="rect">
                      <a:avLst/>
                    </a:prstGeom>
                  </pic:spPr>
                </pic:pic>
              </a:graphicData>
            </a:graphic>
            <wp14:sizeRelH relativeFrom="margin">
              <wp14:pctWidth>0</wp14:pctWidth>
            </wp14:sizeRelH>
            <wp14:sizeRelV relativeFrom="margin">
              <wp14:pctHeight>0</wp14:pctHeight>
            </wp14:sizeRelV>
          </wp:anchor>
        </w:drawing>
      </w:r>
      <w:r w:rsidRPr="00352C74">
        <w:rPr>
          <w:b/>
          <w:bCs/>
        </w:rPr>
        <w:t>CLABSI Standard Infection Ratio (SIR) by Unit</w:t>
      </w:r>
    </w:p>
    <w:p w:rsidR="00352C74" w:rsidRDefault="00352C74" w:rsidP="00352C74">
      <w:r>
        <w:br/>
      </w:r>
      <w:r w:rsidRPr="00065F08">
        <w:rPr>
          <w:b/>
        </w:rPr>
        <w:t>Key</w:t>
      </w:r>
      <w:r>
        <w:t xml:space="preserve">: </w:t>
      </w:r>
    </w:p>
    <w:p w:rsidR="00352C74" w:rsidRPr="00352C74" w:rsidRDefault="00352C74" w:rsidP="00352C74">
      <w:r w:rsidRPr="00352C74">
        <w:t>Cardiothoracic ICU</w:t>
      </w:r>
    </w:p>
    <w:p w:rsidR="00352C74" w:rsidRPr="00352C74" w:rsidRDefault="00352C74" w:rsidP="00352C74">
      <w:r w:rsidRPr="00352C74">
        <w:t>Medical (T) Ward</w:t>
      </w:r>
    </w:p>
    <w:p w:rsidR="00352C74" w:rsidRPr="00352C74" w:rsidRDefault="00352C74" w:rsidP="00352C74">
      <w:r w:rsidRPr="00352C74">
        <w:t>Medical/Surgical (NT) Ward</w:t>
      </w:r>
    </w:p>
    <w:p w:rsidR="00352C74" w:rsidRDefault="00352C74" w:rsidP="00F70265">
      <w:r w:rsidRPr="00352C74">
        <w:t>Surgical Ward</w:t>
      </w:r>
    </w:p>
    <w:p w:rsidR="00352C74" w:rsidRDefault="00352C74" w:rsidP="00F70265"/>
    <w:p w:rsidR="00352C74" w:rsidRPr="00352C74" w:rsidRDefault="00352C74" w:rsidP="00352C74">
      <w:r w:rsidRPr="00352C74">
        <w:rPr>
          <w:b/>
          <w:bCs/>
        </w:rPr>
        <w:t>Key Findings</w:t>
      </w:r>
    </w:p>
    <w:p w:rsidR="00352C74" w:rsidRPr="00352C74" w:rsidRDefault="00352C74" w:rsidP="00352C74">
      <w:r w:rsidRPr="00352C74">
        <w:t>Four unit types experienced a significantly lower number of infections than predicted, based o</w:t>
      </w:r>
      <w:r>
        <w:t>n 2015 national aggregate data.</w:t>
      </w:r>
    </w:p>
    <w:p w:rsidR="00352C74" w:rsidRDefault="00352C74" w:rsidP="00352C74">
      <w:r w:rsidRPr="00352C74">
        <w:t>*SIRs and CIs are currently not calculated when the number of predicted infections is less than 0.5.</w:t>
      </w:r>
    </w:p>
    <w:p w:rsidR="008C6681" w:rsidRDefault="008C6681">
      <w:r>
        <w:br w:type="page"/>
      </w:r>
    </w:p>
    <w:p w:rsidR="00352C74" w:rsidRDefault="008C6681" w:rsidP="00352C74">
      <w:pPr>
        <w:rPr>
          <w:b/>
          <w:bCs/>
        </w:rPr>
      </w:pPr>
      <w:r w:rsidRPr="008C6681">
        <w:rPr>
          <w:b/>
          <w:bCs/>
        </w:rPr>
        <w:lastRenderedPageBreak/>
        <w:t>Central Line-Associated B</w:t>
      </w:r>
      <w:r>
        <w:rPr>
          <w:b/>
          <w:bCs/>
        </w:rPr>
        <w:t xml:space="preserve">loodstream Infections (CLABSI): </w:t>
      </w:r>
      <w:r w:rsidRPr="008C6681">
        <w:rPr>
          <w:b/>
          <w:bCs/>
        </w:rPr>
        <w:t>Standard Utilization Ratio in Adult and Pediatric ICUs and Wards</w:t>
      </w:r>
    </w:p>
    <w:p w:rsidR="008C6681" w:rsidRPr="008C6681" w:rsidRDefault="008C6681" w:rsidP="008C6681">
      <w:r>
        <w:rPr>
          <w:noProof/>
        </w:rPr>
        <w:drawing>
          <wp:anchor distT="0" distB="0" distL="114300" distR="114300" simplePos="0" relativeHeight="251660288" behindDoc="0" locked="0" layoutInCell="1" allowOverlap="1">
            <wp:simplePos x="0" y="0"/>
            <wp:positionH relativeFrom="column">
              <wp:posOffset>-533400</wp:posOffset>
            </wp:positionH>
            <wp:positionV relativeFrom="paragraph">
              <wp:posOffset>323215</wp:posOffset>
            </wp:positionV>
            <wp:extent cx="7250430" cy="2309495"/>
            <wp:effectExtent l="0" t="0" r="7620" b="0"/>
            <wp:wrapSquare wrapText="bothSides"/>
            <wp:docPr id="3" name="Picture 3" descr="A graph depicting the relationship between Central Line-Associated Bloodstream Infections and Standard Utilization Ratio. The graph is separated into two sections: &quot;ICU&quot; and &quot;Ward&quot;." title="CLABSI Standard Utilization Ratio (SUR) b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BSI Standard Utilization Ratio SUR by Un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50430" cy="2309495"/>
                    </a:xfrm>
                    <a:prstGeom prst="rect">
                      <a:avLst/>
                    </a:prstGeom>
                  </pic:spPr>
                </pic:pic>
              </a:graphicData>
            </a:graphic>
            <wp14:sizeRelH relativeFrom="margin">
              <wp14:pctWidth>0</wp14:pctWidth>
            </wp14:sizeRelH>
            <wp14:sizeRelV relativeFrom="margin">
              <wp14:pctHeight>0</wp14:pctHeight>
            </wp14:sizeRelV>
          </wp:anchor>
        </w:drawing>
      </w:r>
      <w:r w:rsidRPr="008C6681">
        <w:rPr>
          <w:b/>
          <w:bCs/>
        </w:rPr>
        <w:t>CLABSI Standard Utilization Ratio (SUR) by Unit</w:t>
      </w:r>
    </w:p>
    <w:p w:rsidR="008C6681" w:rsidRDefault="008C6681" w:rsidP="00352C74"/>
    <w:p w:rsidR="0066074B" w:rsidRDefault="0066074B" w:rsidP="00352C74">
      <w:r w:rsidRPr="00065F08">
        <w:rPr>
          <w:b/>
        </w:rPr>
        <w:t>Key</w:t>
      </w:r>
      <w:r>
        <w:t>:</w:t>
      </w:r>
    </w:p>
    <w:p w:rsidR="0066074B" w:rsidRPr="0066074B" w:rsidRDefault="0066074B" w:rsidP="0066074B">
      <w:r w:rsidRPr="0066074B">
        <w:t>Cardiac ICU</w:t>
      </w:r>
    </w:p>
    <w:p w:rsidR="0066074B" w:rsidRPr="0066074B" w:rsidRDefault="0066074B" w:rsidP="0066074B">
      <w:r w:rsidRPr="0066074B">
        <w:t>Cardiothoracic ICU</w:t>
      </w:r>
    </w:p>
    <w:p w:rsidR="0066074B" w:rsidRPr="0066074B" w:rsidRDefault="0066074B" w:rsidP="0066074B">
      <w:r w:rsidRPr="0066074B">
        <w:t>Pediatric Ward</w:t>
      </w:r>
    </w:p>
    <w:p w:rsidR="0066074B" w:rsidRDefault="0066074B" w:rsidP="00352C74"/>
    <w:p w:rsidR="0066074B" w:rsidRPr="0066074B" w:rsidRDefault="0066074B" w:rsidP="0066074B">
      <w:r w:rsidRPr="0066074B">
        <w:rPr>
          <w:b/>
          <w:bCs/>
        </w:rPr>
        <w:t>Key Findings</w:t>
      </w:r>
    </w:p>
    <w:p w:rsidR="0066074B" w:rsidRPr="0066074B" w:rsidRDefault="0066074B" w:rsidP="0066074B">
      <w:r w:rsidRPr="0066074B">
        <w:t>Three unit types experienced a significantly higher number of device days than predicted, based on 2015 national aggregate data.</w:t>
      </w:r>
    </w:p>
    <w:p w:rsidR="0066074B" w:rsidRDefault="0066074B">
      <w:r>
        <w:br w:type="page"/>
      </w:r>
    </w:p>
    <w:p w:rsidR="0066074B" w:rsidRDefault="00971844" w:rsidP="00352C74">
      <w:pPr>
        <w:rPr>
          <w:b/>
          <w:bCs/>
        </w:rPr>
      </w:pPr>
      <w:r>
        <w:rPr>
          <w:noProof/>
        </w:rPr>
        <w:lastRenderedPageBreak/>
        <w:drawing>
          <wp:anchor distT="0" distB="0" distL="114300" distR="114300" simplePos="0" relativeHeight="251661312" behindDoc="0" locked="0" layoutInCell="1" allowOverlap="1">
            <wp:simplePos x="0" y="0"/>
            <wp:positionH relativeFrom="margin">
              <wp:posOffset>-548005</wp:posOffset>
            </wp:positionH>
            <wp:positionV relativeFrom="paragraph">
              <wp:posOffset>438150</wp:posOffset>
            </wp:positionV>
            <wp:extent cx="7085965" cy="3307080"/>
            <wp:effectExtent l="0" t="0" r="635" b="7620"/>
            <wp:wrapSquare wrapText="bothSides"/>
            <wp:docPr id="4" name="Picture 4" descr="Four charts: the top half of the image depicts ICU Pathogens for Calendar Year 2018 and Calendar Year 2019, and the bottom half of the image depicts Ward Pathogens for Calendar Year 2018 and Calendar Year 2019." title="CLABSI Adult &amp; Pediatric Pathogens for 2018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BSI Adult &amp; Pediatric Pathogens for 2018 and 2019.jpg"/>
                    <pic:cNvPicPr/>
                  </pic:nvPicPr>
                  <pic:blipFill rotWithShape="1">
                    <a:blip r:embed="rId13" cstate="print">
                      <a:extLst>
                        <a:ext uri="{28A0092B-C50C-407E-A947-70E740481C1C}">
                          <a14:useLocalDpi xmlns:a14="http://schemas.microsoft.com/office/drawing/2010/main" val="0"/>
                        </a:ext>
                      </a:extLst>
                    </a:blip>
                    <a:srcRect l="734"/>
                    <a:stretch/>
                  </pic:blipFill>
                  <pic:spPr bwMode="auto">
                    <a:xfrm>
                      <a:off x="0" y="0"/>
                      <a:ext cx="7085965" cy="330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74B" w:rsidRPr="0066074B">
        <w:rPr>
          <w:b/>
          <w:bCs/>
        </w:rPr>
        <w:t>CLABSI Adult &amp; Pediatric Pathogens for 2018 and 2019</w:t>
      </w:r>
    </w:p>
    <w:p w:rsidR="0066074B" w:rsidRDefault="0066074B" w:rsidP="00352C74"/>
    <w:p w:rsidR="00971844" w:rsidRDefault="00971844">
      <w:r>
        <w:br w:type="page"/>
      </w:r>
    </w:p>
    <w:p w:rsidR="00971844" w:rsidRDefault="00971844" w:rsidP="00352C74">
      <w:pPr>
        <w:rPr>
          <w:b/>
          <w:bCs/>
        </w:rPr>
      </w:pPr>
      <w:r w:rsidRPr="00971844">
        <w:rPr>
          <w:b/>
          <w:bCs/>
        </w:rPr>
        <w:lastRenderedPageBreak/>
        <w:t>Central Line-Associated B</w:t>
      </w:r>
      <w:r>
        <w:rPr>
          <w:b/>
          <w:bCs/>
        </w:rPr>
        <w:t xml:space="preserve">loodstream Infections (CLABSI): </w:t>
      </w:r>
      <w:r w:rsidRPr="00971844">
        <w:rPr>
          <w:b/>
          <w:bCs/>
        </w:rPr>
        <w:t>Standard Infection Ratio in Neonatal ICUs</w:t>
      </w:r>
    </w:p>
    <w:p w:rsidR="00971844" w:rsidRDefault="00015AC0" w:rsidP="00971844">
      <w:pPr>
        <w:rPr>
          <w:b/>
          <w:bCs/>
        </w:rPr>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361950</wp:posOffset>
            </wp:positionV>
            <wp:extent cx="6505575" cy="3845560"/>
            <wp:effectExtent l="0" t="0" r="9525" b="2540"/>
            <wp:wrapSquare wrapText="bothSides"/>
            <wp:docPr id="5" name="Picture 5" descr="A graph depicting the relationship between Standard Infection Ratio and Birth Weight." title="NICU CLABSI Standard Infection Ratio by Birth Weight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CU CLABSI Standard Infection Ratio.jpg"/>
                    <pic:cNvPicPr/>
                  </pic:nvPicPr>
                  <pic:blipFill rotWithShape="1">
                    <a:blip r:embed="rId14">
                      <a:extLst>
                        <a:ext uri="{28A0092B-C50C-407E-A947-70E740481C1C}">
                          <a14:useLocalDpi xmlns:a14="http://schemas.microsoft.com/office/drawing/2010/main" val="0"/>
                        </a:ext>
                      </a:extLst>
                    </a:blip>
                    <a:srcRect t="5055"/>
                    <a:stretch/>
                  </pic:blipFill>
                  <pic:spPr bwMode="auto">
                    <a:xfrm>
                      <a:off x="0" y="0"/>
                      <a:ext cx="6505575" cy="384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844" w:rsidRPr="00971844">
        <w:rPr>
          <w:b/>
          <w:bCs/>
        </w:rPr>
        <w:t>NICU CLABSI Standard Infection Ratio (SIR) by Birth Weight Category (grams)</w:t>
      </w:r>
    </w:p>
    <w:p w:rsidR="00971844" w:rsidRDefault="00971844" w:rsidP="00352C74"/>
    <w:p w:rsidR="00971844" w:rsidRPr="00971844" w:rsidRDefault="00971844" w:rsidP="00971844">
      <w:r w:rsidRPr="00971844">
        <w:rPr>
          <w:b/>
          <w:bCs/>
        </w:rPr>
        <w:t>Key Findings</w:t>
      </w:r>
    </w:p>
    <w:p w:rsidR="00971844" w:rsidRPr="00971844" w:rsidRDefault="00971844" w:rsidP="00971844">
      <w:r w:rsidRPr="00971844">
        <w:t>There were no birthweight categories experiencing a significantly higher or lower number of infections than predicted, based on 2015 national aggregate data.</w:t>
      </w:r>
    </w:p>
    <w:p w:rsidR="00971844" w:rsidRPr="00971844" w:rsidRDefault="00971844" w:rsidP="00971844">
      <w:r w:rsidRPr="00971844">
        <w:t>There were 18 CLABSIs reported in Neonatal ICUs in 2019.</w:t>
      </w:r>
    </w:p>
    <w:p w:rsidR="00015AC0" w:rsidRDefault="00015AC0">
      <w:r>
        <w:br w:type="page"/>
      </w:r>
    </w:p>
    <w:p w:rsidR="00137B8D" w:rsidRDefault="00137B8D" w:rsidP="00352C74">
      <w:pPr>
        <w:rPr>
          <w:b/>
          <w:bCs/>
        </w:rPr>
      </w:pPr>
      <w:r w:rsidRPr="00137B8D">
        <w:rPr>
          <w:b/>
          <w:bCs/>
        </w:rPr>
        <w:lastRenderedPageBreak/>
        <w:t>Central Line-Associated B</w:t>
      </w:r>
      <w:r>
        <w:rPr>
          <w:b/>
          <w:bCs/>
        </w:rPr>
        <w:t xml:space="preserve">loodstream Infections (CLABSI): </w:t>
      </w:r>
      <w:r w:rsidRPr="00137B8D">
        <w:rPr>
          <w:b/>
          <w:bCs/>
        </w:rPr>
        <w:t>Standard Utilization Ratio in Neonatal ICUs</w:t>
      </w:r>
    </w:p>
    <w:p w:rsidR="00137B8D" w:rsidRPr="00137B8D" w:rsidRDefault="00137B8D" w:rsidP="00137B8D">
      <w:pPr>
        <w:rPr>
          <w:b/>
          <w:bCs/>
        </w:rPr>
      </w:pPr>
      <w:r>
        <w:rPr>
          <w:b/>
          <w:bCs/>
          <w:noProof/>
        </w:rPr>
        <w:drawing>
          <wp:anchor distT="0" distB="0" distL="114300" distR="114300" simplePos="0" relativeHeight="251663360" behindDoc="0" locked="0" layoutInCell="1" allowOverlap="1" wp14:anchorId="6C2A5DAA" wp14:editId="30582D88">
            <wp:simplePos x="0" y="0"/>
            <wp:positionH relativeFrom="column">
              <wp:posOffset>-324485</wp:posOffset>
            </wp:positionH>
            <wp:positionV relativeFrom="paragraph">
              <wp:posOffset>394970</wp:posOffset>
            </wp:positionV>
            <wp:extent cx="6315075" cy="3895725"/>
            <wp:effectExtent l="0" t="0" r="9525" b="9525"/>
            <wp:wrapSquare wrapText="bothSides"/>
            <wp:docPr id="6" name="Picture 6" descr="A graph depicting the relationship between Standard Utilization Ratio and Birth Weight." title="NICU CLABSI Standard Utilization Ratio (SUR) by Birth Weigh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 CLABSI Standard Utilization Ratio by Birth Weight Category.jpg"/>
                    <pic:cNvPicPr/>
                  </pic:nvPicPr>
                  <pic:blipFill>
                    <a:blip r:embed="rId15">
                      <a:extLst>
                        <a:ext uri="{28A0092B-C50C-407E-A947-70E740481C1C}">
                          <a14:useLocalDpi xmlns:a14="http://schemas.microsoft.com/office/drawing/2010/main" val="0"/>
                        </a:ext>
                      </a:extLst>
                    </a:blip>
                    <a:stretch>
                      <a:fillRect/>
                    </a:stretch>
                  </pic:blipFill>
                  <pic:spPr>
                    <a:xfrm>
                      <a:off x="0" y="0"/>
                      <a:ext cx="6315075" cy="3895725"/>
                    </a:xfrm>
                    <a:prstGeom prst="rect">
                      <a:avLst/>
                    </a:prstGeom>
                  </pic:spPr>
                </pic:pic>
              </a:graphicData>
            </a:graphic>
            <wp14:sizeRelH relativeFrom="page">
              <wp14:pctWidth>0</wp14:pctWidth>
            </wp14:sizeRelH>
            <wp14:sizeRelV relativeFrom="page">
              <wp14:pctHeight>0</wp14:pctHeight>
            </wp14:sizeRelV>
          </wp:anchor>
        </w:drawing>
      </w:r>
      <w:r w:rsidRPr="00137B8D">
        <w:rPr>
          <w:b/>
          <w:bCs/>
        </w:rPr>
        <w:t>NICU CLABSI Standard Utilization Ratio (SUR) by Birth Weight Category (grams)</w:t>
      </w:r>
    </w:p>
    <w:p w:rsidR="00137B8D" w:rsidRDefault="00137B8D" w:rsidP="00352C74">
      <w:pPr>
        <w:rPr>
          <w:b/>
          <w:bCs/>
        </w:rPr>
      </w:pPr>
    </w:p>
    <w:p w:rsidR="00137B8D" w:rsidRPr="00971844" w:rsidRDefault="00137B8D" w:rsidP="00137B8D">
      <w:r w:rsidRPr="00971844">
        <w:rPr>
          <w:b/>
          <w:bCs/>
        </w:rPr>
        <w:t>Key Findings</w:t>
      </w:r>
    </w:p>
    <w:p w:rsidR="00137B8D" w:rsidRDefault="00137B8D" w:rsidP="00352C74">
      <w:r w:rsidRPr="00137B8D">
        <w:t>All five birthweight categories experienced a significantly lower number of device days than predicted, based on 2015 national aggregate data.</w:t>
      </w:r>
    </w:p>
    <w:p w:rsidR="00137B8D" w:rsidRDefault="00137B8D">
      <w:r>
        <w:br w:type="page"/>
      </w:r>
    </w:p>
    <w:p w:rsidR="00137B8D" w:rsidRDefault="00E97994" w:rsidP="00352C74">
      <w:pPr>
        <w:rPr>
          <w:b/>
          <w:bCs/>
        </w:rPr>
      </w:pPr>
      <w:r w:rsidRPr="00E97994">
        <w:rPr>
          <w:b/>
          <w:bCs/>
        </w:rPr>
        <w:lastRenderedPageBreak/>
        <w:t>CLABSI NICU Pathogens for 2018 and 2019</w:t>
      </w:r>
    </w:p>
    <w:p w:rsidR="00E97994" w:rsidRDefault="00E97994" w:rsidP="00E97994">
      <w:pPr>
        <w:rPr>
          <w:i/>
          <w:iCs/>
        </w:rPr>
      </w:pPr>
      <w:r w:rsidRPr="00E97994">
        <w:rPr>
          <w:b/>
          <w:bCs/>
        </w:rPr>
        <w:t>Calendar Year 2018</w:t>
      </w:r>
      <w:r w:rsidR="00A0658F">
        <w:t xml:space="preserve"> (</w:t>
      </w:r>
      <w:r w:rsidRPr="00E97994">
        <w:rPr>
          <w:b/>
          <w:bCs/>
        </w:rPr>
        <w:t>January 1, 2018 – December 31, 2018</w:t>
      </w:r>
      <w:proofErr w:type="gramStart"/>
      <w:r w:rsidR="00A0658F">
        <w:rPr>
          <w:b/>
          <w:bCs/>
        </w:rPr>
        <w:t>)</w:t>
      </w:r>
      <w:proofErr w:type="gramEnd"/>
      <w:r>
        <w:br/>
      </w:r>
      <w:r w:rsidRPr="00E97994">
        <w:rPr>
          <w:i/>
          <w:iCs/>
        </w:rPr>
        <w:t>N=18</w:t>
      </w:r>
    </w:p>
    <w:p w:rsidR="00E97994" w:rsidRDefault="00E97994" w:rsidP="00E97994">
      <w:pPr>
        <w:rPr>
          <w:i/>
          <w:iCs/>
        </w:rPr>
      </w:pPr>
      <w:r>
        <w:rPr>
          <w:i/>
          <w:iCs/>
          <w:noProof/>
        </w:rPr>
        <w:drawing>
          <wp:anchor distT="0" distB="0" distL="114300" distR="114300" simplePos="0" relativeHeight="251664384" behindDoc="0" locked="0" layoutInCell="1" allowOverlap="1" wp14:anchorId="5A1CFE64" wp14:editId="25581786">
            <wp:simplePos x="0" y="0"/>
            <wp:positionH relativeFrom="column">
              <wp:posOffset>-85725</wp:posOffset>
            </wp:positionH>
            <wp:positionV relativeFrom="paragraph">
              <wp:posOffset>6350</wp:posOffset>
            </wp:positionV>
            <wp:extent cx="4347845" cy="3257550"/>
            <wp:effectExtent l="0" t="0" r="0" b="0"/>
            <wp:wrapSquare wrapText="bothSides"/>
            <wp:docPr id="7" name="Picture 7" descr="A circle graph depicting percentages of different pathogens reported for the calendar year 2018." title="Calendar Yea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 Year 2018.jpg"/>
                    <pic:cNvPicPr/>
                  </pic:nvPicPr>
                  <pic:blipFill>
                    <a:blip r:embed="rId16">
                      <a:extLst>
                        <a:ext uri="{28A0092B-C50C-407E-A947-70E740481C1C}">
                          <a14:useLocalDpi xmlns:a14="http://schemas.microsoft.com/office/drawing/2010/main" val="0"/>
                        </a:ext>
                      </a:extLst>
                    </a:blip>
                    <a:stretch>
                      <a:fillRect/>
                    </a:stretch>
                  </pic:blipFill>
                  <pic:spPr>
                    <a:xfrm>
                      <a:off x="0" y="0"/>
                      <a:ext cx="4347845" cy="3257550"/>
                    </a:xfrm>
                    <a:prstGeom prst="rect">
                      <a:avLst/>
                    </a:prstGeom>
                  </pic:spPr>
                </pic:pic>
              </a:graphicData>
            </a:graphic>
            <wp14:sizeRelH relativeFrom="page">
              <wp14:pctWidth>0</wp14:pctWidth>
            </wp14:sizeRelH>
            <wp14:sizeRelV relativeFrom="page">
              <wp14:pctHeight>0</wp14:pctHeight>
            </wp14:sizeRelV>
          </wp:anchor>
        </w:drawing>
      </w:r>
    </w:p>
    <w:p w:rsidR="00E97994" w:rsidRPr="00E97994" w:rsidRDefault="00E97994" w:rsidP="00E97994"/>
    <w:p w:rsidR="00E97994" w:rsidRDefault="00E97994" w:rsidP="00352C74"/>
    <w:p w:rsidR="00A0658F" w:rsidRDefault="00A0658F" w:rsidP="00352C74"/>
    <w:p w:rsidR="00A0658F" w:rsidRDefault="00A0658F" w:rsidP="00352C74"/>
    <w:p w:rsidR="00A0658F" w:rsidRDefault="00A0658F" w:rsidP="00352C74"/>
    <w:p w:rsidR="00A0658F" w:rsidRDefault="00A0658F" w:rsidP="00352C74"/>
    <w:p w:rsidR="00A0658F" w:rsidRDefault="00A0658F" w:rsidP="00352C74"/>
    <w:p w:rsidR="00A0658F" w:rsidRDefault="00A0658F" w:rsidP="00352C74"/>
    <w:p w:rsidR="00A0658F" w:rsidRDefault="00A0658F" w:rsidP="00352C74"/>
    <w:p w:rsidR="00A0658F" w:rsidRDefault="00A0658F" w:rsidP="00352C74"/>
    <w:p w:rsidR="00A0658F" w:rsidRPr="00A0658F" w:rsidRDefault="00A0658F" w:rsidP="00A0658F">
      <w:r w:rsidRPr="00A0658F">
        <w:rPr>
          <w:b/>
          <w:bCs/>
        </w:rPr>
        <w:t>Calendar Year 2019</w:t>
      </w:r>
      <w:r>
        <w:t xml:space="preserve"> (</w:t>
      </w:r>
      <w:r w:rsidRPr="00A0658F">
        <w:rPr>
          <w:b/>
          <w:bCs/>
        </w:rPr>
        <w:t>January 1, 2019 – December 31, 2019</w:t>
      </w:r>
      <w:proofErr w:type="gramStart"/>
      <w:r>
        <w:t>)</w:t>
      </w:r>
      <w:proofErr w:type="gramEnd"/>
      <w:r>
        <w:br/>
      </w:r>
      <w:r w:rsidRPr="00A0658F">
        <w:rPr>
          <w:i/>
          <w:iCs/>
        </w:rPr>
        <w:t>N=18</w:t>
      </w:r>
    </w:p>
    <w:p w:rsidR="00A0658F" w:rsidRDefault="00A0658F" w:rsidP="00352C74">
      <w:r>
        <w:rPr>
          <w:noProof/>
        </w:rPr>
        <w:drawing>
          <wp:inline distT="0" distB="0" distL="0" distR="0">
            <wp:extent cx="4067175" cy="3143250"/>
            <wp:effectExtent l="0" t="0" r="9525" b="0"/>
            <wp:docPr id="8" name="Picture 8" descr="A circle graph depicting percentages of different pathogens reported for the calendar year 2019." title="Calendar Yea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 Year 2019.jpg"/>
                    <pic:cNvPicPr/>
                  </pic:nvPicPr>
                  <pic:blipFill>
                    <a:blip r:embed="rId17">
                      <a:extLst>
                        <a:ext uri="{28A0092B-C50C-407E-A947-70E740481C1C}">
                          <a14:useLocalDpi xmlns:a14="http://schemas.microsoft.com/office/drawing/2010/main" val="0"/>
                        </a:ext>
                      </a:extLst>
                    </a:blip>
                    <a:stretch>
                      <a:fillRect/>
                    </a:stretch>
                  </pic:blipFill>
                  <pic:spPr>
                    <a:xfrm>
                      <a:off x="0" y="0"/>
                      <a:ext cx="4067175" cy="3143250"/>
                    </a:xfrm>
                    <a:prstGeom prst="rect">
                      <a:avLst/>
                    </a:prstGeom>
                  </pic:spPr>
                </pic:pic>
              </a:graphicData>
            </a:graphic>
          </wp:inline>
        </w:drawing>
      </w:r>
    </w:p>
    <w:p w:rsidR="00A0658F" w:rsidRDefault="00862976" w:rsidP="00352C74">
      <w:pPr>
        <w:rPr>
          <w:b/>
          <w:bCs/>
        </w:rPr>
      </w:pPr>
      <w:r>
        <w:rPr>
          <w:noProof/>
        </w:rPr>
        <w:lastRenderedPageBreak/>
        <w:drawing>
          <wp:anchor distT="0" distB="0" distL="114300" distR="114300" simplePos="0" relativeHeight="251665408" behindDoc="0" locked="0" layoutInCell="1" allowOverlap="1" wp14:anchorId="41A40587" wp14:editId="4C74D1A7">
            <wp:simplePos x="0" y="0"/>
            <wp:positionH relativeFrom="column">
              <wp:posOffset>-382905</wp:posOffset>
            </wp:positionH>
            <wp:positionV relativeFrom="paragraph">
              <wp:posOffset>464185</wp:posOffset>
            </wp:positionV>
            <wp:extent cx="6463665" cy="3629025"/>
            <wp:effectExtent l="0" t="0" r="0" b="9525"/>
            <wp:wrapSquare wrapText="bothSides"/>
            <wp:docPr id="9" name="Picture 9" descr="Two line charts depicting the relationship between Standard Infection Ratio and Calendar Years 2015 through 2019. The left line chart is data from adult ICU, while the right line chart is data from adult Ward. Three different color lines on the charts indicate adult, pediatric, and neonatal data. " title="State CLABSI SIR in ICU and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 Calendar Years Cha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63665" cy="3629025"/>
                    </a:xfrm>
                    <a:prstGeom prst="rect">
                      <a:avLst/>
                    </a:prstGeom>
                  </pic:spPr>
                </pic:pic>
              </a:graphicData>
            </a:graphic>
            <wp14:sizeRelH relativeFrom="page">
              <wp14:pctWidth>0</wp14:pctWidth>
            </wp14:sizeRelH>
            <wp14:sizeRelV relativeFrom="page">
              <wp14:pctHeight>0</wp14:pctHeight>
            </wp14:sizeRelV>
          </wp:anchor>
        </w:drawing>
      </w:r>
      <w:r w:rsidRPr="00862976">
        <w:rPr>
          <w:b/>
          <w:bCs/>
        </w:rPr>
        <w:t>State CLABSI SIR in ICU and Wards</w:t>
      </w:r>
    </w:p>
    <w:p w:rsidR="00862976" w:rsidRPr="00971844" w:rsidRDefault="00862976" w:rsidP="00862976">
      <w:r>
        <w:rPr>
          <w:b/>
          <w:bCs/>
        </w:rPr>
        <w:br/>
      </w:r>
      <w:r w:rsidRPr="00971844">
        <w:rPr>
          <w:b/>
          <w:bCs/>
        </w:rPr>
        <w:t>Key Findings</w:t>
      </w:r>
    </w:p>
    <w:p w:rsidR="00862976" w:rsidRPr="00862976" w:rsidRDefault="00862976" w:rsidP="00862976">
      <w:r w:rsidRPr="00862976">
        <w:t xml:space="preserve">In 2019, adult ICUs experienced a significantly lower number of infections than predicted, based on 2015 national aggregate data. </w:t>
      </w:r>
    </w:p>
    <w:p w:rsidR="00862976" w:rsidRDefault="00862976" w:rsidP="00352C74">
      <w:proofErr w:type="gramStart"/>
      <w:r w:rsidRPr="00862976">
        <w:t>Between 2015-2019,</w:t>
      </w:r>
      <w:proofErr w:type="gramEnd"/>
      <w:r w:rsidRPr="00862976">
        <w:t xml:space="preserve"> adult Wards experienced a significantly lower number of infections than predicted, based on 2015 national aggregate data. </w:t>
      </w:r>
    </w:p>
    <w:p w:rsidR="00862976" w:rsidRDefault="00862976">
      <w:r>
        <w:br w:type="page"/>
      </w:r>
    </w:p>
    <w:p w:rsidR="00862976" w:rsidRDefault="00862976" w:rsidP="00352C74">
      <w:pPr>
        <w:rPr>
          <w:b/>
          <w:bCs/>
        </w:rPr>
      </w:pPr>
      <w:r>
        <w:rPr>
          <w:b/>
          <w:bCs/>
          <w:noProof/>
        </w:rPr>
        <w:lastRenderedPageBreak/>
        <w:drawing>
          <wp:anchor distT="0" distB="0" distL="114300" distR="114300" simplePos="0" relativeHeight="251666432" behindDoc="0" locked="0" layoutInCell="1" allowOverlap="1" wp14:anchorId="79E00F9B" wp14:editId="23C3B275">
            <wp:simplePos x="0" y="0"/>
            <wp:positionH relativeFrom="column">
              <wp:posOffset>-201295</wp:posOffset>
            </wp:positionH>
            <wp:positionV relativeFrom="paragraph">
              <wp:posOffset>518795</wp:posOffset>
            </wp:positionV>
            <wp:extent cx="6561455" cy="3619500"/>
            <wp:effectExtent l="0" t="0" r="0" b="0"/>
            <wp:wrapSquare wrapText="bothSides"/>
            <wp:docPr id="10" name="Picture 10" descr="Two line charts depicting the relationship between Standard Utilization Ratio and Calendar Years 2015 through 2019. The left line chart is data from adult ICU, while the right line chart is data from adult Ward. Three different color lines on the charts indicate adult, pediatric, and neonatal data." title="State CLABSI SUR in ICU and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CLABSI SUR in ICU and W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61455" cy="3619500"/>
                    </a:xfrm>
                    <a:prstGeom prst="rect">
                      <a:avLst/>
                    </a:prstGeom>
                  </pic:spPr>
                </pic:pic>
              </a:graphicData>
            </a:graphic>
            <wp14:sizeRelH relativeFrom="page">
              <wp14:pctWidth>0</wp14:pctWidth>
            </wp14:sizeRelH>
            <wp14:sizeRelV relativeFrom="page">
              <wp14:pctHeight>0</wp14:pctHeight>
            </wp14:sizeRelV>
          </wp:anchor>
        </w:drawing>
      </w:r>
      <w:r w:rsidRPr="00862976">
        <w:rPr>
          <w:b/>
          <w:bCs/>
        </w:rPr>
        <w:t>State CLABSI SUR in ICU and Wards</w:t>
      </w:r>
    </w:p>
    <w:p w:rsidR="00862976" w:rsidRPr="00971844" w:rsidRDefault="00065F08" w:rsidP="00862976">
      <w:r>
        <w:rPr>
          <w:b/>
          <w:bCs/>
        </w:rPr>
        <w:br/>
      </w:r>
      <w:r w:rsidR="00862976" w:rsidRPr="00971844">
        <w:rPr>
          <w:b/>
          <w:bCs/>
        </w:rPr>
        <w:t>Key Findings</w:t>
      </w:r>
    </w:p>
    <w:p w:rsidR="00862976" w:rsidRPr="00862976" w:rsidRDefault="00862976" w:rsidP="00862976">
      <w:proofErr w:type="gramStart"/>
      <w:r w:rsidRPr="00862976">
        <w:t>Between 2015-2019,</w:t>
      </w:r>
      <w:proofErr w:type="gramEnd"/>
      <w:r w:rsidRPr="00862976">
        <w:t xml:space="preserve"> neonatal ICUs and adult Wards experienced a significantly lower number of device days than predicted, based on 2015 national aggregate data. </w:t>
      </w:r>
    </w:p>
    <w:p w:rsidR="00862976" w:rsidRDefault="00862976" w:rsidP="00862976">
      <w:proofErr w:type="gramStart"/>
      <w:r w:rsidRPr="00862976">
        <w:t>Between 2015-2019,</w:t>
      </w:r>
      <w:proofErr w:type="gramEnd"/>
      <w:r w:rsidRPr="00862976">
        <w:t xml:space="preserve"> pediatric Wards experienced a significantly higher number of device days than predicted, based on 2015 national aggregate data</w:t>
      </w:r>
      <w:r>
        <w:t>.</w:t>
      </w:r>
    </w:p>
    <w:p w:rsidR="00065F08" w:rsidRDefault="00065F08">
      <w:r>
        <w:br w:type="page"/>
      </w:r>
    </w:p>
    <w:p w:rsidR="00065F08" w:rsidRDefault="00065F08" w:rsidP="00862976">
      <w:pPr>
        <w:rPr>
          <w:b/>
          <w:bCs/>
        </w:rPr>
      </w:pPr>
      <w:r w:rsidRPr="00065F08">
        <w:rPr>
          <w:b/>
          <w:bCs/>
        </w:rPr>
        <w:lastRenderedPageBreak/>
        <w:t>Catheter-Associated Ur</w:t>
      </w:r>
      <w:r>
        <w:rPr>
          <w:b/>
          <w:bCs/>
        </w:rPr>
        <w:t xml:space="preserve">inary Tract Infections (CAUTI): </w:t>
      </w:r>
      <w:r w:rsidRPr="00065F08">
        <w:rPr>
          <w:b/>
          <w:bCs/>
        </w:rPr>
        <w:t>Standard Infection Ratio in Adult and Pediatric ICUs and Wards</w:t>
      </w:r>
    </w:p>
    <w:p w:rsidR="00065F08" w:rsidRPr="00065F08" w:rsidRDefault="00065F08" w:rsidP="00065F08">
      <w:r>
        <w:rPr>
          <w:b/>
          <w:noProof/>
        </w:rPr>
        <w:drawing>
          <wp:anchor distT="0" distB="0" distL="114300" distR="114300" simplePos="0" relativeHeight="251667456" behindDoc="0" locked="0" layoutInCell="1" allowOverlap="1" wp14:anchorId="2CC74352" wp14:editId="736E63D9">
            <wp:simplePos x="0" y="0"/>
            <wp:positionH relativeFrom="column">
              <wp:posOffset>-733425</wp:posOffset>
            </wp:positionH>
            <wp:positionV relativeFrom="paragraph">
              <wp:posOffset>403860</wp:posOffset>
            </wp:positionV>
            <wp:extent cx="7457440" cy="2295525"/>
            <wp:effectExtent l="0" t="0" r="0" b="9525"/>
            <wp:wrapSquare wrapText="bothSides"/>
            <wp:docPr id="11" name="Picture 11" descr="Two charts depicting the relationship between Standard Infection Ratio and different hospital units. The left chart is data from adult ICU, while the right line chart is data from adult Ward." title="CAUTI Standard Infection Ratio (SIR) b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 Standard Infection Ratio by Un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57440" cy="2295525"/>
                    </a:xfrm>
                    <a:prstGeom prst="rect">
                      <a:avLst/>
                    </a:prstGeom>
                  </pic:spPr>
                </pic:pic>
              </a:graphicData>
            </a:graphic>
            <wp14:sizeRelH relativeFrom="page">
              <wp14:pctWidth>0</wp14:pctWidth>
            </wp14:sizeRelH>
            <wp14:sizeRelV relativeFrom="page">
              <wp14:pctHeight>0</wp14:pctHeight>
            </wp14:sizeRelV>
          </wp:anchor>
        </w:drawing>
      </w:r>
      <w:r w:rsidRPr="00065F08">
        <w:rPr>
          <w:b/>
          <w:bCs/>
        </w:rPr>
        <w:t>CAUTI Standard Infection Ratio (SIR) by Unit</w:t>
      </w:r>
    </w:p>
    <w:p w:rsidR="00065F08" w:rsidRDefault="00065F08" w:rsidP="00065F08">
      <w:pPr>
        <w:rPr>
          <w:b/>
        </w:rPr>
      </w:pPr>
    </w:p>
    <w:p w:rsidR="00065F08" w:rsidRDefault="00065F08" w:rsidP="00065F08">
      <w:r w:rsidRPr="00065F08">
        <w:rPr>
          <w:b/>
        </w:rPr>
        <w:t>Key</w:t>
      </w:r>
      <w:r>
        <w:t>:</w:t>
      </w:r>
    </w:p>
    <w:p w:rsidR="00065F08" w:rsidRPr="00065F08" w:rsidRDefault="00065F08" w:rsidP="00065F08">
      <w:r w:rsidRPr="00065F08">
        <w:t>Cardiothoracic ICU</w:t>
      </w:r>
    </w:p>
    <w:p w:rsidR="00065F08" w:rsidRPr="00065F08" w:rsidRDefault="00065F08" w:rsidP="00065F08">
      <w:r w:rsidRPr="00065F08">
        <w:t>Medical (T) ICU</w:t>
      </w:r>
    </w:p>
    <w:p w:rsidR="00065F08" w:rsidRPr="00065F08" w:rsidRDefault="00065F08" w:rsidP="00065F08">
      <w:r w:rsidRPr="00065F08">
        <w:t>Trauma ICU</w:t>
      </w:r>
    </w:p>
    <w:p w:rsidR="00065F08" w:rsidRDefault="00065F08" w:rsidP="00065F08"/>
    <w:p w:rsidR="00065F08" w:rsidRPr="0066074B" w:rsidRDefault="00065F08" w:rsidP="00065F08">
      <w:r w:rsidRPr="0066074B">
        <w:rPr>
          <w:b/>
          <w:bCs/>
        </w:rPr>
        <w:t>Key Findings</w:t>
      </w:r>
    </w:p>
    <w:p w:rsidR="00065F08" w:rsidRDefault="00065F08" w:rsidP="00065F08">
      <w:r>
        <w:t>Three unit types experienced a significantly lower number of infections than predicted, based on 2015 national aggregate data.</w:t>
      </w:r>
    </w:p>
    <w:p w:rsidR="00331C29" w:rsidRDefault="00331C29">
      <w:r>
        <w:br w:type="page"/>
      </w:r>
    </w:p>
    <w:p w:rsidR="00065F08" w:rsidRDefault="00331C29" w:rsidP="00862976">
      <w:pPr>
        <w:rPr>
          <w:b/>
          <w:bCs/>
        </w:rPr>
      </w:pPr>
      <w:r w:rsidRPr="00331C29">
        <w:rPr>
          <w:b/>
          <w:bCs/>
        </w:rPr>
        <w:lastRenderedPageBreak/>
        <w:t>Catheter-Associated Ur</w:t>
      </w:r>
      <w:r>
        <w:rPr>
          <w:b/>
          <w:bCs/>
        </w:rPr>
        <w:t xml:space="preserve">inary Tract Infections (CAUTI): </w:t>
      </w:r>
      <w:r w:rsidRPr="00331C29">
        <w:rPr>
          <w:b/>
          <w:bCs/>
        </w:rPr>
        <w:t>Standard Utilization Ratio in Adult and Pediatric ICUs and Wards</w:t>
      </w:r>
    </w:p>
    <w:p w:rsidR="00D97761" w:rsidRPr="00D97761" w:rsidRDefault="00D97761" w:rsidP="00D97761">
      <w:r>
        <w:rPr>
          <w:noProof/>
        </w:rPr>
        <w:drawing>
          <wp:anchor distT="0" distB="0" distL="114300" distR="114300" simplePos="0" relativeHeight="251668480" behindDoc="0" locked="0" layoutInCell="1" allowOverlap="1" wp14:anchorId="6655CA60" wp14:editId="0441AC5B">
            <wp:simplePos x="0" y="0"/>
            <wp:positionH relativeFrom="column">
              <wp:posOffset>-709930</wp:posOffset>
            </wp:positionH>
            <wp:positionV relativeFrom="paragraph">
              <wp:posOffset>323215</wp:posOffset>
            </wp:positionV>
            <wp:extent cx="7286625" cy="2352675"/>
            <wp:effectExtent l="0" t="0" r="9525" b="9525"/>
            <wp:wrapSquare wrapText="bothSides"/>
            <wp:docPr id="12" name="Picture 12" descr="Two charts depicting the relationship between Standard Utilization Ratio and different hospital units. The left chart is data from adult ICU, while the right line chart is data from adult Ward." title="CAUTI Standard Utilization Ratio b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 Standard Utilization Ratio by Un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86625" cy="2352675"/>
                    </a:xfrm>
                    <a:prstGeom prst="rect">
                      <a:avLst/>
                    </a:prstGeom>
                  </pic:spPr>
                </pic:pic>
              </a:graphicData>
            </a:graphic>
            <wp14:sizeRelH relativeFrom="page">
              <wp14:pctWidth>0</wp14:pctWidth>
            </wp14:sizeRelH>
            <wp14:sizeRelV relativeFrom="page">
              <wp14:pctHeight>0</wp14:pctHeight>
            </wp14:sizeRelV>
          </wp:anchor>
        </w:drawing>
      </w:r>
      <w:r w:rsidRPr="00D97761">
        <w:rPr>
          <w:b/>
          <w:bCs/>
        </w:rPr>
        <w:t>CAUTI Standard Utilization Ratio (SUR) by Unit</w:t>
      </w:r>
    </w:p>
    <w:p w:rsidR="00331C29" w:rsidRDefault="00331C29" w:rsidP="00862976"/>
    <w:p w:rsidR="00331C29" w:rsidRDefault="00331C29" w:rsidP="00331C29">
      <w:r w:rsidRPr="00065F08">
        <w:rPr>
          <w:b/>
        </w:rPr>
        <w:t>Key</w:t>
      </w:r>
      <w:r>
        <w:t>:</w:t>
      </w:r>
    </w:p>
    <w:p w:rsidR="00331C29" w:rsidRPr="00331C29" w:rsidRDefault="00331C29" w:rsidP="00331C29">
      <w:r w:rsidRPr="00331C29">
        <w:t>Cardiac ICU</w:t>
      </w:r>
    </w:p>
    <w:p w:rsidR="00331C29" w:rsidRPr="00331C29" w:rsidRDefault="00331C29" w:rsidP="00331C29">
      <w:r w:rsidRPr="00331C29">
        <w:t>Cardiothoracic ICU</w:t>
      </w:r>
    </w:p>
    <w:p w:rsidR="00331C29" w:rsidRPr="00331C29" w:rsidRDefault="00331C29" w:rsidP="00331C29">
      <w:r w:rsidRPr="00331C29">
        <w:t>Pediatric ICU</w:t>
      </w:r>
    </w:p>
    <w:p w:rsidR="00331C29" w:rsidRPr="00331C29" w:rsidRDefault="00331C29" w:rsidP="00331C29">
      <w:r w:rsidRPr="00331C29">
        <w:t>Surgical ICU</w:t>
      </w:r>
    </w:p>
    <w:p w:rsidR="00331C29" w:rsidRDefault="00331C29" w:rsidP="00331C29">
      <w:r w:rsidRPr="00331C29">
        <w:t>Trauma ICU</w:t>
      </w:r>
      <w:r>
        <w:br/>
      </w:r>
    </w:p>
    <w:p w:rsidR="00331C29" w:rsidRPr="0066074B" w:rsidRDefault="00331C29" w:rsidP="00331C29">
      <w:r w:rsidRPr="0066074B">
        <w:rPr>
          <w:b/>
          <w:bCs/>
        </w:rPr>
        <w:t>Key Findings</w:t>
      </w:r>
    </w:p>
    <w:p w:rsidR="00331C29" w:rsidRDefault="00331C29" w:rsidP="00862976">
      <w:r w:rsidRPr="00331C29">
        <w:t>Five unit types experienced a significantly higher number of device days than predicted, based on 2015 national aggregate data.</w:t>
      </w:r>
    </w:p>
    <w:p w:rsidR="00D97761" w:rsidRDefault="00D97761">
      <w:r>
        <w:br w:type="page"/>
      </w:r>
    </w:p>
    <w:p w:rsidR="00D97761" w:rsidRDefault="00D97761" w:rsidP="00862976">
      <w:pPr>
        <w:rPr>
          <w:b/>
          <w:bCs/>
        </w:rPr>
      </w:pPr>
      <w:r>
        <w:rPr>
          <w:noProof/>
        </w:rPr>
        <w:lastRenderedPageBreak/>
        <w:drawing>
          <wp:anchor distT="0" distB="0" distL="114300" distR="114300" simplePos="0" relativeHeight="251669504" behindDoc="0" locked="0" layoutInCell="1" allowOverlap="1" wp14:anchorId="0A6E3FEA" wp14:editId="4296BD4A">
            <wp:simplePos x="0" y="0"/>
            <wp:positionH relativeFrom="column">
              <wp:posOffset>-669925</wp:posOffset>
            </wp:positionH>
            <wp:positionV relativeFrom="paragraph">
              <wp:posOffset>325120</wp:posOffset>
            </wp:positionV>
            <wp:extent cx="7347585" cy="3321050"/>
            <wp:effectExtent l="0" t="0" r="5715" b="0"/>
            <wp:wrapSquare wrapText="bothSides"/>
            <wp:docPr id="13" name="Picture 13" descr="Four charts: the top half of the image depicts ICU Pathogens for Calendar Year 2018 and Calendar Year 2019, and the bottom half of the image depicts Ward Pathogens for Calendar Year 2018 and Calendar Year 2019." title="CAUTI Adult &amp; Pediatric Pathogens for 2018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 Adult &amp; Pediatric Pathogens for 2018 and 2019.jpg"/>
                    <pic:cNvPicPr/>
                  </pic:nvPicPr>
                  <pic:blipFill rotWithShape="1">
                    <a:blip r:embed="rId22" cstate="print">
                      <a:extLst>
                        <a:ext uri="{28A0092B-C50C-407E-A947-70E740481C1C}">
                          <a14:useLocalDpi xmlns:a14="http://schemas.microsoft.com/office/drawing/2010/main" val="0"/>
                        </a:ext>
                      </a:extLst>
                    </a:blip>
                    <a:srcRect l="396" t="1" b="520"/>
                    <a:stretch/>
                  </pic:blipFill>
                  <pic:spPr bwMode="auto">
                    <a:xfrm>
                      <a:off x="0" y="0"/>
                      <a:ext cx="7347585" cy="332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761">
        <w:rPr>
          <w:b/>
          <w:bCs/>
        </w:rPr>
        <w:t>CAUTI Adult &amp; Pediatric Pathogen</w:t>
      </w:r>
      <w:r>
        <w:rPr>
          <w:b/>
          <w:bCs/>
        </w:rPr>
        <w:softHyphen/>
      </w:r>
      <w:r w:rsidRPr="00D97761">
        <w:rPr>
          <w:b/>
          <w:bCs/>
        </w:rPr>
        <w:t>s for 2018 and 2019</w:t>
      </w:r>
    </w:p>
    <w:p w:rsidR="00D97761" w:rsidRDefault="00D97761" w:rsidP="00862976"/>
    <w:p w:rsidR="00726A76" w:rsidRDefault="00726A76">
      <w:r>
        <w:br w:type="page"/>
      </w:r>
    </w:p>
    <w:p w:rsidR="00D97761" w:rsidRDefault="00726A76" w:rsidP="00862976">
      <w:pPr>
        <w:rPr>
          <w:b/>
          <w:bCs/>
        </w:rPr>
      </w:pPr>
      <w:r w:rsidRPr="00726A76">
        <w:rPr>
          <w:b/>
          <w:bCs/>
        </w:rPr>
        <w:lastRenderedPageBreak/>
        <w:t>State CAUTI SIR in ICU and Wards</w:t>
      </w:r>
    </w:p>
    <w:p w:rsidR="00726A76" w:rsidRDefault="00726A76" w:rsidP="00862976">
      <w:r>
        <w:rPr>
          <w:noProof/>
        </w:rPr>
        <w:drawing>
          <wp:inline distT="0" distB="0" distL="0" distR="0">
            <wp:extent cx="5943600" cy="3291840"/>
            <wp:effectExtent l="0" t="0" r="0" b="3810"/>
            <wp:docPr id="14" name="Picture 14" descr="Two line charts depicting the relationship between Standard Infection Ratio and Calendar Years 2015 through 2019. The left line chart is data from adult ICU, while the right line chart is data from adult Ward. Two different color lines on the charts indicate adult and pediatric data." title="State CAUTI SIR in ICU and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CAUTI SIR in ICU and Ward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291840"/>
                    </a:xfrm>
                    <a:prstGeom prst="rect">
                      <a:avLst/>
                    </a:prstGeom>
                  </pic:spPr>
                </pic:pic>
              </a:graphicData>
            </a:graphic>
          </wp:inline>
        </w:drawing>
      </w:r>
    </w:p>
    <w:p w:rsidR="00A26A3F" w:rsidRPr="00A26A3F" w:rsidRDefault="00A26A3F" w:rsidP="00A26A3F">
      <w:r w:rsidRPr="00A26A3F">
        <w:rPr>
          <w:b/>
          <w:bCs/>
        </w:rPr>
        <w:t>Key Findings</w:t>
      </w:r>
    </w:p>
    <w:p w:rsidR="00A26A3F" w:rsidRPr="00A26A3F" w:rsidRDefault="00A26A3F" w:rsidP="00A26A3F">
      <w:r w:rsidRPr="00A26A3F">
        <w:t xml:space="preserve">In 2019, adult ICUs experienced a significantly lower number of infections than predicted, based on 2015 national aggregate data. </w:t>
      </w:r>
    </w:p>
    <w:p w:rsidR="00A26A3F" w:rsidRPr="00A26A3F" w:rsidRDefault="00A26A3F" w:rsidP="00A26A3F">
      <w:r w:rsidRPr="00A26A3F">
        <w:t xml:space="preserve">Between 2017-2019, adult and pediatric Wards saw a decrease in the number </w:t>
      </w:r>
      <w:proofErr w:type="gramStart"/>
      <w:r w:rsidRPr="00A26A3F">
        <w:t>of  infections</w:t>
      </w:r>
      <w:proofErr w:type="gramEnd"/>
      <w:r w:rsidRPr="00A26A3F">
        <w:t xml:space="preserve"> but in 2019 were no different than predicted, based on 2015 national aggregate data.</w:t>
      </w:r>
    </w:p>
    <w:p w:rsidR="00726A76" w:rsidRDefault="00726A76">
      <w:r>
        <w:br w:type="page"/>
      </w:r>
    </w:p>
    <w:p w:rsidR="00726A76" w:rsidRDefault="00A26A3F" w:rsidP="00862976">
      <w:pPr>
        <w:rPr>
          <w:b/>
          <w:bCs/>
        </w:rPr>
      </w:pPr>
      <w:r w:rsidRPr="00A26A3F">
        <w:rPr>
          <w:b/>
          <w:bCs/>
        </w:rPr>
        <w:lastRenderedPageBreak/>
        <w:t>State CLABSI SUR in ICU and Wards</w:t>
      </w:r>
    </w:p>
    <w:p w:rsidR="00A26A3F" w:rsidRDefault="00A26A3F" w:rsidP="00A26A3F">
      <w:pPr>
        <w:rPr>
          <w:b/>
          <w:bCs/>
        </w:rPr>
      </w:pPr>
      <w:r>
        <w:rPr>
          <w:b/>
          <w:bCs/>
          <w:noProof/>
        </w:rPr>
        <w:drawing>
          <wp:inline distT="0" distB="0" distL="0" distR="0">
            <wp:extent cx="5943600" cy="3293110"/>
            <wp:effectExtent l="0" t="0" r="0" b="2540"/>
            <wp:docPr id="15" name="Picture 15" descr="Two line charts depicting the relationship between Standard Utilization Ratio and Calendar Years 2015 through 2019. The left line chart is data from adult ICU, while the right line chart is data from adult Ward. Two different color lines on the charts indicate adult and pediatric data." title="State CLABSI SUR in ICU and in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CLABSI SUR in ICU and Wards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rsidR="00A26A3F" w:rsidRPr="00A26A3F" w:rsidRDefault="00A26A3F" w:rsidP="00A26A3F">
      <w:r w:rsidRPr="00A26A3F">
        <w:rPr>
          <w:b/>
          <w:bCs/>
        </w:rPr>
        <w:t>Key Findings</w:t>
      </w:r>
    </w:p>
    <w:p w:rsidR="00A26A3F" w:rsidRPr="00A26A3F" w:rsidRDefault="00A26A3F" w:rsidP="00A26A3F">
      <w:r w:rsidRPr="00A26A3F">
        <w:t>In 2019, adult ICUs experienced a significantly lower number of device days than predicted, based on 2015 national aggregate data.</w:t>
      </w:r>
    </w:p>
    <w:p w:rsidR="00A26A3F" w:rsidRPr="00A26A3F" w:rsidRDefault="00A26A3F" w:rsidP="00A26A3F">
      <w:r w:rsidRPr="00A26A3F">
        <w:t xml:space="preserve">For the past two years, adult and pediatric Wards experienced a significantly lower number of device days than predicted, based on 2015 national aggregate data. </w:t>
      </w:r>
    </w:p>
    <w:p w:rsidR="00FB7EF3" w:rsidRDefault="00FB7EF3">
      <w:r>
        <w:br w:type="page"/>
      </w:r>
    </w:p>
    <w:p w:rsidR="00FB7EF3" w:rsidRDefault="00FB7EF3" w:rsidP="00862976">
      <w:pPr>
        <w:rPr>
          <w:b/>
          <w:bCs/>
          <w:i/>
          <w:iCs/>
        </w:rPr>
      </w:pPr>
      <w:r>
        <w:rPr>
          <w:bCs/>
          <w:iCs/>
          <w:noProof/>
        </w:rPr>
        <w:lastRenderedPageBreak/>
        <w:drawing>
          <wp:anchor distT="0" distB="0" distL="114300" distR="114300" simplePos="0" relativeHeight="251670528" behindDoc="0" locked="0" layoutInCell="1" allowOverlap="1" wp14:anchorId="5C1A4FD4" wp14:editId="78757238">
            <wp:simplePos x="0" y="0"/>
            <wp:positionH relativeFrom="column">
              <wp:posOffset>0</wp:posOffset>
            </wp:positionH>
            <wp:positionV relativeFrom="paragraph">
              <wp:posOffset>581660</wp:posOffset>
            </wp:positionV>
            <wp:extent cx="5943600" cy="3847465"/>
            <wp:effectExtent l="0" t="0" r="0" b="635"/>
            <wp:wrapSquare wrapText="bothSides"/>
            <wp:docPr id="16" name="Picture 16" descr="Two charts: The top chart depicts the relationship between Coronary Artery Bypass Graft (CABG) Standard Utilization Ratio and the calendar years 2015 through 2019. The bottom chart depicts the relationship between Colon Procedure (COLO) Standard Utilization Ratio and the calendar years 2015 through 2019." title="Coronary Artery Bypass Graft SIR and Colon Procedure 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G SIR and COLO SI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847465"/>
                    </a:xfrm>
                    <a:prstGeom prst="rect">
                      <a:avLst/>
                    </a:prstGeom>
                  </pic:spPr>
                </pic:pic>
              </a:graphicData>
            </a:graphic>
            <wp14:sizeRelH relativeFrom="page">
              <wp14:pctWidth>0</wp14:pctWidth>
            </wp14:sizeRelH>
            <wp14:sizeRelV relativeFrom="page">
              <wp14:pctHeight>0</wp14:pctHeight>
            </wp14:sizeRelV>
          </wp:anchor>
        </w:drawing>
      </w:r>
      <w:r w:rsidRPr="00FB7EF3">
        <w:rPr>
          <w:b/>
          <w:bCs/>
        </w:rPr>
        <w:t>Surgical Site Infections (SSI</w:t>
      </w:r>
      <w:proofErr w:type="gramStart"/>
      <w:r w:rsidRPr="00FB7EF3">
        <w:rPr>
          <w:b/>
          <w:bCs/>
        </w:rPr>
        <w:t>)</w:t>
      </w:r>
      <w:proofErr w:type="gramEnd"/>
      <w:r w:rsidRPr="00FB7EF3">
        <w:rPr>
          <w:b/>
          <w:bCs/>
        </w:rPr>
        <w:br/>
      </w:r>
      <w:r w:rsidRPr="00FB7EF3">
        <w:rPr>
          <w:b/>
          <w:bCs/>
          <w:i/>
          <w:iCs/>
        </w:rPr>
        <w:t>Coronary Artery Bypass Graft (CABG) SIR and Colon Procedure (COLO) SIR</w:t>
      </w:r>
    </w:p>
    <w:p w:rsidR="00FB7EF3" w:rsidRDefault="00FB7EF3" w:rsidP="00862976">
      <w:pPr>
        <w:rPr>
          <w:bCs/>
          <w:iCs/>
        </w:rPr>
      </w:pPr>
    </w:p>
    <w:p w:rsidR="00FB7EF3" w:rsidRPr="00FB7EF3" w:rsidRDefault="00FB7EF3" w:rsidP="00FB7EF3">
      <w:r w:rsidRPr="00FB7EF3">
        <w:rPr>
          <w:b/>
          <w:bCs/>
        </w:rPr>
        <w:t>Key Findings</w:t>
      </w:r>
    </w:p>
    <w:p w:rsidR="00FB7EF3" w:rsidRPr="00FB7EF3" w:rsidRDefault="00FB7EF3" w:rsidP="00FB7EF3">
      <w:r>
        <w:t>For the past five years,</w:t>
      </w:r>
      <w:r w:rsidRPr="00FB7EF3">
        <w:t xml:space="preserve"> MA acute care hospitals performing coronary artery bypass graft procedures (CABG) and colon procedures (COLO) experienced the same number of infections as </w:t>
      </w:r>
      <w:proofErr w:type="gramStart"/>
      <w:r w:rsidRPr="00FB7EF3">
        <w:t>predicted,</w:t>
      </w:r>
      <w:proofErr w:type="gramEnd"/>
      <w:r w:rsidRPr="00FB7EF3">
        <w:t xml:space="preserve"> based on 2015 national aggregate data.</w:t>
      </w:r>
    </w:p>
    <w:p w:rsidR="00FB7EF3" w:rsidRPr="00FB7EF3" w:rsidRDefault="00FB7EF3" w:rsidP="00FB7EF3">
      <w:r w:rsidRPr="00FB7EF3">
        <w:t xml:space="preserve">There were 31 CABG SSIs reported in 2019.   </w:t>
      </w:r>
    </w:p>
    <w:p w:rsidR="00FB7EF3" w:rsidRDefault="00FB7EF3" w:rsidP="00FB7EF3">
      <w:r w:rsidRPr="00FB7EF3">
        <w:t>There were 182 COLO SSIs reported in 2019.</w:t>
      </w:r>
    </w:p>
    <w:p w:rsidR="00BF34F6" w:rsidRDefault="00BF34F6">
      <w:r>
        <w:br w:type="page"/>
      </w:r>
    </w:p>
    <w:p w:rsidR="00BF34F6" w:rsidRDefault="00BF34F6" w:rsidP="00FB7EF3">
      <w:pPr>
        <w:rPr>
          <w:b/>
          <w:bCs/>
          <w:i/>
          <w:iCs/>
        </w:rPr>
      </w:pPr>
      <w:r w:rsidRPr="00BF34F6">
        <w:rPr>
          <w:b/>
          <w:bCs/>
        </w:rPr>
        <w:lastRenderedPageBreak/>
        <w:t>Surgical Site Infections (SSI</w:t>
      </w:r>
      <w:proofErr w:type="gramStart"/>
      <w:r w:rsidRPr="00BF34F6">
        <w:rPr>
          <w:b/>
          <w:bCs/>
        </w:rPr>
        <w:t>)</w:t>
      </w:r>
      <w:proofErr w:type="gramEnd"/>
      <w:r w:rsidRPr="00BF34F6">
        <w:rPr>
          <w:b/>
          <w:bCs/>
        </w:rPr>
        <w:br/>
      </w:r>
      <w:r w:rsidRPr="00BF34F6">
        <w:rPr>
          <w:b/>
          <w:bCs/>
          <w:i/>
          <w:iCs/>
        </w:rPr>
        <w:t>Knee Prosthesis (KPRO) SIR and Hip Prosthesis (HPRO) SIR</w:t>
      </w:r>
    </w:p>
    <w:p w:rsidR="00BF34F6" w:rsidRDefault="00BF34F6" w:rsidP="00BF34F6">
      <w:pPr>
        <w:rPr>
          <w:b/>
          <w:bCs/>
        </w:rPr>
      </w:pPr>
      <w:r>
        <w:rPr>
          <w:b/>
          <w:bCs/>
          <w:noProof/>
        </w:rPr>
        <w:drawing>
          <wp:inline distT="0" distB="0" distL="0" distR="0">
            <wp:extent cx="5943600" cy="3821430"/>
            <wp:effectExtent l="0" t="0" r="0" b="7620"/>
            <wp:docPr id="17" name="Picture 17" descr="Two charts: The top chart depicts the relationship between Knee Prosthesis (KPRO) Standard Utilization Ratio and the calendar years 2015 through 2019. The bottom chart depicts the relationship between Hip Prosthesis (HPRO) Standard Utilization Ratio and the calendar years 2015 through 2019." title="Knee Prosthesis (KPRO) SIR and Hip Prosthesis (HPRO) 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 Prosthesis SIR and Hip Prosthesis SI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821430"/>
                    </a:xfrm>
                    <a:prstGeom prst="rect">
                      <a:avLst/>
                    </a:prstGeom>
                  </pic:spPr>
                </pic:pic>
              </a:graphicData>
            </a:graphic>
          </wp:inline>
        </w:drawing>
      </w:r>
    </w:p>
    <w:p w:rsidR="00BF34F6" w:rsidRPr="00BF34F6" w:rsidRDefault="00BF34F6" w:rsidP="00BF34F6">
      <w:r w:rsidRPr="00BF34F6">
        <w:rPr>
          <w:b/>
          <w:bCs/>
        </w:rPr>
        <w:t>Key Findings</w:t>
      </w:r>
    </w:p>
    <w:p w:rsidR="00BF34F6" w:rsidRPr="00BF34F6" w:rsidRDefault="00BF34F6" w:rsidP="00BF34F6">
      <w:r w:rsidRPr="00BF34F6">
        <w:t xml:space="preserve">For the past two years, Massachusetts acute care hospitals performing knee prosthesis procedures (KPRO) experienced significantly higher number of infections than </w:t>
      </w:r>
      <w:proofErr w:type="gramStart"/>
      <w:r w:rsidRPr="00BF34F6">
        <w:t>predicted,</w:t>
      </w:r>
      <w:proofErr w:type="gramEnd"/>
      <w:r w:rsidRPr="00BF34F6">
        <w:t xml:space="preserve"> based on 2015 national aggregate data.</w:t>
      </w:r>
    </w:p>
    <w:p w:rsidR="00BF34F6" w:rsidRPr="00BF34F6" w:rsidRDefault="00BF34F6" w:rsidP="00BF34F6">
      <w:r w:rsidRPr="00BF34F6">
        <w:t>There were 83 KPRO SSIs reported in 2019.</w:t>
      </w:r>
    </w:p>
    <w:p w:rsidR="00BF34F6" w:rsidRPr="00BF34F6" w:rsidRDefault="00BF34F6" w:rsidP="00BF34F6">
      <w:r w:rsidRPr="00BF34F6">
        <w:t>There were 80 HPRO SSIs reported in 2019.</w:t>
      </w:r>
    </w:p>
    <w:p w:rsidR="003253BD" w:rsidRDefault="003253BD">
      <w:r>
        <w:br w:type="page"/>
      </w:r>
    </w:p>
    <w:p w:rsidR="00BF34F6" w:rsidRDefault="003755C3" w:rsidP="00FB7EF3">
      <w:pPr>
        <w:rPr>
          <w:b/>
          <w:bCs/>
          <w:i/>
          <w:iCs/>
        </w:rPr>
      </w:pPr>
      <w:r w:rsidRPr="003755C3">
        <w:rPr>
          <w:b/>
          <w:bCs/>
        </w:rPr>
        <w:lastRenderedPageBreak/>
        <w:t>Surgical Site Infections (SSI</w:t>
      </w:r>
      <w:proofErr w:type="gramStart"/>
      <w:r w:rsidRPr="003755C3">
        <w:rPr>
          <w:b/>
          <w:bCs/>
        </w:rPr>
        <w:t>)</w:t>
      </w:r>
      <w:proofErr w:type="gramEnd"/>
      <w:r w:rsidRPr="003755C3">
        <w:rPr>
          <w:b/>
          <w:bCs/>
        </w:rPr>
        <w:br/>
      </w:r>
      <w:r w:rsidRPr="003755C3">
        <w:rPr>
          <w:b/>
          <w:bCs/>
          <w:i/>
          <w:iCs/>
        </w:rPr>
        <w:t>Abdominal Hysterectomy (HYST) SIR and Vaginal Hysterectomy (VHYS) SIR</w:t>
      </w:r>
    </w:p>
    <w:p w:rsidR="003755C3" w:rsidRDefault="002913B7" w:rsidP="003755C3">
      <w:pPr>
        <w:rPr>
          <w:b/>
          <w:bCs/>
        </w:rPr>
      </w:pPr>
      <w:r>
        <w:rPr>
          <w:b/>
          <w:bCs/>
          <w:noProof/>
        </w:rPr>
        <w:drawing>
          <wp:inline distT="0" distB="0" distL="0" distR="0">
            <wp:extent cx="5943600" cy="3620770"/>
            <wp:effectExtent l="0" t="0" r="0" b="0"/>
            <wp:docPr id="18" name="Picture 18" descr="The top chart depicts the relationship between Abdominal Hysterectomy (HYST) Standard Utilization Ratio and the calendar years 2015 through 2019. The bottom chart depicts the relationship between Vaginal Hysterectomy (VHYS) Standard Utilization Ratio and the calendar years 2015 through 2019." title="Abdominal Hysterectomy (HYST) SIR and Vaginal Hysterectomy (VHYS) 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ominal Hysterectomy HYST SIR and Vaginal Hysterectomy VHYS SI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620770"/>
                    </a:xfrm>
                    <a:prstGeom prst="rect">
                      <a:avLst/>
                    </a:prstGeom>
                  </pic:spPr>
                </pic:pic>
              </a:graphicData>
            </a:graphic>
          </wp:inline>
        </w:drawing>
      </w:r>
    </w:p>
    <w:p w:rsidR="003755C3" w:rsidRDefault="003755C3" w:rsidP="003755C3">
      <w:pPr>
        <w:rPr>
          <w:b/>
          <w:bCs/>
        </w:rPr>
      </w:pPr>
    </w:p>
    <w:p w:rsidR="003755C3" w:rsidRPr="003755C3" w:rsidRDefault="003755C3" w:rsidP="003755C3">
      <w:r w:rsidRPr="003755C3">
        <w:rPr>
          <w:b/>
          <w:bCs/>
        </w:rPr>
        <w:t>Key Findings</w:t>
      </w:r>
    </w:p>
    <w:p w:rsidR="003755C3" w:rsidRPr="003755C3" w:rsidRDefault="003755C3" w:rsidP="003755C3">
      <w:r w:rsidRPr="003755C3">
        <w:t xml:space="preserve">In 2019, Massachusetts acute care hospitals performing vaginal </w:t>
      </w:r>
      <w:proofErr w:type="gramStart"/>
      <w:r w:rsidRPr="003755C3">
        <w:t>hysterectomy  (</w:t>
      </w:r>
      <w:proofErr w:type="gramEnd"/>
      <w:r w:rsidRPr="003755C3">
        <w:t>VHYS) procedures experienced significantly higher number of infections than predicted, based on 2015 national aggregate data.</w:t>
      </w:r>
    </w:p>
    <w:p w:rsidR="003755C3" w:rsidRPr="003755C3" w:rsidRDefault="003755C3" w:rsidP="003755C3">
      <w:r w:rsidRPr="003755C3">
        <w:t xml:space="preserve">There were 40 HYST SSIs reported in 2019. </w:t>
      </w:r>
    </w:p>
    <w:p w:rsidR="003755C3" w:rsidRPr="003755C3" w:rsidRDefault="003755C3" w:rsidP="003755C3">
      <w:r w:rsidRPr="003755C3">
        <w:t>There were 13 VHYS SSIs reported in 2019.</w:t>
      </w:r>
    </w:p>
    <w:p w:rsidR="002913B7" w:rsidRDefault="002913B7">
      <w:r>
        <w:br w:type="page"/>
      </w:r>
    </w:p>
    <w:p w:rsidR="00FB7EF3" w:rsidRDefault="008914D7" w:rsidP="00862976">
      <w:pPr>
        <w:rPr>
          <w:i/>
          <w:iCs/>
        </w:rPr>
      </w:pPr>
      <w:r w:rsidRPr="008914D7">
        <w:rPr>
          <w:b/>
          <w:bCs/>
        </w:rPr>
        <w:lastRenderedPageBreak/>
        <w:t>SSI Pathogens for 2018-2019</w:t>
      </w:r>
      <w:r w:rsidRPr="008914D7">
        <w:rPr>
          <w:b/>
          <w:bCs/>
        </w:rPr>
        <w:br/>
      </w:r>
      <w:r w:rsidRPr="008914D7">
        <w:rPr>
          <w:i/>
          <w:iCs/>
        </w:rPr>
        <w:t>CABG, KPRO, HPRO, HYST, VHYS, COLO</w:t>
      </w:r>
    </w:p>
    <w:p w:rsidR="008914D7" w:rsidRDefault="008914D7" w:rsidP="00862976">
      <w:r>
        <w:rPr>
          <w:noProof/>
        </w:rPr>
        <w:drawing>
          <wp:inline distT="0" distB="0" distL="0" distR="0">
            <wp:extent cx="3371180" cy="3132814"/>
            <wp:effectExtent l="76200" t="76200" r="134620" b="125095"/>
            <wp:docPr id="19" name="Picture 19" descr="A circle graph depicting the percentages of various Surgical Site Infection (SSI) pathogens reported during the Calendar Year 2018 (Jan. 1 – Dec. 31)." title="Calendar Year 2018 SSI Patho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 Calendar Year 20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1435" cy="3133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0455" w:rsidRDefault="005F0455" w:rsidP="00862976"/>
    <w:p w:rsidR="005F0455" w:rsidRDefault="005F0455" w:rsidP="00862976">
      <w:r>
        <w:rPr>
          <w:noProof/>
        </w:rPr>
        <w:drawing>
          <wp:inline distT="0" distB="0" distL="0" distR="0">
            <wp:extent cx="3393247" cy="3214654"/>
            <wp:effectExtent l="76200" t="76200" r="131445" b="138430"/>
            <wp:docPr id="20" name="Picture 20" descr="A circle graph depicting the percentages of various Surgical Site Infection (SSI) pathogens reported during the Calendar Year 2019 (Jan. 1 – Dec. 31)." title="Calendar Year 2019 SSI Patho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 Calendar Year 2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3562" cy="3214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0455" w:rsidRDefault="005F0455">
      <w:r>
        <w:br w:type="page"/>
      </w:r>
    </w:p>
    <w:p w:rsidR="005F0455" w:rsidRDefault="0094117A" w:rsidP="00862976">
      <w:pPr>
        <w:rPr>
          <w:b/>
          <w:bCs/>
        </w:rPr>
      </w:pPr>
      <w:r>
        <w:rPr>
          <w:noProof/>
        </w:rPr>
        <w:lastRenderedPageBreak/>
        <w:drawing>
          <wp:anchor distT="0" distB="0" distL="114300" distR="114300" simplePos="0" relativeHeight="251671552" behindDoc="0" locked="0" layoutInCell="1" allowOverlap="1" wp14:anchorId="3C256685" wp14:editId="01DAC719">
            <wp:simplePos x="0" y="0"/>
            <wp:positionH relativeFrom="column">
              <wp:posOffset>-607060</wp:posOffset>
            </wp:positionH>
            <wp:positionV relativeFrom="paragraph">
              <wp:posOffset>709930</wp:posOffset>
            </wp:positionV>
            <wp:extent cx="7262495" cy="2404745"/>
            <wp:effectExtent l="0" t="0" r="0" b="0"/>
            <wp:wrapSquare wrapText="bothSides"/>
            <wp:docPr id="21" name="Picture 21" descr="A chart depicting the relationship between trends rated as statistically higher, the same, or lower than predicted and six different Surgical Site Infection (SSI) pathogens from the Calendar Years 2015 to 2019.&#10;" title="Statewide SSI Trend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wide SSI Trends by Year 2015-20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2495" cy="2404745"/>
                    </a:xfrm>
                    <a:prstGeom prst="rect">
                      <a:avLst/>
                    </a:prstGeom>
                  </pic:spPr>
                </pic:pic>
              </a:graphicData>
            </a:graphic>
            <wp14:sizeRelH relativeFrom="margin">
              <wp14:pctWidth>0</wp14:pctWidth>
            </wp14:sizeRelH>
            <wp14:sizeRelV relativeFrom="margin">
              <wp14:pctHeight>0</wp14:pctHeight>
            </wp14:sizeRelV>
          </wp:anchor>
        </w:drawing>
      </w:r>
      <w:r w:rsidRPr="0094117A">
        <w:rPr>
          <w:b/>
          <w:bCs/>
        </w:rPr>
        <w:t>Statewide SSI Trends by Year</w:t>
      </w:r>
      <w:r w:rsidRPr="0094117A">
        <w:rPr>
          <w:b/>
          <w:bCs/>
        </w:rPr>
        <w:br/>
        <w:t>2015-2019</w:t>
      </w:r>
    </w:p>
    <w:p w:rsidR="00825C08" w:rsidRDefault="00825C08">
      <w:r>
        <w:br w:type="page"/>
      </w:r>
    </w:p>
    <w:p w:rsidR="0094117A" w:rsidRDefault="00B362F3" w:rsidP="00862976">
      <w:pPr>
        <w:rPr>
          <w:b/>
          <w:bCs/>
          <w:i/>
          <w:iCs/>
        </w:rPr>
      </w:pPr>
      <w:r w:rsidRPr="00B362F3">
        <w:rPr>
          <w:b/>
          <w:bCs/>
        </w:rPr>
        <w:lastRenderedPageBreak/>
        <w:t>Laboratory Identified Events (</w:t>
      </w:r>
      <w:proofErr w:type="spellStart"/>
      <w:r w:rsidRPr="00B362F3">
        <w:rPr>
          <w:b/>
          <w:bCs/>
        </w:rPr>
        <w:t>LabID</w:t>
      </w:r>
      <w:proofErr w:type="spellEnd"/>
      <w:proofErr w:type="gramStart"/>
      <w:r w:rsidRPr="00B362F3">
        <w:rPr>
          <w:b/>
          <w:bCs/>
        </w:rPr>
        <w:t>)</w:t>
      </w:r>
      <w:proofErr w:type="gramEnd"/>
      <w:r w:rsidRPr="00B362F3">
        <w:rPr>
          <w:b/>
          <w:bCs/>
        </w:rPr>
        <w:br/>
      </w:r>
      <w:proofErr w:type="spellStart"/>
      <w:r w:rsidRPr="00B362F3">
        <w:rPr>
          <w:b/>
          <w:bCs/>
          <w:i/>
          <w:iCs/>
        </w:rPr>
        <w:t>Clostridioides</w:t>
      </w:r>
      <w:proofErr w:type="spellEnd"/>
      <w:r w:rsidRPr="00B362F3">
        <w:rPr>
          <w:b/>
          <w:bCs/>
          <w:i/>
          <w:iCs/>
        </w:rPr>
        <w:t xml:space="preserve"> difficile (CDI) SIR</w:t>
      </w:r>
    </w:p>
    <w:p w:rsidR="00B362F3" w:rsidRDefault="00B362F3" w:rsidP="00B362F3">
      <w:pPr>
        <w:rPr>
          <w:b/>
          <w:bCs/>
        </w:rPr>
      </w:pPr>
      <w:r>
        <w:rPr>
          <w:b/>
          <w:bCs/>
          <w:noProof/>
        </w:rPr>
        <w:drawing>
          <wp:inline distT="0" distB="0" distL="0" distR="0">
            <wp:extent cx="5943600" cy="3801745"/>
            <wp:effectExtent l="0" t="0" r="0" b="8255"/>
            <wp:docPr id="22" name="Picture 22" descr="A graph depicting the relationship between the Calendar Years 2015 to 2019 and Clostridioides difficile (CDI) &#10;Standard Utilization Ratio.&#10;" title="Laboratory Identified Events - C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y Identified Events.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801745"/>
                    </a:xfrm>
                    <a:prstGeom prst="rect">
                      <a:avLst/>
                    </a:prstGeom>
                  </pic:spPr>
                </pic:pic>
              </a:graphicData>
            </a:graphic>
          </wp:inline>
        </w:drawing>
      </w:r>
    </w:p>
    <w:p w:rsidR="00B362F3" w:rsidRPr="00B362F3" w:rsidRDefault="00B362F3" w:rsidP="00B362F3">
      <w:r w:rsidRPr="00B362F3">
        <w:rPr>
          <w:b/>
          <w:bCs/>
        </w:rPr>
        <w:t>Key Findings</w:t>
      </w:r>
    </w:p>
    <w:p w:rsidR="00B362F3" w:rsidRPr="00B362F3" w:rsidRDefault="00B362F3" w:rsidP="00B362F3">
      <w:r w:rsidRPr="00B362F3">
        <w:t xml:space="preserve">For the past three years, Massachusetts hospitals reporting CDI events experienced significantly lower number of infections than </w:t>
      </w:r>
      <w:proofErr w:type="gramStart"/>
      <w:r w:rsidRPr="00B362F3">
        <w:t>predicted,</w:t>
      </w:r>
      <w:proofErr w:type="gramEnd"/>
      <w:r w:rsidRPr="00B362F3">
        <w:t xml:space="preserve"> based on 2015 national aggregate data.</w:t>
      </w:r>
    </w:p>
    <w:p w:rsidR="00B362F3" w:rsidRDefault="00B362F3" w:rsidP="00B362F3">
      <w:r w:rsidRPr="00B362F3">
        <w:t>There were 1,605 CDI events reported in 2019.</w:t>
      </w:r>
    </w:p>
    <w:p w:rsidR="00B362F3" w:rsidRDefault="00B362F3">
      <w:r>
        <w:br w:type="page"/>
      </w:r>
    </w:p>
    <w:p w:rsidR="00B362F3" w:rsidRDefault="00B362F3" w:rsidP="00B362F3">
      <w:pPr>
        <w:rPr>
          <w:b/>
          <w:bCs/>
          <w:i/>
          <w:iCs/>
        </w:rPr>
      </w:pPr>
      <w:r w:rsidRPr="00B362F3">
        <w:rPr>
          <w:b/>
          <w:bCs/>
        </w:rPr>
        <w:lastRenderedPageBreak/>
        <w:t>Laboratory Identified Events (</w:t>
      </w:r>
      <w:proofErr w:type="spellStart"/>
      <w:r w:rsidRPr="00B362F3">
        <w:rPr>
          <w:b/>
          <w:bCs/>
        </w:rPr>
        <w:t>LabID</w:t>
      </w:r>
      <w:proofErr w:type="spellEnd"/>
      <w:r w:rsidRPr="00B362F3">
        <w:rPr>
          <w:b/>
          <w:bCs/>
        </w:rPr>
        <w:t xml:space="preserve">) </w:t>
      </w:r>
      <w:r w:rsidRPr="00B362F3">
        <w:rPr>
          <w:b/>
          <w:bCs/>
        </w:rPr>
        <w:br/>
      </w:r>
      <w:r w:rsidRPr="00B362F3">
        <w:rPr>
          <w:b/>
          <w:bCs/>
          <w:i/>
          <w:iCs/>
        </w:rPr>
        <w:t>Methicillin-resistant Staphylococcus aureus (MRSA) SIR</w:t>
      </w:r>
    </w:p>
    <w:p w:rsidR="00B362F3" w:rsidRPr="00B362F3" w:rsidRDefault="00B362F3" w:rsidP="00B362F3">
      <w:pPr>
        <w:rPr>
          <w:bCs/>
        </w:rPr>
      </w:pPr>
      <w:r>
        <w:rPr>
          <w:bCs/>
          <w:noProof/>
        </w:rPr>
        <w:drawing>
          <wp:inline distT="0" distB="0" distL="0" distR="0">
            <wp:extent cx="5943600" cy="3670300"/>
            <wp:effectExtent l="0" t="0" r="0" b="6350"/>
            <wp:docPr id="23" name="Picture 23" descr="A graph depicting the relationship between the Calendar Years 2015 to 2019 and Methicillin-resistant Staphylococcus aureus Standard Utilization Ratio." title="Laboratory Identified Events - M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y Identified Events - MRS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670300"/>
                    </a:xfrm>
                    <a:prstGeom prst="rect">
                      <a:avLst/>
                    </a:prstGeom>
                  </pic:spPr>
                </pic:pic>
              </a:graphicData>
            </a:graphic>
          </wp:inline>
        </w:drawing>
      </w:r>
    </w:p>
    <w:p w:rsidR="00B362F3" w:rsidRDefault="00B362F3" w:rsidP="00B362F3">
      <w:pPr>
        <w:rPr>
          <w:b/>
          <w:bCs/>
        </w:rPr>
      </w:pPr>
    </w:p>
    <w:p w:rsidR="00B362F3" w:rsidRPr="00B362F3" w:rsidRDefault="00B362F3" w:rsidP="00B362F3">
      <w:r w:rsidRPr="00B362F3">
        <w:rPr>
          <w:b/>
          <w:bCs/>
        </w:rPr>
        <w:t>Key Findings</w:t>
      </w:r>
    </w:p>
    <w:p w:rsidR="00B362F3" w:rsidRPr="00B362F3" w:rsidRDefault="00B362F3" w:rsidP="00B362F3">
      <w:r>
        <w:t xml:space="preserve">For the past five years, </w:t>
      </w:r>
      <w:r w:rsidRPr="00B362F3">
        <w:t xml:space="preserve">Massachusetts acute care hospitals reporting MRSA events experienced significantly lower number of infections than </w:t>
      </w:r>
      <w:proofErr w:type="gramStart"/>
      <w:r w:rsidRPr="00B362F3">
        <w:t>predicted,</w:t>
      </w:r>
      <w:proofErr w:type="gramEnd"/>
      <w:r w:rsidRPr="00B362F3">
        <w:t xml:space="preserve"> based on 2015 national aggregate data.</w:t>
      </w:r>
      <w:r w:rsidRPr="00B362F3">
        <w:br/>
        <w:t xml:space="preserve">There were 181 MRSA events reported in 2019. </w:t>
      </w:r>
    </w:p>
    <w:p w:rsidR="00DB5E61" w:rsidRDefault="00DB5E61">
      <w:r>
        <w:br w:type="page"/>
      </w:r>
    </w:p>
    <w:p w:rsidR="00B362F3" w:rsidRDefault="00DB5E61" w:rsidP="00B362F3">
      <w:r>
        <w:rPr>
          <w:noProof/>
        </w:rPr>
        <w:lastRenderedPageBreak/>
        <w:drawing>
          <wp:anchor distT="0" distB="0" distL="114300" distR="114300" simplePos="0" relativeHeight="251672576" behindDoc="0" locked="0" layoutInCell="1" allowOverlap="1" wp14:anchorId="0FAA62F9" wp14:editId="16A3A1C2">
            <wp:simplePos x="0" y="0"/>
            <wp:positionH relativeFrom="column">
              <wp:posOffset>-637540</wp:posOffset>
            </wp:positionH>
            <wp:positionV relativeFrom="paragraph">
              <wp:posOffset>645160</wp:posOffset>
            </wp:positionV>
            <wp:extent cx="7231380" cy="2573655"/>
            <wp:effectExtent l="0" t="0" r="7620" b="0"/>
            <wp:wrapSquare wrapText="bothSides"/>
            <wp:docPr id="24" name="Picture 24" descr="A chart depicting the relationship between trends rated as statistically higher, the same, or lower than predicted and CDI and MRSA from the Calendar Years 2015 to 2019." title="Statewide Laboratory Identified Events Trend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wide Laboratory Identified Events Trends by Ye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31380" cy="2573655"/>
                    </a:xfrm>
                    <a:prstGeom prst="rect">
                      <a:avLst/>
                    </a:prstGeom>
                  </pic:spPr>
                </pic:pic>
              </a:graphicData>
            </a:graphic>
            <wp14:sizeRelH relativeFrom="margin">
              <wp14:pctWidth>0</wp14:pctWidth>
            </wp14:sizeRelH>
            <wp14:sizeRelV relativeFrom="margin">
              <wp14:pctHeight>0</wp14:pctHeight>
            </wp14:sizeRelV>
          </wp:anchor>
        </w:drawing>
      </w:r>
      <w:r w:rsidRPr="00DB5E61">
        <w:rPr>
          <w:b/>
          <w:bCs/>
        </w:rPr>
        <w:t xml:space="preserve">Statewide </w:t>
      </w:r>
      <w:proofErr w:type="spellStart"/>
      <w:r w:rsidRPr="00DB5E61">
        <w:rPr>
          <w:b/>
          <w:bCs/>
        </w:rPr>
        <w:t>LabID</w:t>
      </w:r>
      <w:proofErr w:type="spellEnd"/>
      <w:r w:rsidRPr="00DB5E61">
        <w:rPr>
          <w:b/>
          <w:bCs/>
        </w:rPr>
        <w:t xml:space="preserve"> Trends by Year</w:t>
      </w:r>
      <w:r w:rsidRPr="00DB5E61">
        <w:rPr>
          <w:b/>
          <w:bCs/>
        </w:rPr>
        <w:br/>
      </w:r>
      <w:r w:rsidRPr="00DB5E61">
        <w:t>2015-2019</w:t>
      </w:r>
    </w:p>
    <w:p w:rsidR="00DB5E61" w:rsidRPr="00B362F3" w:rsidRDefault="00DB5E61" w:rsidP="00B362F3"/>
    <w:p w:rsidR="00DB5E61" w:rsidRDefault="00DB5E61">
      <w:r>
        <w:br w:type="page"/>
      </w:r>
    </w:p>
    <w:p w:rsidR="00B362F3" w:rsidRDefault="00DB5E61" w:rsidP="00862976">
      <w:pPr>
        <w:rPr>
          <w:b/>
          <w:bCs/>
        </w:rPr>
      </w:pPr>
      <w:r w:rsidRPr="00DB5E61">
        <w:rPr>
          <w:b/>
          <w:bCs/>
        </w:rPr>
        <w:lastRenderedPageBreak/>
        <w:t>DPH HAI Prevention Activities</w:t>
      </w:r>
    </w:p>
    <w:p w:rsidR="00000000" w:rsidRPr="00DB5E61" w:rsidRDefault="00970E6B" w:rsidP="00DB5E61">
      <w:pPr>
        <w:numPr>
          <w:ilvl w:val="0"/>
          <w:numId w:val="8"/>
        </w:numPr>
      </w:pPr>
      <w:r w:rsidRPr="00DB5E61">
        <w:t xml:space="preserve">Implemented </w:t>
      </w:r>
      <w:r w:rsidRPr="00DB5E61">
        <w:t xml:space="preserve">new reporting requirements for CLABSI and CAUTI from non-acute care hospitals, public health hospitals, and out-of-hospital dialysis units.  </w:t>
      </w:r>
    </w:p>
    <w:p w:rsidR="00000000" w:rsidRPr="00DB5E61" w:rsidRDefault="00970E6B" w:rsidP="00DB5E61">
      <w:pPr>
        <w:numPr>
          <w:ilvl w:val="0"/>
          <w:numId w:val="8"/>
        </w:numPr>
      </w:pPr>
      <w:r w:rsidRPr="00DB5E61">
        <w:t>Began external data validation of methicillin re</w:t>
      </w:r>
      <w:r w:rsidRPr="00DB5E61">
        <w:t xml:space="preserve">sistant Staphylococcus aureus and </w:t>
      </w:r>
      <w:proofErr w:type="spellStart"/>
      <w:r w:rsidRPr="00DB5E61">
        <w:rPr>
          <w:i/>
          <w:iCs/>
        </w:rPr>
        <w:t>Clostridioides</w:t>
      </w:r>
      <w:proofErr w:type="spellEnd"/>
      <w:r w:rsidRPr="00DB5E61">
        <w:rPr>
          <w:i/>
          <w:iCs/>
        </w:rPr>
        <w:t xml:space="preserve"> difficile </w:t>
      </w:r>
      <w:r w:rsidRPr="00DB5E61">
        <w:t>infections, at 13 non-acute care hospitals, and dialysis event d</w:t>
      </w:r>
      <w:r w:rsidRPr="00DB5E61">
        <w:t xml:space="preserve">ata, at 20 outpatient-dialysis facilities. </w:t>
      </w:r>
    </w:p>
    <w:p w:rsidR="00000000" w:rsidRPr="00DB5E61" w:rsidRDefault="00970E6B" w:rsidP="00DB5E61">
      <w:pPr>
        <w:numPr>
          <w:ilvl w:val="0"/>
          <w:numId w:val="8"/>
        </w:numPr>
      </w:pPr>
      <w:r w:rsidRPr="00DB5E61">
        <w:t>Three hemodialysis infection prevention simulation trainings were held for hemodialysis nurses and technicians.</w:t>
      </w:r>
    </w:p>
    <w:p w:rsidR="00000000" w:rsidRPr="00DB5E61" w:rsidRDefault="00970E6B" w:rsidP="00DB5E61">
      <w:pPr>
        <w:numPr>
          <w:ilvl w:val="0"/>
          <w:numId w:val="8"/>
        </w:numPr>
      </w:pPr>
      <w:r w:rsidRPr="00DB5E61">
        <w:t>On-site Infection Control Assessment and Response (ICAR) visits were conducted at nursing homes, long-term acute care facilities, and community health centers.</w:t>
      </w:r>
    </w:p>
    <w:p w:rsidR="00000000" w:rsidRPr="00DB5E61" w:rsidRDefault="00970E6B" w:rsidP="00DB5E61">
      <w:pPr>
        <w:numPr>
          <w:ilvl w:val="0"/>
          <w:numId w:val="8"/>
        </w:numPr>
      </w:pPr>
      <w:r w:rsidRPr="00DB5E61">
        <w:t>Ongoing data sharing with the Neonatal Quality Improvement Collaborative (</w:t>
      </w:r>
      <w:proofErr w:type="spellStart"/>
      <w:r w:rsidRPr="00DB5E61">
        <w:t>NeoQIC</w:t>
      </w:r>
      <w:proofErr w:type="spellEnd"/>
      <w:r w:rsidRPr="00DB5E61">
        <w:t xml:space="preserve">) to address opportunities for improvement.   </w:t>
      </w:r>
    </w:p>
    <w:p w:rsidR="00000000" w:rsidRPr="00DB5E61" w:rsidRDefault="00970E6B" w:rsidP="00DB5E61">
      <w:pPr>
        <w:numPr>
          <w:ilvl w:val="0"/>
          <w:numId w:val="8"/>
        </w:numPr>
      </w:pPr>
      <w:r w:rsidRPr="00DB5E61">
        <w:t>DPH continues to monitor progress by providing quarterly Data</w:t>
      </w:r>
      <w:r w:rsidRPr="00DB5E61">
        <w:t xml:space="preserve"> Cleaning Reports to all hospitals and select long-term care facilities, voluntarily reporting </w:t>
      </w:r>
      <w:proofErr w:type="spellStart"/>
      <w:r w:rsidRPr="00DB5E61">
        <w:rPr>
          <w:i/>
          <w:iCs/>
        </w:rPr>
        <w:t>Clostridioides</w:t>
      </w:r>
      <w:proofErr w:type="spellEnd"/>
      <w:r w:rsidRPr="00DB5E61">
        <w:rPr>
          <w:i/>
          <w:iCs/>
        </w:rPr>
        <w:t xml:space="preserve"> difficile </w:t>
      </w:r>
      <w:r w:rsidRPr="00DB5E61">
        <w:t xml:space="preserve">in </w:t>
      </w:r>
      <w:r w:rsidRPr="00DB5E61">
        <w:t xml:space="preserve">NHSN, to identify areas where focused infection prevention efforts are needed. </w:t>
      </w:r>
    </w:p>
    <w:p w:rsidR="00000000" w:rsidRPr="00DB5E61" w:rsidRDefault="00970E6B" w:rsidP="00DB5E61">
      <w:pPr>
        <w:numPr>
          <w:ilvl w:val="0"/>
          <w:numId w:val="8"/>
        </w:numPr>
      </w:pPr>
      <w:r w:rsidRPr="00DB5E61">
        <w:t xml:space="preserve">Continued outreach to hospitals with higher than expected SIRs to ensure the need for improvement. </w:t>
      </w:r>
    </w:p>
    <w:p w:rsidR="00DB5E61" w:rsidRDefault="00DB5E61">
      <w:r>
        <w:br w:type="page"/>
      </w:r>
    </w:p>
    <w:p w:rsidR="00DB5E61" w:rsidRPr="00DB5E61" w:rsidRDefault="00DB5E61" w:rsidP="00DB5E61">
      <w:pPr>
        <w:rPr>
          <w:b/>
          <w:bCs/>
        </w:rPr>
      </w:pPr>
      <w:r>
        <w:rPr>
          <w:b/>
          <w:bCs/>
          <w:noProof/>
        </w:rPr>
        <w:lastRenderedPageBreak/>
        <w:drawing>
          <wp:anchor distT="0" distB="0" distL="114300" distR="114300" simplePos="0" relativeHeight="251673600" behindDoc="0" locked="0" layoutInCell="1" allowOverlap="1" wp14:anchorId="50694260" wp14:editId="71242D6C">
            <wp:simplePos x="0" y="0"/>
            <wp:positionH relativeFrom="column">
              <wp:posOffset>3232150</wp:posOffset>
            </wp:positionH>
            <wp:positionV relativeFrom="paragraph">
              <wp:posOffset>272415</wp:posOffset>
            </wp:positionV>
            <wp:extent cx="2712720" cy="3188970"/>
            <wp:effectExtent l="76200" t="76200" r="125730" b="125730"/>
            <wp:wrapSquare wrapText="left"/>
            <wp:docPr id="25" name="Picture 25" descr="The cover of the 2019 report by the Centers for Disease Control and Prevention, entitled &quot;Antibiotic Resistance Threats in the United States 2019&quot;. " title="Antibiotic Resistance Threats in the United State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iotic Resistance Threats in the United States Cover.png"/>
                    <pic:cNvPicPr/>
                  </pic:nvPicPr>
                  <pic:blipFill>
                    <a:blip r:embed="rId34">
                      <a:extLst>
                        <a:ext uri="{28A0092B-C50C-407E-A947-70E740481C1C}">
                          <a14:useLocalDpi xmlns:a14="http://schemas.microsoft.com/office/drawing/2010/main" val="0"/>
                        </a:ext>
                      </a:extLst>
                    </a:blip>
                    <a:stretch>
                      <a:fillRect/>
                    </a:stretch>
                  </pic:blipFill>
                  <pic:spPr>
                    <a:xfrm>
                      <a:off x="0" y="0"/>
                      <a:ext cx="2712720" cy="3188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B5E61">
        <w:rPr>
          <w:b/>
          <w:bCs/>
        </w:rPr>
        <w:t>Antibiotic Resistance: Urgent Threats in MA</w:t>
      </w:r>
    </w:p>
    <w:p w:rsidR="00DB5E61" w:rsidRPr="00DB5E61" w:rsidRDefault="00DB5E61" w:rsidP="00DB5E61">
      <w:r w:rsidRPr="00DB5E61">
        <w:rPr>
          <w:b/>
          <w:bCs/>
        </w:rPr>
        <w:t>CDC 2019 AR Threats Report</w:t>
      </w:r>
    </w:p>
    <w:p w:rsidR="00DB5E61" w:rsidRPr="00DB5E61" w:rsidRDefault="00DB5E61" w:rsidP="00DB5E61">
      <w:r w:rsidRPr="00DB5E61">
        <w:rPr>
          <w:b/>
          <w:bCs/>
        </w:rPr>
        <w:t>More than 2.8 million antibiotic-resistant infections occur in the U.S. each year, and more than 35,000 people die</w:t>
      </w:r>
      <w:r w:rsidRPr="00DB5E61">
        <w:t xml:space="preserve"> as a result. </w:t>
      </w:r>
    </w:p>
    <w:p w:rsidR="00DB5E61" w:rsidRPr="00DB5E61" w:rsidRDefault="00DB5E61" w:rsidP="00DB5E61">
      <w:r w:rsidRPr="00DB5E61">
        <w:t xml:space="preserve">Dedicated prevention and infection control efforts are working to reduce the number of infections and deaths caused by antibiotic-resistant germs, but the number of people facing antibiotic resistance is still too high. </w:t>
      </w:r>
    </w:p>
    <w:p w:rsidR="00DB5E61" w:rsidRPr="00DB5E61" w:rsidRDefault="00970E6B" w:rsidP="00DB5E61">
      <w:pPr>
        <w:numPr>
          <w:ilvl w:val="0"/>
          <w:numId w:val="9"/>
        </w:numPr>
      </w:pPr>
      <w:r w:rsidRPr="00DB5E61">
        <w:rPr>
          <w:b/>
          <w:bCs/>
        </w:rPr>
        <w:t xml:space="preserve">Urgent threats targeted in MA through surveillance, detection </w:t>
      </w:r>
      <w:r w:rsidR="00DB5E61" w:rsidRPr="00DB5E61">
        <w:rPr>
          <w:b/>
          <w:bCs/>
        </w:rPr>
        <w:t>and containment</w:t>
      </w:r>
    </w:p>
    <w:p w:rsidR="00000000" w:rsidRPr="00DB5E61" w:rsidRDefault="00970E6B" w:rsidP="00DB5E61">
      <w:pPr>
        <w:numPr>
          <w:ilvl w:val="1"/>
          <w:numId w:val="10"/>
        </w:numPr>
      </w:pPr>
      <w:proofErr w:type="spellStart"/>
      <w:r w:rsidRPr="00DB5E61">
        <w:rPr>
          <w:b/>
          <w:bCs/>
        </w:rPr>
        <w:t>Carbapenem</w:t>
      </w:r>
      <w:proofErr w:type="spellEnd"/>
      <w:r w:rsidRPr="00DB5E61">
        <w:rPr>
          <w:b/>
          <w:bCs/>
        </w:rPr>
        <w:t>-resistant</w:t>
      </w:r>
      <w:r w:rsidRPr="00DB5E61">
        <w:rPr>
          <w:b/>
          <w:bCs/>
          <w:i/>
          <w:iCs/>
        </w:rPr>
        <w:t xml:space="preserve"> Acinetobacter</w:t>
      </w:r>
    </w:p>
    <w:p w:rsidR="00000000" w:rsidRPr="00DB5E61" w:rsidRDefault="00970E6B" w:rsidP="00DB5E61">
      <w:pPr>
        <w:numPr>
          <w:ilvl w:val="1"/>
          <w:numId w:val="10"/>
        </w:numPr>
      </w:pPr>
      <w:r w:rsidRPr="00DB5E61">
        <w:rPr>
          <w:i/>
          <w:iCs/>
        </w:rPr>
        <w:t xml:space="preserve">Candida </w:t>
      </w:r>
      <w:proofErr w:type="spellStart"/>
      <w:r w:rsidRPr="00DB5E61">
        <w:rPr>
          <w:i/>
          <w:iCs/>
        </w:rPr>
        <w:t>auris</w:t>
      </w:r>
      <w:proofErr w:type="spellEnd"/>
    </w:p>
    <w:p w:rsidR="00000000" w:rsidRPr="00DB5E61" w:rsidRDefault="00970E6B" w:rsidP="00DB5E61">
      <w:pPr>
        <w:numPr>
          <w:ilvl w:val="1"/>
          <w:numId w:val="10"/>
        </w:numPr>
      </w:pPr>
      <w:proofErr w:type="spellStart"/>
      <w:r w:rsidRPr="00DB5E61">
        <w:rPr>
          <w:i/>
          <w:iCs/>
        </w:rPr>
        <w:t>Clostridioides</w:t>
      </w:r>
      <w:proofErr w:type="spellEnd"/>
      <w:r w:rsidRPr="00DB5E61">
        <w:rPr>
          <w:i/>
          <w:iCs/>
        </w:rPr>
        <w:t xml:space="preserve"> dif</w:t>
      </w:r>
      <w:r w:rsidRPr="00DB5E61">
        <w:rPr>
          <w:i/>
          <w:iCs/>
        </w:rPr>
        <w:t>ficile</w:t>
      </w:r>
    </w:p>
    <w:p w:rsidR="00000000" w:rsidRPr="00DB5E61" w:rsidRDefault="00970E6B" w:rsidP="00DB5E61">
      <w:pPr>
        <w:numPr>
          <w:ilvl w:val="1"/>
          <w:numId w:val="10"/>
        </w:numPr>
      </w:pPr>
      <w:proofErr w:type="spellStart"/>
      <w:r w:rsidRPr="00DB5E61">
        <w:rPr>
          <w:b/>
          <w:bCs/>
        </w:rPr>
        <w:t>Carbapenem</w:t>
      </w:r>
      <w:proofErr w:type="spellEnd"/>
      <w:r w:rsidRPr="00DB5E61">
        <w:rPr>
          <w:b/>
          <w:bCs/>
        </w:rPr>
        <w:t xml:space="preserve">-resistant </w:t>
      </w:r>
      <w:proofErr w:type="spellStart"/>
      <w:r w:rsidRPr="00DB5E61">
        <w:rPr>
          <w:b/>
          <w:bCs/>
          <w:i/>
          <w:iCs/>
        </w:rPr>
        <w:t>Enterobacteriaceae</w:t>
      </w:r>
      <w:proofErr w:type="spellEnd"/>
    </w:p>
    <w:p w:rsidR="00DB5E61" w:rsidRDefault="00DB5E61">
      <w:r>
        <w:br w:type="page"/>
      </w:r>
    </w:p>
    <w:p w:rsidR="00354045" w:rsidRPr="00354045" w:rsidRDefault="00354045" w:rsidP="00354045">
      <w:pPr>
        <w:rPr>
          <w:b/>
        </w:rPr>
      </w:pPr>
      <w:r w:rsidRPr="00354045">
        <w:rPr>
          <w:b/>
        </w:rPr>
        <w:lastRenderedPageBreak/>
        <w:t xml:space="preserve">Antibiotic Resistance: Targeting </w:t>
      </w:r>
      <w:proofErr w:type="spellStart"/>
      <w:r w:rsidRPr="00354045">
        <w:rPr>
          <w:b/>
        </w:rPr>
        <w:t>Carbapenemase</w:t>
      </w:r>
      <w:proofErr w:type="spellEnd"/>
      <w:r w:rsidRPr="00354045">
        <w:rPr>
          <w:b/>
        </w:rPr>
        <w:t>-producing Organisms (CPO) in MA</w:t>
      </w:r>
    </w:p>
    <w:p w:rsidR="00000000" w:rsidRPr="00354045" w:rsidRDefault="00354045" w:rsidP="00354045">
      <w:pPr>
        <w:numPr>
          <w:ilvl w:val="0"/>
          <w:numId w:val="11"/>
        </w:numPr>
      </w:pPr>
      <w:r>
        <w:rPr>
          <w:b/>
          <w:noProof/>
        </w:rPr>
        <w:drawing>
          <wp:anchor distT="0" distB="0" distL="114300" distR="114300" simplePos="0" relativeHeight="251674624" behindDoc="0" locked="0" layoutInCell="1" allowOverlap="1" wp14:anchorId="30C14D0B" wp14:editId="02B56369">
            <wp:simplePos x="0" y="0"/>
            <wp:positionH relativeFrom="column">
              <wp:posOffset>3232785</wp:posOffset>
            </wp:positionH>
            <wp:positionV relativeFrom="paragraph">
              <wp:posOffset>66675</wp:posOffset>
            </wp:positionV>
            <wp:extent cx="2759710" cy="2322830"/>
            <wp:effectExtent l="0" t="0" r="0" b="1270"/>
            <wp:wrapSquare wrapText="left"/>
            <wp:docPr id="26" name="Picture 26" descr="A graphic depiction of five different carbapenemase genes: KPC, NDM, VIM, OXA, and IMP, each labeled within a blue hexagon. " title="Carbapenemase Gen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apenemase gene targets.png"/>
                    <pic:cNvPicPr/>
                  </pic:nvPicPr>
                  <pic:blipFill rotWithShape="1">
                    <a:blip r:embed="rId35">
                      <a:extLst>
                        <a:ext uri="{28A0092B-C50C-407E-A947-70E740481C1C}">
                          <a14:useLocalDpi xmlns:a14="http://schemas.microsoft.com/office/drawing/2010/main" val="0"/>
                        </a:ext>
                      </a:extLst>
                    </a:blip>
                    <a:srcRect l="10283"/>
                    <a:stretch/>
                  </pic:blipFill>
                  <pic:spPr bwMode="auto">
                    <a:xfrm>
                      <a:off x="0" y="0"/>
                      <a:ext cx="2759710" cy="2322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70E6B" w:rsidRPr="00354045">
        <w:t>Carbapenems</w:t>
      </w:r>
      <w:proofErr w:type="spellEnd"/>
      <w:r w:rsidR="00970E6B" w:rsidRPr="00354045">
        <w:t xml:space="preserve"> are a class of antibiotics often considered a “last resort” to treat infections </w:t>
      </w:r>
      <w:r w:rsidR="00970E6B" w:rsidRPr="00354045">
        <w:t xml:space="preserve">caused by </w:t>
      </w:r>
      <w:proofErr w:type="spellStart"/>
      <w:r w:rsidR="00970E6B" w:rsidRPr="00354045">
        <w:t>Enterobacteriaceae</w:t>
      </w:r>
      <w:proofErr w:type="spellEnd"/>
      <w:r w:rsidR="00970E6B" w:rsidRPr="00354045">
        <w:t>, Pseudomonas and Acinetobacter</w:t>
      </w:r>
    </w:p>
    <w:p w:rsidR="00000000" w:rsidRPr="00354045" w:rsidRDefault="00970E6B" w:rsidP="00354045">
      <w:pPr>
        <w:numPr>
          <w:ilvl w:val="0"/>
          <w:numId w:val="12"/>
        </w:numPr>
      </w:pPr>
      <w:r w:rsidRPr="00354045">
        <w:t xml:space="preserve">One way these organisms are resistant to </w:t>
      </w:r>
      <w:proofErr w:type="spellStart"/>
      <w:r w:rsidRPr="00354045">
        <w:t>carbapenems</w:t>
      </w:r>
      <w:proofErr w:type="spellEnd"/>
      <w:r w:rsidRPr="00354045">
        <w:t xml:space="preserve"> is by producing </w:t>
      </w:r>
      <w:proofErr w:type="spellStart"/>
      <w:r w:rsidRPr="00354045">
        <w:t>carbapenemases</w:t>
      </w:r>
      <w:proofErr w:type="spellEnd"/>
    </w:p>
    <w:p w:rsidR="00000000" w:rsidRPr="00354045" w:rsidRDefault="00970E6B" w:rsidP="00354045">
      <w:pPr>
        <w:numPr>
          <w:ilvl w:val="0"/>
          <w:numId w:val="13"/>
        </w:numPr>
      </w:pPr>
      <w:r w:rsidRPr="00354045">
        <w:t xml:space="preserve">A </w:t>
      </w:r>
      <w:proofErr w:type="spellStart"/>
      <w:r w:rsidRPr="00354045">
        <w:t>carbapanemase</w:t>
      </w:r>
      <w:proofErr w:type="spellEnd"/>
      <w:r w:rsidRPr="00354045">
        <w:t xml:space="preserve"> is an enzyme that can</w:t>
      </w:r>
      <w:r w:rsidRPr="00354045">
        <w:t xml:space="preserve"> </w:t>
      </w:r>
      <w:r w:rsidRPr="00354045">
        <w:t>break</w:t>
      </w:r>
      <w:r w:rsidRPr="00354045">
        <w:t xml:space="preserve"> </w:t>
      </w:r>
      <w:r w:rsidRPr="00354045">
        <w:t xml:space="preserve">down (and thus resist) many </w:t>
      </w:r>
      <w:r w:rsidRPr="00354045">
        <w:t xml:space="preserve">classes </w:t>
      </w:r>
      <w:r w:rsidRPr="00354045">
        <w:t>of</w:t>
      </w:r>
      <w:r w:rsidRPr="00354045">
        <w:t xml:space="preserve"> </w:t>
      </w:r>
      <w:r w:rsidRPr="00354045">
        <w:t xml:space="preserve">antibiotics, including </w:t>
      </w:r>
      <w:proofErr w:type="spellStart"/>
      <w:r w:rsidRPr="00354045">
        <w:t>carbapenems</w:t>
      </w:r>
      <w:proofErr w:type="spellEnd"/>
      <w:r w:rsidRPr="00354045">
        <w:t>, making infections with these organisms harder to treat</w:t>
      </w:r>
    </w:p>
    <w:p w:rsidR="00000000" w:rsidRPr="00354045" w:rsidRDefault="00970E6B" w:rsidP="00354045">
      <w:pPr>
        <w:numPr>
          <w:ilvl w:val="0"/>
          <w:numId w:val="13"/>
        </w:numPr>
      </w:pPr>
      <w:r w:rsidRPr="00354045">
        <w:t xml:space="preserve">Genes that program the organism to produce a </w:t>
      </w:r>
      <w:proofErr w:type="spellStart"/>
      <w:r w:rsidRPr="00354045">
        <w:t>carbapenemase</w:t>
      </w:r>
      <w:proofErr w:type="spellEnd"/>
      <w:r w:rsidRPr="00354045">
        <w:t xml:space="preserve"> can be shared between bacteria</w:t>
      </w:r>
    </w:p>
    <w:p w:rsidR="00000000" w:rsidRPr="00354045" w:rsidRDefault="00970E6B" w:rsidP="00354045">
      <w:pPr>
        <w:numPr>
          <w:ilvl w:val="0"/>
          <w:numId w:val="13"/>
        </w:numPr>
      </w:pPr>
      <w:proofErr w:type="spellStart"/>
      <w:r w:rsidRPr="00354045">
        <w:t>Carbapenemase</w:t>
      </w:r>
      <w:proofErr w:type="spellEnd"/>
      <w:r w:rsidRPr="00354045">
        <w:t xml:space="preserve"> gene targets: KPC, NDM, VIM, OXA and IMP</w:t>
      </w:r>
    </w:p>
    <w:p w:rsidR="00354045" w:rsidRDefault="00354045">
      <w:r>
        <w:br w:type="page"/>
      </w:r>
    </w:p>
    <w:p w:rsidR="00354045" w:rsidRPr="00354045" w:rsidRDefault="00354045" w:rsidP="00354045">
      <w:pPr>
        <w:rPr>
          <w:b/>
        </w:rPr>
      </w:pPr>
      <w:r w:rsidRPr="00354045">
        <w:rPr>
          <w:b/>
        </w:rPr>
        <w:lastRenderedPageBreak/>
        <w:t>Antibiotic Resistance Surveillance: Reporting and Laboratory Testing</w:t>
      </w:r>
    </w:p>
    <w:p w:rsidR="00000000" w:rsidRPr="00354045" w:rsidRDefault="00970E6B" w:rsidP="00354045">
      <w:pPr>
        <w:numPr>
          <w:ilvl w:val="0"/>
          <w:numId w:val="14"/>
        </w:numPr>
      </w:pPr>
      <w:r w:rsidRPr="00354045">
        <w:t>Elect</w:t>
      </w:r>
      <w:r w:rsidRPr="00354045">
        <w:t>ronic laboratory reporting (ELR) of mandatory MDROs of concern into the Massachusetts Virtual Epidemiologic Network (MAVEN)</w:t>
      </w:r>
    </w:p>
    <w:p w:rsidR="00000000" w:rsidRPr="00354045" w:rsidRDefault="00970E6B" w:rsidP="00354045">
      <w:pPr>
        <w:numPr>
          <w:ilvl w:val="0"/>
          <w:numId w:val="14"/>
        </w:numPr>
      </w:pPr>
      <w:r w:rsidRPr="00354045">
        <w:t>Mandatory submission of selected MDRO isolates to the Massachusett</w:t>
      </w:r>
      <w:r w:rsidRPr="00354045">
        <w:t>s State Public Health Laboratory (MA SPHL) for advanced testing here and at our partner ARLN laboratory, The Wadsworth Center in New York:</w:t>
      </w:r>
    </w:p>
    <w:p w:rsidR="00000000" w:rsidRPr="00354045" w:rsidRDefault="00970E6B" w:rsidP="0099224C">
      <w:pPr>
        <w:numPr>
          <w:ilvl w:val="1"/>
          <w:numId w:val="14"/>
        </w:numPr>
      </w:pPr>
      <w:r w:rsidRPr="00354045">
        <w:t xml:space="preserve">Identify novel resistance mechanisms such as genes </w:t>
      </w:r>
      <w:r w:rsidRPr="00354045">
        <w:t xml:space="preserve">that code for </w:t>
      </w:r>
      <w:proofErr w:type="spellStart"/>
      <w:r w:rsidRPr="00354045">
        <w:t>carbapenemase</w:t>
      </w:r>
      <w:proofErr w:type="spellEnd"/>
      <w:r w:rsidRPr="00354045">
        <w:t xml:space="preserve"> production or </w:t>
      </w:r>
      <w:proofErr w:type="spellStart"/>
      <w:r w:rsidRPr="00354045">
        <w:t>colistin</w:t>
      </w:r>
      <w:proofErr w:type="spellEnd"/>
      <w:r w:rsidRPr="00354045">
        <w:t xml:space="preserve"> resistance</w:t>
      </w:r>
    </w:p>
    <w:p w:rsidR="00000000" w:rsidRPr="00354045" w:rsidRDefault="00970E6B" w:rsidP="0099224C">
      <w:pPr>
        <w:numPr>
          <w:ilvl w:val="1"/>
          <w:numId w:val="14"/>
        </w:numPr>
      </w:pPr>
      <w:r w:rsidRPr="00354045">
        <w:t xml:space="preserve">Identify </w:t>
      </w:r>
      <w:r w:rsidRPr="00354045">
        <w:rPr>
          <w:i/>
          <w:iCs/>
        </w:rPr>
        <w:t xml:space="preserve">Candida </w:t>
      </w:r>
      <w:proofErr w:type="spellStart"/>
      <w:r w:rsidRPr="00354045">
        <w:rPr>
          <w:i/>
          <w:iCs/>
        </w:rPr>
        <w:t>auris</w:t>
      </w:r>
      <w:proofErr w:type="spellEnd"/>
    </w:p>
    <w:p w:rsidR="00000000" w:rsidRPr="00354045" w:rsidRDefault="00970E6B" w:rsidP="0099224C">
      <w:pPr>
        <w:numPr>
          <w:ilvl w:val="1"/>
          <w:numId w:val="14"/>
        </w:numPr>
      </w:pPr>
      <w:r w:rsidRPr="00354045">
        <w:t>Test swabs to identify colonization with target organisms to detect transmission within a healthcare facility</w:t>
      </w:r>
    </w:p>
    <w:p w:rsidR="00000000" w:rsidRPr="00354045" w:rsidRDefault="00970E6B" w:rsidP="0099224C">
      <w:pPr>
        <w:numPr>
          <w:ilvl w:val="1"/>
          <w:numId w:val="14"/>
        </w:numPr>
      </w:pPr>
      <w:r w:rsidRPr="00354045">
        <w:t>Conduct whole-genome sequencing to determine relate</w:t>
      </w:r>
      <w:r w:rsidRPr="00354045">
        <w:t>dness of organisms to identify transmission pathways within and across healthcare facilities</w:t>
      </w:r>
    </w:p>
    <w:p w:rsidR="00DB5E61" w:rsidRDefault="0099224C" w:rsidP="00862976">
      <w:r>
        <w:t>Notes:</w:t>
      </w:r>
    </w:p>
    <w:p w:rsidR="00000000" w:rsidRPr="0099224C" w:rsidRDefault="00970E6B" w:rsidP="0099224C">
      <w:pPr>
        <w:numPr>
          <w:ilvl w:val="0"/>
          <w:numId w:val="15"/>
        </w:numPr>
      </w:pPr>
      <w:proofErr w:type="spellStart"/>
      <w:r w:rsidRPr="0099224C">
        <w:t>Carbapenem</w:t>
      </w:r>
      <w:proofErr w:type="spellEnd"/>
      <w:r w:rsidRPr="0099224C">
        <w:t xml:space="preserve">-resistant </w:t>
      </w:r>
      <w:proofErr w:type="spellStart"/>
      <w:r w:rsidRPr="0099224C">
        <w:rPr>
          <w:i/>
          <w:iCs/>
        </w:rPr>
        <w:t>Enterobacteriaceae</w:t>
      </w:r>
      <w:proofErr w:type="spellEnd"/>
      <w:r w:rsidRPr="0099224C">
        <w:rPr>
          <w:i/>
          <w:iCs/>
        </w:rPr>
        <w:t xml:space="preserve"> </w:t>
      </w:r>
      <w:r w:rsidRPr="0099224C">
        <w:t xml:space="preserve">(CRE), including </w:t>
      </w:r>
      <w:proofErr w:type="spellStart"/>
      <w:r w:rsidRPr="0099224C">
        <w:t>carbapenemase</w:t>
      </w:r>
      <w:proofErr w:type="spellEnd"/>
      <w:r w:rsidRPr="0099224C">
        <w:t>-producing CRE</w:t>
      </w:r>
    </w:p>
    <w:p w:rsidR="00000000" w:rsidRPr="0099224C" w:rsidRDefault="00970E6B" w:rsidP="0099224C">
      <w:pPr>
        <w:numPr>
          <w:ilvl w:val="0"/>
          <w:numId w:val="15"/>
        </w:numPr>
      </w:pPr>
      <w:r w:rsidRPr="0099224C">
        <w:rPr>
          <w:i/>
          <w:iCs/>
        </w:rPr>
        <w:t xml:space="preserve">Candida </w:t>
      </w:r>
      <w:proofErr w:type="spellStart"/>
      <w:r w:rsidRPr="0099224C">
        <w:rPr>
          <w:i/>
          <w:iCs/>
        </w:rPr>
        <w:t>auris</w:t>
      </w:r>
      <w:proofErr w:type="spellEnd"/>
    </w:p>
    <w:p w:rsidR="00000000" w:rsidRPr="0099224C" w:rsidRDefault="00970E6B" w:rsidP="0099224C">
      <w:pPr>
        <w:numPr>
          <w:ilvl w:val="0"/>
          <w:numId w:val="15"/>
        </w:numPr>
      </w:pPr>
      <w:r w:rsidRPr="0099224C">
        <w:t xml:space="preserve">Organisms containing the </w:t>
      </w:r>
      <w:proofErr w:type="spellStart"/>
      <w:r w:rsidRPr="0099224C">
        <w:t>mcr</w:t>
      </w:r>
      <w:proofErr w:type="spellEnd"/>
      <w:r w:rsidRPr="0099224C">
        <w:t xml:space="preserve"> gene, conferring mobilized resistance to </w:t>
      </w:r>
      <w:proofErr w:type="spellStart"/>
      <w:r w:rsidRPr="0099224C">
        <w:t>colistin</w:t>
      </w:r>
      <w:proofErr w:type="spellEnd"/>
      <w:r w:rsidRPr="0099224C">
        <w:t>, a last-resort antibiotic used for treating resistant infections</w:t>
      </w:r>
    </w:p>
    <w:p w:rsidR="0099224C" w:rsidRDefault="0099224C">
      <w:r>
        <w:br w:type="page"/>
      </w:r>
    </w:p>
    <w:p w:rsidR="0099224C" w:rsidRPr="0099224C" w:rsidRDefault="0099224C" w:rsidP="0099224C">
      <w:pPr>
        <w:rPr>
          <w:b/>
        </w:rPr>
      </w:pPr>
      <w:r w:rsidRPr="0099224C">
        <w:rPr>
          <w:b/>
        </w:rPr>
        <w:lastRenderedPageBreak/>
        <w:t xml:space="preserve">Antibiotic Resistance Surveillance: </w:t>
      </w:r>
      <w:proofErr w:type="spellStart"/>
      <w:r w:rsidRPr="0099224C">
        <w:rPr>
          <w:b/>
        </w:rPr>
        <w:t>Carbapenemase</w:t>
      </w:r>
      <w:proofErr w:type="spellEnd"/>
      <w:r w:rsidRPr="0099224C">
        <w:rPr>
          <w:b/>
        </w:rPr>
        <w:t>-producing Organisms (CPOs)</w:t>
      </w:r>
      <w:r w:rsidRPr="0099224C">
        <w:rPr>
          <w:b/>
          <w:i/>
          <w:iCs/>
        </w:rPr>
        <w:t xml:space="preserve"> </w:t>
      </w:r>
      <w:r w:rsidRPr="0099224C">
        <w:rPr>
          <w:b/>
        </w:rPr>
        <w:t>in MA</w:t>
      </w:r>
      <w:r>
        <w:rPr>
          <w:b/>
        </w:rPr>
        <w:br/>
      </w:r>
    </w:p>
    <w:p w:rsidR="0099224C" w:rsidRDefault="0099224C" w:rsidP="00862976">
      <w:r>
        <w:rPr>
          <w:noProof/>
        </w:rPr>
        <w:drawing>
          <wp:inline distT="0" distB="0" distL="0" distR="0">
            <wp:extent cx="5943600" cy="3008630"/>
            <wp:effectExtent l="0" t="0" r="0" b="1270"/>
            <wp:docPr id="27" name="Picture 27" descr="A bar graph depicting the relationship between five Carbapenemase gene targets from 2017 to 2019 that were identified in Massachusetts, and their respective quantities." title="Carbapenemase Gene Targets Identified in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apenemase Gene Targets Identified in Massachusetts.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99224C" w:rsidRDefault="0099224C">
      <w:r>
        <w:br w:type="page"/>
      </w:r>
    </w:p>
    <w:p w:rsidR="0099224C" w:rsidRPr="0099224C" w:rsidRDefault="0099224C" w:rsidP="0099224C">
      <w:pPr>
        <w:rPr>
          <w:b/>
        </w:rPr>
      </w:pPr>
      <w:r w:rsidRPr="0099224C">
        <w:rPr>
          <w:b/>
        </w:rPr>
        <w:lastRenderedPageBreak/>
        <w:t>Antibiotic Stewardship</w:t>
      </w:r>
    </w:p>
    <w:p w:rsidR="00000000" w:rsidRPr="0099224C" w:rsidRDefault="00970E6B" w:rsidP="0099224C">
      <w:pPr>
        <w:numPr>
          <w:ilvl w:val="0"/>
          <w:numId w:val="16"/>
        </w:numPr>
      </w:pPr>
      <w:r w:rsidRPr="0099224C">
        <w:t>Studies indicate that between 30-50% of antibiotics prescribed in hospitals and between 40-75% of antibiotics prescribed in nursing homes are unnecessary*</w:t>
      </w:r>
    </w:p>
    <w:p w:rsidR="00000000" w:rsidRPr="0099224C" w:rsidRDefault="00970E6B" w:rsidP="0099224C">
      <w:pPr>
        <w:numPr>
          <w:ilvl w:val="0"/>
          <w:numId w:val="16"/>
        </w:numPr>
      </w:pPr>
      <w:r w:rsidRPr="0099224C">
        <w:t xml:space="preserve">Improved prescribing practices can help reduce rates of </w:t>
      </w:r>
      <w:proofErr w:type="spellStart"/>
      <w:r w:rsidRPr="0099224C">
        <w:rPr>
          <w:i/>
          <w:iCs/>
        </w:rPr>
        <w:t>Clostridioides</w:t>
      </w:r>
      <w:proofErr w:type="spellEnd"/>
      <w:r w:rsidRPr="0099224C">
        <w:rPr>
          <w:i/>
          <w:iCs/>
        </w:rPr>
        <w:t xml:space="preserve"> difficile </w:t>
      </w:r>
      <w:r w:rsidRPr="0099224C">
        <w:t>and antibi</w:t>
      </w:r>
      <w:r w:rsidRPr="0099224C">
        <w:t>otic resistance</w:t>
      </w:r>
    </w:p>
    <w:p w:rsidR="00000000" w:rsidRPr="0099224C" w:rsidRDefault="00970E6B" w:rsidP="0099224C">
      <w:pPr>
        <w:numPr>
          <w:ilvl w:val="0"/>
          <w:numId w:val="16"/>
        </w:numPr>
      </w:pPr>
      <w:r w:rsidRPr="0099224C">
        <w:t>Appropriate antibiotic prescribing can improve patient outcomes and reduce healthcare costs</w:t>
      </w:r>
    </w:p>
    <w:p w:rsidR="0099224C" w:rsidRPr="0099224C" w:rsidRDefault="0099224C" w:rsidP="0099224C">
      <w:r>
        <w:br/>
        <w:t xml:space="preserve">* </w:t>
      </w:r>
      <w:hyperlink r:id="rId37" w:history="1">
        <w:r w:rsidRPr="0099224C">
          <w:rPr>
            <w:rStyle w:val="Hyperlink"/>
          </w:rPr>
          <w:t>https://www.cdc.gov/antibiotic-use/healthcare</w:t>
        </w:r>
      </w:hyperlink>
    </w:p>
    <w:p w:rsidR="0099224C" w:rsidRPr="0099224C" w:rsidRDefault="0099224C" w:rsidP="0099224C">
      <w:hyperlink r:id="rId38" w:history="1">
        <w:r w:rsidRPr="0099224C">
          <w:rPr>
            <w:rStyle w:val="Hyperlink"/>
          </w:rPr>
          <w:t>https://www.cdc.gov/longtermcare/prevention/antibiotic-stewardship.html</w:t>
        </w:r>
      </w:hyperlink>
    </w:p>
    <w:p w:rsidR="0099224C" w:rsidRDefault="0099224C">
      <w:r>
        <w:br w:type="page"/>
      </w:r>
    </w:p>
    <w:p w:rsidR="0099224C" w:rsidRPr="0099224C" w:rsidRDefault="0099224C" w:rsidP="0099224C">
      <w:pPr>
        <w:rPr>
          <w:b/>
        </w:rPr>
      </w:pPr>
      <w:r w:rsidRPr="0099224C">
        <w:rPr>
          <w:b/>
        </w:rPr>
        <w:lastRenderedPageBreak/>
        <w:t>Antibiotic Stewardship: Prevention and Educational Activities</w:t>
      </w:r>
    </w:p>
    <w:p w:rsidR="00000000" w:rsidRPr="0099224C" w:rsidRDefault="00970E6B" w:rsidP="0099224C">
      <w:pPr>
        <w:numPr>
          <w:ilvl w:val="0"/>
          <w:numId w:val="17"/>
        </w:numPr>
      </w:pPr>
      <w:r w:rsidRPr="0099224C">
        <w:rPr>
          <w:b/>
          <w:bCs/>
          <w:i/>
          <w:iCs/>
        </w:rPr>
        <w:t>NEW</w:t>
      </w:r>
      <w:r w:rsidRPr="0099224C">
        <w:rPr>
          <w:i/>
          <w:iCs/>
        </w:rPr>
        <w:t>:</w:t>
      </w:r>
      <w:r w:rsidRPr="0099224C">
        <w:rPr>
          <w:i/>
          <w:iCs/>
        </w:rPr>
        <w:t xml:space="preserve"> </w:t>
      </w:r>
      <w:r w:rsidRPr="0099224C">
        <w:t>18 new acute care hospitals participating in NHSN antibiotic use (AU) module to better understand</w:t>
      </w:r>
      <w:r w:rsidRPr="0099224C">
        <w:br/>
        <w:t xml:space="preserve">trends in antibiotic </w:t>
      </w:r>
      <w:r w:rsidRPr="0099224C">
        <w:t>use and to monitor stewardship activities- will soon have access to antibiotic prescribing data for nearly 50% of all acute-care facilities in MA</w:t>
      </w:r>
    </w:p>
    <w:p w:rsidR="00000000" w:rsidRPr="0099224C" w:rsidRDefault="00970E6B" w:rsidP="0099224C">
      <w:pPr>
        <w:numPr>
          <w:ilvl w:val="0"/>
          <w:numId w:val="17"/>
        </w:numPr>
      </w:pPr>
      <w:r w:rsidRPr="0099224C">
        <w:t>2019 Component of Advanced Educational Serie</w:t>
      </w:r>
      <w:r w:rsidRPr="0099224C">
        <w:t>s entitled “</w:t>
      </w:r>
      <w:r w:rsidRPr="0099224C">
        <w:rPr>
          <w:i/>
          <w:iCs/>
        </w:rPr>
        <w:t>Navigating Infection Control and Antibiotic</w:t>
      </w:r>
      <w:r w:rsidRPr="0099224C">
        <w:rPr>
          <w:i/>
          <w:iCs/>
        </w:rPr>
        <w:br/>
        <w:t>Stewardship in Long-Term Care</w:t>
      </w:r>
      <w:r w:rsidRPr="0099224C">
        <w:t>” with three “</w:t>
      </w:r>
      <w:r w:rsidRPr="0099224C">
        <w:rPr>
          <w:i/>
          <w:iCs/>
        </w:rPr>
        <w:t>ask the experts</w:t>
      </w:r>
      <w:r w:rsidRPr="0099224C">
        <w:t>” calls</w:t>
      </w:r>
    </w:p>
    <w:p w:rsidR="00000000" w:rsidRPr="0099224C" w:rsidRDefault="00970E6B" w:rsidP="0099224C">
      <w:pPr>
        <w:numPr>
          <w:ilvl w:val="0"/>
          <w:numId w:val="17"/>
        </w:numPr>
      </w:pPr>
      <w:r w:rsidRPr="0099224C">
        <w:t xml:space="preserve">Collection, monitoring and benchmarking of facility-level </w:t>
      </w:r>
      <w:r w:rsidRPr="0099224C">
        <w:t>antibiotic use data in long-term care facilities (n=70 participating facilities)</w:t>
      </w:r>
    </w:p>
    <w:p w:rsidR="00000000" w:rsidRPr="0099224C" w:rsidRDefault="00970E6B" w:rsidP="0099224C">
      <w:pPr>
        <w:numPr>
          <w:ilvl w:val="0"/>
          <w:numId w:val="17"/>
        </w:numPr>
      </w:pPr>
      <w:r w:rsidRPr="0099224C">
        <w:t>Held a statewide webinar for long-term care facilities on MDROs and Infection Control (n=150 participants) in</w:t>
      </w:r>
      <w:r w:rsidRPr="0099224C">
        <w:t xml:space="preserve"> February, 2020</w:t>
      </w:r>
    </w:p>
    <w:p w:rsidR="00000000" w:rsidRPr="0099224C" w:rsidRDefault="00970E6B" w:rsidP="0099224C">
      <w:pPr>
        <w:numPr>
          <w:ilvl w:val="0"/>
          <w:numId w:val="17"/>
        </w:numPr>
      </w:pPr>
      <w:r w:rsidRPr="0099224C">
        <w:rPr>
          <w:b/>
          <w:bCs/>
          <w:i/>
          <w:iCs/>
        </w:rPr>
        <w:t>NEW</w:t>
      </w:r>
      <w:r w:rsidRPr="0099224C">
        <w:rPr>
          <w:i/>
          <w:iCs/>
        </w:rPr>
        <w:t>:</w:t>
      </w:r>
      <w:r w:rsidRPr="0099224C">
        <w:rPr>
          <w:i/>
          <w:iCs/>
        </w:rPr>
        <w:t xml:space="preserve"> </w:t>
      </w:r>
      <w:r w:rsidRPr="0099224C">
        <w:t>Publication of 10-year tre</w:t>
      </w:r>
      <w:r w:rsidR="0099224C">
        <w:t xml:space="preserve">nds in MA Hospital </w:t>
      </w:r>
      <w:proofErr w:type="spellStart"/>
      <w:r w:rsidR="0099224C">
        <w:t>Antibiograms</w:t>
      </w:r>
      <w:proofErr w:type="spellEnd"/>
      <w:r w:rsidRPr="0099224C">
        <w:t>:</w:t>
      </w:r>
      <w:r w:rsidRPr="0099224C">
        <w:rPr>
          <w:lang w:val="pt-BR"/>
        </w:rPr>
        <w:t xml:space="preserve"> </w:t>
      </w:r>
      <w:hyperlink r:id="rId39" w:history="1">
        <w:r w:rsidRPr="0099224C">
          <w:rPr>
            <w:rStyle w:val="Hyperlink"/>
            <w:lang w:val="pt-BR"/>
          </w:rPr>
          <w:t>https://do</w:t>
        </w:r>
        <w:r w:rsidRPr="0099224C">
          <w:rPr>
            <w:rStyle w:val="Hyperlink"/>
            <w:lang w:val="pt-BR"/>
          </w:rPr>
          <w:t>i.org/10.1017/ice.2020.395</w:t>
        </w:r>
      </w:hyperlink>
    </w:p>
    <w:p w:rsidR="00000000" w:rsidRPr="0099224C" w:rsidRDefault="00970E6B" w:rsidP="0099224C">
      <w:pPr>
        <w:numPr>
          <w:ilvl w:val="0"/>
          <w:numId w:val="17"/>
        </w:numPr>
      </w:pPr>
      <w:r w:rsidRPr="0099224C">
        <w:t>Engagement with subject matter experts and stakeholders during quarterly statewide HAI/AR Technical Advisory Group (TAG) meetings with formation of Antibioti</w:t>
      </w:r>
      <w:r w:rsidRPr="0099224C">
        <w:t>c Use Subcommittee</w:t>
      </w:r>
    </w:p>
    <w:p w:rsidR="00000000" w:rsidRPr="0099224C" w:rsidRDefault="00970E6B" w:rsidP="0099224C">
      <w:pPr>
        <w:numPr>
          <w:ilvl w:val="0"/>
          <w:numId w:val="17"/>
        </w:numPr>
      </w:pPr>
      <w:r w:rsidRPr="0099224C">
        <w:t>Partnered with the Northeast Branch of American Society of Microbiology (ASM) to host a regional conference on antibiotic resistance and stewardship in November, 2019</w:t>
      </w:r>
    </w:p>
    <w:p w:rsidR="0099224C" w:rsidRDefault="0099224C">
      <w:r>
        <w:br w:type="page"/>
      </w:r>
    </w:p>
    <w:p w:rsidR="0099224C" w:rsidRDefault="0099224C" w:rsidP="0099224C">
      <w:pPr>
        <w:rPr>
          <w:b/>
        </w:rPr>
      </w:pPr>
      <w:r w:rsidRPr="0099224C">
        <w:rPr>
          <w:b/>
        </w:rPr>
        <w:lastRenderedPageBreak/>
        <w:t xml:space="preserve">Antibiotic Resistance and Antibiotic Stewardship: DPH </w:t>
      </w:r>
      <w:proofErr w:type="spellStart"/>
      <w:r w:rsidRPr="0099224C">
        <w:rPr>
          <w:b/>
        </w:rPr>
        <w:t>Antibiograms</w:t>
      </w:r>
      <w:proofErr w:type="spellEnd"/>
      <w:r w:rsidRPr="0099224C">
        <w:rPr>
          <w:b/>
        </w:rPr>
        <w:t xml:space="preserve"> and NHSN AU Data</w:t>
      </w:r>
    </w:p>
    <w:p w:rsidR="0099224C" w:rsidRDefault="0099224C" w:rsidP="0099224C">
      <w:pPr>
        <w:rPr>
          <w:b/>
        </w:rPr>
      </w:pPr>
      <w:r>
        <w:rPr>
          <w:b/>
          <w:noProof/>
        </w:rPr>
        <w:drawing>
          <wp:inline distT="0" distB="0" distL="0" distR="0">
            <wp:extent cx="5495541" cy="3661933"/>
            <wp:effectExtent l="0" t="0" r="0" b="0"/>
            <wp:docPr id="28" name="Picture 28" descr="A graph depicting statewide Staphylococcus aureus Susceptibility Rates in 2017 for various antibiotics." title="Staphylococcus aureus Susceptibilit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hylococcus aureus Susceptibility Rates.jpg"/>
                    <pic:cNvPicPr/>
                  </pic:nvPicPr>
                  <pic:blipFill>
                    <a:blip r:embed="rId40">
                      <a:extLst>
                        <a:ext uri="{28A0092B-C50C-407E-A947-70E740481C1C}">
                          <a14:useLocalDpi xmlns:a14="http://schemas.microsoft.com/office/drawing/2010/main" val="0"/>
                        </a:ext>
                      </a:extLst>
                    </a:blip>
                    <a:stretch>
                      <a:fillRect/>
                    </a:stretch>
                  </pic:blipFill>
                  <pic:spPr>
                    <a:xfrm>
                      <a:off x="0" y="0"/>
                      <a:ext cx="5494903" cy="3661508"/>
                    </a:xfrm>
                    <a:prstGeom prst="rect">
                      <a:avLst/>
                    </a:prstGeom>
                  </pic:spPr>
                </pic:pic>
              </a:graphicData>
            </a:graphic>
          </wp:inline>
        </w:drawing>
      </w:r>
    </w:p>
    <w:p w:rsidR="00970E6B" w:rsidRDefault="00970E6B" w:rsidP="0099224C">
      <w:pPr>
        <w:rPr>
          <w:b/>
        </w:rPr>
      </w:pPr>
    </w:p>
    <w:p w:rsidR="00970E6B" w:rsidRDefault="00970E6B" w:rsidP="0099224C">
      <w:pPr>
        <w:rPr>
          <w:b/>
        </w:rPr>
      </w:pPr>
      <w:r>
        <w:rPr>
          <w:b/>
          <w:noProof/>
        </w:rPr>
        <w:drawing>
          <wp:inline distT="0" distB="0" distL="0" distR="0">
            <wp:extent cx="5943600" cy="2982595"/>
            <wp:effectExtent l="0" t="0" r="0" b="8255"/>
            <wp:docPr id="29" name="Picture 29" descr="A graph depicting the relationship between utilization rate figures for Carbapenems from January 2019 through March 2020. Facility antimicrobial utilization rates are denoted by a solid blue line alongside Massachusetts acute care hospitals, which are denoted by a dashed purple line." title="Facility Vs. State Antimicrobial Class 1 Utilization Rate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 Vs. State Antimicrobial Class 1 Utilization Rate Figures.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p>
    <w:p w:rsidR="00970E6B" w:rsidRDefault="00970E6B">
      <w:pPr>
        <w:rPr>
          <w:b/>
        </w:rPr>
      </w:pPr>
      <w:r>
        <w:rPr>
          <w:b/>
        </w:rPr>
        <w:br w:type="page"/>
      </w:r>
    </w:p>
    <w:p w:rsidR="00970E6B" w:rsidRDefault="00970E6B" w:rsidP="0099224C">
      <w:pPr>
        <w:rPr>
          <w:b/>
          <w:bCs/>
        </w:rPr>
      </w:pPr>
      <w:r w:rsidRPr="00970E6B">
        <w:rPr>
          <w:b/>
          <w:bCs/>
        </w:rPr>
        <w:lastRenderedPageBreak/>
        <w:t>Contact Information</w:t>
      </w:r>
    </w:p>
    <w:p w:rsidR="00970E6B" w:rsidRPr="00970E6B" w:rsidRDefault="00970E6B" w:rsidP="00970E6B">
      <w:r w:rsidRPr="00970E6B">
        <w:t>Thank you for the opportunity to present this information today. Please direct any questions to:</w:t>
      </w:r>
    </w:p>
    <w:p w:rsidR="00970E6B" w:rsidRPr="00970E6B" w:rsidRDefault="00970E6B" w:rsidP="00970E6B">
      <w:r w:rsidRPr="00970E6B">
        <w:t>Eileen McHale, RN, BSN</w:t>
      </w:r>
      <w:bookmarkStart w:id="0" w:name="_GoBack"/>
      <w:bookmarkEnd w:id="0"/>
      <w:r w:rsidRPr="00970E6B">
        <w:br/>
        <w:t>Healthcare Associated Infection Coordinator</w:t>
      </w:r>
      <w:r w:rsidRPr="00970E6B">
        <w:br/>
        <w:t>Bureau of Health Care Safety and Quality</w:t>
      </w:r>
      <w:r w:rsidRPr="00970E6B">
        <w:br/>
      </w:r>
      <w:hyperlink r:id="rId42" w:history="1">
        <w:r w:rsidRPr="00970E6B">
          <w:rPr>
            <w:rStyle w:val="Hyperlink"/>
          </w:rPr>
          <w:t>eileen.mchale@state.ma.us</w:t>
        </w:r>
      </w:hyperlink>
    </w:p>
    <w:p w:rsidR="00970E6B" w:rsidRDefault="00970E6B" w:rsidP="0099224C">
      <w:pPr>
        <w:rPr>
          <w:b/>
        </w:rPr>
      </w:pPr>
    </w:p>
    <w:sectPr w:rsidR="00970E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E9B"/>
    <w:multiLevelType w:val="hybridMultilevel"/>
    <w:tmpl w:val="EC30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55004"/>
    <w:multiLevelType w:val="hybridMultilevel"/>
    <w:tmpl w:val="CB262220"/>
    <w:lvl w:ilvl="0" w:tplc="90A0E202">
      <w:start w:val="1"/>
      <w:numFmt w:val="bullet"/>
      <w:lvlText w:val="•"/>
      <w:lvlJc w:val="left"/>
      <w:pPr>
        <w:tabs>
          <w:tab w:val="num" w:pos="720"/>
        </w:tabs>
        <w:ind w:left="720" w:hanging="360"/>
      </w:pPr>
      <w:rPr>
        <w:rFonts w:ascii="Times New Roman" w:hAnsi="Times New Roman" w:hint="default"/>
      </w:rPr>
    </w:lvl>
    <w:lvl w:ilvl="1" w:tplc="1592D22A">
      <w:start w:val="1"/>
      <w:numFmt w:val="bullet"/>
      <w:lvlText w:val="•"/>
      <w:lvlJc w:val="left"/>
      <w:pPr>
        <w:tabs>
          <w:tab w:val="num" w:pos="1440"/>
        </w:tabs>
        <w:ind w:left="1440" w:hanging="360"/>
      </w:pPr>
      <w:rPr>
        <w:rFonts w:ascii="Times New Roman" w:hAnsi="Times New Roman" w:hint="default"/>
      </w:rPr>
    </w:lvl>
    <w:lvl w:ilvl="2" w:tplc="365CD090" w:tentative="1">
      <w:start w:val="1"/>
      <w:numFmt w:val="bullet"/>
      <w:lvlText w:val="•"/>
      <w:lvlJc w:val="left"/>
      <w:pPr>
        <w:tabs>
          <w:tab w:val="num" w:pos="2160"/>
        </w:tabs>
        <w:ind w:left="2160" w:hanging="360"/>
      </w:pPr>
      <w:rPr>
        <w:rFonts w:ascii="Times New Roman" w:hAnsi="Times New Roman" w:hint="default"/>
      </w:rPr>
    </w:lvl>
    <w:lvl w:ilvl="3" w:tplc="D5C0C916" w:tentative="1">
      <w:start w:val="1"/>
      <w:numFmt w:val="bullet"/>
      <w:lvlText w:val="•"/>
      <w:lvlJc w:val="left"/>
      <w:pPr>
        <w:tabs>
          <w:tab w:val="num" w:pos="2880"/>
        </w:tabs>
        <w:ind w:left="2880" w:hanging="360"/>
      </w:pPr>
      <w:rPr>
        <w:rFonts w:ascii="Times New Roman" w:hAnsi="Times New Roman" w:hint="default"/>
      </w:rPr>
    </w:lvl>
    <w:lvl w:ilvl="4" w:tplc="D4F424B0" w:tentative="1">
      <w:start w:val="1"/>
      <w:numFmt w:val="bullet"/>
      <w:lvlText w:val="•"/>
      <w:lvlJc w:val="left"/>
      <w:pPr>
        <w:tabs>
          <w:tab w:val="num" w:pos="3600"/>
        </w:tabs>
        <w:ind w:left="3600" w:hanging="360"/>
      </w:pPr>
      <w:rPr>
        <w:rFonts w:ascii="Times New Roman" w:hAnsi="Times New Roman" w:hint="default"/>
      </w:rPr>
    </w:lvl>
    <w:lvl w:ilvl="5" w:tplc="FC201486" w:tentative="1">
      <w:start w:val="1"/>
      <w:numFmt w:val="bullet"/>
      <w:lvlText w:val="•"/>
      <w:lvlJc w:val="left"/>
      <w:pPr>
        <w:tabs>
          <w:tab w:val="num" w:pos="4320"/>
        </w:tabs>
        <w:ind w:left="4320" w:hanging="360"/>
      </w:pPr>
      <w:rPr>
        <w:rFonts w:ascii="Times New Roman" w:hAnsi="Times New Roman" w:hint="default"/>
      </w:rPr>
    </w:lvl>
    <w:lvl w:ilvl="6" w:tplc="DF26662A" w:tentative="1">
      <w:start w:val="1"/>
      <w:numFmt w:val="bullet"/>
      <w:lvlText w:val="•"/>
      <w:lvlJc w:val="left"/>
      <w:pPr>
        <w:tabs>
          <w:tab w:val="num" w:pos="5040"/>
        </w:tabs>
        <w:ind w:left="5040" w:hanging="360"/>
      </w:pPr>
      <w:rPr>
        <w:rFonts w:ascii="Times New Roman" w:hAnsi="Times New Roman" w:hint="default"/>
      </w:rPr>
    </w:lvl>
    <w:lvl w:ilvl="7" w:tplc="CAE8B250" w:tentative="1">
      <w:start w:val="1"/>
      <w:numFmt w:val="bullet"/>
      <w:lvlText w:val="•"/>
      <w:lvlJc w:val="left"/>
      <w:pPr>
        <w:tabs>
          <w:tab w:val="num" w:pos="5760"/>
        </w:tabs>
        <w:ind w:left="5760" w:hanging="360"/>
      </w:pPr>
      <w:rPr>
        <w:rFonts w:ascii="Times New Roman" w:hAnsi="Times New Roman" w:hint="default"/>
      </w:rPr>
    </w:lvl>
    <w:lvl w:ilvl="8" w:tplc="34E2482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7BC3A58"/>
    <w:multiLevelType w:val="hybridMultilevel"/>
    <w:tmpl w:val="E5C449DC"/>
    <w:lvl w:ilvl="0" w:tplc="13809AD8">
      <w:start w:val="1"/>
      <w:numFmt w:val="bullet"/>
      <w:lvlText w:val="•"/>
      <w:lvlJc w:val="left"/>
      <w:pPr>
        <w:tabs>
          <w:tab w:val="num" w:pos="720"/>
        </w:tabs>
        <w:ind w:left="720" w:hanging="360"/>
      </w:pPr>
      <w:rPr>
        <w:rFonts w:ascii="Arial" w:hAnsi="Arial" w:hint="default"/>
      </w:rPr>
    </w:lvl>
    <w:lvl w:ilvl="1" w:tplc="D45C60EA" w:tentative="1">
      <w:start w:val="1"/>
      <w:numFmt w:val="bullet"/>
      <w:lvlText w:val="•"/>
      <w:lvlJc w:val="left"/>
      <w:pPr>
        <w:tabs>
          <w:tab w:val="num" w:pos="1440"/>
        </w:tabs>
        <w:ind w:left="1440" w:hanging="360"/>
      </w:pPr>
      <w:rPr>
        <w:rFonts w:ascii="Arial" w:hAnsi="Arial" w:hint="default"/>
      </w:rPr>
    </w:lvl>
    <w:lvl w:ilvl="2" w:tplc="75DC08A6" w:tentative="1">
      <w:start w:val="1"/>
      <w:numFmt w:val="bullet"/>
      <w:lvlText w:val="•"/>
      <w:lvlJc w:val="left"/>
      <w:pPr>
        <w:tabs>
          <w:tab w:val="num" w:pos="2160"/>
        </w:tabs>
        <w:ind w:left="2160" w:hanging="360"/>
      </w:pPr>
      <w:rPr>
        <w:rFonts w:ascii="Arial" w:hAnsi="Arial" w:hint="default"/>
      </w:rPr>
    </w:lvl>
    <w:lvl w:ilvl="3" w:tplc="29AAC672" w:tentative="1">
      <w:start w:val="1"/>
      <w:numFmt w:val="bullet"/>
      <w:lvlText w:val="•"/>
      <w:lvlJc w:val="left"/>
      <w:pPr>
        <w:tabs>
          <w:tab w:val="num" w:pos="2880"/>
        </w:tabs>
        <w:ind w:left="2880" w:hanging="360"/>
      </w:pPr>
      <w:rPr>
        <w:rFonts w:ascii="Arial" w:hAnsi="Arial" w:hint="default"/>
      </w:rPr>
    </w:lvl>
    <w:lvl w:ilvl="4" w:tplc="A5C85264" w:tentative="1">
      <w:start w:val="1"/>
      <w:numFmt w:val="bullet"/>
      <w:lvlText w:val="•"/>
      <w:lvlJc w:val="left"/>
      <w:pPr>
        <w:tabs>
          <w:tab w:val="num" w:pos="3600"/>
        </w:tabs>
        <w:ind w:left="3600" w:hanging="360"/>
      </w:pPr>
      <w:rPr>
        <w:rFonts w:ascii="Arial" w:hAnsi="Arial" w:hint="default"/>
      </w:rPr>
    </w:lvl>
    <w:lvl w:ilvl="5" w:tplc="532C23F2" w:tentative="1">
      <w:start w:val="1"/>
      <w:numFmt w:val="bullet"/>
      <w:lvlText w:val="•"/>
      <w:lvlJc w:val="left"/>
      <w:pPr>
        <w:tabs>
          <w:tab w:val="num" w:pos="4320"/>
        </w:tabs>
        <w:ind w:left="4320" w:hanging="360"/>
      </w:pPr>
      <w:rPr>
        <w:rFonts w:ascii="Arial" w:hAnsi="Arial" w:hint="default"/>
      </w:rPr>
    </w:lvl>
    <w:lvl w:ilvl="6" w:tplc="841230FE" w:tentative="1">
      <w:start w:val="1"/>
      <w:numFmt w:val="bullet"/>
      <w:lvlText w:val="•"/>
      <w:lvlJc w:val="left"/>
      <w:pPr>
        <w:tabs>
          <w:tab w:val="num" w:pos="5040"/>
        </w:tabs>
        <w:ind w:left="5040" w:hanging="360"/>
      </w:pPr>
      <w:rPr>
        <w:rFonts w:ascii="Arial" w:hAnsi="Arial" w:hint="default"/>
      </w:rPr>
    </w:lvl>
    <w:lvl w:ilvl="7" w:tplc="E8EE9DDE" w:tentative="1">
      <w:start w:val="1"/>
      <w:numFmt w:val="bullet"/>
      <w:lvlText w:val="•"/>
      <w:lvlJc w:val="left"/>
      <w:pPr>
        <w:tabs>
          <w:tab w:val="num" w:pos="5760"/>
        </w:tabs>
        <w:ind w:left="5760" w:hanging="360"/>
      </w:pPr>
      <w:rPr>
        <w:rFonts w:ascii="Arial" w:hAnsi="Arial" w:hint="default"/>
      </w:rPr>
    </w:lvl>
    <w:lvl w:ilvl="8" w:tplc="C1C2A0E4" w:tentative="1">
      <w:start w:val="1"/>
      <w:numFmt w:val="bullet"/>
      <w:lvlText w:val="•"/>
      <w:lvlJc w:val="left"/>
      <w:pPr>
        <w:tabs>
          <w:tab w:val="num" w:pos="6480"/>
        </w:tabs>
        <w:ind w:left="6480" w:hanging="360"/>
      </w:pPr>
      <w:rPr>
        <w:rFonts w:ascii="Arial" w:hAnsi="Arial" w:hint="default"/>
      </w:rPr>
    </w:lvl>
  </w:abstractNum>
  <w:abstractNum w:abstractNumId="3">
    <w:nsid w:val="22A952ED"/>
    <w:multiLevelType w:val="hybridMultilevel"/>
    <w:tmpl w:val="49CED988"/>
    <w:lvl w:ilvl="0" w:tplc="B9C06C2E">
      <w:start w:val="1"/>
      <w:numFmt w:val="bullet"/>
      <w:lvlText w:val="•"/>
      <w:lvlJc w:val="left"/>
      <w:pPr>
        <w:tabs>
          <w:tab w:val="num" w:pos="720"/>
        </w:tabs>
        <w:ind w:left="720" w:hanging="360"/>
      </w:pPr>
      <w:rPr>
        <w:rFonts w:ascii="Arial" w:hAnsi="Arial" w:hint="default"/>
      </w:rPr>
    </w:lvl>
    <w:lvl w:ilvl="1" w:tplc="7C369818" w:tentative="1">
      <w:start w:val="1"/>
      <w:numFmt w:val="bullet"/>
      <w:lvlText w:val="•"/>
      <w:lvlJc w:val="left"/>
      <w:pPr>
        <w:tabs>
          <w:tab w:val="num" w:pos="1440"/>
        </w:tabs>
        <w:ind w:left="1440" w:hanging="360"/>
      </w:pPr>
      <w:rPr>
        <w:rFonts w:ascii="Arial" w:hAnsi="Arial" w:hint="default"/>
      </w:rPr>
    </w:lvl>
    <w:lvl w:ilvl="2" w:tplc="3FFADB22" w:tentative="1">
      <w:start w:val="1"/>
      <w:numFmt w:val="bullet"/>
      <w:lvlText w:val="•"/>
      <w:lvlJc w:val="left"/>
      <w:pPr>
        <w:tabs>
          <w:tab w:val="num" w:pos="2160"/>
        </w:tabs>
        <w:ind w:left="2160" w:hanging="360"/>
      </w:pPr>
      <w:rPr>
        <w:rFonts w:ascii="Arial" w:hAnsi="Arial" w:hint="default"/>
      </w:rPr>
    </w:lvl>
    <w:lvl w:ilvl="3" w:tplc="36C24266" w:tentative="1">
      <w:start w:val="1"/>
      <w:numFmt w:val="bullet"/>
      <w:lvlText w:val="•"/>
      <w:lvlJc w:val="left"/>
      <w:pPr>
        <w:tabs>
          <w:tab w:val="num" w:pos="2880"/>
        </w:tabs>
        <w:ind w:left="2880" w:hanging="360"/>
      </w:pPr>
      <w:rPr>
        <w:rFonts w:ascii="Arial" w:hAnsi="Arial" w:hint="default"/>
      </w:rPr>
    </w:lvl>
    <w:lvl w:ilvl="4" w:tplc="CB38D78C" w:tentative="1">
      <w:start w:val="1"/>
      <w:numFmt w:val="bullet"/>
      <w:lvlText w:val="•"/>
      <w:lvlJc w:val="left"/>
      <w:pPr>
        <w:tabs>
          <w:tab w:val="num" w:pos="3600"/>
        </w:tabs>
        <w:ind w:left="3600" w:hanging="360"/>
      </w:pPr>
      <w:rPr>
        <w:rFonts w:ascii="Arial" w:hAnsi="Arial" w:hint="default"/>
      </w:rPr>
    </w:lvl>
    <w:lvl w:ilvl="5" w:tplc="9C3ACDFE" w:tentative="1">
      <w:start w:val="1"/>
      <w:numFmt w:val="bullet"/>
      <w:lvlText w:val="•"/>
      <w:lvlJc w:val="left"/>
      <w:pPr>
        <w:tabs>
          <w:tab w:val="num" w:pos="4320"/>
        </w:tabs>
        <w:ind w:left="4320" w:hanging="360"/>
      </w:pPr>
      <w:rPr>
        <w:rFonts w:ascii="Arial" w:hAnsi="Arial" w:hint="default"/>
      </w:rPr>
    </w:lvl>
    <w:lvl w:ilvl="6" w:tplc="223EF702" w:tentative="1">
      <w:start w:val="1"/>
      <w:numFmt w:val="bullet"/>
      <w:lvlText w:val="•"/>
      <w:lvlJc w:val="left"/>
      <w:pPr>
        <w:tabs>
          <w:tab w:val="num" w:pos="5040"/>
        </w:tabs>
        <w:ind w:left="5040" w:hanging="360"/>
      </w:pPr>
      <w:rPr>
        <w:rFonts w:ascii="Arial" w:hAnsi="Arial" w:hint="default"/>
      </w:rPr>
    </w:lvl>
    <w:lvl w:ilvl="7" w:tplc="9468D2F2" w:tentative="1">
      <w:start w:val="1"/>
      <w:numFmt w:val="bullet"/>
      <w:lvlText w:val="•"/>
      <w:lvlJc w:val="left"/>
      <w:pPr>
        <w:tabs>
          <w:tab w:val="num" w:pos="5760"/>
        </w:tabs>
        <w:ind w:left="5760" w:hanging="360"/>
      </w:pPr>
      <w:rPr>
        <w:rFonts w:ascii="Arial" w:hAnsi="Arial" w:hint="default"/>
      </w:rPr>
    </w:lvl>
    <w:lvl w:ilvl="8" w:tplc="10AAA1FA" w:tentative="1">
      <w:start w:val="1"/>
      <w:numFmt w:val="bullet"/>
      <w:lvlText w:val="•"/>
      <w:lvlJc w:val="left"/>
      <w:pPr>
        <w:tabs>
          <w:tab w:val="num" w:pos="6480"/>
        </w:tabs>
        <w:ind w:left="6480" w:hanging="360"/>
      </w:pPr>
      <w:rPr>
        <w:rFonts w:ascii="Arial" w:hAnsi="Arial" w:hint="default"/>
      </w:rPr>
    </w:lvl>
  </w:abstractNum>
  <w:abstractNum w:abstractNumId="4">
    <w:nsid w:val="244774F6"/>
    <w:multiLevelType w:val="hybridMultilevel"/>
    <w:tmpl w:val="836AF034"/>
    <w:lvl w:ilvl="0" w:tplc="8BC6D746">
      <w:start w:val="1"/>
      <w:numFmt w:val="bullet"/>
      <w:lvlText w:val="•"/>
      <w:lvlJc w:val="left"/>
      <w:pPr>
        <w:tabs>
          <w:tab w:val="num" w:pos="720"/>
        </w:tabs>
        <w:ind w:left="720" w:hanging="360"/>
      </w:pPr>
      <w:rPr>
        <w:rFonts w:ascii="Times New Roman" w:hAnsi="Times New Roman" w:hint="default"/>
      </w:rPr>
    </w:lvl>
    <w:lvl w:ilvl="1" w:tplc="1C32EDD0" w:tentative="1">
      <w:start w:val="1"/>
      <w:numFmt w:val="bullet"/>
      <w:lvlText w:val="•"/>
      <w:lvlJc w:val="left"/>
      <w:pPr>
        <w:tabs>
          <w:tab w:val="num" w:pos="1440"/>
        </w:tabs>
        <w:ind w:left="1440" w:hanging="360"/>
      </w:pPr>
      <w:rPr>
        <w:rFonts w:ascii="Times New Roman" w:hAnsi="Times New Roman" w:hint="default"/>
      </w:rPr>
    </w:lvl>
    <w:lvl w:ilvl="2" w:tplc="CC427B3A" w:tentative="1">
      <w:start w:val="1"/>
      <w:numFmt w:val="bullet"/>
      <w:lvlText w:val="•"/>
      <w:lvlJc w:val="left"/>
      <w:pPr>
        <w:tabs>
          <w:tab w:val="num" w:pos="2160"/>
        </w:tabs>
        <w:ind w:left="2160" w:hanging="360"/>
      </w:pPr>
      <w:rPr>
        <w:rFonts w:ascii="Times New Roman" w:hAnsi="Times New Roman" w:hint="default"/>
      </w:rPr>
    </w:lvl>
    <w:lvl w:ilvl="3" w:tplc="00980B76" w:tentative="1">
      <w:start w:val="1"/>
      <w:numFmt w:val="bullet"/>
      <w:lvlText w:val="•"/>
      <w:lvlJc w:val="left"/>
      <w:pPr>
        <w:tabs>
          <w:tab w:val="num" w:pos="2880"/>
        </w:tabs>
        <w:ind w:left="2880" w:hanging="360"/>
      </w:pPr>
      <w:rPr>
        <w:rFonts w:ascii="Times New Roman" w:hAnsi="Times New Roman" w:hint="default"/>
      </w:rPr>
    </w:lvl>
    <w:lvl w:ilvl="4" w:tplc="F05A6B8E" w:tentative="1">
      <w:start w:val="1"/>
      <w:numFmt w:val="bullet"/>
      <w:lvlText w:val="•"/>
      <w:lvlJc w:val="left"/>
      <w:pPr>
        <w:tabs>
          <w:tab w:val="num" w:pos="3600"/>
        </w:tabs>
        <w:ind w:left="3600" w:hanging="360"/>
      </w:pPr>
      <w:rPr>
        <w:rFonts w:ascii="Times New Roman" w:hAnsi="Times New Roman" w:hint="default"/>
      </w:rPr>
    </w:lvl>
    <w:lvl w:ilvl="5" w:tplc="AA8C418C" w:tentative="1">
      <w:start w:val="1"/>
      <w:numFmt w:val="bullet"/>
      <w:lvlText w:val="•"/>
      <w:lvlJc w:val="left"/>
      <w:pPr>
        <w:tabs>
          <w:tab w:val="num" w:pos="4320"/>
        </w:tabs>
        <w:ind w:left="4320" w:hanging="360"/>
      </w:pPr>
      <w:rPr>
        <w:rFonts w:ascii="Times New Roman" w:hAnsi="Times New Roman" w:hint="default"/>
      </w:rPr>
    </w:lvl>
    <w:lvl w:ilvl="6" w:tplc="FA1EF6D0" w:tentative="1">
      <w:start w:val="1"/>
      <w:numFmt w:val="bullet"/>
      <w:lvlText w:val="•"/>
      <w:lvlJc w:val="left"/>
      <w:pPr>
        <w:tabs>
          <w:tab w:val="num" w:pos="5040"/>
        </w:tabs>
        <w:ind w:left="5040" w:hanging="360"/>
      </w:pPr>
      <w:rPr>
        <w:rFonts w:ascii="Times New Roman" w:hAnsi="Times New Roman" w:hint="default"/>
      </w:rPr>
    </w:lvl>
    <w:lvl w:ilvl="7" w:tplc="346C8FA0" w:tentative="1">
      <w:start w:val="1"/>
      <w:numFmt w:val="bullet"/>
      <w:lvlText w:val="•"/>
      <w:lvlJc w:val="left"/>
      <w:pPr>
        <w:tabs>
          <w:tab w:val="num" w:pos="5760"/>
        </w:tabs>
        <w:ind w:left="5760" w:hanging="360"/>
      </w:pPr>
      <w:rPr>
        <w:rFonts w:ascii="Times New Roman" w:hAnsi="Times New Roman" w:hint="default"/>
      </w:rPr>
    </w:lvl>
    <w:lvl w:ilvl="8" w:tplc="98BE425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8DD6F72"/>
    <w:multiLevelType w:val="hybridMultilevel"/>
    <w:tmpl w:val="88A45B94"/>
    <w:lvl w:ilvl="0" w:tplc="C6EA91E0">
      <w:start w:val="1"/>
      <w:numFmt w:val="bullet"/>
      <w:lvlText w:val="•"/>
      <w:lvlJc w:val="left"/>
      <w:pPr>
        <w:tabs>
          <w:tab w:val="num" w:pos="720"/>
        </w:tabs>
        <w:ind w:left="720" w:hanging="360"/>
      </w:pPr>
      <w:rPr>
        <w:rFonts w:ascii="Times New Roman" w:hAnsi="Times New Roman" w:hint="default"/>
      </w:rPr>
    </w:lvl>
    <w:lvl w:ilvl="1" w:tplc="B9021F9C">
      <w:start w:val="1"/>
      <w:numFmt w:val="bullet"/>
      <w:lvlText w:val="•"/>
      <w:lvlJc w:val="left"/>
      <w:pPr>
        <w:tabs>
          <w:tab w:val="num" w:pos="1440"/>
        </w:tabs>
        <w:ind w:left="1440" w:hanging="360"/>
      </w:pPr>
      <w:rPr>
        <w:rFonts w:ascii="Times New Roman" w:hAnsi="Times New Roman" w:hint="default"/>
      </w:rPr>
    </w:lvl>
    <w:lvl w:ilvl="2" w:tplc="EAD22BB6" w:tentative="1">
      <w:start w:val="1"/>
      <w:numFmt w:val="bullet"/>
      <w:lvlText w:val="•"/>
      <w:lvlJc w:val="left"/>
      <w:pPr>
        <w:tabs>
          <w:tab w:val="num" w:pos="2160"/>
        </w:tabs>
        <w:ind w:left="2160" w:hanging="360"/>
      </w:pPr>
      <w:rPr>
        <w:rFonts w:ascii="Times New Roman" w:hAnsi="Times New Roman" w:hint="default"/>
      </w:rPr>
    </w:lvl>
    <w:lvl w:ilvl="3" w:tplc="5BCE4FFC" w:tentative="1">
      <w:start w:val="1"/>
      <w:numFmt w:val="bullet"/>
      <w:lvlText w:val="•"/>
      <w:lvlJc w:val="left"/>
      <w:pPr>
        <w:tabs>
          <w:tab w:val="num" w:pos="2880"/>
        </w:tabs>
        <w:ind w:left="2880" w:hanging="360"/>
      </w:pPr>
      <w:rPr>
        <w:rFonts w:ascii="Times New Roman" w:hAnsi="Times New Roman" w:hint="default"/>
      </w:rPr>
    </w:lvl>
    <w:lvl w:ilvl="4" w:tplc="D8446C58" w:tentative="1">
      <w:start w:val="1"/>
      <w:numFmt w:val="bullet"/>
      <w:lvlText w:val="•"/>
      <w:lvlJc w:val="left"/>
      <w:pPr>
        <w:tabs>
          <w:tab w:val="num" w:pos="3600"/>
        </w:tabs>
        <w:ind w:left="3600" w:hanging="360"/>
      </w:pPr>
      <w:rPr>
        <w:rFonts w:ascii="Times New Roman" w:hAnsi="Times New Roman" w:hint="default"/>
      </w:rPr>
    </w:lvl>
    <w:lvl w:ilvl="5" w:tplc="D7883348" w:tentative="1">
      <w:start w:val="1"/>
      <w:numFmt w:val="bullet"/>
      <w:lvlText w:val="•"/>
      <w:lvlJc w:val="left"/>
      <w:pPr>
        <w:tabs>
          <w:tab w:val="num" w:pos="4320"/>
        </w:tabs>
        <w:ind w:left="4320" w:hanging="360"/>
      </w:pPr>
      <w:rPr>
        <w:rFonts w:ascii="Times New Roman" w:hAnsi="Times New Roman" w:hint="default"/>
      </w:rPr>
    </w:lvl>
    <w:lvl w:ilvl="6" w:tplc="BF42E84E" w:tentative="1">
      <w:start w:val="1"/>
      <w:numFmt w:val="bullet"/>
      <w:lvlText w:val="•"/>
      <w:lvlJc w:val="left"/>
      <w:pPr>
        <w:tabs>
          <w:tab w:val="num" w:pos="5040"/>
        </w:tabs>
        <w:ind w:left="5040" w:hanging="360"/>
      </w:pPr>
      <w:rPr>
        <w:rFonts w:ascii="Times New Roman" w:hAnsi="Times New Roman" w:hint="default"/>
      </w:rPr>
    </w:lvl>
    <w:lvl w:ilvl="7" w:tplc="B5EE0D48" w:tentative="1">
      <w:start w:val="1"/>
      <w:numFmt w:val="bullet"/>
      <w:lvlText w:val="•"/>
      <w:lvlJc w:val="left"/>
      <w:pPr>
        <w:tabs>
          <w:tab w:val="num" w:pos="5760"/>
        </w:tabs>
        <w:ind w:left="5760" w:hanging="360"/>
      </w:pPr>
      <w:rPr>
        <w:rFonts w:ascii="Times New Roman" w:hAnsi="Times New Roman" w:hint="default"/>
      </w:rPr>
    </w:lvl>
    <w:lvl w:ilvl="8" w:tplc="DFDA552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B2C65DE"/>
    <w:multiLevelType w:val="hybridMultilevel"/>
    <w:tmpl w:val="6EA8B8C4"/>
    <w:lvl w:ilvl="0" w:tplc="B7A0FA6A">
      <w:start w:val="1"/>
      <w:numFmt w:val="bullet"/>
      <w:lvlText w:val="•"/>
      <w:lvlJc w:val="left"/>
      <w:pPr>
        <w:tabs>
          <w:tab w:val="num" w:pos="720"/>
        </w:tabs>
        <w:ind w:left="720" w:hanging="360"/>
      </w:pPr>
      <w:rPr>
        <w:rFonts w:ascii="Arial" w:hAnsi="Arial" w:hint="default"/>
      </w:rPr>
    </w:lvl>
    <w:lvl w:ilvl="1" w:tplc="3C284110" w:tentative="1">
      <w:start w:val="1"/>
      <w:numFmt w:val="bullet"/>
      <w:lvlText w:val="•"/>
      <w:lvlJc w:val="left"/>
      <w:pPr>
        <w:tabs>
          <w:tab w:val="num" w:pos="1440"/>
        </w:tabs>
        <w:ind w:left="1440" w:hanging="360"/>
      </w:pPr>
      <w:rPr>
        <w:rFonts w:ascii="Arial" w:hAnsi="Arial" w:hint="default"/>
      </w:rPr>
    </w:lvl>
    <w:lvl w:ilvl="2" w:tplc="66E4ABEE" w:tentative="1">
      <w:start w:val="1"/>
      <w:numFmt w:val="bullet"/>
      <w:lvlText w:val="•"/>
      <w:lvlJc w:val="left"/>
      <w:pPr>
        <w:tabs>
          <w:tab w:val="num" w:pos="2160"/>
        </w:tabs>
        <w:ind w:left="2160" w:hanging="360"/>
      </w:pPr>
      <w:rPr>
        <w:rFonts w:ascii="Arial" w:hAnsi="Arial" w:hint="default"/>
      </w:rPr>
    </w:lvl>
    <w:lvl w:ilvl="3" w:tplc="4350C506" w:tentative="1">
      <w:start w:val="1"/>
      <w:numFmt w:val="bullet"/>
      <w:lvlText w:val="•"/>
      <w:lvlJc w:val="left"/>
      <w:pPr>
        <w:tabs>
          <w:tab w:val="num" w:pos="2880"/>
        </w:tabs>
        <w:ind w:left="2880" w:hanging="360"/>
      </w:pPr>
      <w:rPr>
        <w:rFonts w:ascii="Arial" w:hAnsi="Arial" w:hint="default"/>
      </w:rPr>
    </w:lvl>
    <w:lvl w:ilvl="4" w:tplc="137E31E0" w:tentative="1">
      <w:start w:val="1"/>
      <w:numFmt w:val="bullet"/>
      <w:lvlText w:val="•"/>
      <w:lvlJc w:val="left"/>
      <w:pPr>
        <w:tabs>
          <w:tab w:val="num" w:pos="3600"/>
        </w:tabs>
        <w:ind w:left="3600" w:hanging="360"/>
      </w:pPr>
      <w:rPr>
        <w:rFonts w:ascii="Arial" w:hAnsi="Arial" w:hint="default"/>
      </w:rPr>
    </w:lvl>
    <w:lvl w:ilvl="5" w:tplc="D90AFF92" w:tentative="1">
      <w:start w:val="1"/>
      <w:numFmt w:val="bullet"/>
      <w:lvlText w:val="•"/>
      <w:lvlJc w:val="left"/>
      <w:pPr>
        <w:tabs>
          <w:tab w:val="num" w:pos="4320"/>
        </w:tabs>
        <w:ind w:left="4320" w:hanging="360"/>
      </w:pPr>
      <w:rPr>
        <w:rFonts w:ascii="Arial" w:hAnsi="Arial" w:hint="default"/>
      </w:rPr>
    </w:lvl>
    <w:lvl w:ilvl="6" w:tplc="08C0EA5A" w:tentative="1">
      <w:start w:val="1"/>
      <w:numFmt w:val="bullet"/>
      <w:lvlText w:val="•"/>
      <w:lvlJc w:val="left"/>
      <w:pPr>
        <w:tabs>
          <w:tab w:val="num" w:pos="5040"/>
        </w:tabs>
        <w:ind w:left="5040" w:hanging="360"/>
      </w:pPr>
      <w:rPr>
        <w:rFonts w:ascii="Arial" w:hAnsi="Arial" w:hint="default"/>
      </w:rPr>
    </w:lvl>
    <w:lvl w:ilvl="7" w:tplc="2806CA12" w:tentative="1">
      <w:start w:val="1"/>
      <w:numFmt w:val="bullet"/>
      <w:lvlText w:val="•"/>
      <w:lvlJc w:val="left"/>
      <w:pPr>
        <w:tabs>
          <w:tab w:val="num" w:pos="5760"/>
        </w:tabs>
        <w:ind w:left="5760" w:hanging="360"/>
      </w:pPr>
      <w:rPr>
        <w:rFonts w:ascii="Arial" w:hAnsi="Arial" w:hint="default"/>
      </w:rPr>
    </w:lvl>
    <w:lvl w:ilvl="8" w:tplc="A560E4AC" w:tentative="1">
      <w:start w:val="1"/>
      <w:numFmt w:val="bullet"/>
      <w:lvlText w:val="•"/>
      <w:lvlJc w:val="left"/>
      <w:pPr>
        <w:tabs>
          <w:tab w:val="num" w:pos="6480"/>
        </w:tabs>
        <w:ind w:left="6480" w:hanging="360"/>
      </w:pPr>
      <w:rPr>
        <w:rFonts w:ascii="Arial" w:hAnsi="Arial" w:hint="default"/>
      </w:rPr>
    </w:lvl>
  </w:abstractNum>
  <w:abstractNum w:abstractNumId="7">
    <w:nsid w:val="33B32163"/>
    <w:multiLevelType w:val="hybridMultilevel"/>
    <w:tmpl w:val="F840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E10ED9"/>
    <w:multiLevelType w:val="hybridMultilevel"/>
    <w:tmpl w:val="AD3A30A4"/>
    <w:lvl w:ilvl="0" w:tplc="5D96A010">
      <w:start w:val="1"/>
      <w:numFmt w:val="bullet"/>
      <w:lvlText w:val="•"/>
      <w:lvlJc w:val="left"/>
      <w:pPr>
        <w:tabs>
          <w:tab w:val="num" w:pos="720"/>
        </w:tabs>
        <w:ind w:left="720" w:hanging="360"/>
      </w:pPr>
      <w:rPr>
        <w:rFonts w:ascii="Arial" w:hAnsi="Arial" w:hint="default"/>
      </w:rPr>
    </w:lvl>
    <w:lvl w:ilvl="1" w:tplc="2168E7DA">
      <w:start w:val="1"/>
      <w:numFmt w:val="bullet"/>
      <w:lvlText w:val="•"/>
      <w:lvlJc w:val="left"/>
      <w:pPr>
        <w:tabs>
          <w:tab w:val="num" w:pos="1440"/>
        </w:tabs>
        <w:ind w:left="1440" w:hanging="360"/>
      </w:pPr>
      <w:rPr>
        <w:rFonts w:ascii="Arial" w:hAnsi="Arial" w:hint="default"/>
      </w:rPr>
    </w:lvl>
    <w:lvl w:ilvl="2" w:tplc="4036C9EC" w:tentative="1">
      <w:start w:val="1"/>
      <w:numFmt w:val="bullet"/>
      <w:lvlText w:val="•"/>
      <w:lvlJc w:val="left"/>
      <w:pPr>
        <w:tabs>
          <w:tab w:val="num" w:pos="2160"/>
        </w:tabs>
        <w:ind w:left="2160" w:hanging="360"/>
      </w:pPr>
      <w:rPr>
        <w:rFonts w:ascii="Arial" w:hAnsi="Arial" w:hint="default"/>
      </w:rPr>
    </w:lvl>
    <w:lvl w:ilvl="3" w:tplc="057CE118" w:tentative="1">
      <w:start w:val="1"/>
      <w:numFmt w:val="bullet"/>
      <w:lvlText w:val="•"/>
      <w:lvlJc w:val="left"/>
      <w:pPr>
        <w:tabs>
          <w:tab w:val="num" w:pos="2880"/>
        </w:tabs>
        <w:ind w:left="2880" w:hanging="360"/>
      </w:pPr>
      <w:rPr>
        <w:rFonts w:ascii="Arial" w:hAnsi="Arial" w:hint="default"/>
      </w:rPr>
    </w:lvl>
    <w:lvl w:ilvl="4" w:tplc="006EB846" w:tentative="1">
      <w:start w:val="1"/>
      <w:numFmt w:val="bullet"/>
      <w:lvlText w:val="•"/>
      <w:lvlJc w:val="left"/>
      <w:pPr>
        <w:tabs>
          <w:tab w:val="num" w:pos="3600"/>
        </w:tabs>
        <w:ind w:left="3600" w:hanging="360"/>
      </w:pPr>
      <w:rPr>
        <w:rFonts w:ascii="Arial" w:hAnsi="Arial" w:hint="default"/>
      </w:rPr>
    </w:lvl>
    <w:lvl w:ilvl="5" w:tplc="D6D41938" w:tentative="1">
      <w:start w:val="1"/>
      <w:numFmt w:val="bullet"/>
      <w:lvlText w:val="•"/>
      <w:lvlJc w:val="left"/>
      <w:pPr>
        <w:tabs>
          <w:tab w:val="num" w:pos="4320"/>
        </w:tabs>
        <w:ind w:left="4320" w:hanging="360"/>
      </w:pPr>
      <w:rPr>
        <w:rFonts w:ascii="Arial" w:hAnsi="Arial" w:hint="default"/>
      </w:rPr>
    </w:lvl>
    <w:lvl w:ilvl="6" w:tplc="D4FA27DC" w:tentative="1">
      <w:start w:val="1"/>
      <w:numFmt w:val="bullet"/>
      <w:lvlText w:val="•"/>
      <w:lvlJc w:val="left"/>
      <w:pPr>
        <w:tabs>
          <w:tab w:val="num" w:pos="5040"/>
        </w:tabs>
        <w:ind w:left="5040" w:hanging="360"/>
      </w:pPr>
      <w:rPr>
        <w:rFonts w:ascii="Arial" w:hAnsi="Arial" w:hint="default"/>
      </w:rPr>
    </w:lvl>
    <w:lvl w:ilvl="7" w:tplc="A62E9E78" w:tentative="1">
      <w:start w:val="1"/>
      <w:numFmt w:val="bullet"/>
      <w:lvlText w:val="•"/>
      <w:lvlJc w:val="left"/>
      <w:pPr>
        <w:tabs>
          <w:tab w:val="num" w:pos="5760"/>
        </w:tabs>
        <w:ind w:left="5760" w:hanging="360"/>
      </w:pPr>
      <w:rPr>
        <w:rFonts w:ascii="Arial" w:hAnsi="Arial" w:hint="default"/>
      </w:rPr>
    </w:lvl>
    <w:lvl w:ilvl="8" w:tplc="E2927788" w:tentative="1">
      <w:start w:val="1"/>
      <w:numFmt w:val="bullet"/>
      <w:lvlText w:val="•"/>
      <w:lvlJc w:val="left"/>
      <w:pPr>
        <w:tabs>
          <w:tab w:val="num" w:pos="6480"/>
        </w:tabs>
        <w:ind w:left="6480" w:hanging="360"/>
      </w:pPr>
      <w:rPr>
        <w:rFonts w:ascii="Arial" w:hAnsi="Arial" w:hint="default"/>
      </w:rPr>
    </w:lvl>
  </w:abstractNum>
  <w:abstractNum w:abstractNumId="9">
    <w:nsid w:val="490D40A3"/>
    <w:multiLevelType w:val="hybridMultilevel"/>
    <w:tmpl w:val="FB2A4444"/>
    <w:lvl w:ilvl="0" w:tplc="61CE92F0">
      <w:start w:val="1"/>
      <w:numFmt w:val="bullet"/>
      <w:lvlText w:val="•"/>
      <w:lvlJc w:val="left"/>
      <w:pPr>
        <w:tabs>
          <w:tab w:val="num" w:pos="720"/>
        </w:tabs>
        <w:ind w:left="720" w:hanging="360"/>
      </w:pPr>
      <w:rPr>
        <w:rFonts w:ascii="Arial" w:hAnsi="Arial" w:hint="default"/>
      </w:rPr>
    </w:lvl>
    <w:lvl w:ilvl="1" w:tplc="750E2212" w:tentative="1">
      <w:start w:val="1"/>
      <w:numFmt w:val="bullet"/>
      <w:lvlText w:val="•"/>
      <w:lvlJc w:val="left"/>
      <w:pPr>
        <w:tabs>
          <w:tab w:val="num" w:pos="1440"/>
        </w:tabs>
        <w:ind w:left="1440" w:hanging="360"/>
      </w:pPr>
      <w:rPr>
        <w:rFonts w:ascii="Arial" w:hAnsi="Arial" w:hint="default"/>
      </w:rPr>
    </w:lvl>
    <w:lvl w:ilvl="2" w:tplc="59CC5B5A" w:tentative="1">
      <w:start w:val="1"/>
      <w:numFmt w:val="bullet"/>
      <w:lvlText w:val="•"/>
      <w:lvlJc w:val="left"/>
      <w:pPr>
        <w:tabs>
          <w:tab w:val="num" w:pos="2160"/>
        </w:tabs>
        <w:ind w:left="2160" w:hanging="360"/>
      </w:pPr>
      <w:rPr>
        <w:rFonts w:ascii="Arial" w:hAnsi="Arial" w:hint="default"/>
      </w:rPr>
    </w:lvl>
    <w:lvl w:ilvl="3" w:tplc="DDC8C7A8" w:tentative="1">
      <w:start w:val="1"/>
      <w:numFmt w:val="bullet"/>
      <w:lvlText w:val="•"/>
      <w:lvlJc w:val="left"/>
      <w:pPr>
        <w:tabs>
          <w:tab w:val="num" w:pos="2880"/>
        </w:tabs>
        <w:ind w:left="2880" w:hanging="360"/>
      </w:pPr>
      <w:rPr>
        <w:rFonts w:ascii="Arial" w:hAnsi="Arial" w:hint="default"/>
      </w:rPr>
    </w:lvl>
    <w:lvl w:ilvl="4" w:tplc="FEB295CE" w:tentative="1">
      <w:start w:val="1"/>
      <w:numFmt w:val="bullet"/>
      <w:lvlText w:val="•"/>
      <w:lvlJc w:val="left"/>
      <w:pPr>
        <w:tabs>
          <w:tab w:val="num" w:pos="3600"/>
        </w:tabs>
        <w:ind w:left="3600" w:hanging="360"/>
      </w:pPr>
      <w:rPr>
        <w:rFonts w:ascii="Arial" w:hAnsi="Arial" w:hint="default"/>
      </w:rPr>
    </w:lvl>
    <w:lvl w:ilvl="5" w:tplc="91B425E6" w:tentative="1">
      <w:start w:val="1"/>
      <w:numFmt w:val="bullet"/>
      <w:lvlText w:val="•"/>
      <w:lvlJc w:val="left"/>
      <w:pPr>
        <w:tabs>
          <w:tab w:val="num" w:pos="4320"/>
        </w:tabs>
        <w:ind w:left="4320" w:hanging="360"/>
      </w:pPr>
      <w:rPr>
        <w:rFonts w:ascii="Arial" w:hAnsi="Arial" w:hint="default"/>
      </w:rPr>
    </w:lvl>
    <w:lvl w:ilvl="6" w:tplc="5218DC3A" w:tentative="1">
      <w:start w:val="1"/>
      <w:numFmt w:val="bullet"/>
      <w:lvlText w:val="•"/>
      <w:lvlJc w:val="left"/>
      <w:pPr>
        <w:tabs>
          <w:tab w:val="num" w:pos="5040"/>
        </w:tabs>
        <w:ind w:left="5040" w:hanging="360"/>
      </w:pPr>
      <w:rPr>
        <w:rFonts w:ascii="Arial" w:hAnsi="Arial" w:hint="default"/>
      </w:rPr>
    </w:lvl>
    <w:lvl w:ilvl="7" w:tplc="2AE27322" w:tentative="1">
      <w:start w:val="1"/>
      <w:numFmt w:val="bullet"/>
      <w:lvlText w:val="•"/>
      <w:lvlJc w:val="left"/>
      <w:pPr>
        <w:tabs>
          <w:tab w:val="num" w:pos="5760"/>
        </w:tabs>
        <w:ind w:left="5760" w:hanging="360"/>
      </w:pPr>
      <w:rPr>
        <w:rFonts w:ascii="Arial" w:hAnsi="Arial" w:hint="default"/>
      </w:rPr>
    </w:lvl>
    <w:lvl w:ilvl="8" w:tplc="5F52435E" w:tentative="1">
      <w:start w:val="1"/>
      <w:numFmt w:val="bullet"/>
      <w:lvlText w:val="•"/>
      <w:lvlJc w:val="left"/>
      <w:pPr>
        <w:tabs>
          <w:tab w:val="num" w:pos="6480"/>
        </w:tabs>
        <w:ind w:left="6480" w:hanging="360"/>
      </w:pPr>
      <w:rPr>
        <w:rFonts w:ascii="Arial" w:hAnsi="Arial" w:hint="default"/>
      </w:rPr>
    </w:lvl>
  </w:abstractNum>
  <w:abstractNum w:abstractNumId="10">
    <w:nsid w:val="50290D60"/>
    <w:multiLevelType w:val="hybridMultilevel"/>
    <w:tmpl w:val="80DCD8D0"/>
    <w:lvl w:ilvl="0" w:tplc="6406D7C4">
      <w:start w:val="1"/>
      <w:numFmt w:val="bullet"/>
      <w:lvlText w:val="•"/>
      <w:lvlJc w:val="left"/>
      <w:pPr>
        <w:tabs>
          <w:tab w:val="num" w:pos="720"/>
        </w:tabs>
        <w:ind w:left="720" w:hanging="360"/>
      </w:pPr>
      <w:rPr>
        <w:rFonts w:ascii="Arial" w:hAnsi="Arial" w:hint="default"/>
      </w:rPr>
    </w:lvl>
    <w:lvl w:ilvl="1" w:tplc="09266C9A" w:tentative="1">
      <w:start w:val="1"/>
      <w:numFmt w:val="bullet"/>
      <w:lvlText w:val="•"/>
      <w:lvlJc w:val="left"/>
      <w:pPr>
        <w:tabs>
          <w:tab w:val="num" w:pos="1440"/>
        </w:tabs>
        <w:ind w:left="1440" w:hanging="360"/>
      </w:pPr>
      <w:rPr>
        <w:rFonts w:ascii="Arial" w:hAnsi="Arial" w:hint="default"/>
      </w:rPr>
    </w:lvl>
    <w:lvl w:ilvl="2" w:tplc="AF2E05DC" w:tentative="1">
      <w:start w:val="1"/>
      <w:numFmt w:val="bullet"/>
      <w:lvlText w:val="•"/>
      <w:lvlJc w:val="left"/>
      <w:pPr>
        <w:tabs>
          <w:tab w:val="num" w:pos="2160"/>
        </w:tabs>
        <w:ind w:left="2160" w:hanging="360"/>
      </w:pPr>
      <w:rPr>
        <w:rFonts w:ascii="Arial" w:hAnsi="Arial" w:hint="default"/>
      </w:rPr>
    </w:lvl>
    <w:lvl w:ilvl="3" w:tplc="1D161BEC" w:tentative="1">
      <w:start w:val="1"/>
      <w:numFmt w:val="bullet"/>
      <w:lvlText w:val="•"/>
      <w:lvlJc w:val="left"/>
      <w:pPr>
        <w:tabs>
          <w:tab w:val="num" w:pos="2880"/>
        </w:tabs>
        <w:ind w:left="2880" w:hanging="360"/>
      </w:pPr>
      <w:rPr>
        <w:rFonts w:ascii="Arial" w:hAnsi="Arial" w:hint="default"/>
      </w:rPr>
    </w:lvl>
    <w:lvl w:ilvl="4" w:tplc="879AA806" w:tentative="1">
      <w:start w:val="1"/>
      <w:numFmt w:val="bullet"/>
      <w:lvlText w:val="•"/>
      <w:lvlJc w:val="left"/>
      <w:pPr>
        <w:tabs>
          <w:tab w:val="num" w:pos="3600"/>
        </w:tabs>
        <w:ind w:left="3600" w:hanging="360"/>
      </w:pPr>
      <w:rPr>
        <w:rFonts w:ascii="Arial" w:hAnsi="Arial" w:hint="default"/>
      </w:rPr>
    </w:lvl>
    <w:lvl w:ilvl="5" w:tplc="9474B5DC" w:tentative="1">
      <w:start w:val="1"/>
      <w:numFmt w:val="bullet"/>
      <w:lvlText w:val="•"/>
      <w:lvlJc w:val="left"/>
      <w:pPr>
        <w:tabs>
          <w:tab w:val="num" w:pos="4320"/>
        </w:tabs>
        <w:ind w:left="4320" w:hanging="360"/>
      </w:pPr>
      <w:rPr>
        <w:rFonts w:ascii="Arial" w:hAnsi="Arial" w:hint="default"/>
      </w:rPr>
    </w:lvl>
    <w:lvl w:ilvl="6" w:tplc="29065120" w:tentative="1">
      <w:start w:val="1"/>
      <w:numFmt w:val="bullet"/>
      <w:lvlText w:val="•"/>
      <w:lvlJc w:val="left"/>
      <w:pPr>
        <w:tabs>
          <w:tab w:val="num" w:pos="5040"/>
        </w:tabs>
        <w:ind w:left="5040" w:hanging="360"/>
      </w:pPr>
      <w:rPr>
        <w:rFonts w:ascii="Arial" w:hAnsi="Arial" w:hint="default"/>
      </w:rPr>
    </w:lvl>
    <w:lvl w:ilvl="7" w:tplc="AA5E58F8" w:tentative="1">
      <w:start w:val="1"/>
      <w:numFmt w:val="bullet"/>
      <w:lvlText w:val="•"/>
      <w:lvlJc w:val="left"/>
      <w:pPr>
        <w:tabs>
          <w:tab w:val="num" w:pos="5760"/>
        </w:tabs>
        <w:ind w:left="5760" w:hanging="360"/>
      </w:pPr>
      <w:rPr>
        <w:rFonts w:ascii="Arial" w:hAnsi="Arial" w:hint="default"/>
      </w:rPr>
    </w:lvl>
    <w:lvl w:ilvl="8" w:tplc="B3009EFA" w:tentative="1">
      <w:start w:val="1"/>
      <w:numFmt w:val="bullet"/>
      <w:lvlText w:val="•"/>
      <w:lvlJc w:val="left"/>
      <w:pPr>
        <w:tabs>
          <w:tab w:val="num" w:pos="6480"/>
        </w:tabs>
        <w:ind w:left="6480" w:hanging="360"/>
      </w:pPr>
      <w:rPr>
        <w:rFonts w:ascii="Arial" w:hAnsi="Arial" w:hint="default"/>
      </w:rPr>
    </w:lvl>
  </w:abstractNum>
  <w:abstractNum w:abstractNumId="11">
    <w:nsid w:val="527B719B"/>
    <w:multiLevelType w:val="hybridMultilevel"/>
    <w:tmpl w:val="0B286AA4"/>
    <w:lvl w:ilvl="0" w:tplc="AF8C4140">
      <w:start w:val="1"/>
      <w:numFmt w:val="bullet"/>
      <w:lvlText w:val="•"/>
      <w:lvlJc w:val="left"/>
      <w:pPr>
        <w:tabs>
          <w:tab w:val="num" w:pos="720"/>
        </w:tabs>
        <w:ind w:left="720" w:hanging="360"/>
      </w:pPr>
      <w:rPr>
        <w:rFonts w:ascii="Arial" w:hAnsi="Arial" w:hint="default"/>
      </w:rPr>
    </w:lvl>
    <w:lvl w:ilvl="1" w:tplc="B8B2F92C" w:tentative="1">
      <w:start w:val="1"/>
      <w:numFmt w:val="bullet"/>
      <w:lvlText w:val="•"/>
      <w:lvlJc w:val="left"/>
      <w:pPr>
        <w:tabs>
          <w:tab w:val="num" w:pos="1440"/>
        </w:tabs>
        <w:ind w:left="1440" w:hanging="360"/>
      </w:pPr>
      <w:rPr>
        <w:rFonts w:ascii="Arial" w:hAnsi="Arial" w:hint="default"/>
      </w:rPr>
    </w:lvl>
    <w:lvl w:ilvl="2" w:tplc="A7088FD0" w:tentative="1">
      <w:start w:val="1"/>
      <w:numFmt w:val="bullet"/>
      <w:lvlText w:val="•"/>
      <w:lvlJc w:val="left"/>
      <w:pPr>
        <w:tabs>
          <w:tab w:val="num" w:pos="2160"/>
        </w:tabs>
        <w:ind w:left="2160" w:hanging="360"/>
      </w:pPr>
      <w:rPr>
        <w:rFonts w:ascii="Arial" w:hAnsi="Arial" w:hint="default"/>
      </w:rPr>
    </w:lvl>
    <w:lvl w:ilvl="3" w:tplc="B7FCB08A" w:tentative="1">
      <w:start w:val="1"/>
      <w:numFmt w:val="bullet"/>
      <w:lvlText w:val="•"/>
      <w:lvlJc w:val="left"/>
      <w:pPr>
        <w:tabs>
          <w:tab w:val="num" w:pos="2880"/>
        </w:tabs>
        <w:ind w:left="2880" w:hanging="360"/>
      </w:pPr>
      <w:rPr>
        <w:rFonts w:ascii="Arial" w:hAnsi="Arial" w:hint="default"/>
      </w:rPr>
    </w:lvl>
    <w:lvl w:ilvl="4" w:tplc="4C12A628" w:tentative="1">
      <w:start w:val="1"/>
      <w:numFmt w:val="bullet"/>
      <w:lvlText w:val="•"/>
      <w:lvlJc w:val="left"/>
      <w:pPr>
        <w:tabs>
          <w:tab w:val="num" w:pos="3600"/>
        </w:tabs>
        <w:ind w:left="3600" w:hanging="360"/>
      </w:pPr>
      <w:rPr>
        <w:rFonts w:ascii="Arial" w:hAnsi="Arial" w:hint="default"/>
      </w:rPr>
    </w:lvl>
    <w:lvl w:ilvl="5" w:tplc="F13ADC1E" w:tentative="1">
      <w:start w:val="1"/>
      <w:numFmt w:val="bullet"/>
      <w:lvlText w:val="•"/>
      <w:lvlJc w:val="left"/>
      <w:pPr>
        <w:tabs>
          <w:tab w:val="num" w:pos="4320"/>
        </w:tabs>
        <w:ind w:left="4320" w:hanging="360"/>
      </w:pPr>
      <w:rPr>
        <w:rFonts w:ascii="Arial" w:hAnsi="Arial" w:hint="default"/>
      </w:rPr>
    </w:lvl>
    <w:lvl w:ilvl="6" w:tplc="10FE27B8" w:tentative="1">
      <w:start w:val="1"/>
      <w:numFmt w:val="bullet"/>
      <w:lvlText w:val="•"/>
      <w:lvlJc w:val="left"/>
      <w:pPr>
        <w:tabs>
          <w:tab w:val="num" w:pos="5040"/>
        </w:tabs>
        <w:ind w:left="5040" w:hanging="360"/>
      </w:pPr>
      <w:rPr>
        <w:rFonts w:ascii="Arial" w:hAnsi="Arial" w:hint="default"/>
      </w:rPr>
    </w:lvl>
    <w:lvl w:ilvl="7" w:tplc="46CEAC4E" w:tentative="1">
      <w:start w:val="1"/>
      <w:numFmt w:val="bullet"/>
      <w:lvlText w:val="•"/>
      <w:lvlJc w:val="left"/>
      <w:pPr>
        <w:tabs>
          <w:tab w:val="num" w:pos="5760"/>
        </w:tabs>
        <w:ind w:left="5760" w:hanging="360"/>
      </w:pPr>
      <w:rPr>
        <w:rFonts w:ascii="Arial" w:hAnsi="Arial" w:hint="default"/>
      </w:rPr>
    </w:lvl>
    <w:lvl w:ilvl="8" w:tplc="A78C352E" w:tentative="1">
      <w:start w:val="1"/>
      <w:numFmt w:val="bullet"/>
      <w:lvlText w:val="•"/>
      <w:lvlJc w:val="left"/>
      <w:pPr>
        <w:tabs>
          <w:tab w:val="num" w:pos="6480"/>
        </w:tabs>
        <w:ind w:left="6480" w:hanging="360"/>
      </w:pPr>
      <w:rPr>
        <w:rFonts w:ascii="Arial" w:hAnsi="Arial" w:hint="default"/>
      </w:rPr>
    </w:lvl>
  </w:abstractNum>
  <w:abstractNum w:abstractNumId="12">
    <w:nsid w:val="6AA04573"/>
    <w:multiLevelType w:val="hybridMultilevel"/>
    <w:tmpl w:val="345E79A6"/>
    <w:lvl w:ilvl="0" w:tplc="3426EFFA">
      <w:start w:val="1"/>
      <w:numFmt w:val="bullet"/>
      <w:lvlText w:val="•"/>
      <w:lvlJc w:val="left"/>
      <w:pPr>
        <w:tabs>
          <w:tab w:val="num" w:pos="720"/>
        </w:tabs>
        <w:ind w:left="720" w:hanging="360"/>
      </w:pPr>
      <w:rPr>
        <w:rFonts w:ascii="Arial" w:hAnsi="Arial" w:hint="default"/>
      </w:rPr>
    </w:lvl>
    <w:lvl w:ilvl="1" w:tplc="0EAC4AAE" w:tentative="1">
      <w:start w:val="1"/>
      <w:numFmt w:val="bullet"/>
      <w:lvlText w:val="•"/>
      <w:lvlJc w:val="left"/>
      <w:pPr>
        <w:tabs>
          <w:tab w:val="num" w:pos="1440"/>
        </w:tabs>
        <w:ind w:left="1440" w:hanging="360"/>
      </w:pPr>
      <w:rPr>
        <w:rFonts w:ascii="Arial" w:hAnsi="Arial" w:hint="default"/>
      </w:rPr>
    </w:lvl>
    <w:lvl w:ilvl="2" w:tplc="6BB8CFA6" w:tentative="1">
      <w:start w:val="1"/>
      <w:numFmt w:val="bullet"/>
      <w:lvlText w:val="•"/>
      <w:lvlJc w:val="left"/>
      <w:pPr>
        <w:tabs>
          <w:tab w:val="num" w:pos="2160"/>
        </w:tabs>
        <w:ind w:left="2160" w:hanging="360"/>
      </w:pPr>
      <w:rPr>
        <w:rFonts w:ascii="Arial" w:hAnsi="Arial" w:hint="default"/>
      </w:rPr>
    </w:lvl>
    <w:lvl w:ilvl="3" w:tplc="A87ABD58" w:tentative="1">
      <w:start w:val="1"/>
      <w:numFmt w:val="bullet"/>
      <w:lvlText w:val="•"/>
      <w:lvlJc w:val="left"/>
      <w:pPr>
        <w:tabs>
          <w:tab w:val="num" w:pos="2880"/>
        </w:tabs>
        <w:ind w:left="2880" w:hanging="360"/>
      </w:pPr>
      <w:rPr>
        <w:rFonts w:ascii="Arial" w:hAnsi="Arial" w:hint="default"/>
      </w:rPr>
    </w:lvl>
    <w:lvl w:ilvl="4" w:tplc="64A2F2C6" w:tentative="1">
      <w:start w:val="1"/>
      <w:numFmt w:val="bullet"/>
      <w:lvlText w:val="•"/>
      <w:lvlJc w:val="left"/>
      <w:pPr>
        <w:tabs>
          <w:tab w:val="num" w:pos="3600"/>
        </w:tabs>
        <w:ind w:left="3600" w:hanging="360"/>
      </w:pPr>
      <w:rPr>
        <w:rFonts w:ascii="Arial" w:hAnsi="Arial" w:hint="default"/>
      </w:rPr>
    </w:lvl>
    <w:lvl w:ilvl="5" w:tplc="5BF8ABE2" w:tentative="1">
      <w:start w:val="1"/>
      <w:numFmt w:val="bullet"/>
      <w:lvlText w:val="•"/>
      <w:lvlJc w:val="left"/>
      <w:pPr>
        <w:tabs>
          <w:tab w:val="num" w:pos="4320"/>
        </w:tabs>
        <w:ind w:left="4320" w:hanging="360"/>
      </w:pPr>
      <w:rPr>
        <w:rFonts w:ascii="Arial" w:hAnsi="Arial" w:hint="default"/>
      </w:rPr>
    </w:lvl>
    <w:lvl w:ilvl="6" w:tplc="9D72898A" w:tentative="1">
      <w:start w:val="1"/>
      <w:numFmt w:val="bullet"/>
      <w:lvlText w:val="•"/>
      <w:lvlJc w:val="left"/>
      <w:pPr>
        <w:tabs>
          <w:tab w:val="num" w:pos="5040"/>
        </w:tabs>
        <w:ind w:left="5040" w:hanging="360"/>
      </w:pPr>
      <w:rPr>
        <w:rFonts w:ascii="Arial" w:hAnsi="Arial" w:hint="default"/>
      </w:rPr>
    </w:lvl>
    <w:lvl w:ilvl="7" w:tplc="07F496EC" w:tentative="1">
      <w:start w:val="1"/>
      <w:numFmt w:val="bullet"/>
      <w:lvlText w:val="•"/>
      <w:lvlJc w:val="left"/>
      <w:pPr>
        <w:tabs>
          <w:tab w:val="num" w:pos="5760"/>
        </w:tabs>
        <w:ind w:left="5760" w:hanging="360"/>
      </w:pPr>
      <w:rPr>
        <w:rFonts w:ascii="Arial" w:hAnsi="Arial" w:hint="default"/>
      </w:rPr>
    </w:lvl>
    <w:lvl w:ilvl="8" w:tplc="822C4CEA" w:tentative="1">
      <w:start w:val="1"/>
      <w:numFmt w:val="bullet"/>
      <w:lvlText w:val="•"/>
      <w:lvlJc w:val="left"/>
      <w:pPr>
        <w:tabs>
          <w:tab w:val="num" w:pos="6480"/>
        </w:tabs>
        <w:ind w:left="6480" w:hanging="360"/>
      </w:pPr>
      <w:rPr>
        <w:rFonts w:ascii="Arial" w:hAnsi="Arial" w:hint="default"/>
      </w:rPr>
    </w:lvl>
  </w:abstractNum>
  <w:abstractNum w:abstractNumId="13">
    <w:nsid w:val="75A46F38"/>
    <w:multiLevelType w:val="hybridMultilevel"/>
    <w:tmpl w:val="EB440CBE"/>
    <w:lvl w:ilvl="0" w:tplc="232E212C">
      <w:start w:val="1"/>
      <w:numFmt w:val="bullet"/>
      <w:lvlText w:val="•"/>
      <w:lvlJc w:val="left"/>
      <w:pPr>
        <w:tabs>
          <w:tab w:val="num" w:pos="720"/>
        </w:tabs>
        <w:ind w:left="720" w:hanging="360"/>
      </w:pPr>
      <w:rPr>
        <w:rFonts w:ascii="Arial" w:hAnsi="Arial" w:hint="default"/>
      </w:rPr>
    </w:lvl>
    <w:lvl w:ilvl="1" w:tplc="16E22EC4" w:tentative="1">
      <w:start w:val="1"/>
      <w:numFmt w:val="bullet"/>
      <w:lvlText w:val="•"/>
      <w:lvlJc w:val="left"/>
      <w:pPr>
        <w:tabs>
          <w:tab w:val="num" w:pos="1440"/>
        </w:tabs>
        <w:ind w:left="1440" w:hanging="360"/>
      </w:pPr>
      <w:rPr>
        <w:rFonts w:ascii="Arial" w:hAnsi="Arial" w:hint="default"/>
      </w:rPr>
    </w:lvl>
    <w:lvl w:ilvl="2" w:tplc="7A6292FC" w:tentative="1">
      <w:start w:val="1"/>
      <w:numFmt w:val="bullet"/>
      <w:lvlText w:val="•"/>
      <w:lvlJc w:val="left"/>
      <w:pPr>
        <w:tabs>
          <w:tab w:val="num" w:pos="2160"/>
        </w:tabs>
        <w:ind w:left="2160" w:hanging="360"/>
      </w:pPr>
      <w:rPr>
        <w:rFonts w:ascii="Arial" w:hAnsi="Arial" w:hint="default"/>
      </w:rPr>
    </w:lvl>
    <w:lvl w:ilvl="3" w:tplc="3A3EB77A" w:tentative="1">
      <w:start w:val="1"/>
      <w:numFmt w:val="bullet"/>
      <w:lvlText w:val="•"/>
      <w:lvlJc w:val="left"/>
      <w:pPr>
        <w:tabs>
          <w:tab w:val="num" w:pos="2880"/>
        </w:tabs>
        <w:ind w:left="2880" w:hanging="360"/>
      </w:pPr>
      <w:rPr>
        <w:rFonts w:ascii="Arial" w:hAnsi="Arial" w:hint="default"/>
      </w:rPr>
    </w:lvl>
    <w:lvl w:ilvl="4" w:tplc="5B80D460" w:tentative="1">
      <w:start w:val="1"/>
      <w:numFmt w:val="bullet"/>
      <w:lvlText w:val="•"/>
      <w:lvlJc w:val="left"/>
      <w:pPr>
        <w:tabs>
          <w:tab w:val="num" w:pos="3600"/>
        </w:tabs>
        <w:ind w:left="3600" w:hanging="360"/>
      </w:pPr>
      <w:rPr>
        <w:rFonts w:ascii="Arial" w:hAnsi="Arial" w:hint="default"/>
      </w:rPr>
    </w:lvl>
    <w:lvl w:ilvl="5" w:tplc="26586D1E" w:tentative="1">
      <w:start w:val="1"/>
      <w:numFmt w:val="bullet"/>
      <w:lvlText w:val="•"/>
      <w:lvlJc w:val="left"/>
      <w:pPr>
        <w:tabs>
          <w:tab w:val="num" w:pos="4320"/>
        </w:tabs>
        <w:ind w:left="4320" w:hanging="360"/>
      </w:pPr>
      <w:rPr>
        <w:rFonts w:ascii="Arial" w:hAnsi="Arial" w:hint="default"/>
      </w:rPr>
    </w:lvl>
    <w:lvl w:ilvl="6" w:tplc="B9B258C4" w:tentative="1">
      <w:start w:val="1"/>
      <w:numFmt w:val="bullet"/>
      <w:lvlText w:val="•"/>
      <w:lvlJc w:val="left"/>
      <w:pPr>
        <w:tabs>
          <w:tab w:val="num" w:pos="5040"/>
        </w:tabs>
        <w:ind w:left="5040" w:hanging="360"/>
      </w:pPr>
      <w:rPr>
        <w:rFonts w:ascii="Arial" w:hAnsi="Arial" w:hint="default"/>
      </w:rPr>
    </w:lvl>
    <w:lvl w:ilvl="7" w:tplc="F16C751A" w:tentative="1">
      <w:start w:val="1"/>
      <w:numFmt w:val="bullet"/>
      <w:lvlText w:val="•"/>
      <w:lvlJc w:val="left"/>
      <w:pPr>
        <w:tabs>
          <w:tab w:val="num" w:pos="5760"/>
        </w:tabs>
        <w:ind w:left="5760" w:hanging="360"/>
      </w:pPr>
      <w:rPr>
        <w:rFonts w:ascii="Arial" w:hAnsi="Arial" w:hint="default"/>
      </w:rPr>
    </w:lvl>
    <w:lvl w:ilvl="8" w:tplc="D93E9BA6" w:tentative="1">
      <w:start w:val="1"/>
      <w:numFmt w:val="bullet"/>
      <w:lvlText w:val="•"/>
      <w:lvlJc w:val="left"/>
      <w:pPr>
        <w:tabs>
          <w:tab w:val="num" w:pos="6480"/>
        </w:tabs>
        <w:ind w:left="6480" w:hanging="360"/>
      </w:pPr>
      <w:rPr>
        <w:rFonts w:ascii="Arial" w:hAnsi="Arial" w:hint="default"/>
      </w:rPr>
    </w:lvl>
  </w:abstractNum>
  <w:abstractNum w:abstractNumId="14">
    <w:nsid w:val="79963A43"/>
    <w:multiLevelType w:val="hybridMultilevel"/>
    <w:tmpl w:val="998C30C4"/>
    <w:lvl w:ilvl="0" w:tplc="5A980E3C">
      <w:start w:val="1"/>
      <w:numFmt w:val="bullet"/>
      <w:lvlText w:val="•"/>
      <w:lvlJc w:val="left"/>
      <w:pPr>
        <w:tabs>
          <w:tab w:val="num" w:pos="720"/>
        </w:tabs>
        <w:ind w:left="720" w:hanging="360"/>
      </w:pPr>
      <w:rPr>
        <w:rFonts w:ascii="Arial" w:hAnsi="Arial" w:hint="default"/>
      </w:rPr>
    </w:lvl>
    <w:lvl w:ilvl="1" w:tplc="731444D0" w:tentative="1">
      <w:start w:val="1"/>
      <w:numFmt w:val="bullet"/>
      <w:lvlText w:val="•"/>
      <w:lvlJc w:val="left"/>
      <w:pPr>
        <w:tabs>
          <w:tab w:val="num" w:pos="1440"/>
        </w:tabs>
        <w:ind w:left="1440" w:hanging="360"/>
      </w:pPr>
      <w:rPr>
        <w:rFonts w:ascii="Arial" w:hAnsi="Arial" w:hint="default"/>
      </w:rPr>
    </w:lvl>
    <w:lvl w:ilvl="2" w:tplc="501A8CDE" w:tentative="1">
      <w:start w:val="1"/>
      <w:numFmt w:val="bullet"/>
      <w:lvlText w:val="•"/>
      <w:lvlJc w:val="left"/>
      <w:pPr>
        <w:tabs>
          <w:tab w:val="num" w:pos="2160"/>
        </w:tabs>
        <w:ind w:left="2160" w:hanging="360"/>
      </w:pPr>
      <w:rPr>
        <w:rFonts w:ascii="Arial" w:hAnsi="Arial" w:hint="default"/>
      </w:rPr>
    </w:lvl>
    <w:lvl w:ilvl="3" w:tplc="B4FE2880" w:tentative="1">
      <w:start w:val="1"/>
      <w:numFmt w:val="bullet"/>
      <w:lvlText w:val="•"/>
      <w:lvlJc w:val="left"/>
      <w:pPr>
        <w:tabs>
          <w:tab w:val="num" w:pos="2880"/>
        </w:tabs>
        <w:ind w:left="2880" w:hanging="360"/>
      </w:pPr>
      <w:rPr>
        <w:rFonts w:ascii="Arial" w:hAnsi="Arial" w:hint="default"/>
      </w:rPr>
    </w:lvl>
    <w:lvl w:ilvl="4" w:tplc="40881B20" w:tentative="1">
      <w:start w:val="1"/>
      <w:numFmt w:val="bullet"/>
      <w:lvlText w:val="•"/>
      <w:lvlJc w:val="left"/>
      <w:pPr>
        <w:tabs>
          <w:tab w:val="num" w:pos="3600"/>
        </w:tabs>
        <w:ind w:left="3600" w:hanging="360"/>
      </w:pPr>
      <w:rPr>
        <w:rFonts w:ascii="Arial" w:hAnsi="Arial" w:hint="default"/>
      </w:rPr>
    </w:lvl>
    <w:lvl w:ilvl="5" w:tplc="F5160402" w:tentative="1">
      <w:start w:val="1"/>
      <w:numFmt w:val="bullet"/>
      <w:lvlText w:val="•"/>
      <w:lvlJc w:val="left"/>
      <w:pPr>
        <w:tabs>
          <w:tab w:val="num" w:pos="4320"/>
        </w:tabs>
        <w:ind w:left="4320" w:hanging="360"/>
      </w:pPr>
      <w:rPr>
        <w:rFonts w:ascii="Arial" w:hAnsi="Arial" w:hint="default"/>
      </w:rPr>
    </w:lvl>
    <w:lvl w:ilvl="6" w:tplc="17DEF048" w:tentative="1">
      <w:start w:val="1"/>
      <w:numFmt w:val="bullet"/>
      <w:lvlText w:val="•"/>
      <w:lvlJc w:val="left"/>
      <w:pPr>
        <w:tabs>
          <w:tab w:val="num" w:pos="5040"/>
        </w:tabs>
        <w:ind w:left="5040" w:hanging="360"/>
      </w:pPr>
      <w:rPr>
        <w:rFonts w:ascii="Arial" w:hAnsi="Arial" w:hint="default"/>
      </w:rPr>
    </w:lvl>
    <w:lvl w:ilvl="7" w:tplc="7F6853EC" w:tentative="1">
      <w:start w:val="1"/>
      <w:numFmt w:val="bullet"/>
      <w:lvlText w:val="•"/>
      <w:lvlJc w:val="left"/>
      <w:pPr>
        <w:tabs>
          <w:tab w:val="num" w:pos="5760"/>
        </w:tabs>
        <w:ind w:left="5760" w:hanging="360"/>
      </w:pPr>
      <w:rPr>
        <w:rFonts w:ascii="Arial" w:hAnsi="Arial" w:hint="default"/>
      </w:rPr>
    </w:lvl>
    <w:lvl w:ilvl="8" w:tplc="E4C87F2C" w:tentative="1">
      <w:start w:val="1"/>
      <w:numFmt w:val="bullet"/>
      <w:lvlText w:val="•"/>
      <w:lvlJc w:val="left"/>
      <w:pPr>
        <w:tabs>
          <w:tab w:val="num" w:pos="6480"/>
        </w:tabs>
        <w:ind w:left="6480" w:hanging="360"/>
      </w:pPr>
      <w:rPr>
        <w:rFonts w:ascii="Arial" w:hAnsi="Arial" w:hint="default"/>
      </w:rPr>
    </w:lvl>
  </w:abstractNum>
  <w:abstractNum w:abstractNumId="15">
    <w:nsid w:val="7A100AA5"/>
    <w:multiLevelType w:val="hybridMultilevel"/>
    <w:tmpl w:val="2EACDE46"/>
    <w:lvl w:ilvl="0" w:tplc="B0E4B158">
      <w:start w:val="1"/>
      <w:numFmt w:val="bullet"/>
      <w:lvlText w:val="•"/>
      <w:lvlJc w:val="left"/>
      <w:pPr>
        <w:tabs>
          <w:tab w:val="num" w:pos="720"/>
        </w:tabs>
        <w:ind w:left="720" w:hanging="360"/>
      </w:pPr>
      <w:rPr>
        <w:rFonts w:ascii="Arial" w:hAnsi="Arial" w:hint="default"/>
      </w:rPr>
    </w:lvl>
    <w:lvl w:ilvl="1" w:tplc="F564AF24" w:tentative="1">
      <w:start w:val="1"/>
      <w:numFmt w:val="bullet"/>
      <w:lvlText w:val="•"/>
      <w:lvlJc w:val="left"/>
      <w:pPr>
        <w:tabs>
          <w:tab w:val="num" w:pos="1440"/>
        </w:tabs>
        <w:ind w:left="1440" w:hanging="360"/>
      </w:pPr>
      <w:rPr>
        <w:rFonts w:ascii="Arial" w:hAnsi="Arial" w:hint="default"/>
      </w:rPr>
    </w:lvl>
    <w:lvl w:ilvl="2" w:tplc="9FC48BDC" w:tentative="1">
      <w:start w:val="1"/>
      <w:numFmt w:val="bullet"/>
      <w:lvlText w:val="•"/>
      <w:lvlJc w:val="left"/>
      <w:pPr>
        <w:tabs>
          <w:tab w:val="num" w:pos="2160"/>
        </w:tabs>
        <w:ind w:left="2160" w:hanging="360"/>
      </w:pPr>
      <w:rPr>
        <w:rFonts w:ascii="Arial" w:hAnsi="Arial" w:hint="default"/>
      </w:rPr>
    </w:lvl>
    <w:lvl w:ilvl="3" w:tplc="1CD097A2" w:tentative="1">
      <w:start w:val="1"/>
      <w:numFmt w:val="bullet"/>
      <w:lvlText w:val="•"/>
      <w:lvlJc w:val="left"/>
      <w:pPr>
        <w:tabs>
          <w:tab w:val="num" w:pos="2880"/>
        </w:tabs>
        <w:ind w:left="2880" w:hanging="360"/>
      </w:pPr>
      <w:rPr>
        <w:rFonts w:ascii="Arial" w:hAnsi="Arial" w:hint="default"/>
      </w:rPr>
    </w:lvl>
    <w:lvl w:ilvl="4" w:tplc="ADFE66E4" w:tentative="1">
      <w:start w:val="1"/>
      <w:numFmt w:val="bullet"/>
      <w:lvlText w:val="•"/>
      <w:lvlJc w:val="left"/>
      <w:pPr>
        <w:tabs>
          <w:tab w:val="num" w:pos="3600"/>
        </w:tabs>
        <w:ind w:left="3600" w:hanging="360"/>
      </w:pPr>
      <w:rPr>
        <w:rFonts w:ascii="Arial" w:hAnsi="Arial" w:hint="default"/>
      </w:rPr>
    </w:lvl>
    <w:lvl w:ilvl="5" w:tplc="D7D8F20C" w:tentative="1">
      <w:start w:val="1"/>
      <w:numFmt w:val="bullet"/>
      <w:lvlText w:val="•"/>
      <w:lvlJc w:val="left"/>
      <w:pPr>
        <w:tabs>
          <w:tab w:val="num" w:pos="4320"/>
        </w:tabs>
        <w:ind w:left="4320" w:hanging="360"/>
      </w:pPr>
      <w:rPr>
        <w:rFonts w:ascii="Arial" w:hAnsi="Arial" w:hint="default"/>
      </w:rPr>
    </w:lvl>
    <w:lvl w:ilvl="6" w:tplc="4A88D000" w:tentative="1">
      <w:start w:val="1"/>
      <w:numFmt w:val="bullet"/>
      <w:lvlText w:val="•"/>
      <w:lvlJc w:val="left"/>
      <w:pPr>
        <w:tabs>
          <w:tab w:val="num" w:pos="5040"/>
        </w:tabs>
        <w:ind w:left="5040" w:hanging="360"/>
      </w:pPr>
      <w:rPr>
        <w:rFonts w:ascii="Arial" w:hAnsi="Arial" w:hint="default"/>
      </w:rPr>
    </w:lvl>
    <w:lvl w:ilvl="7" w:tplc="22C2DEBE" w:tentative="1">
      <w:start w:val="1"/>
      <w:numFmt w:val="bullet"/>
      <w:lvlText w:val="•"/>
      <w:lvlJc w:val="left"/>
      <w:pPr>
        <w:tabs>
          <w:tab w:val="num" w:pos="5760"/>
        </w:tabs>
        <w:ind w:left="5760" w:hanging="360"/>
      </w:pPr>
      <w:rPr>
        <w:rFonts w:ascii="Arial" w:hAnsi="Arial" w:hint="default"/>
      </w:rPr>
    </w:lvl>
    <w:lvl w:ilvl="8" w:tplc="BB261E16" w:tentative="1">
      <w:start w:val="1"/>
      <w:numFmt w:val="bullet"/>
      <w:lvlText w:val="•"/>
      <w:lvlJc w:val="left"/>
      <w:pPr>
        <w:tabs>
          <w:tab w:val="num" w:pos="6480"/>
        </w:tabs>
        <w:ind w:left="6480" w:hanging="360"/>
      </w:pPr>
      <w:rPr>
        <w:rFonts w:ascii="Arial" w:hAnsi="Arial" w:hint="default"/>
      </w:rPr>
    </w:lvl>
  </w:abstractNum>
  <w:abstractNum w:abstractNumId="16">
    <w:nsid w:val="7B1236ED"/>
    <w:multiLevelType w:val="hybridMultilevel"/>
    <w:tmpl w:val="ABBE1036"/>
    <w:lvl w:ilvl="0" w:tplc="5B3A4F24">
      <w:start w:val="1"/>
      <w:numFmt w:val="bullet"/>
      <w:lvlText w:val="•"/>
      <w:lvlJc w:val="left"/>
      <w:pPr>
        <w:tabs>
          <w:tab w:val="num" w:pos="720"/>
        </w:tabs>
        <w:ind w:left="720" w:hanging="360"/>
      </w:pPr>
      <w:rPr>
        <w:rFonts w:ascii="Arial" w:hAnsi="Arial" w:hint="default"/>
      </w:rPr>
    </w:lvl>
    <w:lvl w:ilvl="1" w:tplc="A296D3CE">
      <w:start w:val="1"/>
      <w:numFmt w:val="bullet"/>
      <w:lvlText w:val="•"/>
      <w:lvlJc w:val="left"/>
      <w:pPr>
        <w:tabs>
          <w:tab w:val="num" w:pos="1440"/>
        </w:tabs>
        <w:ind w:left="1440" w:hanging="360"/>
      </w:pPr>
      <w:rPr>
        <w:rFonts w:ascii="Arial" w:hAnsi="Arial" w:hint="default"/>
      </w:rPr>
    </w:lvl>
    <w:lvl w:ilvl="2" w:tplc="20A003AE">
      <w:start w:val="2844"/>
      <w:numFmt w:val="bullet"/>
      <w:lvlText w:val="•"/>
      <w:lvlJc w:val="left"/>
      <w:pPr>
        <w:tabs>
          <w:tab w:val="num" w:pos="2160"/>
        </w:tabs>
        <w:ind w:left="2160" w:hanging="360"/>
      </w:pPr>
      <w:rPr>
        <w:rFonts w:ascii="Arial" w:hAnsi="Arial" w:hint="default"/>
      </w:rPr>
    </w:lvl>
    <w:lvl w:ilvl="3" w:tplc="8CA285E2" w:tentative="1">
      <w:start w:val="1"/>
      <w:numFmt w:val="bullet"/>
      <w:lvlText w:val="•"/>
      <w:lvlJc w:val="left"/>
      <w:pPr>
        <w:tabs>
          <w:tab w:val="num" w:pos="2880"/>
        </w:tabs>
        <w:ind w:left="2880" w:hanging="360"/>
      </w:pPr>
      <w:rPr>
        <w:rFonts w:ascii="Arial" w:hAnsi="Arial" w:hint="default"/>
      </w:rPr>
    </w:lvl>
    <w:lvl w:ilvl="4" w:tplc="8DEAB6CA" w:tentative="1">
      <w:start w:val="1"/>
      <w:numFmt w:val="bullet"/>
      <w:lvlText w:val="•"/>
      <w:lvlJc w:val="left"/>
      <w:pPr>
        <w:tabs>
          <w:tab w:val="num" w:pos="3600"/>
        </w:tabs>
        <w:ind w:left="3600" w:hanging="360"/>
      </w:pPr>
      <w:rPr>
        <w:rFonts w:ascii="Arial" w:hAnsi="Arial" w:hint="default"/>
      </w:rPr>
    </w:lvl>
    <w:lvl w:ilvl="5" w:tplc="ED92A1AE" w:tentative="1">
      <w:start w:val="1"/>
      <w:numFmt w:val="bullet"/>
      <w:lvlText w:val="•"/>
      <w:lvlJc w:val="left"/>
      <w:pPr>
        <w:tabs>
          <w:tab w:val="num" w:pos="4320"/>
        </w:tabs>
        <w:ind w:left="4320" w:hanging="360"/>
      </w:pPr>
      <w:rPr>
        <w:rFonts w:ascii="Arial" w:hAnsi="Arial" w:hint="default"/>
      </w:rPr>
    </w:lvl>
    <w:lvl w:ilvl="6" w:tplc="0364510A" w:tentative="1">
      <w:start w:val="1"/>
      <w:numFmt w:val="bullet"/>
      <w:lvlText w:val="•"/>
      <w:lvlJc w:val="left"/>
      <w:pPr>
        <w:tabs>
          <w:tab w:val="num" w:pos="5040"/>
        </w:tabs>
        <w:ind w:left="5040" w:hanging="360"/>
      </w:pPr>
      <w:rPr>
        <w:rFonts w:ascii="Arial" w:hAnsi="Arial" w:hint="default"/>
      </w:rPr>
    </w:lvl>
    <w:lvl w:ilvl="7" w:tplc="64BAAD7A" w:tentative="1">
      <w:start w:val="1"/>
      <w:numFmt w:val="bullet"/>
      <w:lvlText w:val="•"/>
      <w:lvlJc w:val="left"/>
      <w:pPr>
        <w:tabs>
          <w:tab w:val="num" w:pos="5760"/>
        </w:tabs>
        <w:ind w:left="5760" w:hanging="360"/>
      </w:pPr>
      <w:rPr>
        <w:rFonts w:ascii="Arial" w:hAnsi="Arial" w:hint="default"/>
      </w:rPr>
    </w:lvl>
    <w:lvl w:ilvl="8" w:tplc="8CBC77F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13"/>
  </w:num>
  <w:num w:numId="4">
    <w:abstractNumId w:val="10"/>
  </w:num>
  <w:num w:numId="5">
    <w:abstractNumId w:val="0"/>
  </w:num>
  <w:num w:numId="6">
    <w:abstractNumId w:val="7"/>
  </w:num>
  <w:num w:numId="7">
    <w:abstractNumId w:val="12"/>
  </w:num>
  <w:num w:numId="8">
    <w:abstractNumId w:val="14"/>
  </w:num>
  <w:num w:numId="9">
    <w:abstractNumId w:val="3"/>
  </w:num>
  <w:num w:numId="10">
    <w:abstractNumId w:val="8"/>
  </w:num>
  <w:num w:numId="11">
    <w:abstractNumId w:val="9"/>
  </w:num>
  <w:num w:numId="12">
    <w:abstractNumId w:val="4"/>
  </w:num>
  <w:num w:numId="13">
    <w:abstractNumId w:val="15"/>
  </w:num>
  <w:num w:numId="14">
    <w:abstractNumId w:val="16"/>
  </w:num>
  <w:num w:numId="15">
    <w:abstractNumId w:val="1"/>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65"/>
    <w:rsid w:val="00015AC0"/>
    <w:rsid w:val="00065F08"/>
    <w:rsid w:val="001312B5"/>
    <w:rsid w:val="00137B8D"/>
    <w:rsid w:val="002913B7"/>
    <w:rsid w:val="002D0CF7"/>
    <w:rsid w:val="003253BD"/>
    <w:rsid w:val="0033147D"/>
    <w:rsid w:val="00331C29"/>
    <w:rsid w:val="00352C74"/>
    <w:rsid w:val="00354045"/>
    <w:rsid w:val="003755C3"/>
    <w:rsid w:val="0059509F"/>
    <w:rsid w:val="005F0455"/>
    <w:rsid w:val="0066074B"/>
    <w:rsid w:val="00726A76"/>
    <w:rsid w:val="00824110"/>
    <w:rsid w:val="00825C08"/>
    <w:rsid w:val="00862976"/>
    <w:rsid w:val="008914D7"/>
    <w:rsid w:val="008C6681"/>
    <w:rsid w:val="0094117A"/>
    <w:rsid w:val="00970E6B"/>
    <w:rsid w:val="00971844"/>
    <w:rsid w:val="0099224C"/>
    <w:rsid w:val="00A0658F"/>
    <w:rsid w:val="00A26A3F"/>
    <w:rsid w:val="00B362F3"/>
    <w:rsid w:val="00B67CF7"/>
    <w:rsid w:val="00BF34F6"/>
    <w:rsid w:val="00D97761"/>
    <w:rsid w:val="00DB5E61"/>
    <w:rsid w:val="00E61F92"/>
    <w:rsid w:val="00E97994"/>
    <w:rsid w:val="00F70265"/>
    <w:rsid w:val="00FB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C2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265"/>
    <w:rPr>
      <w:color w:val="0000FF" w:themeColor="hyperlink"/>
      <w:u w:val="single"/>
    </w:rPr>
  </w:style>
  <w:style w:type="paragraph" w:styleId="ListParagraph">
    <w:name w:val="List Paragraph"/>
    <w:basedOn w:val="Normal"/>
    <w:uiPriority w:val="34"/>
    <w:qFormat/>
    <w:rsid w:val="00824110"/>
    <w:pPr>
      <w:ind w:left="720"/>
      <w:contextualSpacing/>
    </w:pPr>
  </w:style>
  <w:style w:type="paragraph" w:styleId="NormalWeb">
    <w:name w:val="Normal (Web)"/>
    <w:basedOn w:val="Normal"/>
    <w:uiPriority w:val="99"/>
    <w:semiHidden/>
    <w:unhideWhenUsed/>
    <w:rsid w:val="0082411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3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C2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265"/>
    <w:rPr>
      <w:color w:val="0000FF" w:themeColor="hyperlink"/>
      <w:u w:val="single"/>
    </w:rPr>
  </w:style>
  <w:style w:type="paragraph" w:styleId="ListParagraph">
    <w:name w:val="List Paragraph"/>
    <w:basedOn w:val="Normal"/>
    <w:uiPriority w:val="34"/>
    <w:qFormat/>
    <w:rsid w:val="00824110"/>
    <w:pPr>
      <w:ind w:left="720"/>
      <w:contextualSpacing/>
    </w:pPr>
  </w:style>
  <w:style w:type="paragraph" w:styleId="NormalWeb">
    <w:name w:val="Normal (Web)"/>
    <w:basedOn w:val="Normal"/>
    <w:uiPriority w:val="99"/>
    <w:semiHidden/>
    <w:unhideWhenUsed/>
    <w:rsid w:val="0082411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3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7028">
      <w:bodyDiv w:val="1"/>
      <w:marLeft w:val="0"/>
      <w:marRight w:val="0"/>
      <w:marTop w:val="0"/>
      <w:marBottom w:val="0"/>
      <w:divBdr>
        <w:top w:val="none" w:sz="0" w:space="0" w:color="auto"/>
        <w:left w:val="none" w:sz="0" w:space="0" w:color="auto"/>
        <w:bottom w:val="none" w:sz="0" w:space="0" w:color="auto"/>
        <w:right w:val="none" w:sz="0" w:space="0" w:color="auto"/>
      </w:divBdr>
    </w:div>
    <w:div w:id="31922422">
      <w:bodyDiv w:val="1"/>
      <w:marLeft w:val="0"/>
      <w:marRight w:val="0"/>
      <w:marTop w:val="0"/>
      <w:marBottom w:val="0"/>
      <w:divBdr>
        <w:top w:val="none" w:sz="0" w:space="0" w:color="auto"/>
        <w:left w:val="none" w:sz="0" w:space="0" w:color="auto"/>
        <w:bottom w:val="none" w:sz="0" w:space="0" w:color="auto"/>
        <w:right w:val="none" w:sz="0" w:space="0" w:color="auto"/>
      </w:divBdr>
      <w:divsChild>
        <w:div w:id="556013772">
          <w:marLeft w:val="1166"/>
          <w:marRight w:val="0"/>
          <w:marTop w:val="86"/>
          <w:marBottom w:val="0"/>
          <w:divBdr>
            <w:top w:val="none" w:sz="0" w:space="0" w:color="auto"/>
            <w:left w:val="none" w:sz="0" w:space="0" w:color="auto"/>
            <w:bottom w:val="none" w:sz="0" w:space="0" w:color="auto"/>
            <w:right w:val="none" w:sz="0" w:space="0" w:color="auto"/>
          </w:divBdr>
        </w:div>
        <w:div w:id="708529653">
          <w:marLeft w:val="1166"/>
          <w:marRight w:val="0"/>
          <w:marTop w:val="86"/>
          <w:marBottom w:val="0"/>
          <w:divBdr>
            <w:top w:val="none" w:sz="0" w:space="0" w:color="auto"/>
            <w:left w:val="none" w:sz="0" w:space="0" w:color="auto"/>
            <w:bottom w:val="none" w:sz="0" w:space="0" w:color="auto"/>
            <w:right w:val="none" w:sz="0" w:space="0" w:color="auto"/>
          </w:divBdr>
        </w:div>
        <w:div w:id="2067678186">
          <w:marLeft w:val="1166"/>
          <w:marRight w:val="0"/>
          <w:marTop w:val="86"/>
          <w:marBottom w:val="0"/>
          <w:divBdr>
            <w:top w:val="none" w:sz="0" w:space="0" w:color="auto"/>
            <w:left w:val="none" w:sz="0" w:space="0" w:color="auto"/>
            <w:bottom w:val="none" w:sz="0" w:space="0" w:color="auto"/>
            <w:right w:val="none" w:sz="0" w:space="0" w:color="auto"/>
          </w:divBdr>
        </w:div>
      </w:divsChild>
    </w:div>
    <w:div w:id="77138025">
      <w:bodyDiv w:val="1"/>
      <w:marLeft w:val="0"/>
      <w:marRight w:val="0"/>
      <w:marTop w:val="0"/>
      <w:marBottom w:val="0"/>
      <w:divBdr>
        <w:top w:val="none" w:sz="0" w:space="0" w:color="auto"/>
        <w:left w:val="none" w:sz="0" w:space="0" w:color="auto"/>
        <w:bottom w:val="none" w:sz="0" w:space="0" w:color="auto"/>
        <w:right w:val="none" w:sz="0" w:space="0" w:color="auto"/>
      </w:divBdr>
    </w:div>
    <w:div w:id="78987534">
      <w:bodyDiv w:val="1"/>
      <w:marLeft w:val="0"/>
      <w:marRight w:val="0"/>
      <w:marTop w:val="0"/>
      <w:marBottom w:val="0"/>
      <w:divBdr>
        <w:top w:val="none" w:sz="0" w:space="0" w:color="auto"/>
        <w:left w:val="none" w:sz="0" w:space="0" w:color="auto"/>
        <w:bottom w:val="none" w:sz="0" w:space="0" w:color="auto"/>
        <w:right w:val="none" w:sz="0" w:space="0" w:color="auto"/>
      </w:divBdr>
      <w:divsChild>
        <w:div w:id="1103495512">
          <w:marLeft w:val="547"/>
          <w:marRight w:val="0"/>
          <w:marTop w:val="130"/>
          <w:marBottom w:val="0"/>
          <w:divBdr>
            <w:top w:val="none" w:sz="0" w:space="0" w:color="auto"/>
            <w:left w:val="none" w:sz="0" w:space="0" w:color="auto"/>
            <w:bottom w:val="none" w:sz="0" w:space="0" w:color="auto"/>
            <w:right w:val="none" w:sz="0" w:space="0" w:color="auto"/>
          </w:divBdr>
        </w:div>
        <w:div w:id="958802541">
          <w:marLeft w:val="547"/>
          <w:marRight w:val="0"/>
          <w:marTop w:val="130"/>
          <w:marBottom w:val="0"/>
          <w:divBdr>
            <w:top w:val="none" w:sz="0" w:space="0" w:color="auto"/>
            <w:left w:val="none" w:sz="0" w:space="0" w:color="auto"/>
            <w:bottom w:val="none" w:sz="0" w:space="0" w:color="auto"/>
            <w:right w:val="none" w:sz="0" w:space="0" w:color="auto"/>
          </w:divBdr>
        </w:div>
        <w:div w:id="1050034621">
          <w:marLeft w:val="547"/>
          <w:marRight w:val="0"/>
          <w:marTop w:val="130"/>
          <w:marBottom w:val="0"/>
          <w:divBdr>
            <w:top w:val="none" w:sz="0" w:space="0" w:color="auto"/>
            <w:left w:val="none" w:sz="0" w:space="0" w:color="auto"/>
            <w:bottom w:val="none" w:sz="0" w:space="0" w:color="auto"/>
            <w:right w:val="none" w:sz="0" w:space="0" w:color="auto"/>
          </w:divBdr>
        </w:div>
      </w:divsChild>
    </w:div>
    <w:div w:id="103699786">
      <w:bodyDiv w:val="1"/>
      <w:marLeft w:val="0"/>
      <w:marRight w:val="0"/>
      <w:marTop w:val="0"/>
      <w:marBottom w:val="0"/>
      <w:divBdr>
        <w:top w:val="none" w:sz="0" w:space="0" w:color="auto"/>
        <w:left w:val="none" w:sz="0" w:space="0" w:color="auto"/>
        <w:bottom w:val="none" w:sz="0" w:space="0" w:color="auto"/>
        <w:right w:val="none" w:sz="0" w:space="0" w:color="auto"/>
      </w:divBdr>
    </w:div>
    <w:div w:id="125780619">
      <w:bodyDiv w:val="1"/>
      <w:marLeft w:val="0"/>
      <w:marRight w:val="0"/>
      <w:marTop w:val="0"/>
      <w:marBottom w:val="0"/>
      <w:divBdr>
        <w:top w:val="none" w:sz="0" w:space="0" w:color="auto"/>
        <w:left w:val="none" w:sz="0" w:space="0" w:color="auto"/>
        <w:bottom w:val="none" w:sz="0" w:space="0" w:color="auto"/>
        <w:right w:val="none" w:sz="0" w:space="0" w:color="auto"/>
      </w:divBdr>
    </w:div>
    <w:div w:id="185292589">
      <w:bodyDiv w:val="1"/>
      <w:marLeft w:val="0"/>
      <w:marRight w:val="0"/>
      <w:marTop w:val="0"/>
      <w:marBottom w:val="0"/>
      <w:divBdr>
        <w:top w:val="none" w:sz="0" w:space="0" w:color="auto"/>
        <w:left w:val="none" w:sz="0" w:space="0" w:color="auto"/>
        <w:bottom w:val="none" w:sz="0" w:space="0" w:color="auto"/>
        <w:right w:val="none" w:sz="0" w:space="0" w:color="auto"/>
      </w:divBdr>
    </w:div>
    <w:div w:id="243413503">
      <w:bodyDiv w:val="1"/>
      <w:marLeft w:val="0"/>
      <w:marRight w:val="0"/>
      <w:marTop w:val="0"/>
      <w:marBottom w:val="0"/>
      <w:divBdr>
        <w:top w:val="none" w:sz="0" w:space="0" w:color="auto"/>
        <w:left w:val="none" w:sz="0" w:space="0" w:color="auto"/>
        <w:bottom w:val="none" w:sz="0" w:space="0" w:color="auto"/>
        <w:right w:val="none" w:sz="0" w:space="0" w:color="auto"/>
      </w:divBdr>
    </w:div>
    <w:div w:id="251354284">
      <w:bodyDiv w:val="1"/>
      <w:marLeft w:val="0"/>
      <w:marRight w:val="0"/>
      <w:marTop w:val="0"/>
      <w:marBottom w:val="0"/>
      <w:divBdr>
        <w:top w:val="none" w:sz="0" w:space="0" w:color="auto"/>
        <w:left w:val="none" w:sz="0" w:space="0" w:color="auto"/>
        <w:bottom w:val="none" w:sz="0" w:space="0" w:color="auto"/>
        <w:right w:val="none" w:sz="0" w:space="0" w:color="auto"/>
      </w:divBdr>
    </w:div>
    <w:div w:id="313459314">
      <w:bodyDiv w:val="1"/>
      <w:marLeft w:val="0"/>
      <w:marRight w:val="0"/>
      <w:marTop w:val="0"/>
      <w:marBottom w:val="0"/>
      <w:divBdr>
        <w:top w:val="none" w:sz="0" w:space="0" w:color="auto"/>
        <w:left w:val="none" w:sz="0" w:space="0" w:color="auto"/>
        <w:bottom w:val="none" w:sz="0" w:space="0" w:color="auto"/>
        <w:right w:val="none" w:sz="0" w:space="0" w:color="auto"/>
      </w:divBdr>
      <w:divsChild>
        <w:div w:id="558131902">
          <w:marLeft w:val="547"/>
          <w:marRight w:val="0"/>
          <w:marTop w:val="120"/>
          <w:marBottom w:val="120"/>
          <w:divBdr>
            <w:top w:val="none" w:sz="0" w:space="0" w:color="auto"/>
            <w:left w:val="none" w:sz="0" w:space="0" w:color="auto"/>
            <w:bottom w:val="none" w:sz="0" w:space="0" w:color="auto"/>
            <w:right w:val="none" w:sz="0" w:space="0" w:color="auto"/>
          </w:divBdr>
        </w:div>
        <w:div w:id="319500904">
          <w:marLeft w:val="547"/>
          <w:marRight w:val="0"/>
          <w:marTop w:val="120"/>
          <w:marBottom w:val="120"/>
          <w:divBdr>
            <w:top w:val="none" w:sz="0" w:space="0" w:color="auto"/>
            <w:left w:val="none" w:sz="0" w:space="0" w:color="auto"/>
            <w:bottom w:val="none" w:sz="0" w:space="0" w:color="auto"/>
            <w:right w:val="none" w:sz="0" w:space="0" w:color="auto"/>
          </w:divBdr>
        </w:div>
        <w:div w:id="1624455374">
          <w:marLeft w:val="547"/>
          <w:marRight w:val="0"/>
          <w:marTop w:val="120"/>
          <w:marBottom w:val="120"/>
          <w:divBdr>
            <w:top w:val="none" w:sz="0" w:space="0" w:color="auto"/>
            <w:left w:val="none" w:sz="0" w:space="0" w:color="auto"/>
            <w:bottom w:val="none" w:sz="0" w:space="0" w:color="auto"/>
            <w:right w:val="none" w:sz="0" w:space="0" w:color="auto"/>
          </w:divBdr>
        </w:div>
        <w:div w:id="474837795">
          <w:marLeft w:val="547"/>
          <w:marRight w:val="0"/>
          <w:marTop w:val="120"/>
          <w:marBottom w:val="120"/>
          <w:divBdr>
            <w:top w:val="none" w:sz="0" w:space="0" w:color="auto"/>
            <w:left w:val="none" w:sz="0" w:space="0" w:color="auto"/>
            <w:bottom w:val="none" w:sz="0" w:space="0" w:color="auto"/>
            <w:right w:val="none" w:sz="0" w:space="0" w:color="auto"/>
          </w:divBdr>
        </w:div>
        <w:div w:id="131798269">
          <w:marLeft w:val="547"/>
          <w:marRight w:val="0"/>
          <w:marTop w:val="120"/>
          <w:marBottom w:val="120"/>
          <w:divBdr>
            <w:top w:val="none" w:sz="0" w:space="0" w:color="auto"/>
            <w:left w:val="none" w:sz="0" w:space="0" w:color="auto"/>
            <w:bottom w:val="none" w:sz="0" w:space="0" w:color="auto"/>
            <w:right w:val="none" w:sz="0" w:space="0" w:color="auto"/>
          </w:divBdr>
        </w:div>
        <w:div w:id="122894052">
          <w:marLeft w:val="547"/>
          <w:marRight w:val="0"/>
          <w:marTop w:val="120"/>
          <w:marBottom w:val="120"/>
          <w:divBdr>
            <w:top w:val="none" w:sz="0" w:space="0" w:color="auto"/>
            <w:left w:val="none" w:sz="0" w:space="0" w:color="auto"/>
            <w:bottom w:val="none" w:sz="0" w:space="0" w:color="auto"/>
            <w:right w:val="none" w:sz="0" w:space="0" w:color="auto"/>
          </w:divBdr>
        </w:div>
        <w:div w:id="1293439362">
          <w:marLeft w:val="547"/>
          <w:marRight w:val="0"/>
          <w:marTop w:val="120"/>
          <w:marBottom w:val="120"/>
          <w:divBdr>
            <w:top w:val="none" w:sz="0" w:space="0" w:color="auto"/>
            <w:left w:val="none" w:sz="0" w:space="0" w:color="auto"/>
            <w:bottom w:val="none" w:sz="0" w:space="0" w:color="auto"/>
            <w:right w:val="none" w:sz="0" w:space="0" w:color="auto"/>
          </w:divBdr>
        </w:div>
      </w:divsChild>
    </w:div>
    <w:div w:id="330646752">
      <w:bodyDiv w:val="1"/>
      <w:marLeft w:val="0"/>
      <w:marRight w:val="0"/>
      <w:marTop w:val="0"/>
      <w:marBottom w:val="0"/>
      <w:divBdr>
        <w:top w:val="none" w:sz="0" w:space="0" w:color="auto"/>
        <w:left w:val="none" w:sz="0" w:space="0" w:color="auto"/>
        <w:bottom w:val="none" w:sz="0" w:space="0" w:color="auto"/>
        <w:right w:val="none" w:sz="0" w:space="0" w:color="auto"/>
      </w:divBdr>
    </w:div>
    <w:div w:id="361708944">
      <w:bodyDiv w:val="1"/>
      <w:marLeft w:val="0"/>
      <w:marRight w:val="0"/>
      <w:marTop w:val="0"/>
      <w:marBottom w:val="0"/>
      <w:divBdr>
        <w:top w:val="none" w:sz="0" w:space="0" w:color="auto"/>
        <w:left w:val="none" w:sz="0" w:space="0" w:color="auto"/>
        <w:bottom w:val="none" w:sz="0" w:space="0" w:color="auto"/>
        <w:right w:val="none" w:sz="0" w:space="0" w:color="auto"/>
      </w:divBdr>
    </w:div>
    <w:div w:id="410280559">
      <w:bodyDiv w:val="1"/>
      <w:marLeft w:val="0"/>
      <w:marRight w:val="0"/>
      <w:marTop w:val="0"/>
      <w:marBottom w:val="0"/>
      <w:divBdr>
        <w:top w:val="none" w:sz="0" w:space="0" w:color="auto"/>
        <w:left w:val="none" w:sz="0" w:space="0" w:color="auto"/>
        <w:bottom w:val="none" w:sz="0" w:space="0" w:color="auto"/>
        <w:right w:val="none" w:sz="0" w:space="0" w:color="auto"/>
      </w:divBdr>
      <w:divsChild>
        <w:div w:id="1196623016">
          <w:marLeft w:val="706"/>
          <w:marRight w:val="0"/>
          <w:marTop w:val="134"/>
          <w:marBottom w:val="0"/>
          <w:divBdr>
            <w:top w:val="none" w:sz="0" w:space="0" w:color="auto"/>
            <w:left w:val="none" w:sz="0" w:space="0" w:color="auto"/>
            <w:bottom w:val="none" w:sz="0" w:space="0" w:color="auto"/>
            <w:right w:val="none" w:sz="0" w:space="0" w:color="auto"/>
          </w:divBdr>
        </w:div>
      </w:divsChild>
    </w:div>
    <w:div w:id="443769239">
      <w:bodyDiv w:val="1"/>
      <w:marLeft w:val="0"/>
      <w:marRight w:val="0"/>
      <w:marTop w:val="0"/>
      <w:marBottom w:val="0"/>
      <w:divBdr>
        <w:top w:val="none" w:sz="0" w:space="0" w:color="auto"/>
        <w:left w:val="none" w:sz="0" w:space="0" w:color="auto"/>
        <w:bottom w:val="none" w:sz="0" w:space="0" w:color="auto"/>
        <w:right w:val="none" w:sz="0" w:space="0" w:color="auto"/>
      </w:divBdr>
    </w:div>
    <w:div w:id="498271644">
      <w:bodyDiv w:val="1"/>
      <w:marLeft w:val="0"/>
      <w:marRight w:val="0"/>
      <w:marTop w:val="0"/>
      <w:marBottom w:val="0"/>
      <w:divBdr>
        <w:top w:val="none" w:sz="0" w:space="0" w:color="auto"/>
        <w:left w:val="none" w:sz="0" w:space="0" w:color="auto"/>
        <w:bottom w:val="none" w:sz="0" w:space="0" w:color="auto"/>
        <w:right w:val="none" w:sz="0" w:space="0" w:color="auto"/>
      </w:divBdr>
    </w:div>
    <w:div w:id="547108872">
      <w:bodyDiv w:val="1"/>
      <w:marLeft w:val="0"/>
      <w:marRight w:val="0"/>
      <w:marTop w:val="0"/>
      <w:marBottom w:val="0"/>
      <w:divBdr>
        <w:top w:val="none" w:sz="0" w:space="0" w:color="auto"/>
        <w:left w:val="none" w:sz="0" w:space="0" w:color="auto"/>
        <w:bottom w:val="none" w:sz="0" w:space="0" w:color="auto"/>
        <w:right w:val="none" w:sz="0" w:space="0" w:color="auto"/>
      </w:divBdr>
    </w:div>
    <w:div w:id="573395375">
      <w:bodyDiv w:val="1"/>
      <w:marLeft w:val="0"/>
      <w:marRight w:val="0"/>
      <w:marTop w:val="0"/>
      <w:marBottom w:val="0"/>
      <w:divBdr>
        <w:top w:val="none" w:sz="0" w:space="0" w:color="auto"/>
        <w:left w:val="none" w:sz="0" w:space="0" w:color="auto"/>
        <w:bottom w:val="none" w:sz="0" w:space="0" w:color="auto"/>
        <w:right w:val="none" w:sz="0" w:space="0" w:color="auto"/>
      </w:divBdr>
    </w:div>
    <w:div w:id="585502082">
      <w:bodyDiv w:val="1"/>
      <w:marLeft w:val="0"/>
      <w:marRight w:val="0"/>
      <w:marTop w:val="0"/>
      <w:marBottom w:val="0"/>
      <w:divBdr>
        <w:top w:val="none" w:sz="0" w:space="0" w:color="auto"/>
        <w:left w:val="none" w:sz="0" w:space="0" w:color="auto"/>
        <w:bottom w:val="none" w:sz="0" w:space="0" w:color="auto"/>
        <w:right w:val="none" w:sz="0" w:space="0" w:color="auto"/>
      </w:divBdr>
    </w:div>
    <w:div w:id="649213604">
      <w:bodyDiv w:val="1"/>
      <w:marLeft w:val="0"/>
      <w:marRight w:val="0"/>
      <w:marTop w:val="0"/>
      <w:marBottom w:val="0"/>
      <w:divBdr>
        <w:top w:val="none" w:sz="0" w:space="0" w:color="auto"/>
        <w:left w:val="none" w:sz="0" w:space="0" w:color="auto"/>
        <w:bottom w:val="none" w:sz="0" w:space="0" w:color="auto"/>
        <w:right w:val="none" w:sz="0" w:space="0" w:color="auto"/>
      </w:divBdr>
    </w:div>
    <w:div w:id="662591522">
      <w:bodyDiv w:val="1"/>
      <w:marLeft w:val="0"/>
      <w:marRight w:val="0"/>
      <w:marTop w:val="0"/>
      <w:marBottom w:val="0"/>
      <w:divBdr>
        <w:top w:val="none" w:sz="0" w:space="0" w:color="auto"/>
        <w:left w:val="none" w:sz="0" w:space="0" w:color="auto"/>
        <w:bottom w:val="none" w:sz="0" w:space="0" w:color="auto"/>
        <w:right w:val="none" w:sz="0" w:space="0" w:color="auto"/>
      </w:divBdr>
    </w:div>
    <w:div w:id="690571556">
      <w:bodyDiv w:val="1"/>
      <w:marLeft w:val="0"/>
      <w:marRight w:val="0"/>
      <w:marTop w:val="0"/>
      <w:marBottom w:val="0"/>
      <w:divBdr>
        <w:top w:val="none" w:sz="0" w:space="0" w:color="auto"/>
        <w:left w:val="none" w:sz="0" w:space="0" w:color="auto"/>
        <w:bottom w:val="none" w:sz="0" w:space="0" w:color="auto"/>
        <w:right w:val="none" w:sz="0" w:space="0" w:color="auto"/>
      </w:divBdr>
    </w:div>
    <w:div w:id="708184928">
      <w:bodyDiv w:val="1"/>
      <w:marLeft w:val="0"/>
      <w:marRight w:val="0"/>
      <w:marTop w:val="0"/>
      <w:marBottom w:val="0"/>
      <w:divBdr>
        <w:top w:val="none" w:sz="0" w:space="0" w:color="auto"/>
        <w:left w:val="none" w:sz="0" w:space="0" w:color="auto"/>
        <w:bottom w:val="none" w:sz="0" w:space="0" w:color="auto"/>
        <w:right w:val="none" w:sz="0" w:space="0" w:color="auto"/>
      </w:divBdr>
    </w:div>
    <w:div w:id="766075534">
      <w:bodyDiv w:val="1"/>
      <w:marLeft w:val="0"/>
      <w:marRight w:val="0"/>
      <w:marTop w:val="0"/>
      <w:marBottom w:val="0"/>
      <w:divBdr>
        <w:top w:val="none" w:sz="0" w:space="0" w:color="auto"/>
        <w:left w:val="none" w:sz="0" w:space="0" w:color="auto"/>
        <w:bottom w:val="none" w:sz="0" w:space="0" w:color="auto"/>
        <w:right w:val="none" w:sz="0" w:space="0" w:color="auto"/>
      </w:divBdr>
      <w:divsChild>
        <w:div w:id="41373911">
          <w:marLeft w:val="1080"/>
          <w:marRight w:val="0"/>
          <w:marTop w:val="115"/>
          <w:marBottom w:val="240"/>
          <w:divBdr>
            <w:top w:val="none" w:sz="0" w:space="0" w:color="auto"/>
            <w:left w:val="none" w:sz="0" w:space="0" w:color="auto"/>
            <w:bottom w:val="none" w:sz="0" w:space="0" w:color="auto"/>
            <w:right w:val="none" w:sz="0" w:space="0" w:color="auto"/>
          </w:divBdr>
        </w:div>
        <w:div w:id="1921400893">
          <w:marLeft w:val="1080"/>
          <w:marRight w:val="0"/>
          <w:marTop w:val="115"/>
          <w:marBottom w:val="240"/>
          <w:divBdr>
            <w:top w:val="none" w:sz="0" w:space="0" w:color="auto"/>
            <w:left w:val="none" w:sz="0" w:space="0" w:color="auto"/>
            <w:bottom w:val="none" w:sz="0" w:space="0" w:color="auto"/>
            <w:right w:val="none" w:sz="0" w:space="0" w:color="auto"/>
          </w:divBdr>
        </w:div>
        <w:div w:id="456876380">
          <w:marLeft w:val="1080"/>
          <w:marRight w:val="0"/>
          <w:marTop w:val="115"/>
          <w:marBottom w:val="240"/>
          <w:divBdr>
            <w:top w:val="none" w:sz="0" w:space="0" w:color="auto"/>
            <w:left w:val="none" w:sz="0" w:space="0" w:color="auto"/>
            <w:bottom w:val="none" w:sz="0" w:space="0" w:color="auto"/>
            <w:right w:val="none" w:sz="0" w:space="0" w:color="auto"/>
          </w:divBdr>
        </w:div>
        <w:div w:id="2083985190">
          <w:marLeft w:val="1080"/>
          <w:marRight w:val="0"/>
          <w:marTop w:val="115"/>
          <w:marBottom w:val="240"/>
          <w:divBdr>
            <w:top w:val="none" w:sz="0" w:space="0" w:color="auto"/>
            <w:left w:val="none" w:sz="0" w:space="0" w:color="auto"/>
            <w:bottom w:val="none" w:sz="0" w:space="0" w:color="auto"/>
            <w:right w:val="none" w:sz="0" w:space="0" w:color="auto"/>
          </w:divBdr>
        </w:div>
      </w:divsChild>
    </w:div>
    <w:div w:id="876040519">
      <w:bodyDiv w:val="1"/>
      <w:marLeft w:val="0"/>
      <w:marRight w:val="0"/>
      <w:marTop w:val="0"/>
      <w:marBottom w:val="0"/>
      <w:divBdr>
        <w:top w:val="none" w:sz="0" w:space="0" w:color="auto"/>
        <w:left w:val="none" w:sz="0" w:space="0" w:color="auto"/>
        <w:bottom w:val="none" w:sz="0" w:space="0" w:color="auto"/>
        <w:right w:val="none" w:sz="0" w:space="0" w:color="auto"/>
      </w:divBdr>
    </w:div>
    <w:div w:id="989603604">
      <w:bodyDiv w:val="1"/>
      <w:marLeft w:val="0"/>
      <w:marRight w:val="0"/>
      <w:marTop w:val="0"/>
      <w:marBottom w:val="0"/>
      <w:divBdr>
        <w:top w:val="none" w:sz="0" w:space="0" w:color="auto"/>
        <w:left w:val="none" w:sz="0" w:space="0" w:color="auto"/>
        <w:bottom w:val="none" w:sz="0" w:space="0" w:color="auto"/>
        <w:right w:val="none" w:sz="0" w:space="0" w:color="auto"/>
      </w:divBdr>
    </w:div>
    <w:div w:id="1001852476">
      <w:bodyDiv w:val="1"/>
      <w:marLeft w:val="0"/>
      <w:marRight w:val="0"/>
      <w:marTop w:val="0"/>
      <w:marBottom w:val="0"/>
      <w:divBdr>
        <w:top w:val="none" w:sz="0" w:space="0" w:color="auto"/>
        <w:left w:val="none" w:sz="0" w:space="0" w:color="auto"/>
        <w:bottom w:val="none" w:sz="0" w:space="0" w:color="auto"/>
        <w:right w:val="none" w:sz="0" w:space="0" w:color="auto"/>
      </w:divBdr>
    </w:div>
    <w:div w:id="1035736680">
      <w:bodyDiv w:val="1"/>
      <w:marLeft w:val="0"/>
      <w:marRight w:val="0"/>
      <w:marTop w:val="0"/>
      <w:marBottom w:val="0"/>
      <w:divBdr>
        <w:top w:val="none" w:sz="0" w:space="0" w:color="auto"/>
        <w:left w:val="none" w:sz="0" w:space="0" w:color="auto"/>
        <w:bottom w:val="none" w:sz="0" w:space="0" w:color="auto"/>
        <w:right w:val="none" w:sz="0" w:space="0" w:color="auto"/>
      </w:divBdr>
    </w:div>
    <w:div w:id="1107695930">
      <w:bodyDiv w:val="1"/>
      <w:marLeft w:val="0"/>
      <w:marRight w:val="0"/>
      <w:marTop w:val="0"/>
      <w:marBottom w:val="0"/>
      <w:divBdr>
        <w:top w:val="none" w:sz="0" w:space="0" w:color="auto"/>
        <w:left w:val="none" w:sz="0" w:space="0" w:color="auto"/>
        <w:bottom w:val="none" w:sz="0" w:space="0" w:color="auto"/>
        <w:right w:val="none" w:sz="0" w:space="0" w:color="auto"/>
      </w:divBdr>
      <w:divsChild>
        <w:div w:id="1410034736">
          <w:marLeft w:val="562"/>
          <w:marRight w:val="14"/>
          <w:marTop w:val="116"/>
          <w:marBottom w:val="0"/>
          <w:divBdr>
            <w:top w:val="none" w:sz="0" w:space="0" w:color="auto"/>
            <w:left w:val="none" w:sz="0" w:space="0" w:color="auto"/>
            <w:bottom w:val="none" w:sz="0" w:space="0" w:color="auto"/>
            <w:right w:val="none" w:sz="0" w:space="0" w:color="auto"/>
          </w:divBdr>
        </w:div>
        <w:div w:id="211355091">
          <w:marLeft w:val="562"/>
          <w:marRight w:val="0"/>
          <w:marTop w:val="19"/>
          <w:marBottom w:val="0"/>
          <w:divBdr>
            <w:top w:val="none" w:sz="0" w:space="0" w:color="auto"/>
            <w:left w:val="none" w:sz="0" w:space="0" w:color="auto"/>
            <w:bottom w:val="none" w:sz="0" w:space="0" w:color="auto"/>
            <w:right w:val="none" w:sz="0" w:space="0" w:color="auto"/>
          </w:divBdr>
        </w:div>
        <w:div w:id="177432076">
          <w:marLeft w:val="562"/>
          <w:marRight w:val="0"/>
          <w:marTop w:val="19"/>
          <w:marBottom w:val="0"/>
          <w:divBdr>
            <w:top w:val="none" w:sz="0" w:space="0" w:color="auto"/>
            <w:left w:val="none" w:sz="0" w:space="0" w:color="auto"/>
            <w:bottom w:val="none" w:sz="0" w:space="0" w:color="auto"/>
            <w:right w:val="none" w:sz="0" w:space="0" w:color="auto"/>
          </w:divBdr>
        </w:div>
        <w:div w:id="947734417">
          <w:marLeft w:val="562"/>
          <w:marRight w:val="0"/>
          <w:marTop w:val="115"/>
          <w:marBottom w:val="0"/>
          <w:divBdr>
            <w:top w:val="none" w:sz="0" w:space="0" w:color="auto"/>
            <w:left w:val="none" w:sz="0" w:space="0" w:color="auto"/>
            <w:bottom w:val="none" w:sz="0" w:space="0" w:color="auto"/>
            <w:right w:val="none" w:sz="0" w:space="0" w:color="auto"/>
          </w:divBdr>
        </w:div>
        <w:div w:id="1555893154">
          <w:marLeft w:val="562"/>
          <w:marRight w:val="0"/>
          <w:marTop w:val="115"/>
          <w:marBottom w:val="0"/>
          <w:divBdr>
            <w:top w:val="none" w:sz="0" w:space="0" w:color="auto"/>
            <w:left w:val="none" w:sz="0" w:space="0" w:color="auto"/>
            <w:bottom w:val="none" w:sz="0" w:space="0" w:color="auto"/>
            <w:right w:val="none" w:sz="0" w:space="0" w:color="auto"/>
          </w:divBdr>
        </w:div>
      </w:divsChild>
    </w:div>
    <w:div w:id="1142384672">
      <w:bodyDiv w:val="1"/>
      <w:marLeft w:val="0"/>
      <w:marRight w:val="0"/>
      <w:marTop w:val="0"/>
      <w:marBottom w:val="0"/>
      <w:divBdr>
        <w:top w:val="none" w:sz="0" w:space="0" w:color="auto"/>
        <w:left w:val="none" w:sz="0" w:space="0" w:color="auto"/>
        <w:bottom w:val="none" w:sz="0" w:space="0" w:color="auto"/>
        <w:right w:val="none" w:sz="0" w:space="0" w:color="auto"/>
      </w:divBdr>
    </w:div>
    <w:div w:id="1174494514">
      <w:bodyDiv w:val="1"/>
      <w:marLeft w:val="0"/>
      <w:marRight w:val="0"/>
      <w:marTop w:val="0"/>
      <w:marBottom w:val="0"/>
      <w:divBdr>
        <w:top w:val="none" w:sz="0" w:space="0" w:color="auto"/>
        <w:left w:val="none" w:sz="0" w:space="0" w:color="auto"/>
        <w:bottom w:val="none" w:sz="0" w:space="0" w:color="auto"/>
        <w:right w:val="none" w:sz="0" w:space="0" w:color="auto"/>
      </w:divBdr>
    </w:div>
    <w:div w:id="1185169650">
      <w:bodyDiv w:val="1"/>
      <w:marLeft w:val="0"/>
      <w:marRight w:val="0"/>
      <w:marTop w:val="0"/>
      <w:marBottom w:val="0"/>
      <w:divBdr>
        <w:top w:val="none" w:sz="0" w:space="0" w:color="auto"/>
        <w:left w:val="none" w:sz="0" w:space="0" w:color="auto"/>
        <w:bottom w:val="none" w:sz="0" w:space="0" w:color="auto"/>
        <w:right w:val="none" w:sz="0" w:space="0" w:color="auto"/>
      </w:divBdr>
    </w:div>
    <w:div w:id="1187788888">
      <w:bodyDiv w:val="1"/>
      <w:marLeft w:val="0"/>
      <w:marRight w:val="0"/>
      <w:marTop w:val="0"/>
      <w:marBottom w:val="0"/>
      <w:divBdr>
        <w:top w:val="none" w:sz="0" w:space="0" w:color="auto"/>
        <w:left w:val="none" w:sz="0" w:space="0" w:color="auto"/>
        <w:bottom w:val="none" w:sz="0" w:space="0" w:color="auto"/>
        <w:right w:val="none" w:sz="0" w:space="0" w:color="auto"/>
      </w:divBdr>
    </w:div>
    <w:div w:id="1213036788">
      <w:bodyDiv w:val="1"/>
      <w:marLeft w:val="0"/>
      <w:marRight w:val="0"/>
      <w:marTop w:val="0"/>
      <w:marBottom w:val="0"/>
      <w:divBdr>
        <w:top w:val="none" w:sz="0" w:space="0" w:color="auto"/>
        <w:left w:val="none" w:sz="0" w:space="0" w:color="auto"/>
        <w:bottom w:val="none" w:sz="0" w:space="0" w:color="auto"/>
        <w:right w:val="none" w:sz="0" w:space="0" w:color="auto"/>
      </w:divBdr>
      <w:divsChild>
        <w:div w:id="978462172">
          <w:marLeft w:val="547"/>
          <w:marRight w:val="0"/>
          <w:marTop w:val="0"/>
          <w:marBottom w:val="240"/>
          <w:divBdr>
            <w:top w:val="none" w:sz="0" w:space="0" w:color="auto"/>
            <w:left w:val="none" w:sz="0" w:space="0" w:color="auto"/>
            <w:bottom w:val="none" w:sz="0" w:space="0" w:color="auto"/>
            <w:right w:val="none" w:sz="0" w:space="0" w:color="auto"/>
          </w:divBdr>
        </w:div>
        <w:div w:id="116267091">
          <w:marLeft w:val="547"/>
          <w:marRight w:val="0"/>
          <w:marTop w:val="0"/>
          <w:marBottom w:val="240"/>
          <w:divBdr>
            <w:top w:val="none" w:sz="0" w:space="0" w:color="auto"/>
            <w:left w:val="none" w:sz="0" w:space="0" w:color="auto"/>
            <w:bottom w:val="none" w:sz="0" w:space="0" w:color="auto"/>
            <w:right w:val="none" w:sz="0" w:space="0" w:color="auto"/>
          </w:divBdr>
        </w:div>
        <w:div w:id="1693266922">
          <w:marLeft w:val="547"/>
          <w:marRight w:val="0"/>
          <w:marTop w:val="0"/>
          <w:marBottom w:val="240"/>
          <w:divBdr>
            <w:top w:val="none" w:sz="0" w:space="0" w:color="auto"/>
            <w:left w:val="none" w:sz="0" w:space="0" w:color="auto"/>
            <w:bottom w:val="none" w:sz="0" w:space="0" w:color="auto"/>
            <w:right w:val="none" w:sz="0" w:space="0" w:color="auto"/>
          </w:divBdr>
        </w:div>
        <w:div w:id="2025670438">
          <w:marLeft w:val="547"/>
          <w:marRight w:val="0"/>
          <w:marTop w:val="0"/>
          <w:marBottom w:val="240"/>
          <w:divBdr>
            <w:top w:val="none" w:sz="0" w:space="0" w:color="auto"/>
            <w:left w:val="none" w:sz="0" w:space="0" w:color="auto"/>
            <w:bottom w:val="none" w:sz="0" w:space="0" w:color="auto"/>
            <w:right w:val="none" w:sz="0" w:space="0" w:color="auto"/>
          </w:divBdr>
        </w:div>
        <w:div w:id="456215270">
          <w:marLeft w:val="547"/>
          <w:marRight w:val="0"/>
          <w:marTop w:val="0"/>
          <w:marBottom w:val="240"/>
          <w:divBdr>
            <w:top w:val="none" w:sz="0" w:space="0" w:color="auto"/>
            <w:left w:val="none" w:sz="0" w:space="0" w:color="auto"/>
            <w:bottom w:val="none" w:sz="0" w:space="0" w:color="auto"/>
            <w:right w:val="none" w:sz="0" w:space="0" w:color="auto"/>
          </w:divBdr>
        </w:div>
        <w:div w:id="1608586558">
          <w:marLeft w:val="547"/>
          <w:marRight w:val="0"/>
          <w:marTop w:val="0"/>
          <w:marBottom w:val="240"/>
          <w:divBdr>
            <w:top w:val="none" w:sz="0" w:space="0" w:color="auto"/>
            <w:left w:val="none" w:sz="0" w:space="0" w:color="auto"/>
            <w:bottom w:val="none" w:sz="0" w:space="0" w:color="auto"/>
            <w:right w:val="none" w:sz="0" w:space="0" w:color="auto"/>
          </w:divBdr>
        </w:div>
        <w:div w:id="1904027215">
          <w:marLeft w:val="547"/>
          <w:marRight w:val="0"/>
          <w:marTop w:val="96"/>
          <w:marBottom w:val="0"/>
          <w:divBdr>
            <w:top w:val="none" w:sz="0" w:space="0" w:color="auto"/>
            <w:left w:val="none" w:sz="0" w:space="0" w:color="auto"/>
            <w:bottom w:val="none" w:sz="0" w:space="0" w:color="auto"/>
            <w:right w:val="none" w:sz="0" w:space="0" w:color="auto"/>
          </w:divBdr>
        </w:div>
      </w:divsChild>
    </w:div>
    <w:div w:id="1215044837">
      <w:bodyDiv w:val="1"/>
      <w:marLeft w:val="0"/>
      <w:marRight w:val="0"/>
      <w:marTop w:val="0"/>
      <w:marBottom w:val="0"/>
      <w:divBdr>
        <w:top w:val="none" w:sz="0" w:space="0" w:color="auto"/>
        <w:left w:val="none" w:sz="0" w:space="0" w:color="auto"/>
        <w:bottom w:val="none" w:sz="0" w:space="0" w:color="auto"/>
        <w:right w:val="none" w:sz="0" w:space="0" w:color="auto"/>
      </w:divBdr>
    </w:div>
    <w:div w:id="1359311601">
      <w:bodyDiv w:val="1"/>
      <w:marLeft w:val="0"/>
      <w:marRight w:val="0"/>
      <w:marTop w:val="0"/>
      <w:marBottom w:val="0"/>
      <w:divBdr>
        <w:top w:val="none" w:sz="0" w:space="0" w:color="auto"/>
        <w:left w:val="none" w:sz="0" w:space="0" w:color="auto"/>
        <w:bottom w:val="none" w:sz="0" w:space="0" w:color="auto"/>
        <w:right w:val="none" w:sz="0" w:space="0" w:color="auto"/>
      </w:divBdr>
    </w:div>
    <w:div w:id="1371607090">
      <w:bodyDiv w:val="1"/>
      <w:marLeft w:val="0"/>
      <w:marRight w:val="0"/>
      <w:marTop w:val="0"/>
      <w:marBottom w:val="0"/>
      <w:divBdr>
        <w:top w:val="none" w:sz="0" w:space="0" w:color="auto"/>
        <w:left w:val="none" w:sz="0" w:space="0" w:color="auto"/>
        <w:bottom w:val="none" w:sz="0" w:space="0" w:color="auto"/>
        <w:right w:val="none" w:sz="0" w:space="0" w:color="auto"/>
      </w:divBdr>
    </w:div>
    <w:div w:id="1384523064">
      <w:bodyDiv w:val="1"/>
      <w:marLeft w:val="0"/>
      <w:marRight w:val="0"/>
      <w:marTop w:val="0"/>
      <w:marBottom w:val="0"/>
      <w:divBdr>
        <w:top w:val="none" w:sz="0" w:space="0" w:color="auto"/>
        <w:left w:val="none" w:sz="0" w:space="0" w:color="auto"/>
        <w:bottom w:val="none" w:sz="0" w:space="0" w:color="auto"/>
        <w:right w:val="none" w:sz="0" w:space="0" w:color="auto"/>
      </w:divBdr>
    </w:div>
    <w:div w:id="1432579779">
      <w:bodyDiv w:val="1"/>
      <w:marLeft w:val="0"/>
      <w:marRight w:val="0"/>
      <w:marTop w:val="0"/>
      <w:marBottom w:val="0"/>
      <w:divBdr>
        <w:top w:val="none" w:sz="0" w:space="0" w:color="auto"/>
        <w:left w:val="none" w:sz="0" w:space="0" w:color="auto"/>
        <w:bottom w:val="none" w:sz="0" w:space="0" w:color="auto"/>
        <w:right w:val="none" w:sz="0" w:space="0" w:color="auto"/>
      </w:divBdr>
    </w:div>
    <w:div w:id="1450081081">
      <w:bodyDiv w:val="1"/>
      <w:marLeft w:val="0"/>
      <w:marRight w:val="0"/>
      <w:marTop w:val="0"/>
      <w:marBottom w:val="0"/>
      <w:divBdr>
        <w:top w:val="none" w:sz="0" w:space="0" w:color="auto"/>
        <w:left w:val="none" w:sz="0" w:space="0" w:color="auto"/>
        <w:bottom w:val="none" w:sz="0" w:space="0" w:color="auto"/>
        <w:right w:val="none" w:sz="0" w:space="0" w:color="auto"/>
      </w:divBdr>
    </w:div>
    <w:div w:id="1452824840">
      <w:bodyDiv w:val="1"/>
      <w:marLeft w:val="0"/>
      <w:marRight w:val="0"/>
      <w:marTop w:val="0"/>
      <w:marBottom w:val="0"/>
      <w:divBdr>
        <w:top w:val="none" w:sz="0" w:space="0" w:color="auto"/>
        <w:left w:val="none" w:sz="0" w:space="0" w:color="auto"/>
        <w:bottom w:val="none" w:sz="0" w:space="0" w:color="auto"/>
        <w:right w:val="none" w:sz="0" w:space="0" w:color="auto"/>
      </w:divBdr>
    </w:div>
    <w:div w:id="1575357774">
      <w:bodyDiv w:val="1"/>
      <w:marLeft w:val="0"/>
      <w:marRight w:val="0"/>
      <w:marTop w:val="0"/>
      <w:marBottom w:val="0"/>
      <w:divBdr>
        <w:top w:val="none" w:sz="0" w:space="0" w:color="auto"/>
        <w:left w:val="none" w:sz="0" w:space="0" w:color="auto"/>
        <w:bottom w:val="none" w:sz="0" w:space="0" w:color="auto"/>
        <w:right w:val="none" w:sz="0" w:space="0" w:color="auto"/>
      </w:divBdr>
    </w:div>
    <w:div w:id="1595897547">
      <w:bodyDiv w:val="1"/>
      <w:marLeft w:val="0"/>
      <w:marRight w:val="0"/>
      <w:marTop w:val="0"/>
      <w:marBottom w:val="0"/>
      <w:divBdr>
        <w:top w:val="none" w:sz="0" w:space="0" w:color="auto"/>
        <w:left w:val="none" w:sz="0" w:space="0" w:color="auto"/>
        <w:bottom w:val="none" w:sz="0" w:space="0" w:color="auto"/>
        <w:right w:val="none" w:sz="0" w:space="0" w:color="auto"/>
      </w:divBdr>
    </w:div>
    <w:div w:id="1621760212">
      <w:bodyDiv w:val="1"/>
      <w:marLeft w:val="0"/>
      <w:marRight w:val="0"/>
      <w:marTop w:val="0"/>
      <w:marBottom w:val="0"/>
      <w:divBdr>
        <w:top w:val="none" w:sz="0" w:space="0" w:color="auto"/>
        <w:left w:val="none" w:sz="0" w:space="0" w:color="auto"/>
        <w:bottom w:val="none" w:sz="0" w:space="0" w:color="auto"/>
        <w:right w:val="none" w:sz="0" w:space="0" w:color="auto"/>
      </w:divBdr>
      <w:divsChild>
        <w:div w:id="1099910308">
          <w:marLeft w:val="446"/>
          <w:marRight w:val="0"/>
          <w:marTop w:val="0"/>
          <w:marBottom w:val="0"/>
          <w:divBdr>
            <w:top w:val="none" w:sz="0" w:space="0" w:color="auto"/>
            <w:left w:val="none" w:sz="0" w:space="0" w:color="auto"/>
            <w:bottom w:val="none" w:sz="0" w:space="0" w:color="auto"/>
            <w:right w:val="none" w:sz="0" w:space="0" w:color="auto"/>
          </w:divBdr>
        </w:div>
        <w:div w:id="1342389325">
          <w:marLeft w:val="446"/>
          <w:marRight w:val="0"/>
          <w:marTop w:val="0"/>
          <w:marBottom w:val="0"/>
          <w:divBdr>
            <w:top w:val="none" w:sz="0" w:space="0" w:color="auto"/>
            <w:left w:val="none" w:sz="0" w:space="0" w:color="auto"/>
            <w:bottom w:val="none" w:sz="0" w:space="0" w:color="auto"/>
            <w:right w:val="none" w:sz="0" w:space="0" w:color="auto"/>
          </w:divBdr>
        </w:div>
      </w:divsChild>
    </w:div>
    <w:div w:id="1675692428">
      <w:bodyDiv w:val="1"/>
      <w:marLeft w:val="0"/>
      <w:marRight w:val="0"/>
      <w:marTop w:val="0"/>
      <w:marBottom w:val="0"/>
      <w:divBdr>
        <w:top w:val="none" w:sz="0" w:space="0" w:color="auto"/>
        <w:left w:val="none" w:sz="0" w:space="0" w:color="auto"/>
        <w:bottom w:val="none" w:sz="0" w:space="0" w:color="auto"/>
        <w:right w:val="none" w:sz="0" w:space="0" w:color="auto"/>
      </w:divBdr>
      <w:divsChild>
        <w:div w:id="753093505">
          <w:marLeft w:val="706"/>
          <w:marRight w:val="0"/>
          <w:marTop w:val="0"/>
          <w:marBottom w:val="0"/>
          <w:divBdr>
            <w:top w:val="none" w:sz="0" w:space="0" w:color="auto"/>
            <w:left w:val="none" w:sz="0" w:space="0" w:color="auto"/>
            <w:bottom w:val="none" w:sz="0" w:space="0" w:color="auto"/>
            <w:right w:val="none" w:sz="0" w:space="0" w:color="auto"/>
          </w:divBdr>
        </w:div>
        <w:div w:id="36005511">
          <w:marLeft w:val="706"/>
          <w:marRight w:val="0"/>
          <w:marTop w:val="0"/>
          <w:marBottom w:val="0"/>
          <w:divBdr>
            <w:top w:val="none" w:sz="0" w:space="0" w:color="auto"/>
            <w:left w:val="none" w:sz="0" w:space="0" w:color="auto"/>
            <w:bottom w:val="none" w:sz="0" w:space="0" w:color="auto"/>
            <w:right w:val="none" w:sz="0" w:space="0" w:color="auto"/>
          </w:divBdr>
        </w:div>
        <w:div w:id="1924295549">
          <w:marLeft w:val="706"/>
          <w:marRight w:val="0"/>
          <w:marTop w:val="0"/>
          <w:marBottom w:val="0"/>
          <w:divBdr>
            <w:top w:val="none" w:sz="0" w:space="0" w:color="auto"/>
            <w:left w:val="none" w:sz="0" w:space="0" w:color="auto"/>
            <w:bottom w:val="none" w:sz="0" w:space="0" w:color="auto"/>
            <w:right w:val="none" w:sz="0" w:space="0" w:color="auto"/>
          </w:divBdr>
        </w:div>
        <w:div w:id="1987734041">
          <w:marLeft w:val="706"/>
          <w:marRight w:val="0"/>
          <w:marTop w:val="0"/>
          <w:marBottom w:val="0"/>
          <w:divBdr>
            <w:top w:val="none" w:sz="0" w:space="0" w:color="auto"/>
            <w:left w:val="none" w:sz="0" w:space="0" w:color="auto"/>
            <w:bottom w:val="none" w:sz="0" w:space="0" w:color="auto"/>
            <w:right w:val="none" w:sz="0" w:space="0" w:color="auto"/>
          </w:divBdr>
        </w:div>
      </w:divsChild>
    </w:div>
    <w:div w:id="1684934693">
      <w:bodyDiv w:val="1"/>
      <w:marLeft w:val="0"/>
      <w:marRight w:val="0"/>
      <w:marTop w:val="0"/>
      <w:marBottom w:val="0"/>
      <w:divBdr>
        <w:top w:val="none" w:sz="0" w:space="0" w:color="auto"/>
        <w:left w:val="none" w:sz="0" w:space="0" w:color="auto"/>
        <w:bottom w:val="none" w:sz="0" w:space="0" w:color="auto"/>
        <w:right w:val="none" w:sz="0" w:space="0" w:color="auto"/>
      </w:divBdr>
    </w:div>
    <w:div w:id="1722441646">
      <w:bodyDiv w:val="1"/>
      <w:marLeft w:val="0"/>
      <w:marRight w:val="0"/>
      <w:marTop w:val="0"/>
      <w:marBottom w:val="0"/>
      <w:divBdr>
        <w:top w:val="none" w:sz="0" w:space="0" w:color="auto"/>
        <w:left w:val="none" w:sz="0" w:space="0" w:color="auto"/>
        <w:bottom w:val="none" w:sz="0" w:space="0" w:color="auto"/>
        <w:right w:val="none" w:sz="0" w:space="0" w:color="auto"/>
      </w:divBdr>
    </w:div>
    <w:div w:id="1797143318">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sChild>
        <w:div w:id="1212617562">
          <w:marLeft w:val="547"/>
          <w:marRight w:val="0"/>
          <w:marTop w:val="130"/>
          <w:marBottom w:val="240"/>
          <w:divBdr>
            <w:top w:val="none" w:sz="0" w:space="0" w:color="auto"/>
            <w:left w:val="none" w:sz="0" w:space="0" w:color="auto"/>
            <w:bottom w:val="none" w:sz="0" w:space="0" w:color="auto"/>
            <w:right w:val="none" w:sz="0" w:space="0" w:color="auto"/>
          </w:divBdr>
        </w:div>
        <w:div w:id="1987279104">
          <w:marLeft w:val="547"/>
          <w:marRight w:val="0"/>
          <w:marTop w:val="0"/>
          <w:marBottom w:val="240"/>
          <w:divBdr>
            <w:top w:val="none" w:sz="0" w:space="0" w:color="auto"/>
            <w:left w:val="none" w:sz="0" w:space="0" w:color="auto"/>
            <w:bottom w:val="none" w:sz="0" w:space="0" w:color="auto"/>
            <w:right w:val="none" w:sz="0" w:space="0" w:color="auto"/>
          </w:divBdr>
        </w:div>
        <w:div w:id="114833921">
          <w:marLeft w:val="1800"/>
          <w:marRight w:val="0"/>
          <w:marTop w:val="0"/>
          <w:marBottom w:val="240"/>
          <w:divBdr>
            <w:top w:val="none" w:sz="0" w:space="0" w:color="auto"/>
            <w:left w:val="none" w:sz="0" w:space="0" w:color="auto"/>
            <w:bottom w:val="none" w:sz="0" w:space="0" w:color="auto"/>
            <w:right w:val="none" w:sz="0" w:space="0" w:color="auto"/>
          </w:divBdr>
        </w:div>
        <w:div w:id="458455036">
          <w:marLeft w:val="1800"/>
          <w:marRight w:val="0"/>
          <w:marTop w:val="0"/>
          <w:marBottom w:val="240"/>
          <w:divBdr>
            <w:top w:val="none" w:sz="0" w:space="0" w:color="auto"/>
            <w:left w:val="none" w:sz="0" w:space="0" w:color="auto"/>
            <w:bottom w:val="none" w:sz="0" w:space="0" w:color="auto"/>
            <w:right w:val="none" w:sz="0" w:space="0" w:color="auto"/>
          </w:divBdr>
        </w:div>
        <w:div w:id="369302543">
          <w:marLeft w:val="1800"/>
          <w:marRight w:val="0"/>
          <w:marTop w:val="0"/>
          <w:marBottom w:val="240"/>
          <w:divBdr>
            <w:top w:val="none" w:sz="0" w:space="0" w:color="auto"/>
            <w:left w:val="none" w:sz="0" w:space="0" w:color="auto"/>
            <w:bottom w:val="none" w:sz="0" w:space="0" w:color="auto"/>
            <w:right w:val="none" w:sz="0" w:space="0" w:color="auto"/>
          </w:divBdr>
        </w:div>
        <w:div w:id="376439901">
          <w:marLeft w:val="1800"/>
          <w:marRight w:val="0"/>
          <w:marTop w:val="0"/>
          <w:marBottom w:val="240"/>
          <w:divBdr>
            <w:top w:val="none" w:sz="0" w:space="0" w:color="auto"/>
            <w:left w:val="none" w:sz="0" w:space="0" w:color="auto"/>
            <w:bottom w:val="none" w:sz="0" w:space="0" w:color="auto"/>
            <w:right w:val="none" w:sz="0" w:space="0" w:color="auto"/>
          </w:divBdr>
        </w:div>
      </w:divsChild>
    </w:div>
    <w:div w:id="1854226883">
      <w:bodyDiv w:val="1"/>
      <w:marLeft w:val="0"/>
      <w:marRight w:val="0"/>
      <w:marTop w:val="0"/>
      <w:marBottom w:val="0"/>
      <w:divBdr>
        <w:top w:val="none" w:sz="0" w:space="0" w:color="auto"/>
        <w:left w:val="none" w:sz="0" w:space="0" w:color="auto"/>
        <w:bottom w:val="none" w:sz="0" w:space="0" w:color="auto"/>
        <w:right w:val="none" w:sz="0" w:space="0" w:color="auto"/>
      </w:divBdr>
      <w:divsChild>
        <w:div w:id="823088869">
          <w:marLeft w:val="706"/>
          <w:marRight w:val="0"/>
          <w:marTop w:val="230"/>
          <w:marBottom w:val="0"/>
          <w:divBdr>
            <w:top w:val="none" w:sz="0" w:space="0" w:color="auto"/>
            <w:left w:val="none" w:sz="0" w:space="0" w:color="auto"/>
            <w:bottom w:val="none" w:sz="0" w:space="0" w:color="auto"/>
            <w:right w:val="none" w:sz="0" w:space="0" w:color="auto"/>
          </w:divBdr>
        </w:div>
        <w:div w:id="1626497772">
          <w:marLeft w:val="706"/>
          <w:marRight w:val="0"/>
          <w:marTop w:val="230"/>
          <w:marBottom w:val="0"/>
          <w:divBdr>
            <w:top w:val="none" w:sz="0" w:space="0" w:color="auto"/>
            <w:left w:val="none" w:sz="0" w:space="0" w:color="auto"/>
            <w:bottom w:val="none" w:sz="0" w:space="0" w:color="auto"/>
            <w:right w:val="none" w:sz="0" w:space="0" w:color="auto"/>
          </w:divBdr>
        </w:div>
        <w:div w:id="1031759221">
          <w:marLeft w:val="706"/>
          <w:marRight w:val="0"/>
          <w:marTop w:val="230"/>
          <w:marBottom w:val="0"/>
          <w:divBdr>
            <w:top w:val="none" w:sz="0" w:space="0" w:color="auto"/>
            <w:left w:val="none" w:sz="0" w:space="0" w:color="auto"/>
            <w:bottom w:val="none" w:sz="0" w:space="0" w:color="auto"/>
            <w:right w:val="none" w:sz="0" w:space="0" w:color="auto"/>
          </w:divBdr>
        </w:div>
      </w:divsChild>
    </w:div>
    <w:div w:id="1868061672">
      <w:bodyDiv w:val="1"/>
      <w:marLeft w:val="0"/>
      <w:marRight w:val="0"/>
      <w:marTop w:val="0"/>
      <w:marBottom w:val="0"/>
      <w:divBdr>
        <w:top w:val="none" w:sz="0" w:space="0" w:color="auto"/>
        <w:left w:val="none" w:sz="0" w:space="0" w:color="auto"/>
        <w:bottom w:val="none" w:sz="0" w:space="0" w:color="auto"/>
        <w:right w:val="none" w:sz="0" w:space="0" w:color="auto"/>
      </w:divBdr>
    </w:div>
    <w:div w:id="1966347415">
      <w:bodyDiv w:val="1"/>
      <w:marLeft w:val="0"/>
      <w:marRight w:val="0"/>
      <w:marTop w:val="0"/>
      <w:marBottom w:val="0"/>
      <w:divBdr>
        <w:top w:val="none" w:sz="0" w:space="0" w:color="auto"/>
        <w:left w:val="none" w:sz="0" w:space="0" w:color="auto"/>
        <w:bottom w:val="none" w:sz="0" w:space="0" w:color="auto"/>
        <w:right w:val="none" w:sz="0" w:space="0" w:color="auto"/>
      </w:divBdr>
    </w:div>
    <w:div w:id="1986549258">
      <w:bodyDiv w:val="1"/>
      <w:marLeft w:val="0"/>
      <w:marRight w:val="0"/>
      <w:marTop w:val="0"/>
      <w:marBottom w:val="0"/>
      <w:divBdr>
        <w:top w:val="none" w:sz="0" w:space="0" w:color="auto"/>
        <w:left w:val="none" w:sz="0" w:space="0" w:color="auto"/>
        <w:bottom w:val="none" w:sz="0" w:space="0" w:color="auto"/>
        <w:right w:val="none" w:sz="0" w:space="0" w:color="auto"/>
      </w:divBdr>
    </w:div>
    <w:div w:id="2017462515">
      <w:bodyDiv w:val="1"/>
      <w:marLeft w:val="0"/>
      <w:marRight w:val="0"/>
      <w:marTop w:val="0"/>
      <w:marBottom w:val="0"/>
      <w:divBdr>
        <w:top w:val="none" w:sz="0" w:space="0" w:color="auto"/>
        <w:left w:val="none" w:sz="0" w:space="0" w:color="auto"/>
        <w:bottom w:val="none" w:sz="0" w:space="0" w:color="auto"/>
        <w:right w:val="none" w:sz="0" w:space="0" w:color="auto"/>
      </w:divBdr>
    </w:div>
    <w:div w:id="2048213880">
      <w:bodyDiv w:val="1"/>
      <w:marLeft w:val="0"/>
      <w:marRight w:val="0"/>
      <w:marTop w:val="0"/>
      <w:marBottom w:val="0"/>
      <w:divBdr>
        <w:top w:val="none" w:sz="0" w:space="0" w:color="auto"/>
        <w:left w:val="none" w:sz="0" w:space="0" w:color="auto"/>
        <w:bottom w:val="none" w:sz="0" w:space="0" w:color="auto"/>
        <w:right w:val="none" w:sz="0" w:space="0" w:color="auto"/>
      </w:divBdr>
    </w:div>
    <w:div w:id="2092583522">
      <w:bodyDiv w:val="1"/>
      <w:marLeft w:val="0"/>
      <w:marRight w:val="0"/>
      <w:marTop w:val="0"/>
      <w:marBottom w:val="0"/>
      <w:divBdr>
        <w:top w:val="none" w:sz="0" w:space="0" w:color="auto"/>
        <w:left w:val="none" w:sz="0" w:space="0" w:color="auto"/>
        <w:bottom w:val="none" w:sz="0" w:space="0" w:color="auto"/>
        <w:right w:val="none" w:sz="0" w:space="0" w:color="auto"/>
      </w:divBdr>
      <w:divsChild>
        <w:div w:id="1067605199">
          <w:marLeft w:val="1080"/>
          <w:marRight w:val="0"/>
          <w:marTop w:val="125"/>
          <w:marBottom w:val="0"/>
          <w:divBdr>
            <w:top w:val="none" w:sz="0" w:space="0" w:color="auto"/>
            <w:left w:val="none" w:sz="0" w:space="0" w:color="auto"/>
            <w:bottom w:val="none" w:sz="0" w:space="0" w:color="auto"/>
            <w:right w:val="none" w:sz="0" w:space="0" w:color="auto"/>
          </w:divBdr>
        </w:div>
        <w:div w:id="1824808219">
          <w:marLeft w:val="1080"/>
          <w:marRight w:val="0"/>
          <w:marTop w:val="125"/>
          <w:marBottom w:val="0"/>
          <w:divBdr>
            <w:top w:val="none" w:sz="0" w:space="0" w:color="auto"/>
            <w:left w:val="none" w:sz="0" w:space="0" w:color="auto"/>
            <w:bottom w:val="none" w:sz="0" w:space="0" w:color="auto"/>
            <w:right w:val="none" w:sz="0" w:space="0" w:color="auto"/>
          </w:divBdr>
        </w:div>
        <w:div w:id="1681346489">
          <w:marLeft w:val="1080"/>
          <w:marRight w:val="0"/>
          <w:marTop w:val="125"/>
          <w:marBottom w:val="0"/>
          <w:divBdr>
            <w:top w:val="none" w:sz="0" w:space="0" w:color="auto"/>
            <w:left w:val="none" w:sz="0" w:space="0" w:color="auto"/>
            <w:bottom w:val="none" w:sz="0" w:space="0" w:color="auto"/>
            <w:right w:val="none" w:sz="0" w:space="0" w:color="auto"/>
          </w:divBdr>
        </w:div>
        <w:div w:id="2091079005">
          <w:marLeft w:val="1080"/>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s.gov/eohhs/docs/dph/regs/105cmr130.pdf"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doi.org/10.1017/ice.2020.395"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mailto:eileen.mchale@state.ma.us" TargetMode="External"/><Relationship Id="rId7" Type="http://schemas.openxmlformats.org/officeDocument/2006/relationships/hyperlink" Target="http://www.malegislature.gov/Laws/GeneralLaws/PartI/TitleXVI/Chapter111/Section111" TargetMode="Externa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hyperlink" Target="https://www.cdc.gov/longtermcare/prevention/antibiotic-stewardship.html"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hyperlink" Target="http://www.malegislature.gov/Laws/SessionLaws/Acts/2006/Chapter58"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cdc.gov/antibiotic-use/healthcare/" TargetMode="External"/><Relationship Id="rId40"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legislature.gov/Laws/GeneralLaws/PartI/TitleXVI/Chapter111/Section51H"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36</Pages>
  <Words>2426</Words>
  <Characters>13832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Bichelman, Jamie E (DPH)</dc:creator>
  <cp:keywords/>
  <dc:description/>
  <cp:lastModifiedBy>Bichelman, Jamie E (DPH)</cp:lastModifiedBy>
  <cp:revision>15</cp:revision>
  <dcterms:created xsi:type="dcterms:W3CDTF">2020-11-09T14:21:00Z</dcterms:created>
  <dcterms:modified xsi:type="dcterms:W3CDTF">2020-11-24T18:12:00Z</dcterms:modified>
</cp:coreProperties>
</file>