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5FA0C" w14:textId="77777777" w:rsidR="00C858AF" w:rsidRPr="005429C0" w:rsidRDefault="00C858AF" w:rsidP="00C858AF">
      <w:pPr>
        <w:pStyle w:val="NoSpacing"/>
        <w:rPr>
          <w:b/>
        </w:rPr>
      </w:pPr>
      <w:r>
        <w:rPr>
          <w:b/>
        </w:rPr>
        <w:t>Slide 1</w:t>
      </w:r>
    </w:p>
    <w:p w14:paraId="70368DA0" w14:textId="0C6212AC" w:rsidR="00C858AF" w:rsidRPr="00AB5FAE" w:rsidRDefault="001F6AC3" w:rsidP="00C858AF">
      <w:pPr>
        <w:pStyle w:val="NoSpacing"/>
        <w:rPr>
          <w:bCs/>
        </w:rPr>
      </w:pPr>
      <w:r w:rsidRPr="001F6AC3">
        <w:rPr>
          <w:bCs/>
        </w:rPr>
        <w:t>2020 Health Care Associated Infections:</w:t>
      </w:r>
      <w:r w:rsidRPr="001F6AC3">
        <w:rPr>
          <w:bCs/>
        </w:rPr>
        <w:br/>
        <w:t>Acute Care Hospitals</w:t>
      </w:r>
    </w:p>
    <w:p w14:paraId="77E42949" w14:textId="442DF0D0" w:rsidR="00C858AF" w:rsidRDefault="00C858AF" w:rsidP="00C858AF">
      <w:pPr>
        <w:pStyle w:val="NoSpacing"/>
      </w:pPr>
    </w:p>
    <w:p w14:paraId="066CB2D5" w14:textId="77777777" w:rsidR="001F6AC3" w:rsidRDefault="001F6AC3" w:rsidP="001F6AC3">
      <w:pPr>
        <w:pStyle w:val="NoSpacing"/>
      </w:pPr>
      <w:r>
        <w:t>Public Health Council</w:t>
      </w:r>
    </w:p>
    <w:p w14:paraId="131554D9" w14:textId="77777777" w:rsidR="001F6AC3" w:rsidRDefault="001F6AC3" w:rsidP="001F6AC3">
      <w:pPr>
        <w:pStyle w:val="NoSpacing"/>
      </w:pPr>
      <w:r w:rsidRPr="001F6AC3">
        <w:t>October 13, 2021</w:t>
      </w:r>
    </w:p>
    <w:p w14:paraId="317C3E3F" w14:textId="77777777" w:rsidR="001F6AC3" w:rsidRDefault="001F6AC3" w:rsidP="00C858AF">
      <w:pPr>
        <w:pStyle w:val="NoSpacing"/>
      </w:pPr>
    </w:p>
    <w:p w14:paraId="2973E9EF" w14:textId="77777777" w:rsidR="001F6AC3" w:rsidRPr="001F6AC3" w:rsidRDefault="001F6AC3" w:rsidP="001F6AC3">
      <w:pPr>
        <w:pStyle w:val="NoSpacing"/>
      </w:pPr>
      <w:r w:rsidRPr="001F6AC3">
        <w:t>Christina Brandeburg, MPH, Epidemiologist</w:t>
      </w:r>
    </w:p>
    <w:p w14:paraId="5EE231FD" w14:textId="77777777" w:rsidR="001F6AC3" w:rsidRPr="001F6AC3" w:rsidRDefault="001F6AC3" w:rsidP="001F6AC3">
      <w:pPr>
        <w:pStyle w:val="NoSpacing"/>
      </w:pPr>
      <w:r w:rsidRPr="001F6AC3">
        <w:t xml:space="preserve">Katherine T. Fillo, </w:t>
      </w:r>
      <w:proofErr w:type="spellStart"/>
      <w:proofErr w:type="gramStart"/>
      <w:r w:rsidRPr="001F6AC3">
        <w:t>Ph.D</w:t>
      </w:r>
      <w:proofErr w:type="spellEnd"/>
      <w:proofErr w:type="gramEnd"/>
      <w:r w:rsidRPr="001F6AC3">
        <w:t>, MPH, RN-BC, Director of Clinical Quality Improvement</w:t>
      </w:r>
    </w:p>
    <w:p w14:paraId="632E27A0" w14:textId="26A4B1A5" w:rsidR="00C858AF" w:rsidRDefault="001F6AC3" w:rsidP="001F6AC3">
      <w:pPr>
        <w:pStyle w:val="NoSpacing"/>
      </w:pPr>
      <w:r w:rsidRPr="001F6AC3">
        <w:t>Eileen McHale, RN, BSN, Healthcare Associated Infection Coordinator</w:t>
      </w:r>
    </w:p>
    <w:p w14:paraId="6F7DD1ED" w14:textId="77777777" w:rsidR="001F6AC3" w:rsidRPr="00366900" w:rsidRDefault="001F6AC3" w:rsidP="00C858AF">
      <w:pPr>
        <w:pStyle w:val="NoSpacing"/>
      </w:pPr>
    </w:p>
    <w:p w14:paraId="0BDA4987" w14:textId="77777777" w:rsidR="00C858AF" w:rsidRPr="005429C0" w:rsidRDefault="00C858AF" w:rsidP="00C858AF">
      <w:pPr>
        <w:pStyle w:val="NoSpacing"/>
        <w:rPr>
          <w:b/>
        </w:rPr>
      </w:pPr>
      <w:r w:rsidRPr="005429C0">
        <w:rPr>
          <w:b/>
        </w:rPr>
        <w:t>Slide 2</w:t>
      </w:r>
    </w:p>
    <w:p w14:paraId="50436668" w14:textId="77777777" w:rsidR="00C858AF" w:rsidRPr="00366900" w:rsidRDefault="00C858AF" w:rsidP="00C858AF">
      <w:pPr>
        <w:pStyle w:val="NoSpacing"/>
      </w:pPr>
      <w:r w:rsidRPr="00366900">
        <w:rPr>
          <w:b/>
          <w:bCs/>
        </w:rPr>
        <w:t>Introduction</w:t>
      </w:r>
    </w:p>
    <w:p w14:paraId="0F03D3EF" w14:textId="57C58D71" w:rsidR="001F6AC3" w:rsidRDefault="001F6AC3" w:rsidP="001F6AC3">
      <w:pPr>
        <w:pStyle w:val="NoSpacing"/>
      </w:pPr>
      <w:r w:rsidRPr="001F6AC3">
        <w:t xml:space="preserve">Healthcare-associated infections (HAIs) are infections that patients acquire </w:t>
      </w:r>
      <w:proofErr w:type="gramStart"/>
      <w:r w:rsidRPr="001F6AC3">
        <w:t>during the course of</w:t>
      </w:r>
      <w:proofErr w:type="gramEnd"/>
      <w:r w:rsidRPr="001F6AC3">
        <w:t xml:space="preserve"> receiving treatment for other conditions within a healthcare setting.  </w:t>
      </w:r>
    </w:p>
    <w:p w14:paraId="50D01AB1" w14:textId="77777777" w:rsidR="001F6AC3" w:rsidRPr="001F6AC3" w:rsidRDefault="001F6AC3" w:rsidP="001F6AC3">
      <w:pPr>
        <w:pStyle w:val="NoSpacing"/>
      </w:pPr>
    </w:p>
    <w:p w14:paraId="20E640BB" w14:textId="77777777" w:rsidR="001F6AC3" w:rsidRPr="001F6AC3" w:rsidRDefault="001F6AC3" w:rsidP="001F6AC3">
      <w:pPr>
        <w:pStyle w:val="NoSpacing"/>
      </w:pPr>
      <w:r w:rsidRPr="001F6AC3">
        <w:t xml:space="preserve">HAIs are among the leading causes of preventable death in the United States, affecting 1 in 17 hospitalized patients, accounting for an estimated 1.7 million infections and an associated 98,000 </w:t>
      </w:r>
      <w:proofErr w:type="gramStart"/>
      <w:r w:rsidRPr="001F6AC3">
        <w:t>deaths.*</w:t>
      </w:r>
      <w:proofErr w:type="gramEnd"/>
      <w:r w:rsidRPr="001F6AC3">
        <w:t xml:space="preserve"> </w:t>
      </w:r>
    </w:p>
    <w:p w14:paraId="4CB246B3" w14:textId="77777777" w:rsidR="001F6AC3" w:rsidRDefault="001F6AC3" w:rsidP="001F6AC3">
      <w:pPr>
        <w:pStyle w:val="NoSpacing"/>
      </w:pPr>
    </w:p>
    <w:p w14:paraId="3C4E15A8" w14:textId="5A9CCEB1" w:rsidR="001F6AC3" w:rsidRPr="001F6AC3" w:rsidRDefault="001F6AC3" w:rsidP="001F6AC3">
      <w:pPr>
        <w:pStyle w:val="NoSpacing"/>
      </w:pPr>
      <w:r w:rsidRPr="001F6AC3">
        <w:t xml:space="preserve">The Massachusetts Department of Public Health (DPH) developed this data update as a component of the Statewide Infection Prevention and Control Program created pursuant to </w:t>
      </w:r>
      <w:hyperlink r:id="rId5" w:history="1">
        <w:r w:rsidRPr="001F6AC3">
          <w:rPr>
            <w:rStyle w:val="Hyperlink"/>
          </w:rPr>
          <w:t>Chapter 58 of the Acts of 2006</w:t>
        </w:r>
      </w:hyperlink>
      <w:r w:rsidRPr="001F6AC3">
        <w:t xml:space="preserve">. </w:t>
      </w:r>
    </w:p>
    <w:p w14:paraId="1AA1B210" w14:textId="77777777" w:rsidR="001F6AC3" w:rsidRPr="001F6AC3" w:rsidRDefault="001F6AC3" w:rsidP="001F6AC3">
      <w:pPr>
        <w:pStyle w:val="NoSpacing"/>
        <w:numPr>
          <w:ilvl w:val="1"/>
          <w:numId w:val="1"/>
        </w:numPr>
      </w:pPr>
      <w:r w:rsidRPr="001F6AC3">
        <w:t>Massachusetts law provides DPH with the legal authority to conduct surveillance, and to investigate and control the spread of communicable and infectious diseases. (</w:t>
      </w:r>
      <w:hyperlink r:id="rId6" w:history="1">
        <w:r w:rsidRPr="001F6AC3">
          <w:rPr>
            <w:rStyle w:val="Hyperlink"/>
          </w:rPr>
          <w:t xml:space="preserve">MGL c. </w:t>
        </w:r>
        <w:proofErr w:type="gramStart"/>
        <w:r w:rsidRPr="001F6AC3">
          <w:rPr>
            <w:rStyle w:val="Hyperlink"/>
          </w:rPr>
          <w:t>111,sections</w:t>
        </w:r>
        <w:proofErr w:type="gramEnd"/>
        <w:r w:rsidRPr="001F6AC3">
          <w:rPr>
            <w:rStyle w:val="Hyperlink"/>
          </w:rPr>
          <w:t xml:space="preserve"> 6 &amp; 7</w:t>
        </w:r>
      </w:hyperlink>
      <w:r w:rsidRPr="001F6AC3">
        <w:t>)</w:t>
      </w:r>
    </w:p>
    <w:p w14:paraId="4838D618" w14:textId="77777777" w:rsidR="001F6AC3" w:rsidRPr="001F6AC3" w:rsidRDefault="001F6AC3" w:rsidP="001F6AC3">
      <w:pPr>
        <w:pStyle w:val="NoSpacing"/>
        <w:numPr>
          <w:ilvl w:val="1"/>
          <w:numId w:val="1"/>
        </w:numPr>
      </w:pPr>
      <w:r w:rsidRPr="001F6AC3">
        <w:t>DPH implements this responsibility in hospitals through the hospital licensing regulation. (</w:t>
      </w:r>
      <w:hyperlink r:id="rId7" w:history="1">
        <w:r w:rsidRPr="001F6AC3">
          <w:rPr>
            <w:rStyle w:val="Hyperlink"/>
          </w:rPr>
          <w:t>105 CMR 130.000</w:t>
        </w:r>
      </w:hyperlink>
      <w:r w:rsidRPr="001F6AC3">
        <w:t>)</w:t>
      </w:r>
    </w:p>
    <w:p w14:paraId="477A3F18" w14:textId="77777777" w:rsidR="001F6AC3" w:rsidRPr="001F6AC3" w:rsidRDefault="001F6AC3" w:rsidP="001F6AC3">
      <w:pPr>
        <w:pStyle w:val="NoSpacing"/>
        <w:numPr>
          <w:ilvl w:val="1"/>
          <w:numId w:val="1"/>
        </w:numPr>
      </w:pPr>
      <w:r w:rsidRPr="001F6AC3">
        <w:t>Section 51H of chapter 111 of the Massachusetts General Laws authorizes the Department to collect HAI data and disseminate the information publicly to encourage quality improvement. (</w:t>
      </w:r>
      <w:hyperlink r:id="rId8" w:history="1">
        <w:r w:rsidRPr="001F6AC3">
          <w:rPr>
            <w:rStyle w:val="Hyperlink"/>
          </w:rPr>
          <w:t>https://malegislature.gov/Laws/GeneralLaws/PartI/TitleXVI/Chapter111/Section51H</w:t>
        </w:r>
      </w:hyperlink>
      <w:r w:rsidRPr="001F6AC3">
        <w:t xml:space="preserve">) </w:t>
      </w:r>
    </w:p>
    <w:p w14:paraId="6B5F0CF9" w14:textId="77777777" w:rsidR="001F6AC3" w:rsidRDefault="001F6AC3" w:rsidP="001F6AC3">
      <w:pPr>
        <w:pStyle w:val="NoSpacing"/>
      </w:pPr>
    </w:p>
    <w:p w14:paraId="37D35688" w14:textId="6E4F182B" w:rsidR="001F6AC3" w:rsidRPr="001F6AC3" w:rsidRDefault="001F6AC3" w:rsidP="001F6AC3">
      <w:pPr>
        <w:pStyle w:val="NoSpacing"/>
      </w:pPr>
      <w:r w:rsidRPr="001F6AC3">
        <w:t xml:space="preserve">*Haque M, </w:t>
      </w:r>
      <w:proofErr w:type="spellStart"/>
      <w:r w:rsidRPr="001F6AC3">
        <w:t>Sartelli</w:t>
      </w:r>
      <w:proofErr w:type="spellEnd"/>
      <w:r w:rsidRPr="001F6AC3">
        <w:t xml:space="preserve"> M, </w:t>
      </w:r>
      <w:proofErr w:type="spellStart"/>
      <w:r w:rsidRPr="001F6AC3">
        <w:t>McKimm</w:t>
      </w:r>
      <w:proofErr w:type="spellEnd"/>
      <w:r w:rsidRPr="001F6AC3">
        <w:t xml:space="preserve"> J, Abu Bakar M. Healthcare-associated Infections - an Overview. </w:t>
      </w:r>
      <w:r w:rsidRPr="001F6AC3">
        <w:rPr>
          <w:i/>
          <w:iCs/>
        </w:rPr>
        <w:t>Infect Drug Resist</w:t>
      </w:r>
      <w:r w:rsidRPr="001F6AC3">
        <w:t xml:space="preserve">. </w:t>
      </w:r>
      <w:proofErr w:type="gramStart"/>
      <w:r w:rsidRPr="001F6AC3">
        <w:t>2018;11:2321</w:t>
      </w:r>
      <w:proofErr w:type="gramEnd"/>
      <w:r w:rsidRPr="001F6AC3">
        <w:t xml:space="preserve">–2333. </w:t>
      </w:r>
    </w:p>
    <w:p w14:paraId="19C335E5" w14:textId="77777777" w:rsidR="00C858AF" w:rsidRDefault="00C858AF" w:rsidP="00C858AF">
      <w:pPr>
        <w:pStyle w:val="NoSpacing"/>
      </w:pPr>
    </w:p>
    <w:p w14:paraId="60FAAA73" w14:textId="77777777" w:rsidR="001F6AC3" w:rsidRDefault="001F6AC3" w:rsidP="00C858AF">
      <w:pPr>
        <w:pStyle w:val="NoSpacing"/>
      </w:pPr>
    </w:p>
    <w:p w14:paraId="4E12523F" w14:textId="3881A744" w:rsidR="00C858AF" w:rsidRDefault="00C858AF" w:rsidP="00C858AF">
      <w:pPr>
        <w:pStyle w:val="NoSpacing"/>
        <w:rPr>
          <w:b/>
        </w:rPr>
      </w:pPr>
      <w:r>
        <w:rPr>
          <w:b/>
        </w:rPr>
        <w:t>Slide 3</w:t>
      </w:r>
    </w:p>
    <w:p w14:paraId="2FEA2CA1" w14:textId="51825EC3" w:rsidR="00C858AF" w:rsidRPr="001F6AC3" w:rsidRDefault="001F6AC3" w:rsidP="00C858AF">
      <w:pPr>
        <w:pStyle w:val="NoSpacing"/>
        <w:rPr>
          <w:b/>
          <w:bCs/>
        </w:rPr>
      </w:pPr>
      <w:r w:rsidRPr="001F6AC3">
        <w:rPr>
          <w:b/>
          <w:bCs/>
        </w:rPr>
        <w:t>Purpose</w:t>
      </w:r>
    </w:p>
    <w:p w14:paraId="22AE7898" w14:textId="1EBBD7DA" w:rsidR="001F6AC3" w:rsidRPr="001F6AC3" w:rsidRDefault="001F6AC3" w:rsidP="001F6AC3">
      <w:pPr>
        <w:pStyle w:val="NoSpacing"/>
      </w:pPr>
      <w:r w:rsidRPr="001F6AC3">
        <w:t>This HAI presentation is the 12th annual Public Health</w:t>
      </w:r>
      <w:r>
        <w:t xml:space="preserve"> </w:t>
      </w:r>
      <w:r w:rsidRPr="001F6AC3">
        <w:t>Council update:</w:t>
      </w:r>
    </w:p>
    <w:p w14:paraId="1A551792" w14:textId="77777777" w:rsidR="001F6AC3" w:rsidRPr="001F6AC3" w:rsidRDefault="001F6AC3" w:rsidP="001F6AC3">
      <w:pPr>
        <w:pStyle w:val="NoSpacing"/>
      </w:pPr>
      <w:r w:rsidRPr="001F6AC3">
        <w:t xml:space="preserve"> </w:t>
      </w:r>
    </w:p>
    <w:p w14:paraId="4D75EB6E" w14:textId="77777777" w:rsidR="001F6AC3" w:rsidRPr="001F6AC3" w:rsidRDefault="001F6AC3" w:rsidP="001F6AC3">
      <w:pPr>
        <w:pStyle w:val="NoSpacing"/>
        <w:numPr>
          <w:ilvl w:val="0"/>
          <w:numId w:val="2"/>
        </w:numPr>
      </w:pPr>
      <w:r w:rsidRPr="001F6AC3">
        <w:t xml:space="preserve">It is an important component of larger efforts to reduce preventable infections in health care settings </w:t>
      </w:r>
    </w:p>
    <w:p w14:paraId="3FD5C3AC" w14:textId="77777777" w:rsidR="001F6AC3" w:rsidRPr="001F6AC3" w:rsidRDefault="001F6AC3" w:rsidP="001F6AC3">
      <w:pPr>
        <w:pStyle w:val="NoSpacing"/>
        <w:numPr>
          <w:ilvl w:val="0"/>
          <w:numId w:val="2"/>
        </w:numPr>
      </w:pPr>
      <w:r w:rsidRPr="001F6AC3">
        <w:t>It presents an analysis of progress on infection prevention within Massachusetts acute care hospitals</w:t>
      </w:r>
    </w:p>
    <w:p w14:paraId="06C08471" w14:textId="77777777" w:rsidR="001F6AC3" w:rsidRPr="001F6AC3" w:rsidRDefault="001F6AC3" w:rsidP="001F6AC3">
      <w:pPr>
        <w:pStyle w:val="NoSpacing"/>
        <w:numPr>
          <w:ilvl w:val="0"/>
          <w:numId w:val="2"/>
        </w:numPr>
      </w:pPr>
      <w:r w:rsidRPr="001F6AC3">
        <w:t>It is based upon work supported by state funds and the Centers for Disease Control and Prevention (CDC)</w:t>
      </w:r>
    </w:p>
    <w:p w14:paraId="22A58632" w14:textId="77777777" w:rsidR="001F6AC3" w:rsidRPr="001F6AC3" w:rsidRDefault="001F6AC3" w:rsidP="001F6AC3">
      <w:pPr>
        <w:pStyle w:val="NoSpacing"/>
        <w:numPr>
          <w:ilvl w:val="0"/>
          <w:numId w:val="2"/>
        </w:numPr>
      </w:pPr>
      <w:r w:rsidRPr="001F6AC3">
        <w:t>It provides an overview of antibiotic resistance and stewardship activities</w:t>
      </w:r>
    </w:p>
    <w:p w14:paraId="4319E6E8" w14:textId="77777777" w:rsidR="001F6AC3" w:rsidRPr="001F6AC3" w:rsidRDefault="001F6AC3" w:rsidP="001F6AC3">
      <w:pPr>
        <w:pStyle w:val="NoSpacing"/>
        <w:numPr>
          <w:ilvl w:val="0"/>
          <w:numId w:val="2"/>
        </w:numPr>
      </w:pPr>
      <w:r w:rsidRPr="001F6AC3">
        <w:lastRenderedPageBreak/>
        <w:t>It considers the impact of COVID-19 on Massachusetts acute care hospitals</w:t>
      </w:r>
    </w:p>
    <w:p w14:paraId="61E012AD" w14:textId="77777777" w:rsidR="001F6AC3" w:rsidRDefault="001F6AC3" w:rsidP="00C858AF">
      <w:pPr>
        <w:pStyle w:val="NoSpacing"/>
        <w:rPr>
          <w:b/>
        </w:rPr>
      </w:pPr>
    </w:p>
    <w:p w14:paraId="71E4130D" w14:textId="77777777" w:rsidR="001F6AC3" w:rsidRDefault="001F6AC3" w:rsidP="00C858AF">
      <w:pPr>
        <w:pStyle w:val="NoSpacing"/>
        <w:rPr>
          <w:b/>
        </w:rPr>
      </w:pPr>
    </w:p>
    <w:p w14:paraId="67FA1471" w14:textId="6C396BA9" w:rsidR="00C858AF" w:rsidRPr="005429C0" w:rsidRDefault="00C858AF" w:rsidP="00C858AF">
      <w:pPr>
        <w:pStyle w:val="NoSpacing"/>
        <w:rPr>
          <w:b/>
        </w:rPr>
      </w:pPr>
      <w:r w:rsidRPr="005429C0">
        <w:rPr>
          <w:b/>
        </w:rPr>
        <w:t>Sl</w:t>
      </w:r>
      <w:r>
        <w:rPr>
          <w:b/>
        </w:rPr>
        <w:t>ide 4</w:t>
      </w:r>
    </w:p>
    <w:p w14:paraId="7FEF13B4" w14:textId="77777777" w:rsidR="00C858AF" w:rsidRPr="001F6AC3" w:rsidRDefault="00C858AF" w:rsidP="00C858AF">
      <w:pPr>
        <w:pStyle w:val="NoSpacing"/>
        <w:rPr>
          <w:b/>
          <w:bCs/>
        </w:rPr>
      </w:pPr>
      <w:r w:rsidRPr="001F6AC3">
        <w:rPr>
          <w:b/>
          <w:bCs/>
        </w:rPr>
        <w:t xml:space="preserve">Methods </w:t>
      </w:r>
    </w:p>
    <w:p w14:paraId="3153E4B0" w14:textId="77777777" w:rsidR="001F6AC3" w:rsidRPr="001F6AC3" w:rsidRDefault="001F6AC3" w:rsidP="001F6AC3">
      <w:pPr>
        <w:pStyle w:val="NoSpacing"/>
      </w:pPr>
      <w:r w:rsidRPr="001F6AC3">
        <w:t>This data summary includes the following statewide measures for the 2020 calendar year (January 1, 2020 – December 31, 2020) as reported to the CDC’s National Healthcare Safety Network (NHSN).</w:t>
      </w:r>
    </w:p>
    <w:p w14:paraId="7A790562" w14:textId="77777777" w:rsidR="001F6AC3" w:rsidRPr="001F6AC3" w:rsidRDefault="001F6AC3" w:rsidP="001F6AC3">
      <w:pPr>
        <w:pStyle w:val="NoSpacing"/>
      </w:pPr>
      <w:r w:rsidRPr="001F6AC3">
        <w:t xml:space="preserve">DPH required measures are consistent with the Centers for Medicare and Medicaid Services (CMS) quality reporting measures.  </w:t>
      </w:r>
    </w:p>
    <w:p w14:paraId="0FD06B74" w14:textId="77777777" w:rsidR="001F6AC3" w:rsidRPr="001F6AC3" w:rsidRDefault="001F6AC3" w:rsidP="001F6AC3">
      <w:pPr>
        <w:pStyle w:val="NoSpacing"/>
      </w:pPr>
      <w:r w:rsidRPr="001F6AC3">
        <w:t xml:space="preserve">  </w:t>
      </w:r>
    </w:p>
    <w:p w14:paraId="49B6F584" w14:textId="77777777" w:rsidR="001F6AC3" w:rsidRPr="001F6AC3" w:rsidRDefault="001F6AC3" w:rsidP="001F6AC3">
      <w:pPr>
        <w:pStyle w:val="NoSpacing"/>
        <w:numPr>
          <w:ilvl w:val="0"/>
          <w:numId w:val="3"/>
        </w:numPr>
      </w:pPr>
      <w:r w:rsidRPr="001F6AC3">
        <w:t xml:space="preserve">Central line associated bloodstream infections (CLABSI) in intensive care units and wards </w:t>
      </w:r>
    </w:p>
    <w:p w14:paraId="0AF5A186" w14:textId="77777777" w:rsidR="001F6AC3" w:rsidRPr="001F6AC3" w:rsidRDefault="001F6AC3" w:rsidP="001F6AC3">
      <w:pPr>
        <w:pStyle w:val="NoSpacing"/>
        <w:numPr>
          <w:ilvl w:val="0"/>
          <w:numId w:val="3"/>
        </w:numPr>
      </w:pPr>
      <w:r w:rsidRPr="001F6AC3">
        <w:t xml:space="preserve">Catheter associated urinary tract infections (CAUTI) in intensive care units and wards </w:t>
      </w:r>
    </w:p>
    <w:p w14:paraId="0C42399F" w14:textId="77777777" w:rsidR="001F6AC3" w:rsidRPr="001F6AC3" w:rsidRDefault="001F6AC3" w:rsidP="001F6AC3">
      <w:pPr>
        <w:pStyle w:val="NoSpacing"/>
        <w:numPr>
          <w:ilvl w:val="0"/>
          <w:numId w:val="3"/>
        </w:numPr>
      </w:pPr>
      <w:r w:rsidRPr="001F6AC3">
        <w:t>Specific surgical site infections (SSI)</w:t>
      </w:r>
    </w:p>
    <w:p w14:paraId="63A9351E" w14:textId="77777777" w:rsidR="001F6AC3" w:rsidRPr="001F6AC3" w:rsidRDefault="001F6AC3" w:rsidP="001F6AC3">
      <w:pPr>
        <w:pStyle w:val="NoSpacing"/>
        <w:numPr>
          <w:ilvl w:val="0"/>
          <w:numId w:val="3"/>
        </w:numPr>
      </w:pPr>
      <w:r w:rsidRPr="001F6AC3">
        <w:t>Specific facility wide laboratory identified events (</w:t>
      </w:r>
      <w:proofErr w:type="spellStart"/>
      <w:r w:rsidRPr="001F6AC3">
        <w:t>LabID</w:t>
      </w:r>
      <w:proofErr w:type="spellEnd"/>
      <w:r w:rsidRPr="001F6AC3">
        <w:t xml:space="preserve">) </w:t>
      </w:r>
    </w:p>
    <w:p w14:paraId="6D67AE1E" w14:textId="77777777" w:rsidR="001F6AC3" w:rsidRPr="001F6AC3" w:rsidRDefault="001F6AC3" w:rsidP="001F6AC3">
      <w:pPr>
        <w:pStyle w:val="NoSpacing"/>
      </w:pPr>
      <w:r w:rsidRPr="001F6AC3">
        <w:t>* National baseline data for each measure are based on a statistical risk model derived from 2015 national data</w:t>
      </w:r>
    </w:p>
    <w:p w14:paraId="3D8F9628" w14:textId="77777777" w:rsidR="001F6AC3" w:rsidRPr="001F6AC3" w:rsidRDefault="001F6AC3" w:rsidP="001F6AC3">
      <w:pPr>
        <w:pStyle w:val="NoSpacing"/>
      </w:pPr>
      <w:r w:rsidRPr="001F6AC3">
        <w:t>^ All data were extracted from NHSN on August 9, 2021</w:t>
      </w:r>
    </w:p>
    <w:p w14:paraId="620564ED" w14:textId="77777777" w:rsidR="00E95271" w:rsidRDefault="00E95271" w:rsidP="00C858AF">
      <w:pPr>
        <w:pStyle w:val="NoSpacing"/>
        <w:rPr>
          <w:b/>
        </w:rPr>
      </w:pPr>
    </w:p>
    <w:p w14:paraId="03FDB2C4" w14:textId="77777777" w:rsidR="00C858AF" w:rsidRPr="005429C0" w:rsidRDefault="00C858AF" w:rsidP="00C858AF">
      <w:pPr>
        <w:pStyle w:val="NoSpacing"/>
        <w:rPr>
          <w:b/>
        </w:rPr>
      </w:pPr>
      <w:r>
        <w:rPr>
          <w:b/>
        </w:rPr>
        <w:t>Slide 5</w:t>
      </w:r>
    </w:p>
    <w:p w14:paraId="36BFB470" w14:textId="77777777" w:rsidR="00C858AF" w:rsidRPr="001F6AC3" w:rsidRDefault="00C858AF" w:rsidP="00C858AF">
      <w:pPr>
        <w:pStyle w:val="NoSpacing"/>
        <w:rPr>
          <w:b/>
          <w:bCs/>
        </w:rPr>
      </w:pPr>
      <w:r w:rsidRPr="001F6AC3">
        <w:rPr>
          <w:b/>
          <w:bCs/>
        </w:rPr>
        <w:t>Measures</w:t>
      </w:r>
    </w:p>
    <w:p w14:paraId="2A3CA785" w14:textId="77777777" w:rsidR="00C858AF" w:rsidRDefault="00C858AF" w:rsidP="00C858AF">
      <w:pPr>
        <w:pStyle w:val="NoSpacing"/>
      </w:pPr>
      <w:r>
        <w:t xml:space="preserve">The Standardized Infection Ratio (SIR) is calculated by dividing the actual number of infections by the predicted number of infections. </w:t>
      </w:r>
    </w:p>
    <w:p w14:paraId="73F364C4" w14:textId="77777777" w:rsidR="00C858AF" w:rsidRDefault="00C858AF" w:rsidP="00C858AF">
      <w:pPr>
        <w:pStyle w:val="NoSpacing"/>
      </w:pPr>
    </w:p>
    <w:p w14:paraId="5B6DB008" w14:textId="77777777" w:rsidR="00C858AF" w:rsidRDefault="00C858AF" w:rsidP="00C858AF">
      <w:pPr>
        <w:pStyle w:val="NoSpacing"/>
      </w:pPr>
      <w:r>
        <w:t xml:space="preserve">Central Line Utilization Ratio is calculated by dividing the number of central line days buy the number of patient days. </w:t>
      </w:r>
    </w:p>
    <w:p w14:paraId="1A07146D" w14:textId="77777777" w:rsidR="00C858AF" w:rsidRDefault="00C858AF" w:rsidP="00C858AF">
      <w:pPr>
        <w:pStyle w:val="NoSpacing"/>
      </w:pPr>
    </w:p>
    <w:p w14:paraId="1FA1084E" w14:textId="77777777" w:rsidR="001F6AC3" w:rsidRPr="001F6AC3" w:rsidRDefault="001F6AC3" w:rsidP="001F6AC3">
      <w:pPr>
        <w:pStyle w:val="NoSpacing"/>
      </w:pPr>
      <w:r w:rsidRPr="001F6AC3">
        <w:t>If the SIR/SUR &gt; 1.0, then more infections/device days were reported than predicted</w:t>
      </w:r>
    </w:p>
    <w:p w14:paraId="7FC85E3E" w14:textId="77777777" w:rsidR="001F6AC3" w:rsidRPr="001F6AC3" w:rsidRDefault="001F6AC3" w:rsidP="001F6AC3">
      <w:pPr>
        <w:pStyle w:val="NoSpacing"/>
      </w:pPr>
      <w:r w:rsidRPr="001F6AC3">
        <w:t xml:space="preserve">If the SIR/SUR = 1.0, then the </w:t>
      </w:r>
      <w:proofErr w:type="gramStart"/>
      <w:r w:rsidRPr="001F6AC3">
        <w:t>number</w:t>
      </w:r>
      <w:proofErr w:type="gramEnd"/>
      <w:r w:rsidRPr="001F6AC3">
        <w:t xml:space="preserve"> of infections/number of device days is equal to the predicted number</w:t>
      </w:r>
    </w:p>
    <w:p w14:paraId="44D45C6C" w14:textId="77777777" w:rsidR="001F6AC3" w:rsidRPr="001F6AC3" w:rsidRDefault="001F6AC3" w:rsidP="001F6AC3">
      <w:pPr>
        <w:pStyle w:val="NoSpacing"/>
      </w:pPr>
      <w:r w:rsidRPr="001F6AC3">
        <w:t>If the SIR/SUR &lt; 1.0, then fewer infections/device days were reported than predicted</w:t>
      </w:r>
    </w:p>
    <w:p w14:paraId="5A55B749" w14:textId="2B1B2F8E" w:rsidR="00C858AF" w:rsidRDefault="00C858AF" w:rsidP="00C858AF">
      <w:pPr>
        <w:pStyle w:val="NoSpacing"/>
      </w:pPr>
    </w:p>
    <w:p w14:paraId="4CFC158E" w14:textId="77777777" w:rsidR="001F6AC3" w:rsidRDefault="001F6AC3" w:rsidP="00C858AF">
      <w:pPr>
        <w:pStyle w:val="NoSpacing"/>
      </w:pPr>
    </w:p>
    <w:p w14:paraId="25656368" w14:textId="77777777" w:rsidR="00C858AF" w:rsidRPr="005429C0" w:rsidRDefault="00E95271" w:rsidP="00C858AF">
      <w:pPr>
        <w:pStyle w:val="NoSpacing"/>
        <w:rPr>
          <w:b/>
        </w:rPr>
      </w:pPr>
      <w:r>
        <w:rPr>
          <w:b/>
        </w:rPr>
        <w:t>Slide 6</w:t>
      </w:r>
    </w:p>
    <w:p w14:paraId="3DA3583C" w14:textId="77777777" w:rsidR="00C858AF" w:rsidRPr="001F6AC3" w:rsidRDefault="00C858AF" w:rsidP="00C858AF">
      <w:pPr>
        <w:pStyle w:val="NoSpacing"/>
        <w:rPr>
          <w:b/>
          <w:bCs/>
        </w:rPr>
      </w:pPr>
      <w:r w:rsidRPr="001F6AC3">
        <w:rPr>
          <w:b/>
          <w:bCs/>
        </w:rPr>
        <w:t>How to Interpret SIRs and 95% Confidence Intervals (CIs)</w:t>
      </w:r>
    </w:p>
    <w:p w14:paraId="54B517B5" w14:textId="77777777" w:rsidR="00C858AF" w:rsidRPr="006A3BD2" w:rsidRDefault="00C858AF" w:rsidP="00C858AF">
      <w:pPr>
        <w:pStyle w:val="NoSpacing"/>
      </w:pPr>
      <w:r w:rsidRPr="006A3BD2">
        <w:t>What is an SIR?</w:t>
      </w:r>
    </w:p>
    <w:p w14:paraId="3F8EC481" w14:textId="77777777" w:rsidR="001F6AC3" w:rsidRDefault="00C858AF" w:rsidP="00C858AF">
      <w:pPr>
        <w:pStyle w:val="NoSpacing"/>
      </w:pPr>
      <w:r w:rsidRPr="006A3BD2">
        <w:t xml:space="preserve">The standardized infection ratio (SIR) is a summary measure used to track HAIs over time. </w:t>
      </w:r>
    </w:p>
    <w:p w14:paraId="449B3A88" w14:textId="77777777" w:rsidR="001F6AC3" w:rsidRDefault="001F6AC3" w:rsidP="00C858AF">
      <w:pPr>
        <w:pStyle w:val="NoSpacing"/>
      </w:pPr>
    </w:p>
    <w:p w14:paraId="399799BF" w14:textId="77777777" w:rsidR="001F6AC3" w:rsidRPr="001F6AC3" w:rsidRDefault="001F6AC3" w:rsidP="001F6AC3">
      <w:pPr>
        <w:pStyle w:val="NoSpacing"/>
      </w:pPr>
      <w:r w:rsidRPr="001F6AC3">
        <w:t xml:space="preserve">The </w:t>
      </w:r>
      <w:r w:rsidRPr="001F6AC3">
        <w:rPr>
          <w:b/>
          <w:bCs/>
        </w:rPr>
        <w:t>green</w:t>
      </w:r>
      <w:r w:rsidRPr="001F6AC3">
        <w:t xml:space="preserve"> horizontal bar represents the SIR, and the </w:t>
      </w:r>
      <w:r w:rsidRPr="001F6AC3">
        <w:rPr>
          <w:b/>
          <w:bCs/>
        </w:rPr>
        <w:t>blue</w:t>
      </w:r>
      <w:r w:rsidRPr="001F6AC3">
        <w:t xml:space="preserve"> vertical bar represents the 95% confidence interval (CI). The 95% CI measures the probability that the true SIR falls between the two parameters. </w:t>
      </w:r>
    </w:p>
    <w:p w14:paraId="07F20E14" w14:textId="77777777" w:rsidR="001F6AC3" w:rsidRPr="001F6AC3" w:rsidRDefault="001F6AC3" w:rsidP="001F6AC3">
      <w:pPr>
        <w:pStyle w:val="NoSpacing"/>
        <w:numPr>
          <w:ilvl w:val="0"/>
          <w:numId w:val="4"/>
        </w:numPr>
      </w:pPr>
      <w:r w:rsidRPr="001F6AC3">
        <w:t xml:space="preserve">If the blue vertical bar crosses 1.0 (highlighted in </w:t>
      </w:r>
      <w:r w:rsidRPr="001F6AC3">
        <w:rPr>
          <w:b/>
          <w:bCs/>
        </w:rPr>
        <w:t>orange</w:t>
      </w:r>
      <w:r w:rsidRPr="001F6AC3">
        <w:t xml:space="preserve">), then the actual rate is </w:t>
      </w:r>
      <w:r w:rsidRPr="001F6AC3">
        <w:rPr>
          <w:u w:val="single"/>
        </w:rPr>
        <w:t>not</w:t>
      </w:r>
      <w:r w:rsidRPr="001F6AC3">
        <w:t xml:space="preserve"> statistically significantly different from the predicted rate.  </w:t>
      </w:r>
    </w:p>
    <w:p w14:paraId="6C12D900" w14:textId="77777777" w:rsidR="001F6AC3" w:rsidRPr="001F6AC3" w:rsidRDefault="001F6AC3" w:rsidP="001F6AC3">
      <w:pPr>
        <w:pStyle w:val="NoSpacing"/>
        <w:numPr>
          <w:ilvl w:val="0"/>
          <w:numId w:val="4"/>
        </w:numPr>
      </w:pPr>
      <w:r w:rsidRPr="001F6AC3">
        <w:t>If the blue vertical bar is completely above or below 1.0, then the actual is statistically significantly different from the predicted rate.</w:t>
      </w:r>
    </w:p>
    <w:p w14:paraId="7A540B22" w14:textId="77777777" w:rsidR="001F6AC3" w:rsidRDefault="001F6AC3" w:rsidP="00E95271">
      <w:pPr>
        <w:kinsoku w:val="0"/>
        <w:overflowPunct w:val="0"/>
        <w:textAlignment w:val="baseline"/>
        <w:rPr>
          <w:b/>
        </w:rPr>
      </w:pPr>
    </w:p>
    <w:p w14:paraId="3F5E8C2B" w14:textId="31605244" w:rsidR="00E95271" w:rsidRPr="00E95271" w:rsidRDefault="00E95271" w:rsidP="00E95271">
      <w:pPr>
        <w:kinsoku w:val="0"/>
        <w:overflowPunct w:val="0"/>
        <w:textAlignment w:val="baseline"/>
        <w:rPr>
          <w:b/>
        </w:rPr>
      </w:pPr>
      <w:r>
        <w:rPr>
          <w:b/>
        </w:rPr>
        <w:t>Slide 7</w:t>
      </w:r>
      <w:r w:rsidR="00C858AF" w:rsidRPr="006A3BD2">
        <w:rPr>
          <w:rFonts w:asciiTheme="majorHAnsi" w:eastAsia="MS PGothic" w:hAnsi="Calibri" w:cstheme="majorBidi"/>
          <w:b/>
          <w:bCs/>
          <w:sz w:val="40"/>
          <w:szCs w:val="40"/>
        </w:rPr>
        <w:br/>
      </w:r>
      <w:r w:rsidR="001F6AC3" w:rsidRPr="001F6AC3">
        <w:rPr>
          <w:rFonts w:eastAsia="MS PGothic" w:cstheme="majorBidi"/>
          <w:b/>
          <w:bCs/>
        </w:rPr>
        <w:t>Central Line-Associated Bloodstream Infections (CLABSI):</w:t>
      </w:r>
      <w:r w:rsidR="001F6AC3" w:rsidRPr="001F6AC3">
        <w:rPr>
          <w:rFonts w:eastAsia="MS PGothic" w:cstheme="majorBidi"/>
          <w:b/>
          <w:bCs/>
        </w:rPr>
        <w:br/>
      </w:r>
      <w:r w:rsidR="001F6AC3" w:rsidRPr="001F6AC3">
        <w:rPr>
          <w:rFonts w:eastAsia="MS PGothic" w:cstheme="majorBidi"/>
          <w:b/>
          <w:bCs/>
        </w:rPr>
        <w:lastRenderedPageBreak/>
        <w:t>Standard Infection Ratio in Adult and Pediatric ICUs and Wards</w:t>
      </w:r>
      <w:r w:rsidR="00C858AF" w:rsidRPr="006A3BD2">
        <w:rPr>
          <w:rFonts w:eastAsia="MS PGothic" w:cstheme="majorBidi"/>
          <w:b/>
          <w:bCs/>
        </w:rPr>
        <w:br/>
      </w:r>
      <w:r w:rsidR="00C858AF" w:rsidRPr="00821F3B">
        <w:rPr>
          <w:rFonts w:eastAsia="MS PGothic" w:cstheme="majorBidi"/>
          <w:bCs/>
        </w:rPr>
        <w:t>Key Findings:</w:t>
      </w:r>
    </w:p>
    <w:p w14:paraId="751FE021" w14:textId="77777777" w:rsidR="001F6AC3" w:rsidRPr="001F6AC3" w:rsidRDefault="001F6AC3" w:rsidP="001F6AC3">
      <w:pPr>
        <w:pStyle w:val="NoSpacing"/>
        <w:rPr>
          <w:rFonts w:eastAsia="MS PGothic" w:cstheme="majorBidi"/>
          <w:bCs/>
        </w:rPr>
      </w:pPr>
      <w:proofErr w:type="gramStart"/>
      <w:r w:rsidRPr="001F6AC3">
        <w:rPr>
          <w:rFonts w:eastAsia="MS PGothic" w:cstheme="majorBidi"/>
          <w:bCs/>
        </w:rPr>
        <w:t>Three unit</w:t>
      </w:r>
      <w:proofErr w:type="gramEnd"/>
      <w:r w:rsidRPr="001F6AC3">
        <w:rPr>
          <w:rFonts w:eastAsia="MS PGothic" w:cstheme="majorBidi"/>
          <w:bCs/>
        </w:rPr>
        <w:t xml:space="preserve"> types experienced a significantly lower number of infections than predicted, based on 2015 national aggregate data.</w:t>
      </w:r>
    </w:p>
    <w:p w14:paraId="62E649DF" w14:textId="77777777" w:rsidR="001F6AC3" w:rsidRPr="001F6AC3" w:rsidRDefault="001F6AC3" w:rsidP="001F6AC3">
      <w:pPr>
        <w:pStyle w:val="NoSpacing"/>
        <w:rPr>
          <w:rFonts w:eastAsia="MS PGothic" w:cstheme="majorBidi"/>
          <w:bCs/>
        </w:rPr>
      </w:pPr>
      <w:r w:rsidRPr="001F6AC3">
        <w:rPr>
          <w:rFonts w:eastAsia="MS PGothic" w:cstheme="majorBidi"/>
          <w:bCs/>
        </w:rPr>
        <w:t>*SIRs and CIs are currently not calculated when the number of predicted infections is less than 0.5.</w:t>
      </w:r>
    </w:p>
    <w:p w14:paraId="38FF1D3D" w14:textId="333AE2E9" w:rsidR="00C858AF" w:rsidRPr="009307DC" w:rsidRDefault="00C858AF" w:rsidP="00C858AF">
      <w:pPr>
        <w:pStyle w:val="NoSpacing"/>
        <w:rPr>
          <w:rFonts w:eastAsia="MS PGothic" w:cstheme="majorBidi"/>
          <w:b/>
          <w:bCs/>
        </w:rPr>
      </w:pPr>
      <w:r w:rsidRPr="006A3BD2">
        <w:rPr>
          <w:rFonts w:asciiTheme="majorHAnsi" w:eastAsia="MS PGothic" w:hAnsi="Calibri" w:cstheme="majorBidi"/>
          <w:bCs/>
          <w:color w:val="FFFFFF" w:themeColor="background1"/>
        </w:rPr>
        <w:t xml:space="preserve">, by ICU Type </w:t>
      </w:r>
      <w:r w:rsidRPr="006A3BD2">
        <w:rPr>
          <w:rFonts w:asciiTheme="majorHAnsi" w:eastAsia="MS PGothic" w:hAnsi="Calibri" w:cstheme="majorBidi"/>
          <w:b/>
          <w:bCs/>
          <w:color w:val="FFFFFF" w:themeColor="background1"/>
          <w:sz w:val="40"/>
          <w:szCs w:val="40"/>
        </w:rPr>
        <w:br/>
      </w:r>
    </w:p>
    <w:p w14:paraId="2E117D09" w14:textId="77777777" w:rsidR="00C858AF" w:rsidRPr="009307DC" w:rsidRDefault="00E95271" w:rsidP="00C858AF">
      <w:pPr>
        <w:pStyle w:val="NoSpacing"/>
        <w:rPr>
          <w:rFonts w:eastAsia="MS PGothic" w:cstheme="majorBidi"/>
          <w:b/>
          <w:bCs/>
        </w:rPr>
      </w:pPr>
      <w:r>
        <w:rPr>
          <w:rFonts w:eastAsia="MS PGothic" w:cstheme="majorBidi"/>
          <w:b/>
          <w:bCs/>
        </w:rPr>
        <w:t>Slide 8</w:t>
      </w:r>
    </w:p>
    <w:p w14:paraId="6FF68DDF" w14:textId="620B644B" w:rsidR="00C858AF" w:rsidRPr="00AB5FAE" w:rsidRDefault="001F6AC3" w:rsidP="00C858AF">
      <w:pPr>
        <w:pStyle w:val="NoSpacing"/>
        <w:rPr>
          <w:rFonts w:eastAsia="MS PGothic" w:cstheme="majorBidi"/>
          <w:bCs/>
        </w:rPr>
      </w:pPr>
      <w:r w:rsidRPr="001F6AC3">
        <w:rPr>
          <w:rFonts w:eastAsia="MS PGothic" w:cs="+mj-cs"/>
          <w:b/>
          <w:bCs/>
        </w:rPr>
        <w:t>CLABSI:</w:t>
      </w:r>
      <w:r>
        <w:rPr>
          <w:rFonts w:eastAsia="MS PGothic" w:cs="+mj-cs"/>
          <w:b/>
          <w:bCs/>
        </w:rPr>
        <w:t xml:space="preserve"> </w:t>
      </w:r>
      <w:r w:rsidRPr="001F6AC3">
        <w:rPr>
          <w:rFonts w:eastAsia="MS PGothic" w:cs="+mj-cs"/>
          <w:b/>
          <w:bCs/>
        </w:rPr>
        <w:t>Standard Utilization Ratio in Adult and Pediatric ICUs and Wards</w:t>
      </w:r>
    </w:p>
    <w:p w14:paraId="260E4E5A" w14:textId="77777777" w:rsidR="001F6AC3" w:rsidRPr="00E95271" w:rsidRDefault="001F6AC3" w:rsidP="001F6AC3">
      <w:pPr>
        <w:kinsoku w:val="0"/>
        <w:overflowPunct w:val="0"/>
        <w:textAlignment w:val="baseline"/>
        <w:rPr>
          <w:b/>
        </w:rPr>
      </w:pPr>
      <w:r w:rsidRPr="00821F3B">
        <w:rPr>
          <w:rFonts w:eastAsia="MS PGothic" w:cstheme="majorBidi"/>
          <w:bCs/>
        </w:rPr>
        <w:t>Key Findings:</w:t>
      </w:r>
    </w:p>
    <w:p w14:paraId="26DDFE84" w14:textId="6EEF33AA" w:rsidR="001F6AC3" w:rsidRPr="001F6AC3" w:rsidRDefault="001F6AC3" w:rsidP="001F6AC3">
      <w:pPr>
        <w:spacing w:after="0" w:line="240" w:lineRule="auto"/>
        <w:rPr>
          <w:rFonts w:eastAsia="MS PGothic" w:cstheme="majorBidi"/>
          <w:bCs/>
        </w:rPr>
      </w:pPr>
      <w:proofErr w:type="gramStart"/>
      <w:r w:rsidRPr="001F6AC3">
        <w:rPr>
          <w:rFonts w:eastAsia="MS PGothic" w:cstheme="majorBidi"/>
          <w:bCs/>
        </w:rPr>
        <w:t>Seven unit</w:t>
      </w:r>
      <w:proofErr w:type="gramEnd"/>
      <w:r w:rsidRPr="001F6AC3">
        <w:rPr>
          <w:rFonts w:eastAsia="MS PGothic" w:cstheme="majorBidi"/>
          <w:bCs/>
        </w:rPr>
        <w:t xml:space="preserve"> types experienced a significantly lower number of device days than predicted, based on 2015 national aggregate data.</w:t>
      </w:r>
    </w:p>
    <w:p w14:paraId="67713D6A" w14:textId="77777777" w:rsidR="004D08F6" w:rsidRDefault="004D08F6" w:rsidP="00C858AF">
      <w:pPr>
        <w:spacing w:after="0" w:line="240" w:lineRule="auto"/>
      </w:pPr>
    </w:p>
    <w:p w14:paraId="7E4DE8B7" w14:textId="77777777" w:rsidR="00C858AF" w:rsidRPr="00FF19AE" w:rsidRDefault="004D08F6" w:rsidP="00C858AF">
      <w:pPr>
        <w:spacing w:after="0" w:line="240" w:lineRule="auto"/>
        <w:rPr>
          <w:b/>
        </w:rPr>
      </w:pPr>
      <w:r>
        <w:rPr>
          <w:b/>
        </w:rPr>
        <w:t>Slide 9</w:t>
      </w:r>
    </w:p>
    <w:p w14:paraId="38AAB778" w14:textId="3565585A" w:rsidR="00C858AF" w:rsidRPr="00A71C7D" w:rsidRDefault="00D7689E" w:rsidP="00A71C7D">
      <w:pPr>
        <w:kinsoku w:val="0"/>
        <w:overflowPunct w:val="0"/>
        <w:textAlignment w:val="baseline"/>
        <w:rPr>
          <w:rFonts w:eastAsia="MS PGothic" w:cstheme="majorBidi"/>
          <w:b/>
          <w:bCs/>
        </w:rPr>
      </w:pPr>
      <w:r w:rsidRPr="00D7689E">
        <w:rPr>
          <w:rFonts w:eastAsia="MS PGothic" w:cstheme="majorBidi"/>
          <w:b/>
          <w:bCs/>
        </w:rPr>
        <w:t>CLABSI Adult &amp; Pediatric Pathogens for 2019 and 2020</w:t>
      </w:r>
      <w:r w:rsidR="00A71C7D">
        <w:rPr>
          <w:rFonts w:eastAsia="MS PGothic" w:cstheme="majorBidi"/>
          <w:b/>
          <w:bCs/>
        </w:rPr>
        <w:br/>
      </w:r>
      <w:r>
        <w:t>Calendar Year</w:t>
      </w:r>
      <w:r w:rsidR="0074740D">
        <w:t>s</w:t>
      </w:r>
      <w:r>
        <w:t xml:space="preserve"> 2019</w:t>
      </w:r>
      <w:r w:rsidR="0074740D">
        <w:t xml:space="preserve"> and 2020 are depicted in a chart comparing ICU and Ward Pathogens. </w:t>
      </w:r>
    </w:p>
    <w:p w14:paraId="084D3C22" w14:textId="77777777" w:rsidR="004D08F6" w:rsidRPr="00703937" w:rsidRDefault="004D08F6" w:rsidP="004D08F6">
      <w:pPr>
        <w:pStyle w:val="NormalWeb"/>
        <w:spacing w:before="0" w:beforeAutospacing="0" w:after="0" w:afterAutospacing="0"/>
        <w:textAlignment w:val="baseline"/>
        <w:rPr>
          <w:rFonts w:asciiTheme="minorHAnsi" w:hAnsiTheme="minorHAnsi"/>
          <w:sz w:val="22"/>
          <w:szCs w:val="22"/>
        </w:rPr>
      </w:pPr>
    </w:p>
    <w:p w14:paraId="1608870C" w14:textId="77777777" w:rsidR="00C858AF" w:rsidRPr="00FF19AE" w:rsidRDefault="004D08F6" w:rsidP="00C858AF">
      <w:pPr>
        <w:pStyle w:val="NoSpacing"/>
        <w:rPr>
          <w:b/>
        </w:rPr>
      </w:pPr>
      <w:r>
        <w:rPr>
          <w:b/>
        </w:rPr>
        <w:t>Slide 10</w:t>
      </w:r>
    </w:p>
    <w:p w14:paraId="3F6DA93A" w14:textId="106965DE" w:rsidR="00A175A8" w:rsidRDefault="00A71C7D" w:rsidP="00C858AF">
      <w:pPr>
        <w:pStyle w:val="NormalWeb"/>
        <w:spacing w:before="0" w:beforeAutospacing="0" w:after="0" w:afterAutospacing="0"/>
        <w:textAlignment w:val="baseline"/>
        <w:rPr>
          <w:rFonts w:asciiTheme="minorHAnsi" w:eastAsia="MS PGothic" w:hAnsiTheme="minorHAnsi" w:cs="+mj-cs"/>
          <w:b/>
          <w:bCs/>
          <w:sz w:val="22"/>
          <w:szCs w:val="22"/>
        </w:rPr>
      </w:pPr>
      <w:r w:rsidRPr="00A71C7D">
        <w:rPr>
          <w:rFonts w:asciiTheme="minorHAnsi" w:eastAsia="MS PGothic" w:hAnsiTheme="minorHAnsi" w:cstheme="majorBidi"/>
          <w:b/>
          <w:bCs/>
          <w:sz w:val="22"/>
          <w:szCs w:val="22"/>
        </w:rPr>
        <w:t>CLABSI</w:t>
      </w:r>
      <w:r>
        <w:rPr>
          <w:rFonts w:asciiTheme="minorHAnsi" w:eastAsia="MS PGothic" w:hAnsiTheme="minorHAnsi" w:cstheme="majorBidi"/>
          <w:b/>
          <w:bCs/>
          <w:sz w:val="22"/>
          <w:szCs w:val="22"/>
        </w:rPr>
        <w:t xml:space="preserve">: </w:t>
      </w:r>
      <w:r w:rsidRPr="00A71C7D">
        <w:rPr>
          <w:rFonts w:asciiTheme="minorHAnsi" w:eastAsia="MS PGothic" w:hAnsiTheme="minorHAnsi" w:cstheme="majorBidi"/>
          <w:b/>
          <w:bCs/>
          <w:sz w:val="22"/>
          <w:szCs w:val="22"/>
        </w:rPr>
        <w:t>Standard Infection Ratio in Neonatal ICUs</w:t>
      </w:r>
    </w:p>
    <w:p w14:paraId="7593470A" w14:textId="77777777" w:rsidR="00320DFB" w:rsidRPr="00320DFB" w:rsidRDefault="00320DFB" w:rsidP="00320DFB">
      <w:pPr>
        <w:pStyle w:val="NormalWeb"/>
        <w:spacing w:before="0" w:beforeAutospacing="0" w:after="0" w:afterAutospacing="0"/>
        <w:textAlignment w:val="baseline"/>
        <w:rPr>
          <w:rFonts w:asciiTheme="minorHAnsi" w:eastAsia="MS PGothic" w:hAnsiTheme="minorHAnsi" w:cs="+mj-cs"/>
          <w:sz w:val="22"/>
          <w:szCs w:val="22"/>
        </w:rPr>
      </w:pPr>
      <w:r w:rsidRPr="00320DFB">
        <w:rPr>
          <w:rFonts w:asciiTheme="minorHAnsi" w:eastAsia="MS PGothic" w:hAnsiTheme="minorHAnsi" w:cs="+mj-cs"/>
          <w:sz w:val="22"/>
          <w:szCs w:val="22"/>
        </w:rPr>
        <w:t>Key Findings</w:t>
      </w:r>
    </w:p>
    <w:p w14:paraId="2E194059" w14:textId="77777777" w:rsidR="00320DFB" w:rsidRPr="00320DFB" w:rsidRDefault="00320DFB" w:rsidP="00320DFB">
      <w:pPr>
        <w:pStyle w:val="NormalWeb"/>
        <w:spacing w:before="0" w:beforeAutospacing="0" w:after="0" w:afterAutospacing="0"/>
        <w:textAlignment w:val="baseline"/>
        <w:rPr>
          <w:rFonts w:asciiTheme="minorHAnsi" w:eastAsia="MS PGothic" w:hAnsiTheme="minorHAnsi" w:cs="+mj-cs"/>
          <w:sz w:val="22"/>
          <w:szCs w:val="22"/>
        </w:rPr>
      </w:pPr>
      <w:r w:rsidRPr="00320DFB">
        <w:rPr>
          <w:rFonts w:asciiTheme="minorHAnsi" w:eastAsia="MS PGothic" w:hAnsiTheme="minorHAnsi" w:cs="+mj-cs"/>
          <w:sz w:val="22"/>
          <w:szCs w:val="22"/>
        </w:rPr>
        <w:t xml:space="preserve"> </w:t>
      </w:r>
    </w:p>
    <w:p w14:paraId="19C65799" w14:textId="77777777" w:rsidR="00320DFB" w:rsidRPr="00320DFB" w:rsidRDefault="00320DFB" w:rsidP="00320DFB">
      <w:pPr>
        <w:pStyle w:val="NormalWeb"/>
        <w:spacing w:before="0" w:beforeAutospacing="0" w:after="0" w:afterAutospacing="0"/>
        <w:textAlignment w:val="baseline"/>
        <w:rPr>
          <w:rFonts w:asciiTheme="minorHAnsi" w:eastAsia="MS PGothic" w:hAnsiTheme="minorHAnsi" w:cs="+mj-cs"/>
          <w:sz w:val="22"/>
          <w:szCs w:val="22"/>
        </w:rPr>
      </w:pPr>
      <w:r w:rsidRPr="00320DFB">
        <w:rPr>
          <w:rFonts w:asciiTheme="minorHAnsi" w:eastAsia="MS PGothic" w:hAnsiTheme="minorHAnsi" w:cs="+mj-cs"/>
          <w:sz w:val="22"/>
          <w:szCs w:val="22"/>
        </w:rPr>
        <w:t>There were no birthweight categories experiencing a significantly higher or lower number of infections than predicted, based on 2015 national aggregate data.</w:t>
      </w:r>
    </w:p>
    <w:p w14:paraId="691B4413" w14:textId="77777777" w:rsidR="00320DFB" w:rsidRPr="00320DFB" w:rsidRDefault="00320DFB" w:rsidP="00320DFB">
      <w:pPr>
        <w:pStyle w:val="NormalWeb"/>
        <w:spacing w:before="0" w:beforeAutospacing="0" w:after="0" w:afterAutospacing="0"/>
        <w:textAlignment w:val="baseline"/>
        <w:rPr>
          <w:rFonts w:asciiTheme="minorHAnsi" w:eastAsia="MS PGothic" w:hAnsiTheme="minorHAnsi" w:cs="+mj-cs"/>
          <w:sz w:val="22"/>
          <w:szCs w:val="22"/>
        </w:rPr>
      </w:pPr>
    </w:p>
    <w:p w14:paraId="607589CF" w14:textId="57FFCDF7" w:rsidR="00A71C7D" w:rsidRPr="00A71C7D" w:rsidRDefault="00320DFB" w:rsidP="00320DFB">
      <w:pPr>
        <w:pStyle w:val="NormalWeb"/>
        <w:spacing w:before="0" w:beforeAutospacing="0" w:after="0" w:afterAutospacing="0"/>
        <w:textAlignment w:val="baseline"/>
        <w:rPr>
          <w:rFonts w:asciiTheme="minorHAnsi" w:eastAsia="MS PGothic" w:hAnsiTheme="minorHAnsi" w:cs="+mj-cs"/>
          <w:sz w:val="22"/>
          <w:szCs w:val="22"/>
        </w:rPr>
      </w:pPr>
      <w:r w:rsidRPr="00320DFB">
        <w:rPr>
          <w:rFonts w:asciiTheme="minorHAnsi" w:eastAsia="MS PGothic" w:hAnsiTheme="minorHAnsi" w:cs="+mj-cs"/>
          <w:sz w:val="22"/>
          <w:szCs w:val="22"/>
        </w:rPr>
        <w:t>There were 15 CLABSIs reported in Neonatal ICUs in 2020.</w:t>
      </w:r>
      <w:r>
        <w:rPr>
          <w:rFonts w:asciiTheme="minorHAnsi" w:eastAsia="MS PGothic" w:hAnsiTheme="minorHAnsi" w:cs="+mj-cs"/>
          <w:sz w:val="22"/>
          <w:szCs w:val="22"/>
        </w:rPr>
        <w:br/>
      </w:r>
    </w:p>
    <w:p w14:paraId="5F68372B" w14:textId="77777777" w:rsidR="00A71C7D" w:rsidRDefault="00A71C7D" w:rsidP="00C858AF">
      <w:pPr>
        <w:pStyle w:val="NormalWeb"/>
        <w:spacing w:before="0" w:beforeAutospacing="0" w:after="0" w:afterAutospacing="0"/>
        <w:textAlignment w:val="baseline"/>
        <w:rPr>
          <w:rFonts w:asciiTheme="minorHAnsi" w:eastAsia="MS PGothic" w:hAnsiTheme="minorHAnsi" w:cs="+mj-cs"/>
          <w:b/>
          <w:bCs/>
          <w:sz w:val="22"/>
          <w:szCs w:val="22"/>
        </w:rPr>
      </w:pPr>
    </w:p>
    <w:p w14:paraId="6D01F959" w14:textId="1456C249" w:rsidR="00C858AF" w:rsidRPr="00D844A1" w:rsidRDefault="00A175A8" w:rsidP="00C858AF">
      <w:pPr>
        <w:pStyle w:val="NormalWeb"/>
        <w:spacing w:before="0" w:beforeAutospacing="0" w:after="0" w:afterAutospacing="0"/>
        <w:textAlignment w:val="baseline"/>
        <w:rPr>
          <w:rFonts w:asciiTheme="minorHAnsi" w:hAnsiTheme="minorHAnsi"/>
          <w:sz w:val="22"/>
          <w:szCs w:val="22"/>
        </w:rPr>
      </w:pPr>
      <w:r>
        <w:rPr>
          <w:rFonts w:asciiTheme="minorHAnsi" w:eastAsia="MS PGothic" w:hAnsiTheme="minorHAnsi" w:cs="+mj-cs"/>
          <w:b/>
          <w:bCs/>
          <w:sz w:val="22"/>
          <w:szCs w:val="22"/>
        </w:rPr>
        <w:t>Slide 11</w:t>
      </w:r>
      <w:r w:rsidR="00C858AF" w:rsidRPr="00D844A1">
        <w:rPr>
          <w:rFonts w:asciiTheme="minorHAnsi" w:hAnsiTheme="minorHAnsi"/>
          <w:sz w:val="22"/>
          <w:szCs w:val="22"/>
        </w:rPr>
        <w:t xml:space="preserve"> </w:t>
      </w:r>
    </w:p>
    <w:p w14:paraId="7FC7BF05" w14:textId="1B07DAC6" w:rsidR="00C858AF" w:rsidRPr="00AB5FAE" w:rsidRDefault="00C858AF" w:rsidP="00C858AF">
      <w:pPr>
        <w:pStyle w:val="NormalWeb"/>
        <w:spacing w:before="0" w:beforeAutospacing="0" w:after="0" w:afterAutospacing="0"/>
        <w:textAlignment w:val="baseline"/>
        <w:rPr>
          <w:rFonts w:asciiTheme="minorHAnsi" w:eastAsia="MS PGothic" w:hAnsiTheme="minorHAnsi" w:cs="+mj-cs"/>
          <w:bCs/>
          <w:sz w:val="22"/>
          <w:szCs w:val="22"/>
        </w:rPr>
      </w:pPr>
      <w:r w:rsidRPr="00320DFB">
        <w:rPr>
          <w:rFonts w:asciiTheme="minorHAnsi" w:eastAsia="MS PGothic" w:hAnsiTheme="minorHAnsi" w:cs="+mj-cs"/>
          <w:b/>
          <w:sz w:val="22"/>
          <w:szCs w:val="22"/>
        </w:rPr>
        <w:t>CLABSI</w:t>
      </w:r>
      <w:r w:rsidR="00320DFB" w:rsidRPr="00320DFB">
        <w:rPr>
          <w:rFonts w:asciiTheme="minorHAnsi" w:eastAsia="MS PGothic" w:hAnsiTheme="minorHAnsi" w:cs="+mj-cs"/>
          <w:b/>
          <w:sz w:val="22"/>
          <w:szCs w:val="22"/>
        </w:rPr>
        <w:t>:</w:t>
      </w:r>
      <w:r w:rsidRPr="00AB5FAE">
        <w:rPr>
          <w:rFonts w:asciiTheme="minorHAnsi" w:eastAsia="MS PGothic" w:hAnsiTheme="minorHAnsi" w:cs="+mj-cs"/>
          <w:bCs/>
          <w:sz w:val="22"/>
          <w:szCs w:val="22"/>
        </w:rPr>
        <w:t xml:space="preserve"> </w:t>
      </w:r>
      <w:r w:rsidR="00320DFB" w:rsidRPr="00320DFB">
        <w:rPr>
          <w:rFonts w:asciiTheme="minorHAnsi" w:eastAsia="MS PGothic" w:hAnsiTheme="minorHAnsi" w:cs="+mj-cs"/>
          <w:b/>
          <w:bCs/>
          <w:sz w:val="22"/>
          <w:szCs w:val="22"/>
        </w:rPr>
        <w:t>Standard Utilization Ratio in Neonatal ICUs</w:t>
      </w:r>
    </w:p>
    <w:p w14:paraId="24A8180B" w14:textId="77777777" w:rsidR="00320DFB" w:rsidRPr="00320DFB" w:rsidRDefault="00320DFB" w:rsidP="00320DFB">
      <w:pPr>
        <w:spacing w:after="0" w:line="240" w:lineRule="auto"/>
        <w:textAlignment w:val="baseline"/>
        <w:rPr>
          <w:rFonts w:eastAsia="MS PGothic" w:cs="+mn-cs"/>
          <w:bCs/>
          <w:kern w:val="24"/>
        </w:rPr>
      </w:pPr>
      <w:r w:rsidRPr="00320DFB">
        <w:rPr>
          <w:rFonts w:eastAsia="MS PGothic" w:cs="+mn-cs"/>
          <w:bCs/>
          <w:kern w:val="24"/>
        </w:rPr>
        <w:t>Key Findings</w:t>
      </w:r>
    </w:p>
    <w:p w14:paraId="5FAF21F4" w14:textId="77777777" w:rsidR="00320DFB" w:rsidRPr="00320DFB" w:rsidRDefault="00320DFB" w:rsidP="00320DFB">
      <w:pPr>
        <w:spacing w:after="0" w:line="240" w:lineRule="auto"/>
        <w:textAlignment w:val="baseline"/>
        <w:rPr>
          <w:rFonts w:eastAsia="MS PGothic" w:cs="+mn-cs"/>
          <w:bCs/>
          <w:kern w:val="24"/>
        </w:rPr>
      </w:pPr>
      <w:r w:rsidRPr="00320DFB">
        <w:rPr>
          <w:rFonts w:eastAsia="MS PGothic" w:cs="+mn-cs"/>
          <w:bCs/>
          <w:kern w:val="24"/>
        </w:rPr>
        <w:t xml:space="preserve"> </w:t>
      </w:r>
    </w:p>
    <w:p w14:paraId="21FC9626" w14:textId="07D02F0C" w:rsidR="00A175A8" w:rsidRDefault="00320DFB" w:rsidP="00320DFB">
      <w:pPr>
        <w:spacing w:after="0" w:line="240" w:lineRule="auto"/>
        <w:textAlignment w:val="baseline"/>
        <w:rPr>
          <w:rFonts w:eastAsia="MS PGothic" w:cs="+mn-cs"/>
          <w:bCs/>
          <w:kern w:val="24"/>
        </w:rPr>
      </w:pPr>
      <w:r w:rsidRPr="00320DFB">
        <w:rPr>
          <w:rFonts w:eastAsia="MS PGothic" w:cs="+mn-cs"/>
          <w:bCs/>
          <w:kern w:val="24"/>
        </w:rPr>
        <w:t>All five birthweight categories experienced a significantly lower number of device days than predicted, based on 2015 national aggregate data.</w:t>
      </w:r>
    </w:p>
    <w:p w14:paraId="58A98E6A" w14:textId="7BC9550A" w:rsidR="00320DFB" w:rsidRDefault="00320DFB" w:rsidP="00320DFB">
      <w:pPr>
        <w:spacing w:after="0" w:line="240" w:lineRule="auto"/>
        <w:textAlignment w:val="baseline"/>
        <w:rPr>
          <w:rFonts w:eastAsia="MS PGothic" w:cs="+mn-cs"/>
          <w:bCs/>
          <w:kern w:val="24"/>
        </w:rPr>
      </w:pPr>
    </w:p>
    <w:p w14:paraId="75D06D58" w14:textId="77777777" w:rsidR="00320DFB" w:rsidRDefault="00320DFB" w:rsidP="00320DFB">
      <w:pPr>
        <w:spacing w:after="0" w:line="240" w:lineRule="auto"/>
        <w:textAlignment w:val="baseline"/>
        <w:rPr>
          <w:rFonts w:ascii="Calibri" w:eastAsia="MS PGothic" w:hAnsi="Calibri" w:cs="+mj-cs"/>
          <w:b/>
          <w:bCs/>
        </w:rPr>
      </w:pPr>
    </w:p>
    <w:p w14:paraId="7218E527" w14:textId="77777777" w:rsidR="00C858AF" w:rsidRDefault="00A175A8" w:rsidP="00C858AF">
      <w:pPr>
        <w:spacing w:after="0" w:line="240" w:lineRule="auto"/>
        <w:textAlignment w:val="baseline"/>
        <w:rPr>
          <w:rFonts w:ascii="Calibri" w:eastAsia="MS PGothic" w:hAnsi="Calibri" w:cs="+mj-cs"/>
          <w:b/>
          <w:bCs/>
        </w:rPr>
      </w:pPr>
      <w:r>
        <w:rPr>
          <w:rFonts w:ascii="Calibri" w:eastAsia="MS PGothic" w:hAnsi="Calibri" w:cs="+mj-cs"/>
          <w:b/>
          <w:bCs/>
        </w:rPr>
        <w:t>Slide 12</w:t>
      </w:r>
    </w:p>
    <w:p w14:paraId="38D6B3A4" w14:textId="5CD72AA3" w:rsidR="00C858AF" w:rsidRPr="00320DFB" w:rsidRDefault="00320DFB" w:rsidP="00C858AF">
      <w:pPr>
        <w:kinsoku w:val="0"/>
        <w:overflowPunct w:val="0"/>
        <w:textAlignment w:val="baseline"/>
        <w:rPr>
          <w:rFonts w:eastAsia="MS PGothic" w:cstheme="majorBidi"/>
        </w:rPr>
      </w:pPr>
      <w:r w:rsidRPr="00320DFB">
        <w:rPr>
          <w:rFonts w:eastAsia="MS PGothic" w:cstheme="majorBidi"/>
          <w:b/>
          <w:bCs/>
        </w:rPr>
        <w:t>CLABSI NICU Pathogens for 2019 and 2020</w:t>
      </w:r>
      <w:r>
        <w:rPr>
          <w:rFonts w:eastAsia="MS PGothic" w:cstheme="majorBidi"/>
          <w:b/>
          <w:bCs/>
        </w:rPr>
        <w:br/>
      </w:r>
      <w:bookmarkStart w:id="0" w:name="_Hlk85444005"/>
      <w:r>
        <w:rPr>
          <w:rFonts w:eastAsia="MS PGothic" w:cstheme="majorBidi"/>
        </w:rPr>
        <w:t>Two circle graphs comparing pathogens between calendar year 2019 and calendar year 2020.</w:t>
      </w:r>
      <w:bookmarkEnd w:id="0"/>
    </w:p>
    <w:p w14:paraId="354C822A" w14:textId="08D731DA" w:rsidR="00C858AF" w:rsidRPr="00320DFB" w:rsidRDefault="00320DFB" w:rsidP="00C858AF">
      <w:pPr>
        <w:kinsoku w:val="0"/>
        <w:overflowPunct w:val="0"/>
        <w:textAlignment w:val="baseline"/>
        <w:rPr>
          <w:rFonts w:ascii="Calibri" w:eastAsia="MS PGothic" w:hAnsi="Calibri" w:cs="+mj-cs"/>
          <w:b/>
          <w:bCs/>
        </w:rPr>
      </w:pPr>
      <w:r>
        <w:rPr>
          <w:rFonts w:ascii="Calibri" w:eastAsia="MS PGothic" w:hAnsi="Calibri" w:cs="+mj-cs"/>
          <w:b/>
          <w:bCs/>
        </w:rPr>
        <w:br/>
      </w:r>
      <w:r w:rsidR="00A175A8">
        <w:rPr>
          <w:rFonts w:ascii="Calibri" w:eastAsia="MS PGothic" w:hAnsi="Calibri" w:cs="+mj-cs"/>
          <w:b/>
          <w:bCs/>
        </w:rPr>
        <w:t>Slide 13</w:t>
      </w:r>
      <w:r w:rsidR="00C858AF">
        <w:rPr>
          <w:rFonts w:ascii="Calibri" w:eastAsia="MS PGothic" w:hAnsi="Calibri" w:cs="+mj-cs"/>
          <w:b/>
          <w:bCs/>
        </w:rPr>
        <w:t xml:space="preserve"> </w:t>
      </w:r>
      <w:r>
        <w:rPr>
          <w:rFonts w:ascii="Calibri" w:eastAsia="MS PGothic" w:hAnsi="Calibri" w:cs="+mj-cs"/>
          <w:b/>
          <w:bCs/>
        </w:rPr>
        <w:br/>
      </w:r>
      <w:r w:rsidRPr="00320DFB">
        <w:rPr>
          <w:rFonts w:ascii="Calibri" w:eastAsia="MS PGothic" w:hAnsi="Calibri" w:cs="+mj-cs"/>
          <w:b/>
          <w:bCs/>
        </w:rPr>
        <w:t>State CLABSI SIR in ICU and Wards</w:t>
      </w:r>
      <w:r>
        <w:rPr>
          <w:rFonts w:ascii="Calibri" w:eastAsia="MS PGothic" w:hAnsi="Calibri" w:cs="+mj-cs"/>
          <w:b/>
          <w:bCs/>
        </w:rPr>
        <w:br/>
      </w:r>
      <w:r w:rsidR="00C858AF" w:rsidRPr="00AB5FAE">
        <w:rPr>
          <w:kern w:val="24"/>
        </w:rPr>
        <w:t>Key Findings</w:t>
      </w:r>
    </w:p>
    <w:p w14:paraId="7EB9A6B9" w14:textId="77777777" w:rsidR="00320DFB" w:rsidRPr="00320DFB" w:rsidRDefault="00320DFB" w:rsidP="00320DFB">
      <w:pPr>
        <w:kinsoku w:val="0"/>
        <w:overflowPunct w:val="0"/>
        <w:textAlignment w:val="baseline"/>
        <w:rPr>
          <w:rFonts w:eastAsia="Times New Roman" w:cs="Times New Roman"/>
        </w:rPr>
      </w:pPr>
      <w:r w:rsidRPr="00320DFB">
        <w:rPr>
          <w:rFonts w:eastAsia="Times New Roman" w:cs="Times New Roman"/>
        </w:rPr>
        <w:lastRenderedPageBreak/>
        <w:t xml:space="preserve">In 2020, adult ICUs experienced the same number of infections as predicted, based on 2015 national aggregate data. </w:t>
      </w:r>
    </w:p>
    <w:p w14:paraId="60B4F522" w14:textId="77777777" w:rsidR="00320DFB" w:rsidRDefault="00320DFB" w:rsidP="00320DFB">
      <w:pPr>
        <w:kinsoku w:val="0"/>
        <w:overflowPunct w:val="0"/>
        <w:textAlignment w:val="baseline"/>
        <w:rPr>
          <w:rFonts w:eastAsia="Times New Roman" w:cs="Times New Roman"/>
        </w:rPr>
      </w:pPr>
      <w:r w:rsidRPr="00320DFB">
        <w:rPr>
          <w:rFonts w:eastAsia="Times New Roman" w:cs="Times New Roman"/>
        </w:rPr>
        <w:t xml:space="preserve">Between 2015-2020, adult Wards experienced a significantly lower number of infections than predicted, based on 2015 national aggregate data. </w:t>
      </w:r>
    </w:p>
    <w:p w14:paraId="5357D934" w14:textId="64C0DD8F" w:rsidR="00320DFB" w:rsidRDefault="00C858AF" w:rsidP="00320DFB">
      <w:pPr>
        <w:pStyle w:val="NoSpacing"/>
      </w:pPr>
      <w:r w:rsidRPr="00D844A1">
        <w:rPr>
          <w:rFonts w:ascii="Calibri" w:eastAsia="MS PGothic" w:hAnsi="Calibri" w:cs="+mj-cs"/>
          <w:b/>
          <w:bCs/>
        </w:rPr>
        <w:t xml:space="preserve">Slide </w:t>
      </w:r>
      <w:r w:rsidR="00A175A8">
        <w:rPr>
          <w:rFonts w:ascii="Calibri" w:eastAsia="MS PGothic" w:hAnsi="Calibri" w:cs="+mj-cs"/>
          <w:b/>
          <w:bCs/>
        </w:rPr>
        <w:t>14</w:t>
      </w:r>
      <w:r w:rsidRPr="00D844A1">
        <w:rPr>
          <w:rFonts w:ascii="Calibri" w:eastAsia="MS PGothic" w:hAnsi="Calibri" w:cs="+mj-cs"/>
          <w:b/>
          <w:bCs/>
          <w:color w:val="FFFFFF"/>
        </w:rPr>
        <w:t>S</w:t>
      </w:r>
      <w:r w:rsidR="00320DFB">
        <w:rPr>
          <w:rFonts w:ascii="Calibri" w:eastAsia="MS PGothic" w:hAnsi="Calibri" w:cs="+mj-cs"/>
          <w:b/>
          <w:bCs/>
          <w:color w:val="FFFFFF"/>
        </w:rPr>
        <w:br/>
      </w:r>
      <w:r w:rsidR="00320DFB" w:rsidRPr="00320DFB">
        <w:rPr>
          <w:b/>
          <w:bCs/>
        </w:rPr>
        <w:t>State CLABSI SUR in ICU and Wards</w:t>
      </w:r>
      <w:r w:rsidR="00320DFB">
        <w:rPr>
          <w:b/>
          <w:bCs/>
        </w:rPr>
        <w:br/>
      </w:r>
      <w:r w:rsidR="00320DFB" w:rsidRPr="00AB5FAE">
        <w:t>Key Findings</w:t>
      </w:r>
    </w:p>
    <w:p w14:paraId="5600A432" w14:textId="71A7E58E" w:rsidR="00320DFB" w:rsidRDefault="00320DFB" w:rsidP="00320DFB">
      <w:pPr>
        <w:pStyle w:val="NoSpacing"/>
      </w:pPr>
    </w:p>
    <w:p w14:paraId="1F45BE35" w14:textId="5C5223F3" w:rsidR="00320DFB" w:rsidRDefault="00320DFB" w:rsidP="00320DFB">
      <w:pPr>
        <w:pStyle w:val="NoSpacing"/>
      </w:pPr>
      <w:r w:rsidRPr="00320DFB">
        <w:t xml:space="preserve">In 2020 adult ICU’s, experienced a significantly higher number of device days than predicted, based on 2015 national aggregate data. </w:t>
      </w:r>
    </w:p>
    <w:p w14:paraId="563A0BF9" w14:textId="77777777" w:rsidR="00320DFB" w:rsidRPr="00320DFB" w:rsidRDefault="00320DFB" w:rsidP="00320DFB">
      <w:pPr>
        <w:pStyle w:val="NoSpacing"/>
      </w:pPr>
    </w:p>
    <w:p w14:paraId="3331785B" w14:textId="0BEA427A" w:rsidR="00320DFB" w:rsidRPr="00320DFB" w:rsidRDefault="00320DFB" w:rsidP="00320DFB">
      <w:pPr>
        <w:pStyle w:val="NoSpacing"/>
      </w:pPr>
      <w:r w:rsidRPr="00320DFB">
        <w:t>Between 2015-2020, pediatric Wards experienced a significantly higher number of device days than predicted, based on 2015 national aggregate data</w:t>
      </w:r>
      <w:r>
        <w:br/>
      </w:r>
      <w:r>
        <w:br/>
      </w:r>
    </w:p>
    <w:p w14:paraId="352D88BF" w14:textId="77777777" w:rsidR="00C858AF" w:rsidRDefault="00891275" w:rsidP="00C858AF">
      <w:pPr>
        <w:pStyle w:val="NoSpacing"/>
        <w:rPr>
          <w:b/>
        </w:rPr>
      </w:pPr>
      <w:r>
        <w:rPr>
          <w:b/>
        </w:rPr>
        <w:t>Slide 15</w:t>
      </w:r>
    </w:p>
    <w:p w14:paraId="7583D3EA" w14:textId="64DEF349" w:rsidR="00C858AF" w:rsidRPr="00AB5FAE" w:rsidRDefault="00320DFB" w:rsidP="00C858AF">
      <w:pPr>
        <w:pStyle w:val="NoSpacing"/>
      </w:pPr>
      <w:r w:rsidRPr="00320DFB">
        <w:rPr>
          <w:b/>
          <w:bCs/>
        </w:rPr>
        <w:t>Catheter-Associated Urinary Tract Infections (CAUTI):</w:t>
      </w:r>
      <w:r w:rsidRPr="00320DFB">
        <w:rPr>
          <w:b/>
          <w:bCs/>
        </w:rPr>
        <w:br/>
        <w:t>Standard Infection Ratio in Adult and Pediatric ICUs and Wards</w:t>
      </w:r>
      <w:r>
        <w:rPr>
          <w:b/>
          <w:bCs/>
        </w:rPr>
        <w:br/>
      </w:r>
      <w:r w:rsidR="00C858AF" w:rsidRPr="00AB5FAE">
        <w:t>Key Findings</w:t>
      </w:r>
    </w:p>
    <w:p w14:paraId="5D65AE78" w14:textId="77777777" w:rsidR="00891275" w:rsidRDefault="00891275" w:rsidP="00891275">
      <w:pPr>
        <w:pStyle w:val="NoSpacing"/>
      </w:pPr>
    </w:p>
    <w:p w14:paraId="1BD767E4" w14:textId="77777777" w:rsidR="00320DFB" w:rsidRPr="00320DFB" w:rsidRDefault="00320DFB" w:rsidP="00320DFB">
      <w:pPr>
        <w:pStyle w:val="NoSpacing"/>
      </w:pPr>
      <w:proofErr w:type="gramStart"/>
      <w:r w:rsidRPr="00320DFB">
        <w:t>Two unit</w:t>
      </w:r>
      <w:proofErr w:type="gramEnd"/>
      <w:r w:rsidRPr="00320DFB">
        <w:t xml:space="preserve"> types experienced a significantly higher number of infections than predicted, based on 2015 national aggregate data.</w:t>
      </w:r>
    </w:p>
    <w:p w14:paraId="24DC5F05" w14:textId="49DC8B1D" w:rsidR="00891275" w:rsidRDefault="00320DFB" w:rsidP="00C858AF">
      <w:pPr>
        <w:pStyle w:val="NoSpacing"/>
      </w:pPr>
      <w:r>
        <w:br/>
      </w:r>
    </w:p>
    <w:p w14:paraId="35360488" w14:textId="77777777" w:rsidR="00C858AF" w:rsidRPr="0003102B" w:rsidRDefault="00891275" w:rsidP="00C858AF">
      <w:pPr>
        <w:pStyle w:val="NoSpacing"/>
        <w:rPr>
          <w:b/>
        </w:rPr>
      </w:pPr>
      <w:r>
        <w:rPr>
          <w:b/>
        </w:rPr>
        <w:t>Slide 16</w:t>
      </w:r>
    </w:p>
    <w:p w14:paraId="053FE3FE" w14:textId="7167EAC4" w:rsidR="00C858AF" w:rsidRPr="00AB5FAE" w:rsidRDefault="00320DFB" w:rsidP="00C858AF">
      <w:pPr>
        <w:pStyle w:val="NoSpacing"/>
      </w:pPr>
      <w:r>
        <w:rPr>
          <w:b/>
          <w:bCs/>
        </w:rPr>
        <w:t xml:space="preserve">CAUTI: </w:t>
      </w:r>
      <w:r w:rsidRPr="00320DFB">
        <w:rPr>
          <w:b/>
          <w:bCs/>
        </w:rPr>
        <w:t>Standard Utilization Ratio in Adult and Pediatric ICUs and Wards</w:t>
      </w:r>
      <w:r>
        <w:rPr>
          <w:b/>
          <w:bCs/>
        </w:rPr>
        <w:br/>
      </w:r>
      <w:r w:rsidR="00C858AF" w:rsidRPr="00AB5FAE">
        <w:t>Key Findings</w:t>
      </w:r>
    </w:p>
    <w:p w14:paraId="7F1A29A9" w14:textId="77777777" w:rsidR="00C858AF" w:rsidRDefault="00C858AF" w:rsidP="00C858AF">
      <w:pPr>
        <w:pStyle w:val="NoSpacing"/>
        <w:rPr>
          <w:b/>
        </w:rPr>
      </w:pPr>
    </w:p>
    <w:p w14:paraId="34EB34B8" w14:textId="77777777" w:rsidR="00320DFB" w:rsidRPr="00320DFB" w:rsidRDefault="00320DFB" w:rsidP="00320DFB">
      <w:pPr>
        <w:pStyle w:val="NoSpacing"/>
      </w:pPr>
      <w:proofErr w:type="gramStart"/>
      <w:r w:rsidRPr="00320DFB">
        <w:t>Seven unit</w:t>
      </w:r>
      <w:proofErr w:type="gramEnd"/>
      <w:r w:rsidRPr="00320DFB">
        <w:t xml:space="preserve"> types experienced a significantly lower number of device days </w:t>
      </w:r>
    </w:p>
    <w:p w14:paraId="04298146" w14:textId="0C24C83B" w:rsidR="00320DFB" w:rsidRDefault="00320DFB" w:rsidP="00320DFB">
      <w:pPr>
        <w:pStyle w:val="NoSpacing"/>
      </w:pPr>
      <w:r w:rsidRPr="00320DFB">
        <w:t>than predicted, based on 2015 national aggregate data.</w:t>
      </w:r>
    </w:p>
    <w:p w14:paraId="7A224257" w14:textId="0F580BAE" w:rsidR="00320DFB" w:rsidRDefault="00320DFB" w:rsidP="00320DFB">
      <w:pPr>
        <w:pStyle w:val="NoSpacing"/>
      </w:pPr>
    </w:p>
    <w:p w14:paraId="3FC4C04B" w14:textId="77777777" w:rsidR="00320DFB" w:rsidRPr="00320DFB" w:rsidRDefault="00320DFB" w:rsidP="00320DFB">
      <w:pPr>
        <w:pStyle w:val="NoSpacing"/>
      </w:pPr>
    </w:p>
    <w:p w14:paraId="59A55084" w14:textId="77777777" w:rsidR="00C858AF" w:rsidRPr="0003102B" w:rsidRDefault="00891275" w:rsidP="00C858AF">
      <w:pPr>
        <w:pStyle w:val="NoSpacing"/>
        <w:rPr>
          <w:b/>
        </w:rPr>
      </w:pPr>
      <w:r>
        <w:rPr>
          <w:b/>
        </w:rPr>
        <w:t>Slide 17</w:t>
      </w:r>
    </w:p>
    <w:p w14:paraId="6BC28700" w14:textId="77777777" w:rsidR="00320DFB" w:rsidRDefault="00320DFB" w:rsidP="00C858AF">
      <w:pPr>
        <w:pStyle w:val="NormalWeb"/>
        <w:spacing w:before="0" w:beforeAutospacing="0" w:after="0" w:afterAutospacing="0"/>
        <w:textAlignment w:val="baseline"/>
        <w:rPr>
          <w:rFonts w:ascii="Calibri" w:eastAsia="MS PGothic" w:hAnsi="Calibri" w:cs="+mj-cs"/>
          <w:b/>
          <w:bCs/>
          <w:sz w:val="22"/>
          <w:szCs w:val="22"/>
        </w:rPr>
      </w:pPr>
      <w:r w:rsidRPr="00320DFB">
        <w:rPr>
          <w:rFonts w:ascii="Calibri" w:eastAsia="MS PGothic" w:hAnsi="Calibri" w:cs="+mj-cs"/>
          <w:b/>
          <w:bCs/>
          <w:sz w:val="22"/>
          <w:szCs w:val="22"/>
        </w:rPr>
        <w:t>CAUTI Adult &amp; Pediatric Pathogens for 2019 and 2020</w:t>
      </w:r>
    </w:p>
    <w:p w14:paraId="0819A151" w14:textId="77777777" w:rsidR="00320DFB" w:rsidRDefault="00320DFB" w:rsidP="00C858AF">
      <w:pPr>
        <w:pStyle w:val="NoSpacing"/>
        <w:rPr>
          <w:b/>
        </w:rPr>
      </w:pPr>
    </w:p>
    <w:p w14:paraId="07F30DBE" w14:textId="3D258E28" w:rsidR="00320DFB" w:rsidRDefault="00320DFB" w:rsidP="00320DFB">
      <w:pPr>
        <w:kinsoku w:val="0"/>
        <w:overflowPunct w:val="0"/>
        <w:textAlignment w:val="baseline"/>
      </w:pPr>
      <w:r>
        <w:t xml:space="preserve">Calendar Years 2019 and 2020 are depicted in a chart comparing ICU and Ward Pathogens. </w:t>
      </w:r>
    </w:p>
    <w:p w14:paraId="18D7BDB8" w14:textId="6B72C2E3" w:rsidR="00C858AF" w:rsidRPr="00FF19AE" w:rsidRDefault="00320DFB" w:rsidP="00C858AF">
      <w:pPr>
        <w:pStyle w:val="NoSpacing"/>
        <w:rPr>
          <w:b/>
        </w:rPr>
      </w:pPr>
      <w:r>
        <w:rPr>
          <w:b/>
        </w:rPr>
        <w:br/>
      </w:r>
      <w:r w:rsidR="00891275">
        <w:rPr>
          <w:b/>
        </w:rPr>
        <w:t>Slide 18</w:t>
      </w:r>
    </w:p>
    <w:p w14:paraId="2A640D76" w14:textId="77777777" w:rsidR="00320DFB" w:rsidRDefault="00320DFB" w:rsidP="00C858AF">
      <w:pPr>
        <w:pStyle w:val="NoSpacing"/>
        <w:rPr>
          <w:b/>
          <w:bCs/>
        </w:rPr>
      </w:pPr>
      <w:r w:rsidRPr="00320DFB">
        <w:rPr>
          <w:b/>
          <w:bCs/>
        </w:rPr>
        <w:t>State CAUTI SIR in ICU and Wards</w:t>
      </w:r>
    </w:p>
    <w:p w14:paraId="3D41B784" w14:textId="5406F7FA" w:rsidR="00C858AF" w:rsidRPr="00AB5FAE" w:rsidRDefault="00C858AF" w:rsidP="00C858AF">
      <w:pPr>
        <w:pStyle w:val="NoSpacing"/>
      </w:pPr>
      <w:r w:rsidRPr="00AB5FAE">
        <w:t>Key Findings</w:t>
      </w:r>
    </w:p>
    <w:p w14:paraId="1D2A09EA" w14:textId="77777777" w:rsidR="00891275" w:rsidRDefault="00891275" w:rsidP="00891275">
      <w:pPr>
        <w:pStyle w:val="NoSpacing"/>
        <w:rPr>
          <w:b/>
        </w:rPr>
      </w:pPr>
    </w:p>
    <w:p w14:paraId="1DFB6D18" w14:textId="77777777" w:rsidR="00320DFB" w:rsidRDefault="00320DFB" w:rsidP="00320DFB">
      <w:pPr>
        <w:pStyle w:val="NoSpacing"/>
      </w:pPr>
      <w:r w:rsidRPr="00320DFB">
        <w:t>In 2020, adult and pediatric ICUs experienced a significantly lower number of infections than predicted, based on 2015 national aggregate data.</w:t>
      </w:r>
    </w:p>
    <w:p w14:paraId="5A0F3E47" w14:textId="253283EA" w:rsidR="00320DFB" w:rsidRPr="00320DFB" w:rsidRDefault="00320DFB" w:rsidP="00320DFB">
      <w:pPr>
        <w:pStyle w:val="NoSpacing"/>
      </w:pPr>
      <w:r w:rsidRPr="00320DFB">
        <w:t xml:space="preserve"> </w:t>
      </w:r>
    </w:p>
    <w:p w14:paraId="384BCAD0" w14:textId="15D4FDF1" w:rsidR="00891275" w:rsidRPr="00891275" w:rsidRDefault="00320DFB" w:rsidP="00320DFB">
      <w:pPr>
        <w:pStyle w:val="NoSpacing"/>
      </w:pPr>
      <w:r w:rsidRPr="00320DFB">
        <w:lastRenderedPageBreak/>
        <w:t>In 2020, adult and pediatric wards experienced the same number of infections than predicted, based on 2015 national aggregate data.</w:t>
      </w:r>
    </w:p>
    <w:p w14:paraId="50AAF159" w14:textId="566621D0" w:rsidR="00C858AF" w:rsidRDefault="00D01F7E" w:rsidP="00C858AF">
      <w:pPr>
        <w:pStyle w:val="NoSpacing"/>
        <w:rPr>
          <w:b/>
        </w:rPr>
      </w:pPr>
      <w:r>
        <w:br/>
      </w:r>
    </w:p>
    <w:p w14:paraId="48F9CDCE" w14:textId="77777777" w:rsidR="00C858AF" w:rsidRPr="00FF19AE" w:rsidRDefault="00891275" w:rsidP="00C858AF">
      <w:pPr>
        <w:pStyle w:val="NoSpacing"/>
        <w:rPr>
          <w:b/>
        </w:rPr>
      </w:pPr>
      <w:r>
        <w:rPr>
          <w:b/>
        </w:rPr>
        <w:t>Slide 19</w:t>
      </w:r>
    </w:p>
    <w:p w14:paraId="3649DA79" w14:textId="3F888AAF" w:rsidR="00C858AF" w:rsidRPr="00AB5FAE" w:rsidRDefault="00D01F7E" w:rsidP="00C858AF">
      <w:pPr>
        <w:pStyle w:val="NoSpacing"/>
      </w:pPr>
      <w:r w:rsidRPr="00D01F7E">
        <w:rPr>
          <w:b/>
          <w:bCs/>
        </w:rPr>
        <w:t>State CAUTI SUR in ICU and Wards</w:t>
      </w:r>
      <w:r>
        <w:rPr>
          <w:b/>
          <w:bCs/>
        </w:rPr>
        <w:br/>
      </w:r>
      <w:r w:rsidR="00C858AF" w:rsidRPr="00AB5FAE">
        <w:t>Key Findings</w:t>
      </w:r>
    </w:p>
    <w:p w14:paraId="4A4F3789" w14:textId="77777777" w:rsidR="00C858AF" w:rsidRDefault="00C858AF" w:rsidP="00C858AF">
      <w:pPr>
        <w:pStyle w:val="NoSpacing"/>
      </w:pPr>
    </w:p>
    <w:p w14:paraId="1A523ED6" w14:textId="77777777" w:rsidR="00D01F7E" w:rsidRPr="00D01F7E" w:rsidRDefault="00D01F7E" w:rsidP="00D01F7E">
      <w:pPr>
        <w:pStyle w:val="NoSpacing"/>
      </w:pPr>
      <w:r w:rsidRPr="00D01F7E">
        <w:t>In 2020, adult and pediatric ICUs experienced a significantly higher number of device days than predicted, based on 2015 national aggregate data.</w:t>
      </w:r>
    </w:p>
    <w:p w14:paraId="52C59F27" w14:textId="77777777" w:rsidR="00D01F7E" w:rsidRDefault="00D01F7E" w:rsidP="00D01F7E">
      <w:pPr>
        <w:pStyle w:val="NoSpacing"/>
      </w:pPr>
    </w:p>
    <w:p w14:paraId="43932437" w14:textId="1D68A66F" w:rsidR="00891275" w:rsidRDefault="00D01F7E" w:rsidP="00D01F7E">
      <w:pPr>
        <w:pStyle w:val="NoSpacing"/>
      </w:pPr>
      <w:r w:rsidRPr="00D01F7E">
        <w:t>For the past six years, adult Wards experienced a significantly lower number of device days than predicted, based on 2015 national aggregate data.</w:t>
      </w:r>
    </w:p>
    <w:p w14:paraId="3BE36363" w14:textId="77777777" w:rsidR="00D01F7E" w:rsidRDefault="00D01F7E" w:rsidP="00D01F7E">
      <w:pPr>
        <w:pStyle w:val="NoSpacing"/>
        <w:rPr>
          <w:b/>
        </w:rPr>
      </w:pPr>
    </w:p>
    <w:p w14:paraId="7EE124B3" w14:textId="77777777" w:rsidR="00C858AF" w:rsidRPr="00960951" w:rsidRDefault="00891275" w:rsidP="00C858AF">
      <w:pPr>
        <w:pStyle w:val="NoSpacing"/>
      </w:pPr>
      <w:r>
        <w:rPr>
          <w:b/>
        </w:rPr>
        <w:t>Slide 20</w:t>
      </w:r>
    </w:p>
    <w:p w14:paraId="1186B339" w14:textId="789871E1" w:rsidR="00C858AF" w:rsidRDefault="00D01F7E" w:rsidP="00C858AF">
      <w:pPr>
        <w:pStyle w:val="NoSpacing"/>
      </w:pPr>
      <w:r w:rsidRPr="00D01F7E">
        <w:rPr>
          <w:b/>
          <w:bCs/>
        </w:rPr>
        <w:t>Surgical Site Infections (SSI)</w:t>
      </w:r>
      <w:r w:rsidRPr="00D01F7E">
        <w:rPr>
          <w:b/>
          <w:bCs/>
        </w:rPr>
        <w:br/>
      </w:r>
      <w:r w:rsidRPr="00D01F7E">
        <w:rPr>
          <w:b/>
          <w:bCs/>
          <w:i/>
          <w:iCs/>
        </w:rPr>
        <w:t>Coronary Artery Bypass Graft (CABG) SIR and Colon Procedure (COLO) SIR</w:t>
      </w:r>
      <w:r>
        <w:rPr>
          <w:b/>
          <w:bCs/>
          <w:i/>
          <w:iCs/>
        </w:rPr>
        <w:br/>
      </w:r>
      <w:r>
        <w:t>Key Findings</w:t>
      </w:r>
    </w:p>
    <w:p w14:paraId="0B55CD30" w14:textId="77777777" w:rsidR="00D01F7E" w:rsidRPr="00D01F7E" w:rsidRDefault="00D01F7E" w:rsidP="00C858AF">
      <w:pPr>
        <w:pStyle w:val="NoSpacing"/>
      </w:pPr>
    </w:p>
    <w:p w14:paraId="225A0AF3" w14:textId="77777777" w:rsidR="00D01F7E" w:rsidRPr="00D01F7E" w:rsidRDefault="00D01F7E" w:rsidP="00D01F7E">
      <w:pPr>
        <w:pStyle w:val="NoSpacing"/>
      </w:pPr>
      <w:r w:rsidRPr="00D01F7E">
        <w:t>In 2020, MA acute care hospitals performing colon surgeries (COLO) experienced a lower number of infections than predicted, based on 2015 national aggregate data.</w:t>
      </w:r>
    </w:p>
    <w:p w14:paraId="7362C705" w14:textId="77777777" w:rsidR="00D01F7E" w:rsidRPr="00D01F7E" w:rsidRDefault="00D01F7E" w:rsidP="00D01F7E">
      <w:pPr>
        <w:pStyle w:val="NoSpacing"/>
      </w:pPr>
      <w:r w:rsidRPr="00D01F7E">
        <w:t xml:space="preserve"> </w:t>
      </w:r>
    </w:p>
    <w:p w14:paraId="2F79F43E" w14:textId="77777777" w:rsidR="00D01F7E" w:rsidRPr="00D01F7E" w:rsidRDefault="00D01F7E" w:rsidP="00D01F7E">
      <w:pPr>
        <w:pStyle w:val="NoSpacing"/>
      </w:pPr>
      <w:r w:rsidRPr="00D01F7E">
        <w:t xml:space="preserve">There were 25 CABG SSIs reported in 2020.   </w:t>
      </w:r>
    </w:p>
    <w:p w14:paraId="749BB7E0" w14:textId="77777777" w:rsidR="00D01F7E" w:rsidRPr="00D01F7E" w:rsidRDefault="00D01F7E" w:rsidP="00D01F7E">
      <w:pPr>
        <w:pStyle w:val="NoSpacing"/>
      </w:pPr>
    </w:p>
    <w:p w14:paraId="548A4D22" w14:textId="374942B7" w:rsidR="00C858AF" w:rsidRDefault="00D01F7E" w:rsidP="00D01F7E">
      <w:pPr>
        <w:pStyle w:val="NoSpacing"/>
      </w:pPr>
      <w:r w:rsidRPr="00D01F7E">
        <w:t>There were 161 COLO SSIs reported in 2020.</w:t>
      </w:r>
    </w:p>
    <w:p w14:paraId="10914066" w14:textId="77777777" w:rsidR="00D01F7E" w:rsidRDefault="00D01F7E" w:rsidP="00D01F7E">
      <w:pPr>
        <w:pStyle w:val="NoSpacing"/>
      </w:pPr>
    </w:p>
    <w:p w14:paraId="1794A956" w14:textId="77777777" w:rsidR="002501AB" w:rsidRDefault="002501AB" w:rsidP="00C858AF">
      <w:pPr>
        <w:pStyle w:val="NoSpacing"/>
        <w:rPr>
          <w:b/>
        </w:rPr>
      </w:pPr>
    </w:p>
    <w:p w14:paraId="58BDED36" w14:textId="2F0CC2A9" w:rsidR="00C858AF" w:rsidRPr="0003102B" w:rsidRDefault="00C03392" w:rsidP="00C858AF">
      <w:pPr>
        <w:pStyle w:val="NoSpacing"/>
        <w:rPr>
          <w:b/>
        </w:rPr>
      </w:pPr>
      <w:r>
        <w:rPr>
          <w:b/>
        </w:rPr>
        <w:t>Slide 21</w:t>
      </w:r>
    </w:p>
    <w:p w14:paraId="49918E65" w14:textId="5FFBA36C" w:rsidR="00C858AF" w:rsidRDefault="002501AB" w:rsidP="00C858AF">
      <w:pPr>
        <w:pStyle w:val="NoSpacing"/>
        <w:rPr>
          <w:b/>
          <w:bCs/>
          <w:i/>
          <w:iCs/>
        </w:rPr>
      </w:pPr>
      <w:r w:rsidRPr="002501AB">
        <w:rPr>
          <w:b/>
          <w:bCs/>
        </w:rPr>
        <w:t>Surgical Site Infections (SSI)</w:t>
      </w:r>
      <w:r w:rsidRPr="002501AB">
        <w:rPr>
          <w:b/>
          <w:bCs/>
        </w:rPr>
        <w:br/>
      </w:r>
      <w:r w:rsidRPr="002501AB">
        <w:rPr>
          <w:b/>
          <w:bCs/>
          <w:i/>
          <w:iCs/>
        </w:rPr>
        <w:t>Knee Prosthesis (KPRO) SIR and Hip Prosthesis (HPRO) SIR</w:t>
      </w:r>
    </w:p>
    <w:p w14:paraId="4717D41C" w14:textId="77777777" w:rsidR="002501AB" w:rsidRDefault="002501AB" w:rsidP="002501AB">
      <w:pPr>
        <w:pStyle w:val="NoSpacing"/>
      </w:pPr>
      <w:r>
        <w:t>Key Findings</w:t>
      </w:r>
    </w:p>
    <w:p w14:paraId="783120DE" w14:textId="77777777" w:rsidR="002501AB" w:rsidRPr="00D01F7E" w:rsidRDefault="002501AB" w:rsidP="002501AB">
      <w:pPr>
        <w:pStyle w:val="NoSpacing"/>
      </w:pPr>
    </w:p>
    <w:p w14:paraId="46965C81" w14:textId="77777777" w:rsidR="002501AB" w:rsidRPr="002501AB" w:rsidRDefault="002501AB" w:rsidP="002501AB">
      <w:pPr>
        <w:pStyle w:val="NoSpacing"/>
      </w:pPr>
      <w:r w:rsidRPr="002501AB">
        <w:t>For the past three years, Massachusetts acute care hospitals performing knee prosthesis procedures (KPRO) experienced significantly higher number of infections than predicted, based on 2015 national aggregate data.</w:t>
      </w:r>
    </w:p>
    <w:p w14:paraId="11679DDA" w14:textId="77777777" w:rsidR="002501AB" w:rsidRPr="002501AB" w:rsidRDefault="002501AB" w:rsidP="002501AB">
      <w:pPr>
        <w:pStyle w:val="NoSpacing"/>
      </w:pPr>
      <w:r w:rsidRPr="002501AB">
        <w:t xml:space="preserve"> </w:t>
      </w:r>
    </w:p>
    <w:p w14:paraId="4F1F77A1" w14:textId="77777777" w:rsidR="002501AB" w:rsidRPr="002501AB" w:rsidRDefault="002501AB" w:rsidP="002501AB">
      <w:pPr>
        <w:pStyle w:val="NoSpacing"/>
      </w:pPr>
      <w:r w:rsidRPr="002501AB">
        <w:t>There were 54 KPRO SSIs reported in 2020.</w:t>
      </w:r>
    </w:p>
    <w:p w14:paraId="053D479D" w14:textId="77777777" w:rsidR="002501AB" w:rsidRPr="002501AB" w:rsidRDefault="002501AB" w:rsidP="002501AB">
      <w:pPr>
        <w:pStyle w:val="NoSpacing"/>
      </w:pPr>
      <w:r w:rsidRPr="002501AB">
        <w:t xml:space="preserve"> </w:t>
      </w:r>
    </w:p>
    <w:p w14:paraId="1AF109A2" w14:textId="77777777" w:rsidR="002501AB" w:rsidRPr="002501AB" w:rsidRDefault="002501AB" w:rsidP="002501AB">
      <w:pPr>
        <w:pStyle w:val="NoSpacing"/>
      </w:pPr>
      <w:r w:rsidRPr="002501AB">
        <w:t>There were 52 HPRO SSIs reported in 2020.</w:t>
      </w:r>
    </w:p>
    <w:p w14:paraId="40334127" w14:textId="09574A11" w:rsidR="002501AB" w:rsidRDefault="002501AB" w:rsidP="002501AB">
      <w:pPr>
        <w:pStyle w:val="NoSpacing"/>
      </w:pPr>
    </w:p>
    <w:p w14:paraId="74C119EE" w14:textId="77777777" w:rsidR="002501AB" w:rsidRDefault="002501AB" w:rsidP="002501AB">
      <w:pPr>
        <w:pStyle w:val="NoSpacing"/>
      </w:pPr>
    </w:p>
    <w:p w14:paraId="70109107" w14:textId="77777777" w:rsidR="00C858AF" w:rsidRPr="004C61D4" w:rsidRDefault="00C03392" w:rsidP="00C858AF">
      <w:pPr>
        <w:pStyle w:val="NoSpacing"/>
        <w:rPr>
          <w:b/>
        </w:rPr>
      </w:pPr>
      <w:r>
        <w:rPr>
          <w:b/>
        </w:rPr>
        <w:t>Slide 22</w:t>
      </w:r>
    </w:p>
    <w:p w14:paraId="5D21D3F1" w14:textId="4385E95B" w:rsidR="00C858AF" w:rsidRDefault="002501AB" w:rsidP="00C858AF">
      <w:pPr>
        <w:pStyle w:val="NoSpacing"/>
        <w:rPr>
          <w:b/>
          <w:bCs/>
          <w:i/>
          <w:iCs/>
        </w:rPr>
      </w:pPr>
      <w:r w:rsidRPr="002501AB">
        <w:rPr>
          <w:b/>
          <w:bCs/>
        </w:rPr>
        <w:t>Surgical Site Infections (SSI)</w:t>
      </w:r>
      <w:r w:rsidRPr="002501AB">
        <w:rPr>
          <w:b/>
          <w:bCs/>
        </w:rPr>
        <w:br/>
      </w:r>
      <w:r w:rsidRPr="002501AB">
        <w:rPr>
          <w:b/>
          <w:bCs/>
          <w:i/>
          <w:iCs/>
        </w:rPr>
        <w:t>Abdominal Hysterectomy (HYST) SIR and Vaginal Hysterectomy (VHYS) SIR</w:t>
      </w:r>
    </w:p>
    <w:p w14:paraId="58481AF8" w14:textId="77777777" w:rsidR="002501AB" w:rsidRDefault="002501AB" w:rsidP="002501AB">
      <w:pPr>
        <w:pStyle w:val="NoSpacing"/>
      </w:pPr>
      <w:r>
        <w:t>Key Findings</w:t>
      </w:r>
    </w:p>
    <w:p w14:paraId="613F83DC" w14:textId="77777777" w:rsidR="002501AB" w:rsidRPr="00D01F7E" w:rsidRDefault="002501AB" w:rsidP="002501AB">
      <w:pPr>
        <w:pStyle w:val="NoSpacing"/>
      </w:pPr>
    </w:p>
    <w:p w14:paraId="6A5B1870" w14:textId="77777777" w:rsidR="002501AB" w:rsidRPr="002501AB" w:rsidRDefault="002501AB" w:rsidP="002501AB">
      <w:pPr>
        <w:pStyle w:val="NoSpacing"/>
      </w:pPr>
      <w:r w:rsidRPr="002501AB">
        <w:lastRenderedPageBreak/>
        <w:t xml:space="preserve">In 2020, Massachusetts acute care hospitals performing abdominal </w:t>
      </w:r>
      <w:proofErr w:type="gramStart"/>
      <w:r w:rsidRPr="002501AB">
        <w:t>hysterectomy  (</w:t>
      </w:r>
      <w:proofErr w:type="gramEnd"/>
      <w:r w:rsidRPr="002501AB">
        <w:t>HYST) procedures experienced significantly higher number of infections than predicted, based on 2015 national aggregate data.</w:t>
      </w:r>
    </w:p>
    <w:p w14:paraId="43C57CC5" w14:textId="77777777" w:rsidR="002501AB" w:rsidRPr="002501AB" w:rsidRDefault="002501AB" w:rsidP="002501AB">
      <w:pPr>
        <w:pStyle w:val="NoSpacing"/>
      </w:pPr>
      <w:r w:rsidRPr="002501AB">
        <w:t xml:space="preserve"> </w:t>
      </w:r>
    </w:p>
    <w:p w14:paraId="0A50639E" w14:textId="77777777" w:rsidR="002501AB" w:rsidRPr="002501AB" w:rsidRDefault="002501AB" w:rsidP="002501AB">
      <w:pPr>
        <w:pStyle w:val="NoSpacing"/>
      </w:pPr>
      <w:r w:rsidRPr="002501AB">
        <w:t>There were 46 HYST SSIs reported in 2020.</w:t>
      </w:r>
    </w:p>
    <w:p w14:paraId="490A53E7" w14:textId="77777777" w:rsidR="002501AB" w:rsidRPr="002501AB" w:rsidRDefault="002501AB" w:rsidP="002501AB">
      <w:pPr>
        <w:pStyle w:val="NoSpacing"/>
      </w:pPr>
      <w:r w:rsidRPr="002501AB">
        <w:t xml:space="preserve"> </w:t>
      </w:r>
    </w:p>
    <w:p w14:paraId="28BE43B9" w14:textId="6E91D5E3" w:rsidR="002501AB" w:rsidRDefault="002501AB" w:rsidP="002501AB">
      <w:pPr>
        <w:pStyle w:val="NoSpacing"/>
      </w:pPr>
      <w:r w:rsidRPr="002501AB">
        <w:t>There were 5 VHYS SSIs reported in 2020.</w:t>
      </w:r>
    </w:p>
    <w:p w14:paraId="6BC744C5" w14:textId="56A63B91" w:rsidR="002501AB" w:rsidRDefault="002501AB" w:rsidP="002501AB">
      <w:pPr>
        <w:pStyle w:val="NoSpacing"/>
      </w:pPr>
    </w:p>
    <w:p w14:paraId="42480936" w14:textId="77777777" w:rsidR="002501AB" w:rsidRDefault="002501AB" w:rsidP="002501AB">
      <w:pPr>
        <w:pStyle w:val="NoSpacing"/>
      </w:pPr>
    </w:p>
    <w:p w14:paraId="75CCA847" w14:textId="77777777" w:rsidR="00C858AF" w:rsidRPr="004C61D4" w:rsidRDefault="00C03392" w:rsidP="00C858AF">
      <w:pPr>
        <w:pStyle w:val="NoSpacing"/>
        <w:rPr>
          <w:b/>
        </w:rPr>
      </w:pPr>
      <w:r>
        <w:rPr>
          <w:b/>
        </w:rPr>
        <w:t>Slide 23</w:t>
      </w:r>
    </w:p>
    <w:p w14:paraId="3B4C5AB1" w14:textId="77777777" w:rsidR="002501AB" w:rsidRDefault="002501AB" w:rsidP="00C858AF">
      <w:pPr>
        <w:pStyle w:val="NoSpacing"/>
      </w:pPr>
      <w:r w:rsidRPr="002501AB">
        <w:rPr>
          <w:b/>
          <w:bCs/>
        </w:rPr>
        <w:t>SSI Pathogens for 2019-2020</w:t>
      </w:r>
      <w:r w:rsidRPr="002501AB">
        <w:rPr>
          <w:b/>
          <w:bCs/>
        </w:rPr>
        <w:br/>
      </w:r>
      <w:r w:rsidRPr="002501AB">
        <w:rPr>
          <w:i/>
          <w:iCs/>
        </w:rPr>
        <w:t>CABG, KPRO, HPRO, HYST, VHYS, COLO</w:t>
      </w:r>
      <w:r w:rsidRPr="002501AB">
        <w:t xml:space="preserve"> </w:t>
      </w:r>
    </w:p>
    <w:p w14:paraId="5C018D77" w14:textId="1D5C7437" w:rsidR="002501AB" w:rsidRDefault="002501AB" w:rsidP="002501AB">
      <w:pPr>
        <w:pStyle w:val="NoSpacing"/>
      </w:pPr>
      <w:r w:rsidRPr="002501AB">
        <w:t>Two circle graphs comparing pathogens between calendar year 2019 and calendar year 2020.</w:t>
      </w:r>
    </w:p>
    <w:p w14:paraId="7EE327A9" w14:textId="77777777" w:rsidR="002501AB" w:rsidRDefault="002501AB" w:rsidP="002501AB">
      <w:pPr>
        <w:pStyle w:val="NoSpacing"/>
      </w:pPr>
    </w:p>
    <w:p w14:paraId="6B6B6302" w14:textId="77777777" w:rsidR="00C03392" w:rsidRDefault="00C03392" w:rsidP="00C858AF">
      <w:pPr>
        <w:pStyle w:val="NoSpacing"/>
        <w:rPr>
          <w:b/>
        </w:rPr>
      </w:pPr>
    </w:p>
    <w:p w14:paraId="11C2212A" w14:textId="77777777" w:rsidR="00C858AF" w:rsidRPr="004C61D4" w:rsidRDefault="00C03392" w:rsidP="00C858AF">
      <w:pPr>
        <w:pStyle w:val="NoSpacing"/>
        <w:rPr>
          <w:b/>
        </w:rPr>
      </w:pPr>
      <w:r>
        <w:rPr>
          <w:b/>
        </w:rPr>
        <w:t>Slide 24</w:t>
      </w:r>
    </w:p>
    <w:p w14:paraId="28778B59" w14:textId="04410B1E" w:rsidR="00C858AF" w:rsidRPr="00AB5FAE" w:rsidRDefault="002501AB" w:rsidP="00C858AF">
      <w:pPr>
        <w:pStyle w:val="NoSpacing"/>
      </w:pPr>
      <w:r w:rsidRPr="002501AB">
        <w:rPr>
          <w:b/>
          <w:bCs/>
        </w:rPr>
        <w:t>Statewide SSI Trends by Year</w:t>
      </w:r>
      <w:r w:rsidRPr="002501AB">
        <w:rPr>
          <w:b/>
          <w:bCs/>
        </w:rPr>
        <w:br/>
        <w:t>2015-2020</w:t>
      </w:r>
    </w:p>
    <w:p w14:paraId="78AA75B4" w14:textId="29FF8CE7" w:rsidR="002501AB" w:rsidRDefault="002501AB" w:rsidP="002501AB">
      <w:pPr>
        <w:pStyle w:val="NoSpacing"/>
      </w:pPr>
      <w:r>
        <w:t>A line</w:t>
      </w:r>
      <w:r w:rsidRPr="002501AB">
        <w:t xml:space="preserve"> graph comparing Statistically Higher</w:t>
      </w:r>
      <w:r>
        <w:t xml:space="preserve">/Same/Lower </w:t>
      </w:r>
      <w:r w:rsidRPr="002501AB">
        <w:t>than Predicted</w:t>
      </w:r>
      <w:r>
        <w:t xml:space="preserve"> SSI between 2015-2020.</w:t>
      </w:r>
    </w:p>
    <w:p w14:paraId="14F577D6" w14:textId="41465561" w:rsidR="00C03392" w:rsidRDefault="00C03392" w:rsidP="00C858AF">
      <w:pPr>
        <w:pStyle w:val="NoSpacing"/>
      </w:pPr>
    </w:p>
    <w:p w14:paraId="42465204" w14:textId="77777777" w:rsidR="002501AB" w:rsidRDefault="002501AB" w:rsidP="00C858AF">
      <w:pPr>
        <w:pStyle w:val="NoSpacing"/>
        <w:rPr>
          <w:b/>
        </w:rPr>
      </w:pPr>
    </w:p>
    <w:p w14:paraId="28031919" w14:textId="77777777" w:rsidR="00C858AF" w:rsidRPr="004C61D4" w:rsidRDefault="00C03392" w:rsidP="00C858AF">
      <w:pPr>
        <w:pStyle w:val="NoSpacing"/>
        <w:rPr>
          <w:b/>
        </w:rPr>
      </w:pPr>
      <w:r>
        <w:rPr>
          <w:b/>
        </w:rPr>
        <w:t>Slide 25</w:t>
      </w:r>
    </w:p>
    <w:p w14:paraId="3C72648B" w14:textId="2962B4A9" w:rsidR="00C858AF" w:rsidRDefault="002501AB" w:rsidP="00C858AF">
      <w:pPr>
        <w:pStyle w:val="NoSpacing"/>
        <w:rPr>
          <w:b/>
          <w:bCs/>
          <w:i/>
          <w:iCs/>
        </w:rPr>
      </w:pPr>
      <w:r w:rsidRPr="002501AB">
        <w:rPr>
          <w:b/>
          <w:bCs/>
        </w:rPr>
        <w:t>Laboratory Identified Events (</w:t>
      </w:r>
      <w:proofErr w:type="spellStart"/>
      <w:r w:rsidRPr="002501AB">
        <w:rPr>
          <w:b/>
          <w:bCs/>
        </w:rPr>
        <w:t>LabID</w:t>
      </w:r>
      <w:proofErr w:type="spellEnd"/>
      <w:r w:rsidRPr="002501AB">
        <w:rPr>
          <w:b/>
          <w:bCs/>
        </w:rPr>
        <w:t>)</w:t>
      </w:r>
      <w:r w:rsidRPr="002501AB">
        <w:rPr>
          <w:b/>
          <w:bCs/>
        </w:rPr>
        <w:br/>
      </w:r>
      <w:proofErr w:type="spellStart"/>
      <w:r w:rsidRPr="002501AB">
        <w:rPr>
          <w:b/>
          <w:bCs/>
          <w:i/>
          <w:iCs/>
        </w:rPr>
        <w:t>Clostridioides</w:t>
      </w:r>
      <w:proofErr w:type="spellEnd"/>
      <w:r w:rsidRPr="002501AB">
        <w:rPr>
          <w:b/>
          <w:bCs/>
          <w:i/>
          <w:iCs/>
        </w:rPr>
        <w:t xml:space="preserve"> difficile (CDI) SIR</w:t>
      </w:r>
    </w:p>
    <w:p w14:paraId="4AB96F71" w14:textId="3350A490" w:rsidR="002501AB" w:rsidRDefault="002501AB" w:rsidP="00C858AF">
      <w:pPr>
        <w:pStyle w:val="NoSpacing"/>
      </w:pPr>
      <w:r>
        <w:t>Key Findings</w:t>
      </w:r>
    </w:p>
    <w:p w14:paraId="37C602AD" w14:textId="426182EF" w:rsidR="002501AB" w:rsidRDefault="002501AB" w:rsidP="00C858AF">
      <w:pPr>
        <w:pStyle w:val="NoSpacing"/>
      </w:pPr>
    </w:p>
    <w:p w14:paraId="4C6AECA8" w14:textId="77777777" w:rsidR="002501AB" w:rsidRPr="002501AB" w:rsidRDefault="002501AB" w:rsidP="002501AB">
      <w:pPr>
        <w:pStyle w:val="NoSpacing"/>
      </w:pPr>
      <w:r w:rsidRPr="002501AB">
        <w:t>For the past four years, Massachusetts hospitals reporting CDI events experienced significantly lower number of infections than predicted, based on 2015 national aggregate data.</w:t>
      </w:r>
    </w:p>
    <w:p w14:paraId="3D05B84E" w14:textId="77777777" w:rsidR="002501AB" w:rsidRPr="002501AB" w:rsidRDefault="002501AB" w:rsidP="002501AB">
      <w:pPr>
        <w:pStyle w:val="NoSpacing"/>
      </w:pPr>
    </w:p>
    <w:p w14:paraId="31E8EDBB" w14:textId="1F7C68EC" w:rsidR="002501AB" w:rsidRPr="002501AB" w:rsidRDefault="002501AB" w:rsidP="002501AB">
      <w:pPr>
        <w:pStyle w:val="NoSpacing"/>
      </w:pPr>
      <w:r w:rsidRPr="002501AB">
        <w:t>There were 1,400 CDI events reported in 2020.</w:t>
      </w:r>
    </w:p>
    <w:p w14:paraId="4378544B" w14:textId="7A46A652" w:rsidR="002501AB" w:rsidRDefault="002501AB" w:rsidP="00C858AF">
      <w:pPr>
        <w:pStyle w:val="NoSpacing"/>
        <w:rPr>
          <w:b/>
          <w:bCs/>
          <w:i/>
          <w:iCs/>
        </w:rPr>
      </w:pPr>
    </w:p>
    <w:p w14:paraId="03679945" w14:textId="77777777" w:rsidR="002501AB" w:rsidRDefault="002501AB" w:rsidP="00C858AF">
      <w:pPr>
        <w:pStyle w:val="NoSpacing"/>
      </w:pPr>
    </w:p>
    <w:p w14:paraId="0B880004" w14:textId="77777777" w:rsidR="00C858AF" w:rsidRPr="004C61D4" w:rsidRDefault="00C03392" w:rsidP="00C858AF">
      <w:pPr>
        <w:pStyle w:val="NoSpacing"/>
        <w:rPr>
          <w:b/>
        </w:rPr>
      </w:pPr>
      <w:r>
        <w:rPr>
          <w:b/>
        </w:rPr>
        <w:t>Slide 26</w:t>
      </w:r>
    </w:p>
    <w:p w14:paraId="5F7E9D9A" w14:textId="77777777" w:rsidR="002501AB" w:rsidRDefault="002501AB" w:rsidP="00C858AF">
      <w:pPr>
        <w:pStyle w:val="NoSpacing"/>
        <w:rPr>
          <w:b/>
          <w:bCs/>
          <w:i/>
          <w:iCs/>
        </w:rPr>
      </w:pPr>
      <w:r w:rsidRPr="002501AB">
        <w:rPr>
          <w:b/>
          <w:bCs/>
        </w:rPr>
        <w:t>Laboratory Identified Events (</w:t>
      </w:r>
      <w:proofErr w:type="spellStart"/>
      <w:r w:rsidRPr="002501AB">
        <w:rPr>
          <w:b/>
          <w:bCs/>
        </w:rPr>
        <w:t>LabID</w:t>
      </w:r>
      <w:proofErr w:type="spellEnd"/>
      <w:r w:rsidRPr="002501AB">
        <w:rPr>
          <w:b/>
          <w:bCs/>
        </w:rPr>
        <w:t xml:space="preserve">) </w:t>
      </w:r>
      <w:r w:rsidRPr="002501AB">
        <w:rPr>
          <w:b/>
          <w:bCs/>
        </w:rPr>
        <w:br/>
      </w:r>
      <w:r w:rsidRPr="002501AB">
        <w:rPr>
          <w:b/>
          <w:bCs/>
          <w:i/>
          <w:iCs/>
        </w:rPr>
        <w:t>Methicillin-resistant Staphylococcus aureus (MRSA) SIR</w:t>
      </w:r>
    </w:p>
    <w:p w14:paraId="424A2EB1" w14:textId="7BCD6DB6" w:rsidR="002501AB" w:rsidRDefault="002501AB" w:rsidP="002501AB">
      <w:pPr>
        <w:pStyle w:val="NoSpacing"/>
      </w:pPr>
      <w:r>
        <w:t>Key Findings</w:t>
      </w:r>
    </w:p>
    <w:p w14:paraId="12F6D7AE" w14:textId="22BCEBBB" w:rsidR="002501AB" w:rsidRDefault="002501AB" w:rsidP="002501AB">
      <w:pPr>
        <w:pStyle w:val="NoSpacing"/>
      </w:pPr>
    </w:p>
    <w:p w14:paraId="129CEC9E" w14:textId="77777777" w:rsidR="002501AB" w:rsidRPr="002501AB" w:rsidRDefault="002501AB" w:rsidP="002501AB">
      <w:pPr>
        <w:pStyle w:val="NoSpacing"/>
      </w:pPr>
      <w:r w:rsidRPr="002501AB">
        <w:t xml:space="preserve">For the past six </w:t>
      </w:r>
      <w:proofErr w:type="gramStart"/>
      <w:r w:rsidRPr="002501AB">
        <w:t>years,  Massachusetts</w:t>
      </w:r>
      <w:proofErr w:type="gramEnd"/>
      <w:r w:rsidRPr="002501AB">
        <w:t xml:space="preserve"> acute care hospitals reporting MRSA events experienced significantly lower number of infections than predicted, based on 2015 national aggregate data.</w:t>
      </w:r>
    </w:p>
    <w:p w14:paraId="44AC1D48" w14:textId="147AF32C" w:rsidR="002501AB" w:rsidRDefault="002501AB" w:rsidP="002501AB">
      <w:pPr>
        <w:pStyle w:val="NoSpacing"/>
      </w:pPr>
      <w:r w:rsidRPr="002501AB">
        <w:br/>
        <w:t xml:space="preserve">There were 189 MRSA events reported in 2020. </w:t>
      </w:r>
    </w:p>
    <w:p w14:paraId="604CC124" w14:textId="32EE2281" w:rsidR="00C858AF" w:rsidRDefault="00C858AF" w:rsidP="00C858AF">
      <w:pPr>
        <w:pStyle w:val="NoSpacing"/>
        <w:rPr>
          <w:b/>
        </w:rPr>
      </w:pPr>
    </w:p>
    <w:p w14:paraId="74AE7F69" w14:textId="655AC319" w:rsidR="002501AB" w:rsidRDefault="002501AB" w:rsidP="00C858AF">
      <w:pPr>
        <w:pStyle w:val="NoSpacing"/>
        <w:rPr>
          <w:b/>
        </w:rPr>
      </w:pPr>
    </w:p>
    <w:p w14:paraId="7B9A7C35" w14:textId="77777777" w:rsidR="00C858AF" w:rsidRDefault="00C03392" w:rsidP="00C858AF">
      <w:pPr>
        <w:pStyle w:val="NoSpacing"/>
        <w:rPr>
          <w:b/>
        </w:rPr>
      </w:pPr>
      <w:r>
        <w:rPr>
          <w:b/>
        </w:rPr>
        <w:t>Slide 27</w:t>
      </w:r>
    </w:p>
    <w:p w14:paraId="2BC47E56" w14:textId="5899212F" w:rsidR="00C858AF" w:rsidRDefault="002501AB" w:rsidP="00C858AF">
      <w:pPr>
        <w:pStyle w:val="NoSpacing"/>
        <w:rPr>
          <w:b/>
        </w:rPr>
      </w:pPr>
      <w:r w:rsidRPr="002501AB">
        <w:rPr>
          <w:b/>
          <w:bCs/>
        </w:rPr>
        <w:t xml:space="preserve">Statewide </w:t>
      </w:r>
      <w:proofErr w:type="spellStart"/>
      <w:r w:rsidRPr="002501AB">
        <w:rPr>
          <w:b/>
          <w:bCs/>
        </w:rPr>
        <w:t>LabID</w:t>
      </w:r>
      <w:proofErr w:type="spellEnd"/>
      <w:r w:rsidRPr="002501AB">
        <w:rPr>
          <w:b/>
          <w:bCs/>
        </w:rPr>
        <w:t xml:space="preserve"> Trends by Year</w:t>
      </w:r>
      <w:r w:rsidRPr="002501AB">
        <w:rPr>
          <w:b/>
          <w:bCs/>
        </w:rPr>
        <w:br/>
      </w:r>
      <w:r w:rsidRPr="002501AB">
        <w:t>2015-2019</w:t>
      </w:r>
    </w:p>
    <w:p w14:paraId="4880E4FC" w14:textId="4CFA7F03" w:rsidR="002501AB" w:rsidRDefault="002501AB" w:rsidP="002501AB">
      <w:pPr>
        <w:pStyle w:val="NoSpacing"/>
      </w:pPr>
      <w:r>
        <w:t>A line</w:t>
      </w:r>
      <w:r w:rsidRPr="002501AB">
        <w:t xml:space="preserve"> graph comparing Statistically Higher</w:t>
      </w:r>
      <w:r>
        <w:t xml:space="preserve">/Same/Lower </w:t>
      </w:r>
      <w:r w:rsidRPr="002501AB">
        <w:t>than Predicted</w:t>
      </w:r>
      <w:r>
        <w:t xml:space="preserve"> </w:t>
      </w:r>
      <w:proofErr w:type="spellStart"/>
      <w:r>
        <w:t>LabID</w:t>
      </w:r>
      <w:proofErr w:type="spellEnd"/>
      <w:r>
        <w:t xml:space="preserve"> between 2015-2020.</w:t>
      </w:r>
    </w:p>
    <w:p w14:paraId="44B4B760" w14:textId="77777777" w:rsidR="002501AB" w:rsidRDefault="002501AB" w:rsidP="00C858AF">
      <w:pPr>
        <w:pStyle w:val="NoSpacing"/>
        <w:rPr>
          <w:b/>
        </w:rPr>
      </w:pPr>
    </w:p>
    <w:p w14:paraId="668EC6A8" w14:textId="77777777" w:rsidR="002501AB" w:rsidRDefault="002501AB" w:rsidP="00C858AF">
      <w:pPr>
        <w:pStyle w:val="NoSpacing"/>
        <w:rPr>
          <w:b/>
        </w:rPr>
      </w:pPr>
    </w:p>
    <w:p w14:paraId="3D7EA907" w14:textId="63EBC26D" w:rsidR="00C858AF" w:rsidRDefault="00C03392" w:rsidP="00C858AF">
      <w:pPr>
        <w:pStyle w:val="NoSpacing"/>
        <w:rPr>
          <w:b/>
        </w:rPr>
      </w:pPr>
      <w:r>
        <w:rPr>
          <w:b/>
        </w:rPr>
        <w:t>Slide 28</w:t>
      </w:r>
    </w:p>
    <w:p w14:paraId="624177BC" w14:textId="17A79283" w:rsidR="00C03392" w:rsidRDefault="00E74000" w:rsidP="00C858AF">
      <w:pPr>
        <w:pStyle w:val="NoSpacing"/>
        <w:rPr>
          <w:b/>
        </w:rPr>
      </w:pPr>
      <w:r w:rsidRPr="00E74000">
        <w:rPr>
          <w:b/>
          <w:bCs/>
        </w:rPr>
        <w:t>DPH HAI COVID-19 Activities</w:t>
      </w:r>
    </w:p>
    <w:p w14:paraId="73215D2E" w14:textId="77777777" w:rsidR="00E74000" w:rsidRPr="00E74000" w:rsidRDefault="00E74000" w:rsidP="00E74000">
      <w:pPr>
        <w:numPr>
          <w:ilvl w:val="0"/>
          <w:numId w:val="5"/>
        </w:numPr>
      </w:pPr>
      <w:r w:rsidRPr="00E74000">
        <w:t>DPH Epidemiologists are assigned to each long-term care facility with a COVID-positive resident and/or healthcare personnel to effectively manage outbreak responses and control measures.</w:t>
      </w:r>
    </w:p>
    <w:p w14:paraId="6200AC7D" w14:textId="77777777" w:rsidR="00E74000" w:rsidRPr="00E74000" w:rsidRDefault="00E74000" w:rsidP="00E74000">
      <w:pPr>
        <w:numPr>
          <w:ilvl w:val="0"/>
          <w:numId w:val="5"/>
        </w:numPr>
      </w:pPr>
      <w:r w:rsidRPr="00E74000">
        <w:t xml:space="preserve">Epidemiologists are also assigned to COVID-19 clusters in other high risk patient settings including hospitals, assisted living residences, dialysis centers, inpatient psychiatric units, substance use disorder facilities, prisons, </w:t>
      </w:r>
      <w:proofErr w:type="gramStart"/>
      <w:r w:rsidRPr="00E74000">
        <w:t>jails</w:t>
      </w:r>
      <w:proofErr w:type="gramEnd"/>
      <w:r w:rsidRPr="00E74000">
        <w:t xml:space="preserve"> and homeless shelters.</w:t>
      </w:r>
    </w:p>
    <w:p w14:paraId="4EE61E23" w14:textId="77777777" w:rsidR="00E74000" w:rsidRPr="00E74000" w:rsidRDefault="00E74000" w:rsidP="00E74000">
      <w:pPr>
        <w:numPr>
          <w:ilvl w:val="0"/>
          <w:numId w:val="5"/>
        </w:numPr>
      </w:pPr>
      <w:r w:rsidRPr="00E74000">
        <w:t>Comprehensive on-site Infection Control Assessment and Response (ICAR) visits are conducted at licensed nursing homes.  During these visits an epidemiologist and public health nurse:</w:t>
      </w:r>
    </w:p>
    <w:p w14:paraId="6D1EFFAD" w14:textId="77777777" w:rsidR="00E74000" w:rsidRPr="00E74000" w:rsidRDefault="00E74000" w:rsidP="00E74000">
      <w:pPr>
        <w:numPr>
          <w:ilvl w:val="1"/>
          <w:numId w:val="5"/>
        </w:numPr>
      </w:pPr>
      <w:r w:rsidRPr="00E74000">
        <w:t xml:space="preserve">Discuss facility infection prevention and control policies and </w:t>
      </w:r>
      <w:proofErr w:type="gramStart"/>
      <w:r w:rsidRPr="00E74000">
        <w:t>practices;</w:t>
      </w:r>
      <w:proofErr w:type="gramEnd"/>
    </w:p>
    <w:p w14:paraId="59437D51" w14:textId="77777777" w:rsidR="00E74000" w:rsidRPr="00E74000" w:rsidRDefault="00E74000" w:rsidP="00E74000">
      <w:pPr>
        <w:numPr>
          <w:ilvl w:val="1"/>
          <w:numId w:val="5"/>
        </w:numPr>
      </w:pPr>
      <w:r w:rsidRPr="00E74000">
        <w:t>Observe of screening areas, hand hygiene, PPE use, environmental cleaning, breakrooms, testing, vaccine storage, and designated COVID-19 care areas; and</w:t>
      </w:r>
    </w:p>
    <w:p w14:paraId="0D2B74CE" w14:textId="77777777" w:rsidR="00E74000" w:rsidRPr="00E74000" w:rsidRDefault="00E74000" w:rsidP="00E74000">
      <w:pPr>
        <w:numPr>
          <w:ilvl w:val="1"/>
          <w:numId w:val="5"/>
        </w:numPr>
      </w:pPr>
      <w:r w:rsidRPr="00E74000">
        <w:t>Provide feedback and coaching to the facility staff.</w:t>
      </w:r>
    </w:p>
    <w:p w14:paraId="572CB749" w14:textId="77777777" w:rsidR="00E74000" w:rsidRPr="00E74000" w:rsidRDefault="00E74000" w:rsidP="00E74000">
      <w:pPr>
        <w:numPr>
          <w:ilvl w:val="0"/>
          <w:numId w:val="5"/>
        </w:numPr>
      </w:pPr>
      <w:r w:rsidRPr="00E74000">
        <w:t>Daily statewide long-term care facility and weekly facility-level case counts were published on the COVID-19 Interactive Data Dashboard.  Internal review of healthcare associated COVID-19 data collected through DPH’s surveillance system continues to be monitored routinely.</w:t>
      </w:r>
    </w:p>
    <w:p w14:paraId="69804B0D" w14:textId="77777777" w:rsidR="00E74000" w:rsidRPr="00E74000" w:rsidRDefault="00E74000" w:rsidP="00E74000">
      <w:pPr>
        <w:numPr>
          <w:ilvl w:val="0"/>
          <w:numId w:val="5"/>
        </w:numPr>
      </w:pPr>
      <w:r w:rsidRPr="00E74000">
        <w:t>Weekly analysis of nursing home data submitted to the LTCF COVID-19 Module in NHSN to monitor trends over time and to identify facilities with staffing or PPE shortages and those with lower resident and/or staff vaccination rates.</w:t>
      </w:r>
    </w:p>
    <w:p w14:paraId="79CC2243" w14:textId="77777777" w:rsidR="00E74000" w:rsidRPr="00E74000" w:rsidRDefault="00E74000" w:rsidP="00E74000">
      <w:pPr>
        <w:numPr>
          <w:ilvl w:val="0"/>
          <w:numId w:val="5"/>
        </w:numPr>
      </w:pPr>
      <w:r w:rsidRPr="00E74000">
        <w:t>Promote CDC’s National Training Collaborative, Project Firstline, and develop MA-specific infection control training content and learning programs for frontline healthcare workers in partnership with the Population Health Exchange (PHX) at Boston University.</w:t>
      </w:r>
    </w:p>
    <w:p w14:paraId="41214415" w14:textId="77777777" w:rsidR="00E74000" w:rsidRDefault="00E74000" w:rsidP="00C03392">
      <w:pPr>
        <w:rPr>
          <w:b/>
        </w:rPr>
      </w:pPr>
    </w:p>
    <w:p w14:paraId="3D6808D9" w14:textId="77777777" w:rsidR="00850280" w:rsidRPr="00850280" w:rsidRDefault="00C03392" w:rsidP="00850280">
      <w:r w:rsidRPr="00E74000">
        <w:rPr>
          <w:b/>
        </w:rPr>
        <w:t>Slide 29</w:t>
      </w:r>
      <w:r w:rsidR="00E74000" w:rsidRPr="00E74000">
        <w:rPr>
          <w:b/>
        </w:rPr>
        <w:br/>
      </w:r>
      <w:r w:rsidR="00E74000" w:rsidRPr="00E74000">
        <w:rPr>
          <w:b/>
        </w:rPr>
        <w:t>Antibiotic Resistance: Urgent Threats in MA</w:t>
      </w:r>
      <w:r w:rsidR="00E74000">
        <w:rPr>
          <w:b/>
        </w:rPr>
        <w:br/>
      </w:r>
      <w:r w:rsidR="00850280" w:rsidRPr="00850280">
        <w:rPr>
          <w:b/>
          <w:bCs/>
        </w:rPr>
        <w:t>CDC 2019 AR Threats Report</w:t>
      </w:r>
    </w:p>
    <w:p w14:paraId="5B282FBE" w14:textId="77777777" w:rsidR="00850280" w:rsidRPr="00850280" w:rsidRDefault="00850280" w:rsidP="00850280">
      <w:r w:rsidRPr="00850280">
        <w:rPr>
          <w:b/>
          <w:bCs/>
        </w:rPr>
        <w:t>More than 2.8 million antibiotic-resistant infections occur in the U.S. each year, and more than 35,000 people die</w:t>
      </w:r>
      <w:r w:rsidRPr="00850280">
        <w:t xml:space="preserve"> as a result. </w:t>
      </w:r>
    </w:p>
    <w:p w14:paraId="2FBC7C1E" w14:textId="77777777" w:rsidR="00850280" w:rsidRPr="00850280" w:rsidRDefault="00850280" w:rsidP="00850280">
      <w:r w:rsidRPr="00850280">
        <w:t xml:space="preserve">Dedicated prevention and infection control efforts are working to reduce the number of infections and deaths caused by antibiotic-resistant germs, but the number of people facing antibiotic resistance is still too high. </w:t>
      </w:r>
    </w:p>
    <w:p w14:paraId="6CF25A8B" w14:textId="77777777" w:rsidR="00850280" w:rsidRPr="00850280" w:rsidRDefault="00850280" w:rsidP="00850280">
      <w:pPr>
        <w:numPr>
          <w:ilvl w:val="0"/>
          <w:numId w:val="6"/>
        </w:numPr>
      </w:pPr>
      <w:r w:rsidRPr="00850280">
        <w:rPr>
          <w:b/>
          <w:bCs/>
        </w:rPr>
        <w:t xml:space="preserve">Urgent threats targeted in MA through surveillance, detection </w:t>
      </w:r>
    </w:p>
    <w:p w14:paraId="288889EC" w14:textId="77777777" w:rsidR="00850280" w:rsidRPr="00850280" w:rsidRDefault="00850280" w:rsidP="00850280">
      <w:r w:rsidRPr="00850280">
        <w:rPr>
          <w:b/>
          <w:bCs/>
        </w:rPr>
        <w:lastRenderedPageBreak/>
        <w:t xml:space="preserve">        and containment</w:t>
      </w:r>
    </w:p>
    <w:p w14:paraId="191FED4A" w14:textId="77777777" w:rsidR="00850280" w:rsidRPr="00850280" w:rsidRDefault="00850280" w:rsidP="00850280">
      <w:pPr>
        <w:numPr>
          <w:ilvl w:val="1"/>
          <w:numId w:val="7"/>
        </w:numPr>
      </w:pPr>
      <w:r w:rsidRPr="00850280">
        <w:rPr>
          <w:b/>
          <w:bCs/>
        </w:rPr>
        <w:t>Carbapenem-resistant</w:t>
      </w:r>
      <w:r w:rsidRPr="00850280">
        <w:rPr>
          <w:b/>
          <w:bCs/>
          <w:i/>
          <w:iCs/>
        </w:rPr>
        <w:t xml:space="preserve"> Acinetobacter</w:t>
      </w:r>
    </w:p>
    <w:p w14:paraId="78DEFF74" w14:textId="77777777" w:rsidR="00850280" w:rsidRPr="00850280" w:rsidRDefault="00850280" w:rsidP="00850280">
      <w:pPr>
        <w:numPr>
          <w:ilvl w:val="1"/>
          <w:numId w:val="7"/>
        </w:numPr>
      </w:pPr>
      <w:r w:rsidRPr="00850280">
        <w:rPr>
          <w:i/>
          <w:iCs/>
        </w:rPr>
        <w:t xml:space="preserve">Candida </w:t>
      </w:r>
      <w:proofErr w:type="spellStart"/>
      <w:r w:rsidRPr="00850280">
        <w:rPr>
          <w:i/>
          <w:iCs/>
        </w:rPr>
        <w:t>auris</w:t>
      </w:r>
      <w:proofErr w:type="spellEnd"/>
    </w:p>
    <w:p w14:paraId="1DFB0199" w14:textId="77777777" w:rsidR="00850280" w:rsidRPr="00850280" w:rsidRDefault="00850280" w:rsidP="00850280">
      <w:pPr>
        <w:numPr>
          <w:ilvl w:val="1"/>
          <w:numId w:val="7"/>
        </w:numPr>
      </w:pPr>
      <w:proofErr w:type="spellStart"/>
      <w:r w:rsidRPr="00850280">
        <w:rPr>
          <w:i/>
          <w:iCs/>
        </w:rPr>
        <w:t>Clostridioides</w:t>
      </w:r>
      <w:proofErr w:type="spellEnd"/>
      <w:r w:rsidRPr="00850280">
        <w:rPr>
          <w:i/>
          <w:iCs/>
        </w:rPr>
        <w:t xml:space="preserve"> difficile</w:t>
      </w:r>
    </w:p>
    <w:p w14:paraId="4179192F" w14:textId="77777777" w:rsidR="00850280" w:rsidRPr="00850280" w:rsidRDefault="00850280" w:rsidP="00850280">
      <w:pPr>
        <w:numPr>
          <w:ilvl w:val="1"/>
          <w:numId w:val="7"/>
        </w:numPr>
      </w:pPr>
      <w:r w:rsidRPr="00850280">
        <w:rPr>
          <w:b/>
          <w:bCs/>
        </w:rPr>
        <w:t xml:space="preserve">Carbapenem-resistant </w:t>
      </w:r>
      <w:proofErr w:type="spellStart"/>
      <w:r w:rsidRPr="00850280">
        <w:rPr>
          <w:b/>
          <w:bCs/>
          <w:i/>
          <w:iCs/>
        </w:rPr>
        <w:t>Enterobacterales</w:t>
      </w:r>
      <w:proofErr w:type="spellEnd"/>
    </w:p>
    <w:p w14:paraId="789941EE" w14:textId="2DF301EF" w:rsidR="00890D2D" w:rsidRDefault="007836CD" w:rsidP="00890D2D">
      <w:r w:rsidRPr="00890D2D">
        <w:rPr>
          <w:b/>
        </w:rPr>
        <w:t>Slide 30</w:t>
      </w:r>
      <w:r w:rsidR="00890D2D" w:rsidRPr="00890D2D">
        <w:rPr>
          <w:b/>
        </w:rPr>
        <w:br/>
      </w:r>
      <w:r w:rsidR="00890D2D" w:rsidRPr="00890D2D">
        <w:rPr>
          <w:b/>
        </w:rPr>
        <w:t xml:space="preserve">Antibiotic Resistance: Targeting </w:t>
      </w:r>
      <w:proofErr w:type="spellStart"/>
      <w:r w:rsidR="00890D2D" w:rsidRPr="00890D2D">
        <w:rPr>
          <w:b/>
        </w:rPr>
        <w:t>Carbapenemase</w:t>
      </w:r>
      <w:proofErr w:type="spellEnd"/>
      <w:r w:rsidR="00890D2D" w:rsidRPr="00890D2D">
        <w:rPr>
          <w:b/>
        </w:rPr>
        <w:t>-producing Organisms (CPO) in MA</w:t>
      </w:r>
    </w:p>
    <w:p w14:paraId="322F47CB" w14:textId="6D44846D" w:rsidR="00890D2D" w:rsidRPr="00890D2D" w:rsidRDefault="00890D2D" w:rsidP="00890D2D">
      <w:pPr>
        <w:pStyle w:val="ListParagraph"/>
        <w:numPr>
          <w:ilvl w:val="0"/>
          <w:numId w:val="11"/>
        </w:numPr>
      </w:pPr>
      <w:r w:rsidRPr="00890D2D">
        <w:t xml:space="preserve">Carbapenems are a class of antibiotics often considered a “last resort” to treat infections caused by </w:t>
      </w:r>
      <w:proofErr w:type="spellStart"/>
      <w:r w:rsidRPr="00890D2D">
        <w:t>Enterobacterales</w:t>
      </w:r>
      <w:proofErr w:type="spellEnd"/>
      <w:r w:rsidRPr="00890D2D">
        <w:t>, Pseudomonas and Acinetobacter</w:t>
      </w:r>
    </w:p>
    <w:p w14:paraId="5AE2141B" w14:textId="77777777" w:rsidR="00890D2D" w:rsidRPr="00890D2D" w:rsidRDefault="00890D2D" w:rsidP="00890D2D">
      <w:pPr>
        <w:numPr>
          <w:ilvl w:val="0"/>
          <w:numId w:val="9"/>
        </w:numPr>
      </w:pPr>
      <w:r w:rsidRPr="00890D2D">
        <w:t xml:space="preserve">One way these organisms are resistant to carbapenems is by producing </w:t>
      </w:r>
      <w:proofErr w:type="spellStart"/>
      <w:r w:rsidRPr="00890D2D">
        <w:t>carbapenemases</w:t>
      </w:r>
      <w:proofErr w:type="spellEnd"/>
    </w:p>
    <w:p w14:paraId="2E2A3616" w14:textId="77777777" w:rsidR="00890D2D" w:rsidRPr="00890D2D" w:rsidRDefault="00890D2D" w:rsidP="00890D2D">
      <w:pPr>
        <w:numPr>
          <w:ilvl w:val="0"/>
          <w:numId w:val="10"/>
        </w:numPr>
      </w:pPr>
      <w:r w:rsidRPr="00890D2D">
        <w:t xml:space="preserve">A </w:t>
      </w:r>
      <w:proofErr w:type="spellStart"/>
      <w:r w:rsidRPr="00890D2D">
        <w:t>carbapanemase</w:t>
      </w:r>
      <w:proofErr w:type="spellEnd"/>
      <w:r w:rsidRPr="00890D2D">
        <w:t xml:space="preserve"> is an enzyme that can break down (and thus resist) many classes of antibiotics, including carbapenems, making infections with these organisms harder to treat</w:t>
      </w:r>
    </w:p>
    <w:p w14:paraId="2469C183" w14:textId="77777777" w:rsidR="00890D2D" w:rsidRPr="00890D2D" w:rsidRDefault="00890D2D" w:rsidP="00890D2D">
      <w:pPr>
        <w:numPr>
          <w:ilvl w:val="0"/>
          <w:numId w:val="10"/>
        </w:numPr>
      </w:pPr>
      <w:r w:rsidRPr="00890D2D">
        <w:t xml:space="preserve">Genes that program the organism to produce a </w:t>
      </w:r>
      <w:proofErr w:type="spellStart"/>
      <w:r w:rsidRPr="00890D2D">
        <w:t>carbapenemase</w:t>
      </w:r>
      <w:proofErr w:type="spellEnd"/>
      <w:r w:rsidRPr="00890D2D">
        <w:t xml:space="preserve"> can be shared between bacteria</w:t>
      </w:r>
    </w:p>
    <w:p w14:paraId="08317810" w14:textId="77777777" w:rsidR="00890D2D" w:rsidRPr="00890D2D" w:rsidRDefault="00890D2D" w:rsidP="00890D2D">
      <w:pPr>
        <w:numPr>
          <w:ilvl w:val="0"/>
          <w:numId w:val="10"/>
        </w:numPr>
      </w:pPr>
      <w:proofErr w:type="spellStart"/>
      <w:r w:rsidRPr="00890D2D">
        <w:t>Carbapenemase</w:t>
      </w:r>
      <w:proofErr w:type="spellEnd"/>
      <w:r w:rsidRPr="00890D2D">
        <w:t xml:space="preserve"> gene targets: KPC, NDM, VIM, OXA and IMP</w:t>
      </w:r>
    </w:p>
    <w:p w14:paraId="6D82AE2E" w14:textId="77777777" w:rsidR="00890D2D" w:rsidRDefault="00890D2D" w:rsidP="00890D2D">
      <w:pPr>
        <w:rPr>
          <w:b/>
        </w:rPr>
      </w:pPr>
    </w:p>
    <w:p w14:paraId="7EB9BF62" w14:textId="485B3164" w:rsidR="00890D2D" w:rsidRPr="00890D2D" w:rsidRDefault="0068016D" w:rsidP="00890D2D">
      <w:pPr>
        <w:rPr>
          <w:b/>
          <w:bCs/>
        </w:rPr>
      </w:pPr>
      <w:r>
        <w:rPr>
          <w:b/>
        </w:rPr>
        <w:t>Slide 31</w:t>
      </w:r>
      <w:r w:rsidR="00890D2D">
        <w:rPr>
          <w:b/>
        </w:rPr>
        <w:br/>
      </w:r>
      <w:r w:rsidR="00890D2D" w:rsidRPr="00890D2D">
        <w:rPr>
          <w:b/>
          <w:bCs/>
        </w:rPr>
        <w:t xml:space="preserve">Antibiotic Resistance Surveillance: </w:t>
      </w:r>
      <w:r w:rsidR="00890D2D">
        <w:rPr>
          <w:b/>
          <w:bCs/>
        </w:rPr>
        <w:br/>
      </w:r>
      <w:r w:rsidR="00890D2D" w:rsidRPr="00890D2D">
        <w:rPr>
          <w:b/>
          <w:bCs/>
        </w:rPr>
        <w:t>Reporting and Laboratory Testing</w:t>
      </w:r>
    </w:p>
    <w:p w14:paraId="029ADC8F" w14:textId="77777777" w:rsidR="00890D2D" w:rsidRPr="00890D2D" w:rsidRDefault="00890D2D" w:rsidP="00890D2D">
      <w:pPr>
        <w:numPr>
          <w:ilvl w:val="0"/>
          <w:numId w:val="12"/>
        </w:numPr>
      </w:pPr>
      <w:r w:rsidRPr="00890D2D">
        <w:t>Electronic laboratory reporting (ELR) of mandatory MDROs of concern into the Massachusetts Virtual Epidemiologic Network (MAVEN)</w:t>
      </w:r>
    </w:p>
    <w:p w14:paraId="0A0C1106" w14:textId="77777777" w:rsidR="00890D2D" w:rsidRPr="00890D2D" w:rsidRDefault="00890D2D" w:rsidP="00890D2D">
      <w:pPr>
        <w:numPr>
          <w:ilvl w:val="0"/>
          <w:numId w:val="12"/>
        </w:numPr>
      </w:pPr>
      <w:r w:rsidRPr="00890D2D">
        <w:t>Mandatory submission of selected MDRO isolates to the Massachusetts State Public Health Laboratory (MA SPHL) for advanced testing here and at our partner ARLN laboratory, The Wadsworth Center in New York:</w:t>
      </w:r>
    </w:p>
    <w:p w14:paraId="0BF5DA11" w14:textId="77777777" w:rsidR="00890D2D" w:rsidRPr="00890D2D" w:rsidRDefault="00890D2D" w:rsidP="00890D2D">
      <w:pPr>
        <w:numPr>
          <w:ilvl w:val="2"/>
          <w:numId w:val="12"/>
        </w:numPr>
      </w:pPr>
      <w:r w:rsidRPr="00890D2D">
        <w:t xml:space="preserve">Identify novel resistance mechanisms such as genes that code for </w:t>
      </w:r>
      <w:proofErr w:type="spellStart"/>
      <w:r w:rsidRPr="00890D2D">
        <w:t>carbapenemase</w:t>
      </w:r>
      <w:proofErr w:type="spellEnd"/>
      <w:r w:rsidRPr="00890D2D">
        <w:t xml:space="preserve"> production or colistin resistance</w:t>
      </w:r>
    </w:p>
    <w:p w14:paraId="71BB8233" w14:textId="77777777" w:rsidR="00890D2D" w:rsidRPr="00890D2D" w:rsidRDefault="00890D2D" w:rsidP="00890D2D">
      <w:pPr>
        <w:numPr>
          <w:ilvl w:val="2"/>
          <w:numId w:val="12"/>
        </w:numPr>
      </w:pPr>
      <w:r w:rsidRPr="00890D2D">
        <w:t xml:space="preserve">Identify </w:t>
      </w:r>
      <w:r w:rsidRPr="00890D2D">
        <w:rPr>
          <w:i/>
          <w:iCs/>
        </w:rPr>
        <w:t xml:space="preserve">Candida </w:t>
      </w:r>
      <w:proofErr w:type="spellStart"/>
      <w:r w:rsidRPr="00890D2D">
        <w:rPr>
          <w:i/>
          <w:iCs/>
        </w:rPr>
        <w:t>auris</w:t>
      </w:r>
      <w:proofErr w:type="spellEnd"/>
    </w:p>
    <w:p w14:paraId="417ECCC6" w14:textId="77777777" w:rsidR="00890D2D" w:rsidRPr="00890D2D" w:rsidRDefault="00890D2D" w:rsidP="00890D2D">
      <w:pPr>
        <w:numPr>
          <w:ilvl w:val="2"/>
          <w:numId w:val="12"/>
        </w:numPr>
      </w:pPr>
      <w:r w:rsidRPr="00890D2D">
        <w:t>Test swabs to identify colonization with target organisms to detect transmission within a healthcare facility</w:t>
      </w:r>
    </w:p>
    <w:p w14:paraId="3882B09B" w14:textId="77777777" w:rsidR="00890D2D" w:rsidRPr="00890D2D" w:rsidRDefault="00890D2D" w:rsidP="00890D2D">
      <w:pPr>
        <w:numPr>
          <w:ilvl w:val="2"/>
          <w:numId w:val="12"/>
        </w:numPr>
      </w:pPr>
      <w:r w:rsidRPr="00890D2D">
        <w:t>Conduct whole-genome sequencing to determine relatedness of organisms to identify transmission pathways within and across healthcare facilities</w:t>
      </w:r>
    </w:p>
    <w:p w14:paraId="69E38305" w14:textId="77777777" w:rsidR="00890D2D" w:rsidRDefault="00890D2D" w:rsidP="00890D2D">
      <w:pPr>
        <w:rPr>
          <w:b/>
        </w:rPr>
      </w:pPr>
    </w:p>
    <w:p w14:paraId="26C0FB6F" w14:textId="16167288" w:rsidR="0068016D" w:rsidRPr="00A45FA5" w:rsidRDefault="0068016D" w:rsidP="0068016D">
      <w:pPr>
        <w:rPr>
          <w:b/>
        </w:rPr>
      </w:pPr>
      <w:r w:rsidRPr="00890D2D">
        <w:rPr>
          <w:b/>
        </w:rPr>
        <w:t>Slide 32</w:t>
      </w:r>
      <w:r w:rsidR="00890D2D" w:rsidRPr="00890D2D">
        <w:rPr>
          <w:b/>
        </w:rPr>
        <w:br/>
      </w:r>
      <w:r w:rsidR="00890D2D" w:rsidRPr="00890D2D">
        <w:rPr>
          <w:b/>
        </w:rPr>
        <w:t>Antibiotic Resistance Surveillance:</w:t>
      </w:r>
      <w:r w:rsidR="00890D2D" w:rsidRPr="00890D2D">
        <w:rPr>
          <w:b/>
        </w:rPr>
        <w:br/>
      </w:r>
      <w:proofErr w:type="spellStart"/>
      <w:r w:rsidR="00890D2D" w:rsidRPr="00A45FA5">
        <w:rPr>
          <w:b/>
        </w:rPr>
        <w:t>Carbapenemase</w:t>
      </w:r>
      <w:proofErr w:type="spellEnd"/>
      <w:r w:rsidR="00890D2D" w:rsidRPr="00A45FA5">
        <w:rPr>
          <w:b/>
        </w:rPr>
        <w:t>-producing Organisms (CPOs</w:t>
      </w:r>
      <w:r w:rsidR="00A45FA5" w:rsidRPr="00A45FA5">
        <w:rPr>
          <w:b/>
        </w:rPr>
        <w:t>)</w:t>
      </w:r>
      <w:r w:rsidR="00890D2D" w:rsidRPr="00A45FA5">
        <w:rPr>
          <w:b/>
        </w:rPr>
        <w:t xml:space="preserve"> in MA</w:t>
      </w:r>
      <w:r w:rsidR="00A45FA5" w:rsidRPr="00A45FA5">
        <w:rPr>
          <w:b/>
        </w:rPr>
        <w:br/>
      </w:r>
      <w:r w:rsidR="00A45FA5">
        <w:t xml:space="preserve">A bar graph depicting </w:t>
      </w:r>
      <w:proofErr w:type="spellStart"/>
      <w:r w:rsidR="00A45FA5" w:rsidRPr="00A45FA5">
        <w:t>Carbapenemase</w:t>
      </w:r>
      <w:proofErr w:type="spellEnd"/>
      <w:r w:rsidR="00A45FA5">
        <w:t xml:space="preserve"> Gene Targets identified in Massachusetts between 2017 – 2020.</w:t>
      </w:r>
    </w:p>
    <w:p w14:paraId="601D4C57" w14:textId="77777777" w:rsidR="00A45FA5" w:rsidRDefault="00A45FA5" w:rsidP="00A45FA5">
      <w:pPr>
        <w:rPr>
          <w:b/>
        </w:rPr>
      </w:pPr>
    </w:p>
    <w:p w14:paraId="4CB428DB" w14:textId="51E1D7B6" w:rsidR="00A45FA5" w:rsidRPr="00A45FA5" w:rsidRDefault="0068016D" w:rsidP="00A45FA5">
      <w:r w:rsidRPr="0068016D">
        <w:rPr>
          <w:b/>
        </w:rPr>
        <w:t>Slide 33</w:t>
      </w:r>
      <w:r w:rsidR="00A45FA5">
        <w:rPr>
          <w:b/>
        </w:rPr>
        <w:br/>
      </w:r>
      <w:r w:rsidR="00A45FA5" w:rsidRPr="00A45FA5">
        <w:rPr>
          <w:b/>
          <w:bCs/>
        </w:rPr>
        <w:t>Antibiotic Stewardship</w:t>
      </w:r>
    </w:p>
    <w:p w14:paraId="4C95A364" w14:textId="77777777" w:rsidR="00A45FA5" w:rsidRPr="00A45FA5" w:rsidRDefault="00A45FA5" w:rsidP="00A45FA5">
      <w:pPr>
        <w:numPr>
          <w:ilvl w:val="0"/>
          <w:numId w:val="13"/>
        </w:numPr>
      </w:pPr>
      <w:r w:rsidRPr="00A45FA5">
        <w:t>Studies indicate that between 30-50% of antibiotics prescribed in hospitals and between 40-75% of antibiotics prescribed in nursing homes are unnecessary*</w:t>
      </w:r>
    </w:p>
    <w:p w14:paraId="23AA14F6" w14:textId="77777777" w:rsidR="00A45FA5" w:rsidRPr="00A45FA5" w:rsidRDefault="00A45FA5" w:rsidP="00A45FA5">
      <w:pPr>
        <w:numPr>
          <w:ilvl w:val="0"/>
          <w:numId w:val="13"/>
        </w:numPr>
      </w:pPr>
      <w:r w:rsidRPr="00A45FA5">
        <w:t xml:space="preserve">Improved prescribing practices can help reduce rates of </w:t>
      </w:r>
      <w:proofErr w:type="spellStart"/>
      <w:r w:rsidRPr="00A45FA5">
        <w:rPr>
          <w:i/>
          <w:iCs/>
        </w:rPr>
        <w:t>Clostridioides</w:t>
      </w:r>
      <w:proofErr w:type="spellEnd"/>
      <w:r w:rsidRPr="00A45FA5">
        <w:rPr>
          <w:i/>
          <w:iCs/>
        </w:rPr>
        <w:t xml:space="preserve"> difficile </w:t>
      </w:r>
      <w:r w:rsidRPr="00A45FA5">
        <w:t>and antibiotic resistance</w:t>
      </w:r>
    </w:p>
    <w:p w14:paraId="4EF2EED8" w14:textId="77777777" w:rsidR="00A45FA5" w:rsidRPr="00A45FA5" w:rsidRDefault="00A45FA5" w:rsidP="00A45FA5">
      <w:pPr>
        <w:numPr>
          <w:ilvl w:val="0"/>
          <w:numId w:val="13"/>
        </w:numPr>
      </w:pPr>
      <w:r w:rsidRPr="00A45FA5">
        <w:t>Appropriate antibiotic prescribing can improve patient outcomes and reduce healthcare costs</w:t>
      </w:r>
    </w:p>
    <w:p w14:paraId="58C1A743" w14:textId="77777777" w:rsidR="00A45FA5" w:rsidRPr="00A45FA5" w:rsidRDefault="00A45FA5" w:rsidP="00A45FA5">
      <w:r w:rsidRPr="00A45FA5">
        <w:rPr>
          <w:b/>
          <w:bCs/>
        </w:rPr>
        <w:t>*</w:t>
      </w:r>
      <w:hyperlink r:id="rId9" w:history="1">
        <w:r w:rsidRPr="00A45FA5">
          <w:rPr>
            <w:rStyle w:val="Hyperlink"/>
          </w:rPr>
          <w:t>https://www.cdc.gov/antibiotic-use/healthcare/</w:t>
        </w:r>
      </w:hyperlink>
    </w:p>
    <w:p w14:paraId="183AAA88" w14:textId="77777777" w:rsidR="00A45FA5" w:rsidRPr="00A45FA5" w:rsidRDefault="00A45FA5" w:rsidP="00A45FA5">
      <w:hyperlink r:id="rId10" w:history="1">
        <w:r w:rsidRPr="00A45FA5">
          <w:rPr>
            <w:rStyle w:val="Hyperlink"/>
          </w:rPr>
          <w:t>https://www.cdc.gov/longtermcare/prevention/antibiotic-stewardship.html</w:t>
        </w:r>
      </w:hyperlink>
    </w:p>
    <w:p w14:paraId="420E19E1" w14:textId="77777777" w:rsidR="00A45FA5" w:rsidRDefault="00A45FA5" w:rsidP="0068016D">
      <w:pPr>
        <w:rPr>
          <w:b/>
        </w:rPr>
      </w:pPr>
    </w:p>
    <w:p w14:paraId="5812651D" w14:textId="77777777" w:rsidR="00A45FA5" w:rsidRPr="00A45FA5" w:rsidRDefault="00AB5FAE" w:rsidP="00A45FA5">
      <w:pPr>
        <w:rPr>
          <w:b/>
          <w:bCs/>
        </w:rPr>
      </w:pPr>
      <w:r w:rsidRPr="00AB5FAE">
        <w:rPr>
          <w:b/>
        </w:rPr>
        <w:t>Slide 34</w:t>
      </w:r>
      <w:r w:rsidR="00A45FA5">
        <w:rPr>
          <w:b/>
        </w:rPr>
        <w:br/>
      </w:r>
      <w:r w:rsidR="00A45FA5" w:rsidRPr="00A45FA5">
        <w:rPr>
          <w:b/>
          <w:bCs/>
        </w:rPr>
        <w:t>Antibiotic Stewardship: Prevention and Educational Activities</w:t>
      </w:r>
    </w:p>
    <w:p w14:paraId="24B85B39" w14:textId="77777777" w:rsidR="00A45FA5" w:rsidRPr="00A45FA5" w:rsidRDefault="00A45FA5" w:rsidP="00A45FA5">
      <w:pPr>
        <w:numPr>
          <w:ilvl w:val="0"/>
          <w:numId w:val="14"/>
        </w:numPr>
      </w:pPr>
      <w:r w:rsidRPr="00A45FA5">
        <w:rPr>
          <w:b/>
          <w:bCs/>
          <w:i/>
          <w:iCs/>
        </w:rPr>
        <w:t>NEW</w:t>
      </w:r>
      <w:r w:rsidRPr="00A45FA5">
        <w:rPr>
          <w:i/>
          <w:iCs/>
        </w:rPr>
        <w:t>: 34</w:t>
      </w:r>
      <w:r w:rsidRPr="00A45FA5">
        <w:t xml:space="preserve"> acute care hospitals participating in NHSN antibiotic use (AU) module to better understand</w:t>
      </w:r>
      <w:r w:rsidRPr="00A45FA5">
        <w:br/>
        <w:t>trends in antibiotic use and to monitor stewardship activities- will soon have access to antibiotic prescribing data for 50% of all acute-care facilities in MA</w:t>
      </w:r>
    </w:p>
    <w:p w14:paraId="4F905E44" w14:textId="77777777" w:rsidR="00A45FA5" w:rsidRPr="00A45FA5" w:rsidRDefault="00A45FA5" w:rsidP="00A45FA5">
      <w:pPr>
        <w:numPr>
          <w:ilvl w:val="0"/>
          <w:numId w:val="14"/>
        </w:numPr>
      </w:pPr>
      <w:r w:rsidRPr="00A45FA5">
        <w:t>Collection, monitoring, and benchmarking of facility-level antibiotic use data in long-term care facilities (106 facilities reported at least one month of data in 2020, average of 58 participating facilities each month)</w:t>
      </w:r>
    </w:p>
    <w:p w14:paraId="707D3842" w14:textId="77777777" w:rsidR="00A45FA5" w:rsidRPr="00A45FA5" w:rsidRDefault="00A45FA5" w:rsidP="00A45FA5">
      <w:pPr>
        <w:numPr>
          <w:ilvl w:val="0"/>
          <w:numId w:val="14"/>
        </w:numPr>
      </w:pPr>
      <w:r w:rsidRPr="00A45FA5">
        <w:rPr>
          <w:b/>
          <w:bCs/>
          <w:i/>
          <w:iCs/>
        </w:rPr>
        <w:t>NEW</w:t>
      </w:r>
      <w:r w:rsidRPr="00A45FA5">
        <w:rPr>
          <w:i/>
          <w:iCs/>
        </w:rPr>
        <w:t xml:space="preserve">: </w:t>
      </w:r>
      <w:r w:rsidRPr="00A45FA5">
        <w:t>Renewed collaboration with antibiotic stewardship (AS) experts from Tufts Medical Center to enhance AS support and activities in our long-term care facilities</w:t>
      </w:r>
    </w:p>
    <w:p w14:paraId="0EE428DA" w14:textId="77777777" w:rsidR="00A45FA5" w:rsidRPr="00A45FA5" w:rsidRDefault="00A45FA5" w:rsidP="00A45FA5">
      <w:pPr>
        <w:numPr>
          <w:ilvl w:val="0"/>
          <w:numId w:val="14"/>
        </w:numPr>
      </w:pPr>
      <w:r w:rsidRPr="00A45FA5">
        <w:t xml:space="preserve">Held a statewide webinar for long-term care facilities on MDROs and Infection Control (n=150 participants) in </w:t>
      </w:r>
      <w:proofErr w:type="gramStart"/>
      <w:r w:rsidRPr="00A45FA5">
        <w:t>February,</w:t>
      </w:r>
      <w:proofErr w:type="gramEnd"/>
      <w:r w:rsidRPr="00A45FA5">
        <w:t xml:space="preserve"> 2020</w:t>
      </w:r>
    </w:p>
    <w:p w14:paraId="61FFE3D2" w14:textId="77777777" w:rsidR="00A45FA5" w:rsidRPr="00A45FA5" w:rsidRDefault="00A45FA5" w:rsidP="00A45FA5">
      <w:pPr>
        <w:numPr>
          <w:ilvl w:val="0"/>
          <w:numId w:val="14"/>
        </w:numPr>
      </w:pPr>
      <w:r w:rsidRPr="00A45FA5">
        <w:t xml:space="preserve">Publication of 10-year trends in MA Hospital </w:t>
      </w:r>
      <w:proofErr w:type="gramStart"/>
      <w:r w:rsidRPr="00A45FA5">
        <w:t>Antibiograms :</w:t>
      </w:r>
      <w:proofErr w:type="gramEnd"/>
      <w:r w:rsidRPr="00A45FA5">
        <w:rPr>
          <w:lang w:val="pt-BR"/>
        </w:rPr>
        <w:t xml:space="preserve"> </w:t>
      </w:r>
      <w:hyperlink r:id="rId11" w:history="1">
        <w:r w:rsidRPr="00A45FA5">
          <w:rPr>
            <w:rStyle w:val="Hyperlink"/>
            <w:lang w:val="pt-BR"/>
          </w:rPr>
          <w:t>https://doi.org/10.1017/ice.2020.395</w:t>
        </w:r>
      </w:hyperlink>
    </w:p>
    <w:p w14:paraId="30D3EB12" w14:textId="77777777" w:rsidR="00A45FA5" w:rsidRPr="00A45FA5" w:rsidRDefault="00A45FA5" w:rsidP="00A45FA5">
      <w:pPr>
        <w:numPr>
          <w:ilvl w:val="0"/>
          <w:numId w:val="14"/>
        </w:numPr>
      </w:pPr>
      <w:r w:rsidRPr="00A45FA5">
        <w:lastRenderedPageBreak/>
        <w:t>Engagement with subject matter experts and stakeholders during quarterly statewide HAI/AR Technical Advisory Group (TAG) meetings with formation of Antibiotic Use Subcommittee</w:t>
      </w:r>
    </w:p>
    <w:p w14:paraId="371C3513" w14:textId="77777777" w:rsidR="00A45FA5" w:rsidRDefault="00A45FA5" w:rsidP="0068016D">
      <w:pPr>
        <w:rPr>
          <w:b/>
        </w:rPr>
      </w:pPr>
    </w:p>
    <w:p w14:paraId="57333465" w14:textId="77777777" w:rsidR="00A45FA5" w:rsidRPr="00A45FA5" w:rsidRDefault="00AB5FAE" w:rsidP="00A45FA5">
      <w:r>
        <w:rPr>
          <w:b/>
        </w:rPr>
        <w:t>Slide 35</w:t>
      </w:r>
      <w:r w:rsidR="00A45FA5">
        <w:rPr>
          <w:b/>
        </w:rPr>
        <w:br/>
      </w:r>
      <w:r w:rsidR="00A45FA5" w:rsidRPr="00A45FA5">
        <w:rPr>
          <w:b/>
          <w:bCs/>
        </w:rPr>
        <w:t>Contact Information</w:t>
      </w:r>
      <w:r w:rsidRPr="00AB5FAE">
        <w:br/>
      </w:r>
      <w:r w:rsidR="00A45FA5">
        <w:br/>
      </w:r>
      <w:r w:rsidR="00A45FA5" w:rsidRPr="00A45FA5">
        <w:t>Thank you for the opportunity to present this information today.</w:t>
      </w:r>
    </w:p>
    <w:p w14:paraId="626DEC38" w14:textId="77777777" w:rsidR="00A45FA5" w:rsidRPr="00A45FA5" w:rsidRDefault="00A45FA5" w:rsidP="00A45FA5">
      <w:r w:rsidRPr="00A45FA5">
        <w:t>Please direct any questions to:</w:t>
      </w:r>
    </w:p>
    <w:p w14:paraId="2E0BFEE8" w14:textId="77777777" w:rsidR="00A45FA5" w:rsidRPr="00A45FA5" w:rsidRDefault="00A45FA5" w:rsidP="00A45FA5">
      <w:r w:rsidRPr="00A45FA5">
        <w:t>Eileen McHale, RN, BSN</w:t>
      </w:r>
    </w:p>
    <w:p w14:paraId="1D3EC69A" w14:textId="77777777" w:rsidR="00A45FA5" w:rsidRPr="00A45FA5" w:rsidRDefault="00A45FA5" w:rsidP="00A45FA5">
      <w:r w:rsidRPr="00A45FA5">
        <w:t>Healthcare Associated Infection Coordinator</w:t>
      </w:r>
    </w:p>
    <w:p w14:paraId="0C55BDE4" w14:textId="77777777" w:rsidR="00A45FA5" w:rsidRPr="00A45FA5" w:rsidRDefault="00A45FA5" w:rsidP="00A45FA5">
      <w:r w:rsidRPr="00A45FA5">
        <w:t>Bureau of Health Care Safety and Quality</w:t>
      </w:r>
    </w:p>
    <w:p w14:paraId="3703E3BA" w14:textId="660B202F" w:rsidR="00AB5FAE" w:rsidRDefault="00A45FA5" w:rsidP="00A45FA5">
      <w:hyperlink r:id="rId12" w:history="1">
        <w:r w:rsidRPr="00A45FA5">
          <w:rPr>
            <w:rStyle w:val="Hyperlink"/>
          </w:rPr>
          <w:t>eileen.mchale@state.ma.us</w:t>
        </w:r>
      </w:hyperlink>
    </w:p>
    <w:sectPr w:rsidR="00AB5F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mj-cs">
    <w:panose1 w:val="00000000000000000000"/>
    <w:charset w:val="00"/>
    <w:family w:val="roman"/>
    <w:notTrueType/>
    <w:pitch w:val="default"/>
  </w:font>
  <w:font w:name="+mn-c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578FD"/>
    <w:multiLevelType w:val="hybridMultilevel"/>
    <w:tmpl w:val="C0169418"/>
    <w:lvl w:ilvl="0" w:tplc="00AACA52">
      <w:start w:val="1"/>
      <w:numFmt w:val="bullet"/>
      <w:lvlText w:val="•"/>
      <w:lvlJc w:val="left"/>
      <w:pPr>
        <w:tabs>
          <w:tab w:val="num" w:pos="720"/>
        </w:tabs>
        <w:ind w:left="720" w:hanging="360"/>
      </w:pPr>
      <w:rPr>
        <w:rFonts w:ascii="Arial" w:hAnsi="Arial" w:hint="default"/>
      </w:rPr>
    </w:lvl>
    <w:lvl w:ilvl="1" w:tplc="4D2ADA84" w:tentative="1">
      <w:start w:val="1"/>
      <w:numFmt w:val="bullet"/>
      <w:lvlText w:val="•"/>
      <w:lvlJc w:val="left"/>
      <w:pPr>
        <w:tabs>
          <w:tab w:val="num" w:pos="1440"/>
        </w:tabs>
        <w:ind w:left="1440" w:hanging="360"/>
      </w:pPr>
      <w:rPr>
        <w:rFonts w:ascii="Arial" w:hAnsi="Arial" w:hint="default"/>
      </w:rPr>
    </w:lvl>
    <w:lvl w:ilvl="2" w:tplc="A24CD306" w:tentative="1">
      <w:start w:val="1"/>
      <w:numFmt w:val="bullet"/>
      <w:lvlText w:val="•"/>
      <w:lvlJc w:val="left"/>
      <w:pPr>
        <w:tabs>
          <w:tab w:val="num" w:pos="2160"/>
        </w:tabs>
        <w:ind w:left="2160" w:hanging="360"/>
      </w:pPr>
      <w:rPr>
        <w:rFonts w:ascii="Arial" w:hAnsi="Arial" w:hint="default"/>
      </w:rPr>
    </w:lvl>
    <w:lvl w:ilvl="3" w:tplc="3F1CA622" w:tentative="1">
      <w:start w:val="1"/>
      <w:numFmt w:val="bullet"/>
      <w:lvlText w:val="•"/>
      <w:lvlJc w:val="left"/>
      <w:pPr>
        <w:tabs>
          <w:tab w:val="num" w:pos="2880"/>
        </w:tabs>
        <w:ind w:left="2880" w:hanging="360"/>
      </w:pPr>
      <w:rPr>
        <w:rFonts w:ascii="Arial" w:hAnsi="Arial" w:hint="default"/>
      </w:rPr>
    </w:lvl>
    <w:lvl w:ilvl="4" w:tplc="CFB4CCB0" w:tentative="1">
      <w:start w:val="1"/>
      <w:numFmt w:val="bullet"/>
      <w:lvlText w:val="•"/>
      <w:lvlJc w:val="left"/>
      <w:pPr>
        <w:tabs>
          <w:tab w:val="num" w:pos="3600"/>
        </w:tabs>
        <w:ind w:left="3600" w:hanging="360"/>
      </w:pPr>
      <w:rPr>
        <w:rFonts w:ascii="Arial" w:hAnsi="Arial" w:hint="default"/>
      </w:rPr>
    </w:lvl>
    <w:lvl w:ilvl="5" w:tplc="2A74FCBC" w:tentative="1">
      <w:start w:val="1"/>
      <w:numFmt w:val="bullet"/>
      <w:lvlText w:val="•"/>
      <w:lvlJc w:val="left"/>
      <w:pPr>
        <w:tabs>
          <w:tab w:val="num" w:pos="4320"/>
        </w:tabs>
        <w:ind w:left="4320" w:hanging="360"/>
      </w:pPr>
      <w:rPr>
        <w:rFonts w:ascii="Arial" w:hAnsi="Arial" w:hint="default"/>
      </w:rPr>
    </w:lvl>
    <w:lvl w:ilvl="6" w:tplc="7082BAD2" w:tentative="1">
      <w:start w:val="1"/>
      <w:numFmt w:val="bullet"/>
      <w:lvlText w:val="•"/>
      <w:lvlJc w:val="left"/>
      <w:pPr>
        <w:tabs>
          <w:tab w:val="num" w:pos="5040"/>
        </w:tabs>
        <w:ind w:left="5040" w:hanging="360"/>
      </w:pPr>
      <w:rPr>
        <w:rFonts w:ascii="Arial" w:hAnsi="Arial" w:hint="default"/>
      </w:rPr>
    </w:lvl>
    <w:lvl w:ilvl="7" w:tplc="A02E6F1A" w:tentative="1">
      <w:start w:val="1"/>
      <w:numFmt w:val="bullet"/>
      <w:lvlText w:val="•"/>
      <w:lvlJc w:val="left"/>
      <w:pPr>
        <w:tabs>
          <w:tab w:val="num" w:pos="5760"/>
        </w:tabs>
        <w:ind w:left="5760" w:hanging="360"/>
      </w:pPr>
      <w:rPr>
        <w:rFonts w:ascii="Arial" w:hAnsi="Arial" w:hint="default"/>
      </w:rPr>
    </w:lvl>
    <w:lvl w:ilvl="8" w:tplc="C576B4F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0F0BAA"/>
    <w:multiLevelType w:val="hybridMultilevel"/>
    <w:tmpl w:val="51B60218"/>
    <w:lvl w:ilvl="0" w:tplc="D4045940">
      <w:start w:val="1"/>
      <w:numFmt w:val="bullet"/>
      <w:lvlText w:val="•"/>
      <w:lvlJc w:val="left"/>
      <w:pPr>
        <w:tabs>
          <w:tab w:val="num" w:pos="720"/>
        </w:tabs>
        <w:ind w:left="720" w:hanging="360"/>
      </w:pPr>
      <w:rPr>
        <w:rFonts w:ascii="Arial" w:hAnsi="Arial" w:hint="default"/>
      </w:rPr>
    </w:lvl>
    <w:lvl w:ilvl="1" w:tplc="7F64B8BA" w:tentative="1">
      <w:start w:val="1"/>
      <w:numFmt w:val="bullet"/>
      <w:lvlText w:val="•"/>
      <w:lvlJc w:val="left"/>
      <w:pPr>
        <w:tabs>
          <w:tab w:val="num" w:pos="1440"/>
        </w:tabs>
        <w:ind w:left="1440" w:hanging="360"/>
      </w:pPr>
      <w:rPr>
        <w:rFonts w:ascii="Arial" w:hAnsi="Arial" w:hint="default"/>
      </w:rPr>
    </w:lvl>
    <w:lvl w:ilvl="2" w:tplc="573875BC" w:tentative="1">
      <w:start w:val="1"/>
      <w:numFmt w:val="bullet"/>
      <w:lvlText w:val="•"/>
      <w:lvlJc w:val="left"/>
      <w:pPr>
        <w:tabs>
          <w:tab w:val="num" w:pos="2160"/>
        </w:tabs>
        <w:ind w:left="2160" w:hanging="360"/>
      </w:pPr>
      <w:rPr>
        <w:rFonts w:ascii="Arial" w:hAnsi="Arial" w:hint="default"/>
      </w:rPr>
    </w:lvl>
    <w:lvl w:ilvl="3" w:tplc="110AEBFC" w:tentative="1">
      <w:start w:val="1"/>
      <w:numFmt w:val="bullet"/>
      <w:lvlText w:val="•"/>
      <w:lvlJc w:val="left"/>
      <w:pPr>
        <w:tabs>
          <w:tab w:val="num" w:pos="2880"/>
        </w:tabs>
        <w:ind w:left="2880" w:hanging="360"/>
      </w:pPr>
      <w:rPr>
        <w:rFonts w:ascii="Arial" w:hAnsi="Arial" w:hint="default"/>
      </w:rPr>
    </w:lvl>
    <w:lvl w:ilvl="4" w:tplc="CCE02A0A" w:tentative="1">
      <w:start w:val="1"/>
      <w:numFmt w:val="bullet"/>
      <w:lvlText w:val="•"/>
      <w:lvlJc w:val="left"/>
      <w:pPr>
        <w:tabs>
          <w:tab w:val="num" w:pos="3600"/>
        </w:tabs>
        <w:ind w:left="3600" w:hanging="360"/>
      </w:pPr>
      <w:rPr>
        <w:rFonts w:ascii="Arial" w:hAnsi="Arial" w:hint="default"/>
      </w:rPr>
    </w:lvl>
    <w:lvl w:ilvl="5" w:tplc="1F880302" w:tentative="1">
      <w:start w:val="1"/>
      <w:numFmt w:val="bullet"/>
      <w:lvlText w:val="•"/>
      <w:lvlJc w:val="left"/>
      <w:pPr>
        <w:tabs>
          <w:tab w:val="num" w:pos="4320"/>
        </w:tabs>
        <w:ind w:left="4320" w:hanging="360"/>
      </w:pPr>
      <w:rPr>
        <w:rFonts w:ascii="Arial" w:hAnsi="Arial" w:hint="default"/>
      </w:rPr>
    </w:lvl>
    <w:lvl w:ilvl="6" w:tplc="A2008C52" w:tentative="1">
      <w:start w:val="1"/>
      <w:numFmt w:val="bullet"/>
      <w:lvlText w:val="•"/>
      <w:lvlJc w:val="left"/>
      <w:pPr>
        <w:tabs>
          <w:tab w:val="num" w:pos="5040"/>
        </w:tabs>
        <w:ind w:left="5040" w:hanging="360"/>
      </w:pPr>
      <w:rPr>
        <w:rFonts w:ascii="Arial" w:hAnsi="Arial" w:hint="default"/>
      </w:rPr>
    </w:lvl>
    <w:lvl w:ilvl="7" w:tplc="997002D6" w:tentative="1">
      <w:start w:val="1"/>
      <w:numFmt w:val="bullet"/>
      <w:lvlText w:val="•"/>
      <w:lvlJc w:val="left"/>
      <w:pPr>
        <w:tabs>
          <w:tab w:val="num" w:pos="5760"/>
        </w:tabs>
        <w:ind w:left="5760" w:hanging="360"/>
      </w:pPr>
      <w:rPr>
        <w:rFonts w:ascii="Arial" w:hAnsi="Arial" w:hint="default"/>
      </w:rPr>
    </w:lvl>
    <w:lvl w:ilvl="8" w:tplc="395CE99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35F7B9C"/>
    <w:multiLevelType w:val="hybridMultilevel"/>
    <w:tmpl w:val="DDE05AD8"/>
    <w:lvl w:ilvl="0" w:tplc="80C68C8E">
      <w:start w:val="1"/>
      <w:numFmt w:val="bullet"/>
      <w:lvlText w:val="•"/>
      <w:lvlJc w:val="left"/>
      <w:pPr>
        <w:tabs>
          <w:tab w:val="num" w:pos="720"/>
        </w:tabs>
        <w:ind w:left="720" w:hanging="360"/>
      </w:pPr>
      <w:rPr>
        <w:rFonts w:ascii="Arial" w:hAnsi="Arial" w:hint="default"/>
      </w:rPr>
    </w:lvl>
    <w:lvl w:ilvl="1" w:tplc="CC127D40" w:tentative="1">
      <w:start w:val="1"/>
      <w:numFmt w:val="bullet"/>
      <w:lvlText w:val="•"/>
      <w:lvlJc w:val="left"/>
      <w:pPr>
        <w:tabs>
          <w:tab w:val="num" w:pos="1440"/>
        </w:tabs>
        <w:ind w:left="1440" w:hanging="360"/>
      </w:pPr>
      <w:rPr>
        <w:rFonts w:ascii="Arial" w:hAnsi="Arial" w:hint="default"/>
      </w:rPr>
    </w:lvl>
    <w:lvl w:ilvl="2" w:tplc="77BAA52A" w:tentative="1">
      <w:start w:val="1"/>
      <w:numFmt w:val="bullet"/>
      <w:lvlText w:val="•"/>
      <w:lvlJc w:val="left"/>
      <w:pPr>
        <w:tabs>
          <w:tab w:val="num" w:pos="2160"/>
        </w:tabs>
        <w:ind w:left="2160" w:hanging="360"/>
      </w:pPr>
      <w:rPr>
        <w:rFonts w:ascii="Arial" w:hAnsi="Arial" w:hint="default"/>
      </w:rPr>
    </w:lvl>
    <w:lvl w:ilvl="3" w:tplc="EBD04FD6" w:tentative="1">
      <w:start w:val="1"/>
      <w:numFmt w:val="bullet"/>
      <w:lvlText w:val="•"/>
      <w:lvlJc w:val="left"/>
      <w:pPr>
        <w:tabs>
          <w:tab w:val="num" w:pos="2880"/>
        </w:tabs>
        <w:ind w:left="2880" w:hanging="360"/>
      </w:pPr>
      <w:rPr>
        <w:rFonts w:ascii="Arial" w:hAnsi="Arial" w:hint="default"/>
      </w:rPr>
    </w:lvl>
    <w:lvl w:ilvl="4" w:tplc="39AAB060" w:tentative="1">
      <w:start w:val="1"/>
      <w:numFmt w:val="bullet"/>
      <w:lvlText w:val="•"/>
      <w:lvlJc w:val="left"/>
      <w:pPr>
        <w:tabs>
          <w:tab w:val="num" w:pos="3600"/>
        </w:tabs>
        <w:ind w:left="3600" w:hanging="360"/>
      </w:pPr>
      <w:rPr>
        <w:rFonts w:ascii="Arial" w:hAnsi="Arial" w:hint="default"/>
      </w:rPr>
    </w:lvl>
    <w:lvl w:ilvl="5" w:tplc="0A4C572C" w:tentative="1">
      <w:start w:val="1"/>
      <w:numFmt w:val="bullet"/>
      <w:lvlText w:val="•"/>
      <w:lvlJc w:val="left"/>
      <w:pPr>
        <w:tabs>
          <w:tab w:val="num" w:pos="4320"/>
        </w:tabs>
        <w:ind w:left="4320" w:hanging="360"/>
      </w:pPr>
      <w:rPr>
        <w:rFonts w:ascii="Arial" w:hAnsi="Arial" w:hint="default"/>
      </w:rPr>
    </w:lvl>
    <w:lvl w:ilvl="6" w:tplc="A9E08538" w:tentative="1">
      <w:start w:val="1"/>
      <w:numFmt w:val="bullet"/>
      <w:lvlText w:val="•"/>
      <w:lvlJc w:val="left"/>
      <w:pPr>
        <w:tabs>
          <w:tab w:val="num" w:pos="5040"/>
        </w:tabs>
        <w:ind w:left="5040" w:hanging="360"/>
      </w:pPr>
      <w:rPr>
        <w:rFonts w:ascii="Arial" w:hAnsi="Arial" w:hint="default"/>
      </w:rPr>
    </w:lvl>
    <w:lvl w:ilvl="7" w:tplc="335A8988" w:tentative="1">
      <w:start w:val="1"/>
      <w:numFmt w:val="bullet"/>
      <w:lvlText w:val="•"/>
      <w:lvlJc w:val="left"/>
      <w:pPr>
        <w:tabs>
          <w:tab w:val="num" w:pos="5760"/>
        </w:tabs>
        <w:ind w:left="5760" w:hanging="360"/>
      </w:pPr>
      <w:rPr>
        <w:rFonts w:ascii="Arial" w:hAnsi="Arial" w:hint="default"/>
      </w:rPr>
    </w:lvl>
    <w:lvl w:ilvl="8" w:tplc="D03620F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7335CD7"/>
    <w:multiLevelType w:val="hybridMultilevel"/>
    <w:tmpl w:val="E2EE7CB0"/>
    <w:lvl w:ilvl="0" w:tplc="F5CC49CE">
      <w:start w:val="1"/>
      <w:numFmt w:val="bullet"/>
      <w:lvlText w:val="•"/>
      <w:lvlJc w:val="left"/>
      <w:pPr>
        <w:tabs>
          <w:tab w:val="num" w:pos="720"/>
        </w:tabs>
        <w:ind w:left="720" w:hanging="360"/>
      </w:pPr>
      <w:rPr>
        <w:rFonts w:ascii="Times New Roman" w:hAnsi="Times New Roman" w:hint="default"/>
      </w:rPr>
    </w:lvl>
    <w:lvl w:ilvl="1" w:tplc="B2D048B8">
      <w:start w:val="1"/>
      <w:numFmt w:val="bullet"/>
      <w:lvlText w:val="•"/>
      <w:lvlJc w:val="left"/>
      <w:pPr>
        <w:tabs>
          <w:tab w:val="num" w:pos="1440"/>
        </w:tabs>
        <w:ind w:left="1440" w:hanging="360"/>
      </w:pPr>
      <w:rPr>
        <w:rFonts w:ascii="Times New Roman" w:hAnsi="Times New Roman" w:hint="default"/>
      </w:rPr>
    </w:lvl>
    <w:lvl w:ilvl="2" w:tplc="4AB8FCA2" w:tentative="1">
      <w:start w:val="1"/>
      <w:numFmt w:val="bullet"/>
      <w:lvlText w:val="•"/>
      <w:lvlJc w:val="left"/>
      <w:pPr>
        <w:tabs>
          <w:tab w:val="num" w:pos="2160"/>
        </w:tabs>
        <w:ind w:left="2160" w:hanging="360"/>
      </w:pPr>
      <w:rPr>
        <w:rFonts w:ascii="Times New Roman" w:hAnsi="Times New Roman" w:hint="default"/>
      </w:rPr>
    </w:lvl>
    <w:lvl w:ilvl="3" w:tplc="84B20C40" w:tentative="1">
      <w:start w:val="1"/>
      <w:numFmt w:val="bullet"/>
      <w:lvlText w:val="•"/>
      <w:lvlJc w:val="left"/>
      <w:pPr>
        <w:tabs>
          <w:tab w:val="num" w:pos="2880"/>
        </w:tabs>
        <w:ind w:left="2880" w:hanging="360"/>
      </w:pPr>
      <w:rPr>
        <w:rFonts w:ascii="Times New Roman" w:hAnsi="Times New Roman" w:hint="default"/>
      </w:rPr>
    </w:lvl>
    <w:lvl w:ilvl="4" w:tplc="45C024A4" w:tentative="1">
      <w:start w:val="1"/>
      <w:numFmt w:val="bullet"/>
      <w:lvlText w:val="•"/>
      <w:lvlJc w:val="left"/>
      <w:pPr>
        <w:tabs>
          <w:tab w:val="num" w:pos="3600"/>
        </w:tabs>
        <w:ind w:left="3600" w:hanging="360"/>
      </w:pPr>
      <w:rPr>
        <w:rFonts w:ascii="Times New Roman" w:hAnsi="Times New Roman" w:hint="default"/>
      </w:rPr>
    </w:lvl>
    <w:lvl w:ilvl="5" w:tplc="EDC2EF24" w:tentative="1">
      <w:start w:val="1"/>
      <w:numFmt w:val="bullet"/>
      <w:lvlText w:val="•"/>
      <w:lvlJc w:val="left"/>
      <w:pPr>
        <w:tabs>
          <w:tab w:val="num" w:pos="4320"/>
        </w:tabs>
        <w:ind w:left="4320" w:hanging="360"/>
      </w:pPr>
      <w:rPr>
        <w:rFonts w:ascii="Times New Roman" w:hAnsi="Times New Roman" w:hint="default"/>
      </w:rPr>
    </w:lvl>
    <w:lvl w:ilvl="6" w:tplc="CA9C6BBE" w:tentative="1">
      <w:start w:val="1"/>
      <w:numFmt w:val="bullet"/>
      <w:lvlText w:val="•"/>
      <w:lvlJc w:val="left"/>
      <w:pPr>
        <w:tabs>
          <w:tab w:val="num" w:pos="5040"/>
        </w:tabs>
        <w:ind w:left="5040" w:hanging="360"/>
      </w:pPr>
      <w:rPr>
        <w:rFonts w:ascii="Times New Roman" w:hAnsi="Times New Roman" w:hint="default"/>
      </w:rPr>
    </w:lvl>
    <w:lvl w:ilvl="7" w:tplc="F006CBE4" w:tentative="1">
      <w:start w:val="1"/>
      <w:numFmt w:val="bullet"/>
      <w:lvlText w:val="•"/>
      <w:lvlJc w:val="left"/>
      <w:pPr>
        <w:tabs>
          <w:tab w:val="num" w:pos="5760"/>
        </w:tabs>
        <w:ind w:left="5760" w:hanging="360"/>
      </w:pPr>
      <w:rPr>
        <w:rFonts w:ascii="Times New Roman" w:hAnsi="Times New Roman" w:hint="default"/>
      </w:rPr>
    </w:lvl>
    <w:lvl w:ilvl="8" w:tplc="667E8ED6"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CF6370A"/>
    <w:multiLevelType w:val="hybridMultilevel"/>
    <w:tmpl w:val="7C2E5E72"/>
    <w:lvl w:ilvl="0" w:tplc="C15A4330">
      <w:start w:val="1"/>
      <w:numFmt w:val="bullet"/>
      <w:lvlText w:val="•"/>
      <w:lvlJc w:val="left"/>
      <w:pPr>
        <w:tabs>
          <w:tab w:val="num" w:pos="720"/>
        </w:tabs>
        <w:ind w:left="720" w:hanging="360"/>
      </w:pPr>
      <w:rPr>
        <w:rFonts w:ascii="Arial" w:hAnsi="Arial" w:hint="default"/>
      </w:rPr>
    </w:lvl>
    <w:lvl w:ilvl="1" w:tplc="1A48B352" w:tentative="1">
      <w:start w:val="1"/>
      <w:numFmt w:val="bullet"/>
      <w:lvlText w:val="•"/>
      <w:lvlJc w:val="left"/>
      <w:pPr>
        <w:tabs>
          <w:tab w:val="num" w:pos="1440"/>
        </w:tabs>
        <w:ind w:left="1440" w:hanging="360"/>
      </w:pPr>
      <w:rPr>
        <w:rFonts w:ascii="Arial" w:hAnsi="Arial" w:hint="default"/>
      </w:rPr>
    </w:lvl>
    <w:lvl w:ilvl="2" w:tplc="06542D06" w:tentative="1">
      <w:start w:val="1"/>
      <w:numFmt w:val="bullet"/>
      <w:lvlText w:val="•"/>
      <w:lvlJc w:val="left"/>
      <w:pPr>
        <w:tabs>
          <w:tab w:val="num" w:pos="2160"/>
        </w:tabs>
        <w:ind w:left="2160" w:hanging="360"/>
      </w:pPr>
      <w:rPr>
        <w:rFonts w:ascii="Arial" w:hAnsi="Arial" w:hint="default"/>
      </w:rPr>
    </w:lvl>
    <w:lvl w:ilvl="3" w:tplc="A88C8C68" w:tentative="1">
      <w:start w:val="1"/>
      <w:numFmt w:val="bullet"/>
      <w:lvlText w:val="•"/>
      <w:lvlJc w:val="left"/>
      <w:pPr>
        <w:tabs>
          <w:tab w:val="num" w:pos="2880"/>
        </w:tabs>
        <w:ind w:left="2880" w:hanging="360"/>
      </w:pPr>
      <w:rPr>
        <w:rFonts w:ascii="Arial" w:hAnsi="Arial" w:hint="default"/>
      </w:rPr>
    </w:lvl>
    <w:lvl w:ilvl="4" w:tplc="056C4BA2" w:tentative="1">
      <w:start w:val="1"/>
      <w:numFmt w:val="bullet"/>
      <w:lvlText w:val="•"/>
      <w:lvlJc w:val="left"/>
      <w:pPr>
        <w:tabs>
          <w:tab w:val="num" w:pos="3600"/>
        </w:tabs>
        <w:ind w:left="3600" w:hanging="360"/>
      </w:pPr>
      <w:rPr>
        <w:rFonts w:ascii="Arial" w:hAnsi="Arial" w:hint="default"/>
      </w:rPr>
    </w:lvl>
    <w:lvl w:ilvl="5" w:tplc="0BE0F68C" w:tentative="1">
      <w:start w:val="1"/>
      <w:numFmt w:val="bullet"/>
      <w:lvlText w:val="•"/>
      <w:lvlJc w:val="left"/>
      <w:pPr>
        <w:tabs>
          <w:tab w:val="num" w:pos="4320"/>
        </w:tabs>
        <w:ind w:left="4320" w:hanging="360"/>
      </w:pPr>
      <w:rPr>
        <w:rFonts w:ascii="Arial" w:hAnsi="Arial" w:hint="default"/>
      </w:rPr>
    </w:lvl>
    <w:lvl w:ilvl="6" w:tplc="108C45E4" w:tentative="1">
      <w:start w:val="1"/>
      <w:numFmt w:val="bullet"/>
      <w:lvlText w:val="•"/>
      <w:lvlJc w:val="left"/>
      <w:pPr>
        <w:tabs>
          <w:tab w:val="num" w:pos="5040"/>
        </w:tabs>
        <w:ind w:left="5040" w:hanging="360"/>
      </w:pPr>
      <w:rPr>
        <w:rFonts w:ascii="Arial" w:hAnsi="Arial" w:hint="default"/>
      </w:rPr>
    </w:lvl>
    <w:lvl w:ilvl="7" w:tplc="B35A3B04" w:tentative="1">
      <w:start w:val="1"/>
      <w:numFmt w:val="bullet"/>
      <w:lvlText w:val="•"/>
      <w:lvlJc w:val="left"/>
      <w:pPr>
        <w:tabs>
          <w:tab w:val="num" w:pos="5760"/>
        </w:tabs>
        <w:ind w:left="5760" w:hanging="360"/>
      </w:pPr>
      <w:rPr>
        <w:rFonts w:ascii="Arial" w:hAnsi="Arial" w:hint="default"/>
      </w:rPr>
    </w:lvl>
    <w:lvl w:ilvl="8" w:tplc="7F789CC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F2C1F07"/>
    <w:multiLevelType w:val="hybridMultilevel"/>
    <w:tmpl w:val="FBFA2A34"/>
    <w:lvl w:ilvl="0" w:tplc="58DC87B6">
      <w:start w:val="1"/>
      <w:numFmt w:val="bullet"/>
      <w:lvlText w:val="•"/>
      <w:lvlJc w:val="left"/>
      <w:pPr>
        <w:tabs>
          <w:tab w:val="num" w:pos="720"/>
        </w:tabs>
        <w:ind w:left="720" w:hanging="360"/>
      </w:pPr>
      <w:rPr>
        <w:rFonts w:ascii="Times New Roman" w:hAnsi="Times New Roman" w:hint="default"/>
      </w:rPr>
    </w:lvl>
    <w:lvl w:ilvl="1" w:tplc="C8C25D5C" w:tentative="1">
      <w:start w:val="1"/>
      <w:numFmt w:val="bullet"/>
      <w:lvlText w:val="•"/>
      <w:lvlJc w:val="left"/>
      <w:pPr>
        <w:tabs>
          <w:tab w:val="num" w:pos="1440"/>
        </w:tabs>
        <w:ind w:left="1440" w:hanging="360"/>
      </w:pPr>
      <w:rPr>
        <w:rFonts w:ascii="Times New Roman" w:hAnsi="Times New Roman" w:hint="default"/>
      </w:rPr>
    </w:lvl>
    <w:lvl w:ilvl="2" w:tplc="1862E53C" w:tentative="1">
      <w:start w:val="1"/>
      <w:numFmt w:val="bullet"/>
      <w:lvlText w:val="•"/>
      <w:lvlJc w:val="left"/>
      <w:pPr>
        <w:tabs>
          <w:tab w:val="num" w:pos="2160"/>
        </w:tabs>
        <w:ind w:left="2160" w:hanging="360"/>
      </w:pPr>
      <w:rPr>
        <w:rFonts w:ascii="Times New Roman" w:hAnsi="Times New Roman" w:hint="default"/>
      </w:rPr>
    </w:lvl>
    <w:lvl w:ilvl="3" w:tplc="F514BF04" w:tentative="1">
      <w:start w:val="1"/>
      <w:numFmt w:val="bullet"/>
      <w:lvlText w:val="•"/>
      <w:lvlJc w:val="left"/>
      <w:pPr>
        <w:tabs>
          <w:tab w:val="num" w:pos="2880"/>
        </w:tabs>
        <w:ind w:left="2880" w:hanging="360"/>
      </w:pPr>
      <w:rPr>
        <w:rFonts w:ascii="Times New Roman" w:hAnsi="Times New Roman" w:hint="default"/>
      </w:rPr>
    </w:lvl>
    <w:lvl w:ilvl="4" w:tplc="82C40310" w:tentative="1">
      <w:start w:val="1"/>
      <w:numFmt w:val="bullet"/>
      <w:lvlText w:val="•"/>
      <w:lvlJc w:val="left"/>
      <w:pPr>
        <w:tabs>
          <w:tab w:val="num" w:pos="3600"/>
        </w:tabs>
        <w:ind w:left="3600" w:hanging="360"/>
      </w:pPr>
      <w:rPr>
        <w:rFonts w:ascii="Times New Roman" w:hAnsi="Times New Roman" w:hint="default"/>
      </w:rPr>
    </w:lvl>
    <w:lvl w:ilvl="5" w:tplc="D1F2DF82" w:tentative="1">
      <w:start w:val="1"/>
      <w:numFmt w:val="bullet"/>
      <w:lvlText w:val="•"/>
      <w:lvlJc w:val="left"/>
      <w:pPr>
        <w:tabs>
          <w:tab w:val="num" w:pos="4320"/>
        </w:tabs>
        <w:ind w:left="4320" w:hanging="360"/>
      </w:pPr>
      <w:rPr>
        <w:rFonts w:ascii="Times New Roman" w:hAnsi="Times New Roman" w:hint="default"/>
      </w:rPr>
    </w:lvl>
    <w:lvl w:ilvl="6" w:tplc="3A7E628C" w:tentative="1">
      <w:start w:val="1"/>
      <w:numFmt w:val="bullet"/>
      <w:lvlText w:val="•"/>
      <w:lvlJc w:val="left"/>
      <w:pPr>
        <w:tabs>
          <w:tab w:val="num" w:pos="5040"/>
        </w:tabs>
        <w:ind w:left="5040" w:hanging="360"/>
      </w:pPr>
      <w:rPr>
        <w:rFonts w:ascii="Times New Roman" w:hAnsi="Times New Roman" w:hint="default"/>
      </w:rPr>
    </w:lvl>
    <w:lvl w:ilvl="7" w:tplc="1388AD52" w:tentative="1">
      <w:start w:val="1"/>
      <w:numFmt w:val="bullet"/>
      <w:lvlText w:val="•"/>
      <w:lvlJc w:val="left"/>
      <w:pPr>
        <w:tabs>
          <w:tab w:val="num" w:pos="5760"/>
        </w:tabs>
        <w:ind w:left="5760" w:hanging="360"/>
      </w:pPr>
      <w:rPr>
        <w:rFonts w:ascii="Times New Roman" w:hAnsi="Times New Roman" w:hint="default"/>
      </w:rPr>
    </w:lvl>
    <w:lvl w:ilvl="8" w:tplc="C560B0E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A8207C3"/>
    <w:multiLevelType w:val="hybridMultilevel"/>
    <w:tmpl w:val="CA18AE62"/>
    <w:lvl w:ilvl="0" w:tplc="C7F6C15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39FE1481"/>
    <w:multiLevelType w:val="hybridMultilevel"/>
    <w:tmpl w:val="9CF6F4F2"/>
    <w:lvl w:ilvl="0" w:tplc="77708970">
      <w:start w:val="1"/>
      <w:numFmt w:val="bullet"/>
      <w:lvlText w:val="•"/>
      <w:lvlJc w:val="left"/>
      <w:pPr>
        <w:tabs>
          <w:tab w:val="num" w:pos="720"/>
        </w:tabs>
        <w:ind w:left="720" w:hanging="360"/>
      </w:pPr>
      <w:rPr>
        <w:rFonts w:ascii="Arial" w:hAnsi="Arial" w:hint="default"/>
      </w:rPr>
    </w:lvl>
    <w:lvl w:ilvl="1" w:tplc="1690004E">
      <w:numFmt w:val="bullet"/>
      <w:lvlText w:val="–"/>
      <w:lvlJc w:val="left"/>
      <w:pPr>
        <w:tabs>
          <w:tab w:val="num" w:pos="1440"/>
        </w:tabs>
        <w:ind w:left="1440" w:hanging="360"/>
      </w:pPr>
      <w:rPr>
        <w:rFonts w:ascii="Arial" w:hAnsi="Arial" w:hint="default"/>
      </w:rPr>
    </w:lvl>
    <w:lvl w:ilvl="2" w:tplc="116A4F3E" w:tentative="1">
      <w:start w:val="1"/>
      <w:numFmt w:val="bullet"/>
      <w:lvlText w:val="•"/>
      <w:lvlJc w:val="left"/>
      <w:pPr>
        <w:tabs>
          <w:tab w:val="num" w:pos="2160"/>
        </w:tabs>
        <w:ind w:left="2160" w:hanging="360"/>
      </w:pPr>
      <w:rPr>
        <w:rFonts w:ascii="Arial" w:hAnsi="Arial" w:hint="default"/>
      </w:rPr>
    </w:lvl>
    <w:lvl w:ilvl="3" w:tplc="5F6C111C" w:tentative="1">
      <w:start w:val="1"/>
      <w:numFmt w:val="bullet"/>
      <w:lvlText w:val="•"/>
      <w:lvlJc w:val="left"/>
      <w:pPr>
        <w:tabs>
          <w:tab w:val="num" w:pos="2880"/>
        </w:tabs>
        <w:ind w:left="2880" w:hanging="360"/>
      </w:pPr>
      <w:rPr>
        <w:rFonts w:ascii="Arial" w:hAnsi="Arial" w:hint="default"/>
      </w:rPr>
    </w:lvl>
    <w:lvl w:ilvl="4" w:tplc="E466CA1E" w:tentative="1">
      <w:start w:val="1"/>
      <w:numFmt w:val="bullet"/>
      <w:lvlText w:val="•"/>
      <w:lvlJc w:val="left"/>
      <w:pPr>
        <w:tabs>
          <w:tab w:val="num" w:pos="3600"/>
        </w:tabs>
        <w:ind w:left="3600" w:hanging="360"/>
      </w:pPr>
      <w:rPr>
        <w:rFonts w:ascii="Arial" w:hAnsi="Arial" w:hint="default"/>
      </w:rPr>
    </w:lvl>
    <w:lvl w:ilvl="5" w:tplc="932C83D4" w:tentative="1">
      <w:start w:val="1"/>
      <w:numFmt w:val="bullet"/>
      <w:lvlText w:val="•"/>
      <w:lvlJc w:val="left"/>
      <w:pPr>
        <w:tabs>
          <w:tab w:val="num" w:pos="4320"/>
        </w:tabs>
        <w:ind w:left="4320" w:hanging="360"/>
      </w:pPr>
      <w:rPr>
        <w:rFonts w:ascii="Arial" w:hAnsi="Arial" w:hint="default"/>
      </w:rPr>
    </w:lvl>
    <w:lvl w:ilvl="6" w:tplc="E82EC252" w:tentative="1">
      <w:start w:val="1"/>
      <w:numFmt w:val="bullet"/>
      <w:lvlText w:val="•"/>
      <w:lvlJc w:val="left"/>
      <w:pPr>
        <w:tabs>
          <w:tab w:val="num" w:pos="5040"/>
        </w:tabs>
        <w:ind w:left="5040" w:hanging="360"/>
      </w:pPr>
      <w:rPr>
        <w:rFonts w:ascii="Arial" w:hAnsi="Arial" w:hint="default"/>
      </w:rPr>
    </w:lvl>
    <w:lvl w:ilvl="7" w:tplc="3EEE84AE" w:tentative="1">
      <w:start w:val="1"/>
      <w:numFmt w:val="bullet"/>
      <w:lvlText w:val="•"/>
      <w:lvlJc w:val="left"/>
      <w:pPr>
        <w:tabs>
          <w:tab w:val="num" w:pos="5760"/>
        </w:tabs>
        <w:ind w:left="5760" w:hanging="360"/>
      </w:pPr>
      <w:rPr>
        <w:rFonts w:ascii="Arial" w:hAnsi="Arial" w:hint="default"/>
      </w:rPr>
    </w:lvl>
    <w:lvl w:ilvl="8" w:tplc="7BD0403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AB73877"/>
    <w:multiLevelType w:val="hybridMultilevel"/>
    <w:tmpl w:val="FCBC7FF6"/>
    <w:lvl w:ilvl="0" w:tplc="9312BBD8">
      <w:start w:val="1"/>
      <w:numFmt w:val="bullet"/>
      <w:lvlText w:val="•"/>
      <w:lvlJc w:val="left"/>
      <w:pPr>
        <w:tabs>
          <w:tab w:val="num" w:pos="720"/>
        </w:tabs>
        <w:ind w:left="720" w:hanging="360"/>
      </w:pPr>
      <w:rPr>
        <w:rFonts w:ascii="Arial" w:hAnsi="Arial" w:hint="default"/>
      </w:rPr>
    </w:lvl>
    <w:lvl w:ilvl="1" w:tplc="F348A286" w:tentative="1">
      <w:start w:val="1"/>
      <w:numFmt w:val="bullet"/>
      <w:lvlText w:val="•"/>
      <w:lvlJc w:val="left"/>
      <w:pPr>
        <w:tabs>
          <w:tab w:val="num" w:pos="1440"/>
        </w:tabs>
        <w:ind w:left="1440" w:hanging="360"/>
      </w:pPr>
      <w:rPr>
        <w:rFonts w:ascii="Arial" w:hAnsi="Arial" w:hint="default"/>
      </w:rPr>
    </w:lvl>
    <w:lvl w:ilvl="2" w:tplc="625CE82C" w:tentative="1">
      <w:start w:val="1"/>
      <w:numFmt w:val="bullet"/>
      <w:lvlText w:val="•"/>
      <w:lvlJc w:val="left"/>
      <w:pPr>
        <w:tabs>
          <w:tab w:val="num" w:pos="2160"/>
        </w:tabs>
        <w:ind w:left="2160" w:hanging="360"/>
      </w:pPr>
      <w:rPr>
        <w:rFonts w:ascii="Arial" w:hAnsi="Arial" w:hint="default"/>
      </w:rPr>
    </w:lvl>
    <w:lvl w:ilvl="3" w:tplc="8CE0EDF0" w:tentative="1">
      <w:start w:val="1"/>
      <w:numFmt w:val="bullet"/>
      <w:lvlText w:val="•"/>
      <w:lvlJc w:val="left"/>
      <w:pPr>
        <w:tabs>
          <w:tab w:val="num" w:pos="2880"/>
        </w:tabs>
        <w:ind w:left="2880" w:hanging="360"/>
      </w:pPr>
      <w:rPr>
        <w:rFonts w:ascii="Arial" w:hAnsi="Arial" w:hint="default"/>
      </w:rPr>
    </w:lvl>
    <w:lvl w:ilvl="4" w:tplc="DA4AD13A" w:tentative="1">
      <w:start w:val="1"/>
      <w:numFmt w:val="bullet"/>
      <w:lvlText w:val="•"/>
      <w:lvlJc w:val="left"/>
      <w:pPr>
        <w:tabs>
          <w:tab w:val="num" w:pos="3600"/>
        </w:tabs>
        <w:ind w:left="3600" w:hanging="360"/>
      </w:pPr>
      <w:rPr>
        <w:rFonts w:ascii="Arial" w:hAnsi="Arial" w:hint="default"/>
      </w:rPr>
    </w:lvl>
    <w:lvl w:ilvl="5" w:tplc="3E3AA0EC" w:tentative="1">
      <w:start w:val="1"/>
      <w:numFmt w:val="bullet"/>
      <w:lvlText w:val="•"/>
      <w:lvlJc w:val="left"/>
      <w:pPr>
        <w:tabs>
          <w:tab w:val="num" w:pos="4320"/>
        </w:tabs>
        <w:ind w:left="4320" w:hanging="360"/>
      </w:pPr>
      <w:rPr>
        <w:rFonts w:ascii="Arial" w:hAnsi="Arial" w:hint="default"/>
      </w:rPr>
    </w:lvl>
    <w:lvl w:ilvl="6" w:tplc="2BAE38C8" w:tentative="1">
      <w:start w:val="1"/>
      <w:numFmt w:val="bullet"/>
      <w:lvlText w:val="•"/>
      <w:lvlJc w:val="left"/>
      <w:pPr>
        <w:tabs>
          <w:tab w:val="num" w:pos="5040"/>
        </w:tabs>
        <w:ind w:left="5040" w:hanging="360"/>
      </w:pPr>
      <w:rPr>
        <w:rFonts w:ascii="Arial" w:hAnsi="Arial" w:hint="default"/>
      </w:rPr>
    </w:lvl>
    <w:lvl w:ilvl="7" w:tplc="9C946F64" w:tentative="1">
      <w:start w:val="1"/>
      <w:numFmt w:val="bullet"/>
      <w:lvlText w:val="•"/>
      <w:lvlJc w:val="left"/>
      <w:pPr>
        <w:tabs>
          <w:tab w:val="num" w:pos="5760"/>
        </w:tabs>
        <w:ind w:left="5760" w:hanging="360"/>
      </w:pPr>
      <w:rPr>
        <w:rFonts w:ascii="Arial" w:hAnsi="Arial" w:hint="default"/>
      </w:rPr>
    </w:lvl>
    <w:lvl w:ilvl="8" w:tplc="BFA820E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21728E6"/>
    <w:multiLevelType w:val="hybridMultilevel"/>
    <w:tmpl w:val="98A6A044"/>
    <w:lvl w:ilvl="0" w:tplc="C4661C82">
      <w:start w:val="1"/>
      <w:numFmt w:val="bullet"/>
      <w:lvlText w:val="•"/>
      <w:lvlJc w:val="left"/>
      <w:pPr>
        <w:tabs>
          <w:tab w:val="num" w:pos="720"/>
        </w:tabs>
        <w:ind w:left="720" w:hanging="360"/>
      </w:pPr>
      <w:rPr>
        <w:rFonts w:ascii="Arial" w:hAnsi="Arial" w:hint="default"/>
      </w:rPr>
    </w:lvl>
    <w:lvl w:ilvl="1" w:tplc="168C3AC2" w:tentative="1">
      <w:start w:val="1"/>
      <w:numFmt w:val="bullet"/>
      <w:lvlText w:val="•"/>
      <w:lvlJc w:val="left"/>
      <w:pPr>
        <w:tabs>
          <w:tab w:val="num" w:pos="1440"/>
        </w:tabs>
        <w:ind w:left="1440" w:hanging="360"/>
      </w:pPr>
      <w:rPr>
        <w:rFonts w:ascii="Arial" w:hAnsi="Arial" w:hint="default"/>
      </w:rPr>
    </w:lvl>
    <w:lvl w:ilvl="2" w:tplc="B3648526" w:tentative="1">
      <w:start w:val="1"/>
      <w:numFmt w:val="bullet"/>
      <w:lvlText w:val="•"/>
      <w:lvlJc w:val="left"/>
      <w:pPr>
        <w:tabs>
          <w:tab w:val="num" w:pos="2160"/>
        </w:tabs>
        <w:ind w:left="2160" w:hanging="360"/>
      </w:pPr>
      <w:rPr>
        <w:rFonts w:ascii="Arial" w:hAnsi="Arial" w:hint="default"/>
      </w:rPr>
    </w:lvl>
    <w:lvl w:ilvl="3" w:tplc="62B2B28C" w:tentative="1">
      <w:start w:val="1"/>
      <w:numFmt w:val="bullet"/>
      <w:lvlText w:val="•"/>
      <w:lvlJc w:val="left"/>
      <w:pPr>
        <w:tabs>
          <w:tab w:val="num" w:pos="2880"/>
        </w:tabs>
        <w:ind w:left="2880" w:hanging="360"/>
      </w:pPr>
      <w:rPr>
        <w:rFonts w:ascii="Arial" w:hAnsi="Arial" w:hint="default"/>
      </w:rPr>
    </w:lvl>
    <w:lvl w:ilvl="4" w:tplc="522CFC24" w:tentative="1">
      <w:start w:val="1"/>
      <w:numFmt w:val="bullet"/>
      <w:lvlText w:val="•"/>
      <w:lvlJc w:val="left"/>
      <w:pPr>
        <w:tabs>
          <w:tab w:val="num" w:pos="3600"/>
        </w:tabs>
        <w:ind w:left="3600" w:hanging="360"/>
      </w:pPr>
      <w:rPr>
        <w:rFonts w:ascii="Arial" w:hAnsi="Arial" w:hint="default"/>
      </w:rPr>
    </w:lvl>
    <w:lvl w:ilvl="5" w:tplc="A5B8F8CA" w:tentative="1">
      <w:start w:val="1"/>
      <w:numFmt w:val="bullet"/>
      <w:lvlText w:val="•"/>
      <w:lvlJc w:val="left"/>
      <w:pPr>
        <w:tabs>
          <w:tab w:val="num" w:pos="4320"/>
        </w:tabs>
        <w:ind w:left="4320" w:hanging="360"/>
      </w:pPr>
      <w:rPr>
        <w:rFonts w:ascii="Arial" w:hAnsi="Arial" w:hint="default"/>
      </w:rPr>
    </w:lvl>
    <w:lvl w:ilvl="6" w:tplc="F3A0C74C" w:tentative="1">
      <w:start w:val="1"/>
      <w:numFmt w:val="bullet"/>
      <w:lvlText w:val="•"/>
      <w:lvlJc w:val="left"/>
      <w:pPr>
        <w:tabs>
          <w:tab w:val="num" w:pos="5040"/>
        </w:tabs>
        <w:ind w:left="5040" w:hanging="360"/>
      </w:pPr>
      <w:rPr>
        <w:rFonts w:ascii="Arial" w:hAnsi="Arial" w:hint="default"/>
      </w:rPr>
    </w:lvl>
    <w:lvl w:ilvl="7" w:tplc="25102EA2" w:tentative="1">
      <w:start w:val="1"/>
      <w:numFmt w:val="bullet"/>
      <w:lvlText w:val="•"/>
      <w:lvlJc w:val="left"/>
      <w:pPr>
        <w:tabs>
          <w:tab w:val="num" w:pos="5760"/>
        </w:tabs>
        <w:ind w:left="5760" w:hanging="360"/>
      </w:pPr>
      <w:rPr>
        <w:rFonts w:ascii="Arial" w:hAnsi="Arial" w:hint="default"/>
      </w:rPr>
    </w:lvl>
    <w:lvl w:ilvl="8" w:tplc="4C56F07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63409C7"/>
    <w:multiLevelType w:val="hybridMultilevel"/>
    <w:tmpl w:val="B636D428"/>
    <w:lvl w:ilvl="0" w:tplc="A24A7DB8">
      <w:start w:val="1"/>
      <w:numFmt w:val="bullet"/>
      <w:lvlText w:val="•"/>
      <w:lvlJc w:val="left"/>
      <w:pPr>
        <w:tabs>
          <w:tab w:val="num" w:pos="720"/>
        </w:tabs>
        <w:ind w:left="720" w:hanging="360"/>
      </w:pPr>
      <w:rPr>
        <w:rFonts w:ascii="Arial" w:hAnsi="Arial" w:hint="default"/>
      </w:rPr>
    </w:lvl>
    <w:lvl w:ilvl="1" w:tplc="78FCCC50" w:tentative="1">
      <w:start w:val="1"/>
      <w:numFmt w:val="bullet"/>
      <w:lvlText w:val="•"/>
      <w:lvlJc w:val="left"/>
      <w:pPr>
        <w:tabs>
          <w:tab w:val="num" w:pos="1440"/>
        </w:tabs>
        <w:ind w:left="1440" w:hanging="360"/>
      </w:pPr>
      <w:rPr>
        <w:rFonts w:ascii="Arial" w:hAnsi="Arial" w:hint="default"/>
      </w:rPr>
    </w:lvl>
    <w:lvl w:ilvl="2" w:tplc="AAA89C7C" w:tentative="1">
      <w:start w:val="1"/>
      <w:numFmt w:val="bullet"/>
      <w:lvlText w:val="•"/>
      <w:lvlJc w:val="left"/>
      <w:pPr>
        <w:tabs>
          <w:tab w:val="num" w:pos="2160"/>
        </w:tabs>
        <w:ind w:left="2160" w:hanging="360"/>
      </w:pPr>
      <w:rPr>
        <w:rFonts w:ascii="Arial" w:hAnsi="Arial" w:hint="default"/>
      </w:rPr>
    </w:lvl>
    <w:lvl w:ilvl="3" w:tplc="BDDC3648" w:tentative="1">
      <w:start w:val="1"/>
      <w:numFmt w:val="bullet"/>
      <w:lvlText w:val="•"/>
      <w:lvlJc w:val="left"/>
      <w:pPr>
        <w:tabs>
          <w:tab w:val="num" w:pos="2880"/>
        </w:tabs>
        <w:ind w:left="2880" w:hanging="360"/>
      </w:pPr>
      <w:rPr>
        <w:rFonts w:ascii="Arial" w:hAnsi="Arial" w:hint="default"/>
      </w:rPr>
    </w:lvl>
    <w:lvl w:ilvl="4" w:tplc="B9FA2924" w:tentative="1">
      <w:start w:val="1"/>
      <w:numFmt w:val="bullet"/>
      <w:lvlText w:val="•"/>
      <w:lvlJc w:val="left"/>
      <w:pPr>
        <w:tabs>
          <w:tab w:val="num" w:pos="3600"/>
        </w:tabs>
        <w:ind w:left="3600" w:hanging="360"/>
      </w:pPr>
      <w:rPr>
        <w:rFonts w:ascii="Arial" w:hAnsi="Arial" w:hint="default"/>
      </w:rPr>
    </w:lvl>
    <w:lvl w:ilvl="5" w:tplc="BDE2FAAE" w:tentative="1">
      <w:start w:val="1"/>
      <w:numFmt w:val="bullet"/>
      <w:lvlText w:val="•"/>
      <w:lvlJc w:val="left"/>
      <w:pPr>
        <w:tabs>
          <w:tab w:val="num" w:pos="4320"/>
        </w:tabs>
        <w:ind w:left="4320" w:hanging="360"/>
      </w:pPr>
      <w:rPr>
        <w:rFonts w:ascii="Arial" w:hAnsi="Arial" w:hint="default"/>
      </w:rPr>
    </w:lvl>
    <w:lvl w:ilvl="6" w:tplc="9D403C96" w:tentative="1">
      <w:start w:val="1"/>
      <w:numFmt w:val="bullet"/>
      <w:lvlText w:val="•"/>
      <w:lvlJc w:val="left"/>
      <w:pPr>
        <w:tabs>
          <w:tab w:val="num" w:pos="5040"/>
        </w:tabs>
        <w:ind w:left="5040" w:hanging="360"/>
      </w:pPr>
      <w:rPr>
        <w:rFonts w:ascii="Arial" w:hAnsi="Arial" w:hint="default"/>
      </w:rPr>
    </w:lvl>
    <w:lvl w:ilvl="7" w:tplc="B11AB9A0" w:tentative="1">
      <w:start w:val="1"/>
      <w:numFmt w:val="bullet"/>
      <w:lvlText w:val="•"/>
      <w:lvlJc w:val="left"/>
      <w:pPr>
        <w:tabs>
          <w:tab w:val="num" w:pos="5760"/>
        </w:tabs>
        <w:ind w:left="5760" w:hanging="360"/>
      </w:pPr>
      <w:rPr>
        <w:rFonts w:ascii="Arial" w:hAnsi="Arial" w:hint="default"/>
      </w:rPr>
    </w:lvl>
    <w:lvl w:ilvl="8" w:tplc="B1E40E8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02D4E23"/>
    <w:multiLevelType w:val="hybridMultilevel"/>
    <w:tmpl w:val="CC3252F8"/>
    <w:lvl w:ilvl="0" w:tplc="67DA951C">
      <w:start w:val="1"/>
      <w:numFmt w:val="bullet"/>
      <w:lvlText w:val="•"/>
      <w:lvlJc w:val="left"/>
      <w:pPr>
        <w:tabs>
          <w:tab w:val="num" w:pos="720"/>
        </w:tabs>
        <w:ind w:left="720" w:hanging="360"/>
      </w:pPr>
      <w:rPr>
        <w:rFonts w:ascii="Arial" w:hAnsi="Arial" w:hint="default"/>
      </w:rPr>
    </w:lvl>
    <w:lvl w:ilvl="1" w:tplc="E3027BB0" w:tentative="1">
      <w:start w:val="1"/>
      <w:numFmt w:val="bullet"/>
      <w:lvlText w:val="•"/>
      <w:lvlJc w:val="left"/>
      <w:pPr>
        <w:tabs>
          <w:tab w:val="num" w:pos="1440"/>
        </w:tabs>
        <w:ind w:left="1440" w:hanging="360"/>
      </w:pPr>
      <w:rPr>
        <w:rFonts w:ascii="Arial" w:hAnsi="Arial" w:hint="default"/>
      </w:rPr>
    </w:lvl>
    <w:lvl w:ilvl="2" w:tplc="B128BFEE" w:tentative="1">
      <w:start w:val="1"/>
      <w:numFmt w:val="bullet"/>
      <w:lvlText w:val="•"/>
      <w:lvlJc w:val="left"/>
      <w:pPr>
        <w:tabs>
          <w:tab w:val="num" w:pos="2160"/>
        </w:tabs>
        <w:ind w:left="2160" w:hanging="360"/>
      </w:pPr>
      <w:rPr>
        <w:rFonts w:ascii="Arial" w:hAnsi="Arial" w:hint="default"/>
      </w:rPr>
    </w:lvl>
    <w:lvl w:ilvl="3" w:tplc="9CB8CCD2" w:tentative="1">
      <w:start w:val="1"/>
      <w:numFmt w:val="bullet"/>
      <w:lvlText w:val="•"/>
      <w:lvlJc w:val="left"/>
      <w:pPr>
        <w:tabs>
          <w:tab w:val="num" w:pos="2880"/>
        </w:tabs>
        <w:ind w:left="2880" w:hanging="360"/>
      </w:pPr>
      <w:rPr>
        <w:rFonts w:ascii="Arial" w:hAnsi="Arial" w:hint="default"/>
      </w:rPr>
    </w:lvl>
    <w:lvl w:ilvl="4" w:tplc="303A8D00" w:tentative="1">
      <w:start w:val="1"/>
      <w:numFmt w:val="bullet"/>
      <w:lvlText w:val="•"/>
      <w:lvlJc w:val="left"/>
      <w:pPr>
        <w:tabs>
          <w:tab w:val="num" w:pos="3600"/>
        </w:tabs>
        <w:ind w:left="3600" w:hanging="360"/>
      </w:pPr>
      <w:rPr>
        <w:rFonts w:ascii="Arial" w:hAnsi="Arial" w:hint="default"/>
      </w:rPr>
    </w:lvl>
    <w:lvl w:ilvl="5" w:tplc="998613A0" w:tentative="1">
      <w:start w:val="1"/>
      <w:numFmt w:val="bullet"/>
      <w:lvlText w:val="•"/>
      <w:lvlJc w:val="left"/>
      <w:pPr>
        <w:tabs>
          <w:tab w:val="num" w:pos="4320"/>
        </w:tabs>
        <w:ind w:left="4320" w:hanging="360"/>
      </w:pPr>
      <w:rPr>
        <w:rFonts w:ascii="Arial" w:hAnsi="Arial" w:hint="default"/>
      </w:rPr>
    </w:lvl>
    <w:lvl w:ilvl="6" w:tplc="40CE95F4" w:tentative="1">
      <w:start w:val="1"/>
      <w:numFmt w:val="bullet"/>
      <w:lvlText w:val="•"/>
      <w:lvlJc w:val="left"/>
      <w:pPr>
        <w:tabs>
          <w:tab w:val="num" w:pos="5040"/>
        </w:tabs>
        <w:ind w:left="5040" w:hanging="360"/>
      </w:pPr>
      <w:rPr>
        <w:rFonts w:ascii="Arial" w:hAnsi="Arial" w:hint="default"/>
      </w:rPr>
    </w:lvl>
    <w:lvl w:ilvl="7" w:tplc="53625FD0" w:tentative="1">
      <w:start w:val="1"/>
      <w:numFmt w:val="bullet"/>
      <w:lvlText w:val="•"/>
      <w:lvlJc w:val="left"/>
      <w:pPr>
        <w:tabs>
          <w:tab w:val="num" w:pos="5760"/>
        </w:tabs>
        <w:ind w:left="5760" w:hanging="360"/>
      </w:pPr>
      <w:rPr>
        <w:rFonts w:ascii="Arial" w:hAnsi="Arial" w:hint="default"/>
      </w:rPr>
    </w:lvl>
    <w:lvl w:ilvl="8" w:tplc="1CA66FB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5EC1EAA"/>
    <w:multiLevelType w:val="hybridMultilevel"/>
    <w:tmpl w:val="09FA1AD6"/>
    <w:lvl w:ilvl="0" w:tplc="F3444038">
      <w:start w:val="1"/>
      <w:numFmt w:val="bullet"/>
      <w:lvlText w:val="•"/>
      <w:lvlJc w:val="left"/>
      <w:pPr>
        <w:tabs>
          <w:tab w:val="num" w:pos="720"/>
        </w:tabs>
        <w:ind w:left="720" w:hanging="360"/>
      </w:pPr>
      <w:rPr>
        <w:rFonts w:ascii="Arial" w:hAnsi="Arial" w:hint="default"/>
      </w:rPr>
    </w:lvl>
    <w:lvl w:ilvl="1" w:tplc="277046C2" w:tentative="1">
      <w:start w:val="1"/>
      <w:numFmt w:val="bullet"/>
      <w:lvlText w:val="•"/>
      <w:lvlJc w:val="left"/>
      <w:pPr>
        <w:tabs>
          <w:tab w:val="num" w:pos="1440"/>
        </w:tabs>
        <w:ind w:left="1440" w:hanging="360"/>
      </w:pPr>
      <w:rPr>
        <w:rFonts w:ascii="Arial" w:hAnsi="Arial" w:hint="default"/>
      </w:rPr>
    </w:lvl>
    <w:lvl w:ilvl="2" w:tplc="F23456D8">
      <w:numFmt w:val="bullet"/>
      <w:lvlText w:val="•"/>
      <w:lvlJc w:val="left"/>
      <w:pPr>
        <w:tabs>
          <w:tab w:val="num" w:pos="2160"/>
        </w:tabs>
        <w:ind w:left="2160" w:hanging="360"/>
      </w:pPr>
      <w:rPr>
        <w:rFonts w:ascii="Arial" w:hAnsi="Arial" w:hint="default"/>
      </w:rPr>
    </w:lvl>
    <w:lvl w:ilvl="3" w:tplc="03B447D0" w:tentative="1">
      <w:start w:val="1"/>
      <w:numFmt w:val="bullet"/>
      <w:lvlText w:val="•"/>
      <w:lvlJc w:val="left"/>
      <w:pPr>
        <w:tabs>
          <w:tab w:val="num" w:pos="2880"/>
        </w:tabs>
        <w:ind w:left="2880" w:hanging="360"/>
      </w:pPr>
      <w:rPr>
        <w:rFonts w:ascii="Arial" w:hAnsi="Arial" w:hint="default"/>
      </w:rPr>
    </w:lvl>
    <w:lvl w:ilvl="4" w:tplc="69EC1254" w:tentative="1">
      <w:start w:val="1"/>
      <w:numFmt w:val="bullet"/>
      <w:lvlText w:val="•"/>
      <w:lvlJc w:val="left"/>
      <w:pPr>
        <w:tabs>
          <w:tab w:val="num" w:pos="3600"/>
        </w:tabs>
        <w:ind w:left="3600" w:hanging="360"/>
      </w:pPr>
      <w:rPr>
        <w:rFonts w:ascii="Arial" w:hAnsi="Arial" w:hint="default"/>
      </w:rPr>
    </w:lvl>
    <w:lvl w:ilvl="5" w:tplc="9C723240" w:tentative="1">
      <w:start w:val="1"/>
      <w:numFmt w:val="bullet"/>
      <w:lvlText w:val="•"/>
      <w:lvlJc w:val="left"/>
      <w:pPr>
        <w:tabs>
          <w:tab w:val="num" w:pos="4320"/>
        </w:tabs>
        <w:ind w:left="4320" w:hanging="360"/>
      </w:pPr>
      <w:rPr>
        <w:rFonts w:ascii="Arial" w:hAnsi="Arial" w:hint="default"/>
      </w:rPr>
    </w:lvl>
    <w:lvl w:ilvl="6" w:tplc="41CC977C" w:tentative="1">
      <w:start w:val="1"/>
      <w:numFmt w:val="bullet"/>
      <w:lvlText w:val="•"/>
      <w:lvlJc w:val="left"/>
      <w:pPr>
        <w:tabs>
          <w:tab w:val="num" w:pos="5040"/>
        </w:tabs>
        <w:ind w:left="5040" w:hanging="360"/>
      </w:pPr>
      <w:rPr>
        <w:rFonts w:ascii="Arial" w:hAnsi="Arial" w:hint="default"/>
      </w:rPr>
    </w:lvl>
    <w:lvl w:ilvl="7" w:tplc="E728AF20" w:tentative="1">
      <w:start w:val="1"/>
      <w:numFmt w:val="bullet"/>
      <w:lvlText w:val="•"/>
      <w:lvlJc w:val="left"/>
      <w:pPr>
        <w:tabs>
          <w:tab w:val="num" w:pos="5760"/>
        </w:tabs>
        <w:ind w:left="5760" w:hanging="360"/>
      </w:pPr>
      <w:rPr>
        <w:rFonts w:ascii="Arial" w:hAnsi="Arial" w:hint="default"/>
      </w:rPr>
    </w:lvl>
    <w:lvl w:ilvl="8" w:tplc="0804FDA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61E3708"/>
    <w:multiLevelType w:val="hybridMultilevel"/>
    <w:tmpl w:val="ED184E7C"/>
    <w:lvl w:ilvl="0" w:tplc="7E20085A">
      <w:start w:val="1"/>
      <w:numFmt w:val="bullet"/>
      <w:lvlText w:val="•"/>
      <w:lvlJc w:val="left"/>
      <w:pPr>
        <w:tabs>
          <w:tab w:val="num" w:pos="720"/>
        </w:tabs>
        <w:ind w:left="720" w:hanging="360"/>
      </w:pPr>
      <w:rPr>
        <w:rFonts w:ascii="Arial" w:hAnsi="Arial" w:hint="default"/>
      </w:rPr>
    </w:lvl>
    <w:lvl w:ilvl="1" w:tplc="C7F6C150">
      <w:start w:val="1"/>
      <w:numFmt w:val="bullet"/>
      <w:lvlText w:val="•"/>
      <w:lvlJc w:val="left"/>
      <w:pPr>
        <w:tabs>
          <w:tab w:val="num" w:pos="1440"/>
        </w:tabs>
        <w:ind w:left="1440" w:hanging="360"/>
      </w:pPr>
      <w:rPr>
        <w:rFonts w:ascii="Arial" w:hAnsi="Arial" w:hint="default"/>
      </w:rPr>
    </w:lvl>
    <w:lvl w:ilvl="2" w:tplc="CF883088" w:tentative="1">
      <w:start w:val="1"/>
      <w:numFmt w:val="bullet"/>
      <w:lvlText w:val="•"/>
      <w:lvlJc w:val="left"/>
      <w:pPr>
        <w:tabs>
          <w:tab w:val="num" w:pos="2160"/>
        </w:tabs>
        <w:ind w:left="2160" w:hanging="360"/>
      </w:pPr>
      <w:rPr>
        <w:rFonts w:ascii="Arial" w:hAnsi="Arial" w:hint="default"/>
      </w:rPr>
    </w:lvl>
    <w:lvl w:ilvl="3" w:tplc="276E165C" w:tentative="1">
      <w:start w:val="1"/>
      <w:numFmt w:val="bullet"/>
      <w:lvlText w:val="•"/>
      <w:lvlJc w:val="left"/>
      <w:pPr>
        <w:tabs>
          <w:tab w:val="num" w:pos="2880"/>
        </w:tabs>
        <w:ind w:left="2880" w:hanging="360"/>
      </w:pPr>
      <w:rPr>
        <w:rFonts w:ascii="Arial" w:hAnsi="Arial" w:hint="default"/>
      </w:rPr>
    </w:lvl>
    <w:lvl w:ilvl="4" w:tplc="2FEE1294" w:tentative="1">
      <w:start w:val="1"/>
      <w:numFmt w:val="bullet"/>
      <w:lvlText w:val="•"/>
      <w:lvlJc w:val="left"/>
      <w:pPr>
        <w:tabs>
          <w:tab w:val="num" w:pos="3600"/>
        </w:tabs>
        <w:ind w:left="3600" w:hanging="360"/>
      </w:pPr>
      <w:rPr>
        <w:rFonts w:ascii="Arial" w:hAnsi="Arial" w:hint="default"/>
      </w:rPr>
    </w:lvl>
    <w:lvl w:ilvl="5" w:tplc="04600F4A" w:tentative="1">
      <w:start w:val="1"/>
      <w:numFmt w:val="bullet"/>
      <w:lvlText w:val="•"/>
      <w:lvlJc w:val="left"/>
      <w:pPr>
        <w:tabs>
          <w:tab w:val="num" w:pos="4320"/>
        </w:tabs>
        <w:ind w:left="4320" w:hanging="360"/>
      </w:pPr>
      <w:rPr>
        <w:rFonts w:ascii="Arial" w:hAnsi="Arial" w:hint="default"/>
      </w:rPr>
    </w:lvl>
    <w:lvl w:ilvl="6" w:tplc="D0BA0300" w:tentative="1">
      <w:start w:val="1"/>
      <w:numFmt w:val="bullet"/>
      <w:lvlText w:val="•"/>
      <w:lvlJc w:val="left"/>
      <w:pPr>
        <w:tabs>
          <w:tab w:val="num" w:pos="5040"/>
        </w:tabs>
        <w:ind w:left="5040" w:hanging="360"/>
      </w:pPr>
      <w:rPr>
        <w:rFonts w:ascii="Arial" w:hAnsi="Arial" w:hint="default"/>
      </w:rPr>
    </w:lvl>
    <w:lvl w:ilvl="7" w:tplc="8A1AA842" w:tentative="1">
      <w:start w:val="1"/>
      <w:numFmt w:val="bullet"/>
      <w:lvlText w:val="•"/>
      <w:lvlJc w:val="left"/>
      <w:pPr>
        <w:tabs>
          <w:tab w:val="num" w:pos="5760"/>
        </w:tabs>
        <w:ind w:left="5760" w:hanging="360"/>
      </w:pPr>
      <w:rPr>
        <w:rFonts w:ascii="Arial" w:hAnsi="Arial" w:hint="default"/>
      </w:rPr>
    </w:lvl>
    <w:lvl w:ilvl="8" w:tplc="70028230"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8"/>
  </w:num>
  <w:num w:numId="3">
    <w:abstractNumId w:val="4"/>
  </w:num>
  <w:num w:numId="4">
    <w:abstractNumId w:val="1"/>
  </w:num>
  <w:num w:numId="5">
    <w:abstractNumId w:val="7"/>
  </w:num>
  <w:num w:numId="6">
    <w:abstractNumId w:val="9"/>
  </w:num>
  <w:num w:numId="7">
    <w:abstractNumId w:val="13"/>
  </w:num>
  <w:num w:numId="8">
    <w:abstractNumId w:val="0"/>
  </w:num>
  <w:num w:numId="9">
    <w:abstractNumId w:val="5"/>
  </w:num>
  <w:num w:numId="10">
    <w:abstractNumId w:val="10"/>
  </w:num>
  <w:num w:numId="11">
    <w:abstractNumId w:val="6"/>
  </w:num>
  <w:num w:numId="12">
    <w:abstractNumId w:val="12"/>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8AF"/>
    <w:rsid w:val="001F6AC3"/>
    <w:rsid w:val="002501AB"/>
    <w:rsid w:val="00320DFB"/>
    <w:rsid w:val="004D08F6"/>
    <w:rsid w:val="0068016D"/>
    <w:rsid w:val="0074740D"/>
    <w:rsid w:val="007836CD"/>
    <w:rsid w:val="007A7E83"/>
    <w:rsid w:val="00850280"/>
    <w:rsid w:val="00890D2D"/>
    <w:rsid w:val="00891275"/>
    <w:rsid w:val="009E4ED3"/>
    <w:rsid w:val="00A175A8"/>
    <w:rsid w:val="00A45FA5"/>
    <w:rsid w:val="00A71C7D"/>
    <w:rsid w:val="00AB5FAE"/>
    <w:rsid w:val="00C03392"/>
    <w:rsid w:val="00C858AF"/>
    <w:rsid w:val="00D01F7E"/>
    <w:rsid w:val="00D7689E"/>
    <w:rsid w:val="00E74000"/>
    <w:rsid w:val="00E95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2A5B4"/>
  <w15:docId w15:val="{E1BB2629-9996-49F0-AC26-B6879A9ED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8A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58AF"/>
    <w:pPr>
      <w:spacing w:after="0" w:line="240" w:lineRule="auto"/>
    </w:pPr>
  </w:style>
  <w:style w:type="paragraph" w:styleId="NormalWeb">
    <w:name w:val="Normal (Web)"/>
    <w:basedOn w:val="Normal"/>
    <w:uiPriority w:val="99"/>
    <w:unhideWhenUsed/>
    <w:rsid w:val="00C858A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03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3392"/>
    <w:rPr>
      <w:rFonts w:ascii="Tahoma" w:hAnsi="Tahoma" w:cs="Tahoma"/>
      <w:sz w:val="16"/>
      <w:szCs w:val="16"/>
    </w:rPr>
  </w:style>
  <w:style w:type="character" w:styleId="Hyperlink">
    <w:name w:val="Hyperlink"/>
    <w:basedOn w:val="DefaultParagraphFont"/>
    <w:uiPriority w:val="99"/>
    <w:unhideWhenUsed/>
    <w:rsid w:val="0068016D"/>
    <w:rPr>
      <w:color w:val="0000FF" w:themeColor="hyperlink"/>
      <w:u w:val="single"/>
    </w:rPr>
  </w:style>
  <w:style w:type="character" w:styleId="UnresolvedMention">
    <w:name w:val="Unresolved Mention"/>
    <w:basedOn w:val="DefaultParagraphFont"/>
    <w:uiPriority w:val="99"/>
    <w:semiHidden/>
    <w:unhideWhenUsed/>
    <w:rsid w:val="001F6AC3"/>
    <w:rPr>
      <w:color w:val="605E5C"/>
      <w:shd w:val="clear" w:color="auto" w:fill="E1DFDD"/>
    </w:rPr>
  </w:style>
  <w:style w:type="paragraph" w:styleId="ListParagraph">
    <w:name w:val="List Paragraph"/>
    <w:basedOn w:val="Normal"/>
    <w:uiPriority w:val="34"/>
    <w:qFormat/>
    <w:rsid w:val="00890D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98902">
      <w:bodyDiv w:val="1"/>
      <w:marLeft w:val="0"/>
      <w:marRight w:val="0"/>
      <w:marTop w:val="0"/>
      <w:marBottom w:val="0"/>
      <w:divBdr>
        <w:top w:val="none" w:sz="0" w:space="0" w:color="auto"/>
        <w:left w:val="none" w:sz="0" w:space="0" w:color="auto"/>
        <w:bottom w:val="none" w:sz="0" w:space="0" w:color="auto"/>
        <w:right w:val="none" w:sz="0" w:space="0" w:color="auto"/>
      </w:divBdr>
    </w:div>
    <w:div w:id="133985695">
      <w:bodyDiv w:val="1"/>
      <w:marLeft w:val="0"/>
      <w:marRight w:val="0"/>
      <w:marTop w:val="0"/>
      <w:marBottom w:val="0"/>
      <w:divBdr>
        <w:top w:val="none" w:sz="0" w:space="0" w:color="auto"/>
        <w:left w:val="none" w:sz="0" w:space="0" w:color="auto"/>
        <w:bottom w:val="none" w:sz="0" w:space="0" w:color="auto"/>
        <w:right w:val="none" w:sz="0" w:space="0" w:color="auto"/>
      </w:divBdr>
      <w:divsChild>
        <w:div w:id="1443845909">
          <w:marLeft w:val="706"/>
          <w:marRight w:val="0"/>
          <w:marTop w:val="134"/>
          <w:marBottom w:val="0"/>
          <w:divBdr>
            <w:top w:val="none" w:sz="0" w:space="0" w:color="auto"/>
            <w:left w:val="none" w:sz="0" w:space="0" w:color="auto"/>
            <w:bottom w:val="none" w:sz="0" w:space="0" w:color="auto"/>
            <w:right w:val="none" w:sz="0" w:space="0" w:color="auto"/>
          </w:divBdr>
        </w:div>
        <w:div w:id="1496725522">
          <w:marLeft w:val="706"/>
          <w:marRight w:val="0"/>
          <w:marTop w:val="134"/>
          <w:marBottom w:val="0"/>
          <w:divBdr>
            <w:top w:val="none" w:sz="0" w:space="0" w:color="auto"/>
            <w:left w:val="none" w:sz="0" w:space="0" w:color="auto"/>
            <w:bottom w:val="none" w:sz="0" w:space="0" w:color="auto"/>
            <w:right w:val="none" w:sz="0" w:space="0" w:color="auto"/>
          </w:divBdr>
        </w:div>
        <w:div w:id="1338726567">
          <w:marLeft w:val="706"/>
          <w:marRight w:val="0"/>
          <w:marTop w:val="134"/>
          <w:marBottom w:val="0"/>
          <w:divBdr>
            <w:top w:val="none" w:sz="0" w:space="0" w:color="auto"/>
            <w:left w:val="none" w:sz="0" w:space="0" w:color="auto"/>
            <w:bottom w:val="none" w:sz="0" w:space="0" w:color="auto"/>
            <w:right w:val="none" w:sz="0" w:space="0" w:color="auto"/>
          </w:divBdr>
        </w:div>
        <w:div w:id="193351282">
          <w:marLeft w:val="706"/>
          <w:marRight w:val="0"/>
          <w:marTop w:val="134"/>
          <w:marBottom w:val="0"/>
          <w:divBdr>
            <w:top w:val="none" w:sz="0" w:space="0" w:color="auto"/>
            <w:left w:val="none" w:sz="0" w:space="0" w:color="auto"/>
            <w:bottom w:val="none" w:sz="0" w:space="0" w:color="auto"/>
            <w:right w:val="none" w:sz="0" w:space="0" w:color="auto"/>
          </w:divBdr>
        </w:div>
      </w:divsChild>
    </w:div>
    <w:div w:id="165287532">
      <w:bodyDiv w:val="1"/>
      <w:marLeft w:val="0"/>
      <w:marRight w:val="0"/>
      <w:marTop w:val="0"/>
      <w:marBottom w:val="0"/>
      <w:divBdr>
        <w:top w:val="none" w:sz="0" w:space="0" w:color="auto"/>
        <w:left w:val="none" w:sz="0" w:space="0" w:color="auto"/>
        <w:bottom w:val="none" w:sz="0" w:space="0" w:color="auto"/>
        <w:right w:val="none" w:sz="0" w:space="0" w:color="auto"/>
      </w:divBdr>
      <w:divsChild>
        <w:div w:id="1736969986">
          <w:marLeft w:val="706"/>
          <w:marRight w:val="0"/>
          <w:marTop w:val="0"/>
          <w:marBottom w:val="0"/>
          <w:divBdr>
            <w:top w:val="none" w:sz="0" w:space="0" w:color="auto"/>
            <w:left w:val="none" w:sz="0" w:space="0" w:color="auto"/>
            <w:bottom w:val="none" w:sz="0" w:space="0" w:color="auto"/>
            <w:right w:val="none" w:sz="0" w:space="0" w:color="auto"/>
          </w:divBdr>
        </w:div>
        <w:div w:id="1360887489">
          <w:marLeft w:val="706"/>
          <w:marRight w:val="0"/>
          <w:marTop w:val="0"/>
          <w:marBottom w:val="0"/>
          <w:divBdr>
            <w:top w:val="none" w:sz="0" w:space="0" w:color="auto"/>
            <w:left w:val="none" w:sz="0" w:space="0" w:color="auto"/>
            <w:bottom w:val="none" w:sz="0" w:space="0" w:color="auto"/>
            <w:right w:val="none" w:sz="0" w:space="0" w:color="auto"/>
          </w:divBdr>
        </w:div>
        <w:div w:id="1533567356">
          <w:marLeft w:val="706"/>
          <w:marRight w:val="0"/>
          <w:marTop w:val="0"/>
          <w:marBottom w:val="0"/>
          <w:divBdr>
            <w:top w:val="none" w:sz="0" w:space="0" w:color="auto"/>
            <w:left w:val="none" w:sz="0" w:space="0" w:color="auto"/>
            <w:bottom w:val="none" w:sz="0" w:space="0" w:color="auto"/>
            <w:right w:val="none" w:sz="0" w:space="0" w:color="auto"/>
          </w:divBdr>
        </w:div>
        <w:div w:id="742600951">
          <w:marLeft w:val="706"/>
          <w:marRight w:val="0"/>
          <w:marTop w:val="0"/>
          <w:marBottom w:val="0"/>
          <w:divBdr>
            <w:top w:val="none" w:sz="0" w:space="0" w:color="auto"/>
            <w:left w:val="none" w:sz="0" w:space="0" w:color="auto"/>
            <w:bottom w:val="none" w:sz="0" w:space="0" w:color="auto"/>
            <w:right w:val="none" w:sz="0" w:space="0" w:color="auto"/>
          </w:divBdr>
        </w:div>
      </w:divsChild>
    </w:div>
    <w:div w:id="213660610">
      <w:bodyDiv w:val="1"/>
      <w:marLeft w:val="0"/>
      <w:marRight w:val="0"/>
      <w:marTop w:val="0"/>
      <w:marBottom w:val="0"/>
      <w:divBdr>
        <w:top w:val="none" w:sz="0" w:space="0" w:color="auto"/>
        <w:left w:val="none" w:sz="0" w:space="0" w:color="auto"/>
        <w:bottom w:val="none" w:sz="0" w:space="0" w:color="auto"/>
        <w:right w:val="none" w:sz="0" w:space="0" w:color="auto"/>
      </w:divBdr>
    </w:div>
    <w:div w:id="267588758">
      <w:bodyDiv w:val="1"/>
      <w:marLeft w:val="0"/>
      <w:marRight w:val="0"/>
      <w:marTop w:val="0"/>
      <w:marBottom w:val="0"/>
      <w:divBdr>
        <w:top w:val="none" w:sz="0" w:space="0" w:color="auto"/>
        <w:left w:val="none" w:sz="0" w:space="0" w:color="auto"/>
        <w:bottom w:val="none" w:sz="0" w:space="0" w:color="auto"/>
        <w:right w:val="none" w:sz="0" w:space="0" w:color="auto"/>
      </w:divBdr>
    </w:div>
    <w:div w:id="270432289">
      <w:bodyDiv w:val="1"/>
      <w:marLeft w:val="0"/>
      <w:marRight w:val="0"/>
      <w:marTop w:val="0"/>
      <w:marBottom w:val="0"/>
      <w:divBdr>
        <w:top w:val="none" w:sz="0" w:space="0" w:color="auto"/>
        <w:left w:val="none" w:sz="0" w:space="0" w:color="auto"/>
        <w:bottom w:val="none" w:sz="0" w:space="0" w:color="auto"/>
        <w:right w:val="none" w:sz="0" w:space="0" w:color="auto"/>
      </w:divBdr>
    </w:div>
    <w:div w:id="272399244">
      <w:bodyDiv w:val="1"/>
      <w:marLeft w:val="0"/>
      <w:marRight w:val="0"/>
      <w:marTop w:val="0"/>
      <w:marBottom w:val="0"/>
      <w:divBdr>
        <w:top w:val="none" w:sz="0" w:space="0" w:color="auto"/>
        <w:left w:val="none" w:sz="0" w:space="0" w:color="auto"/>
        <w:bottom w:val="none" w:sz="0" w:space="0" w:color="auto"/>
        <w:right w:val="none" w:sz="0" w:space="0" w:color="auto"/>
      </w:divBdr>
    </w:div>
    <w:div w:id="300885246">
      <w:bodyDiv w:val="1"/>
      <w:marLeft w:val="0"/>
      <w:marRight w:val="0"/>
      <w:marTop w:val="0"/>
      <w:marBottom w:val="0"/>
      <w:divBdr>
        <w:top w:val="none" w:sz="0" w:space="0" w:color="auto"/>
        <w:left w:val="none" w:sz="0" w:space="0" w:color="auto"/>
        <w:bottom w:val="none" w:sz="0" w:space="0" w:color="auto"/>
        <w:right w:val="none" w:sz="0" w:space="0" w:color="auto"/>
      </w:divBdr>
    </w:div>
    <w:div w:id="349263619">
      <w:bodyDiv w:val="1"/>
      <w:marLeft w:val="0"/>
      <w:marRight w:val="0"/>
      <w:marTop w:val="0"/>
      <w:marBottom w:val="0"/>
      <w:divBdr>
        <w:top w:val="none" w:sz="0" w:space="0" w:color="auto"/>
        <w:left w:val="none" w:sz="0" w:space="0" w:color="auto"/>
        <w:bottom w:val="none" w:sz="0" w:space="0" w:color="auto"/>
        <w:right w:val="none" w:sz="0" w:space="0" w:color="auto"/>
      </w:divBdr>
    </w:div>
    <w:div w:id="383212357">
      <w:bodyDiv w:val="1"/>
      <w:marLeft w:val="0"/>
      <w:marRight w:val="0"/>
      <w:marTop w:val="0"/>
      <w:marBottom w:val="0"/>
      <w:divBdr>
        <w:top w:val="none" w:sz="0" w:space="0" w:color="auto"/>
        <w:left w:val="none" w:sz="0" w:space="0" w:color="auto"/>
        <w:bottom w:val="none" w:sz="0" w:space="0" w:color="auto"/>
        <w:right w:val="none" w:sz="0" w:space="0" w:color="auto"/>
      </w:divBdr>
    </w:div>
    <w:div w:id="400059690">
      <w:bodyDiv w:val="1"/>
      <w:marLeft w:val="0"/>
      <w:marRight w:val="0"/>
      <w:marTop w:val="0"/>
      <w:marBottom w:val="0"/>
      <w:divBdr>
        <w:top w:val="none" w:sz="0" w:space="0" w:color="auto"/>
        <w:left w:val="none" w:sz="0" w:space="0" w:color="auto"/>
        <w:bottom w:val="none" w:sz="0" w:space="0" w:color="auto"/>
        <w:right w:val="none" w:sz="0" w:space="0" w:color="auto"/>
      </w:divBdr>
    </w:div>
    <w:div w:id="404450218">
      <w:bodyDiv w:val="1"/>
      <w:marLeft w:val="0"/>
      <w:marRight w:val="0"/>
      <w:marTop w:val="0"/>
      <w:marBottom w:val="0"/>
      <w:divBdr>
        <w:top w:val="none" w:sz="0" w:space="0" w:color="auto"/>
        <w:left w:val="none" w:sz="0" w:space="0" w:color="auto"/>
        <w:bottom w:val="none" w:sz="0" w:space="0" w:color="auto"/>
        <w:right w:val="none" w:sz="0" w:space="0" w:color="auto"/>
      </w:divBdr>
    </w:div>
    <w:div w:id="527765954">
      <w:bodyDiv w:val="1"/>
      <w:marLeft w:val="0"/>
      <w:marRight w:val="0"/>
      <w:marTop w:val="0"/>
      <w:marBottom w:val="0"/>
      <w:divBdr>
        <w:top w:val="none" w:sz="0" w:space="0" w:color="auto"/>
        <w:left w:val="none" w:sz="0" w:space="0" w:color="auto"/>
        <w:bottom w:val="none" w:sz="0" w:space="0" w:color="auto"/>
        <w:right w:val="none" w:sz="0" w:space="0" w:color="auto"/>
      </w:divBdr>
    </w:div>
    <w:div w:id="652566544">
      <w:bodyDiv w:val="1"/>
      <w:marLeft w:val="0"/>
      <w:marRight w:val="0"/>
      <w:marTop w:val="0"/>
      <w:marBottom w:val="0"/>
      <w:divBdr>
        <w:top w:val="none" w:sz="0" w:space="0" w:color="auto"/>
        <w:left w:val="none" w:sz="0" w:space="0" w:color="auto"/>
        <w:bottom w:val="none" w:sz="0" w:space="0" w:color="auto"/>
        <w:right w:val="none" w:sz="0" w:space="0" w:color="auto"/>
      </w:divBdr>
    </w:div>
    <w:div w:id="753934134">
      <w:bodyDiv w:val="1"/>
      <w:marLeft w:val="0"/>
      <w:marRight w:val="0"/>
      <w:marTop w:val="0"/>
      <w:marBottom w:val="0"/>
      <w:divBdr>
        <w:top w:val="none" w:sz="0" w:space="0" w:color="auto"/>
        <w:left w:val="none" w:sz="0" w:space="0" w:color="auto"/>
        <w:bottom w:val="none" w:sz="0" w:space="0" w:color="auto"/>
        <w:right w:val="none" w:sz="0" w:space="0" w:color="auto"/>
      </w:divBdr>
      <w:divsChild>
        <w:div w:id="1206528648">
          <w:marLeft w:val="706"/>
          <w:marRight w:val="0"/>
          <w:marTop w:val="240"/>
          <w:marBottom w:val="240"/>
          <w:divBdr>
            <w:top w:val="none" w:sz="0" w:space="0" w:color="auto"/>
            <w:left w:val="none" w:sz="0" w:space="0" w:color="auto"/>
            <w:bottom w:val="none" w:sz="0" w:space="0" w:color="auto"/>
            <w:right w:val="none" w:sz="0" w:space="0" w:color="auto"/>
          </w:divBdr>
        </w:div>
        <w:div w:id="999960926">
          <w:marLeft w:val="706"/>
          <w:marRight w:val="0"/>
          <w:marTop w:val="110"/>
          <w:marBottom w:val="240"/>
          <w:divBdr>
            <w:top w:val="none" w:sz="0" w:space="0" w:color="auto"/>
            <w:left w:val="none" w:sz="0" w:space="0" w:color="auto"/>
            <w:bottom w:val="none" w:sz="0" w:space="0" w:color="auto"/>
            <w:right w:val="none" w:sz="0" w:space="0" w:color="auto"/>
          </w:divBdr>
        </w:div>
        <w:div w:id="831993827">
          <w:marLeft w:val="706"/>
          <w:marRight w:val="0"/>
          <w:marTop w:val="110"/>
          <w:marBottom w:val="240"/>
          <w:divBdr>
            <w:top w:val="none" w:sz="0" w:space="0" w:color="auto"/>
            <w:left w:val="none" w:sz="0" w:space="0" w:color="auto"/>
            <w:bottom w:val="none" w:sz="0" w:space="0" w:color="auto"/>
            <w:right w:val="none" w:sz="0" w:space="0" w:color="auto"/>
          </w:divBdr>
        </w:div>
        <w:div w:id="1559589965">
          <w:marLeft w:val="706"/>
          <w:marRight w:val="0"/>
          <w:marTop w:val="110"/>
          <w:marBottom w:val="240"/>
          <w:divBdr>
            <w:top w:val="none" w:sz="0" w:space="0" w:color="auto"/>
            <w:left w:val="none" w:sz="0" w:space="0" w:color="auto"/>
            <w:bottom w:val="none" w:sz="0" w:space="0" w:color="auto"/>
            <w:right w:val="none" w:sz="0" w:space="0" w:color="auto"/>
          </w:divBdr>
        </w:div>
        <w:div w:id="2109227914">
          <w:marLeft w:val="706"/>
          <w:marRight w:val="0"/>
          <w:marTop w:val="110"/>
          <w:marBottom w:val="240"/>
          <w:divBdr>
            <w:top w:val="none" w:sz="0" w:space="0" w:color="auto"/>
            <w:left w:val="none" w:sz="0" w:space="0" w:color="auto"/>
            <w:bottom w:val="none" w:sz="0" w:space="0" w:color="auto"/>
            <w:right w:val="none" w:sz="0" w:space="0" w:color="auto"/>
          </w:divBdr>
        </w:div>
        <w:div w:id="1185827638">
          <w:marLeft w:val="706"/>
          <w:marRight w:val="0"/>
          <w:marTop w:val="110"/>
          <w:marBottom w:val="240"/>
          <w:divBdr>
            <w:top w:val="none" w:sz="0" w:space="0" w:color="auto"/>
            <w:left w:val="none" w:sz="0" w:space="0" w:color="auto"/>
            <w:bottom w:val="none" w:sz="0" w:space="0" w:color="auto"/>
            <w:right w:val="none" w:sz="0" w:space="0" w:color="auto"/>
          </w:divBdr>
        </w:div>
        <w:div w:id="693769102">
          <w:marLeft w:val="706"/>
          <w:marRight w:val="0"/>
          <w:marTop w:val="110"/>
          <w:marBottom w:val="240"/>
          <w:divBdr>
            <w:top w:val="none" w:sz="0" w:space="0" w:color="auto"/>
            <w:left w:val="none" w:sz="0" w:space="0" w:color="auto"/>
            <w:bottom w:val="none" w:sz="0" w:space="0" w:color="auto"/>
            <w:right w:val="none" w:sz="0" w:space="0" w:color="auto"/>
          </w:divBdr>
        </w:div>
      </w:divsChild>
    </w:div>
    <w:div w:id="909272778">
      <w:bodyDiv w:val="1"/>
      <w:marLeft w:val="0"/>
      <w:marRight w:val="0"/>
      <w:marTop w:val="0"/>
      <w:marBottom w:val="0"/>
      <w:divBdr>
        <w:top w:val="none" w:sz="0" w:space="0" w:color="auto"/>
        <w:left w:val="none" w:sz="0" w:space="0" w:color="auto"/>
        <w:bottom w:val="none" w:sz="0" w:space="0" w:color="auto"/>
        <w:right w:val="none" w:sz="0" w:space="0" w:color="auto"/>
      </w:divBdr>
    </w:div>
    <w:div w:id="933515195">
      <w:bodyDiv w:val="1"/>
      <w:marLeft w:val="0"/>
      <w:marRight w:val="0"/>
      <w:marTop w:val="0"/>
      <w:marBottom w:val="0"/>
      <w:divBdr>
        <w:top w:val="none" w:sz="0" w:space="0" w:color="auto"/>
        <w:left w:val="none" w:sz="0" w:space="0" w:color="auto"/>
        <w:bottom w:val="none" w:sz="0" w:space="0" w:color="auto"/>
        <w:right w:val="none" w:sz="0" w:space="0" w:color="auto"/>
      </w:divBdr>
      <w:divsChild>
        <w:div w:id="558636821">
          <w:marLeft w:val="547"/>
          <w:marRight w:val="0"/>
          <w:marTop w:val="120"/>
          <w:marBottom w:val="120"/>
          <w:divBdr>
            <w:top w:val="none" w:sz="0" w:space="0" w:color="auto"/>
            <w:left w:val="none" w:sz="0" w:space="0" w:color="auto"/>
            <w:bottom w:val="none" w:sz="0" w:space="0" w:color="auto"/>
            <w:right w:val="none" w:sz="0" w:space="0" w:color="auto"/>
          </w:divBdr>
        </w:div>
        <w:div w:id="1813449494">
          <w:marLeft w:val="547"/>
          <w:marRight w:val="0"/>
          <w:marTop w:val="120"/>
          <w:marBottom w:val="120"/>
          <w:divBdr>
            <w:top w:val="none" w:sz="0" w:space="0" w:color="auto"/>
            <w:left w:val="none" w:sz="0" w:space="0" w:color="auto"/>
            <w:bottom w:val="none" w:sz="0" w:space="0" w:color="auto"/>
            <w:right w:val="none" w:sz="0" w:space="0" w:color="auto"/>
          </w:divBdr>
        </w:div>
        <w:div w:id="2065987359">
          <w:marLeft w:val="547"/>
          <w:marRight w:val="0"/>
          <w:marTop w:val="120"/>
          <w:marBottom w:val="120"/>
          <w:divBdr>
            <w:top w:val="none" w:sz="0" w:space="0" w:color="auto"/>
            <w:left w:val="none" w:sz="0" w:space="0" w:color="auto"/>
            <w:bottom w:val="none" w:sz="0" w:space="0" w:color="auto"/>
            <w:right w:val="none" w:sz="0" w:space="0" w:color="auto"/>
          </w:divBdr>
        </w:div>
        <w:div w:id="1234388535">
          <w:marLeft w:val="1166"/>
          <w:marRight w:val="0"/>
          <w:marTop w:val="0"/>
          <w:marBottom w:val="0"/>
          <w:divBdr>
            <w:top w:val="none" w:sz="0" w:space="0" w:color="auto"/>
            <w:left w:val="none" w:sz="0" w:space="0" w:color="auto"/>
            <w:bottom w:val="none" w:sz="0" w:space="0" w:color="auto"/>
            <w:right w:val="none" w:sz="0" w:space="0" w:color="auto"/>
          </w:divBdr>
        </w:div>
        <w:div w:id="1139805698">
          <w:marLeft w:val="1166"/>
          <w:marRight w:val="0"/>
          <w:marTop w:val="0"/>
          <w:marBottom w:val="0"/>
          <w:divBdr>
            <w:top w:val="none" w:sz="0" w:space="0" w:color="auto"/>
            <w:left w:val="none" w:sz="0" w:space="0" w:color="auto"/>
            <w:bottom w:val="none" w:sz="0" w:space="0" w:color="auto"/>
            <w:right w:val="none" w:sz="0" w:space="0" w:color="auto"/>
          </w:divBdr>
        </w:div>
        <w:div w:id="1536306730">
          <w:marLeft w:val="1166"/>
          <w:marRight w:val="0"/>
          <w:marTop w:val="0"/>
          <w:marBottom w:val="0"/>
          <w:divBdr>
            <w:top w:val="none" w:sz="0" w:space="0" w:color="auto"/>
            <w:left w:val="none" w:sz="0" w:space="0" w:color="auto"/>
            <w:bottom w:val="none" w:sz="0" w:space="0" w:color="auto"/>
            <w:right w:val="none" w:sz="0" w:space="0" w:color="auto"/>
          </w:divBdr>
        </w:div>
        <w:div w:id="702054306">
          <w:marLeft w:val="547"/>
          <w:marRight w:val="0"/>
          <w:marTop w:val="120"/>
          <w:marBottom w:val="120"/>
          <w:divBdr>
            <w:top w:val="none" w:sz="0" w:space="0" w:color="auto"/>
            <w:left w:val="none" w:sz="0" w:space="0" w:color="auto"/>
            <w:bottom w:val="none" w:sz="0" w:space="0" w:color="auto"/>
            <w:right w:val="none" w:sz="0" w:space="0" w:color="auto"/>
          </w:divBdr>
        </w:div>
        <w:div w:id="1274904570">
          <w:marLeft w:val="547"/>
          <w:marRight w:val="0"/>
          <w:marTop w:val="120"/>
          <w:marBottom w:val="120"/>
          <w:divBdr>
            <w:top w:val="none" w:sz="0" w:space="0" w:color="auto"/>
            <w:left w:val="none" w:sz="0" w:space="0" w:color="auto"/>
            <w:bottom w:val="none" w:sz="0" w:space="0" w:color="auto"/>
            <w:right w:val="none" w:sz="0" w:space="0" w:color="auto"/>
          </w:divBdr>
        </w:div>
        <w:div w:id="1791392021">
          <w:marLeft w:val="547"/>
          <w:marRight w:val="0"/>
          <w:marTop w:val="120"/>
          <w:marBottom w:val="120"/>
          <w:divBdr>
            <w:top w:val="none" w:sz="0" w:space="0" w:color="auto"/>
            <w:left w:val="none" w:sz="0" w:space="0" w:color="auto"/>
            <w:bottom w:val="none" w:sz="0" w:space="0" w:color="auto"/>
            <w:right w:val="none" w:sz="0" w:space="0" w:color="auto"/>
          </w:divBdr>
        </w:div>
      </w:divsChild>
    </w:div>
    <w:div w:id="942225115">
      <w:bodyDiv w:val="1"/>
      <w:marLeft w:val="0"/>
      <w:marRight w:val="0"/>
      <w:marTop w:val="0"/>
      <w:marBottom w:val="0"/>
      <w:divBdr>
        <w:top w:val="none" w:sz="0" w:space="0" w:color="auto"/>
        <w:left w:val="none" w:sz="0" w:space="0" w:color="auto"/>
        <w:bottom w:val="none" w:sz="0" w:space="0" w:color="auto"/>
        <w:right w:val="none" w:sz="0" w:space="0" w:color="auto"/>
      </w:divBdr>
    </w:div>
    <w:div w:id="976641026">
      <w:bodyDiv w:val="1"/>
      <w:marLeft w:val="0"/>
      <w:marRight w:val="0"/>
      <w:marTop w:val="0"/>
      <w:marBottom w:val="0"/>
      <w:divBdr>
        <w:top w:val="none" w:sz="0" w:space="0" w:color="auto"/>
        <w:left w:val="none" w:sz="0" w:space="0" w:color="auto"/>
        <w:bottom w:val="none" w:sz="0" w:space="0" w:color="auto"/>
        <w:right w:val="none" w:sz="0" w:space="0" w:color="auto"/>
      </w:divBdr>
    </w:div>
    <w:div w:id="1009018965">
      <w:bodyDiv w:val="1"/>
      <w:marLeft w:val="0"/>
      <w:marRight w:val="0"/>
      <w:marTop w:val="0"/>
      <w:marBottom w:val="0"/>
      <w:divBdr>
        <w:top w:val="none" w:sz="0" w:space="0" w:color="auto"/>
        <w:left w:val="none" w:sz="0" w:space="0" w:color="auto"/>
        <w:bottom w:val="none" w:sz="0" w:space="0" w:color="auto"/>
        <w:right w:val="none" w:sz="0" w:space="0" w:color="auto"/>
      </w:divBdr>
    </w:div>
    <w:div w:id="1091661087">
      <w:bodyDiv w:val="1"/>
      <w:marLeft w:val="0"/>
      <w:marRight w:val="0"/>
      <w:marTop w:val="0"/>
      <w:marBottom w:val="0"/>
      <w:divBdr>
        <w:top w:val="none" w:sz="0" w:space="0" w:color="auto"/>
        <w:left w:val="none" w:sz="0" w:space="0" w:color="auto"/>
        <w:bottom w:val="none" w:sz="0" w:space="0" w:color="auto"/>
        <w:right w:val="none" w:sz="0" w:space="0" w:color="auto"/>
      </w:divBdr>
    </w:div>
    <w:div w:id="1138568175">
      <w:bodyDiv w:val="1"/>
      <w:marLeft w:val="0"/>
      <w:marRight w:val="0"/>
      <w:marTop w:val="0"/>
      <w:marBottom w:val="0"/>
      <w:divBdr>
        <w:top w:val="none" w:sz="0" w:space="0" w:color="auto"/>
        <w:left w:val="none" w:sz="0" w:space="0" w:color="auto"/>
        <w:bottom w:val="none" w:sz="0" w:space="0" w:color="auto"/>
        <w:right w:val="none" w:sz="0" w:space="0" w:color="auto"/>
      </w:divBdr>
      <w:divsChild>
        <w:div w:id="1901481267">
          <w:marLeft w:val="547"/>
          <w:marRight w:val="0"/>
          <w:marTop w:val="77"/>
          <w:marBottom w:val="0"/>
          <w:divBdr>
            <w:top w:val="none" w:sz="0" w:space="0" w:color="auto"/>
            <w:left w:val="none" w:sz="0" w:space="0" w:color="auto"/>
            <w:bottom w:val="none" w:sz="0" w:space="0" w:color="auto"/>
            <w:right w:val="none" w:sz="0" w:space="0" w:color="auto"/>
          </w:divBdr>
        </w:div>
        <w:div w:id="1308389588">
          <w:marLeft w:val="547"/>
          <w:marRight w:val="0"/>
          <w:marTop w:val="77"/>
          <w:marBottom w:val="0"/>
          <w:divBdr>
            <w:top w:val="none" w:sz="0" w:space="0" w:color="auto"/>
            <w:left w:val="none" w:sz="0" w:space="0" w:color="auto"/>
            <w:bottom w:val="none" w:sz="0" w:space="0" w:color="auto"/>
            <w:right w:val="none" w:sz="0" w:space="0" w:color="auto"/>
          </w:divBdr>
        </w:div>
        <w:div w:id="982319583">
          <w:marLeft w:val="547"/>
          <w:marRight w:val="0"/>
          <w:marTop w:val="77"/>
          <w:marBottom w:val="0"/>
          <w:divBdr>
            <w:top w:val="none" w:sz="0" w:space="0" w:color="auto"/>
            <w:left w:val="none" w:sz="0" w:space="0" w:color="auto"/>
            <w:bottom w:val="none" w:sz="0" w:space="0" w:color="auto"/>
            <w:right w:val="none" w:sz="0" w:space="0" w:color="auto"/>
          </w:divBdr>
        </w:div>
      </w:divsChild>
    </w:div>
    <w:div w:id="1202787900">
      <w:bodyDiv w:val="1"/>
      <w:marLeft w:val="0"/>
      <w:marRight w:val="0"/>
      <w:marTop w:val="0"/>
      <w:marBottom w:val="0"/>
      <w:divBdr>
        <w:top w:val="none" w:sz="0" w:space="0" w:color="auto"/>
        <w:left w:val="none" w:sz="0" w:space="0" w:color="auto"/>
        <w:bottom w:val="none" w:sz="0" w:space="0" w:color="auto"/>
        <w:right w:val="none" w:sz="0" w:space="0" w:color="auto"/>
      </w:divBdr>
    </w:div>
    <w:div w:id="1299337364">
      <w:bodyDiv w:val="1"/>
      <w:marLeft w:val="0"/>
      <w:marRight w:val="0"/>
      <w:marTop w:val="0"/>
      <w:marBottom w:val="0"/>
      <w:divBdr>
        <w:top w:val="none" w:sz="0" w:space="0" w:color="auto"/>
        <w:left w:val="none" w:sz="0" w:space="0" w:color="auto"/>
        <w:bottom w:val="none" w:sz="0" w:space="0" w:color="auto"/>
        <w:right w:val="none" w:sz="0" w:space="0" w:color="auto"/>
      </w:divBdr>
      <w:divsChild>
        <w:div w:id="636228403">
          <w:marLeft w:val="562"/>
          <w:marRight w:val="14"/>
          <w:marTop w:val="116"/>
          <w:marBottom w:val="0"/>
          <w:divBdr>
            <w:top w:val="none" w:sz="0" w:space="0" w:color="auto"/>
            <w:left w:val="none" w:sz="0" w:space="0" w:color="auto"/>
            <w:bottom w:val="none" w:sz="0" w:space="0" w:color="auto"/>
            <w:right w:val="none" w:sz="0" w:space="0" w:color="auto"/>
          </w:divBdr>
        </w:div>
        <w:div w:id="124201058">
          <w:marLeft w:val="562"/>
          <w:marRight w:val="0"/>
          <w:marTop w:val="19"/>
          <w:marBottom w:val="0"/>
          <w:divBdr>
            <w:top w:val="none" w:sz="0" w:space="0" w:color="auto"/>
            <w:left w:val="none" w:sz="0" w:space="0" w:color="auto"/>
            <w:bottom w:val="none" w:sz="0" w:space="0" w:color="auto"/>
            <w:right w:val="none" w:sz="0" w:space="0" w:color="auto"/>
          </w:divBdr>
        </w:div>
        <w:div w:id="583344965">
          <w:marLeft w:val="562"/>
          <w:marRight w:val="0"/>
          <w:marTop w:val="19"/>
          <w:marBottom w:val="0"/>
          <w:divBdr>
            <w:top w:val="none" w:sz="0" w:space="0" w:color="auto"/>
            <w:left w:val="none" w:sz="0" w:space="0" w:color="auto"/>
            <w:bottom w:val="none" w:sz="0" w:space="0" w:color="auto"/>
            <w:right w:val="none" w:sz="0" w:space="0" w:color="auto"/>
          </w:divBdr>
        </w:div>
        <w:div w:id="831871337">
          <w:marLeft w:val="562"/>
          <w:marRight w:val="0"/>
          <w:marTop w:val="115"/>
          <w:marBottom w:val="0"/>
          <w:divBdr>
            <w:top w:val="none" w:sz="0" w:space="0" w:color="auto"/>
            <w:left w:val="none" w:sz="0" w:space="0" w:color="auto"/>
            <w:bottom w:val="none" w:sz="0" w:space="0" w:color="auto"/>
            <w:right w:val="none" w:sz="0" w:space="0" w:color="auto"/>
          </w:divBdr>
        </w:div>
        <w:div w:id="1083836759">
          <w:marLeft w:val="562"/>
          <w:marRight w:val="0"/>
          <w:marTop w:val="115"/>
          <w:marBottom w:val="0"/>
          <w:divBdr>
            <w:top w:val="none" w:sz="0" w:space="0" w:color="auto"/>
            <w:left w:val="none" w:sz="0" w:space="0" w:color="auto"/>
            <w:bottom w:val="none" w:sz="0" w:space="0" w:color="auto"/>
            <w:right w:val="none" w:sz="0" w:space="0" w:color="auto"/>
          </w:divBdr>
        </w:div>
      </w:divsChild>
    </w:div>
    <w:div w:id="1309900472">
      <w:bodyDiv w:val="1"/>
      <w:marLeft w:val="0"/>
      <w:marRight w:val="0"/>
      <w:marTop w:val="0"/>
      <w:marBottom w:val="0"/>
      <w:divBdr>
        <w:top w:val="none" w:sz="0" w:space="0" w:color="auto"/>
        <w:left w:val="none" w:sz="0" w:space="0" w:color="auto"/>
        <w:bottom w:val="none" w:sz="0" w:space="0" w:color="auto"/>
        <w:right w:val="none" w:sz="0" w:space="0" w:color="auto"/>
      </w:divBdr>
    </w:div>
    <w:div w:id="1357080528">
      <w:bodyDiv w:val="1"/>
      <w:marLeft w:val="0"/>
      <w:marRight w:val="0"/>
      <w:marTop w:val="0"/>
      <w:marBottom w:val="0"/>
      <w:divBdr>
        <w:top w:val="none" w:sz="0" w:space="0" w:color="auto"/>
        <w:left w:val="none" w:sz="0" w:space="0" w:color="auto"/>
        <w:bottom w:val="none" w:sz="0" w:space="0" w:color="auto"/>
        <w:right w:val="none" w:sz="0" w:space="0" w:color="auto"/>
      </w:divBdr>
    </w:div>
    <w:div w:id="1398014049">
      <w:bodyDiv w:val="1"/>
      <w:marLeft w:val="0"/>
      <w:marRight w:val="0"/>
      <w:marTop w:val="0"/>
      <w:marBottom w:val="0"/>
      <w:divBdr>
        <w:top w:val="none" w:sz="0" w:space="0" w:color="auto"/>
        <w:left w:val="none" w:sz="0" w:space="0" w:color="auto"/>
        <w:bottom w:val="none" w:sz="0" w:space="0" w:color="auto"/>
        <w:right w:val="none" w:sz="0" w:space="0" w:color="auto"/>
      </w:divBdr>
    </w:div>
    <w:div w:id="1402286898">
      <w:bodyDiv w:val="1"/>
      <w:marLeft w:val="0"/>
      <w:marRight w:val="0"/>
      <w:marTop w:val="0"/>
      <w:marBottom w:val="0"/>
      <w:divBdr>
        <w:top w:val="none" w:sz="0" w:space="0" w:color="auto"/>
        <w:left w:val="none" w:sz="0" w:space="0" w:color="auto"/>
        <w:bottom w:val="none" w:sz="0" w:space="0" w:color="auto"/>
        <w:right w:val="none" w:sz="0" w:space="0" w:color="auto"/>
      </w:divBdr>
      <w:divsChild>
        <w:div w:id="295988736">
          <w:marLeft w:val="446"/>
          <w:marRight w:val="0"/>
          <w:marTop w:val="0"/>
          <w:marBottom w:val="0"/>
          <w:divBdr>
            <w:top w:val="none" w:sz="0" w:space="0" w:color="auto"/>
            <w:left w:val="none" w:sz="0" w:space="0" w:color="auto"/>
            <w:bottom w:val="none" w:sz="0" w:space="0" w:color="auto"/>
            <w:right w:val="none" w:sz="0" w:space="0" w:color="auto"/>
          </w:divBdr>
        </w:div>
        <w:div w:id="208614703">
          <w:marLeft w:val="446"/>
          <w:marRight w:val="0"/>
          <w:marTop w:val="0"/>
          <w:marBottom w:val="0"/>
          <w:divBdr>
            <w:top w:val="none" w:sz="0" w:space="0" w:color="auto"/>
            <w:left w:val="none" w:sz="0" w:space="0" w:color="auto"/>
            <w:bottom w:val="none" w:sz="0" w:space="0" w:color="auto"/>
            <w:right w:val="none" w:sz="0" w:space="0" w:color="auto"/>
          </w:divBdr>
        </w:div>
      </w:divsChild>
    </w:div>
    <w:div w:id="1426460092">
      <w:bodyDiv w:val="1"/>
      <w:marLeft w:val="0"/>
      <w:marRight w:val="0"/>
      <w:marTop w:val="0"/>
      <w:marBottom w:val="0"/>
      <w:divBdr>
        <w:top w:val="none" w:sz="0" w:space="0" w:color="auto"/>
        <w:left w:val="none" w:sz="0" w:space="0" w:color="auto"/>
        <w:bottom w:val="none" w:sz="0" w:space="0" w:color="auto"/>
        <w:right w:val="none" w:sz="0" w:space="0" w:color="auto"/>
      </w:divBdr>
      <w:divsChild>
        <w:div w:id="396710040">
          <w:marLeft w:val="1166"/>
          <w:marRight w:val="0"/>
          <w:marTop w:val="86"/>
          <w:marBottom w:val="0"/>
          <w:divBdr>
            <w:top w:val="none" w:sz="0" w:space="0" w:color="auto"/>
            <w:left w:val="none" w:sz="0" w:space="0" w:color="auto"/>
            <w:bottom w:val="none" w:sz="0" w:space="0" w:color="auto"/>
            <w:right w:val="none" w:sz="0" w:space="0" w:color="auto"/>
          </w:divBdr>
        </w:div>
        <w:div w:id="1083453639">
          <w:marLeft w:val="1166"/>
          <w:marRight w:val="0"/>
          <w:marTop w:val="86"/>
          <w:marBottom w:val="0"/>
          <w:divBdr>
            <w:top w:val="none" w:sz="0" w:space="0" w:color="auto"/>
            <w:left w:val="none" w:sz="0" w:space="0" w:color="auto"/>
            <w:bottom w:val="none" w:sz="0" w:space="0" w:color="auto"/>
            <w:right w:val="none" w:sz="0" w:space="0" w:color="auto"/>
          </w:divBdr>
        </w:div>
        <w:div w:id="1939949435">
          <w:marLeft w:val="1166"/>
          <w:marRight w:val="0"/>
          <w:marTop w:val="86"/>
          <w:marBottom w:val="0"/>
          <w:divBdr>
            <w:top w:val="none" w:sz="0" w:space="0" w:color="auto"/>
            <w:left w:val="none" w:sz="0" w:space="0" w:color="auto"/>
            <w:bottom w:val="none" w:sz="0" w:space="0" w:color="auto"/>
            <w:right w:val="none" w:sz="0" w:space="0" w:color="auto"/>
          </w:divBdr>
        </w:div>
      </w:divsChild>
    </w:div>
    <w:div w:id="1489786512">
      <w:bodyDiv w:val="1"/>
      <w:marLeft w:val="0"/>
      <w:marRight w:val="0"/>
      <w:marTop w:val="0"/>
      <w:marBottom w:val="0"/>
      <w:divBdr>
        <w:top w:val="none" w:sz="0" w:space="0" w:color="auto"/>
        <w:left w:val="none" w:sz="0" w:space="0" w:color="auto"/>
        <w:bottom w:val="none" w:sz="0" w:space="0" w:color="auto"/>
        <w:right w:val="none" w:sz="0" w:space="0" w:color="auto"/>
      </w:divBdr>
    </w:div>
    <w:div w:id="1534733407">
      <w:bodyDiv w:val="1"/>
      <w:marLeft w:val="0"/>
      <w:marRight w:val="0"/>
      <w:marTop w:val="0"/>
      <w:marBottom w:val="0"/>
      <w:divBdr>
        <w:top w:val="none" w:sz="0" w:space="0" w:color="auto"/>
        <w:left w:val="none" w:sz="0" w:space="0" w:color="auto"/>
        <w:bottom w:val="none" w:sz="0" w:space="0" w:color="auto"/>
        <w:right w:val="none" w:sz="0" w:space="0" w:color="auto"/>
      </w:divBdr>
    </w:div>
    <w:div w:id="1612324718">
      <w:bodyDiv w:val="1"/>
      <w:marLeft w:val="0"/>
      <w:marRight w:val="0"/>
      <w:marTop w:val="0"/>
      <w:marBottom w:val="0"/>
      <w:divBdr>
        <w:top w:val="none" w:sz="0" w:space="0" w:color="auto"/>
        <w:left w:val="none" w:sz="0" w:space="0" w:color="auto"/>
        <w:bottom w:val="none" w:sz="0" w:space="0" w:color="auto"/>
        <w:right w:val="none" w:sz="0" w:space="0" w:color="auto"/>
      </w:divBdr>
      <w:divsChild>
        <w:div w:id="1598753986">
          <w:marLeft w:val="547"/>
          <w:marRight w:val="0"/>
          <w:marTop w:val="130"/>
          <w:marBottom w:val="240"/>
          <w:divBdr>
            <w:top w:val="none" w:sz="0" w:space="0" w:color="auto"/>
            <w:left w:val="none" w:sz="0" w:space="0" w:color="auto"/>
            <w:bottom w:val="none" w:sz="0" w:space="0" w:color="auto"/>
            <w:right w:val="none" w:sz="0" w:space="0" w:color="auto"/>
          </w:divBdr>
        </w:div>
        <w:div w:id="1091898991">
          <w:marLeft w:val="547"/>
          <w:marRight w:val="0"/>
          <w:marTop w:val="0"/>
          <w:marBottom w:val="240"/>
          <w:divBdr>
            <w:top w:val="none" w:sz="0" w:space="0" w:color="auto"/>
            <w:left w:val="none" w:sz="0" w:space="0" w:color="auto"/>
            <w:bottom w:val="none" w:sz="0" w:space="0" w:color="auto"/>
            <w:right w:val="none" w:sz="0" w:space="0" w:color="auto"/>
          </w:divBdr>
        </w:div>
        <w:div w:id="545996346">
          <w:marLeft w:val="1800"/>
          <w:marRight w:val="0"/>
          <w:marTop w:val="0"/>
          <w:marBottom w:val="240"/>
          <w:divBdr>
            <w:top w:val="none" w:sz="0" w:space="0" w:color="auto"/>
            <w:left w:val="none" w:sz="0" w:space="0" w:color="auto"/>
            <w:bottom w:val="none" w:sz="0" w:space="0" w:color="auto"/>
            <w:right w:val="none" w:sz="0" w:space="0" w:color="auto"/>
          </w:divBdr>
        </w:div>
        <w:div w:id="1604262565">
          <w:marLeft w:val="1800"/>
          <w:marRight w:val="0"/>
          <w:marTop w:val="0"/>
          <w:marBottom w:val="240"/>
          <w:divBdr>
            <w:top w:val="none" w:sz="0" w:space="0" w:color="auto"/>
            <w:left w:val="none" w:sz="0" w:space="0" w:color="auto"/>
            <w:bottom w:val="none" w:sz="0" w:space="0" w:color="auto"/>
            <w:right w:val="none" w:sz="0" w:space="0" w:color="auto"/>
          </w:divBdr>
        </w:div>
        <w:div w:id="357896827">
          <w:marLeft w:val="1800"/>
          <w:marRight w:val="0"/>
          <w:marTop w:val="0"/>
          <w:marBottom w:val="240"/>
          <w:divBdr>
            <w:top w:val="none" w:sz="0" w:space="0" w:color="auto"/>
            <w:left w:val="none" w:sz="0" w:space="0" w:color="auto"/>
            <w:bottom w:val="none" w:sz="0" w:space="0" w:color="auto"/>
            <w:right w:val="none" w:sz="0" w:space="0" w:color="auto"/>
          </w:divBdr>
        </w:div>
        <w:div w:id="5065405">
          <w:marLeft w:val="1800"/>
          <w:marRight w:val="0"/>
          <w:marTop w:val="0"/>
          <w:marBottom w:val="240"/>
          <w:divBdr>
            <w:top w:val="none" w:sz="0" w:space="0" w:color="auto"/>
            <w:left w:val="none" w:sz="0" w:space="0" w:color="auto"/>
            <w:bottom w:val="none" w:sz="0" w:space="0" w:color="auto"/>
            <w:right w:val="none" w:sz="0" w:space="0" w:color="auto"/>
          </w:divBdr>
        </w:div>
      </w:divsChild>
    </w:div>
    <w:div w:id="1659991435">
      <w:bodyDiv w:val="1"/>
      <w:marLeft w:val="0"/>
      <w:marRight w:val="0"/>
      <w:marTop w:val="0"/>
      <w:marBottom w:val="0"/>
      <w:divBdr>
        <w:top w:val="none" w:sz="0" w:space="0" w:color="auto"/>
        <w:left w:val="none" w:sz="0" w:space="0" w:color="auto"/>
        <w:bottom w:val="none" w:sz="0" w:space="0" w:color="auto"/>
        <w:right w:val="none" w:sz="0" w:space="0" w:color="auto"/>
      </w:divBdr>
      <w:divsChild>
        <w:div w:id="112333907">
          <w:marLeft w:val="547"/>
          <w:marRight w:val="0"/>
          <w:marTop w:val="0"/>
          <w:marBottom w:val="240"/>
          <w:divBdr>
            <w:top w:val="none" w:sz="0" w:space="0" w:color="auto"/>
            <w:left w:val="none" w:sz="0" w:space="0" w:color="auto"/>
            <w:bottom w:val="none" w:sz="0" w:space="0" w:color="auto"/>
            <w:right w:val="none" w:sz="0" w:space="0" w:color="auto"/>
          </w:divBdr>
        </w:div>
        <w:div w:id="1471820149">
          <w:marLeft w:val="547"/>
          <w:marRight w:val="0"/>
          <w:marTop w:val="0"/>
          <w:marBottom w:val="240"/>
          <w:divBdr>
            <w:top w:val="none" w:sz="0" w:space="0" w:color="auto"/>
            <w:left w:val="none" w:sz="0" w:space="0" w:color="auto"/>
            <w:bottom w:val="none" w:sz="0" w:space="0" w:color="auto"/>
            <w:right w:val="none" w:sz="0" w:space="0" w:color="auto"/>
          </w:divBdr>
        </w:div>
        <w:div w:id="35783423">
          <w:marLeft w:val="547"/>
          <w:marRight w:val="0"/>
          <w:marTop w:val="0"/>
          <w:marBottom w:val="240"/>
          <w:divBdr>
            <w:top w:val="none" w:sz="0" w:space="0" w:color="auto"/>
            <w:left w:val="none" w:sz="0" w:space="0" w:color="auto"/>
            <w:bottom w:val="none" w:sz="0" w:space="0" w:color="auto"/>
            <w:right w:val="none" w:sz="0" w:space="0" w:color="auto"/>
          </w:divBdr>
        </w:div>
        <w:div w:id="952833406">
          <w:marLeft w:val="547"/>
          <w:marRight w:val="0"/>
          <w:marTop w:val="0"/>
          <w:marBottom w:val="240"/>
          <w:divBdr>
            <w:top w:val="none" w:sz="0" w:space="0" w:color="auto"/>
            <w:left w:val="none" w:sz="0" w:space="0" w:color="auto"/>
            <w:bottom w:val="none" w:sz="0" w:space="0" w:color="auto"/>
            <w:right w:val="none" w:sz="0" w:space="0" w:color="auto"/>
          </w:divBdr>
        </w:div>
        <w:div w:id="352464297">
          <w:marLeft w:val="547"/>
          <w:marRight w:val="0"/>
          <w:marTop w:val="0"/>
          <w:marBottom w:val="240"/>
          <w:divBdr>
            <w:top w:val="none" w:sz="0" w:space="0" w:color="auto"/>
            <w:left w:val="none" w:sz="0" w:space="0" w:color="auto"/>
            <w:bottom w:val="none" w:sz="0" w:space="0" w:color="auto"/>
            <w:right w:val="none" w:sz="0" w:space="0" w:color="auto"/>
          </w:divBdr>
        </w:div>
        <w:div w:id="398285392">
          <w:marLeft w:val="547"/>
          <w:marRight w:val="0"/>
          <w:marTop w:val="0"/>
          <w:marBottom w:val="240"/>
          <w:divBdr>
            <w:top w:val="none" w:sz="0" w:space="0" w:color="auto"/>
            <w:left w:val="none" w:sz="0" w:space="0" w:color="auto"/>
            <w:bottom w:val="none" w:sz="0" w:space="0" w:color="auto"/>
            <w:right w:val="none" w:sz="0" w:space="0" w:color="auto"/>
          </w:divBdr>
        </w:div>
      </w:divsChild>
    </w:div>
    <w:div w:id="2022006318">
      <w:bodyDiv w:val="1"/>
      <w:marLeft w:val="0"/>
      <w:marRight w:val="0"/>
      <w:marTop w:val="0"/>
      <w:marBottom w:val="0"/>
      <w:divBdr>
        <w:top w:val="none" w:sz="0" w:space="0" w:color="auto"/>
        <w:left w:val="none" w:sz="0" w:space="0" w:color="auto"/>
        <w:bottom w:val="none" w:sz="0" w:space="0" w:color="auto"/>
        <w:right w:val="none" w:sz="0" w:space="0" w:color="auto"/>
      </w:divBdr>
      <w:divsChild>
        <w:div w:id="2078748314">
          <w:marLeft w:val="1080"/>
          <w:marRight w:val="0"/>
          <w:marTop w:val="96"/>
          <w:marBottom w:val="0"/>
          <w:divBdr>
            <w:top w:val="none" w:sz="0" w:space="0" w:color="auto"/>
            <w:left w:val="none" w:sz="0" w:space="0" w:color="auto"/>
            <w:bottom w:val="none" w:sz="0" w:space="0" w:color="auto"/>
            <w:right w:val="none" w:sz="0" w:space="0" w:color="auto"/>
          </w:divBdr>
        </w:div>
        <w:div w:id="1330674065">
          <w:marLeft w:val="1080"/>
          <w:marRight w:val="0"/>
          <w:marTop w:val="96"/>
          <w:marBottom w:val="0"/>
          <w:divBdr>
            <w:top w:val="none" w:sz="0" w:space="0" w:color="auto"/>
            <w:left w:val="none" w:sz="0" w:space="0" w:color="auto"/>
            <w:bottom w:val="none" w:sz="0" w:space="0" w:color="auto"/>
            <w:right w:val="none" w:sz="0" w:space="0" w:color="auto"/>
          </w:divBdr>
        </w:div>
        <w:div w:id="1626813792">
          <w:marLeft w:val="1080"/>
          <w:marRight w:val="0"/>
          <w:marTop w:val="96"/>
          <w:marBottom w:val="0"/>
          <w:divBdr>
            <w:top w:val="none" w:sz="0" w:space="0" w:color="auto"/>
            <w:left w:val="none" w:sz="0" w:space="0" w:color="auto"/>
            <w:bottom w:val="none" w:sz="0" w:space="0" w:color="auto"/>
            <w:right w:val="none" w:sz="0" w:space="0" w:color="auto"/>
          </w:divBdr>
        </w:div>
        <w:div w:id="473303659">
          <w:marLeft w:val="1080"/>
          <w:marRight w:val="0"/>
          <w:marTop w:val="96"/>
          <w:marBottom w:val="0"/>
          <w:divBdr>
            <w:top w:val="none" w:sz="0" w:space="0" w:color="auto"/>
            <w:left w:val="none" w:sz="0" w:space="0" w:color="auto"/>
            <w:bottom w:val="none" w:sz="0" w:space="0" w:color="auto"/>
            <w:right w:val="none" w:sz="0" w:space="0" w:color="auto"/>
          </w:divBdr>
        </w:div>
        <w:div w:id="538057399">
          <w:marLeft w:val="1080"/>
          <w:marRight w:val="0"/>
          <w:marTop w:val="96"/>
          <w:marBottom w:val="0"/>
          <w:divBdr>
            <w:top w:val="none" w:sz="0" w:space="0" w:color="auto"/>
            <w:left w:val="none" w:sz="0" w:space="0" w:color="auto"/>
            <w:bottom w:val="none" w:sz="0" w:space="0" w:color="auto"/>
            <w:right w:val="none" w:sz="0" w:space="0" w:color="auto"/>
          </w:divBdr>
        </w:div>
      </w:divsChild>
    </w:div>
    <w:div w:id="2090032297">
      <w:bodyDiv w:val="1"/>
      <w:marLeft w:val="0"/>
      <w:marRight w:val="0"/>
      <w:marTop w:val="0"/>
      <w:marBottom w:val="0"/>
      <w:divBdr>
        <w:top w:val="none" w:sz="0" w:space="0" w:color="auto"/>
        <w:left w:val="none" w:sz="0" w:space="0" w:color="auto"/>
        <w:bottom w:val="none" w:sz="0" w:space="0" w:color="auto"/>
        <w:right w:val="none" w:sz="0" w:space="0" w:color="auto"/>
      </w:divBdr>
      <w:divsChild>
        <w:div w:id="2102749836">
          <w:marLeft w:val="1080"/>
          <w:marRight w:val="0"/>
          <w:marTop w:val="115"/>
          <w:marBottom w:val="240"/>
          <w:divBdr>
            <w:top w:val="none" w:sz="0" w:space="0" w:color="auto"/>
            <w:left w:val="none" w:sz="0" w:space="0" w:color="auto"/>
            <w:bottom w:val="none" w:sz="0" w:space="0" w:color="auto"/>
            <w:right w:val="none" w:sz="0" w:space="0" w:color="auto"/>
          </w:divBdr>
        </w:div>
        <w:div w:id="958530480">
          <w:marLeft w:val="1080"/>
          <w:marRight w:val="0"/>
          <w:marTop w:val="115"/>
          <w:marBottom w:val="240"/>
          <w:divBdr>
            <w:top w:val="none" w:sz="0" w:space="0" w:color="auto"/>
            <w:left w:val="none" w:sz="0" w:space="0" w:color="auto"/>
            <w:bottom w:val="none" w:sz="0" w:space="0" w:color="auto"/>
            <w:right w:val="none" w:sz="0" w:space="0" w:color="auto"/>
          </w:divBdr>
        </w:div>
        <w:div w:id="1513183479">
          <w:marLeft w:val="1080"/>
          <w:marRight w:val="0"/>
          <w:marTop w:val="115"/>
          <w:marBottom w:val="240"/>
          <w:divBdr>
            <w:top w:val="none" w:sz="0" w:space="0" w:color="auto"/>
            <w:left w:val="none" w:sz="0" w:space="0" w:color="auto"/>
            <w:bottom w:val="none" w:sz="0" w:space="0" w:color="auto"/>
            <w:right w:val="none" w:sz="0" w:space="0" w:color="auto"/>
          </w:divBdr>
        </w:div>
        <w:div w:id="1823736625">
          <w:marLeft w:val="1080"/>
          <w:marRight w:val="0"/>
          <w:marTop w:val="115"/>
          <w:marBottom w:val="240"/>
          <w:divBdr>
            <w:top w:val="none" w:sz="0" w:space="0" w:color="auto"/>
            <w:left w:val="none" w:sz="0" w:space="0" w:color="auto"/>
            <w:bottom w:val="none" w:sz="0" w:space="0" w:color="auto"/>
            <w:right w:val="none" w:sz="0" w:space="0" w:color="auto"/>
          </w:divBdr>
        </w:div>
      </w:divsChild>
    </w:div>
    <w:div w:id="2137942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legislature.gov/Laws/GeneralLaws/PartI/TitleXVI/Chapter111/Section51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ass.gov/eohhs/docs/dph/regs/105cmr130.pdf" TargetMode="External"/><Relationship Id="rId12" Type="http://schemas.openxmlformats.org/officeDocument/2006/relationships/hyperlink" Target="mailto:eileen.mchale@state.ma.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legislature.gov/Laws/GeneralLaws/PartI/TitleXVI/Chapter111/Section111" TargetMode="External"/><Relationship Id="rId11" Type="http://schemas.openxmlformats.org/officeDocument/2006/relationships/hyperlink" Target="https://doi.org/10.1017/ice.2020.395" TargetMode="External"/><Relationship Id="rId5" Type="http://schemas.openxmlformats.org/officeDocument/2006/relationships/hyperlink" Target="http://www.malegislature.gov/Laws/SessionLaws/Acts/2006/Chapter58" TargetMode="External"/><Relationship Id="rId10" Type="http://schemas.openxmlformats.org/officeDocument/2006/relationships/hyperlink" Target="https://www.cdc.gov/longtermcare/prevention/antibiotic-stewardship.html" TargetMode="External"/><Relationship Id="rId4" Type="http://schemas.openxmlformats.org/officeDocument/2006/relationships/webSettings" Target="webSettings.xml"/><Relationship Id="rId9" Type="http://schemas.openxmlformats.org/officeDocument/2006/relationships/hyperlink" Target="https://www.cdc.gov/antibiotic-use/healthca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10</Pages>
  <Words>2444</Words>
  <Characters>13935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HAIs in Massachusetts Acute Care Hospitals in Calendar Year 2017</vt:lpstr>
    </vt:vector>
  </TitlesOfParts>
  <Company>EOHHS</Company>
  <LinksUpToDate>false</LinksUpToDate>
  <CharactersWithSpaces>16347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HAIs in Massachusetts Acute Care Hospitals in Calendar Year 2017</dc:title>
  <dc:creator>Eileen McHale</dc:creator>
  <cp:keywords>Healthcare Associated Infections reports</cp:keywords>
  <cp:lastModifiedBy>Bichelman, Jamie E (DPH)</cp:lastModifiedBy>
  <cp:revision>10</cp:revision>
  <dcterms:created xsi:type="dcterms:W3CDTF">2018-07-10T18:17:00Z</dcterms:created>
  <dcterms:modified xsi:type="dcterms:W3CDTF">2021-10-18T14:25:00Z</dcterms:modified>
</cp:coreProperties>
</file>