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DF" w:rsidRDefault="00FE0665" w:rsidP="006B38F9">
      <w:pPr>
        <w:pStyle w:val="Heading1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5943600" cy="8229600"/>
                <wp:effectExtent l="0" t="0" r="0" b="0"/>
                <wp:wrapTopAndBottom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8067D" w:rsidRDefault="0048067D" w:rsidP="00D171D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8067D" w:rsidRDefault="0048067D" w:rsidP="00D171D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8067D" w:rsidRDefault="0048067D" w:rsidP="00D171D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8067D" w:rsidRPr="00705149" w:rsidRDefault="0048067D" w:rsidP="00D171D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705149">
                              <w:rPr>
                                <w:b/>
                                <w:sz w:val="40"/>
                              </w:rPr>
                              <w:t>INDOOR AIR QUALITY</w:t>
                            </w:r>
                          </w:p>
                          <w:p w:rsidR="0048067D" w:rsidRPr="00705149" w:rsidRDefault="00D1491E" w:rsidP="00D171D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705149">
                              <w:rPr>
                                <w:b/>
                                <w:sz w:val="40"/>
                              </w:rPr>
                              <w:t>Pre-</w:t>
                            </w:r>
                            <w:r>
                              <w:rPr>
                                <w:b/>
                                <w:sz w:val="40"/>
                              </w:rPr>
                              <w:t>Occupancy</w:t>
                            </w:r>
                            <w:r w:rsidRPr="00705149">
                              <w:rPr>
                                <w:b/>
                                <w:sz w:val="40"/>
                              </w:rPr>
                              <w:t xml:space="preserve"> Assessment</w:t>
                            </w:r>
                          </w:p>
                          <w:p w:rsidR="0048067D" w:rsidRPr="00705149" w:rsidRDefault="0048067D" w:rsidP="00D171D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8067D" w:rsidRPr="00291629" w:rsidRDefault="0048067D" w:rsidP="00D171D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:rsidR="00291629" w:rsidRPr="00291629" w:rsidRDefault="008C5A4E" w:rsidP="0029162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Hampden</w:t>
                            </w:r>
                            <w:r w:rsidR="00291629" w:rsidRPr="00291629">
                              <w:rPr>
                                <w:b/>
                                <w:bCs/>
                                <w:sz w:val="28"/>
                              </w:rPr>
                              <w:t xml:space="preserve"> Co</w:t>
                            </w:r>
                            <w:r w:rsidR="00960597">
                              <w:rPr>
                                <w:b/>
                                <w:bCs/>
                                <w:sz w:val="28"/>
                              </w:rPr>
                              <w:t xml:space="preserve">unty District Attorney’s </w:t>
                            </w:r>
                            <w:r w:rsidR="00291629" w:rsidRPr="00291629">
                              <w:rPr>
                                <w:b/>
                                <w:bCs/>
                                <w:sz w:val="28"/>
                              </w:rPr>
                              <w:t>Office</w:t>
                            </w:r>
                          </w:p>
                          <w:p w:rsidR="0048067D" w:rsidRPr="00291629" w:rsidRDefault="008C5A4E" w:rsidP="0029162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1500 Main Street</w:t>
                            </w:r>
                          </w:p>
                          <w:p w:rsidR="0048067D" w:rsidRPr="00705149" w:rsidRDefault="008C5A4E" w:rsidP="00D171D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Springfi</w:t>
                            </w:r>
                            <w:r w:rsidR="008B511C">
                              <w:rPr>
                                <w:b/>
                                <w:bCs/>
                                <w:sz w:val="28"/>
                              </w:rPr>
                              <w:t>eld</w:t>
                            </w:r>
                            <w:r w:rsidR="0048067D">
                              <w:rPr>
                                <w:b/>
                                <w:bCs/>
                                <w:sz w:val="28"/>
                              </w:rPr>
                              <w:t xml:space="preserve">, </w:t>
                            </w:r>
                            <w:r w:rsidR="0048067D" w:rsidRPr="00705149">
                              <w:rPr>
                                <w:b/>
                                <w:bCs/>
                                <w:sz w:val="28"/>
                              </w:rPr>
                              <w:t>Massachusetts</w:t>
                            </w:r>
                          </w:p>
                          <w:p w:rsidR="0048067D" w:rsidRPr="00705149" w:rsidRDefault="0048067D" w:rsidP="00D171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48067D" w:rsidRDefault="0048067D" w:rsidP="00D171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48067D" w:rsidRPr="00705149" w:rsidRDefault="0048067D" w:rsidP="00017F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48067D" w:rsidRPr="00705149" w:rsidRDefault="0048067D" w:rsidP="009B62FC">
                            <w:pPr>
                              <w:rPr>
                                <w:b/>
                              </w:rPr>
                            </w:pPr>
                          </w:p>
                          <w:p w:rsidR="0048067D" w:rsidRDefault="008C5A4E" w:rsidP="00D171DF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67E92B" wp14:editId="3C0FCB70">
                                  <wp:extent cx="3238500" cy="3454399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0195" cy="34562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48067D" w:rsidRDefault="0048067D" w:rsidP="00D171DF">
                            <w:pPr>
                              <w:jc w:val="center"/>
                            </w:pPr>
                          </w:p>
                          <w:p w:rsidR="00884DD0" w:rsidRDefault="00884DD0" w:rsidP="00D171DF">
                            <w:pPr>
                              <w:jc w:val="center"/>
                            </w:pPr>
                          </w:p>
                          <w:p w:rsidR="0048067D" w:rsidRPr="00705149" w:rsidRDefault="0048067D" w:rsidP="00D171DF">
                            <w:pPr>
                              <w:jc w:val="center"/>
                            </w:pPr>
                            <w:r w:rsidRPr="00705149">
                              <w:t>Prepared by:</w:t>
                            </w:r>
                          </w:p>
                          <w:p w:rsidR="0048067D" w:rsidRPr="00705149" w:rsidRDefault="0048067D" w:rsidP="00D171DF">
                            <w:pPr>
                              <w:jc w:val="center"/>
                            </w:pPr>
                            <w:r w:rsidRPr="00705149">
                              <w:t>Massachusetts Department of Public Health</w:t>
                            </w:r>
                          </w:p>
                          <w:p w:rsidR="0048067D" w:rsidRPr="00705149" w:rsidRDefault="0048067D" w:rsidP="00D171DF">
                            <w:pPr>
                              <w:jc w:val="center"/>
                            </w:pPr>
                            <w:r w:rsidRPr="00705149">
                              <w:t>Bureau of Environmental Health</w:t>
                            </w:r>
                          </w:p>
                          <w:p w:rsidR="0048067D" w:rsidRPr="00705149" w:rsidRDefault="0048067D" w:rsidP="00D171DF">
                            <w:pPr>
                              <w:jc w:val="center"/>
                            </w:pPr>
                            <w:r w:rsidRPr="00705149">
                              <w:t>Indoor Air Quality Program</w:t>
                            </w:r>
                          </w:p>
                          <w:p w:rsidR="0048067D" w:rsidRPr="00705149" w:rsidRDefault="008C5A4E" w:rsidP="00D171DF">
                            <w:pPr>
                              <w:jc w:val="center"/>
                            </w:pPr>
                            <w:r>
                              <w:t>August</w:t>
                            </w:r>
                            <w:r w:rsidR="004A3E9B">
                              <w:t xml:space="preserve"> </w:t>
                            </w:r>
                            <w:r w:rsidR="0048067D">
                              <w:t>201</w:t>
                            </w:r>
                            <w:r w:rsidR="00A62958"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0;margin-top:0;width:468pt;height:9in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" filled="f">
                <v:textbox>
                  <w:txbxContent>
                    <w:p w:rsidR="0048067D" w:rsidRDefault="0048067D" w:rsidP="00D171DF">
                      <w:pPr>
                        <w:jc w:val="center"/>
                        <w:rPr>
                          <w:b/>
                        </w:rPr>
                      </w:pPr>
                    </w:p>
                    <w:p w:rsidR="0048067D" w:rsidRDefault="0048067D" w:rsidP="00D171DF">
                      <w:pPr>
                        <w:jc w:val="center"/>
                        <w:rPr>
                          <w:b/>
                        </w:rPr>
                      </w:pPr>
                    </w:p>
                    <w:p w:rsidR="0048067D" w:rsidRDefault="0048067D" w:rsidP="00D171DF">
                      <w:pPr>
                        <w:jc w:val="center"/>
                        <w:rPr>
                          <w:b/>
                        </w:rPr>
                      </w:pPr>
                    </w:p>
                    <w:p w:rsidR="0048067D" w:rsidRPr="00705149" w:rsidRDefault="0048067D" w:rsidP="00D171D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705149">
                        <w:rPr>
                          <w:b/>
                          <w:sz w:val="40"/>
                        </w:rPr>
                        <w:t>INDOOR AIR QUALITY</w:t>
                      </w:r>
                    </w:p>
                    <w:p w:rsidR="0048067D" w:rsidRPr="00705149" w:rsidRDefault="00D1491E" w:rsidP="00D171D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705149">
                        <w:rPr>
                          <w:b/>
                          <w:sz w:val="40"/>
                        </w:rPr>
                        <w:t>Pre-</w:t>
                      </w:r>
                      <w:r>
                        <w:rPr>
                          <w:b/>
                          <w:sz w:val="40"/>
                        </w:rPr>
                        <w:t>Occupancy</w:t>
                      </w:r>
                      <w:r w:rsidRPr="00705149">
                        <w:rPr>
                          <w:b/>
                          <w:sz w:val="40"/>
                        </w:rPr>
                        <w:t xml:space="preserve"> Assessment</w:t>
                      </w:r>
                    </w:p>
                    <w:p w:rsidR="0048067D" w:rsidRPr="00705149" w:rsidRDefault="0048067D" w:rsidP="00D171DF">
                      <w:pPr>
                        <w:jc w:val="center"/>
                        <w:rPr>
                          <w:b/>
                        </w:rPr>
                      </w:pPr>
                    </w:p>
                    <w:p w:rsidR="0048067D" w:rsidRPr="00291629" w:rsidRDefault="0048067D" w:rsidP="00D171DF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:rsidR="00291629" w:rsidRPr="00291629" w:rsidRDefault="008C5A4E" w:rsidP="00291629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Hampden</w:t>
                      </w:r>
                      <w:r w:rsidR="00291629" w:rsidRPr="00291629">
                        <w:rPr>
                          <w:b/>
                          <w:bCs/>
                          <w:sz w:val="28"/>
                        </w:rPr>
                        <w:t xml:space="preserve"> Co</w:t>
                      </w:r>
                      <w:r w:rsidR="00960597">
                        <w:rPr>
                          <w:b/>
                          <w:bCs/>
                          <w:sz w:val="28"/>
                        </w:rPr>
                        <w:t xml:space="preserve">unty District Attorney’s </w:t>
                      </w:r>
                      <w:r w:rsidR="00291629" w:rsidRPr="00291629">
                        <w:rPr>
                          <w:b/>
                          <w:bCs/>
                          <w:sz w:val="28"/>
                        </w:rPr>
                        <w:t>Office</w:t>
                      </w:r>
                    </w:p>
                    <w:p w:rsidR="0048067D" w:rsidRPr="00291629" w:rsidRDefault="008C5A4E" w:rsidP="00291629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1500 Main Street</w:t>
                      </w:r>
                    </w:p>
                    <w:p w:rsidR="0048067D" w:rsidRPr="00705149" w:rsidRDefault="008C5A4E" w:rsidP="00D171DF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Springfi</w:t>
                      </w:r>
                      <w:r w:rsidR="008B511C">
                        <w:rPr>
                          <w:b/>
                          <w:bCs/>
                          <w:sz w:val="28"/>
                        </w:rPr>
                        <w:t>eld</w:t>
                      </w:r>
                      <w:r w:rsidR="0048067D">
                        <w:rPr>
                          <w:b/>
                          <w:bCs/>
                          <w:sz w:val="28"/>
                        </w:rPr>
                        <w:t xml:space="preserve">, </w:t>
                      </w:r>
                      <w:r w:rsidR="0048067D" w:rsidRPr="00705149">
                        <w:rPr>
                          <w:b/>
                          <w:bCs/>
                          <w:sz w:val="28"/>
                        </w:rPr>
                        <w:t>Massachusetts</w:t>
                      </w:r>
                    </w:p>
                    <w:p w:rsidR="0048067D" w:rsidRPr="00705149" w:rsidRDefault="0048067D" w:rsidP="00D171D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48067D" w:rsidRDefault="0048067D" w:rsidP="00D171D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48067D" w:rsidRPr="00705149" w:rsidRDefault="0048067D" w:rsidP="00017F4C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48067D" w:rsidRPr="00705149" w:rsidRDefault="0048067D" w:rsidP="009B62FC">
                      <w:pPr>
                        <w:rPr>
                          <w:b/>
                        </w:rPr>
                      </w:pPr>
                    </w:p>
                    <w:p w:rsidR="0048067D" w:rsidRDefault="008C5A4E" w:rsidP="00D171DF">
                      <w:pPr>
                        <w:jc w:val="center"/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0667E92B" wp14:editId="3C0FCB70">
                            <wp:extent cx="3238500" cy="3454399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240195" cy="345620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48067D" w:rsidRDefault="0048067D" w:rsidP="00D171DF">
                      <w:pPr>
                        <w:jc w:val="center"/>
                      </w:pPr>
                    </w:p>
                    <w:p w:rsidR="00884DD0" w:rsidRDefault="00884DD0" w:rsidP="00D171DF">
                      <w:pPr>
                        <w:jc w:val="center"/>
                      </w:pPr>
                    </w:p>
                    <w:p w:rsidR="0048067D" w:rsidRPr="00705149" w:rsidRDefault="0048067D" w:rsidP="00D171DF">
                      <w:pPr>
                        <w:jc w:val="center"/>
                      </w:pPr>
                      <w:r w:rsidRPr="00705149">
                        <w:t>Prepared by:</w:t>
                      </w:r>
                    </w:p>
                    <w:p w:rsidR="0048067D" w:rsidRPr="00705149" w:rsidRDefault="0048067D" w:rsidP="00D171DF">
                      <w:pPr>
                        <w:jc w:val="center"/>
                      </w:pPr>
                      <w:r w:rsidRPr="00705149">
                        <w:t>Massachusetts Department of Public Health</w:t>
                      </w:r>
                    </w:p>
                    <w:p w:rsidR="0048067D" w:rsidRPr="00705149" w:rsidRDefault="0048067D" w:rsidP="00D171DF">
                      <w:pPr>
                        <w:jc w:val="center"/>
                      </w:pPr>
                      <w:r w:rsidRPr="00705149">
                        <w:t>Bureau of Environmental Health</w:t>
                      </w:r>
                    </w:p>
                    <w:p w:rsidR="0048067D" w:rsidRPr="00705149" w:rsidRDefault="0048067D" w:rsidP="00D171DF">
                      <w:pPr>
                        <w:jc w:val="center"/>
                      </w:pPr>
                      <w:r w:rsidRPr="00705149">
                        <w:t>Indoor Air Quality Program</w:t>
                      </w:r>
                    </w:p>
                    <w:p w:rsidR="0048067D" w:rsidRPr="00705149" w:rsidRDefault="008C5A4E" w:rsidP="00D171DF">
                      <w:pPr>
                        <w:jc w:val="center"/>
                      </w:pPr>
                      <w:r>
                        <w:t>August</w:t>
                      </w:r>
                      <w:r w:rsidR="004A3E9B">
                        <w:t xml:space="preserve"> </w:t>
                      </w:r>
                      <w:r w:rsidR="0048067D">
                        <w:t>201</w:t>
                      </w:r>
                      <w:r w:rsidR="00A62958">
                        <w:t>8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D171DF" w:rsidRPr="009B41B1">
        <w:br w:type="page"/>
      </w:r>
      <w:r w:rsidR="00D171DF" w:rsidRPr="009B41B1">
        <w:lastRenderedPageBreak/>
        <w:t>Background</w:t>
      </w:r>
    </w:p>
    <w:tbl>
      <w:tblPr>
        <w:tblW w:w="9738" w:type="dxa"/>
        <w:tblInd w:w="25" w:type="dxa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00"/>
        <w:gridCol w:w="5238"/>
      </w:tblGrid>
      <w:tr w:rsidR="00D171DF" w:rsidRPr="003818F7" w:rsidTr="003818F7">
        <w:tc>
          <w:tcPr>
            <w:tcW w:w="4500" w:type="dxa"/>
            <w:shd w:val="clear" w:color="auto" w:fill="auto"/>
            <w:vAlign w:val="center"/>
          </w:tcPr>
          <w:p w:rsidR="00D171DF" w:rsidRPr="0004785C" w:rsidRDefault="00D171DF" w:rsidP="006B38F9">
            <w:pPr>
              <w:pStyle w:val="BackgroundTable"/>
              <w:spacing w:line="360" w:lineRule="auto"/>
            </w:pPr>
            <w:r w:rsidRPr="0004785C">
              <w:t>Building: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D171DF" w:rsidRPr="003818F7" w:rsidRDefault="008C5A4E" w:rsidP="006B38F9">
            <w:pPr>
              <w:spacing w:line="360" w:lineRule="auto"/>
              <w:rPr>
                <w:bCs/>
                <w:szCs w:val="24"/>
              </w:rPr>
            </w:pPr>
            <w:r>
              <w:t>Hampden</w:t>
            </w:r>
            <w:r w:rsidR="00813E17">
              <w:t xml:space="preserve"> County District </w:t>
            </w:r>
            <w:r w:rsidR="00A62958">
              <w:t>Attorney’s</w:t>
            </w:r>
            <w:r w:rsidR="00813E17">
              <w:t xml:space="preserve"> (DA’s) Office</w:t>
            </w:r>
          </w:p>
        </w:tc>
      </w:tr>
      <w:tr w:rsidR="00D171DF" w:rsidRPr="003818F7" w:rsidTr="003818F7">
        <w:tc>
          <w:tcPr>
            <w:tcW w:w="4500" w:type="dxa"/>
            <w:shd w:val="clear" w:color="auto" w:fill="auto"/>
            <w:vAlign w:val="center"/>
          </w:tcPr>
          <w:p w:rsidR="00D171DF" w:rsidRPr="0004785C" w:rsidRDefault="00D171DF" w:rsidP="006B38F9">
            <w:pPr>
              <w:pStyle w:val="BackgroundTable"/>
              <w:spacing w:line="360" w:lineRule="auto"/>
            </w:pPr>
            <w:r w:rsidRPr="0004785C">
              <w:t>Address: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D171DF" w:rsidRPr="00B63969" w:rsidRDefault="008C5A4E" w:rsidP="008C5A4E">
            <w:pPr>
              <w:pStyle w:val="BackgroundInfo"/>
              <w:spacing w:line="360" w:lineRule="auto"/>
            </w:pPr>
            <w:r>
              <w:t>1500 Main Street, Springfield, MA</w:t>
            </w:r>
          </w:p>
        </w:tc>
      </w:tr>
      <w:tr w:rsidR="00D171DF" w:rsidRPr="003818F7" w:rsidTr="003818F7">
        <w:tc>
          <w:tcPr>
            <w:tcW w:w="4500" w:type="dxa"/>
            <w:shd w:val="clear" w:color="auto" w:fill="auto"/>
            <w:vAlign w:val="center"/>
          </w:tcPr>
          <w:p w:rsidR="00D171DF" w:rsidRPr="0004785C" w:rsidRDefault="00D171DF" w:rsidP="006B38F9">
            <w:pPr>
              <w:pStyle w:val="BackgroundTable"/>
              <w:spacing w:line="360" w:lineRule="auto"/>
            </w:pPr>
            <w:r w:rsidRPr="0004785C">
              <w:t>DCAM</w:t>
            </w:r>
            <w:r w:rsidR="000D6405">
              <w:t>M</w:t>
            </w:r>
            <w:r w:rsidRPr="0004785C">
              <w:t xml:space="preserve"> Project Manager: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D171DF" w:rsidRPr="0004785C" w:rsidRDefault="00665140" w:rsidP="006B38F9">
            <w:pPr>
              <w:pStyle w:val="BackgroundInfo"/>
              <w:spacing w:line="360" w:lineRule="auto"/>
            </w:pPr>
            <w:r>
              <w:t>Jam</w:t>
            </w:r>
            <w:r w:rsidR="00C845D2">
              <w:t>i</w:t>
            </w:r>
            <w:r>
              <w:t xml:space="preserve">e </w:t>
            </w:r>
            <w:r w:rsidR="00BF3ACE">
              <w:t xml:space="preserve">Merrill </w:t>
            </w:r>
            <w:r>
              <w:t>Blood</w:t>
            </w:r>
          </w:p>
        </w:tc>
      </w:tr>
      <w:tr w:rsidR="00D171DF" w:rsidRPr="003818F7" w:rsidTr="003818F7">
        <w:tc>
          <w:tcPr>
            <w:tcW w:w="4500" w:type="dxa"/>
            <w:shd w:val="clear" w:color="auto" w:fill="auto"/>
            <w:vAlign w:val="center"/>
          </w:tcPr>
          <w:p w:rsidR="00D171DF" w:rsidRPr="0004785C" w:rsidRDefault="00D171DF" w:rsidP="006B38F9">
            <w:pPr>
              <w:pStyle w:val="BackgroundTable"/>
              <w:spacing w:line="360" w:lineRule="auto"/>
            </w:pPr>
            <w:r w:rsidRPr="0004785C">
              <w:t>Date of Pre-Occupancy Assessment: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D171DF" w:rsidRPr="0004785C" w:rsidRDefault="00813E17" w:rsidP="008E596B">
            <w:pPr>
              <w:pStyle w:val="BackgroundInfo"/>
              <w:spacing w:line="360" w:lineRule="auto"/>
            </w:pPr>
            <w:r>
              <w:t>June 2</w:t>
            </w:r>
            <w:r w:rsidR="008E596B">
              <w:t>9</w:t>
            </w:r>
            <w:r w:rsidR="00D171DF">
              <w:t>, 201</w:t>
            </w:r>
            <w:r>
              <w:t>8</w:t>
            </w:r>
          </w:p>
        </w:tc>
      </w:tr>
      <w:tr w:rsidR="00D171DF" w:rsidRPr="003818F7" w:rsidTr="003818F7">
        <w:tc>
          <w:tcPr>
            <w:tcW w:w="4500" w:type="dxa"/>
            <w:shd w:val="clear" w:color="auto" w:fill="auto"/>
            <w:vAlign w:val="center"/>
          </w:tcPr>
          <w:p w:rsidR="00D171DF" w:rsidRPr="0004785C" w:rsidRDefault="000C5D9D" w:rsidP="006B38F9">
            <w:pPr>
              <w:pStyle w:val="BackgroundTable"/>
              <w:spacing w:line="360" w:lineRule="auto"/>
            </w:pPr>
            <w:r>
              <w:t>BEH IAQ</w:t>
            </w:r>
            <w:r w:rsidR="00D171DF" w:rsidRPr="0004785C">
              <w:t xml:space="preserve"> Staff Conducting Assessment: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D171DF" w:rsidRPr="0004785C" w:rsidRDefault="00BD4935" w:rsidP="006B38F9">
            <w:pPr>
              <w:pStyle w:val="BackgroundInfo"/>
              <w:spacing w:line="360" w:lineRule="auto"/>
            </w:pPr>
            <w:r>
              <w:t>Mike Feeney</w:t>
            </w:r>
            <w:r w:rsidR="00DD5181">
              <w:t>, Director, Indoor Air Quality (IAQ)</w:t>
            </w:r>
            <w:r w:rsidR="00C845D2">
              <w:t xml:space="preserve"> Program</w:t>
            </w:r>
          </w:p>
        </w:tc>
      </w:tr>
      <w:tr w:rsidR="00D171DF" w:rsidRPr="003818F7" w:rsidTr="003818F7">
        <w:tc>
          <w:tcPr>
            <w:tcW w:w="4500" w:type="dxa"/>
            <w:shd w:val="clear" w:color="auto" w:fill="auto"/>
            <w:vAlign w:val="center"/>
          </w:tcPr>
          <w:p w:rsidR="00D171DF" w:rsidRPr="0004785C" w:rsidRDefault="00D171DF" w:rsidP="006B38F9">
            <w:pPr>
              <w:pStyle w:val="BackgroundTable"/>
              <w:spacing w:line="360" w:lineRule="auto"/>
            </w:pPr>
            <w:r w:rsidRPr="0004785C">
              <w:t>Date of Buil</w:t>
            </w:r>
            <w:r>
              <w:t>ding Construction:</w:t>
            </w:r>
          </w:p>
        </w:tc>
        <w:tc>
          <w:tcPr>
            <w:tcW w:w="5238" w:type="dxa"/>
            <w:shd w:val="clear" w:color="auto" w:fill="auto"/>
            <w:vAlign w:val="center"/>
          </w:tcPr>
          <w:p w:rsidR="00D171DF" w:rsidRPr="003818F7" w:rsidRDefault="008C5A4E" w:rsidP="008C5A4E">
            <w:pPr>
              <w:pStyle w:val="BackgroundInfo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1970</w:t>
            </w:r>
            <w:r w:rsidR="00813E17">
              <w:rPr>
                <w:szCs w:val="24"/>
              </w:rPr>
              <w:t>’s</w:t>
            </w:r>
          </w:p>
        </w:tc>
      </w:tr>
      <w:tr w:rsidR="00D171DF" w:rsidRPr="003818F7" w:rsidTr="003818F7">
        <w:tc>
          <w:tcPr>
            <w:tcW w:w="9738" w:type="dxa"/>
            <w:gridSpan w:val="2"/>
            <w:shd w:val="clear" w:color="auto" w:fill="auto"/>
            <w:vAlign w:val="center"/>
          </w:tcPr>
          <w:p w:rsidR="00D171DF" w:rsidRDefault="00D171DF" w:rsidP="006B38F9">
            <w:pPr>
              <w:pStyle w:val="BackgroundTable"/>
              <w:spacing w:before="240" w:line="360" w:lineRule="auto"/>
            </w:pPr>
            <w:r w:rsidRPr="009B41B1">
              <w:t xml:space="preserve">Proposed </w:t>
            </w:r>
            <w:r>
              <w:t>u</w:t>
            </w:r>
            <w:r w:rsidRPr="009B41B1">
              <w:t>se of Building:</w:t>
            </w:r>
          </w:p>
          <w:p w:rsidR="00D171DF" w:rsidRDefault="00291629" w:rsidP="006B38F9">
            <w:pPr>
              <w:pStyle w:val="BodyText"/>
              <w:spacing w:line="360" w:lineRule="auto"/>
            </w:pPr>
            <w:r>
              <w:t>The location is</w:t>
            </w:r>
            <w:r w:rsidR="006942AF">
              <w:t xml:space="preserve"> </w:t>
            </w:r>
            <w:r w:rsidR="00016C85">
              <w:t>the 21</w:t>
            </w:r>
            <w:r w:rsidR="00016C85" w:rsidRPr="00016C85">
              <w:rPr>
                <w:vertAlign w:val="superscript"/>
              </w:rPr>
              <w:t>st</w:t>
            </w:r>
            <w:r w:rsidR="00016C85">
              <w:t xml:space="preserve"> floor in</w:t>
            </w:r>
            <w:r w:rsidR="002C3127">
              <w:t xml:space="preserve"> a </w:t>
            </w:r>
            <w:r w:rsidR="008C5A4E">
              <w:t>high</w:t>
            </w:r>
            <w:r w:rsidR="002C3127">
              <w:t>-</w:t>
            </w:r>
            <w:r w:rsidR="008C5A4E">
              <w:t>rise</w:t>
            </w:r>
            <w:r w:rsidR="002C3127">
              <w:t xml:space="preserve"> </w:t>
            </w:r>
            <w:r w:rsidR="006942AF">
              <w:t xml:space="preserve">building </w:t>
            </w:r>
            <w:r w:rsidR="008C5A4E">
              <w:t>in downtown Springfield</w:t>
            </w:r>
            <w:r w:rsidR="00016C85">
              <w:t>.</w:t>
            </w:r>
            <w:r w:rsidR="002C3127">
              <w:t xml:space="preserve"> </w:t>
            </w:r>
            <w:r w:rsidR="00C845D2">
              <w:t xml:space="preserve"> </w:t>
            </w:r>
            <w:r w:rsidR="00016C85">
              <w:t xml:space="preserve">It will be used for offices for the </w:t>
            </w:r>
            <w:r w:rsidR="00016C85" w:rsidRPr="00016C85">
              <w:t>Hampden County District Attorney</w:t>
            </w:r>
            <w:r w:rsidR="00016C85">
              <w:t>.</w:t>
            </w:r>
          </w:p>
          <w:p w:rsidR="00D171DF" w:rsidRDefault="00D171DF" w:rsidP="006B38F9">
            <w:pPr>
              <w:pStyle w:val="BackgroundTable"/>
              <w:spacing w:before="240" w:line="360" w:lineRule="auto"/>
            </w:pPr>
            <w:r>
              <w:t>Surrounding Businesses/Activities:</w:t>
            </w:r>
          </w:p>
          <w:p w:rsidR="008B511C" w:rsidRDefault="008B511C" w:rsidP="006B38F9">
            <w:pPr>
              <w:pStyle w:val="BodyText"/>
              <w:spacing w:line="360" w:lineRule="auto"/>
            </w:pPr>
            <w:r>
              <w:t xml:space="preserve">The building is located </w:t>
            </w:r>
            <w:r w:rsidR="008C5A4E">
              <w:t>In downtown Springfield MA as part of a hotel/mall complex.  Other office buildings and</w:t>
            </w:r>
            <w:r w:rsidR="002F236E">
              <w:t xml:space="preserve"> small businesses such as restaurants </w:t>
            </w:r>
            <w:r w:rsidR="008C5A4E">
              <w:t xml:space="preserve">are </w:t>
            </w:r>
            <w:r w:rsidR="00C070C6">
              <w:t>nearby.</w:t>
            </w:r>
          </w:p>
          <w:p w:rsidR="00D171DF" w:rsidRDefault="00D171DF" w:rsidP="006B38F9">
            <w:pPr>
              <w:pStyle w:val="BackgroundTable"/>
              <w:spacing w:before="240" w:line="360" w:lineRule="auto"/>
            </w:pPr>
            <w:r w:rsidRPr="00CC23C4">
              <w:t>Prior use of Building:</w:t>
            </w:r>
          </w:p>
          <w:p w:rsidR="00D171DF" w:rsidRDefault="00D171DF" w:rsidP="006B38F9">
            <w:pPr>
              <w:pStyle w:val="BodyText"/>
              <w:spacing w:line="360" w:lineRule="auto"/>
            </w:pPr>
            <w:r>
              <w:t>This building was</w:t>
            </w:r>
            <w:r w:rsidR="00017F4C">
              <w:t xml:space="preserve"> </w:t>
            </w:r>
            <w:r w:rsidR="007D5D9A">
              <w:t xml:space="preserve">originally </w:t>
            </w:r>
            <w:r w:rsidR="00017F4C">
              <w:t>constructed</w:t>
            </w:r>
            <w:r>
              <w:t xml:space="preserve"> </w:t>
            </w:r>
            <w:r w:rsidR="007D5D9A">
              <w:t xml:space="preserve">and continues to be </w:t>
            </w:r>
            <w:r w:rsidR="00016C85">
              <w:t xml:space="preserve">used </w:t>
            </w:r>
            <w:r w:rsidR="00901825">
              <w:t xml:space="preserve">as </w:t>
            </w:r>
            <w:r w:rsidR="005B2327">
              <w:t>a</w:t>
            </w:r>
            <w:r w:rsidR="008C5A4E">
              <w:t>n office building.</w:t>
            </w:r>
          </w:p>
          <w:p w:rsidR="00D171DF" w:rsidRDefault="00D171DF" w:rsidP="006B38F9">
            <w:pPr>
              <w:pStyle w:val="BackgroundTable"/>
              <w:spacing w:before="240" w:line="360" w:lineRule="auto"/>
            </w:pPr>
            <w:r w:rsidRPr="009B41B1">
              <w:t>Previous Relevant Environmental History:</w:t>
            </w:r>
          </w:p>
          <w:p w:rsidR="00D171DF" w:rsidRPr="00771183" w:rsidRDefault="00131940" w:rsidP="00291629">
            <w:pPr>
              <w:pStyle w:val="BodyText"/>
              <w:spacing w:line="360" w:lineRule="auto"/>
            </w:pPr>
            <w:r w:rsidRPr="00EB1D3F">
              <w:t>DCAM</w:t>
            </w:r>
            <w:r w:rsidR="006F68D7">
              <w:t>M</w:t>
            </w:r>
            <w:r w:rsidRPr="00EB1D3F">
              <w:t xml:space="preserve"> reports that there are no releases listed for this property under the Massachusetts Oil and Hazardous Material Release Prevention and Response Act (MGL 21E, the Mass Contingency Plan</w:t>
            </w:r>
            <w:r w:rsidR="006942AF">
              <w:t xml:space="preserve"> (MCP)</w:t>
            </w:r>
            <w:r w:rsidRPr="00EB1D3F">
              <w:t xml:space="preserve"> program).</w:t>
            </w:r>
            <w:r w:rsidR="00C845D2">
              <w:t xml:space="preserve"> </w:t>
            </w:r>
            <w:r w:rsidRPr="00EB1D3F">
              <w:t>No hazardous waste spills or activity use limitations were found in the Massachusetts Department of Environmental Protection database</w:t>
            </w:r>
            <w:r w:rsidR="00C845D2">
              <w:t xml:space="preserve"> for this site</w:t>
            </w:r>
            <w:r w:rsidR="002F236E">
              <w:t xml:space="preserve"> or nearby</w:t>
            </w:r>
            <w:r w:rsidR="00C845D2">
              <w:t xml:space="preserve">. </w:t>
            </w:r>
          </w:p>
        </w:tc>
      </w:tr>
    </w:tbl>
    <w:p w:rsidR="00D171DF" w:rsidRPr="009B41B1" w:rsidRDefault="00D171DF" w:rsidP="006B38F9">
      <w:pPr>
        <w:pStyle w:val="Heading1"/>
        <w:tabs>
          <w:tab w:val="left" w:pos="2220"/>
        </w:tabs>
        <w:spacing w:line="360" w:lineRule="auto"/>
      </w:pPr>
      <w:r w:rsidRPr="009B41B1">
        <w:lastRenderedPageBreak/>
        <w:t>Methods</w:t>
      </w:r>
    </w:p>
    <w:p w:rsidR="008A4F04" w:rsidRDefault="00D171DF" w:rsidP="006B38F9">
      <w:pPr>
        <w:pStyle w:val="BodyText"/>
        <w:spacing w:line="360" w:lineRule="auto"/>
      </w:pPr>
      <w:r>
        <w:t>Air tests for carbon monoxide, carbon dioxide, temperature</w:t>
      </w:r>
      <w:r w:rsidRPr="00A441D8">
        <w:t xml:space="preserve"> </w:t>
      </w:r>
      <w:r>
        <w:t xml:space="preserve">and relative humidity were taken with the TSI, Q-Trak, </w:t>
      </w:r>
      <w:proofErr w:type="gramStart"/>
      <w:r>
        <w:t>IAQ</w:t>
      </w:r>
      <w:proofErr w:type="gramEnd"/>
      <w:r>
        <w:t xml:space="preserve"> Monitor 7565.</w:t>
      </w:r>
      <w:r w:rsidR="00C845D2">
        <w:t xml:space="preserve"> </w:t>
      </w:r>
      <w:r w:rsidRPr="00941BFB">
        <w:t>Air tests for airborne particle matter with a diameter less than 2.5 micrometers were taken with the TSI, DUSTTRA</w:t>
      </w:r>
      <w:r>
        <w:t>K™ Aerosol Monitor Model 8520.</w:t>
      </w:r>
      <w:r w:rsidR="00C845D2">
        <w:t xml:space="preserve"> </w:t>
      </w:r>
      <w:r w:rsidRPr="00EB2A48">
        <w:t xml:space="preserve">Screening for </w:t>
      </w:r>
      <w:r>
        <w:t>volatile organic compounds</w:t>
      </w:r>
      <w:r w:rsidRPr="00EB2A48">
        <w:t xml:space="preserve"> </w:t>
      </w:r>
      <w:r w:rsidR="008018A1">
        <w:t xml:space="preserve">(VOCs) </w:t>
      </w:r>
      <w:r w:rsidRPr="00EB2A48">
        <w:t xml:space="preserve">was conducted using a </w:t>
      </w:r>
      <w:r>
        <w:t>RAE Systems Mini-RAE 2000 Photo Ionization Detector</w:t>
      </w:r>
      <w:r w:rsidRPr="00EB2A48">
        <w:t xml:space="preserve"> (PID).</w:t>
      </w:r>
      <w:r w:rsidR="00C845D2">
        <w:t xml:space="preserve"> </w:t>
      </w:r>
      <w:r w:rsidRPr="009B41B1">
        <w:t>BEH</w:t>
      </w:r>
      <w:r>
        <w:t>/IAQ</w:t>
      </w:r>
      <w:r w:rsidRPr="009B41B1">
        <w:t xml:space="preserve"> staff also performed visual inspection of building materials for water damage and/or microbial growth and examined the space for the presence of odors or other environmental concerns.</w:t>
      </w:r>
      <w:r w:rsidR="00C845D2">
        <w:t xml:space="preserve"> </w:t>
      </w:r>
    </w:p>
    <w:p w:rsidR="00A62958" w:rsidRDefault="00A62958" w:rsidP="006B38F9">
      <w:pPr>
        <w:pStyle w:val="BodyText"/>
        <w:spacing w:line="360" w:lineRule="auto"/>
      </w:pPr>
    </w:p>
    <w:p w:rsidR="00D171DF" w:rsidRDefault="00C537AE" w:rsidP="006B38F9">
      <w:pPr>
        <w:pStyle w:val="Heading1"/>
        <w:spacing w:before="0" w:line="360" w:lineRule="auto"/>
      </w:pPr>
      <w:r>
        <w:t>A</w:t>
      </w:r>
      <w:r w:rsidR="00D171DF" w:rsidRPr="00FC4E68">
        <w:t>ir Testing Results</w:t>
      </w:r>
    </w:p>
    <w:tbl>
      <w:tblPr>
        <w:tblW w:w="1071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00"/>
        <w:gridCol w:w="720"/>
        <w:gridCol w:w="1800"/>
        <w:gridCol w:w="1170"/>
        <w:gridCol w:w="450"/>
        <w:gridCol w:w="270"/>
        <w:gridCol w:w="630"/>
        <w:gridCol w:w="1260"/>
        <w:gridCol w:w="2610"/>
      </w:tblGrid>
      <w:tr w:rsidR="00D171DF" w:rsidTr="009C3F27">
        <w:trPr>
          <w:cantSplit/>
          <w:trHeight w:val="118"/>
          <w:tblHeader/>
        </w:trPr>
        <w:tc>
          <w:tcPr>
            <w:tcW w:w="2520" w:type="dxa"/>
            <w:gridSpan w:val="2"/>
            <w:vMerge w:val="restart"/>
            <w:shd w:val="clear" w:color="auto" w:fill="CCCCCC"/>
            <w:vAlign w:val="center"/>
          </w:tcPr>
          <w:p w:rsidR="00D171DF" w:rsidRPr="003818F7" w:rsidRDefault="00D171DF" w:rsidP="009C3F27">
            <w:pPr>
              <w:jc w:val="center"/>
              <w:rPr>
                <w:b/>
                <w:sz w:val="20"/>
              </w:rPr>
            </w:pPr>
            <w:r w:rsidRPr="003818F7">
              <w:rPr>
                <w:b/>
                <w:sz w:val="20"/>
              </w:rPr>
              <w:t>Media sampled</w:t>
            </w:r>
          </w:p>
        </w:tc>
        <w:tc>
          <w:tcPr>
            <w:tcW w:w="2970" w:type="dxa"/>
            <w:gridSpan w:val="2"/>
            <w:vMerge w:val="restart"/>
            <w:shd w:val="clear" w:color="auto" w:fill="CCCCCC"/>
            <w:vAlign w:val="center"/>
          </w:tcPr>
          <w:p w:rsidR="00D171DF" w:rsidRPr="003818F7" w:rsidRDefault="00D171DF" w:rsidP="009C3F27">
            <w:pPr>
              <w:jc w:val="center"/>
              <w:rPr>
                <w:b/>
                <w:sz w:val="20"/>
              </w:rPr>
            </w:pPr>
            <w:r w:rsidRPr="003818F7">
              <w:rPr>
                <w:b/>
                <w:sz w:val="20"/>
              </w:rPr>
              <w:t>MDPH Guideline/</w:t>
            </w:r>
          </w:p>
          <w:p w:rsidR="00D171DF" w:rsidRPr="003818F7" w:rsidRDefault="00D171DF" w:rsidP="009C3F27">
            <w:pPr>
              <w:jc w:val="center"/>
              <w:rPr>
                <w:b/>
                <w:sz w:val="20"/>
              </w:rPr>
            </w:pPr>
            <w:r w:rsidRPr="003818F7">
              <w:rPr>
                <w:b/>
                <w:sz w:val="20"/>
              </w:rPr>
              <w:t>Comparison Value</w:t>
            </w:r>
          </w:p>
        </w:tc>
        <w:tc>
          <w:tcPr>
            <w:tcW w:w="2610" w:type="dxa"/>
            <w:gridSpan w:val="4"/>
            <w:shd w:val="clear" w:color="auto" w:fill="CCCCCC"/>
            <w:vAlign w:val="center"/>
          </w:tcPr>
          <w:p w:rsidR="00D171DF" w:rsidRPr="003818F7" w:rsidRDefault="00D171DF" w:rsidP="009C3F27">
            <w:pPr>
              <w:jc w:val="center"/>
              <w:rPr>
                <w:b/>
                <w:bCs/>
                <w:sz w:val="20"/>
              </w:rPr>
            </w:pPr>
            <w:r w:rsidRPr="003818F7">
              <w:rPr>
                <w:b/>
                <w:bCs/>
                <w:sz w:val="20"/>
              </w:rPr>
              <w:t>Measured Range</w:t>
            </w:r>
          </w:p>
        </w:tc>
        <w:tc>
          <w:tcPr>
            <w:tcW w:w="2610" w:type="dxa"/>
            <w:vMerge w:val="restart"/>
            <w:shd w:val="clear" w:color="auto" w:fill="CCCCCC"/>
            <w:vAlign w:val="center"/>
          </w:tcPr>
          <w:p w:rsidR="00D171DF" w:rsidRPr="003818F7" w:rsidRDefault="00D171DF" w:rsidP="009C3F27">
            <w:pPr>
              <w:jc w:val="center"/>
              <w:rPr>
                <w:b/>
                <w:bCs/>
                <w:sz w:val="20"/>
              </w:rPr>
            </w:pPr>
            <w:r w:rsidRPr="003818F7">
              <w:rPr>
                <w:b/>
                <w:bCs/>
                <w:sz w:val="20"/>
              </w:rPr>
              <w:t>Comments</w:t>
            </w:r>
          </w:p>
        </w:tc>
      </w:tr>
      <w:tr w:rsidR="00D171DF" w:rsidTr="009C3F27">
        <w:trPr>
          <w:cantSplit/>
          <w:trHeight w:val="505"/>
          <w:tblHeader/>
        </w:trPr>
        <w:tc>
          <w:tcPr>
            <w:tcW w:w="2520" w:type="dxa"/>
            <w:gridSpan w:val="2"/>
            <w:vMerge/>
            <w:shd w:val="clear" w:color="auto" w:fill="CCCCCC"/>
            <w:vAlign w:val="center"/>
          </w:tcPr>
          <w:p w:rsidR="00D171DF" w:rsidRPr="003818F7" w:rsidRDefault="00D171DF" w:rsidP="009C3F27">
            <w:pPr>
              <w:jc w:val="center"/>
              <w:rPr>
                <w:b/>
                <w:sz w:val="20"/>
              </w:rPr>
            </w:pPr>
          </w:p>
        </w:tc>
        <w:tc>
          <w:tcPr>
            <w:tcW w:w="2970" w:type="dxa"/>
            <w:gridSpan w:val="2"/>
            <w:vMerge/>
            <w:shd w:val="clear" w:color="auto" w:fill="CCCCCC"/>
            <w:vAlign w:val="center"/>
          </w:tcPr>
          <w:p w:rsidR="00D171DF" w:rsidRPr="003818F7" w:rsidRDefault="00D171DF" w:rsidP="009C3F27">
            <w:pPr>
              <w:jc w:val="center"/>
              <w:rPr>
                <w:b/>
                <w:sz w:val="20"/>
              </w:rPr>
            </w:pPr>
          </w:p>
        </w:tc>
        <w:tc>
          <w:tcPr>
            <w:tcW w:w="1350" w:type="dxa"/>
            <w:gridSpan w:val="3"/>
            <w:shd w:val="clear" w:color="auto" w:fill="CCCCCC"/>
            <w:vAlign w:val="center"/>
          </w:tcPr>
          <w:p w:rsidR="00D171DF" w:rsidRPr="003818F7" w:rsidRDefault="00D171DF" w:rsidP="009C3F27">
            <w:pPr>
              <w:jc w:val="center"/>
              <w:rPr>
                <w:b/>
                <w:bCs/>
                <w:sz w:val="20"/>
              </w:rPr>
            </w:pPr>
            <w:r w:rsidRPr="003818F7">
              <w:rPr>
                <w:b/>
                <w:bCs/>
                <w:sz w:val="20"/>
              </w:rPr>
              <w:t>Outdoors/</w:t>
            </w:r>
          </w:p>
          <w:p w:rsidR="00D171DF" w:rsidRPr="003818F7" w:rsidRDefault="00D171DF" w:rsidP="009C3F27">
            <w:pPr>
              <w:jc w:val="center"/>
              <w:rPr>
                <w:b/>
                <w:bCs/>
                <w:sz w:val="20"/>
              </w:rPr>
            </w:pPr>
            <w:r w:rsidRPr="003818F7">
              <w:rPr>
                <w:b/>
                <w:bCs/>
                <w:sz w:val="20"/>
              </w:rPr>
              <w:t>Background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D171DF" w:rsidRPr="003818F7" w:rsidRDefault="00D171DF" w:rsidP="009C3F27">
            <w:pPr>
              <w:jc w:val="center"/>
              <w:rPr>
                <w:b/>
                <w:bCs/>
                <w:sz w:val="20"/>
              </w:rPr>
            </w:pPr>
            <w:r w:rsidRPr="003818F7">
              <w:rPr>
                <w:b/>
                <w:bCs/>
                <w:sz w:val="20"/>
              </w:rPr>
              <w:t>Indoors</w:t>
            </w:r>
          </w:p>
        </w:tc>
        <w:tc>
          <w:tcPr>
            <w:tcW w:w="2610" w:type="dxa"/>
            <w:vMerge/>
            <w:shd w:val="clear" w:color="auto" w:fill="CCCCCC"/>
            <w:vAlign w:val="center"/>
          </w:tcPr>
          <w:p w:rsidR="00D171DF" w:rsidRPr="003818F7" w:rsidRDefault="00D171DF" w:rsidP="009C3F2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31DDC" w:rsidRPr="007C3761" w:rsidTr="009C3F27">
        <w:trPr>
          <w:cantSplit/>
          <w:trHeight w:val="35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231DDC" w:rsidRPr="007C3761" w:rsidRDefault="00231DDC" w:rsidP="009C3F27">
            <w:pPr>
              <w:pStyle w:val="TableTextCentered"/>
            </w:pPr>
            <w:r w:rsidRPr="007C3761">
              <w:t>Total Volatile Organic Compounds (TVOCs)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DD532C" w:rsidRPr="0004785C" w:rsidRDefault="00231DDC" w:rsidP="009C3F27">
            <w:pPr>
              <w:pStyle w:val="TableTextCentered"/>
            </w:pPr>
            <w:r w:rsidRPr="007C3761">
              <w:t>Equal</w:t>
            </w:r>
            <w:r w:rsidRPr="00693B5F">
              <w:t xml:space="preserve"> </w:t>
            </w:r>
            <w:r w:rsidRPr="00D64430">
              <w:t>to or below background level measured on the day of the assessment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231DDC" w:rsidRPr="001E3D37" w:rsidRDefault="00231DDC" w:rsidP="009C3F27">
            <w:pPr>
              <w:pStyle w:val="TableTextCentered"/>
            </w:pPr>
            <w:r>
              <w:t>ND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31DDC" w:rsidRPr="007C3761" w:rsidRDefault="00231DDC" w:rsidP="009C3F27">
            <w:pPr>
              <w:pStyle w:val="TableTextCentered"/>
            </w:pPr>
            <w:r>
              <w:t>ND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31DDC" w:rsidRPr="007C3761" w:rsidRDefault="00231DDC" w:rsidP="009C3F27">
            <w:pPr>
              <w:pStyle w:val="TableTextCentered"/>
              <w:jc w:val="left"/>
            </w:pPr>
            <w:r w:rsidRPr="007C3761">
              <w:t>No TVOCs detected</w:t>
            </w:r>
            <w:r>
              <w:t xml:space="preserve"> </w:t>
            </w:r>
          </w:p>
        </w:tc>
      </w:tr>
      <w:tr w:rsidR="00231DDC" w:rsidTr="009C3F27">
        <w:trPr>
          <w:cantSplit/>
          <w:trHeight w:val="1423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231DDC" w:rsidRPr="00D64430" w:rsidRDefault="00231DDC" w:rsidP="00291629">
            <w:pPr>
              <w:pStyle w:val="TableTextCentered"/>
            </w:pPr>
            <w:r w:rsidRPr="00D64430">
              <w:t xml:space="preserve">Carbon </w:t>
            </w:r>
            <w:r>
              <w:t>M</w:t>
            </w:r>
            <w:r w:rsidRPr="00D64430">
              <w:t>onoxide</w:t>
            </w:r>
            <w:r>
              <w:t xml:space="preserve"> (CO)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231DDC" w:rsidRDefault="00231DDC" w:rsidP="00291629">
            <w:pPr>
              <w:pStyle w:val="TableTextCentered"/>
            </w:pPr>
            <w:r w:rsidRPr="00D64430">
              <w:t>Non-detectable (ND) or equal to or below background level measured on the day of the</w:t>
            </w:r>
          </w:p>
          <w:p w:rsidR="00231DDC" w:rsidRPr="0004785C" w:rsidRDefault="00231DDC" w:rsidP="00291629">
            <w:pPr>
              <w:pStyle w:val="TableTextCentered"/>
            </w:pPr>
            <w:r>
              <w:t>a</w:t>
            </w:r>
            <w:r w:rsidRPr="00D64430">
              <w:t>ssessment</w:t>
            </w:r>
            <w:r>
              <w:t xml:space="preserve"> (Note: CO sampling not taken if no combustion source is operating e.g., furnace)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231DDC" w:rsidRPr="001E3D37" w:rsidRDefault="00231DDC" w:rsidP="00291629">
            <w:pPr>
              <w:pStyle w:val="TableTextCentered"/>
            </w:pPr>
            <w:r>
              <w:t>ND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31DDC" w:rsidRDefault="00231DDC" w:rsidP="00291629">
            <w:pPr>
              <w:pStyle w:val="TableTextCentered"/>
            </w:pPr>
            <w:r>
              <w:t>ND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31DDC" w:rsidRPr="00AB5D3D" w:rsidRDefault="00231DDC" w:rsidP="00291629">
            <w:pPr>
              <w:pStyle w:val="TableTextCentered"/>
              <w:jc w:val="left"/>
            </w:pPr>
            <w:r>
              <w:t xml:space="preserve">HVAC operating in occupied spaces </w:t>
            </w:r>
          </w:p>
        </w:tc>
      </w:tr>
      <w:tr w:rsidR="00231DDC" w:rsidTr="009C3F27">
        <w:trPr>
          <w:cantSplit/>
          <w:trHeight w:val="937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231DDC" w:rsidRPr="00D64430" w:rsidRDefault="00231DDC" w:rsidP="00291629">
            <w:pPr>
              <w:pStyle w:val="TableTextCentered"/>
            </w:pPr>
            <w:r w:rsidRPr="00D64430">
              <w:t>Particulate Matter 2.5</w:t>
            </w:r>
            <w:r>
              <w:t xml:space="preserve"> (PM2.5)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231DDC" w:rsidRPr="0004785C" w:rsidRDefault="00231DDC" w:rsidP="00291629">
            <w:pPr>
              <w:pStyle w:val="TableTextCentered"/>
            </w:pPr>
            <w:r w:rsidRPr="00D64430">
              <w:t>US EPA National Ambient Air Quality Standards (NAAQS) 35 μg/m</w:t>
            </w:r>
            <w:r w:rsidRPr="003818F7">
              <w:rPr>
                <w:vertAlign w:val="superscript"/>
              </w:rPr>
              <w:t>3</w:t>
            </w:r>
            <w:r w:rsidRPr="00D64430">
              <w:t xml:space="preserve"> or less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231DDC" w:rsidRPr="001B524D" w:rsidRDefault="00051598" w:rsidP="00291629">
            <w:pPr>
              <w:pStyle w:val="TableTextCentered"/>
            </w:pPr>
            <w:r>
              <w:t>16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31DDC" w:rsidRDefault="00051598" w:rsidP="00051598">
            <w:pPr>
              <w:pStyle w:val="TableTextCentered"/>
            </w:pPr>
            <w:r>
              <w:t>6-8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31DDC" w:rsidRPr="00AB5D3D" w:rsidRDefault="00051598" w:rsidP="00291629">
            <w:pPr>
              <w:pStyle w:val="TableTextCentered"/>
              <w:jc w:val="left"/>
            </w:pPr>
            <w:r w:rsidRPr="00051598">
              <w:t>Levels were all below 35 μg/m3</w:t>
            </w:r>
          </w:p>
        </w:tc>
      </w:tr>
      <w:tr w:rsidR="00231DDC" w:rsidTr="009C3F27">
        <w:trPr>
          <w:cantSplit/>
          <w:trHeight w:val="838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231DDC" w:rsidRPr="00D64430" w:rsidRDefault="00231DDC" w:rsidP="00291629">
            <w:pPr>
              <w:pStyle w:val="TableTextCentered"/>
            </w:pPr>
            <w:r>
              <w:t>Temperature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231DDC" w:rsidRDefault="00231DDC" w:rsidP="00291629">
            <w:pPr>
              <w:pStyle w:val="TableTextCentered"/>
            </w:pPr>
            <w:r>
              <w:t>70-78ºF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231DDC" w:rsidRPr="001B524D" w:rsidRDefault="00FE0665" w:rsidP="00051598">
            <w:pPr>
              <w:pStyle w:val="TableTextCentered"/>
            </w:pPr>
            <w:r>
              <w:t>7</w:t>
            </w:r>
            <w:r w:rsidR="00051598">
              <w:t>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31DDC" w:rsidRDefault="00051598" w:rsidP="00051598">
            <w:pPr>
              <w:pStyle w:val="TableTextCentered"/>
            </w:pPr>
            <w:r>
              <w:t>69</w:t>
            </w:r>
            <w:r w:rsidR="00FE0665">
              <w:t>-7</w:t>
            </w:r>
            <w:r>
              <w:t>2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31DDC" w:rsidRDefault="00231DDC" w:rsidP="00051598">
            <w:pPr>
              <w:pStyle w:val="TableTextCentered"/>
              <w:jc w:val="left"/>
            </w:pPr>
            <w:r>
              <w:t xml:space="preserve">Within MDPH comfort range in </w:t>
            </w:r>
            <w:r w:rsidR="00051598">
              <w:t xml:space="preserve">most </w:t>
            </w:r>
            <w:r>
              <w:t>occupied spaces</w:t>
            </w:r>
            <w:r w:rsidR="00051598">
              <w:t>.</w:t>
            </w:r>
          </w:p>
        </w:tc>
      </w:tr>
      <w:tr w:rsidR="00231DDC" w:rsidTr="009C3F27">
        <w:trPr>
          <w:cantSplit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231DDC" w:rsidRPr="00D64430" w:rsidRDefault="00231DDC" w:rsidP="00291629">
            <w:pPr>
              <w:pStyle w:val="TableTextCentered"/>
            </w:pPr>
            <w:r w:rsidRPr="00D64430">
              <w:t xml:space="preserve">Relative </w:t>
            </w:r>
            <w:r>
              <w:t>H</w:t>
            </w:r>
            <w:r w:rsidRPr="00D64430">
              <w:t>umidity</w:t>
            </w:r>
            <w:r>
              <w:t xml:space="preserve"> (RH)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231DDC" w:rsidRPr="00D64430" w:rsidRDefault="00231DDC" w:rsidP="00291629">
            <w:pPr>
              <w:pStyle w:val="TableTextCentered"/>
            </w:pPr>
            <w:r>
              <w:t>40% to 60%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231DDC" w:rsidRPr="001B524D" w:rsidRDefault="00051598" w:rsidP="00291629">
            <w:pPr>
              <w:pStyle w:val="TableTextCentered"/>
            </w:pPr>
            <w:r>
              <w:t>67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31DDC" w:rsidRDefault="00051598" w:rsidP="00051598">
            <w:pPr>
              <w:pStyle w:val="TableTextCentered"/>
            </w:pPr>
            <w:r>
              <w:t>51</w:t>
            </w:r>
            <w:r w:rsidR="00231DDC">
              <w:t>-</w:t>
            </w:r>
            <w:r w:rsidR="00FE0665">
              <w:t>5</w:t>
            </w:r>
            <w:r>
              <w:t>7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31DDC" w:rsidRPr="00AB5D3D" w:rsidRDefault="00FE0665" w:rsidP="00291629">
            <w:pPr>
              <w:pStyle w:val="TableTextCentered"/>
              <w:jc w:val="left"/>
            </w:pPr>
            <w:r>
              <w:t>Within</w:t>
            </w:r>
            <w:r w:rsidR="00231DDC">
              <w:t xml:space="preserve"> MDPH recommended comfort </w:t>
            </w:r>
            <w:r w:rsidR="001D1808">
              <w:t>range</w:t>
            </w:r>
            <w:r w:rsidR="00231DDC">
              <w:t xml:space="preserve"> </w:t>
            </w:r>
          </w:p>
        </w:tc>
      </w:tr>
      <w:tr w:rsidR="00231DDC" w:rsidTr="009C3F27">
        <w:trPr>
          <w:cantSplit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231DDC" w:rsidRPr="00D64430" w:rsidRDefault="00231DDC" w:rsidP="00291629">
            <w:pPr>
              <w:pStyle w:val="TableTextCentered"/>
            </w:pPr>
            <w:r>
              <w:t>Carbon Dioxide (CO</w:t>
            </w:r>
            <w:r w:rsidRPr="003818F7">
              <w:rPr>
                <w:vertAlign w:val="subscript"/>
              </w:rPr>
              <w:t>2</w:t>
            </w:r>
            <w:r>
              <w:t>)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231DDC" w:rsidRPr="00D64430" w:rsidRDefault="00231DDC" w:rsidP="00291629">
            <w:pPr>
              <w:pStyle w:val="TableTextCentered"/>
            </w:pPr>
            <w:r>
              <w:t>800 ppm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231DDC" w:rsidRDefault="00C070C6" w:rsidP="00051598">
            <w:pPr>
              <w:pStyle w:val="TableTextCentered"/>
            </w:pPr>
            <w:r>
              <w:t>41</w:t>
            </w:r>
            <w:r w:rsidR="00051598"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31DDC" w:rsidRDefault="00A62958" w:rsidP="00051598">
            <w:pPr>
              <w:pStyle w:val="TableTextCentered"/>
            </w:pPr>
            <w:r>
              <w:t>4</w:t>
            </w:r>
            <w:r w:rsidR="00051598">
              <w:t>37</w:t>
            </w:r>
            <w:r w:rsidR="00231DDC">
              <w:t>-</w:t>
            </w:r>
            <w:r w:rsidR="00051598">
              <w:t>490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231DDC" w:rsidRDefault="006B2CA5" w:rsidP="00291629">
            <w:pPr>
              <w:pStyle w:val="TableTextCentered"/>
              <w:jc w:val="left"/>
            </w:pPr>
            <w:r>
              <w:t xml:space="preserve">Within </w:t>
            </w:r>
            <w:r w:rsidR="00561B74">
              <w:t>MDPH recommended guidelines</w:t>
            </w:r>
          </w:p>
        </w:tc>
      </w:tr>
      <w:tr w:rsidR="00231DDC" w:rsidRPr="003818F7" w:rsidTr="009C3F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shd w:val="clear" w:color="auto" w:fill="auto"/>
          </w:tcPr>
          <w:p w:rsidR="00231DDC" w:rsidRPr="003818F7" w:rsidRDefault="00231DDC" w:rsidP="006B38F9">
            <w:pPr>
              <w:pStyle w:val="FootnoteText"/>
              <w:spacing w:line="360" w:lineRule="auto"/>
              <w:rPr>
                <w:sz w:val="16"/>
                <w:szCs w:val="16"/>
              </w:rPr>
            </w:pPr>
          </w:p>
          <w:p w:rsidR="00231DDC" w:rsidRPr="003818F7" w:rsidRDefault="00231DDC" w:rsidP="006B38F9">
            <w:pPr>
              <w:pStyle w:val="FootnoteText"/>
              <w:spacing w:line="360" w:lineRule="auto"/>
              <w:rPr>
                <w:sz w:val="16"/>
                <w:szCs w:val="16"/>
              </w:rPr>
            </w:pPr>
            <w:r w:rsidRPr="003818F7">
              <w:rPr>
                <w:sz w:val="16"/>
                <w:szCs w:val="16"/>
              </w:rPr>
              <w:t>ppm = parts per million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31DDC" w:rsidRPr="003818F7" w:rsidRDefault="00231DDC" w:rsidP="006B38F9">
            <w:pPr>
              <w:pStyle w:val="FootnoteText"/>
              <w:spacing w:line="360" w:lineRule="auto"/>
              <w:rPr>
                <w:sz w:val="16"/>
                <w:szCs w:val="16"/>
              </w:rPr>
            </w:pPr>
          </w:p>
          <w:p w:rsidR="00231DDC" w:rsidRPr="003818F7" w:rsidRDefault="00231DDC" w:rsidP="006B38F9">
            <w:pPr>
              <w:pStyle w:val="FootnoteText"/>
              <w:spacing w:line="360" w:lineRule="auto"/>
              <w:rPr>
                <w:sz w:val="16"/>
                <w:szCs w:val="16"/>
              </w:rPr>
            </w:pPr>
            <w:r w:rsidRPr="003818F7">
              <w:rPr>
                <w:sz w:val="16"/>
                <w:szCs w:val="16"/>
              </w:rPr>
              <w:t>µg/m</w:t>
            </w:r>
            <w:r w:rsidRPr="003818F7">
              <w:rPr>
                <w:sz w:val="16"/>
                <w:szCs w:val="16"/>
                <w:vertAlign w:val="superscript"/>
              </w:rPr>
              <w:t xml:space="preserve">3 </w:t>
            </w:r>
            <w:r w:rsidRPr="003818F7">
              <w:rPr>
                <w:sz w:val="16"/>
                <w:szCs w:val="16"/>
              </w:rPr>
              <w:t>= microgram per cubic meter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231DDC" w:rsidRPr="003818F7" w:rsidRDefault="00231DDC" w:rsidP="006B38F9">
            <w:pPr>
              <w:pStyle w:val="FootnoteText"/>
              <w:spacing w:line="360" w:lineRule="auto"/>
              <w:rPr>
                <w:sz w:val="16"/>
                <w:szCs w:val="16"/>
              </w:rPr>
            </w:pPr>
          </w:p>
          <w:p w:rsidR="00231DDC" w:rsidRPr="003818F7" w:rsidRDefault="00231DDC" w:rsidP="006B38F9">
            <w:pPr>
              <w:pStyle w:val="FootnoteText"/>
              <w:spacing w:line="360" w:lineRule="auto"/>
              <w:rPr>
                <w:sz w:val="16"/>
                <w:szCs w:val="16"/>
              </w:rPr>
            </w:pPr>
            <w:r w:rsidRPr="003818F7">
              <w:rPr>
                <w:sz w:val="16"/>
                <w:szCs w:val="16"/>
              </w:rPr>
              <w:t>ND = non-detectable</w:t>
            </w:r>
          </w:p>
        </w:tc>
        <w:tc>
          <w:tcPr>
            <w:tcW w:w="270" w:type="dxa"/>
            <w:shd w:val="clear" w:color="auto" w:fill="auto"/>
          </w:tcPr>
          <w:p w:rsidR="00231DDC" w:rsidRPr="003818F7" w:rsidRDefault="00231DDC" w:rsidP="006B38F9">
            <w:pPr>
              <w:pStyle w:val="FootnoteText"/>
              <w:spacing w:line="360" w:lineRule="auto"/>
              <w:rPr>
                <w:sz w:val="16"/>
                <w:szCs w:val="16"/>
              </w:rPr>
            </w:pPr>
          </w:p>
          <w:p w:rsidR="00231DDC" w:rsidRPr="003818F7" w:rsidRDefault="00231DDC" w:rsidP="006B38F9">
            <w:pPr>
              <w:pStyle w:val="FootnoteText"/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500" w:type="dxa"/>
            <w:gridSpan w:val="3"/>
            <w:shd w:val="clear" w:color="auto" w:fill="auto"/>
          </w:tcPr>
          <w:p w:rsidR="00231DDC" w:rsidRPr="003818F7" w:rsidRDefault="00231DDC" w:rsidP="006B38F9">
            <w:pPr>
              <w:pStyle w:val="FootnoteText"/>
              <w:spacing w:line="360" w:lineRule="auto"/>
              <w:rPr>
                <w:sz w:val="16"/>
                <w:szCs w:val="16"/>
              </w:rPr>
            </w:pPr>
          </w:p>
          <w:p w:rsidR="00231DDC" w:rsidRPr="003818F7" w:rsidRDefault="00231DDC" w:rsidP="006B38F9">
            <w:pPr>
              <w:pStyle w:val="FootnoteText"/>
              <w:spacing w:line="360" w:lineRule="auto"/>
              <w:rPr>
                <w:sz w:val="16"/>
                <w:szCs w:val="16"/>
              </w:rPr>
            </w:pPr>
            <w:r w:rsidRPr="003818F7">
              <w:rPr>
                <w:sz w:val="16"/>
                <w:szCs w:val="16"/>
              </w:rPr>
              <w:t>HVAC = heating, ventilation and air-conditioning</w:t>
            </w:r>
          </w:p>
        </w:tc>
      </w:tr>
    </w:tbl>
    <w:p w:rsidR="00D171DF" w:rsidRPr="002F236E" w:rsidRDefault="00D171DF" w:rsidP="002F236E">
      <w:pPr>
        <w:pStyle w:val="Heading1"/>
      </w:pPr>
      <w:r w:rsidRPr="002F236E">
        <w:lastRenderedPageBreak/>
        <w:t>Visual Observations</w:t>
      </w:r>
    </w:p>
    <w:p w:rsidR="00E60878" w:rsidRDefault="00BC4DA4" w:rsidP="006B38F9">
      <w:pPr>
        <w:pStyle w:val="BodyText"/>
        <w:spacing w:line="360" w:lineRule="auto"/>
        <w:rPr>
          <w:szCs w:val="24"/>
        </w:rPr>
      </w:pPr>
      <w:r>
        <w:t xml:space="preserve">No evidence of </w:t>
      </w:r>
      <w:r w:rsidR="0098003B">
        <w:t xml:space="preserve">active </w:t>
      </w:r>
      <w:r>
        <w:t>water leaks</w:t>
      </w:r>
      <w:r w:rsidRPr="00AF7398">
        <w:t xml:space="preserve"> </w:t>
      </w:r>
      <w:r>
        <w:t>or other moisture concerns were ob</w:t>
      </w:r>
      <w:r w:rsidR="009C2731">
        <w:t>served.</w:t>
      </w:r>
      <w:r w:rsidR="009C3F27">
        <w:t xml:space="preserve"> </w:t>
      </w:r>
    </w:p>
    <w:p w:rsidR="00D171DF" w:rsidRPr="009B41B1" w:rsidRDefault="00D171DF" w:rsidP="006B38F9">
      <w:pPr>
        <w:pStyle w:val="Heading1"/>
        <w:spacing w:line="360" w:lineRule="auto"/>
      </w:pPr>
      <w:r w:rsidRPr="009B41B1">
        <w:t>Discussion</w:t>
      </w:r>
    </w:p>
    <w:p w:rsidR="00D171DF" w:rsidRDefault="00D171DF" w:rsidP="006B38F9">
      <w:pPr>
        <w:pStyle w:val="BodyText"/>
        <w:spacing w:line="360" w:lineRule="auto"/>
      </w:pPr>
      <w:r>
        <w:t>Evaluation of the new HVAC system can be performed once renovations are complete.</w:t>
      </w:r>
    </w:p>
    <w:p w:rsidR="00D171DF" w:rsidRPr="002F236E" w:rsidRDefault="00D171DF" w:rsidP="002F236E">
      <w:pPr>
        <w:pStyle w:val="Heading1"/>
      </w:pPr>
      <w:r w:rsidRPr="002F236E">
        <w:t>Recommendations</w:t>
      </w:r>
    </w:p>
    <w:p w:rsidR="00D171DF" w:rsidRDefault="00D171DF" w:rsidP="006B38F9">
      <w:pPr>
        <w:pStyle w:val="BodyText"/>
        <w:spacing w:line="360" w:lineRule="auto"/>
      </w:pPr>
      <w:r>
        <w:t>Based on observations and measurements at the time of the visit, the following recommendations are made:</w:t>
      </w:r>
    </w:p>
    <w:p w:rsidR="00884DD0" w:rsidRDefault="00FA3D4D" w:rsidP="006B38F9">
      <w:pPr>
        <w:pStyle w:val="BodyText"/>
        <w:numPr>
          <w:ilvl w:val="0"/>
          <w:numId w:val="27"/>
        </w:numPr>
        <w:tabs>
          <w:tab w:val="clear" w:pos="360"/>
          <w:tab w:val="num" w:pos="720"/>
        </w:tabs>
        <w:spacing w:line="360" w:lineRule="auto"/>
        <w:ind w:left="720" w:hanging="720"/>
      </w:pPr>
      <w:r>
        <w:t xml:space="preserve">Ensure that </w:t>
      </w:r>
      <w:r w:rsidR="00AC306A">
        <w:t xml:space="preserve">pleated filters </w:t>
      </w:r>
      <w:r w:rsidR="009C3F27">
        <w:t xml:space="preserve">with a minimum efficiency reporting value (MERV) of 8 </w:t>
      </w:r>
      <w:r>
        <w:t>are installed in HVAC system</w:t>
      </w:r>
      <w:r w:rsidR="00AC306A">
        <w:t>.</w:t>
      </w:r>
    </w:p>
    <w:p w:rsidR="003A6EB2" w:rsidRDefault="00D171DF" w:rsidP="006B38F9">
      <w:pPr>
        <w:pStyle w:val="BodyText"/>
        <w:numPr>
          <w:ilvl w:val="0"/>
          <w:numId w:val="27"/>
        </w:numPr>
        <w:tabs>
          <w:tab w:val="clear" w:pos="360"/>
          <w:tab w:val="num" w:pos="720"/>
        </w:tabs>
        <w:spacing w:line="360" w:lineRule="auto"/>
        <w:ind w:left="720" w:hanging="720"/>
      </w:pPr>
      <w:r w:rsidRPr="003476DB">
        <w:t>Consistent with previously established protocol, once the space has been occupied for a minimum of two weeks, contact the IAQ Program to conduct a post-occupancy assessment of the space.</w:t>
      </w:r>
    </w:p>
    <w:sectPr w:rsidR="003A6EB2" w:rsidSect="003124B3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B67" w:rsidRDefault="00077B67">
      <w:r>
        <w:separator/>
      </w:r>
    </w:p>
  </w:endnote>
  <w:endnote w:type="continuationSeparator" w:id="0">
    <w:p w:rsidR="00077B67" w:rsidRDefault="0007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67D" w:rsidRDefault="004806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48067D" w:rsidRDefault="004806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67D" w:rsidRDefault="004806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491E">
      <w:rPr>
        <w:rStyle w:val="PageNumber"/>
        <w:noProof/>
      </w:rPr>
      <w:t>2</w:t>
    </w:r>
    <w:r>
      <w:rPr>
        <w:rStyle w:val="PageNumber"/>
      </w:rPr>
      <w:fldChar w:fldCharType="end"/>
    </w:r>
  </w:p>
  <w:p w:rsidR="0048067D" w:rsidRDefault="00480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B67" w:rsidRDefault="00077B67">
      <w:r>
        <w:separator/>
      </w:r>
    </w:p>
  </w:footnote>
  <w:footnote w:type="continuationSeparator" w:id="0">
    <w:p w:rsidR="00077B67" w:rsidRDefault="00077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>
    <w:nsid w:val="08E15F83"/>
    <w:multiLevelType w:val="hybridMultilevel"/>
    <w:tmpl w:val="F9C8116C"/>
    <w:lvl w:ilvl="0" w:tplc="C4601EC0">
      <w:start w:val="1"/>
      <w:numFmt w:val="decimal"/>
      <w:pStyle w:val="TOC6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304039"/>
    <w:multiLevelType w:val="multilevel"/>
    <w:tmpl w:val="2460C25C"/>
    <w:styleLink w:val="StyleNumbered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3">
    <w:nsid w:val="16C126B6"/>
    <w:multiLevelType w:val="hybridMultilevel"/>
    <w:tmpl w:val="2C72888C"/>
    <w:lvl w:ilvl="0" w:tplc="4E965D2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E346A8F"/>
    <w:multiLevelType w:val="multilevel"/>
    <w:tmpl w:val="10E2FA8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001068B"/>
    <w:multiLevelType w:val="hybridMultilevel"/>
    <w:tmpl w:val="6082D91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2210CB7"/>
    <w:multiLevelType w:val="hybridMultilevel"/>
    <w:tmpl w:val="150A610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7313E01"/>
    <w:multiLevelType w:val="hybridMultilevel"/>
    <w:tmpl w:val="DBF035F0"/>
    <w:lvl w:ilvl="0" w:tplc="6AE2BF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C5BE2"/>
    <w:multiLevelType w:val="hybridMultilevel"/>
    <w:tmpl w:val="0AA23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542E3"/>
    <w:multiLevelType w:val="hybridMultilevel"/>
    <w:tmpl w:val="88021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0306A6"/>
    <w:multiLevelType w:val="singleLevel"/>
    <w:tmpl w:val="6ED8F2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34542612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2">
    <w:nsid w:val="356D545D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3">
    <w:nsid w:val="40C74C09"/>
    <w:multiLevelType w:val="hybridMultilevel"/>
    <w:tmpl w:val="2EE0AAC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8797C8F"/>
    <w:multiLevelType w:val="multilevel"/>
    <w:tmpl w:val="632269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25C6B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6C04F4F"/>
    <w:multiLevelType w:val="multilevel"/>
    <w:tmpl w:val="2460C25C"/>
    <w:numStyleLink w:val="StyleNumbered"/>
  </w:abstractNum>
  <w:abstractNum w:abstractNumId="17">
    <w:nsid w:val="57757E9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A194CAA"/>
    <w:multiLevelType w:val="hybridMultilevel"/>
    <w:tmpl w:val="A8F420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AC311A"/>
    <w:multiLevelType w:val="singleLevel"/>
    <w:tmpl w:val="4B0683B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216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20">
    <w:nsid w:val="63F16A58"/>
    <w:multiLevelType w:val="hybridMultilevel"/>
    <w:tmpl w:val="360CF43E"/>
    <w:lvl w:ilvl="0" w:tplc="7D720DF6">
      <w:start w:val="1"/>
      <w:numFmt w:val="decimal"/>
      <w:lvlText w:val="%1."/>
      <w:lvlJc w:val="right"/>
      <w:pPr>
        <w:tabs>
          <w:tab w:val="num" w:pos="907"/>
        </w:tabs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1">
    <w:nsid w:val="69BD3284"/>
    <w:multiLevelType w:val="hybridMultilevel"/>
    <w:tmpl w:val="4A2A9B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C414E9A"/>
    <w:multiLevelType w:val="hybridMultilevel"/>
    <w:tmpl w:val="3D901730"/>
    <w:lvl w:ilvl="0" w:tplc="463828AC">
      <w:start w:val="1"/>
      <w:numFmt w:val="decimal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6D3D14CC"/>
    <w:multiLevelType w:val="hybridMultilevel"/>
    <w:tmpl w:val="00646BEA"/>
    <w:lvl w:ilvl="0" w:tplc="E37A4E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72CE220D"/>
    <w:multiLevelType w:val="hybridMultilevel"/>
    <w:tmpl w:val="1F0ED23E"/>
    <w:lvl w:ilvl="0" w:tplc="6AE2B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79FA4AAC"/>
    <w:multiLevelType w:val="hybridMultilevel"/>
    <w:tmpl w:val="D94481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7F09E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4"/>
  </w:num>
  <w:num w:numId="5">
    <w:abstractNumId w:val="19"/>
  </w:num>
  <w:num w:numId="6">
    <w:abstractNumId w:val="2"/>
  </w:num>
  <w:num w:numId="7">
    <w:abstractNumId w:val="16"/>
  </w:num>
  <w:num w:numId="8">
    <w:abstractNumId w:val="26"/>
  </w:num>
  <w:num w:numId="9">
    <w:abstractNumId w:val="12"/>
  </w:num>
  <w:num w:numId="10">
    <w:abstractNumId w:val="13"/>
  </w:num>
  <w:num w:numId="11">
    <w:abstractNumId w:val="6"/>
  </w:num>
  <w:num w:numId="12">
    <w:abstractNumId w:val="23"/>
  </w:num>
  <w:num w:numId="13">
    <w:abstractNumId w:val="17"/>
  </w:num>
  <w:num w:numId="14">
    <w:abstractNumId w:val="11"/>
  </w:num>
  <w:num w:numId="15">
    <w:abstractNumId w:val="1"/>
  </w:num>
  <w:num w:numId="16">
    <w:abstractNumId w:val="22"/>
  </w:num>
  <w:num w:numId="17">
    <w:abstractNumId w:val="3"/>
  </w:num>
  <w:num w:numId="18">
    <w:abstractNumId w:val="14"/>
  </w:num>
  <w:num w:numId="19">
    <w:abstractNumId w:val="25"/>
  </w:num>
  <w:num w:numId="20">
    <w:abstractNumId w:val="15"/>
  </w:num>
  <w:num w:numId="21">
    <w:abstractNumId w:val="8"/>
  </w:num>
  <w:num w:numId="22">
    <w:abstractNumId w:val="24"/>
  </w:num>
  <w:num w:numId="23">
    <w:abstractNumId w:val="7"/>
  </w:num>
  <w:num w:numId="24">
    <w:abstractNumId w:val="18"/>
  </w:num>
  <w:num w:numId="25">
    <w:abstractNumId w:val="9"/>
  </w:num>
  <w:num w:numId="26">
    <w:abstractNumId w:val="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18"/>
    <w:rsid w:val="00016C85"/>
    <w:rsid w:val="00017F4C"/>
    <w:rsid w:val="00035B79"/>
    <w:rsid w:val="00036B7B"/>
    <w:rsid w:val="00051598"/>
    <w:rsid w:val="00077B67"/>
    <w:rsid w:val="000922A9"/>
    <w:rsid w:val="00096927"/>
    <w:rsid w:val="000B2325"/>
    <w:rsid w:val="000C5D9D"/>
    <w:rsid w:val="000D6405"/>
    <w:rsid w:val="000F0295"/>
    <w:rsid w:val="00131940"/>
    <w:rsid w:val="001347AD"/>
    <w:rsid w:val="0015267D"/>
    <w:rsid w:val="00153D00"/>
    <w:rsid w:val="00163083"/>
    <w:rsid w:val="00192D79"/>
    <w:rsid w:val="001A5C38"/>
    <w:rsid w:val="001C0250"/>
    <w:rsid w:val="001C4B79"/>
    <w:rsid w:val="001D1808"/>
    <w:rsid w:val="001F7F55"/>
    <w:rsid w:val="0021411E"/>
    <w:rsid w:val="00231DDC"/>
    <w:rsid w:val="00246869"/>
    <w:rsid w:val="00272727"/>
    <w:rsid w:val="0027282A"/>
    <w:rsid w:val="002732EF"/>
    <w:rsid w:val="00276C7E"/>
    <w:rsid w:val="00291629"/>
    <w:rsid w:val="002A1238"/>
    <w:rsid w:val="002B3995"/>
    <w:rsid w:val="002C260C"/>
    <w:rsid w:val="002C3127"/>
    <w:rsid w:val="002D1040"/>
    <w:rsid w:val="002F236E"/>
    <w:rsid w:val="002F4FC2"/>
    <w:rsid w:val="003124B3"/>
    <w:rsid w:val="003705B6"/>
    <w:rsid w:val="0037163D"/>
    <w:rsid w:val="00380571"/>
    <w:rsid w:val="003818F7"/>
    <w:rsid w:val="003A6EB2"/>
    <w:rsid w:val="003E2E7E"/>
    <w:rsid w:val="00420EC6"/>
    <w:rsid w:val="00446EFE"/>
    <w:rsid w:val="004719E0"/>
    <w:rsid w:val="004726C3"/>
    <w:rsid w:val="0048067D"/>
    <w:rsid w:val="00485350"/>
    <w:rsid w:val="00495482"/>
    <w:rsid w:val="00495B9E"/>
    <w:rsid w:val="004A3E9B"/>
    <w:rsid w:val="004F5E95"/>
    <w:rsid w:val="005037DF"/>
    <w:rsid w:val="00524C54"/>
    <w:rsid w:val="005566D1"/>
    <w:rsid w:val="00561B74"/>
    <w:rsid w:val="00575CE0"/>
    <w:rsid w:val="00581428"/>
    <w:rsid w:val="005A08B7"/>
    <w:rsid w:val="005B2327"/>
    <w:rsid w:val="005C7447"/>
    <w:rsid w:val="005D000B"/>
    <w:rsid w:val="005D30B1"/>
    <w:rsid w:val="005E263B"/>
    <w:rsid w:val="00600AED"/>
    <w:rsid w:val="0064276B"/>
    <w:rsid w:val="00642911"/>
    <w:rsid w:val="00650F67"/>
    <w:rsid w:val="00656A2A"/>
    <w:rsid w:val="0065781D"/>
    <w:rsid w:val="00665140"/>
    <w:rsid w:val="00690DD0"/>
    <w:rsid w:val="006942AF"/>
    <w:rsid w:val="00697BE5"/>
    <w:rsid w:val="006B2CA5"/>
    <w:rsid w:val="006B38F9"/>
    <w:rsid w:val="006F68D7"/>
    <w:rsid w:val="006F79BF"/>
    <w:rsid w:val="00711E4F"/>
    <w:rsid w:val="007270CE"/>
    <w:rsid w:val="007515C8"/>
    <w:rsid w:val="007A434F"/>
    <w:rsid w:val="007A49C8"/>
    <w:rsid w:val="007B7E4A"/>
    <w:rsid w:val="007C4A18"/>
    <w:rsid w:val="007D5D9A"/>
    <w:rsid w:val="007E2A80"/>
    <w:rsid w:val="007E4D46"/>
    <w:rsid w:val="007E7EFA"/>
    <w:rsid w:val="007F5655"/>
    <w:rsid w:val="00800302"/>
    <w:rsid w:val="008008FE"/>
    <w:rsid w:val="008018A1"/>
    <w:rsid w:val="00805A13"/>
    <w:rsid w:val="00813E17"/>
    <w:rsid w:val="008240B4"/>
    <w:rsid w:val="008416F2"/>
    <w:rsid w:val="00846126"/>
    <w:rsid w:val="00846885"/>
    <w:rsid w:val="00850E9C"/>
    <w:rsid w:val="0086441A"/>
    <w:rsid w:val="008716B9"/>
    <w:rsid w:val="00871B18"/>
    <w:rsid w:val="00884DD0"/>
    <w:rsid w:val="008A4F04"/>
    <w:rsid w:val="008B3A1F"/>
    <w:rsid w:val="008B511C"/>
    <w:rsid w:val="008C5A4E"/>
    <w:rsid w:val="008E596B"/>
    <w:rsid w:val="008F3451"/>
    <w:rsid w:val="008F3BC1"/>
    <w:rsid w:val="00901825"/>
    <w:rsid w:val="00920828"/>
    <w:rsid w:val="00937B16"/>
    <w:rsid w:val="00945ED5"/>
    <w:rsid w:val="009513CA"/>
    <w:rsid w:val="00957BBE"/>
    <w:rsid w:val="00960597"/>
    <w:rsid w:val="00964169"/>
    <w:rsid w:val="009656A5"/>
    <w:rsid w:val="0098003B"/>
    <w:rsid w:val="00987355"/>
    <w:rsid w:val="00990F44"/>
    <w:rsid w:val="009B62FC"/>
    <w:rsid w:val="009C2731"/>
    <w:rsid w:val="009C3F27"/>
    <w:rsid w:val="00A3409A"/>
    <w:rsid w:val="00A34BC0"/>
    <w:rsid w:val="00A40078"/>
    <w:rsid w:val="00A46F8E"/>
    <w:rsid w:val="00A62958"/>
    <w:rsid w:val="00A65D09"/>
    <w:rsid w:val="00AA26E7"/>
    <w:rsid w:val="00AA6996"/>
    <w:rsid w:val="00AC306A"/>
    <w:rsid w:val="00AD4951"/>
    <w:rsid w:val="00AF54A0"/>
    <w:rsid w:val="00B0119D"/>
    <w:rsid w:val="00B07013"/>
    <w:rsid w:val="00B30932"/>
    <w:rsid w:val="00B331BC"/>
    <w:rsid w:val="00B419E8"/>
    <w:rsid w:val="00B86226"/>
    <w:rsid w:val="00BC4DA4"/>
    <w:rsid w:val="00BD4935"/>
    <w:rsid w:val="00BD4CA6"/>
    <w:rsid w:val="00BF3ACE"/>
    <w:rsid w:val="00BF421B"/>
    <w:rsid w:val="00C070C6"/>
    <w:rsid w:val="00C23C2C"/>
    <w:rsid w:val="00C2486B"/>
    <w:rsid w:val="00C4144C"/>
    <w:rsid w:val="00C537AE"/>
    <w:rsid w:val="00C541F5"/>
    <w:rsid w:val="00C62FAA"/>
    <w:rsid w:val="00C8347D"/>
    <w:rsid w:val="00C8351E"/>
    <w:rsid w:val="00C845D2"/>
    <w:rsid w:val="00C84BB6"/>
    <w:rsid w:val="00C869A4"/>
    <w:rsid w:val="00CB0135"/>
    <w:rsid w:val="00CB392F"/>
    <w:rsid w:val="00CF330F"/>
    <w:rsid w:val="00D04784"/>
    <w:rsid w:val="00D1491E"/>
    <w:rsid w:val="00D171DF"/>
    <w:rsid w:val="00D304EE"/>
    <w:rsid w:val="00D442B7"/>
    <w:rsid w:val="00D4498F"/>
    <w:rsid w:val="00D663D6"/>
    <w:rsid w:val="00DB0D2A"/>
    <w:rsid w:val="00DD3CF1"/>
    <w:rsid w:val="00DD5181"/>
    <w:rsid w:val="00DD532C"/>
    <w:rsid w:val="00DD791D"/>
    <w:rsid w:val="00DF136F"/>
    <w:rsid w:val="00E0683A"/>
    <w:rsid w:val="00E208E7"/>
    <w:rsid w:val="00E24FE6"/>
    <w:rsid w:val="00E27F7F"/>
    <w:rsid w:val="00E4036D"/>
    <w:rsid w:val="00E4762F"/>
    <w:rsid w:val="00E60878"/>
    <w:rsid w:val="00E83314"/>
    <w:rsid w:val="00F17364"/>
    <w:rsid w:val="00F358F2"/>
    <w:rsid w:val="00F35E35"/>
    <w:rsid w:val="00F81289"/>
    <w:rsid w:val="00FA3D4D"/>
    <w:rsid w:val="00FA7B79"/>
    <w:rsid w:val="00FC1EB4"/>
    <w:rsid w:val="00FC7B31"/>
    <w:rsid w:val="00FE0665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iscardImageEditingData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7F17FF"/>
    <w:pPr>
      <w:keepNext/>
      <w:spacing w:before="600" w:line="48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04785C"/>
    <w:pPr>
      <w:keepNext/>
      <w:spacing w:before="240" w:line="480" w:lineRule="auto"/>
      <w:ind w:left="3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E55BA"/>
    <w:pPr>
      <w:keepNext/>
      <w:spacing w:before="48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7F17FF"/>
    <w:pPr>
      <w:spacing w:line="480" w:lineRule="auto"/>
      <w:ind w:firstLine="720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pPr>
      <w:tabs>
        <w:tab w:val="left" w:pos="-1440"/>
        <w:tab w:val="left" w:pos="72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960"/>
        <w:tab w:val="left" w:pos="14400"/>
        <w:tab w:val="left" w:pos="15840"/>
        <w:tab w:val="left" w:pos="17280"/>
        <w:tab w:val="left" w:pos="18720"/>
      </w:tabs>
      <w:suppressAutoHyphens/>
      <w:spacing w:line="480" w:lineRule="auto"/>
      <w:ind w:right="720"/>
    </w:pPr>
  </w:style>
  <w:style w:type="paragraph" w:styleId="BodyText2">
    <w:name w:val="Body Text 2"/>
    <w:basedOn w:val="Normal"/>
    <w:rsid w:val="00705149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E0429A"/>
    <w:pPr>
      <w:numPr>
        <w:numId w:val="15"/>
      </w:numPr>
      <w:spacing w:line="48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6"/>
      </w:numPr>
    </w:pPr>
  </w:style>
  <w:style w:type="character" w:customStyle="1" w:styleId="BodyTextChar">
    <w:name w:val="Body Text Char"/>
    <w:link w:val="BodyText"/>
    <w:rsid w:val="00E700C3"/>
    <w:rPr>
      <w:sz w:val="24"/>
      <w:lang w:val="en-US" w:eastAsia="en-US" w:bidi="ar-SA"/>
    </w:rPr>
  </w:style>
  <w:style w:type="paragraph" w:customStyle="1" w:styleId="StyleHeading3NotBoldItalicLeft05Firstline0">
    <w:name w:val="Style Heading 3 + Not Bold Italic Left:  0.5&quot; First line:  0&quot;"/>
    <w:basedOn w:val="Heading3"/>
    <w:rsid w:val="007E55BA"/>
    <w:rPr>
      <w:b/>
      <w:i w:val="0"/>
      <w:iCs/>
    </w:rPr>
  </w:style>
  <w:style w:type="paragraph" w:customStyle="1" w:styleId="StyleHeading3NotBoldItalicLeft05Firstline0L">
    <w:name w:val="Style Heading 3 + Not Bold Italic Left:  0.5&quot; First line:  0&quot; L..."/>
    <w:basedOn w:val="Heading3"/>
    <w:rsid w:val="007E55BA"/>
    <w:pPr>
      <w:ind w:left="720"/>
    </w:pPr>
    <w:rPr>
      <w:b/>
      <w:i w:val="0"/>
      <w:iCs/>
    </w:rPr>
  </w:style>
  <w:style w:type="character" w:customStyle="1" w:styleId="CharChar">
    <w:name w:val="Char Char"/>
    <w:rsid w:val="002A3C58"/>
    <w:rPr>
      <w:sz w:val="24"/>
      <w:lang w:val="en-US" w:eastAsia="en-US" w:bidi="ar-SA"/>
    </w:rPr>
  </w:style>
  <w:style w:type="paragraph" w:styleId="FootnoteText">
    <w:name w:val="footnote text"/>
    <w:basedOn w:val="Normal"/>
    <w:semiHidden/>
    <w:rsid w:val="00ED3599"/>
    <w:rPr>
      <w:sz w:val="20"/>
    </w:rPr>
  </w:style>
  <w:style w:type="character" w:styleId="FootnoteReference">
    <w:name w:val="footnote reference"/>
    <w:semiHidden/>
    <w:rsid w:val="00ED3599"/>
    <w:rPr>
      <w:vertAlign w:val="superscript"/>
    </w:rPr>
  </w:style>
  <w:style w:type="table" w:styleId="TableGrid">
    <w:name w:val="Table Grid"/>
    <w:basedOn w:val="TableNormal"/>
    <w:rsid w:val="0070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Bold">
    <w:name w:val="Body Text + Bold"/>
    <w:basedOn w:val="BodyText"/>
    <w:next w:val="BodyText"/>
    <w:rsid w:val="00705149"/>
    <w:pPr>
      <w:spacing w:line="240" w:lineRule="auto"/>
      <w:ind w:firstLine="0"/>
    </w:pPr>
    <w:rPr>
      <w:b/>
      <w:bCs/>
    </w:rPr>
  </w:style>
  <w:style w:type="paragraph" w:customStyle="1" w:styleId="PictureHeading">
    <w:name w:val="Picture Heading"/>
    <w:basedOn w:val="Normal"/>
    <w:rsid w:val="009B41B1"/>
    <w:pPr>
      <w:spacing w:after="240"/>
    </w:pPr>
    <w:rPr>
      <w:b/>
    </w:rPr>
  </w:style>
  <w:style w:type="paragraph" w:customStyle="1" w:styleId="PictureDescription">
    <w:name w:val="Picture Description"/>
    <w:basedOn w:val="Normal"/>
    <w:rsid w:val="009B41B1"/>
    <w:pPr>
      <w:spacing w:before="240" w:after="240"/>
      <w:jc w:val="center"/>
    </w:pPr>
    <w:rPr>
      <w:b/>
    </w:rPr>
  </w:style>
  <w:style w:type="paragraph" w:customStyle="1" w:styleId="BackgroundTable">
    <w:name w:val="Background Table"/>
    <w:basedOn w:val="BodyTextBold"/>
    <w:rsid w:val="00945ED5"/>
  </w:style>
  <w:style w:type="paragraph" w:customStyle="1" w:styleId="BackgroundInfo">
    <w:name w:val="Background Info"/>
    <w:basedOn w:val="BodyText"/>
    <w:rsid w:val="0004785C"/>
    <w:pPr>
      <w:spacing w:line="240" w:lineRule="auto"/>
      <w:ind w:firstLine="0"/>
    </w:pPr>
  </w:style>
  <w:style w:type="paragraph" w:customStyle="1" w:styleId="TableTextCentered">
    <w:name w:val="Table Text Centered"/>
    <w:basedOn w:val="BodyText"/>
    <w:rsid w:val="00D64430"/>
    <w:pPr>
      <w:spacing w:line="240" w:lineRule="auto"/>
      <w:ind w:firstLine="0"/>
      <w:jc w:val="center"/>
    </w:pPr>
    <w:rPr>
      <w:sz w:val="20"/>
    </w:rPr>
  </w:style>
  <w:style w:type="paragraph" w:customStyle="1" w:styleId="Heading2Left">
    <w:name w:val="Heading 2 + Left"/>
    <w:basedOn w:val="Heading2"/>
    <w:rsid w:val="00286D43"/>
    <w:pPr>
      <w:ind w:left="144"/>
    </w:pPr>
    <w:rPr>
      <w:bCs/>
    </w:rPr>
  </w:style>
  <w:style w:type="paragraph" w:customStyle="1" w:styleId="StyleBodyTextLeft025">
    <w:name w:val="Style Body Text + Left:  0.25&quot;"/>
    <w:basedOn w:val="BodyText"/>
    <w:rsid w:val="0004785C"/>
  </w:style>
  <w:style w:type="paragraph" w:customStyle="1" w:styleId="BodyTextLeft">
    <w:name w:val="Body Text + Left"/>
    <w:basedOn w:val="BodyText"/>
    <w:rsid w:val="0004785C"/>
    <w:pPr>
      <w:ind w:left="144" w:firstLine="0"/>
    </w:pPr>
  </w:style>
  <w:style w:type="character" w:styleId="FollowedHyperlink">
    <w:name w:val="FollowedHyperlink"/>
    <w:rsid w:val="00FA72F3"/>
    <w:rPr>
      <w:color w:val="800080"/>
      <w:u w:val="single"/>
    </w:rPr>
  </w:style>
  <w:style w:type="paragraph" w:customStyle="1" w:styleId="StyleBodyTextLeft011Firstline0">
    <w:name w:val="Style Body Text + Left:  0.11&quot; First line:  0&quot;"/>
    <w:basedOn w:val="BodyText"/>
    <w:rsid w:val="001B524D"/>
    <w:pPr>
      <w:spacing w:before="240"/>
      <w:ind w:left="158" w:firstLine="0"/>
    </w:pPr>
  </w:style>
  <w:style w:type="character" w:customStyle="1" w:styleId="BodyTextChar1">
    <w:name w:val="Body Text Char1"/>
    <w:uiPriority w:val="99"/>
    <w:locked/>
    <w:rsid w:val="00871B18"/>
    <w:rPr>
      <w:rFonts w:cs="Times New Roman"/>
      <w:sz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7F17FF"/>
    <w:pPr>
      <w:keepNext/>
      <w:spacing w:before="600" w:line="48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04785C"/>
    <w:pPr>
      <w:keepNext/>
      <w:spacing w:before="240" w:line="480" w:lineRule="auto"/>
      <w:ind w:left="3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E55BA"/>
    <w:pPr>
      <w:keepNext/>
      <w:spacing w:before="480" w:after="60" w:line="480" w:lineRule="auto"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7F17FF"/>
    <w:pPr>
      <w:spacing w:line="480" w:lineRule="auto"/>
      <w:ind w:firstLine="720"/>
    </w:p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pPr>
      <w:tabs>
        <w:tab w:val="left" w:pos="-1440"/>
        <w:tab w:val="left" w:pos="720"/>
        <w:tab w:val="left" w:pos="9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960"/>
        <w:tab w:val="left" w:pos="14400"/>
        <w:tab w:val="left" w:pos="15840"/>
        <w:tab w:val="left" w:pos="17280"/>
        <w:tab w:val="left" w:pos="18720"/>
      </w:tabs>
      <w:suppressAutoHyphens/>
      <w:spacing w:line="480" w:lineRule="auto"/>
      <w:ind w:right="720"/>
    </w:pPr>
  </w:style>
  <w:style w:type="paragraph" w:styleId="BodyText2">
    <w:name w:val="Body Text 2"/>
    <w:basedOn w:val="Normal"/>
    <w:rsid w:val="00705149"/>
    <w:pPr>
      <w:spacing w:after="240"/>
    </w:pPr>
  </w:style>
  <w:style w:type="paragraph" w:styleId="BodyTextIndent3">
    <w:name w:val="Body Text Indent 3"/>
    <w:basedOn w:val="Normal"/>
    <w:pPr>
      <w:spacing w:line="480" w:lineRule="auto"/>
      <w:ind w:firstLine="720"/>
    </w:pPr>
  </w:style>
  <w:style w:type="paragraph" w:styleId="TOC6">
    <w:name w:val="toc 6"/>
    <w:basedOn w:val="Normal"/>
    <w:next w:val="Normal"/>
    <w:autoRedefine/>
    <w:semiHidden/>
    <w:rsid w:val="00E0429A"/>
    <w:pPr>
      <w:numPr>
        <w:numId w:val="15"/>
      </w:numPr>
      <w:spacing w:line="48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paragraph" w:styleId="BodyTextIndent2">
    <w:name w:val="Body Text Indent 2"/>
    <w:basedOn w:val="Normal"/>
    <w:pPr>
      <w:spacing w:line="480" w:lineRule="auto"/>
      <w:ind w:firstLine="720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E56EA5"/>
    <w:pPr>
      <w:ind w:left="240"/>
    </w:pPr>
  </w:style>
  <w:style w:type="paragraph" w:styleId="Header">
    <w:name w:val="header"/>
    <w:basedOn w:val="Normal"/>
    <w:rsid w:val="00770CB5"/>
    <w:pPr>
      <w:tabs>
        <w:tab w:val="center" w:pos="4320"/>
        <w:tab w:val="right" w:pos="8640"/>
      </w:tabs>
    </w:pPr>
  </w:style>
  <w:style w:type="paragraph" w:customStyle="1" w:styleId="NormalFirstline05">
    <w:name w:val="Normal + First line:  0.5&quot;"/>
    <w:aliases w:val="Line spacing:  Double"/>
    <w:basedOn w:val="BodyTextIndent2"/>
    <w:rsid w:val="00051744"/>
    <w:pPr>
      <w:ind w:firstLine="0"/>
    </w:pPr>
  </w:style>
  <w:style w:type="numbering" w:customStyle="1" w:styleId="StyleNumbered">
    <w:name w:val="Style Numbered"/>
    <w:basedOn w:val="NoList"/>
    <w:rsid w:val="00051744"/>
    <w:pPr>
      <w:numPr>
        <w:numId w:val="6"/>
      </w:numPr>
    </w:pPr>
  </w:style>
  <w:style w:type="character" w:customStyle="1" w:styleId="BodyTextChar">
    <w:name w:val="Body Text Char"/>
    <w:link w:val="BodyText"/>
    <w:rsid w:val="00E700C3"/>
    <w:rPr>
      <w:sz w:val="24"/>
      <w:lang w:val="en-US" w:eastAsia="en-US" w:bidi="ar-SA"/>
    </w:rPr>
  </w:style>
  <w:style w:type="paragraph" w:customStyle="1" w:styleId="StyleHeading3NotBoldItalicLeft05Firstline0">
    <w:name w:val="Style Heading 3 + Not Bold Italic Left:  0.5&quot; First line:  0&quot;"/>
    <w:basedOn w:val="Heading3"/>
    <w:rsid w:val="007E55BA"/>
    <w:rPr>
      <w:b/>
      <w:i w:val="0"/>
      <w:iCs/>
    </w:rPr>
  </w:style>
  <w:style w:type="paragraph" w:customStyle="1" w:styleId="StyleHeading3NotBoldItalicLeft05Firstline0L">
    <w:name w:val="Style Heading 3 + Not Bold Italic Left:  0.5&quot; First line:  0&quot; L..."/>
    <w:basedOn w:val="Heading3"/>
    <w:rsid w:val="007E55BA"/>
    <w:pPr>
      <w:ind w:left="720"/>
    </w:pPr>
    <w:rPr>
      <w:b/>
      <w:i w:val="0"/>
      <w:iCs/>
    </w:rPr>
  </w:style>
  <w:style w:type="character" w:customStyle="1" w:styleId="CharChar">
    <w:name w:val="Char Char"/>
    <w:rsid w:val="002A3C58"/>
    <w:rPr>
      <w:sz w:val="24"/>
      <w:lang w:val="en-US" w:eastAsia="en-US" w:bidi="ar-SA"/>
    </w:rPr>
  </w:style>
  <w:style w:type="paragraph" w:styleId="FootnoteText">
    <w:name w:val="footnote text"/>
    <w:basedOn w:val="Normal"/>
    <w:semiHidden/>
    <w:rsid w:val="00ED3599"/>
    <w:rPr>
      <w:sz w:val="20"/>
    </w:rPr>
  </w:style>
  <w:style w:type="character" w:styleId="FootnoteReference">
    <w:name w:val="footnote reference"/>
    <w:semiHidden/>
    <w:rsid w:val="00ED3599"/>
    <w:rPr>
      <w:vertAlign w:val="superscript"/>
    </w:rPr>
  </w:style>
  <w:style w:type="table" w:styleId="TableGrid">
    <w:name w:val="Table Grid"/>
    <w:basedOn w:val="TableNormal"/>
    <w:rsid w:val="0070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Bold">
    <w:name w:val="Body Text + Bold"/>
    <w:basedOn w:val="BodyText"/>
    <w:next w:val="BodyText"/>
    <w:rsid w:val="00705149"/>
    <w:pPr>
      <w:spacing w:line="240" w:lineRule="auto"/>
      <w:ind w:firstLine="0"/>
    </w:pPr>
    <w:rPr>
      <w:b/>
      <w:bCs/>
    </w:rPr>
  </w:style>
  <w:style w:type="paragraph" w:customStyle="1" w:styleId="PictureHeading">
    <w:name w:val="Picture Heading"/>
    <w:basedOn w:val="Normal"/>
    <w:rsid w:val="009B41B1"/>
    <w:pPr>
      <w:spacing w:after="240"/>
    </w:pPr>
    <w:rPr>
      <w:b/>
    </w:rPr>
  </w:style>
  <w:style w:type="paragraph" w:customStyle="1" w:styleId="PictureDescription">
    <w:name w:val="Picture Description"/>
    <w:basedOn w:val="Normal"/>
    <w:rsid w:val="009B41B1"/>
    <w:pPr>
      <w:spacing w:before="240" w:after="240"/>
      <w:jc w:val="center"/>
    </w:pPr>
    <w:rPr>
      <w:b/>
    </w:rPr>
  </w:style>
  <w:style w:type="paragraph" w:customStyle="1" w:styleId="BackgroundTable">
    <w:name w:val="Background Table"/>
    <w:basedOn w:val="BodyTextBold"/>
    <w:rsid w:val="00945ED5"/>
  </w:style>
  <w:style w:type="paragraph" w:customStyle="1" w:styleId="BackgroundInfo">
    <w:name w:val="Background Info"/>
    <w:basedOn w:val="BodyText"/>
    <w:rsid w:val="0004785C"/>
    <w:pPr>
      <w:spacing w:line="240" w:lineRule="auto"/>
      <w:ind w:firstLine="0"/>
    </w:pPr>
  </w:style>
  <w:style w:type="paragraph" w:customStyle="1" w:styleId="TableTextCentered">
    <w:name w:val="Table Text Centered"/>
    <w:basedOn w:val="BodyText"/>
    <w:rsid w:val="00D64430"/>
    <w:pPr>
      <w:spacing w:line="240" w:lineRule="auto"/>
      <w:ind w:firstLine="0"/>
      <w:jc w:val="center"/>
    </w:pPr>
    <w:rPr>
      <w:sz w:val="20"/>
    </w:rPr>
  </w:style>
  <w:style w:type="paragraph" w:customStyle="1" w:styleId="Heading2Left">
    <w:name w:val="Heading 2 + Left"/>
    <w:basedOn w:val="Heading2"/>
    <w:rsid w:val="00286D43"/>
    <w:pPr>
      <w:ind w:left="144"/>
    </w:pPr>
    <w:rPr>
      <w:bCs/>
    </w:rPr>
  </w:style>
  <w:style w:type="paragraph" w:customStyle="1" w:styleId="StyleBodyTextLeft025">
    <w:name w:val="Style Body Text + Left:  0.25&quot;"/>
    <w:basedOn w:val="BodyText"/>
    <w:rsid w:val="0004785C"/>
  </w:style>
  <w:style w:type="paragraph" w:customStyle="1" w:styleId="BodyTextLeft">
    <w:name w:val="Body Text + Left"/>
    <w:basedOn w:val="BodyText"/>
    <w:rsid w:val="0004785C"/>
    <w:pPr>
      <w:ind w:left="144" w:firstLine="0"/>
    </w:pPr>
  </w:style>
  <w:style w:type="character" w:styleId="FollowedHyperlink">
    <w:name w:val="FollowedHyperlink"/>
    <w:rsid w:val="00FA72F3"/>
    <w:rPr>
      <w:color w:val="800080"/>
      <w:u w:val="single"/>
    </w:rPr>
  </w:style>
  <w:style w:type="paragraph" w:customStyle="1" w:styleId="StyleBodyTextLeft011Firstline0">
    <w:name w:val="Style Body Text + Left:  0.11&quot; First line:  0&quot;"/>
    <w:basedOn w:val="BodyText"/>
    <w:rsid w:val="001B524D"/>
    <w:pPr>
      <w:spacing w:before="240"/>
      <w:ind w:left="158" w:firstLine="0"/>
    </w:pPr>
  </w:style>
  <w:style w:type="character" w:customStyle="1" w:styleId="BodyTextChar1">
    <w:name w:val="Body Text Char1"/>
    <w:uiPriority w:val="99"/>
    <w:locked/>
    <w:rsid w:val="00871B18"/>
    <w:rPr>
      <w:rFonts w:cs="Times New Roman"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INDOOR AIR QUALITY ASSESSMENT</vt:lpstr>
    </vt:vector>
  </TitlesOfParts>
  <Company>Department of Public Health</Company>
  <LinksUpToDate>false</LinksUpToDate>
  <CharactersWithSpaces>3467</CharactersWithSpaces>
  <SharedDoc>false</SharedDoc>
  <HLinks>
    <vt:vector size="6" baseType="variant">
      <vt:variant>
        <vt:i4>4259867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http://www.mass.gov/eohhs/gov/departments/dph/programs/environmental-health/exposure-topics/iaq/pollution/renovate/constructionrenovation-pollutants-prevention.html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Indoor Air Quality Assessment - Hampden County District Attorney’s Office Pre-occupancy Assessment (August 2018)</dc:title>
  <dc:subject>Greenfield County DA's office</dc:subject>
  <dc:creator>Indoor Air Quality Program</dc:creator>
  <cp:lastModifiedBy>AutoBVT</cp:lastModifiedBy>
  <cp:revision>3</cp:revision>
  <cp:lastPrinted>2018-08-15T15:43:00Z</cp:lastPrinted>
  <dcterms:created xsi:type="dcterms:W3CDTF">2018-08-16T18:46:00Z</dcterms:created>
  <dcterms:modified xsi:type="dcterms:W3CDTF">2018-12-20T20:22:00Z</dcterms:modified>
</cp:coreProperties>
</file>