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CD44" w14:textId="77777777" w:rsidR="007A4BEE" w:rsidRDefault="007A4BEE" w:rsidP="003A6FA8">
      <w:pPr>
        <w:tabs>
          <w:tab w:val="center" w:pos="4680"/>
        </w:tabs>
        <w:spacing w:after="0" w:line="240" w:lineRule="auto"/>
        <w:jc w:val="center"/>
        <w:rPr>
          <w:rFonts w:ascii="Times New Roman" w:eastAsia="Times New Roman" w:hAnsi="Times New Roman" w:cs="Times New Roman"/>
          <w:b/>
          <w:bCs/>
          <w:color w:val="000000"/>
          <w:sz w:val="36"/>
          <w:szCs w:val="36"/>
        </w:rPr>
      </w:pPr>
      <w:bookmarkStart w:id="0" w:name="_GoBack"/>
      <w:bookmarkEnd w:id="0"/>
    </w:p>
    <w:p w14:paraId="3FC600FE" w14:textId="77777777" w:rsidR="007A4BEE" w:rsidRDefault="007A4BEE" w:rsidP="003A6FA8">
      <w:pPr>
        <w:tabs>
          <w:tab w:val="center" w:pos="4680"/>
        </w:tabs>
        <w:spacing w:after="0" w:line="240" w:lineRule="auto"/>
        <w:jc w:val="center"/>
        <w:rPr>
          <w:rFonts w:ascii="Times New Roman" w:eastAsia="Times New Roman" w:hAnsi="Times New Roman" w:cs="Times New Roman"/>
          <w:b/>
          <w:bCs/>
          <w:color w:val="000000"/>
          <w:sz w:val="36"/>
          <w:szCs w:val="36"/>
        </w:rPr>
      </w:pPr>
    </w:p>
    <w:p w14:paraId="79A74C55" w14:textId="2E266012" w:rsidR="00C95A2A" w:rsidRPr="00C95A2A" w:rsidRDefault="00C95A2A" w:rsidP="003A6FA8">
      <w:pPr>
        <w:tabs>
          <w:tab w:val="center" w:pos="4680"/>
        </w:tabs>
        <w:spacing w:after="0" w:line="240" w:lineRule="auto"/>
        <w:jc w:val="center"/>
        <w:rPr>
          <w:rFonts w:ascii="Times New Roman" w:eastAsia="Times New Roman" w:hAnsi="Times New Roman" w:cs="Times New Roman"/>
          <w:b/>
          <w:bCs/>
          <w:color w:val="000000"/>
          <w:sz w:val="36"/>
          <w:szCs w:val="36"/>
        </w:rPr>
      </w:pPr>
      <w:r w:rsidRPr="00C95A2A">
        <w:rPr>
          <w:rFonts w:ascii="Times New Roman" w:eastAsia="Times New Roman" w:hAnsi="Times New Roman" w:cs="Times New Roman"/>
          <w:b/>
          <w:bCs/>
          <w:color w:val="000000"/>
          <w:sz w:val="36"/>
          <w:szCs w:val="36"/>
        </w:rPr>
        <w:t>PUBLIC DISCLOSURE</w:t>
      </w:r>
    </w:p>
    <w:p w14:paraId="2228557D"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00645296"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23C1047C"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3ED5C12C"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296078B9" w14:textId="77777777" w:rsidR="00C95A2A" w:rsidRPr="00C95A2A" w:rsidRDefault="00D7363C" w:rsidP="003A6FA8">
      <w:pPr>
        <w:tabs>
          <w:tab w:val="center" w:pos="468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26, 2021</w:t>
      </w:r>
    </w:p>
    <w:p w14:paraId="75040C79"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375F71CC"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639D720E"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2A2D5FD9"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29C2DCBA"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b/>
          <w:bCs/>
          <w:color w:val="000000"/>
          <w:sz w:val="36"/>
          <w:szCs w:val="36"/>
        </w:rPr>
      </w:pPr>
      <w:r w:rsidRPr="00C95A2A">
        <w:rPr>
          <w:rFonts w:ascii="Times New Roman" w:eastAsia="Times New Roman" w:hAnsi="Times New Roman" w:cs="Times New Roman"/>
          <w:b/>
          <w:bCs/>
          <w:color w:val="000000"/>
          <w:sz w:val="36"/>
          <w:szCs w:val="36"/>
        </w:rPr>
        <w:t>COMMUNITY REINVESTMENT ACT</w:t>
      </w:r>
    </w:p>
    <w:p w14:paraId="339A9DB1"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36"/>
          <w:szCs w:val="36"/>
        </w:rPr>
      </w:pPr>
      <w:r w:rsidRPr="00C95A2A">
        <w:rPr>
          <w:rFonts w:ascii="Times New Roman" w:eastAsia="Times New Roman" w:hAnsi="Times New Roman" w:cs="Times New Roman"/>
          <w:b/>
          <w:bCs/>
          <w:color w:val="000000"/>
          <w:sz w:val="36"/>
          <w:szCs w:val="36"/>
        </w:rPr>
        <w:t>PERFORMANCE EVALUATION</w:t>
      </w:r>
    </w:p>
    <w:p w14:paraId="4DA06C23"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1E615694"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p>
    <w:p w14:paraId="174339C5"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090BF16B" w14:textId="77777777" w:rsidR="00C95A2A" w:rsidRPr="00C95A2A" w:rsidRDefault="00D7363C" w:rsidP="003A6FA8">
      <w:pPr>
        <w:tabs>
          <w:tab w:val="center" w:pos="468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HarborOne Bank</w:t>
      </w:r>
    </w:p>
    <w:p w14:paraId="2A3947DA"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r w:rsidRPr="00C95A2A">
        <w:rPr>
          <w:rFonts w:ascii="Times New Roman" w:eastAsia="Times New Roman" w:hAnsi="Times New Roman" w:cs="Times New Roman"/>
          <w:color w:val="000000"/>
          <w:sz w:val="24"/>
          <w:szCs w:val="24"/>
        </w:rPr>
        <w:t xml:space="preserve">Certificate Number:  </w:t>
      </w:r>
      <w:r w:rsidR="00D7363C">
        <w:rPr>
          <w:rFonts w:ascii="Times New Roman" w:eastAsia="Times New Roman" w:hAnsi="Times New Roman" w:cs="Times New Roman"/>
          <w:color w:val="000000"/>
          <w:sz w:val="24"/>
          <w:szCs w:val="24"/>
        </w:rPr>
        <w:t>59070</w:t>
      </w:r>
    </w:p>
    <w:p w14:paraId="72862F96"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p>
    <w:p w14:paraId="20DC92F1" w14:textId="77777777" w:rsidR="00D7363C" w:rsidRPr="008D6B18" w:rsidRDefault="00293F0B" w:rsidP="003A6FA8">
      <w:pPr>
        <w:tabs>
          <w:tab w:val="center" w:pos="46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63C">
        <w:rPr>
          <w:rFonts w:ascii="Times New Roman" w:eastAsia="Times New Roman" w:hAnsi="Times New Roman" w:cs="Times New Roman"/>
          <w:sz w:val="24"/>
          <w:szCs w:val="24"/>
        </w:rPr>
        <w:t>70 Oak Street</w:t>
      </w:r>
    </w:p>
    <w:p w14:paraId="48FDEE5C" w14:textId="747EBBBB" w:rsidR="00D7363C" w:rsidRPr="008D6B18" w:rsidRDefault="00D7363C" w:rsidP="003A6FA8">
      <w:pPr>
        <w:tabs>
          <w:tab w:val="left" w:pos="517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Brockton, Massachusetts </w:t>
      </w:r>
      <w:r w:rsidR="00720D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02301</w:t>
      </w:r>
    </w:p>
    <w:p w14:paraId="50AE0BD9"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p>
    <w:p w14:paraId="40096829"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p>
    <w:p w14:paraId="43EDCF0D" w14:textId="77777777" w:rsidR="00C95A2A" w:rsidRPr="00C95A2A" w:rsidRDefault="00C95A2A" w:rsidP="003A6FA8">
      <w:pPr>
        <w:tabs>
          <w:tab w:val="center" w:pos="4680"/>
        </w:tabs>
        <w:spacing w:after="0" w:line="240" w:lineRule="auto"/>
        <w:jc w:val="center"/>
        <w:rPr>
          <w:rFonts w:ascii="Times New Roman" w:eastAsia="Times New Roman" w:hAnsi="Times New Roman" w:cs="Times New Roman"/>
          <w:color w:val="000000"/>
          <w:sz w:val="24"/>
          <w:szCs w:val="24"/>
        </w:rPr>
      </w:pPr>
    </w:p>
    <w:p w14:paraId="152CFD9E" w14:textId="77777777" w:rsidR="00C95A2A" w:rsidRPr="00C95A2A" w:rsidRDefault="00C95A2A" w:rsidP="003A6FA8">
      <w:pPr>
        <w:spacing w:after="0" w:line="240" w:lineRule="auto"/>
        <w:jc w:val="center"/>
        <w:rPr>
          <w:rFonts w:ascii="Times New Roman" w:eastAsia="Times New Roman" w:hAnsi="Times New Roman" w:cs="Times New Roman"/>
          <w:color w:val="000000"/>
          <w:sz w:val="24"/>
          <w:szCs w:val="24"/>
        </w:rPr>
      </w:pPr>
    </w:p>
    <w:p w14:paraId="7A0A4C58" w14:textId="77777777" w:rsidR="00D7363C" w:rsidRPr="008D6B18" w:rsidRDefault="00D7363C" w:rsidP="003A6FA8">
      <w:pPr>
        <w:tabs>
          <w:tab w:val="center" w:pos="4680"/>
        </w:tabs>
        <w:spacing w:after="0" w:line="240" w:lineRule="auto"/>
        <w:jc w:val="center"/>
        <w:rPr>
          <w:rFonts w:ascii="Times New Roman" w:eastAsia="Times New Roman" w:hAnsi="Times New Roman" w:cs="Times New Roman"/>
          <w:color w:val="000000"/>
          <w:sz w:val="24"/>
          <w:szCs w:val="24"/>
        </w:rPr>
      </w:pPr>
    </w:p>
    <w:tbl>
      <w:tblPr>
        <w:tblW w:w="0" w:type="auto"/>
        <w:tblLayout w:type="fixed"/>
        <w:tblLook w:val="01E0" w:firstRow="1" w:lastRow="1" w:firstColumn="1" w:lastColumn="1" w:noHBand="0" w:noVBand="0"/>
      </w:tblPr>
      <w:tblGrid>
        <w:gridCol w:w="4552"/>
        <w:gridCol w:w="4553"/>
      </w:tblGrid>
      <w:tr w:rsidR="00D7363C" w:rsidRPr="00E425C5" w14:paraId="1290E39D" w14:textId="77777777" w:rsidTr="00D7363C">
        <w:trPr>
          <w:cantSplit/>
        </w:trPr>
        <w:tc>
          <w:tcPr>
            <w:tcW w:w="4552" w:type="dxa"/>
            <w:shd w:val="clear" w:color="auto" w:fill="auto"/>
          </w:tcPr>
          <w:p w14:paraId="781FC3C7"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Division of Banks</w:t>
            </w:r>
          </w:p>
        </w:tc>
        <w:tc>
          <w:tcPr>
            <w:tcW w:w="4553" w:type="dxa"/>
            <w:shd w:val="clear" w:color="auto" w:fill="auto"/>
          </w:tcPr>
          <w:p w14:paraId="75A69436"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Federal Deposit Insurance Corporation</w:t>
            </w:r>
          </w:p>
        </w:tc>
      </w:tr>
      <w:tr w:rsidR="00D7363C" w:rsidRPr="00E425C5" w14:paraId="2A1A95AF" w14:textId="77777777" w:rsidTr="00D7363C">
        <w:trPr>
          <w:cantSplit/>
        </w:trPr>
        <w:tc>
          <w:tcPr>
            <w:tcW w:w="4552" w:type="dxa"/>
            <w:shd w:val="clear" w:color="auto" w:fill="auto"/>
          </w:tcPr>
          <w:p w14:paraId="5B78CB96"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1000 Washington Street, 10</w:t>
            </w:r>
            <w:r w:rsidRPr="00E425C5">
              <w:rPr>
                <w:rFonts w:ascii="Times New Roman" w:eastAsia="Times New Roman" w:hAnsi="Times New Roman" w:cs="Times New Roman"/>
                <w:spacing w:val="-3"/>
                <w:sz w:val="24"/>
                <w:szCs w:val="24"/>
                <w:vertAlign w:val="superscript"/>
              </w:rPr>
              <w:t>th</w:t>
            </w:r>
            <w:r w:rsidRPr="00E425C5">
              <w:rPr>
                <w:rFonts w:ascii="Times New Roman" w:eastAsia="Times New Roman" w:hAnsi="Times New Roman" w:cs="Times New Roman"/>
                <w:spacing w:val="-3"/>
                <w:sz w:val="24"/>
                <w:szCs w:val="24"/>
              </w:rPr>
              <w:t xml:space="preserve"> Floor</w:t>
            </w:r>
          </w:p>
        </w:tc>
        <w:tc>
          <w:tcPr>
            <w:tcW w:w="4553" w:type="dxa"/>
            <w:shd w:val="clear" w:color="auto" w:fill="auto"/>
          </w:tcPr>
          <w:p w14:paraId="44271342"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350 Fifth Avenue, Suite 1200</w:t>
            </w:r>
          </w:p>
        </w:tc>
      </w:tr>
      <w:tr w:rsidR="00D7363C" w:rsidRPr="00E425C5" w14:paraId="038172BA" w14:textId="77777777" w:rsidTr="00D7363C">
        <w:trPr>
          <w:cantSplit/>
        </w:trPr>
        <w:tc>
          <w:tcPr>
            <w:tcW w:w="4552" w:type="dxa"/>
            <w:shd w:val="clear" w:color="auto" w:fill="auto"/>
          </w:tcPr>
          <w:p w14:paraId="58ED11B8"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Boston, Massachusetts 02118</w:t>
            </w:r>
          </w:p>
        </w:tc>
        <w:tc>
          <w:tcPr>
            <w:tcW w:w="4553" w:type="dxa"/>
            <w:shd w:val="clear" w:color="auto" w:fill="auto"/>
          </w:tcPr>
          <w:p w14:paraId="19CDB40F" w14:textId="77777777" w:rsidR="00D7363C" w:rsidRPr="00E425C5" w:rsidRDefault="00D7363C" w:rsidP="003A6FA8">
            <w:pPr>
              <w:tabs>
                <w:tab w:val="left" w:pos="360"/>
                <w:tab w:val="left" w:pos="840"/>
                <w:tab w:val="left" w:pos="6720"/>
              </w:tabs>
              <w:suppressAutoHyphens/>
              <w:spacing w:after="0" w:line="240" w:lineRule="auto"/>
              <w:jc w:val="center"/>
              <w:rPr>
                <w:rFonts w:ascii="Times New Roman" w:eastAsia="Times New Roman" w:hAnsi="Times New Roman" w:cs="Times New Roman"/>
                <w:spacing w:val="-3"/>
                <w:sz w:val="24"/>
                <w:szCs w:val="24"/>
              </w:rPr>
            </w:pPr>
            <w:r w:rsidRPr="00E425C5">
              <w:rPr>
                <w:rFonts w:ascii="Times New Roman" w:eastAsia="Times New Roman" w:hAnsi="Times New Roman" w:cs="Times New Roman"/>
                <w:spacing w:val="-3"/>
                <w:sz w:val="24"/>
                <w:szCs w:val="24"/>
              </w:rPr>
              <w:t>New York, New York 10118</w:t>
            </w:r>
          </w:p>
        </w:tc>
      </w:tr>
    </w:tbl>
    <w:p w14:paraId="181B03CB" w14:textId="77777777" w:rsidR="00D7363C" w:rsidRPr="00E425C5"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5F6D3B64" w14:textId="77777777" w:rsidR="00D7363C" w:rsidRPr="00E425C5"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7C8C5174" w14:textId="77777777" w:rsidR="00D7363C" w:rsidRPr="00E425C5"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2E1DBF16" w14:textId="77777777" w:rsidR="00D7363C" w:rsidRPr="00E425C5"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463870DB" w14:textId="77777777" w:rsidR="00D7363C"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7E4E4E6E" w14:textId="77777777" w:rsidR="00D7363C"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1D23E01A" w14:textId="77777777" w:rsidR="00D7363C" w:rsidRPr="00E425C5" w:rsidRDefault="00D7363C" w:rsidP="00D7363C">
      <w:pPr>
        <w:tabs>
          <w:tab w:val="left" w:pos="-1440"/>
        </w:tabs>
        <w:spacing w:after="0" w:line="240" w:lineRule="auto"/>
        <w:ind w:left="1440" w:hanging="1440"/>
        <w:rPr>
          <w:rFonts w:ascii="Times New Roman" w:eastAsia="Times New Roman" w:hAnsi="Times New Roman" w:cs="Times New Roman"/>
          <w:color w:val="000000"/>
          <w:sz w:val="24"/>
          <w:szCs w:val="24"/>
        </w:rPr>
      </w:pPr>
    </w:p>
    <w:p w14:paraId="04590EF4" w14:textId="77777777" w:rsidR="00D7363C" w:rsidRDefault="00D7363C" w:rsidP="00D7363C">
      <w:pPr>
        <w:spacing w:after="0" w:line="240" w:lineRule="auto"/>
        <w:jc w:val="both"/>
        <w:rPr>
          <w:rFonts w:ascii="Times New Roman" w:eastAsia="Times New Roman" w:hAnsi="Times New Roman" w:cs="Times New Roman"/>
          <w:color w:val="000000"/>
          <w:sz w:val="24"/>
          <w:szCs w:val="24"/>
        </w:rPr>
      </w:pPr>
      <w:r w:rsidRPr="00E425C5">
        <w:rPr>
          <w:rFonts w:ascii="Times New Roman" w:eastAsia="Times New Roman" w:hAnsi="Times New Roman" w:cs="Times New Roman"/>
          <w:color w:val="000000"/>
          <w:sz w:val="24"/>
          <w:szCs w:val="24"/>
        </w:rPr>
        <w:t>This document is an evaluation of this institution’s record of meeting the credit needs of its entire community, including low- and moderate-income neighborhoods, consistent with safe and sound operation of the institution.</w:t>
      </w:r>
      <w:r w:rsidRPr="00E425C5">
        <w:rPr>
          <w:rFonts w:ascii="Times New Roman" w:eastAsia="Times New Roman" w:hAnsi="Times New Roman" w:cs="Times New Roman"/>
          <w:i/>
          <w:iCs/>
          <w:color w:val="000000"/>
          <w:sz w:val="24"/>
          <w:szCs w:val="24"/>
        </w:rPr>
        <w:t xml:space="preserve">  </w:t>
      </w:r>
      <w:r w:rsidRPr="00E425C5">
        <w:rPr>
          <w:rFonts w:ascii="Times New Roman" w:eastAsia="Times New Roman" w:hAnsi="Times New Roman" w:cs="Times New Roman"/>
          <w:color w:val="000000"/>
          <w:sz w:val="24"/>
          <w:szCs w:val="24"/>
        </w:rPr>
        <w:t>This evaluation is not, nor should it be construed as, an assessment of the financial condition of this institution.  The rating assigned to this institution does not represent an analysis, conclusion, or opinion of the Division of Banks or the Federal Deposit Insurance Corporation concerning the safety and soundness of this financial institution.</w:t>
      </w:r>
    </w:p>
    <w:p w14:paraId="679F6162" w14:textId="77777777" w:rsidR="00D7363C" w:rsidRPr="00D7363C" w:rsidRDefault="00D7363C" w:rsidP="00D7363C">
      <w:pPr>
        <w:spacing w:after="0" w:line="240" w:lineRule="auto"/>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b w:val="0"/>
          <w:bCs w:val="0"/>
          <w:color w:val="auto"/>
          <w:sz w:val="24"/>
          <w:szCs w:val="24"/>
        </w:rPr>
        <w:id w:val="2006396616"/>
        <w:docPartObj>
          <w:docPartGallery w:val="Table of Contents"/>
          <w:docPartUnique/>
        </w:docPartObj>
      </w:sdtPr>
      <w:sdtEndPr>
        <w:rPr>
          <w:noProof/>
        </w:rPr>
      </w:sdtEndPr>
      <w:sdtContent>
        <w:p w14:paraId="6867D606" w14:textId="77777777" w:rsidR="00C95A2A" w:rsidRPr="000573CB" w:rsidRDefault="00C95A2A" w:rsidP="00722825">
          <w:pPr>
            <w:pStyle w:val="TOCHeading"/>
            <w:jc w:val="center"/>
            <w:rPr>
              <w:rFonts w:ascii="Times New Roman" w:hAnsi="Times New Roman" w:cs="Times New Roman"/>
              <w:color w:val="auto"/>
              <w:lang w:eastAsia="ja-JP"/>
            </w:rPr>
          </w:pPr>
          <w:r w:rsidRPr="000573CB">
            <w:rPr>
              <w:rFonts w:ascii="Times New Roman" w:hAnsi="Times New Roman" w:cs="Times New Roman"/>
              <w:color w:val="auto"/>
              <w:lang w:eastAsia="ja-JP"/>
            </w:rPr>
            <w:t>TABLE OF CONTENTS</w:t>
          </w:r>
        </w:p>
        <w:p w14:paraId="728A93D2" w14:textId="77777777" w:rsidR="00C95A2A" w:rsidRPr="00C95A2A" w:rsidRDefault="00C95A2A" w:rsidP="00C95A2A">
          <w:pPr>
            <w:spacing w:after="0" w:line="240" w:lineRule="auto"/>
            <w:rPr>
              <w:rFonts w:ascii="Times New Roman" w:eastAsia="Times New Roman" w:hAnsi="Times New Roman" w:cs="Times New Roman"/>
              <w:sz w:val="24"/>
              <w:szCs w:val="24"/>
              <w:lang w:eastAsia="ja-JP"/>
            </w:rPr>
          </w:pPr>
        </w:p>
        <w:p w14:paraId="6BD95823" w14:textId="58CAA50C" w:rsidR="00AB6EE6" w:rsidRPr="00AB6EE6" w:rsidRDefault="00C95A2A">
          <w:pPr>
            <w:pStyle w:val="TOC1"/>
            <w:tabs>
              <w:tab w:val="right" w:leader="dot" w:pos="9350"/>
            </w:tabs>
            <w:rPr>
              <w:rFonts w:asciiTheme="minorHAnsi" w:hAnsiTheme="minorHAnsi"/>
              <w:noProof/>
              <w:sz w:val="22"/>
              <w:lang w:eastAsia="en-US"/>
            </w:rPr>
          </w:pPr>
          <w:r w:rsidRPr="00722825">
            <w:rPr>
              <w:rFonts w:eastAsia="Times New Roman" w:cs="Times New Roman"/>
              <w:szCs w:val="24"/>
            </w:rPr>
            <w:fldChar w:fldCharType="begin"/>
          </w:r>
          <w:r w:rsidRPr="00722825">
            <w:rPr>
              <w:rFonts w:eastAsia="Times New Roman" w:cs="Times New Roman"/>
              <w:szCs w:val="24"/>
            </w:rPr>
            <w:instrText xml:space="preserve"> TOC \o "1-3" \h \z \u </w:instrText>
          </w:r>
          <w:r w:rsidRPr="00722825">
            <w:rPr>
              <w:rFonts w:eastAsia="Times New Roman" w:cs="Times New Roman"/>
              <w:szCs w:val="24"/>
            </w:rPr>
            <w:fldChar w:fldCharType="separate"/>
          </w:r>
          <w:hyperlink w:anchor="_Toc70419316" w:history="1">
            <w:r w:rsidR="00AB6EE6" w:rsidRPr="00AB6EE6">
              <w:rPr>
                <w:rStyle w:val="Hyperlink"/>
                <w:rFonts w:eastAsia="Times New Roman" w:cs="Times New Roman"/>
                <w:bCs/>
                <w:noProof/>
                <w:spacing w:val="-3"/>
              </w:rPr>
              <w:t>INSTITUTION RATING</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_Toc70419316 \h </w:instrText>
            </w:r>
            <w:r w:rsidR="00AB6EE6" w:rsidRPr="00AB6EE6">
              <w:rPr>
                <w:noProof/>
                <w:webHidden/>
              </w:rPr>
            </w:r>
            <w:r w:rsidR="00AB6EE6" w:rsidRPr="00AB6EE6">
              <w:rPr>
                <w:noProof/>
                <w:webHidden/>
              </w:rPr>
              <w:fldChar w:fldCharType="separate"/>
            </w:r>
            <w:r w:rsidR="008E16F6">
              <w:rPr>
                <w:noProof/>
                <w:webHidden/>
              </w:rPr>
              <w:t>1</w:t>
            </w:r>
            <w:r w:rsidR="00AB6EE6" w:rsidRPr="00AB6EE6">
              <w:rPr>
                <w:noProof/>
                <w:webHidden/>
              </w:rPr>
              <w:fldChar w:fldCharType="end"/>
            </w:r>
          </w:hyperlink>
        </w:p>
        <w:p w14:paraId="0C171E1F" w14:textId="76203A65" w:rsidR="00AB6EE6" w:rsidRPr="00AB6EE6" w:rsidRDefault="008E16F6">
          <w:pPr>
            <w:pStyle w:val="TOC3"/>
            <w:tabs>
              <w:tab w:val="right" w:leader="dot" w:pos="9350"/>
            </w:tabs>
            <w:rPr>
              <w:rFonts w:asciiTheme="minorHAnsi" w:eastAsiaTheme="minorEastAsia" w:hAnsiTheme="minorHAnsi" w:cstheme="minorBidi"/>
              <w:noProof/>
              <w:sz w:val="22"/>
              <w:szCs w:val="22"/>
            </w:rPr>
          </w:pPr>
          <w:hyperlink w:anchor="_Toc70419317" w:history="1">
            <w:r w:rsidR="00AB6EE6" w:rsidRPr="00AB6EE6">
              <w:rPr>
                <w:rStyle w:val="Hyperlink"/>
                <w:noProof/>
              </w:rPr>
              <w:t>SCOPE OF EVALUATION</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_Toc70419317 \h </w:instrText>
            </w:r>
            <w:r w:rsidR="00AB6EE6" w:rsidRPr="00AB6EE6">
              <w:rPr>
                <w:noProof/>
                <w:webHidden/>
              </w:rPr>
            </w:r>
            <w:r w:rsidR="00AB6EE6" w:rsidRPr="00AB6EE6">
              <w:rPr>
                <w:noProof/>
                <w:webHidden/>
              </w:rPr>
              <w:fldChar w:fldCharType="separate"/>
            </w:r>
            <w:r>
              <w:rPr>
                <w:noProof/>
                <w:webHidden/>
              </w:rPr>
              <w:t>3</w:t>
            </w:r>
            <w:r w:rsidR="00AB6EE6" w:rsidRPr="00AB6EE6">
              <w:rPr>
                <w:noProof/>
                <w:webHidden/>
              </w:rPr>
              <w:fldChar w:fldCharType="end"/>
            </w:r>
          </w:hyperlink>
        </w:p>
        <w:p w14:paraId="6DEB31D9" w14:textId="6FFDB93F" w:rsidR="00AB6EE6" w:rsidRPr="00AB6EE6" w:rsidRDefault="008E16F6">
          <w:pPr>
            <w:pStyle w:val="TOC3"/>
            <w:tabs>
              <w:tab w:val="right" w:leader="dot" w:pos="9350"/>
            </w:tabs>
            <w:rPr>
              <w:rFonts w:asciiTheme="minorHAnsi" w:eastAsiaTheme="minorEastAsia" w:hAnsiTheme="minorHAnsi" w:cstheme="minorBidi"/>
              <w:noProof/>
              <w:sz w:val="22"/>
              <w:szCs w:val="22"/>
            </w:rPr>
          </w:pPr>
          <w:hyperlink w:anchor="_Toc70419318" w:history="1">
            <w:r w:rsidR="00AB6EE6" w:rsidRPr="00AB6EE6">
              <w:rPr>
                <w:rStyle w:val="Hyperlink"/>
                <w:noProof/>
              </w:rPr>
              <w:t>DESCRIPTION OF INSTITUTION</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_Toc70419318 \h </w:instrText>
            </w:r>
            <w:r w:rsidR="00AB6EE6" w:rsidRPr="00AB6EE6">
              <w:rPr>
                <w:noProof/>
                <w:webHidden/>
              </w:rPr>
            </w:r>
            <w:r w:rsidR="00AB6EE6" w:rsidRPr="00AB6EE6">
              <w:rPr>
                <w:noProof/>
                <w:webHidden/>
              </w:rPr>
              <w:fldChar w:fldCharType="separate"/>
            </w:r>
            <w:r>
              <w:rPr>
                <w:noProof/>
                <w:webHidden/>
              </w:rPr>
              <w:t>5</w:t>
            </w:r>
            <w:r w:rsidR="00AB6EE6" w:rsidRPr="00AB6EE6">
              <w:rPr>
                <w:noProof/>
                <w:webHidden/>
              </w:rPr>
              <w:fldChar w:fldCharType="end"/>
            </w:r>
          </w:hyperlink>
        </w:p>
        <w:p w14:paraId="72E44093" w14:textId="0AE5D36B" w:rsidR="00AB6EE6" w:rsidRPr="00AB6EE6" w:rsidRDefault="008E16F6">
          <w:pPr>
            <w:pStyle w:val="TOC3"/>
            <w:tabs>
              <w:tab w:val="right" w:leader="dot" w:pos="9350"/>
            </w:tabs>
            <w:rPr>
              <w:rFonts w:asciiTheme="minorHAnsi" w:eastAsiaTheme="minorEastAsia" w:hAnsiTheme="minorHAnsi" w:cstheme="minorBidi"/>
              <w:noProof/>
              <w:sz w:val="22"/>
              <w:szCs w:val="22"/>
            </w:rPr>
          </w:pPr>
          <w:hyperlink w:anchor="_Toc70419319" w:history="1">
            <w:r w:rsidR="00AB6EE6" w:rsidRPr="00AB6EE6">
              <w:rPr>
                <w:rStyle w:val="Hyperlink"/>
                <w:noProof/>
              </w:rPr>
              <w:t>BACKGROUND</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_Toc70419319 \h </w:instrText>
            </w:r>
            <w:r w:rsidR="00AB6EE6" w:rsidRPr="00AB6EE6">
              <w:rPr>
                <w:noProof/>
                <w:webHidden/>
              </w:rPr>
            </w:r>
            <w:r w:rsidR="00AB6EE6" w:rsidRPr="00AB6EE6">
              <w:rPr>
                <w:noProof/>
                <w:webHidden/>
              </w:rPr>
              <w:fldChar w:fldCharType="separate"/>
            </w:r>
            <w:r>
              <w:rPr>
                <w:noProof/>
                <w:webHidden/>
              </w:rPr>
              <w:t>5</w:t>
            </w:r>
            <w:r w:rsidR="00AB6EE6" w:rsidRPr="00AB6EE6">
              <w:rPr>
                <w:noProof/>
                <w:webHidden/>
              </w:rPr>
              <w:fldChar w:fldCharType="end"/>
            </w:r>
          </w:hyperlink>
        </w:p>
        <w:p w14:paraId="398E333A" w14:textId="6072A197" w:rsidR="00AB6EE6" w:rsidRPr="00AB6EE6" w:rsidRDefault="008E16F6">
          <w:pPr>
            <w:pStyle w:val="TOC1"/>
            <w:tabs>
              <w:tab w:val="right" w:leader="dot" w:pos="9350"/>
            </w:tabs>
            <w:rPr>
              <w:rFonts w:asciiTheme="minorHAnsi" w:hAnsiTheme="minorHAnsi"/>
              <w:noProof/>
              <w:sz w:val="22"/>
              <w:lang w:eastAsia="en-US"/>
            </w:rPr>
          </w:pPr>
          <w:hyperlink w:anchor="_Toc70419320" w:history="1">
            <w:r w:rsidR="00AB6EE6" w:rsidRPr="00AB6EE6">
              <w:rPr>
                <w:rStyle w:val="Hyperlink"/>
                <w:rFonts w:eastAsia="Times New Roman" w:cs="Times New Roman"/>
                <w:bCs/>
                <w:noProof/>
                <w:spacing w:val="-3"/>
              </w:rPr>
              <w:t>DESCRIPTION OF ASSESSMENT AREAS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_Toc70419320 \h </w:instrText>
            </w:r>
            <w:r w:rsidR="00AB6EE6" w:rsidRPr="00AB6EE6">
              <w:rPr>
                <w:noProof/>
                <w:webHidden/>
              </w:rPr>
            </w:r>
            <w:r w:rsidR="00AB6EE6" w:rsidRPr="00AB6EE6">
              <w:rPr>
                <w:noProof/>
                <w:webHidden/>
              </w:rPr>
              <w:fldChar w:fldCharType="separate"/>
            </w:r>
            <w:r>
              <w:rPr>
                <w:noProof/>
                <w:webHidden/>
              </w:rPr>
              <w:t>6</w:t>
            </w:r>
            <w:r w:rsidR="00AB6EE6" w:rsidRPr="00AB6EE6">
              <w:rPr>
                <w:noProof/>
                <w:webHidden/>
              </w:rPr>
              <w:fldChar w:fldCharType="end"/>
            </w:r>
          </w:hyperlink>
        </w:p>
        <w:p w14:paraId="1F4FFA3C" w14:textId="35CD7049" w:rsidR="00AB6EE6" w:rsidRPr="00AB6EE6" w:rsidRDefault="008E16F6">
          <w:pPr>
            <w:pStyle w:val="TOC1"/>
            <w:tabs>
              <w:tab w:val="right" w:leader="dot" w:pos="9350"/>
            </w:tabs>
            <w:rPr>
              <w:rFonts w:asciiTheme="minorHAnsi" w:hAnsiTheme="minorHAnsi"/>
              <w:noProof/>
              <w:sz w:val="22"/>
              <w:lang w:eastAsia="en-US"/>
            </w:rPr>
          </w:pPr>
          <w:hyperlink w:anchor="_Toc70419321" w:history="1">
            <w:r w:rsidR="00AB6EE6" w:rsidRPr="00AB6EE6">
              <w:rPr>
                <w:rStyle w:val="Hyperlink"/>
                <w:rFonts w:eastAsia="Times New Roman" w:cs="Times New Roman"/>
                <w:bCs/>
                <w:noProof/>
                <w:spacing w:val="-3"/>
              </w:rPr>
              <w:t>CONCLUSIONS ON PERFORMANCE CRITERIA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_Toc70419321 \h </w:instrText>
            </w:r>
            <w:r w:rsidR="00AB6EE6" w:rsidRPr="00AB6EE6">
              <w:rPr>
                <w:noProof/>
                <w:webHidden/>
              </w:rPr>
            </w:r>
            <w:r w:rsidR="00AB6EE6" w:rsidRPr="00AB6EE6">
              <w:rPr>
                <w:noProof/>
                <w:webHidden/>
              </w:rPr>
              <w:fldChar w:fldCharType="separate"/>
            </w:r>
            <w:r>
              <w:rPr>
                <w:noProof/>
                <w:webHidden/>
              </w:rPr>
              <w:t>7</w:t>
            </w:r>
            <w:r w:rsidR="00AB6EE6" w:rsidRPr="00AB6EE6">
              <w:rPr>
                <w:noProof/>
                <w:webHidden/>
              </w:rPr>
              <w:fldChar w:fldCharType="end"/>
            </w:r>
          </w:hyperlink>
        </w:p>
        <w:p w14:paraId="5A3F922F" w14:textId="71AA1045" w:rsidR="00AB6EE6" w:rsidRPr="00AB6EE6" w:rsidRDefault="008E16F6">
          <w:pPr>
            <w:pStyle w:val="TOC1"/>
            <w:tabs>
              <w:tab w:val="right" w:leader="dot" w:pos="9350"/>
            </w:tabs>
            <w:rPr>
              <w:rFonts w:asciiTheme="minorHAnsi" w:hAnsiTheme="minorHAnsi"/>
              <w:noProof/>
              <w:sz w:val="22"/>
              <w:lang w:eastAsia="en-US"/>
            </w:rPr>
          </w:pPr>
          <w:hyperlink w:anchor="_Toc70419322" w:history="1">
            <w:r w:rsidR="00AB6EE6" w:rsidRPr="00AB6EE6">
              <w:rPr>
                <w:rStyle w:val="Hyperlink"/>
                <w:rFonts w:eastAsia="Times New Roman" w:cs="Times New Roman"/>
                <w:bCs/>
                <w:noProof/>
                <w:spacing w:val="-3"/>
              </w:rPr>
              <w:t>DISCRIMINATORY OR OTHER ILLEGAL CREDIT PRACTICES REVIEW</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_Toc70419322 \h </w:instrText>
            </w:r>
            <w:r w:rsidR="00AB6EE6" w:rsidRPr="00AB6EE6">
              <w:rPr>
                <w:noProof/>
                <w:webHidden/>
              </w:rPr>
            </w:r>
            <w:r w:rsidR="00AB6EE6" w:rsidRPr="00AB6EE6">
              <w:rPr>
                <w:noProof/>
                <w:webHidden/>
              </w:rPr>
              <w:fldChar w:fldCharType="separate"/>
            </w:r>
            <w:r>
              <w:rPr>
                <w:noProof/>
                <w:webHidden/>
              </w:rPr>
              <w:t>14</w:t>
            </w:r>
            <w:r w:rsidR="00AB6EE6" w:rsidRPr="00AB6EE6">
              <w:rPr>
                <w:noProof/>
                <w:webHidden/>
              </w:rPr>
              <w:fldChar w:fldCharType="end"/>
            </w:r>
          </w:hyperlink>
        </w:p>
        <w:p w14:paraId="53D7EC5D" w14:textId="21434852"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23" w:history="1">
            <w:r w:rsidR="00AB6EE6" w:rsidRPr="00AB6EE6">
              <w:rPr>
                <w:rStyle w:val="Hyperlink"/>
                <w:bCs/>
                <w:noProof/>
              </w:rPr>
              <w:t>SCOPE OF EVALUATION – MASSACHUSETTS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_Toc70419323 \h </w:instrText>
            </w:r>
            <w:r w:rsidR="00AB6EE6" w:rsidRPr="00AB6EE6">
              <w:rPr>
                <w:noProof/>
                <w:webHidden/>
              </w:rPr>
            </w:r>
            <w:r w:rsidR="00AB6EE6" w:rsidRPr="00AB6EE6">
              <w:rPr>
                <w:noProof/>
                <w:webHidden/>
              </w:rPr>
              <w:fldChar w:fldCharType="separate"/>
            </w:r>
            <w:r>
              <w:rPr>
                <w:noProof/>
                <w:webHidden/>
              </w:rPr>
              <w:t>15</w:t>
            </w:r>
            <w:r w:rsidR="00AB6EE6" w:rsidRPr="00AB6EE6">
              <w:rPr>
                <w:noProof/>
                <w:webHidden/>
              </w:rPr>
              <w:fldChar w:fldCharType="end"/>
            </w:r>
          </w:hyperlink>
        </w:p>
        <w:p w14:paraId="1D939D14" w14:textId="2F351F84"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24" w:history="1">
            <w:r w:rsidR="00AB6EE6" w:rsidRPr="00AB6EE6">
              <w:rPr>
                <w:rStyle w:val="Hyperlink"/>
                <w:bCs/>
                <w:noProof/>
              </w:rPr>
              <w:t>DESCRIPTION OF INSTITUTION’S OPERATIONS IN MASSACHUSETTS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_Toc70419324 \h </w:instrText>
            </w:r>
            <w:r w:rsidR="00AB6EE6" w:rsidRPr="00AB6EE6">
              <w:rPr>
                <w:noProof/>
                <w:webHidden/>
              </w:rPr>
            </w:r>
            <w:r w:rsidR="00AB6EE6" w:rsidRPr="00AB6EE6">
              <w:rPr>
                <w:noProof/>
                <w:webHidden/>
              </w:rPr>
              <w:fldChar w:fldCharType="separate"/>
            </w:r>
            <w:r>
              <w:rPr>
                <w:noProof/>
                <w:webHidden/>
              </w:rPr>
              <w:t>15</w:t>
            </w:r>
            <w:r w:rsidR="00AB6EE6" w:rsidRPr="00AB6EE6">
              <w:rPr>
                <w:noProof/>
                <w:webHidden/>
              </w:rPr>
              <w:fldChar w:fldCharType="end"/>
            </w:r>
          </w:hyperlink>
        </w:p>
        <w:p w14:paraId="42FDD451" w14:textId="3702B73D"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25" w:history="1">
            <w:r w:rsidR="00AB6EE6" w:rsidRPr="00AB6EE6">
              <w:rPr>
                <w:rStyle w:val="Hyperlink"/>
                <w:bCs/>
                <w:noProof/>
              </w:rPr>
              <w:t>CONCLUSIONS ON PERFORMANCE CRITERIA IN MASSACHUSETTS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_Toc70419325 \h </w:instrText>
            </w:r>
            <w:r w:rsidR="00AB6EE6" w:rsidRPr="00AB6EE6">
              <w:rPr>
                <w:noProof/>
                <w:webHidden/>
              </w:rPr>
            </w:r>
            <w:r w:rsidR="00AB6EE6" w:rsidRPr="00AB6EE6">
              <w:rPr>
                <w:noProof/>
                <w:webHidden/>
              </w:rPr>
              <w:fldChar w:fldCharType="separate"/>
            </w:r>
            <w:r>
              <w:rPr>
                <w:noProof/>
                <w:webHidden/>
              </w:rPr>
              <w:t>19</w:t>
            </w:r>
            <w:r w:rsidR="00AB6EE6" w:rsidRPr="00AB6EE6">
              <w:rPr>
                <w:noProof/>
                <w:webHidden/>
              </w:rPr>
              <w:fldChar w:fldCharType="end"/>
            </w:r>
          </w:hyperlink>
        </w:p>
        <w:p w14:paraId="1EC70F47" w14:textId="6FF53270" w:rsidR="00AB6EE6" w:rsidRPr="00AB6EE6" w:rsidRDefault="008E16F6">
          <w:pPr>
            <w:pStyle w:val="TOC1"/>
            <w:tabs>
              <w:tab w:val="right" w:leader="dot" w:pos="9350"/>
            </w:tabs>
            <w:rPr>
              <w:rFonts w:asciiTheme="minorHAnsi" w:hAnsiTheme="minorHAnsi"/>
              <w:noProof/>
              <w:sz w:val="22"/>
              <w:lang w:eastAsia="en-US"/>
            </w:rPr>
          </w:pPr>
          <w:hyperlink w:anchor="_Toc70419326" w:history="1">
            <w:r w:rsidR="00AB6EE6" w:rsidRPr="00AB6EE6">
              <w:rPr>
                <w:rStyle w:val="Hyperlink"/>
                <w:rFonts w:eastAsia="Times New Roman" w:cs="Times New Roman"/>
                <w:noProof/>
              </w:rPr>
              <w:t>PROVIDENCE-WARWICK, RI-MA MULTISTATE MSA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_Toc70419326 \h </w:instrText>
            </w:r>
            <w:r w:rsidR="00AB6EE6" w:rsidRPr="00AB6EE6">
              <w:rPr>
                <w:noProof/>
                <w:webHidden/>
              </w:rPr>
            </w:r>
            <w:r w:rsidR="00AB6EE6" w:rsidRPr="00AB6EE6">
              <w:rPr>
                <w:noProof/>
                <w:webHidden/>
              </w:rPr>
              <w:fldChar w:fldCharType="separate"/>
            </w:r>
            <w:r>
              <w:rPr>
                <w:noProof/>
                <w:webHidden/>
              </w:rPr>
              <w:t>33</w:t>
            </w:r>
            <w:r w:rsidR="00AB6EE6" w:rsidRPr="00AB6EE6">
              <w:rPr>
                <w:noProof/>
                <w:webHidden/>
              </w:rPr>
              <w:fldChar w:fldCharType="end"/>
            </w:r>
          </w:hyperlink>
        </w:p>
        <w:p w14:paraId="55A1E731" w14:textId="1AC5F619" w:rsidR="00AB6EE6" w:rsidRPr="00AB6EE6" w:rsidRDefault="008E16F6">
          <w:pPr>
            <w:pStyle w:val="TOC1"/>
            <w:tabs>
              <w:tab w:val="right" w:leader="dot" w:pos="9350"/>
            </w:tabs>
            <w:rPr>
              <w:rFonts w:asciiTheme="minorHAnsi" w:hAnsiTheme="minorHAnsi"/>
              <w:noProof/>
              <w:sz w:val="22"/>
              <w:lang w:eastAsia="en-US"/>
            </w:rPr>
          </w:pPr>
          <w:hyperlink w:anchor="_Toc70419327" w:history="1">
            <w:r w:rsidR="00AB6EE6" w:rsidRPr="00AB6EE6">
              <w:rPr>
                <w:rStyle w:val="Hyperlink"/>
                <w:rFonts w:eastAsia="Times New Roman" w:cs="Times New Roman"/>
                <w:noProof/>
              </w:rPr>
              <w:t xml:space="preserve">CRA RATING FOR RI-MA MULTISTATE MSA:  </w:t>
            </w:r>
            <w:r w:rsidR="00AB6EE6" w:rsidRPr="00AB6EE6">
              <w:rPr>
                <w:rStyle w:val="Hyperlink"/>
                <w:rFonts w:eastAsia="Times New Roman" w:cs="Times New Roman"/>
                <w:bCs/>
                <w:noProof/>
              </w:rPr>
              <w:t>OUTSTANDING</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_Toc70419327 \h </w:instrText>
            </w:r>
            <w:r w:rsidR="00AB6EE6" w:rsidRPr="00AB6EE6">
              <w:rPr>
                <w:noProof/>
                <w:webHidden/>
              </w:rPr>
            </w:r>
            <w:r w:rsidR="00AB6EE6" w:rsidRPr="00AB6EE6">
              <w:rPr>
                <w:noProof/>
                <w:webHidden/>
              </w:rPr>
              <w:fldChar w:fldCharType="separate"/>
            </w:r>
            <w:r>
              <w:rPr>
                <w:noProof/>
                <w:webHidden/>
              </w:rPr>
              <w:t>33</w:t>
            </w:r>
            <w:r w:rsidR="00AB6EE6" w:rsidRPr="00AB6EE6">
              <w:rPr>
                <w:noProof/>
                <w:webHidden/>
              </w:rPr>
              <w:fldChar w:fldCharType="end"/>
            </w:r>
          </w:hyperlink>
        </w:p>
        <w:p w14:paraId="3F2F18D2" w14:textId="176CEB9D"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28" w:history="1">
            <w:r w:rsidR="00AB6EE6" w:rsidRPr="00AB6EE6">
              <w:rPr>
                <w:rStyle w:val="Hyperlink"/>
                <w:bCs/>
                <w:noProof/>
              </w:rPr>
              <w:t>SCOPE OF EVALUATION – RI-MA MULTISTATE MSA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_Toc70419328 \h </w:instrText>
            </w:r>
            <w:r w:rsidR="00AB6EE6" w:rsidRPr="00AB6EE6">
              <w:rPr>
                <w:noProof/>
                <w:webHidden/>
              </w:rPr>
            </w:r>
            <w:r w:rsidR="00AB6EE6" w:rsidRPr="00AB6EE6">
              <w:rPr>
                <w:noProof/>
                <w:webHidden/>
              </w:rPr>
              <w:fldChar w:fldCharType="separate"/>
            </w:r>
            <w:r>
              <w:rPr>
                <w:noProof/>
                <w:webHidden/>
              </w:rPr>
              <w:t>33</w:t>
            </w:r>
            <w:r w:rsidR="00AB6EE6" w:rsidRPr="00AB6EE6">
              <w:rPr>
                <w:noProof/>
                <w:webHidden/>
              </w:rPr>
              <w:fldChar w:fldCharType="end"/>
            </w:r>
          </w:hyperlink>
        </w:p>
        <w:p w14:paraId="0CD7F7D9" w14:textId="7EB1BCAD"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29" w:history="1">
            <w:r w:rsidR="00AB6EE6" w:rsidRPr="00AB6EE6">
              <w:rPr>
                <w:rStyle w:val="Hyperlink"/>
                <w:bCs/>
                <w:noProof/>
              </w:rPr>
              <w:t>DESCRIPTION OF INSTITUTION’S OPERATIONS IN PROVIDENCE-WARWICK, RI-MA MSA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_Toc70419329 \h </w:instrText>
            </w:r>
            <w:r w:rsidR="00AB6EE6" w:rsidRPr="00AB6EE6">
              <w:rPr>
                <w:noProof/>
                <w:webHidden/>
              </w:rPr>
            </w:r>
            <w:r w:rsidR="00AB6EE6" w:rsidRPr="00AB6EE6">
              <w:rPr>
                <w:noProof/>
                <w:webHidden/>
              </w:rPr>
              <w:fldChar w:fldCharType="separate"/>
            </w:r>
            <w:r>
              <w:rPr>
                <w:noProof/>
                <w:webHidden/>
              </w:rPr>
              <w:t>33</w:t>
            </w:r>
            <w:r w:rsidR="00AB6EE6" w:rsidRPr="00AB6EE6">
              <w:rPr>
                <w:noProof/>
                <w:webHidden/>
              </w:rPr>
              <w:fldChar w:fldCharType="end"/>
            </w:r>
          </w:hyperlink>
        </w:p>
        <w:p w14:paraId="0370F077" w14:textId="338027A4" w:rsidR="00AB6EE6" w:rsidRPr="00AB6EE6" w:rsidRDefault="008E16F6" w:rsidP="00AB6EE6">
          <w:pPr>
            <w:pStyle w:val="TOC2"/>
            <w:tabs>
              <w:tab w:val="right" w:leader="dot" w:pos="9350"/>
            </w:tabs>
            <w:rPr>
              <w:rFonts w:asciiTheme="minorHAnsi" w:eastAsiaTheme="minorEastAsia" w:hAnsiTheme="minorHAnsi" w:cstheme="minorBidi"/>
              <w:noProof/>
              <w:sz w:val="22"/>
              <w:szCs w:val="22"/>
            </w:rPr>
          </w:pPr>
          <w:hyperlink w:anchor="_Toc70419330" w:history="1">
            <w:r w:rsidR="00AB6EE6" w:rsidRPr="00AB6EE6">
              <w:rPr>
                <w:rStyle w:val="Hyperlink"/>
                <w:bCs/>
                <w:noProof/>
              </w:rPr>
              <w:t>CONCLUSIONS ON PERFORMANCE CRITERIA IN RI-MA MSA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_Toc70419330 \h </w:instrText>
            </w:r>
            <w:r w:rsidR="00AB6EE6" w:rsidRPr="00AB6EE6">
              <w:rPr>
                <w:noProof/>
                <w:webHidden/>
              </w:rPr>
            </w:r>
            <w:r w:rsidR="00AB6EE6" w:rsidRPr="00AB6EE6">
              <w:rPr>
                <w:noProof/>
                <w:webHidden/>
              </w:rPr>
              <w:fldChar w:fldCharType="separate"/>
            </w:r>
            <w:r>
              <w:rPr>
                <w:noProof/>
                <w:webHidden/>
              </w:rPr>
              <w:t>38</w:t>
            </w:r>
            <w:r w:rsidR="00AB6EE6" w:rsidRPr="00AB6EE6">
              <w:rPr>
                <w:noProof/>
                <w:webHidden/>
              </w:rPr>
              <w:fldChar w:fldCharType="end"/>
            </w:r>
          </w:hyperlink>
        </w:p>
        <w:p w14:paraId="1EC5C4C6" w14:textId="2BA62E89" w:rsidR="00AB6EE6" w:rsidRPr="00AB6EE6" w:rsidRDefault="008E16F6">
          <w:pPr>
            <w:pStyle w:val="TOC3"/>
            <w:tabs>
              <w:tab w:val="right" w:leader="dot" w:pos="9350"/>
            </w:tabs>
            <w:rPr>
              <w:rFonts w:asciiTheme="minorHAnsi" w:eastAsiaTheme="minorEastAsia" w:hAnsiTheme="minorHAnsi" w:cstheme="minorBidi"/>
              <w:noProof/>
              <w:sz w:val="22"/>
              <w:szCs w:val="22"/>
            </w:rPr>
          </w:pPr>
          <w:hyperlink w:anchor="_Toc70419332" w:history="1">
            <w:r w:rsidR="00AB6EE6" w:rsidRPr="00AB6EE6">
              <w:rPr>
                <w:rStyle w:val="Hyperlink"/>
                <w:bCs/>
                <w:noProof/>
                <w:spacing w:val="-3"/>
              </w:rPr>
              <w:t>APPENDICES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_Toc70419332 \h </w:instrText>
            </w:r>
            <w:r w:rsidR="00AB6EE6" w:rsidRPr="00AB6EE6">
              <w:rPr>
                <w:noProof/>
                <w:webHidden/>
              </w:rPr>
            </w:r>
            <w:r w:rsidR="00AB6EE6" w:rsidRPr="00AB6EE6">
              <w:rPr>
                <w:noProof/>
                <w:webHidden/>
              </w:rPr>
              <w:fldChar w:fldCharType="separate"/>
            </w:r>
            <w:r>
              <w:rPr>
                <w:noProof/>
                <w:webHidden/>
              </w:rPr>
              <w:t>49</w:t>
            </w:r>
            <w:r w:rsidR="00AB6EE6" w:rsidRPr="00AB6EE6">
              <w:rPr>
                <w:noProof/>
                <w:webHidden/>
              </w:rPr>
              <w:fldChar w:fldCharType="end"/>
            </w:r>
          </w:hyperlink>
        </w:p>
        <w:p w14:paraId="241A949B" w14:textId="302383FA"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33" w:history="1">
            <w:r w:rsidR="00AB6EE6" w:rsidRPr="00AB6EE6">
              <w:rPr>
                <w:rStyle w:val="Hyperlink"/>
                <w:bCs/>
                <w:noProof/>
              </w:rPr>
              <w:t>LARGE BANK PERFORMANCE CRITERIA</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_Toc70419333 \h </w:instrText>
            </w:r>
            <w:r w:rsidR="00AB6EE6" w:rsidRPr="00AB6EE6">
              <w:rPr>
                <w:noProof/>
                <w:webHidden/>
              </w:rPr>
            </w:r>
            <w:r w:rsidR="00AB6EE6" w:rsidRPr="00AB6EE6">
              <w:rPr>
                <w:noProof/>
                <w:webHidden/>
              </w:rPr>
              <w:fldChar w:fldCharType="separate"/>
            </w:r>
            <w:r>
              <w:rPr>
                <w:noProof/>
                <w:webHidden/>
              </w:rPr>
              <w:t>49</w:t>
            </w:r>
            <w:r w:rsidR="00AB6EE6" w:rsidRPr="00AB6EE6">
              <w:rPr>
                <w:noProof/>
                <w:webHidden/>
              </w:rPr>
              <w:fldChar w:fldCharType="end"/>
            </w:r>
          </w:hyperlink>
        </w:p>
        <w:p w14:paraId="2AC3CC63" w14:textId="33ACBE2A"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34" w:history="1">
            <w:r w:rsidR="00AB6EE6" w:rsidRPr="00AB6EE6">
              <w:rPr>
                <w:rStyle w:val="Hyperlink"/>
                <w:bCs/>
                <w:noProof/>
              </w:rPr>
              <w:t>SCOPE OF EVALUATION</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_Toc70419334 \h </w:instrText>
            </w:r>
            <w:r w:rsidR="00AB6EE6" w:rsidRPr="00AB6EE6">
              <w:rPr>
                <w:noProof/>
                <w:webHidden/>
              </w:rPr>
            </w:r>
            <w:r w:rsidR="00AB6EE6" w:rsidRPr="00AB6EE6">
              <w:rPr>
                <w:noProof/>
                <w:webHidden/>
              </w:rPr>
              <w:fldChar w:fldCharType="separate"/>
            </w:r>
            <w:r>
              <w:rPr>
                <w:noProof/>
                <w:webHidden/>
              </w:rPr>
              <w:t>51</w:t>
            </w:r>
            <w:r w:rsidR="00AB6EE6" w:rsidRPr="00AB6EE6">
              <w:rPr>
                <w:noProof/>
                <w:webHidden/>
              </w:rPr>
              <w:fldChar w:fldCharType="end"/>
            </w:r>
          </w:hyperlink>
        </w:p>
        <w:p w14:paraId="3484AFC8" w14:textId="23ACA3CD" w:rsidR="00AB6EE6" w:rsidRPr="00AB6EE6" w:rsidRDefault="008E16F6">
          <w:pPr>
            <w:pStyle w:val="TOC2"/>
            <w:tabs>
              <w:tab w:val="right" w:leader="dot" w:pos="9350"/>
            </w:tabs>
            <w:rPr>
              <w:rFonts w:asciiTheme="minorHAnsi" w:eastAsiaTheme="minorEastAsia" w:hAnsiTheme="minorHAnsi" w:cstheme="minorBidi"/>
              <w:noProof/>
              <w:sz w:val="22"/>
              <w:szCs w:val="22"/>
            </w:rPr>
          </w:pPr>
          <w:hyperlink w:anchor="_Toc70419335" w:history="1">
            <w:r w:rsidR="00AB6EE6" w:rsidRPr="00AB6EE6">
              <w:rPr>
                <w:rStyle w:val="Hyperlink"/>
                <w:bCs/>
                <w:noProof/>
              </w:rPr>
              <w:t>SUMMARY OF RATINGS FOR RATED AREAS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_Toc70419335 \h </w:instrText>
            </w:r>
            <w:r w:rsidR="00AB6EE6" w:rsidRPr="00AB6EE6">
              <w:rPr>
                <w:noProof/>
                <w:webHidden/>
              </w:rPr>
            </w:r>
            <w:r w:rsidR="00AB6EE6" w:rsidRPr="00AB6EE6">
              <w:rPr>
                <w:noProof/>
                <w:webHidden/>
              </w:rPr>
              <w:fldChar w:fldCharType="separate"/>
            </w:r>
            <w:r>
              <w:rPr>
                <w:noProof/>
                <w:webHidden/>
              </w:rPr>
              <w:t>51</w:t>
            </w:r>
            <w:r w:rsidR="00AB6EE6" w:rsidRPr="00AB6EE6">
              <w:rPr>
                <w:noProof/>
                <w:webHidden/>
              </w:rPr>
              <w:fldChar w:fldCharType="end"/>
            </w:r>
          </w:hyperlink>
        </w:p>
        <w:p w14:paraId="61585FE0" w14:textId="03680BAA" w:rsidR="00AB6EE6" w:rsidRDefault="008E16F6">
          <w:pPr>
            <w:pStyle w:val="TOC2"/>
            <w:tabs>
              <w:tab w:val="right" w:leader="dot" w:pos="9350"/>
            </w:tabs>
            <w:rPr>
              <w:rFonts w:asciiTheme="minorHAnsi" w:eastAsiaTheme="minorEastAsia" w:hAnsiTheme="minorHAnsi" w:cstheme="minorBidi"/>
              <w:noProof/>
              <w:sz w:val="22"/>
              <w:szCs w:val="22"/>
            </w:rPr>
          </w:pPr>
          <w:hyperlink w:anchor="_Toc70419336" w:history="1">
            <w:r w:rsidR="00AB6EE6" w:rsidRPr="00AB6EE6">
              <w:rPr>
                <w:rStyle w:val="Hyperlink"/>
                <w:rFonts w:cstheme="majorBidi"/>
                <w:bCs/>
                <w:noProof/>
              </w:rPr>
              <w:t>DIVISON OF BANKS FAIR LENDING POLICIES AND PROCEDURES</w:t>
            </w:r>
            <w:r w:rsidR="00AB6EE6" w:rsidRPr="00AB6EE6">
              <w:rPr>
                <w:noProof/>
                <w:webHidden/>
              </w:rPr>
              <w:tab/>
            </w:r>
            <w:r w:rsidR="00AB6EE6" w:rsidRPr="00AB6EE6">
              <w:rPr>
                <w:noProof/>
                <w:webHidden/>
              </w:rPr>
              <w:fldChar w:fldCharType="begin"/>
            </w:r>
            <w:r w:rsidR="00AB6EE6" w:rsidRPr="00AB6EE6">
              <w:rPr>
                <w:noProof/>
                <w:webHidden/>
              </w:rPr>
              <w:instrText xml:space="preserve"> PAGEREF _Toc70419336 \h </w:instrText>
            </w:r>
            <w:r w:rsidR="00AB6EE6" w:rsidRPr="00AB6EE6">
              <w:rPr>
                <w:noProof/>
                <w:webHidden/>
              </w:rPr>
            </w:r>
            <w:r w:rsidR="00AB6EE6" w:rsidRPr="00AB6EE6">
              <w:rPr>
                <w:noProof/>
                <w:webHidden/>
              </w:rPr>
              <w:fldChar w:fldCharType="separate"/>
            </w:r>
            <w:r>
              <w:rPr>
                <w:noProof/>
                <w:webHidden/>
              </w:rPr>
              <w:t>52</w:t>
            </w:r>
            <w:r w:rsidR="00AB6EE6" w:rsidRPr="00AB6EE6">
              <w:rPr>
                <w:noProof/>
                <w:webHidden/>
              </w:rPr>
              <w:fldChar w:fldCharType="end"/>
            </w:r>
          </w:hyperlink>
        </w:p>
        <w:p w14:paraId="1662F483" w14:textId="53A5B4A6" w:rsidR="00AB6EE6" w:rsidRDefault="008E16F6">
          <w:pPr>
            <w:pStyle w:val="TOC2"/>
            <w:tabs>
              <w:tab w:val="right" w:leader="dot" w:pos="9350"/>
            </w:tabs>
            <w:rPr>
              <w:rFonts w:asciiTheme="minorHAnsi" w:eastAsiaTheme="minorEastAsia" w:hAnsiTheme="minorHAnsi" w:cstheme="minorBidi"/>
              <w:noProof/>
              <w:sz w:val="22"/>
              <w:szCs w:val="22"/>
            </w:rPr>
          </w:pPr>
          <w:hyperlink w:anchor="_Toc70419337" w:history="1">
            <w:r w:rsidR="00AB6EE6" w:rsidRPr="00841F40">
              <w:rPr>
                <w:rStyle w:val="Hyperlink"/>
                <w:noProof/>
              </w:rPr>
              <w:t>GLOSSARY</w:t>
            </w:r>
            <w:r w:rsidR="00AB6EE6">
              <w:rPr>
                <w:noProof/>
                <w:webHidden/>
              </w:rPr>
              <w:tab/>
            </w:r>
            <w:r w:rsidR="00AB6EE6">
              <w:rPr>
                <w:noProof/>
                <w:webHidden/>
              </w:rPr>
              <w:fldChar w:fldCharType="begin"/>
            </w:r>
            <w:r w:rsidR="00AB6EE6">
              <w:rPr>
                <w:noProof/>
                <w:webHidden/>
              </w:rPr>
              <w:instrText xml:space="preserve"> PAGEREF _Toc70419337 \h </w:instrText>
            </w:r>
            <w:r w:rsidR="00AB6EE6">
              <w:rPr>
                <w:noProof/>
                <w:webHidden/>
              </w:rPr>
            </w:r>
            <w:r w:rsidR="00AB6EE6">
              <w:rPr>
                <w:noProof/>
                <w:webHidden/>
              </w:rPr>
              <w:fldChar w:fldCharType="separate"/>
            </w:r>
            <w:r>
              <w:rPr>
                <w:noProof/>
                <w:webHidden/>
              </w:rPr>
              <w:t>55</w:t>
            </w:r>
            <w:r w:rsidR="00AB6EE6">
              <w:rPr>
                <w:noProof/>
                <w:webHidden/>
              </w:rPr>
              <w:fldChar w:fldCharType="end"/>
            </w:r>
          </w:hyperlink>
        </w:p>
        <w:p w14:paraId="363A5F8B" w14:textId="570B6973" w:rsidR="00C95A2A" w:rsidRPr="00722825" w:rsidRDefault="00C95A2A" w:rsidP="00A20553">
          <w:pPr>
            <w:spacing w:after="0" w:line="240" w:lineRule="auto"/>
            <w:rPr>
              <w:rFonts w:ascii="Times New Roman" w:eastAsia="Times New Roman" w:hAnsi="Times New Roman" w:cs="Times New Roman"/>
              <w:noProof/>
              <w:sz w:val="24"/>
              <w:szCs w:val="24"/>
            </w:rPr>
          </w:pPr>
          <w:r w:rsidRPr="00722825">
            <w:rPr>
              <w:rFonts w:ascii="Times New Roman" w:eastAsia="Times New Roman" w:hAnsi="Times New Roman" w:cs="Times New Roman"/>
              <w:bCs/>
              <w:noProof/>
              <w:sz w:val="24"/>
              <w:szCs w:val="24"/>
            </w:rPr>
            <w:fldChar w:fldCharType="end"/>
          </w:r>
        </w:p>
      </w:sdtContent>
    </w:sdt>
    <w:p w14:paraId="7870160F" w14:textId="77777777" w:rsidR="00966DE1" w:rsidRPr="000573CB" w:rsidRDefault="00966DE1" w:rsidP="00C95A2A">
      <w:pPr>
        <w:rPr>
          <w:rFonts w:ascii="Times New Roman" w:eastAsia="Times New Roman" w:hAnsi="Times New Roman" w:cs="Times New Roman"/>
          <w:color w:val="000000"/>
          <w:sz w:val="24"/>
          <w:szCs w:val="24"/>
        </w:rPr>
      </w:pPr>
    </w:p>
    <w:p w14:paraId="7F0B30FC" w14:textId="77777777" w:rsidR="00C95A2A" w:rsidRDefault="00C95A2A" w:rsidP="00C95A2A">
      <w:pPr>
        <w:rPr>
          <w:rFonts w:ascii="Times New Roman" w:eastAsia="Times New Roman" w:hAnsi="Times New Roman" w:cs="Times New Roman"/>
          <w:color w:val="000000"/>
          <w:sz w:val="24"/>
          <w:szCs w:val="24"/>
        </w:rPr>
        <w:sectPr w:rsidR="00C95A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B633758" w14:textId="77777777" w:rsidR="00C95A2A" w:rsidRPr="00C95A2A" w:rsidRDefault="00C95A2A" w:rsidP="00C95A2A">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bookmarkStart w:id="1" w:name="_Toc70419316"/>
      <w:r w:rsidRPr="00C95A2A">
        <w:rPr>
          <w:rFonts w:ascii="Times New Roman" w:eastAsia="Times New Roman" w:hAnsi="Times New Roman" w:cs="Times New Roman"/>
          <w:b/>
          <w:bCs/>
          <w:spacing w:val="-3"/>
          <w:sz w:val="28"/>
          <w:szCs w:val="20"/>
        </w:rPr>
        <w:lastRenderedPageBreak/>
        <w:t>INSTITUTION RATING</w:t>
      </w:r>
      <w:bookmarkEnd w:id="1"/>
    </w:p>
    <w:p w14:paraId="584F184A" w14:textId="77777777" w:rsidR="00C95A2A" w:rsidRPr="00D7363C" w:rsidRDefault="00C95A2A" w:rsidP="00C95A2A">
      <w:pPr>
        <w:spacing w:after="0" w:line="240" w:lineRule="auto"/>
        <w:rPr>
          <w:rFonts w:ascii="Times New Roman" w:eastAsia="Times New Roman" w:hAnsi="Times New Roman" w:cs="Times New Roman"/>
          <w:iCs/>
          <w:sz w:val="24"/>
          <w:szCs w:val="24"/>
        </w:rPr>
      </w:pPr>
    </w:p>
    <w:p w14:paraId="6D63A952" w14:textId="77777777" w:rsidR="00C95A2A" w:rsidRDefault="00C95A2A" w:rsidP="00C95A2A">
      <w:pPr>
        <w:spacing w:after="0" w:line="240" w:lineRule="auto"/>
        <w:rPr>
          <w:rFonts w:ascii="Times New Roman" w:hAnsi="Times New Roman" w:cs="Times New Roman"/>
          <w:spacing w:val="-3"/>
          <w:sz w:val="24"/>
          <w:szCs w:val="24"/>
        </w:rPr>
      </w:pPr>
      <w:r w:rsidRPr="00C95A2A">
        <w:rPr>
          <w:rFonts w:ascii="Times New Roman" w:eastAsia="Times New Roman" w:hAnsi="Times New Roman" w:cs="Times New Roman"/>
          <w:b/>
          <w:bCs/>
          <w:sz w:val="24"/>
          <w:szCs w:val="24"/>
        </w:rPr>
        <w:t xml:space="preserve">INSTITUTION’S CRA RATING:  </w:t>
      </w:r>
      <w:r w:rsidRPr="00C95A2A">
        <w:rPr>
          <w:rFonts w:ascii="Times New Roman" w:eastAsia="Times New Roman" w:hAnsi="Times New Roman" w:cs="Times New Roman"/>
          <w:sz w:val="24"/>
          <w:szCs w:val="24"/>
        </w:rPr>
        <w:t>This institution is rated</w:t>
      </w:r>
      <w:r w:rsidRPr="00C95A2A">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u w:val="single"/>
          </w:rPr>
          <w:alias w:val="CRA Ratings"/>
          <w:tag w:val="CRA Ratings"/>
          <w:id w:val="1613856217"/>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sdtContent>
          <w:r w:rsidR="00B04150">
            <w:rPr>
              <w:rFonts w:ascii="Times New Roman" w:eastAsia="Times New Roman" w:hAnsi="Times New Roman" w:cs="Times New Roman"/>
              <w:b/>
              <w:bCs/>
              <w:sz w:val="24"/>
              <w:szCs w:val="24"/>
              <w:u w:val="single"/>
            </w:rPr>
            <w:t>Outstanding</w:t>
          </w:r>
        </w:sdtContent>
      </w:sdt>
      <w:r w:rsidRPr="00C95A2A">
        <w:rPr>
          <w:rFonts w:ascii="Times New Roman" w:eastAsia="Times New Roman" w:hAnsi="Times New Roman" w:cs="Times New Roman"/>
          <w:b/>
          <w:bCs/>
          <w:sz w:val="24"/>
          <w:szCs w:val="24"/>
        </w:rPr>
        <w:t>.</w:t>
      </w:r>
      <w:r w:rsidR="00D7363C">
        <w:rPr>
          <w:rFonts w:ascii="Times New Roman" w:eastAsia="Times New Roman" w:hAnsi="Times New Roman" w:cs="Times New Roman"/>
          <w:b/>
          <w:bCs/>
          <w:sz w:val="24"/>
          <w:szCs w:val="24"/>
        </w:rPr>
        <w:t xml:space="preserve">  </w:t>
      </w:r>
      <w:r w:rsidR="006854F2" w:rsidRPr="006854F2">
        <w:rPr>
          <w:rFonts w:ascii="Times New Roman" w:eastAsia="Times New Roman" w:hAnsi="Times New Roman" w:cs="Times New Roman"/>
          <w:sz w:val="24"/>
          <w:szCs w:val="24"/>
        </w:rPr>
        <w:t xml:space="preserve">An institution in this group </w:t>
      </w:r>
      <w:sdt>
        <w:sdtPr>
          <w:rPr>
            <w:rFonts w:ascii="Times New Roman" w:eastAsia="Times New Roman" w:hAnsi="Times New Roman" w:cs="Times New Roman"/>
            <w:sz w:val="24"/>
            <w:szCs w:val="24"/>
          </w:rPr>
          <w:alias w:val="Ratings Descriptions"/>
          <w:tag w:val="Ratings Descriptions"/>
          <w:id w:val="-272709703"/>
          <w:dropDownList>
            <w:listItem w:displayText="*Select a Rating Description*" w:value="*Select a Rating Description*"/>
            <w:listItem w:displayText="has an outstanding record of helping to meet the credit needs of its assessment area, including low- and moderate-income neighborhoods, in a manner consistent with its resources and capabilities." w:value="has an outstanding record of helping to meet the credit needs of its assessment area, including low- and moderate-income neighborhoods, in a manner consistent with its resources and capabilities."/>
            <w:listItem w:displayText="has a satisfactory record of helping to meet the credit needs of its assessment area, including low- and moderate-income neighborhoods, in a manner consistent with its resources and capabilities. " w:value="has a satisfactory record of helping to meet the credit needs of its assessment area, including low- and moderate-income neighborhoods, in a manner consistent with its resources and capabilities. "/>
            <w:listItem w:displayText="needs to improve its overall record of helping to meet the credit needs of its assessment area, including low- and moderate-income neighborhoods, in a manner consistent with its resources and capabilities. " w:value="needs to improve its overall record of helping to meet the credit needs of its assessment area, including low- and moderate-income neighborhoods, in a manner consistent with its resources and capabilities. "/>
            <w:listItem w:displayText="has a substantially deficient record of helping to meet the credit needs of its assessment area, including low- and moderate-income neighborhoods, in a manner consistent with its resources and capabilities." w:value="has a substantially deficient record of helping to meet the credit needs of its assessment area, including low- and moderate-income neighborhoods, in a manner consistent with its resources and capabilities."/>
          </w:dropDownList>
        </w:sdtPr>
        <w:sdtEndPr/>
        <w:sdtContent>
          <w:r w:rsidR="00B04150">
            <w:rPr>
              <w:rFonts w:ascii="Times New Roman" w:eastAsia="Times New Roman" w:hAnsi="Times New Roman" w:cs="Times New Roman"/>
              <w:sz w:val="24"/>
              <w:szCs w:val="24"/>
            </w:rPr>
            <w:t>has an outstanding record of helping to meet the credit needs of its assessment area, including low- and moderate-income neighborhoods, in a manner consistent with its resources and capabilities.</w:t>
          </w:r>
        </w:sdtContent>
      </w:sdt>
      <w:r w:rsidR="00D7363C">
        <w:rPr>
          <w:rFonts w:ascii="Times New Roman" w:eastAsia="Times New Roman" w:hAnsi="Times New Roman" w:cs="Times New Roman"/>
          <w:sz w:val="24"/>
          <w:szCs w:val="24"/>
        </w:rPr>
        <w:t xml:space="preserve">  </w:t>
      </w:r>
      <w:r w:rsidR="00D7363C" w:rsidRPr="00FF1C0A">
        <w:rPr>
          <w:rFonts w:ascii="Times New Roman" w:hAnsi="Times New Roman" w:cs="Times New Roman"/>
          <w:spacing w:val="-3"/>
          <w:sz w:val="24"/>
          <w:szCs w:val="24"/>
        </w:rPr>
        <w:t>The following table indicates the performance l</w:t>
      </w:r>
      <w:r w:rsidR="00D7363C">
        <w:rPr>
          <w:rFonts w:ascii="Times New Roman" w:hAnsi="Times New Roman" w:cs="Times New Roman"/>
          <w:spacing w:val="-3"/>
          <w:sz w:val="24"/>
          <w:szCs w:val="24"/>
        </w:rPr>
        <w:t>evel of HarborOne Bank</w:t>
      </w:r>
      <w:r w:rsidR="00D7363C" w:rsidRPr="00FF1C0A">
        <w:rPr>
          <w:rFonts w:ascii="Times New Roman" w:hAnsi="Times New Roman" w:cs="Times New Roman"/>
          <w:spacing w:val="-3"/>
          <w:sz w:val="24"/>
          <w:szCs w:val="24"/>
        </w:rPr>
        <w:t xml:space="preserve"> with respect to the Lending,</w:t>
      </w:r>
      <w:r w:rsidR="00D7363C">
        <w:rPr>
          <w:rFonts w:ascii="Times New Roman" w:hAnsi="Times New Roman" w:cs="Times New Roman"/>
          <w:spacing w:val="-3"/>
          <w:sz w:val="24"/>
          <w:szCs w:val="24"/>
        </w:rPr>
        <w:t xml:space="preserve"> Investment, and Service Tests.</w:t>
      </w:r>
    </w:p>
    <w:p w14:paraId="236391D9" w14:textId="77777777" w:rsidR="00D7363C" w:rsidRPr="00D7363C" w:rsidRDefault="00D7363C" w:rsidP="00C95A2A">
      <w:pPr>
        <w:spacing w:after="0" w:line="240" w:lineRule="auto"/>
        <w:rPr>
          <w:rFonts w:ascii="Times New Roman" w:eastAsia="Times New Roman" w:hAnsi="Times New Roman" w:cs="Times New Roman"/>
          <w:sz w:val="24"/>
          <w:szCs w:val="24"/>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4A0" w:firstRow="1" w:lastRow="0" w:firstColumn="1" w:lastColumn="0" w:noHBand="0" w:noVBand="1"/>
      </w:tblPr>
      <w:tblGrid>
        <w:gridCol w:w="2160"/>
        <w:gridCol w:w="2160"/>
        <w:gridCol w:w="2160"/>
        <w:gridCol w:w="2160"/>
      </w:tblGrid>
      <w:tr w:rsidR="00C95A2A" w:rsidRPr="00C95A2A" w14:paraId="430FBBEE" w14:textId="77777777" w:rsidTr="007D67CF">
        <w:trPr>
          <w:cantSplit/>
          <w:trHeight w:val="922"/>
        </w:trPr>
        <w:tc>
          <w:tcPr>
            <w:tcW w:w="2160" w:type="dxa"/>
            <w:vAlign w:val="center"/>
          </w:tcPr>
          <w:p w14:paraId="3DDEEA67" w14:textId="77777777" w:rsidR="00C95A2A" w:rsidRPr="00C95A2A" w:rsidRDefault="00C95A2A" w:rsidP="00C95A2A">
            <w:pPr>
              <w:spacing w:after="0" w:line="216" w:lineRule="exact"/>
              <w:rPr>
                <w:rFonts w:ascii="Times New Roman" w:eastAsia="Times New Roman" w:hAnsi="Times New Roman" w:cs="Times New Roman"/>
                <w:sz w:val="20"/>
                <w:szCs w:val="24"/>
              </w:rPr>
            </w:pPr>
          </w:p>
          <w:p w14:paraId="2BD35094" w14:textId="77777777" w:rsidR="00C95A2A" w:rsidRPr="00C95A2A" w:rsidRDefault="00C95A2A" w:rsidP="00C95A2A">
            <w:pPr>
              <w:keepNext/>
              <w:keepLines/>
              <w:spacing w:after="0" w:line="240" w:lineRule="auto"/>
              <w:rPr>
                <w:rFonts w:ascii="Times New Roman" w:eastAsia="Times New Roman" w:hAnsi="Times New Roman" w:cs="Times New Roman"/>
                <w:b/>
                <w:sz w:val="20"/>
                <w:szCs w:val="24"/>
              </w:rPr>
            </w:pPr>
            <w:r w:rsidRPr="00C95A2A">
              <w:rPr>
                <w:rFonts w:ascii="Times New Roman" w:eastAsia="Times New Roman" w:hAnsi="Times New Roman" w:cs="Times New Roman"/>
                <w:b/>
                <w:sz w:val="20"/>
                <w:szCs w:val="24"/>
              </w:rPr>
              <w:t>PERFORMANCE LEVELS</w:t>
            </w:r>
          </w:p>
        </w:tc>
        <w:tc>
          <w:tcPr>
            <w:tcW w:w="6480" w:type="dxa"/>
            <w:gridSpan w:val="3"/>
            <w:vAlign w:val="center"/>
          </w:tcPr>
          <w:p w14:paraId="64C70B77"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r w:rsidRPr="00C95A2A">
              <w:rPr>
                <w:rFonts w:ascii="Times New Roman" w:eastAsia="Times New Roman" w:hAnsi="Times New Roman" w:cs="Times New Roman"/>
                <w:b/>
                <w:sz w:val="20"/>
                <w:szCs w:val="24"/>
              </w:rPr>
              <w:t>PERFORMANCE TESTS</w:t>
            </w:r>
          </w:p>
        </w:tc>
      </w:tr>
      <w:tr w:rsidR="00C95A2A" w:rsidRPr="00C95A2A" w14:paraId="1D68EE79" w14:textId="77777777" w:rsidTr="007D67CF">
        <w:tc>
          <w:tcPr>
            <w:tcW w:w="2160" w:type="dxa"/>
            <w:shd w:val="clear" w:color="000000" w:fill="auto"/>
            <w:vAlign w:val="bottom"/>
          </w:tcPr>
          <w:p w14:paraId="4DA98249" w14:textId="77777777" w:rsidR="00C95A2A" w:rsidRPr="00C95A2A" w:rsidRDefault="00C95A2A" w:rsidP="00C95A2A">
            <w:pPr>
              <w:spacing w:after="0" w:line="216" w:lineRule="exact"/>
              <w:rPr>
                <w:rFonts w:ascii="Times New Roman" w:eastAsia="Times New Roman" w:hAnsi="Times New Roman" w:cs="Times New Roman"/>
                <w:sz w:val="20"/>
                <w:szCs w:val="24"/>
              </w:rPr>
            </w:pPr>
          </w:p>
          <w:p w14:paraId="7AF808C7" w14:textId="77777777" w:rsidR="00C95A2A" w:rsidRPr="00C95A2A" w:rsidRDefault="00C95A2A" w:rsidP="00C95A2A">
            <w:pPr>
              <w:keepNext/>
              <w:keepLines/>
              <w:spacing w:after="0" w:line="240" w:lineRule="auto"/>
              <w:jc w:val="center"/>
              <w:rPr>
                <w:rFonts w:ascii="Times New Roman" w:eastAsia="Times New Roman" w:hAnsi="Times New Roman" w:cs="Times New Roman"/>
                <w:b/>
                <w:sz w:val="20"/>
                <w:szCs w:val="24"/>
              </w:rPr>
            </w:pPr>
          </w:p>
        </w:tc>
        <w:tc>
          <w:tcPr>
            <w:tcW w:w="2160" w:type="dxa"/>
            <w:vAlign w:val="center"/>
          </w:tcPr>
          <w:p w14:paraId="1875A777" w14:textId="77777777" w:rsidR="00C95A2A" w:rsidRPr="00C95A2A" w:rsidRDefault="00C95A2A" w:rsidP="00C95A2A">
            <w:pPr>
              <w:keepNext/>
              <w:keepLines/>
              <w:spacing w:after="0" w:line="240" w:lineRule="auto"/>
              <w:jc w:val="center"/>
              <w:rPr>
                <w:rFonts w:ascii="Times New Roman" w:eastAsia="Times New Roman" w:hAnsi="Times New Roman" w:cs="Times New Roman"/>
                <w:b/>
                <w:sz w:val="20"/>
                <w:szCs w:val="24"/>
              </w:rPr>
            </w:pPr>
            <w:r w:rsidRPr="00C95A2A">
              <w:rPr>
                <w:rFonts w:ascii="Times New Roman" w:eastAsia="Times New Roman" w:hAnsi="Times New Roman" w:cs="Times New Roman"/>
                <w:b/>
                <w:sz w:val="20"/>
                <w:szCs w:val="24"/>
              </w:rPr>
              <w:t>Lending Test*</w:t>
            </w:r>
          </w:p>
        </w:tc>
        <w:tc>
          <w:tcPr>
            <w:tcW w:w="2160" w:type="dxa"/>
            <w:vAlign w:val="center"/>
          </w:tcPr>
          <w:p w14:paraId="74A64CBB" w14:textId="77777777" w:rsidR="00C95A2A" w:rsidRPr="00C95A2A" w:rsidRDefault="00C95A2A" w:rsidP="00C95A2A">
            <w:pPr>
              <w:keepNext/>
              <w:keepLines/>
              <w:spacing w:after="0" w:line="240" w:lineRule="auto"/>
              <w:jc w:val="center"/>
              <w:rPr>
                <w:rFonts w:ascii="Times New Roman" w:eastAsia="Times New Roman" w:hAnsi="Times New Roman" w:cs="Times New Roman"/>
                <w:b/>
                <w:sz w:val="20"/>
                <w:szCs w:val="24"/>
              </w:rPr>
            </w:pPr>
            <w:r w:rsidRPr="00C95A2A">
              <w:rPr>
                <w:rFonts w:ascii="Times New Roman" w:eastAsia="Times New Roman" w:hAnsi="Times New Roman" w:cs="Times New Roman"/>
                <w:b/>
                <w:sz w:val="20"/>
                <w:szCs w:val="24"/>
              </w:rPr>
              <w:t>Investment Test</w:t>
            </w:r>
          </w:p>
        </w:tc>
        <w:tc>
          <w:tcPr>
            <w:tcW w:w="2160" w:type="dxa"/>
            <w:vAlign w:val="center"/>
          </w:tcPr>
          <w:p w14:paraId="2ADA8D3C"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r w:rsidRPr="00C95A2A">
              <w:rPr>
                <w:rFonts w:ascii="Times New Roman" w:eastAsia="Times New Roman" w:hAnsi="Times New Roman" w:cs="Times New Roman"/>
                <w:b/>
                <w:sz w:val="20"/>
                <w:szCs w:val="24"/>
              </w:rPr>
              <w:t>Service Test</w:t>
            </w:r>
          </w:p>
        </w:tc>
      </w:tr>
      <w:tr w:rsidR="00C95A2A" w:rsidRPr="00C95A2A" w14:paraId="7B7AE2A4" w14:textId="77777777" w:rsidTr="007D67CF">
        <w:trPr>
          <w:trHeight w:val="511"/>
        </w:trPr>
        <w:tc>
          <w:tcPr>
            <w:tcW w:w="2160" w:type="dxa"/>
            <w:vAlign w:val="center"/>
            <w:hideMark/>
          </w:tcPr>
          <w:p w14:paraId="5D9149DC" w14:textId="77777777" w:rsidR="00C95A2A" w:rsidRPr="00C95A2A" w:rsidRDefault="00C95A2A" w:rsidP="00C95A2A">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Outstanding</w:t>
            </w:r>
          </w:p>
        </w:tc>
        <w:tc>
          <w:tcPr>
            <w:tcW w:w="2160" w:type="dxa"/>
            <w:vAlign w:val="center"/>
          </w:tcPr>
          <w:p w14:paraId="29CB55B7" w14:textId="77777777" w:rsidR="00C95A2A" w:rsidRPr="00C95A2A" w:rsidRDefault="00D7363C" w:rsidP="00C95A2A">
            <w:pPr>
              <w:keepNext/>
              <w:keepLine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X</w:t>
            </w:r>
          </w:p>
        </w:tc>
        <w:tc>
          <w:tcPr>
            <w:tcW w:w="2160" w:type="dxa"/>
            <w:vAlign w:val="center"/>
          </w:tcPr>
          <w:p w14:paraId="78A40A52" w14:textId="77777777" w:rsidR="00C95A2A" w:rsidRPr="00C95A2A" w:rsidRDefault="00D7363C" w:rsidP="00C95A2A">
            <w:pPr>
              <w:keepNext/>
              <w:keepLine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X</w:t>
            </w:r>
          </w:p>
        </w:tc>
        <w:tc>
          <w:tcPr>
            <w:tcW w:w="2160" w:type="dxa"/>
            <w:vAlign w:val="center"/>
          </w:tcPr>
          <w:p w14:paraId="482CD883" w14:textId="77777777" w:rsidR="00C95A2A" w:rsidRPr="00C95A2A" w:rsidRDefault="00D7363C" w:rsidP="00C95A2A">
            <w:pPr>
              <w:keepNext/>
              <w:keepLine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X</w:t>
            </w:r>
          </w:p>
        </w:tc>
      </w:tr>
      <w:tr w:rsidR="00C95A2A" w:rsidRPr="00C95A2A" w14:paraId="08D62F35" w14:textId="77777777" w:rsidTr="007D67CF">
        <w:trPr>
          <w:trHeight w:val="529"/>
        </w:trPr>
        <w:tc>
          <w:tcPr>
            <w:tcW w:w="2160" w:type="dxa"/>
            <w:vAlign w:val="center"/>
            <w:hideMark/>
          </w:tcPr>
          <w:p w14:paraId="3455B19A" w14:textId="77777777" w:rsidR="00C95A2A" w:rsidRPr="00C95A2A" w:rsidRDefault="00C95A2A" w:rsidP="00C95A2A">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High Satisfactory</w:t>
            </w:r>
          </w:p>
        </w:tc>
        <w:tc>
          <w:tcPr>
            <w:tcW w:w="2160" w:type="dxa"/>
            <w:vAlign w:val="center"/>
          </w:tcPr>
          <w:p w14:paraId="568B3CE2"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36AB7F12"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6C36AEA0"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r>
      <w:tr w:rsidR="00C95A2A" w:rsidRPr="00C95A2A" w14:paraId="463E772C" w14:textId="77777777" w:rsidTr="007D67CF">
        <w:trPr>
          <w:trHeight w:val="511"/>
        </w:trPr>
        <w:tc>
          <w:tcPr>
            <w:tcW w:w="2160" w:type="dxa"/>
            <w:vAlign w:val="center"/>
            <w:hideMark/>
          </w:tcPr>
          <w:p w14:paraId="1BDDBA21" w14:textId="77777777" w:rsidR="00C95A2A" w:rsidRPr="00C95A2A" w:rsidRDefault="00C95A2A" w:rsidP="00C95A2A">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Low Satisfactory</w:t>
            </w:r>
          </w:p>
        </w:tc>
        <w:tc>
          <w:tcPr>
            <w:tcW w:w="2160" w:type="dxa"/>
            <w:vAlign w:val="center"/>
          </w:tcPr>
          <w:p w14:paraId="243A4E78"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6BE11A32"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35B6F0BE"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r>
      <w:tr w:rsidR="00C95A2A" w:rsidRPr="00C95A2A" w14:paraId="3E3AA233" w14:textId="77777777" w:rsidTr="007D67CF">
        <w:trPr>
          <w:trHeight w:val="520"/>
        </w:trPr>
        <w:tc>
          <w:tcPr>
            <w:tcW w:w="2160" w:type="dxa"/>
            <w:vAlign w:val="center"/>
            <w:hideMark/>
          </w:tcPr>
          <w:p w14:paraId="656EBE21" w14:textId="77777777" w:rsidR="00C95A2A" w:rsidRPr="00C95A2A" w:rsidRDefault="00C95A2A" w:rsidP="00C95A2A">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Needs to Improve</w:t>
            </w:r>
          </w:p>
        </w:tc>
        <w:tc>
          <w:tcPr>
            <w:tcW w:w="2160" w:type="dxa"/>
            <w:vAlign w:val="center"/>
          </w:tcPr>
          <w:p w14:paraId="6480EE73"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41489249"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1820D290"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r>
      <w:tr w:rsidR="00C95A2A" w:rsidRPr="00C95A2A" w14:paraId="4D6F6165" w14:textId="77777777" w:rsidTr="007D67CF">
        <w:trPr>
          <w:trHeight w:val="520"/>
        </w:trPr>
        <w:tc>
          <w:tcPr>
            <w:tcW w:w="2160" w:type="dxa"/>
            <w:vAlign w:val="center"/>
            <w:hideMark/>
          </w:tcPr>
          <w:p w14:paraId="6A6D47BB" w14:textId="77777777" w:rsidR="00C95A2A" w:rsidRPr="00C95A2A" w:rsidRDefault="00C95A2A" w:rsidP="00C95A2A">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Substantial Noncompliance</w:t>
            </w:r>
          </w:p>
        </w:tc>
        <w:tc>
          <w:tcPr>
            <w:tcW w:w="2160" w:type="dxa"/>
            <w:vAlign w:val="center"/>
          </w:tcPr>
          <w:p w14:paraId="7D65BC87"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42FE80F4"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c>
          <w:tcPr>
            <w:tcW w:w="2160" w:type="dxa"/>
            <w:vAlign w:val="center"/>
          </w:tcPr>
          <w:p w14:paraId="38A5D87F" w14:textId="77777777" w:rsidR="00C95A2A" w:rsidRPr="00C95A2A" w:rsidRDefault="00C95A2A" w:rsidP="00C95A2A">
            <w:pPr>
              <w:keepNext/>
              <w:keepLines/>
              <w:spacing w:after="0" w:line="240" w:lineRule="auto"/>
              <w:jc w:val="center"/>
              <w:rPr>
                <w:rFonts w:ascii="Times New Roman" w:eastAsia="Times New Roman" w:hAnsi="Times New Roman" w:cs="Times New Roman"/>
                <w:sz w:val="20"/>
                <w:szCs w:val="24"/>
              </w:rPr>
            </w:pPr>
          </w:p>
        </w:tc>
      </w:tr>
      <w:tr w:rsidR="00C95A2A" w:rsidRPr="00C95A2A" w14:paraId="0070B758" w14:textId="77777777" w:rsidTr="007D67CF">
        <w:trPr>
          <w:trHeight w:val="520"/>
        </w:trPr>
        <w:tc>
          <w:tcPr>
            <w:tcW w:w="8640" w:type="dxa"/>
            <w:gridSpan w:val="4"/>
            <w:vAlign w:val="center"/>
          </w:tcPr>
          <w:p w14:paraId="44F830B0" w14:textId="7D3B06F5" w:rsidR="00C95A2A" w:rsidRPr="00C95A2A" w:rsidRDefault="00C95A2A" w:rsidP="007D67CF">
            <w:pPr>
              <w:keepNext/>
              <w:keepLines/>
              <w:spacing w:after="0" w:line="240" w:lineRule="auto"/>
              <w:rPr>
                <w:rFonts w:ascii="Times New Roman" w:eastAsia="Times New Roman" w:hAnsi="Times New Roman" w:cs="Times New Roman"/>
                <w:sz w:val="20"/>
                <w:szCs w:val="24"/>
              </w:rPr>
            </w:pPr>
            <w:r w:rsidRPr="00C95A2A">
              <w:rPr>
                <w:rFonts w:ascii="Times New Roman" w:eastAsia="Times New Roman" w:hAnsi="Times New Roman" w:cs="Times New Roman"/>
                <w:sz w:val="20"/>
                <w:szCs w:val="24"/>
              </w:rPr>
              <w:t xml:space="preserve">* </w:t>
            </w:r>
            <w:r w:rsidR="007D67CF" w:rsidRPr="00C95A2A">
              <w:rPr>
                <w:rFonts w:ascii="Times New Roman" w:eastAsia="Times New Roman" w:hAnsi="Times New Roman" w:cs="Times New Roman"/>
                <w:i/>
                <w:sz w:val="20"/>
                <w:szCs w:val="24"/>
              </w:rPr>
              <w:t xml:space="preserve">Lending Test is weighted more heavily than the Investment and Service Tests </w:t>
            </w:r>
            <w:r w:rsidRPr="00C95A2A">
              <w:rPr>
                <w:rFonts w:ascii="Times New Roman" w:eastAsia="Times New Roman" w:hAnsi="Times New Roman" w:cs="Times New Roman"/>
                <w:i/>
                <w:sz w:val="20"/>
                <w:szCs w:val="24"/>
              </w:rPr>
              <w:t>The when arriving at an overall rating.</w:t>
            </w:r>
          </w:p>
        </w:tc>
      </w:tr>
    </w:tbl>
    <w:p w14:paraId="7F36518E" w14:textId="77777777" w:rsidR="00C95A2A" w:rsidRPr="00C95A2A" w:rsidRDefault="00C95A2A" w:rsidP="00C95A2A">
      <w:pPr>
        <w:spacing w:after="0" w:line="240" w:lineRule="auto"/>
        <w:ind w:left="720"/>
        <w:contextualSpacing/>
        <w:rPr>
          <w:rFonts w:ascii="Times New Roman" w:eastAsia="Times New Roman" w:hAnsi="Times New Roman" w:cs="Times New Roman"/>
          <w:color w:val="0070C0"/>
          <w:sz w:val="24"/>
          <w:szCs w:val="24"/>
        </w:rPr>
      </w:pPr>
    </w:p>
    <w:p w14:paraId="61E3A354" w14:textId="77777777" w:rsidR="00D7363C" w:rsidRPr="00FF1C0A" w:rsidRDefault="00D7363C" w:rsidP="00D7363C">
      <w:pPr>
        <w:spacing w:after="0" w:line="240" w:lineRule="auto"/>
        <w:rPr>
          <w:rFonts w:ascii="Times New Roman" w:eastAsia="Times New Roman" w:hAnsi="Times New Roman" w:cs="Times New Roman"/>
          <w:b/>
          <w:bCs/>
          <w:sz w:val="24"/>
          <w:szCs w:val="24"/>
        </w:rPr>
      </w:pPr>
      <w:r w:rsidRPr="00FF1C0A">
        <w:rPr>
          <w:rFonts w:ascii="Times New Roman" w:eastAsia="Times New Roman" w:hAnsi="Times New Roman" w:cs="Times New Roman"/>
          <w:b/>
          <w:bCs/>
          <w:sz w:val="24"/>
          <w:szCs w:val="24"/>
        </w:rPr>
        <w:t>The Lending Test is rated</w:t>
      </w:r>
      <w:r w:rsidRPr="00FF1C0A">
        <w:rPr>
          <w:rFonts w:ascii="Times New Roman" w:eastAsia="Times New Roman" w:hAnsi="Times New Roman" w:cs="Times New Roman"/>
          <w:sz w:val="24"/>
          <w:szCs w:val="24"/>
        </w:rPr>
        <w:t xml:space="preserve"> </w:t>
      </w:r>
      <w:sdt>
        <w:sdtPr>
          <w:rPr>
            <w:rFonts w:ascii="Times New Roman" w:eastAsia="Times New Roman" w:hAnsi="Times New Roman" w:cs="Times New Roman"/>
            <w:b/>
            <w:bCs/>
            <w:sz w:val="24"/>
            <w:szCs w:val="24"/>
            <w:u w:val="single"/>
          </w:rPr>
          <w:alias w:val="CRA Ratings"/>
          <w:tag w:val="CRA Ratings"/>
          <w:id w:val="-329444844"/>
          <w:dropDownList>
            <w:listItem w:displayText="*Click &amp; Select a Rating*" w:value="*Click &amp; 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r w:rsidRPr="00FF1C0A">
        <w:rPr>
          <w:rFonts w:ascii="Times New Roman" w:eastAsia="Times New Roman" w:hAnsi="Times New Roman" w:cs="Times New Roman"/>
          <w:b/>
          <w:bCs/>
          <w:sz w:val="24"/>
          <w:szCs w:val="24"/>
        </w:rPr>
        <w:t>.</w:t>
      </w:r>
    </w:p>
    <w:p w14:paraId="74FDC4B9" w14:textId="77777777" w:rsidR="00D7363C" w:rsidRPr="00FF1C0A"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FF1C0A">
        <w:rPr>
          <w:rFonts w:ascii="Times New Roman" w:hAnsi="Times New Roman" w:cs="Times New Roman"/>
          <w:bCs/>
          <w:iCs/>
          <w:sz w:val="24"/>
          <w:szCs w:val="24"/>
        </w:rPr>
        <w:t xml:space="preserve">Lending levels reflect </w:t>
      </w:r>
      <w:r>
        <w:rPr>
          <w:rFonts w:ascii="Times New Roman" w:hAnsi="Times New Roman" w:cs="Times New Roman"/>
          <w:bCs/>
          <w:iCs/>
          <w:sz w:val="24"/>
          <w:szCs w:val="24"/>
        </w:rPr>
        <w:t>excellent</w:t>
      </w:r>
      <w:r w:rsidRPr="00FF1C0A">
        <w:rPr>
          <w:rFonts w:ascii="Times New Roman" w:hAnsi="Times New Roman" w:cs="Times New Roman"/>
          <w:bCs/>
          <w:iCs/>
          <w:sz w:val="24"/>
          <w:szCs w:val="24"/>
        </w:rPr>
        <w:t xml:space="preserve"> responsiveness to assessment area credit needs.</w:t>
      </w:r>
    </w:p>
    <w:p w14:paraId="4670ED09" w14:textId="77777777" w:rsidR="00D7363C" w:rsidRPr="00FF1C0A"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FF1C0A">
        <w:rPr>
          <w:rFonts w:ascii="Times New Roman" w:hAnsi="Times New Roman" w:cs="Times New Roman"/>
          <w:bCs/>
          <w:iCs/>
          <w:sz w:val="24"/>
          <w:szCs w:val="24"/>
        </w:rPr>
        <w:t>A</w:t>
      </w:r>
      <w:r>
        <w:rPr>
          <w:rFonts w:ascii="Times New Roman" w:hAnsi="Times New Roman" w:cs="Times New Roman"/>
          <w:bCs/>
          <w:iCs/>
          <w:sz w:val="24"/>
          <w:szCs w:val="24"/>
        </w:rPr>
        <w:t xml:space="preserve"> high percentage of loans</w:t>
      </w:r>
      <w:r w:rsidRPr="00FF1C0A">
        <w:rPr>
          <w:rFonts w:ascii="Times New Roman" w:hAnsi="Times New Roman" w:cs="Times New Roman"/>
          <w:bCs/>
          <w:iCs/>
          <w:sz w:val="24"/>
          <w:szCs w:val="24"/>
        </w:rPr>
        <w:t xml:space="preserve"> were made in the institution’s assessment area.</w:t>
      </w:r>
    </w:p>
    <w:p w14:paraId="7542479C" w14:textId="1499434D" w:rsidR="00D7363C" w:rsidRPr="00FF1C0A"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FF1C0A">
        <w:rPr>
          <w:rFonts w:ascii="Times New Roman" w:hAnsi="Times New Roman" w:cs="Times New Roman"/>
          <w:bCs/>
          <w:iCs/>
          <w:sz w:val="24"/>
          <w:szCs w:val="24"/>
        </w:rPr>
        <w:t>The geographic dis</w:t>
      </w:r>
      <w:r w:rsidR="007C1110">
        <w:rPr>
          <w:rFonts w:ascii="Times New Roman" w:hAnsi="Times New Roman" w:cs="Times New Roman"/>
          <w:bCs/>
          <w:iCs/>
          <w:sz w:val="24"/>
          <w:szCs w:val="24"/>
        </w:rPr>
        <w:t>tribution of loans reflects excellent</w:t>
      </w:r>
      <w:r w:rsidRPr="00FF1C0A">
        <w:rPr>
          <w:rFonts w:ascii="Times New Roman" w:hAnsi="Times New Roman" w:cs="Times New Roman"/>
          <w:bCs/>
          <w:iCs/>
          <w:sz w:val="24"/>
          <w:szCs w:val="24"/>
        </w:rPr>
        <w:t xml:space="preserve"> penetration throughout the assessment area.</w:t>
      </w:r>
    </w:p>
    <w:p w14:paraId="0AC2279B" w14:textId="77777777" w:rsidR="00D7363C" w:rsidRPr="00FF1C0A"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FF1C0A">
        <w:rPr>
          <w:rFonts w:ascii="Times New Roman" w:hAnsi="Times New Roman" w:cs="Times New Roman"/>
          <w:bCs/>
          <w:iCs/>
          <w:sz w:val="24"/>
          <w:szCs w:val="24"/>
        </w:rPr>
        <w:t xml:space="preserve">The distribution of borrowers reflects, given the product lines offered by the institution, </w:t>
      </w:r>
      <w:r>
        <w:rPr>
          <w:rFonts w:ascii="Times New Roman" w:hAnsi="Times New Roman" w:cs="Times New Roman"/>
          <w:bCs/>
          <w:iCs/>
          <w:sz w:val="24"/>
          <w:szCs w:val="24"/>
        </w:rPr>
        <w:t>excellent</w:t>
      </w:r>
      <w:r w:rsidRPr="00FF1C0A">
        <w:rPr>
          <w:rFonts w:ascii="Times New Roman" w:hAnsi="Times New Roman" w:cs="Times New Roman"/>
          <w:bCs/>
          <w:iCs/>
          <w:sz w:val="24"/>
          <w:szCs w:val="24"/>
        </w:rPr>
        <w:t xml:space="preserve"> penetration among retail customers of different income levels and business customers of different size. </w:t>
      </w:r>
    </w:p>
    <w:p w14:paraId="55762991" w14:textId="77777777" w:rsidR="00D7363C" w:rsidRPr="00FF1C0A"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FF1C0A">
        <w:rPr>
          <w:rFonts w:ascii="Times New Roman" w:hAnsi="Times New Roman" w:cs="Times New Roman"/>
          <w:bCs/>
          <w:iCs/>
          <w:sz w:val="24"/>
          <w:szCs w:val="24"/>
        </w:rPr>
        <w:t xml:space="preserve">The institution makes extensive use of innovative </w:t>
      </w:r>
      <w:r>
        <w:rPr>
          <w:rFonts w:ascii="Times New Roman" w:hAnsi="Times New Roman" w:cs="Times New Roman"/>
          <w:bCs/>
          <w:iCs/>
          <w:sz w:val="24"/>
          <w:szCs w:val="24"/>
        </w:rPr>
        <w:t>and</w:t>
      </w:r>
      <w:r w:rsidRPr="00FF1C0A">
        <w:rPr>
          <w:rFonts w:ascii="Times New Roman" w:hAnsi="Times New Roman" w:cs="Times New Roman"/>
          <w:bCs/>
          <w:iCs/>
          <w:sz w:val="24"/>
          <w:szCs w:val="24"/>
        </w:rPr>
        <w:t xml:space="preserve"> flexible lending practices in order to serve assessment area credit needs.</w:t>
      </w:r>
    </w:p>
    <w:p w14:paraId="31258BB9" w14:textId="77777777" w:rsidR="00D7363C" w:rsidRPr="00FF1C0A" w:rsidRDefault="00D7363C" w:rsidP="00D7363C">
      <w:pPr>
        <w:widowControl w:val="0"/>
        <w:numPr>
          <w:ilvl w:val="0"/>
          <w:numId w:val="5"/>
        </w:numPr>
        <w:tabs>
          <w:tab w:val="left" w:pos="720"/>
        </w:tabs>
        <w:spacing w:after="0" w:line="240" w:lineRule="auto"/>
        <w:rPr>
          <w:rFonts w:ascii="Times New Roman" w:eastAsia="Times New Roman" w:hAnsi="Times New Roman" w:cs="Times New Roman"/>
          <w:snapToGrid w:val="0"/>
          <w:sz w:val="24"/>
          <w:szCs w:val="24"/>
        </w:rPr>
      </w:pPr>
      <w:r w:rsidRPr="00FF1C0A">
        <w:rPr>
          <w:rFonts w:ascii="Times New Roman" w:hAnsi="Times New Roman" w:cs="Times New Roman"/>
          <w:bCs/>
          <w:iCs/>
          <w:sz w:val="24"/>
          <w:szCs w:val="24"/>
        </w:rPr>
        <w:t xml:space="preserve">The institution </w:t>
      </w:r>
      <w:r>
        <w:rPr>
          <w:rFonts w:ascii="Times New Roman" w:hAnsi="Times New Roman" w:cs="Times New Roman"/>
          <w:bCs/>
          <w:iCs/>
          <w:sz w:val="24"/>
          <w:szCs w:val="24"/>
        </w:rPr>
        <w:t>is a leader in making</w:t>
      </w:r>
      <w:r w:rsidRPr="00FF1C0A">
        <w:rPr>
          <w:rFonts w:ascii="Times New Roman" w:hAnsi="Times New Roman" w:cs="Times New Roman"/>
          <w:bCs/>
          <w:iCs/>
          <w:sz w:val="24"/>
          <w:szCs w:val="24"/>
        </w:rPr>
        <w:t xml:space="preserve"> community development loans.</w:t>
      </w:r>
    </w:p>
    <w:p w14:paraId="086E0F34" w14:textId="77777777" w:rsidR="00D7363C" w:rsidRPr="00FF1C0A" w:rsidRDefault="00D7363C" w:rsidP="00D7363C">
      <w:pPr>
        <w:spacing w:after="0" w:line="240" w:lineRule="auto"/>
        <w:rPr>
          <w:rFonts w:ascii="Times New Roman" w:eastAsia="Times New Roman" w:hAnsi="Times New Roman" w:cs="Times New Roman"/>
          <w:snapToGrid w:val="0"/>
          <w:sz w:val="24"/>
          <w:szCs w:val="24"/>
        </w:rPr>
      </w:pPr>
    </w:p>
    <w:p w14:paraId="0149ECF3" w14:textId="77777777" w:rsidR="00D7363C" w:rsidRPr="00FF1C0A" w:rsidRDefault="00D7363C" w:rsidP="00D7363C">
      <w:pPr>
        <w:spacing w:after="0" w:line="240" w:lineRule="auto"/>
        <w:rPr>
          <w:rFonts w:ascii="Times New Roman" w:eastAsia="Times New Roman" w:hAnsi="Times New Roman" w:cs="Times New Roman"/>
          <w:sz w:val="24"/>
          <w:szCs w:val="24"/>
        </w:rPr>
      </w:pPr>
      <w:r w:rsidRPr="00FF1C0A">
        <w:rPr>
          <w:rFonts w:ascii="Times New Roman" w:eastAsia="Times New Roman" w:hAnsi="Times New Roman" w:cs="Times New Roman"/>
          <w:b/>
          <w:bCs/>
          <w:sz w:val="24"/>
          <w:szCs w:val="24"/>
        </w:rPr>
        <w:t xml:space="preserve">The Investment Test is rated </w:t>
      </w:r>
      <w:sdt>
        <w:sdtPr>
          <w:rPr>
            <w:rFonts w:ascii="Times New Roman" w:eastAsia="Times New Roman" w:hAnsi="Times New Roman" w:cs="Times New Roman"/>
            <w:b/>
            <w:bCs/>
            <w:sz w:val="24"/>
            <w:szCs w:val="24"/>
            <w:u w:val="single"/>
          </w:rPr>
          <w:alias w:val="CRA Ratings"/>
          <w:tag w:val="CRA Ratings"/>
          <w:id w:val="-60484224"/>
          <w:dropDownList>
            <w:listItem w:displayText="*Click &amp; Select a Rating*" w:value="*Click &amp; 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r w:rsidRPr="00FF1C0A">
        <w:rPr>
          <w:rFonts w:ascii="Times New Roman" w:eastAsia="Times New Roman" w:hAnsi="Times New Roman" w:cs="Times New Roman"/>
          <w:b/>
          <w:bCs/>
          <w:sz w:val="24"/>
          <w:szCs w:val="24"/>
        </w:rPr>
        <w:t>.</w:t>
      </w:r>
    </w:p>
    <w:p w14:paraId="1B86AABF" w14:textId="77777777" w:rsidR="007A55D6" w:rsidRPr="007A55D6" w:rsidRDefault="00D7363C" w:rsidP="00D7363C">
      <w:pPr>
        <w:numPr>
          <w:ilvl w:val="0"/>
          <w:numId w:val="34"/>
        </w:numPr>
        <w:spacing w:after="0" w:line="240" w:lineRule="auto"/>
        <w:rPr>
          <w:rFonts w:ascii="Times New Roman" w:hAnsi="Times New Roman" w:cs="Times New Roman"/>
          <w:snapToGrid w:val="0"/>
          <w:sz w:val="24"/>
          <w:szCs w:val="24"/>
        </w:rPr>
      </w:pPr>
      <w:r w:rsidRPr="00FF1C0A">
        <w:rPr>
          <w:rFonts w:ascii="Times New Roman" w:hAnsi="Times New Roman" w:cs="Times New Roman"/>
          <w:sz w:val="24"/>
          <w:szCs w:val="24"/>
        </w:rPr>
        <w:t xml:space="preserve">The institution has an excellent level of qualified community development, investment and grants, often in a leadership position, particularly those that are not routinely provided by private investors. </w:t>
      </w:r>
    </w:p>
    <w:p w14:paraId="0C13DC74" w14:textId="40EE92E8" w:rsidR="00D7363C" w:rsidRPr="00FF1C0A" w:rsidRDefault="00D7363C" w:rsidP="00D7363C">
      <w:pPr>
        <w:numPr>
          <w:ilvl w:val="0"/>
          <w:numId w:val="34"/>
        </w:numPr>
        <w:spacing w:after="0" w:line="240" w:lineRule="auto"/>
        <w:rPr>
          <w:rFonts w:ascii="Times New Roman" w:hAnsi="Times New Roman" w:cs="Times New Roman"/>
          <w:snapToGrid w:val="0"/>
          <w:sz w:val="24"/>
          <w:szCs w:val="24"/>
        </w:rPr>
      </w:pPr>
      <w:r w:rsidRPr="00FF1C0A">
        <w:rPr>
          <w:rFonts w:ascii="Times New Roman" w:hAnsi="Times New Roman" w:cs="Times New Roman"/>
          <w:sz w:val="24"/>
          <w:szCs w:val="24"/>
        </w:rPr>
        <w:t xml:space="preserve">The institution exhibits excellent responsiveness to credit and community development needs.  </w:t>
      </w:r>
    </w:p>
    <w:p w14:paraId="70FD0E21" w14:textId="53E9CD03" w:rsidR="00D7363C" w:rsidRPr="00FF1C0A" w:rsidRDefault="00D7363C" w:rsidP="00D7363C">
      <w:pPr>
        <w:numPr>
          <w:ilvl w:val="0"/>
          <w:numId w:val="34"/>
        </w:numPr>
        <w:spacing w:after="0" w:line="240" w:lineRule="auto"/>
        <w:rPr>
          <w:rFonts w:ascii="Times New Roman" w:hAnsi="Times New Roman" w:cs="Times New Roman"/>
          <w:snapToGrid w:val="0"/>
          <w:sz w:val="24"/>
          <w:szCs w:val="24"/>
        </w:rPr>
      </w:pPr>
      <w:r w:rsidRPr="00FF1C0A">
        <w:rPr>
          <w:rFonts w:ascii="Times New Roman" w:hAnsi="Times New Roman" w:cs="Times New Roman"/>
          <w:sz w:val="24"/>
          <w:szCs w:val="24"/>
        </w:rPr>
        <w:t xml:space="preserve">The institution </w:t>
      </w:r>
      <w:r w:rsidR="007C1110">
        <w:rPr>
          <w:rFonts w:ascii="Times New Roman" w:hAnsi="Times New Roman" w:cs="Times New Roman"/>
          <w:sz w:val="24"/>
          <w:szCs w:val="24"/>
        </w:rPr>
        <w:t>makes significant use of</w:t>
      </w:r>
      <w:r w:rsidRPr="00FF1C0A">
        <w:rPr>
          <w:rFonts w:ascii="Times New Roman" w:hAnsi="Times New Roman" w:cs="Times New Roman"/>
          <w:sz w:val="24"/>
          <w:szCs w:val="24"/>
        </w:rPr>
        <w:t xml:space="preserve"> innovative and/or complex investments to support community development initiatives.</w:t>
      </w:r>
    </w:p>
    <w:p w14:paraId="1336C7EF" w14:textId="77777777" w:rsidR="00D7363C" w:rsidRPr="00FF1C0A" w:rsidRDefault="00D7363C" w:rsidP="00D7363C">
      <w:pPr>
        <w:spacing w:after="0" w:line="240" w:lineRule="auto"/>
        <w:rPr>
          <w:rFonts w:ascii="Times New Roman" w:eastAsia="Times New Roman" w:hAnsi="Times New Roman" w:cs="Times New Roman"/>
          <w:sz w:val="24"/>
          <w:szCs w:val="24"/>
        </w:rPr>
      </w:pPr>
      <w:r w:rsidRPr="00FF1C0A">
        <w:rPr>
          <w:rFonts w:ascii="Times New Roman" w:eastAsia="Times New Roman" w:hAnsi="Times New Roman" w:cs="Times New Roman"/>
          <w:b/>
          <w:bCs/>
          <w:sz w:val="24"/>
          <w:szCs w:val="24"/>
        </w:rPr>
        <w:lastRenderedPageBreak/>
        <w:t xml:space="preserve">The Service Test is rated </w:t>
      </w:r>
      <w:sdt>
        <w:sdtPr>
          <w:rPr>
            <w:rFonts w:ascii="Times New Roman" w:eastAsia="Times New Roman" w:hAnsi="Times New Roman" w:cs="Times New Roman"/>
            <w:b/>
            <w:bCs/>
            <w:sz w:val="24"/>
            <w:szCs w:val="24"/>
            <w:u w:val="single"/>
          </w:rPr>
          <w:alias w:val="CRA Ratings"/>
          <w:tag w:val="CRA Ratings"/>
          <w:id w:val="1032075689"/>
          <w:dropDownList>
            <w:listItem w:displayText="*Click &amp; Select a Rating*" w:value="*Click &amp; 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r w:rsidRPr="00FF1C0A">
        <w:rPr>
          <w:rFonts w:ascii="Times New Roman" w:eastAsia="Times New Roman" w:hAnsi="Times New Roman" w:cs="Times New Roman"/>
          <w:b/>
          <w:bCs/>
          <w:sz w:val="24"/>
          <w:szCs w:val="24"/>
        </w:rPr>
        <w:t>.</w:t>
      </w:r>
    </w:p>
    <w:p w14:paraId="37A0D392" w14:textId="77777777" w:rsidR="00D7363C" w:rsidRPr="00FF1C0A" w:rsidRDefault="00D7363C" w:rsidP="00D7363C">
      <w:pPr>
        <w:numPr>
          <w:ilvl w:val="0"/>
          <w:numId w:val="34"/>
        </w:numPr>
        <w:spacing w:after="0" w:line="240" w:lineRule="auto"/>
        <w:rPr>
          <w:rFonts w:ascii="Times New Roman" w:hAnsi="Times New Roman" w:cs="Times New Roman"/>
          <w:sz w:val="24"/>
          <w:szCs w:val="24"/>
        </w:rPr>
      </w:pPr>
      <w:r w:rsidRPr="00FF1C0A">
        <w:rPr>
          <w:rFonts w:ascii="Times New Roman" w:hAnsi="Times New Roman" w:cs="Times New Roman"/>
          <w:sz w:val="24"/>
          <w:szCs w:val="24"/>
        </w:rPr>
        <w:t xml:space="preserve">Delivery systems are </w:t>
      </w:r>
      <w:r>
        <w:rPr>
          <w:rFonts w:ascii="Times New Roman" w:hAnsi="Times New Roman" w:cs="Times New Roman"/>
          <w:sz w:val="24"/>
          <w:szCs w:val="24"/>
        </w:rPr>
        <w:t>readily</w:t>
      </w:r>
      <w:r w:rsidRPr="00FF1C0A">
        <w:rPr>
          <w:rFonts w:ascii="Times New Roman" w:hAnsi="Times New Roman" w:cs="Times New Roman"/>
          <w:sz w:val="24"/>
          <w:szCs w:val="24"/>
        </w:rPr>
        <w:t xml:space="preserve"> accessible to all portions of the assessment area.</w:t>
      </w:r>
    </w:p>
    <w:p w14:paraId="2FE16746" w14:textId="77777777" w:rsidR="00D7363C" w:rsidRPr="00FF1C0A" w:rsidRDefault="00D7363C" w:rsidP="00D7363C">
      <w:pPr>
        <w:numPr>
          <w:ilvl w:val="0"/>
          <w:numId w:val="34"/>
        </w:numPr>
        <w:spacing w:after="0" w:line="240" w:lineRule="auto"/>
        <w:rPr>
          <w:rFonts w:ascii="Times New Roman" w:hAnsi="Times New Roman" w:cs="Times New Roman"/>
          <w:sz w:val="24"/>
          <w:szCs w:val="24"/>
        </w:rPr>
      </w:pPr>
      <w:r w:rsidRPr="00FF1C0A">
        <w:rPr>
          <w:rFonts w:ascii="Times New Roman" w:hAnsi="Times New Roman" w:cs="Times New Roman"/>
          <w:sz w:val="24"/>
          <w:szCs w:val="24"/>
        </w:rPr>
        <w:t xml:space="preserve">To the extent changes have been made, the institution’s opening and closing of branches has </w:t>
      </w:r>
      <w:r>
        <w:rPr>
          <w:rFonts w:ascii="Times New Roman" w:hAnsi="Times New Roman" w:cs="Times New Roman"/>
          <w:sz w:val="24"/>
          <w:szCs w:val="24"/>
        </w:rPr>
        <w:t>improved</w:t>
      </w:r>
      <w:r w:rsidRPr="00FF1C0A">
        <w:rPr>
          <w:rFonts w:ascii="Times New Roman" w:hAnsi="Times New Roman" w:cs="Times New Roman"/>
          <w:sz w:val="24"/>
          <w:szCs w:val="24"/>
        </w:rPr>
        <w:t xml:space="preserve"> the accessibility of its delivery systems, particularly in low- and moderate-income geographies and to low- and moderate-income individuals.</w:t>
      </w:r>
    </w:p>
    <w:p w14:paraId="7543BD19" w14:textId="77777777" w:rsidR="00D7363C" w:rsidRPr="00FF1C0A" w:rsidRDefault="00D7363C" w:rsidP="00D7363C">
      <w:pPr>
        <w:numPr>
          <w:ilvl w:val="0"/>
          <w:numId w:val="34"/>
        </w:numPr>
        <w:spacing w:after="0" w:line="240" w:lineRule="auto"/>
        <w:rPr>
          <w:rFonts w:ascii="Times New Roman" w:hAnsi="Times New Roman" w:cs="Times New Roman"/>
          <w:sz w:val="24"/>
          <w:szCs w:val="24"/>
        </w:rPr>
      </w:pPr>
      <w:r w:rsidRPr="00FF1C0A">
        <w:rPr>
          <w:rFonts w:ascii="Times New Roman" w:hAnsi="Times New Roman" w:cs="Times New Roman"/>
          <w:sz w:val="24"/>
          <w:szCs w:val="24"/>
        </w:rPr>
        <w:t xml:space="preserve">Services and business hours </w:t>
      </w:r>
      <w:r>
        <w:rPr>
          <w:rFonts w:ascii="Times New Roman" w:hAnsi="Times New Roman" w:cs="Times New Roman"/>
          <w:sz w:val="24"/>
          <w:szCs w:val="24"/>
        </w:rPr>
        <w:t xml:space="preserve">are tailored to the convenience and needs of the </w:t>
      </w:r>
      <w:r w:rsidRPr="00FF1C0A">
        <w:rPr>
          <w:rFonts w:ascii="Times New Roman" w:hAnsi="Times New Roman" w:cs="Times New Roman"/>
          <w:sz w:val="24"/>
          <w:szCs w:val="24"/>
        </w:rPr>
        <w:t>assessment area, particularly low- and moderate-income geographies and individuals.</w:t>
      </w:r>
    </w:p>
    <w:p w14:paraId="42BA4BA9" w14:textId="77777777" w:rsidR="00D7363C" w:rsidRPr="009E07FC" w:rsidRDefault="00D7363C" w:rsidP="00D7363C">
      <w:pPr>
        <w:numPr>
          <w:ilvl w:val="0"/>
          <w:numId w:val="34"/>
        </w:numPr>
        <w:spacing w:after="0" w:line="240" w:lineRule="auto"/>
        <w:rPr>
          <w:rFonts w:ascii="Times New Roman" w:hAnsi="Times New Roman" w:cs="Times New Roman"/>
          <w:sz w:val="24"/>
          <w:szCs w:val="24"/>
        </w:rPr>
        <w:sectPr w:rsidR="00D7363C" w:rsidRPr="009E07FC" w:rsidSect="00D7363C">
          <w:headerReference w:type="default" r:id="rId14"/>
          <w:footerReference w:type="default" r:id="rId15"/>
          <w:pgSz w:w="12240" w:h="15840"/>
          <w:pgMar w:top="1440" w:right="1440" w:bottom="1440" w:left="1440" w:header="720" w:footer="720" w:gutter="0"/>
          <w:pgNumType w:start="1"/>
          <w:cols w:space="720"/>
          <w:docGrid w:linePitch="360"/>
        </w:sectPr>
      </w:pPr>
      <w:r w:rsidRPr="00FF1C0A">
        <w:rPr>
          <w:rFonts w:ascii="Times New Roman" w:hAnsi="Times New Roman" w:cs="Times New Roman"/>
          <w:sz w:val="24"/>
          <w:szCs w:val="24"/>
        </w:rPr>
        <w:t xml:space="preserve">The institution </w:t>
      </w:r>
      <w:r>
        <w:rPr>
          <w:rFonts w:ascii="Times New Roman" w:hAnsi="Times New Roman" w:cs="Times New Roman"/>
          <w:sz w:val="24"/>
          <w:szCs w:val="24"/>
        </w:rPr>
        <w:t xml:space="preserve">is a leader in providing </w:t>
      </w:r>
      <w:r w:rsidRPr="00FF1C0A">
        <w:rPr>
          <w:rFonts w:ascii="Times New Roman" w:hAnsi="Times New Roman" w:cs="Times New Roman"/>
          <w:sz w:val="24"/>
          <w:szCs w:val="24"/>
        </w:rPr>
        <w:t>community development services</w:t>
      </w:r>
      <w:r>
        <w:rPr>
          <w:rFonts w:ascii="Times New Roman" w:hAnsi="Times New Roman" w:cs="Times New Roman"/>
          <w:sz w:val="24"/>
          <w:szCs w:val="24"/>
        </w:rPr>
        <w:t>.</w:t>
      </w:r>
    </w:p>
    <w:p w14:paraId="7FF57BAA" w14:textId="77777777" w:rsidR="00D7363C" w:rsidRPr="00162544" w:rsidRDefault="00D7363C" w:rsidP="00D7363C">
      <w:pPr>
        <w:pStyle w:val="Heading3"/>
        <w:rPr>
          <w:rFonts w:eastAsia="Times New Roman"/>
        </w:rPr>
      </w:pPr>
      <w:bookmarkStart w:id="2" w:name="_Toc54947560"/>
      <w:bookmarkStart w:id="3" w:name="_Toc70419317"/>
      <w:r w:rsidRPr="00162544">
        <w:rPr>
          <w:rFonts w:eastAsia="Times New Roman"/>
        </w:rPr>
        <w:lastRenderedPageBreak/>
        <w:t>SCOPE OF EVALUATION</w:t>
      </w:r>
      <w:bookmarkEnd w:id="2"/>
      <w:bookmarkEnd w:id="3"/>
    </w:p>
    <w:p w14:paraId="079630D5" w14:textId="77777777" w:rsidR="00D7363C" w:rsidRPr="00162544" w:rsidRDefault="00D7363C" w:rsidP="00D7363C">
      <w:pPr>
        <w:keepNext/>
        <w:tabs>
          <w:tab w:val="left" w:pos="480"/>
          <w:tab w:val="left" w:pos="960"/>
          <w:tab w:val="left" w:pos="6840"/>
        </w:tabs>
        <w:spacing w:after="0" w:line="240" w:lineRule="auto"/>
        <w:outlineLvl w:val="0"/>
        <w:rPr>
          <w:rFonts w:ascii="Times New Roman" w:eastAsia="Times New Roman" w:hAnsi="Times New Roman" w:cs="Times New Roman"/>
          <w:bCs/>
          <w:spacing w:val="-3"/>
          <w:sz w:val="24"/>
          <w:szCs w:val="24"/>
        </w:rPr>
      </w:pPr>
    </w:p>
    <w:p w14:paraId="27DC0976" w14:textId="77777777" w:rsidR="00D7363C" w:rsidRPr="00162544" w:rsidRDefault="00D7363C" w:rsidP="00D7363C">
      <w:pPr>
        <w:tabs>
          <w:tab w:val="left" w:pos="1260"/>
        </w:tabs>
        <w:spacing w:after="0" w:line="240" w:lineRule="auto"/>
        <w:rPr>
          <w:rFonts w:ascii="Times New Roman" w:eastAsia="Times New Roman" w:hAnsi="Times New Roman" w:cs="Times New Roman"/>
          <w:b/>
          <w:bCs/>
          <w:iCs/>
          <w:sz w:val="24"/>
          <w:szCs w:val="24"/>
          <w:u w:val="single"/>
        </w:rPr>
      </w:pPr>
      <w:r w:rsidRPr="00162544">
        <w:rPr>
          <w:rFonts w:ascii="Times New Roman" w:eastAsia="Times New Roman" w:hAnsi="Times New Roman" w:cs="Times New Roman"/>
          <w:b/>
          <w:bCs/>
          <w:iCs/>
          <w:sz w:val="24"/>
          <w:szCs w:val="24"/>
          <w:u w:val="single"/>
        </w:rPr>
        <w:t>General Information</w:t>
      </w:r>
    </w:p>
    <w:p w14:paraId="3F63C28B" w14:textId="77777777" w:rsidR="00D7363C" w:rsidRPr="00CB2C4C" w:rsidRDefault="00D7363C" w:rsidP="00D7363C">
      <w:pPr>
        <w:tabs>
          <w:tab w:val="left" w:pos="1260"/>
        </w:tabs>
        <w:spacing w:after="0" w:line="240" w:lineRule="auto"/>
        <w:rPr>
          <w:rFonts w:ascii="Times New Roman" w:eastAsia="Times New Roman" w:hAnsi="Times New Roman" w:cs="Times New Roman"/>
          <w:bCs/>
          <w:iCs/>
          <w:sz w:val="24"/>
          <w:szCs w:val="24"/>
        </w:rPr>
      </w:pPr>
    </w:p>
    <w:p w14:paraId="712B1DB1" w14:textId="32B98312" w:rsidR="00D7363C" w:rsidRPr="00C722B6" w:rsidRDefault="00D7363C" w:rsidP="00D7363C">
      <w:pPr>
        <w:tabs>
          <w:tab w:val="left" w:pos="1260"/>
        </w:tabs>
        <w:spacing w:after="0" w:line="240" w:lineRule="auto"/>
        <w:rPr>
          <w:rFonts w:ascii="Times New Roman" w:hAnsi="Times New Roman" w:cs="Times New Roman"/>
          <w:bCs/>
          <w:iCs/>
          <w:sz w:val="24"/>
          <w:szCs w:val="24"/>
        </w:rPr>
      </w:pPr>
      <w:r w:rsidRPr="00CB2C4C">
        <w:rPr>
          <w:rFonts w:ascii="Times New Roman" w:eastAsia="Times New Roman" w:hAnsi="Times New Roman" w:cs="Times New Roman"/>
          <w:bCs/>
          <w:iCs/>
          <w:sz w:val="24"/>
          <w:szCs w:val="24"/>
        </w:rPr>
        <w:t xml:space="preserve">This performance evaluation, </w:t>
      </w:r>
      <w:r w:rsidRPr="00CB2C4C">
        <w:rPr>
          <w:rFonts w:ascii="Times New Roman" w:hAnsi="Times New Roman" w:cs="Times New Roman"/>
          <w:bCs/>
          <w:iCs/>
          <w:sz w:val="24"/>
          <w:szCs w:val="24"/>
        </w:rPr>
        <w:t>conducted jointly by the Federal Deposit Insurance Corporation (FDIC) and the Commonwealth of Massachusetts Division of Banks (DOB),</w:t>
      </w:r>
      <w:r w:rsidRPr="00CB2C4C">
        <w:rPr>
          <w:rFonts w:ascii="Times New Roman" w:eastAsia="Times New Roman" w:hAnsi="Times New Roman" w:cs="Times New Roman"/>
          <w:bCs/>
          <w:iCs/>
          <w:sz w:val="24"/>
          <w:szCs w:val="24"/>
        </w:rPr>
        <w:t xml:space="preserve"> assessed</w:t>
      </w:r>
      <w:r>
        <w:rPr>
          <w:rFonts w:ascii="Times New Roman" w:eastAsia="Times New Roman" w:hAnsi="Times New Roman" w:cs="Times New Roman"/>
          <w:bCs/>
          <w:iCs/>
          <w:sz w:val="24"/>
          <w:szCs w:val="24"/>
        </w:rPr>
        <w:t xml:space="preserve"> HarborOne Bank’s (</w:t>
      </w:r>
      <w:r w:rsidRPr="00CB2C4C">
        <w:rPr>
          <w:rFonts w:ascii="Times New Roman" w:eastAsia="Times New Roman" w:hAnsi="Times New Roman" w:cs="Times New Roman"/>
          <w:bCs/>
          <w:iCs/>
          <w:sz w:val="24"/>
          <w:szCs w:val="24"/>
        </w:rPr>
        <w:t>HOB</w:t>
      </w:r>
      <w:r>
        <w:rPr>
          <w:rFonts w:ascii="Times New Roman" w:eastAsia="Times New Roman" w:hAnsi="Times New Roman" w:cs="Times New Roman"/>
          <w:bCs/>
          <w:iCs/>
          <w:sz w:val="24"/>
          <w:szCs w:val="24"/>
        </w:rPr>
        <w:t>)</w:t>
      </w:r>
      <w:r w:rsidRPr="00CB2C4C">
        <w:rPr>
          <w:rFonts w:ascii="Times New Roman" w:eastAsia="Times New Roman" w:hAnsi="Times New Roman" w:cs="Times New Roman"/>
          <w:bCs/>
          <w:iCs/>
          <w:sz w:val="24"/>
          <w:szCs w:val="24"/>
        </w:rPr>
        <w:t xml:space="preserve"> CRA performance since the prior evaluation dated December 18, 2017, to the current evaluation dated January 26, 2021.  Examiners u</w:t>
      </w:r>
      <w:r w:rsidR="000061C4">
        <w:rPr>
          <w:rFonts w:ascii="Times New Roman" w:eastAsia="Times New Roman" w:hAnsi="Times New Roman" w:cs="Times New Roman"/>
          <w:bCs/>
          <w:iCs/>
          <w:sz w:val="24"/>
          <w:szCs w:val="24"/>
        </w:rPr>
        <w:t>sed</w:t>
      </w:r>
      <w:r w:rsidRPr="00CB2C4C">
        <w:rPr>
          <w:rFonts w:ascii="Times New Roman" w:eastAsia="Times New Roman" w:hAnsi="Times New Roman" w:cs="Times New Roman"/>
          <w:bCs/>
          <w:iCs/>
          <w:sz w:val="24"/>
          <w:szCs w:val="24"/>
        </w:rPr>
        <w:t xml:space="preserve"> the Interagency Large Institution Examination Procedures, which include </w:t>
      </w:r>
      <w:r w:rsidR="000061C4">
        <w:rPr>
          <w:rFonts w:ascii="Times New Roman" w:eastAsia="Times New Roman" w:hAnsi="Times New Roman" w:cs="Times New Roman"/>
          <w:bCs/>
          <w:iCs/>
          <w:sz w:val="24"/>
          <w:szCs w:val="24"/>
        </w:rPr>
        <w:t>a</w:t>
      </w:r>
      <w:r w:rsidRPr="00CB2C4C">
        <w:rPr>
          <w:rFonts w:ascii="Times New Roman" w:eastAsia="Times New Roman" w:hAnsi="Times New Roman" w:cs="Times New Roman"/>
          <w:bCs/>
          <w:iCs/>
          <w:sz w:val="24"/>
          <w:szCs w:val="24"/>
        </w:rPr>
        <w:t xml:space="preserve"> Lending Test, Investment Test, and Service Test.  Examiners obtained demographic and economic information referenced in the evaluation from the </w:t>
      </w:r>
      <w:r w:rsidRPr="00CB2C4C">
        <w:rPr>
          <w:rFonts w:ascii="Times New Roman" w:hAnsi="Times New Roman" w:cs="Times New Roman"/>
          <w:bCs/>
          <w:iCs/>
          <w:sz w:val="24"/>
          <w:szCs w:val="24"/>
        </w:rPr>
        <w:t xml:space="preserve">2010 United States (U.S.) Census, 2015 </w:t>
      </w:r>
      <w:r w:rsidR="000061C4">
        <w:rPr>
          <w:rFonts w:ascii="Times New Roman" w:hAnsi="Times New Roman" w:cs="Times New Roman"/>
          <w:bCs/>
          <w:iCs/>
          <w:sz w:val="24"/>
          <w:szCs w:val="24"/>
        </w:rPr>
        <w:t>American Community Survey (ACS)</w:t>
      </w:r>
      <w:r w:rsidRPr="00162544">
        <w:rPr>
          <w:rFonts w:ascii="Times New Roman" w:hAnsi="Times New Roman" w:cs="Times New Roman"/>
          <w:bCs/>
          <w:iCs/>
          <w:sz w:val="24"/>
          <w:szCs w:val="24"/>
        </w:rPr>
        <w:t xml:space="preserve">, D&amp;B, Moody’s Analytics, and U.S. Bureau of Labor Statistics.  In addition, examiners obtained </w:t>
      </w:r>
      <w:r w:rsidRPr="00C722B6">
        <w:rPr>
          <w:rFonts w:ascii="Times New Roman" w:hAnsi="Times New Roman" w:cs="Times New Roman"/>
          <w:bCs/>
          <w:iCs/>
          <w:sz w:val="24"/>
          <w:szCs w:val="24"/>
        </w:rPr>
        <w:t>the bank’s financial data from its September 30, 2020, Report of Income and Condition (Call Report).</w:t>
      </w:r>
    </w:p>
    <w:p w14:paraId="1E1F0F48" w14:textId="77777777" w:rsidR="00D7363C" w:rsidRPr="00C722B6" w:rsidRDefault="00D7363C" w:rsidP="00D7363C">
      <w:pPr>
        <w:tabs>
          <w:tab w:val="left" w:pos="1260"/>
        </w:tabs>
        <w:spacing w:after="0" w:line="240" w:lineRule="auto"/>
        <w:rPr>
          <w:rFonts w:ascii="Times New Roman" w:eastAsia="Times New Roman" w:hAnsi="Times New Roman" w:cs="Times New Roman"/>
          <w:bCs/>
          <w:iCs/>
          <w:sz w:val="24"/>
          <w:szCs w:val="24"/>
        </w:rPr>
      </w:pPr>
    </w:p>
    <w:p w14:paraId="2899F9ED" w14:textId="77777777" w:rsidR="00D7363C" w:rsidRPr="00C722B6" w:rsidRDefault="00D7363C" w:rsidP="00D7363C">
      <w:pPr>
        <w:tabs>
          <w:tab w:val="left" w:pos="1260"/>
        </w:tabs>
        <w:spacing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The Lending Test considered the institution’s performance according to the following criteria.</w:t>
      </w:r>
    </w:p>
    <w:p w14:paraId="3615B87D"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Lending activity</w:t>
      </w:r>
    </w:p>
    <w:p w14:paraId="7A536082"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Assessment area concentration</w:t>
      </w:r>
    </w:p>
    <w:p w14:paraId="6BAA57E8"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Geographic distribution</w:t>
      </w:r>
    </w:p>
    <w:p w14:paraId="00FB42B7"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Borrower profile</w:t>
      </w:r>
    </w:p>
    <w:p w14:paraId="423B1B74"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Innovative and/or flexible lending practices</w:t>
      </w:r>
    </w:p>
    <w:p w14:paraId="70991B16"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Community development loans</w:t>
      </w:r>
    </w:p>
    <w:p w14:paraId="3CB12084" w14:textId="77777777" w:rsidR="00D7363C" w:rsidRDefault="00D7363C" w:rsidP="00D7363C">
      <w:pPr>
        <w:widowControl w:val="0"/>
        <w:tabs>
          <w:tab w:val="left" w:pos="0"/>
        </w:tabs>
        <w:spacing w:after="0" w:line="240" w:lineRule="auto"/>
        <w:ind w:left="720" w:hanging="720"/>
        <w:rPr>
          <w:rFonts w:ascii="Times New Roman" w:hAnsi="Times New Roman" w:cs="Times New Roman"/>
          <w:bCs/>
          <w:iCs/>
          <w:sz w:val="24"/>
          <w:szCs w:val="24"/>
        </w:rPr>
      </w:pPr>
    </w:p>
    <w:p w14:paraId="723935CD" w14:textId="77777777" w:rsidR="00D7363C" w:rsidRPr="00C722B6" w:rsidRDefault="00D7363C" w:rsidP="00D7363C">
      <w:pPr>
        <w:widowControl w:val="0"/>
        <w:tabs>
          <w:tab w:val="left" w:pos="0"/>
        </w:tabs>
        <w:spacing w:line="240" w:lineRule="auto"/>
        <w:ind w:left="720" w:hanging="720"/>
        <w:rPr>
          <w:rFonts w:ascii="Times New Roman" w:hAnsi="Times New Roman" w:cs="Times New Roman"/>
          <w:bCs/>
          <w:iCs/>
          <w:sz w:val="24"/>
          <w:szCs w:val="24"/>
        </w:rPr>
      </w:pPr>
      <w:r w:rsidRPr="00C722B6">
        <w:rPr>
          <w:rFonts w:ascii="Times New Roman" w:hAnsi="Times New Roman" w:cs="Times New Roman"/>
          <w:bCs/>
          <w:iCs/>
          <w:sz w:val="24"/>
          <w:szCs w:val="24"/>
        </w:rPr>
        <w:t>The Investment Test considered the following criteria.</w:t>
      </w:r>
    </w:p>
    <w:p w14:paraId="17D1EF1D"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Number and dollar amount of qualified investments</w:t>
      </w:r>
    </w:p>
    <w:p w14:paraId="6BCEE5E7" w14:textId="77777777" w:rsidR="00D7363C" w:rsidRPr="00C722B6" w:rsidRDefault="00D7363C" w:rsidP="00D7363C">
      <w:pPr>
        <w:widowControl w:val="0"/>
        <w:numPr>
          <w:ilvl w:val="0"/>
          <w:numId w:val="5"/>
        </w:numPr>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Responsiveness to credit and community development needs</w:t>
      </w:r>
    </w:p>
    <w:p w14:paraId="7B56BBDC"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Innovativeness or complexity of qualified investments</w:t>
      </w:r>
    </w:p>
    <w:p w14:paraId="4971EB52" w14:textId="77777777" w:rsidR="00D7363C" w:rsidRPr="00C722B6" w:rsidRDefault="00D7363C" w:rsidP="00D7363C">
      <w:pPr>
        <w:tabs>
          <w:tab w:val="left" w:pos="1260"/>
        </w:tabs>
        <w:spacing w:after="0" w:line="240" w:lineRule="auto"/>
        <w:rPr>
          <w:rFonts w:ascii="Times New Roman" w:hAnsi="Times New Roman" w:cs="Times New Roman"/>
          <w:bCs/>
          <w:iCs/>
          <w:sz w:val="24"/>
          <w:szCs w:val="24"/>
        </w:rPr>
      </w:pPr>
    </w:p>
    <w:p w14:paraId="325D8121" w14:textId="77777777" w:rsidR="00D7363C" w:rsidRPr="00C722B6" w:rsidRDefault="00D7363C" w:rsidP="00D7363C">
      <w:pPr>
        <w:tabs>
          <w:tab w:val="left" w:pos="1260"/>
        </w:tabs>
        <w:spacing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The Service Test considered the following criteria.</w:t>
      </w:r>
    </w:p>
    <w:p w14:paraId="482FAEBF"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Accessibility of delivery systems</w:t>
      </w:r>
    </w:p>
    <w:p w14:paraId="684FB478"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Changes in branch locations</w:t>
      </w:r>
    </w:p>
    <w:p w14:paraId="54CB4CB0"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bCs/>
          <w:iCs/>
          <w:sz w:val="24"/>
          <w:szCs w:val="24"/>
        </w:rPr>
      </w:pPr>
      <w:r w:rsidRPr="00C722B6">
        <w:rPr>
          <w:rFonts w:ascii="Times New Roman" w:hAnsi="Times New Roman" w:cs="Times New Roman"/>
          <w:bCs/>
          <w:iCs/>
          <w:sz w:val="24"/>
          <w:szCs w:val="24"/>
        </w:rPr>
        <w:t>Reasonableness of business hours and services</w:t>
      </w:r>
    </w:p>
    <w:p w14:paraId="1649E7C3" w14:textId="77777777" w:rsidR="00D7363C" w:rsidRPr="00C722B6" w:rsidRDefault="00D7363C" w:rsidP="00D7363C">
      <w:pPr>
        <w:widowControl w:val="0"/>
        <w:numPr>
          <w:ilvl w:val="0"/>
          <w:numId w:val="5"/>
        </w:numPr>
        <w:tabs>
          <w:tab w:val="left" w:pos="720"/>
        </w:tabs>
        <w:spacing w:after="0" w:line="240" w:lineRule="auto"/>
        <w:rPr>
          <w:rFonts w:ascii="Times New Roman" w:hAnsi="Times New Roman" w:cs="Times New Roman"/>
          <w:sz w:val="24"/>
          <w:szCs w:val="24"/>
        </w:rPr>
      </w:pPr>
      <w:r w:rsidRPr="00C722B6">
        <w:rPr>
          <w:rFonts w:ascii="Times New Roman" w:hAnsi="Times New Roman" w:cs="Times New Roman"/>
          <w:bCs/>
          <w:iCs/>
          <w:sz w:val="24"/>
          <w:szCs w:val="24"/>
        </w:rPr>
        <w:t>Community development services</w:t>
      </w:r>
    </w:p>
    <w:p w14:paraId="2C4CE5EE" w14:textId="77777777" w:rsidR="00D7363C" w:rsidRPr="00C722B6" w:rsidRDefault="00D7363C" w:rsidP="00D7363C">
      <w:pPr>
        <w:tabs>
          <w:tab w:val="left" w:pos="1260"/>
        </w:tabs>
        <w:spacing w:after="0" w:line="240" w:lineRule="auto"/>
        <w:rPr>
          <w:rFonts w:ascii="Times New Roman" w:eastAsia="Times New Roman" w:hAnsi="Times New Roman" w:cs="Times New Roman"/>
          <w:bCs/>
          <w:iCs/>
          <w:sz w:val="24"/>
          <w:szCs w:val="24"/>
        </w:rPr>
      </w:pPr>
    </w:p>
    <w:p w14:paraId="1D1D96E2" w14:textId="4C001A6A" w:rsidR="00D7363C" w:rsidRPr="00C722B6" w:rsidRDefault="00D7363C" w:rsidP="00D7363C">
      <w:pPr>
        <w:tabs>
          <w:tab w:val="left" w:pos="1260"/>
        </w:tabs>
        <w:spacing w:after="0" w:line="240" w:lineRule="auto"/>
        <w:rPr>
          <w:rFonts w:ascii="Times New Roman" w:eastAsia="Times New Roman" w:hAnsi="Times New Roman" w:cs="Times New Roman"/>
          <w:sz w:val="24"/>
          <w:szCs w:val="24"/>
        </w:rPr>
      </w:pPr>
      <w:r w:rsidRPr="00C722B6">
        <w:rPr>
          <w:rFonts w:ascii="Times New Roman" w:hAnsi="Times New Roman" w:cs="Times New Roman"/>
          <w:sz w:val="24"/>
          <w:szCs w:val="24"/>
        </w:rPr>
        <w:t xml:space="preserve">This evaluation includes </w:t>
      </w:r>
      <w:r w:rsidR="00707271">
        <w:rPr>
          <w:rFonts w:ascii="Times New Roman" w:hAnsi="Times New Roman" w:cs="Times New Roman"/>
          <w:sz w:val="24"/>
          <w:szCs w:val="24"/>
        </w:rPr>
        <w:t xml:space="preserve">2019 </w:t>
      </w:r>
      <w:r w:rsidRPr="00C722B6">
        <w:rPr>
          <w:rFonts w:ascii="Times New Roman" w:eastAsia="Times New Roman" w:hAnsi="Times New Roman" w:cs="Times New Roman"/>
          <w:bCs/>
          <w:iCs/>
          <w:sz w:val="24"/>
          <w:szCs w:val="24"/>
        </w:rPr>
        <w:t>lending activity from</w:t>
      </w:r>
      <w:r>
        <w:rPr>
          <w:rFonts w:ascii="Times New Roman" w:eastAsia="Times New Roman" w:hAnsi="Times New Roman" w:cs="Times New Roman"/>
          <w:bCs/>
          <w:iCs/>
          <w:sz w:val="24"/>
          <w:szCs w:val="24"/>
        </w:rPr>
        <w:t xml:space="preserve"> the bank’s</w:t>
      </w:r>
      <w:r w:rsidRPr="00C722B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wholly-owned </w:t>
      </w:r>
      <w:r w:rsidRPr="00C722B6">
        <w:rPr>
          <w:rFonts w:ascii="Times New Roman" w:eastAsia="Times New Roman" w:hAnsi="Times New Roman" w:cs="Times New Roman"/>
          <w:bCs/>
          <w:iCs/>
          <w:sz w:val="24"/>
          <w:szCs w:val="24"/>
        </w:rPr>
        <w:t>mortgage subsidiary, HarborOne Mortgage, LLC (HOME)</w:t>
      </w:r>
      <w:r w:rsidRPr="00C722B6">
        <w:rPr>
          <w:rFonts w:ascii="Times New Roman" w:eastAsia="Times New Roman" w:hAnsi="Times New Roman" w:cs="Times New Roman"/>
          <w:sz w:val="24"/>
          <w:szCs w:val="24"/>
        </w:rPr>
        <w:t>.</w:t>
      </w:r>
      <w:r w:rsidR="00A01B8F">
        <w:rPr>
          <w:rFonts w:ascii="Times New Roman" w:eastAsia="Times New Roman" w:hAnsi="Times New Roman" w:cs="Times New Roman"/>
          <w:sz w:val="24"/>
          <w:szCs w:val="24"/>
        </w:rPr>
        <w:t xml:space="preserve">  As of January 2019, the bank consolidated all home mortgage lending operations</w:t>
      </w:r>
      <w:r w:rsidR="00AF58C7">
        <w:rPr>
          <w:rFonts w:ascii="Times New Roman" w:eastAsia="Times New Roman" w:hAnsi="Times New Roman" w:cs="Times New Roman"/>
          <w:sz w:val="24"/>
          <w:szCs w:val="24"/>
        </w:rPr>
        <w:t xml:space="preserve"> under HOME</w:t>
      </w:r>
      <w:r w:rsidR="00A01B8F">
        <w:rPr>
          <w:rFonts w:ascii="Times New Roman" w:eastAsia="Times New Roman" w:hAnsi="Times New Roman" w:cs="Times New Roman"/>
          <w:sz w:val="24"/>
          <w:szCs w:val="24"/>
        </w:rPr>
        <w:t>, except for</w:t>
      </w:r>
      <w:r w:rsidR="00AF58C7">
        <w:rPr>
          <w:rFonts w:ascii="Times New Roman" w:eastAsia="Times New Roman" w:hAnsi="Times New Roman" w:cs="Times New Roman"/>
          <w:sz w:val="24"/>
          <w:szCs w:val="24"/>
        </w:rPr>
        <w:t xml:space="preserve"> home equity products and</w:t>
      </w:r>
      <w:r w:rsidR="00A01B8F">
        <w:rPr>
          <w:rFonts w:ascii="Times New Roman" w:eastAsia="Times New Roman" w:hAnsi="Times New Roman" w:cs="Times New Roman"/>
          <w:sz w:val="24"/>
          <w:szCs w:val="24"/>
        </w:rPr>
        <w:t xml:space="preserve"> loans</w:t>
      </w:r>
      <w:r w:rsidR="00AF58C7">
        <w:rPr>
          <w:rFonts w:ascii="Times New Roman" w:eastAsia="Times New Roman" w:hAnsi="Times New Roman" w:cs="Times New Roman"/>
          <w:sz w:val="24"/>
          <w:szCs w:val="24"/>
        </w:rPr>
        <w:t xml:space="preserve"> secured by residential real estate</w:t>
      </w:r>
      <w:r w:rsidR="00A01B8F">
        <w:rPr>
          <w:rFonts w:ascii="Times New Roman" w:eastAsia="Times New Roman" w:hAnsi="Times New Roman" w:cs="Times New Roman"/>
          <w:sz w:val="24"/>
          <w:szCs w:val="24"/>
        </w:rPr>
        <w:t xml:space="preserve"> originated f</w:t>
      </w:r>
      <w:r w:rsidR="00AF58C7">
        <w:rPr>
          <w:rFonts w:ascii="Times New Roman" w:eastAsia="Times New Roman" w:hAnsi="Times New Roman" w:cs="Times New Roman"/>
          <w:sz w:val="24"/>
          <w:szCs w:val="24"/>
        </w:rPr>
        <w:t>rom its commercial lending area</w:t>
      </w:r>
      <w:r w:rsidR="00A01B8F">
        <w:rPr>
          <w:rFonts w:ascii="Times New Roman" w:eastAsia="Times New Roman" w:hAnsi="Times New Roman" w:cs="Times New Roman"/>
          <w:sz w:val="24"/>
          <w:szCs w:val="24"/>
        </w:rPr>
        <w:t>.</w:t>
      </w:r>
    </w:p>
    <w:p w14:paraId="13321127" w14:textId="77777777" w:rsidR="00D7363C" w:rsidRPr="00C722B6" w:rsidRDefault="00D7363C" w:rsidP="00D7363C">
      <w:pPr>
        <w:tabs>
          <w:tab w:val="left" w:pos="1260"/>
        </w:tabs>
        <w:spacing w:after="0" w:line="240" w:lineRule="auto"/>
        <w:rPr>
          <w:rFonts w:ascii="Times New Roman" w:eastAsia="Times New Roman" w:hAnsi="Times New Roman" w:cs="Times New Roman"/>
          <w:bCs/>
          <w:iCs/>
          <w:sz w:val="24"/>
          <w:szCs w:val="24"/>
        </w:rPr>
      </w:pPr>
    </w:p>
    <w:p w14:paraId="02C8CFBA" w14:textId="7DCE81E9" w:rsidR="00D7363C" w:rsidRPr="00C722B6" w:rsidRDefault="007A55D6" w:rsidP="00D7363C">
      <w:pPr>
        <w:tabs>
          <w:tab w:val="left" w:pos="1260"/>
        </w:tabs>
        <w:spacing w:after="0" w:line="24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Activitie</w:t>
      </w:r>
      <w:r w:rsidR="00D7363C">
        <w:rPr>
          <w:rFonts w:ascii="Times New Roman" w:eastAsia="Times New Roman" w:hAnsi="Times New Roman" w:cs="Times New Roman"/>
          <w:b/>
          <w:bCs/>
          <w:iCs/>
          <w:sz w:val="24"/>
          <w:szCs w:val="24"/>
          <w:u w:val="single"/>
        </w:rPr>
        <w:t>s</w:t>
      </w:r>
      <w:r w:rsidR="00D7363C" w:rsidRPr="00C722B6">
        <w:rPr>
          <w:rFonts w:ascii="Times New Roman" w:eastAsia="Times New Roman" w:hAnsi="Times New Roman" w:cs="Times New Roman"/>
          <w:b/>
          <w:bCs/>
          <w:iCs/>
          <w:sz w:val="24"/>
          <w:szCs w:val="24"/>
          <w:u w:val="single"/>
        </w:rPr>
        <w:t xml:space="preserve"> Reviewed</w:t>
      </w:r>
    </w:p>
    <w:p w14:paraId="6CD5BBC7" w14:textId="77777777" w:rsidR="00D7363C" w:rsidRPr="00C722B6" w:rsidRDefault="00D7363C" w:rsidP="00D7363C">
      <w:pPr>
        <w:tabs>
          <w:tab w:val="left" w:pos="1260"/>
        </w:tabs>
        <w:spacing w:after="0" w:line="240" w:lineRule="auto"/>
        <w:rPr>
          <w:rFonts w:ascii="Times New Roman" w:eastAsia="Times New Roman" w:hAnsi="Times New Roman" w:cs="Times New Roman"/>
          <w:bCs/>
          <w:iCs/>
          <w:sz w:val="24"/>
          <w:szCs w:val="24"/>
        </w:rPr>
      </w:pPr>
    </w:p>
    <w:p w14:paraId="5E91BDC0" w14:textId="41828D2A" w:rsidR="00D7363C" w:rsidRPr="003A165A" w:rsidRDefault="00D7363C" w:rsidP="00D7363C">
      <w:pPr>
        <w:tabs>
          <w:tab w:val="left" w:pos="1260"/>
        </w:tabs>
        <w:spacing w:after="0" w:line="240" w:lineRule="auto"/>
        <w:rPr>
          <w:rFonts w:ascii="Times New Roman" w:hAnsi="Times New Roman" w:cs="Times New Roman"/>
          <w:sz w:val="24"/>
          <w:szCs w:val="24"/>
        </w:rPr>
      </w:pPr>
      <w:r w:rsidRPr="00C722B6">
        <w:rPr>
          <w:rFonts w:ascii="Times New Roman" w:eastAsia="Times New Roman" w:hAnsi="Times New Roman" w:cs="Times New Roman"/>
          <w:bCs/>
          <w:iCs/>
          <w:sz w:val="24"/>
          <w:szCs w:val="24"/>
        </w:rPr>
        <w:t xml:space="preserve">Based on the number and dollar volume of loans originated during the evaluation period, examiners determined that the bank’s </w:t>
      </w:r>
      <w:r w:rsidRPr="00C722B6">
        <w:rPr>
          <w:rFonts w:ascii="Times New Roman" w:hAnsi="Times New Roman" w:cs="Times New Roman"/>
          <w:sz w:val="24"/>
          <w:szCs w:val="24"/>
        </w:rPr>
        <w:t xml:space="preserve">major product lines are home mortgage and small business loans.  Examiners </w:t>
      </w:r>
      <w:r>
        <w:rPr>
          <w:rFonts w:ascii="Times New Roman" w:hAnsi="Times New Roman" w:cs="Times New Roman"/>
          <w:sz w:val="24"/>
          <w:szCs w:val="24"/>
        </w:rPr>
        <w:t>focused</w:t>
      </w:r>
      <w:r w:rsidRPr="00C722B6">
        <w:rPr>
          <w:rFonts w:ascii="Times New Roman" w:hAnsi="Times New Roman" w:cs="Times New Roman"/>
          <w:sz w:val="24"/>
          <w:szCs w:val="24"/>
        </w:rPr>
        <w:t xml:space="preserve"> on these</w:t>
      </w:r>
      <w:r w:rsidRPr="003A165A">
        <w:rPr>
          <w:rFonts w:ascii="Times New Roman" w:hAnsi="Times New Roman" w:cs="Times New Roman"/>
          <w:sz w:val="24"/>
          <w:szCs w:val="24"/>
        </w:rPr>
        <w:t xml:space="preserve"> loan types based on the bank’s business strategy and the number and </w:t>
      </w:r>
      <w:r w:rsidRPr="003A165A">
        <w:rPr>
          <w:rFonts w:ascii="Times New Roman" w:hAnsi="Times New Roman" w:cs="Times New Roman"/>
          <w:sz w:val="24"/>
          <w:szCs w:val="24"/>
        </w:rPr>
        <w:lastRenderedPageBreak/>
        <w:t>do</w:t>
      </w:r>
      <w:r>
        <w:rPr>
          <w:rFonts w:ascii="Times New Roman" w:hAnsi="Times New Roman" w:cs="Times New Roman"/>
          <w:sz w:val="24"/>
          <w:szCs w:val="24"/>
        </w:rPr>
        <w:t>llar volume of loan originations</w:t>
      </w:r>
      <w:r w:rsidRPr="003A165A">
        <w:rPr>
          <w:rFonts w:ascii="Times New Roman" w:hAnsi="Times New Roman" w:cs="Times New Roman"/>
          <w:sz w:val="24"/>
          <w:szCs w:val="24"/>
        </w:rPr>
        <w:t xml:space="preserve"> during the evaluation period.  Other product lines such as small farm loans, consumer, and other loan types </w:t>
      </w:r>
      <w:r>
        <w:rPr>
          <w:rFonts w:ascii="Times New Roman" w:hAnsi="Times New Roman" w:cs="Times New Roman"/>
          <w:sz w:val="24"/>
          <w:szCs w:val="24"/>
        </w:rPr>
        <w:t>were</w:t>
      </w:r>
      <w:r w:rsidRPr="003A165A">
        <w:rPr>
          <w:rFonts w:ascii="Times New Roman" w:hAnsi="Times New Roman" w:cs="Times New Roman"/>
          <w:sz w:val="24"/>
          <w:szCs w:val="24"/>
        </w:rPr>
        <w:t xml:space="preserve"> not be considered due to</w:t>
      </w:r>
      <w:r w:rsidR="00707271">
        <w:rPr>
          <w:rFonts w:ascii="Times New Roman" w:hAnsi="Times New Roman" w:cs="Times New Roman"/>
          <w:sz w:val="24"/>
          <w:szCs w:val="24"/>
        </w:rPr>
        <w:t xml:space="preserve"> lower origination totals and</w:t>
      </w:r>
      <w:r w:rsidRPr="003A165A">
        <w:rPr>
          <w:rFonts w:ascii="Times New Roman" w:hAnsi="Times New Roman" w:cs="Times New Roman"/>
          <w:sz w:val="24"/>
          <w:szCs w:val="24"/>
        </w:rPr>
        <w:t xml:space="preserve"> the small portion of the loan portfolio these loan types</w:t>
      </w:r>
      <w:r w:rsidR="00707271">
        <w:rPr>
          <w:rFonts w:ascii="Times New Roman" w:hAnsi="Times New Roman" w:cs="Times New Roman"/>
          <w:sz w:val="24"/>
          <w:szCs w:val="24"/>
        </w:rPr>
        <w:t xml:space="preserve"> represent</w:t>
      </w:r>
      <w:r w:rsidRPr="003A165A">
        <w:rPr>
          <w:rFonts w:ascii="Times New Roman" w:hAnsi="Times New Roman" w:cs="Times New Roman"/>
          <w:sz w:val="24"/>
          <w:szCs w:val="24"/>
        </w:rPr>
        <w:t>.</w:t>
      </w:r>
    </w:p>
    <w:p w14:paraId="18295448" w14:textId="77777777" w:rsidR="00D7363C" w:rsidRPr="003A165A" w:rsidRDefault="00D7363C" w:rsidP="00D7363C">
      <w:pPr>
        <w:tabs>
          <w:tab w:val="left" w:pos="1260"/>
        </w:tabs>
        <w:spacing w:after="0" w:line="240" w:lineRule="auto"/>
        <w:rPr>
          <w:rFonts w:ascii="Times New Roman" w:hAnsi="Times New Roman" w:cs="Times New Roman"/>
          <w:sz w:val="24"/>
          <w:szCs w:val="24"/>
        </w:rPr>
      </w:pPr>
    </w:p>
    <w:p w14:paraId="0493065B" w14:textId="43E2C171" w:rsidR="00D7363C" w:rsidRDefault="00D7363C" w:rsidP="00D7363C">
      <w:pPr>
        <w:spacing w:after="0" w:line="240" w:lineRule="auto"/>
        <w:contextualSpacing/>
        <w:rPr>
          <w:rFonts w:ascii="Times New Roman" w:hAnsi="Times New Roman" w:cs="Times New Roman"/>
          <w:sz w:val="24"/>
          <w:szCs w:val="24"/>
        </w:rPr>
      </w:pPr>
      <w:r w:rsidRPr="0083640A">
        <w:rPr>
          <w:rFonts w:ascii="Times New Roman" w:hAnsi="Times New Roman" w:cs="Times New Roman"/>
          <w:sz w:val="24"/>
          <w:szCs w:val="24"/>
        </w:rPr>
        <w:t xml:space="preserve">Examiners </w:t>
      </w:r>
      <w:r w:rsidR="007A55D6">
        <w:rPr>
          <w:rFonts w:ascii="Times New Roman" w:hAnsi="Times New Roman" w:cs="Times New Roman"/>
          <w:sz w:val="24"/>
          <w:szCs w:val="24"/>
        </w:rPr>
        <w:t xml:space="preserve">reviewed all loans reported on </w:t>
      </w:r>
      <w:r>
        <w:rPr>
          <w:rFonts w:ascii="Times New Roman" w:hAnsi="Times New Roman" w:cs="Times New Roman"/>
          <w:sz w:val="24"/>
          <w:szCs w:val="24"/>
        </w:rPr>
        <w:t>HOB</w:t>
      </w:r>
      <w:r w:rsidRPr="0083640A">
        <w:rPr>
          <w:rFonts w:ascii="Times New Roman" w:hAnsi="Times New Roman" w:cs="Times New Roman"/>
          <w:sz w:val="24"/>
          <w:szCs w:val="24"/>
        </w:rPr>
        <w:t xml:space="preserve">’s Home Mortgage Disclosure Act (HMDA) Loan Application Registers (LARs) for 2017, 2018, and 2019.  </w:t>
      </w:r>
      <w:r w:rsidRPr="007E203F">
        <w:rPr>
          <w:rFonts w:ascii="Times New Roman" w:hAnsi="Times New Roman" w:cs="Times New Roman"/>
          <w:sz w:val="24"/>
          <w:szCs w:val="24"/>
        </w:rPr>
        <w:t>The bank reported 504 loans totaling $185.9 million in 2017</w:t>
      </w:r>
      <w:r>
        <w:rPr>
          <w:rFonts w:ascii="Times New Roman" w:hAnsi="Times New Roman" w:cs="Times New Roman"/>
          <w:sz w:val="24"/>
          <w:szCs w:val="24"/>
        </w:rPr>
        <w:t xml:space="preserve">, </w:t>
      </w:r>
      <w:r w:rsidRPr="007E203F">
        <w:rPr>
          <w:rFonts w:ascii="Times New Roman" w:hAnsi="Times New Roman" w:cs="Times New Roman"/>
          <w:sz w:val="24"/>
          <w:szCs w:val="24"/>
        </w:rPr>
        <w:t>195 loans totaling $69.5 million in 2018</w:t>
      </w:r>
      <w:r>
        <w:rPr>
          <w:rFonts w:ascii="Times New Roman" w:hAnsi="Times New Roman" w:cs="Times New Roman"/>
          <w:sz w:val="24"/>
          <w:szCs w:val="24"/>
        </w:rPr>
        <w:t xml:space="preserve">, </w:t>
      </w:r>
      <w:r w:rsidRPr="00593AC0">
        <w:rPr>
          <w:rFonts w:ascii="Times New Roman" w:hAnsi="Times New Roman" w:cs="Times New Roman"/>
          <w:sz w:val="24"/>
          <w:szCs w:val="24"/>
        </w:rPr>
        <w:t xml:space="preserve">and </w:t>
      </w:r>
      <w:r w:rsidRPr="00593AC0">
        <w:rPr>
          <w:rFonts w:ascii="Times New Roman" w:eastAsia="Times New Roman" w:hAnsi="Times New Roman" w:cs="Times New Roman"/>
          <w:sz w:val="24"/>
          <w:szCs w:val="24"/>
        </w:rPr>
        <w:t>38 loans</w:t>
      </w:r>
      <w:r w:rsidRPr="00593AC0">
        <w:rPr>
          <w:rFonts w:ascii="Times New Roman" w:hAnsi="Times New Roman" w:cs="Times New Roman"/>
          <w:sz w:val="24"/>
          <w:szCs w:val="24"/>
        </w:rPr>
        <w:t xml:space="preserve"> totaling $120.</w:t>
      </w:r>
      <w:r w:rsidR="00AB45EB">
        <w:rPr>
          <w:rFonts w:ascii="Times New Roman" w:hAnsi="Times New Roman" w:cs="Times New Roman"/>
          <w:sz w:val="24"/>
          <w:szCs w:val="24"/>
        </w:rPr>
        <w:t>2</w:t>
      </w:r>
      <w:r w:rsidRPr="00593AC0">
        <w:rPr>
          <w:rFonts w:ascii="Times New Roman" w:hAnsi="Times New Roman" w:cs="Times New Roman"/>
          <w:sz w:val="24"/>
          <w:szCs w:val="24"/>
        </w:rPr>
        <w:t xml:space="preserve"> million</w:t>
      </w:r>
      <w:r>
        <w:rPr>
          <w:rFonts w:ascii="Times New Roman" w:eastAsia="Times New Roman" w:hAnsi="Times New Roman" w:cs="Times New Roman"/>
          <w:sz w:val="24"/>
          <w:szCs w:val="24"/>
        </w:rPr>
        <w:t xml:space="preserve"> in 2019.  </w:t>
      </w:r>
      <w:r w:rsidR="000061C4">
        <w:rPr>
          <w:rFonts w:ascii="Times New Roman" w:hAnsi="Times New Roman" w:cs="Times New Roman"/>
          <w:sz w:val="24"/>
          <w:szCs w:val="24"/>
        </w:rPr>
        <w:t>E</w:t>
      </w:r>
      <w:r w:rsidRPr="0083640A">
        <w:rPr>
          <w:rFonts w:ascii="Times New Roman" w:hAnsi="Times New Roman" w:cs="Times New Roman"/>
          <w:sz w:val="24"/>
          <w:szCs w:val="24"/>
        </w:rPr>
        <w:t xml:space="preserve">xaminers </w:t>
      </w:r>
      <w:r w:rsidR="000061C4">
        <w:rPr>
          <w:rFonts w:ascii="Times New Roman" w:hAnsi="Times New Roman" w:cs="Times New Roman"/>
          <w:sz w:val="24"/>
          <w:szCs w:val="24"/>
        </w:rPr>
        <w:t xml:space="preserve">also </w:t>
      </w:r>
      <w:r w:rsidRPr="0083640A">
        <w:rPr>
          <w:rFonts w:ascii="Times New Roman" w:hAnsi="Times New Roman" w:cs="Times New Roman"/>
          <w:sz w:val="24"/>
          <w:szCs w:val="24"/>
        </w:rPr>
        <w:t xml:space="preserve">reviewed loans reported on </w:t>
      </w:r>
      <w:r>
        <w:rPr>
          <w:rFonts w:ascii="Times New Roman" w:hAnsi="Times New Roman" w:cs="Times New Roman"/>
          <w:sz w:val="24"/>
          <w:szCs w:val="24"/>
        </w:rPr>
        <w:t>HOME’s 2019 LAR</w:t>
      </w:r>
      <w:r w:rsidR="00DE1877">
        <w:rPr>
          <w:rFonts w:ascii="Times New Roman" w:hAnsi="Times New Roman" w:cs="Times New Roman"/>
          <w:sz w:val="24"/>
          <w:szCs w:val="24"/>
        </w:rPr>
        <w:t xml:space="preserve"> </w:t>
      </w:r>
      <w:r w:rsidR="00AF58C7">
        <w:rPr>
          <w:rFonts w:ascii="Times New Roman" w:hAnsi="Times New Roman" w:cs="Times New Roman"/>
          <w:sz w:val="24"/>
          <w:szCs w:val="24"/>
        </w:rPr>
        <w:t>secured by residential real estate</w:t>
      </w:r>
      <w:r w:rsidR="00DE1877">
        <w:rPr>
          <w:rFonts w:ascii="Times New Roman" w:hAnsi="Times New Roman" w:cs="Times New Roman"/>
          <w:sz w:val="24"/>
          <w:szCs w:val="24"/>
        </w:rPr>
        <w:t xml:space="preserve"> within the bank’s assessment area</w:t>
      </w:r>
      <w:r>
        <w:rPr>
          <w:rFonts w:ascii="Times New Roman" w:hAnsi="Times New Roman" w:cs="Times New Roman"/>
          <w:sz w:val="24"/>
          <w:szCs w:val="24"/>
        </w:rPr>
        <w:t xml:space="preserve">, which </w:t>
      </w:r>
      <w:r w:rsidR="00DE1877">
        <w:rPr>
          <w:rFonts w:ascii="Times New Roman" w:hAnsi="Times New Roman" w:cs="Times New Roman"/>
          <w:sz w:val="24"/>
          <w:szCs w:val="24"/>
        </w:rPr>
        <w:t>total</w:t>
      </w:r>
      <w:r>
        <w:rPr>
          <w:rFonts w:ascii="Times New Roman" w:hAnsi="Times New Roman" w:cs="Times New Roman"/>
          <w:sz w:val="24"/>
          <w:szCs w:val="24"/>
        </w:rPr>
        <w:t>ed</w:t>
      </w:r>
      <w:r w:rsidRPr="0083640A">
        <w:rPr>
          <w:rFonts w:ascii="Times New Roman" w:hAnsi="Times New Roman" w:cs="Times New Roman"/>
          <w:sz w:val="24"/>
          <w:szCs w:val="24"/>
        </w:rPr>
        <w:t xml:space="preserve"> </w:t>
      </w:r>
      <w:r w:rsidR="00DE1877">
        <w:rPr>
          <w:rFonts w:ascii="Times New Roman" w:hAnsi="Times New Roman" w:cs="Times New Roman"/>
          <w:sz w:val="24"/>
          <w:szCs w:val="24"/>
        </w:rPr>
        <w:t>1,17</w:t>
      </w:r>
      <w:r>
        <w:rPr>
          <w:rFonts w:ascii="Times New Roman" w:hAnsi="Times New Roman" w:cs="Times New Roman"/>
          <w:sz w:val="24"/>
          <w:szCs w:val="24"/>
        </w:rPr>
        <w:t xml:space="preserve">9 loans </w:t>
      </w:r>
      <w:r w:rsidR="00DE1877">
        <w:rPr>
          <w:rFonts w:ascii="Times New Roman" w:hAnsi="Times New Roman" w:cs="Times New Roman"/>
          <w:sz w:val="24"/>
          <w:szCs w:val="24"/>
        </w:rPr>
        <w:t xml:space="preserve">for </w:t>
      </w:r>
      <w:r>
        <w:rPr>
          <w:rFonts w:ascii="Times New Roman" w:hAnsi="Times New Roman" w:cs="Times New Roman"/>
          <w:sz w:val="24"/>
          <w:szCs w:val="24"/>
        </w:rPr>
        <w:t>$</w:t>
      </w:r>
      <w:r w:rsidR="00DE1877">
        <w:rPr>
          <w:rFonts w:ascii="Times New Roman" w:hAnsi="Times New Roman" w:cs="Times New Roman"/>
          <w:sz w:val="24"/>
          <w:szCs w:val="24"/>
        </w:rPr>
        <w:t>339</w:t>
      </w:r>
      <w:r>
        <w:rPr>
          <w:rFonts w:ascii="Times New Roman" w:hAnsi="Times New Roman" w:cs="Times New Roman"/>
          <w:sz w:val="24"/>
          <w:szCs w:val="24"/>
        </w:rPr>
        <w:t>.</w:t>
      </w:r>
      <w:r w:rsidR="00DE1877">
        <w:rPr>
          <w:rFonts w:ascii="Times New Roman" w:hAnsi="Times New Roman" w:cs="Times New Roman"/>
          <w:sz w:val="24"/>
          <w:szCs w:val="24"/>
        </w:rPr>
        <w:t>6 m</w:t>
      </w:r>
      <w:r>
        <w:rPr>
          <w:rFonts w:ascii="Times New Roman" w:hAnsi="Times New Roman" w:cs="Times New Roman"/>
          <w:sz w:val="24"/>
          <w:szCs w:val="24"/>
        </w:rPr>
        <w:t>illion.</w:t>
      </w:r>
      <w:r w:rsidR="00DE1877">
        <w:rPr>
          <w:rFonts w:ascii="Times New Roman" w:hAnsi="Times New Roman" w:cs="Times New Roman"/>
          <w:sz w:val="24"/>
          <w:szCs w:val="24"/>
        </w:rPr>
        <w:t xml:space="preserve">  Bank management requested that examiners include HOME’s 2019 lending activity because the bank fully consolidated its home mortgage lending operations under HOME in 2019.  </w:t>
      </w:r>
      <w:r w:rsidRPr="007E203F">
        <w:rPr>
          <w:rFonts w:ascii="Times New Roman" w:hAnsi="Times New Roman" w:cs="Times New Roman"/>
          <w:sz w:val="24"/>
          <w:szCs w:val="24"/>
        </w:rPr>
        <w:t xml:space="preserve">Examiners presented combined </w:t>
      </w:r>
      <w:r w:rsidR="00DE1877">
        <w:rPr>
          <w:rFonts w:ascii="Times New Roman" w:hAnsi="Times New Roman" w:cs="Times New Roman"/>
          <w:sz w:val="24"/>
          <w:szCs w:val="24"/>
        </w:rPr>
        <w:t xml:space="preserve">2019 </w:t>
      </w:r>
      <w:r w:rsidRPr="007E203F">
        <w:rPr>
          <w:rFonts w:ascii="Times New Roman" w:hAnsi="Times New Roman" w:cs="Times New Roman"/>
          <w:sz w:val="24"/>
          <w:szCs w:val="24"/>
        </w:rPr>
        <w:t xml:space="preserve">HMDA data from </w:t>
      </w:r>
      <w:r>
        <w:rPr>
          <w:rFonts w:ascii="Times New Roman" w:hAnsi="Times New Roman" w:cs="Times New Roman"/>
          <w:sz w:val="24"/>
          <w:szCs w:val="24"/>
        </w:rPr>
        <w:t>HOB and HOME</w:t>
      </w:r>
      <w:r w:rsidRPr="007E203F">
        <w:rPr>
          <w:rFonts w:ascii="Times New Roman" w:hAnsi="Times New Roman" w:cs="Times New Roman"/>
          <w:sz w:val="24"/>
          <w:szCs w:val="24"/>
        </w:rPr>
        <w:t xml:space="preserve"> in the geographic distribution and borrower profile tables</w:t>
      </w:r>
      <w:r w:rsidR="00DE1877">
        <w:rPr>
          <w:rFonts w:ascii="Times New Roman" w:hAnsi="Times New Roman" w:cs="Times New Roman"/>
          <w:sz w:val="24"/>
          <w:szCs w:val="24"/>
        </w:rPr>
        <w:t>.  The geographic distribution and borrower profile tables only present 2019 data because 2019</w:t>
      </w:r>
      <w:r w:rsidRPr="007E203F">
        <w:rPr>
          <w:rFonts w:ascii="Times New Roman" w:hAnsi="Times New Roman" w:cs="Times New Roman"/>
          <w:sz w:val="24"/>
          <w:szCs w:val="24"/>
        </w:rPr>
        <w:t xml:space="preserve"> is the most recent year </w:t>
      </w:r>
      <w:r w:rsidR="00DE1877">
        <w:rPr>
          <w:rFonts w:ascii="Times New Roman" w:hAnsi="Times New Roman" w:cs="Times New Roman"/>
          <w:sz w:val="24"/>
          <w:szCs w:val="24"/>
        </w:rPr>
        <w:t>of available</w:t>
      </w:r>
      <w:r w:rsidRPr="007E203F">
        <w:rPr>
          <w:rFonts w:ascii="Times New Roman" w:hAnsi="Times New Roman" w:cs="Times New Roman"/>
          <w:sz w:val="24"/>
          <w:szCs w:val="24"/>
        </w:rPr>
        <w:t xml:space="preserve"> aggregate data</w:t>
      </w:r>
      <w:r>
        <w:rPr>
          <w:rFonts w:ascii="Times New Roman" w:hAnsi="Times New Roman" w:cs="Times New Roman"/>
          <w:sz w:val="24"/>
          <w:szCs w:val="24"/>
        </w:rPr>
        <w:t>.</w:t>
      </w:r>
    </w:p>
    <w:p w14:paraId="17678D61" w14:textId="77777777" w:rsidR="00D7363C" w:rsidRDefault="00D7363C" w:rsidP="00D7363C">
      <w:pPr>
        <w:tabs>
          <w:tab w:val="left" w:pos="1260"/>
        </w:tabs>
        <w:spacing w:after="0" w:line="240" w:lineRule="auto"/>
        <w:rPr>
          <w:rFonts w:ascii="Times New Roman" w:hAnsi="Times New Roman" w:cs="Times New Roman"/>
          <w:sz w:val="24"/>
          <w:szCs w:val="24"/>
        </w:rPr>
      </w:pPr>
    </w:p>
    <w:p w14:paraId="7AA77E2D" w14:textId="54551B7D" w:rsidR="00D7363C" w:rsidRDefault="00D7363C" w:rsidP="00D7363C">
      <w:pPr>
        <w:tabs>
          <w:tab w:val="left" w:pos="1260"/>
        </w:tabs>
        <w:spacing w:after="0" w:line="240" w:lineRule="auto"/>
        <w:rPr>
          <w:rFonts w:ascii="Times New Roman" w:hAnsi="Times New Roman" w:cs="Times New Roman"/>
          <w:sz w:val="24"/>
          <w:szCs w:val="24"/>
        </w:rPr>
      </w:pPr>
      <w:r w:rsidRPr="007E203F">
        <w:rPr>
          <w:rFonts w:ascii="Times New Roman" w:hAnsi="Times New Roman" w:cs="Times New Roman"/>
          <w:sz w:val="24"/>
          <w:szCs w:val="24"/>
        </w:rPr>
        <w:t>Examiners</w:t>
      </w:r>
      <w:r w:rsidRPr="001A6557">
        <w:rPr>
          <w:rFonts w:ascii="Times New Roman" w:hAnsi="Times New Roman" w:cs="Times New Roman"/>
          <w:sz w:val="24"/>
          <w:szCs w:val="24"/>
        </w:rPr>
        <w:t xml:space="preserve"> also reviewed all small business loans reported on </w:t>
      </w:r>
      <w:r>
        <w:rPr>
          <w:rFonts w:ascii="Times New Roman" w:hAnsi="Times New Roman" w:cs="Times New Roman"/>
          <w:sz w:val="24"/>
          <w:szCs w:val="24"/>
        </w:rPr>
        <w:t>HOB’s</w:t>
      </w:r>
      <w:r w:rsidRPr="001A6557">
        <w:rPr>
          <w:rFonts w:ascii="Times New Roman" w:hAnsi="Times New Roman" w:cs="Times New Roman"/>
          <w:sz w:val="24"/>
          <w:szCs w:val="24"/>
        </w:rPr>
        <w:t xml:space="preserve"> CRA Loan Registers for 2017, 2018, and 2019.  The bank reported 160 loans totaling $27.8 million, 218 loans totaling $45.9 million, and 290 loans totaling $53.6</w:t>
      </w:r>
      <w:r>
        <w:rPr>
          <w:rFonts w:ascii="Times New Roman" w:hAnsi="Times New Roman" w:cs="Times New Roman"/>
          <w:sz w:val="24"/>
          <w:szCs w:val="24"/>
        </w:rPr>
        <w:t xml:space="preserve"> million.  Examiners </w:t>
      </w:r>
      <w:r w:rsidRPr="007E203F">
        <w:rPr>
          <w:rFonts w:ascii="Times New Roman" w:hAnsi="Times New Roman" w:cs="Times New Roman"/>
          <w:sz w:val="24"/>
          <w:szCs w:val="24"/>
        </w:rPr>
        <w:t xml:space="preserve">presented 2019 small business </w:t>
      </w:r>
      <w:r w:rsidR="000061C4">
        <w:rPr>
          <w:rFonts w:ascii="Times New Roman" w:hAnsi="Times New Roman" w:cs="Times New Roman"/>
          <w:sz w:val="24"/>
          <w:szCs w:val="24"/>
        </w:rPr>
        <w:t>loans</w:t>
      </w:r>
      <w:r w:rsidRPr="007E203F">
        <w:rPr>
          <w:rFonts w:ascii="Times New Roman" w:hAnsi="Times New Roman" w:cs="Times New Roman"/>
          <w:sz w:val="24"/>
          <w:szCs w:val="24"/>
        </w:rPr>
        <w:t xml:space="preserve"> in the geographic distribution and borrower profile tables</w:t>
      </w:r>
      <w:r>
        <w:rPr>
          <w:rFonts w:ascii="Times New Roman" w:hAnsi="Times New Roman" w:cs="Times New Roman"/>
          <w:sz w:val="24"/>
          <w:szCs w:val="24"/>
        </w:rPr>
        <w:t xml:space="preserve"> due to the availability of 2019</w:t>
      </w:r>
      <w:r w:rsidRPr="007E203F">
        <w:rPr>
          <w:rFonts w:ascii="Times New Roman" w:hAnsi="Times New Roman" w:cs="Times New Roman"/>
          <w:sz w:val="24"/>
          <w:szCs w:val="24"/>
        </w:rPr>
        <w:t xml:space="preserve"> aggregate data.</w:t>
      </w:r>
    </w:p>
    <w:p w14:paraId="06A0908B" w14:textId="77777777" w:rsidR="00D7363C" w:rsidRDefault="00D7363C" w:rsidP="00D7363C">
      <w:pPr>
        <w:tabs>
          <w:tab w:val="left" w:pos="1260"/>
        </w:tabs>
        <w:spacing w:after="0" w:line="240" w:lineRule="auto"/>
        <w:rPr>
          <w:rFonts w:ascii="Times New Roman" w:hAnsi="Times New Roman" w:cs="Times New Roman"/>
          <w:sz w:val="24"/>
          <w:szCs w:val="24"/>
        </w:rPr>
      </w:pPr>
    </w:p>
    <w:p w14:paraId="58D5D247" w14:textId="7A045067" w:rsidR="00D7363C" w:rsidRPr="00397976" w:rsidRDefault="00D7363C" w:rsidP="00D7363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evaluation</w:t>
      </w:r>
      <w:r w:rsidRPr="007E203F">
        <w:rPr>
          <w:rFonts w:ascii="Times New Roman" w:hAnsi="Times New Roman" w:cs="Times New Roman"/>
          <w:sz w:val="24"/>
          <w:szCs w:val="24"/>
        </w:rPr>
        <w:t xml:space="preserve"> compared bank home mortgage </w:t>
      </w:r>
      <w:r>
        <w:rPr>
          <w:rFonts w:ascii="Times New Roman" w:hAnsi="Times New Roman" w:cs="Times New Roman"/>
          <w:sz w:val="24"/>
          <w:szCs w:val="24"/>
        </w:rPr>
        <w:t xml:space="preserve">and small business </w:t>
      </w:r>
      <w:r w:rsidRPr="007E203F">
        <w:rPr>
          <w:rFonts w:ascii="Times New Roman" w:hAnsi="Times New Roman" w:cs="Times New Roman"/>
          <w:sz w:val="24"/>
          <w:szCs w:val="24"/>
        </w:rPr>
        <w:t>lending performance against aggregate lending data for 2017 and 2018</w:t>
      </w:r>
      <w:r>
        <w:rPr>
          <w:rFonts w:ascii="Times New Roman" w:hAnsi="Times New Roman" w:cs="Times New Roman"/>
          <w:sz w:val="24"/>
          <w:szCs w:val="24"/>
        </w:rPr>
        <w:t xml:space="preserve"> for analysis purposes, although the data is not presented in the tables for geographic distribution and borrower profile criteria.  E</w:t>
      </w:r>
      <w:r w:rsidRPr="00397976">
        <w:rPr>
          <w:rFonts w:ascii="Times New Roman" w:hAnsi="Times New Roman" w:cs="Times New Roman"/>
          <w:sz w:val="24"/>
          <w:szCs w:val="24"/>
        </w:rPr>
        <w:t>xaminers presented all years of bank performance in the assessme</w:t>
      </w:r>
      <w:r>
        <w:rPr>
          <w:rFonts w:ascii="Times New Roman" w:hAnsi="Times New Roman" w:cs="Times New Roman"/>
          <w:sz w:val="24"/>
          <w:szCs w:val="24"/>
        </w:rPr>
        <w:t>nt area concentration section.</w:t>
      </w:r>
      <w:r w:rsidR="007C1110">
        <w:rPr>
          <w:rFonts w:ascii="Times New Roman" w:hAnsi="Times New Roman" w:cs="Times New Roman"/>
          <w:sz w:val="24"/>
          <w:szCs w:val="24"/>
        </w:rPr>
        <w:t xml:space="preserve">  When determining Lending Test conclusions and ratings, examiners gave greater weight to home mortgage lending based on the higher volume of home mortgage loans compared to small business loans.</w:t>
      </w:r>
    </w:p>
    <w:p w14:paraId="1DF0C6F6" w14:textId="77777777" w:rsidR="00D7363C" w:rsidRPr="00397976" w:rsidRDefault="00D7363C" w:rsidP="00D7363C">
      <w:pPr>
        <w:tabs>
          <w:tab w:val="left" w:pos="1260"/>
        </w:tabs>
        <w:spacing w:after="0" w:line="240" w:lineRule="auto"/>
        <w:rPr>
          <w:rFonts w:ascii="Times New Roman" w:hAnsi="Times New Roman" w:cs="Times New Roman"/>
          <w:sz w:val="24"/>
          <w:szCs w:val="24"/>
        </w:rPr>
      </w:pPr>
    </w:p>
    <w:p w14:paraId="390D84B0" w14:textId="77777777" w:rsidR="00D7363C" w:rsidRPr="003A165A" w:rsidRDefault="00D7363C" w:rsidP="00D7363C">
      <w:pPr>
        <w:tabs>
          <w:tab w:val="left" w:pos="1260"/>
        </w:tabs>
        <w:spacing w:after="0" w:line="240" w:lineRule="auto"/>
        <w:rPr>
          <w:rFonts w:ascii="Times New Roman" w:hAnsi="Times New Roman" w:cs="Times New Roman"/>
          <w:sz w:val="24"/>
          <w:szCs w:val="24"/>
        </w:rPr>
      </w:pPr>
      <w:r w:rsidRPr="00397976">
        <w:rPr>
          <w:rFonts w:ascii="Times New Roman" w:hAnsi="Times New Roman" w:cs="Times New Roman"/>
          <w:sz w:val="24"/>
          <w:szCs w:val="24"/>
        </w:rPr>
        <w:t xml:space="preserve">The evaluation considered </w:t>
      </w:r>
      <w:r>
        <w:rPr>
          <w:rFonts w:ascii="Times New Roman" w:hAnsi="Times New Roman" w:cs="Times New Roman"/>
          <w:sz w:val="24"/>
          <w:szCs w:val="24"/>
        </w:rPr>
        <w:t>HOB and HOME’s</w:t>
      </w:r>
      <w:r w:rsidRPr="00397976">
        <w:rPr>
          <w:rFonts w:ascii="Times New Roman" w:hAnsi="Times New Roman" w:cs="Times New Roman"/>
          <w:sz w:val="24"/>
          <w:szCs w:val="24"/>
        </w:rPr>
        <w:t xml:space="preserve"> innovative </w:t>
      </w:r>
      <w:r>
        <w:rPr>
          <w:rFonts w:ascii="Times New Roman" w:hAnsi="Times New Roman" w:cs="Times New Roman"/>
          <w:sz w:val="24"/>
          <w:szCs w:val="24"/>
        </w:rPr>
        <w:t>and</w:t>
      </w:r>
      <w:r w:rsidRPr="00397976">
        <w:rPr>
          <w:rFonts w:ascii="Times New Roman" w:hAnsi="Times New Roman" w:cs="Times New Roman"/>
          <w:sz w:val="24"/>
          <w:szCs w:val="24"/>
        </w:rPr>
        <w:t xml:space="preserve"> flexible lending programs and community development loans made between </w:t>
      </w:r>
      <w:r w:rsidRPr="00397976">
        <w:rPr>
          <w:rFonts w:ascii="Times New Roman" w:eastAsia="Times New Roman" w:hAnsi="Times New Roman" w:cs="Times New Roman"/>
          <w:bCs/>
          <w:iCs/>
          <w:sz w:val="24"/>
          <w:szCs w:val="24"/>
        </w:rPr>
        <w:t>December 18, 2017 and January 26, 2021</w:t>
      </w:r>
      <w:r w:rsidRPr="00397976">
        <w:rPr>
          <w:rFonts w:ascii="Times New Roman" w:hAnsi="Times New Roman" w:cs="Times New Roman"/>
          <w:sz w:val="24"/>
          <w:szCs w:val="24"/>
        </w:rPr>
        <w:t>.  The Investment Test and Service Test considered the number and dollar amount of qualified investments and community development services</w:t>
      </w:r>
      <w:r w:rsidRPr="003A165A">
        <w:rPr>
          <w:rFonts w:ascii="Times New Roman" w:hAnsi="Times New Roman" w:cs="Times New Roman"/>
          <w:sz w:val="24"/>
          <w:szCs w:val="24"/>
        </w:rPr>
        <w:t xml:space="preserve"> during this timeframe.</w:t>
      </w:r>
    </w:p>
    <w:p w14:paraId="56A82C0D" w14:textId="77777777" w:rsidR="00D7363C" w:rsidRDefault="00D7363C" w:rsidP="00D7363C">
      <w:pPr>
        <w:tabs>
          <w:tab w:val="left" w:pos="1260"/>
        </w:tabs>
        <w:spacing w:after="0" w:line="240" w:lineRule="auto"/>
        <w:rPr>
          <w:rFonts w:ascii="Times New Roman" w:hAnsi="Times New Roman" w:cs="Times New Roman"/>
          <w:sz w:val="24"/>
          <w:szCs w:val="24"/>
        </w:rPr>
      </w:pPr>
    </w:p>
    <w:p w14:paraId="0CAEDFF1" w14:textId="77777777" w:rsidR="00555375" w:rsidRPr="00555375" w:rsidRDefault="00555375" w:rsidP="00D7363C">
      <w:pPr>
        <w:tabs>
          <w:tab w:val="left" w:pos="1260"/>
        </w:tabs>
        <w:spacing w:after="0" w:line="240" w:lineRule="auto"/>
        <w:rPr>
          <w:rFonts w:ascii="Times New Roman" w:hAnsi="Times New Roman" w:cs="Times New Roman"/>
          <w:b/>
          <w:sz w:val="24"/>
          <w:szCs w:val="24"/>
          <w:u w:val="single"/>
        </w:rPr>
      </w:pPr>
      <w:r w:rsidRPr="00555375">
        <w:rPr>
          <w:rFonts w:ascii="Times New Roman" w:hAnsi="Times New Roman" w:cs="Times New Roman"/>
          <w:b/>
          <w:sz w:val="24"/>
          <w:szCs w:val="24"/>
          <w:u w:val="single"/>
        </w:rPr>
        <w:t>Assessment Areas Reviewed</w:t>
      </w:r>
    </w:p>
    <w:p w14:paraId="2BD1E5A3" w14:textId="77777777" w:rsidR="00555375" w:rsidRPr="00555375" w:rsidRDefault="00555375" w:rsidP="00D7363C">
      <w:pPr>
        <w:tabs>
          <w:tab w:val="left" w:pos="1260"/>
        </w:tabs>
        <w:spacing w:after="0" w:line="240" w:lineRule="auto"/>
        <w:rPr>
          <w:rFonts w:ascii="Times New Roman" w:hAnsi="Times New Roman" w:cs="Times New Roman"/>
          <w:sz w:val="24"/>
          <w:szCs w:val="24"/>
        </w:rPr>
      </w:pPr>
    </w:p>
    <w:p w14:paraId="1596C2D2" w14:textId="389663D3" w:rsidR="007C1110" w:rsidRDefault="00F44C70" w:rsidP="00555375">
      <w:pPr>
        <w:widowControl w:val="0"/>
        <w:spacing w:after="0" w:line="240" w:lineRule="auto"/>
        <w:rPr>
          <w:rFonts w:ascii="Times New Roman" w:hAnsi="Times New Roman" w:cs="Times New Roman"/>
          <w:sz w:val="24"/>
          <w:szCs w:val="24"/>
        </w:rPr>
      </w:pPr>
      <w:r w:rsidRPr="0039716F">
        <w:rPr>
          <w:rFonts w:ascii="Times New Roman" w:hAnsi="Times New Roman" w:cs="Times New Roman"/>
          <w:sz w:val="24"/>
          <w:szCs w:val="24"/>
        </w:rPr>
        <w:t>HOB designated assessment area</w:t>
      </w:r>
      <w:r w:rsidR="007A55D6">
        <w:rPr>
          <w:rFonts w:ascii="Times New Roman" w:hAnsi="Times New Roman" w:cs="Times New Roman"/>
          <w:sz w:val="24"/>
          <w:szCs w:val="24"/>
        </w:rPr>
        <w:t>s</w:t>
      </w:r>
      <w:r w:rsidRPr="0039716F">
        <w:rPr>
          <w:rFonts w:ascii="Times New Roman" w:hAnsi="Times New Roman" w:cs="Times New Roman"/>
          <w:sz w:val="24"/>
          <w:szCs w:val="24"/>
        </w:rPr>
        <w:t xml:space="preserve"> </w:t>
      </w:r>
      <w:r w:rsidR="0039716F" w:rsidRPr="0039716F">
        <w:rPr>
          <w:rFonts w:ascii="Times New Roman" w:hAnsi="Times New Roman" w:cs="Times New Roman"/>
          <w:sz w:val="24"/>
          <w:szCs w:val="24"/>
        </w:rPr>
        <w:t xml:space="preserve">in Massachusetts and </w:t>
      </w:r>
      <w:r w:rsidR="005B6B42">
        <w:rPr>
          <w:rFonts w:ascii="Times New Roman" w:hAnsi="Times New Roman" w:cs="Times New Roman"/>
          <w:sz w:val="24"/>
          <w:szCs w:val="24"/>
        </w:rPr>
        <w:t xml:space="preserve">the Providence-Warwick, RI-MA </w:t>
      </w:r>
      <w:r w:rsidR="005B6B42" w:rsidRPr="0039716F">
        <w:rPr>
          <w:rFonts w:ascii="Times New Roman" w:hAnsi="Times New Roman" w:cs="Times New Roman"/>
          <w:sz w:val="24"/>
          <w:szCs w:val="24"/>
        </w:rPr>
        <w:t>Metropolitan Statistical Area (MSA)</w:t>
      </w:r>
      <w:r w:rsidR="0039716F" w:rsidRPr="0039716F">
        <w:rPr>
          <w:rFonts w:ascii="Times New Roman" w:hAnsi="Times New Roman" w:cs="Times New Roman"/>
          <w:sz w:val="24"/>
          <w:szCs w:val="24"/>
        </w:rPr>
        <w:t xml:space="preserve">.  Examiners conducted a full-scope </w:t>
      </w:r>
      <w:r w:rsidR="005D2879">
        <w:rPr>
          <w:rFonts w:ascii="Times New Roman" w:hAnsi="Times New Roman" w:cs="Times New Roman"/>
          <w:sz w:val="24"/>
          <w:szCs w:val="24"/>
        </w:rPr>
        <w:t xml:space="preserve">review </w:t>
      </w:r>
      <w:r w:rsidR="0039716F" w:rsidRPr="0039716F">
        <w:rPr>
          <w:rFonts w:ascii="Times New Roman" w:hAnsi="Times New Roman" w:cs="Times New Roman"/>
          <w:sz w:val="24"/>
          <w:szCs w:val="24"/>
        </w:rPr>
        <w:t>of the Massachusetts assessment area</w:t>
      </w:r>
      <w:r w:rsidR="005B6B42">
        <w:rPr>
          <w:rFonts w:ascii="Times New Roman" w:hAnsi="Times New Roman" w:cs="Times New Roman"/>
          <w:sz w:val="24"/>
          <w:szCs w:val="24"/>
        </w:rPr>
        <w:t>, which</w:t>
      </w:r>
      <w:r w:rsidR="0039716F" w:rsidRPr="0039716F">
        <w:rPr>
          <w:rFonts w:ascii="Times New Roman" w:hAnsi="Times New Roman" w:cs="Times New Roman"/>
          <w:sz w:val="24"/>
          <w:szCs w:val="24"/>
        </w:rPr>
        <w:t xml:space="preserve"> includes portions of</w:t>
      </w:r>
      <w:r w:rsidR="00212F9B" w:rsidRPr="0039716F">
        <w:rPr>
          <w:rFonts w:ascii="Times New Roman" w:hAnsi="Times New Roman" w:cs="Times New Roman"/>
          <w:sz w:val="24"/>
          <w:szCs w:val="24"/>
        </w:rPr>
        <w:t xml:space="preserve"> the</w:t>
      </w:r>
      <w:r w:rsidRPr="0039716F">
        <w:rPr>
          <w:rFonts w:ascii="Times New Roman" w:hAnsi="Times New Roman" w:cs="Times New Roman"/>
          <w:sz w:val="24"/>
          <w:szCs w:val="24"/>
        </w:rPr>
        <w:t xml:space="preserve"> Boston</w:t>
      </w:r>
      <w:r w:rsidR="005B6B42">
        <w:rPr>
          <w:rFonts w:ascii="Times New Roman" w:hAnsi="Times New Roman" w:cs="Times New Roman"/>
          <w:sz w:val="24"/>
          <w:szCs w:val="24"/>
        </w:rPr>
        <w:t>, MA Metropolitan Division (MD) and</w:t>
      </w:r>
      <w:r w:rsidR="000061C4">
        <w:rPr>
          <w:rFonts w:ascii="Times New Roman" w:hAnsi="Times New Roman" w:cs="Times New Roman"/>
          <w:sz w:val="24"/>
          <w:szCs w:val="24"/>
        </w:rPr>
        <w:t xml:space="preserve"> contains most </w:t>
      </w:r>
      <w:r w:rsidR="005B6B42">
        <w:rPr>
          <w:rFonts w:ascii="Times New Roman" w:hAnsi="Times New Roman" w:cs="Times New Roman"/>
          <w:sz w:val="24"/>
          <w:szCs w:val="24"/>
        </w:rPr>
        <w:t>of the bank’</w:t>
      </w:r>
      <w:r w:rsidR="0039716F" w:rsidRPr="0039716F">
        <w:rPr>
          <w:rFonts w:ascii="Times New Roman" w:hAnsi="Times New Roman" w:cs="Times New Roman"/>
          <w:sz w:val="24"/>
          <w:szCs w:val="24"/>
        </w:rPr>
        <w:t>s lending activity</w:t>
      </w:r>
      <w:r w:rsidR="00081377">
        <w:rPr>
          <w:rFonts w:ascii="Times New Roman" w:hAnsi="Times New Roman" w:cs="Times New Roman"/>
          <w:sz w:val="24"/>
          <w:szCs w:val="24"/>
        </w:rPr>
        <w:t xml:space="preserve"> </w:t>
      </w:r>
      <w:r w:rsidR="000061C4">
        <w:rPr>
          <w:rFonts w:ascii="Times New Roman" w:hAnsi="Times New Roman" w:cs="Times New Roman"/>
          <w:sz w:val="24"/>
          <w:szCs w:val="24"/>
        </w:rPr>
        <w:t>from</w:t>
      </w:r>
      <w:r w:rsidR="00081377">
        <w:rPr>
          <w:rFonts w:ascii="Times New Roman" w:hAnsi="Times New Roman" w:cs="Times New Roman"/>
          <w:sz w:val="24"/>
          <w:szCs w:val="24"/>
        </w:rPr>
        <w:t xml:space="preserve"> the evaluation period</w:t>
      </w:r>
      <w:r w:rsidR="0039716F" w:rsidRPr="0039716F">
        <w:rPr>
          <w:rFonts w:ascii="Times New Roman" w:hAnsi="Times New Roman" w:cs="Times New Roman"/>
          <w:sz w:val="24"/>
          <w:szCs w:val="24"/>
        </w:rPr>
        <w:t xml:space="preserve">.  </w:t>
      </w:r>
      <w:r w:rsidR="000061C4">
        <w:rPr>
          <w:rFonts w:ascii="Times New Roman" w:hAnsi="Times New Roman" w:cs="Times New Roman"/>
          <w:sz w:val="24"/>
          <w:szCs w:val="24"/>
        </w:rPr>
        <w:t>HOB</w:t>
      </w:r>
      <w:r w:rsidR="00555375" w:rsidRPr="0039716F">
        <w:rPr>
          <w:rFonts w:ascii="Times New Roman" w:hAnsi="Times New Roman" w:cs="Times New Roman"/>
          <w:sz w:val="24"/>
          <w:szCs w:val="24"/>
        </w:rPr>
        <w:t xml:space="preserve"> performance in</w:t>
      </w:r>
      <w:r w:rsidR="0039716F" w:rsidRPr="0039716F">
        <w:rPr>
          <w:rFonts w:ascii="Times New Roman" w:hAnsi="Times New Roman" w:cs="Times New Roman"/>
          <w:sz w:val="24"/>
          <w:szCs w:val="24"/>
        </w:rPr>
        <w:t xml:space="preserve"> Massachusetts</w:t>
      </w:r>
      <w:r w:rsidR="00555375" w:rsidRPr="0039716F">
        <w:rPr>
          <w:rFonts w:ascii="Times New Roman" w:hAnsi="Times New Roman" w:cs="Times New Roman"/>
          <w:sz w:val="24"/>
          <w:szCs w:val="24"/>
        </w:rPr>
        <w:t xml:space="preserve"> </w:t>
      </w:r>
      <w:r w:rsidR="005D2879">
        <w:rPr>
          <w:rFonts w:ascii="Times New Roman" w:hAnsi="Times New Roman" w:cs="Times New Roman"/>
          <w:sz w:val="24"/>
          <w:szCs w:val="24"/>
        </w:rPr>
        <w:t xml:space="preserve">received </w:t>
      </w:r>
      <w:r w:rsidR="00555375" w:rsidRPr="0039716F">
        <w:rPr>
          <w:rFonts w:ascii="Times New Roman" w:hAnsi="Times New Roman" w:cs="Times New Roman"/>
          <w:sz w:val="24"/>
          <w:szCs w:val="24"/>
        </w:rPr>
        <w:t xml:space="preserve">greater </w:t>
      </w:r>
      <w:r w:rsidR="00C14138" w:rsidRPr="0039716F">
        <w:rPr>
          <w:rFonts w:ascii="Times New Roman" w:hAnsi="Times New Roman" w:cs="Times New Roman"/>
          <w:sz w:val="24"/>
          <w:szCs w:val="24"/>
        </w:rPr>
        <w:t xml:space="preserve">weight </w:t>
      </w:r>
      <w:r w:rsidR="00555375" w:rsidRPr="0039716F">
        <w:rPr>
          <w:rFonts w:ascii="Times New Roman" w:hAnsi="Times New Roman" w:cs="Times New Roman"/>
          <w:sz w:val="24"/>
          <w:szCs w:val="24"/>
        </w:rPr>
        <w:t xml:space="preserve">when determining </w:t>
      </w:r>
      <w:r w:rsidR="000061C4">
        <w:rPr>
          <w:rFonts w:ascii="Times New Roman" w:hAnsi="Times New Roman" w:cs="Times New Roman"/>
          <w:sz w:val="24"/>
          <w:szCs w:val="24"/>
        </w:rPr>
        <w:t>overall</w:t>
      </w:r>
      <w:r w:rsidR="00555375" w:rsidRPr="0039716F">
        <w:rPr>
          <w:rFonts w:ascii="Times New Roman" w:hAnsi="Times New Roman" w:cs="Times New Roman"/>
          <w:sz w:val="24"/>
          <w:szCs w:val="24"/>
        </w:rPr>
        <w:t xml:space="preserve"> conclusions.  </w:t>
      </w:r>
    </w:p>
    <w:p w14:paraId="0BF515B3" w14:textId="77777777" w:rsidR="007C1110" w:rsidRDefault="007C1110" w:rsidP="00555375">
      <w:pPr>
        <w:widowControl w:val="0"/>
        <w:spacing w:after="0" w:line="240" w:lineRule="auto"/>
        <w:rPr>
          <w:rFonts w:ascii="Times New Roman" w:hAnsi="Times New Roman" w:cs="Times New Roman"/>
          <w:sz w:val="24"/>
          <w:szCs w:val="24"/>
        </w:rPr>
      </w:pPr>
    </w:p>
    <w:p w14:paraId="2E6363D3" w14:textId="4498C2D1" w:rsidR="00D7363C" w:rsidRDefault="0039716F" w:rsidP="00555375">
      <w:pPr>
        <w:widowControl w:val="0"/>
        <w:spacing w:after="0" w:line="240" w:lineRule="auto"/>
        <w:rPr>
          <w:rFonts w:ascii="Times New Roman" w:hAnsi="Times New Roman" w:cs="Times New Roman"/>
          <w:sz w:val="24"/>
          <w:szCs w:val="24"/>
        </w:rPr>
      </w:pPr>
      <w:r w:rsidRPr="0039716F">
        <w:rPr>
          <w:rFonts w:ascii="Times New Roman" w:hAnsi="Times New Roman" w:cs="Times New Roman"/>
          <w:sz w:val="24"/>
          <w:szCs w:val="24"/>
        </w:rPr>
        <w:t>Examiners also conducted a full-scope review of the Providence-Warwick, RI-MA</w:t>
      </w:r>
      <w:r w:rsidR="005B6B42">
        <w:rPr>
          <w:rFonts w:ascii="Times New Roman" w:hAnsi="Times New Roman" w:cs="Times New Roman"/>
          <w:sz w:val="24"/>
          <w:szCs w:val="24"/>
        </w:rPr>
        <w:t xml:space="preserve"> assessment area</w:t>
      </w:r>
      <w:r w:rsidRPr="0039716F">
        <w:rPr>
          <w:rFonts w:ascii="Times New Roman" w:hAnsi="Times New Roman" w:cs="Times New Roman"/>
          <w:sz w:val="24"/>
          <w:szCs w:val="24"/>
        </w:rPr>
        <w:t xml:space="preserve">, </w:t>
      </w:r>
      <w:r w:rsidR="00641986">
        <w:rPr>
          <w:rFonts w:ascii="Times New Roman" w:hAnsi="Times New Roman" w:cs="Times New Roman"/>
          <w:sz w:val="24"/>
          <w:szCs w:val="24"/>
        </w:rPr>
        <w:t>which consists of the entire MSA.  P</w:t>
      </w:r>
      <w:r w:rsidR="00555375" w:rsidRPr="0039716F">
        <w:rPr>
          <w:rFonts w:ascii="Times New Roman" w:hAnsi="Times New Roman" w:cs="Times New Roman"/>
          <w:sz w:val="24"/>
          <w:szCs w:val="24"/>
        </w:rPr>
        <w:t xml:space="preserve">erformance in this area received </w:t>
      </w:r>
      <w:r w:rsidR="00C14138" w:rsidRPr="0039716F">
        <w:rPr>
          <w:rFonts w:ascii="Times New Roman" w:hAnsi="Times New Roman" w:cs="Times New Roman"/>
          <w:sz w:val="24"/>
          <w:szCs w:val="24"/>
        </w:rPr>
        <w:t>less</w:t>
      </w:r>
      <w:r w:rsidR="00555375" w:rsidRPr="0039716F">
        <w:rPr>
          <w:rFonts w:ascii="Times New Roman" w:hAnsi="Times New Roman" w:cs="Times New Roman"/>
          <w:sz w:val="24"/>
          <w:szCs w:val="24"/>
        </w:rPr>
        <w:t xml:space="preserve"> weight when determining the overall rating and conclusions</w:t>
      </w:r>
      <w:r w:rsidR="00081377">
        <w:rPr>
          <w:rFonts w:ascii="Times New Roman" w:hAnsi="Times New Roman" w:cs="Times New Roman"/>
          <w:sz w:val="24"/>
          <w:szCs w:val="24"/>
        </w:rPr>
        <w:t>.</w:t>
      </w:r>
      <w:r w:rsidR="007C1110">
        <w:rPr>
          <w:rFonts w:ascii="Times New Roman" w:hAnsi="Times New Roman" w:cs="Times New Roman"/>
          <w:sz w:val="24"/>
          <w:szCs w:val="24"/>
        </w:rPr>
        <w:t xml:space="preserve">  Although HOB and HOME originated more home mortgage loans in the Providence-Warwick, RI-MA </w:t>
      </w:r>
      <w:r w:rsidR="00100035">
        <w:rPr>
          <w:rFonts w:ascii="Times New Roman" w:hAnsi="Times New Roman" w:cs="Times New Roman"/>
          <w:sz w:val="24"/>
          <w:szCs w:val="24"/>
        </w:rPr>
        <w:t xml:space="preserve">MSA </w:t>
      </w:r>
      <w:r w:rsidR="007C1110">
        <w:rPr>
          <w:rFonts w:ascii="Times New Roman" w:hAnsi="Times New Roman" w:cs="Times New Roman"/>
          <w:sz w:val="24"/>
          <w:szCs w:val="24"/>
        </w:rPr>
        <w:t>in 2019, higher lending totals in the Boston, MA MD during prior years and the fact that the bank did not begin operating in Rhode Is</w:t>
      </w:r>
      <w:r w:rsidR="009B643D">
        <w:rPr>
          <w:rFonts w:ascii="Times New Roman" w:hAnsi="Times New Roman" w:cs="Times New Roman"/>
          <w:sz w:val="24"/>
          <w:szCs w:val="24"/>
        </w:rPr>
        <w:t>land until October 2018 affected</w:t>
      </w:r>
      <w:r w:rsidR="007C1110">
        <w:rPr>
          <w:rFonts w:ascii="Times New Roman" w:hAnsi="Times New Roman" w:cs="Times New Roman"/>
          <w:sz w:val="24"/>
          <w:szCs w:val="24"/>
        </w:rPr>
        <w:t xml:space="preserve"> assessment area performance weighting.</w:t>
      </w:r>
    </w:p>
    <w:p w14:paraId="749CF750" w14:textId="77777777" w:rsidR="00D7363C" w:rsidRPr="00162544" w:rsidRDefault="00D7363C" w:rsidP="00D7363C">
      <w:pPr>
        <w:pStyle w:val="Heading3"/>
        <w:rPr>
          <w:rFonts w:eastAsia="Times New Roman"/>
        </w:rPr>
      </w:pPr>
      <w:bookmarkStart w:id="4" w:name="_Toc54947558"/>
      <w:bookmarkStart w:id="5" w:name="_Toc70419318"/>
      <w:r w:rsidRPr="00162544">
        <w:rPr>
          <w:rFonts w:eastAsia="Times New Roman"/>
        </w:rPr>
        <w:lastRenderedPageBreak/>
        <w:t>DESCRIPTION OF INSTITUTION</w:t>
      </w:r>
      <w:bookmarkEnd w:id="4"/>
      <w:bookmarkEnd w:id="5"/>
    </w:p>
    <w:p w14:paraId="44C8B7D1" w14:textId="77777777" w:rsidR="00D7363C" w:rsidRPr="00D7363C" w:rsidRDefault="00D7363C" w:rsidP="00D7363C">
      <w:pPr>
        <w:pStyle w:val="Heading3"/>
        <w:jc w:val="left"/>
        <w:rPr>
          <w:rFonts w:eastAsia="Times New Roman"/>
          <w:sz w:val="24"/>
        </w:rPr>
      </w:pPr>
    </w:p>
    <w:p w14:paraId="63409B39" w14:textId="77777777" w:rsidR="00D7363C" w:rsidRPr="00D7363C" w:rsidRDefault="00D7363C" w:rsidP="00D7363C">
      <w:pPr>
        <w:pStyle w:val="Heading3"/>
        <w:jc w:val="left"/>
        <w:rPr>
          <w:rFonts w:eastAsia="Times New Roman"/>
          <w:sz w:val="24"/>
          <w:u w:val="single"/>
        </w:rPr>
      </w:pPr>
      <w:bookmarkStart w:id="6" w:name="_Toc70419319"/>
      <w:r w:rsidRPr="00D7363C">
        <w:rPr>
          <w:rFonts w:eastAsia="Times New Roman"/>
          <w:sz w:val="24"/>
          <w:u w:val="single"/>
        </w:rPr>
        <w:t>Background</w:t>
      </w:r>
      <w:bookmarkEnd w:id="6"/>
    </w:p>
    <w:p w14:paraId="408FD2CB" w14:textId="77777777" w:rsidR="00D7363C" w:rsidRPr="00D7363C" w:rsidRDefault="00D7363C" w:rsidP="00D7363C">
      <w:pPr>
        <w:spacing w:after="0" w:line="240" w:lineRule="auto"/>
        <w:rPr>
          <w:rFonts w:ascii="Times New Roman" w:eastAsia="Times New Roman" w:hAnsi="Times New Roman" w:cs="Times New Roman"/>
          <w:sz w:val="24"/>
          <w:szCs w:val="24"/>
        </w:rPr>
      </w:pPr>
    </w:p>
    <w:p w14:paraId="68967D9A" w14:textId="3FF2E899" w:rsidR="00D7363C" w:rsidRPr="00D7363C" w:rsidRDefault="00D7363C" w:rsidP="00D7363C">
      <w:pPr>
        <w:spacing w:after="0" w:line="240" w:lineRule="auto"/>
        <w:rPr>
          <w:rFonts w:ascii="Times New Roman" w:hAnsi="Times New Roman" w:cs="Times New Roman"/>
          <w:sz w:val="24"/>
          <w:szCs w:val="24"/>
        </w:rPr>
      </w:pPr>
      <w:r w:rsidRPr="00D7363C">
        <w:rPr>
          <w:rFonts w:ascii="Times New Roman" w:hAnsi="Times New Roman" w:cs="Times New Roman"/>
          <w:sz w:val="24"/>
          <w:szCs w:val="24"/>
        </w:rPr>
        <w:t>HOB is wholly owned by HarborOne Bancorp, Inc., a publicly traded bank holding company.  The bank wholly owns</w:t>
      </w:r>
      <w:r w:rsidR="00272341">
        <w:rPr>
          <w:rFonts w:ascii="Times New Roman" w:hAnsi="Times New Roman" w:cs="Times New Roman"/>
          <w:sz w:val="24"/>
          <w:szCs w:val="24"/>
        </w:rPr>
        <w:t xml:space="preserve"> HOME</w:t>
      </w:r>
      <w:r w:rsidRPr="00D7363C">
        <w:rPr>
          <w:rFonts w:ascii="Times New Roman" w:hAnsi="Times New Roman" w:cs="Times New Roman"/>
          <w:sz w:val="24"/>
          <w:szCs w:val="24"/>
        </w:rPr>
        <w:t>, a subsidiary that is a full-service residential mortgage lender that operates in ten states, including Massachusetts</w:t>
      </w:r>
      <w:r w:rsidR="00272341">
        <w:rPr>
          <w:rFonts w:ascii="Times New Roman" w:hAnsi="Times New Roman" w:cs="Times New Roman"/>
          <w:sz w:val="24"/>
          <w:szCs w:val="24"/>
        </w:rPr>
        <w:t xml:space="preserve"> and</w:t>
      </w:r>
      <w:r w:rsidRPr="00D7363C">
        <w:rPr>
          <w:rFonts w:ascii="Times New Roman" w:hAnsi="Times New Roman" w:cs="Times New Roman"/>
          <w:sz w:val="24"/>
          <w:szCs w:val="24"/>
        </w:rPr>
        <w:t xml:space="preserve"> Rhode Island.  HOB also operates two community-centered non-profit foundations in Massachusetts and Rhode Island.</w:t>
      </w:r>
    </w:p>
    <w:p w14:paraId="705D5E33" w14:textId="77777777" w:rsidR="00D7363C" w:rsidRPr="00D7363C" w:rsidRDefault="00D7363C" w:rsidP="00D7363C">
      <w:pPr>
        <w:spacing w:after="0" w:line="240" w:lineRule="auto"/>
        <w:rPr>
          <w:rFonts w:ascii="Times New Roman" w:eastAsia="Times New Roman" w:hAnsi="Times New Roman" w:cs="Times New Roman"/>
          <w:sz w:val="24"/>
          <w:szCs w:val="24"/>
        </w:rPr>
      </w:pPr>
    </w:p>
    <w:p w14:paraId="48F3C1E3" w14:textId="77777777" w:rsidR="00D7363C" w:rsidRPr="00D7363C" w:rsidRDefault="00D7363C" w:rsidP="00D7363C">
      <w:pPr>
        <w:spacing w:after="0" w:line="240" w:lineRule="auto"/>
        <w:rPr>
          <w:rFonts w:ascii="Times New Roman" w:hAnsi="Times New Roman" w:cs="Times New Roman"/>
          <w:sz w:val="24"/>
          <w:szCs w:val="24"/>
        </w:rPr>
      </w:pPr>
      <w:r w:rsidRPr="00D7363C">
        <w:rPr>
          <w:rFonts w:ascii="Times New Roman" w:eastAsia="Times New Roman" w:hAnsi="Times New Roman" w:cs="Times New Roman"/>
          <w:sz w:val="24"/>
          <w:szCs w:val="24"/>
        </w:rPr>
        <w:t xml:space="preserve">The institution received an </w:t>
      </w:r>
      <w:proofErr w:type="gramStart"/>
      <w:r w:rsidRPr="00D7363C">
        <w:rPr>
          <w:rFonts w:ascii="Times New Roman" w:eastAsia="Times New Roman" w:hAnsi="Times New Roman" w:cs="Times New Roman"/>
          <w:sz w:val="24"/>
          <w:szCs w:val="24"/>
        </w:rPr>
        <w:t>Outstanding</w:t>
      </w:r>
      <w:proofErr w:type="gramEnd"/>
      <w:r w:rsidRPr="00D7363C">
        <w:rPr>
          <w:rFonts w:ascii="Times New Roman" w:eastAsia="Times New Roman" w:hAnsi="Times New Roman" w:cs="Times New Roman"/>
          <w:sz w:val="24"/>
          <w:szCs w:val="24"/>
        </w:rPr>
        <w:t xml:space="preserve"> rating at the previous FDIC and DOB CRA Performance Evaluation dated </w:t>
      </w:r>
      <w:r w:rsidRPr="00D7363C">
        <w:rPr>
          <w:rFonts w:ascii="Times New Roman" w:hAnsi="Times New Roman" w:cs="Times New Roman"/>
          <w:sz w:val="24"/>
          <w:szCs w:val="24"/>
        </w:rPr>
        <w:t>December 18, 2017, based on Interagency Large Institution Examination Procedures.  The Lending Test, Investment Test, and Service Test were all rated Outstanding.</w:t>
      </w:r>
    </w:p>
    <w:p w14:paraId="4A6208F1" w14:textId="77777777" w:rsidR="00D7363C" w:rsidRPr="00422FC8" w:rsidRDefault="00D7363C" w:rsidP="00D7363C">
      <w:pPr>
        <w:spacing w:after="0" w:line="240" w:lineRule="auto"/>
        <w:rPr>
          <w:rFonts w:ascii="Times New Roman" w:eastAsia="Times New Roman" w:hAnsi="Times New Roman" w:cs="Times New Roman"/>
          <w:sz w:val="24"/>
          <w:szCs w:val="24"/>
        </w:rPr>
      </w:pPr>
    </w:p>
    <w:p w14:paraId="2DFDD979" w14:textId="77777777" w:rsidR="00D7363C" w:rsidRPr="008C05ED" w:rsidRDefault="00D7363C" w:rsidP="00D7363C">
      <w:pPr>
        <w:spacing w:after="0" w:line="240" w:lineRule="auto"/>
        <w:rPr>
          <w:rFonts w:ascii="Times New Roman" w:eastAsia="Times New Roman" w:hAnsi="Times New Roman" w:cs="Times New Roman"/>
          <w:b/>
          <w:sz w:val="24"/>
          <w:szCs w:val="24"/>
          <w:u w:val="single"/>
        </w:rPr>
      </w:pPr>
      <w:r w:rsidRPr="008C05ED">
        <w:rPr>
          <w:rFonts w:ascii="Times New Roman" w:eastAsia="Times New Roman" w:hAnsi="Times New Roman" w:cs="Times New Roman"/>
          <w:b/>
          <w:sz w:val="24"/>
          <w:szCs w:val="24"/>
          <w:u w:val="single"/>
        </w:rPr>
        <w:t>Operations</w:t>
      </w:r>
    </w:p>
    <w:p w14:paraId="7E8CBB37" w14:textId="77777777" w:rsidR="00D7363C" w:rsidRPr="00F96D85" w:rsidRDefault="00D7363C" w:rsidP="00D7363C">
      <w:pPr>
        <w:spacing w:after="0" w:line="240" w:lineRule="auto"/>
        <w:rPr>
          <w:rFonts w:ascii="Times New Roman" w:hAnsi="Times New Roman" w:cs="Times New Roman"/>
          <w:sz w:val="24"/>
          <w:szCs w:val="24"/>
        </w:rPr>
      </w:pPr>
    </w:p>
    <w:p w14:paraId="77F71906" w14:textId="31F32F44" w:rsidR="00D7363C" w:rsidRDefault="00D7363C" w:rsidP="00D7363C">
      <w:pPr>
        <w:pStyle w:val="QuickFormat1"/>
        <w:jc w:val="left"/>
        <w:rPr>
          <w:b w:val="0"/>
          <w:sz w:val="24"/>
          <w:szCs w:val="24"/>
          <w:lang w:val="en-US"/>
        </w:rPr>
      </w:pPr>
      <w:r>
        <w:rPr>
          <w:b w:val="0"/>
          <w:sz w:val="24"/>
          <w:szCs w:val="24"/>
          <w:lang w:val="en-US"/>
        </w:rPr>
        <w:t>HOB</w:t>
      </w:r>
      <w:r w:rsidRPr="00F96D85">
        <w:rPr>
          <w:b w:val="0"/>
          <w:sz w:val="24"/>
          <w:szCs w:val="24"/>
        </w:rPr>
        <w:t xml:space="preserve"> is headquartered in Brockton, </w:t>
      </w:r>
      <w:r w:rsidRPr="00E614D9">
        <w:rPr>
          <w:b w:val="0"/>
          <w:sz w:val="24"/>
          <w:szCs w:val="24"/>
        </w:rPr>
        <w:t>Massachusetts and operates 2</w:t>
      </w:r>
      <w:r w:rsidRPr="00E614D9">
        <w:rPr>
          <w:b w:val="0"/>
          <w:sz w:val="24"/>
          <w:szCs w:val="24"/>
          <w:lang w:val="en-US"/>
        </w:rPr>
        <w:t>6</w:t>
      </w:r>
      <w:r w:rsidRPr="00E614D9">
        <w:rPr>
          <w:b w:val="0"/>
          <w:sz w:val="24"/>
          <w:szCs w:val="24"/>
        </w:rPr>
        <w:t xml:space="preserve"> full-service branches</w:t>
      </w:r>
      <w:r w:rsidRPr="00E614D9">
        <w:rPr>
          <w:b w:val="0"/>
          <w:sz w:val="24"/>
          <w:szCs w:val="24"/>
          <w:lang w:val="en-US"/>
        </w:rPr>
        <w:t xml:space="preserve"> </w:t>
      </w:r>
      <w:r w:rsidRPr="00E614D9">
        <w:rPr>
          <w:b w:val="0"/>
          <w:sz w:val="24"/>
          <w:szCs w:val="24"/>
        </w:rPr>
        <w:t xml:space="preserve">throughout Eastern Massachusetts </w:t>
      </w:r>
      <w:r w:rsidRPr="00E614D9">
        <w:rPr>
          <w:b w:val="0"/>
          <w:sz w:val="24"/>
          <w:szCs w:val="24"/>
          <w:lang w:val="en-US"/>
        </w:rPr>
        <w:t xml:space="preserve">(17) </w:t>
      </w:r>
      <w:r w:rsidRPr="00E614D9">
        <w:rPr>
          <w:b w:val="0"/>
          <w:sz w:val="24"/>
          <w:szCs w:val="24"/>
        </w:rPr>
        <w:t>and Rhode Island</w:t>
      </w:r>
      <w:r w:rsidRPr="00E614D9">
        <w:rPr>
          <w:b w:val="0"/>
          <w:sz w:val="24"/>
          <w:szCs w:val="24"/>
          <w:lang w:val="en-US"/>
        </w:rPr>
        <w:t xml:space="preserve"> (9).  Massachusetts </w:t>
      </w:r>
      <w:r w:rsidR="00272341">
        <w:rPr>
          <w:b w:val="0"/>
          <w:sz w:val="24"/>
          <w:szCs w:val="24"/>
          <w:lang w:val="en-US"/>
        </w:rPr>
        <w:t xml:space="preserve">branches </w:t>
      </w:r>
      <w:r w:rsidRPr="00E614D9">
        <w:rPr>
          <w:b w:val="0"/>
          <w:sz w:val="24"/>
          <w:szCs w:val="24"/>
          <w:lang w:val="en-US"/>
        </w:rPr>
        <w:t>are located in Norfolk County (4), Plymouth County (8), Bristol County (4), and</w:t>
      </w:r>
      <w:r>
        <w:rPr>
          <w:b w:val="0"/>
          <w:sz w:val="24"/>
          <w:szCs w:val="24"/>
          <w:lang w:val="en-US"/>
        </w:rPr>
        <w:t xml:space="preserve"> Suffolk County (1).  The branches in Rhode Island are located in Providence County (6) and Kent County (3).  The bank also maintains commercial lending offices in Boston, Massachusetts (1) and Providence, Rhode Island (1).</w:t>
      </w:r>
    </w:p>
    <w:p w14:paraId="5D87F8AF" w14:textId="77777777" w:rsidR="00D7363C" w:rsidRPr="004D1930" w:rsidRDefault="00D7363C" w:rsidP="00D7363C">
      <w:pPr>
        <w:pStyle w:val="QuickFormat1"/>
        <w:jc w:val="left"/>
        <w:rPr>
          <w:b w:val="0"/>
          <w:sz w:val="24"/>
          <w:szCs w:val="24"/>
          <w:lang w:val="en-US"/>
        </w:rPr>
      </w:pPr>
    </w:p>
    <w:p w14:paraId="445C3501" w14:textId="16DDAF77" w:rsidR="00D7363C" w:rsidRPr="00293F0B" w:rsidRDefault="00D7363C" w:rsidP="00D7363C">
      <w:pPr>
        <w:pStyle w:val="QuickFormat1"/>
        <w:jc w:val="left"/>
        <w:rPr>
          <w:b w:val="0"/>
          <w:snapToGrid/>
          <w:color w:val="auto"/>
          <w:sz w:val="24"/>
          <w:szCs w:val="24"/>
          <w:lang w:val="en-US" w:eastAsia="en-US"/>
        </w:rPr>
      </w:pPr>
      <w:r>
        <w:rPr>
          <w:b w:val="0"/>
          <w:bCs/>
          <w:iCs/>
          <w:sz w:val="24"/>
          <w:szCs w:val="24"/>
          <w:lang w:val="en-US"/>
        </w:rPr>
        <w:t>HOB</w:t>
      </w:r>
      <w:r w:rsidRPr="004D1930">
        <w:rPr>
          <w:b w:val="0"/>
          <w:bCs/>
          <w:iCs/>
          <w:sz w:val="24"/>
          <w:szCs w:val="24"/>
        </w:rPr>
        <w:t xml:space="preserve"> consolidated </w:t>
      </w:r>
      <w:r>
        <w:rPr>
          <w:b w:val="0"/>
          <w:bCs/>
          <w:iCs/>
          <w:sz w:val="24"/>
          <w:szCs w:val="24"/>
          <w:lang w:val="en-US"/>
        </w:rPr>
        <w:t xml:space="preserve">and shifted </w:t>
      </w:r>
      <w:r w:rsidRPr="004D1930">
        <w:rPr>
          <w:b w:val="0"/>
          <w:bCs/>
          <w:iCs/>
          <w:sz w:val="24"/>
          <w:szCs w:val="24"/>
        </w:rPr>
        <w:t xml:space="preserve">its mortgage operations to originate residential </w:t>
      </w:r>
      <w:r>
        <w:rPr>
          <w:b w:val="0"/>
          <w:bCs/>
          <w:iCs/>
          <w:sz w:val="24"/>
          <w:szCs w:val="24"/>
          <w:lang w:val="en-US"/>
        </w:rPr>
        <w:t>home</w:t>
      </w:r>
      <w:r w:rsidRPr="004D1930">
        <w:rPr>
          <w:b w:val="0"/>
          <w:sz w:val="24"/>
          <w:szCs w:val="24"/>
        </w:rPr>
        <w:t xml:space="preserve"> mortgage </w:t>
      </w:r>
      <w:r w:rsidRPr="004D1930">
        <w:rPr>
          <w:b w:val="0"/>
          <w:sz w:val="24"/>
          <w:szCs w:val="24"/>
          <w:lang w:val="en-US"/>
        </w:rPr>
        <w:t>loans</w:t>
      </w:r>
      <w:r w:rsidRPr="004D1930">
        <w:rPr>
          <w:b w:val="0"/>
          <w:sz w:val="24"/>
          <w:szCs w:val="24"/>
        </w:rPr>
        <w:t xml:space="preserve"> </w:t>
      </w:r>
      <w:r>
        <w:rPr>
          <w:b w:val="0"/>
          <w:sz w:val="24"/>
          <w:szCs w:val="24"/>
          <w:lang w:val="en-US"/>
        </w:rPr>
        <w:t xml:space="preserve">fully </w:t>
      </w:r>
      <w:r w:rsidRPr="004D1930">
        <w:rPr>
          <w:b w:val="0"/>
          <w:sz w:val="24"/>
          <w:szCs w:val="24"/>
        </w:rPr>
        <w:t xml:space="preserve">through </w:t>
      </w:r>
      <w:r w:rsidRPr="004D1930">
        <w:rPr>
          <w:b w:val="0"/>
          <w:sz w:val="24"/>
          <w:szCs w:val="24"/>
          <w:lang w:val="en-US"/>
        </w:rPr>
        <w:t>HOME</w:t>
      </w:r>
      <w:r>
        <w:rPr>
          <w:b w:val="0"/>
          <w:sz w:val="24"/>
          <w:szCs w:val="24"/>
          <w:lang w:val="en-US"/>
        </w:rPr>
        <w:t xml:space="preserve"> in 2018.  The bank also offers </w:t>
      </w:r>
      <w:r w:rsidRPr="004D1930">
        <w:rPr>
          <w:b w:val="0"/>
          <w:sz w:val="24"/>
          <w:szCs w:val="24"/>
        </w:rPr>
        <w:t>commercial</w:t>
      </w:r>
      <w:r>
        <w:rPr>
          <w:b w:val="0"/>
          <w:sz w:val="24"/>
          <w:szCs w:val="24"/>
          <w:lang w:val="en-US"/>
        </w:rPr>
        <w:t xml:space="preserve"> </w:t>
      </w:r>
      <w:r w:rsidRPr="004D1930">
        <w:rPr>
          <w:b w:val="0"/>
          <w:sz w:val="24"/>
          <w:szCs w:val="24"/>
        </w:rPr>
        <w:t xml:space="preserve">and consumer loans.  </w:t>
      </w:r>
      <w:r w:rsidRPr="004D1930">
        <w:rPr>
          <w:b w:val="0"/>
          <w:snapToGrid/>
          <w:color w:val="auto"/>
          <w:sz w:val="24"/>
          <w:szCs w:val="24"/>
          <w:lang w:val="en-US" w:eastAsia="en-US"/>
        </w:rPr>
        <w:t>The bank</w:t>
      </w:r>
      <w:r w:rsidR="009C5022">
        <w:rPr>
          <w:b w:val="0"/>
          <w:snapToGrid/>
          <w:color w:val="auto"/>
          <w:sz w:val="24"/>
          <w:szCs w:val="24"/>
          <w:lang w:val="en-US" w:eastAsia="en-US"/>
        </w:rPr>
        <w:t>’</w:t>
      </w:r>
      <w:r w:rsidRPr="004D1930">
        <w:rPr>
          <w:b w:val="0"/>
          <w:snapToGrid/>
          <w:color w:val="auto"/>
          <w:sz w:val="24"/>
          <w:szCs w:val="24"/>
          <w:lang w:val="en-US" w:eastAsia="en-US"/>
        </w:rPr>
        <w:t>s deposit services include che</w:t>
      </w:r>
      <w:r>
        <w:rPr>
          <w:b w:val="0"/>
          <w:snapToGrid/>
          <w:color w:val="auto"/>
          <w:sz w:val="24"/>
          <w:szCs w:val="24"/>
          <w:lang w:val="en-US" w:eastAsia="en-US"/>
        </w:rPr>
        <w:t>cking, savings, money market dep</w:t>
      </w:r>
      <w:r w:rsidRPr="004D1930">
        <w:rPr>
          <w:b w:val="0"/>
          <w:snapToGrid/>
          <w:color w:val="auto"/>
          <w:sz w:val="24"/>
          <w:szCs w:val="24"/>
          <w:lang w:val="en-US" w:eastAsia="en-US"/>
        </w:rPr>
        <w:t xml:space="preserve">osit accounts, and certificates of deposit.  The </w:t>
      </w:r>
      <w:r w:rsidRPr="00293F0B">
        <w:rPr>
          <w:b w:val="0"/>
          <w:snapToGrid/>
          <w:color w:val="auto"/>
          <w:sz w:val="24"/>
          <w:szCs w:val="24"/>
          <w:lang w:val="en-US" w:eastAsia="en-US"/>
        </w:rPr>
        <w:t xml:space="preserve">institution also offers wealth management services through MEMBERS Financial Services.  Other banking services </w:t>
      </w:r>
      <w:r w:rsidRPr="00F44DBE">
        <w:rPr>
          <w:b w:val="0"/>
          <w:snapToGrid/>
          <w:color w:val="auto"/>
          <w:sz w:val="24"/>
          <w:szCs w:val="24"/>
          <w:lang w:val="en-US" w:eastAsia="en-US"/>
        </w:rPr>
        <w:t>include internet and mobile banking, telephone banking, electronic bill pay, and 4</w:t>
      </w:r>
      <w:r w:rsidR="00293F0B" w:rsidRPr="00F44DBE">
        <w:rPr>
          <w:b w:val="0"/>
          <w:snapToGrid/>
          <w:color w:val="auto"/>
          <w:sz w:val="24"/>
          <w:szCs w:val="24"/>
          <w:lang w:val="en-US" w:eastAsia="en-US"/>
        </w:rPr>
        <w:t xml:space="preserve">5 </w:t>
      </w:r>
      <w:r w:rsidRPr="00F44DBE">
        <w:rPr>
          <w:b w:val="0"/>
          <w:snapToGrid/>
          <w:color w:val="auto"/>
          <w:sz w:val="24"/>
          <w:szCs w:val="24"/>
          <w:lang w:val="en-US" w:eastAsia="en-US"/>
        </w:rPr>
        <w:t xml:space="preserve">ATMs, </w:t>
      </w:r>
      <w:r w:rsidR="00293F0B" w:rsidRPr="00F44DBE">
        <w:rPr>
          <w:b w:val="0"/>
          <w:snapToGrid/>
          <w:color w:val="auto"/>
          <w:sz w:val="24"/>
          <w:szCs w:val="24"/>
          <w:lang w:val="en-US" w:eastAsia="en-US"/>
        </w:rPr>
        <w:t>41</w:t>
      </w:r>
      <w:r w:rsidRPr="00F44DBE">
        <w:rPr>
          <w:b w:val="0"/>
          <w:snapToGrid/>
          <w:color w:val="auto"/>
          <w:sz w:val="24"/>
          <w:szCs w:val="24"/>
          <w:lang w:val="en-US" w:eastAsia="en-US"/>
        </w:rPr>
        <w:t xml:space="preserve"> of which accept deposits.</w:t>
      </w:r>
    </w:p>
    <w:p w14:paraId="206A42A1" w14:textId="77777777" w:rsidR="00D7363C" w:rsidRPr="00293F0B" w:rsidRDefault="00D7363C" w:rsidP="00D7363C">
      <w:pPr>
        <w:spacing w:after="0" w:line="240" w:lineRule="auto"/>
        <w:rPr>
          <w:rFonts w:ascii="Times New Roman" w:eastAsia="Times New Roman" w:hAnsi="Times New Roman" w:cs="Times New Roman"/>
          <w:sz w:val="24"/>
          <w:szCs w:val="24"/>
        </w:rPr>
      </w:pPr>
    </w:p>
    <w:p w14:paraId="278AD71B" w14:textId="3E6373C0" w:rsidR="00D7363C" w:rsidRDefault="00D7363C" w:rsidP="00D7363C">
      <w:pPr>
        <w:spacing w:after="0" w:line="240" w:lineRule="auto"/>
        <w:rPr>
          <w:rFonts w:ascii="Times New Roman" w:eastAsia="Times New Roman" w:hAnsi="Times New Roman" w:cs="Times New Roman"/>
          <w:sz w:val="24"/>
          <w:szCs w:val="24"/>
        </w:rPr>
      </w:pPr>
      <w:r w:rsidRPr="00293F0B">
        <w:rPr>
          <w:rFonts w:ascii="Times New Roman" w:hAnsi="Times New Roman" w:cs="Times New Roman"/>
          <w:bCs/>
          <w:iCs/>
          <w:color w:val="000000"/>
          <w:sz w:val="24"/>
          <w:szCs w:val="24"/>
        </w:rPr>
        <w:t xml:space="preserve">Furthermore, in October 2018, </w:t>
      </w:r>
      <w:r w:rsidRPr="00293F0B">
        <w:rPr>
          <w:rFonts w:ascii="Times New Roman" w:eastAsia="Times New Roman" w:hAnsi="Times New Roman" w:cs="Times New Roman"/>
          <w:sz w:val="24"/>
          <w:szCs w:val="24"/>
        </w:rPr>
        <w:t>HOB</w:t>
      </w:r>
      <w:r>
        <w:rPr>
          <w:rFonts w:ascii="Times New Roman" w:eastAsia="Times New Roman" w:hAnsi="Times New Roman" w:cs="Times New Roman"/>
          <w:sz w:val="24"/>
          <w:szCs w:val="24"/>
        </w:rPr>
        <w:t xml:space="preserve"> acquired Coastway Community Bank (CCB)</w:t>
      </w:r>
      <w:r w:rsidR="000061C4">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Providence, </w:t>
      </w:r>
      <w:r w:rsidRPr="00F44DBE">
        <w:rPr>
          <w:rFonts w:ascii="Times New Roman" w:eastAsia="Times New Roman" w:hAnsi="Times New Roman" w:cs="Times New Roman"/>
          <w:sz w:val="24"/>
          <w:szCs w:val="24"/>
        </w:rPr>
        <w:t xml:space="preserve">Rhode Island.  As part of the CCB acquisition, </w:t>
      </w:r>
      <w:r w:rsidR="000061C4">
        <w:rPr>
          <w:rFonts w:ascii="Times New Roman" w:eastAsia="Times New Roman" w:hAnsi="Times New Roman" w:cs="Times New Roman"/>
          <w:sz w:val="24"/>
          <w:szCs w:val="24"/>
        </w:rPr>
        <w:t>HOB</w:t>
      </w:r>
      <w:r w:rsidRPr="00F44DBE">
        <w:rPr>
          <w:rFonts w:ascii="Times New Roman" w:eastAsia="Times New Roman" w:hAnsi="Times New Roman" w:cs="Times New Roman"/>
          <w:sz w:val="24"/>
          <w:szCs w:val="24"/>
        </w:rPr>
        <w:t xml:space="preserve"> acquired </w:t>
      </w:r>
      <w:r w:rsidR="008B1306">
        <w:rPr>
          <w:rFonts w:ascii="Times New Roman" w:eastAsia="Times New Roman" w:hAnsi="Times New Roman" w:cs="Times New Roman"/>
          <w:sz w:val="24"/>
          <w:szCs w:val="24"/>
        </w:rPr>
        <w:t>10</w:t>
      </w:r>
      <w:r w:rsidRPr="00F44DBE">
        <w:rPr>
          <w:rFonts w:ascii="Times New Roman" w:eastAsia="Times New Roman" w:hAnsi="Times New Roman" w:cs="Times New Roman"/>
          <w:sz w:val="24"/>
          <w:szCs w:val="24"/>
        </w:rPr>
        <w:t xml:space="preserve"> full-service branches and a limited-service branch</w:t>
      </w:r>
      <w:r w:rsidR="003C2504">
        <w:rPr>
          <w:rFonts w:ascii="Times New Roman" w:eastAsia="Times New Roman" w:hAnsi="Times New Roman" w:cs="Times New Roman"/>
          <w:sz w:val="24"/>
          <w:szCs w:val="24"/>
        </w:rPr>
        <w:t xml:space="preserve"> across Providence County and Kent County</w:t>
      </w:r>
      <w:r w:rsidRPr="00F44DBE">
        <w:rPr>
          <w:rFonts w:ascii="Times New Roman" w:eastAsia="Times New Roman" w:hAnsi="Times New Roman" w:cs="Times New Roman"/>
          <w:sz w:val="24"/>
          <w:szCs w:val="24"/>
        </w:rPr>
        <w:t>.  HOB also</w:t>
      </w:r>
      <w:r>
        <w:rPr>
          <w:rFonts w:ascii="Times New Roman" w:eastAsia="Times New Roman" w:hAnsi="Times New Roman" w:cs="Times New Roman"/>
          <w:sz w:val="24"/>
          <w:szCs w:val="24"/>
        </w:rPr>
        <w:t xml:space="preserve"> expanded its branch network by opening three branches in the following towns in Massachusetts: </w:t>
      </w:r>
      <w:r>
        <w:rPr>
          <w:rFonts w:ascii="Times New Roman" w:hAnsi="Times New Roman" w:cs="Times New Roman"/>
          <w:bCs/>
          <w:iCs/>
          <w:color w:val="000000"/>
          <w:sz w:val="24"/>
          <w:szCs w:val="24"/>
        </w:rPr>
        <w:t>Stoughton (February, 2019), Boston (November, 2019), and Quincy (October, 2020).  Additionally, the bank closed its limited-service branches in Attleboro (December, 2018) and Brockton (November, 2020).</w:t>
      </w:r>
    </w:p>
    <w:p w14:paraId="146AFEA1" w14:textId="77777777" w:rsidR="00D7363C" w:rsidRPr="00422FC8" w:rsidRDefault="00D7363C" w:rsidP="00D7363C">
      <w:pPr>
        <w:spacing w:after="0" w:line="240" w:lineRule="auto"/>
        <w:rPr>
          <w:rFonts w:ascii="Times New Roman" w:eastAsia="Times New Roman" w:hAnsi="Times New Roman" w:cs="Times New Roman"/>
          <w:sz w:val="24"/>
          <w:szCs w:val="24"/>
        </w:rPr>
      </w:pPr>
    </w:p>
    <w:p w14:paraId="67B71577" w14:textId="77777777" w:rsidR="00D7363C" w:rsidRDefault="00D7363C" w:rsidP="00D7363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Ability and Capacity</w:t>
      </w:r>
    </w:p>
    <w:p w14:paraId="75BF7229" w14:textId="77777777" w:rsidR="00D7363C" w:rsidRPr="001F153C" w:rsidRDefault="00D7363C" w:rsidP="00D7363C">
      <w:pPr>
        <w:spacing w:after="0" w:line="240" w:lineRule="auto"/>
        <w:rPr>
          <w:rFonts w:ascii="Times New Roman" w:eastAsia="Times New Roman" w:hAnsi="Times New Roman" w:cs="Times New Roman"/>
          <w:sz w:val="24"/>
          <w:szCs w:val="24"/>
        </w:rPr>
      </w:pPr>
    </w:p>
    <w:p w14:paraId="4C8B795E" w14:textId="0F3BB741" w:rsidR="00D7363C" w:rsidRDefault="00D7363C" w:rsidP="00D7363C">
      <w:pPr>
        <w:tabs>
          <w:tab w:val="center" w:pos="4680"/>
        </w:tabs>
        <w:spacing w:after="0" w:line="240" w:lineRule="auto"/>
        <w:rPr>
          <w:rFonts w:ascii="Times New Roman" w:hAnsi="Times New Roman" w:cs="Times New Roman"/>
          <w:bCs/>
          <w:spacing w:val="-4"/>
          <w:sz w:val="24"/>
          <w:szCs w:val="24"/>
        </w:rPr>
      </w:pPr>
      <w:r>
        <w:rPr>
          <w:rFonts w:ascii="Times New Roman" w:eastAsia="Times New Roman" w:hAnsi="Times New Roman" w:cs="Times New Roman"/>
          <w:sz w:val="24"/>
          <w:szCs w:val="24"/>
        </w:rPr>
        <w:t>As of September 30, 2020, HOB</w:t>
      </w:r>
      <w:r w:rsidRPr="001F153C">
        <w:rPr>
          <w:rFonts w:ascii="Times New Roman" w:eastAsia="Times New Roman" w:hAnsi="Times New Roman" w:cs="Times New Roman"/>
          <w:sz w:val="24"/>
          <w:szCs w:val="24"/>
        </w:rPr>
        <w:t xml:space="preserve"> reported assets of $4.4 billion, of which loans totaled $3.7 billion and securities totaled $280.3 million.  </w:t>
      </w:r>
      <w:r>
        <w:rPr>
          <w:rFonts w:ascii="Times New Roman" w:hAnsi="Times New Roman" w:cs="Times New Roman"/>
          <w:sz w:val="24"/>
          <w:szCs w:val="24"/>
        </w:rPr>
        <w:t xml:space="preserve">According to </w:t>
      </w:r>
      <w:r w:rsidR="00602D06">
        <w:rPr>
          <w:rFonts w:ascii="Times New Roman" w:hAnsi="Times New Roman" w:cs="Times New Roman"/>
          <w:sz w:val="24"/>
          <w:szCs w:val="24"/>
        </w:rPr>
        <w:t xml:space="preserve">the </w:t>
      </w:r>
      <w:r>
        <w:rPr>
          <w:rFonts w:ascii="Times New Roman" w:hAnsi="Times New Roman" w:cs="Times New Roman"/>
          <w:sz w:val="24"/>
          <w:szCs w:val="24"/>
        </w:rPr>
        <w:t xml:space="preserve">bank’s Call Report, </w:t>
      </w:r>
      <w:r w:rsidR="00602D06">
        <w:rPr>
          <w:rFonts w:ascii="Times New Roman" w:hAnsi="Times New Roman" w:cs="Times New Roman"/>
          <w:sz w:val="24"/>
          <w:szCs w:val="24"/>
        </w:rPr>
        <w:t>residential</w:t>
      </w:r>
      <w:r>
        <w:rPr>
          <w:rFonts w:ascii="Times New Roman" w:hAnsi="Times New Roman" w:cs="Times New Roman"/>
          <w:sz w:val="24"/>
          <w:szCs w:val="24"/>
        </w:rPr>
        <w:t xml:space="preserve"> lending </w:t>
      </w:r>
      <w:r w:rsidRPr="005A2FA1">
        <w:rPr>
          <w:rFonts w:ascii="Times New Roman" w:hAnsi="Times New Roman" w:cs="Times New Roman"/>
          <w:sz w:val="24"/>
          <w:szCs w:val="24"/>
        </w:rPr>
        <w:t>represented the m</w:t>
      </w:r>
      <w:r>
        <w:rPr>
          <w:rFonts w:ascii="Times New Roman" w:hAnsi="Times New Roman" w:cs="Times New Roman"/>
          <w:sz w:val="24"/>
          <w:szCs w:val="24"/>
        </w:rPr>
        <w:t xml:space="preserve">ajority of the loan portfolio, which </w:t>
      </w:r>
      <w:r w:rsidR="00602D06">
        <w:rPr>
          <w:rFonts w:ascii="Times New Roman" w:hAnsi="Times New Roman" w:cs="Times New Roman"/>
          <w:sz w:val="24"/>
          <w:szCs w:val="24"/>
        </w:rPr>
        <w:t>is</w:t>
      </w:r>
      <w:r>
        <w:rPr>
          <w:rFonts w:ascii="Times New Roman" w:hAnsi="Times New Roman" w:cs="Times New Roman"/>
          <w:sz w:val="24"/>
          <w:szCs w:val="24"/>
        </w:rPr>
        <w:t xml:space="preserve"> consistent </w:t>
      </w:r>
      <w:r w:rsidR="00602D06">
        <w:rPr>
          <w:rFonts w:ascii="Times New Roman" w:hAnsi="Times New Roman" w:cs="Times New Roman"/>
          <w:sz w:val="24"/>
          <w:szCs w:val="24"/>
        </w:rPr>
        <w:t>with</w:t>
      </w:r>
      <w:r>
        <w:rPr>
          <w:rFonts w:ascii="Times New Roman" w:hAnsi="Times New Roman" w:cs="Times New Roman"/>
          <w:sz w:val="24"/>
          <w:szCs w:val="24"/>
        </w:rPr>
        <w:t xml:space="preserve"> the previous evaluation.  </w:t>
      </w:r>
      <w:r w:rsidR="00602D06">
        <w:rPr>
          <w:rFonts w:ascii="Times New Roman" w:hAnsi="Times New Roman" w:cs="Times New Roman"/>
          <w:sz w:val="24"/>
          <w:szCs w:val="24"/>
        </w:rPr>
        <w:t>C</w:t>
      </w:r>
      <w:r w:rsidRPr="005A2FA1">
        <w:rPr>
          <w:rFonts w:ascii="Times New Roman" w:hAnsi="Times New Roman" w:cs="Times New Roman"/>
          <w:sz w:val="24"/>
          <w:szCs w:val="24"/>
        </w:rPr>
        <w:t>ommercial lending</w:t>
      </w:r>
      <w:r w:rsidR="00602D06">
        <w:rPr>
          <w:rFonts w:ascii="Times New Roman" w:hAnsi="Times New Roman" w:cs="Times New Roman"/>
          <w:sz w:val="24"/>
          <w:szCs w:val="24"/>
        </w:rPr>
        <w:t xml:space="preserve"> follows residential lending</w:t>
      </w:r>
      <w:r>
        <w:rPr>
          <w:rFonts w:ascii="Times New Roman" w:hAnsi="Times New Roman" w:cs="Times New Roman"/>
          <w:sz w:val="24"/>
          <w:szCs w:val="24"/>
        </w:rPr>
        <w:t>, which increased approximately 20 percent</w:t>
      </w:r>
      <w:r w:rsidR="000061C4">
        <w:rPr>
          <w:rFonts w:ascii="Times New Roman" w:hAnsi="Times New Roman" w:cs="Times New Roman"/>
          <w:sz w:val="24"/>
          <w:szCs w:val="24"/>
        </w:rPr>
        <w:t>,</w:t>
      </w:r>
      <w:r w:rsidR="00602D06">
        <w:rPr>
          <w:rFonts w:ascii="Times New Roman" w:hAnsi="Times New Roman" w:cs="Times New Roman"/>
          <w:sz w:val="24"/>
          <w:szCs w:val="24"/>
        </w:rPr>
        <w:t xml:space="preserve"> as </w:t>
      </w:r>
      <w:r>
        <w:rPr>
          <w:rFonts w:ascii="Times New Roman" w:hAnsi="Times New Roman" w:cs="Times New Roman"/>
          <w:sz w:val="24"/>
          <w:szCs w:val="24"/>
        </w:rPr>
        <w:t>bank</w:t>
      </w:r>
      <w:r w:rsidR="000061C4">
        <w:rPr>
          <w:rFonts w:ascii="Times New Roman" w:hAnsi="Times New Roman" w:cs="Times New Roman"/>
          <w:sz w:val="24"/>
          <w:szCs w:val="24"/>
        </w:rPr>
        <w:t xml:space="preserve"> management has made a concerted effort</w:t>
      </w:r>
      <w:r w:rsidRPr="005A2FA1">
        <w:rPr>
          <w:rFonts w:ascii="Times New Roman" w:hAnsi="Times New Roman" w:cs="Times New Roman"/>
          <w:sz w:val="24"/>
          <w:szCs w:val="24"/>
        </w:rPr>
        <w:t xml:space="preserve"> </w:t>
      </w:r>
      <w:r>
        <w:rPr>
          <w:rFonts w:ascii="Times New Roman" w:hAnsi="Times New Roman" w:cs="Times New Roman"/>
          <w:sz w:val="24"/>
          <w:szCs w:val="24"/>
        </w:rPr>
        <w:t>to increase</w:t>
      </w:r>
      <w:r w:rsidRPr="005A2FA1">
        <w:rPr>
          <w:rFonts w:ascii="Times New Roman" w:hAnsi="Times New Roman" w:cs="Times New Roman"/>
          <w:sz w:val="24"/>
          <w:szCs w:val="24"/>
        </w:rPr>
        <w:t xml:space="preserve"> commercial </w:t>
      </w:r>
      <w:r>
        <w:rPr>
          <w:rFonts w:ascii="Times New Roman" w:hAnsi="Times New Roman" w:cs="Times New Roman"/>
          <w:sz w:val="24"/>
          <w:szCs w:val="24"/>
        </w:rPr>
        <w:t>lending.  T</w:t>
      </w:r>
      <w:r w:rsidRPr="005A2FA1">
        <w:rPr>
          <w:rFonts w:ascii="Times New Roman" w:hAnsi="Times New Roman" w:cs="Times New Roman"/>
          <w:bCs/>
          <w:spacing w:val="-4"/>
          <w:sz w:val="24"/>
          <w:szCs w:val="24"/>
        </w:rPr>
        <w:t>he following table illustrates the loan portfolio distribution.</w:t>
      </w:r>
    </w:p>
    <w:p w14:paraId="7AD6EB48" w14:textId="5802FA5A" w:rsidR="00602D06" w:rsidRDefault="00602D06" w:rsidP="00D7363C">
      <w:pPr>
        <w:tabs>
          <w:tab w:val="center" w:pos="4680"/>
        </w:tabs>
        <w:spacing w:after="0" w:line="240" w:lineRule="auto"/>
        <w:rPr>
          <w:rFonts w:ascii="Times New Roman" w:hAnsi="Times New Roman" w:cs="Times New Roman"/>
          <w:bCs/>
          <w:spacing w:val="-4"/>
          <w:sz w:val="24"/>
          <w:szCs w:val="24"/>
        </w:rPr>
      </w:pPr>
    </w:p>
    <w:p w14:paraId="054B365D" w14:textId="390C4724" w:rsidR="00C34BAE" w:rsidRDefault="00C34BAE" w:rsidP="00D7363C">
      <w:pPr>
        <w:tabs>
          <w:tab w:val="center" w:pos="4680"/>
        </w:tabs>
        <w:spacing w:after="0" w:line="240" w:lineRule="auto"/>
        <w:rPr>
          <w:rFonts w:ascii="Times New Roman" w:hAnsi="Times New Roman" w:cs="Times New Roman"/>
          <w:bCs/>
          <w:spacing w:val="-4"/>
          <w:sz w:val="24"/>
          <w:szCs w:val="24"/>
        </w:rPr>
      </w:pPr>
    </w:p>
    <w:p w14:paraId="2711FEC1" w14:textId="77777777" w:rsidR="00C34BAE" w:rsidRPr="00EC69FD" w:rsidRDefault="00C34BAE" w:rsidP="00D7363C">
      <w:pPr>
        <w:tabs>
          <w:tab w:val="center" w:pos="4680"/>
        </w:tabs>
        <w:spacing w:after="0" w:line="240" w:lineRule="auto"/>
        <w:rPr>
          <w:rFonts w:ascii="Times New Roman" w:hAnsi="Times New Roman" w:cs="Times New Roman"/>
          <w:bCs/>
          <w:spacing w:val="-4"/>
          <w:sz w:val="24"/>
          <w:szCs w:val="24"/>
        </w:rPr>
      </w:pP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710"/>
        <w:gridCol w:w="1358"/>
      </w:tblGrid>
      <w:tr w:rsidR="00D7363C" w:rsidRPr="00602D06" w14:paraId="2C211E2E" w14:textId="77777777" w:rsidTr="00D7363C">
        <w:trPr>
          <w:trHeight w:val="288"/>
        </w:trPr>
        <w:tc>
          <w:tcPr>
            <w:tcW w:w="8828" w:type="dxa"/>
            <w:gridSpan w:val="3"/>
            <w:shd w:val="clear" w:color="auto" w:fill="auto"/>
            <w:noWrap/>
            <w:vAlign w:val="bottom"/>
            <w:hideMark/>
          </w:tcPr>
          <w:p w14:paraId="4CF34815" w14:textId="77777777" w:rsidR="00D7363C" w:rsidRPr="00602D06" w:rsidRDefault="00D7363C" w:rsidP="00D7363C">
            <w:pPr>
              <w:spacing w:after="0"/>
              <w:jc w:val="center"/>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lastRenderedPageBreak/>
              <w:t>Loan Portfolio Distribution as of 9/30/2020</w:t>
            </w:r>
          </w:p>
        </w:tc>
      </w:tr>
      <w:tr w:rsidR="00D7363C" w:rsidRPr="00602D06" w14:paraId="335E7DEA" w14:textId="77777777" w:rsidTr="00D7363C">
        <w:trPr>
          <w:trHeight w:val="288"/>
        </w:trPr>
        <w:tc>
          <w:tcPr>
            <w:tcW w:w="5760" w:type="dxa"/>
            <w:shd w:val="clear" w:color="auto" w:fill="auto"/>
            <w:noWrap/>
            <w:vAlign w:val="bottom"/>
            <w:hideMark/>
          </w:tcPr>
          <w:p w14:paraId="0D8F884E" w14:textId="77777777" w:rsidR="00D7363C" w:rsidRPr="00602D06" w:rsidRDefault="00D7363C" w:rsidP="00D7363C">
            <w:pPr>
              <w:spacing w:after="0"/>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Loan Category</w:t>
            </w:r>
          </w:p>
        </w:tc>
        <w:tc>
          <w:tcPr>
            <w:tcW w:w="1710" w:type="dxa"/>
            <w:shd w:val="clear" w:color="auto" w:fill="auto"/>
            <w:noWrap/>
            <w:vAlign w:val="bottom"/>
            <w:hideMark/>
          </w:tcPr>
          <w:p w14:paraId="566CD7A6" w14:textId="77777777" w:rsidR="00D7363C" w:rsidRPr="00602D06" w:rsidRDefault="00D7363C" w:rsidP="00D7363C">
            <w:pPr>
              <w:spacing w:after="0"/>
              <w:jc w:val="center"/>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$(000s)</w:t>
            </w:r>
          </w:p>
        </w:tc>
        <w:tc>
          <w:tcPr>
            <w:tcW w:w="1358" w:type="dxa"/>
            <w:shd w:val="clear" w:color="auto" w:fill="auto"/>
            <w:noWrap/>
            <w:vAlign w:val="bottom"/>
            <w:hideMark/>
          </w:tcPr>
          <w:p w14:paraId="2899E7CD" w14:textId="77777777" w:rsidR="00D7363C" w:rsidRPr="00602D06" w:rsidRDefault="00D7363C" w:rsidP="00D7363C">
            <w:pPr>
              <w:spacing w:after="0"/>
              <w:jc w:val="center"/>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w:t>
            </w:r>
          </w:p>
        </w:tc>
      </w:tr>
      <w:tr w:rsidR="00D7363C" w:rsidRPr="00602D06" w14:paraId="1BEA87F7" w14:textId="77777777" w:rsidTr="00D7363C">
        <w:trPr>
          <w:trHeight w:val="288"/>
        </w:trPr>
        <w:tc>
          <w:tcPr>
            <w:tcW w:w="5760" w:type="dxa"/>
            <w:shd w:val="clear" w:color="auto" w:fill="auto"/>
            <w:noWrap/>
            <w:vAlign w:val="bottom"/>
            <w:hideMark/>
          </w:tcPr>
          <w:p w14:paraId="4B1136B3"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Construction, Land Development, and Other Land Loans</w:t>
            </w:r>
          </w:p>
        </w:tc>
        <w:tc>
          <w:tcPr>
            <w:tcW w:w="1710" w:type="dxa"/>
            <w:shd w:val="clear" w:color="auto" w:fill="auto"/>
            <w:noWrap/>
            <w:vAlign w:val="bottom"/>
          </w:tcPr>
          <w:p w14:paraId="6E6C4FCF"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225,273</w:t>
            </w:r>
          </w:p>
        </w:tc>
        <w:tc>
          <w:tcPr>
            <w:tcW w:w="1358" w:type="dxa"/>
            <w:shd w:val="clear" w:color="auto" w:fill="auto"/>
            <w:noWrap/>
            <w:vAlign w:val="bottom"/>
          </w:tcPr>
          <w:p w14:paraId="4C3EAFC9"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6.1</w:t>
            </w:r>
          </w:p>
        </w:tc>
      </w:tr>
      <w:tr w:rsidR="00D7363C" w:rsidRPr="00602D06" w14:paraId="79EA421E" w14:textId="77777777" w:rsidTr="00D7363C">
        <w:trPr>
          <w:trHeight w:val="288"/>
        </w:trPr>
        <w:tc>
          <w:tcPr>
            <w:tcW w:w="5760" w:type="dxa"/>
            <w:shd w:val="clear" w:color="auto" w:fill="auto"/>
            <w:noWrap/>
            <w:vAlign w:val="bottom"/>
            <w:hideMark/>
          </w:tcPr>
          <w:p w14:paraId="0F6ECF52"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Secured by Farmland</w:t>
            </w:r>
          </w:p>
        </w:tc>
        <w:tc>
          <w:tcPr>
            <w:tcW w:w="1710" w:type="dxa"/>
            <w:shd w:val="clear" w:color="auto" w:fill="auto"/>
            <w:noWrap/>
            <w:vAlign w:val="bottom"/>
          </w:tcPr>
          <w:p w14:paraId="2914464C"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194</w:t>
            </w:r>
          </w:p>
        </w:tc>
        <w:tc>
          <w:tcPr>
            <w:tcW w:w="1358" w:type="dxa"/>
            <w:shd w:val="clear" w:color="auto" w:fill="auto"/>
            <w:noWrap/>
            <w:vAlign w:val="bottom"/>
          </w:tcPr>
          <w:p w14:paraId="09D98C5B"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0.0</w:t>
            </w:r>
          </w:p>
        </w:tc>
      </w:tr>
      <w:tr w:rsidR="00D7363C" w:rsidRPr="00602D06" w14:paraId="0FB8803B" w14:textId="77777777" w:rsidTr="00D7363C">
        <w:trPr>
          <w:trHeight w:val="288"/>
        </w:trPr>
        <w:tc>
          <w:tcPr>
            <w:tcW w:w="5760" w:type="dxa"/>
            <w:shd w:val="clear" w:color="auto" w:fill="auto"/>
            <w:noWrap/>
            <w:vAlign w:val="bottom"/>
            <w:hideMark/>
          </w:tcPr>
          <w:p w14:paraId="2AF7688B"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Secured by 1-4 Family Residential Properties</w:t>
            </w:r>
          </w:p>
        </w:tc>
        <w:tc>
          <w:tcPr>
            <w:tcW w:w="1710" w:type="dxa"/>
            <w:shd w:val="clear" w:color="auto" w:fill="auto"/>
            <w:noWrap/>
            <w:vAlign w:val="bottom"/>
          </w:tcPr>
          <w:p w14:paraId="707268D8"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1,319,572</w:t>
            </w:r>
          </w:p>
        </w:tc>
        <w:tc>
          <w:tcPr>
            <w:tcW w:w="1358" w:type="dxa"/>
            <w:shd w:val="clear" w:color="auto" w:fill="auto"/>
            <w:noWrap/>
            <w:vAlign w:val="bottom"/>
          </w:tcPr>
          <w:p w14:paraId="702D2A31"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35.6</w:t>
            </w:r>
          </w:p>
        </w:tc>
      </w:tr>
      <w:tr w:rsidR="00D7363C" w:rsidRPr="00602D06" w14:paraId="2FCB59C9" w14:textId="77777777" w:rsidTr="00D7363C">
        <w:trPr>
          <w:trHeight w:val="288"/>
        </w:trPr>
        <w:tc>
          <w:tcPr>
            <w:tcW w:w="5760" w:type="dxa"/>
            <w:shd w:val="clear" w:color="auto" w:fill="auto"/>
            <w:noWrap/>
            <w:vAlign w:val="bottom"/>
            <w:hideMark/>
          </w:tcPr>
          <w:p w14:paraId="341C1699"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Secured by Multi-family (5 or more) Residential Properties</w:t>
            </w:r>
          </w:p>
        </w:tc>
        <w:tc>
          <w:tcPr>
            <w:tcW w:w="1710" w:type="dxa"/>
            <w:shd w:val="clear" w:color="auto" w:fill="auto"/>
            <w:noWrap/>
            <w:vAlign w:val="bottom"/>
          </w:tcPr>
          <w:p w14:paraId="349BCA24"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184,575</w:t>
            </w:r>
          </w:p>
        </w:tc>
        <w:tc>
          <w:tcPr>
            <w:tcW w:w="1358" w:type="dxa"/>
            <w:shd w:val="clear" w:color="auto" w:fill="auto"/>
            <w:noWrap/>
            <w:vAlign w:val="bottom"/>
          </w:tcPr>
          <w:p w14:paraId="57A6A9C2"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5.0</w:t>
            </w:r>
          </w:p>
        </w:tc>
      </w:tr>
      <w:tr w:rsidR="00D7363C" w:rsidRPr="00602D06" w14:paraId="4AA85986" w14:textId="77777777" w:rsidTr="00D7363C">
        <w:trPr>
          <w:trHeight w:val="288"/>
        </w:trPr>
        <w:tc>
          <w:tcPr>
            <w:tcW w:w="5760" w:type="dxa"/>
            <w:shd w:val="clear" w:color="auto" w:fill="auto"/>
            <w:noWrap/>
            <w:vAlign w:val="bottom"/>
            <w:hideMark/>
          </w:tcPr>
          <w:p w14:paraId="2740337C"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Secured by Non-farm Non-Residential Properties</w:t>
            </w:r>
          </w:p>
        </w:tc>
        <w:tc>
          <w:tcPr>
            <w:tcW w:w="1710" w:type="dxa"/>
            <w:shd w:val="clear" w:color="auto" w:fill="auto"/>
            <w:noWrap/>
            <w:vAlign w:val="bottom"/>
          </w:tcPr>
          <w:p w14:paraId="6503F01D"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1,250,018</w:t>
            </w:r>
          </w:p>
        </w:tc>
        <w:tc>
          <w:tcPr>
            <w:tcW w:w="1358" w:type="dxa"/>
            <w:shd w:val="clear" w:color="auto" w:fill="auto"/>
            <w:noWrap/>
            <w:vAlign w:val="bottom"/>
          </w:tcPr>
          <w:p w14:paraId="631F8118"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33.7</w:t>
            </w:r>
          </w:p>
        </w:tc>
      </w:tr>
      <w:tr w:rsidR="00D7363C" w:rsidRPr="00602D06" w14:paraId="5EAFAF85" w14:textId="77777777" w:rsidTr="00D7363C">
        <w:trPr>
          <w:trHeight w:val="288"/>
        </w:trPr>
        <w:tc>
          <w:tcPr>
            <w:tcW w:w="5760" w:type="dxa"/>
            <w:shd w:val="clear" w:color="auto" w:fill="auto"/>
            <w:noWrap/>
            <w:vAlign w:val="bottom"/>
            <w:hideMark/>
          </w:tcPr>
          <w:p w14:paraId="377F416C" w14:textId="77777777" w:rsidR="00D7363C" w:rsidRPr="00602D06" w:rsidRDefault="00D7363C" w:rsidP="00D7363C">
            <w:pPr>
              <w:spacing w:after="0"/>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Total Real Estate Loans</w:t>
            </w:r>
          </w:p>
        </w:tc>
        <w:tc>
          <w:tcPr>
            <w:tcW w:w="1710" w:type="dxa"/>
            <w:shd w:val="clear" w:color="auto" w:fill="auto"/>
            <w:noWrap/>
            <w:vAlign w:val="bottom"/>
          </w:tcPr>
          <w:p w14:paraId="27FD9A9C"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2,979,632</w:t>
            </w:r>
          </w:p>
        </w:tc>
        <w:tc>
          <w:tcPr>
            <w:tcW w:w="1358" w:type="dxa"/>
            <w:shd w:val="clear" w:color="auto" w:fill="auto"/>
            <w:noWrap/>
            <w:vAlign w:val="bottom"/>
          </w:tcPr>
          <w:p w14:paraId="47212C5C"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80.4</w:t>
            </w:r>
          </w:p>
        </w:tc>
      </w:tr>
      <w:tr w:rsidR="00D7363C" w:rsidRPr="00602D06" w14:paraId="06FFD88C" w14:textId="77777777" w:rsidTr="00D7363C">
        <w:trPr>
          <w:trHeight w:val="288"/>
        </w:trPr>
        <w:tc>
          <w:tcPr>
            <w:tcW w:w="5760" w:type="dxa"/>
            <w:shd w:val="clear" w:color="auto" w:fill="auto"/>
            <w:noWrap/>
            <w:vAlign w:val="bottom"/>
            <w:hideMark/>
          </w:tcPr>
          <w:p w14:paraId="14ED62F3"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Commercial and Industrial Loans</w:t>
            </w:r>
          </w:p>
        </w:tc>
        <w:tc>
          <w:tcPr>
            <w:tcW w:w="1710" w:type="dxa"/>
            <w:shd w:val="clear" w:color="auto" w:fill="auto"/>
            <w:noWrap/>
            <w:vAlign w:val="bottom"/>
          </w:tcPr>
          <w:p w14:paraId="71F9D1C0"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377,628</w:t>
            </w:r>
          </w:p>
        </w:tc>
        <w:tc>
          <w:tcPr>
            <w:tcW w:w="1358" w:type="dxa"/>
            <w:shd w:val="clear" w:color="auto" w:fill="auto"/>
            <w:noWrap/>
            <w:vAlign w:val="bottom"/>
          </w:tcPr>
          <w:p w14:paraId="17F0ABE9"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10.2</w:t>
            </w:r>
          </w:p>
        </w:tc>
      </w:tr>
      <w:tr w:rsidR="00D7363C" w:rsidRPr="00602D06" w14:paraId="5189170F" w14:textId="77777777" w:rsidTr="00D7363C">
        <w:trPr>
          <w:trHeight w:val="288"/>
        </w:trPr>
        <w:tc>
          <w:tcPr>
            <w:tcW w:w="5760" w:type="dxa"/>
            <w:shd w:val="clear" w:color="auto" w:fill="auto"/>
            <w:noWrap/>
            <w:vAlign w:val="bottom"/>
            <w:hideMark/>
          </w:tcPr>
          <w:p w14:paraId="2023309A"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Agricultural Production and Other Loans to Farmers</w:t>
            </w:r>
          </w:p>
        </w:tc>
        <w:tc>
          <w:tcPr>
            <w:tcW w:w="1710" w:type="dxa"/>
            <w:shd w:val="clear" w:color="auto" w:fill="auto"/>
            <w:noWrap/>
            <w:vAlign w:val="bottom"/>
          </w:tcPr>
          <w:p w14:paraId="010C5133"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35</w:t>
            </w:r>
          </w:p>
        </w:tc>
        <w:tc>
          <w:tcPr>
            <w:tcW w:w="1358" w:type="dxa"/>
            <w:shd w:val="clear" w:color="auto" w:fill="auto"/>
            <w:noWrap/>
            <w:vAlign w:val="bottom"/>
          </w:tcPr>
          <w:p w14:paraId="5093CF6B"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0.0</w:t>
            </w:r>
          </w:p>
        </w:tc>
      </w:tr>
      <w:tr w:rsidR="00D7363C" w:rsidRPr="00602D06" w14:paraId="6AA655F2" w14:textId="77777777" w:rsidTr="00D7363C">
        <w:trPr>
          <w:trHeight w:val="288"/>
        </w:trPr>
        <w:tc>
          <w:tcPr>
            <w:tcW w:w="5760" w:type="dxa"/>
            <w:shd w:val="clear" w:color="auto" w:fill="auto"/>
            <w:noWrap/>
            <w:vAlign w:val="bottom"/>
            <w:hideMark/>
          </w:tcPr>
          <w:p w14:paraId="134681EE"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Consumer</w:t>
            </w:r>
          </w:p>
        </w:tc>
        <w:tc>
          <w:tcPr>
            <w:tcW w:w="1710" w:type="dxa"/>
            <w:shd w:val="clear" w:color="auto" w:fill="auto"/>
            <w:noWrap/>
            <w:vAlign w:val="bottom"/>
          </w:tcPr>
          <w:p w14:paraId="12F33505"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311,867</w:t>
            </w:r>
          </w:p>
        </w:tc>
        <w:tc>
          <w:tcPr>
            <w:tcW w:w="1358" w:type="dxa"/>
            <w:shd w:val="clear" w:color="auto" w:fill="auto"/>
            <w:noWrap/>
            <w:vAlign w:val="bottom"/>
          </w:tcPr>
          <w:p w14:paraId="1745C514"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8.4</w:t>
            </w:r>
          </w:p>
        </w:tc>
      </w:tr>
      <w:tr w:rsidR="00D7363C" w:rsidRPr="00602D06" w14:paraId="08BF7D7C" w14:textId="77777777" w:rsidTr="00D7363C">
        <w:trPr>
          <w:trHeight w:val="288"/>
        </w:trPr>
        <w:tc>
          <w:tcPr>
            <w:tcW w:w="5760" w:type="dxa"/>
            <w:shd w:val="clear" w:color="auto" w:fill="auto"/>
            <w:noWrap/>
            <w:vAlign w:val="bottom"/>
            <w:hideMark/>
          </w:tcPr>
          <w:p w14:paraId="0A3C2246"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Obligations of States and Political Subdivisions in the United States</w:t>
            </w:r>
          </w:p>
        </w:tc>
        <w:tc>
          <w:tcPr>
            <w:tcW w:w="1710" w:type="dxa"/>
            <w:shd w:val="clear" w:color="auto" w:fill="auto"/>
            <w:noWrap/>
            <w:vAlign w:val="bottom"/>
          </w:tcPr>
          <w:p w14:paraId="3FFB867C"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36,239</w:t>
            </w:r>
          </w:p>
        </w:tc>
        <w:tc>
          <w:tcPr>
            <w:tcW w:w="1358" w:type="dxa"/>
            <w:shd w:val="clear" w:color="auto" w:fill="auto"/>
            <w:noWrap/>
            <w:vAlign w:val="bottom"/>
          </w:tcPr>
          <w:p w14:paraId="2F631F96"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1.0</w:t>
            </w:r>
          </w:p>
        </w:tc>
      </w:tr>
      <w:tr w:rsidR="00D7363C" w:rsidRPr="00602D06" w14:paraId="78FFCFC9" w14:textId="77777777" w:rsidTr="00D7363C">
        <w:trPr>
          <w:trHeight w:val="288"/>
        </w:trPr>
        <w:tc>
          <w:tcPr>
            <w:tcW w:w="5760" w:type="dxa"/>
            <w:shd w:val="clear" w:color="auto" w:fill="auto"/>
            <w:noWrap/>
            <w:vAlign w:val="bottom"/>
            <w:hideMark/>
          </w:tcPr>
          <w:p w14:paraId="353DB62B"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Other Loans</w:t>
            </w:r>
          </w:p>
        </w:tc>
        <w:tc>
          <w:tcPr>
            <w:tcW w:w="1710" w:type="dxa"/>
            <w:shd w:val="clear" w:color="auto" w:fill="auto"/>
            <w:noWrap/>
            <w:vAlign w:val="bottom"/>
          </w:tcPr>
          <w:p w14:paraId="1B826B56"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803</w:t>
            </w:r>
          </w:p>
        </w:tc>
        <w:tc>
          <w:tcPr>
            <w:tcW w:w="1358" w:type="dxa"/>
            <w:shd w:val="clear" w:color="auto" w:fill="auto"/>
            <w:noWrap/>
            <w:vAlign w:val="bottom"/>
          </w:tcPr>
          <w:p w14:paraId="755C824E"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0.0</w:t>
            </w:r>
          </w:p>
        </w:tc>
      </w:tr>
      <w:tr w:rsidR="00D7363C" w:rsidRPr="00602D06" w14:paraId="1D7302EE" w14:textId="77777777" w:rsidTr="00D7363C">
        <w:trPr>
          <w:trHeight w:val="288"/>
        </w:trPr>
        <w:tc>
          <w:tcPr>
            <w:tcW w:w="5760" w:type="dxa"/>
            <w:shd w:val="clear" w:color="auto" w:fill="auto"/>
            <w:noWrap/>
            <w:vAlign w:val="bottom"/>
            <w:hideMark/>
          </w:tcPr>
          <w:p w14:paraId="08D35021"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Lease Financing Receivables (net of unearned income)</w:t>
            </w:r>
          </w:p>
        </w:tc>
        <w:tc>
          <w:tcPr>
            <w:tcW w:w="1710" w:type="dxa"/>
            <w:shd w:val="clear" w:color="auto" w:fill="auto"/>
            <w:noWrap/>
            <w:vAlign w:val="bottom"/>
          </w:tcPr>
          <w:p w14:paraId="2DB5AA14"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w:t>
            </w:r>
          </w:p>
        </w:tc>
        <w:tc>
          <w:tcPr>
            <w:tcW w:w="1358" w:type="dxa"/>
            <w:shd w:val="clear" w:color="auto" w:fill="auto"/>
            <w:noWrap/>
            <w:vAlign w:val="bottom"/>
          </w:tcPr>
          <w:p w14:paraId="2D4A7B90"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w:t>
            </w:r>
          </w:p>
        </w:tc>
      </w:tr>
      <w:tr w:rsidR="00D7363C" w:rsidRPr="00602D06" w14:paraId="4C835964" w14:textId="77777777" w:rsidTr="00D7363C">
        <w:trPr>
          <w:trHeight w:val="288"/>
        </w:trPr>
        <w:tc>
          <w:tcPr>
            <w:tcW w:w="5760" w:type="dxa"/>
            <w:shd w:val="clear" w:color="auto" w:fill="auto"/>
            <w:noWrap/>
            <w:vAlign w:val="bottom"/>
            <w:hideMark/>
          </w:tcPr>
          <w:p w14:paraId="6044201A" w14:textId="77777777" w:rsidR="00D7363C" w:rsidRPr="00602D06" w:rsidRDefault="00D7363C" w:rsidP="00D7363C">
            <w:pPr>
              <w:spacing w:after="0"/>
              <w:rPr>
                <w:rFonts w:ascii="Times New Roman" w:hAnsi="Times New Roman" w:cs="Times New Roman"/>
                <w:color w:val="000000"/>
                <w:sz w:val="20"/>
                <w:szCs w:val="20"/>
              </w:rPr>
            </w:pPr>
            <w:r w:rsidRPr="00602D06">
              <w:rPr>
                <w:rFonts w:ascii="Times New Roman" w:hAnsi="Times New Roman" w:cs="Times New Roman"/>
                <w:color w:val="000000"/>
                <w:sz w:val="20"/>
                <w:szCs w:val="20"/>
              </w:rPr>
              <w:t>Less: Unearned Income</w:t>
            </w:r>
          </w:p>
        </w:tc>
        <w:tc>
          <w:tcPr>
            <w:tcW w:w="1710" w:type="dxa"/>
            <w:shd w:val="clear" w:color="auto" w:fill="auto"/>
            <w:noWrap/>
            <w:vAlign w:val="bottom"/>
          </w:tcPr>
          <w:p w14:paraId="309075C4"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w:t>
            </w:r>
          </w:p>
        </w:tc>
        <w:tc>
          <w:tcPr>
            <w:tcW w:w="1358" w:type="dxa"/>
            <w:shd w:val="clear" w:color="auto" w:fill="auto"/>
            <w:noWrap/>
            <w:vAlign w:val="bottom"/>
          </w:tcPr>
          <w:p w14:paraId="31029E65" w14:textId="77777777" w:rsidR="00D7363C" w:rsidRPr="00602D06" w:rsidRDefault="00D7363C" w:rsidP="00D7363C">
            <w:pPr>
              <w:spacing w:after="0"/>
              <w:jc w:val="center"/>
              <w:rPr>
                <w:rFonts w:ascii="Times New Roman" w:hAnsi="Times New Roman" w:cs="Times New Roman"/>
                <w:color w:val="000000"/>
                <w:sz w:val="20"/>
                <w:szCs w:val="20"/>
              </w:rPr>
            </w:pPr>
            <w:r w:rsidRPr="00602D06">
              <w:rPr>
                <w:rFonts w:ascii="Times New Roman" w:hAnsi="Times New Roman" w:cs="Times New Roman"/>
                <w:color w:val="000000"/>
                <w:sz w:val="20"/>
                <w:szCs w:val="20"/>
              </w:rPr>
              <w:t>-</w:t>
            </w:r>
          </w:p>
        </w:tc>
      </w:tr>
      <w:tr w:rsidR="00D7363C" w:rsidRPr="00602D06" w14:paraId="2095D4B7" w14:textId="77777777" w:rsidTr="00D7363C">
        <w:trPr>
          <w:trHeight w:val="288"/>
        </w:trPr>
        <w:tc>
          <w:tcPr>
            <w:tcW w:w="5760" w:type="dxa"/>
            <w:shd w:val="clear" w:color="auto" w:fill="auto"/>
            <w:noWrap/>
            <w:vAlign w:val="bottom"/>
            <w:hideMark/>
          </w:tcPr>
          <w:p w14:paraId="66091CDB" w14:textId="77777777" w:rsidR="00D7363C" w:rsidRPr="00602D06" w:rsidRDefault="00D7363C" w:rsidP="00D7363C">
            <w:pPr>
              <w:spacing w:after="0"/>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Total Loans</w:t>
            </w:r>
          </w:p>
        </w:tc>
        <w:tc>
          <w:tcPr>
            <w:tcW w:w="1710" w:type="dxa"/>
            <w:shd w:val="clear" w:color="auto" w:fill="auto"/>
            <w:noWrap/>
            <w:vAlign w:val="bottom"/>
          </w:tcPr>
          <w:p w14:paraId="06A4DAFF" w14:textId="77777777" w:rsidR="00D7363C" w:rsidRPr="00602D06" w:rsidRDefault="00D7363C" w:rsidP="00D7363C">
            <w:pPr>
              <w:spacing w:after="0"/>
              <w:jc w:val="center"/>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3,706,204</w:t>
            </w:r>
          </w:p>
        </w:tc>
        <w:tc>
          <w:tcPr>
            <w:tcW w:w="1358" w:type="dxa"/>
            <w:shd w:val="clear" w:color="auto" w:fill="auto"/>
            <w:noWrap/>
            <w:vAlign w:val="bottom"/>
          </w:tcPr>
          <w:p w14:paraId="7D722F84" w14:textId="77777777" w:rsidR="00D7363C" w:rsidRPr="00602D06" w:rsidRDefault="00D7363C" w:rsidP="00D7363C">
            <w:pPr>
              <w:spacing w:after="0"/>
              <w:jc w:val="center"/>
              <w:rPr>
                <w:rFonts w:ascii="Times New Roman" w:hAnsi="Times New Roman" w:cs="Times New Roman"/>
                <w:b/>
                <w:bCs/>
                <w:color w:val="000000"/>
                <w:sz w:val="20"/>
                <w:szCs w:val="20"/>
              </w:rPr>
            </w:pPr>
            <w:r w:rsidRPr="00602D06">
              <w:rPr>
                <w:rFonts w:ascii="Times New Roman" w:hAnsi="Times New Roman" w:cs="Times New Roman"/>
                <w:b/>
                <w:bCs/>
                <w:color w:val="000000"/>
                <w:sz w:val="20"/>
                <w:szCs w:val="20"/>
              </w:rPr>
              <w:t>100</w:t>
            </w:r>
          </w:p>
        </w:tc>
      </w:tr>
      <w:tr w:rsidR="00602D06" w:rsidRPr="00602D06" w14:paraId="081D48D4" w14:textId="77777777" w:rsidTr="00602D06">
        <w:trPr>
          <w:trHeight w:val="288"/>
        </w:trPr>
        <w:tc>
          <w:tcPr>
            <w:tcW w:w="8828" w:type="dxa"/>
            <w:gridSpan w:val="3"/>
            <w:shd w:val="clear" w:color="auto" w:fill="auto"/>
            <w:noWrap/>
            <w:vAlign w:val="center"/>
            <w:hideMark/>
          </w:tcPr>
          <w:p w14:paraId="60ED3BD5" w14:textId="45A7A94F" w:rsidR="00602D06" w:rsidRPr="00602D06" w:rsidRDefault="00602D06" w:rsidP="00602D06">
            <w:pPr>
              <w:spacing w:after="0"/>
              <w:rPr>
                <w:rFonts w:ascii="Times New Roman" w:hAnsi="Times New Roman" w:cs="Times New Roman"/>
                <w:color w:val="000000"/>
                <w:sz w:val="20"/>
                <w:szCs w:val="20"/>
              </w:rPr>
            </w:pPr>
            <w:r w:rsidRPr="00602D06">
              <w:rPr>
                <w:rFonts w:ascii="Times New Roman" w:hAnsi="Times New Roman" w:cs="Times New Roman"/>
                <w:i/>
                <w:iCs/>
                <w:color w:val="000000"/>
                <w:sz w:val="16"/>
                <w:szCs w:val="20"/>
              </w:rPr>
              <w:t>Source:  Reports of Condition and Income</w:t>
            </w:r>
          </w:p>
        </w:tc>
      </w:tr>
    </w:tbl>
    <w:p w14:paraId="667F9673" w14:textId="77777777" w:rsidR="00D7363C" w:rsidRPr="003A1927" w:rsidRDefault="00D7363C" w:rsidP="00D7363C">
      <w:pPr>
        <w:spacing w:after="0" w:line="240" w:lineRule="auto"/>
        <w:rPr>
          <w:rFonts w:ascii="Times New Roman" w:eastAsia="Times New Roman" w:hAnsi="Times New Roman" w:cs="Times New Roman"/>
          <w:b/>
          <w:sz w:val="24"/>
          <w:szCs w:val="24"/>
          <w:u w:val="single"/>
        </w:rPr>
      </w:pPr>
    </w:p>
    <w:p w14:paraId="47BBA4C6" w14:textId="77777777" w:rsidR="00D7363C" w:rsidRDefault="00D7363C" w:rsidP="00D7363C">
      <w:pPr>
        <w:spacing w:after="0" w:line="240" w:lineRule="auto"/>
        <w:rPr>
          <w:rFonts w:ascii="Times New Roman" w:hAnsi="Times New Roman" w:cs="Times New Roman"/>
          <w:sz w:val="24"/>
          <w:szCs w:val="24"/>
        </w:rPr>
      </w:pPr>
      <w:r w:rsidRPr="003A1927">
        <w:rPr>
          <w:rFonts w:ascii="Times New Roman" w:hAnsi="Times New Roman" w:cs="Times New Roman"/>
          <w:sz w:val="24"/>
          <w:szCs w:val="24"/>
        </w:rPr>
        <w:t>Examiners</w:t>
      </w:r>
      <w:r w:rsidRPr="00B50740">
        <w:rPr>
          <w:rFonts w:ascii="Times New Roman" w:hAnsi="Times New Roman" w:cs="Times New Roman"/>
          <w:sz w:val="24"/>
          <w:szCs w:val="24"/>
        </w:rPr>
        <w:t xml:space="preserve"> did not identify any financial, legal, or other impediments that affect the bank's ability to meet assessment area credit needs.</w:t>
      </w:r>
    </w:p>
    <w:p w14:paraId="04AD2875" w14:textId="77777777" w:rsidR="00D7363C" w:rsidRDefault="00D7363C" w:rsidP="00D7363C">
      <w:pPr>
        <w:spacing w:after="0" w:line="240" w:lineRule="auto"/>
        <w:rPr>
          <w:rFonts w:ascii="Times New Roman" w:hAnsi="Times New Roman" w:cs="Times New Roman"/>
          <w:sz w:val="24"/>
          <w:szCs w:val="24"/>
        </w:rPr>
      </w:pPr>
    </w:p>
    <w:p w14:paraId="6D015F6C" w14:textId="77777777" w:rsidR="00602D06" w:rsidRDefault="00602D06" w:rsidP="00D7363C">
      <w:pPr>
        <w:spacing w:after="0" w:line="240" w:lineRule="auto"/>
        <w:rPr>
          <w:rFonts w:ascii="Times New Roman" w:eastAsia="Times New Roman" w:hAnsi="Times New Roman" w:cs="Times New Roman"/>
          <w:sz w:val="24"/>
          <w:szCs w:val="24"/>
        </w:rPr>
      </w:pPr>
    </w:p>
    <w:p w14:paraId="19AA73D0" w14:textId="77777777" w:rsidR="00E50970" w:rsidRDefault="00E50970" w:rsidP="006854F2">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bookmarkStart w:id="7" w:name="_Toc70419320"/>
      <w:r w:rsidRPr="00E50970">
        <w:rPr>
          <w:rFonts w:ascii="Times New Roman" w:eastAsia="Times New Roman" w:hAnsi="Times New Roman" w:cs="Times New Roman"/>
          <w:b/>
          <w:bCs/>
          <w:spacing w:val="-3"/>
          <w:sz w:val="28"/>
          <w:szCs w:val="20"/>
        </w:rPr>
        <w:t>DESCRIPTION OF ASSESSMENT AREAS</w:t>
      </w:r>
      <w:bookmarkEnd w:id="7"/>
    </w:p>
    <w:p w14:paraId="3B29BCE4" w14:textId="77777777" w:rsidR="00DE66E1" w:rsidRPr="00DC17DF" w:rsidRDefault="00DE66E1" w:rsidP="00DE66E1">
      <w:pPr>
        <w:tabs>
          <w:tab w:val="center" w:pos="4680"/>
        </w:tabs>
        <w:spacing w:after="0" w:line="240" w:lineRule="auto"/>
        <w:rPr>
          <w:rFonts w:ascii="Times New Roman" w:eastAsia="Times New Roman" w:hAnsi="Times New Roman" w:cs="Times New Roman"/>
          <w:sz w:val="24"/>
          <w:szCs w:val="24"/>
        </w:rPr>
      </w:pPr>
    </w:p>
    <w:p w14:paraId="4B4057DC" w14:textId="4D8A5C43" w:rsidR="00DC17DF" w:rsidRPr="00DE66E1" w:rsidRDefault="00DE66E1" w:rsidP="00DC17DF">
      <w:pPr>
        <w:autoSpaceDE w:val="0"/>
        <w:autoSpaceDN w:val="0"/>
        <w:adjustRightInd w:val="0"/>
        <w:spacing w:after="0" w:line="240" w:lineRule="auto"/>
        <w:rPr>
          <w:rFonts w:ascii="Times New Roman" w:eastAsia="Times New Roman" w:hAnsi="Times New Roman" w:cs="Times New Roman"/>
          <w:color w:val="000000"/>
          <w:sz w:val="24"/>
          <w:szCs w:val="24"/>
        </w:rPr>
      </w:pPr>
      <w:r w:rsidRPr="00DC17DF">
        <w:rPr>
          <w:rFonts w:ascii="Times New Roman" w:hAnsi="Times New Roman" w:cs="Times New Roman"/>
          <w:sz w:val="24"/>
          <w:szCs w:val="24"/>
        </w:rPr>
        <w:t>HOB designated assessment area</w:t>
      </w:r>
      <w:r w:rsidR="00602D06">
        <w:rPr>
          <w:rFonts w:ascii="Times New Roman" w:hAnsi="Times New Roman" w:cs="Times New Roman"/>
          <w:sz w:val="24"/>
          <w:szCs w:val="24"/>
        </w:rPr>
        <w:t>s in</w:t>
      </w:r>
      <w:r w:rsidR="00E96D60">
        <w:rPr>
          <w:rFonts w:ascii="Times New Roman" w:hAnsi="Times New Roman" w:cs="Times New Roman"/>
          <w:sz w:val="24"/>
          <w:szCs w:val="24"/>
        </w:rPr>
        <w:t xml:space="preserve"> </w:t>
      </w:r>
      <w:r w:rsidR="0012798A">
        <w:rPr>
          <w:rFonts w:ascii="Times New Roman" w:hAnsi="Times New Roman" w:cs="Times New Roman"/>
          <w:sz w:val="24"/>
          <w:szCs w:val="24"/>
        </w:rPr>
        <w:t>the</w:t>
      </w:r>
      <w:r w:rsidRPr="00DC17DF">
        <w:rPr>
          <w:rFonts w:ascii="Times New Roman" w:hAnsi="Times New Roman" w:cs="Times New Roman"/>
          <w:sz w:val="24"/>
          <w:szCs w:val="24"/>
        </w:rPr>
        <w:t xml:space="preserve"> Boston, MA </w:t>
      </w:r>
      <w:r w:rsidR="0012798A">
        <w:rPr>
          <w:rFonts w:ascii="Times New Roman" w:hAnsi="Times New Roman" w:cs="Times New Roman"/>
          <w:sz w:val="24"/>
          <w:szCs w:val="24"/>
        </w:rPr>
        <w:t>MD</w:t>
      </w:r>
      <w:r w:rsidR="001360A4">
        <w:rPr>
          <w:rFonts w:ascii="Times New Roman" w:hAnsi="Times New Roman" w:cs="Times New Roman"/>
          <w:sz w:val="24"/>
          <w:szCs w:val="24"/>
        </w:rPr>
        <w:t xml:space="preserve"> and the Providence</w:t>
      </w:r>
      <w:r w:rsidRPr="00DC17DF">
        <w:rPr>
          <w:rFonts w:ascii="Times New Roman" w:hAnsi="Times New Roman" w:cs="Times New Roman"/>
          <w:sz w:val="24"/>
          <w:szCs w:val="24"/>
        </w:rPr>
        <w:t>-Warwick, RI-MA MSA</w:t>
      </w:r>
      <w:r w:rsidR="00DC17DF">
        <w:rPr>
          <w:rFonts w:ascii="Times New Roman" w:hAnsi="Times New Roman" w:cs="Times New Roman"/>
          <w:sz w:val="24"/>
          <w:szCs w:val="24"/>
        </w:rPr>
        <w:t xml:space="preserve">.  </w:t>
      </w:r>
      <w:r w:rsidR="00602D06">
        <w:rPr>
          <w:rFonts w:ascii="Times New Roman" w:hAnsi="Times New Roman" w:cs="Times New Roman"/>
          <w:sz w:val="24"/>
          <w:szCs w:val="24"/>
        </w:rPr>
        <w:t>The bank’</w:t>
      </w:r>
      <w:r w:rsidR="00DC17DF" w:rsidRPr="00DC17DF">
        <w:rPr>
          <w:rFonts w:ascii="Times New Roman" w:hAnsi="Times New Roman" w:cs="Times New Roman"/>
          <w:sz w:val="24"/>
          <w:szCs w:val="24"/>
        </w:rPr>
        <w:t>s combined assessment area includes</w:t>
      </w:r>
      <w:r w:rsidR="00DC17DF">
        <w:rPr>
          <w:rFonts w:ascii="Times New Roman" w:hAnsi="Times New Roman" w:cs="Times New Roman"/>
          <w:sz w:val="24"/>
          <w:szCs w:val="24"/>
        </w:rPr>
        <w:t xml:space="preserve"> </w:t>
      </w:r>
      <w:r w:rsidR="00345E67">
        <w:rPr>
          <w:rFonts w:ascii="Times New Roman" w:hAnsi="Times New Roman" w:cs="Times New Roman"/>
          <w:sz w:val="24"/>
          <w:szCs w:val="24"/>
        </w:rPr>
        <w:t>781 census tracts</w:t>
      </w:r>
      <w:r w:rsidR="00DC17DF" w:rsidRPr="00DC17DF">
        <w:rPr>
          <w:rFonts w:ascii="Times New Roman" w:hAnsi="Times New Roman" w:cs="Times New Roman"/>
          <w:sz w:val="24"/>
          <w:szCs w:val="24"/>
        </w:rPr>
        <w:t>.</w:t>
      </w:r>
      <w:r w:rsidR="00A3295E">
        <w:rPr>
          <w:rFonts w:ascii="Times New Roman" w:hAnsi="Times New Roman" w:cs="Times New Roman"/>
          <w:sz w:val="24"/>
          <w:szCs w:val="24"/>
        </w:rPr>
        <w:t xml:space="preserve">  T</w:t>
      </w:r>
      <w:r w:rsidR="00DC17DF">
        <w:rPr>
          <w:rFonts w:ascii="Times New Roman" w:hAnsi="Times New Roman" w:cs="Times New Roman"/>
          <w:sz w:val="24"/>
          <w:szCs w:val="24"/>
        </w:rPr>
        <w:t xml:space="preserve">he bank </w:t>
      </w:r>
      <w:r w:rsidR="003C2504">
        <w:rPr>
          <w:rFonts w:ascii="Times New Roman" w:hAnsi="Times New Roman" w:cs="Times New Roman"/>
          <w:sz w:val="24"/>
          <w:szCs w:val="24"/>
        </w:rPr>
        <w:t xml:space="preserve">significantly </w:t>
      </w:r>
      <w:r w:rsidR="00DC17DF">
        <w:rPr>
          <w:rFonts w:ascii="Times New Roman" w:hAnsi="Times New Roman" w:cs="Times New Roman"/>
          <w:sz w:val="24"/>
          <w:szCs w:val="24"/>
        </w:rPr>
        <w:t xml:space="preserve">expanded its assessment area as a result of the </w:t>
      </w:r>
      <w:r w:rsidR="00602D06">
        <w:rPr>
          <w:rFonts w:ascii="Times New Roman" w:hAnsi="Times New Roman" w:cs="Times New Roman"/>
          <w:sz w:val="24"/>
          <w:szCs w:val="24"/>
        </w:rPr>
        <w:t xml:space="preserve">CCB </w:t>
      </w:r>
      <w:r w:rsidR="00DC17DF">
        <w:rPr>
          <w:rFonts w:ascii="Times New Roman" w:hAnsi="Times New Roman" w:cs="Times New Roman"/>
          <w:sz w:val="24"/>
          <w:szCs w:val="24"/>
        </w:rPr>
        <w:t>acquisition in</w:t>
      </w:r>
      <w:r w:rsidR="00657ECC">
        <w:rPr>
          <w:rFonts w:ascii="Times New Roman" w:hAnsi="Times New Roman" w:cs="Times New Roman"/>
          <w:sz w:val="24"/>
          <w:szCs w:val="24"/>
        </w:rPr>
        <w:t xml:space="preserve"> late</w:t>
      </w:r>
      <w:r w:rsidR="00DC17DF">
        <w:rPr>
          <w:rFonts w:ascii="Times New Roman" w:hAnsi="Times New Roman" w:cs="Times New Roman"/>
          <w:sz w:val="24"/>
          <w:szCs w:val="24"/>
        </w:rPr>
        <w:t xml:space="preserve"> 2018 to encompass all of</w:t>
      </w:r>
      <w:r w:rsidR="00DC17DF">
        <w:rPr>
          <w:rFonts w:ascii="Times New Roman" w:eastAsia="Times New Roman" w:hAnsi="Times New Roman" w:cs="Times New Roman"/>
          <w:color w:val="000000"/>
          <w:sz w:val="24"/>
          <w:szCs w:val="24"/>
        </w:rPr>
        <w:t xml:space="preserve"> Plymouth County and </w:t>
      </w:r>
      <w:r w:rsidR="00DC17DF" w:rsidRPr="00947A5B">
        <w:rPr>
          <w:rFonts w:ascii="Times New Roman" w:eastAsia="Times New Roman" w:hAnsi="Times New Roman" w:cs="Times New Roman"/>
          <w:color w:val="000000"/>
          <w:sz w:val="24"/>
          <w:szCs w:val="24"/>
        </w:rPr>
        <w:t>Bristol County in Massachusetts</w:t>
      </w:r>
      <w:r w:rsidR="00DC17DF">
        <w:rPr>
          <w:rFonts w:ascii="Times New Roman" w:eastAsia="Times New Roman" w:hAnsi="Times New Roman" w:cs="Times New Roman"/>
          <w:color w:val="000000"/>
          <w:sz w:val="24"/>
          <w:szCs w:val="24"/>
        </w:rPr>
        <w:t xml:space="preserve">, as well as the whole state of Rhode Island.  </w:t>
      </w:r>
      <w:r w:rsidR="00345E67">
        <w:rPr>
          <w:rFonts w:ascii="Times New Roman" w:eastAsia="Times New Roman" w:hAnsi="Times New Roman" w:cs="Times New Roman"/>
          <w:color w:val="000000"/>
          <w:sz w:val="24"/>
          <w:szCs w:val="24"/>
        </w:rPr>
        <w:t>T</w:t>
      </w:r>
      <w:r w:rsidR="00DC17DF">
        <w:rPr>
          <w:rFonts w:ascii="Times New Roman" w:eastAsia="Times New Roman" w:hAnsi="Times New Roman" w:cs="Times New Roman"/>
          <w:color w:val="000000"/>
          <w:sz w:val="24"/>
          <w:szCs w:val="24"/>
        </w:rPr>
        <w:t xml:space="preserve">he bank </w:t>
      </w:r>
      <w:r w:rsidR="003C2504">
        <w:rPr>
          <w:rFonts w:ascii="Times New Roman" w:eastAsia="Times New Roman" w:hAnsi="Times New Roman" w:cs="Times New Roman"/>
          <w:color w:val="000000"/>
          <w:sz w:val="24"/>
          <w:szCs w:val="24"/>
        </w:rPr>
        <w:t>again</w:t>
      </w:r>
      <w:r w:rsidR="00345E67">
        <w:rPr>
          <w:rFonts w:ascii="Times New Roman" w:eastAsia="Times New Roman" w:hAnsi="Times New Roman" w:cs="Times New Roman"/>
          <w:color w:val="000000"/>
          <w:sz w:val="24"/>
          <w:szCs w:val="24"/>
        </w:rPr>
        <w:t xml:space="preserve"> </w:t>
      </w:r>
      <w:r w:rsidR="00DC17DF">
        <w:rPr>
          <w:rFonts w:ascii="Times New Roman" w:eastAsia="Times New Roman" w:hAnsi="Times New Roman" w:cs="Times New Roman"/>
          <w:color w:val="000000"/>
          <w:sz w:val="24"/>
          <w:szCs w:val="24"/>
        </w:rPr>
        <w:t>expanded its assessment area</w:t>
      </w:r>
      <w:r w:rsidR="00345E67">
        <w:rPr>
          <w:rFonts w:ascii="Times New Roman" w:eastAsia="Times New Roman" w:hAnsi="Times New Roman" w:cs="Times New Roman"/>
          <w:color w:val="000000"/>
          <w:sz w:val="24"/>
          <w:szCs w:val="24"/>
        </w:rPr>
        <w:t xml:space="preserve"> in 2020</w:t>
      </w:r>
      <w:r w:rsidR="00DC17DF">
        <w:rPr>
          <w:rFonts w:ascii="Times New Roman" w:eastAsia="Times New Roman" w:hAnsi="Times New Roman" w:cs="Times New Roman"/>
          <w:color w:val="000000"/>
          <w:sz w:val="24"/>
          <w:szCs w:val="24"/>
        </w:rPr>
        <w:t xml:space="preserve"> </w:t>
      </w:r>
      <w:r w:rsidR="00DC17DF">
        <w:rPr>
          <w:rFonts w:ascii="Times New Roman" w:hAnsi="Times New Roman" w:cs="Times New Roman"/>
          <w:sz w:val="24"/>
          <w:szCs w:val="24"/>
        </w:rPr>
        <w:t>as a result of opening a new branch location in Boston</w:t>
      </w:r>
      <w:r w:rsidR="00602D06">
        <w:rPr>
          <w:rFonts w:ascii="Times New Roman" w:hAnsi="Times New Roman" w:cs="Times New Roman"/>
          <w:sz w:val="24"/>
          <w:szCs w:val="24"/>
        </w:rPr>
        <w:t>,</w:t>
      </w:r>
      <w:r w:rsidR="00602D06">
        <w:rPr>
          <w:rFonts w:ascii="Times New Roman" w:eastAsia="Times New Roman" w:hAnsi="Times New Roman" w:cs="Times New Roman"/>
          <w:color w:val="000000"/>
          <w:sz w:val="24"/>
          <w:szCs w:val="24"/>
        </w:rPr>
        <w:t xml:space="preserve"> adding</w:t>
      </w:r>
      <w:r w:rsidR="00DC17DF">
        <w:rPr>
          <w:rFonts w:ascii="Times New Roman" w:eastAsia="Times New Roman" w:hAnsi="Times New Roman" w:cs="Times New Roman"/>
          <w:color w:val="000000"/>
          <w:sz w:val="24"/>
          <w:szCs w:val="24"/>
        </w:rPr>
        <w:t xml:space="preserve"> the </w:t>
      </w:r>
      <w:r w:rsidR="00602D06">
        <w:rPr>
          <w:rFonts w:ascii="Times New Roman" w:eastAsia="Times New Roman" w:hAnsi="Times New Roman" w:cs="Times New Roman"/>
          <w:color w:val="000000"/>
          <w:sz w:val="24"/>
          <w:szCs w:val="24"/>
        </w:rPr>
        <w:t>C</w:t>
      </w:r>
      <w:r w:rsidR="00DC17DF">
        <w:rPr>
          <w:rFonts w:ascii="Times New Roman" w:eastAsia="Times New Roman" w:hAnsi="Times New Roman" w:cs="Times New Roman"/>
          <w:color w:val="000000"/>
          <w:sz w:val="24"/>
          <w:szCs w:val="24"/>
        </w:rPr>
        <w:t>ity of</w:t>
      </w:r>
      <w:r w:rsidR="00DC17DF" w:rsidRPr="00947A5B">
        <w:rPr>
          <w:rFonts w:ascii="Times New Roman" w:eastAsia="Times New Roman" w:hAnsi="Times New Roman" w:cs="Times New Roman"/>
          <w:color w:val="000000"/>
          <w:sz w:val="24"/>
          <w:szCs w:val="24"/>
        </w:rPr>
        <w:t xml:space="preserve"> </w:t>
      </w:r>
      <w:r w:rsidR="00DC17DF">
        <w:rPr>
          <w:rFonts w:ascii="Times New Roman" w:eastAsia="Times New Roman" w:hAnsi="Times New Roman" w:cs="Times New Roman"/>
          <w:color w:val="000000"/>
          <w:sz w:val="24"/>
          <w:szCs w:val="24"/>
        </w:rPr>
        <w:t xml:space="preserve">Boston in Suffolk County and all of </w:t>
      </w:r>
      <w:r w:rsidR="00DC17DF" w:rsidRPr="00947A5B">
        <w:rPr>
          <w:rFonts w:ascii="Times New Roman" w:eastAsia="Times New Roman" w:hAnsi="Times New Roman" w:cs="Times New Roman"/>
          <w:color w:val="000000"/>
          <w:sz w:val="24"/>
          <w:szCs w:val="24"/>
        </w:rPr>
        <w:t>Nor</w:t>
      </w:r>
      <w:r w:rsidR="00D61F89">
        <w:rPr>
          <w:rFonts w:ascii="Times New Roman" w:eastAsia="Times New Roman" w:hAnsi="Times New Roman" w:cs="Times New Roman"/>
          <w:color w:val="000000"/>
          <w:sz w:val="24"/>
          <w:szCs w:val="24"/>
        </w:rPr>
        <w:t>folk County in Massachusetts.</w:t>
      </w:r>
      <w:r w:rsidR="00CB4E45">
        <w:rPr>
          <w:rFonts w:ascii="Times New Roman" w:eastAsia="Times New Roman" w:hAnsi="Times New Roman" w:cs="Times New Roman"/>
          <w:color w:val="000000"/>
          <w:sz w:val="24"/>
          <w:szCs w:val="24"/>
        </w:rPr>
        <w:t xml:space="preserve">  Specific demographic data is presented for each assessment area under the</w:t>
      </w:r>
      <w:r w:rsidR="00081377">
        <w:rPr>
          <w:rFonts w:ascii="Times New Roman" w:eastAsia="Times New Roman" w:hAnsi="Times New Roman" w:cs="Times New Roman"/>
          <w:color w:val="000000"/>
          <w:sz w:val="24"/>
          <w:szCs w:val="24"/>
        </w:rPr>
        <w:t xml:space="preserve"> Massachusetts and </w:t>
      </w:r>
      <w:r w:rsidR="00B45024">
        <w:rPr>
          <w:rFonts w:ascii="Times New Roman" w:hAnsi="Times New Roman" w:cs="Times New Roman"/>
          <w:sz w:val="24"/>
          <w:szCs w:val="24"/>
        </w:rPr>
        <w:t>Providence</w:t>
      </w:r>
      <w:r w:rsidR="00B45024" w:rsidRPr="00DC17DF">
        <w:rPr>
          <w:rFonts w:ascii="Times New Roman" w:hAnsi="Times New Roman" w:cs="Times New Roman"/>
          <w:sz w:val="24"/>
          <w:szCs w:val="24"/>
        </w:rPr>
        <w:t>-Warwick, RI-MA MSA</w:t>
      </w:r>
      <w:r w:rsidR="00B45024">
        <w:rPr>
          <w:rFonts w:ascii="Times New Roman" w:hAnsi="Times New Roman" w:cs="Times New Roman"/>
          <w:sz w:val="24"/>
          <w:szCs w:val="24"/>
        </w:rPr>
        <w:t xml:space="preserve"> rated area</w:t>
      </w:r>
      <w:r w:rsidR="00CB4E45">
        <w:rPr>
          <w:rFonts w:ascii="Times New Roman" w:eastAsia="Times New Roman" w:hAnsi="Times New Roman" w:cs="Times New Roman"/>
          <w:color w:val="000000"/>
          <w:sz w:val="24"/>
          <w:szCs w:val="24"/>
        </w:rPr>
        <w:t xml:space="preserve"> sections.</w:t>
      </w:r>
    </w:p>
    <w:p w14:paraId="7E777560" w14:textId="77777777" w:rsidR="00DC17DF" w:rsidRPr="00DC17DF" w:rsidRDefault="00DC17DF" w:rsidP="00DC17DF">
      <w:pPr>
        <w:autoSpaceDE w:val="0"/>
        <w:autoSpaceDN w:val="0"/>
        <w:adjustRightInd w:val="0"/>
        <w:spacing w:after="0" w:line="240" w:lineRule="auto"/>
        <w:rPr>
          <w:rFonts w:ascii="Times New Roman" w:hAnsi="Times New Roman" w:cs="Times New Roman"/>
          <w:sz w:val="24"/>
          <w:szCs w:val="24"/>
        </w:rPr>
      </w:pPr>
    </w:p>
    <w:p w14:paraId="47DED7A4" w14:textId="1DEBB5FB" w:rsidR="00DB75C4" w:rsidRDefault="00DB75C4" w:rsidP="00E50970">
      <w:pPr>
        <w:tabs>
          <w:tab w:val="left" w:pos="1260"/>
        </w:tabs>
        <w:spacing w:after="0" w:line="240" w:lineRule="auto"/>
        <w:rPr>
          <w:rFonts w:ascii="Times New Roman" w:eastAsia="Times New Roman" w:hAnsi="Times New Roman" w:cs="Times New Roman"/>
          <w:bCs/>
          <w:iCs/>
          <w:color w:val="0070C0"/>
          <w:sz w:val="24"/>
          <w:szCs w:val="24"/>
        </w:rPr>
      </w:pPr>
    </w:p>
    <w:p w14:paraId="76B115DA" w14:textId="561328C5"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380FFDF6" w14:textId="37B3B804"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04A73411" w14:textId="0209C21A"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4B6800A3" w14:textId="271A3ACF"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344EF011" w14:textId="1BC8BB50"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7EC6A7B4" w14:textId="08A54E94"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48C43930" w14:textId="3E0007B0"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2233BC89" w14:textId="2C2BF424"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2D41DB47" w14:textId="7C37B0E1" w:rsidR="00C34BAE"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7F8992F5" w14:textId="77777777" w:rsidR="00C34BAE" w:rsidRPr="00E50970" w:rsidRDefault="00C34BAE" w:rsidP="00E50970">
      <w:pPr>
        <w:tabs>
          <w:tab w:val="left" w:pos="1260"/>
        </w:tabs>
        <w:spacing w:after="0" w:line="240" w:lineRule="auto"/>
        <w:rPr>
          <w:rFonts w:ascii="Times New Roman" w:eastAsia="Times New Roman" w:hAnsi="Times New Roman" w:cs="Times New Roman"/>
          <w:bCs/>
          <w:iCs/>
          <w:color w:val="0070C0"/>
          <w:sz w:val="24"/>
          <w:szCs w:val="24"/>
        </w:rPr>
      </w:pPr>
    </w:p>
    <w:p w14:paraId="4B037A7B" w14:textId="77777777" w:rsidR="00E50970" w:rsidRPr="00E50970" w:rsidRDefault="00E50970" w:rsidP="00E50970">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bookmarkStart w:id="8" w:name="_Toc70419321"/>
      <w:r w:rsidRPr="00E50970">
        <w:rPr>
          <w:rFonts w:ascii="Times New Roman" w:eastAsia="Times New Roman" w:hAnsi="Times New Roman" w:cs="Times New Roman"/>
          <w:b/>
          <w:bCs/>
          <w:spacing w:val="-3"/>
          <w:sz w:val="28"/>
          <w:szCs w:val="20"/>
        </w:rPr>
        <w:lastRenderedPageBreak/>
        <w:t>CONCLUSIONS ON PERFORMANCE CRITERIA</w:t>
      </w:r>
      <w:bookmarkEnd w:id="8"/>
    </w:p>
    <w:p w14:paraId="5F7E9A99"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p>
    <w:p w14:paraId="16FDB83A" w14:textId="77777777" w:rsidR="00E50970" w:rsidRPr="009D7C1E" w:rsidRDefault="00E50970" w:rsidP="00E50970">
      <w:pPr>
        <w:spacing w:after="0" w:line="240" w:lineRule="auto"/>
        <w:rPr>
          <w:rFonts w:ascii="Times New Roman" w:eastAsia="Times New Roman" w:hAnsi="Times New Roman" w:cs="Times New Roman"/>
          <w:b/>
          <w:bCs/>
          <w:color w:val="000000"/>
          <w:sz w:val="24"/>
          <w:szCs w:val="24"/>
        </w:rPr>
      </w:pPr>
      <w:r w:rsidRPr="009D7C1E">
        <w:rPr>
          <w:rFonts w:ascii="Times New Roman" w:eastAsia="Times New Roman" w:hAnsi="Times New Roman" w:cs="Times New Roman"/>
          <w:b/>
          <w:bCs/>
          <w:color w:val="000000"/>
          <w:sz w:val="24"/>
          <w:szCs w:val="24"/>
        </w:rPr>
        <w:t>LENDING TEST</w:t>
      </w:r>
    </w:p>
    <w:p w14:paraId="1E9137FA" w14:textId="64F95826" w:rsidR="00E50970" w:rsidRDefault="00E50970" w:rsidP="00E50970">
      <w:pPr>
        <w:spacing w:after="0" w:line="240" w:lineRule="auto"/>
        <w:rPr>
          <w:rFonts w:ascii="Times New Roman" w:eastAsia="Times New Roman" w:hAnsi="Times New Roman" w:cs="Times New Roman"/>
          <w:bCs/>
          <w:spacing w:val="-3"/>
          <w:sz w:val="24"/>
          <w:szCs w:val="24"/>
        </w:rPr>
      </w:pPr>
    </w:p>
    <w:p w14:paraId="441D406C" w14:textId="51A1139D" w:rsidR="00DB75C4" w:rsidRPr="009D7C1E" w:rsidRDefault="00517F03" w:rsidP="009D7C1E">
      <w:pPr>
        <w:spacing w:after="0" w:line="240" w:lineRule="auto"/>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The Lending Test is rated Outstanding.  HOB</w:t>
      </w:r>
      <w:r w:rsidR="009D7C1E" w:rsidRPr="009D7C1E">
        <w:rPr>
          <w:rFonts w:ascii="Times New Roman" w:hAnsi="Times New Roman" w:cs="Times New Roman"/>
          <w:sz w:val="24"/>
          <w:szCs w:val="24"/>
        </w:rPr>
        <w:t xml:space="preserve"> demonstrated excellent perf</w:t>
      </w:r>
      <w:r w:rsidR="00957C25">
        <w:rPr>
          <w:rFonts w:ascii="Times New Roman" w:hAnsi="Times New Roman" w:cs="Times New Roman"/>
          <w:sz w:val="24"/>
          <w:szCs w:val="24"/>
        </w:rPr>
        <w:t xml:space="preserve">ormance under the Lending Test.  </w:t>
      </w:r>
      <w:r w:rsidR="00B45024">
        <w:rPr>
          <w:rFonts w:ascii="Times New Roman" w:hAnsi="Times New Roman" w:cs="Times New Roman"/>
          <w:sz w:val="24"/>
          <w:szCs w:val="24"/>
        </w:rPr>
        <w:t>T</w:t>
      </w:r>
      <w:r w:rsidR="00957C25">
        <w:rPr>
          <w:rFonts w:ascii="Times New Roman" w:hAnsi="Times New Roman" w:cs="Times New Roman"/>
          <w:sz w:val="24"/>
          <w:szCs w:val="24"/>
        </w:rPr>
        <w:t xml:space="preserve">he bank’s </w:t>
      </w:r>
      <w:r w:rsidR="00C34BAE">
        <w:rPr>
          <w:rFonts w:ascii="Times New Roman" w:hAnsi="Times New Roman" w:cs="Times New Roman"/>
          <w:sz w:val="24"/>
          <w:szCs w:val="24"/>
        </w:rPr>
        <w:t>Lending Test</w:t>
      </w:r>
      <w:r w:rsidR="00957C25">
        <w:rPr>
          <w:rFonts w:ascii="Times New Roman" w:hAnsi="Times New Roman" w:cs="Times New Roman"/>
          <w:sz w:val="24"/>
          <w:szCs w:val="24"/>
        </w:rPr>
        <w:t xml:space="preserve"> performance in each </w:t>
      </w:r>
      <w:r w:rsidR="00B45024">
        <w:rPr>
          <w:rFonts w:ascii="Times New Roman" w:hAnsi="Times New Roman" w:cs="Times New Roman"/>
          <w:sz w:val="24"/>
          <w:szCs w:val="24"/>
        </w:rPr>
        <w:t>rated</w:t>
      </w:r>
      <w:r w:rsidR="00957C25">
        <w:rPr>
          <w:rFonts w:ascii="Times New Roman" w:hAnsi="Times New Roman" w:cs="Times New Roman"/>
          <w:sz w:val="24"/>
          <w:szCs w:val="24"/>
        </w:rPr>
        <w:t xml:space="preserve"> area</w:t>
      </w:r>
      <w:r w:rsidR="00B45024">
        <w:rPr>
          <w:rFonts w:ascii="Times New Roman" w:hAnsi="Times New Roman" w:cs="Times New Roman"/>
          <w:sz w:val="24"/>
          <w:szCs w:val="24"/>
        </w:rPr>
        <w:t xml:space="preserve"> </w:t>
      </w:r>
      <w:r w:rsidR="00707470">
        <w:rPr>
          <w:rFonts w:ascii="Times New Roman" w:hAnsi="Times New Roman" w:cs="Times New Roman"/>
          <w:sz w:val="24"/>
          <w:szCs w:val="24"/>
        </w:rPr>
        <w:t>is consistent with the overall Lending Test rating and conclusions</w:t>
      </w:r>
      <w:r w:rsidR="00957C25">
        <w:rPr>
          <w:rFonts w:ascii="Times New Roman" w:hAnsi="Times New Roman" w:cs="Times New Roman"/>
          <w:sz w:val="24"/>
          <w:szCs w:val="24"/>
        </w:rPr>
        <w:t xml:space="preserve">.  </w:t>
      </w:r>
      <w:r w:rsidR="009D7C1E" w:rsidRPr="009D7C1E">
        <w:rPr>
          <w:rFonts w:ascii="Times New Roman" w:hAnsi="Times New Roman" w:cs="Times New Roman"/>
          <w:sz w:val="24"/>
          <w:szCs w:val="24"/>
        </w:rPr>
        <w:t>The following sections summarize the bank</w:t>
      </w:r>
      <w:r w:rsidR="009C5022">
        <w:rPr>
          <w:rFonts w:ascii="Times New Roman" w:hAnsi="Times New Roman" w:cs="Times New Roman"/>
          <w:sz w:val="24"/>
          <w:szCs w:val="24"/>
        </w:rPr>
        <w:t>’</w:t>
      </w:r>
      <w:r w:rsidR="009D7C1E" w:rsidRPr="009D7C1E">
        <w:rPr>
          <w:rFonts w:ascii="Times New Roman" w:hAnsi="Times New Roman" w:cs="Times New Roman"/>
          <w:sz w:val="24"/>
          <w:szCs w:val="24"/>
        </w:rPr>
        <w:t>s overall performance under each criterion.</w:t>
      </w:r>
    </w:p>
    <w:p w14:paraId="3D685472" w14:textId="77777777" w:rsidR="00C34BAE" w:rsidRPr="009D7C1E" w:rsidRDefault="00C34BAE" w:rsidP="00E50970">
      <w:pPr>
        <w:spacing w:after="0" w:line="240" w:lineRule="auto"/>
        <w:rPr>
          <w:rFonts w:ascii="Times New Roman" w:eastAsia="Times New Roman" w:hAnsi="Times New Roman" w:cs="Times New Roman"/>
          <w:bCs/>
          <w:spacing w:val="-3"/>
          <w:sz w:val="24"/>
          <w:szCs w:val="24"/>
        </w:rPr>
      </w:pPr>
    </w:p>
    <w:p w14:paraId="1485ADF8" w14:textId="77777777" w:rsidR="00E50970" w:rsidRPr="009D7C1E" w:rsidRDefault="00E50970" w:rsidP="00E50970">
      <w:pPr>
        <w:spacing w:after="0" w:line="240" w:lineRule="auto"/>
        <w:rPr>
          <w:rFonts w:ascii="Times New Roman" w:eastAsia="Times New Roman" w:hAnsi="Times New Roman" w:cs="Times New Roman"/>
          <w:b/>
          <w:sz w:val="24"/>
          <w:szCs w:val="24"/>
          <w:u w:val="single"/>
        </w:rPr>
      </w:pPr>
      <w:bookmarkStart w:id="9" w:name="_Toc12341513"/>
      <w:r w:rsidRPr="009D7C1E">
        <w:rPr>
          <w:rFonts w:ascii="Times New Roman" w:eastAsia="Times New Roman" w:hAnsi="Times New Roman" w:cs="Times New Roman"/>
          <w:b/>
          <w:sz w:val="24"/>
          <w:szCs w:val="24"/>
          <w:u w:val="single"/>
        </w:rPr>
        <w:t>Lending Activity</w:t>
      </w:r>
      <w:bookmarkEnd w:id="9"/>
    </w:p>
    <w:p w14:paraId="676FBF7C" w14:textId="77777777" w:rsidR="009D7C1E" w:rsidRPr="00957C25" w:rsidRDefault="009D7C1E" w:rsidP="009D7C1E">
      <w:pPr>
        <w:spacing w:after="0"/>
        <w:outlineLvl w:val="2"/>
        <w:rPr>
          <w:rFonts w:ascii="Times New Roman" w:hAnsi="Times New Roman" w:cs="Times New Roman"/>
          <w:bCs/>
          <w:spacing w:val="-3"/>
          <w:sz w:val="24"/>
          <w:szCs w:val="24"/>
        </w:rPr>
      </w:pPr>
    </w:p>
    <w:p w14:paraId="4511E152" w14:textId="13CD54C1" w:rsidR="00DB75C4" w:rsidRPr="00957C25" w:rsidRDefault="009D7C1E" w:rsidP="00957C25">
      <w:pPr>
        <w:pStyle w:val="Default"/>
      </w:pPr>
      <w:r w:rsidRPr="00957C25">
        <w:rPr>
          <w:bCs/>
          <w:spacing w:val="-3"/>
        </w:rPr>
        <w:t xml:space="preserve">The bank’s lending levels reflect </w:t>
      </w:r>
      <w:r w:rsidR="00066945">
        <w:rPr>
          <w:bCs/>
          <w:spacing w:val="-3"/>
        </w:rPr>
        <w:t>excellent responsiveness to</w:t>
      </w:r>
      <w:r w:rsidRPr="00957C25">
        <w:rPr>
          <w:bCs/>
          <w:spacing w:val="-3"/>
        </w:rPr>
        <w:t xml:space="preserve"> assessment area credit needs.</w:t>
      </w:r>
      <w:r w:rsidR="00957C25">
        <w:rPr>
          <w:bCs/>
          <w:spacing w:val="-3"/>
        </w:rPr>
        <w:t xml:space="preserve">  </w:t>
      </w:r>
      <w:r w:rsidR="00957C25" w:rsidRPr="00957C25">
        <w:t xml:space="preserve">This conclusion is </w:t>
      </w:r>
      <w:r w:rsidR="00081377">
        <w:t xml:space="preserve">primarily </w:t>
      </w:r>
      <w:r w:rsidR="00957C25" w:rsidRPr="00957C25">
        <w:t>supporte</w:t>
      </w:r>
      <w:r w:rsidR="00957C25">
        <w:t xml:space="preserve">d by </w:t>
      </w:r>
      <w:r w:rsidR="00F528CE">
        <w:t>excellent</w:t>
      </w:r>
      <w:r w:rsidR="00957C25">
        <w:t xml:space="preserve"> responsiveness in </w:t>
      </w:r>
      <w:r w:rsidR="00F528CE">
        <w:t>the Massachusetts</w:t>
      </w:r>
      <w:r w:rsidR="00957C25">
        <w:t xml:space="preserve"> </w:t>
      </w:r>
      <w:r w:rsidR="00B45024">
        <w:t>rated</w:t>
      </w:r>
      <w:r w:rsidR="00F528CE">
        <w:t xml:space="preserve"> area</w:t>
      </w:r>
      <w:r w:rsidR="00957C25">
        <w:t>.</w:t>
      </w:r>
      <w:r w:rsidR="00066945">
        <w:t xml:space="preserve">  Refer to rated area sections for a complete discussion of bank performance under this factor.</w:t>
      </w:r>
      <w:r w:rsidR="00FC410D">
        <w:t xml:space="preserve">  The bank’s consolidation and shifting of residential mortgage operations into HOME provides significant performance context when determin</w:t>
      </w:r>
      <w:r w:rsidR="00AF58C7">
        <w:t xml:space="preserve">ing conclusions for this factor in Massachusetts.  For the Providence-Warwick, RI-MA MSA rated area, HOB’s acquisition of </w:t>
      </w:r>
      <w:r w:rsidR="00C34BAE">
        <w:t>CCB</w:t>
      </w:r>
      <w:r w:rsidR="00AF58C7">
        <w:t xml:space="preserve"> in October 2018 provides significant performance context.</w:t>
      </w:r>
    </w:p>
    <w:p w14:paraId="59FDE87F" w14:textId="77777777" w:rsidR="00DB75C4" w:rsidRPr="00957C25" w:rsidRDefault="00DB75C4" w:rsidP="00E50970">
      <w:pPr>
        <w:spacing w:after="0" w:line="240" w:lineRule="auto"/>
        <w:outlineLvl w:val="2"/>
        <w:rPr>
          <w:rFonts w:ascii="Times New Roman" w:eastAsia="Times New Roman" w:hAnsi="Times New Roman" w:cs="Times New Roman"/>
          <w:bCs/>
          <w:spacing w:val="-3"/>
          <w:sz w:val="24"/>
          <w:szCs w:val="24"/>
        </w:rPr>
      </w:pPr>
    </w:p>
    <w:p w14:paraId="7CCD2494" w14:textId="77777777" w:rsidR="00E50970" w:rsidRPr="009D7C1E" w:rsidRDefault="00E50970" w:rsidP="00E50970">
      <w:pPr>
        <w:spacing w:after="0" w:line="240" w:lineRule="auto"/>
        <w:rPr>
          <w:rFonts w:ascii="Times New Roman" w:eastAsia="Times New Roman" w:hAnsi="Times New Roman" w:cs="Times New Roman"/>
          <w:b/>
          <w:sz w:val="24"/>
          <w:szCs w:val="24"/>
          <w:u w:val="single"/>
        </w:rPr>
      </w:pPr>
      <w:bookmarkStart w:id="10" w:name="_Toc12341514"/>
      <w:r w:rsidRPr="009D7C1E">
        <w:rPr>
          <w:rFonts w:ascii="Times New Roman" w:eastAsia="Times New Roman" w:hAnsi="Times New Roman" w:cs="Times New Roman"/>
          <w:b/>
          <w:sz w:val="24"/>
          <w:szCs w:val="24"/>
          <w:u w:val="single"/>
        </w:rPr>
        <w:t>Assessment Area Concentration</w:t>
      </w:r>
      <w:bookmarkEnd w:id="10"/>
    </w:p>
    <w:p w14:paraId="650136CD" w14:textId="77777777" w:rsidR="00E50970" w:rsidRPr="009D7C1E" w:rsidRDefault="00E50970" w:rsidP="00E50970">
      <w:pPr>
        <w:spacing w:after="0" w:line="240" w:lineRule="auto"/>
        <w:rPr>
          <w:rFonts w:ascii="Times New Roman" w:eastAsia="Times New Roman" w:hAnsi="Times New Roman" w:cs="Times New Roman"/>
          <w:iCs/>
          <w:sz w:val="24"/>
          <w:szCs w:val="24"/>
        </w:rPr>
      </w:pPr>
    </w:p>
    <w:p w14:paraId="7AA04C2F" w14:textId="28EFDA39" w:rsidR="009D7C1E" w:rsidRDefault="009D7C1E" w:rsidP="009D7C1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bank made </w:t>
      </w:r>
      <w:r w:rsidRPr="005B10D0">
        <w:rPr>
          <w:rFonts w:ascii="Times New Roman" w:eastAsia="Times New Roman" w:hAnsi="Times New Roman" w:cs="Times New Roman"/>
          <w:iCs/>
          <w:sz w:val="24"/>
          <w:szCs w:val="24"/>
        </w:rPr>
        <w:t>a high percentage</w:t>
      </w:r>
      <w:r>
        <w:rPr>
          <w:rFonts w:ascii="Times New Roman" w:eastAsia="Times New Roman" w:hAnsi="Times New Roman" w:cs="Times New Roman"/>
          <w:iCs/>
          <w:sz w:val="24"/>
          <w:szCs w:val="24"/>
        </w:rPr>
        <w:t xml:space="preserve"> of home mortgage and small business loans within its </w:t>
      </w:r>
      <w:r w:rsidR="00081377">
        <w:rPr>
          <w:rFonts w:ascii="Times New Roman" w:eastAsia="Times New Roman" w:hAnsi="Times New Roman" w:cs="Times New Roman"/>
          <w:iCs/>
          <w:sz w:val="24"/>
          <w:szCs w:val="24"/>
        </w:rPr>
        <w:t xml:space="preserve">combined </w:t>
      </w:r>
      <w:r>
        <w:rPr>
          <w:rFonts w:ascii="Times New Roman" w:eastAsia="Times New Roman" w:hAnsi="Times New Roman" w:cs="Times New Roman"/>
          <w:iCs/>
          <w:sz w:val="24"/>
          <w:szCs w:val="24"/>
        </w:rPr>
        <w:t>assessment area.  The percentage of home mortgage lending activity in the assessment area was consistent</w:t>
      </w:r>
      <w:r w:rsidR="0089005E">
        <w:rPr>
          <w:rFonts w:ascii="Times New Roman" w:eastAsia="Times New Roman" w:hAnsi="Times New Roman" w:cs="Times New Roman"/>
          <w:iCs/>
          <w:sz w:val="24"/>
          <w:szCs w:val="24"/>
        </w:rPr>
        <w:t>ly high</w:t>
      </w:r>
      <w:r>
        <w:rPr>
          <w:rFonts w:ascii="Times New Roman" w:eastAsia="Times New Roman" w:hAnsi="Times New Roman" w:cs="Times New Roman"/>
          <w:iCs/>
          <w:sz w:val="24"/>
          <w:szCs w:val="24"/>
        </w:rPr>
        <w:t xml:space="preserve"> </w:t>
      </w:r>
      <w:r w:rsidR="00AB45EB">
        <w:rPr>
          <w:rFonts w:ascii="Times New Roman" w:eastAsia="Times New Roman" w:hAnsi="Times New Roman" w:cs="Times New Roman"/>
          <w:iCs/>
          <w:sz w:val="24"/>
          <w:szCs w:val="24"/>
        </w:rPr>
        <w:t xml:space="preserve">throughout the review period, but the volume of bank home mortgage loans in the assessment area decreased </w:t>
      </w:r>
      <w:r w:rsidR="00B45024">
        <w:rPr>
          <w:rFonts w:ascii="Times New Roman" w:eastAsia="Times New Roman" w:hAnsi="Times New Roman" w:cs="Times New Roman"/>
          <w:iCs/>
          <w:sz w:val="24"/>
          <w:szCs w:val="24"/>
        </w:rPr>
        <w:t>s</w:t>
      </w:r>
      <w:r w:rsidR="00AB45EB">
        <w:rPr>
          <w:rFonts w:ascii="Times New Roman" w:eastAsia="Times New Roman" w:hAnsi="Times New Roman" w:cs="Times New Roman"/>
          <w:iCs/>
          <w:sz w:val="24"/>
          <w:szCs w:val="24"/>
        </w:rPr>
        <w:t xml:space="preserve">tarting in 2018 </w:t>
      </w:r>
      <w:r>
        <w:rPr>
          <w:rFonts w:ascii="Times New Roman" w:eastAsia="Times New Roman" w:hAnsi="Times New Roman" w:cs="Times New Roman"/>
          <w:iCs/>
          <w:sz w:val="24"/>
          <w:szCs w:val="24"/>
        </w:rPr>
        <w:t xml:space="preserve">due to the bank consolidating its home mortgage lending operations </w:t>
      </w:r>
      <w:r w:rsidR="00AB45EB">
        <w:rPr>
          <w:rFonts w:ascii="Times New Roman" w:eastAsia="Times New Roman" w:hAnsi="Times New Roman" w:cs="Times New Roman"/>
          <w:iCs/>
          <w:sz w:val="24"/>
          <w:szCs w:val="24"/>
        </w:rPr>
        <w:t>under</w:t>
      </w:r>
      <w:r>
        <w:rPr>
          <w:rFonts w:ascii="Times New Roman" w:eastAsia="Times New Roman" w:hAnsi="Times New Roman" w:cs="Times New Roman"/>
          <w:iCs/>
          <w:sz w:val="24"/>
          <w:szCs w:val="24"/>
        </w:rPr>
        <w:t xml:space="preserve"> HOME.  </w:t>
      </w:r>
      <w:r w:rsidR="00AB45EB">
        <w:rPr>
          <w:rFonts w:ascii="Times New Roman" w:eastAsia="Times New Roman" w:hAnsi="Times New Roman" w:cs="Times New Roman"/>
          <w:iCs/>
          <w:sz w:val="24"/>
          <w:szCs w:val="24"/>
        </w:rPr>
        <w:t>CRA regulations indicate that this factor of the Lending Test does not include affiliate lending</w:t>
      </w:r>
      <w:r w:rsidR="002B1F2A">
        <w:rPr>
          <w:rFonts w:ascii="Times New Roman" w:eastAsia="Times New Roman" w:hAnsi="Times New Roman" w:cs="Times New Roman"/>
          <w:iCs/>
          <w:sz w:val="24"/>
          <w:szCs w:val="24"/>
        </w:rPr>
        <w:t>, which explains the notably decreasing trend in loan volume</w:t>
      </w:r>
      <w:r w:rsidR="00AB45EB">
        <w:rPr>
          <w:rFonts w:ascii="Times New Roman" w:eastAsia="Times New Roman" w:hAnsi="Times New Roman" w:cs="Times New Roman"/>
          <w:iCs/>
          <w:sz w:val="24"/>
          <w:szCs w:val="24"/>
        </w:rPr>
        <w:t xml:space="preserve">.  </w:t>
      </w:r>
    </w:p>
    <w:p w14:paraId="72978E9F" w14:textId="21F30DF8" w:rsidR="009D7C1E" w:rsidRDefault="009D7C1E" w:rsidP="009D7C1E">
      <w:pPr>
        <w:spacing w:after="0" w:line="240" w:lineRule="auto"/>
        <w:rPr>
          <w:rFonts w:ascii="Times New Roman" w:eastAsia="Times New Roman" w:hAnsi="Times New Roman" w:cs="Times New Roman"/>
          <w:iCs/>
          <w:sz w:val="24"/>
          <w:szCs w:val="24"/>
        </w:rPr>
      </w:pPr>
    </w:p>
    <w:p w14:paraId="3B476B2A" w14:textId="6BE883E3" w:rsidR="009D7C1E" w:rsidRDefault="002B1F2A" w:rsidP="009D7C1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With the exception of a dip in the percentage of s</w:t>
      </w:r>
      <w:r w:rsidR="009D7C1E">
        <w:rPr>
          <w:rFonts w:ascii="Times New Roman" w:eastAsia="Times New Roman" w:hAnsi="Times New Roman" w:cs="Times New Roman"/>
          <w:iCs/>
          <w:sz w:val="24"/>
          <w:szCs w:val="24"/>
        </w:rPr>
        <w:t xml:space="preserve">mall business loan originations </w:t>
      </w:r>
      <w:r w:rsidR="00A0081E">
        <w:rPr>
          <w:rFonts w:ascii="Times New Roman" w:eastAsia="Times New Roman" w:hAnsi="Times New Roman" w:cs="Times New Roman"/>
          <w:iCs/>
          <w:sz w:val="24"/>
          <w:szCs w:val="24"/>
        </w:rPr>
        <w:t>inside</w:t>
      </w:r>
      <w:r>
        <w:rPr>
          <w:rFonts w:ascii="Times New Roman" w:eastAsia="Times New Roman" w:hAnsi="Times New Roman" w:cs="Times New Roman"/>
          <w:iCs/>
          <w:sz w:val="24"/>
          <w:szCs w:val="24"/>
        </w:rPr>
        <w:t xml:space="preserve"> the assessment area in 2018, the bank had a similar concentration of lending in the assessment area</w:t>
      </w:r>
      <w:r w:rsidR="00D42470">
        <w:rPr>
          <w:rFonts w:ascii="Times New Roman" w:eastAsia="Times New Roman" w:hAnsi="Times New Roman" w:cs="Times New Roman"/>
          <w:iCs/>
          <w:sz w:val="24"/>
          <w:szCs w:val="24"/>
        </w:rPr>
        <w:t xml:space="preserve"> during each year reviewed</w:t>
      </w:r>
      <w:r>
        <w:rPr>
          <w:rFonts w:ascii="Times New Roman" w:eastAsia="Times New Roman" w:hAnsi="Times New Roman" w:cs="Times New Roman"/>
          <w:iCs/>
          <w:sz w:val="24"/>
          <w:szCs w:val="24"/>
        </w:rPr>
        <w:t xml:space="preserve">.  The </w:t>
      </w:r>
      <w:r w:rsidR="00D42470">
        <w:rPr>
          <w:rFonts w:ascii="Times New Roman" w:eastAsia="Times New Roman" w:hAnsi="Times New Roman" w:cs="Times New Roman"/>
          <w:iCs/>
          <w:sz w:val="24"/>
          <w:szCs w:val="24"/>
        </w:rPr>
        <w:t xml:space="preserve">total </w:t>
      </w:r>
      <w:r>
        <w:rPr>
          <w:rFonts w:ascii="Times New Roman" w:eastAsia="Times New Roman" w:hAnsi="Times New Roman" w:cs="Times New Roman"/>
          <w:iCs/>
          <w:sz w:val="24"/>
          <w:szCs w:val="24"/>
        </w:rPr>
        <w:t xml:space="preserve">volume of loans </w:t>
      </w:r>
      <w:r w:rsidR="009D7C1E">
        <w:rPr>
          <w:rFonts w:ascii="Times New Roman" w:eastAsia="Times New Roman" w:hAnsi="Times New Roman" w:cs="Times New Roman"/>
          <w:iCs/>
          <w:sz w:val="24"/>
          <w:szCs w:val="24"/>
        </w:rPr>
        <w:t>consistently increased throughout the evaluation period</w:t>
      </w:r>
      <w:r w:rsidR="00181F85">
        <w:rPr>
          <w:rFonts w:ascii="Times New Roman" w:eastAsia="Times New Roman" w:hAnsi="Times New Roman" w:cs="Times New Roman"/>
          <w:iCs/>
          <w:sz w:val="24"/>
          <w:szCs w:val="24"/>
        </w:rPr>
        <w:t>; however,</w:t>
      </w:r>
      <w:r w:rsidR="009D7C1E">
        <w:rPr>
          <w:rFonts w:ascii="Times New Roman" w:eastAsia="Times New Roman" w:hAnsi="Times New Roman" w:cs="Times New Roman"/>
          <w:iCs/>
          <w:sz w:val="24"/>
          <w:szCs w:val="24"/>
        </w:rPr>
        <w:t xml:space="preserve"> the </w:t>
      </w:r>
      <w:r w:rsidR="00181F85">
        <w:rPr>
          <w:rFonts w:ascii="Times New Roman" w:eastAsia="Times New Roman" w:hAnsi="Times New Roman" w:cs="Times New Roman"/>
          <w:iCs/>
          <w:sz w:val="24"/>
          <w:szCs w:val="24"/>
        </w:rPr>
        <w:t xml:space="preserve">percentage </w:t>
      </w:r>
      <w:r w:rsidR="009D7C1E">
        <w:rPr>
          <w:rFonts w:ascii="Times New Roman" w:eastAsia="Times New Roman" w:hAnsi="Times New Roman" w:cs="Times New Roman"/>
          <w:iCs/>
          <w:sz w:val="24"/>
          <w:szCs w:val="24"/>
        </w:rPr>
        <w:t xml:space="preserve">of small business lending activity </w:t>
      </w:r>
      <w:r w:rsidR="00D42470">
        <w:rPr>
          <w:rFonts w:ascii="Times New Roman" w:eastAsia="Times New Roman" w:hAnsi="Times New Roman" w:cs="Times New Roman"/>
          <w:iCs/>
          <w:sz w:val="24"/>
          <w:szCs w:val="24"/>
        </w:rPr>
        <w:t xml:space="preserve">inside the assessment area </w:t>
      </w:r>
      <w:r w:rsidR="00A0081E">
        <w:rPr>
          <w:rFonts w:ascii="Times New Roman" w:eastAsia="Times New Roman" w:hAnsi="Times New Roman" w:cs="Times New Roman"/>
          <w:iCs/>
          <w:sz w:val="24"/>
          <w:szCs w:val="24"/>
        </w:rPr>
        <w:t xml:space="preserve">decreased </w:t>
      </w:r>
      <w:r w:rsidR="009D7C1E">
        <w:rPr>
          <w:rFonts w:ascii="Times New Roman" w:eastAsia="Times New Roman" w:hAnsi="Times New Roman" w:cs="Times New Roman"/>
          <w:iCs/>
          <w:sz w:val="24"/>
          <w:szCs w:val="24"/>
        </w:rPr>
        <w:t xml:space="preserve">in 2018.  </w:t>
      </w:r>
      <w:r w:rsidR="009D7C1E" w:rsidRPr="00ED268B">
        <w:rPr>
          <w:rFonts w:ascii="Times New Roman" w:hAnsi="Times New Roman" w:cs="Times New Roman"/>
          <w:bCs/>
          <w:color w:val="000000"/>
          <w:sz w:val="24"/>
          <w:szCs w:val="24"/>
        </w:rPr>
        <w:t>The concentration of assessment area lending indicates the bank has focused on credit needs in the assessment area.</w:t>
      </w:r>
      <w:r w:rsidR="009D7C1E">
        <w:rPr>
          <w:rFonts w:ascii="Times New Roman" w:hAnsi="Times New Roman" w:cs="Times New Roman"/>
          <w:bCs/>
          <w:color w:val="000000"/>
          <w:sz w:val="24"/>
          <w:szCs w:val="24"/>
        </w:rPr>
        <w:t xml:space="preserve">  </w:t>
      </w:r>
      <w:r w:rsidR="009D7C1E">
        <w:rPr>
          <w:rFonts w:ascii="Times New Roman" w:eastAsia="Times New Roman" w:hAnsi="Times New Roman" w:cs="Times New Roman"/>
          <w:iCs/>
          <w:sz w:val="24"/>
          <w:szCs w:val="24"/>
        </w:rPr>
        <w:t>The following table illustrates lending activity inside and outside of the</w:t>
      </w:r>
      <w:r w:rsidR="00081377">
        <w:rPr>
          <w:rFonts w:ascii="Times New Roman" w:eastAsia="Times New Roman" w:hAnsi="Times New Roman" w:cs="Times New Roman"/>
          <w:iCs/>
          <w:sz w:val="24"/>
          <w:szCs w:val="24"/>
        </w:rPr>
        <w:t xml:space="preserve"> combined</w:t>
      </w:r>
      <w:r w:rsidR="009D7C1E">
        <w:rPr>
          <w:rFonts w:ascii="Times New Roman" w:eastAsia="Times New Roman" w:hAnsi="Times New Roman" w:cs="Times New Roman"/>
          <w:iCs/>
          <w:sz w:val="24"/>
          <w:szCs w:val="24"/>
        </w:rPr>
        <w:t xml:space="preserve"> assessment area.</w:t>
      </w:r>
    </w:p>
    <w:p w14:paraId="13A356EA" w14:textId="43645A90" w:rsidR="001D3E11" w:rsidRDefault="001D3E11" w:rsidP="009D7C1E">
      <w:pPr>
        <w:spacing w:after="0" w:line="240" w:lineRule="auto"/>
        <w:rPr>
          <w:rFonts w:ascii="Times New Roman" w:eastAsia="Times New Roman" w:hAnsi="Times New Roman" w:cs="Times New Roman"/>
          <w:iCs/>
          <w:sz w:val="24"/>
          <w:szCs w:val="24"/>
        </w:rPr>
      </w:pPr>
    </w:p>
    <w:p w14:paraId="7BF317E8" w14:textId="1597FE6F" w:rsidR="001D3E11" w:rsidRDefault="001D3E11" w:rsidP="009D7C1E">
      <w:pPr>
        <w:spacing w:after="0" w:line="240" w:lineRule="auto"/>
        <w:rPr>
          <w:rFonts w:ascii="Times New Roman" w:eastAsia="Times New Roman" w:hAnsi="Times New Roman" w:cs="Times New Roman"/>
          <w:iCs/>
          <w:sz w:val="24"/>
          <w:szCs w:val="24"/>
        </w:rPr>
      </w:pPr>
    </w:p>
    <w:p w14:paraId="0308B248" w14:textId="269B7665" w:rsidR="001D3E11" w:rsidRDefault="001D3E11" w:rsidP="009D7C1E">
      <w:pPr>
        <w:spacing w:after="0" w:line="240" w:lineRule="auto"/>
        <w:rPr>
          <w:rFonts w:ascii="Times New Roman" w:eastAsia="Times New Roman" w:hAnsi="Times New Roman" w:cs="Times New Roman"/>
          <w:iCs/>
          <w:sz w:val="24"/>
          <w:szCs w:val="24"/>
        </w:rPr>
      </w:pPr>
    </w:p>
    <w:p w14:paraId="3519D9A2" w14:textId="59093ED7" w:rsidR="001D3E11" w:rsidRDefault="001D3E11" w:rsidP="009D7C1E">
      <w:pPr>
        <w:spacing w:after="0" w:line="240" w:lineRule="auto"/>
        <w:rPr>
          <w:rFonts w:ascii="Times New Roman" w:eastAsia="Times New Roman" w:hAnsi="Times New Roman" w:cs="Times New Roman"/>
          <w:iCs/>
          <w:sz w:val="24"/>
          <w:szCs w:val="24"/>
        </w:rPr>
      </w:pPr>
    </w:p>
    <w:p w14:paraId="52BCA4D5" w14:textId="04FF97B0" w:rsidR="001D3E11" w:rsidRDefault="001D3E11" w:rsidP="009D7C1E">
      <w:pPr>
        <w:spacing w:after="0" w:line="240" w:lineRule="auto"/>
        <w:rPr>
          <w:rFonts w:ascii="Times New Roman" w:eastAsia="Times New Roman" w:hAnsi="Times New Roman" w:cs="Times New Roman"/>
          <w:iCs/>
          <w:sz w:val="24"/>
          <w:szCs w:val="24"/>
        </w:rPr>
      </w:pPr>
    </w:p>
    <w:p w14:paraId="5C6B0005" w14:textId="77CB1874" w:rsidR="001D3E11" w:rsidRDefault="001D3E11" w:rsidP="009D7C1E">
      <w:pPr>
        <w:spacing w:after="0" w:line="240" w:lineRule="auto"/>
        <w:rPr>
          <w:rFonts w:ascii="Times New Roman" w:eastAsia="Times New Roman" w:hAnsi="Times New Roman" w:cs="Times New Roman"/>
          <w:iCs/>
          <w:sz w:val="24"/>
          <w:szCs w:val="24"/>
        </w:rPr>
      </w:pPr>
    </w:p>
    <w:p w14:paraId="45760B95" w14:textId="1208D49E" w:rsidR="001D3E11" w:rsidRDefault="001D3E11" w:rsidP="009D7C1E">
      <w:pPr>
        <w:spacing w:after="0" w:line="240" w:lineRule="auto"/>
        <w:rPr>
          <w:rFonts w:ascii="Times New Roman" w:eastAsia="Times New Roman" w:hAnsi="Times New Roman" w:cs="Times New Roman"/>
          <w:iCs/>
          <w:sz w:val="24"/>
          <w:szCs w:val="24"/>
        </w:rPr>
      </w:pPr>
    </w:p>
    <w:p w14:paraId="77D176A1" w14:textId="0A83197D" w:rsidR="001D3E11" w:rsidRDefault="001D3E11" w:rsidP="009D7C1E">
      <w:pPr>
        <w:spacing w:after="0" w:line="240" w:lineRule="auto"/>
        <w:rPr>
          <w:rFonts w:ascii="Times New Roman" w:eastAsia="Times New Roman" w:hAnsi="Times New Roman" w:cs="Times New Roman"/>
          <w:iCs/>
          <w:sz w:val="24"/>
          <w:szCs w:val="24"/>
        </w:rPr>
      </w:pPr>
    </w:p>
    <w:p w14:paraId="62757DF7" w14:textId="404123F3" w:rsidR="001D3E11" w:rsidRDefault="001D3E11" w:rsidP="009D7C1E">
      <w:pPr>
        <w:spacing w:after="0" w:line="240" w:lineRule="auto"/>
        <w:rPr>
          <w:rFonts w:ascii="Times New Roman" w:eastAsia="Times New Roman" w:hAnsi="Times New Roman" w:cs="Times New Roman"/>
          <w:iCs/>
          <w:sz w:val="24"/>
          <w:szCs w:val="24"/>
        </w:rPr>
      </w:pPr>
    </w:p>
    <w:p w14:paraId="1E0CE64A" w14:textId="524D6F64" w:rsidR="001D3E11" w:rsidRDefault="001D3E11" w:rsidP="009D7C1E">
      <w:pPr>
        <w:spacing w:after="0" w:line="240" w:lineRule="auto"/>
        <w:rPr>
          <w:rFonts w:ascii="Times New Roman" w:eastAsia="Times New Roman" w:hAnsi="Times New Roman" w:cs="Times New Roman"/>
          <w:iCs/>
          <w:sz w:val="24"/>
          <w:szCs w:val="24"/>
        </w:rPr>
      </w:pPr>
    </w:p>
    <w:p w14:paraId="7FB734B4" w14:textId="1856C942" w:rsidR="001D3E11" w:rsidRDefault="001D3E11" w:rsidP="009D7C1E">
      <w:pPr>
        <w:spacing w:after="0" w:line="240" w:lineRule="auto"/>
        <w:rPr>
          <w:rFonts w:ascii="Times New Roman" w:eastAsia="Times New Roman" w:hAnsi="Times New Roman" w:cs="Times New Roman"/>
          <w:iCs/>
          <w:sz w:val="24"/>
          <w:szCs w:val="24"/>
        </w:rPr>
      </w:pPr>
    </w:p>
    <w:p w14:paraId="5473AAFD" w14:textId="77777777" w:rsidR="001D3E11" w:rsidRDefault="001D3E11" w:rsidP="009D7C1E">
      <w:pPr>
        <w:spacing w:after="0" w:line="240" w:lineRule="auto"/>
        <w:rPr>
          <w:rFonts w:ascii="Times New Roman" w:eastAsia="Times New Roman" w:hAnsi="Times New Roman" w:cs="Times New Roman"/>
          <w:iCs/>
          <w:sz w:val="24"/>
          <w:szCs w:val="24"/>
        </w:rPr>
      </w:pPr>
    </w:p>
    <w:tbl>
      <w:tblPr>
        <w:tblW w:w="0" w:type="auto"/>
        <w:tblCellMar>
          <w:left w:w="0" w:type="dxa"/>
          <w:right w:w="0" w:type="dxa"/>
        </w:tblCellMar>
        <w:tblLook w:val="0000" w:firstRow="0" w:lastRow="0" w:firstColumn="0" w:lastColumn="0" w:noHBand="0" w:noVBand="0"/>
      </w:tblPr>
      <w:tblGrid>
        <w:gridCol w:w="1674"/>
        <w:gridCol w:w="863"/>
        <w:gridCol w:w="601"/>
        <w:gridCol w:w="821"/>
        <w:gridCol w:w="573"/>
        <w:gridCol w:w="829"/>
        <w:gridCol w:w="938"/>
        <w:gridCol w:w="601"/>
        <w:gridCol w:w="952"/>
        <w:gridCol w:w="573"/>
        <w:gridCol w:w="917"/>
      </w:tblGrid>
      <w:tr w:rsidR="009D7C1E" w14:paraId="56EA56BE" w14:textId="77777777" w:rsidTr="003A6FA8">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7A31788B" w14:textId="77777777" w:rsidR="009D7C1E" w:rsidRDefault="009D7C1E" w:rsidP="003A6FA8">
            <w:pPr>
              <w:spacing w:after="0"/>
              <w:jc w:val="center"/>
            </w:pPr>
            <w:r>
              <w:rPr>
                <w:rFonts w:ascii="Times New Roman" w:eastAsia="Times New Roman" w:hAnsi="Times New Roman"/>
                <w:b/>
                <w:color w:val="000000"/>
                <w:sz w:val="20"/>
              </w:rPr>
              <w:t>Lending Inside and Outside of the Assessment Area</w:t>
            </w:r>
          </w:p>
        </w:tc>
      </w:tr>
      <w:tr w:rsidR="00391D41" w14:paraId="76AD4EAF" w14:textId="77777777" w:rsidTr="003A6FA8">
        <w:trPr>
          <w:trHeight w:val="210"/>
        </w:trPr>
        <w:tc>
          <w:tcPr>
            <w:tcW w:w="1674"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770EA6BD" w14:textId="77777777" w:rsidR="009D7C1E" w:rsidRDefault="009D7C1E" w:rsidP="003A6FA8">
            <w:pPr>
              <w:spacing w:after="0"/>
            </w:pPr>
          </w:p>
        </w:tc>
        <w:tc>
          <w:tcPr>
            <w:tcW w:w="2858"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1F9A33" w14:textId="77777777" w:rsidR="009D7C1E" w:rsidRDefault="009D7C1E" w:rsidP="003A6FA8">
            <w:pPr>
              <w:spacing w:after="0"/>
              <w:jc w:val="center"/>
            </w:pPr>
            <w:r>
              <w:rPr>
                <w:rFonts w:ascii="Times New Roman" w:eastAsia="Times New Roman" w:hAnsi="Times New Roman"/>
                <w:b/>
                <w:color w:val="000000"/>
                <w:sz w:val="20"/>
              </w:rPr>
              <w:t>Number of Loans</w:t>
            </w:r>
          </w:p>
        </w:tc>
        <w:tc>
          <w:tcPr>
            <w:tcW w:w="82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F6B3B9E" w14:textId="77777777" w:rsidR="009D7C1E" w:rsidRDefault="009D7C1E" w:rsidP="003A6FA8">
            <w:pPr>
              <w:spacing w:after="0"/>
            </w:pPr>
          </w:p>
        </w:tc>
        <w:tc>
          <w:tcPr>
            <w:tcW w:w="306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DAF2DE" w14:textId="77777777" w:rsidR="009D7C1E" w:rsidRDefault="009D7C1E" w:rsidP="003A6FA8">
            <w:pPr>
              <w:spacing w:after="0"/>
              <w:jc w:val="center"/>
            </w:pPr>
            <w:r>
              <w:rPr>
                <w:rFonts w:ascii="Times New Roman" w:eastAsia="Times New Roman" w:hAnsi="Times New Roman"/>
                <w:b/>
                <w:color w:val="000000"/>
                <w:sz w:val="20"/>
              </w:rPr>
              <w:t>Dollar Amount of Loans $(000s)</w:t>
            </w:r>
          </w:p>
        </w:tc>
        <w:tc>
          <w:tcPr>
            <w:tcW w:w="917"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DA3F9A6" w14:textId="77777777" w:rsidR="009D7C1E" w:rsidRDefault="009D7C1E" w:rsidP="003A6FA8">
            <w:pPr>
              <w:spacing w:after="0"/>
            </w:pPr>
          </w:p>
        </w:tc>
      </w:tr>
      <w:tr w:rsidR="00391D41" w14:paraId="58B998F0" w14:textId="77777777" w:rsidTr="003A6FA8">
        <w:trPr>
          <w:trHeight w:val="210"/>
        </w:trPr>
        <w:tc>
          <w:tcPr>
            <w:tcW w:w="1674" w:type="dxa"/>
            <w:tcBorders>
              <w:left w:val="single" w:sz="7" w:space="0" w:color="000000"/>
              <w:right w:val="single" w:sz="7" w:space="0" w:color="000000"/>
            </w:tcBorders>
            <w:tcMar>
              <w:top w:w="39" w:type="dxa"/>
              <w:left w:w="39" w:type="dxa"/>
              <w:bottom w:w="39" w:type="dxa"/>
              <w:right w:w="39" w:type="dxa"/>
            </w:tcMar>
            <w:vAlign w:val="center"/>
          </w:tcPr>
          <w:p w14:paraId="71B099AA" w14:textId="77777777" w:rsidR="009D7C1E" w:rsidRDefault="009D7C1E" w:rsidP="003A6FA8">
            <w:pPr>
              <w:spacing w:after="0"/>
            </w:pPr>
            <w:r>
              <w:rPr>
                <w:rFonts w:ascii="Times New Roman" w:eastAsia="Times New Roman" w:hAnsi="Times New Roman"/>
                <w:b/>
                <w:color w:val="000000"/>
                <w:sz w:val="20"/>
              </w:rPr>
              <w:t>Loan Category</w:t>
            </w:r>
          </w:p>
        </w:tc>
        <w:tc>
          <w:tcPr>
            <w:tcW w:w="146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0405F9" w14:textId="77777777" w:rsidR="009D7C1E" w:rsidRDefault="009D7C1E" w:rsidP="003A6FA8">
            <w:pPr>
              <w:spacing w:after="0"/>
              <w:jc w:val="center"/>
            </w:pPr>
            <w:r>
              <w:rPr>
                <w:rFonts w:ascii="Times New Roman" w:eastAsia="Times New Roman" w:hAnsi="Times New Roman"/>
                <w:b/>
                <w:color w:val="000000"/>
                <w:sz w:val="20"/>
              </w:rPr>
              <w:t>Inside</w:t>
            </w:r>
          </w:p>
        </w:tc>
        <w:tc>
          <w:tcPr>
            <w:tcW w:w="139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65D4A1" w14:textId="77777777" w:rsidR="009D7C1E" w:rsidRDefault="009D7C1E" w:rsidP="003A6FA8">
            <w:pPr>
              <w:spacing w:after="0"/>
              <w:jc w:val="center"/>
            </w:pPr>
            <w:r>
              <w:rPr>
                <w:rFonts w:ascii="Times New Roman" w:eastAsia="Times New Roman" w:hAnsi="Times New Roman"/>
                <w:b/>
                <w:color w:val="000000"/>
                <w:sz w:val="20"/>
              </w:rPr>
              <w:t>Outside</w:t>
            </w:r>
          </w:p>
        </w:tc>
        <w:tc>
          <w:tcPr>
            <w:tcW w:w="829" w:type="dxa"/>
            <w:tcBorders>
              <w:left w:val="single" w:sz="7" w:space="0" w:color="000000"/>
              <w:right w:val="single" w:sz="7" w:space="0" w:color="000000"/>
            </w:tcBorders>
            <w:tcMar>
              <w:top w:w="0" w:type="dxa"/>
              <w:left w:w="39" w:type="dxa"/>
              <w:bottom w:w="39" w:type="dxa"/>
              <w:right w:w="39" w:type="dxa"/>
            </w:tcMar>
          </w:tcPr>
          <w:p w14:paraId="759B2703" w14:textId="77777777" w:rsidR="009D7C1E" w:rsidRDefault="009D7C1E" w:rsidP="003A6FA8">
            <w:pPr>
              <w:spacing w:after="0"/>
              <w:jc w:val="center"/>
            </w:pPr>
            <w:r>
              <w:rPr>
                <w:rFonts w:ascii="Times New Roman" w:eastAsia="Times New Roman" w:hAnsi="Times New Roman"/>
                <w:b/>
                <w:color w:val="000000"/>
                <w:sz w:val="20"/>
              </w:rPr>
              <w:t>Total</w:t>
            </w:r>
          </w:p>
        </w:tc>
        <w:tc>
          <w:tcPr>
            <w:tcW w:w="153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34881D" w14:textId="77777777" w:rsidR="009D7C1E" w:rsidRDefault="009D7C1E" w:rsidP="003A6FA8">
            <w:pPr>
              <w:spacing w:after="0"/>
              <w:jc w:val="center"/>
            </w:pPr>
            <w:r>
              <w:rPr>
                <w:rFonts w:ascii="Times New Roman" w:eastAsia="Times New Roman" w:hAnsi="Times New Roman"/>
                <w:b/>
                <w:color w:val="000000"/>
                <w:sz w:val="20"/>
              </w:rPr>
              <w:t>Inside</w:t>
            </w:r>
          </w:p>
        </w:tc>
        <w:tc>
          <w:tcPr>
            <w:tcW w:w="152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569B45" w14:textId="77777777" w:rsidR="009D7C1E" w:rsidRDefault="009D7C1E" w:rsidP="003A6FA8">
            <w:pPr>
              <w:spacing w:after="0"/>
              <w:jc w:val="center"/>
            </w:pPr>
            <w:r>
              <w:rPr>
                <w:rFonts w:ascii="Times New Roman" w:eastAsia="Times New Roman" w:hAnsi="Times New Roman"/>
                <w:b/>
                <w:color w:val="000000"/>
                <w:sz w:val="20"/>
              </w:rPr>
              <w:t>Outside</w:t>
            </w:r>
          </w:p>
        </w:tc>
        <w:tc>
          <w:tcPr>
            <w:tcW w:w="917" w:type="dxa"/>
            <w:tcBorders>
              <w:left w:val="single" w:sz="7" w:space="0" w:color="000000"/>
              <w:right w:val="single" w:sz="7" w:space="0" w:color="000000"/>
            </w:tcBorders>
            <w:tcMar>
              <w:top w:w="0" w:type="dxa"/>
              <w:left w:w="39" w:type="dxa"/>
              <w:bottom w:w="39" w:type="dxa"/>
              <w:right w:w="39" w:type="dxa"/>
            </w:tcMar>
          </w:tcPr>
          <w:p w14:paraId="238FA4FF" w14:textId="77777777" w:rsidR="009D7C1E" w:rsidRDefault="009D7C1E" w:rsidP="003A6FA8">
            <w:pPr>
              <w:spacing w:after="0"/>
              <w:jc w:val="center"/>
            </w:pPr>
            <w:r>
              <w:rPr>
                <w:rFonts w:ascii="Times New Roman" w:eastAsia="Times New Roman" w:hAnsi="Times New Roman"/>
                <w:b/>
                <w:color w:val="000000"/>
                <w:sz w:val="20"/>
              </w:rPr>
              <w:t>Total</w:t>
            </w:r>
          </w:p>
        </w:tc>
      </w:tr>
      <w:tr w:rsidR="00391D41" w14:paraId="5CBDFBAD" w14:textId="77777777" w:rsidTr="003A6FA8">
        <w:trPr>
          <w:trHeight w:val="210"/>
        </w:trPr>
        <w:tc>
          <w:tcPr>
            <w:tcW w:w="1674"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632D01E8" w14:textId="77777777" w:rsidR="009D7C1E" w:rsidRDefault="009D7C1E" w:rsidP="003A6FA8">
            <w:pPr>
              <w:spacing w:after="0"/>
            </w:pP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AF0F80" w14:textId="77777777" w:rsidR="009D7C1E" w:rsidRDefault="009D7C1E" w:rsidP="003A6FA8">
            <w:pPr>
              <w:spacing w:after="0"/>
              <w:jc w:val="center"/>
            </w:pPr>
            <w:r>
              <w:rPr>
                <w:rFonts w:ascii="Times New Roman" w:eastAsia="Times New Roman" w:hAnsi="Times New Roman"/>
                <w:b/>
                <w:color w:val="000000"/>
                <w:sz w:val="20"/>
              </w:rPr>
              <w:t>#</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F282C1" w14:textId="77777777" w:rsidR="009D7C1E" w:rsidRDefault="009D7C1E" w:rsidP="003A6FA8">
            <w:pPr>
              <w:spacing w:after="0"/>
              <w:jc w:val="center"/>
            </w:pPr>
            <w:r>
              <w:rPr>
                <w:rFonts w:ascii="Times New Roman" w:eastAsia="Times New Roman" w:hAnsi="Times New Roman"/>
                <w:b/>
                <w:color w:val="000000"/>
                <w:sz w:val="20"/>
              </w:rPr>
              <w:t>%</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8F1D7A" w14:textId="77777777" w:rsidR="009D7C1E" w:rsidRDefault="009D7C1E" w:rsidP="003A6FA8">
            <w:pPr>
              <w:spacing w:after="0"/>
              <w:jc w:val="center"/>
            </w:pPr>
            <w:r>
              <w:rPr>
                <w:rFonts w:ascii="Times New Roman" w:eastAsia="Times New Roman" w:hAnsi="Times New Roman"/>
                <w:b/>
                <w:color w:val="000000"/>
                <w:sz w:val="20"/>
              </w:rPr>
              <w:t>#</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6A925D" w14:textId="77777777" w:rsidR="009D7C1E" w:rsidRDefault="009D7C1E" w:rsidP="003A6FA8">
            <w:pPr>
              <w:spacing w:after="0"/>
              <w:jc w:val="center"/>
            </w:pPr>
            <w:r>
              <w:rPr>
                <w:rFonts w:ascii="Times New Roman" w:eastAsia="Times New Roman" w:hAnsi="Times New Roman"/>
                <w:b/>
                <w:color w:val="000000"/>
                <w:sz w:val="20"/>
              </w:rPr>
              <w:t>%</w:t>
            </w:r>
          </w:p>
        </w:tc>
        <w:tc>
          <w:tcPr>
            <w:tcW w:w="829" w:type="dxa"/>
            <w:tcBorders>
              <w:left w:val="single" w:sz="7" w:space="0" w:color="000000"/>
              <w:bottom w:val="single" w:sz="7" w:space="0" w:color="000000"/>
              <w:right w:val="single" w:sz="7" w:space="0" w:color="000000"/>
            </w:tcBorders>
            <w:tcMar>
              <w:top w:w="0" w:type="dxa"/>
              <w:left w:w="39" w:type="dxa"/>
              <w:bottom w:w="39" w:type="dxa"/>
              <w:right w:w="39" w:type="dxa"/>
            </w:tcMar>
          </w:tcPr>
          <w:p w14:paraId="4C7DA060" w14:textId="77777777" w:rsidR="009D7C1E" w:rsidRDefault="009D7C1E" w:rsidP="003A6FA8">
            <w:pPr>
              <w:spacing w:after="0"/>
              <w:jc w:val="center"/>
            </w:pPr>
            <w:r>
              <w:rPr>
                <w:rFonts w:ascii="Times New Roman" w:eastAsia="Times New Roman" w:hAnsi="Times New Roman"/>
                <w:b/>
                <w:color w:val="000000"/>
                <w:sz w:val="20"/>
              </w:rPr>
              <w:t>#</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7E56C3" w14:textId="77777777" w:rsidR="009D7C1E" w:rsidRDefault="009D7C1E" w:rsidP="003A6FA8">
            <w:pPr>
              <w:spacing w:after="0"/>
              <w:jc w:val="center"/>
            </w:pPr>
            <w:r>
              <w:rPr>
                <w:rFonts w:ascii="Times New Roman" w:eastAsia="Times New Roman" w:hAnsi="Times New Roman"/>
                <w:b/>
                <w:color w:val="000000"/>
                <w:sz w:val="20"/>
              </w:rPr>
              <w:t>$</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D32466" w14:textId="77777777" w:rsidR="009D7C1E" w:rsidRDefault="009D7C1E" w:rsidP="003A6FA8">
            <w:pPr>
              <w:spacing w:after="0"/>
              <w:jc w:val="center"/>
            </w:pPr>
            <w:r>
              <w:rPr>
                <w:rFonts w:ascii="Times New Roman" w:eastAsia="Times New Roman" w:hAnsi="Times New Roman"/>
                <w:b/>
                <w:color w:val="000000"/>
                <w:sz w:val="20"/>
              </w:rPr>
              <w:t>%</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282150" w14:textId="77777777" w:rsidR="009D7C1E" w:rsidRDefault="009D7C1E" w:rsidP="003A6FA8">
            <w:pPr>
              <w:spacing w:after="0"/>
              <w:jc w:val="center"/>
            </w:pPr>
            <w:r>
              <w:rPr>
                <w:rFonts w:ascii="Times New Roman" w:eastAsia="Times New Roman" w:hAnsi="Times New Roman"/>
                <w:b/>
                <w:color w:val="000000"/>
                <w:sz w:val="20"/>
              </w:rPr>
              <w:t>$</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92E61C" w14:textId="77777777" w:rsidR="009D7C1E" w:rsidRDefault="009D7C1E" w:rsidP="003A6FA8">
            <w:pPr>
              <w:spacing w:after="0"/>
              <w:jc w:val="center"/>
            </w:pPr>
            <w:r>
              <w:rPr>
                <w:rFonts w:ascii="Times New Roman" w:eastAsia="Times New Roman" w:hAnsi="Times New Roman"/>
                <w:b/>
                <w:color w:val="000000"/>
                <w:sz w:val="20"/>
              </w:rPr>
              <w:t>%</w:t>
            </w:r>
          </w:p>
        </w:tc>
        <w:tc>
          <w:tcPr>
            <w:tcW w:w="917" w:type="dxa"/>
            <w:tcBorders>
              <w:left w:val="single" w:sz="7" w:space="0" w:color="000000"/>
              <w:bottom w:val="single" w:sz="7" w:space="0" w:color="000000"/>
              <w:right w:val="single" w:sz="7" w:space="0" w:color="000000"/>
            </w:tcBorders>
            <w:tcMar>
              <w:top w:w="0" w:type="dxa"/>
              <w:left w:w="39" w:type="dxa"/>
              <w:bottom w:w="39" w:type="dxa"/>
              <w:right w:w="39" w:type="dxa"/>
            </w:tcMar>
          </w:tcPr>
          <w:p w14:paraId="5292972A" w14:textId="77777777" w:rsidR="009D7C1E" w:rsidRDefault="009D7C1E" w:rsidP="003A6FA8">
            <w:pPr>
              <w:spacing w:after="0"/>
              <w:jc w:val="center"/>
            </w:pPr>
            <w:r>
              <w:rPr>
                <w:rFonts w:ascii="Times New Roman" w:eastAsia="Times New Roman" w:hAnsi="Times New Roman"/>
                <w:b/>
                <w:color w:val="000000"/>
                <w:sz w:val="20"/>
              </w:rPr>
              <w:t>$(000s)</w:t>
            </w:r>
          </w:p>
        </w:tc>
      </w:tr>
      <w:tr w:rsidR="009D7C1E" w14:paraId="13FB4847" w14:textId="77777777" w:rsidTr="003A6FA8">
        <w:trPr>
          <w:trHeight w:val="210"/>
        </w:trPr>
        <w:tc>
          <w:tcPr>
            <w:tcW w:w="16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6CF861" w14:textId="77777777" w:rsidR="009D7C1E" w:rsidRDefault="009D7C1E" w:rsidP="003A6FA8">
            <w:pPr>
              <w:spacing w:after="0"/>
            </w:pPr>
            <w:r>
              <w:rPr>
                <w:rFonts w:ascii="Times New Roman" w:eastAsia="Times New Roman" w:hAnsi="Times New Roman"/>
                <w:color w:val="000000"/>
                <w:sz w:val="20"/>
              </w:rPr>
              <w:t>Home Mortgage</w:t>
            </w:r>
          </w:p>
        </w:tc>
        <w:tc>
          <w:tcPr>
            <w:tcW w:w="7668"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1ADF5" w14:textId="77777777" w:rsidR="009D7C1E" w:rsidRDefault="009D7C1E" w:rsidP="003A6FA8">
            <w:pPr>
              <w:spacing w:after="0"/>
            </w:pPr>
          </w:p>
        </w:tc>
      </w:tr>
      <w:tr w:rsidR="00391D41" w14:paraId="288380EC"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A108F15" w14:textId="77777777" w:rsidR="009D7C1E" w:rsidRDefault="009D7C1E" w:rsidP="003A6FA8">
            <w:pPr>
              <w:spacing w:after="0"/>
              <w:jc w:val="right"/>
            </w:pPr>
            <w:r>
              <w:rPr>
                <w:rFonts w:ascii="Times New Roman" w:eastAsia="Times New Roman" w:hAnsi="Times New Roman"/>
                <w:color w:val="000000"/>
                <w:sz w:val="20"/>
              </w:rPr>
              <w:t xml:space="preserve"> 2017</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DD073" w14:textId="77777777" w:rsidR="009D7C1E" w:rsidRDefault="009D7C1E" w:rsidP="003A6FA8">
            <w:pPr>
              <w:spacing w:after="0"/>
              <w:jc w:val="center"/>
            </w:pPr>
            <w:r>
              <w:rPr>
                <w:rFonts w:ascii="Times New Roman" w:eastAsia="Times New Roman" w:hAnsi="Times New Roman"/>
                <w:color w:val="000000"/>
                <w:sz w:val="20"/>
              </w:rPr>
              <w:t>416</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2B1FB" w14:textId="77777777" w:rsidR="009D7C1E" w:rsidRDefault="009D7C1E" w:rsidP="003A6FA8">
            <w:pPr>
              <w:spacing w:after="0"/>
              <w:jc w:val="center"/>
            </w:pPr>
            <w:r>
              <w:rPr>
                <w:rFonts w:ascii="Times New Roman" w:eastAsia="Times New Roman" w:hAnsi="Times New Roman"/>
                <w:color w:val="000000"/>
                <w:sz w:val="20"/>
              </w:rPr>
              <w:t>82.5</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2BABB" w14:textId="77777777" w:rsidR="009D7C1E" w:rsidRDefault="009D7C1E" w:rsidP="003A6FA8">
            <w:pPr>
              <w:spacing w:after="0"/>
              <w:jc w:val="center"/>
            </w:pPr>
            <w:r>
              <w:rPr>
                <w:rFonts w:ascii="Times New Roman" w:eastAsia="Times New Roman" w:hAnsi="Times New Roman"/>
                <w:color w:val="000000"/>
                <w:sz w:val="20"/>
              </w:rPr>
              <w:t>88</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7BE4" w14:textId="77777777" w:rsidR="009D7C1E" w:rsidRDefault="009D7C1E" w:rsidP="003A6FA8">
            <w:pPr>
              <w:spacing w:after="0"/>
              <w:jc w:val="center"/>
            </w:pPr>
            <w:r>
              <w:rPr>
                <w:rFonts w:ascii="Times New Roman" w:eastAsia="Times New Roman" w:hAnsi="Times New Roman"/>
                <w:color w:val="000000"/>
                <w:sz w:val="20"/>
              </w:rPr>
              <w:t>17.5</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79925" w14:textId="77777777" w:rsidR="009D7C1E" w:rsidRDefault="009D7C1E" w:rsidP="003A6FA8">
            <w:pPr>
              <w:spacing w:after="0"/>
              <w:jc w:val="center"/>
            </w:pPr>
            <w:r>
              <w:rPr>
                <w:rFonts w:ascii="Times New Roman" w:eastAsia="Times New Roman" w:hAnsi="Times New Roman"/>
                <w:color w:val="000000"/>
                <w:sz w:val="20"/>
              </w:rPr>
              <w:t>504</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AE693" w14:textId="77777777" w:rsidR="009D7C1E" w:rsidRDefault="009D7C1E" w:rsidP="003A6FA8">
            <w:pPr>
              <w:spacing w:after="0"/>
              <w:jc w:val="center"/>
            </w:pPr>
            <w:r>
              <w:rPr>
                <w:rFonts w:ascii="Times New Roman" w:eastAsia="Times New Roman" w:hAnsi="Times New Roman"/>
                <w:color w:val="000000"/>
                <w:sz w:val="20"/>
              </w:rPr>
              <w:t>115,854</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C6FD7" w14:textId="77777777" w:rsidR="009D7C1E" w:rsidRDefault="009D7C1E" w:rsidP="003A6FA8">
            <w:pPr>
              <w:spacing w:after="0"/>
              <w:jc w:val="center"/>
            </w:pPr>
            <w:r>
              <w:rPr>
                <w:rFonts w:ascii="Times New Roman" w:eastAsia="Times New Roman" w:hAnsi="Times New Roman"/>
                <w:color w:val="000000"/>
                <w:sz w:val="20"/>
              </w:rPr>
              <w:t>62.3</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B6E28" w14:textId="77777777" w:rsidR="009D7C1E" w:rsidRDefault="009D7C1E" w:rsidP="003A6FA8">
            <w:pPr>
              <w:spacing w:after="0"/>
              <w:jc w:val="center"/>
            </w:pPr>
            <w:r>
              <w:rPr>
                <w:rFonts w:ascii="Times New Roman" w:eastAsia="Times New Roman" w:hAnsi="Times New Roman"/>
                <w:color w:val="000000"/>
                <w:sz w:val="20"/>
              </w:rPr>
              <w:t>70,066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DF9D4" w14:textId="77777777" w:rsidR="009D7C1E" w:rsidRDefault="009D7C1E" w:rsidP="003A6FA8">
            <w:pPr>
              <w:spacing w:after="0"/>
              <w:jc w:val="center"/>
            </w:pPr>
            <w:r>
              <w:rPr>
                <w:rFonts w:ascii="Times New Roman" w:eastAsia="Times New Roman" w:hAnsi="Times New Roman"/>
                <w:color w:val="000000"/>
                <w:sz w:val="20"/>
              </w:rPr>
              <w:t>37.7</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6193F" w14:textId="77777777" w:rsidR="009D7C1E" w:rsidRDefault="009D7C1E" w:rsidP="003A6FA8">
            <w:pPr>
              <w:spacing w:after="0"/>
              <w:jc w:val="center"/>
            </w:pPr>
            <w:r>
              <w:rPr>
                <w:rFonts w:ascii="Times New Roman" w:eastAsia="Times New Roman" w:hAnsi="Times New Roman"/>
                <w:color w:val="000000"/>
                <w:sz w:val="20"/>
              </w:rPr>
              <w:t>185,920</w:t>
            </w:r>
          </w:p>
        </w:tc>
      </w:tr>
      <w:tr w:rsidR="00391D41" w14:paraId="0543E5DA"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F59B19" w14:textId="77777777" w:rsidR="009D7C1E" w:rsidRDefault="009D7C1E" w:rsidP="003A6FA8">
            <w:pPr>
              <w:spacing w:after="0"/>
              <w:jc w:val="right"/>
            </w:pPr>
            <w:r>
              <w:rPr>
                <w:rFonts w:ascii="Times New Roman" w:eastAsia="Times New Roman" w:hAnsi="Times New Roman"/>
                <w:color w:val="000000"/>
                <w:sz w:val="20"/>
              </w:rPr>
              <w:t>2018</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C0539" w14:textId="77777777" w:rsidR="009D7C1E" w:rsidRDefault="009D7C1E" w:rsidP="003A6FA8">
            <w:pPr>
              <w:spacing w:after="0"/>
              <w:jc w:val="center"/>
            </w:pPr>
            <w:r>
              <w:rPr>
                <w:rFonts w:ascii="Times New Roman" w:eastAsia="Times New Roman" w:hAnsi="Times New Roman"/>
                <w:color w:val="000000"/>
                <w:sz w:val="20"/>
              </w:rPr>
              <w:t>173</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107D6" w14:textId="77777777" w:rsidR="009D7C1E" w:rsidRDefault="009D7C1E" w:rsidP="003A6FA8">
            <w:pPr>
              <w:spacing w:after="0"/>
              <w:jc w:val="center"/>
            </w:pPr>
            <w:r>
              <w:rPr>
                <w:rFonts w:ascii="Times New Roman" w:eastAsia="Times New Roman" w:hAnsi="Times New Roman"/>
                <w:color w:val="000000"/>
                <w:sz w:val="20"/>
              </w:rPr>
              <w:t>88.7</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69C6B" w14:textId="77777777" w:rsidR="009D7C1E" w:rsidRDefault="009D7C1E" w:rsidP="003A6FA8">
            <w:pPr>
              <w:spacing w:after="0"/>
              <w:jc w:val="center"/>
            </w:pPr>
            <w:r>
              <w:rPr>
                <w:rFonts w:ascii="Times New Roman" w:eastAsia="Times New Roman" w:hAnsi="Times New Roman"/>
                <w:color w:val="000000"/>
                <w:sz w:val="20"/>
              </w:rPr>
              <w:t>22</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BA27D" w14:textId="77777777" w:rsidR="009D7C1E" w:rsidRDefault="009D7C1E" w:rsidP="003A6FA8">
            <w:pPr>
              <w:spacing w:after="0"/>
              <w:jc w:val="center"/>
            </w:pPr>
            <w:r>
              <w:rPr>
                <w:rFonts w:ascii="Times New Roman" w:eastAsia="Times New Roman" w:hAnsi="Times New Roman"/>
                <w:color w:val="000000"/>
                <w:sz w:val="20"/>
              </w:rPr>
              <w:t>11.3</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58BA5" w14:textId="77777777" w:rsidR="009D7C1E" w:rsidRDefault="009D7C1E" w:rsidP="003A6FA8">
            <w:pPr>
              <w:spacing w:after="0"/>
              <w:jc w:val="center"/>
            </w:pPr>
            <w:r>
              <w:rPr>
                <w:rFonts w:ascii="Times New Roman" w:eastAsia="Times New Roman" w:hAnsi="Times New Roman"/>
                <w:color w:val="000000"/>
                <w:sz w:val="20"/>
              </w:rPr>
              <w:t>195</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B2B0F" w14:textId="77777777" w:rsidR="009D7C1E" w:rsidRDefault="009D7C1E" w:rsidP="003A6FA8">
            <w:pPr>
              <w:spacing w:after="0"/>
              <w:jc w:val="center"/>
            </w:pPr>
            <w:r>
              <w:rPr>
                <w:rFonts w:ascii="Times New Roman" w:eastAsia="Times New Roman" w:hAnsi="Times New Roman"/>
                <w:color w:val="000000"/>
                <w:sz w:val="20"/>
              </w:rPr>
              <w:t>45,623</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FAA6D" w14:textId="77777777" w:rsidR="009D7C1E" w:rsidRDefault="009D7C1E" w:rsidP="003A6FA8">
            <w:pPr>
              <w:spacing w:after="0"/>
              <w:jc w:val="center"/>
            </w:pPr>
            <w:r>
              <w:rPr>
                <w:rFonts w:ascii="Times New Roman" w:eastAsia="Times New Roman" w:hAnsi="Times New Roman"/>
                <w:color w:val="000000"/>
                <w:sz w:val="20"/>
              </w:rPr>
              <w:t>65.6</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9F87A" w14:textId="77777777" w:rsidR="009D7C1E" w:rsidRDefault="009D7C1E" w:rsidP="003A6FA8">
            <w:pPr>
              <w:spacing w:after="0"/>
              <w:jc w:val="center"/>
            </w:pPr>
            <w:r>
              <w:rPr>
                <w:rFonts w:ascii="Times New Roman" w:eastAsia="Times New Roman" w:hAnsi="Times New Roman"/>
                <w:color w:val="000000"/>
                <w:sz w:val="20"/>
              </w:rPr>
              <w:t>23,926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E5B34" w14:textId="77777777" w:rsidR="009D7C1E" w:rsidRDefault="009D7C1E" w:rsidP="003A6FA8">
            <w:pPr>
              <w:spacing w:after="0"/>
              <w:jc w:val="center"/>
            </w:pPr>
            <w:r>
              <w:rPr>
                <w:rFonts w:ascii="Times New Roman" w:eastAsia="Times New Roman" w:hAnsi="Times New Roman"/>
                <w:color w:val="000000"/>
                <w:sz w:val="20"/>
              </w:rPr>
              <w:t>34.4</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DAF89" w14:textId="77777777" w:rsidR="009D7C1E" w:rsidRDefault="009D7C1E" w:rsidP="003A6FA8">
            <w:pPr>
              <w:spacing w:after="0"/>
              <w:jc w:val="center"/>
            </w:pPr>
            <w:r>
              <w:rPr>
                <w:rFonts w:ascii="Times New Roman" w:eastAsia="Times New Roman" w:hAnsi="Times New Roman"/>
                <w:color w:val="000000"/>
                <w:sz w:val="20"/>
              </w:rPr>
              <w:t>69,548</w:t>
            </w:r>
          </w:p>
        </w:tc>
      </w:tr>
      <w:tr w:rsidR="00391D41" w14:paraId="3E5ABDD8"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8D58FD3" w14:textId="77777777" w:rsidR="009D7C1E" w:rsidRPr="00AF26EA" w:rsidRDefault="009D7C1E" w:rsidP="003A6FA8">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2019</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B4AE6" w14:textId="57DAC8FA" w:rsidR="009D7C1E" w:rsidRPr="00AF26EA" w:rsidRDefault="005B4DFD" w:rsidP="003A6FA8">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52AB3" w14:textId="69B68D8C" w:rsidR="009D7C1E" w:rsidRPr="00AF26EA" w:rsidRDefault="00391D41" w:rsidP="005B4DF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40A5E" w14:textId="0EA84A27" w:rsidR="009D7C1E" w:rsidRPr="00AF26EA" w:rsidRDefault="005B4DFD" w:rsidP="005B4DF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E7CDB" w14:textId="2E63FB9B" w:rsidR="009D7C1E" w:rsidRPr="00AF26EA" w:rsidRDefault="00391D41" w:rsidP="005B4DF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8CD0E" w14:textId="69303E13" w:rsidR="009D7C1E" w:rsidRPr="00AF26EA" w:rsidRDefault="005B4DFD" w:rsidP="005B4DFD">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F505A" w14:textId="174B0176" w:rsidR="009D7C1E" w:rsidRPr="00AF26EA" w:rsidRDefault="00A67CCF" w:rsidP="00A67CCF">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77,852</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A645D" w14:textId="550B6D7B" w:rsidR="009D7C1E" w:rsidRPr="00AF26EA" w:rsidRDefault="00391D41" w:rsidP="00A67CCF">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64.8</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90B31" w14:textId="7E3923C7" w:rsidR="009D7C1E" w:rsidRPr="00AF26EA" w:rsidRDefault="00DE3EF8" w:rsidP="00A67CCF">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42,304</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CF349D" w14:textId="66B02936" w:rsidR="009D7C1E" w:rsidRPr="00AF26EA" w:rsidRDefault="00391D41" w:rsidP="003A6FA8">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35.2</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22E65" w14:textId="61E369D1" w:rsidR="009D7C1E" w:rsidRPr="00AF26EA" w:rsidRDefault="00391D41" w:rsidP="003A6FA8">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120,156</w:t>
            </w:r>
          </w:p>
        </w:tc>
      </w:tr>
      <w:tr w:rsidR="00391D41" w:rsidRPr="00353E0D" w14:paraId="0876C1AC" w14:textId="77777777" w:rsidTr="003A6FA8">
        <w:trPr>
          <w:trHeight w:val="210"/>
        </w:trPr>
        <w:tc>
          <w:tcPr>
            <w:tcW w:w="16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31E98D" w14:textId="77777777" w:rsidR="009D7C1E" w:rsidRPr="00EA57FD" w:rsidRDefault="009D7C1E" w:rsidP="003A6FA8">
            <w:pPr>
              <w:spacing w:after="0"/>
              <w:rPr>
                <w:rFonts w:ascii="Times New Roman" w:eastAsia="Times New Roman" w:hAnsi="Times New Roman"/>
                <w:b/>
                <w:color w:val="000000"/>
                <w:sz w:val="20"/>
                <w:highlight w:val="lightGray"/>
              </w:rPr>
            </w:pPr>
            <w:r w:rsidRPr="00353E0D">
              <w:rPr>
                <w:rFonts w:ascii="Times New Roman" w:eastAsia="Times New Roman" w:hAnsi="Times New Roman"/>
                <w:b/>
                <w:color w:val="000000"/>
                <w:sz w:val="20"/>
              </w:rPr>
              <w:t>Subtotal</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99726" w14:textId="1F3049F7"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616</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846DF" w14:textId="367B455C" w:rsidR="009D7C1E" w:rsidRPr="00353E0D"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83.6</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3D073" w14:textId="035E1CF8"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12</w:t>
            </w:r>
            <w:r w:rsidR="009D7C1E">
              <w:rPr>
                <w:rFonts w:ascii="Times New Roman" w:eastAsia="Times New Roman" w:hAnsi="Times New Roman"/>
                <w:b/>
                <w:color w:val="000000"/>
                <w:sz w:val="20"/>
              </w:rPr>
              <w:t>1</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093C9" w14:textId="2C5AF8EB"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16.4</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24EDA" w14:textId="0B47DC0D"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737</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7C9F3" w14:textId="3C2C2BCF"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239,329</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B576E" w14:textId="7205A93D" w:rsidR="009D7C1E" w:rsidRPr="00353E0D" w:rsidRDefault="00391D41" w:rsidP="00391D41">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63.7</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5DCDE" w14:textId="2E39B885" w:rsidR="009D7C1E" w:rsidRPr="00353E0D"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136,296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71C8B" w14:textId="11363776" w:rsidR="009D7C1E" w:rsidRPr="00353E0D"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36.3</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EEFEA" w14:textId="58383C45" w:rsidR="009D7C1E" w:rsidRPr="00353E0D"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375,625</w:t>
            </w:r>
          </w:p>
        </w:tc>
      </w:tr>
      <w:tr w:rsidR="009D7C1E" w14:paraId="12DF732F" w14:textId="77777777" w:rsidTr="003A6FA8">
        <w:trPr>
          <w:trHeight w:val="210"/>
        </w:trPr>
        <w:tc>
          <w:tcPr>
            <w:tcW w:w="16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F098E8" w14:textId="77777777" w:rsidR="009D7C1E" w:rsidRDefault="009D7C1E" w:rsidP="003A6FA8">
            <w:pPr>
              <w:spacing w:after="0"/>
            </w:pPr>
            <w:r>
              <w:rPr>
                <w:rFonts w:ascii="Times New Roman" w:eastAsia="Times New Roman" w:hAnsi="Times New Roman"/>
                <w:color w:val="000000"/>
                <w:sz w:val="20"/>
              </w:rPr>
              <w:t>Small Business</w:t>
            </w:r>
          </w:p>
        </w:tc>
        <w:tc>
          <w:tcPr>
            <w:tcW w:w="7668"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6E9AC" w14:textId="77777777" w:rsidR="009D7C1E" w:rsidRDefault="009D7C1E" w:rsidP="003A6FA8">
            <w:pPr>
              <w:spacing w:after="0"/>
            </w:pPr>
          </w:p>
        </w:tc>
      </w:tr>
      <w:tr w:rsidR="00391D41" w14:paraId="00A9BAD7"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15283C1" w14:textId="77777777" w:rsidR="009D7C1E" w:rsidRDefault="009D7C1E" w:rsidP="003A6FA8">
            <w:pPr>
              <w:spacing w:after="0"/>
              <w:jc w:val="right"/>
            </w:pPr>
            <w:r>
              <w:rPr>
                <w:rFonts w:ascii="Times New Roman" w:eastAsia="Times New Roman" w:hAnsi="Times New Roman"/>
                <w:color w:val="000000"/>
                <w:sz w:val="20"/>
              </w:rPr>
              <w:t>2017</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9546FF" w14:textId="77777777" w:rsidR="009D7C1E" w:rsidRDefault="009D7C1E" w:rsidP="003A6FA8">
            <w:pPr>
              <w:spacing w:after="0"/>
              <w:jc w:val="center"/>
            </w:pPr>
            <w:r>
              <w:rPr>
                <w:rFonts w:ascii="Times New Roman" w:eastAsia="Times New Roman" w:hAnsi="Times New Roman"/>
                <w:color w:val="000000"/>
                <w:sz w:val="20"/>
              </w:rPr>
              <w:t>140</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19434" w14:textId="77777777" w:rsidR="009D7C1E" w:rsidRDefault="009D7C1E" w:rsidP="003A6FA8">
            <w:pPr>
              <w:spacing w:after="0"/>
              <w:jc w:val="center"/>
            </w:pPr>
            <w:r>
              <w:rPr>
                <w:rFonts w:ascii="Times New Roman" w:eastAsia="Times New Roman" w:hAnsi="Times New Roman"/>
                <w:color w:val="000000"/>
                <w:sz w:val="20"/>
              </w:rPr>
              <w:t>87.5</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F7A90" w14:textId="77777777" w:rsidR="009D7C1E" w:rsidRDefault="009D7C1E" w:rsidP="003A6FA8">
            <w:pPr>
              <w:spacing w:after="0"/>
              <w:jc w:val="center"/>
            </w:pPr>
            <w:r>
              <w:rPr>
                <w:rFonts w:ascii="Times New Roman" w:eastAsia="Times New Roman" w:hAnsi="Times New Roman"/>
                <w:color w:val="000000"/>
                <w:sz w:val="20"/>
              </w:rPr>
              <w:t>20</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DC0E7" w14:textId="77777777" w:rsidR="009D7C1E" w:rsidRDefault="009D7C1E" w:rsidP="003A6FA8">
            <w:pPr>
              <w:spacing w:after="0"/>
              <w:jc w:val="center"/>
            </w:pPr>
            <w:r>
              <w:rPr>
                <w:rFonts w:ascii="Times New Roman" w:eastAsia="Times New Roman" w:hAnsi="Times New Roman"/>
                <w:color w:val="000000"/>
                <w:sz w:val="20"/>
              </w:rPr>
              <w:t>12.5</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E288D" w14:textId="77777777" w:rsidR="009D7C1E" w:rsidRDefault="009D7C1E" w:rsidP="003A6FA8">
            <w:pPr>
              <w:spacing w:after="0"/>
              <w:jc w:val="center"/>
            </w:pPr>
            <w:r>
              <w:rPr>
                <w:rFonts w:ascii="Times New Roman" w:eastAsia="Times New Roman" w:hAnsi="Times New Roman"/>
                <w:color w:val="000000"/>
                <w:sz w:val="20"/>
              </w:rPr>
              <w:t>160</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465967" w14:textId="77777777" w:rsidR="009D7C1E" w:rsidRDefault="009D7C1E" w:rsidP="003A6FA8">
            <w:pPr>
              <w:spacing w:after="0"/>
              <w:jc w:val="center"/>
            </w:pPr>
            <w:r>
              <w:rPr>
                <w:rFonts w:ascii="Times New Roman" w:eastAsia="Times New Roman" w:hAnsi="Times New Roman"/>
                <w:color w:val="000000"/>
                <w:sz w:val="20"/>
              </w:rPr>
              <w:t>18,291</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E09663" w14:textId="77777777" w:rsidR="009D7C1E" w:rsidRDefault="009D7C1E" w:rsidP="003A6FA8">
            <w:pPr>
              <w:spacing w:after="0"/>
              <w:jc w:val="center"/>
            </w:pPr>
            <w:r>
              <w:rPr>
                <w:rFonts w:ascii="Times New Roman" w:eastAsia="Times New Roman" w:hAnsi="Times New Roman"/>
                <w:color w:val="000000"/>
                <w:sz w:val="20"/>
              </w:rPr>
              <w:t>71.0</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6493B" w14:textId="77777777" w:rsidR="009D7C1E" w:rsidRDefault="009D7C1E" w:rsidP="003A6FA8">
            <w:pPr>
              <w:spacing w:after="0"/>
              <w:jc w:val="center"/>
            </w:pPr>
            <w:r>
              <w:rPr>
                <w:rFonts w:ascii="Times New Roman" w:eastAsia="Times New Roman" w:hAnsi="Times New Roman"/>
                <w:color w:val="000000"/>
                <w:sz w:val="20"/>
              </w:rPr>
              <w:t>7,471</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41A2D" w14:textId="77777777" w:rsidR="009D7C1E" w:rsidRDefault="009D7C1E" w:rsidP="003A6FA8">
            <w:pPr>
              <w:spacing w:after="0"/>
              <w:jc w:val="center"/>
            </w:pPr>
            <w:r>
              <w:rPr>
                <w:rFonts w:ascii="Times New Roman" w:eastAsia="Times New Roman" w:hAnsi="Times New Roman"/>
                <w:color w:val="000000"/>
                <w:sz w:val="20"/>
              </w:rPr>
              <w:t>29.0</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CFD9A" w14:textId="77777777" w:rsidR="009D7C1E" w:rsidRDefault="009D7C1E" w:rsidP="003A6FA8">
            <w:pPr>
              <w:spacing w:after="0"/>
              <w:jc w:val="center"/>
            </w:pPr>
            <w:r>
              <w:rPr>
                <w:rFonts w:ascii="Times New Roman" w:eastAsia="Times New Roman" w:hAnsi="Times New Roman"/>
                <w:color w:val="000000"/>
                <w:sz w:val="20"/>
              </w:rPr>
              <w:t>25,762</w:t>
            </w:r>
          </w:p>
        </w:tc>
      </w:tr>
      <w:tr w:rsidR="00391D41" w14:paraId="55173EA0"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717EEF" w14:textId="77777777" w:rsidR="009D7C1E" w:rsidRDefault="009D7C1E" w:rsidP="003A6FA8">
            <w:pPr>
              <w:spacing w:after="0"/>
              <w:jc w:val="right"/>
            </w:pPr>
            <w:r>
              <w:rPr>
                <w:rFonts w:ascii="Times New Roman" w:eastAsia="Times New Roman" w:hAnsi="Times New Roman"/>
                <w:color w:val="000000"/>
                <w:sz w:val="20"/>
              </w:rPr>
              <w:t>2018</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F4C79" w14:textId="77777777" w:rsidR="009D7C1E" w:rsidRDefault="009D7C1E" w:rsidP="003A6FA8">
            <w:pPr>
              <w:spacing w:after="0"/>
              <w:jc w:val="center"/>
            </w:pPr>
            <w:r>
              <w:rPr>
                <w:rFonts w:ascii="Times New Roman" w:eastAsia="Times New Roman" w:hAnsi="Times New Roman"/>
                <w:color w:val="000000"/>
                <w:sz w:val="20"/>
              </w:rPr>
              <w:t>159</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5A566" w14:textId="77777777" w:rsidR="009D7C1E" w:rsidRDefault="009D7C1E" w:rsidP="003A6FA8">
            <w:pPr>
              <w:spacing w:after="0"/>
              <w:jc w:val="center"/>
            </w:pPr>
            <w:r>
              <w:rPr>
                <w:rFonts w:ascii="Times New Roman" w:eastAsia="Times New Roman" w:hAnsi="Times New Roman"/>
                <w:color w:val="000000"/>
                <w:sz w:val="20"/>
              </w:rPr>
              <w:t>72.9</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6F758" w14:textId="77777777" w:rsidR="009D7C1E" w:rsidRDefault="009D7C1E" w:rsidP="003A6FA8">
            <w:pPr>
              <w:spacing w:after="0"/>
              <w:jc w:val="center"/>
            </w:pPr>
            <w:r>
              <w:rPr>
                <w:rFonts w:ascii="Times New Roman" w:eastAsia="Times New Roman" w:hAnsi="Times New Roman"/>
                <w:color w:val="000000"/>
                <w:sz w:val="20"/>
              </w:rPr>
              <w:t>59</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BDB23" w14:textId="77777777" w:rsidR="009D7C1E" w:rsidRDefault="009D7C1E" w:rsidP="003A6FA8">
            <w:pPr>
              <w:spacing w:after="0"/>
              <w:jc w:val="center"/>
            </w:pPr>
            <w:r>
              <w:rPr>
                <w:rFonts w:ascii="Times New Roman" w:eastAsia="Times New Roman" w:hAnsi="Times New Roman"/>
                <w:color w:val="000000"/>
                <w:sz w:val="20"/>
              </w:rPr>
              <w:t>27.1</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82A469" w14:textId="77777777" w:rsidR="009D7C1E" w:rsidRDefault="009D7C1E" w:rsidP="003A6FA8">
            <w:pPr>
              <w:spacing w:after="0"/>
              <w:jc w:val="center"/>
            </w:pPr>
            <w:r>
              <w:rPr>
                <w:rFonts w:ascii="Times New Roman" w:eastAsia="Times New Roman" w:hAnsi="Times New Roman"/>
                <w:color w:val="000000"/>
                <w:sz w:val="20"/>
              </w:rPr>
              <w:t>218</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A09B1" w14:textId="77777777" w:rsidR="009D7C1E" w:rsidRDefault="009D7C1E" w:rsidP="003A6FA8">
            <w:pPr>
              <w:spacing w:after="0"/>
              <w:jc w:val="center"/>
            </w:pPr>
            <w:r>
              <w:rPr>
                <w:rFonts w:ascii="Times New Roman" w:eastAsia="Times New Roman" w:hAnsi="Times New Roman"/>
                <w:color w:val="000000"/>
                <w:sz w:val="20"/>
              </w:rPr>
              <w:t>26,178</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291F6" w14:textId="77777777" w:rsidR="009D7C1E" w:rsidRDefault="009D7C1E" w:rsidP="003A6FA8">
            <w:pPr>
              <w:spacing w:after="0"/>
              <w:jc w:val="center"/>
            </w:pPr>
            <w:r>
              <w:rPr>
                <w:rFonts w:ascii="Times New Roman" w:eastAsia="Times New Roman" w:hAnsi="Times New Roman"/>
                <w:color w:val="000000"/>
                <w:sz w:val="20"/>
              </w:rPr>
              <w:t>57.1</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2648DC" w14:textId="77777777" w:rsidR="009D7C1E" w:rsidRDefault="009D7C1E" w:rsidP="003A6FA8">
            <w:pPr>
              <w:spacing w:after="0"/>
              <w:jc w:val="center"/>
            </w:pPr>
            <w:r>
              <w:rPr>
                <w:rFonts w:ascii="Times New Roman" w:eastAsia="Times New Roman" w:hAnsi="Times New Roman"/>
                <w:color w:val="000000"/>
                <w:sz w:val="20"/>
              </w:rPr>
              <w:t>19,679</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5E620" w14:textId="77777777" w:rsidR="009D7C1E" w:rsidRDefault="009D7C1E" w:rsidP="003A6FA8">
            <w:pPr>
              <w:spacing w:after="0"/>
              <w:jc w:val="center"/>
            </w:pPr>
            <w:r>
              <w:rPr>
                <w:rFonts w:ascii="Times New Roman" w:eastAsia="Times New Roman" w:hAnsi="Times New Roman"/>
                <w:color w:val="000000"/>
                <w:sz w:val="20"/>
              </w:rPr>
              <w:t>42.9</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A6164" w14:textId="77777777" w:rsidR="009D7C1E" w:rsidRDefault="009D7C1E" w:rsidP="003A6FA8">
            <w:pPr>
              <w:spacing w:after="0"/>
              <w:jc w:val="center"/>
            </w:pPr>
            <w:r>
              <w:rPr>
                <w:rFonts w:ascii="Times New Roman" w:eastAsia="Times New Roman" w:hAnsi="Times New Roman"/>
                <w:color w:val="000000"/>
                <w:sz w:val="20"/>
              </w:rPr>
              <w:t>45,857</w:t>
            </w:r>
          </w:p>
        </w:tc>
      </w:tr>
      <w:tr w:rsidR="00391D41" w14:paraId="500EF3A5" w14:textId="77777777" w:rsidTr="003A6FA8">
        <w:trPr>
          <w:trHeight w:val="181"/>
        </w:trPr>
        <w:tc>
          <w:tcPr>
            <w:tcW w:w="167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CA5F5B" w14:textId="77777777" w:rsidR="009D7C1E" w:rsidRDefault="009D7C1E" w:rsidP="003A6FA8">
            <w:pPr>
              <w:spacing w:after="0"/>
              <w:jc w:val="right"/>
            </w:pPr>
            <w:r>
              <w:rPr>
                <w:rFonts w:ascii="Times New Roman" w:eastAsia="Times New Roman" w:hAnsi="Times New Roman"/>
                <w:color w:val="000000"/>
                <w:sz w:val="20"/>
              </w:rPr>
              <w:t>2019</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92118" w14:textId="77777777" w:rsidR="009D7C1E" w:rsidRDefault="009D7C1E" w:rsidP="003A6FA8">
            <w:pPr>
              <w:spacing w:after="0"/>
              <w:jc w:val="center"/>
            </w:pPr>
            <w:r>
              <w:rPr>
                <w:rFonts w:ascii="Times New Roman" w:eastAsia="Times New Roman" w:hAnsi="Times New Roman"/>
                <w:color w:val="000000"/>
                <w:sz w:val="20"/>
              </w:rPr>
              <w:t>244</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375316" w14:textId="77777777" w:rsidR="009D7C1E" w:rsidRDefault="009D7C1E" w:rsidP="003A6FA8">
            <w:pPr>
              <w:spacing w:after="0"/>
              <w:jc w:val="center"/>
            </w:pPr>
            <w:r>
              <w:rPr>
                <w:rFonts w:ascii="Times New Roman" w:eastAsia="Times New Roman" w:hAnsi="Times New Roman"/>
                <w:color w:val="000000"/>
                <w:sz w:val="20"/>
              </w:rPr>
              <w:t>84.1</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B43C3" w14:textId="77777777" w:rsidR="009D7C1E" w:rsidRDefault="009D7C1E" w:rsidP="003A6FA8">
            <w:pPr>
              <w:spacing w:after="0"/>
              <w:jc w:val="center"/>
            </w:pPr>
            <w:r>
              <w:rPr>
                <w:rFonts w:ascii="Times New Roman" w:eastAsia="Times New Roman" w:hAnsi="Times New Roman"/>
                <w:color w:val="000000"/>
                <w:sz w:val="20"/>
              </w:rPr>
              <w:t>46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E388B2" w14:textId="77777777" w:rsidR="009D7C1E" w:rsidRDefault="009D7C1E" w:rsidP="003A6FA8">
            <w:pPr>
              <w:spacing w:after="0"/>
              <w:jc w:val="center"/>
            </w:pPr>
            <w:r>
              <w:rPr>
                <w:rFonts w:ascii="Times New Roman" w:eastAsia="Times New Roman" w:hAnsi="Times New Roman"/>
                <w:color w:val="000000"/>
                <w:sz w:val="20"/>
              </w:rPr>
              <w:t>15.9</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0146B" w14:textId="77777777" w:rsidR="009D7C1E" w:rsidRDefault="009D7C1E" w:rsidP="003A6FA8">
            <w:pPr>
              <w:spacing w:after="0"/>
              <w:jc w:val="center"/>
            </w:pPr>
            <w:r>
              <w:rPr>
                <w:rFonts w:ascii="Times New Roman" w:eastAsia="Times New Roman" w:hAnsi="Times New Roman"/>
                <w:color w:val="000000"/>
                <w:sz w:val="20"/>
              </w:rPr>
              <w:t>290</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C1B2D" w14:textId="77777777" w:rsidR="009D7C1E" w:rsidRDefault="009D7C1E" w:rsidP="003A6FA8">
            <w:pPr>
              <w:spacing w:after="0"/>
              <w:jc w:val="center"/>
            </w:pPr>
            <w:r>
              <w:rPr>
                <w:rFonts w:ascii="Times New Roman" w:eastAsia="Times New Roman" w:hAnsi="Times New Roman"/>
                <w:color w:val="000000"/>
                <w:sz w:val="20"/>
              </w:rPr>
              <w:t>38,011</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B39B5" w14:textId="77777777" w:rsidR="009D7C1E" w:rsidRDefault="009D7C1E" w:rsidP="003A6FA8">
            <w:pPr>
              <w:spacing w:after="0"/>
              <w:jc w:val="center"/>
            </w:pPr>
            <w:r>
              <w:rPr>
                <w:rFonts w:ascii="Times New Roman" w:eastAsia="Times New Roman" w:hAnsi="Times New Roman"/>
                <w:color w:val="000000"/>
                <w:sz w:val="20"/>
              </w:rPr>
              <w:t>70.9</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19C9B" w14:textId="77777777" w:rsidR="009D7C1E" w:rsidRDefault="009D7C1E" w:rsidP="003A6FA8">
            <w:pPr>
              <w:spacing w:after="0"/>
              <w:jc w:val="center"/>
            </w:pPr>
            <w:r>
              <w:rPr>
                <w:rFonts w:ascii="Times New Roman" w:eastAsia="Times New Roman" w:hAnsi="Times New Roman"/>
                <w:color w:val="000000"/>
                <w:sz w:val="20"/>
              </w:rPr>
              <w:t>15,576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1EDED" w14:textId="77777777" w:rsidR="009D7C1E" w:rsidRDefault="009D7C1E" w:rsidP="003A6FA8">
            <w:pPr>
              <w:spacing w:after="0"/>
              <w:jc w:val="center"/>
            </w:pPr>
            <w:r>
              <w:rPr>
                <w:rFonts w:ascii="Times New Roman" w:eastAsia="Times New Roman" w:hAnsi="Times New Roman"/>
                <w:color w:val="000000"/>
                <w:sz w:val="20"/>
              </w:rPr>
              <w:t>29.1</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1949C" w14:textId="77777777" w:rsidR="009D7C1E" w:rsidRDefault="009D7C1E" w:rsidP="003A6FA8">
            <w:pPr>
              <w:spacing w:after="0"/>
              <w:jc w:val="center"/>
            </w:pPr>
            <w:r>
              <w:rPr>
                <w:rFonts w:ascii="Times New Roman" w:eastAsia="Times New Roman" w:hAnsi="Times New Roman"/>
                <w:color w:val="000000"/>
                <w:sz w:val="20"/>
              </w:rPr>
              <w:t>53,587</w:t>
            </w:r>
          </w:p>
        </w:tc>
      </w:tr>
      <w:tr w:rsidR="00391D41" w:rsidRPr="00EA57FD" w14:paraId="3D6AC31F" w14:textId="77777777" w:rsidTr="003A6FA8">
        <w:trPr>
          <w:trHeight w:val="210"/>
        </w:trPr>
        <w:tc>
          <w:tcPr>
            <w:tcW w:w="16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A5EC03" w14:textId="77777777" w:rsidR="009D7C1E" w:rsidRPr="007B223C" w:rsidRDefault="009D7C1E" w:rsidP="003A6FA8">
            <w:pPr>
              <w:spacing w:after="0"/>
            </w:pPr>
            <w:r w:rsidRPr="007B223C">
              <w:rPr>
                <w:rFonts w:ascii="Times New Roman" w:eastAsia="Times New Roman" w:hAnsi="Times New Roman"/>
                <w:b/>
                <w:color w:val="000000"/>
                <w:sz w:val="20"/>
              </w:rPr>
              <w:t>Subtotal</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C1E95" w14:textId="77777777" w:rsidR="009D7C1E" w:rsidRPr="007B223C" w:rsidRDefault="009D7C1E" w:rsidP="003A6FA8">
            <w:pPr>
              <w:spacing w:after="0"/>
              <w:jc w:val="center"/>
            </w:pPr>
            <w:r w:rsidRPr="007B223C">
              <w:rPr>
                <w:rFonts w:ascii="Times New Roman" w:eastAsia="Times New Roman" w:hAnsi="Times New Roman"/>
                <w:b/>
                <w:color w:val="000000"/>
                <w:sz w:val="20"/>
              </w:rPr>
              <w:t>543</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E1EC2" w14:textId="77777777" w:rsidR="009D7C1E" w:rsidRPr="007B223C" w:rsidRDefault="009D7C1E" w:rsidP="003A6FA8">
            <w:pPr>
              <w:spacing w:after="0"/>
              <w:jc w:val="center"/>
            </w:pPr>
            <w:r w:rsidRPr="007B223C">
              <w:rPr>
                <w:rFonts w:ascii="Times New Roman" w:eastAsia="Times New Roman" w:hAnsi="Times New Roman"/>
                <w:b/>
                <w:color w:val="000000"/>
                <w:sz w:val="20"/>
              </w:rPr>
              <w:t>81.3</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ED025" w14:textId="77777777" w:rsidR="009D7C1E" w:rsidRPr="007B223C" w:rsidRDefault="009D7C1E" w:rsidP="003A6FA8">
            <w:pPr>
              <w:spacing w:after="0"/>
              <w:jc w:val="center"/>
            </w:pPr>
            <w:r w:rsidRPr="007B223C">
              <w:rPr>
                <w:rFonts w:ascii="Times New Roman" w:eastAsia="Times New Roman" w:hAnsi="Times New Roman"/>
                <w:b/>
                <w:color w:val="000000"/>
                <w:sz w:val="20"/>
              </w:rPr>
              <w:t>125</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3E2D9" w14:textId="77777777" w:rsidR="009D7C1E" w:rsidRPr="007B223C" w:rsidRDefault="009D7C1E" w:rsidP="003A6FA8">
            <w:pPr>
              <w:spacing w:after="0"/>
              <w:jc w:val="center"/>
            </w:pPr>
            <w:r w:rsidRPr="007B223C">
              <w:rPr>
                <w:rFonts w:ascii="Times New Roman" w:eastAsia="Times New Roman" w:hAnsi="Times New Roman"/>
                <w:b/>
                <w:color w:val="000000"/>
                <w:sz w:val="20"/>
              </w:rPr>
              <w:t>18.7</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627CA5" w14:textId="77777777" w:rsidR="009D7C1E" w:rsidRPr="007B223C" w:rsidRDefault="009D7C1E" w:rsidP="003A6FA8">
            <w:pPr>
              <w:spacing w:after="0"/>
              <w:jc w:val="center"/>
            </w:pPr>
            <w:r w:rsidRPr="007B223C">
              <w:rPr>
                <w:rFonts w:ascii="Times New Roman" w:eastAsia="Times New Roman" w:hAnsi="Times New Roman"/>
                <w:b/>
                <w:color w:val="000000"/>
                <w:sz w:val="20"/>
              </w:rPr>
              <w:t>668</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4894D" w14:textId="77777777" w:rsidR="009D7C1E" w:rsidRPr="007B223C" w:rsidRDefault="009D7C1E" w:rsidP="003A6FA8">
            <w:pPr>
              <w:spacing w:after="0"/>
              <w:jc w:val="center"/>
            </w:pPr>
            <w:r w:rsidRPr="007B223C">
              <w:rPr>
                <w:rFonts w:ascii="Times New Roman" w:eastAsia="Times New Roman" w:hAnsi="Times New Roman"/>
                <w:b/>
                <w:color w:val="000000"/>
                <w:sz w:val="20"/>
              </w:rPr>
              <w:t>82,480</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24341F" w14:textId="77777777" w:rsidR="009D7C1E" w:rsidRPr="007B223C" w:rsidRDefault="009D7C1E" w:rsidP="003A6FA8">
            <w:pPr>
              <w:spacing w:after="0"/>
              <w:jc w:val="center"/>
            </w:pPr>
            <w:r w:rsidRPr="007B223C">
              <w:rPr>
                <w:rFonts w:ascii="Times New Roman" w:eastAsia="Times New Roman" w:hAnsi="Times New Roman"/>
                <w:b/>
                <w:color w:val="000000"/>
                <w:sz w:val="20"/>
              </w:rPr>
              <w:t>65.9</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F091B4" w14:textId="77777777" w:rsidR="009D7C1E" w:rsidRPr="007B223C" w:rsidRDefault="009D7C1E" w:rsidP="003A6FA8">
            <w:pPr>
              <w:spacing w:after="0"/>
              <w:jc w:val="center"/>
            </w:pPr>
            <w:r w:rsidRPr="007B223C">
              <w:rPr>
                <w:rFonts w:ascii="Times New Roman" w:eastAsia="Times New Roman" w:hAnsi="Times New Roman"/>
                <w:b/>
                <w:color w:val="000000"/>
                <w:sz w:val="20"/>
              </w:rPr>
              <w:t>42,726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29DBF" w14:textId="77777777" w:rsidR="009D7C1E" w:rsidRPr="007B223C" w:rsidRDefault="009D7C1E" w:rsidP="003A6FA8">
            <w:pPr>
              <w:spacing w:after="0"/>
              <w:jc w:val="center"/>
            </w:pPr>
            <w:r w:rsidRPr="007B223C">
              <w:rPr>
                <w:rFonts w:ascii="Times New Roman" w:eastAsia="Times New Roman" w:hAnsi="Times New Roman"/>
                <w:b/>
                <w:color w:val="000000"/>
                <w:sz w:val="20"/>
              </w:rPr>
              <w:t>34.1</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AB627" w14:textId="77777777" w:rsidR="009D7C1E" w:rsidRPr="007B223C" w:rsidRDefault="009D7C1E" w:rsidP="003A6FA8">
            <w:pPr>
              <w:spacing w:after="0"/>
              <w:jc w:val="center"/>
            </w:pPr>
            <w:r w:rsidRPr="007B223C">
              <w:rPr>
                <w:rFonts w:ascii="Times New Roman" w:eastAsia="Times New Roman" w:hAnsi="Times New Roman"/>
                <w:b/>
                <w:color w:val="000000"/>
                <w:sz w:val="20"/>
              </w:rPr>
              <w:t>125,206</w:t>
            </w:r>
          </w:p>
        </w:tc>
      </w:tr>
      <w:tr w:rsidR="00391D41" w14:paraId="68DB7F3B" w14:textId="77777777" w:rsidTr="003A6FA8">
        <w:trPr>
          <w:trHeight w:val="210"/>
        </w:trPr>
        <w:tc>
          <w:tcPr>
            <w:tcW w:w="16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CC44A4" w14:textId="77777777" w:rsidR="009D7C1E" w:rsidRPr="007B223C" w:rsidRDefault="009D7C1E" w:rsidP="003A6FA8">
            <w:pPr>
              <w:spacing w:after="0"/>
              <w:rPr>
                <w:rFonts w:ascii="Times New Roman" w:eastAsia="Times New Roman" w:hAnsi="Times New Roman"/>
                <w:b/>
                <w:color w:val="000000"/>
                <w:sz w:val="20"/>
              </w:rPr>
            </w:pPr>
            <w:r w:rsidRPr="007B223C">
              <w:rPr>
                <w:rFonts w:ascii="Times New Roman" w:eastAsia="Times New Roman" w:hAnsi="Times New Roman"/>
                <w:b/>
                <w:color w:val="000000"/>
                <w:sz w:val="20"/>
              </w:rPr>
              <w:t>Total</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23341" w14:textId="7B566FC9"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1,159</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4F8C3" w14:textId="7A5ECF29"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82.5</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83ADC" w14:textId="4BEF2B13"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246</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70AF2" w14:textId="0216E748"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17.5</w:t>
            </w:r>
          </w:p>
        </w:tc>
        <w:tc>
          <w:tcPr>
            <w:tcW w:w="8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BDE06" w14:textId="3E67CAA6"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1,405</w:t>
            </w:r>
          </w:p>
        </w:tc>
        <w:tc>
          <w:tcPr>
            <w:tcW w:w="9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616C8A" w14:textId="601708D4"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321,809</w:t>
            </w:r>
          </w:p>
        </w:tc>
        <w:tc>
          <w:tcPr>
            <w:tcW w:w="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DB463" w14:textId="672D7ECC"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64.3</w:t>
            </w:r>
          </w:p>
        </w:tc>
        <w:tc>
          <w:tcPr>
            <w:tcW w:w="9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E1407" w14:textId="5E0C2E02"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179,022</w:t>
            </w:r>
          </w:p>
        </w:tc>
        <w:tc>
          <w:tcPr>
            <w:tcW w:w="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3371E" w14:textId="06F9EC8A"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35.7</w:t>
            </w:r>
          </w:p>
        </w:tc>
        <w:tc>
          <w:tcPr>
            <w:tcW w:w="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66D4A" w14:textId="6F2972EB" w:rsidR="009D7C1E" w:rsidRPr="007B223C" w:rsidRDefault="00391D41" w:rsidP="003A6FA8">
            <w:pPr>
              <w:spacing w:after="0"/>
              <w:jc w:val="center"/>
              <w:rPr>
                <w:rFonts w:ascii="Times New Roman" w:eastAsia="Times New Roman" w:hAnsi="Times New Roman"/>
                <w:b/>
                <w:color w:val="000000"/>
                <w:sz w:val="20"/>
              </w:rPr>
            </w:pPr>
            <w:r>
              <w:rPr>
                <w:rFonts w:ascii="Times New Roman" w:eastAsia="Times New Roman" w:hAnsi="Times New Roman"/>
                <w:b/>
                <w:color w:val="000000"/>
                <w:sz w:val="20"/>
              </w:rPr>
              <w:t>500,831</w:t>
            </w:r>
          </w:p>
        </w:tc>
      </w:tr>
      <w:tr w:rsidR="009D7C1E" w14:paraId="47CE97D3" w14:textId="77777777" w:rsidTr="001D3E11">
        <w:trPr>
          <w:trHeight w:val="185"/>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E665B6F" w14:textId="6084CA56" w:rsidR="009D7C1E" w:rsidRDefault="009D7C1E" w:rsidP="003A6FA8">
            <w:pPr>
              <w:spacing w:after="0"/>
            </w:pPr>
            <w:r>
              <w:rPr>
                <w:rFonts w:ascii="Times New Roman" w:eastAsia="Times New Roman" w:hAnsi="Times New Roman"/>
                <w:i/>
                <w:color w:val="000000"/>
                <w:sz w:val="16"/>
              </w:rPr>
              <w:t>Source: Bank Data</w:t>
            </w:r>
            <w:r w:rsidR="00AB45EB">
              <w:rPr>
                <w:rFonts w:ascii="Times New Roman" w:eastAsia="Times New Roman" w:hAnsi="Times New Roman"/>
                <w:i/>
                <w:color w:val="000000"/>
                <w:sz w:val="16"/>
              </w:rPr>
              <w:t xml:space="preserve">.  </w:t>
            </w:r>
            <w:r>
              <w:rPr>
                <w:rFonts w:ascii="Times New Roman" w:eastAsia="Times New Roman" w:hAnsi="Times New Roman"/>
                <w:i/>
                <w:color w:val="000000"/>
                <w:sz w:val="16"/>
              </w:rPr>
              <w:t>Due to rounding, totals may not equal 100.0%</w:t>
            </w:r>
          </w:p>
        </w:tc>
      </w:tr>
    </w:tbl>
    <w:p w14:paraId="5BA36612" w14:textId="77777777" w:rsidR="00DB75C4" w:rsidRPr="009D7C1E" w:rsidRDefault="00DB75C4" w:rsidP="00E50970">
      <w:pPr>
        <w:spacing w:after="0" w:line="240" w:lineRule="auto"/>
        <w:rPr>
          <w:rFonts w:ascii="Times New Roman" w:eastAsia="Times New Roman" w:hAnsi="Times New Roman" w:cs="Times New Roman"/>
          <w:iCs/>
          <w:sz w:val="24"/>
          <w:szCs w:val="24"/>
        </w:rPr>
      </w:pPr>
    </w:p>
    <w:p w14:paraId="268FBA60" w14:textId="77777777" w:rsidR="006854F2" w:rsidRDefault="00E50970" w:rsidP="006854F2">
      <w:pPr>
        <w:spacing w:after="0" w:line="240" w:lineRule="auto"/>
        <w:ind w:right="-270"/>
        <w:rPr>
          <w:rFonts w:ascii="Times New Roman" w:eastAsia="Times New Roman" w:hAnsi="Times New Roman" w:cs="Times New Roman"/>
          <w:b/>
          <w:bCs/>
          <w:color w:val="000000"/>
          <w:sz w:val="24"/>
          <w:szCs w:val="24"/>
          <w:u w:val="single"/>
        </w:rPr>
      </w:pPr>
      <w:r w:rsidRPr="00E50970">
        <w:rPr>
          <w:rFonts w:ascii="Times New Roman" w:eastAsia="Times New Roman" w:hAnsi="Times New Roman" w:cs="Times New Roman"/>
          <w:b/>
          <w:bCs/>
          <w:color w:val="000000"/>
          <w:sz w:val="24"/>
          <w:szCs w:val="24"/>
          <w:u w:val="single"/>
        </w:rPr>
        <w:t>Geographic Distribution</w:t>
      </w:r>
    </w:p>
    <w:p w14:paraId="72EDB5AF" w14:textId="77777777" w:rsidR="006854F2" w:rsidRDefault="006854F2" w:rsidP="006854F2">
      <w:pPr>
        <w:spacing w:after="0" w:line="240" w:lineRule="auto"/>
        <w:ind w:right="-270"/>
        <w:rPr>
          <w:rFonts w:ascii="Times New Roman" w:eastAsia="Times New Roman" w:hAnsi="Times New Roman" w:cs="Times New Roman"/>
          <w:bCs/>
          <w:color w:val="000000"/>
          <w:sz w:val="24"/>
          <w:szCs w:val="24"/>
        </w:rPr>
      </w:pPr>
    </w:p>
    <w:p w14:paraId="245FFF59" w14:textId="22540DC2" w:rsidR="009D7C1E" w:rsidRDefault="009D7C1E" w:rsidP="009D7C1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293605">
        <w:rPr>
          <w:rFonts w:ascii="Times New Roman" w:eastAsia="Times New Roman" w:hAnsi="Times New Roman" w:cs="Times New Roman"/>
          <w:sz w:val="24"/>
          <w:szCs w:val="24"/>
        </w:rPr>
        <w:t xml:space="preserve">geographic distribution of home mortgage and small business loans </w:t>
      </w:r>
      <w:r w:rsidRPr="00D5358A">
        <w:rPr>
          <w:rFonts w:ascii="Times New Roman" w:eastAsia="Times New Roman" w:hAnsi="Times New Roman" w:cs="Times New Roman"/>
          <w:sz w:val="24"/>
          <w:szCs w:val="24"/>
        </w:rPr>
        <w:t xml:space="preserve">reflects </w:t>
      </w:r>
      <w:r w:rsidR="0012798A">
        <w:rPr>
          <w:rFonts w:ascii="Times New Roman" w:eastAsia="Times New Roman" w:hAnsi="Times New Roman" w:cs="Times New Roman"/>
          <w:sz w:val="24"/>
          <w:szCs w:val="24"/>
        </w:rPr>
        <w:t>excellent</w:t>
      </w:r>
      <w:r w:rsidRPr="00293605">
        <w:rPr>
          <w:rFonts w:ascii="Times New Roman" w:eastAsia="Times New Roman" w:hAnsi="Times New Roman" w:cs="Times New Roman"/>
          <w:sz w:val="24"/>
          <w:szCs w:val="24"/>
        </w:rPr>
        <w:t xml:space="preserve"> penetration throughout the</w:t>
      </w:r>
      <w:r w:rsidR="00081377">
        <w:rPr>
          <w:rFonts w:ascii="Times New Roman" w:eastAsia="Times New Roman" w:hAnsi="Times New Roman" w:cs="Times New Roman"/>
          <w:sz w:val="24"/>
          <w:szCs w:val="24"/>
        </w:rPr>
        <w:t xml:space="preserve"> combined</w:t>
      </w:r>
      <w:r w:rsidRPr="00293605">
        <w:rPr>
          <w:rFonts w:ascii="Times New Roman" w:eastAsia="Times New Roman" w:hAnsi="Times New Roman" w:cs="Times New Roman"/>
          <w:sz w:val="24"/>
          <w:szCs w:val="24"/>
        </w:rPr>
        <w:t xml:space="preserve"> assessment area.</w:t>
      </w:r>
      <w:r w:rsidR="0012798A">
        <w:rPr>
          <w:rFonts w:ascii="Times New Roman" w:eastAsia="Times New Roman" w:hAnsi="Times New Roman" w:cs="Times New Roman"/>
          <w:sz w:val="24"/>
          <w:szCs w:val="24"/>
        </w:rPr>
        <w:t xml:space="preserve">  Excellent home mortgage and small business</w:t>
      </w:r>
      <w:r w:rsidR="00066945">
        <w:rPr>
          <w:rFonts w:ascii="Times New Roman" w:eastAsia="Times New Roman" w:hAnsi="Times New Roman" w:cs="Times New Roman"/>
          <w:sz w:val="24"/>
          <w:szCs w:val="24"/>
        </w:rPr>
        <w:t xml:space="preserve"> loan</w:t>
      </w:r>
      <w:r w:rsidR="0012798A">
        <w:rPr>
          <w:rFonts w:ascii="Times New Roman" w:eastAsia="Times New Roman" w:hAnsi="Times New Roman" w:cs="Times New Roman"/>
          <w:sz w:val="24"/>
          <w:szCs w:val="24"/>
        </w:rPr>
        <w:t xml:space="preserve"> distributions by census tract income level in the Massachusetts </w:t>
      </w:r>
      <w:r w:rsidR="002B1F2A">
        <w:rPr>
          <w:rFonts w:ascii="Times New Roman" w:eastAsia="Times New Roman" w:hAnsi="Times New Roman" w:cs="Times New Roman"/>
          <w:sz w:val="24"/>
          <w:szCs w:val="24"/>
        </w:rPr>
        <w:t>rated</w:t>
      </w:r>
      <w:r w:rsidR="0012798A">
        <w:rPr>
          <w:rFonts w:ascii="Times New Roman" w:eastAsia="Times New Roman" w:hAnsi="Times New Roman" w:cs="Times New Roman"/>
          <w:sz w:val="24"/>
          <w:szCs w:val="24"/>
        </w:rPr>
        <w:t xml:space="preserve"> area primarily support this conclusion</w:t>
      </w:r>
      <w:r w:rsidR="001D3E11">
        <w:rPr>
          <w:rFonts w:ascii="Times New Roman" w:eastAsia="Times New Roman" w:hAnsi="Times New Roman" w:cs="Times New Roman"/>
          <w:sz w:val="24"/>
          <w:szCs w:val="24"/>
        </w:rPr>
        <w:t>.  The bank had a good distribution of loans by census tract income level in the Providence-Warwick, RI-MA MSA</w:t>
      </w:r>
      <w:r w:rsidR="0012798A">
        <w:rPr>
          <w:rFonts w:ascii="Times New Roman" w:eastAsia="Times New Roman" w:hAnsi="Times New Roman" w:cs="Times New Roman"/>
          <w:sz w:val="24"/>
          <w:szCs w:val="24"/>
        </w:rPr>
        <w:t>.</w:t>
      </w:r>
      <w:r w:rsidR="00690057">
        <w:rPr>
          <w:rFonts w:ascii="Times New Roman" w:eastAsia="Times New Roman" w:hAnsi="Times New Roman" w:cs="Times New Roman"/>
          <w:sz w:val="24"/>
          <w:szCs w:val="24"/>
        </w:rPr>
        <w:t xml:space="preserve">  </w:t>
      </w:r>
      <w:r w:rsidR="00690057" w:rsidRPr="00690057">
        <w:rPr>
          <w:rFonts w:ascii="Times New Roman" w:eastAsia="Times New Roman" w:hAnsi="Times New Roman" w:cs="Times New Roman"/>
          <w:sz w:val="24"/>
          <w:szCs w:val="24"/>
        </w:rPr>
        <w:t>Refer to rated area sections for a complete discussion of bank performance under this factor.</w:t>
      </w:r>
    </w:p>
    <w:p w14:paraId="11D3CE14" w14:textId="77777777" w:rsidR="00DB75C4" w:rsidRDefault="00DB75C4" w:rsidP="006854F2">
      <w:pPr>
        <w:spacing w:after="0" w:line="240" w:lineRule="auto"/>
        <w:ind w:right="-270"/>
        <w:rPr>
          <w:rFonts w:ascii="Times New Roman" w:eastAsia="Times New Roman" w:hAnsi="Times New Roman" w:cs="Times New Roman"/>
          <w:bCs/>
          <w:color w:val="000000"/>
          <w:sz w:val="24"/>
          <w:szCs w:val="24"/>
        </w:rPr>
      </w:pPr>
    </w:p>
    <w:p w14:paraId="05959974" w14:textId="77777777" w:rsidR="00E50970" w:rsidRPr="00E50970" w:rsidRDefault="00E50970" w:rsidP="00E50970">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Borrower Profile</w:t>
      </w:r>
    </w:p>
    <w:p w14:paraId="572CB5DB" w14:textId="77777777" w:rsidR="009D7C1E" w:rsidRDefault="009D7C1E" w:rsidP="009D7C1E">
      <w:pPr>
        <w:spacing w:after="0" w:line="240" w:lineRule="auto"/>
        <w:rPr>
          <w:rFonts w:ascii="Times New Roman" w:eastAsia="Times New Roman" w:hAnsi="Times New Roman" w:cs="Times New Roman"/>
          <w:bCs/>
          <w:sz w:val="24"/>
          <w:szCs w:val="24"/>
        </w:rPr>
      </w:pPr>
    </w:p>
    <w:p w14:paraId="69496DAB" w14:textId="166D6D50" w:rsidR="009D7C1E" w:rsidRDefault="009D7C1E" w:rsidP="009D7C1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dist</w:t>
      </w:r>
      <w:r w:rsidR="00F26964">
        <w:rPr>
          <w:rFonts w:ascii="Times New Roman" w:eastAsia="Times New Roman" w:hAnsi="Times New Roman" w:cs="Times New Roman"/>
          <w:bCs/>
          <w:sz w:val="24"/>
          <w:szCs w:val="24"/>
        </w:rPr>
        <w:t xml:space="preserve">ribution of borrowers reflects </w:t>
      </w:r>
      <w:r w:rsidRPr="00BD55EC">
        <w:rPr>
          <w:rFonts w:ascii="Times New Roman" w:eastAsia="Times New Roman" w:hAnsi="Times New Roman" w:cs="Times New Roman"/>
          <w:bCs/>
          <w:sz w:val="24"/>
          <w:szCs w:val="24"/>
        </w:rPr>
        <w:t>excellent penetration among individuals of different income levels and businesses of different sizes.</w:t>
      </w:r>
      <w:r w:rsidR="00F26964">
        <w:rPr>
          <w:rFonts w:ascii="Times New Roman" w:eastAsia="Times New Roman" w:hAnsi="Times New Roman" w:cs="Times New Roman"/>
          <w:bCs/>
          <w:sz w:val="24"/>
          <w:szCs w:val="24"/>
        </w:rPr>
        <w:t xml:space="preserve">  The bank’s excellent performance i</w:t>
      </w:r>
      <w:r w:rsidR="000525ED">
        <w:rPr>
          <w:rFonts w:ascii="Times New Roman" w:eastAsia="Times New Roman" w:hAnsi="Times New Roman" w:cs="Times New Roman"/>
          <w:bCs/>
          <w:sz w:val="24"/>
          <w:szCs w:val="24"/>
        </w:rPr>
        <w:t xml:space="preserve">n both </w:t>
      </w:r>
      <w:r w:rsidR="00B56133">
        <w:rPr>
          <w:rFonts w:ascii="Times New Roman" w:eastAsia="Times New Roman" w:hAnsi="Times New Roman" w:cs="Times New Roman"/>
          <w:bCs/>
          <w:sz w:val="24"/>
          <w:szCs w:val="24"/>
        </w:rPr>
        <w:t>rated</w:t>
      </w:r>
      <w:r w:rsidR="000525ED">
        <w:rPr>
          <w:rFonts w:ascii="Times New Roman" w:eastAsia="Times New Roman" w:hAnsi="Times New Roman" w:cs="Times New Roman"/>
          <w:bCs/>
          <w:sz w:val="24"/>
          <w:szCs w:val="24"/>
        </w:rPr>
        <w:t xml:space="preserve"> areas supports </w:t>
      </w:r>
      <w:r w:rsidR="00F26964">
        <w:rPr>
          <w:rFonts w:ascii="Times New Roman" w:eastAsia="Times New Roman" w:hAnsi="Times New Roman" w:cs="Times New Roman"/>
          <w:bCs/>
          <w:sz w:val="24"/>
          <w:szCs w:val="24"/>
        </w:rPr>
        <w:t>this conclusion.</w:t>
      </w:r>
      <w:r w:rsidR="00690057">
        <w:rPr>
          <w:rFonts w:ascii="Times New Roman" w:eastAsia="Times New Roman" w:hAnsi="Times New Roman" w:cs="Times New Roman"/>
          <w:bCs/>
          <w:sz w:val="24"/>
          <w:szCs w:val="24"/>
        </w:rPr>
        <w:t xml:space="preserve">  </w:t>
      </w:r>
      <w:r w:rsidR="00690057" w:rsidRPr="00690057">
        <w:rPr>
          <w:rFonts w:ascii="Times New Roman" w:eastAsia="Times New Roman" w:hAnsi="Times New Roman" w:cs="Times New Roman"/>
          <w:sz w:val="24"/>
          <w:szCs w:val="24"/>
        </w:rPr>
        <w:t>Refer to rated area sections for a complete discussion of bank performance under this factor.</w:t>
      </w:r>
    </w:p>
    <w:p w14:paraId="41013487" w14:textId="77777777" w:rsidR="00E50970" w:rsidRPr="0070172B" w:rsidRDefault="00E50970" w:rsidP="00E50970">
      <w:pPr>
        <w:spacing w:after="0" w:line="240" w:lineRule="auto"/>
        <w:rPr>
          <w:rFonts w:ascii="Times New Roman" w:eastAsia="Times New Roman" w:hAnsi="Times New Roman" w:cs="Times New Roman"/>
          <w:bCs/>
          <w:sz w:val="24"/>
          <w:szCs w:val="24"/>
        </w:rPr>
      </w:pPr>
    </w:p>
    <w:p w14:paraId="6648FF19" w14:textId="77777777" w:rsidR="00E50970" w:rsidRPr="0070172B" w:rsidRDefault="00E50970" w:rsidP="00E50970">
      <w:pPr>
        <w:spacing w:after="0" w:line="240" w:lineRule="auto"/>
        <w:rPr>
          <w:rFonts w:ascii="Times New Roman" w:eastAsia="Times New Roman" w:hAnsi="Times New Roman" w:cs="Times New Roman"/>
          <w:b/>
          <w:bCs/>
          <w:sz w:val="24"/>
          <w:szCs w:val="24"/>
          <w:u w:val="single"/>
        </w:rPr>
      </w:pPr>
      <w:r w:rsidRPr="0070172B">
        <w:rPr>
          <w:rFonts w:ascii="Times New Roman" w:eastAsia="Times New Roman" w:hAnsi="Times New Roman" w:cs="Times New Roman"/>
          <w:b/>
          <w:bCs/>
          <w:sz w:val="24"/>
          <w:szCs w:val="24"/>
          <w:u w:val="single"/>
        </w:rPr>
        <w:t>Innovative or Flexible Lending Practices</w:t>
      </w:r>
    </w:p>
    <w:p w14:paraId="196F5D0B" w14:textId="77777777" w:rsidR="00E50970" w:rsidRPr="0070172B" w:rsidRDefault="00E50970" w:rsidP="00E50970">
      <w:pPr>
        <w:spacing w:after="0" w:line="240" w:lineRule="auto"/>
        <w:rPr>
          <w:rFonts w:ascii="Times New Roman" w:eastAsia="Times New Roman" w:hAnsi="Times New Roman" w:cs="Times New Roman"/>
          <w:bCs/>
          <w:sz w:val="24"/>
          <w:szCs w:val="24"/>
        </w:rPr>
      </w:pPr>
    </w:p>
    <w:p w14:paraId="5223E06A" w14:textId="2B7A4E65" w:rsidR="00C965D2" w:rsidRDefault="009D7C1E" w:rsidP="00FE6A83">
      <w:pPr>
        <w:pStyle w:val="Default"/>
        <w:rPr>
          <w:rFonts w:eastAsia="Times New Roman"/>
          <w:bCs/>
        </w:rPr>
      </w:pPr>
      <w:r w:rsidRPr="0070172B">
        <w:t xml:space="preserve">HOB makes extensive use of innovative and flexible lending practices in order to serve assessment </w:t>
      </w:r>
      <w:r w:rsidR="00F26964">
        <w:t xml:space="preserve">area </w:t>
      </w:r>
      <w:r w:rsidRPr="0070172B">
        <w:t>credit needs.</w:t>
      </w:r>
      <w:r w:rsidR="0070172B" w:rsidRPr="0070172B">
        <w:t xml:space="preserve">  The bank</w:t>
      </w:r>
      <w:r w:rsidR="00C965D2">
        <w:t xml:space="preserve"> and HOME</w:t>
      </w:r>
      <w:r w:rsidR="0070172B" w:rsidRPr="0070172B">
        <w:t xml:space="preserve"> offer </w:t>
      </w:r>
      <w:r w:rsidR="009B2CC0">
        <w:t>many</w:t>
      </w:r>
      <w:r w:rsidR="0070172B" w:rsidRPr="0070172B">
        <w:t xml:space="preserve"> innovative or flexible lending programs that serve both assessment areas</w:t>
      </w:r>
      <w:r w:rsidR="009B2CC0">
        <w:t xml:space="preserve">, </w:t>
      </w:r>
      <w:r w:rsidR="00D42470">
        <w:t xml:space="preserve">and </w:t>
      </w:r>
      <w:r w:rsidR="009B2CC0">
        <w:t>only one program (RIHousing Loans) benefitted one area</w:t>
      </w:r>
      <w:r w:rsidR="0070172B" w:rsidRPr="0070172B">
        <w:t>.</w:t>
      </w:r>
      <w:r w:rsidR="0070172B">
        <w:t xml:space="preserve">  </w:t>
      </w:r>
      <w:r w:rsidR="0070172B" w:rsidRPr="001417C2">
        <w:t xml:space="preserve">During the evaluation period, the bank </w:t>
      </w:r>
      <w:r w:rsidR="00C965D2">
        <w:t xml:space="preserve">and HOME </w:t>
      </w:r>
      <w:r w:rsidR="0070172B" w:rsidRPr="001417C2">
        <w:t xml:space="preserve">originated </w:t>
      </w:r>
      <w:r w:rsidR="0070172B">
        <w:t>4,</w:t>
      </w:r>
      <w:r w:rsidR="00C965D2">
        <w:t>532</w:t>
      </w:r>
      <w:r w:rsidR="0070172B" w:rsidRPr="001417C2">
        <w:rPr>
          <w:rFonts w:eastAsia="Times New Roman"/>
          <w:bCs/>
        </w:rPr>
        <w:t xml:space="preserve"> loans </w:t>
      </w:r>
      <w:r w:rsidR="009B2CC0">
        <w:rPr>
          <w:rFonts w:eastAsia="Times New Roman"/>
          <w:bCs/>
        </w:rPr>
        <w:t xml:space="preserve">through </w:t>
      </w:r>
      <w:r w:rsidR="00A0081E">
        <w:rPr>
          <w:rFonts w:eastAsia="Times New Roman"/>
          <w:bCs/>
        </w:rPr>
        <w:t xml:space="preserve">innovative or </w:t>
      </w:r>
      <w:r w:rsidR="0070172B" w:rsidRPr="001417C2">
        <w:rPr>
          <w:rFonts w:eastAsia="Times New Roman"/>
          <w:bCs/>
        </w:rPr>
        <w:t xml:space="preserve">flexible </w:t>
      </w:r>
      <w:r w:rsidR="0070172B" w:rsidRPr="001417C2">
        <w:rPr>
          <w:rFonts w:eastAsia="Times New Roman"/>
          <w:bCs/>
        </w:rPr>
        <w:lastRenderedPageBreak/>
        <w:t>programs that totaled $</w:t>
      </w:r>
      <w:r w:rsidR="00C965D2">
        <w:rPr>
          <w:rFonts w:eastAsia="Times New Roman"/>
          <w:bCs/>
        </w:rPr>
        <w:t>945.9</w:t>
      </w:r>
      <w:r w:rsidR="0070172B">
        <w:rPr>
          <w:rFonts w:eastAsia="Times New Roman"/>
          <w:bCs/>
        </w:rPr>
        <w:t xml:space="preserve"> million</w:t>
      </w:r>
      <w:r w:rsidR="009B2CC0">
        <w:rPr>
          <w:rFonts w:eastAsia="Times New Roman"/>
          <w:bCs/>
        </w:rPr>
        <w:t xml:space="preserve">.  These programs </w:t>
      </w:r>
      <w:r w:rsidR="0070172B" w:rsidRPr="001417C2">
        <w:rPr>
          <w:rFonts w:eastAsia="Times New Roman"/>
          <w:bCs/>
        </w:rPr>
        <w:t xml:space="preserve">benefited low- and moderate-income individuals and small businesses. </w:t>
      </w:r>
      <w:r w:rsidR="00FE6A83">
        <w:rPr>
          <w:rFonts w:eastAsia="Times New Roman"/>
          <w:bCs/>
        </w:rPr>
        <w:t xml:space="preserve"> </w:t>
      </w:r>
    </w:p>
    <w:p w14:paraId="6DECD6B5" w14:textId="77777777" w:rsidR="00D42470" w:rsidRDefault="00D42470" w:rsidP="00FE6A83">
      <w:pPr>
        <w:pStyle w:val="Default"/>
        <w:rPr>
          <w:rFonts w:eastAsia="Times New Roman"/>
          <w:bCs/>
        </w:rPr>
      </w:pPr>
    </w:p>
    <w:p w14:paraId="6F9C9836" w14:textId="44B009EC" w:rsidR="00FE6A83" w:rsidRDefault="00FE6A83" w:rsidP="00FE6A83">
      <w:pPr>
        <w:pStyle w:val="Default"/>
        <w:rPr>
          <w:rFonts w:eastAsia="Times New Roman"/>
          <w:bCs/>
        </w:rPr>
      </w:pPr>
      <w:r>
        <w:t>The bank showed leadership under this factor through responsive in-house programs such as the ONECommunity, Success for Small Business, Secured VISA, and Money Smart LOC loan programs.  The extensive volume of innovative</w:t>
      </w:r>
      <w:r w:rsidR="00181F85">
        <w:t xml:space="preserve"> or</w:t>
      </w:r>
      <w:r>
        <w:t xml:space="preserve"> flexible lending combined with these particularly responsive in-house programs supports the strong performance conclusion.</w:t>
      </w:r>
    </w:p>
    <w:p w14:paraId="63201EA0" w14:textId="77777777" w:rsidR="00FE6A83" w:rsidRDefault="00FE6A83" w:rsidP="0070172B">
      <w:pPr>
        <w:spacing w:after="0" w:line="240" w:lineRule="auto"/>
        <w:rPr>
          <w:rFonts w:ascii="Times New Roman" w:eastAsia="Times New Roman" w:hAnsi="Times New Roman" w:cs="Times New Roman"/>
          <w:bCs/>
          <w:sz w:val="24"/>
          <w:szCs w:val="24"/>
        </w:rPr>
      </w:pPr>
    </w:p>
    <w:p w14:paraId="617040D5" w14:textId="41FD0A6F" w:rsidR="0070172B" w:rsidRPr="00AC2730" w:rsidRDefault="00AB6EE6" w:rsidP="0070172B">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Additionally, </w:t>
      </w:r>
      <w:r w:rsidR="0070172B">
        <w:rPr>
          <w:rFonts w:ascii="Times New Roman" w:eastAsia="Times New Roman" w:hAnsi="Times New Roman" w:cs="Times New Roman"/>
          <w:bCs/>
          <w:sz w:val="24"/>
          <w:szCs w:val="24"/>
        </w:rPr>
        <w:t>HOB</w:t>
      </w:r>
      <w:r w:rsidR="0070172B" w:rsidRPr="00F6261A">
        <w:rPr>
          <w:rFonts w:ascii="Times New Roman" w:hAnsi="Times New Roman" w:cs="Times New Roman"/>
          <w:bCs/>
          <w:sz w:val="24"/>
          <w:szCs w:val="24"/>
        </w:rPr>
        <w:t xml:space="preserve"> offered deferral and forbearance modifications to existing loans to provide flexibility to borrowers affected by financial hardship and the COVID-19 Pandemic.  These modifications </w:t>
      </w:r>
      <w:r w:rsidR="009B2CC0">
        <w:rPr>
          <w:rFonts w:ascii="Times New Roman" w:hAnsi="Times New Roman" w:cs="Times New Roman"/>
          <w:bCs/>
          <w:sz w:val="24"/>
          <w:szCs w:val="24"/>
        </w:rPr>
        <w:t>help</w:t>
      </w:r>
      <w:r w:rsidR="0070172B" w:rsidRPr="00F6261A">
        <w:rPr>
          <w:rFonts w:ascii="Times New Roman" w:hAnsi="Times New Roman" w:cs="Times New Roman"/>
          <w:bCs/>
          <w:sz w:val="24"/>
          <w:szCs w:val="24"/>
        </w:rPr>
        <w:t xml:space="preserve"> individuals and businesses avoid foreclosure and retain homeownership </w:t>
      </w:r>
      <w:r w:rsidR="0070172B">
        <w:rPr>
          <w:rFonts w:ascii="Times New Roman" w:hAnsi="Times New Roman" w:cs="Times New Roman"/>
          <w:bCs/>
          <w:sz w:val="24"/>
          <w:szCs w:val="24"/>
        </w:rPr>
        <w:t xml:space="preserve">and businesses, </w:t>
      </w:r>
      <w:r w:rsidR="0070172B" w:rsidRPr="00F6261A">
        <w:rPr>
          <w:rFonts w:ascii="Times New Roman" w:hAnsi="Times New Roman" w:cs="Times New Roman"/>
          <w:bCs/>
          <w:sz w:val="24"/>
          <w:szCs w:val="24"/>
        </w:rPr>
        <w:t>and illustrate the bank’s commitment to providing continued credit to low- and moderate-income families and small businesses.  In 2020, the bank provided 2,139 pandemic</w:t>
      </w:r>
      <w:r w:rsidR="009B2CC0">
        <w:rPr>
          <w:rFonts w:ascii="Times New Roman" w:hAnsi="Times New Roman" w:cs="Times New Roman"/>
          <w:bCs/>
          <w:sz w:val="24"/>
          <w:szCs w:val="24"/>
        </w:rPr>
        <w:t>-</w:t>
      </w:r>
      <w:r w:rsidR="0070172B" w:rsidRPr="00F6261A">
        <w:rPr>
          <w:rFonts w:ascii="Times New Roman" w:hAnsi="Times New Roman" w:cs="Times New Roman"/>
          <w:bCs/>
          <w:sz w:val="24"/>
          <w:szCs w:val="24"/>
        </w:rPr>
        <w:t xml:space="preserve">related deferrals for first mortgage and home equity loans totaling $506.3 </w:t>
      </w:r>
      <w:r w:rsidR="0070172B" w:rsidRPr="00FB44EB">
        <w:rPr>
          <w:rFonts w:ascii="Times New Roman" w:hAnsi="Times New Roman" w:cs="Times New Roman"/>
          <w:bCs/>
          <w:sz w:val="24"/>
          <w:szCs w:val="24"/>
        </w:rPr>
        <w:t xml:space="preserve">million </w:t>
      </w:r>
      <w:r w:rsidR="009B2CC0">
        <w:rPr>
          <w:rFonts w:ascii="Times New Roman" w:hAnsi="Times New Roman" w:cs="Times New Roman"/>
          <w:bCs/>
          <w:sz w:val="24"/>
          <w:szCs w:val="24"/>
        </w:rPr>
        <w:t>and</w:t>
      </w:r>
      <w:r w:rsidR="0070172B" w:rsidRPr="00FB44EB">
        <w:rPr>
          <w:rFonts w:ascii="Times New Roman" w:hAnsi="Times New Roman" w:cs="Times New Roman"/>
          <w:bCs/>
          <w:sz w:val="24"/>
          <w:szCs w:val="24"/>
        </w:rPr>
        <w:t xml:space="preserve"> 191 </w:t>
      </w:r>
      <w:r w:rsidR="00D42470">
        <w:rPr>
          <w:rFonts w:ascii="Times New Roman" w:hAnsi="Times New Roman" w:cs="Times New Roman"/>
          <w:bCs/>
          <w:sz w:val="24"/>
          <w:szCs w:val="24"/>
        </w:rPr>
        <w:t xml:space="preserve">deferrals for </w:t>
      </w:r>
      <w:r w:rsidR="0070172B" w:rsidRPr="00FB44EB">
        <w:rPr>
          <w:rFonts w:ascii="Times New Roman" w:hAnsi="Times New Roman" w:cs="Times New Roman"/>
          <w:bCs/>
          <w:sz w:val="24"/>
          <w:szCs w:val="24"/>
        </w:rPr>
        <w:t>small businesses totaling $306</w:t>
      </w:r>
      <w:r w:rsidR="0070172B">
        <w:rPr>
          <w:rFonts w:ascii="Times New Roman" w:hAnsi="Times New Roman" w:cs="Times New Roman"/>
          <w:bCs/>
          <w:sz w:val="24"/>
          <w:szCs w:val="24"/>
        </w:rPr>
        <w:t>.4 million</w:t>
      </w:r>
      <w:r w:rsidR="0070172B" w:rsidRPr="00F6261A">
        <w:rPr>
          <w:rFonts w:ascii="Times New Roman" w:hAnsi="Times New Roman" w:cs="Times New Roman"/>
          <w:bCs/>
          <w:sz w:val="24"/>
          <w:szCs w:val="24"/>
        </w:rPr>
        <w:t xml:space="preserve">.  </w:t>
      </w:r>
      <w:r w:rsidR="0070172B">
        <w:rPr>
          <w:rFonts w:ascii="Times New Roman" w:hAnsi="Times New Roman" w:cs="Times New Roman"/>
          <w:sz w:val="24"/>
          <w:szCs w:val="24"/>
        </w:rPr>
        <w:t xml:space="preserve">The bank also provided 778 deferrals for personal loans totaling $18.5 million.  </w:t>
      </w:r>
      <w:r w:rsidR="0070172B" w:rsidRPr="00F6261A">
        <w:rPr>
          <w:rFonts w:ascii="Times New Roman" w:hAnsi="Times New Roman" w:cs="Times New Roman"/>
          <w:sz w:val="24"/>
          <w:szCs w:val="24"/>
        </w:rPr>
        <w:t xml:space="preserve">Additionally, </w:t>
      </w:r>
      <w:r w:rsidR="0070172B">
        <w:rPr>
          <w:rFonts w:ascii="Times New Roman" w:hAnsi="Times New Roman" w:cs="Times New Roman"/>
          <w:sz w:val="24"/>
          <w:szCs w:val="24"/>
        </w:rPr>
        <w:t>HOB</w:t>
      </w:r>
      <w:r w:rsidR="0070172B" w:rsidRPr="00F6261A">
        <w:rPr>
          <w:rFonts w:ascii="Times New Roman" w:hAnsi="Times New Roman" w:cs="Times New Roman"/>
          <w:sz w:val="24"/>
          <w:szCs w:val="24"/>
        </w:rPr>
        <w:t xml:space="preserve"> </w:t>
      </w:r>
      <w:r w:rsidR="00D42470">
        <w:rPr>
          <w:rFonts w:ascii="Times New Roman" w:hAnsi="Times New Roman" w:cs="Times New Roman"/>
          <w:sz w:val="24"/>
          <w:szCs w:val="24"/>
        </w:rPr>
        <w:t>made</w:t>
      </w:r>
      <w:r w:rsidR="0070172B" w:rsidRPr="00F6261A">
        <w:rPr>
          <w:rFonts w:ascii="Times New Roman" w:hAnsi="Times New Roman" w:cs="Times New Roman"/>
          <w:sz w:val="24"/>
          <w:szCs w:val="24"/>
        </w:rPr>
        <w:t xml:space="preserve"> four residential mortgage </w:t>
      </w:r>
      <w:r w:rsidR="0070172B">
        <w:rPr>
          <w:rFonts w:ascii="Times New Roman" w:hAnsi="Times New Roman" w:cs="Times New Roman"/>
          <w:sz w:val="24"/>
          <w:szCs w:val="24"/>
        </w:rPr>
        <w:t xml:space="preserve">modifications totaling $620,000 </w:t>
      </w:r>
      <w:r w:rsidR="00D42470">
        <w:rPr>
          <w:rFonts w:ascii="Times New Roman" w:hAnsi="Times New Roman" w:cs="Times New Roman"/>
          <w:sz w:val="24"/>
          <w:szCs w:val="24"/>
        </w:rPr>
        <w:t>during</w:t>
      </w:r>
      <w:r w:rsidR="0070172B">
        <w:rPr>
          <w:rFonts w:ascii="Times New Roman" w:hAnsi="Times New Roman" w:cs="Times New Roman"/>
          <w:sz w:val="24"/>
          <w:szCs w:val="24"/>
        </w:rPr>
        <w:t xml:space="preserve"> the evaluation</w:t>
      </w:r>
      <w:r>
        <w:rPr>
          <w:rFonts w:ascii="Times New Roman" w:hAnsi="Times New Roman" w:cs="Times New Roman"/>
          <w:sz w:val="24"/>
          <w:szCs w:val="24"/>
        </w:rPr>
        <w:t xml:space="preserve"> period</w:t>
      </w:r>
      <w:r w:rsidR="0070172B">
        <w:rPr>
          <w:rFonts w:ascii="Times New Roman" w:hAnsi="Times New Roman" w:cs="Times New Roman"/>
          <w:sz w:val="24"/>
          <w:szCs w:val="24"/>
        </w:rPr>
        <w:t>.</w:t>
      </w:r>
    </w:p>
    <w:p w14:paraId="2A740778" w14:textId="77777777" w:rsidR="0070172B" w:rsidRPr="00AC2730" w:rsidRDefault="0070172B" w:rsidP="0070172B">
      <w:pPr>
        <w:spacing w:after="0" w:line="240" w:lineRule="auto"/>
        <w:rPr>
          <w:rFonts w:ascii="Times New Roman" w:hAnsi="Times New Roman" w:cs="Times New Roman"/>
          <w:sz w:val="24"/>
          <w:szCs w:val="24"/>
        </w:rPr>
      </w:pPr>
    </w:p>
    <w:p w14:paraId="404F4323" w14:textId="028F07EB" w:rsidR="0070172B" w:rsidRPr="00AC2730" w:rsidRDefault="0070172B" w:rsidP="0070172B">
      <w:pPr>
        <w:spacing w:after="0" w:line="240" w:lineRule="auto"/>
        <w:rPr>
          <w:rFonts w:ascii="Times New Roman" w:hAnsi="Times New Roman" w:cs="Times New Roman"/>
          <w:bCs/>
          <w:sz w:val="24"/>
          <w:szCs w:val="24"/>
        </w:rPr>
      </w:pPr>
      <w:r w:rsidRPr="00AC2730">
        <w:rPr>
          <w:rFonts w:ascii="Times New Roman" w:hAnsi="Times New Roman" w:cs="Times New Roman"/>
          <w:bCs/>
          <w:sz w:val="24"/>
          <w:szCs w:val="24"/>
        </w:rPr>
        <w:t xml:space="preserve">The following summary captures the bank’s innovative </w:t>
      </w:r>
      <w:r>
        <w:rPr>
          <w:rFonts w:ascii="Times New Roman" w:hAnsi="Times New Roman" w:cs="Times New Roman"/>
          <w:bCs/>
          <w:sz w:val="24"/>
          <w:szCs w:val="24"/>
        </w:rPr>
        <w:t>and</w:t>
      </w:r>
      <w:r w:rsidRPr="00AC2730">
        <w:rPr>
          <w:rFonts w:ascii="Times New Roman" w:hAnsi="Times New Roman" w:cs="Times New Roman"/>
          <w:bCs/>
          <w:sz w:val="24"/>
          <w:szCs w:val="24"/>
        </w:rPr>
        <w:t xml:space="preserve"> flexible loan programs offered</w:t>
      </w:r>
      <w:r>
        <w:rPr>
          <w:rFonts w:ascii="Times New Roman" w:hAnsi="Times New Roman" w:cs="Times New Roman"/>
          <w:bCs/>
          <w:sz w:val="24"/>
          <w:szCs w:val="24"/>
        </w:rPr>
        <w:t xml:space="preserve"> during the evaluation period</w:t>
      </w:r>
      <w:r w:rsidR="009B2CC0">
        <w:rPr>
          <w:rFonts w:ascii="Times New Roman" w:hAnsi="Times New Roman" w:cs="Times New Roman"/>
          <w:bCs/>
          <w:sz w:val="24"/>
          <w:szCs w:val="24"/>
        </w:rPr>
        <w:t>.  All but one of these programs (RIHousing Loans) were offered in</w:t>
      </w:r>
      <w:r>
        <w:rPr>
          <w:rFonts w:ascii="Times New Roman" w:hAnsi="Times New Roman" w:cs="Times New Roman"/>
          <w:bCs/>
          <w:sz w:val="24"/>
          <w:szCs w:val="24"/>
        </w:rPr>
        <w:t xml:space="preserve"> both assessment areas.</w:t>
      </w:r>
    </w:p>
    <w:p w14:paraId="3BCF6690" w14:textId="77777777" w:rsidR="0070172B" w:rsidRPr="00AC2730" w:rsidRDefault="0070172B" w:rsidP="0070172B">
      <w:pPr>
        <w:spacing w:after="0" w:line="240" w:lineRule="auto"/>
        <w:rPr>
          <w:rFonts w:ascii="Times New Roman" w:eastAsia="Times New Roman" w:hAnsi="Times New Roman" w:cs="Times New Roman"/>
          <w:bCs/>
          <w:sz w:val="24"/>
          <w:szCs w:val="24"/>
        </w:rPr>
      </w:pPr>
    </w:p>
    <w:p w14:paraId="1E9E7BC7" w14:textId="77777777" w:rsidR="0070172B" w:rsidRDefault="0070172B" w:rsidP="0070172B">
      <w:pPr>
        <w:spacing w:after="0" w:line="240" w:lineRule="auto"/>
        <w:rPr>
          <w:rFonts w:ascii="Times New Roman" w:eastAsia="Times New Roman" w:hAnsi="Times New Roman" w:cs="Times New Roman"/>
          <w:b/>
          <w:bCs/>
          <w:i/>
          <w:sz w:val="24"/>
          <w:szCs w:val="24"/>
        </w:rPr>
      </w:pPr>
      <w:r w:rsidRPr="00AC2730">
        <w:rPr>
          <w:rFonts w:ascii="Times New Roman" w:eastAsia="Times New Roman" w:hAnsi="Times New Roman" w:cs="Times New Roman"/>
          <w:b/>
          <w:bCs/>
          <w:i/>
          <w:sz w:val="24"/>
          <w:szCs w:val="24"/>
        </w:rPr>
        <w:t>Home Mortgage</w:t>
      </w:r>
      <w:r w:rsidRPr="00607EC9">
        <w:rPr>
          <w:rFonts w:ascii="Times New Roman" w:eastAsia="Times New Roman" w:hAnsi="Times New Roman" w:cs="Times New Roman"/>
          <w:b/>
          <w:bCs/>
          <w:i/>
          <w:sz w:val="24"/>
          <w:szCs w:val="24"/>
        </w:rPr>
        <w:t xml:space="preserve"> Programs</w:t>
      </w:r>
    </w:p>
    <w:p w14:paraId="40FF567D" w14:textId="77777777" w:rsidR="0070172B" w:rsidRPr="001475C5" w:rsidRDefault="0070172B" w:rsidP="0070172B">
      <w:pPr>
        <w:spacing w:after="0" w:line="240" w:lineRule="auto"/>
        <w:rPr>
          <w:rFonts w:ascii="Times New Roman" w:eastAsia="Times New Roman" w:hAnsi="Times New Roman" w:cs="Times New Roman"/>
          <w:bCs/>
          <w:sz w:val="24"/>
          <w:szCs w:val="24"/>
        </w:rPr>
      </w:pPr>
    </w:p>
    <w:p w14:paraId="1EA5C10B" w14:textId="0EC74A1A" w:rsidR="0070172B" w:rsidRPr="00B57A82" w:rsidRDefault="0070172B" w:rsidP="0070172B">
      <w:pPr>
        <w:pStyle w:val="Default"/>
        <w:rPr>
          <w:rFonts w:eastAsia="Times New Roman"/>
          <w:b/>
          <w:bCs/>
        </w:rPr>
      </w:pPr>
      <w:r>
        <w:rPr>
          <w:rFonts w:eastAsia="Times New Roman"/>
          <w:bCs/>
          <w:i/>
        </w:rPr>
        <w:t>Federal Housing Administration (</w:t>
      </w:r>
      <w:r w:rsidRPr="00B57A82">
        <w:rPr>
          <w:rFonts w:eastAsia="Times New Roman"/>
          <w:bCs/>
          <w:i/>
        </w:rPr>
        <w:t>FHA</w:t>
      </w:r>
      <w:r>
        <w:rPr>
          <w:rFonts w:eastAsia="Times New Roman"/>
          <w:bCs/>
          <w:i/>
        </w:rPr>
        <w:t>)</w:t>
      </w:r>
      <w:r w:rsidRPr="00607EC9">
        <w:rPr>
          <w:rFonts w:eastAsia="Times New Roman"/>
          <w:b/>
          <w:bCs/>
        </w:rPr>
        <w:t xml:space="preserve"> </w:t>
      </w:r>
      <w:r>
        <w:rPr>
          <w:rFonts w:eastAsia="Times New Roman"/>
          <w:b/>
          <w:bCs/>
        </w:rPr>
        <w:t>–</w:t>
      </w:r>
      <w:r w:rsidRPr="00607EC9">
        <w:rPr>
          <w:rFonts w:eastAsia="Times New Roman"/>
          <w:b/>
          <w:bCs/>
        </w:rPr>
        <w:t xml:space="preserve"> </w:t>
      </w:r>
      <w:r w:rsidRPr="00607EC9">
        <w:rPr>
          <w:color w:val="111111"/>
        </w:rPr>
        <w:t>FHA loans are federally backed mortgages designed for low-to-moderate-income borrowers who may have lo</w:t>
      </w:r>
      <w:r>
        <w:rPr>
          <w:color w:val="111111"/>
        </w:rPr>
        <w:t xml:space="preserve">wer than average credit scores.  </w:t>
      </w:r>
      <w:r w:rsidRPr="00607EC9">
        <w:rPr>
          <w:color w:val="111111"/>
        </w:rPr>
        <w:t>FHA loans require a lower minimum down payments and credit scores than many conventional loans</w:t>
      </w:r>
      <w:r w:rsidRPr="003F580D">
        <w:rPr>
          <w:color w:val="111111"/>
        </w:rPr>
        <w:t>.  During the evaluation</w:t>
      </w:r>
      <w:r w:rsidR="00303A83">
        <w:rPr>
          <w:color w:val="111111"/>
        </w:rPr>
        <w:t xml:space="preserve"> period</w:t>
      </w:r>
      <w:r w:rsidRPr="003F580D">
        <w:rPr>
          <w:color w:val="111111"/>
        </w:rPr>
        <w:t xml:space="preserve">, </w:t>
      </w:r>
      <w:r>
        <w:rPr>
          <w:color w:val="111111"/>
        </w:rPr>
        <w:t>HOME</w:t>
      </w:r>
      <w:r w:rsidRPr="003F580D">
        <w:rPr>
          <w:color w:val="111111"/>
        </w:rPr>
        <w:t xml:space="preserve"> made</w:t>
      </w:r>
      <w:r>
        <w:rPr>
          <w:color w:val="111111"/>
        </w:rPr>
        <w:t xml:space="preserve"> 858 </w:t>
      </w:r>
      <w:r w:rsidR="00303A83">
        <w:rPr>
          <w:color w:val="111111"/>
        </w:rPr>
        <w:t xml:space="preserve">FHA </w:t>
      </w:r>
      <w:r>
        <w:rPr>
          <w:color w:val="111111"/>
        </w:rPr>
        <w:t>loans totaling $228.2 million.</w:t>
      </w:r>
    </w:p>
    <w:p w14:paraId="57EB8F59" w14:textId="77777777" w:rsidR="0070172B" w:rsidRDefault="0070172B" w:rsidP="0070172B">
      <w:pPr>
        <w:pStyle w:val="Default"/>
        <w:rPr>
          <w:i/>
        </w:rPr>
      </w:pPr>
    </w:p>
    <w:p w14:paraId="02E726B2" w14:textId="7E3488B0" w:rsidR="0070172B" w:rsidRPr="00585A0F" w:rsidRDefault="0070172B" w:rsidP="0070172B">
      <w:pPr>
        <w:pStyle w:val="Default"/>
      </w:pPr>
      <w:r w:rsidRPr="00FD295D">
        <w:rPr>
          <w:i/>
        </w:rPr>
        <w:t>MassHousing Loans</w:t>
      </w:r>
      <w:r w:rsidRPr="00585A0F">
        <w:t xml:space="preserve"> </w:t>
      </w:r>
      <w:r>
        <w:t>– MassHousing</w:t>
      </w:r>
      <w:r w:rsidRPr="00585A0F">
        <w:t xml:space="preserve"> </w:t>
      </w:r>
      <w:r>
        <w:t>loan</w:t>
      </w:r>
      <w:r w:rsidRPr="00585A0F">
        <w:t xml:space="preserve"> programs include features such as low down payments, competitive interest rates, reduced mortgage insurance premiums,</w:t>
      </w:r>
      <w:r>
        <w:t xml:space="preserve"> special programs for veterans</w:t>
      </w:r>
      <w:r w:rsidRPr="00585A0F">
        <w:rPr>
          <w:iCs/>
        </w:rPr>
        <w:t xml:space="preserve">, </w:t>
      </w:r>
      <w:r w:rsidRPr="00585A0F">
        <w:t xml:space="preserve">and down payment assistance </w:t>
      </w:r>
      <w:r>
        <w:t>for first-t</w:t>
      </w:r>
      <w:r w:rsidRPr="00585A0F">
        <w:t xml:space="preserve">ime </w:t>
      </w:r>
      <w:r>
        <w:t>home buyers.  During the evaluation</w:t>
      </w:r>
      <w:r w:rsidR="00303A83">
        <w:t xml:space="preserve"> period</w:t>
      </w:r>
      <w:r>
        <w:t>, HOB and HOME</w:t>
      </w:r>
      <w:r w:rsidRPr="00585A0F">
        <w:t xml:space="preserve"> o</w:t>
      </w:r>
      <w:r>
        <w:t xml:space="preserve">riginated 242 </w:t>
      </w:r>
      <w:r w:rsidR="00303A83">
        <w:t xml:space="preserve">MassHousing </w:t>
      </w:r>
      <w:r>
        <w:t>loans</w:t>
      </w:r>
      <w:r w:rsidRPr="00585A0F">
        <w:t xml:space="preserve"> totaling $4</w:t>
      </w:r>
      <w:r>
        <w:t>1</w:t>
      </w:r>
      <w:r w:rsidRPr="00585A0F">
        <w:t>.3 million.</w:t>
      </w:r>
    </w:p>
    <w:p w14:paraId="78C43A93" w14:textId="77777777" w:rsidR="0070172B" w:rsidRPr="003B3F9A" w:rsidRDefault="0070172B" w:rsidP="0070172B">
      <w:pPr>
        <w:pStyle w:val="NormalWeb"/>
        <w:shd w:val="clear" w:color="auto" w:fill="FFFFFF"/>
        <w:spacing w:before="0" w:beforeAutospacing="0" w:after="0" w:afterAutospacing="0"/>
      </w:pPr>
    </w:p>
    <w:p w14:paraId="1B081749" w14:textId="75E7B49F" w:rsidR="0070172B" w:rsidRDefault="0070172B" w:rsidP="0070172B">
      <w:pPr>
        <w:pStyle w:val="NormalWeb"/>
        <w:shd w:val="clear" w:color="auto" w:fill="FFFFFF"/>
        <w:spacing w:before="0" w:beforeAutospacing="0" w:after="0" w:afterAutospacing="0"/>
      </w:pPr>
      <w:r w:rsidRPr="00F26964">
        <w:rPr>
          <w:i/>
        </w:rPr>
        <w:t>RIHousing</w:t>
      </w:r>
      <w:r w:rsidRPr="00F26964">
        <w:t xml:space="preserve"> </w:t>
      </w:r>
      <w:r w:rsidRPr="00F26964">
        <w:rPr>
          <w:i/>
        </w:rPr>
        <w:t>Loans</w:t>
      </w:r>
      <w:r w:rsidRPr="00F26964">
        <w:t xml:space="preserve"> – RIHousing provides access to </w:t>
      </w:r>
      <w:r w:rsidRPr="00F26964">
        <w:rPr>
          <w:bCs/>
        </w:rPr>
        <w:t xml:space="preserve">programs that include first-time homebuyer loans, down payment assistance, and home renovation loans.  Loans to qualified low- and moderate-income borrowers offer no required down payment and flexible pricing and underwriting guidelines.  </w:t>
      </w:r>
      <w:r w:rsidRPr="00F26964">
        <w:t>During the evaluation</w:t>
      </w:r>
      <w:r w:rsidR="00303A83">
        <w:t xml:space="preserve"> period</w:t>
      </w:r>
      <w:r w:rsidRPr="00F26964">
        <w:t xml:space="preserve">, HOME originated 356 </w:t>
      </w:r>
      <w:r w:rsidR="00303A83">
        <w:t xml:space="preserve">RIHousing </w:t>
      </w:r>
      <w:r w:rsidRPr="00F26964">
        <w:t>loans totaling $43.5 million.</w:t>
      </w:r>
      <w:r w:rsidR="00F26964" w:rsidRPr="00F26964">
        <w:t xml:space="preserve">  This program only serves the </w:t>
      </w:r>
      <w:r w:rsidR="009B2CC0">
        <w:t>Providence-Warwick, RI-MA rated</w:t>
      </w:r>
      <w:r w:rsidR="00F26964" w:rsidRPr="00F26964">
        <w:t xml:space="preserve"> area.</w:t>
      </w:r>
    </w:p>
    <w:p w14:paraId="20721C12" w14:textId="77777777" w:rsidR="0070172B" w:rsidRPr="00FC3983" w:rsidRDefault="0070172B" w:rsidP="0070172B">
      <w:pPr>
        <w:pStyle w:val="NormalWeb"/>
        <w:shd w:val="clear" w:color="auto" w:fill="FFFFFF"/>
        <w:spacing w:before="0" w:beforeAutospacing="0" w:after="0" w:afterAutospacing="0"/>
      </w:pPr>
    </w:p>
    <w:p w14:paraId="54AB9C21" w14:textId="570B822D" w:rsidR="0070172B" w:rsidRDefault="0070172B" w:rsidP="0070172B">
      <w:pPr>
        <w:pStyle w:val="NormalWeb"/>
        <w:shd w:val="clear" w:color="auto" w:fill="FFFFFF"/>
        <w:spacing w:before="0" w:beforeAutospacing="0" w:after="0" w:afterAutospacing="0"/>
      </w:pPr>
      <w:r w:rsidRPr="005E6C39">
        <w:rPr>
          <w:i/>
        </w:rPr>
        <w:t xml:space="preserve">Freddie Mac Home Possible </w:t>
      </w:r>
      <w:r>
        <w:rPr>
          <w:i/>
        </w:rPr>
        <w:t xml:space="preserve">Mortgage </w:t>
      </w:r>
      <w:r w:rsidRPr="005E6C39">
        <w:rPr>
          <w:i/>
        </w:rPr>
        <w:t>Program –</w:t>
      </w:r>
      <w:r w:rsidRPr="005E6C39">
        <w:t xml:space="preserve"> The</w:t>
      </w:r>
      <w:r>
        <w:t xml:space="preserve"> Home Possible</w:t>
      </w:r>
      <w:r w:rsidRPr="005E6C39">
        <w:rPr>
          <w:color w:val="313131"/>
        </w:rPr>
        <w:t xml:space="preserve"> mortgage </w:t>
      </w:r>
      <w:r>
        <w:rPr>
          <w:color w:val="313131"/>
        </w:rPr>
        <w:t xml:space="preserve">program </w:t>
      </w:r>
      <w:r w:rsidRPr="005E6C39">
        <w:rPr>
          <w:color w:val="313131"/>
        </w:rPr>
        <w:t>offers more options and credit flexibilities to help very low-to low-income borrowers attain the dream of owning a home.</w:t>
      </w:r>
      <w:r>
        <w:rPr>
          <w:color w:val="313131"/>
        </w:rPr>
        <w:t xml:space="preserve">  </w:t>
      </w:r>
      <w:r>
        <w:rPr>
          <w:bCs/>
        </w:rPr>
        <w:t xml:space="preserve">The financing offers fixed-rate mortgages with low down payment options, and flexible underwriting and pricing standards.  During the evaluation period, </w:t>
      </w:r>
      <w:r w:rsidRPr="005E6C39">
        <w:t xml:space="preserve">HOME originated 171 loans </w:t>
      </w:r>
      <w:r w:rsidR="00303A83">
        <w:t xml:space="preserve">under this program </w:t>
      </w:r>
      <w:r w:rsidRPr="005E6C39">
        <w:t>totaling $37.7 million.</w:t>
      </w:r>
    </w:p>
    <w:p w14:paraId="569183AA" w14:textId="77777777" w:rsidR="0070172B" w:rsidRPr="00A70D25" w:rsidRDefault="0070172B" w:rsidP="0070172B">
      <w:pPr>
        <w:pStyle w:val="Default"/>
      </w:pPr>
    </w:p>
    <w:p w14:paraId="2774FD41" w14:textId="77777777" w:rsidR="0070172B" w:rsidRPr="00FC3983" w:rsidRDefault="0070172B" w:rsidP="0070172B">
      <w:pPr>
        <w:pStyle w:val="Default"/>
      </w:pPr>
      <w:r w:rsidRPr="00A70D25">
        <w:rPr>
          <w:i/>
        </w:rPr>
        <w:lastRenderedPageBreak/>
        <w:t>Fannie Mae Home Ready</w:t>
      </w:r>
      <w:r w:rsidRPr="00A70D25">
        <w:t xml:space="preserve"> </w:t>
      </w:r>
      <w:r w:rsidRPr="00A70D25">
        <w:rPr>
          <w:i/>
        </w:rPr>
        <w:t>Program</w:t>
      </w:r>
      <w:r w:rsidRPr="00A70D25">
        <w:t xml:space="preserve"> – HomeReady product </w:t>
      </w:r>
      <w:r w:rsidRPr="00A70D25">
        <w:rPr>
          <w:color w:val="121212"/>
          <w:shd w:val="clear" w:color="auto" w:fill="FFFFFF"/>
        </w:rPr>
        <w:t>is designed to help lenders serve cre</w:t>
      </w:r>
      <w:r>
        <w:rPr>
          <w:color w:val="121212"/>
          <w:shd w:val="clear" w:color="auto" w:fill="FFFFFF"/>
        </w:rPr>
        <w:t>dit-worthy low-income borrowers</w:t>
      </w:r>
      <w:r w:rsidRPr="00A70D25">
        <w:t xml:space="preserve"> by providing financing for first-time </w:t>
      </w:r>
      <w:r>
        <w:t xml:space="preserve">or repeat homebuyers.  </w:t>
      </w:r>
      <w:r w:rsidRPr="00A70D25">
        <w:rPr>
          <w:bCs/>
        </w:rPr>
        <w:t>The financing</w:t>
      </w:r>
      <w:r>
        <w:rPr>
          <w:bCs/>
        </w:rPr>
        <w:t xml:space="preserve"> offers fixed-rate mortgages with low down payment options and flexible underwriting and pricing standards</w:t>
      </w:r>
      <w:r>
        <w:t>.  During the evaluation, HOME</w:t>
      </w:r>
      <w:r w:rsidRPr="00607EC9">
        <w:t xml:space="preserve"> </w:t>
      </w:r>
      <w:r>
        <w:t>made 96</w:t>
      </w:r>
      <w:r w:rsidRPr="00607EC9">
        <w:t xml:space="preserve"> originations totaling $</w:t>
      </w:r>
      <w:r>
        <w:t>20.9 million.</w:t>
      </w:r>
    </w:p>
    <w:p w14:paraId="07D145F3" w14:textId="77777777" w:rsidR="005E082A" w:rsidRDefault="005E082A" w:rsidP="0070172B">
      <w:pPr>
        <w:pStyle w:val="Default"/>
        <w:rPr>
          <w:i/>
        </w:rPr>
      </w:pPr>
    </w:p>
    <w:p w14:paraId="6977B2C7" w14:textId="301DF1C8" w:rsidR="0070172B" w:rsidRPr="00585A0F" w:rsidRDefault="0070172B" w:rsidP="0070172B">
      <w:pPr>
        <w:pStyle w:val="Default"/>
      </w:pPr>
      <w:r w:rsidRPr="004F142B">
        <w:rPr>
          <w:i/>
        </w:rPr>
        <w:t>ONECommunity Mortgage</w:t>
      </w:r>
      <w:r w:rsidRPr="00607EC9">
        <w:t xml:space="preserve"> </w:t>
      </w:r>
      <w:r w:rsidRPr="004F142B">
        <w:rPr>
          <w:i/>
        </w:rPr>
        <w:t>Program</w:t>
      </w:r>
      <w:r>
        <w:t xml:space="preserve"> –</w:t>
      </w:r>
      <w:r w:rsidRPr="00607EC9">
        <w:t xml:space="preserve"> The ONECommunity mortgage</w:t>
      </w:r>
      <w:r>
        <w:t xml:space="preserve"> program</w:t>
      </w:r>
      <w:r w:rsidRPr="00607EC9">
        <w:t xml:space="preserve"> helps those creditworthy </w:t>
      </w:r>
      <w:r>
        <w:t xml:space="preserve">low-income </w:t>
      </w:r>
      <w:r w:rsidRPr="00607EC9">
        <w:t xml:space="preserve">borrowers to purchase or refinance a home in its assessment area. </w:t>
      </w:r>
      <w:r>
        <w:t xml:space="preserve"> </w:t>
      </w:r>
      <w:r w:rsidRPr="00607EC9">
        <w:t>This program allows for low 97% financing, no mortgage insurance and all while allowing the borrower to take advantage of gifts and grants towards the transaction.</w:t>
      </w:r>
      <w:r>
        <w:t xml:space="preserve">  During the evaluation period, HOB and HOME</w:t>
      </w:r>
      <w:r w:rsidRPr="00585A0F">
        <w:t xml:space="preserve"> made </w:t>
      </w:r>
      <w:r>
        <w:t>46</w:t>
      </w:r>
      <w:r w:rsidRPr="00585A0F">
        <w:t xml:space="preserve"> loans </w:t>
      </w:r>
      <w:r w:rsidR="00303A83">
        <w:t xml:space="preserve">under this program </w:t>
      </w:r>
      <w:r w:rsidRPr="00585A0F">
        <w:t>for $</w:t>
      </w:r>
      <w:r>
        <w:t>7.8</w:t>
      </w:r>
      <w:r w:rsidRPr="00585A0F">
        <w:t xml:space="preserve"> million</w:t>
      </w:r>
      <w:r>
        <w:t>.</w:t>
      </w:r>
    </w:p>
    <w:p w14:paraId="30125B14" w14:textId="77777777" w:rsidR="0070172B" w:rsidRDefault="0070172B" w:rsidP="0070172B">
      <w:pPr>
        <w:pStyle w:val="Default"/>
      </w:pPr>
    </w:p>
    <w:p w14:paraId="4B3CDF7D" w14:textId="0A6B411F" w:rsidR="0070172B" w:rsidRPr="004F142B" w:rsidRDefault="0070172B" w:rsidP="0070172B">
      <w:pPr>
        <w:pStyle w:val="Default"/>
        <w:rPr>
          <w:b/>
          <w:bCs/>
        </w:rPr>
      </w:pPr>
      <w:r w:rsidRPr="004F142B">
        <w:rPr>
          <w:bCs/>
          <w:i/>
        </w:rPr>
        <w:t>VA Mortgage Loans</w:t>
      </w:r>
      <w:r>
        <w:rPr>
          <w:b/>
          <w:bCs/>
        </w:rPr>
        <w:t xml:space="preserve"> </w:t>
      </w:r>
      <w:r w:rsidRPr="00FE6A83">
        <w:rPr>
          <w:bCs/>
        </w:rPr>
        <w:t xml:space="preserve">– </w:t>
      </w:r>
      <w:r>
        <w:rPr>
          <w:bCs/>
        </w:rPr>
        <w:t xml:space="preserve">The VA offers flexible financing to eligible active military service personnel and U.S. veterans.  The program offers a fixed-rate mortgage with no down payment, no income limits, expanded qualifying criteria, and no required mortgage insurance.  During the evaluation period, </w:t>
      </w:r>
      <w:r>
        <w:t>HOME</w:t>
      </w:r>
      <w:r w:rsidRPr="001F1937">
        <w:t xml:space="preserve"> originated 285 </w:t>
      </w:r>
      <w:r w:rsidR="00303A83">
        <w:t xml:space="preserve">VA </w:t>
      </w:r>
      <w:r w:rsidRPr="001F1937">
        <w:t>loans totaling $135.2 million.</w:t>
      </w:r>
    </w:p>
    <w:p w14:paraId="7956945A" w14:textId="77777777" w:rsidR="0070172B" w:rsidRPr="00607EC9" w:rsidRDefault="0070172B" w:rsidP="0070172B">
      <w:pPr>
        <w:pStyle w:val="Default"/>
      </w:pPr>
    </w:p>
    <w:p w14:paraId="098627A7" w14:textId="3A1004F7" w:rsidR="0070172B" w:rsidRPr="007C1935" w:rsidRDefault="0070172B" w:rsidP="0070172B">
      <w:pPr>
        <w:pStyle w:val="Default"/>
      </w:pPr>
      <w:r>
        <w:rPr>
          <w:i/>
        </w:rPr>
        <w:t xml:space="preserve">U.S. Department of Agriculture (USDA) </w:t>
      </w:r>
      <w:r w:rsidRPr="004F142B">
        <w:rPr>
          <w:i/>
        </w:rPr>
        <w:t>Rural Development</w:t>
      </w:r>
      <w:r>
        <w:rPr>
          <w:i/>
        </w:rPr>
        <w:t xml:space="preserve"> Housing Program</w:t>
      </w:r>
      <w:r>
        <w:t xml:space="preserve">s – </w:t>
      </w:r>
      <w:r w:rsidRPr="00607EC9">
        <w:t>The R</w:t>
      </w:r>
      <w:r>
        <w:t xml:space="preserve">ural </w:t>
      </w:r>
      <w:r w:rsidRPr="00607EC9">
        <w:t>D</w:t>
      </w:r>
      <w:r>
        <w:t>evelopment</w:t>
      </w:r>
      <w:r w:rsidRPr="00607EC9">
        <w:t xml:space="preserve"> program </w:t>
      </w:r>
      <w:r>
        <w:t>provides</w:t>
      </w:r>
      <w:r w:rsidRPr="00607EC9">
        <w:t xml:space="preserve"> </w:t>
      </w:r>
      <w:r>
        <w:t xml:space="preserve">low interest, fixed-rate homeownership loans to and provides </w:t>
      </w:r>
      <w:r w:rsidRPr="00607EC9">
        <w:t xml:space="preserve">families and individuals the opportunity to buy, build, or own safe and affordable homes located in rural </w:t>
      </w:r>
      <w:r w:rsidRPr="007C1935">
        <w:t>Ame</w:t>
      </w:r>
      <w:r>
        <w:t xml:space="preserve">rica.  </w:t>
      </w:r>
      <w:r w:rsidRPr="007C1935">
        <w:t>Eligibility for these loans, loan guarantees, and grants is based on income and varies according to the avera</w:t>
      </w:r>
      <w:r>
        <w:t>ge median income for each area.  During the evaluation period, HOME</w:t>
      </w:r>
      <w:r w:rsidRPr="007C1935">
        <w:t xml:space="preserve"> originated 79 loans</w:t>
      </w:r>
      <w:r w:rsidR="00303A83">
        <w:t xml:space="preserve"> under this program</w:t>
      </w:r>
      <w:r w:rsidRPr="007C1935">
        <w:t xml:space="preserve"> for $16.7 million.</w:t>
      </w:r>
    </w:p>
    <w:p w14:paraId="7AABD4F5" w14:textId="77777777" w:rsidR="0070172B" w:rsidRPr="008B3167" w:rsidRDefault="0070172B" w:rsidP="0070172B">
      <w:pPr>
        <w:pStyle w:val="Default"/>
      </w:pPr>
    </w:p>
    <w:p w14:paraId="2D15AA0D" w14:textId="25D2AC3D" w:rsidR="0070172B" w:rsidRPr="00607EC9" w:rsidRDefault="0070172B" w:rsidP="0070172B">
      <w:pPr>
        <w:pStyle w:val="Default"/>
      </w:pPr>
      <w:r>
        <w:rPr>
          <w:rFonts w:eastAsia="Times New Roman"/>
          <w:bCs/>
          <w:i/>
        </w:rPr>
        <w:t xml:space="preserve">The </w:t>
      </w:r>
      <w:r w:rsidRPr="004F142B">
        <w:rPr>
          <w:rFonts w:eastAsia="Times New Roman"/>
          <w:bCs/>
          <w:i/>
        </w:rPr>
        <w:t>Equity Builder</w:t>
      </w:r>
      <w:r>
        <w:rPr>
          <w:rFonts w:eastAsia="Times New Roman"/>
          <w:bCs/>
          <w:i/>
        </w:rPr>
        <w:t xml:space="preserve"> Program (EBP)</w:t>
      </w:r>
      <w:r>
        <w:rPr>
          <w:rFonts w:eastAsia="Times New Roman"/>
          <w:b/>
          <w:bCs/>
          <w:i/>
        </w:rPr>
        <w:t xml:space="preserve"> –</w:t>
      </w:r>
      <w:r>
        <w:t xml:space="preserve"> EBP, offered</w:t>
      </w:r>
      <w:r w:rsidRPr="00966957">
        <w:t xml:space="preserve"> </w:t>
      </w:r>
      <w:r>
        <w:t>through</w:t>
      </w:r>
      <w:r w:rsidRPr="00607EC9">
        <w:t xml:space="preserve"> the Federal Home Loan Bank of Boston (FHLBB)</w:t>
      </w:r>
      <w:r>
        <w:t>, provides</w:t>
      </w:r>
      <w:r w:rsidRPr="00607EC9">
        <w:t xml:space="preserve"> flexible terms, conditions, and underwriting guidelines to help serve the credit needs of low- and moderate-income homebuyers.  The FHLB</w:t>
      </w:r>
      <w:r w:rsidR="00FE6A83">
        <w:t>B</w:t>
      </w:r>
      <w:r w:rsidRPr="00607EC9">
        <w:t xml:space="preserve"> offers its member banks </w:t>
      </w:r>
      <w:r w:rsidRPr="007C1935">
        <w:t xml:space="preserve">grants to provide households </w:t>
      </w:r>
      <w:r>
        <w:t>up to</w:t>
      </w:r>
      <w:r w:rsidRPr="007C1935">
        <w:t xml:space="preserve"> 80 percent of </w:t>
      </w:r>
      <w:r>
        <w:t xml:space="preserve">the </w:t>
      </w:r>
      <w:r w:rsidRPr="007C1935">
        <w:t>area median income with assistance in areas such as down payment, closing costs, and homebuyer</w:t>
      </w:r>
      <w:r>
        <w:t xml:space="preserve"> education and</w:t>
      </w:r>
      <w:r w:rsidRPr="007C1935">
        <w:t xml:space="preserve"> counseling.  </w:t>
      </w:r>
      <w:r>
        <w:t>During the evaluation period, HOB</w:t>
      </w:r>
      <w:r w:rsidRPr="007C1935">
        <w:t xml:space="preserve"> awarded $7,500 in down payment assistance to one borrower</w:t>
      </w:r>
      <w:r w:rsidR="00303A83">
        <w:t xml:space="preserve"> through the EBP</w:t>
      </w:r>
      <w:r w:rsidRPr="007C1935">
        <w:t>.</w:t>
      </w:r>
    </w:p>
    <w:p w14:paraId="33296FB1" w14:textId="77777777" w:rsidR="0070172B" w:rsidRPr="008B3167" w:rsidRDefault="0070172B" w:rsidP="0070172B">
      <w:pPr>
        <w:spacing w:after="0" w:line="240" w:lineRule="auto"/>
        <w:rPr>
          <w:rFonts w:ascii="Times New Roman" w:eastAsia="Times New Roman" w:hAnsi="Times New Roman" w:cs="Times New Roman"/>
          <w:bCs/>
          <w:sz w:val="24"/>
          <w:szCs w:val="24"/>
        </w:rPr>
      </w:pPr>
    </w:p>
    <w:p w14:paraId="57AEB144" w14:textId="77777777" w:rsidR="0070172B" w:rsidRPr="008B3167" w:rsidRDefault="0070172B" w:rsidP="0070172B">
      <w:pPr>
        <w:spacing w:after="0" w:line="240" w:lineRule="auto"/>
        <w:rPr>
          <w:rFonts w:ascii="Times New Roman" w:eastAsia="Times New Roman" w:hAnsi="Times New Roman" w:cs="Times New Roman"/>
          <w:b/>
          <w:bCs/>
          <w:i/>
          <w:sz w:val="24"/>
          <w:szCs w:val="24"/>
        </w:rPr>
      </w:pPr>
      <w:r w:rsidRPr="008B3167">
        <w:rPr>
          <w:rFonts w:ascii="Times New Roman" w:eastAsia="Times New Roman" w:hAnsi="Times New Roman" w:cs="Times New Roman"/>
          <w:b/>
          <w:bCs/>
          <w:i/>
          <w:sz w:val="24"/>
          <w:szCs w:val="24"/>
        </w:rPr>
        <w:t>Small Business Programs</w:t>
      </w:r>
    </w:p>
    <w:p w14:paraId="63D360FB" w14:textId="77777777" w:rsidR="0070172B" w:rsidRPr="008B3167" w:rsidRDefault="0070172B" w:rsidP="0070172B">
      <w:pPr>
        <w:spacing w:after="0" w:line="240" w:lineRule="auto"/>
        <w:rPr>
          <w:rFonts w:ascii="Times New Roman" w:eastAsia="Times New Roman" w:hAnsi="Times New Roman" w:cs="Times New Roman"/>
          <w:bCs/>
          <w:sz w:val="24"/>
          <w:szCs w:val="24"/>
        </w:rPr>
      </w:pPr>
    </w:p>
    <w:p w14:paraId="2BB94B9E" w14:textId="238618C5" w:rsidR="00C965D2" w:rsidRDefault="00C965D2" w:rsidP="0070172B">
      <w:pPr>
        <w:spacing w:after="0" w:line="240" w:lineRule="auto"/>
        <w:rPr>
          <w:rFonts w:ascii="Times New Roman" w:hAnsi="Times New Roman" w:cs="Times New Roman"/>
          <w:bCs/>
          <w:sz w:val="24"/>
          <w:szCs w:val="24"/>
        </w:rPr>
      </w:pPr>
      <w:r w:rsidRPr="007E5E24">
        <w:rPr>
          <w:rFonts w:ascii="Times New Roman" w:eastAsia="Times New Roman" w:hAnsi="Times New Roman" w:cs="Times New Roman"/>
          <w:bCs/>
          <w:i/>
          <w:sz w:val="24"/>
          <w:szCs w:val="24"/>
        </w:rPr>
        <w:t>Success for Small Business (SSB)</w:t>
      </w:r>
      <w:r w:rsidRPr="00B00F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B00F10">
        <w:rPr>
          <w:rFonts w:ascii="Times New Roman" w:eastAsia="Times New Roman" w:hAnsi="Times New Roman" w:cs="Times New Roman"/>
          <w:bCs/>
          <w:sz w:val="24"/>
          <w:szCs w:val="24"/>
        </w:rPr>
        <w:t xml:space="preserve"> </w:t>
      </w:r>
      <w:r>
        <w:rPr>
          <w:rFonts w:ascii="Times New Roman" w:hAnsi="Times New Roman" w:cs="Times New Roman"/>
          <w:color w:val="000000"/>
          <w:sz w:val="24"/>
          <w:szCs w:val="24"/>
        </w:rPr>
        <w:t>HarborOne created the SSB</w:t>
      </w:r>
      <w:r w:rsidRPr="00B00F10">
        <w:rPr>
          <w:rFonts w:ascii="Times New Roman" w:hAnsi="Times New Roman" w:cs="Times New Roman"/>
          <w:color w:val="000000"/>
          <w:sz w:val="24"/>
          <w:szCs w:val="24"/>
        </w:rPr>
        <w:t xml:space="preserve"> program </w:t>
      </w:r>
      <w:r w:rsidRPr="00B00F10">
        <w:rPr>
          <w:rFonts w:ascii="Times New Roman" w:hAnsi="Times New Roman" w:cs="Times New Roman"/>
          <w:bCs/>
          <w:iCs/>
          <w:color w:val="000000"/>
          <w:sz w:val="24"/>
          <w:szCs w:val="24"/>
        </w:rPr>
        <w:t>to</w:t>
      </w:r>
      <w:r w:rsidRPr="00B00F10">
        <w:rPr>
          <w:rFonts w:ascii="Times New Roman" w:hAnsi="Times New Roman" w:cs="Times New Roman"/>
          <w:b/>
          <w:bCs/>
          <w:i/>
          <w:iCs/>
          <w:color w:val="000000"/>
          <w:sz w:val="24"/>
          <w:szCs w:val="24"/>
        </w:rPr>
        <w:t xml:space="preserve"> </w:t>
      </w:r>
      <w:r w:rsidRPr="00B00F10">
        <w:rPr>
          <w:rFonts w:ascii="Times New Roman" w:hAnsi="Times New Roman" w:cs="Times New Roman"/>
          <w:color w:val="000000"/>
          <w:sz w:val="24"/>
          <w:szCs w:val="24"/>
        </w:rPr>
        <w:t>be an informative source of business skill highlights, while also providing a flexible and innovative credit product to serve as seed funding for a st</w:t>
      </w:r>
      <w:r>
        <w:rPr>
          <w:rFonts w:ascii="Times New Roman" w:hAnsi="Times New Roman" w:cs="Times New Roman"/>
          <w:color w:val="000000"/>
          <w:sz w:val="24"/>
          <w:szCs w:val="24"/>
        </w:rPr>
        <w:t>art-up or a business less than two</w:t>
      </w:r>
      <w:r w:rsidRPr="00B00F10">
        <w:rPr>
          <w:rFonts w:ascii="Times New Roman" w:hAnsi="Times New Roman" w:cs="Times New Roman"/>
          <w:color w:val="000000"/>
          <w:sz w:val="24"/>
          <w:szCs w:val="24"/>
        </w:rPr>
        <w:t xml:space="preserve"> years old that may otherwise hav</w:t>
      </w:r>
      <w:r>
        <w:rPr>
          <w:rFonts w:ascii="Times New Roman" w:hAnsi="Times New Roman" w:cs="Times New Roman"/>
          <w:color w:val="000000"/>
          <w:sz w:val="24"/>
          <w:szCs w:val="24"/>
        </w:rPr>
        <w:t xml:space="preserve">e difficulty obtaining capital.  </w:t>
      </w:r>
      <w:r w:rsidRPr="00B00F10">
        <w:rPr>
          <w:rFonts w:ascii="Times New Roman" w:hAnsi="Times New Roman" w:cs="Times New Roman"/>
          <w:color w:val="000000"/>
          <w:sz w:val="24"/>
          <w:szCs w:val="24"/>
        </w:rPr>
        <w:t xml:space="preserve">Upon completing the </w:t>
      </w:r>
      <w:r w:rsidRPr="00B00F10">
        <w:rPr>
          <w:rFonts w:ascii="Times New Roman" w:hAnsi="Times New Roman" w:cs="Times New Roman"/>
          <w:bCs/>
          <w:color w:val="000000"/>
          <w:sz w:val="24"/>
          <w:szCs w:val="24"/>
        </w:rPr>
        <w:t xml:space="preserve">SSB </w:t>
      </w:r>
      <w:r w:rsidRPr="00B00F10">
        <w:rPr>
          <w:rFonts w:ascii="Times New Roman" w:hAnsi="Times New Roman" w:cs="Times New Roman"/>
          <w:color w:val="000000"/>
          <w:sz w:val="24"/>
          <w:szCs w:val="24"/>
        </w:rPr>
        <w:t>curriculum at HarborOne U, a small business owner or entrepreneur looking to start a new business can obtain seed funding through a $5,000 line of credit with flexible underwriting</w:t>
      </w:r>
      <w:r>
        <w:rPr>
          <w:rFonts w:ascii="Times New Roman" w:hAnsi="Times New Roman" w:cs="Times New Roman"/>
          <w:color w:val="000000"/>
          <w:sz w:val="24"/>
          <w:szCs w:val="24"/>
        </w:rPr>
        <w:t xml:space="preserve">, including </w:t>
      </w:r>
      <w:r w:rsidRPr="00B00F10">
        <w:rPr>
          <w:rFonts w:ascii="Times New Roman" w:hAnsi="Times New Roman" w:cs="Times New Roman"/>
          <w:color w:val="000000"/>
          <w:sz w:val="24"/>
          <w:szCs w:val="24"/>
        </w:rPr>
        <w:t>persona</w:t>
      </w:r>
      <w:r>
        <w:rPr>
          <w:rFonts w:ascii="Times New Roman" w:hAnsi="Times New Roman" w:cs="Times New Roman"/>
          <w:color w:val="000000"/>
          <w:sz w:val="24"/>
          <w:szCs w:val="24"/>
        </w:rPr>
        <w:t>l credit scores as low as 600</w:t>
      </w:r>
      <w:r w:rsidRPr="00B00F10">
        <w:rPr>
          <w:rFonts w:ascii="Times New Roman" w:hAnsi="Times New Roman" w:cs="Times New Roman"/>
          <w:color w:val="000000"/>
          <w:sz w:val="24"/>
          <w:szCs w:val="24"/>
        </w:rPr>
        <w:t xml:space="preserve">.  After a year of successfully handling the credit line, the loan may be increased to $10,000.  The bank originated 28 </w:t>
      </w:r>
      <w:r w:rsidR="00303A83">
        <w:rPr>
          <w:rFonts w:ascii="Times New Roman" w:hAnsi="Times New Roman" w:cs="Times New Roman"/>
          <w:color w:val="000000"/>
          <w:sz w:val="24"/>
          <w:szCs w:val="24"/>
        </w:rPr>
        <w:t xml:space="preserve">SSB </w:t>
      </w:r>
      <w:r w:rsidRPr="00B00F10">
        <w:rPr>
          <w:rFonts w:ascii="Times New Roman" w:hAnsi="Times New Roman" w:cs="Times New Roman"/>
          <w:color w:val="000000"/>
          <w:sz w:val="24"/>
          <w:szCs w:val="24"/>
        </w:rPr>
        <w:t>loans totaling $150,000</w:t>
      </w:r>
      <w:r w:rsidR="00303A83">
        <w:rPr>
          <w:rFonts w:ascii="Times New Roman" w:hAnsi="Times New Roman" w:cs="Times New Roman"/>
          <w:color w:val="000000"/>
          <w:sz w:val="24"/>
          <w:szCs w:val="24"/>
        </w:rPr>
        <w:t xml:space="preserve"> during the evaluation period</w:t>
      </w:r>
      <w:r w:rsidRPr="00B00F10">
        <w:rPr>
          <w:rFonts w:ascii="Times New Roman" w:hAnsi="Times New Roman" w:cs="Times New Roman"/>
          <w:bCs/>
          <w:sz w:val="24"/>
          <w:szCs w:val="24"/>
        </w:rPr>
        <w:t>.</w:t>
      </w:r>
    </w:p>
    <w:p w14:paraId="6BEDEB13" w14:textId="77777777" w:rsidR="00C965D2" w:rsidRDefault="00C965D2" w:rsidP="0070172B">
      <w:pPr>
        <w:spacing w:after="0" w:line="240" w:lineRule="auto"/>
        <w:rPr>
          <w:rFonts w:ascii="Times New Roman" w:hAnsi="Times New Roman" w:cs="Times New Roman"/>
          <w:bCs/>
          <w:i/>
          <w:sz w:val="24"/>
          <w:szCs w:val="24"/>
        </w:rPr>
      </w:pPr>
    </w:p>
    <w:p w14:paraId="3F3C70E0" w14:textId="6CDED26D" w:rsidR="0070172B" w:rsidRDefault="0070172B" w:rsidP="0070172B">
      <w:pPr>
        <w:spacing w:after="0" w:line="240" w:lineRule="auto"/>
        <w:rPr>
          <w:rFonts w:ascii="Times New Roman" w:hAnsi="Times New Roman" w:cs="Times New Roman"/>
          <w:bCs/>
          <w:sz w:val="24"/>
          <w:szCs w:val="24"/>
        </w:rPr>
      </w:pPr>
      <w:r w:rsidRPr="00DD26C5">
        <w:rPr>
          <w:rFonts w:ascii="Times New Roman" w:hAnsi="Times New Roman" w:cs="Times New Roman"/>
          <w:bCs/>
          <w:i/>
          <w:sz w:val="24"/>
          <w:szCs w:val="24"/>
        </w:rPr>
        <w:t>S</w:t>
      </w:r>
      <w:r w:rsidR="005E082A">
        <w:rPr>
          <w:rFonts w:ascii="Times New Roman" w:hAnsi="Times New Roman" w:cs="Times New Roman"/>
          <w:bCs/>
          <w:i/>
          <w:sz w:val="24"/>
          <w:szCs w:val="24"/>
        </w:rPr>
        <w:t xml:space="preserve">mall </w:t>
      </w:r>
      <w:r w:rsidRPr="00DD26C5">
        <w:rPr>
          <w:rFonts w:ascii="Times New Roman" w:hAnsi="Times New Roman" w:cs="Times New Roman"/>
          <w:bCs/>
          <w:i/>
          <w:sz w:val="24"/>
          <w:szCs w:val="24"/>
        </w:rPr>
        <w:t>B</w:t>
      </w:r>
      <w:r w:rsidR="005E082A">
        <w:rPr>
          <w:rFonts w:ascii="Times New Roman" w:hAnsi="Times New Roman" w:cs="Times New Roman"/>
          <w:bCs/>
          <w:i/>
          <w:sz w:val="24"/>
          <w:szCs w:val="24"/>
        </w:rPr>
        <w:t xml:space="preserve">usiness </w:t>
      </w:r>
      <w:r w:rsidRPr="00DD26C5">
        <w:rPr>
          <w:rFonts w:ascii="Times New Roman" w:hAnsi="Times New Roman" w:cs="Times New Roman"/>
          <w:bCs/>
          <w:i/>
          <w:sz w:val="24"/>
          <w:szCs w:val="24"/>
        </w:rPr>
        <w:t>A</w:t>
      </w:r>
      <w:r w:rsidR="005E082A">
        <w:rPr>
          <w:rFonts w:ascii="Times New Roman" w:hAnsi="Times New Roman" w:cs="Times New Roman"/>
          <w:bCs/>
          <w:i/>
          <w:sz w:val="24"/>
          <w:szCs w:val="24"/>
        </w:rPr>
        <w:t>dministration (SBA)</w:t>
      </w:r>
      <w:r w:rsidRPr="00DD26C5">
        <w:rPr>
          <w:rFonts w:ascii="Times New Roman" w:hAnsi="Times New Roman" w:cs="Times New Roman"/>
          <w:bCs/>
          <w:i/>
          <w:sz w:val="24"/>
          <w:szCs w:val="24"/>
        </w:rPr>
        <w:t xml:space="preserve"> P</w:t>
      </w:r>
      <w:r w:rsidR="005E082A">
        <w:rPr>
          <w:rFonts w:ascii="Times New Roman" w:hAnsi="Times New Roman" w:cs="Times New Roman"/>
          <w:bCs/>
          <w:i/>
          <w:sz w:val="24"/>
          <w:szCs w:val="24"/>
        </w:rPr>
        <w:t xml:space="preserve">ayroll </w:t>
      </w:r>
      <w:r w:rsidRPr="00DD26C5">
        <w:rPr>
          <w:rFonts w:ascii="Times New Roman" w:hAnsi="Times New Roman" w:cs="Times New Roman"/>
          <w:bCs/>
          <w:i/>
          <w:sz w:val="24"/>
          <w:szCs w:val="24"/>
        </w:rPr>
        <w:t>P</w:t>
      </w:r>
      <w:r w:rsidR="005E082A">
        <w:rPr>
          <w:rFonts w:ascii="Times New Roman" w:hAnsi="Times New Roman" w:cs="Times New Roman"/>
          <w:bCs/>
          <w:i/>
          <w:sz w:val="24"/>
          <w:szCs w:val="24"/>
        </w:rPr>
        <w:t xml:space="preserve">rotection </w:t>
      </w:r>
      <w:r w:rsidRPr="00DD26C5">
        <w:rPr>
          <w:rFonts w:ascii="Times New Roman" w:hAnsi="Times New Roman" w:cs="Times New Roman"/>
          <w:bCs/>
          <w:i/>
          <w:sz w:val="24"/>
          <w:szCs w:val="24"/>
        </w:rPr>
        <w:t>P</w:t>
      </w:r>
      <w:r w:rsidR="005E082A">
        <w:rPr>
          <w:rFonts w:ascii="Times New Roman" w:hAnsi="Times New Roman" w:cs="Times New Roman"/>
          <w:bCs/>
          <w:i/>
          <w:sz w:val="24"/>
          <w:szCs w:val="24"/>
        </w:rPr>
        <w:t>rogram (PPP)</w:t>
      </w:r>
      <w:r w:rsidRPr="00DD26C5">
        <w:rPr>
          <w:rFonts w:ascii="Times New Roman" w:hAnsi="Times New Roman" w:cs="Times New Roman"/>
          <w:bCs/>
          <w:i/>
          <w:sz w:val="24"/>
          <w:szCs w:val="24"/>
        </w:rPr>
        <w:t xml:space="preserve"> Loans</w:t>
      </w:r>
      <w:r w:rsidRPr="00B00F10">
        <w:rPr>
          <w:rFonts w:ascii="Times New Roman" w:hAnsi="Times New Roman" w:cs="Times New Roman"/>
          <w:bCs/>
          <w:sz w:val="24"/>
          <w:szCs w:val="24"/>
        </w:rPr>
        <w:t xml:space="preserve"> – PPP loans are SBA insured loans designed to support the basic operating needs of small businesses, including rent, utilities, and payroll</w:t>
      </w:r>
      <w:r w:rsidR="00303A83">
        <w:rPr>
          <w:rFonts w:ascii="Times New Roman" w:hAnsi="Times New Roman" w:cs="Times New Roman"/>
          <w:bCs/>
          <w:sz w:val="24"/>
          <w:szCs w:val="24"/>
        </w:rPr>
        <w:t>,</w:t>
      </w:r>
      <w:r w:rsidRPr="00B00F10">
        <w:rPr>
          <w:rFonts w:ascii="Times New Roman" w:hAnsi="Times New Roman" w:cs="Times New Roman"/>
          <w:bCs/>
          <w:sz w:val="24"/>
          <w:szCs w:val="24"/>
        </w:rPr>
        <w:t xml:space="preserve"> during the COVID-19 pandemic.  The SBA will forgive the PPP loans if recipients meet all employee retention criteria and use the funds according to SBA guidelines.  PPP loans offer below market interest rates, six-month payment deferrals, no origination fees, and no </w:t>
      </w:r>
      <w:r w:rsidRPr="00B00F10">
        <w:rPr>
          <w:rFonts w:ascii="Times New Roman" w:hAnsi="Times New Roman" w:cs="Times New Roman"/>
          <w:bCs/>
          <w:sz w:val="24"/>
          <w:szCs w:val="24"/>
        </w:rPr>
        <w:lastRenderedPageBreak/>
        <w:t>collateral requirements.  During the evaluation period, the bank originated 1</w:t>
      </w:r>
      <w:r w:rsidR="00FE3424">
        <w:rPr>
          <w:rFonts w:ascii="Times New Roman" w:hAnsi="Times New Roman" w:cs="Times New Roman"/>
          <w:bCs/>
          <w:sz w:val="24"/>
          <w:szCs w:val="24"/>
        </w:rPr>
        <w:t>,</w:t>
      </w:r>
      <w:r w:rsidRPr="00B00F10">
        <w:rPr>
          <w:rFonts w:ascii="Times New Roman" w:hAnsi="Times New Roman" w:cs="Times New Roman"/>
          <w:bCs/>
          <w:sz w:val="24"/>
          <w:szCs w:val="24"/>
        </w:rPr>
        <w:t>047 PPP loans totaling $153.0 million.</w:t>
      </w:r>
    </w:p>
    <w:p w14:paraId="0CC3063D" w14:textId="77777777" w:rsidR="0070172B" w:rsidRDefault="0070172B" w:rsidP="0070172B">
      <w:pPr>
        <w:spacing w:after="0" w:line="240" w:lineRule="auto"/>
        <w:rPr>
          <w:rFonts w:ascii="Times New Roman" w:hAnsi="Times New Roman" w:cs="Times New Roman"/>
          <w:bCs/>
          <w:sz w:val="24"/>
          <w:szCs w:val="24"/>
        </w:rPr>
      </w:pPr>
    </w:p>
    <w:p w14:paraId="6A1D02E6" w14:textId="6A710C3D" w:rsidR="0070172B" w:rsidRPr="00C965D2" w:rsidRDefault="0070172B" w:rsidP="0070172B">
      <w:pPr>
        <w:spacing w:after="0" w:line="240" w:lineRule="auto"/>
        <w:rPr>
          <w:rFonts w:ascii="Times New Roman" w:eastAsia="Times New Roman" w:hAnsi="Times New Roman" w:cs="Times New Roman"/>
          <w:bCs/>
          <w:sz w:val="24"/>
          <w:szCs w:val="24"/>
        </w:rPr>
      </w:pPr>
      <w:r w:rsidRPr="00DD26C5">
        <w:rPr>
          <w:rFonts w:ascii="Times New Roman" w:eastAsia="Times New Roman" w:hAnsi="Times New Roman" w:cs="Times New Roman"/>
          <w:bCs/>
          <w:i/>
          <w:sz w:val="24"/>
          <w:szCs w:val="24"/>
        </w:rPr>
        <w:t>SBA Loans</w:t>
      </w:r>
      <w:r w:rsidRPr="00B00F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B00F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HOB</w:t>
      </w:r>
      <w:r w:rsidRPr="00B00F10">
        <w:rPr>
          <w:rFonts w:ascii="Times New Roman" w:hAnsi="Times New Roman" w:cs="Times New Roman"/>
          <w:bCs/>
          <w:sz w:val="24"/>
          <w:szCs w:val="24"/>
        </w:rPr>
        <w:t xml:space="preserve"> is an approved SBA lender and offers 504 and 7(a) program loans.  These programs offer financing to qualified small business</w:t>
      </w:r>
      <w:r w:rsidR="0032012E">
        <w:rPr>
          <w:rFonts w:ascii="Times New Roman" w:hAnsi="Times New Roman" w:cs="Times New Roman"/>
          <w:bCs/>
          <w:sz w:val="24"/>
          <w:szCs w:val="24"/>
        </w:rPr>
        <w:t>es</w:t>
      </w:r>
      <w:r w:rsidRPr="00B00F10">
        <w:rPr>
          <w:rFonts w:ascii="Times New Roman" w:hAnsi="Times New Roman" w:cs="Times New Roman"/>
          <w:bCs/>
          <w:sz w:val="24"/>
          <w:szCs w:val="24"/>
        </w:rPr>
        <w:t xml:space="preserve"> that may not be eligible for traditional bank financing.  </w:t>
      </w:r>
      <w:r w:rsidRPr="00B00F10">
        <w:rPr>
          <w:rFonts w:ascii="Times New Roman" w:hAnsi="Times New Roman" w:cs="Times New Roman"/>
          <w:color w:val="000000"/>
          <w:sz w:val="24"/>
          <w:szCs w:val="24"/>
        </w:rPr>
        <w:t>In 2018 and 2020, the SBA named HarborOne Bank the “Rhode Island 7(a) &amp; 504 Combined Lender of the Year</w:t>
      </w:r>
      <w:r w:rsidR="0032012E">
        <w:rPr>
          <w:rFonts w:ascii="Times New Roman" w:hAnsi="Times New Roman" w:cs="Times New Roman"/>
          <w:color w:val="000000"/>
          <w:sz w:val="24"/>
          <w:szCs w:val="24"/>
        </w:rPr>
        <w:t>.</w:t>
      </w:r>
      <w:r w:rsidRPr="00B00F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During the evaluation</w:t>
      </w:r>
      <w:r w:rsidR="0032012E">
        <w:rPr>
          <w:rFonts w:ascii="Times New Roman" w:hAnsi="Times New Roman" w:cs="Times New Roman"/>
          <w:color w:val="000000"/>
          <w:sz w:val="24"/>
          <w:szCs w:val="24"/>
        </w:rPr>
        <w:t xml:space="preserve"> period</w:t>
      </w:r>
      <w:r>
        <w:rPr>
          <w:rFonts w:ascii="Times New Roman" w:hAnsi="Times New Roman" w:cs="Times New Roman"/>
          <w:color w:val="000000"/>
          <w:sz w:val="24"/>
          <w:szCs w:val="24"/>
        </w:rPr>
        <w:t>, t</w:t>
      </w:r>
      <w:r w:rsidRPr="00B00F10">
        <w:rPr>
          <w:rFonts w:ascii="Times New Roman" w:hAnsi="Times New Roman" w:cs="Times New Roman"/>
          <w:color w:val="000000"/>
          <w:sz w:val="24"/>
          <w:szCs w:val="24"/>
        </w:rPr>
        <w:t xml:space="preserve">he bank originated 1,241 </w:t>
      </w:r>
      <w:r w:rsidR="0032012E">
        <w:rPr>
          <w:rFonts w:ascii="Times New Roman" w:hAnsi="Times New Roman" w:cs="Times New Roman"/>
          <w:color w:val="000000"/>
          <w:sz w:val="24"/>
          <w:szCs w:val="24"/>
        </w:rPr>
        <w:t xml:space="preserve">SBA </w:t>
      </w:r>
      <w:r w:rsidRPr="00B00F10">
        <w:rPr>
          <w:rFonts w:ascii="Times New Roman" w:hAnsi="Times New Roman" w:cs="Times New Roman"/>
          <w:color w:val="000000"/>
          <w:sz w:val="24"/>
          <w:szCs w:val="24"/>
        </w:rPr>
        <w:t>loans totaling $243.9 million.</w:t>
      </w:r>
    </w:p>
    <w:p w14:paraId="76051847" w14:textId="23A7B435" w:rsidR="0070172B" w:rsidRDefault="0070172B" w:rsidP="0070172B">
      <w:pPr>
        <w:spacing w:after="0" w:line="240" w:lineRule="auto"/>
        <w:rPr>
          <w:rFonts w:ascii="Times New Roman" w:hAnsi="Times New Roman" w:cs="Times New Roman"/>
          <w:bCs/>
          <w:sz w:val="24"/>
          <w:szCs w:val="24"/>
        </w:rPr>
      </w:pPr>
    </w:p>
    <w:p w14:paraId="73B91FF4" w14:textId="7EBD4DAC" w:rsidR="00C965D2" w:rsidRPr="00C965D2" w:rsidRDefault="00C965D2" w:rsidP="0070172B">
      <w:pPr>
        <w:spacing w:after="0" w:line="240" w:lineRule="auto"/>
        <w:rPr>
          <w:rFonts w:ascii="Times New Roman" w:hAnsi="Times New Roman" w:cs="Times New Roman"/>
          <w:bCs/>
          <w:sz w:val="28"/>
          <w:szCs w:val="24"/>
        </w:rPr>
      </w:pPr>
      <w:r>
        <w:rPr>
          <w:rFonts w:ascii="Times New Roman" w:hAnsi="Times New Roman" w:cs="Times New Roman"/>
          <w:bCs/>
          <w:i/>
          <w:sz w:val="24"/>
          <w:szCs w:val="24"/>
        </w:rPr>
        <w:t xml:space="preserve">Small Business Banking Partnership (MA Treasury) </w:t>
      </w:r>
      <w:r>
        <w:rPr>
          <w:rFonts w:ascii="Times New Roman" w:hAnsi="Times New Roman" w:cs="Times New Roman"/>
          <w:bCs/>
          <w:sz w:val="24"/>
          <w:szCs w:val="24"/>
        </w:rPr>
        <w:t>– HOB partnered with the Massachusetts Office of State Treasurer and Receiver General (MA Treasury)</w:t>
      </w:r>
      <w:r w:rsidR="0067682D">
        <w:rPr>
          <w:rFonts w:ascii="Times New Roman" w:hAnsi="Times New Roman" w:cs="Times New Roman"/>
          <w:bCs/>
          <w:sz w:val="24"/>
          <w:szCs w:val="24"/>
        </w:rPr>
        <w:t>.  T</w:t>
      </w:r>
      <w:r>
        <w:rPr>
          <w:rFonts w:ascii="Times New Roman" w:hAnsi="Times New Roman" w:cs="Times New Roman"/>
          <w:bCs/>
          <w:sz w:val="24"/>
          <w:szCs w:val="24"/>
        </w:rPr>
        <w:t>his program promot</w:t>
      </w:r>
      <w:r w:rsidR="0067682D">
        <w:rPr>
          <w:rFonts w:ascii="Times New Roman" w:hAnsi="Times New Roman" w:cs="Times New Roman"/>
          <w:bCs/>
          <w:sz w:val="24"/>
          <w:szCs w:val="24"/>
        </w:rPr>
        <w:t>es</w:t>
      </w:r>
      <w:r>
        <w:rPr>
          <w:rFonts w:ascii="Times New Roman" w:hAnsi="Times New Roman" w:cs="Times New Roman"/>
          <w:bCs/>
          <w:sz w:val="24"/>
          <w:szCs w:val="24"/>
        </w:rPr>
        <w:t xml:space="preserve"> small business loans</w:t>
      </w:r>
      <w:r w:rsidR="0067682D">
        <w:rPr>
          <w:rFonts w:ascii="Times New Roman" w:hAnsi="Times New Roman" w:cs="Times New Roman"/>
          <w:sz w:val="24"/>
          <w:szCs w:val="23"/>
        </w:rPr>
        <w:t xml:space="preserve"> </w:t>
      </w:r>
      <w:r w:rsidR="0067682D">
        <w:rPr>
          <w:rFonts w:ascii="Times New Roman" w:hAnsi="Times New Roman" w:cs="Times New Roman"/>
          <w:bCs/>
          <w:sz w:val="24"/>
          <w:szCs w:val="24"/>
        </w:rPr>
        <w:t>and</w:t>
      </w:r>
      <w:r w:rsidRPr="00C965D2">
        <w:rPr>
          <w:rFonts w:ascii="Times New Roman" w:hAnsi="Times New Roman" w:cs="Times New Roman"/>
          <w:sz w:val="24"/>
          <w:szCs w:val="23"/>
        </w:rPr>
        <w:t xml:space="preserve"> aims to move </w:t>
      </w:r>
      <w:r>
        <w:rPr>
          <w:rFonts w:ascii="Times New Roman" w:hAnsi="Times New Roman" w:cs="Times New Roman"/>
          <w:sz w:val="24"/>
          <w:szCs w:val="23"/>
        </w:rPr>
        <w:t>state deposits</w:t>
      </w:r>
      <w:r w:rsidRPr="00C965D2">
        <w:rPr>
          <w:rFonts w:ascii="Times New Roman" w:hAnsi="Times New Roman" w:cs="Times New Roman"/>
          <w:sz w:val="24"/>
          <w:szCs w:val="23"/>
        </w:rPr>
        <w:t xml:space="preserve"> into community banks that have been at the forefront of providing capital to creditworthy small businesses to help them expand and create new jobs.</w:t>
      </w:r>
      <w:r>
        <w:rPr>
          <w:rFonts w:ascii="Times New Roman" w:hAnsi="Times New Roman" w:cs="Times New Roman"/>
          <w:sz w:val="24"/>
          <w:szCs w:val="23"/>
        </w:rPr>
        <w:t xml:space="preserve">  </w:t>
      </w:r>
      <w:r w:rsidR="0032012E">
        <w:rPr>
          <w:rFonts w:ascii="Times New Roman" w:hAnsi="Times New Roman" w:cs="Times New Roman"/>
          <w:sz w:val="24"/>
          <w:szCs w:val="23"/>
        </w:rPr>
        <w:t xml:space="preserve">During the evaluation period, </w:t>
      </w:r>
      <w:r>
        <w:rPr>
          <w:rFonts w:ascii="Times New Roman" w:hAnsi="Times New Roman" w:cs="Times New Roman"/>
          <w:sz w:val="24"/>
          <w:szCs w:val="23"/>
        </w:rPr>
        <w:t>HOB made 82 qualified small business loans under this partnership totaling $17.6 million.</w:t>
      </w:r>
    </w:p>
    <w:p w14:paraId="794ABEE1" w14:textId="77777777" w:rsidR="00C965D2" w:rsidRPr="002419C1" w:rsidRDefault="00C965D2" w:rsidP="0070172B">
      <w:pPr>
        <w:spacing w:after="0" w:line="240" w:lineRule="auto"/>
        <w:rPr>
          <w:rFonts w:ascii="Times New Roman" w:hAnsi="Times New Roman" w:cs="Times New Roman"/>
          <w:bCs/>
          <w:sz w:val="24"/>
          <w:szCs w:val="24"/>
        </w:rPr>
      </w:pPr>
    </w:p>
    <w:p w14:paraId="3C815D1F" w14:textId="77777777" w:rsidR="0070172B" w:rsidRPr="00DF223E" w:rsidRDefault="0070172B" w:rsidP="0070172B">
      <w:pPr>
        <w:spacing w:after="0" w:line="240" w:lineRule="auto"/>
        <w:rPr>
          <w:rFonts w:ascii="Times New Roman" w:eastAsia="Times New Roman" w:hAnsi="Times New Roman" w:cs="Times New Roman"/>
          <w:b/>
          <w:bCs/>
          <w:i/>
          <w:sz w:val="24"/>
          <w:szCs w:val="24"/>
        </w:rPr>
      </w:pPr>
      <w:r w:rsidRPr="00DF223E">
        <w:rPr>
          <w:rFonts w:ascii="Times New Roman" w:eastAsia="Times New Roman" w:hAnsi="Times New Roman" w:cs="Times New Roman"/>
          <w:b/>
          <w:bCs/>
          <w:i/>
          <w:sz w:val="24"/>
          <w:szCs w:val="24"/>
        </w:rPr>
        <w:t>Consumer Loan Programs</w:t>
      </w:r>
    </w:p>
    <w:p w14:paraId="49DE3585" w14:textId="77777777" w:rsidR="0070172B" w:rsidRPr="004A05C4" w:rsidRDefault="0070172B" w:rsidP="0070172B">
      <w:pPr>
        <w:spacing w:after="0" w:line="240" w:lineRule="auto"/>
        <w:rPr>
          <w:rFonts w:ascii="Times New Roman" w:eastAsia="Times New Roman" w:hAnsi="Times New Roman" w:cs="Times New Roman"/>
          <w:bCs/>
          <w:sz w:val="24"/>
          <w:szCs w:val="24"/>
        </w:rPr>
      </w:pPr>
    </w:p>
    <w:p w14:paraId="6CB7FF30" w14:textId="0C75E8A1" w:rsidR="0070172B" w:rsidRPr="00A17314" w:rsidRDefault="0070172B" w:rsidP="0070172B">
      <w:pPr>
        <w:spacing w:after="0" w:line="240" w:lineRule="auto"/>
        <w:rPr>
          <w:rFonts w:ascii="Times New Roman" w:hAnsi="Times New Roman" w:cs="Times New Roman"/>
          <w:sz w:val="24"/>
          <w:szCs w:val="24"/>
        </w:rPr>
      </w:pPr>
      <w:r w:rsidRPr="00C040D2">
        <w:rPr>
          <w:rFonts w:ascii="Times New Roman" w:eastAsia="Times New Roman" w:hAnsi="Times New Roman" w:cs="Times New Roman"/>
          <w:bCs/>
          <w:i/>
          <w:sz w:val="24"/>
          <w:szCs w:val="24"/>
        </w:rPr>
        <w:t>Money Smart Line of Credit</w:t>
      </w:r>
      <w:r w:rsidRPr="00EB25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HOB offers this product to individuals</w:t>
      </w:r>
      <w:r w:rsidRPr="00EB2567">
        <w:rPr>
          <w:rFonts w:ascii="Times New Roman" w:eastAsia="Times New Roman" w:hAnsi="Times New Roman" w:cs="Times New Roman"/>
          <w:bCs/>
          <w:sz w:val="24"/>
          <w:szCs w:val="24"/>
        </w:rPr>
        <w:t xml:space="preserve"> </w:t>
      </w:r>
      <w:r w:rsidR="0032012E">
        <w:rPr>
          <w:rFonts w:ascii="Times New Roman" w:hAnsi="Times New Roman" w:cs="Times New Roman"/>
          <w:sz w:val="24"/>
          <w:szCs w:val="24"/>
        </w:rPr>
        <w:t>who</w:t>
      </w:r>
      <w:r>
        <w:rPr>
          <w:rFonts w:ascii="Times New Roman" w:hAnsi="Times New Roman" w:cs="Times New Roman"/>
          <w:sz w:val="24"/>
          <w:szCs w:val="24"/>
        </w:rPr>
        <w:t xml:space="preserve"> complete</w:t>
      </w:r>
      <w:r w:rsidRPr="00EB2567">
        <w:rPr>
          <w:rFonts w:ascii="Times New Roman" w:hAnsi="Times New Roman" w:cs="Times New Roman"/>
          <w:sz w:val="24"/>
          <w:szCs w:val="24"/>
        </w:rPr>
        <w:t xml:space="preserve"> a multi-</w:t>
      </w:r>
      <w:r>
        <w:rPr>
          <w:rFonts w:ascii="Times New Roman" w:hAnsi="Times New Roman" w:cs="Times New Roman"/>
          <w:sz w:val="24"/>
          <w:szCs w:val="24"/>
        </w:rPr>
        <w:t>part financial education series</w:t>
      </w:r>
      <w:r w:rsidRPr="00AE1B8C">
        <w:rPr>
          <w:rFonts w:ascii="Times New Roman" w:hAnsi="Times New Roman" w:cs="Times New Roman"/>
          <w:sz w:val="24"/>
          <w:szCs w:val="24"/>
        </w:rPr>
        <w:t xml:space="preserve"> </w:t>
      </w:r>
      <w:r>
        <w:rPr>
          <w:rFonts w:ascii="Times New Roman" w:hAnsi="Times New Roman" w:cs="Times New Roman"/>
          <w:sz w:val="24"/>
          <w:szCs w:val="24"/>
        </w:rPr>
        <w:t xml:space="preserve">at HarborOne U, after which they </w:t>
      </w:r>
      <w:r w:rsidRPr="00EB2567">
        <w:rPr>
          <w:rFonts w:ascii="Times New Roman" w:hAnsi="Times New Roman" w:cs="Times New Roman"/>
          <w:sz w:val="24"/>
          <w:szCs w:val="24"/>
        </w:rPr>
        <w:t xml:space="preserve">may be approved for a $500 line of credit, even in cases of no or challenging credit history.  </w:t>
      </w:r>
      <w:r w:rsidR="0032012E">
        <w:rPr>
          <w:rFonts w:ascii="Times New Roman" w:hAnsi="Times New Roman" w:cs="Times New Roman"/>
          <w:sz w:val="24"/>
          <w:szCs w:val="24"/>
        </w:rPr>
        <w:t>One</w:t>
      </w:r>
      <w:r w:rsidRPr="00EB2567">
        <w:rPr>
          <w:rFonts w:ascii="Times New Roman" w:hAnsi="Times New Roman" w:cs="Times New Roman"/>
          <w:sz w:val="24"/>
          <w:szCs w:val="24"/>
        </w:rPr>
        <w:t xml:space="preserve"> year later, if the credit account has been handled responsibly, the line may be increased to $1,000.  The bank originated two new loans totaling $1,000 and granted increases to eight borrowers totaling $8,000</w:t>
      </w:r>
      <w:r w:rsidR="0032012E">
        <w:rPr>
          <w:rFonts w:ascii="Times New Roman" w:hAnsi="Times New Roman" w:cs="Times New Roman"/>
          <w:sz w:val="24"/>
          <w:szCs w:val="24"/>
        </w:rPr>
        <w:t xml:space="preserve"> under this program during the evaluation period</w:t>
      </w:r>
      <w:r w:rsidRPr="00EB2567">
        <w:rPr>
          <w:rFonts w:ascii="Times New Roman" w:hAnsi="Times New Roman" w:cs="Times New Roman"/>
          <w:sz w:val="24"/>
          <w:szCs w:val="24"/>
        </w:rPr>
        <w:t>.</w:t>
      </w:r>
      <w:r>
        <w:rPr>
          <w:rFonts w:ascii="Times New Roman" w:hAnsi="Times New Roman" w:cs="Times New Roman"/>
          <w:sz w:val="24"/>
          <w:szCs w:val="24"/>
        </w:rPr>
        <w:br/>
      </w:r>
    </w:p>
    <w:p w14:paraId="69C5C667" w14:textId="25C67F9F" w:rsidR="0070172B" w:rsidRPr="00A17314" w:rsidRDefault="0070172B" w:rsidP="0070172B">
      <w:pPr>
        <w:spacing w:after="0" w:line="240" w:lineRule="auto"/>
        <w:rPr>
          <w:rFonts w:ascii="Times New Roman" w:eastAsia="Times New Roman" w:hAnsi="Times New Roman" w:cs="Times New Roman"/>
          <w:bCs/>
          <w:sz w:val="24"/>
          <w:szCs w:val="24"/>
        </w:rPr>
      </w:pPr>
      <w:r w:rsidRPr="000A0FEF">
        <w:rPr>
          <w:rFonts w:ascii="Times New Roman" w:eastAsia="Times New Roman" w:hAnsi="Times New Roman" w:cs="Times New Roman"/>
          <w:bCs/>
          <w:i/>
          <w:sz w:val="24"/>
          <w:szCs w:val="24"/>
        </w:rPr>
        <w:t>Secured VISA</w:t>
      </w:r>
      <w:r w:rsidRPr="00A173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A173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HOB </w:t>
      </w:r>
      <w:r w:rsidRPr="00A17314">
        <w:rPr>
          <w:rFonts w:ascii="Times New Roman" w:hAnsi="Times New Roman" w:cs="Times New Roman"/>
          <w:color w:val="000000"/>
          <w:sz w:val="24"/>
          <w:szCs w:val="24"/>
        </w:rPr>
        <w:t xml:space="preserve">offers a VISA credit card secured with a savings account </w:t>
      </w:r>
      <w:r w:rsidR="0032012E">
        <w:rPr>
          <w:rFonts w:ascii="Times New Roman" w:hAnsi="Times New Roman" w:cs="Times New Roman"/>
          <w:color w:val="000000"/>
          <w:sz w:val="24"/>
          <w:szCs w:val="24"/>
        </w:rPr>
        <w:t xml:space="preserve">with credit limits </w:t>
      </w:r>
      <w:r w:rsidRPr="00A17314">
        <w:rPr>
          <w:rFonts w:ascii="Times New Roman" w:hAnsi="Times New Roman" w:cs="Times New Roman"/>
          <w:color w:val="000000"/>
          <w:sz w:val="24"/>
          <w:szCs w:val="24"/>
        </w:rPr>
        <w:t>as l</w:t>
      </w:r>
      <w:r w:rsidR="0032012E">
        <w:rPr>
          <w:rFonts w:ascii="Times New Roman" w:hAnsi="Times New Roman" w:cs="Times New Roman"/>
          <w:color w:val="000000"/>
          <w:sz w:val="24"/>
          <w:szCs w:val="24"/>
        </w:rPr>
        <w:t>ow</w:t>
      </w:r>
      <w:r w:rsidRPr="00A17314">
        <w:rPr>
          <w:rFonts w:ascii="Times New Roman" w:hAnsi="Times New Roman" w:cs="Times New Roman"/>
          <w:color w:val="000000"/>
          <w:sz w:val="24"/>
          <w:szCs w:val="24"/>
        </w:rPr>
        <w:t xml:space="preserve"> as $300</w:t>
      </w:r>
      <w:r>
        <w:rPr>
          <w:rFonts w:ascii="Times New Roman" w:hAnsi="Times New Roman" w:cs="Times New Roman"/>
          <w:color w:val="000000"/>
          <w:sz w:val="24"/>
          <w:szCs w:val="24"/>
        </w:rPr>
        <w:t xml:space="preserve"> </w:t>
      </w:r>
      <w:r w:rsidRPr="00A17314">
        <w:rPr>
          <w:rFonts w:ascii="Times New Roman" w:hAnsi="Times New Roman" w:cs="Times New Roman"/>
          <w:sz w:val="24"/>
          <w:szCs w:val="24"/>
        </w:rPr>
        <w:t xml:space="preserve">to help </w:t>
      </w:r>
      <w:r w:rsidRPr="00A17314">
        <w:rPr>
          <w:rFonts w:ascii="Times New Roman" w:hAnsi="Times New Roman" w:cs="Times New Roman"/>
          <w:color w:val="000000"/>
          <w:sz w:val="24"/>
          <w:szCs w:val="24"/>
        </w:rPr>
        <w:t>customers start or re</w:t>
      </w:r>
      <w:r>
        <w:rPr>
          <w:rFonts w:ascii="Times New Roman" w:hAnsi="Times New Roman" w:cs="Times New Roman"/>
          <w:color w:val="000000"/>
          <w:sz w:val="24"/>
          <w:szCs w:val="24"/>
        </w:rPr>
        <w:t>-establish their credit history.  During the evaluation period, t</w:t>
      </w:r>
      <w:r w:rsidRPr="00A17314">
        <w:rPr>
          <w:rFonts w:ascii="Times New Roman" w:hAnsi="Times New Roman" w:cs="Times New Roman"/>
          <w:color w:val="000000"/>
          <w:sz w:val="24"/>
          <w:szCs w:val="24"/>
        </w:rPr>
        <w:t>he bank</w:t>
      </w:r>
      <w:r w:rsidR="00037CF4">
        <w:rPr>
          <w:rFonts w:ascii="Times New Roman" w:hAnsi="Times New Roman" w:cs="Times New Roman"/>
          <w:color w:val="000000"/>
          <w:sz w:val="24"/>
          <w:szCs w:val="24"/>
        </w:rPr>
        <w:t xml:space="preserve"> opened</w:t>
      </w:r>
      <w:r w:rsidRPr="00A17314">
        <w:rPr>
          <w:rFonts w:ascii="Times New Roman" w:hAnsi="Times New Roman" w:cs="Times New Roman"/>
          <w:color w:val="000000"/>
          <w:sz w:val="24"/>
          <w:szCs w:val="24"/>
        </w:rPr>
        <w:t xml:space="preserve"> 936 </w:t>
      </w:r>
      <w:r w:rsidR="00037CF4">
        <w:rPr>
          <w:rFonts w:ascii="Times New Roman" w:hAnsi="Times New Roman" w:cs="Times New Roman"/>
          <w:color w:val="000000"/>
          <w:sz w:val="24"/>
          <w:szCs w:val="24"/>
        </w:rPr>
        <w:t>credit card accounts</w:t>
      </w:r>
      <w:r w:rsidRPr="00A17314">
        <w:rPr>
          <w:rFonts w:ascii="Times New Roman" w:hAnsi="Times New Roman" w:cs="Times New Roman"/>
          <w:color w:val="000000"/>
          <w:sz w:val="24"/>
          <w:szCs w:val="24"/>
        </w:rPr>
        <w:t xml:space="preserve"> with credit limits totaling $417,050</w:t>
      </w:r>
      <w:r w:rsidR="00037CF4">
        <w:rPr>
          <w:rFonts w:ascii="Times New Roman" w:hAnsi="Times New Roman" w:cs="Times New Roman"/>
          <w:color w:val="000000"/>
          <w:sz w:val="24"/>
          <w:szCs w:val="24"/>
        </w:rPr>
        <w:t xml:space="preserve"> under this program</w:t>
      </w:r>
      <w:r w:rsidRPr="00A17314">
        <w:rPr>
          <w:rFonts w:ascii="Times New Roman" w:hAnsi="Times New Roman" w:cs="Times New Roman"/>
          <w:color w:val="000000"/>
          <w:sz w:val="24"/>
          <w:szCs w:val="24"/>
        </w:rPr>
        <w:t>.</w:t>
      </w:r>
    </w:p>
    <w:p w14:paraId="635941E5" w14:textId="77777777" w:rsidR="0070172B" w:rsidRDefault="0070172B" w:rsidP="0070172B">
      <w:pPr>
        <w:spacing w:after="0" w:line="240" w:lineRule="auto"/>
        <w:rPr>
          <w:rFonts w:ascii="Times New Roman" w:eastAsia="Times New Roman" w:hAnsi="Times New Roman" w:cs="Times New Roman"/>
          <w:bCs/>
          <w:color w:val="000000"/>
          <w:sz w:val="24"/>
          <w:szCs w:val="24"/>
        </w:rPr>
      </w:pPr>
    </w:p>
    <w:p w14:paraId="7241DE48" w14:textId="586FDB76" w:rsidR="0070172B" w:rsidRPr="00E22302" w:rsidRDefault="0070172B" w:rsidP="0070172B">
      <w:pPr>
        <w:spacing w:after="0" w:line="240" w:lineRule="auto"/>
        <w:rPr>
          <w:rFonts w:ascii="Times New Roman" w:eastAsia="Times New Roman" w:hAnsi="Times New Roman" w:cs="Times New Roman"/>
          <w:bCs/>
          <w:sz w:val="24"/>
          <w:szCs w:val="24"/>
        </w:rPr>
      </w:pPr>
      <w:r w:rsidRPr="00C040D2">
        <w:rPr>
          <w:rFonts w:ascii="Times New Roman" w:hAnsi="Times New Roman" w:cs="Times New Roman"/>
          <w:sz w:val="24"/>
          <w:szCs w:val="24"/>
        </w:rPr>
        <w:t>Additionally, during the evaluation</w:t>
      </w:r>
      <w:r w:rsidR="00037CF4">
        <w:rPr>
          <w:rFonts w:ascii="Times New Roman" w:hAnsi="Times New Roman" w:cs="Times New Roman"/>
          <w:sz w:val="24"/>
          <w:szCs w:val="24"/>
        </w:rPr>
        <w:t xml:space="preserve"> period</w:t>
      </w:r>
      <w:r w:rsidRPr="00C040D2">
        <w:rPr>
          <w:rFonts w:ascii="Times New Roman" w:hAnsi="Times New Roman" w:cs="Times New Roman"/>
          <w:sz w:val="24"/>
          <w:szCs w:val="24"/>
        </w:rPr>
        <w:t>, the bank offered two consumer loan programs for the benefit of the local community</w:t>
      </w:r>
      <w:r w:rsidR="009B2CC0" w:rsidRPr="00C040D2">
        <w:rPr>
          <w:rFonts w:ascii="Times New Roman" w:hAnsi="Times New Roman" w:cs="Times New Roman"/>
          <w:sz w:val="24"/>
          <w:szCs w:val="24"/>
        </w:rPr>
        <w:t xml:space="preserve">.  </w:t>
      </w:r>
      <w:r w:rsidRPr="00C040D2">
        <w:rPr>
          <w:rFonts w:ascii="Times New Roman" w:hAnsi="Times New Roman" w:cs="Times New Roman"/>
          <w:sz w:val="24"/>
          <w:szCs w:val="24"/>
        </w:rPr>
        <w:t>The bank provided unsecured personal loans to help cover the cost</w:t>
      </w:r>
      <w:r>
        <w:rPr>
          <w:rFonts w:ascii="Times New Roman" w:hAnsi="Times New Roman" w:cs="Times New Roman"/>
          <w:sz w:val="24"/>
          <w:szCs w:val="24"/>
        </w:rPr>
        <w:t xml:space="preserve"> </w:t>
      </w:r>
      <w:r w:rsidRPr="00C040D2">
        <w:rPr>
          <w:rFonts w:ascii="Times New Roman" w:hAnsi="Times New Roman" w:cs="Times New Roman"/>
          <w:sz w:val="24"/>
          <w:szCs w:val="24"/>
        </w:rPr>
        <w:t xml:space="preserve">of the U.S. citizenship application to be used in </w:t>
      </w:r>
      <w:r>
        <w:rPr>
          <w:rFonts w:ascii="Times New Roman" w:hAnsi="Times New Roman" w:cs="Times New Roman"/>
          <w:sz w:val="24"/>
          <w:szCs w:val="24"/>
        </w:rPr>
        <w:t>conjunction with HarborOne U</w:t>
      </w:r>
      <w:r w:rsidR="00037CF4">
        <w:rPr>
          <w:rFonts w:ascii="Times New Roman" w:hAnsi="Times New Roman" w:cs="Times New Roman"/>
          <w:sz w:val="24"/>
          <w:szCs w:val="24"/>
        </w:rPr>
        <w:t>’</w:t>
      </w:r>
      <w:r>
        <w:rPr>
          <w:rFonts w:ascii="Times New Roman" w:hAnsi="Times New Roman" w:cs="Times New Roman"/>
          <w:sz w:val="24"/>
          <w:szCs w:val="24"/>
        </w:rPr>
        <w:t xml:space="preserve">s </w:t>
      </w:r>
      <w:r w:rsidRPr="00C040D2">
        <w:rPr>
          <w:rFonts w:ascii="Times New Roman" w:hAnsi="Times New Roman" w:cs="Times New Roman"/>
          <w:sz w:val="24"/>
          <w:szCs w:val="24"/>
        </w:rPr>
        <w:t>Citizenship</w:t>
      </w:r>
      <w:r>
        <w:rPr>
          <w:rFonts w:ascii="Times New Roman" w:hAnsi="Times New Roman" w:cs="Times New Roman"/>
          <w:sz w:val="24"/>
          <w:szCs w:val="24"/>
        </w:rPr>
        <w:t xml:space="preserve"> </w:t>
      </w:r>
      <w:r w:rsidRPr="00C040D2">
        <w:rPr>
          <w:rFonts w:ascii="Times New Roman" w:hAnsi="Times New Roman" w:cs="Times New Roman"/>
          <w:sz w:val="24"/>
          <w:szCs w:val="24"/>
        </w:rPr>
        <w:t xml:space="preserve">Preparation course.  </w:t>
      </w:r>
      <w:r w:rsidR="00037CF4">
        <w:rPr>
          <w:rFonts w:ascii="Times New Roman" w:hAnsi="Times New Roman" w:cs="Times New Roman"/>
          <w:sz w:val="24"/>
          <w:szCs w:val="24"/>
        </w:rPr>
        <w:t>T</w:t>
      </w:r>
      <w:r w:rsidRPr="00C040D2">
        <w:rPr>
          <w:rFonts w:ascii="Times New Roman" w:hAnsi="Times New Roman" w:cs="Times New Roman"/>
          <w:sz w:val="24"/>
          <w:szCs w:val="24"/>
        </w:rPr>
        <w:t xml:space="preserve">he bank also </w:t>
      </w:r>
      <w:r w:rsidR="00037CF4">
        <w:rPr>
          <w:rFonts w:ascii="Times New Roman" w:hAnsi="Times New Roman" w:cs="Times New Roman"/>
          <w:sz w:val="24"/>
          <w:szCs w:val="24"/>
        </w:rPr>
        <w:t xml:space="preserve">recently began </w:t>
      </w:r>
      <w:r w:rsidRPr="00C040D2">
        <w:rPr>
          <w:rFonts w:ascii="Times New Roman" w:hAnsi="Times New Roman" w:cs="Times New Roman"/>
          <w:sz w:val="24"/>
          <w:szCs w:val="24"/>
        </w:rPr>
        <w:t>offer</w:t>
      </w:r>
      <w:r w:rsidR="00037CF4">
        <w:rPr>
          <w:rFonts w:ascii="Times New Roman" w:hAnsi="Times New Roman" w:cs="Times New Roman"/>
          <w:sz w:val="24"/>
          <w:szCs w:val="24"/>
        </w:rPr>
        <w:t>ing</w:t>
      </w:r>
      <w:r w:rsidRPr="00C040D2">
        <w:rPr>
          <w:rFonts w:ascii="Times New Roman" w:hAnsi="Times New Roman" w:cs="Times New Roman"/>
          <w:sz w:val="24"/>
          <w:szCs w:val="24"/>
        </w:rPr>
        <w:t xml:space="preserve"> a micro-lending program in coordination </w:t>
      </w:r>
      <w:r w:rsidRPr="00E22302">
        <w:rPr>
          <w:rFonts w:ascii="Times New Roman" w:hAnsi="Times New Roman" w:cs="Times New Roman"/>
          <w:sz w:val="24"/>
          <w:szCs w:val="24"/>
        </w:rPr>
        <w:t>with the Society of St. Vincent de Paul (SVDP) to provide emergency credit to families in need</w:t>
      </w:r>
      <w:r w:rsidR="009B2CC0" w:rsidRPr="00E22302">
        <w:rPr>
          <w:rFonts w:ascii="Times New Roman" w:hAnsi="Times New Roman" w:cs="Times New Roman"/>
          <w:sz w:val="24"/>
          <w:szCs w:val="24"/>
        </w:rPr>
        <w:t xml:space="preserve">.  </w:t>
      </w:r>
      <w:r w:rsidRPr="00E22302">
        <w:rPr>
          <w:rFonts w:ascii="Times New Roman" w:hAnsi="Times New Roman" w:cs="Times New Roman"/>
          <w:sz w:val="24"/>
          <w:szCs w:val="24"/>
        </w:rPr>
        <w:t>While the bank has not originated any loans under these programs during the evaluation period, both programs exhibit the bank</w:t>
      </w:r>
      <w:r w:rsidR="00037CF4">
        <w:rPr>
          <w:rFonts w:ascii="Times New Roman" w:hAnsi="Times New Roman" w:cs="Times New Roman"/>
          <w:sz w:val="24"/>
          <w:szCs w:val="24"/>
        </w:rPr>
        <w:t>’</w:t>
      </w:r>
      <w:r w:rsidRPr="00E22302">
        <w:rPr>
          <w:rFonts w:ascii="Times New Roman" w:hAnsi="Times New Roman" w:cs="Times New Roman"/>
          <w:sz w:val="24"/>
          <w:szCs w:val="24"/>
        </w:rPr>
        <w:t>s willingness to extend credit in innovative and responsive ways.</w:t>
      </w:r>
    </w:p>
    <w:p w14:paraId="63F9662B" w14:textId="77777777" w:rsidR="0070172B" w:rsidRPr="00E22302" w:rsidRDefault="0070172B" w:rsidP="00E50970">
      <w:pPr>
        <w:spacing w:after="0" w:line="240" w:lineRule="auto"/>
        <w:rPr>
          <w:rFonts w:ascii="Times New Roman" w:eastAsia="Times New Roman" w:hAnsi="Times New Roman" w:cs="Times New Roman"/>
          <w:bCs/>
          <w:sz w:val="24"/>
          <w:szCs w:val="24"/>
        </w:rPr>
      </w:pPr>
    </w:p>
    <w:p w14:paraId="71D15CC1" w14:textId="77777777" w:rsidR="00E50970" w:rsidRPr="00E22302" w:rsidRDefault="00E50970" w:rsidP="00E50970">
      <w:pPr>
        <w:spacing w:after="0" w:line="240" w:lineRule="auto"/>
        <w:rPr>
          <w:rFonts w:ascii="Times New Roman" w:eastAsia="Times New Roman" w:hAnsi="Times New Roman" w:cs="Times New Roman"/>
          <w:b/>
          <w:bCs/>
          <w:sz w:val="24"/>
          <w:szCs w:val="24"/>
          <w:u w:val="single"/>
        </w:rPr>
      </w:pPr>
      <w:r w:rsidRPr="00E22302">
        <w:rPr>
          <w:rFonts w:ascii="Times New Roman" w:eastAsia="Times New Roman" w:hAnsi="Times New Roman" w:cs="Times New Roman"/>
          <w:b/>
          <w:bCs/>
          <w:sz w:val="24"/>
          <w:szCs w:val="24"/>
          <w:u w:val="single"/>
        </w:rPr>
        <w:t>Community Development Loans</w:t>
      </w:r>
    </w:p>
    <w:p w14:paraId="07E04FDA" w14:textId="77777777" w:rsidR="00E22302" w:rsidRPr="00E22302" w:rsidRDefault="00E22302" w:rsidP="00E22302">
      <w:pPr>
        <w:spacing w:after="0" w:line="240" w:lineRule="auto"/>
        <w:rPr>
          <w:rFonts w:ascii="Times New Roman" w:eastAsia="Times New Roman" w:hAnsi="Times New Roman" w:cs="Times New Roman"/>
          <w:bCs/>
          <w:sz w:val="24"/>
          <w:szCs w:val="24"/>
        </w:rPr>
      </w:pPr>
    </w:p>
    <w:p w14:paraId="5C167572" w14:textId="60D040F3" w:rsidR="00AD7C36" w:rsidRDefault="00E22302" w:rsidP="00E50970">
      <w:pPr>
        <w:spacing w:after="0" w:line="240" w:lineRule="auto"/>
        <w:rPr>
          <w:rFonts w:ascii="Times New Roman" w:eastAsia="Times New Roman" w:hAnsi="Times New Roman" w:cs="Times New Roman"/>
          <w:bCs/>
          <w:sz w:val="24"/>
          <w:szCs w:val="24"/>
        </w:rPr>
      </w:pPr>
      <w:r w:rsidRPr="00E22302">
        <w:rPr>
          <w:rFonts w:ascii="Times New Roman" w:eastAsia="Times New Roman" w:hAnsi="Times New Roman" w:cs="Times New Roman"/>
          <w:bCs/>
          <w:sz w:val="24"/>
          <w:szCs w:val="24"/>
        </w:rPr>
        <w:t>HOB is a leader in making community development loans.  During the evaluation period, the bank originated a total of 36 community development loans totaling $86.1 million.  Of the 36 total loans, 27</w:t>
      </w:r>
      <w:r w:rsidR="00037CF4">
        <w:rPr>
          <w:rFonts w:ascii="Times New Roman" w:eastAsia="Times New Roman" w:hAnsi="Times New Roman" w:cs="Times New Roman"/>
          <w:bCs/>
          <w:sz w:val="24"/>
          <w:szCs w:val="24"/>
        </w:rPr>
        <w:t xml:space="preserve"> loans</w:t>
      </w:r>
      <w:r w:rsidR="008237F6">
        <w:rPr>
          <w:rFonts w:ascii="Times New Roman" w:eastAsia="Times New Roman" w:hAnsi="Times New Roman" w:cs="Times New Roman"/>
          <w:bCs/>
          <w:sz w:val="24"/>
          <w:szCs w:val="24"/>
        </w:rPr>
        <w:t xml:space="preserve"> </w:t>
      </w:r>
      <w:r w:rsidRPr="00E22302">
        <w:rPr>
          <w:rFonts w:ascii="Times New Roman" w:eastAsia="Times New Roman" w:hAnsi="Times New Roman" w:cs="Times New Roman"/>
          <w:bCs/>
          <w:sz w:val="24"/>
          <w:szCs w:val="24"/>
        </w:rPr>
        <w:t>totaling $54.1 million directly benefited assessment area needs of affordable housing, community services, and economic development.  The bank also made nine community development loans totaling $32.0 million for initiatives that b</w:t>
      </w:r>
      <w:r w:rsidR="003C263A">
        <w:rPr>
          <w:rFonts w:ascii="Times New Roman" w:eastAsia="Times New Roman" w:hAnsi="Times New Roman" w:cs="Times New Roman"/>
          <w:bCs/>
          <w:sz w:val="24"/>
          <w:szCs w:val="24"/>
        </w:rPr>
        <w:t>enefited a broader statewide or</w:t>
      </w:r>
      <w:r w:rsidR="00D66F98">
        <w:rPr>
          <w:rFonts w:ascii="Times New Roman" w:eastAsia="Times New Roman" w:hAnsi="Times New Roman" w:cs="Times New Roman"/>
          <w:bCs/>
          <w:sz w:val="24"/>
          <w:szCs w:val="24"/>
        </w:rPr>
        <w:t xml:space="preserve"> </w:t>
      </w:r>
      <w:r w:rsidR="00D66F98">
        <w:rPr>
          <w:rFonts w:ascii="Times New Roman" w:eastAsia="Times New Roman" w:hAnsi="Times New Roman" w:cs="Times New Roman"/>
          <w:bCs/>
          <w:sz w:val="24"/>
          <w:szCs w:val="24"/>
        </w:rPr>
        <w:lastRenderedPageBreak/>
        <w:t xml:space="preserve">regional area and were also located outside the bank’s assessment areas.  Examiners considered these loans because the bank met the credit needs of its assessment areas. </w:t>
      </w:r>
    </w:p>
    <w:p w14:paraId="25D5D6BC" w14:textId="77777777" w:rsidR="00AD7C36" w:rsidRDefault="00AD7C36" w:rsidP="00E50970">
      <w:pPr>
        <w:spacing w:after="0" w:line="240" w:lineRule="auto"/>
        <w:rPr>
          <w:rFonts w:ascii="Times New Roman" w:eastAsia="Times New Roman" w:hAnsi="Times New Roman" w:cs="Times New Roman"/>
          <w:bCs/>
          <w:sz w:val="24"/>
          <w:szCs w:val="24"/>
        </w:rPr>
      </w:pPr>
    </w:p>
    <w:p w14:paraId="52EE2EFA" w14:textId="5E9CE055" w:rsidR="00690057" w:rsidRDefault="00AD7C36" w:rsidP="00E5097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following is a</w:t>
      </w:r>
      <w:r w:rsidR="00C96AA5">
        <w:rPr>
          <w:rFonts w:ascii="Times New Roman" w:eastAsia="Times New Roman" w:hAnsi="Times New Roman" w:cs="Times New Roman"/>
          <w:bCs/>
          <w:sz w:val="24"/>
          <w:szCs w:val="24"/>
        </w:rPr>
        <w:t xml:space="preserve"> notable </w:t>
      </w:r>
      <w:r>
        <w:rPr>
          <w:rFonts w:ascii="Times New Roman" w:eastAsia="Times New Roman" w:hAnsi="Times New Roman" w:cs="Times New Roman"/>
          <w:bCs/>
          <w:sz w:val="24"/>
          <w:szCs w:val="24"/>
        </w:rPr>
        <w:t xml:space="preserve">example of a </w:t>
      </w:r>
      <w:r w:rsidR="00C96AA5">
        <w:rPr>
          <w:rFonts w:ascii="Times New Roman" w:eastAsia="Times New Roman" w:hAnsi="Times New Roman" w:cs="Times New Roman"/>
          <w:bCs/>
          <w:sz w:val="24"/>
          <w:szCs w:val="24"/>
        </w:rPr>
        <w:t>community development loan not tied to a specific assessment area.</w:t>
      </w:r>
      <w:r>
        <w:rPr>
          <w:rFonts w:ascii="Times New Roman" w:eastAsia="Times New Roman" w:hAnsi="Times New Roman" w:cs="Times New Roman"/>
          <w:bCs/>
          <w:sz w:val="24"/>
          <w:szCs w:val="24"/>
        </w:rPr>
        <w:t xml:space="preserve">  The bank made other </w:t>
      </w:r>
      <w:r w:rsidR="00996CB4">
        <w:rPr>
          <w:rFonts w:ascii="Times New Roman" w:eastAsia="Times New Roman" w:hAnsi="Times New Roman" w:cs="Times New Roman"/>
          <w:bCs/>
          <w:sz w:val="24"/>
          <w:szCs w:val="24"/>
        </w:rPr>
        <w:t>similar community development loans</w:t>
      </w:r>
      <w:r>
        <w:rPr>
          <w:rFonts w:ascii="Times New Roman" w:eastAsia="Times New Roman" w:hAnsi="Times New Roman" w:cs="Times New Roman"/>
          <w:bCs/>
          <w:sz w:val="24"/>
          <w:szCs w:val="24"/>
        </w:rPr>
        <w:t xml:space="preserve"> </w:t>
      </w:r>
      <w:r w:rsidR="00996CB4">
        <w:rPr>
          <w:rFonts w:ascii="Times New Roman" w:eastAsia="Times New Roman" w:hAnsi="Times New Roman" w:cs="Times New Roman"/>
          <w:bCs/>
          <w:sz w:val="24"/>
          <w:szCs w:val="24"/>
        </w:rPr>
        <w:t xml:space="preserve">to small businesses </w:t>
      </w:r>
      <w:r>
        <w:rPr>
          <w:rFonts w:ascii="Times New Roman" w:eastAsia="Times New Roman" w:hAnsi="Times New Roman" w:cs="Times New Roman"/>
          <w:bCs/>
          <w:sz w:val="24"/>
          <w:szCs w:val="24"/>
        </w:rPr>
        <w:t xml:space="preserve">outside </w:t>
      </w:r>
      <w:r w:rsidR="00996CB4">
        <w:rPr>
          <w:rFonts w:ascii="Times New Roman" w:eastAsia="Times New Roman" w:hAnsi="Times New Roman" w:cs="Times New Roman"/>
          <w:bCs/>
          <w:sz w:val="24"/>
          <w:szCs w:val="24"/>
        </w:rPr>
        <w:t>the assessment areas</w:t>
      </w:r>
      <w:r>
        <w:rPr>
          <w:rFonts w:ascii="Times New Roman" w:eastAsia="Times New Roman" w:hAnsi="Times New Roman" w:cs="Times New Roman"/>
          <w:bCs/>
          <w:sz w:val="24"/>
          <w:szCs w:val="24"/>
        </w:rPr>
        <w:t xml:space="preserve"> to construct hotels</w:t>
      </w:r>
      <w:r w:rsidR="00996CB4">
        <w:rPr>
          <w:rFonts w:ascii="Times New Roman" w:eastAsia="Times New Roman" w:hAnsi="Times New Roman" w:cs="Times New Roman"/>
          <w:bCs/>
          <w:sz w:val="24"/>
          <w:szCs w:val="24"/>
        </w:rPr>
        <w:t>.  These developments</w:t>
      </w:r>
      <w:r>
        <w:rPr>
          <w:rFonts w:ascii="Times New Roman" w:eastAsia="Times New Roman" w:hAnsi="Times New Roman" w:cs="Times New Roman"/>
          <w:bCs/>
          <w:sz w:val="24"/>
          <w:szCs w:val="24"/>
        </w:rPr>
        <w:t xml:space="preserve"> added permanent jobs for </w:t>
      </w:r>
      <w:r w:rsidR="00996CB4">
        <w:rPr>
          <w:rFonts w:ascii="Times New Roman" w:eastAsia="Times New Roman" w:hAnsi="Times New Roman" w:cs="Times New Roman"/>
          <w:bCs/>
          <w:sz w:val="24"/>
          <w:szCs w:val="24"/>
        </w:rPr>
        <w:t>low- and moderate-income</w:t>
      </w:r>
      <w:r>
        <w:rPr>
          <w:rFonts w:ascii="Times New Roman" w:eastAsia="Times New Roman" w:hAnsi="Times New Roman" w:cs="Times New Roman"/>
          <w:bCs/>
          <w:sz w:val="24"/>
          <w:szCs w:val="24"/>
        </w:rPr>
        <w:t xml:space="preserve"> people in </w:t>
      </w:r>
      <w:r w:rsidR="00996CB4">
        <w:rPr>
          <w:rFonts w:ascii="Times New Roman" w:eastAsia="Times New Roman" w:hAnsi="Times New Roman" w:cs="Times New Roman"/>
          <w:bCs/>
          <w:sz w:val="24"/>
          <w:szCs w:val="24"/>
        </w:rPr>
        <w:t>moderate-income geographies</w:t>
      </w:r>
      <w:r>
        <w:rPr>
          <w:rFonts w:ascii="Times New Roman" w:eastAsia="Times New Roman" w:hAnsi="Times New Roman" w:cs="Times New Roman"/>
          <w:bCs/>
          <w:sz w:val="24"/>
          <w:szCs w:val="24"/>
        </w:rPr>
        <w:t>.</w:t>
      </w:r>
    </w:p>
    <w:p w14:paraId="06A97605" w14:textId="4D0EC471" w:rsidR="008E77F2" w:rsidRDefault="008E77F2" w:rsidP="00E50970">
      <w:pPr>
        <w:spacing w:after="0" w:line="240" w:lineRule="auto"/>
        <w:rPr>
          <w:rFonts w:ascii="Times New Roman" w:eastAsia="Times New Roman" w:hAnsi="Times New Roman" w:cs="Times New Roman"/>
          <w:bCs/>
          <w:sz w:val="24"/>
          <w:szCs w:val="24"/>
        </w:rPr>
      </w:pPr>
    </w:p>
    <w:p w14:paraId="4A93128B" w14:textId="56431D1A" w:rsidR="008E77F2" w:rsidRPr="008E77F2" w:rsidRDefault="00996CB4" w:rsidP="008E77F2">
      <w:pPr>
        <w:pStyle w:val="ListParagraph"/>
        <w:numPr>
          <w:ilvl w:val="0"/>
          <w:numId w:val="43"/>
        </w:numPr>
        <w:rPr>
          <w:rFonts w:ascii="Times New Roman" w:hAnsi="Times New Roman" w:cs="Times New Roman"/>
          <w:bCs/>
        </w:rPr>
      </w:pPr>
      <w:r>
        <w:rPr>
          <w:rFonts w:ascii="Times New Roman" w:hAnsi="Times New Roman" w:cs="Times New Roman"/>
          <w:bCs/>
        </w:rPr>
        <w:t>In 2018, the bank originated a $6.8 million loan through the SBA’s 504 program that finance</w:t>
      </w:r>
      <w:r w:rsidR="00037CF4">
        <w:rPr>
          <w:rFonts w:ascii="Times New Roman" w:hAnsi="Times New Roman" w:cs="Times New Roman"/>
          <w:bCs/>
        </w:rPr>
        <w:t>d</w:t>
      </w:r>
      <w:r>
        <w:rPr>
          <w:rFonts w:ascii="Times New Roman" w:hAnsi="Times New Roman" w:cs="Times New Roman"/>
          <w:bCs/>
        </w:rPr>
        <w:t xml:space="preserve"> the construction of a h</w:t>
      </w:r>
      <w:r w:rsidR="008E77F2">
        <w:rPr>
          <w:rFonts w:ascii="Times New Roman" w:hAnsi="Times New Roman" w:cs="Times New Roman"/>
          <w:bCs/>
        </w:rPr>
        <w:t>otel in Barnstable County</w:t>
      </w:r>
      <w:r>
        <w:rPr>
          <w:rFonts w:ascii="Times New Roman" w:hAnsi="Times New Roman" w:cs="Times New Roman"/>
          <w:bCs/>
        </w:rPr>
        <w:t>, Massachusetts.  The hotel development resulted in the creation of 25 permanent jobs for low- and moderate-income individuals.  In addition to having an economic development purpose, the project helped revitalize a moderate-income census tract just outside the bank’s assessment area.</w:t>
      </w:r>
    </w:p>
    <w:p w14:paraId="746EE367" w14:textId="77777777" w:rsidR="00690057" w:rsidRDefault="00690057" w:rsidP="00E50970">
      <w:pPr>
        <w:spacing w:after="0" w:line="240" w:lineRule="auto"/>
        <w:rPr>
          <w:rFonts w:ascii="Times New Roman" w:eastAsia="Times New Roman" w:hAnsi="Times New Roman" w:cs="Times New Roman"/>
          <w:bCs/>
          <w:sz w:val="24"/>
          <w:szCs w:val="24"/>
        </w:rPr>
      </w:pPr>
    </w:p>
    <w:p w14:paraId="44444174" w14:textId="6DAAA4D5" w:rsidR="00996CB4" w:rsidRDefault="00F97166" w:rsidP="00E5097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E22302" w:rsidRPr="00E22302">
        <w:rPr>
          <w:rFonts w:ascii="Times New Roman" w:eastAsia="Times New Roman" w:hAnsi="Times New Roman" w:cs="Times New Roman"/>
          <w:bCs/>
          <w:sz w:val="24"/>
          <w:szCs w:val="24"/>
        </w:rPr>
        <w:t xml:space="preserve">he number of </w:t>
      </w:r>
      <w:r w:rsidR="008237F6">
        <w:rPr>
          <w:rFonts w:ascii="Times New Roman" w:eastAsia="Times New Roman" w:hAnsi="Times New Roman" w:cs="Times New Roman"/>
          <w:bCs/>
          <w:sz w:val="24"/>
          <w:szCs w:val="24"/>
        </w:rPr>
        <w:t xml:space="preserve">community development </w:t>
      </w:r>
      <w:r w:rsidR="00E22302" w:rsidRPr="00E22302">
        <w:rPr>
          <w:rFonts w:ascii="Times New Roman" w:eastAsia="Times New Roman" w:hAnsi="Times New Roman" w:cs="Times New Roman"/>
          <w:bCs/>
          <w:sz w:val="24"/>
          <w:szCs w:val="24"/>
        </w:rPr>
        <w:t xml:space="preserve">loans </w:t>
      </w:r>
      <w:r>
        <w:rPr>
          <w:rFonts w:ascii="Times New Roman" w:eastAsia="Times New Roman" w:hAnsi="Times New Roman" w:cs="Times New Roman"/>
          <w:bCs/>
          <w:sz w:val="24"/>
          <w:szCs w:val="24"/>
        </w:rPr>
        <w:t>increased slightly compared to</w:t>
      </w:r>
      <w:r w:rsidR="008237F6">
        <w:rPr>
          <w:rFonts w:ascii="Times New Roman" w:eastAsia="Times New Roman" w:hAnsi="Times New Roman" w:cs="Times New Roman"/>
          <w:bCs/>
          <w:sz w:val="24"/>
          <w:szCs w:val="24"/>
        </w:rPr>
        <w:t xml:space="preserve"> the prior evaluation,</w:t>
      </w:r>
      <w:r>
        <w:rPr>
          <w:rFonts w:ascii="Times New Roman" w:eastAsia="Times New Roman" w:hAnsi="Times New Roman" w:cs="Times New Roman"/>
          <w:bCs/>
          <w:sz w:val="24"/>
          <w:szCs w:val="24"/>
        </w:rPr>
        <w:t xml:space="preserve"> while the </w:t>
      </w:r>
      <w:r w:rsidR="00037CF4">
        <w:rPr>
          <w:rFonts w:ascii="Times New Roman" w:eastAsia="Times New Roman" w:hAnsi="Times New Roman" w:cs="Times New Roman"/>
          <w:bCs/>
          <w:sz w:val="24"/>
          <w:szCs w:val="24"/>
        </w:rPr>
        <w:t xml:space="preserve">total </w:t>
      </w:r>
      <w:r>
        <w:rPr>
          <w:rFonts w:ascii="Times New Roman" w:eastAsia="Times New Roman" w:hAnsi="Times New Roman" w:cs="Times New Roman"/>
          <w:bCs/>
          <w:sz w:val="24"/>
          <w:szCs w:val="24"/>
        </w:rPr>
        <w:t>dollar volume decreased.  However,</w:t>
      </w:r>
      <w:r w:rsidR="00802910">
        <w:rPr>
          <w:rFonts w:ascii="Times New Roman" w:eastAsia="Times New Roman" w:hAnsi="Times New Roman" w:cs="Times New Roman"/>
          <w:bCs/>
          <w:sz w:val="24"/>
          <w:szCs w:val="24"/>
        </w:rPr>
        <w:t xml:space="preserve"> </w:t>
      </w:r>
      <w:r w:rsidR="00037CF4">
        <w:rPr>
          <w:rFonts w:ascii="Times New Roman" w:eastAsia="Times New Roman" w:hAnsi="Times New Roman" w:cs="Times New Roman"/>
          <w:bCs/>
          <w:sz w:val="24"/>
          <w:szCs w:val="24"/>
        </w:rPr>
        <w:t xml:space="preserve">both </w:t>
      </w:r>
      <w:r w:rsidR="00802910">
        <w:rPr>
          <w:rFonts w:ascii="Times New Roman" w:eastAsia="Times New Roman" w:hAnsi="Times New Roman" w:cs="Times New Roman"/>
          <w:bCs/>
          <w:sz w:val="24"/>
          <w:szCs w:val="24"/>
        </w:rPr>
        <w:t xml:space="preserve">the number and dollar amount of </w:t>
      </w:r>
      <w:r w:rsidR="008237F6">
        <w:rPr>
          <w:rFonts w:ascii="Times New Roman" w:eastAsia="Times New Roman" w:hAnsi="Times New Roman" w:cs="Times New Roman"/>
          <w:bCs/>
          <w:sz w:val="24"/>
          <w:szCs w:val="24"/>
        </w:rPr>
        <w:t>loan</w:t>
      </w:r>
      <w:r w:rsidR="00802910">
        <w:rPr>
          <w:rFonts w:ascii="Times New Roman" w:eastAsia="Times New Roman" w:hAnsi="Times New Roman" w:cs="Times New Roman"/>
          <w:bCs/>
          <w:sz w:val="24"/>
          <w:szCs w:val="24"/>
        </w:rPr>
        <w:t>s</w:t>
      </w:r>
      <w:r w:rsidR="008237F6">
        <w:rPr>
          <w:rFonts w:ascii="Times New Roman" w:eastAsia="Times New Roman" w:hAnsi="Times New Roman" w:cs="Times New Roman"/>
          <w:bCs/>
          <w:sz w:val="24"/>
          <w:szCs w:val="24"/>
        </w:rPr>
        <w:t xml:space="preserve"> specifically benefitting </w:t>
      </w:r>
      <w:r w:rsidR="00037CF4">
        <w:rPr>
          <w:rFonts w:ascii="Times New Roman" w:eastAsia="Times New Roman" w:hAnsi="Times New Roman" w:cs="Times New Roman"/>
          <w:bCs/>
          <w:sz w:val="24"/>
          <w:szCs w:val="24"/>
        </w:rPr>
        <w:t>the</w:t>
      </w:r>
      <w:r w:rsidR="008237F6">
        <w:rPr>
          <w:rFonts w:ascii="Times New Roman" w:eastAsia="Times New Roman" w:hAnsi="Times New Roman" w:cs="Times New Roman"/>
          <w:bCs/>
          <w:sz w:val="24"/>
          <w:szCs w:val="24"/>
        </w:rPr>
        <w:t xml:space="preserve"> bank</w:t>
      </w:r>
      <w:r w:rsidR="00037CF4">
        <w:rPr>
          <w:rFonts w:ascii="Times New Roman" w:eastAsia="Times New Roman" w:hAnsi="Times New Roman" w:cs="Times New Roman"/>
          <w:bCs/>
          <w:sz w:val="24"/>
          <w:szCs w:val="24"/>
        </w:rPr>
        <w:t>’s</w:t>
      </w:r>
      <w:r w:rsidR="008237F6">
        <w:rPr>
          <w:rFonts w:ascii="Times New Roman" w:eastAsia="Times New Roman" w:hAnsi="Times New Roman" w:cs="Times New Roman"/>
          <w:bCs/>
          <w:sz w:val="24"/>
          <w:szCs w:val="24"/>
        </w:rPr>
        <w:t xml:space="preserve"> assessment area increased</w:t>
      </w:r>
      <w:r w:rsidR="00802910">
        <w:rPr>
          <w:rFonts w:ascii="Times New Roman" w:eastAsia="Times New Roman" w:hAnsi="Times New Roman" w:cs="Times New Roman"/>
          <w:bCs/>
          <w:sz w:val="24"/>
          <w:szCs w:val="24"/>
        </w:rPr>
        <w:t xml:space="preserve">, as the vast majority of community development loans at the prior evaluation </w:t>
      </w:r>
      <w:r w:rsidR="00AD7C36">
        <w:rPr>
          <w:rFonts w:ascii="Times New Roman" w:eastAsia="Times New Roman" w:hAnsi="Times New Roman" w:cs="Times New Roman"/>
          <w:bCs/>
          <w:sz w:val="24"/>
          <w:szCs w:val="24"/>
        </w:rPr>
        <w:t xml:space="preserve">did not directly </w:t>
      </w:r>
      <w:r w:rsidR="00802910">
        <w:rPr>
          <w:rFonts w:ascii="Times New Roman" w:eastAsia="Times New Roman" w:hAnsi="Times New Roman" w:cs="Times New Roman"/>
          <w:bCs/>
          <w:sz w:val="24"/>
          <w:szCs w:val="24"/>
        </w:rPr>
        <w:t>benefit</w:t>
      </w:r>
      <w:r w:rsidR="00AD7C36">
        <w:rPr>
          <w:rFonts w:ascii="Times New Roman" w:eastAsia="Times New Roman" w:hAnsi="Times New Roman" w:cs="Times New Roman"/>
          <w:bCs/>
          <w:sz w:val="24"/>
          <w:szCs w:val="24"/>
        </w:rPr>
        <w:t xml:space="preserve"> the bank’s assessment</w:t>
      </w:r>
      <w:r w:rsidR="00802910">
        <w:rPr>
          <w:rFonts w:ascii="Times New Roman" w:eastAsia="Times New Roman" w:hAnsi="Times New Roman" w:cs="Times New Roman"/>
          <w:bCs/>
          <w:sz w:val="24"/>
          <w:szCs w:val="24"/>
        </w:rPr>
        <w:t xml:space="preserve"> area</w:t>
      </w:r>
      <w:r w:rsidR="00E22302" w:rsidRPr="00E22302">
        <w:rPr>
          <w:rFonts w:ascii="Times New Roman" w:eastAsia="Times New Roman" w:hAnsi="Times New Roman" w:cs="Times New Roman"/>
          <w:bCs/>
          <w:sz w:val="24"/>
          <w:szCs w:val="24"/>
        </w:rPr>
        <w:t xml:space="preserve">.  The </w:t>
      </w:r>
      <w:r w:rsidR="00E22302" w:rsidRPr="005D2879">
        <w:rPr>
          <w:rFonts w:ascii="Times New Roman" w:eastAsia="Times New Roman" w:hAnsi="Times New Roman" w:cs="Times New Roman"/>
          <w:bCs/>
          <w:sz w:val="24"/>
          <w:szCs w:val="24"/>
        </w:rPr>
        <w:t xml:space="preserve">bank also enhanced its responsiveness </w:t>
      </w:r>
      <w:r w:rsidR="00037CF4">
        <w:rPr>
          <w:rFonts w:ascii="Times New Roman" w:eastAsia="Times New Roman" w:hAnsi="Times New Roman" w:cs="Times New Roman"/>
          <w:bCs/>
          <w:sz w:val="24"/>
          <w:szCs w:val="24"/>
        </w:rPr>
        <w:t xml:space="preserve">to area credit needs by </w:t>
      </w:r>
      <w:r w:rsidR="00E22302" w:rsidRPr="005D2879">
        <w:rPr>
          <w:rFonts w:ascii="Times New Roman" w:eastAsia="Times New Roman" w:hAnsi="Times New Roman" w:cs="Times New Roman"/>
          <w:bCs/>
          <w:sz w:val="24"/>
          <w:szCs w:val="24"/>
        </w:rPr>
        <w:t>increas</w:t>
      </w:r>
      <w:r w:rsidR="00037CF4">
        <w:rPr>
          <w:rFonts w:ascii="Times New Roman" w:eastAsia="Times New Roman" w:hAnsi="Times New Roman" w:cs="Times New Roman"/>
          <w:bCs/>
          <w:sz w:val="24"/>
          <w:szCs w:val="24"/>
        </w:rPr>
        <w:t>ing</w:t>
      </w:r>
      <w:r w:rsidR="00E22302" w:rsidRPr="005D2879">
        <w:rPr>
          <w:rFonts w:ascii="Times New Roman" w:eastAsia="Times New Roman" w:hAnsi="Times New Roman" w:cs="Times New Roman"/>
          <w:bCs/>
          <w:sz w:val="24"/>
          <w:szCs w:val="24"/>
        </w:rPr>
        <w:t xml:space="preserve"> loans </w:t>
      </w:r>
      <w:r w:rsidR="00037CF4">
        <w:rPr>
          <w:rFonts w:ascii="Times New Roman" w:eastAsia="Times New Roman" w:hAnsi="Times New Roman" w:cs="Times New Roman"/>
          <w:bCs/>
          <w:sz w:val="24"/>
          <w:szCs w:val="24"/>
        </w:rPr>
        <w:t xml:space="preserve">that </w:t>
      </w:r>
      <w:r w:rsidR="00E22302" w:rsidRPr="005D2879">
        <w:rPr>
          <w:rFonts w:ascii="Times New Roman" w:eastAsia="Times New Roman" w:hAnsi="Times New Roman" w:cs="Times New Roman"/>
          <w:bCs/>
          <w:sz w:val="24"/>
          <w:szCs w:val="24"/>
        </w:rPr>
        <w:t>m</w:t>
      </w:r>
      <w:r w:rsidR="00690057">
        <w:rPr>
          <w:rFonts w:ascii="Times New Roman" w:eastAsia="Times New Roman" w:hAnsi="Times New Roman" w:cs="Times New Roman"/>
          <w:bCs/>
          <w:sz w:val="24"/>
          <w:szCs w:val="24"/>
        </w:rPr>
        <w:t>e</w:t>
      </w:r>
      <w:r w:rsidR="00E22302" w:rsidRPr="005D2879">
        <w:rPr>
          <w:rFonts w:ascii="Times New Roman" w:eastAsia="Times New Roman" w:hAnsi="Times New Roman" w:cs="Times New Roman"/>
          <w:bCs/>
          <w:sz w:val="24"/>
          <w:szCs w:val="24"/>
        </w:rPr>
        <w:t>et affordable housing</w:t>
      </w:r>
      <w:r w:rsidR="00690057">
        <w:rPr>
          <w:rFonts w:ascii="Times New Roman" w:eastAsia="Times New Roman" w:hAnsi="Times New Roman" w:cs="Times New Roman"/>
          <w:bCs/>
          <w:sz w:val="24"/>
          <w:szCs w:val="24"/>
        </w:rPr>
        <w:t xml:space="preserve"> needs</w:t>
      </w:r>
      <w:r w:rsidR="00E22302" w:rsidRPr="005D2879">
        <w:rPr>
          <w:rFonts w:ascii="Times New Roman" w:eastAsia="Times New Roman" w:hAnsi="Times New Roman" w:cs="Times New Roman"/>
          <w:bCs/>
          <w:sz w:val="24"/>
          <w:szCs w:val="24"/>
        </w:rPr>
        <w:t xml:space="preserve">.  </w:t>
      </w:r>
    </w:p>
    <w:p w14:paraId="16E8DAAF" w14:textId="77777777" w:rsidR="00996CB4" w:rsidRDefault="00996CB4" w:rsidP="00E50970">
      <w:pPr>
        <w:spacing w:after="0" w:line="240" w:lineRule="auto"/>
        <w:rPr>
          <w:rFonts w:ascii="Times New Roman" w:eastAsia="Times New Roman" w:hAnsi="Times New Roman" w:cs="Times New Roman"/>
          <w:bCs/>
          <w:sz w:val="24"/>
          <w:szCs w:val="24"/>
        </w:rPr>
      </w:pPr>
    </w:p>
    <w:p w14:paraId="43641BDD" w14:textId="4682740B" w:rsidR="009D7C1E" w:rsidRPr="00E22302" w:rsidRDefault="00E22302" w:rsidP="00E50970">
      <w:pPr>
        <w:spacing w:after="0" w:line="240" w:lineRule="auto"/>
        <w:rPr>
          <w:rFonts w:ascii="Times New Roman" w:eastAsia="Times New Roman" w:hAnsi="Times New Roman" w:cs="Times New Roman"/>
          <w:iCs/>
          <w:color w:val="000000"/>
          <w:sz w:val="24"/>
          <w:szCs w:val="24"/>
        </w:rPr>
      </w:pPr>
      <w:r w:rsidRPr="005D2879">
        <w:rPr>
          <w:rFonts w:ascii="Times New Roman" w:eastAsia="Times New Roman" w:hAnsi="Times New Roman" w:cs="Times New Roman"/>
          <w:bCs/>
          <w:sz w:val="24"/>
          <w:szCs w:val="24"/>
        </w:rPr>
        <w:t>The total dollar amount of community development loans represents</w:t>
      </w:r>
      <w:r w:rsidR="00E42777">
        <w:rPr>
          <w:rFonts w:ascii="Times New Roman" w:eastAsia="Times New Roman" w:hAnsi="Times New Roman" w:cs="Times New Roman"/>
          <w:bCs/>
          <w:sz w:val="24"/>
          <w:szCs w:val="24"/>
        </w:rPr>
        <w:t xml:space="preserve"> 2.9</w:t>
      </w:r>
      <w:r w:rsidRPr="005D2879">
        <w:rPr>
          <w:rFonts w:ascii="Times New Roman" w:eastAsia="Times New Roman" w:hAnsi="Times New Roman" w:cs="Times New Roman"/>
          <w:bCs/>
          <w:sz w:val="24"/>
          <w:szCs w:val="24"/>
        </w:rPr>
        <w:t xml:space="preserve"> percent of </w:t>
      </w:r>
      <w:r w:rsidR="005D2879" w:rsidRPr="005D2879">
        <w:rPr>
          <w:rFonts w:ascii="Times New Roman" w:eastAsia="Times New Roman" w:hAnsi="Times New Roman" w:cs="Times New Roman"/>
          <w:bCs/>
          <w:sz w:val="24"/>
          <w:szCs w:val="24"/>
        </w:rPr>
        <w:t>average total</w:t>
      </w:r>
      <w:r w:rsidRPr="005D2879">
        <w:rPr>
          <w:rFonts w:ascii="Times New Roman" w:eastAsia="Times New Roman" w:hAnsi="Times New Roman" w:cs="Times New Roman"/>
          <w:bCs/>
          <w:sz w:val="24"/>
          <w:szCs w:val="24"/>
        </w:rPr>
        <w:t xml:space="preserve"> loans.  </w:t>
      </w:r>
      <w:r w:rsidR="00CE1FB2">
        <w:rPr>
          <w:rFonts w:ascii="Times New Roman" w:eastAsia="Times New Roman" w:hAnsi="Times New Roman" w:cs="Times New Roman"/>
          <w:bCs/>
          <w:sz w:val="24"/>
          <w:szCs w:val="24"/>
        </w:rPr>
        <w:t xml:space="preserve">HOB’s community development lending compared favorably to similarly situated institutions.  </w:t>
      </w:r>
      <w:r w:rsidR="00996CB4">
        <w:rPr>
          <w:rFonts w:ascii="Times New Roman" w:eastAsia="Times New Roman" w:hAnsi="Times New Roman" w:cs="Times New Roman"/>
          <w:bCs/>
          <w:sz w:val="24"/>
          <w:szCs w:val="24"/>
        </w:rPr>
        <w:t>The bank exceeded the dollar volume of community development loans originated by Bristol County Savings Bank and BayCoast Bank, and exceed</w:t>
      </w:r>
      <w:r w:rsidR="00F8659C">
        <w:rPr>
          <w:rFonts w:ascii="Times New Roman" w:eastAsia="Times New Roman" w:hAnsi="Times New Roman" w:cs="Times New Roman"/>
          <w:bCs/>
          <w:sz w:val="24"/>
          <w:szCs w:val="24"/>
        </w:rPr>
        <w:t>ed</w:t>
      </w:r>
      <w:r w:rsidR="00996CB4">
        <w:rPr>
          <w:rFonts w:ascii="Times New Roman" w:eastAsia="Times New Roman" w:hAnsi="Times New Roman" w:cs="Times New Roman"/>
          <w:bCs/>
          <w:sz w:val="24"/>
          <w:szCs w:val="24"/>
        </w:rPr>
        <w:t xml:space="preserve"> these institutions’ ratios of community development loans to total loans.  T</w:t>
      </w:r>
      <w:r w:rsidR="00F8659C">
        <w:rPr>
          <w:rFonts w:ascii="Times New Roman" w:eastAsia="Times New Roman" w:hAnsi="Times New Roman" w:cs="Times New Roman"/>
          <w:bCs/>
          <w:sz w:val="24"/>
          <w:szCs w:val="24"/>
        </w:rPr>
        <w:t>hese institutions were either a leader o</w:t>
      </w:r>
      <w:r w:rsidR="00CE1FB2">
        <w:rPr>
          <w:rFonts w:ascii="Times New Roman" w:eastAsia="Times New Roman" w:hAnsi="Times New Roman" w:cs="Times New Roman"/>
          <w:bCs/>
          <w:sz w:val="24"/>
          <w:szCs w:val="24"/>
        </w:rPr>
        <w:t>r</w:t>
      </w:r>
      <w:r w:rsidR="00F8659C">
        <w:rPr>
          <w:rFonts w:ascii="Times New Roman" w:eastAsia="Times New Roman" w:hAnsi="Times New Roman" w:cs="Times New Roman"/>
          <w:bCs/>
          <w:sz w:val="24"/>
          <w:szCs w:val="24"/>
        </w:rPr>
        <w:t xml:space="preserve"> made a relatively high level of community development loans.</w:t>
      </w:r>
      <w:r w:rsidR="00996CB4">
        <w:rPr>
          <w:rFonts w:ascii="Times New Roman" w:eastAsia="Times New Roman" w:hAnsi="Times New Roman" w:cs="Times New Roman"/>
          <w:bCs/>
          <w:sz w:val="24"/>
          <w:szCs w:val="24"/>
        </w:rPr>
        <w:t xml:space="preserve">  </w:t>
      </w:r>
      <w:r w:rsidRPr="005D2879">
        <w:rPr>
          <w:rFonts w:ascii="Times New Roman" w:hAnsi="Times New Roman" w:cs="Times New Roman"/>
          <w:sz w:val="24"/>
          <w:szCs w:val="24"/>
        </w:rPr>
        <w:t>Refer</w:t>
      </w:r>
      <w:r w:rsidR="00690057">
        <w:rPr>
          <w:rFonts w:ascii="Times New Roman" w:hAnsi="Times New Roman" w:cs="Times New Roman"/>
          <w:sz w:val="24"/>
          <w:szCs w:val="24"/>
        </w:rPr>
        <w:t xml:space="preserve"> to rated area section</w:t>
      </w:r>
      <w:r>
        <w:rPr>
          <w:rFonts w:ascii="Times New Roman" w:hAnsi="Times New Roman" w:cs="Times New Roman"/>
          <w:sz w:val="24"/>
          <w:szCs w:val="24"/>
        </w:rPr>
        <w:t xml:space="preserve">s for a breakdown </w:t>
      </w:r>
      <w:r w:rsidR="00690057">
        <w:rPr>
          <w:rFonts w:ascii="Times New Roman" w:hAnsi="Times New Roman" w:cs="Times New Roman"/>
          <w:sz w:val="24"/>
          <w:szCs w:val="24"/>
        </w:rPr>
        <w:t>of</w:t>
      </w:r>
      <w:r>
        <w:rPr>
          <w:rFonts w:ascii="Times New Roman" w:hAnsi="Times New Roman" w:cs="Times New Roman"/>
          <w:sz w:val="24"/>
          <w:szCs w:val="24"/>
        </w:rPr>
        <w:t xml:space="preserve"> community development lending by each assessment area</w:t>
      </w:r>
      <w:r w:rsidR="00690057">
        <w:rPr>
          <w:rFonts w:ascii="Times New Roman" w:hAnsi="Times New Roman" w:cs="Times New Roman"/>
          <w:sz w:val="24"/>
          <w:szCs w:val="24"/>
        </w:rPr>
        <w:t xml:space="preserve"> and notable examples</w:t>
      </w:r>
      <w:r>
        <w:rPr>
          <w:rFonts w:ascii="Times New Roman" w:hAnsi="Times New Roman" w:cs="Times New Roman"/>
          <w:sz w:val="24"/>
          <w:szCs w:val="24"/>
        </w:rPr>
        <w:t>.</w:t>
      </w:r>
    </w:p>
    <w:p w14:paraId="07E6A925" w14:textId="7918B5B9" w:rsidR="00FC410D" w:rsidRDefault="00FC410D" w:rsidP="00E50970">
      <w:pPr>
        <w:spacing w:after="0" w:line="240" w:lineRule="auto"/>
        <w:rPr>
          <w:rFonts w:ascii="Times New Roman" w:eastAsia="Times New Roman" w:hAnsi="Times New Roman" w:cs="Times New Roman"/>
          <w:iCs/>
          <w:color w:val="000000"/>
          <w:sz w:val="24"/>
          <w:szCs w:val="24"/>
        </w:rPr>
      </w:pPr>
    </w:p>
    <w:p w14:paraId="7714B914" w14:textId="77777777" w:rsidR="00690057" w:rsidRPr="00E22302" w:rsidRDefault="00690057" w:rsidP="00E50970">
      <w:pPr>
        <w:spacing w:after="0" w:line="240" w:lineRule="auto"/>
        <w:rPr>
          <w:rFonts w:ascii="Times New Roman" w:eastAsia="Times New Roman" w:hAnsi="Times New Roman" w:cs="Times New Roman"/>
          <w:iCs/>
          <w:color w:val="000000"/>
          <w:sz w:val="24"/>
          <w:szCs w:val="24"/>
        </w:rPr>
      </w:pPr>
    </w:p>
    <w:p w14:paraId="7A38ECC5" w14:textId="77777777" w:rsidR="000525ED" w:rsidRPr="00E50970" w:rsidRDefault="000525ED" w:rsidP="000525ED">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INVESTMENT TEST</w:t>
      </w:r>
    </w:p>
    <w:p w14:paraId="74E03A33" w14:textId="77777777" w:rsidR="000525ED" w:rsidRDefault="000525ED" w:rsidP="000525ED">
      <w:pPr>
        <w:spacing w:after="0" w:line="240" w:lineRule="auto"/>
        <w:rPr>
          <w:rFonts w:ascii="Times New Roman" w:eastAsia="Times New Roman" w:hAnsi="Times New Roman" w:cs="Times New Roman"/>
          <w:bCs/>
          <w:sz w:val="24"/>
          <w:szCs w:val="24"/>
        </w:rPr>
      </w:pPr>
    </w:p>
    <w:p w14:paraId="5925A173" w14:textId="63AD18E2" w:rsidR="000525ED" w:rsidRPr="00411D29" w:rsidRDefault="000525ED" w:rsidP="000525ED">
      <w:pPr>
        <w:spacing w:line="240" w:lineRule="auto"/>
        <w:contextualSpacing/>
        <w:rPr>
          <w:rFonts w:ascii="Times New Roman" w:hAnsi="Times New Roman" w:cs="Times New Roman"/>
          <w:sz w:val="24"/>
          <w:szCs w:val="24"/>
        </w:rPr>
      </w:pPr>
      <w:r w:rsidRPr="008C1820">
        <w:rPr>
          <w:rFonts w:ascii="Times New Roman" w:hAnsi="Times New Roman" w:cs="Times New Roman"/>
          <w:sz w:val="24"/>
          <w:szCs w:val="24"/>
        </w:rPr>
        <w:t xml:space="preserve">The bank is rated Outstanding under the Investment Test.  The bank </w:t>
      </w:r>
      <w:r>
        <w:rPr>
          <w:rFonts w:ascii="Times New Roman" w:hAnsi="Times New Roman" w:cs="Times New Roman"/>
          <w:sz w:val="24"/>
          <w:szCs w:val="24"/>
        </w:rPr>
        <w:t xml:space="preserve">and </w:t>
      </w:r>
      <w:r w:rsidR="00E42777">
        <w:rPr>
          <w:rFonts w:ascii="Times New Roman" w:hAnsi="Times New Roman" w:cs="Times New Roman"/>
          <w:sz w:val="24"/>
          <w:szCs w:val="24"/>
        </w:rPr>
        <w:t xml:space="preserve">its </w:t>
      </w:r>
      <w:r>
        <w:rPr>
          <w:rFonts w:ascii="Times New Roman" w:hAnsi="Times New Roman" w:cs="Times New Roman"/>
          <w:sz w:val="24"/>
          <w:szCs w:val="24"/>
        </w:rPr>
        <w:t>foundations have</w:t>
      </w:r>
      <w:r w:rsidRPr="008C1820">
        <w:rPr>
          <w:rFonts w:ascii="Times New Roman" w:hAnsi="Times New Roman" w:cs="Times New Roman"/>
          <w:sz w:val="24"/>
          <w:szCs w:val="24"/>
        </w:rPr>
        <w:t xml:space="preserve"> an excellent level of qualified community development investments, grants, and donations, often in a leadership position, particularly those that are not routinely provided by private investors.</w:t>
      </w:r>
      <w:r>
        <w:rPr>
          <w:rFonts w:ascii="Times New Roman" w:hAnsi="Times New Roman" w:cs="Times New Roman"/>
          <w:sz w:val="24"/>
          <w:szCs w:val="24"/>
        </w:rPr>
        <w:t xml:space="preserve">  The bank exhibits excellent responsiveness to credit and community</w:t>
      </w:r>
      <w:r w:rsidR="00FC410D">
        <w:rPr>
          <w:rFonts w:ascii="Times New Roman" w:hAnsi="Times New Roman" w:cs="Times New Roman"/>
          <w:sz w:val="24"/>
          <w:szCs w:val="24"/>
        </w:rPr>
        <w:t xml:space="preserve"> development needs.  Qualified i</w:t>
      </w:r>
      <w:r>
        <w:rPr>
          <w:rFonts w:ascii="Times New Roman" w:hAnsi="Times New Roman" w:cs="Times New Roman"/>
          <w:sz w:val="24"/>
          <w:szCs w:val="24"/>
        </w:rPr>
        <w:t>nvestments and donations supported activities that predominately promote affordable housing and community services to low- and moder</w:t>
      </w:r>
      <w:r w:rsidR="00E42777">
        <w:rPr>
          <w:rFonts w:ascii="Times New Roman" w:hAnsi="Times New Roman" w:cs="Times New Roman"/>
          <w:sz w:val="24"/>
          <w:szCs w:val="24"/>
        </w:rPr>
        <w:t>ate-income individuals, which</w:t>
      </w:r>
      <w:r>
        <w:rPr>
          <w:rFonts w:ascii="Times New Roman" w:hAnsi="Times New Roman" w:cs="Times New Roman"/>
          <w:sz w:val="24"/>
          <w:szCs w:val="24"/>
        </w:rPr>
        <w:t xml:space="preserve"> community contacts identified as great needs in the combined assessment area.</w:t>
      </w:r>
      <w:r w:rsidR="00E7209E">
        <w:rPr>
          <w:rFonts w:ascii="Times New Roman" w:hAnsi="Times New Roman" w:cs="Times New Roman"/>
          <w:sz w:val="24"/>
          <w:szCs w:val="24"/>
        </w:rPr>
        <w:t xml:space="preserve">  The bank </w:t>
      </w:r>
      <w:r w:rsidR="007E2A11">
        <w:rPr>
          <w:rFonts w:ascii="Times New Roman" w:hAnsi="Times New Roman" w:cs="Times New Roman"/>
          <w:sz w:val="24"/>
          <w:szCs w:val="24"/>
        </w:rPr>
        <w:t>makes significant use of</w:t>
      </w:r>
      <w:r w:rsidR="00E7209E">
        <w:rPr>
          <w:rFonts w:ascii="Times New Roman" w:hAnsi="Times New Roman" w:cs="Times New Roman"/>
          <w:sz w:val="24"/>
          <w:szCs w:val="24"/>
        </w:rPr>
        <w:t xml:space="preserve"> innovative and/or complex investments to support community development initiatives</w:t>
      </w:r>
      <w:r w:rsidR="00985D0B">
        <w:rPr>
          <w:rFonts w:ascii="Times New Roman" w:hAnsi="Times New Roman" w:cs="Times New Roman"/>
          <w:sz w:val="24"/>
          <w:szCs w:val="24"/>
        </w:rPr>
        <w:t xml:space="preserve">. </w:t>
      </w:r>
      <w:r>
        <w:rPr>
          <w:rFonts w:ascii="Times New Roman" w:hAnsi="Times New Roman" w:cs="Times New Roman"/>
          <w:sz w:val="24"/>
          <w:szCs w:val="24"/>
        </w:rPr>
        <w:t xml:space="preserve"> </w:t>
      </w:r>
      <w:r w:rsidR="007E2A11">
        <w:rPr>
          <w:rFonts w:ascii="Times New Roman" w:hAnsi="Times New Roman" w:cs="Times New Roman"/>
          <w:sz w:val="24"/>
          <w:szCs w:val="24"/>
        </w:rPr>
        <w:t>B</w:t>
      </w:r>
      <w:r w:rsidRPr="004646EB">
        <w:rPr>
          <w:rFonts w:ascii="Times New Roman" w:eastAsia="Times New Roman" w:hAnsi="Times New Roman" w:cs="Times New Roman"/>
          <w:bCs/>
          <w:sz w:val="24"/>
          <w:szCs w:val="24"/>
        </w:rPr>
        <w:t xml:space="preserve">ank performance in </w:t>
      </w:r>
      <w:r w:rsidR="00985D0B">
        <w:rPr>
          <w:rFonts w:ascii="Times New Roman" w:eastAsia="Times New Roman" w:hAnsi="Times New Roman" w:cs="Times New Roman"/>
          <w:bCs/>
          <w:sz w:val="24"/>
          <w:szCs w:val="24"/>
        </w:rPr>
        <w:t xml:space="preserve">the Massachusetts </w:t>
      </w:r>
      <w:r w:rsidR="00E42777">
        <w:rPr>
          <w:rFonts w:ascii="Times New Roman" w:eastAsia="Times New Roman" w:hAnsi="Times New Roman" w:cs="Times New Roman"/>
          <w:bCs/>
          <w:sz w:val="24"/>
          <w:szCs w:val="24"/>
        </w:rPr>
        <w:t>rated</w:t>
      </w:r>
      <w:r>
        <w:rPr>
          <w:rFonts w:ascii="Times New Roman" w:eastAsia="Times New Roman" w:hAnsi="Times New Roman" w:cs="Times New Roman"/>
          <w:bCs/>
          <w:sz w:val="24"/>
          <w:szCs w:val="24"/>
        </w:rPr>
        <w:t xml:space="preserve"> area </w:t>
      </w:r>
      <w:r w:rsidR="00707470">
        <w:rPr>
          <w:rFonts w:ascii="Times New Roman" w:eastAsia="Times New Roman" w:hAnsi="Times New Roman" w:cs="Times New Roman"/>
          <w:bCs/>
          <w:sz w:val="24"/>
          <w:szCs w:val="24"/>
        </w:rPr>
        <w:t>is consistent with the overall Investment Test rating</w:t>
      </w:r>
      <w:r w:rsidR="00985D0B">
        <w:rPr>
          <w:rFonts w:ascii="Times New Roman" w:eastAsia="Times New Roman" w:hAnsi="Times New Roman" w:cs="Times New Roman"/>
          <w:bCs/>
          <w:sz w:val="24"/>
          <w:szCs w:val="24"/>
        </w:rPr>
        <w:t>, while performance in the Providence-Warwick, RI-MA rated area is slightly below the overall rating</w:t>
      </w:r>
      <w:r w:rsidR="00AC3896">
        <w:rPr>
          <w:rFonts w:ascii="Times New Roman" w:eastAsia="Times New Roman" w:hAnsi="Times New Roman" w:cs="Times New Roman"/>
          <w:bCs/>
          <w:sz w:val="24"/>
          <w:szCs w:val="24"/>
        </w:rPr>
        <w:t>.</w:t>
      </w:r>
    </w:p>
    <w:p w14:paraId="13AF9A69" w14:textId="77777777" w:rsidR="000525ED" w:rsidRDefault="000525ED" w:rsidP="000525ED">
      <w:pPr>
        <w:spacing w:after="0" w:line="240" w:lineRule="auto"/>
        <w:contextualSpacing/>
        <w:rPr>
          <w:rFonts w:ascii="Times New Roman" w:eastAsia="Times New Roman" w:hAnsi="Times New Roman" w:cs="Times New Roman"/>
          <w:bCs/>
          <w:sz w:val="24"/>
          <w:szCs w:val="24"/>
        </w:rPr>
      </w:pPr>
    </w:p>
    <w:p w14:paraId="326E1DBB" w14:textId="5D1B662A" w:rsidR="007E2A11" w:rsidRDefault="000525ED" w:rsidP="000525ED">
      <w:pPr>
        <w:spacing w:line="240" w:lineRule="auto"/>
        <w:contextualSpacing/>
        <w:rPr>
          <w:rFonts w:ascii="Times New Roman" w:hAnsi="Times New Roman" w:cs="Times New Roman"/>
          <w:sz w:val="24"/>
          <w:szCs w:val="24"/>
        </w:rPr>
      </w:pPr>
      <w:r>
        <w:rPr>
          <w:rFonts w:ascii="Times New Roman" w:hAnsi="Times New Roman" w:cs="Times New Roman"/>
          <w:sz w:val="24"/>
          <w:szCs w:val="24"/>
        </w:rPr>
        <w:t>During the evaluation period, qualified investments, grants</w:t>
      </w:r>
      <w:r w:rsidR="005B2962">
        <w:rPr>
          <w:rFonts w:ascii="Times New Roman" w:hAnsi="Times New Roman" w:cs="Times New Roman"/>
          <w:sz w:val="24"/>
          <w:szCs w:val="24"/>
        </w:rPr>
        <w:t>,</w:t>
      </w:r>
      <w:r>
        <w:rPr>
          <w:rFonts w:ascii="Times New Roman" w:hAnsi="Times New Roman" w:cs="Times New Roman"/>
          <w:sz w:val="24"/>
          <w:szCs w:val="24"/>
        </w:rPr>
        <w:t xml:space="preserve"> and donations totaled $32.3 million, which represents 0.9 percent of average total asse</w:t>
      </w:r>
      <w:r w:rsidR="00E42777">
        <w:rPr>
          <w:rFonts w:ascii="Times New Roman" w:hAnsi="Times New Roman" w:cs="Times New Roman"/>
          <w:sz w:val="24"/>
          <w:szCs w:val="24"/>
        </w:rPr>
        <w:t>ts and 13.1</w:t>
      </w:r>
      <w:r>
        <w:rPr>
          <w:rFonts w:ascii="Times New Roman" w:hAnsi="Times New Roman" w:cs="Times New Roman"/>
          <w:sz w:val="24"/>
          <w:szCs w:val="24"/>
        </w:rPr>
        <w:t xml:space="preserve"> percent of average total securities.  </w:t>
      </w:r>
      <w:r w:rsidR="004966F9">
        <w:rPr>
          <w:rFonts w:ascii="Times New Roman" w:hAnsi="Times New Roman" w:cs="Times New Roman"/>
          <w:sz w:val="24"/>
          <w:szCs w:val="24"/>
        </w:rPr>
        <w:t xml:space="preserve">Specifically, equity investments totaled $29.2 million and donations totaled $3.1 million.  </w:t>
      </w:r>
      <w:r>
        <w:rPr>
          <w:rFonts w:ascii="Times New Roman" w:hAnsi="Times New Roman" w:cs="Times New Roman"/>
          <w:sz w:val="24"/>
          <w:szCs w:val="24"/>
        </w:rPr>
        <w:t xml:space="preserve">The $32.3 </w:t>
      </w:r>
      <w:r>
        <w:rPr>
          <w:rFonts w:ascii="Times New Roman" w:hAnsi="Times New Roman" w:cs="Times New Roman"/>
          <w:sz w:val="24"/>
          <w:szCs w:val="24"/>
        </w:rPr>
        <w:lastRenderedPageBreak/>
        <w:t>million in qualified investments and donations represents a</w:t>
      </w:r>
      <w:r w:rsidR="00E42777">
        <w:rPr>
          <w:rFonts w:ascii="Times New Roman" w:hAnsi="Times New Roman" w:cs="Times New Roman"/>
          <w:sz w:val="24"/>
          <w:szCs w:val="24"/>
        </w:rPr>
        <w:t xml:space="preserve"> </w:t>
      </w:r>
      <w:r>
        <w:rPr>
          <w:rFonts w:ascii="Times New Roman" w:hAnsi="Times New Roman" w:cs="Times New Roman"/>
          <w:sz w:val="24"/>
          <w:szCs w:val="24"/>
        </w:rPr>
        <w:t>n</w:t>
      </w:r>
      <w:r w:rsidR="00E42777">
        <w:rPr>
          <w:rFonts w:ascii="Times New Roman" w:hAnsi="Times New Roman" w:cs="Times New Roman"/>
          <w:sz w:val="24"/>
          <w:szCs w:val="24"/>
        </w:rPr>
        <w:t>otable</w:t>
      </w:r>
      <w:r>
        <w:rPr>
          <w:rFonts w:ascii="Times New Roman" w:hAnsi="Times New Roman" w:cs="Times New Roman"/>
          <w:sz w:val="24"/>
          <w:szCs w:val="24"/>
        </w:rPr>
        <w:t xml:space="preserve"> increase since the last evaluation period, when qualified investments totaled $21.3 million</w:t>
      </w:r>
      <w:r w:rsidR="001412F6">
        <w:rPr>
          <w:rFonts w:ascii="Times New Roman" w:hAnsi="Times New Roman" w:cs="Times New Roman"/>
          <w:sz w:val="24"/>
          <w:szCs w:val="24"/>
        </w:rPr>
        <w:t>, representing 0.8 percent of total assets and 8.4 percent of total securities</w:t>
      </w:r>
      <w:r>
        <w:rPr>
          <w:rFonts w:ascii="Times New Roman" w:hAnsi="Times New Roman" w:cs="Times New Roman"/>
          <w:sz w:val="24"/>
          <w:szCs w:val="24"/>
        </w:rPr>
        <w:t xml:space="preserve">. </w:t>
      </w:r>
      <w:r w:rsidR="007E2A11">
        <w:rPr>
          <w:rFonts w:ascii="Times New Roman" w:hAnsi="Times New Roman" w:cs="Times New Roman"/>
          <w:sz w:val="24"/>
          <w:szCs w:val="24"/>
        </w:rPr>
        <w:t xml:space="preserve"> </w:t>
      </w:r>
    </w:p>
    <w:p w14:paraId="5A1E71CA" w14:textId="77777777" w:rsidR="007E2A11" w:rsidRDefault="007E2A11" w:rsidP="000525ED">
      <w:pPr>
        <w:spacing w:line="240" w:lineRule="auto"/>
        <w:contextualSpacing/>
        <w:rPr>
          <w:rFonts w:ascii="Times New Roman" w:hAnsi="Times New Roman" w:cs="Times New Roman"/>
          <w:sz w:val="24"/>
          <w:szCs w:val="24"/>
        </w:rPr>
      </w:pPr>
    </w:p>
    <w:p w14:paraId="25242B9A" w14:textId="1EA93FCE" w:rsidR="00985DAD" w:rsidRPr="00EC74FB" w:rsidRDefault="007E2A11" w:rsidP="000525E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The bank’s qualified investment total and performance ratios are comparable with or exceed similarly situation institutions.  Hingham Institution for Savings had $9.0 million in qualified investments, representing 0.5 percent of total assets and 3.0 percent of total securities, earning a High Satisfactory rating.  The bank also exceeded qualified investment totals for BayCoast Bank ($25.6 million) and Bristol County Savings Bank ($20.2 million)</w:t>
      </w:r>
      <w:r w:rsidR="007742FD">
        <w:rPr>
          <w:rFonts w:ascii="Times New Roman" w:hAnsi="Times New Roman" w:cs="Times New Roman"/>
          <w:sz w:val="24"/>
          <w:szCs w:val="24"/>
        </w:rPr>
        <w:t>.  These institutions received Outstanding Investment Test ratings with comparable performance ratios.</w:t>
      </w:r>
    </w:p>
    <w:p w14:paraId="28D6BA4B" w14:textId="77777777" w:rsidR="00985DAD" w:rsidRDefault="00985DAD" w:rsidP="000525ED">
      <w:pPr>
        <w:spacing w:line="240" w:lineRule="auto"/>
        <w:contextualSpacing/>
        <w:rPr>
          <w:rFonts w:ascii="Times New Roman" w:hAnsi="Times New Roman" w:cs="Times New Roman"/>
          <w:sz w:val="24"/>
          <w:szCs w:val="24"/>
        </w:rPr>
      </w:pPr>
    </w:p>
    <w:p w14:paraId="52C37B9F" w14:textId="1B1FD6AF" w:rsidR="000525ED" w:rsidRDefault="00BA588D" w:rsidP="000525E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are </w:t>
      </w:r>
      <w:r w:rsidR="00E7008B">
        <w:rPr>
          <w:rFonts w:ascii="Times New Roman" w:hAnsi="Times New Roman" w:cs="Times New Roman"/>
          <w:sz w:val="24"/>
          <w:szCs w:val="24"/>
        </w:rPr>
        <w:t xml:space="preserve">notable </w:t>
      </w:r>
      <w:r>
        <w:rPr>
          <w:rFonts w:ascii="Times New Roman" w:hAnsi="Times New Roman" w:cs="Times New Roman"/>
          <w:sz w:val="24"/>
          <w:szCs w:val="24"/>
        </w:rPr>
        <w:t>qua</w:t>
      </w:r>
      <w:r w:rsidR="00985DAD">
        <w:rPr>
          <w:rFonts w:ascii="Times New Roman" w:hAnsi="Times New Roman" w:cs="Times New Roman"/>
          <w:sz w:val="24"/>
          <w:szCs w:val="24"/>
        </w:rPr>
        <w:t xml:space="preserve">lified investments benefitting </w:t>
      </w:r>
      <w:r w:rsidR="00AE65DA">
        <w:rPr>
          <w:rFonts w:ascii="Times New Roman" w:hAnsi="Times New Roman" w:cs="Times New Roman"/>
          <w:sz w:val="24"/>
          <w:szCs w:val="24"/>
        </w:rPr>
        <w:t>all</w:t>
      </w:r>
      <w:r w:rsidR="00985DAD">
        <w:rPr>
          <w:rFonts w:ascii="Times New Roman" w:hAnsi="Times New Roman" w:cs="Times New Roman"/>
          <w:sz w:val="24"/>
          <w:szCs w:val="24"/>
        </w:rPr>
        <w:t xml:space="preserve"> assessment areas or a broader statewide/regional area.</w:t>
      </w:r>
    </w:p>
    <w:p w14:paraId="1BC6E053" w14:textId="52127C0C" w:rsidR="00267D9D" w:rsidRDefault="00267D9D" w:rsidP="000525ED">
      <w:pPr>
        <w:spacing w:line="240" w:lineRule="auto"/>
        <w:contextualSpacing/>
        <w:rPr>
          <w:rFonts w:ascii="Times New Roman" w:hAnsi="Times New Roman" w:cs="Times New Roman"/>
          <w:sz w:val="24"/>
          <w:szCs w:val="24"/>
        </w:rPr>
      </w:pPr>
    </w:p>
    <w:p w14:paraId="6E5955BD" w14:textId="3D6DA079" w:rsidR="00267D9D" w:rsidRPr="00231215" w:rsidRDefault="00267D9D" w:rsidP="00267D9D">
      <w:pPr>
        <w:spacing w:line="240" w:lineRule="auto"/>
        <w:contextualSpacing/>
        <w:rPr>
          <w:rFonts w:ascii="Times New Roman" w:hAnsi="Times New Roman" w:cs="Times New Roman"/>
          <w:sz w:val="24"/>
          <w:szCs w:val="24"/>
        </w:rPr>
      </w:pPr>
      <w:r w:rsidRPr="00231215">
        <w:rPr>
          <w:rFonts w:ascii="Times New Roman" w:hAnsi="Times New Roman" w:cs="Times New Roman"/>
          <w:i/>
          <w:sz w:val="24"/>
          <w:szCs w:val="24"/>
        </w:rPr>
        <w:t xml:space="preserve">Small Business Investment Companies (SBIC) – </w:t>
      </w:r>
      <w:r w:rsidRPr="00231215">
        <w:rPr>
          <w:rFonts w:ascii="Times New Roman" w:hAnsi="Times New Roman" w:cs="Times New Roman"/>
          <w:sz w:val="24"/>
          <w:szCs w:val="24"/>
        </w:rPr>
        <w:t xml:space="preserve">The bank maintained </w:t>
      </w:r>
      <w:r>
        <w:rPr>
          <w:rFonts w:ascii="Times New Roman" w:hAnsi="Times New Roman" w:cs="Times New Roman"/>
          <w:sz w:val="24"/>
          <w:szCs w:val="24"/>
        </w:rPr>
        <w:t>three</w:t>
      </w:r>
      <w:r w:rsidRPr="00231215">
        <w:rPr>
          <w:rFonts w:ascii="Times New Roman" w:hAnsi="Times New Roman" w:cs="Times New Roman"/>
          <w:sz w:val="24"/>
          <w:szCs w:val="24"/>
        </w:rPr>
        <w:t xml:space="preserve"> SBIC investments from the previous evaluation period.  </w:t>
      </w:r>
      <w:r>
        <w:rPr>
          <w:rFonts w:ascii="Times New Roman" w:hAnsi="Times New Roman" w:cs="Times New Roman"/>
          <w:sz w:val="24"/>
          <w:szCs w:val="24"/>
        </w:rPr>
        <w:t>F</w:t>
      </w:r>
      <w:r w:rsidRPr="00231215">
        <w:rPr>
          <w:rFonts w:ascii="Times New Roman" w:hAnsi="Times New Roman" w:cs="Times New Roman"/>
          <w:sz w:val="24"/>
          <w:szCs w:val="24"/>
        </w:rPr>
        <w:t>unds from the bonds help finance small businesses through loans with low interest rates.  The rates are set according to the cost of funds to the Federal Government.  The book value of these invest</w:t>
      </w:r>
      <w:r>
        <w:rPr>
          <w:rFonts w:ascii="Times New Roman" w:hAnsi="Times New Roman" w:cs="Times New Roman"/>
          <w:sz w:val="24"/>
          <w:szCs w:val="24"/>
        </w:rPr>
        <w:t>ments wa</w:t>
      </w:r>
      <w:r w:rsidRPr="00231215">
        <w:rPr>
          <w:rFonts w:ascii="Times New Roman" w:hAnsi="Times New Roman" w:cs="Times New Roman"/>
          <w:sz w:val="24"/>
          <w:szCs w:val="24"/>
        </w:rPr>
        <w:t>s $6.3 million</w:t>
      </w:r>
      <w:r>
        <w:rPr>
          <w:rFonts w:ascii="Times New Roman" w:hAnsi="Times New Roman" w:cs="Times New Roman"/>
          <w:sz w:val="24"/>
          <w:szCs w:val="24"/>
        </w:rPr>
        <w:t xml:space="preserve"> as of the evaluation date</w:t>
      </w:r>
      <w:r w:rsidRPr="00231215">
        <w:rPr>
          <w:rFonts w:ascii="Times New Roman" w:hAnsi="Times New Roman" w:cs="Times New Roman"/>
          <w:sz w:val="24"/>
          <w:szCs w:val="24"/>
        </w:rPr>
        <w:t>.</w:t>
      </w:r>
    </w:p>
    <w:p w14:paraId="743B21E0" w14:textId="77777777" w:rsidR="00267D9D" w:rsidRPr="00231215" w:rsidRDefault="00267D9D" w:rsidP="00267D9D">
      <w:pPr>
        <w:spacing w:line="240" w:lineRule="auto"/>
        <w:contextualSpacing/>
        <w:rPr>
          <w:rFonts w:ascii="Times New Roman" w:hAnsi="Times New Roman" w:cs="Times New Roman"/>
          <w:i/>
          <w:sz w:val="24"/>
          <w:szCs w:val="24"/>
        </w:rPr>
      </w:pPr>
    </w:p>
    <w:p w14:paraId="1B8F9613" w14:textId="3F59BC3E" w:rsidR="00267D9D" w:rsidRDefault="00267D9D" w:rsidP="00267D9D">
      <w:pPr>
        <w:spacing w:line="240" w:lineRule="auto"/>
        <w:contextualSpacing/>
        <w:rPr>
          <w:rFonts w:ascii="Times New Roman" w:hAnsi="Times New Roman" w:cs="Times New Roman"/>
          <w:sz w:val="24"/>
          <w:szCs w:val="24"/>
        </w:rPr>
      </w:pPr>
      <w:r w:rsidRPr="00231215">
        <w:rPr>
          <w:rFonts w:ascii="Times New Roman" w:hAnsi="Times New Roman" w:cs="Times New Roman"/>
          <w:i/>
          <w:sz w:val="24"/>
          <w:szCs w:val="24"/>
        </w:rPr>
        <w:t>M</w:t>
      </w:r>
      <w:r w:rsidR="00DE3115">
        <w:rPr>
          <w:rFonts w:ascii="Times New Roman" w:hAnsi="Times New Roman" w:cs="Times New Roman"/>
          <w:i/>
          <w:sz w:val="24"/>
          <w:szCs w:val="24"/>
        </w:rPr>
        <w:t xml:space="preserve">assachusetts </w:t>
      </w:r>
      <w:r w:rsidR="00DE3115" w:rsidRPr="00231215">
        <w:rPr>
          <w:rFonts w:ascii="Times New Roman" w:hAnsi="Times New Roman" w:cs="Times New Roman"/>
          <w:i/>
          <w:sz w:val="24"/>
          <w:szCs w:val="24"/>
        </w:rPr>
        <w:t>B</w:t>
      </w:r>
      <w:r w:rsidR="00DE3115">
        <w:rPr>
          <w:rFonts w:ascii="Times New Roman" w:hAnsi="Times New Roman" w:cs="Times New Roman"/>
          <w:i/>
          <w:sz w:val="24"/>
          <w:szCs w:val="24"/>
        </w:rPr>
        <w:t>usiness (MB)</w:t>
      </w:r>
      <w:r w:rsidRPr="00231215">
        <w:rPr>
          <w:rFonts w:ascii="Times New Roman" w:hAnsi="Times New Roman" w:cs="Times New Roman"/>
          <w:i/>
          <w:sz w:val="24"/>
          <w:szCs w:val="24"/>
        </w:rPr>
        <w:t xml:space="preserve"> Capital Fund IV – </w:t>
      </w:r>
      <w:r w:rsidRPr="00231215">
        <w:rPr>
          <w:rFonts w:ascii="Times New Roman" w:hAnsi="Times New Roman" w:cs="Times New Roman"/>
          <w:sz w:val="24"/>
          <w:szCs w:val="24"/>
        </w:rPr>
        <w:t>MB Capital Fund is a limited partnership managed by the Massachusetts Business Development Corporation (MBDC).  MBDC provides supplemental financing and financial services to growing companies throughout the regional area.  The objective of the partnership is to provide capital to established small businesses in need of capital growth.  Th</w:t>
      </w:r>
      <w:r>
        <w:rPr>
          <w:rFonts w:ascii="Times New Roman" w:hAnsi="Times New Roman" w:cs="Times New Roman"/>
          <w:sz w:val="24"/>
          <w:szCs w:val="24"/>
        </w:rPr>
        <w:t>e book value of the investment wa</w:t>
      </w:r>
      <w:r w:rsidRPr="00231215">
        <w:rPr>
          <w:rFonts w:ascii="Times New Roman" w:hAnsi="Times New Roman" w:cs="Times New Roman"/>
          <w:sz w:val="24"/>
          <w:szCs w:val="24"/>
        </w:rPr>
        <w:t>s $941,284</w:t>
      </w:r>
      <w:r>
        <w:rPr>
          <w:rFonts w:ascii="Times New Roman" w:hAnsi="Times New Roman" w:cs="Times New Roman"/>
          <w:sz w:val="24"/>
          <w:szCs w:val="24"/>
        </w:rPr>
        <w:t xml:space="preserve"> as of the evaluation date</w:t>
      </w:r>
      <w:r w:rsidRPr="00231215">
        <w:rPr>
          <w:rFonts w:ascii="Times New Roman" w:hAnsi="Times New Roman" w:cs="Times New Roman"/>
          <w:sz w:val="24"/>
          <w:szCs w:val="24"/>
        </w:rPr>
        <w:t>.</w:t>
      </w:r>
    </w:p>
    <w:p w14:paraId="4A5D846B" w14:textId="2F39BA02" w:rsidR="00267D9D" w:rsidRDefault="00267D9D" w:rsidP="00267D9D">
      <w:pPr>
        <w:spacing w:line="240" w:lineRule="auto"/>
        <w:contextualSpacing/>
        <w:rPr>
          <w:rFonts w:ascii="Times New Roman" w:hAnsi="Times New Roman" w:cs="Times New Roman"/>
          <w:sz w:val="24"/>
          <w:szCs w:val="24"/>
        </w:rPr>
      </w:pPr>
    </w:p>
    <w:p w14:paraId="3E2A29F6" w14:textId="6776AD65" w:rsidR="00267D9D" w:rsidRDefault="00267D9D" w:rsidP="00267D9D">
      <w:pPr>
        <w:spacing w:line="240" w:lineRule="auto"/>
        <w:contextualSpacing/>
        <w:rPr>
          <w:rFonts w:ascii="Times New Roman" w:hAnsi="Times New Roman" w:cs="Times New Roman"/>
          <w:sz w:val="24"/>
          <w:szCs w:val="24"/>
        </w:rPr>
      </w:pPr>
      <w:r w:rsidRPr="00231215">
        <w:rPr>
          <w:rFonts w:ascii="Times New Roman" w:hAnsi="Times New Roman" w:cs="Times New Roman"/>
          <w:i/>
          <w:sz w:val="24"/>
          <w:szCs w:val="24"/>
        </w:rPr>
        <w:t xml:space="preserve">MA Low Income Housing Tax Program – </w:t>
      </w:r>
      <w:r w:rsidRPr="00231215">
        <w:rPr>
          <w:rFonts w:ascii="Times New Roman" w:hAnsi="Times New Roman" w:cs="Times New Roman"/>
          <w:sz w:val="24"/>
          <w:szCs w:val="24"/>
        </w:rPr>
        <w:t>In 2020, the bank invested $2</w:t>
      </w:r>
      <w:r w:rsidR="00DE3115">
        <w:rPr>
          <w:rFonts w:ascii="Times New Roman" w:hAnsi="Times New Roman" w:cs="Times New Roman"/>
          <w:sz w:val="24"/>
          <w:szCs w:val="24"/>
        </w:rPr>
        <w:t>.0</w:t>
      </w:r>
      <w:r w:rsidRPr="00231215">
        <w:rPr>
          <w:rFonts w:ascii="Times New Roman" w:hAnsi="Times New Roman" w:cs="Times New Roman"/>
          <w:sz w:val="24"/>
          <w:szCs w:val="24"/>
        </w:rPr>
        <w:t xml:space="preserve"> million in the Massachusetts Housing Equity Fund XXVI LLC (MHEF).  MHEF will acquire interests in various limited partnerships and/or limited liability companies that will engage in low-income housing improvement projects in Massachusetts.  Specifically, the investment promotes affordable housing and is projected to create over 100 units of affordable housing. </w:t>
      </w:r>
    </w:p>
    <w:p w14:paraId="015C49F2" w14:textId="49FA5E06" w:rsidR="007E2A11" w:rsidRDefault="007E2A11" w:rsidP="00267D9D">
      <w:pPr>
        <w:spacing w:line="240" w:lineRule="auto"/>
        <w:contextualSpacing/>
        <w:rPr>
          <w:rFonts w:ascii="Times New Roman" w:hAnsi="Times New Roman" w:cs="Times New Roman"/>
          <w:sz w:val="24"/>
          <w:szCs w:val="24"/>
        </w:rPr>
      </w:pPr>
    </w:p>
    <w:p w14:paraId="24F5EF03" w14:textId="6787FB9E" w:rsidR="007E2A11" w:rsidRPr="00231215" w:rsidRDefault="007E2A11" w:rsidP="00267D9D">
      <w:pPr>
        <w:spacing w:line="240" w:lineRule="auto"/>
        <w:contextualSpacing/>
        <w:rPr>
          <w:rFonts w:ascii="Times New Roman" w:hAnsi="Times New Roman" w:cs="Times New Roman"/>
          <w:sz w:val="24"/>
          <w:szCs w:val="24"/>
        </w:rPr>
      </w:pPr>
      <w:r w:rsidRPr="005D2879">
        <w:rPr>
          <w:rFonts w:ascii="Times New Roman" w:hAnsi="Times New Roman" w:cs="Times New Roman"/>
          <w:sz w:val="24"/>
          <w:szCs w:val="24"/>
        </w:rPr>
        <w:t>Refer</w:t>
      </w:r>
      <w:r>
        <w:rPr>
          <w:rFonts w:ascii="Times New Roman" w:hAnsi="Times New Roman" w:cs="Times New Roman"/>
          <w:sz w:val="24"/>
          <w:szCs w:val="24"/>
        </w:rPr>
        <w:t xml:space="preserve"> to rated area sections for performance details under each factor and notable qualified investment examples in these areas.  </w:t>
      </w:r>
    </w:p>
    <w:p w14:paraId="72988D84" w14:textId="77777777" w:rsidR="00267D9D" w:rsidRPr="00231215" w:rsidRDefault="00267D9D" w:rsidP="00267D9D">
      <w:pPr>
        <w:spacing w:line="240" w:lineRule="auto"/>
        <w:contextualSpacing/>
        <w:rPr>
          <w:rFonts w:ascii="Times New Roman" w:hAnsi="Times New Roman" w:cs="Times New Roman"/>
          <w:i/>
          <w:sz w:val="24"/>
          <w:szCs w:val="24"/>
        </w:rPr>
      </w:pPr>
    </w:p>
    <w:p w14:paraId="59743D76" w14:textId="77777777" w:rsidR="00F54964" w:rsidRDefault="00F54964" w:rsidP="000525ED">
      <w:pPr>
        <w:spacing w:after="0" w:line="240" w:lineRule="auto"/>
        <w:rPr>
          <w:rFonts w:ascii="Times New Roman" w:eastAsia="Times New Roman" w:hAnsi="Times New Roman" w:cs="Times New Roman"/>
          <w:iCs/>
          <w:sz w:val="24"/>
          <w:szCs w:val="24"/>
        </w:rPr>
      </w:pPr>
    </w:p>
    <w:p w14:paraId="7A611DC5" w14:textId="77777777" w:rsidR="000525ED" w:rsidRPr="005A51A3" w:rsidRDefault="000525ED" w:rsidP="000525ED">
      <w:pPr>
        <w:spacing w:after="0" w:line="240" w:lineRule="auto"/>
        <w:rPr>
          <w:rFonts w:ascii="Times New Roman" w:eastAsia="Times New Roman" w:hAnsi="Times New Roman" w:cs="Times New Roman"/>
          <w:b/>
          <w:bCs/>
          <w:sz w:val="24"/>
          <w:szCs w:val="24"/>
        </w:rPr>
      </w:pPr>
      <w:r w:rsidRPr="005A51A3">
        <w:rPr>
          <w:rFonts w:ascii="Times New Roman" w:eastAsia="Times New Roman" w:hAnsi="Times New Roman" w:cs="Times New Roman"/>
          <w:b/>
          <w:bCs/>
          <w:sz w:val="24"/>
          <w:szCs w:val="24"/>
        </w:rPr>
        <w:t>SERVICE TEST</w:t>
      </w:r>
    </w:p>
    <w:p w14:paraId="7AC01210" w14:textId="77777777" w:rsidR="000525ED" w:rsidRDefault="000525ED" w:rsidP="000525ED">
      <w:pPr>
        <w:spacing w:after="0" w:line="240" w:lineRule="auto"/>
        <w:rPr>
          <w:rFonts w:ascii="Times New Roman" w:eastAsia="Times New Roman" w:hAnsi="Times New Roman" w:cs="Times New Roman"/>
          <w:bCs/>
          <w:sz w:val="24"/>
          <w:szCs w:val="24"/>
        </w:rPr>
      </w:pPr>
    </w:p>
    <w:p w14:paraId="48D6D797" w14:textId="4746531B" w:rsidR="00677D92" w:rsidRDefault="000525ED" w:rsidP="00411D29">
      <w:pPr>
        <w:spacing w:after="0" w:line="240" w:lineRule="auto"/>
        <w:rPr>
          <w:rFonts w:ascii="Times New Roman" w:hAnsi="Times New Roman" w:cs="Times New Roman"/>
          <w:sz w:val="24"/>
          <w:szCs w:val="24"/>
        </w:rPr>
      </w:pPr>
      <w:r w:rsidRPr="00843C97">
        <w:rPr>
          <w:rFonts w:ascii="Times New Roman" w:eastAsia="Times New Roman" w:hAnsi="Times New Roman" w:cs="Times New Roman"/>
          <w:bCs/>
          <w:sz w:val="24"/>
          <w:szCs w:val="24"/>
        </w:rPr>
        <w:t xml:space="preserve">The bank’s overall Service Test performance is rated Outstanding.  </w:t>
      </w:r>
      <w:r w:rsidRPr="00843C97">
        <w:rPr>
          <w:rFonts w:ascii="Times New Roman" w:hAnsi="Times New Roman" w:cs="Times New Roman"/>
          <w:sz w:val="24"/>
          <w:szCs w:val="24"/>
        </w:rPr>
        <w:t>Delivery systems are readily accessible to all portions of the assessment area.  To the extent changes have been made, the institution’s opening and closing of branches has improved the accessibility of its delivery systems, particularly in low- and moderate-income geographies and to low- and moderate-income individuals.  Services and business hours are tailored to the convenience and needs of the assessment area, particularly low- and moderate-income geographies and individuals.  The institution is a leader in providing community development services</w:t>
      </w:r>
      <w:r>
        <w:rPr>
          <w:rFonts w:ascii="Times New Roman" w:hAnsi="Times New Roman" w:cs="Times New Roman"/>
          <w:sz w:val="24"/>
          <w:szCs w:val="24"/>
        </w:rPr>
        <w:t>.</w:t>
      </w:r>
      <w:r w:rsidR="000A06A2">
        <w:rPr>
          <w:rFonts w:ascii="Times New Roman" w:hAnsi="Times New Roman" w:cs="Times New Roman"/>
          <w:sz w:val="24"/>
          <w:szCs w:val="24"/>
        </w:rPr>
        <w:t xml:space="preserve">  During the evaluation period, the bank provided 5,705 hours of qualified community development services.  </w:t>
      </w:r>
      <w:r>
        <w:rPr>
          <w:rFonts w:ascii="Times New Roman" w:hAnsi="Times New Roman" w:cs="Times New Roman"/>
          <w:sz w:val="24"/>
          <w:szCs w:val="24"/>
        </w:rPr>
        <w:t xml:space="preserve">  </w:t>
      </w:r>
    </w:p>
    <w:p w14:paraId="1CA22195" w14:textId="77777777" w:rsidR="00677D92" w:rsidRDefault="00677D92" w:rsidP="00411D29">
      <w:pPr>
        <w:spacing w:after="0" w:line="240" w:lineRule="auto"/>
        <w:rPr>
          <w:rFonts w:ascii="Times New Roman" w:hAnsi="Times New Roman" w:cs="Times New Roman"/>
          <w:sz w:val="24"/>
          <w:szCs w:val="24"/>
        </w:rPr>
      </w:pPr>
    </w:p>
    <w:p w14:paraId="174CA6E7" w14:textId="468939FF" w:rsidR="00E005CB" w:rsidRDefault="00985D0B" w:rsidP="00411D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eastAsia="Times New Roman" w:hAnsi="Times New Roman" w:cs="Times New Roman"/>
          <w:bCs/>
          <w:sz w:val="24"/>
          <w:szCs w:val="24"/>
        </w:rPr>
        <w:t>bank’s performance</w:t>
      </w:r>
      <w:r w:rsidR="002D55E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in the Massachusetts </w:t>
      </w:r>
      <w:r w:rsidR="002D55E4">
        <w:rPr>
          <w:rFonts w:ascii="Times New Roman" w:eastAsia="Times New Roman" w:hAnsi="Times New Roman" w:cs="Times New Roman"/>
          <w:bCs/>
          <w:sz w:val="24"/>
          <w:szCs w:val="24"/>
        </w:rPr>
        <w:t xml:space="preserve">and the Providence-Warwick, RI-MA MSA </w:t>
      </w:r>
      <w:r>
        <w:rPr>
          <w:rFonts w:ascii="Times New Roman" w:eastAsia="Times New Roman" w:hAnsi="Times New Roman" w:cs="Times New Roman"/>
          <w:bCs/>
          <w:sz w:val="24"/>
          <w:szCs w:val="24"/>
        </w:rPr>
        <w:t>rated area</w:t>
      </w:r>
      <w:r w:rsidR="002D55E4">
        <w:rPr>
          <w:rFonts w:ascii="Times New Roman" w:eastAsia="Times New Roman" w:hAnsi="Times New Roman" w:cs="Times New Roman"/>
          <w:bCs/>
          <w:sz w:val="24"/>
          <w:szCs w:val="24"/>
        </w:rPr>
        <w:t>s are</w:t>
      </w:r>
      <w:r>
        <w:rPr>
          <w:rFonts w:ascii="Times New Roman" w:eastAsia="Times New Roman" w:hAnsi="Times New Roman" w:cs="Times New Roman"/>
          <w:bCs/>
          <w:sz w:val="24"/>
          <w:szCs w:val="24"/>
        </w:rPr>
        <w:t xml:space="preserve"> consistent with </w:t>
      </w:r>
      <w:r w:rsidR="002D55E4">
        <w:rPr>
          <w:rFonts w:ascii="Times New Roman" w:eastAsia="Times New Roman" w:hAnsi="Times New Roman" w:cs="Times New Roman"/>
          <w:bCs/>
          <w:sz w:val="24"/>
          <w:szCs w:val="24"/>
        </w:rPr>
        <w:t>the overall Service Test rating</w:t>
      </w:r>
      <w:r>
        <w:rPr>
          <w:rFonts w:ascii="Times New Roman" w:eastAsia="Times New Roman" w:hAnsi="Times New Roman" w:cs="Times New Roman"/>
          <w:bCs/>
          <w:sz w:val="24"/>
          <w:szCs w:val="24"/>
        </w:rPr>
        <w:t xml:space="preserve">.  </w:t>
      </w:r>
      <w:r w:rsidR="002D55E4">
        <w:rPr>
          <w:rFonts w:ascii="Times New Roman" w:eastAsia="Times New Roman" w:hAnsi="Times New Roman" w:cs="Times New Roman"/>
          <w:bCs/>
          <w:sz w:val="24"/>
          <w:szCs w:val="24"/>
        </w:rPr>
        <w:t xml:space="preserve">The bank notably surpassed similarly situated institutions in providing community development services, both in financial education and providing expertise to community development organizations.  Bank hours devoted to community development services far surpassed the substantial hours devoted at </w:t>
      </w:r>
      <w:r w:rsidR="007C3405">
        <w:rPr>
          <w:rFonts w:ascii="Times New Roman" w:eastAsia="Times New Roman" w:hAnsi="Times New Roman" w:cs="Times New Roman"/>
          <w:bCs/>
          <w:sz w:val="24"/>
          <w:szCs w:val="24"/>
        </w:rPr>
        <w:t>the prior examination, reflecting the bank’s commitment to continue its leadership in financial education and community outreach.</w:t>
      </w:r>
      <w:r w:rsidR="002D55E4">
        <w:rPr>
          <w:rFonts w:ascii="Times New Roman" w:eastAsia="Times New Roman" w:hAnsi="Times New Roman" w:cs="Times New Roman"/>
          <w:bCs/>
          <w:sz w:val="24"/>
          <w:szCs w:val="24"/>
        </w:rPr>
        <w:t xml:space="preserve"> </w:t>
      </w:r>
      <w:r w:rsidR="00AC3896" w:rsidRPr="005D2879">
        <w:rPr>
          <w:rFonts w:ascii="Times New Roman" w:hAnsi="Times New Roman" w:cs="Times New Roman"/>
          <w:sz w:val="24"/>
          <w:szCs w:val="24"/>
        </w:rPr>
        <w:t>Refer</w:t>
      </w:r>
      <w:r w:rsidR="00AC3896">
        <w:rPr>
          <w:rFonts w:ascii="Times New Roman" w:hAnsi="Times New Roman" w:cs="Times New Roman"/>
          <w:sz w:val="24"/>
          <w:szCs w:val="24"/>
        </w:rPr>
        <w:t xml:space="preserve"> to </w:t>
      </w:r>
      <w:r w:rsidR="00F54964">
        <w:rPr>
          <w:rFonts w:ascii="Times New Roman" w:hAnsi="Times New Roman" w:cs="Times New Roman"/>
          <w:sz w:val="24"/>
          <w:szCs w:val="24"/>
        </w:rPr>
        <w:t>rated area sections for bank performance details under each factor and notable community development service examples.</w:t>
      </w:r>
    </w:p>
    <w:p w14:paraId="55AAE131" w14:textId="50CC3A27" w:rsidR="00600EC0" w:rsidRDefault="00600EC0" w:rsidP="00411D29">
      <w:pPr>
        <w:spacing w:after="0" w:line="240" w:lineRule="auto"/>
        <w:rPr>
          <w:rFonts w:ascii="Times New Roman" w:hAnsi="Times New Roman" w:cs="Times New Roman"/>
          <w:sz w:val="24"/>
          <w:szCs w:val="24"/>
        </w:rPr>
      </w:pPr>
    </w:p>
    <w:p w14:paraId="45DFCC66" w14:textId="498F2861" w:rsidR="00600EC0" w:rsidRDefault="00600EC0" w:rsidP="00411D29">
      <w:pPr>
        <w:spacing w:after="0" w:line="240" w:lineRule="auto"/>
        <w:rPr>
          <w:rFonts w:ascii="Times New Roman" w:hAnsi="Times New Roman" w:cs="Times New Roman"/>
          <w:sz w:val="24"/>
          <w:szCs w:val="24"/>
        </w:rPr>
      </w:pPr>
    </w:p>
    <w:p w14:paraId="176D5439" w14:textId="77777777" w:rsidR="00E50970" w:rsidRPr="00E50970" w:rsidRDefault="00E50970" w:rsidP="00E50970">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bookmarkStart w:id="11" w:name="_Toc70419322"/>
      <w:r w:rsidRPr="00E50970">
        <w:rPr>
          <w:rFonts w:ascii="Times New Roman" w:eastAsia="Times New Roman" w:hAnsi="Times New Roman" w:cs="Times New Roman"/>
          <w:b/>
          <w:bCs/>
          <w:spacing w:val="-3"/>
          <w:sz w:val="28"/>
          <w:szCs w:val="20"/>
        </w:rPr>
        <w:t>DISCRIMINATORY OR OTHER ILLEGAL CREDIT PRACTICES REVIEW</w:t>
      </w:r>
      <w:bookmarkEnd w:id="11"/>
    </w:p>
    <w:p w14:paraId="5844CDF2" w14:textId="77777777" w:rsidR="00E50970" w:rsidRPr="00E50970" w:rsidRDefault="00E50970" w:rsidP="00E50970">
      <w:pPr>
        <w:keepLines/>
        <w:spacing w:after="0" w:line="240" w:lineRule="auto"/>
        <w:ind w:left="-144" w:right="-144"/>
        <w:rPr>
          <w:rFonts w:ascii="Times New Roman" w:eastAsia="Times New Roman" w:hAnsi="Times New Roman" w:cs="Times New Roman"/>
          <w:bCs/>
          <w:sz w:val="24"/>
          <w:szCs w:val="28"/>
        </w:rPr>
      </w:pPr>
    </w:p>
    <w:p w14:paraId="629DA271" w14:textId="77777777" w:rsidR="009D7C1E" w:rsidRDefault="009D7C1E" w:rsidP="009D7C1E">
      <w:pPr>
        <w:keepLines/>
        <w:spacing w:line="240" w:lineRule="auto"/>
        <w:ind w:right="-144"/>
        <w:rPr>
          <w:rFonts w:ascii="Times New Roman" w:hAnsi="Times New Roman" w:cs="Times New Roman"/>
          <w:sz w:val="24"/>
          <w:szCs w:val="24"/>
        </w:rPr>
      </w:pPr>
      <w:r w:rsidRPr="004678CD">
        <w:rPr>
          <w:rFonts w:ascii="Times New Roman" w:hAnsi="Times New Roman" w:cs="Times New Roman"/>
          <w:sz w:val="24"/>
          <w:szCs w:val="24"/>
        </w:rPr>
        <w:t>Examiners did not identify any evidence of discriminatory or other illegal credit practices inconsistent with helping to meet community credit needs</w:t>
      </w:r>
      <w:r>
        <w:rPr>
          <w:rFonts w:ascii="Times New Roman" w:hAnsi="Times New Roman" w:cs="Times New Roman"/>
          <w:sz w:val="24"/>
          <w:szCs w:val="24"/>
        </w:rPr>
        <w:t>.</w:t>
      </w:r>
    </w:p>
    <w:p w14:paraId="546DA79C" w14:textId="77777777" w:rsidR="00E50970" w:rsidRPr="00E50970" w:rsidRDefault="00722825" w:rsidP="00B33E9F">
      <w:pPr>
        <w:jc w:val="center"/>
        <w:rPr>
          <w:rFonts w:ascii="Times New Roman" w:eastAsia="Times New Roman" w:hAnsi="Times New Roman" w:cs="Times New Roman"/>
          <w:b/>
          <w:bCs/>
          <w:spacing w:val="-3"/>
          <w:sz w:val="28"/>
          <w:szCs w:val="20"/>
        </w:rPr>
      </w:pPr>
      <w:r>
        <w:rPr>
          <w:rFonts w:ascii="Times New Roman" w:eastAsia="Times New Roman" w:hAnsi="Times New Roman" w:cs="Times New Roman"/>
          <w:b/>
          <w:bCs/>
          <w:spacing w:val="-3"/>
          <w:sz w:val="28"/>
          <w:szCs w:val="20"/>
        </w:rPr>
        <w:br w:type="page"/>
      </w:r>
      <w:r w:rsidR="000913A8">
        <w:rPr>
          <w:rFonts w:ascii="Times New Roman" w:eastAsia="Times New Roman" w:hAnsi="Times New Roman" w:cs="Times New Roman"/>
          <w:b/>
          <w:bCs/>
          <w:spacing w:val="-3"/>
          <w:sz w:val="28"/>
          <w:szCs w:val="20"/>
        </w:rPr>
        <w:lastRenderedPageBreak/>
        <w:t>MASSACHUSETTS</w:t>
      </w:r>
    </w:p>
    <w:p w14:paraId="0DC3EE5B" w14:textId="77777777" w:rsidR="00E50970" w:rsidRPr="00E50970" w:rsidRDefault="002F54B0" w:rsidP="00E509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CRA RATING FOR </w:t>
      </w:r>
      <w:r w:rsidR="000913A8">
        <w:rPr>
          <w:rFonts w:ascii="Times New Roman" w:eastAsia="Times New Roman" w:hAnsi="Times New Roman" w:cs="Times New Roman"/>
          <w:b/>
          <w:bCs/>
          <w:spacing w:val="-3"/>
          <w:sz w:val="28"/>
          <w:szCs w:val="20"/>
        </w:rPr>
        <w:t>MASSACHUSETTS</w:t>
      </w:r>
      <w:r w:rsidR="00E50970" w:rsidRPr="00E50970">
        <w:rPr>
          <w:rFonts w:ascii="Times New Roman" w:eastAsia="Times New Roman" w:hAnsi="Times New Roman" w:cs="Times New Roman"/>
          <w:b/>
          <w:sz w:val="28"/>
          <w:szCs w:val="28"/>
        </w:rPr>
        <w:t xml:space="preserve">:  </w:t>
      </w:r>
      <w:sdt>
        <w:sdtPr>
          <w:rPr>
            <w:rFonts w:ascii="Times New Roman" w:eastAsia="Times New Roman" w:hAnsi="Times New Roman" w:cs="Times New Roman"/>
            <w:b/>
            <w:bCs/>
            <w:sz w:val="24"/>
            <w:szCs w:val="24"/>
            <w:u w:val="single"/>
          </w:rPr>
          <w:alias w:val="CRA Ratings"/>
          <w:tag w:val="CRA Ratings"/>
          <w:id w:val="904960445"/>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sdtContent>
          <w:r w:rsidR="00B04150">
            <w:rPr>
              <w:rFonts w:ascii="Times New Roman" w:eastAsia="Times New Roman" w:hAnsi="Times New Roman" w:cs="Times New Roman"/>
              <w:b/>
              <w:bCs/>
              <w:sz w:val="24"/>
              <w:szCs w:val="24"/>
              <w:u w:val="single"/>
            </w:rPr>
            <w:t>OUTSTANDING</w:t>
          </w:r>
        </w:sdtContent>
      </w:sdt>
      <w:r w:rsidR="00E50970" w:rsidRPr="00E50970">
        <w:rPr>
          <w:rFonts w:ascii="Times New Roman" w:eastAsia="Times New Roman" w:hAnsi="Times New Roman" w:cs="Times New Roman"/>
          <w:b/>
          <w:bCs/>
          <w:color w:val="000000"/>
          <w:sz w:val="28"/>
          <w:szCs w:val="28"/>
        </w:rPr>
        <w:t xml:space="preserve"> </w:t>
      </w:r>
    </w:p>
    <w:p w14:paraId="309BD501" w14:textId="77777777" w:rsidR="00E50970" w:rsidRPr="00DB75C4" w:rsidRDefault="00E50970" w:rsidP="00E50970">
      <w:pPr>
        <w:spacing w:after="0" w:line="240" w:lineRule="auto"/>
        <w:rPr>
          <w:rFonts w:ascii="Times New Roman" w:eastAsia="Times New Roman" w:hAnsi="Times New Roman" w:cs="Times New Roman"/>
          <w:bCs/>
          <w:color w:val="000000"/>
          <w:sz w:val="24"/>
          <w:szCs w:val="24"/>
        </w:rPr>
      </w:pPr>
    </w:p>
    <w:p w14:paraId="654746D3" w14:textId="77777777" w:rsidR="00E50970" w:rsidRPr="00E50970" w:rsidRDefault="00E50970" w:rsidP="00E50970">
      <w:pPr>
        <w:spacing w:after="0" w:line="240" w:lineRule="auto"/>
        <w:rPr>
          <w:rFonts w:ascii="Times New Roman" w:eastAsia="Times New Roman" w:hAnsi="Times New Roman" w:cs="Times New Roman"/>
          <w:b/>
          <w:bCs/>
          <w:color w:val="000000"/>
          <w:sz w:val="24"/>
          <w:szCs w:val="24"/>
        </w:rPr>
      </w:pPr>
      <w:r w:rsidRPr="00E50970">
        <w:rPr>
          <w:rFonts w:ascii="Times New Roman" w:eastAsia="Times New Roman" w:hAnsi="Times New Roman" w:cs="Times New Roman"/>
          <w:b/>
          <w:bCs/>
          <w:color w:val="000000"/>
          <w:sz w:val="24"/>
          <w:szCs w:val="24"/>
        </w:rPr>
        <w:t xml:space="preserve">The Lending Test is rated:  </w:t>
      </w:r>
      <w:sdt>
        <w:sdtPr>
          <w:rPr>
            <w:rFonts w:ascii="Times New Roman" w:eastAsia="Times New Roman" w:hAnsi="Times New Roman" w:cs="Times New Roman"/>
            <w:b/>
            <w:bCs/>
            <w:sz w:val="24"/>
            <w:szCs w:val="24"/>
            <w:u w:val="single"/>
          </w:rPr>
          <w:alias w:val="CRA Ratings"/>
          <w:tag w:val="CRA Ratings"/>
          <w:id w:val="-1384634813"/>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p>
    <w:p w14:paraId="7A750715" w14:textId="77777777" w:rsidR="00E50970" w:rsidRPr="00E50970" w:rsidRDefault="00E50970" w:rsidP="00E50970">
      <w:pPr>
        <w:spacing w:after="0" w:line="240" w:lineRule="auto"/>
        <w:rPr>
          <w:rFonts w:ascii="Times New Roman" w:eastAsia="Times New Roman" w:hAnsi="Times New Roman" w:cs="Times New Roman"/>
          <w:b/>
          <w:bCs/>
          <w:color w:val="000000"/>
          <w:sz w:val="24"/>
          <w:szCs w:val="24"/>
        </w:rPr>
      </w:pPr>
      <w:r w:rsidRPr="00E50970">
        <w:rPr>
          <w:rFonts w:ascii="Times New Roman" w:eastAsia="Times New Roman" w:hAnsi="Times New Roman" w:cs="Times New Roman"/>
          <w:b/>
          <w:bCs/>
          <w:color w:val="000000"/>
          <w:sz w:val="24"/>
          <w:szCs w:val="24"/>
        </w:rPr>
        <w:t xml:space="preserve">The Investment Test is rated:  </w:t>
      </w:r>
      <w:sdt>
        <w:sdtPr>
          <w:rPr>
            <w:rFonts w:ascii="Times New Roman" w:eastAsia="Times New Roman" w:hAnsi="Times New Roman" w:cs="Times New Roman"/>
            <w:b/>
            <w:bCs/>
            <w:sz w:val="24"/>
            <w:szCs w:val="24"/>
            <w:u w:val="single"/>
          </w:rPr>
          <w:alias w:val="CRA Ratings"/>
          <w:tag w:val="CRA Ratings"/>
          <w:id w:val="-2060543117"/>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r w:rsidRPr="00E50970">
        <w:rPr>
          <w:rFonts w:ascii="Times New Roman" w:eastAsia="Times New Roman" w:hAnsi="Times New Roman" w:cs="Times New Roman"/>
          <w:b/>
          <w:bCs/>
          <w:color w:val="000000"/>
          <w:sz w:val="24"/>
          <w:szCs w:val="24"/>
        </w:rPr>
        <w:t xml:space="preserve"> </w:t>
      </w:r>
    </w:p>
    <w:p w14:paraId="769DA92F"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r w:rsidRPr="00E50970">
        <w:rPr>
          <w:rFonts w:ascii="Times New Roman" w:eastAsia="Times New Roman" w:hAnsi="Times New Roman" w:cs="Times New Roman"/>
          <w:b/>
          <w:bCs/>
          <w:color w:val="000000"/>
          <w:sz w:val="24"/>
          <w:szCs w:val="24"/>
        </w:rPr>
        <w:t xml:space="preserve">The Service Test is rated:  </w:t>
      </w:r>
      <w:sdt>
        <w:sdtPr>
          <w:rPr>
            <w:rFonts w:ascii="Times New Roman" w:eastAsia="Times New Roman" w:hAnsi="Times New Roman" w:cs="Times New Roman"/>
            <w:b/>
            <w:bCs/>
            <w:sz w:val="24"/>
            <w:szCs w:val="24"/>
            <w:u w:val="single"/>
          </w:rPr>
          <w:alias w:val="CRA Ratings"/>
          <w:tag w:val="CRA Ratings"/>
          <w:id w:val="-385186274"/>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04150">
            <w:rPr>
              <w:rFonts w:ascii="Times New Roman" w:eastAsia="Times New Roman" w:hAnsi="Times New Roman" w:cs="Times New Roman"/>
              <w:b/>
              <w:bCs/>
              <w:sz w:val="24"/>
              <w:szCs w:val="24"/>
              <w:u w:val="single"/>
            </w:rPr>
            <w:t>Outstanding</w:t>
          </w:r>
        </w:sdtContent>
      </w:sdt>
      <w:r w:rsidRPr="00E50970">
        <w:rPr>
          <w:rFonts w:ascii="Times New Roman" w:eastAsia="Times New Roman" w:hAnsi="Times New Roman" w:cs="Times New Roman"/>
          <w:b/>
          <w:bCs/>
          <w:color w:val="000000"/>
          <w:sz w:val="24"/>
          <w:szCs w:val="24"/>
        </w:rPr>
        <w:t xml:space="preserve"> </w:t>
      </w:r>
    </w:p>
    <w:p w14:paraId="19707A52" w14:textId="77777777" w:rsidR="00E50970" w:rsidRDefault="00E50970" w:rsidP="00E50970">
      <w:pPr>
        <w:spacing w:after="0" w:line="240" w:lineRule="auto"/>
        <w:rPr>
          <w:rFonts w:ascii="Times New Roman" w:eastAsia="Times New Roman" w:hAnsi="Times New Roman" w:cs="Times New Roman"/>
          <w:color w:val="000000"/>
          <w:sz w:val="24"/>
          <w:szCs w:val="24"/>
        </w:rPr>
      </w:pPr>
    </w:p>
    <w:p w14:paraId="0B115437" w14:textId="77777777" w:rsidR="00F639C9" w:rsidRPr="00F639C9" w:rsidRDefault="00F639C9" w:rsidP="00F639C9">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Cs/>
          <w:sz w:val="28"/>
          <w:szCs w:val="28"/>
        </w:rPr>
      </w:pPr>
      <w:bookmarkStart w:id="12" w:name="_Toc70419323"/>
      <w:r w:rsidRPr="00F639C9">
        <w:rPr>
          <w:rFonts w:ascii="Times New Roman" w:eastAsia="Times New Roman" w:hAnsi="Times New Roman" w:cs="Times New Roman"/>
          <w:b/>
          <w:bCs/>
          <w:sz w:val="28"/>
          <w:szCs w:val="28"/>
        </w:rPr>
        <w:t xml:space="preserve">SCOPE OF EVALUATION – </w:t>
      </w:r>
      <w:r w:rsidR="000913A8">
        <w:rPr>
          <w:rFonts w:ascii="Times New Roman" w:eastAsia="Times New Roman" w:hAnsi="Times New Roman" w:cs="Times New Roman"/>
          <w:b/>
          <w:bCs/>
          <w:sz w:val="28"/>
          <w:szCs w:val="28"/>
        </w:rPr>
        <w:t>MASSACHUSETTS</w:t>
      </w:r>
      <w:bookmarkEnd w:id="12"/>
    </w:p>
    <w:p w14:paraId="32D86CD7" w14:textId="77777777" w:rsidR="00805857" w:rsidRPr="00805857" w:rsidRDefault="00805857" w:rsidP="00805857">
      <w:pPr>
        <w:autoSpaceDE w:val="0"/>
        <w:autoSpaceDN w:val="0"/>
        <w:adjustRightInd w:val="0"/>
        <w:spacing w:after="0" w:line="240" w:lineRule="auto"/>
        <w:rPr>
          <w:rFonts w:ascii="Times New Roman" w:hAnsi="Times New Roman" w:cs="Times New Roman"/>
          <w:color w:val="000000"/>
          <w:sz w:val="24"/>
          <w:szCs w:val="24"/>
        </w:rPr>
      </w:pPr>
    </w:p>
    <w:p w14:paraId="126F638F" w14:textId="3B3ECA0D" w:rsidR="00A1269C" w:rsidRDefault="00805857" w:rsidP="0092219C">
      <w:pPr>
        <w:spacing w:after="0" w:line="240" w:lineRule="auto"/>
        <w:rPr>
          <w:rFonts w:ascii="Times New Roman" w:hAnsi="Times New Roman" w:cs="Times New Roman"/>
          <w:sz w:val="24"/>
          <w:szCs w:val="24"/>
        </w:rPr>
      </w:pPr>
      <w:r w:rsidRPr="00757915">
        <w:rPr>
          <w:rFonts w:ascii="Times New Roman" w:hAnsi="Times New Roman" w:cs="Times New Roman"/>
          <w:sz w:val="24"/>
          <w:szCs w:val="24"/>
        </w:rPr>
        <w:t>Examiners used full-scope examinatio</w:t>
      </w:r>
      <w:r w:rsidR="0024791A">
        <w:rPr>
          <w:rFonts w:ascii="Times New Roman" w:hAnsi="Times New Roman" w:cs="Times New Roman"/>
          <w:sz w:val="24"/>
          <w:szCs w:val="24"/>
        </w:rPr>
        <w:t>n procedures to review the bank’</w:t>
      </w:r>
      <w:r w:rsidRPr="00757915">
        <w:rPr>
          <w:rFonts w:ascii="Times New Roman" w:hAnsi="Times New Roman" w:cs="Times New Roman"/>
          <w:sz w:val="24"/>
          <w:szCs w:val="24"/>
        </w:rPr>
        <w:t xml:space="preserve">s operations in </w:t>
      </w:r>
      <w:r w:rsidR="005D2879" w:rsidRPr="00757915">
        <w:rPr>
          <w:rFonts w:ascii="Times New Roman" w:hAnsi="Times New Roman" w:cs="Times New Roman"/>
          <w:sz w:val="24"/>
          <w:szCs w:val="24"/>
        </w:rPr>
        <w:t>Massachusetts, which includes</w:t>
      </w:r>
      <w:r w:rsidR="002563CA" w:rsidRPr="00757915">
        <w:rPr>
          <w:rFonts w:ascii="Times New Roman" w:hAnsi="Times New Roman" w:cs="Times New Roman"/>
          <w:sz w:val="24"/>
          <w:szCs w:val="24"/>
        </w:rPr>
        <w:t xml:space="preserve"> </w:t>
      </w:r>
      <w:r w:rsidR="005D2879" w:rsidRPr="00757915">
        <w:rPr>
          <w:rFonts w:ascii="Times New Roman" w:hAnsi="Times New Roman" w:cs="Times New Roman"/>
          <w:sz w:val="24"/>
          <w:szCs w:val="24"/>
        </w:rPr>
        <w:t xml:space="preserve">portions of the </w:t>
      </w:r>
      <w:r w:rsidR="002563CA" w:rsidRPr="00757915">
        <w:rPr>
          <w:rFonts w:ascii="Times New Roman" w:hAnsi="Times New Roman" w:cs="Times New Roman"/>
          <w:sz w:val="24"/>
          <w:szCs w:val="24"/>
        </w:rPr>
        <w:t>Boston, MA MD</w:t>
      </w:r>
      <w:r w:rsidR="00C60614">
        <w:rPr>
          <w:rFonts w:ascii="Times New Roman" w:hAnsi="Times New Roman" w:cs="Times New Roman"/>
          <w:sz w:val="24"/>
          <w:szCs w:val="24"/>
        </w:rPr>
        <w:t xml:space="preserve">.  </w:t>
      </w:r>
      <w:r w:rsidR="0092219C" w:rsidRPr="00757915">
        <w:rPr>
          <w:rFonts w:ascii="Times New Roman" w:hAnsi="Times New Roman" w:cs="Times New Roman"/>
          <w:sz w:val="24"/>
          <w:szCs w:val="24"/>
        </w:rPr>
        <w:t>Examiners evaluated and considered loans, qualified investments</w:t>
      </w:r>
      <w:r w:rsidR="00757915">
        <w:rPr>
          <w:rFonts w:ascii="Times New Roman" w:hAnsi="Times New Roman" w:cs="Times New Roman"/>
          <w:sz w:val="24"/>
          <w:szCs w:val="24"/>
        </w:rPr>
        <w:t xml:space="preserve"> and donations</w:t>
      </w:r>
      <w:r w:rsidR="0092219C" w:rsidRPr="00757915">
        <w:rPr>
          <w:rFonts w:ascii="Times New Roman" w:hAnsi="Times New Roman" w:cs="Times New Roman"/>
          <w:sz w:val="24"/>
          <w:szCs w:val="24"/>
        </w:rPr>
        <w:t>, and services provided in the</w:t>
      </w:r>
      <w:r w:rsidR="00C60614">
        <w:rPr>
          <w:rFonts w:ascii="Times New Roman" w:hAnsi="Times New Roman" w:cs="Times New Roman"/>
          <w:sz w:val="24"/>
          <w:szCs w:val="24"/>
        </w:rPr>
        <w:t xml:space="preserve"> bank’s assessment area within the Boston, MA MD</w:t>
      </w:r>
      <w:r w:rsidR="0092219C" w:rsidRPr="00757915">
        <w:rPr>
          <w:rFonts w:ascii="Times New Roman" w:hAnsi="Times New Roman" w:cs="Times New Roman"/>
          <w:sz w:val="24"/>
          <w:szCs w:val="24"/>
        </w:rPr>
        <w:t xml:space="preserve">. </w:t>
      </w:r>
      <w:r w:rsidR="00C60614">
        <w:rPr>
          <w:rFonts w:ascii="Times New Roman" w:hAnsi="Times New Roman" w:cs="Times New Roman"/>
          <w:sz w:val="24"/>
          <w:szCs w:val="24"/>
        </w:rPr>
        <w:t xml:space="preserve"> The Massachusetts evaluation does not include assessment area portions in Bristol County, Massachusetts, as this county is part of the Providence-Warwick, RI-MA MSA; therefore, examiners evaluated the bank’s activities in Bristol County within the multistate MSA evaluation</w:t>
      </w:r>
      <w:r w:rsidR="00AB6EE6">
        <w:rPr>
          <w:rFonts w:ascii="Times New Roman" w:hAnsi="Times New Roman" w:cs="Times New Roman"/>
          <w:sz w:val="24"/>
          <w:szCs w:val="24"/>
        </w:rPr>
        <w:t>, which is presented later in this document</w:t>
      </w:r>
      <w:r w:rsidR="00C60614">
        <w:rPr>
          <w:rFonts w:ascii="Times New Roman" w:hAnsi="Times New Roman" w:cs="Times New Roman"/>
          <w:sz w:val="24"/>
          <w:szCs w:val="24"/>
        </w:rPr>
        <w:t xml:space="preserve">.  </w:t>
      </w:r>
      <w:r w:rsidR="0092219C" w:rsidRPr="00757915">
        <w:rPr>
          <w:rFonts w:ascii="Times New Roman" w:hAnsi="Times New Roman" w:cs="Times New Roman"/>
          <w:sz w:val="24"/>
          <w:szCs w:val="24"/>
        </w:rPr>
        <w:t xml:space="preserve"> </w:t>
      </w:r>
    </w:p>
    <w:p w14:paraId="50ECDC3F" w14:textId="77777777" w:rsidR="00A1269C" w:rsidRDefault="00A1269C" w:rsidP="0092219C">
      <w:pPr>
        <w:spacing w:after="0" w:line="240" w:lineRule="auto"/>
        <w:rPr>
          <w:rFonts w:ascii="Times New Roman" w:hAnsi="Times New Roman" w:cs="Times New Roman"/>
          <w:sz w:val="24"/>
          <w:szCs w:val="24"/>
        </w:rPr>
      </w:pPr>
    </w:p>
    <w:p w14:paraId="33D44A0D" w14:textId="1C549C84" w:rsidR="0092219C" w:rsidRPr="00757915" w:rsidRDefault="0092219C" w:rsidP="0092219C">
      <w:pPr>
        <w:spacing w:after="0" w:line="240" w:lineRule="auto"/>
        <w:rPr>
          <w:rFonts w:ascii="Times New Roman" w:hAnsi="Times New Roman" w:cs="Times New Roman"/>
          <w:sz w:val="24"/>
          <w:szCs w:val="24"/>
        </w:rPr>
      </w:pPr>
      <w:r w:rsidRPr="00757915">
        <w:rPr>
          <w:rFonts w:ascii="Times New Roman" w:hAnsi="Times New Roman" w:cs="Times New Roman"/>
          <w:sz w:val="24"/>
          <w:szCs w:val="24"/>
        </w:rPr>
        <w:t xml:space="preserve">Examiners evaluated the </w:t>
      </w:r>
      <w:r w:rsidR="00A1269C">
        <w:rPr>
          <w:rFonts w:ascii="Times New Roman" w:hAnsi="Times New Roman" w:cs="Times New Roman"/>
          <w:sz w:val="24"/>
          <w:szCs w:val="24"/>
        </w:rPr>
        <w:t xml:space="preserve">Lending Test’s </w:t>
      </w:r>
      <w:r w:rsidR="00757915">
        <w:rPr>
          <w:rFonts w:ascii="Times New Roman" w:hAnsi="Times New Roman" w:cs="Times New Roman"/>
          <w:sz w:val="24"/>
          <w:szCs w:val="24"/>
        </w:rPr>
        <w:t xml:space="preserve">geographic distribution and borrower profile factors using the </w:t>
      </w:r>
      <w:r w:rsidRPr="00757915">
        <w:rPr>
          <w:rFonts w:ascii="Times New Roman" w:hAnsi="Times New Roman" w:cs="Times New Roman"/>
          <w:sz w:val="24"/>
          <w:szCs w:val="24"/>
        </w:rPr>
        <w:t xml:space="preserve">assessment area </w:t>
      </w:r>
      <w:r w:rsidR="00E622D1" w:rsidRPr="00757915">
        <w:rPr>
          <w:rFonts w:ascii="Times New Roman" w:hAnsi="Times New Roman" w:cs="Times New Roman"/>
          <w:sz w:val="24"/>
          <w:szCs w:val="24"/>
        </w:rPr>
        <w:t xml:space="preserve">designated </w:t>
      </w:r>
      <w:r w:rsidRPr="00757915">
        <w:rPr>
          <w:rFonts w:ascii="Times New Roman" w:hAnsi="Times New Roman" w:cs="Times New Roman"/>
          <w:sz w:val="24"/>
          <w:szCs w:val="24"/>
        </w:rPr>
        <w:t xml:space="preserve">prior </w:t>
      </w:r>
      <w:r w:rsidR="00757915">
        <w:rPr>
          <w:rFonts w:ascii="Times New Roman" w:hAnsi="Times New Roman" w:cs="Times New Roman"/>
          <w:sz w:val="24"/>
          <w:szCs w:val="24"/>
        </w:rPr>
        <w:t>to</w:t>
      </w:r>
      <w:r w:rsidRPr="00757915">
        <w:rPr>
          <w:rFonts w:ascii="Times New Roman" w:hAnsi="Times New Roman" w:cs="Times New Roman"/>
          <w:sz w:val="24"/>
          <w:szCs w:val="24"/>
        </w:rPr>
        <w:t xml:space="preserve"> 2020</w:t>
      </w:r>
      <w:r w:rsidR="00757915">
        <w:rPr>
          <w:rFonts w:ascii="Times New Roman" w:hAnsi="Times New Roman" w:cs="Times New Roman"/>
          <w:sz w:val="24"/>
          <w:szCs w:val="24"/>
        </w:rPr>
        <w:t>.</w:t>
      </w:r>
      <w:r w:rsidR="00A1269C">
        <w:rPr>
          <w:rFonts w:ascii="Times New Roman" w:hAnsi="Times New Roman" w:cs="Times New Roman"/>
          <w:sz w:val="24"/>
          <w:szCs w:val="24"/>
        </w:rPr>
        <w:t xml:space="preserve">  As noted previously, HOB added the City of Boston in 2020, which added a significant number of census tracts to the Boston, MA MD assessment area, including</w:t>
      </w:r>
      <w:r w:rsidR="00260208">
        <w:rPr>
          <w:rFonts w:ascii="Times New Roman" w:hAnsi="Times New Roman" w:cs="Times New Roman"/>
          <w:sz w:val="24"/>
          <w:szCs w:val="24"/>
        </w:rPr>
        <w:t xml:space="preserve"> a vast majority of the area’s </w:t>
      </w:r>
      <w:r w:rsidR="00A1269C">
        <w:rPr>
          <w:rFonts w:ascii="Times New Roman" w:hAnsi="Times New Roman" w:cs="Times New Roman"/>
          <w:sz w:val="24"/>
          <w:szCs w:val="24"/>
        </w:rPr>
        <w:t>low- and moderate-income census tracts.  Again</w:t>
      </w:r>
      <w:r w:rsidR="009341FF">
        <w:rPr>
          <w:rFonts w:ascii="Times New Roman" w:hAnsi="Times New Roman" w:cs="Times New Roman"/>
          <w:sz w:val="24"/>
          <w:szCs w:val="24"/>
        </w:rPr>
        <w:t>,</w:t>
      </w:r>
      <w:r w:rsidR="00A1269C">
        <w:rPr>
          <w:rFonts w:ascii="Times New Roman" w:hAnsi="Times New Roman" w:cs="Times New Roman"/>
          <w:sz w:val="24"/>
          <w:szCs w:val="24"/>
        </w:rPr>
        <w:t xml:space="preserve"> the geographic distribut</w:t>
      </w:r>
      <w:r w:rsidR="00260208">
        <w:rPr>
          <w:rFonts w:ascii="Times New Roman" w:hAnsi="Times New Roman" w:cs="Times New Roman"/>
          <w:sz w:val="24"/>
          <w:szCs w:val="24"/>
        </w:rPr>
        <w:t>ion and borrower profile analyse</w:t>
      </w:r>
      <w:r w:rsidR="00A1269C">
        <w:rPr>
          <w:rFonts w:ascii="Times New Roman" w:hAnsi="Times New Roman" w:cs="Times New Roman"/>
          <w:sz w:val="24"/>
          <w:szCs w:val="24"/>
        </w:rPr>
        <w:t>s did not consider 2020 lending or any lending activity in the 2020 expanded assessment area</w:t>
      </w:r>
      <w:r w:rsidR="009341FF">
        <w:rPr>
          <w:rFonts w:ascii="Times New Roman" w:hAnsi="Times New Roman" w:cs="Times New Roman"/>
          <w:sz w:val="24"/>
          <w:szCs w:val="24"/>
        </w:rPr>
        <w:t xml:space="preserve"> that includes the City of Boston</w:t>
      </w:r>
      <w:r w:rsidR="00A1269C">
        <w:rPr>
          <w:rFonts w:ascii="Times New Roman" w:hAnsi="Times New Roman" w:cs="Times New Roman"/>
          <w:sz w:val="24"/>
          <w:szCs w:val="24"/>
        </w:rPr>
        <w:t xml:space="preserve">.  </w:t>
      </w:r>
    </w:p>
    <w:p w14:paraId="7229954F" w14:textId="77777777" w:rsidR="00EA0023" w:rsidRPr="00805857" w:rsidRDefault="00EA0023" w:rsidP="00E50970">
      <w:pPr>
        <w:spacing w:after="0" w:line="240" w:lineRule="auto"/>
        <w:rPr>
          <w:rFonts w:ascii="Times New Roman" w:eastAsia="Times New Roman" w:hAnsi="Times New Roman" w:cs="Times New Roman"/>
          <w:color w:val="000000"/>
          <w:sz w:val="24"/>
          <w:szCs w:val="24"/>
        </w:rPr>
      </w:pPr>
    </w:p>
    <w:p w14:paraId="4051E791" w14:textId="5421DCB6" w:rsidR="00E50970" w:rsidRPr="00E50970" w:rsidRDefault="00E50970" w:rsidP="00805857">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
          <w:bCs/>
          <w:sz w:val="28"/>
          <w:szCs w:val="20"/>
        </w:rPr>
      </w:pPr>
      <w:bookmarkStart w:id="13" w:name="_Toc70419324"/>
      <w:r w:rsidRPr="00E50970">
        <w:rPr>
          <w:rFonts w:ascii="Times New Roman" w:eastAsia="Times New Roman" w:hAnsi="Times New Roman" w:cs="Times New Roman"/>
          <w:b/>
          <w:bCs/>
          <w:sz w:val="28"/>
          <w:szCs w:val="20"/>
        </w:rPr>
        <w:t xml:space="preserve">DESCRIPTION OF INSTITUTION’S OPERATIONS IN </w:t>
      </w:r>
      <w:r w:rsidR="00282584">
        <w:rPr>
          <w:rFonts w:ascii="Times New Roman" w:eastAsia="Times New Roman" w:hAnsi="Times New Roman" w:cs="Times New Roman"/>
          <w:b/>
          <w:bCs/>
          <w:sz w:val="28"/>
          <w:szCs w:val="20"/>
        </w:rPr>
        <w:t>MASSACHUSETTS</w:t>
      </w:r>
      <w:bookmarkEnd w:id="13"/>
    </w:p>
    <w:p w14:paraId="212D86DC" w14:textId="77777777" w:rsidR="00E50970" w:rsidRPr="00805857" w:rsidRDefault="00E50970" w:rsidP="00E50970">
      <w:pPr>
        <w:spacing w:after="0" w:line="240" w:lineRule="auto"/>
        <w:rPr>
          <w:rFonts w:ascii="Times New Roman" w:eastAsia="Times New Roman" w:hAnsi="Times New Roman" w:cs="Times New Roman"/>
          <w:color w:val="000000"/>
          <w:sz w:val="24"/>
          <w:szCs w:val="24"/>
        </w:rPr>
      </w:pPr>
    </w:p>
    <w:p w14:paraId="6A9B6FF3" w14:textId="58C9FD69" w:rsidR="00805857" w:rsidRPr="00805857" w:rsidRDefault="00EA0B40" w:rsidP="00805857">
      <w:pPr>
        <w:spacing w:after="0" w:line="240" w:lineRule="auto"/>
        <w:rPr>
          <w:rFonts w:ascii="Times New Roman" w:hAnsi="Times New Roman" w:cs="Times New Roman"/>
          <w:bCs/>
          <w:iCs/>
          <w:color w:val="000000"/>
          <w:sz w:val="24"/>
          <w:szCs w:val="24"/>
        </w:rPr>
      </w:pPr>
      <w:r>
        <w:rPr>
          <w:rFonts w:ascii="Times New Roman" w:hAnsi="Times New Roman" w:cs="Times New Roman"/>
          <w:sz w:val="24"/>
          <w:szCs w:val="24"/>
        </w:rPr>
        <w:t>HOB</w:t>
      </w:r>
      <w:r w:rsidR="00805857" w:rsidRPr="00805857">
        <w:rPr>
          <w:rFonts w:ascii="Times New Roman" w:hAnsi="Times New Roman" w:cs="Times New Roman"/>
          <w:sz w:val="24"/>
          <w:szCs w:val="24"/>
        </w:rPr>
        <w:t xml:space="preserve"> operates 1</w:t>
      </w:r>
      <w:r w:rsidR="006C14EA">
        <w:rPr>
          <w:rFonts w:ascii="Times New Roman" w:hAnsi="Times New Roman" w:cs="Times New Roman"/>
          <w:sz w:val="24"/>
          <w:szCs w:val="24"/>
        </w:rPr>
        <w:t>3</w:t>
      </w:r>
      <w:r w:rsidR="00805857" w:rsidRPr="00805857">
        <w:rPr>
          <w:rFonts w:ascii="Times New Roman" w:hAnsi="Times New Roman" w:cs="Times New Roman"/>
          <w:sz w:val="24"/>
          <w:szCs w:val="24"/>
        </w:rPr>
        <w:t xml:space="preserve"> of its 26 branch offices in </w:t>
      </w:r>
      <w:r w:rsidR="00A1269C">
        <w:rPr>
          <w:rFonts w:ascii="Times New Roman" w:hAnsi="Times New Roman" w:cs="Times New Roman"/>
          <w:sz w:val="24"/>
          <w:szCs w:val="24"/>
        </w:rPr>
        <w:t xml:space="preserve">the </w:t>
      </w:r>
      <w:r w:rsidR="002563CA">
        <w:rPr>
          <w:rFonts w:ascii="Times New Roman" w:hAnsi="Times New Roman" w:cs="Times New Roman"/>
          <w:sz w:val="24"/>
          <w:szCs w:val="24"/>
        </w:rPr>
        <w:t>Boston, MA MD</w:t>
      </w:r>
      <w:r w:rsidR="00805857" w:rsidRPr="00805857">
        <w:rPr>
          <w:rFonts w:ascii="Times New Roman" w:hAnsi="Times New Roman" w:cs="Times New Roman"/>
          <w:sz w:val="24"/>
          <w:szCs w:val="24"/>
        </w:rPr>
        <w:t xml:space="preserve">.  Since the last CRA evaluation, </w:t>
      </w:r>
      <w:r w:rsidR="00805857" w:rsidRPr="00805857">
        <w:rPr>
          <w:rFonts w:ascii="Times New Roman" w:eastAsia="Times New Roman" w:hAnsi="Times New Roman" w:cs="Times New Roman"/>
          <w:sz w:val="24"/>
          <w:szCs w:val="24"/>
        </w:rPr>
        <w:t xml:space="preserve">HOB expanded its branch network by opening three branches in the following towns: </w:t>
      </w:r>
      <w:r w:rsidR="009341FF">
        <w:rPr>
          <w:rFonts w:ascii="Times New Roman" w:hAnsi="Times New Roman" w:cs="Times New Roman"/>
          <w:bCs/>
          <w:iCs/>
          <w:color w:val="000000"/>
          <w:sz w:val="24"/>
          <w:szCs w:val="24"/>
        </w:rPr>
        <w:t>Stoughton (February 2019), Boston (November 2019), and Quincy (October</w:t>
      </w:r>
      <w:r w:rsidR="00805857" w:rsidRPr="00805857">
        <w:rPr>
          <w:rFonts w:ascii="Times New Roman" w:hAnsi="Times New Roman" w:cs="Times New Roman"/>
          <w:bCs/>
          <w:iCs/>
          <w:color w:val="000000"/>
          <w:sz w:val="24"/>
          <w:szCs w:val="24"/>
        </w:rPr>
        <w:t xml:space="preserve"> 2020).  Additionally, the bank clo</w:t>
      </w:r>
      <w:r w:rsidR="0092219C">
        <w:rPr>
          <w:rFonts w:ascii="Times New Roman" w:hAnsi="Times New Roman" w:cs="Times New Roman"/>
          <w:bCs/>
          <w:iCs/>
          <w:color w:val="000000"/>
          <w:sz w:val="24"/>
          <w:szCs w:val="24"/>
        </w:rPr>
        <w:t>sed its limited-service branch</w:t>
      </w:r>
      <w:r w:rsidR="00805857" w:rsidRPr="00805857">
        <w:rPr>
          <w:rFonts w:ascii="Times New Roman" w:hAnsi="Times New Roman" w:cs="Times New Roman"/>
          <w:bCs/>
          <w:iCs/>
          <w:color w:val="000000"/>
          <w:sz w:val="24"/>
          <w:szCs w:val="24"/>
        </w:rPr>
        <w:t xml:space="preserve"> in Brockton (November 2020).</w:t>
      </w:r>
      <w:r w:rsidR="00BD6E13">
        <w:rPr>
          <w:rFonts w:ascii="Times New Roman" w:hAnsi="Times New Roman" w:cs="Times New Roman"/>
          <w:bCs/>
          <w:iCs/>
          <w:color w:val="000000"/>
          <w:sz w:val="24"/>
          <w:szCs w:val="24"/>
        </w:rPr>
        <w:t xml:space="preserve">  </w:t>
      </w:r>
      <w:r w:rsidR="00DE3115">
        <w:rPr>
          <w:rFonts w:ascii="Times New Roman" w:hAnsi="Times New Roman" w:cs="Times New Roman"/>
          <w:bCs/>
          <w:iCs/>
          <w:color w:val="000000"/>
          <w:sz w:val="24"/>
          <w:szCs w:val="24"/>
        </w:rPr>
        <w:t>The Boston, MA MD</w:t>
      </w:r>
      <w:r w:rsidR="00BD6E13">
        <w:rPr>
          <w:rFonts w:ascii="Times New Roman" w:hAnsi="Times New Roman" w:cs="Times New Roman"/>
          <w:bCs/>
          <w:iCs/>
          <w:color w:val="000000"/>
          <w:sz w:val="24"/>
          <w:szCs w:val="24"/>
        </w:rPr>
        <w:t xml:space="preserve"> assessment area contains the follow</w:t>
      </w:r>
      <w:r w:rsidR="006D2AD2">
        <w:rPr>
          <w:rFonts w:ascii="Times New Roman" w:hAnsi="Times New Roman" w:cs="Times New Roman"/>
          <w:bCs/>
          <w:iCs/>
          <w:color w:val="000000"/>
          <w:sz w:val="24"/>
          <w:szCs w:val="24"/>
        </w:rPr>
        <w:t>ing counties, cities, and towns.</w:t>
      </w:r>
    </w:p>
    <w:p w14:paraId="6822A8CC" w14:textId="77777777" w:rsidR="00051EB0" w:rsidRDefault="00051EB0" w:rsidP="00051EB0">
      <w:pPr>
        <w:autoSpaceDE w:val="0"/>
        <w:autoSpaceDN w:val="0"/>
        <w:adjustRightInd w:val="0"/>
        <w:spacing w:after="0" w:line="240" w:lineRule="auto"/>
        <w:rPr>
          <w:rFonts w:ascii="Times New Roman" w:hAnsi="Times New Roman" w:cs="Times New Roman"/>
          <w:sz w:val="24"/>
          <w:szCs w:val="24"/>
        </w:rPr>
      </w:pPr>
    </w:p>
    <w:p w14:paraId="14B28D0D" w14:textId="77777777" w:rsidR="00051EB0" w:rsidRPr="00A1269C" w:rsidRDefault="00051EB0" w:rsidP="00051EB0">
      <w:pPr>
        <w:pStyle w:val="Default"/>
        <w:numPr>
          <w:ilvl w:val="0"/>
          <w:numId w:val="35"/>
        </w:numPr>
        <w:rPr>
          <w:b/>
        </w:rPr>
      </w:pPr>
      <w:r w:rsidRPr="00805857">
        <w:rPr>
          <w:b/>
        </w:rPr>
        <w:t xml:space="preserve">Norfolk County, MA – </w:t>
      </w:r>
      <w:r w:rsidRPr="00A1269C">
        <w:rPr>
          <w:color w:val="auto"/>
        </w:rPr>
        <w:t xml:space="preserve">Avon, Bellingham, Braintree, </w:t>
      </w:r>
      <w:r w:rsidRPr="009341FF">
        <w:rPr>
          <w:i/>
          <w:color w:val="auto"/>
        </w:rPr>
        <w:t>Brookline</w:t>
      </w:r>
      <w:r w:rsidRPr="00A1269C">
        <w:rPr>
          <w:color w:val="auto"/>
        </w:rPr>
        <w:t xml:space="preserve">, Canton, Cohasset, </w:t>
      </w:r>
      <w:r w:rsidRPr="009341FF">
        <w:rPr>
          <w:i/>
          <w:color w:val="auto"/>
        </w:rPr>
        <w:t>Dedham</w:t>
      </w:r>
      <w:r w:rsidRPr="00A1269C">
        <w:rPr>
          <w:color w:val="auto"/>
        </w:rPr>
        <w:t xml:space="preserve">, </w:t>
      </w:r>
      <w:r w:rsidRPr="009341FF">
        <w:rPr>
          <w:i/>
          <w:color w:val="auto"/>
        </w:rPr>
        <w:t>Dover</w:t>
      </w:r>
      <w:r w:rsidRPr="00A1269C">
        <w:rPr>
          <w:color w:val="auto"/>
        </w:rPr>
        <w:t xml:space="preserve">, Foxborough, </w:t>
      </w:r>
      <w:r w:rsidRPr="009341FF">
        <w:rPr>
          <w:i/>
          <w:color w:val="auto"/>
        </w:rPr>
        <w:t>Franklin</w:t>
      </w:r>
      <w:r w:rsidRPr="00A1269C">
        <w:rPr>
          <w:color w:val="auto"/>
        </w:rPr>
        <w:t xml:space="preserve">, Holbrook, </w:t>
      </w:r>
      <w:r w:rsidRPr="009341FF">
        <w:rPr>
          <w:i/>
          <w:color w:val="auto"/>
        </w:rPr>
        <w:t>Medfield</w:t>
      </w:r>
      <w:r w:rsidRPr="00A1269C">
        <w:rPr>
          <w:color w:val="auto"/>
        </w:rPr>
        <w:t xml:space="preserve">, </w:t>
      </w:r>
      <w:r w:rsidRPr="009341FF">
        <w:rPr>
          <w:i/>
          <w:color w:val="auto"/>
        </w:rPr>
        <w:t>Medway</w:t>
      </w:r>
      <w:r w:rsidRPr="00A1269C">
        <w:rPr>
          <w:color w:val="auto"/>
        </w:rPr>
        <w:t xml:space="preserve">, </w:t>
      </w:r>
      <w:r w:rsidRPr="009341FF">
        <w:rPr>
          <w:i/>
          <w:color w:val="auto"/>
        </w:rPr>
        <w:t>Millis</w:t>
      </w:r>
      <w:r w:rsidRPr="00A1269C">
        <w:rPr>
          <w:color w:val="auto"/>
        </w:rPr>
        <w:t xml:space="preserve">, Milton, </w:t>
      </w:r>
      <w:r w:rsidRPr="009341FF">
        <w:rPr>
          <w:i/>
          <w:color w:val="auto"/>
        </w:rPr>
        <w:t>Needham</w:t>
      </w:r>
      <w:r w:rsidRPr="00A1269C">
        <w:rPr>
          <w:color w:val="auto"/>
        </w:rPr>
        <w:t xml:space="preserve">, </w:t>
      </w:r>
      <w:r w:rsidRPr="009341FF">
        <w:rPr>
          <w:i/>
          <w:color w:val="auto"/>
        </w:rPr>
        <w:t>Norfolk</w:t>
      </w:r>
      <w:r w:rsidRPr="00A1269C">
        <w:rPr>
          <w:color w:val="auto"/>
        </w:rPr>
        <w:t xml:space="preserve">, </w:t>
      </w:r>
      <w:r w:rsidRPr="009341FF">
        <w:rPr>
          <w:i/>
          <w:color w:val="auto"/>
        </w:rPr>
        <w:t>Norwood</w:t>
      </w:r>
      <w:r w:rsidRPr="00A1269C">
        <w:rPr>
          <w:color w:val="auto"/>
        </w:rPr>
        <w:t xml:space="preserve">, Plainville, Quincy, Randolph, Sharon, Stoughton, </w:t>
      </w:r>
      <w:r w:rsidRPr="009341FF">
        <w:rPr>
          <w:i/>
          <w:color w:val="auto"/>
        </w:rPr>
        <w:t>Walpole</w:t>
      </w:r>
      <w:r w:rsidRPr="00A1269C">
        <w:rPr>
          <w:color w:val="auto"/>
        </w:rPr>
        <w:t xml:space="preserve">, Wellesley, </w:t>
      </w:r>
      <w:r w:rsidRPr="009341FF">
        <w:rPr>
          <w:i/>
          <w:color w:val="auto"/>
        </w:rPr>
        <w:t>Westwood</w:t>
      </w:r>
      <w:r w:rsidRPr="00A1269C">
        <w:rPr>
          <w:color w:val="auto"/>
        </w:rPr>
        <w:t xml:space="preserve">, Weymouth, and </w:t>
      </w:r>
      <w:r w:rsidRPr="009341FF">
        <w:rPr>
          <w:i/>
          <w:color w:val="auto"/>
        </w:rPr>
        <w:t>Wrentham</w:t>
      </w:r>
    </w:p>
    <w:p w14:paraId="20D9F7A1" w14:textId="77777777" w:rsidR="00051EB0" w:rsidRPr="00A1269C" w:rsidRDefault="00051EB0" w:rsidP="00051EB0">
      <w:pPr>
        <w:pStyle w:val="Default"/>
        <w:numPr>
          <w:ilvl w:val="0"/>
          <w:numId w:val="35"/>
        </w:numPr>
      </w:pPr>
      <w:r w:rsidRPr="00A1269C">
        <w:rPr>
          <w:b/>
        </w:rPr>
        <w:t xml:space="preserve">Plymouth County, MA – </w:t>
      </w:r>
      <w:r w:rsidRPr="00A1269C">
        <w:rPr>
          <w:color w:val="auto"/>
        </w:rPr>
        <w:t xml:space="preserve">Abington, Bridgewater, </w:t>
      </w:r>
      <w:r w:rsidRPr="00A1269C">
        <w:t>Brockton, Carver, Duxbury, East Bridgewater, Halifax, Hanover, Hanson, Hingham, Hull, Kingston, Lakeville, Marion, Marshfield, Mattapoisett Middleborough, Norwell, Pembroke, Plymouth, Plympton, Rochester, Rockland, Scituate, Wareham, West Bridgewater, and Whitman</w:t>
      </w:r>
    </w:p>
    <w:p w14:paraId="64FD8F09" w14:textId="77777777" w:rsidR="00051EB0" w:rsidRPr="00A1269C" w:rsidRDefault="00051EB0" w:rsidP="00051EB0">
      <w:pPr>
        <w:pStyle w:val="Default"/>
        <w:numPr>
          <w:ilvl w:val="0"/>
          <w:numId w:val="35"/>
        </w:numPr>
      </w:pPr>
      <w:r w:rsidRPr="00A1269C">
        <w:rPr>
          <w:b/>
        </w:rPr>
        <w:t xml:space="preserve">Suffolk County, MA – </w:t>
      </w:r>
      <w:r w:rsidRPr="009341FF">
        <w:rPr>
          <w:i/>
        </w:rPr>
        <w:t>Boston</w:t>
      </w:r>
    </w:p>
    <w:p w14:paraId="6E654B45" w14:textId="77777777" w:rsidR="00051EB0" w:rsidRPr="00943C26" w:rsidRDefault="00051EB0" w:rsidP="00805857">
      <w:pPr>
        <w:spacing w:after="0" w:line="240" w:lineRule="auto"/>
        <w:rPr>
          <w:rFonts w:ascii="Times New Roman" w:hAnsi="Times New Roman" w:cs="Times New Roman"/>
          <w:sz w:val="24"/>
          <w:szCs w:val="24"/>
        </w:rPr>
      </w:pPr>
    </w:p>
    <w:p w14:paraId="3F0591B3" w14:textId="2772C90F" w:rsidR="00B3235A" w:rsidRDefault="00943C26" w:rsidP="00BD6E13">
      <w:pPr>
        <w:autoSpaceDE w:val="0"/>
        <w:autoSpaceDN w:val="0"/>
        <w:adjustRightInd w:val="0"/>
        <w:spacing w:after="0" w:line="240" w:lineRule="auto"/>
        <w:rPr>
          <w:rFonts w:ascii="Times New Roman" w:eastAsia="Times New Roman" w:hAnsi="Times New Roman" w:cs="Times New Roman"/>
          <w:color w:val="000000"/>
          <w:sz w:val="24"/>
          <w:szCs w:val="24"/>
        </w:rPr>
      </w:pPr>
      <w:r w:rsidRPr="00943C26">
        <w:rPr>
          <w:rFonts w:ascii="Times New Roman" w:hAnsi="Times New Roman" w:cs="Times New Roman"/>
          <w:sz w:val="24"/>
          <w:szCs w:val="24"/>
        </w:rPr>
        <w:t>Since the previous evaluation</w:t>
      </w:r>
      <w:r w:rsidR="00A1269C">
        <w:rPr>
          <w:rFonts w:ascii="Times New Roman" w:hAnsi="Times New Roman" w:cs="Times New Roman"/>
          <w:sz w:val="24"/>
          <w:szCs w:val="24"/>
        </w:rPr>
        <w:t>,</w:t>
      </w:r>
      <w:r w:rsidRPr="00943C26">
        <w:rPr>
          <w:rFonts w:ascii="Times New Roman" w:hAnsi="Times New Roman" w:cs="Times New Roman"/>
          <w:sz w:val="24"/>
          <w:szCs w:val="24"/>
        </w:rPr>
        <w:t xml:space="preserve"> the bank </w:t>
      </w:r>
      <w:r>
        <w:rPr>
          <w:rFonts w:ascii="Times New Roman" w:hAnsi="Times New Roman" w:cs="Times New Roman"/>
          <w:sz w:val="24"/>
          <w:szCs w:val="24"/>
        </w:rPr>
        <w:t xml:space="preserve">expanded its </w:t>
      </w:r>
      <w:r w:rsidR="006D2AD2">
        <w:rPr>
          <w:rFonts w:ascii="Times New Roman" w:hAnsi="Times New Roman" w:cs="Times New Roman"/>
          <w:sz w:val="24"/>
          <w:szCs w:val="24"/>
        </w:rPr>
        <w:t>Massachusetts</w:t>
      </w:r>
      <w:r>
        <w:rPr>
          <w:rFonts w:ascii="Times New Roman" w:hAnsi="Times New Roman" w:cs="Times New Roman"/>
          <w:sz w:val="24"/>
          <w:szCs w:val="24"/>
        </w:rPr>
        <w:t xml:space="preserve"> assessment area </w:t>
      </w:r>
      <w:r w:rsidRPr="00943C26">
        <w:rPr>
          <w:rFonts w:ascii="Times New Roman" w:hAnsi="Times New Roman" w:cs="Times New Roman"/>
          <w:sz w:val="24"/>
          <w:szCs w:val="24"/>
        </w:rPr>
        <w:t>to encompass all of</w:t>
      </w:r>
      <w:r w:rsidRPr="00943C26">
        <w:rPr>
          <w:rFonts w:ascii="Times New Roman" w:eastAsia="Times New Roman" w:hAnsi="Times New Roman" w:cs="Times New Roman"/>
          <w:color w:val="000000"/>
          <w:sz w:val="24"/>
          <w:szCs w:val="24"/>
        </w:rPr>
        <w:t xml:space="preserve"> Plymouth County </w:t>
      </w:r>
      <w:r>
        <w:rPr>
          <w:rFonts w:ascii="Times New Roman" w:eastAsia="Times New Roman" w:hAnsi="Times New Roman" w:cs="Times New Roman"/>
          <w:color w:val="000000"/>
          <w:sz w:val="24"/>
          <w:szCs w:val="24"/>
        </w:rPr>
        <w:t>in Massachusetts in 2018</w:t>
      </w:r>
      <w:r w:rsidRPr="00943C26">
        <w:rPr>
          <w:rFonts w:ascii="Times New Roman" w:eastAsia="Times New Roman" w:hAnsi="Times New Roman" w:cs="Times New Roman"/>
          <w:color w:val="000000"/>
          <w:sz w:val="24"/>
          <w:szCs w:val="24"/>
        </w:rPr>
        <w:t xml:space="preserve">.  In 2020, the bank expanded its assessment area </w:t>
      </w:r>
      <w:r w:rsidR="009341FF">
        <w:rPr>
          <w:rFonts w:ascii="Times New Roman" w:hAnsi="Times New Roman" w:cs="Times New Roman"/>
          <w:sz w:val="24"/>
          <w:szCs w:val="24"/>
        </w:rPr>
        <w:t>after</w:t>
      </w:r>
      <w:r w:rsidRPr="00943C26">
        <w:rPr>
          <w:rFonts w:ascii="Times New Roman" w:hAnsi="Times New Roman" w:cs="Times New Roman"/>
          <w:sz w:val="24"/>
          <w:szCs w:val="24"/>
        </w:rPr>
        <w:t xml:space="preserve"> opening a new branch in Boston</w:t>
      </w:r>
      <w:r w:rsidRPr="00943C26">
        <w:rPr>
          <w:rFonts w:ascii="Times New Roman" w:eastAsia="Times New Roman" w:hAnsi="Times New Roman" w:cs="Times New Roman"/>
          <w:color w:val="000000"/>
          <w:sz w:val="24"/>
          <w:szCs w:val="24"/>
        </w:rPr>
        <w:t xml:space="preserve"> </w:t>
      </w:r>
      <w:r w:rsidR="00260208">
        <w:rPr>
          <w:rFonts w:ascii="Times New Roman" w:eastAsia="Times New Roman" w:hAnsi="Times New Roman" w:cs="Times New Roman"/>
          <w:color w:val="000000"/>
          <w:sz w:val="24"/>
          <w:szCs w:val="24"/>
        </w:rPr>
        <w:t>to include</w:t>
      </w:r>
      <w:r w:rsidRPr="00943C26">
        <w:rPr>
          <w:rFonts w:ascii="Times New Roman" w:eastAsia="Times New Roman" w:hAnsi="Times New Roman" w:cs="Times New Roman"/>
          <w:color w:val="000000"/>
          <w:sz w:val="24"/>
          <w:szCs w:val="24"/>
        </w:rPr>
        <w:t xml:space="preserve"> the </w:t>
      </w:r>
      <w:r w:rsidR="00A1269C">
        <w:rPr>
          <w:rFonts w:ascii="Times New Roman" w:eastAsia="Times New Roman" w:hAnsi="Times New Roman" w:cs="Times New Roman"/>
          <w:color w:val="000000"/>
          <w:sz w:val="24"/>
          <w:szCs w:val="24"/>
        </w:rPr>
        <w:t>C</w:t>
      </w:r>
      <w:r w:rsidRPr="00943C26">
        <w:rPr>
          <w:rFonts w:ascii="Times New Roman" w:eastAsia="Times New Roman" w:hAnsi="Times New Roman" w:cs="Times New Roman"/>
          <w:color w:val="000000"/>
          <w:sz w:val="24"/>
          <w:szCs w:val="24"/>
        </w:rPr>
        <w:t xml:space="preserve">ity of Boston in Suffolk County and </w:t>
      </w:r>
      <w:r w:rsidR="00A1269C">
        <w:rPr>
          <w:rFonts w:ascii="Times New Roman" w:eastAsia="Times New Roman" w:hAnsi="Times New Roman" w:cs="Times New Roman"/>
          <w:color w:val="000000"/>
          <w:sz w:val="24"/>
          <w:szCs w:val="24"/>
        </w:rPr>
        <w:t xml:space="preserve">all </w:t>
      </w:r>
      <w:r w:rsidR="00083291">
        <w:rPr>
          <w:rFonts w:ascii="Times New Roman" w:eastAsia="Times New Roman" w:hAnsi="Times New Roman" w:cs="Times New Roman"/>
          <w:color w:val="000000"/>
          <w:sz w:val="24"/>
          <w:szCs w:val="24"/>
        </w:rPr>
        <w:lastRenderedPageBreak/>
        <w:t xml:space="preserve">remaining </w:t>
      </w:r>
      <w:r w:rsidR="00354686">
        <w:rPr>
          <w:rFonts w:ascii="Times New Roman" w:eastAsia="Times New Roman" w:hAnsi="Times New Roman" w:cs="Times New Roman"/>
          <w:color w:val="000000"/>
          <w:sz w:val="24"/>
          <w:szCs w:val="24"/>
        </w:rPr>
        <w:t>towns</w:t>
      </w:r>
      <w:r w:rsidRPr="00943C26">
        <w:rPr>
          <w:rFonts w:ascii="Times New Roman" w:eastAsia="Times New Roman" w:hAnsi="Times New Roman" w:cs="Times New Roman"/>
          <w:color w:val="000000"/>
          <w:sz w:val="24"/>
          <w:szCs w:val="24"/>
        </w:rPr>
        <w:t xml:space="preserve"> of No</w:t>
      </w:r>
      <w:r w:rsidR="00A92807">
        <w:rPr>
          <w:rFonts w:ascii="Times New Roman" w:eastAsia="Times New Roman" w:hAnsi="Times New Roman" w:cs="Times New Roman"/>
          <w:color w:val="000000"/>
          <w:sz w:val="24"/>
          <w:szCs w:val="24"/>
        </w:rPr>
        <w:t>rfolk County in Massachusetts</w:t>
      </w:r>
      <w:r w:rsidR="00A1269C">
        <w:rPr>
          <w:rFonts w:ascii="Times New Roman" w:eastAsia="Times New Roman" w:hAnsi="Times New Roman" w:cs="Times New Roman"/>
          <w:color w:val="000000"/>
          <w:sz w:val="24"/>
          <w:szCs w:val="24"/>
        </w:rPr>
        <w:t xml:space="preserve"> not previous</w:t>
      </w:r>
      <w:r w:rsidR="00DE3115">
        <w:rPr>
          <w:rFonts w:ascii="Times New Roman" w:eastAsia="Times New Roman" w:hAnsi="Times New Roman" w:cs="Times New Roman"/>
          <w:color w:val="000000"/>
          <w:sz w:val="24"/>
          <w:szCs w:val="24"/>
        </w:rPr>
        <w:t>ly</w:t>
      </w:r>
      <w:r w:rsidR="00A1269C">
        <w:rPr>
          <w:rFonts w:ascii="Times New Roman" w:eastAsia="Times New Roman" w:hAnsi="Times New Roman" w:cs="Times New Roman"/>
          <w:color w:val="000000"/>
          <w:sz w:val="24"/>
          <w:szCs w:val="24"/>
        </w:rPr>
        <w:t xml:space="preserve"> included</w:t>
      </w:r>
      <w:r w:rsidR="00A92807">
        <w:rPr>
          <w:rFonts w:ascii="Times New Roman" w:eastAsia="Times New Roman" w:hAnsi="Times New Roman" w:cs="Times New Roman"/>
          <w:color w:val="000000"/>
          <w:sz w:val="24"/>
          <w:szCs w:val="24"/>
        </w:rPr>
        <w:t>.</w:t>
      </w:r>
      <w:r w:rsidR="009341FF">
        <w:rPr>
          <w:rFonts w:ascii="Times New Roman" w:eastAsia="Times New Roman" w:hAnsi="Times New Roman" w:cs="Times New Roman"/>
          <w:color w:val="000000"/>
          <w:sz w:val="24"/>
          <w:szCs w:val="24"/>
        </w:rPr>
        <w:t xml:space="preserve">  The italicized communities in the list above represent those communities added to the assessment area in 2020.</w:t>
      </w:r>
    </w:p>
    <w:p w14:paraId="53B34EC7" w14:textId="77777777" w:rsidR="00BD6E13" w:rsidRPr="00BD6E13" w:rsidRDefault="00BD6E13" w:rsidP="00BD6E13">
      <w:pPr>
        <w:autoSpaceDE w:val="0"/>
        <w:autoSpaceDN w:val="0"/>
        <w:adjustRightInd w:val="0"/>
        <w:spacing w:after="0" w:line="240" w:lineRule="auto"/>
        <w:rPr>
          <w:rFonts w:ascii="Times New Roman" w:eastAsia="Times New Roman" w:hAnsi="Times New Roman" w:cs="Times New Roman"/>
          <w:color w:val="000000"/>
          <w:sz w:val="24"/>
          <w:szCs w:val="24"/>
        </w:rPr>
      </w:pPr>
    </w:p>
    <w:p w14:paraId="20E1FE76" w14:textId="44794B33" w:rsidR="00943C26" w:rsidRDefault="00943C26" w:rsidP="00943C26">
      <w:pPr>
        <w:widowControl w:val="0"/>
        <w:tabs>
          <w:tab w:val="left" w:pos="1080"/>
        </w:tabs>
        <w:spacing w:after="0" w:line="240" w:lineRule="auto"/>
        <w:ind w:right="-360"/>
        <w:rPr>
          <w:rFonts w:ascii="Times New Roman" w:hAnsi="Times New Roman" w:cs="Times New Roman"/>
          <w:bCs/>
          <w:iCs/>
          <w:color w:val="000000"/>
          <w:sz w:val="24"/>
          <w:szCs w:val="24"/>
        </w:rPr>
      </w:pPr>
      <w:r w:rsidRPr="00947A5B">
        <w:rPr>
          <w:rFonts w:ascii="Times New Roman" w:hAnsi="Times New Roman" w:cs="Times New Roman"/>
          <w:bCs/>
          <w:iCs/>
          <w:color w:val="000000"/>
          <w:sz w:val="24"/>
          <w:szCs w:val="24"/>
        </w:rPr>
        <w:t>The</w:t>
      </w:r>
      <w:r>
        <w:rPr>
          <w:rFonts w:ascii="Times New Roman" w:hAnsi="Times New Roman" w:cs="Times New Roman"/>
          <w:bCs/>
          <w:iCs/>
          <w:color w:val="000000"/>
          <w:sz w:val="24"/>
          <w:szCs w:val="24"/>
        </w:rPr>
        <w:t xml:space="preserve"> </w:t>
      </w:r>
      <w:r w:rsidR="009341FF">
        <w:rPr>
          <w:rFonts w:ascii="Times New Roman" w:hAnsi="Times New Roman" w:cs="Times New Roman"/>
          <w:bCs/>
          <w:iCs/>
          <w:color w:val="000000"/>
          <w:sz w:val="24"/>
          <w:szCs w:val="24"/>
        </w:rPr>
        <w:t>expanded Boston, MA MD</w:t>
      </w:r>
      <w:r w:rsidR="006D2AD2">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w:t>
      </w:r>
      <w:r w:rsidRPr="00947A5B">
        <w:rPr>
          <w:rFonts w:ascii="Times New Roman" w:hAnsi="Times New Roman" w:cs="Times New Roman"/>
          <w:bCs/>
          <w:iCs/>
          <w:color w:val="000000"/>
          <w:sz w:val="24"/>
          <w:szCs w:val="24"/>
        </w:rPr>
        <w:t xml:space="preserve">ssessment area comprises </w:t>
      </w:r>
      <w:r w:rsidR="00083291">
        <w:rPr>
          <w:rFonts w:ascii="Times New Roman" w:hAnsi="Times New Roman" w:cs="Times New Roman"/>
          <w:bCs/>
          <w:iCs/>
          <w:color w:val="000000"/>
          <w:sz w:val="24"/>
          <w:szCs w:val="24"/>
        </w:rPr>
        <w:t>411</w:t>
      </w:r>
      <w:r w:rsidR="001360A4">
        <w:rPr>
          <w:rFonts w:ascii="Times New Roman" w:hAnsi="Times New Roman" w:cs="Times New Roman"/>
          <w:bCs/>
          <w:iCs/>
          <w:color w:val="000000"/>
          <w:sz w:val="24"/>
          <w:szCs w:val="24"/>
        </w:rPr>
        <w:t xml:space="preserve"> </w:t>
      </w:r>
      <w:r w:rsidRPr="00947A5B">
        <w:rPr>
          <w:rFonts w:ascii="Times New Roman" w:hAnsi="Times New Roman" w:cs="Times New Roman"/>
          <w:bCs/>
          <w:iCs/>
          <w:color w:val="000000"/>
          <w:sz w:val="24"/>
          <w:szCs w:val="24"/>
        </w:rPr>
        <w:t xml:space="preserve">census tracts </w:t>
      </w:r>
      <w:r w:rsidR="00A1269C">
        <w:rPr>
          <w:rFonts w:ascii="Times New Roman" w:hAnsi="Times New Roman" w:cs="Times New Roman"/>
          <w:bCs/>
          <w:iCs/>
          <w:color w:val="000000"/>
          <w:sz w:val="24"/>
          <w:szCs w:val="24"/>
        </w:rPr>
        <w:t>with</w:t>
      </w:r>
      <w:r w:rsidRPr="00947A5B">
        <w:rPr>
          <w:rFonts w:ascii="Times New Roman" w:hAnsi="Times New Roman" w:cs="Times New Roman"/>
          <w:bCs/>
          <w:iCs/>
          <w:color w:val="000000"/>
          <w:sz w:val="24"/>
          <w:szCs w:val="24"/>
        </w:rPr>
        <w:t xml:space="preserve"> the following income designa</w:t>
      </w:r>
      <w:r>
        <w:rPr>
          <w:rFonts w:ascii="Times New Roman" w:hAnsi="Times New Roman" w:cs="Times New Roman"/>
          <w:bCs/>
          <w:iCs/>
          <w:color w:val="000000"/>
          <w:sz w:val="24"/>
          <w:szCs w:val="24"/>
        </w:rPr>
        <w:t>tions according to the 2015 ACS:</w:t>
      </w:r>
    </w:p>
    <w:p w14:paraId="18EBCA5D" w14:textId="77777777" w:rsidR="00943C26" w:rsidRPr="00947A5B" w:rsidRDefault="00943C26" w:rsidP="00943C26">
      <w:pPr>
        <w:widowControl w:val="0"/>
        <w:tabs>
          <w:tab w:val="left" w:pos="1080"/>
        </w:tabs>
        <w:spacing w:after="0" w:line="240" w:lineRule="auto"/>
        <w:ind w:right="-360"/>
        <w:rPr>
          <w:rFonts w:ascii="Times New Roman" w:hAnsi="Times New Roman" w:cs="Times New Roman"/>
          <w:bCs/>
          <w:iCs/>
          <w:color w:val="000000"/>
          <w:sz w:val="24"/>
          <w:szCs w:val="24"/>
        </w:rPr>
      </w:pPr>
    </w:p>
    <w:p w14:paraId="28BF0EEE" w14:textId="77777777" w:rsidR="00943C26" w:rsidRPr="00947A5B" w:rsidRDefault="00943C26" w:rsidP="00943C26">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51</w:t>
      </w:r>
      <w:r w:rsidRPr="00947A5B">
        <w:rPr>
          <w:rFonts w:ascii="Times New Roman" w:hAnsi="Times New Roman" w:cs="Times New Roman"/>
          <w:bCs/>
          <w:iCs/>
          <w:color w:val="000000"/>
        </w:rPr>
        <w:t xml:space="preserve"> low-income census tracts</w:t>
      </w:r>
      <w:r>
        <w:rPr>
          <w:rFonts w:ascii="Times New Roman" w:hAnsi="Times New Roman" w:cs="Times New Roman"/>
          <w:bCs/>
          <w:iCs/>
          <w:color w:val="000000"/>
        </w:rPr>
        <w:t>,</w:t>
      </w:r>
    </w:p>
    <w:p w14:paraId="44AC7C54" w14:textId="77777777" w:rsidR="00943C26" w:rsidRPr="00947A5B" w:rsidRDefault="00943C26" w:rsidP="00943C26">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77</w:t>
      </w:r>
      <w:r w:rsidRPr="00947A5B">
        <w:rPr>
          <w:rFonts w:ascii="Times New Roman" w:hAnsi="Times New Roman" w:cs="Times New Roman"/>
          <w:bCs/>
          <w:iCs/>
          <w:color w:val="000000"/>
        </w:rPr>
        <w:t xml:space="preserve"> moderate-income census tracts</w:t>
      </w:r>
      <w:r>
        <w:rPr>
          <w:rFonts w:ascii="Times New Roman" w:hAnsi="Times New Roman" w:cs="Times New Roman"/>
          <w:bCs/>
          <w:iCs/>
          <w:color w:val="000000"/>
        </w:rPr>
        <w:t>,</w:t>
      </w:r>
    </w:p>
    <w:p w14:paraId="282A8160" w14:textId="77777777" w:rsidR="00943C26" w:rsidRPr="00947A5B" w:rsidRDefault="00943C26" w:rsidP="00943C26">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140</w:t>
      </w:r>
      <w:r w:rsidRPr="00947A5B">
        <w:rPr>
          <w:rFonts w:ascii="Times New Roman" w:hAnsi="Times New Roman" w:cs="Times New Roman"/>
          <w:bCs/>
          <w:iCs/>
          <w:color w:val="000000"/>
        </w:rPr>
        <w:t xml:space="preserve"> middle-income census tracts</w:t>
      </w:r>
      <w:r>
        <w:rPr>
          <w:rFonts w:ascii="Times New Roman" w:hAnsi="Times New Roman" w:cs="Times New Roman"/>
          <w:bCs/>
          <w:iCs/>
          <w:color w:val="000000"/>
        </w:rPr>
        <w:t>,</w:t>
      </w:r>
    </w:p>
    <w:p w14:paraId="01B21812" w14:textId="77777777" w:rsidR="00943C26" w:rsidRPr="00947A5B" w:rsidRDefault="00943C26" w:rsidP="00943C26">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128</w:t>
      </w:r>
      <w:r w:rsidRPr="00947A5B">
        <w:rPr>
          <w:rFonts w:ascii="Times New Roman" w:hAnsi="Times New Roman" w:cs="Times New Roman"/>
          <w:bCs/>
          <w:iCs/>
          <w:color w:val="000000"/>
        </w:rPr>
        <w:t xml:space="preserve"> upper-income census tracts</w:t>
      </w:r>
      <w:r>
        <w:rPr>
          <w:rFonts w:ascii="Times New Roman" w:hAnsi="Times New Roman" w:cs="Times New Roman"/>
          <w:bCs/>
          <w:iCs/>
          <w:color w:val="000000"/>
        </w:rPr>
        <w:t>,</w:t>
      </w:r>
    </w:p>
    <w:p w14:paraId="28521600" w14:textId="77777777" w:rsidR="00943C26" w:rsidRDefault="00943C26" w:rsidP="00943C26">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15</w:t>
      </w:r>
      <w:r w:rsidRPr="00947A5B">
        <w:rPr>
          <w:rFonts w:ascii="Times New Roman" w:hAnsi="Times New Roman" w:cs="Times New Roman"/>
          <w:bCs/>
          <w:iCs/>
          <w:color w:val="000000"/>
        </w:rPr>
        <w:t xml:space="preserve"> tracts with no income designation</w:t>
      </w:r>
      <w:r>
        <w:rPr>
          <w:rFonts w:ascii="Times New Roman" w:hAnsi="Times New Roman" w:cs="Times New Roman"/>
          <w:bCs/>
          <w:iCs/>
          <w:color w:val="000000"/>
        </w:rPr>
        <w:t>.</w:t>
      </w:r>
    </w:p>
    <w:p w14:paraId="7022BEF6" w14:textId="77777777" w:rsidR="00943C26" w:rsidRPr="00C94F6E" w:rsidRDefault="00943C26" w:rsidP="00943C26">
      <w:pPr>
        <w:widowControl w:val="0"/>
        <w:tabs>
          <w:tab w:val="left" w:pos="1080"/>
        </w:tabs>
        <w:spacing w:after="0" w:line="240" w:lineRule="auto"/>
        <w:ind w:right="-360"/>
        <w:rPr>
          <w:rFonts w:ascii="Times New Roman" w:hAnsi="Times New Roman" w:cs="Times New Roman"/>
          <w:bCs/>
          <w:iCs/>
          <w:color w:val="000000"/>
          <w:sz w:val="24"/>
          <w:szCs w:val="24"/>
        </w:rPr>
      </w:pPr>
    </w:p>
    <w:p w14:paraId="63242819" w14:textId="62C10B60" w:rsidR="00260208" w:rsidRDefault="00943C26" w:rsidP="00943C26">
      <w:pPr>
        <w:widowControl w:val="0"/>
        <w:tabs>
          <w:tab w:val="left" w:pos="1080"/>
        </w:tabs>
        <w:spacing w:after="0" w:line="240" w:lineRule="auto"/>
        <w:ind w:right="-360"/>
        <w:rPr>
          <w:rFonts w:ascii="Times New Roman" w:hAnsi="Times New Roman" w:cs="Times New Roman"/>
          <w:sz w:val="24"/>
          <w:szCs w:val="24"/>
        </w:rPr>
      </w:pPr>
      <w:r w:rsidRPr="00C94F6E">
        <w:rPr>
          <w:rFonts w:ascii="Times New Roman" w:hAnsi="Times New Roman" w:cs="Times New Roman"/>
          <w:bCs/>
          <w:iCs/>
          <w:sz w:val="24"/>
          <w:szCs w:val="24"/>
        </w:rPr>
        <w:t>The low-income census tracts a</w:t>
      </w:r>
      <w:r w:rsidR="00C94F6E" w:rsidRPr="00C94F6E">
        <w:rPr>
          <w:rFonts w:ascii="Times New Roman" w:hAnsi="Times New Roman" w:cs="Times New Roman"/>
          <w:bCs/>
          <w:iCs/>
          <w:sz w:val="24"/>
          <w:szCs w:val="24"/>
        </w:rPr>
        <w:t>re located in Boston</w:t>
      </w:r>
      <w:r w:rsidR="00260208">
        <w:rPr>
          <w:rFonts w:ascii="Times New Roman" w:hAnsi="Times New Roman" w:cs="Times New Roman"/>
          <w:bCs/>
          <w:iCs/>
          <w:sz w:val="24"/>
          <w:szCs w:val="24"/>
        </w:rPr>
        <w:t xml:space="preserve"> </w:t>
      </w:r>
      <w:r w:rsidR="00C94F6E" w:rsidRPr="00C94F6E">
        <w:rPr>
          <w:rFonts w:ascii="Times New Roman" w:hAnsi="Times New Roman" w:cs="Times New Roman"/>
          <w:bCs/>
          <w:iCs/>
          <w:sz w:val="24"/>
          <w:szCs w:val="24"/>
        </w:rPr>
        <w:t>(45), Brockton (5), and Quincy (1)</w:t>
      </w:r>
      <w:r w:rsidRPr="00C94F6E">
        <w:rPr>
          <w:rFonts w:ascii="Times New Roman" w:hAnsi="Times New Roman" w:cs="Times New Roman"/>
          <w:bCs/>
          <w:iCs/>
          <w:sz w:val="24"/>
          <w:szCs w:val="24"/>
        </w:rPr>
        <w:t>.  The moderate-income census tracts are located in Boston (49), Brockton (10), Quincy</w:t>
      </w:r>
      <w:r w:rsidR="00677D92">
        <w:rPr>
          <w:rFonts w:ascii="Times New Roman" w:hAnsi="Times New Roman" w:cs="Times New Roman"/>
          <w:bCs/>
          <w:iCs/>
          <w:sz w:val="24"/>
          <w:szCs w:val="24"/>
        </w:rPr>
        <w:t xml:space="preserve"> </w:t>
      </w:r>
      <w:r w:rsidRPr="00C94F6E">
        <w:rPr>
          <w:rFonts w:ascii="Times New Roman" w:hAnsi="Times New Roman" w:cs="Times New Roman"/>
          <w:bCs/>
          <w:iCs/>
          <w:sz w:val="24"/>
          <w:szCs w:val="24"/>
        </w:rPr>
        <w:t>(6), Plymouth (2), Randolph (2), Wareham (2), Braintree</w:t>
      </w:r>
      <w:r w:rsidR="00260208">
        <w:rPr>
          <w:rFonts w:ascii="Times New Roman" w:hAnsi="Times New Roman" w:cs="Times New Roman"/>
          <w:bCs/>
          <w:iCs/>
          <w:sz w:val="24"/>
          <w:szCs w:val="24"/>
        </w:rPr>
        <w:t xml:space="preserve"> (1), Ho</w:t>
      </w:r>
      <w:r w:rsidRPr="00C94F6E">
        <w:rPr>
          <w:rFonts w:ascii="Times New Roman" w:hAnsi="Times New Roman" w:cs="Times New Roman"/>
          <w:bCs/>
          <w:iCs/>
          <w:sz w:val="24"/>
          <w:szCs w:val="24"/>
        </w:rPr>
        <w:t>lbrook (1), Weymout</w:t>
      </w:r>
      <w:r w:rsidR="00C94F6E" w:rsidRPr="00C94F6E">
        <w:rPr>
          <w:rFonts w:ascii="Times New Roman" w:hAnsi="Times New Roman" w:cs="Times New Roman"/>
          <w:bCs/>
          <w:iCs/>
          <w:sz w:val="24"/>
          <w:szCs w:val="24"/>
        </w:rPr>
        <w:t xml:space="preserve">h (1), Stoughton (1), </w:t>
      </w:r>
      <w:r w:rsidRPr="00C94F6E">
        <w:rPr>
          <w:rFonts w:ascii="Times New Roman" w:hAnsi="Times New Roman" w:cs="Times New Roman"/>
          <w:bCs/>
          <w:iCs/>
          <w:sz w:val="24"/>
          <w:szCs w:val="24"/>
        </w:rPr>
        <w:t>Middle</w:t>
      </w:r>
      <w:r w:rsidR="00C94F6E" w:rsidRPr="00C94F6E">
        <w:rPr>
          <w:rFonts w:ascii="Times New Roman" w:hAnsi="Times New Roman" w:cs="Times New Roman"/>
          <w:bCs/>
          <w:iCs/>
          <w:sz w:val="24"/>
          <w:szCs w:val="24"/>
        </w:rPr>
        <w:t xml:space="preserve">borough (1), </w:t>
      </w:r>
      <w:r w:rsidR="00666E32">
        <w:rPr>
          <w:rFonts w:ascii="Times New Roman" w:hAnsi="Times New Roman" w:cs="Times New Roman"/>
          <w:bCs/>
          <w:iCs/>
          <w:sz w:val="24"/>
          <w:szCs w:val="24"/>
        </w:rPr>
        <w:t xml:space="preserve">and </w:t>
      </w:r>
      <w:r w:rsidR="00C94F6E" w:rsidRPr="00C94F6E">
        <w:rPr>
          <w:rFonts w:ascii="Times New Roman" w:hAnsi="Times New Roman" w:cs="Times New Roman"/>
          <w:bCs/>
          <w:iCs/>
          <w:sz w:val="24"/>
          <w:szCs w:val="24"/>
        </w:rPr>
        <w:t>Carver (1)</w:t>
      </w:r>
      <w:r w:rsidRPr="00C94F6E">
        <w:rPr>
          <w:rFonts w:ascii="Times New Roman" w:hAnsi="Times New Roman" w:cs="Times New Roman"/>
          <w:bCs/>
          <w:iCs/>
          <w:sz w:val="24"/>
          <w:szCs w:val="24"/>
        </w:rPr>
        <w:t xml:space="preserve">.  </w:t>
      </w:r>
      <w:r w:rsidRPr="00C94F6E">
        <w:rPr>
          <w:rFonts w:ascii="Times New Roman" w:hAnsi="Times New Roman" w:cs="Times New Roman"/>
          <w:sz w:val="24"/>
          <w:szCs w:val="24"/>
        </w:rPr>
        <w:t>The tracts with no income designation contain universities, medical centers, state parks, golf courses, ports and terminals, and bodies of water on the coast of southern Massachusetts.</w:t>
      </w:r>
      <w:r w:rsidR="00A1269C">
        <w:rPr>
          <w:rFonts w:ascii="Times New Roman" w:hAnsi="Times New Roman" w:cs="Times New Roman"/>
          <w:sz w:val="24"/>
          <w:szCs w:val="24"/>
        </w:rPr>
        <w:t xml:space="preserve">  </w:t>
      </w:r>
    </w:p>
    <w:p w14:paraId="30CBF126" w14:textId="77777777" w:rsidR="00260208" w:rsidRDefault="00260208" w:rsidP="00943C26">
      <w:pPr>
        <w:widowControl w:val="0"/>
        <w:tabs>
          <w:tab w:val="left" w:pos="1080"/>
        </w:tabs>
        <w:spacing w:after="0" w:line="240" w:lineRule="auto"/>
        <w:ind w:right="-360"/>
        <w:rPr>
          <w:rFonts w:ascii="Times New Roman" w:hAnsi="Times New Roman" w:cs="Times New Roman"/>
          <w:sz w:val="24"/>
          <w:szCs w:val="24"/>
        </w:rPr>
      </w:pPr>
    </w:p>
    <w:p w14:paraId="312C43CA" w14:textId="1AC7C90A" w:rsidR="00943C26" w:rsidRDefault="00A1269C" w:rsidP="00943C26">
      <w:pPr>
        <w:widowControl w:val="0"/>
        <w:tabs>
          <w:tab w:val="left" w:pos="1080"/>
        </w:tabs>
        <w:spacing w:after="0" w:line="240" w:lineRule="auto"/>
        <w:ind w:right="-360"/>
        <w:rPr>
          <w:rFonts w:ascii="Times New Roman" w:hAnsi="Times New Roman" w:cs="Times New Roman"/>
          <w:bCs/>
          <w:iCs/>
          <w:color w:val="000000"/>
          <w:sz w:val="24"/>
          <w:szCs w:val="24"/>
        </w:rPr>
      </w:pPr>
      <w:r>
        <w:rPr>
          <w:rFonts w:ascii="Times New Roman" w:hAnsi="Times New Roman" w:cs="Times New Roman"/>
          <w:sz w:val="24"/>
          <w:szCs w:val="24"/>
        </w:rPr>
        <w:t xml:space="preserve">As already stated, the City of Boston contains </w:t>
      </w:r>
      <w:r w:rsidR="00260208">
        <w:rPr>
          <w:rFonts w:ascii="Times New Roman" w:hAnsi="Times New Roman" w:cs="Times New Roman"/>
          <w:sz w:val="24"/>
          <w:szCs w:val="24"/>
        </w:rPr>
        <w:t>the vast</w:t>
      </w:r>
      <w:r>
        <w:rPr>
          <w:rFonts w:ascii="Times New Roman" w:hAnsi="Times New Roman" w:cs="Times New Roman"/>
          <w:sz w:val="24"/>
          <w:szCs w:val="24"/>
        </w:rPr>
        <w:t xml:space="preserve"> majority of the area’s low- and moderate-income census tracts.  Since these were added in 2020, they will not factor into the geographic distribution analysis, which only considered home mortgage and small business loans from 2017, 2018, and 2019.</w:t>
      </w:r>
      <w:r w:rsidR="00260208">
        <w:rPr>
          <w:rFonts w:ascii="Times New Roman" w:hAnsi="Times New Roman" w:cs="Times New Roman"/>
          <w:sz w:val="24"/>
          <w:szCs w:val="24"/>
        </w:rPr>
        <w:t xml:space="preserve">  </w:t>
      </w:r>
      <w:r w:rsidR="00943C26" w:rsidRPr="00C94EEF">
        <w:rPr>
          <w:rFonts w:ascii="Times New Roman" w:hAnsi="Times New Roman" w:cs="Times New Roman"/>
          <w:bCs/>
          <w:iCs/>
          <w:color w:val="000000"/>
          <w:sz w:val="24"/>
          <w:szCs w:val="24"/>
        </w:rPr>
        <w:t>The following table illustrates demographic information of the current assessment area.</w:t>
      </w:r>
    </w:p>
    <w:p w14:paraId="0A315DB9" w14:textId="77777777" w:rsidR="004F4D69" w:rsidRDefault="004F4D69" w:rsidP="00E50970">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3591"/>
        <w:gridCol w:w="1080"/>
        <w:gridCol w:w="900"/>
        <w:gridCol w:w="1170"/>
        <w:gridCol w:w="1080"/>
        <w:gridCol w:w="900"/>
        <w:gridCol w:w="909"/>
      </w:tblGrid>
      <w:tr w:rsidR="004F4D69" w14:paraId="50883261" w14:textId="77777777" w:rsidTr="00260208">
        <w:trPr>
          <w:trHeight w:val="250"/>
        </w:trPr>
        <w:tc>
          <w:tcPr>
            <w:tcW w:w="9630"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2E544AC" w14:textId="77777777" w:rsidR="004F4D69" w:rsidRDefault="004F4D69" w:rsidP="004F4D69">
            <w:pPr>
              <w:spacing w:after="0"/>
              <w:jc w:val="center"/>
            </w:pPr>
            <w:r>
              <w:rPr>
                <w:rFonts w:ascii="Times New Roman" w:eastAsia="Times New Roman" w:hAnsi="Times New Roman"/>
                <w:b/>
                <w:color w:val="000000"/>
                <w:sz w:val="20"/>
              </w:rPr>
              <w:t>Demographic Information of the Assessment Area</w:t>
            </w:r>
          </w:p>
        </w:tc>
      </w:tr>
      <w:tr w:rsidR="004F4D69" w14:paraId="1D73A893" w14:textId="77777777" w:rsidTr="00666E32">
        <w:trPr>
          <w:trHeight w:val="210"/>
        </w:trPr>
        <w:tc>
          <w:tcPr>
            <w:tcW w:w="9630" w:type="dxa"/>
            <w:gridSpan w:val="7"/>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1401A069" w14:textId="3AAC762F" w:rsidR="004F4D69" w:rsidRDefault="004F4D69" w:rsidP="004353B3">
            <w:pPr>
              <w:spacing w:after="0"/>
              <w:jc w:val="center"/>
            </w:pPr>
            <w:r>
              <w:rPr>
                <w:rFonts w:ascii="Times New Roman" w:eastAsia="Times New Roman" w:hAnsi="Times New Roman"/>
                <w:b/>
                <w:color w:val="000000"/>
                <w:sz w:val="20"/>
              </w:rPr>
              <w:t>Assessment Area:</w:t>
            </w:r>
            <w:r w:rsidR="004353B3">
              <w:rPr>
                <w:rFonts w:ascii="Times New Roman" w:eastAsia="Times New Roman" w:hAnsi="Times New Roman"/>
                <w:b/>
                <w:color w:val="000000"/>
                <w:sz w:val="20"/>
              </w:rPr>
              <w:t xml:space="preserve"> Massachusetts</w:t>
            </w:r>
          </w:p>
        </w:tc>
      </w:tr>
      <w:tr w:rsidR="004F4D69" w14:paraId="48FE5B0F" w14:textId="77777777" w:rsidTr="00C176ED">
        <w:trPr>
          <w:trHeight w:val="426"/>
        </w:trPr>
        <w:tc>
          <w:tcPr>
            <w:tcW w:w="35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16CD5D" w14:textId="77777777" w:rsidR="004F4D69" w:rsidRDefault="004F4D69" w:rsidP="004F4D69">
            <w:pPr>
              <w:spacing w:after="0"/>
            </w:pPr>
            <w:r>
              <w:rPr>
                <w:rFonts w:ascii="Times New Roman" w:eastAsia="Times New Roman" w:hAnsi="Times New Roman"/>
                <w:b/>
                <w:color w:val="000000"/>
                <w:sz w:val="20"/>
              </w:rPr>
              <w:t>Demographic Characteristics</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D1714D" w14:textId="77777777" w:rsidR="004F4D69" w:rsidRDefault="004F4D69" w:rsidP="004F4D69">
            <w:pPr>
              <w:spacing w:after="0"/>
              <w:jc w:val="center"/>
            </w:pPr>
            <w:r>
              <w:rPr>
                <w:rFonts w:ascii="Times New Roman" w:eastAsia="Times New Roman" w:hAnsi="Times New Roman"/>
                <w:b/>
                <w:color w:val="000000"/>
                <w:sz w:val="20"/>
              </w:rPr>
              <w:t>#</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F49560" w14:textId="77777777" w:rsidR="004F4D69" w:rsidRDefault="004F4D69" w:rsidP="004F4D69">
            <w:pPr>
              <w:spacing w:after="0"/>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 of #</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136E32" w14:textId="77777777" w:rsidR="004F4D69" w:rsidRDefault="004F4D69" w:rsidP="004F4D69">
            <w:pPr>
              <w:spacing w:after="0"/>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 xml:space="preserve"> % of #</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776AB4" w14:textId="77777777" w:rsidR="004F4D69" w:rsidRDefault="004F4D69" w:rsidP="004F4D69">
            <w:pPr>
              <w:spacing w:after="0"/>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 xml:space="preserve"> % of #</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453CA7" w14:textId="77777777" w:rsidR="004F4D69" w:rsidRDefault="004F4D69" w:rsidP="004F4D69">
            <w:pPr>
              <w:spacing w:after="0"/>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 of #</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34B486" w14:textId="77777777" w:rsidR="004F4D69" w:rsidRDefault="004F4D69" w:rsidP="004F4D69">
            <w:pPr>
              <w:spacing w:after="0"/>
              <w:jc w:val="center"/>
            </w:pPr>
            <w:r>
              <w:rPr>
                <w:rFonts w:ascii="Times New Roman" w:eastAsia="Times New Roman" w:hAnsi="Times New Roman"/>
                <w:b/>
                <w:color w:val="000000"/>
                <w:sz w:val="20"/>
              </w:rPr>
              <w:t xml:space="preserve">NA* </w:t>
            </w:r>
            <w:r>
              <w:rPr>
                <w:rFonts w:ascii="Times New Roman" w:eastAsia="Times New Roman" w:hAnsi="Times New Roman"/>
                <w:b/>
                <w:color w:val="000000"/>
                <w:sz w:val="20"/>
              </w:rPr>
              <w:br/>
              <w:t>% of #</w:t>
            </w:r>
          </w:p>
        </w:tc>
      </w:tr>
      <w:tr w:rsidR="004F4D69" w14:paraId="10383706"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0F83B3E" w14:textId="77777777" w:rsidR="004F4D69" w:rsidRDefault="004F4D69" w:rsidP="004F4D69">
            <w:pPr>
              <w:spacing w:after="0"/>
            </w:pPr>
            <w:r>
              <w:rPr>
                <w:rFonts w:ascii="Times New Roman" w:eastAsia="Times New Roman" w:hAnsi="Times New Roman"/>
                <w:color w:val="000000"/>
                <w:sz w:val="20"/>
              </w:rPr>
              <w:t>Geographies (Census Tracts)</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5AFD6" w14:textId="77777777" w:rsidR="004F4D69" w:rsidRDefault="004F4D69" w:rsidP="004F4D69">
            <w:pPr>
              <w:spacing w:after="0"/>
              <w:jc w:val="right"/>
            </w:pPr>
            <w:r>
              <w:rPr>
                <w:rFonts w:ascii="Times New Roman" w:eastAsia="Times New Roman" w:hAnsi="Times New Roman"/>
                <w:color w:val="000000"/>
                <w:sz w:val="20"/>
              </w:rPr>
              <w:t>411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77751" w14:textId="77777777" w:rsidR="004F4D69" w:rsidRDefault="004F4D69" w:rsidP="004F4D69">
            <w:pPr>
              <w:spacing w:after="0"/>
              <w:jc w:val="right"/>
            </w:pPr>
            <w:r>
              <w:rPr>
                <w:rFonts w:ascii="Times New Roman" w:eastAsia="Times New Roman" w:hAnsi="Times New Roman"/>
                <w:color w:val="000000"/>
                <w:sz w:val="20"/>
              </w:rPr>
              <w:t>12.4</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91859" w14:textId="77777777" w:rsidR="004F4D69" w:rsidRDefault="004F4D69" w:rsidP="004F4D69">
            <w:pPr>
              <w:spacing w:after="0"/>
              <w:jc w:val="right"/>
            </w:pPr>
            <w:r>
              <w:rPr>
                <w:rFonts w:ascii="Times New Roman" w:eastAsia="Times New Roman" w:hAnsi="Times New Roman"/>
                <w:color w:val="000000"/>
                <w:sz w:val="20"/>
              </w:rPr>
              <w:t>18.7</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7D178" w14:textId="77777777" w:rsidR="004F4D69" w:rsidRDefault="004F4D69" w:rsidP="004F4D69">
            <w:pPr>
              <w:spacing w:after="0"/>
              <w:jc w:val="right"/>
            </w:pPr>
            <w:r>
              <w:rPr>
                <w:rFonts w:ascii="Times New Roman" w:eastAsia="Times New Roman" w:hAnsi="Times New Roman"/>
                <w:color w:val="000000"/>
                <w:sz w:val="20"/>
              </w:rPr>
              <w:t>34.1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BB8D8" w14:textId="77777777" w:rsidR="004F4D69" w:rsidRDefault="004F4D69" w:rsidP="004F4D69">
            <w:pPr>
              <w:spacing w:after="0"/>
              <w:jc w:val="right"/>
            </w:pPr>
            <w:r>
              <w:rPr>
                <w:rFonts w:ascii="Times New Roman" w:eastAsia="Times New Roman" w:hAnsi="Times New Roman"/>
                <w:color w:val="000000"/>
                <w:sz w:val="20"/>
              </w:rPr>
              <w:t>31.1</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EFE8D" w14:textId="77777777" w:rsidR="004F4D69" w:rsidRDefault="004F4D69" w:rsidP="004F4D69">
            <w:pPr>
              <w:spacing w:after="0"/>
              <w:jc w:val="right"/>
            </w:pPr>
            <w:r>
              <w:rPr>
                <w:rFonts w:ascii="Times New Roman" w:eastAsia="Times New Roman" w:hAnsi="Times New Roman"/>
                <w:color w:val="000000"/>
                <w:sz w:val="20"/>
              </w:rPr>
              <w:t>3.6</w:t>
            </w:r>
          </w:p>
        </w:tc>
      </w:tr>
      <w:tr w:rsidR="004F4D69" w14:paraId="6640E693"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7A3A5D0" w14:textId="77777777" w:rsidR="004F4D69" w:rsidRDefault="004F4D69" w:rsidP="004F4D69">
            <w:pPr>
              <w:spacing w:after="0"/>
            </w:pPr>
            <w:r>
              <w:rPr>
                <w:rFonts w:ascii="Times New Roman" w:eastAsia="Times New Roman" w:hAnsi="Times New Roman"/>
                <w:color w:val="000000"/>
                <w:sz w:val="20"/>
              </w:rPr>
              <w:t>Population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1D0517" w14:textId="77777777" w:rsidR="004F4D69" w:rsidRDefault="004F4D69" w:rsidP="004F4D69">
            <w:pPr>
              <w:spacing w:after="0"/>
              <w:jc w:val="right"/>
            </w:pPr>
            <w:r>
              <w:rPr>
                <w:rFonts w:ascii="Times New Roman" w:eastAsia="Times New Roman" w:hAnsi="Times New Roman"/>
                <w:color w:val="000000"/>
                <w:sz w:val="20"/>
              </w:rPr>
              <w:t>1,841,683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905BE" w14:textId="77777777" w:rsidR="004F4D69" w:rsidRDefault="004F4D69" w:rsidP="004F4D69">
            <w:pPr>
              <w:spacing w:after="0"/>
              <w:jc w:val="right"/>
            </w:pPr>
            <w:r>
              <w:rPr>
                <w:rFonts w:ascii="Times New Roman" w:eastAsia="Times New Roman" w:hAnsi="Times New Roman"/>
                <w:color w:val="000000"/>
                <w:sz w:val="20"/>
              </w:rPr>
              <w:t>10.1</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E2151" w14:textId="77777777" w:rsidR="004F4D69" w:rsidRDefault="004F4D69" w:rsidP="004F4D69">
            <w:pPr>
              <w:spacing w:after="0"/>
              <w:jc w:val="right"/>
            </w:pPr>
            <w:r>
              <w:rPr>
                <w:rFonts w:ascii="Times New Roman" w:eastAsia="Times New Roman" w:hAnsi="Times New Roman"/>
                <w:color w:val="000000"/>
                <w:sz w:val="20"/>
              </w:rPr>
              <w:t>19.0</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0EB5B" w14:textId="77777777" w:rsidR="004F4D69" w:rsidRDefault="004F4D69" w:rsidP="004F4D69">
            <w:pPr>
              <w:spacing w:after="0"/>
              <w:jc w:val="right"/>
            </w:pPr>
            <w:r>
              <w:rPr>
                <w:rFonts w:ascii="Times New Roman" w:eastAsia="Times New Roman" w:hAnsi="Times New Roman"/>
                <w:color w:val="000000"/>
                <w:sz w:val="20"/>
              </w:rPr>
              <w:t>36.4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1CE1D" w14:textId="77777777" w:rsidR="004F4D69" w:rsidRDefault="004F4D69" w:rsidP="004F4D69">
            <w:pPr>
              <w:spacing w:after="0"/>
              <w:jc w:val="right"/>
            </w:pPr>
            <w:r>
              <w:rPr>
                <w:rFonts w:ascii="Times New Roman" w:eastAsia="Times New Roman" w:hAnsi="Times New Roman"/>
                <w:color w:val="000000"/>
                <w:sz w:val="20"/>
              </w:rPr>
              <w:t>33.8</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CF005" w14:textId="77777777" w:rsidR="004F4D69" w:rsidRDefault="004F4D69" w:rsidP="004F4D69">
            <w:pPr>
              <w:spacing w:after="0"/>
              <w:jc w:val="right"/>
            </w:pPr>
            <w:r>
              <w:rPr>
                <w:rFonts w:ascii="Times New Roman" w:eastAsia="Times New Roman" w:hAnsi="Times New Roman"/>
                <w:color w:val="000000"/>
                <w:sz w:val="20"/>
              </w:rPr>
              <w:t>0.7</w:t>
            </w:r>
          </w:p>
        </w:tc>
      </w:tr>
      <w:tr w:rsidR="004F4D69" w14:paraId="7A0A16CF"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2DA91C8" w14:textId="77777777" w:rsidR="004F4D69" w:rsidRDefault="004F4D69" w:rsidP="004F4D69">
            <w:pPr>
              <w:spacing w:after="0"/>
            </w:pPr>
            <w:r>
              <w:rPr>
                <w:rFonts w:ascii="Times New Roman" w:eastAsia="Times New Roman" w:hAnsi="Times New Roman"/>
                <w:color w:val="000000"/>
                <w:sz w:val="20"/>
              </w:rPr>
              <w:t>Housing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79393" w14:textId="77777777" w:rsidR="004F4D69" w:rsidRDefault="004F4D69" w:rsidP="004F4D69">
            <w:pPr>
              <w:spacing w:after="0"/>
              <w:jc w:val="right"/>
            </w:pPr>
            <w:r>
              <w:rPr>
                <w:rFonts w:ascii="Times New Roman" w:eastAsia="Times New Roman" w:hAnsi="Times New Roman"/>
                <w:color w:val="000000"/>
                <w:sz w:val="20"/>
              </w:rPr>
              <w:t>752,848</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55A27" w14:textId="77777777" w:rsidR="004F4D69" w:rsidRDefault="004F4D69" w:rsidP="004F4D69">
            <w:pPr>
              <w:spacing w:after="0"/>
              <w:jc w:val="right"/>
            </w:pPr>
            <w:r>
              <w:rPr>
                <w:rFonts w:ascii="Times New Roman" w:eastAsia="Times New Roman" w:hAnsi="Times New Roman"/>
                <w:color w:val="000000"/>
                <w:sz w:val="20"/>
              </w:rPr>
              <w:t>9.2</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0456F" w14:textId="77777777" w:rsidR="004F4D69" w:rsidRDefault="004F4D69" w:rsidP="004F4D69">
            <w:pPr>
              <w:spacing w:after="0"/>
              <w:jc w:val="right"/>
            </w:pPr>
            <w:r>
              <w:rPr>
                <w:rFonts w:ascii="Times New Roman" w:eastAsia="Times New Roman" w:hAnsi="Times New Roman"/>
                <w:color w:val="000000"/>
                <w:sz w:val="20"/>
              </w:rPr>
              <w:t>19.5</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4A729" w14:textId="77777777" w:rsidR="004F4D69" w:rsidRDefault="004F4D69" w:rsidP="004F4D69">
            <w:pPr>
              <w:spacing w:after="0"/>
              <w:jc w:val="right"/>
            </w:pPr>
            <w:r>
              <w:rPr>
                <w:rFonts w:ascii="Times New Roman" w:eastAsia="Times New Roman" w:hAnsi="Times New Roman"/>
                <w:color w:val="000000"/>
                <w:sz w:val="20"/>
              </w:rPr>
              <w:t>37.2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DD497" w14:textId="77777777" w:rsidR="004F4D69" w:rsidRDefault="004F4D69" w:rsidP="004F4D69">
            <w:pPr>
              <w:spacing w:after="0"/>
              <w:jc w:val="right"/>
            </w:pPr>
            <w:r>
              <w:rPr>
                <w:rFonts w:ascii="Times New Roman" w:eastAsia="Times New Roman" w:hAnsi="Times New Roman"/>
                <w:color w:val="000000"/>
                <w:sz w:val="20"/>
              </w:rPr>
              <w:t>33.6</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19912" w14:textId="77777777" w:rsidR="004F4D69" w:rsidRDefault="004F4D69" w:rsidP="004F4D69">
            <w:pPr>
              <w:spacing w:after="0"/>
              <w:jc w:val="right"/>
            </w:pPr>
            <w:r>
              <w:rPr>
                <w:rFonts w:ascii="Times New Roman" w:eastAsia="Times New Roman" w:hAnsi="Times New Roman"/>
                <w:color w:val="000000"/>
                <w:sz w:val="20"/>
              </w:rPr>
              <w:t>0.6</w:t>
            </w:r>
          </w:p>
        </w:tc>
      </w:tr>
      <w:tr w:rsidR="004F4D69" w14:paraId="6C9D0BFE"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01A0A24" w14:textId="77777777" w:rsidR="004F4D69" w:rsidRDefault="004F4D69" w:rsidP="004F4D69">
            <w:pPr>
              <w:spacing w:after="0"/>
            </w:pPr>
            <w:r>
              <w:rPr>
                <w:rFonts w:ascii="Times New Roman" w:eastAsia="Times New Roman" w:hAnsi="Times New Roman"/>
                <w:color w:val="000000"/>
                <w:sz w:val="20"/>
              </w:rPr>
              <w:t>Owner-Occupied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40C87" w14:textId="77777777" w:rsidR="004F4D69" w:rsidRDefault="004F4D69" w:rsidP="004F4D69">
            <w:pPr>
              <w:spacing w:after="0"/>
              <w:jc w:val="right"/>
            </w:pPr>
            <w:r>
              <w:rPr>
                <w:rFonts w:ascii="Times New Roman" w:eastAsia="Times New Roman" w:hAnsi="Times New Roman"/>
                <w:color w:val="000000"/>
                <w:sz w:val="20"/>
              </w:rPr>
              <w:t>404,392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15DD9" w14:textId="77777777" w:rsidR="004F4D69" w:rsidRDefault="004F4D69" w:rsidP="004F4D69">
            <w:pPr>
              <w:spacing w:after="0"/>
              <w:jc w:val="right"/>
            </w:pPr>
            <w:r>
              <w:rPr>
                <w:rFonts w:ascii="Times New Roman" w:eastAsia="Times New Roman" w:hAnsi="Times New Roman"/>
                <w:color w:val="000000"/>
                <w:sz w:val="20"/>
              </w:rPr>
              <w:t>3.0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A40A0" w14:textId="77777777" w:rsidR="004F4D69" w:rsidRDefault="004F4D69" w:rsidP="004F4D69">
            <w:pPr>
              <w:spacing w:after="0"/>
              <w:jc w:val="right"/>
            </w:pPr>
            <w:r>
              <w:rPr>
                <w:rFonts w:ascii="Times New Roman" w:eastAsia="Times New Roman" w:hAnsi="Times New Roman"/>
                <w:color w:val="000000"/>
                <w:sz w:val="20"/>
              </w:rPr>
              <w:t>13.3</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DF818" w14:textId="77777777" w:rsidR="004F4D69" w:rsidRDefault="004F4D69" w:rsidP="004F4D69">
            <w:pPr>
              <w:spacing w:after="0"/>
              <w:jc w:val="right"/>
            </w:pPr>
            <w:r>
              <w:rPr>
                <w:rFonts w:ascii="Times New Roman" w:eastAsia="Times New Roman" w:hAnsi="Times New Roman"/>
                <w:color w:val="000000"/>
                <w:sz w:val="20"/>
              </w:rPr>
              <w:t>42.2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36C83" w14:textId="77777777" w:rsidR="004F4D69" w:rsidRDefault="004F4D69" w:rsidP="004F4D69">
            <w:pPr>
              <w:spacing w:after="0"/>
              <w:jc w:val="right"/>
            </w:pPr>
            <w:r>
              <w:rPr>
                <w:rFonts w:ascii="Times New Roman" w:eastAsia="Times New Roman" w:hAnsi="Times New Roman"/>
                <w:color w:val="000000"/>
                <w:sz w:val="20"/>
              </w:rPr>
              <w:t>41.2</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6B57B" w14:textId="77777777" w:rsidR="004F4D69" w:rsidRDefault="004F4D69" w:rsidP="004F4D69">
            <w:pPr>
              <w:spacing w:after="0"/>
              <w:jc w:val="right"/>
            </w:pPr>
            <w:r>
              <w:rPr>
                <w:rFonts w:ascii="Times New Roman" w:eastAsia="Times New Roman" w:hAnsi="Times New Roman"/>
                <w:color w:val="000000"/>
                <w:sz w:val="20"/>
              </w:rPr>
              <w:t>0.3</w:t>
            </w:r>
          </w:p>
        </w:tc>
      </w:tr>
      <w:tr w:rsidR="004F4D69" w14:paraId="72BCDFEA"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FE20715" w14:textId="77777777" w:rsidR="004F4D69" w:rsidRDefault="004F4D69" w:rsidP="004F4D69">
            <w:pPr>
              <w:spacing w:after="0"/>
            </w:pPr>
            <w:r>
              <w:rPr>
                <w:rFonts w:ascii="Times New Roman" w:eastAsia="Times New Roman" w:hAnsi="Times New Roman"/>
                <w:color w:val="000000"/>
                <w:sz w:val="20"/>
              </w:rPr>
              <w:t>Occupied Rental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69B8C" w14:textId="77777777" w:rsidR="004F4D69" w:rsidRDefault="004F4D69" w:rsidP="004F4D69">
            <w:pPr>
              <w:spacing w:after="0"/>
              <w:jc w:val="right"/>
            </w:pPr>
            <w:r>
              <w:rPr>
                <w:rFonts w:ascii="Times New Roman" w:eastAsia="Times New Roman" w:hAnsi="Times New Roman"/>
                <w:color w:val="000000"/>
                <w:sz w:val="20"/>
              </w:rPr>
              <w:t>292,872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A51C8" w14:textId="77777777" w:rsidR="004F4D69" w:rsidRDefault="004F4D69" w:rsidP="004F4D69">
            <w:pPr>
              <w:spacing w:after="0"/>
              <w:jc w:val="right"/>
            </w:pPr>
            <w:r>
              <w:rPr>
                <w:rFonts w:ascii="Times New Roman" w:eastAsia="Times New Roman" w:hAnsi="Times New Roman"/>
                <w:color w:val="000000"/>
                <w:sz w:val="20"/>
              </w:rPr>
              <w:t>17.4</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02C50" w14:textId="77777777" w:rsidR="004F4D69" w:rsidRDefault="004F4D69" w:rsidP="004F4D69">
            <w:pPr>
              <w:spacing w:after="0"/>
              <w:jc w:val="right"/>
            </w:pPr>
            <w:r>
              <w:rPr>
                <w:rFonts w:ascii="Times New Roman" w:eastAsia="Times New Roman" w:hAnsi="Times New Roman"/>
                <w:color w:val="000000"/>
                <w:sz w:val="20"/>
              </w:rPr>
              <w:t>27.4</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0DDEB" w14:textId="77777777" w:rsidR="004F4D69" w:rsidRDefault="004F4D69" w:rsidP="004F4D69">
            <w:pPr>
              <w:spacing w:after="0"/>
              <w:jc w:val="right"/>
            </w:pPr>
            <w:r>
              <w:rPr>
                <w:rFonts w:ascii="Times New Roman" w:eastAsia="Times New Roman" w:hAnsi="Times New Roman"/>
                <w:color w:val="000000"/>
                <w:sz w:val="20"/>
              </w:rPr>
              <w:t>30.2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E4694" w14:textId="77777777" w:rsidR="004F4D69" w:rsidRDefault="004F4D69" w:rsidP="004F4D69">
            <w:pPr>
              <w:spacing w:after="0"/>
              <w:jc w:val="right"/>
            </w:pPr>
            <w:r>
              <w:rPr>
                <w:rFonts w:ascii="Times New Roman" w:eastAsia="Times New Roman" w:hAnsi="Times New Roman"/>
                <w:color w:val="000000"/>
                <w:sz w:val="20"/>
              </w:rPr>
              <w:t>24.1</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C67D2C" w14:textId="77777777" w:rsidR="004F4D69" w:rsidRDefault="004F4D69" w:rsidP="004F4D69">
            <w:pPr>
              <w:spacing w:after="0"/>
              <w:jc w:val="right"/>
            </w:pPr>
            <w:r>
              <w:rPr>
                <w:rFonts w:ascii="Times New Roman" w:eastAsia="Times New Roman" w:hAnsi="Times New Roman"/>
                <w:color w:val="000000"/>
                <w:sz w:val="20"/>
              </w:rPr>
              <w:t>0.9</w:t>
            </w:r>
          </w:p>
        </w:tc>
      </w:tr>
      <w:tr w:rsidR="004F4D69" w14:paraId="4E9EE274"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2E7199B" w14:textId="77777777" w:rsidR="004F4D69" w:rsidRDefault="004F4D69" w:rsidP="004F4D69">
            <w:pPr>
              <w:spacing w:after="0"/>
            </w:pPr>
            <w:r>
              <w:rPr>
                <w:rFonts w:ascii="Times New Roman" w:eastAsia="Times New Roman" w:hAnsi="Times New Roman"/>
                <w:color w:val="000000"/>
                <w:sz w:val="20"/>
              </w:rPr>
              <w:t>Vacant Units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E240E" w14:textId="77777777" w:rsidR="004F4D69" w:rsidRDefault="004F4D69" w:rsidP="004F4D69">
            <w:pPr>
              <w:spacing w:after="0"/>
              <w:jc w:val="right"/>
            </w:pPr>
            <w:r>
              <w:rPr>
                <w:rFonts w:ascii="Times New Roman" w:eastAsia="Times New Roman" w:hAnsi="Times New Roman"/>
                <w:color w:val="000000"/>
                <w:sz w:val="20"/>
              </w:rPr>
              <w:t>55,584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9F146" w14:textId="77777777" w:rsidR="004F4D69" w:rsidRDefault="004F4D69" w:rsidP="004F4D69">
            <w:pPr>
              <w:spacing w:after="0"/>
              <w:jc w:val="right"/>
            </w:pPr>
            <w:r>
              <w:rPr>
                <w:rFonts w:ascii="Times New Roman" w:eastAsia="Times New Roman" w:hAnsi="Times New Roman"/>
                <w:color w:val="000000"/>
                <w:sz w:val="20"/>
              </w:rPr>
              <w:t>10.7</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9C926" w14:textId="77777777" w:rsidR="004F4D69" w:rsidRDefault="004F4D69" w:rsidP="004F4D69">
            <w:pPr>
              <w:spacing w:after="0"/>
              <w:jc w:val="right"/>
            </w:pPr>
            <w:r>
              <w:rPr>
                <w:rFonts w:ascii="Times New Roman" w:eastAsia="Times New Roman" w:hAnsi="Times New Roman"/>
                <w:color w:val="000000"/>
                <w:sz w:val="20"/>
              </w:rPr>
              <w:t>23.4</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66B8E" w14:textId="77777777" w:rsidR="004F4D69" w:rsidRDefault="004F4D69" w:rsidP="004F4D69">
            <w:pPr>
              <w:spacing w:after="0"/>
              <w:jc w:val="right"/>
            </w:pPr>
            <w:r>
              <w:rPr>
                <w:rFonts w:ascii="Times New Roman" w:eastAsia="Times New Roman" w:hAnsi="Times New Roman"/>
                <w:color w:val="000000"/>
                <w:sz w:val="20"/>
              </w:rPr>
              <w:t>36.8</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8FBA2" w14:textId="77777777" w:rsidR="004F4D69" w:rsidRDefault="004F4D69" w:rsidP="004F4D69">
            <w:pPr>
              <w:spacing w:after="0"/>
              <w:jc w:val="right"/>
            </w:pPr>
            <w:r>
              <w:rPr>
                <w:rFonts w:ascii="Times New Roman" w:eastAsia="Times New Roman" w:hAnsi="Times New Roman"/>
                <w:color w:val="000000"/>
                <w:sz w:val="20"/>
              </w:rPr>
              <w:t>28.4</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A2F8B" w14:textId="77777777" w:rsidR="004F4D69" w:rsidRDefault="004F4D69" w:rsidP="004F4D69">
            <w:pPr>
              <w:spacing w:after="0"/>
              <w:jc w:val="right"/>
            </w:pPr>
            <w:r>
              <w:rPr>
                <w:rFonts w:ascii="Times New Roman" w:eastAsia="Times New Roman" w:hAnsi="Times New Roman"/>
                <w:color w:val="000000"/>
                <w:sz w:val="20"/>
              </w:rPr>
              <w:t>0.8</w:t>
            </w:r>
          </w:p>
        </w:tc>
      </w:tr>
      <w:tr w:rsidR="004F4D69" w14:paraId="4F5D7213"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06258D4" w14:textId="77777777" w:rsidR="004F4D69" w:rsidRDefault="004F4D69" w:rsidP="004F4D69">
            <w:pPr>
              <w:spacing w:after="0"/>
            </w:pPr>
            <w:r>
              <w:rPr>
                <w:rFonts w:ascii="Times New Roman" w:eastAsia="Times New Roman" w:hAnsi="Times New Roman"/>
                <w:color w:val="000000"/>
                <w:sz w:val="20"/>
              </w:rPr>
              <w:t>Businesses by Geography</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68AF2" w14:textId="77777777" w:rsidR="004F4D69" w:rsidRDefault="004F4D69" w:rsidP="004F4D69">
            <w:pPr>
              <w:spacing w:after="0"/>
              <w:jc w:val="right"/>
            </w:pPr>
            <w:r>
              <w:rPr>
                <w:rFonts w:ascii="Times New Roman" w:eastAsia="Times New Roman" w:hAnsi="Times New Roman"/>
                <w:color w:val="000000"/>
                <w:sz w:val="20"/>
              </w:rPr>
              <w:t>159,956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D15CB" w14:textId="77777777" w:rsidR="004F4D69" w:rsidRDefault="004F4D69" w:rsidP="004F4D69">
            <w:pPr>
              <w:spacing w:after="0"/>
              <w:jc w:val="right"/>
            </w:pPr>
            <w:r>
              <w:rPr>
                <w:rFonts w:ascii="Times New Roman" w:eastAsia="Times New Roman" w:hAnsi="Times New Roman"/>
                <w:color w:val="000000"/>
                <w:sz w:val="20"/>
              </w:rPr>
              <w:t>5.9</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9E936" w14:textId="77777777" w:rsidR="004F4D69" w:rsidRDefault="004F4D69" w:rsidP="004F4D69">
            <w:pPr>
              <w:spacing w:after="0"/>
              <w:jc w:val="right"/>
            </w:pPr>
            <w:r>
              <w:rPr>
                <w:rFonts w:ascii="Times New Roman" w:eastAsia="Times New Roman" w:hAnsi="Times New Roman"/>
                <w:color w:val="000000"/>
                <w:sz w:val="20"/>
              </w:rPr>
              <w:t>13.4</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475A4" w14:textId="77777777" w:rsidR="004F4D69" w:rsidRDefault="004F4D69" w:rsidP="004F4D69">
            <w:pPr>
              <w:spacing w:after="0"/>
              <w:jc w:val="right"/>
            </w:pPr>
            <w:r>
              <w:rPr>
                <w:rFonts w:ascii="Times New Roman" w:eastAsia="Times New Roman" w:hAnsi="Times New Roman"/>
                <w:color w:val="000000"/>
                <w:sz w:val="20"/>
              </w:rPr>
              <w:t>31.0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1D0D3" w14:textId="77777777" w:rsidR="004F4D69" w:rsidRDefault="004F4D69" w:rsidP="004F4D69">
            <w:pPr>
              <w:spacing w:after="0"/>
              <w:jc w:val="right"/>
            </w:pPr>
            <w:r>
              <w:rPr>
                <w:rFonts w:ascii="Times New Roman" w:eastAsia="Times New Roman" w:hAnsi="Times New Roman"/>
                <w:color w:val="000000"/>
                <w:sz w:val="20"/>
              </w:rPr>
              <w:t>48.8</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4E3A1" w14:textId="77777777" w:rsidR="004F4D69" w:rsidRDefault="004F4D69" w:rsidP="004F4D69">
            <w:pPr>
              <w:spacing w:after="0"/>
              <w:jc w:val="right"/>
            </w:pPr>
            <w:r>
              <w:rPr>
                <w:rFonts w:ascii="Times New Roman" w:eastAsia="Times New Roman" w:hAnsi="Times New Roman"/>
                <w:color w:val="000000"/>
                <w:sz w:val="20"/>
              </w:rPr>
              <w:t>0.9</w:t>
            </w:r>
          </w:p>
        </w:tc>
      </w:tr>
      <w:tr w:rsidR="004F4D69" w14:paraId="3542E462"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EEE33E5" w14:textId="77777777" w:rsidR="004F4D69" w:rsidRDefault="004F4D69" w:rsidP="004F4D69">
            <w:pPr>
              <w:spacing w:after="0"/>
            </w:pPr>
            <w:r>
              <w:rPr>
                <w:rFonts w:ascii="Times New Roman" w:eastAsia="Times New Roman" w:hAnsi="Times New Roman"/>
                <w:color w:val="000000"/>
                <w:sz w:val="20"/>
              </w:rPr>
              <w:t>Family Distribution by Income Level</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9AEBC" w14:textId="77777777" w:rsidR="004F4D69" w:rsidRDefault="004F4D69" w:rsidP="004F4D69">
            <w:pPr>
              <w:spacing w:after="0"/>
              <w:jc w:val="right"/>
            </w:pPr>
            <w:r>
              <w:rPr>
                <w:rFonts w:ascii="Times New Roman" w:eastAsia="Times New Roman" w:hAnsi="Times New Roman"/>
                <w:color w:val="000000"/>
                <w:sz w:val="20"/>
              </w:rPr>
              <w:t>422,865</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13444" w14:textId="77777777" w:rsidR="004F4D69" w:rsidRDefault="004F4D69" w:rsidP="004F4D69">
            <w:pPr>
              <w:spacing w:after="0"/>
              <w:jc w:val="right"/>
            </w:pPr>
            <w:r>
              <w:rPr>
                <w:rFonts w:ascii="Times New Roman" w:eastAsia="Times New Roman" w:hAnsi="Times New Roman"/>
                <w:color w:val="000000"/>
                <w:sz w:val="20"/>
              </w:rPr>
              <w:t>23.8</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F09F6" w14:textId="77777777" w:rsidR="004F4D69" w:rsidRDefault="004F4D69" w:rsidP="004F4D69">
            <w:pPr>
              <w:spacing w:after="0"/>
              <w:jc w:val="right"/>
            </w:pPr>
            <w:r>
              <w:rPr>
                <w:rFonts w:ascii="Times New Roman" w:eastAsia="Times New Roman" w:hAnsi="Times New Roman"/>
                <w:color w:val="000000"/>
                <w:sz w:val="20"/>
              </w:rPr>
              <w:t>15.5</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2E2CD6" w14:textId="77777777" w:rsidR="004F4D69" w:rsidRDefault="004F4D69" w:rsidP="004F4D69">
            <w:pPr>
              <w:spacing w:after="0"/>
              <w:jc w:val="right"/>
            </w:pPr>
            <w:r>
              <w:rPr>
                <w:rFonts w:ascii="Times New Roman" w:eastAsia="Times New Roman" w:hAnsi="Times New Roman"/>
                <w:color w:val="000000"/>
                <w:sz w:val="20"/>
              </w:rPr>
              <w:t>18.5</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ADAFD" w14:textId="77777777" w:rsidR="004F4D69" w:rsidRDefault="004F4D69" w:rsidP="004F4D69">
            <w:pPr>
              <w:spacing w:after="0"/>
              <w:jc w:val="right"/>
            </w:pPr>
            <w:r>
              <w:rPr>
                <w:rFonts w:ascii="Times New Roman" w:eastAsia="Times New Roman" w:hAnsi="Times New Roman"/>
                <w:color w:val="000000"/>
                <w:sz w:val="20"/>
              </w:rPr>
              <w:t>42.2</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02687" w14:textId="77777777" w:rsidR="004F4D69" w:rsidRDefault="004F4D69" w:rsidP="004F4D69">
            <w:pPr>
              <w:spacing w:after="0"/>
              <w:jc w:val="right"/>
            </w:pPr>
            <w:r>
              <w:rPr>
                <w:rFonts w:ascii="Times New Roman" w:eastAsia="Times New Roman" w:hAnsi="Times New Roman"/>
                <w:color w:val="000000"/>
                <w:sz w:val="20"/>
              </w:rPr>
              <w:t>0.0</w:t>
            </w:r>
          </w:p>
        </w:tc>
      </w:tr>
      <w:tr w:rsidR="004F4D69" w14:paraId="05AA68B8" w14:textId="77777777" w:rsidTr="00C176ED">
        <w:trPr>
          <w:trHeight w:val="188"/>
        </w:trPr>
        <w:tc>
          <w:tcPr>
            <w:tcW w:w="359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240472F" w14:textId="77777777" w:rsidR="004F4D69" w:rsidRDefault="004F4D69" w:rsidP="004F4D69">
            <w:pPr>
              <w:spacing w:after="0"/>
            </w:pPr>
            <w:r>
              <w:rPr>
                <w:rFonts w:ascii="Times New Roman" w:eastAsia="Times New Roman" w:hAnsi="Times New Roman"/>
                <w:color w:val="000000"/>
                <w:sz w:val="20"/>
              </w:rPr>
              <w:t>Household Distribution by Income Level</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7D022" w14:textId="77777777" w:rsidR="004F4D69" w:rsidRDefault="004F4D69" w:rsidP="004F4D69">
            <w:pPr>
              <w:spacing w:after="0"/>
              <w:jc w:val="right"/>
            </w:pPr>
            <w:r>
              <w:rPr>
                <w:rFonts w:ascii="Times New Roman" w:eastAsia="Times New Roman" w:hAnsi="Times New Roman"/>
                <w:color w:val="000000"/>
                <w:sz w:val="20"/>
              </w:rPr>
              <w:t>697,264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87E11" w14:textId="77777777" w:rsidR="004F4D69" w:rsidRDefault="004F4D69" w:rsidP="004F4D69">
            <w:pPr>
              <w:spacing w:after="0"/>
              <w:jc w:val="right"/>
            </w:pPr>
            <w:r>
              <w:rPr>
                <w:rFonts w:ascii="Times New Roman" w:eastAsia="Times New Roman" w:hAnsi="Times New Roman"/>
                <w:color w:val="000000"/>
                <w:sz w:val="20"/>
              </w:rPr>
              <w:t>27.0</w:t>
            </w:r>
          </w:p>
        </w:tc>
        <w:tc>
          <w:tcPr>
            <w:tcW w:w="1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94A97" w14:textId="77777777" w:rsidR="004F4D69" w:rsidRDefault="004F4D69" w:rsidP="004F4D69">
            <w:pPr>
              <w:spacing w:after="0"/>
              <w:jc w:val="right"/>
            </w:pPr>
            <w:r>
              <w:rPr>
                <w:rFonts w:ascii="Times New Roman" w:eastAsia="Times New Roman" w:hAnsi="Times New Roman"/>
                <w:color w:val="000000"/>
                <w:sz w:val="20"/>
              </w:rPr>
              <w:t>13.6</w:t>
            </w:r>
          </w:p>
        </w:tc>
        <w:tc>
          <w:tcPr>
            <w:tcW w:w="10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F3270" w14:textId="77777777" w:rsidR="004F4D69" w:rsidRDefault="004F4D69" w:rsidP="004F4D69">
            <w:pPr>
              <w:spacing w:after="0"/>
              <w:jc w:val="right"/>
            </w:pPr>
            <w:r>
              <w:rPr>
                <w:rFonts w:ascii="Times New Roman" w:eastAsia="Times New Roman" w:hAnsi="Times New Roman"/>
                <w:color w:val="000000"/>
                <w:sz w:val="20"/>
              </w:rPr>
              <w:t>15.6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EB346" w14:textId="77777777" w:rsidR="004F4D69" w:rsidRDefault="004F4D69" w:rsidP="004F4D69">
            <w:pPr>
              <w:spacing w:after="0"/>
              <w:jc w:val="right"/>
            </w:pPr>
            <w:r>
              <w:rPr>
                <w:rFonts w:ascii="Times New Roman" w:eastAsia="Times New Roman" w:hAnsi="Times New Roman"/>
                <w:color w:val="000000"/>
                <w:sz w:val="20"/>
              </w:rPr>
              <w:t>43.8</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F0744C" w14:textId="77777777" w:rsidR="004F4D69" w:rsidRDefault="004F4D69" w:rsidP="004F4D69">
            <w:pPr>
              <w:spacing w:after="0"/>
              <w:jc w:val="right"/>
            </w:pPr>
            <w:r>
              <w:rPr>
                <w:rFonts w:ascii="Times New Roman" w:eastAsia="Times New Roman" w:hAnsi="Times New Roman"/>
                <w:color w:val="000000"/>
                <w:sz w:val="20"/>
              </w:rPr>
              <w:t>0.0</w:t>
            </w:r>
          </w:p>
        </w:tc>
      </w:tr>
      <w:tr w:rsidR="00C176ED" w14:paraId="16D86BDE" w14:textId="77777777" w:rsidTr="002647BF">
        <w:trPr>
          <w:trHeight w:val="188"/>
        </w:trPr>
        <w:tc>
          <w:tcPr>
            <w:tcW w:w="4671" w:type="dxa"/>
            <w:gridSpan w:val="2"/>
            <w:tcBorders>
              <w:top w:val="single" w:sz="7" w:space="0" w:color="000000"/>
              <w:left w:val="single" w:sz="7" w:space="0" w:color="000000"/>
              <w:bottom w:val="single" w:sz="7" w:space="0" w:color="000000"/>
            </w:tcBorders>
            <w:tcMar>
              <w:top w:w="39" w:type="dxa"/>
              <w:left w:w="239" w:type="dxa"/>
              <w:bottom w:w="39" w:type="dxa"/>
              <w:right w:w="39" w:type="dxa"/>
            </w:tcMar>
          </w:tcPr>
          <w:p w14:paraId="4F08168F" w14:textId="13CB0C56" w:rsidR="00C176ED" w:rsidRDefault="00C176ED" w:rsidP="004F4D69">
            <w:pPr>
              <w:spacing w:after="0"/>
            </w:pPr>
            <w:r>
              <w:rPr>
                <w:rFonts w:ascii="Times New Roman" w:eastAsia="Times New Roman" w:hAnsi="Times New Roman"/>
                <w:color w:val="000000"/>
                <w:sz w:val="20"/>
              </w:rPr>
              <w:t>Median Family Income MSA - 14454 Boston, MA</w:t>
            </w:r>
          </w:p>
        </w:tc>
        <w:tc>
          <w:tcPr>
            <w:tcW w:w="900" w:type="dxa"/>
            <w:tcBorders>
              <w:top w:val="single" w:sz="7" w:space="0" w:color="000000"/>
              <w:left w:val="single" w:sz="7" w:space="0" w:color="000000"/>
              <w:bottom w:val="single" w:sz="7" w:space="0" w:color="000000"/>
            </w:tcBorders>
            <w:tcMar>
              <w:top w:w="39" w:type="dxa"/>
              <w:left w:w="39" w:type="dxa"/>
              <w:bottom w:w="39" w:type="dxa"/>
              <w:right w:w="39" w:type="dxa"/>
            </w:tcMar>
          </w:tcPr>
          <w:p w14:paraId="04565EAB" w14:textId="77777777" w:rsidR="00C176ED" w:rsidRDefault="00C176ED" w:rsidP="004F4D69">
            <w:pPr>
              <w:spacing w:after="0"/>
              <w:jc w:val="right"/>
            </w:pPr>
            <w:r>
              <w:rPr>
                <w:rFonts w:ascii="Times New Roman" w:eastAsia="Times New Roman" w:hAnsi="Times New Roman"/>
                <w:color w:val="000000"/>
                <w:sz w:val="20"/>
              </w:rPr>
              <w:t>$90,699</w:t>
            </w:r>
          </w:p>
        </w:tc>
        <w:tc>
          <w:tcPr>
            <w:tcW w:w="315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A7D1F" w14:textId="77777777" w:rsidR="00C176ED" w:rsidRDefault="00C176ED" w:rsidP="004F4D69">
            <w:pPr>
              <w:spacing w:after="0"/>
            </w:pPr>
            <w:r>
              <w:rPr>
                <w:rFonts w:ascii="Times New Roman" w:eastAsia="Times New Roman" w:hAnsi="Times New Roman"/>
                <w:color w:val="000000"/>
                <w:sz w:val="20"/>
              </w:rPr>
              <w:t>Median Housing Value</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ECE2C" w14:textId="77777777" w:rsidR="00C176ED" w:rsidRDefault="00C176ED" w:rsidP="004F4D69">
            <w:pPr>
              <w:spacing w:after="0"/>
              <w:jc w:val="right"/>
            </w:pPr>
            <w:r>
              <w:rPr>
                <w:rFonts w:ascii="Times New Roman" w:eastAsia="Times New Roman" w:hAnsi="Times New Roman"/>
                <w:color w:val="000000"/>
                <w:sz w:val="20"/>
              </w:rPr>
              <w:t>$411,520</w:t>
            </w:r>
          </w:p>
        </w:tc>
      </w:tr>
      <w:tr w:rsidR="004F4D69" w14:paraId="656DC5BC" w14:textId="77777777" w:rsidTr="00C176ED">
        <w:trPr>
          <w:trHeight w:val="188"/>
        </w:trPr>
        <w:tc>
          <w:tcPr>
            <w:tcW w:w="3591" w:type="dxa"/>
            <w:tcBorders>
              <w:left w:val="single" w:sz="7" w:space="0" w:color="000000"/>
            </w:tcBorders>
            <w:tcMar>
              <w:top w:w="39" w:type="dxa"/>
              <w:left w:w="239" w:type="dxa"/>
              <w:bottom w:w="39" w:type="dxa"/>
              <w:right w:w="39" w:type="dxa"/>
            </w:tcMar>
          </w:tcPr>
          <w:p w14:paraId="07AEE8A9" w14:textId="77777777" w:rsidR="004F4D69" w:rsidRDefault="004F4D69" w:rsidP="004F4D69">
            <w:pPr>
              <w:spacing w:after="0"/>
            </w:pPr>
          </w:p>
        </w:tc>
        <w:tc>
          <w:tcPr>
            <w:tcW w:w="1080" w:type="dxa"/>
            <w:tcMar>
              <w:top w:w="39" w:type="dxa"/>
              <w:left w:w="239" w:type="dxa"/>
              <w:bottom w:w="39" w:type="dxa"/>
              <w:right w:w="39" w:type="dxa"/>
            </w:tcMar>
          </w:tcPr>
          <w:p w14:paraId="5C205A08" w14:textId="77777777" w:rsidR="004F4D69" w:rsidRDefault="004F4D69" w:rsidP="004F4D69">
            <w:pPr>
              <w:spacing w:after="0"/>
            </w:pPr>
          </w:p>
        </w:tc>
        <w:tc>
          <w:tcPr>
            <w:tcW w:w="900" w:type="dxa"/>
            <w:tcMar>
              <w:top w:w="39" w:type="dxa"/>
              <w:left w:w="39" w:type="dxa"/>
              <w:bottom w:w="39" w:type="dxa"/>
              <w:right w:w="39" w:type="dxa"/>
            </w:tcMar>
          </w:tcPr>
          <w:p w14:paraId="602ADF6A" w14:textId="77777777" w:rsidR="004F4D69" w:rsidRDefault="004F4D69" w:rsidP="004F4D69">
            <w:pPr>
              <w:spacing w:after="0"/>
            </w:pPr>
          </w:p>
        </w:tc>
        <w:tc>
          <w:tcPr>
            <w:tcW w:w="315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9BEAC" w14:textId="77777777" w:rsidR="004F4D69" w:rsidRDefault="004F4D69" w:rsidP="004F4D69">
            <w:pPr>
              <w:spacing w:after="0"/>
            </w:pPr>
            <w:r>
              <w:rPr>
                <w:rFonts w:ascii="Times New Roman" w:eastAsia="Times New Roman" w:hAnsi="Times New Roman"/>
                <w:color w:val="000000"/>
                <w:sz w:val="20"/>
              </w:rPr>
              <w:t>Median Gross Rent</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4AC2B" w14:textId="77777777" w:rsidR="004F4D69" w:rsidRDefault="004F4D69" w:rsidP="004F4D69">
            <w:pPr>
              <w:spacing w:after="0"/>
              <w:jc w:val="right"/>
            </w:pPr>
            <w:r>
              <w:rPr>
                <w:rFonts w:ascii="Times New Roman" w:eastAsia="Times New Roman" w:hAnsi="Times New Roman"/>
                <w:color w:val="000000"/>
                <w:sz w:val="20"/>
              </w:rPr>
              <w:t>$1,305</w:t>
            </w:r>
          </w:p>
        </w:tc>
      </w:tr>
      <w:tr w:rsidR="004F4D69" w14:paraId="5F0C1F37" w14:textId="77777777" w:rsidTr="00C176ED">
        <w:trPr>
          <w:trHeight w:val="188"/>
        </w:trPr>
        <w:tc>
          <w:tcPr>
            <w:tcW w:w="3591" w:type="dxa"/>
            <w:tcBorders>
              <w:left w:val="single" w:sz="7" w:space="0" w:color="000000"/>
              <w:bottom w:val="single" w:sz="7" w:space="0" w:color="000000"/>
            </w:tcBorders>
            <w:tcMar>
              <w:top w:w="39" w:type="dxa"/>
              <w:left w:w="239" w:type="dxa"/>
              <w:bottom w:w="39" w:type="dxa"/>
              <w:right w:w="39" w:type="dxa"/>
            </w:tcMar>
          </w:tcPr>
          <w:p w14:paraId="3F47AE84" w14:textId="77777777" w:rsidR="004F4D69" w:rsidRDefault="004F4D69" w:rsidP="004F4D69">
            <w:pPr>
              <w:spacing w:after="0"/>
            </w:pPr>
          </w:p>
        </w:tc>
        <w:tc>
          <w:tcPr>
            <w:tcW w:w="1080" w:type="dxa"/>
            <w:tcBorders>
              <w:bottom w:val="single" w:sz="7" w:space="0" w:color="000000"/>
            </w:tcBorders>
            <w:tcMar>
              <w:top w:w="39" w:type="dxa"/>
              <w:left w:w="239" w:type="dxa"/>
              <w:bottom w:w="39" w:type="dxa"/>
              <w:right w:w="39" w:type="dxa"/>
            </w:tcMar>
          </w:tcPr>
          <w:p w14:paraId="3BFEC30A" w14:textId="77777777" w:rsidR="004F4D69" w:rsidRDefault="004F4D69" w:rsidP="004F4D69">
            <w:pPr>
              <w:spacing w:after="0"/>
            </w:pPr>
          </w:p>
        </w:tc>
        <w:tc>
          <w:tcPr>
            <w:tcW w:w="900" w:type="dxa"/>
            <w:tcBorders>
              <w:bottom w:val="single" w:sz="7" w:space="0" w:color="000000"/>
            </w:tcBorders>
            <w:tcMar>
              <w:top w:w="39" w:type="dxa"/>
              <w:left w:w="39" w:type="dxa"/>
              <w:bottom w:w="39" w:type="dxa"/>
              <w:right w:w="39" w:type="dxa"/>
            </w:tcMar>
          </w:tcPr>
          <w:p w14:paraId="378D1C3E" w14:textId="77777777" w:rsidR="004F4D69" w:rsidRDefault="004F4D69" w:rsidP="004F4D69">
            <w:pPr>
              <w:spacing w:after="0"/>
            </w:pPr>
          </w:p>
        </w:tc>
        <w:tc>
          <w:tcPr>
            <w:tcW w:w="3150"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1468C" w14:textId="77777777" w:rsidR="004F4D69" w:rsidRDefault="004F4D69" w:rsidP="004F4D69">
            <w:pPr>
              <w:spacing w:after="0"/>
            </w:pPr>
            <w:r>
              <w:rPr>
                <w:rFonts w:ascii="Times New Roman" w:eastAsia="Times New Roman" w:hAnsi="Times New Roman"/>
                <w:color w:val="000000"/>
                <w:sz w:val="20"/>
              </w:rPr>
              <w:t>Families Below Poverty Level</w:t>
            </w:r>
          </w:p>
        </w:tc>
        <w:tc>
          <w:tcPr>
            <w:tcW w:w="9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C4265" w14:textId="77777777" w:rsidR="004F4D69" w:rsidRDefault="004F4D69" w:rsidP="004F4D69">
            <w:pPr>
              <w:spacing w:after="0"/>
              <w:jc w:val="right"/>
            </w:pPr>
            <w:r>
              <w:rPr>
                <w:rFonts w:ascii="Times New Roman" w:eastAsia="Times New Roman" w:hAnsi="Times New Roman"/>
                <w:color w:val="000000"/>
                <w:sz w:val="20"/>
              </w:rPr>
              <w:t>8.5%</w:t>
            </w:r>
          </w:p>
        </w:tc>
      </w:tr>
      <w:tr w:rsidR="004F4D69" w14:paraId="6D721D17" w14:textId="77777777" w:rsidTr="00C176ED">
        <w:trPr>
          <w:trHeight w:val="463"/>
        </w:trPr>
        <w:tc>
          <w:tcPr>
            <w:tcW w:w="9630"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4A0E2049" w14:textId="0AFEF807" w:rsidR="004F4D69" w:rsidRDefault="004F4D69" w:rsidP="004F4D69">
            <w:pPr>
              <w:spacing w:after="0"/>
            </w:pPr>
            <w:r>
              <w:rPr>
                <w:rFonts w:ascii="Times New Roman" w:eastAsia="Times New Roman" w:hAnsi="Times New Roman"/>
                <w:i/>
                <w:color w:val="000000"/>
                <w:sz w:val="16"/>
              </w:rPr>
              <w:t xml:space="preserve">Source: 2015 </w:t>
            </w:r>
            <w:r w:rsidR="00260208">
              <w:rPr>
                <w:rFonts w:ascii="Times New Roman" w:eastAsia="Times New Roman" w:hAnsi="Times New Roman"/>
                <w:i/>
                <w:color w:val="000000"/>
                <w:sz w:val="16"/>
              </w:rPr>
              <w:t>ACS and</w:t>
            </w:r>
            <w:r>
              <w:rPr>
                <w:rFonts w:ascii="Times New Roman" w:eastAsia="Times New Roman" w:hAnsi="Times New Roman"/>
                <w:i/>
                <w:color w:val="000000"/>
                <w:sz w:val="16"/>
              </w:rPr>
              <w:t xml:space="preserve"> 2019 D&amp;B Data</w:t>
            </w:r>
            <w:r w:rsidR="00C176ED">
              <w:rPr>
                <w:rFonts w:ascii="Times New Roman" w:eastAsia="Times New Roman" w:hAnsi="Times New Roman"/>
                <w:i/>
                <w:color w:val="000000"/>
                <w:sz w:val="16"/>
              </w:rPr>
              <w:t xml:space="preserve">.  </w:t>
            </w:r>
            <w:r>
              <w:rPr>
                <w:rFonts w:ascii="Times New Roman" w:eastAsia="Times New Roman" w:hAnsi="Times New Roman"/>
                <w:i/>
                <w:color w:val="000000"/>
                <w:sz w:val="16"/>
              </w:rPr>
              <w:t>Due to rounding, totals may not equal 100.0%</w:t>
            </w:r>
          </w:p>
          <w:p w14:paraId="1AF96A5C" w14:textId="77777777" w:rsidR="004F4D69" w:rsidRDefault="004F4D69" w:rsidP="004F4D69">
            <w:pPr>
              <w:spacing w:after="0"/>
            </w:pPr>
            <w:r>
              <w:rPr>
                <w:rFonts w:ascii="Times New Roman" w:eastAsia="Times New Roman" w:hAnsi="Times New Roman"/>
                <w:i/>
                <w:color w:val="000000"/>
                <w:sz w:val="16"/>
              </w:rPr>
              <w:t>(*) The NA category consists of geographies that have not been assigned an income classification.</w:t>
            </w:r>
          </w:p>
        </w:tc>
      </w:tr>
    </w:tbl>
    <w:p w14:paraId="6B75818B" w14:textId="77777777" w:rsidR="00DE3115" w:rsidRDefault="00DE3115" w:rsidP="00E50970">
      <w:pPr>
        <w:spacing w:after="0" w:line="240" w:lineRule="auto"/>
        <w:rPr>
          <w:rFonts w:ascii="Times New Roman" w:hAnsi="Times New Roman" w:cs="Times New Roman"/>
          <w:bCs/>
          <w:iCs/>
          <w:sz w:val="24"/>
          <w:szCs w:val="24"/>
        </w:rPr>
      </w:pPr>
    </w:p>
    <w:p w14:paraId="31F82F79" w14:textId="580B9443" w:rsidR="00B3235A" w:rsidRPr="00943C26" w:rsidRDefault="00943C26" w:rsidP="00E50970">
      <w:pPr>
        <w:spacing w:after="0" w:line="240" w:lineRule="auto"/>
        <w:rPr>
          <w:rFonts w:ascii="Times New Roman" w:hAnsi="Times New Roman" w:cs="Times New Roman"/>
          <w:bCs/>
          <w:iCs/>
          <w:sz w:val="24"/>
          <w:szCs w:val="24"/>
        </w:rPr>
      </w:pPr>
      <w:r w:rsidRPr="004D6B86">
        <w:rPr>
          <w:rFonts w:ascii="Times New Roman" w:hAnsi="Times New Roman" w:cs="Times New Roman"/>
          <w:bCs/>
          <w:iCs/>
          <w:sz w:val="24"/>
          <w:szCs w:val="24"/>
        </w:rPr>
        <w:t>The median housing value for the assessment area is $</w:t>
      </w:r>
      <w:r>
        <w:rPr>
          <w:rFonts w:ascii="Times New Roman" w:hAnsi="Times New Roman" w:cs="Times New Roman"/>
          <w:bCs/>
          <w:iCs/>
          <w:sz w:val="24"/>
          <w:szCs w:val="24"/>
        </w:rPr>
        <w:t xml:space="preserve">441,520 and the median family income is </w:t>
      </w:r>
      <w:r w:rsidRPr="004D6B86">
        <w:rPr>
          <w:rFonts w:ascii="Times New Roman" w:hAnsi="Times New Roman" w:cs="Times New Roman"/>
          <w:bCs/>
          <w:iCs/>
          <w:sz w:val="24"/>
          <w:szCs w:val="24"/>
        </w:rPr>
        <w:t xml:space="preserve">$90,699 </w:t>
      </w:r>
      <w:r w:rsidR="006D2AD2">
        <w:rPr>
          <w:rFonts w:ascii="Times New Roman" w:hAnsi="Times New Roman" w:cs="Times New Roman"/>
          <w:bCs/>
          <w:iCs/>
          <w:sz w:val="24"/>
          <w:szCs w:val="24"/>
        </w:rPr>
        <w:t xml:space="preserve">in </w:t>
      </w:r>
      <w:r w:rsidRPr="004D6B86">
        <w:rPr>
          <w:rFonts w:ascii="Times New Roman" w:hAnsi="Times New Roman" w:cs="Times New Roman"/>
          <w:bCs/>
          <w:iCs/>
          <w:sz w:val="24"/>
          <w:szCs w:val="24"/>
        </w:rPr>
        <w:t>the Boston, MA MD</w:t>
      </w:r>
      <w:r>
        <w:rPr>
          <w:rFonts w:ascii="Times New Roman" w:hAnsi="Times New Roman" w:cs="Times New Roman"/>
          <w:bCs/>
          <w:iCs/>
          <w:sz w:val="24"/>
          <w:szCs w:val="24"/>
        </w:rPr>
        <w:t xml:space="preserve">.  </w:t>
      </w:r>
      <w:r w:rsidRPr="004D6B86">
        <w:rPr>
          <w:rFonts w:ascii="Times New Roman" w:hAnsi="Times New Roman" w:cs="Times New Roman"/>
          <w:bCs/>
          <w:iCs/>
          <w:sz w:val="24"/>
          <w:szCs w:val="24"/>
        </w:rPr>
        <w:t xml:space="preserve">In addition, approximately </w:t>
      </w:r>
      <w:r>
        <w:rPr>
          <w:rFonts w:ascii="Times New Roman" w:hAnsi="Times New Roman" w:cs="Times New Roman"/>
          <w:bCs/>
          <w:iCs/>
          <w:sz w:val="24"/>
          <w:szCs w:val="24"/>
        </w:rPr>
        <w:t xml:space="preserve">8.5 </w:t>
      </w:r>
      <w:r w:rsidRPr="004D6B86">
        <w:rPr>
          <w:rFonts w:ascii="Times New Roman" w:hAnsi="Times New Roman" w:cs="Times New Roman"/>
          <w:bCs/>
          <w:iCs/>
          <w:sz w:val="24"/>
          <w:szCs w:val="24"/>
        </w:rPr>
        <w:t>percent of families are below poverty level, which is a subset of the low-income level category.  Families in this category are faced with more financial hardship and likely face challenges qualifying for traditional residential loans for homes with median housing value of $</w:t>
      </w:r>
      <w:r>
        <w:rPr>
          <w:rFonts w:ascii="Times New Roman" w:hAnsi="Times New Roman" w:cs="Times New Roman"/>
          <w:bCs/>
          <w:iCs/>
          <w:sz w:val="24"/>
          <w:szCs w:val="24"/>
        </w:rPr>
        <w:t>411,520</w:t>
      </w:r>
      <w:r w:rsidRPr="004D6B86">
        <w:rPr>
          <w:rFonts w:ascii="Times New Roman" w:hAnsi="Times New Roman" w:cs="Times New Roman"/>
          <w:bCs/>
          <w:iCs/>
          <w:sz w:val="24"/>
          <w:szCs w:val="24"/>
        </w:rPr>
        <w:t xml:space="preserve">.  </w:t>
      </w:r>
      <w:r w:rsidRPr="004D6B86">
        <w:rPr>
          <w:rFonts w:ascii="Times New Roman" w:hAnsi="Times New Roman" w:cs="Times New Roman"/>
          <w:sz w:val="24"/>
          <w:szCs w:val="24"/>
        </w:rPr>
        <w:t>Additionally, with low-income geographies containing only 3.</w:t>
      </w:r>
      <w:r>
        <w:rPr>
          <w:rFonts w:ascii="Times New Roman" w:hAnsi="Times New Roman" w:cs="Times New Roman"/>
          <w:sz w:val="24"/>
          <w:szCs w:val="24"/>
        </w:rPr>
        <w:t>0</w:t>
      </w:r>
      <w:r w:rsidRPr="004D6B86">
        <w:rPr>
          <w:rFonts w:ascii="Times New Roman" w:hAnsi="Times New Roman" w:cs="Times New Roman"/>
          <w:sz w:val="24"/>
          <w:szCs w:val="24"/>
        </w:rPr>
        <w:t xml:space="preserve"> percent of the area</w:t>
      </w:r>
      <w:r w:rsidR="003F3AE7">
        <w:rPr>
          <w:rFonts w:ascii="Times New Roman" w:hAnsi="Times New Roman" w:cs="Times New Roman"/>
          <w:sz w:val="24"/>
          <w:szCs w:val="24"/>
        </w:rPr>
        <w:t>’</w:t>
      </w:r>
      <w:r w:rsidRPr="004D6B86">
        <w:rPr>
          <w:rFonts w:ascii="Times New Roman" w:hAnsi="Times New Roman" w:cs="Times New Roman"/>
          <w:sz w:val="24"/>
          <w:szCs w:val="24"/>
        </w:rPr>
        <w:t xml:space="preserve">s owner-occupied housing units, lenders have limited opportunities to make home mortgage loans in these geographies.  </w:t>
      </w:r>
      <w:r w:rsidRPr="004D6B86">
        <w:rPr>
          <w:rFonts w:ascii="Times New Roman" w:hAnsi="Times New Roman" w:cs="Times New Roman"/>
          <w:bCs/>
          <w:iCs/>
          <w:sz w:val="24"/>
          <w:szCs w:val="24"/>
        </w:rPr>
        <w:t>The median family income ranges are in the following table.</w:t>
      </w:r>
    </w:p>
    <w:p w14:paraId="194207AE" w14:textId="77777777" w:rsidR="00B3235A" w:rsidRDefault="00B3235A" w:rsidP="00E50970">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2610"/>
        <w:gridCol w:w="1356"/>
        <w:gridCol w:w="2100"/>
        <w:gridCol w:w="2195"/>
        <w:gridCol w:w="1369"/>
      </w:tblGrid>
      <w:tr w:rsidR="00B3235A" w14:paraId="09B17B70" w14:textId="77777777" w:rsidTr="00B3235A">
        <w:trPr>
          <w:trHeight w:val="282"/>
        </w:trPr>
        <w:tc>
          <w:tcPr>
            <w:tcW w:w="9630"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152D6612" w14:textId="77777777" w:rsidR="00B3235A" w:rsidRDefault="00B3235A" w:rsidP="00B3235A">
            <w:pPr>
              <w:spacing w:after="0"/>
              <w:jc w:val="center"/>
            </w:pPr>
            <w:r>
              <w:rPr>
                <w:rFonts w:ascii="Times New Roman" w:eastAsia="Times New Roman" w:hAnsi="Times New Roman"/>
                <w:b/>
                <w:color w:val="000000"/>
                <w:sz w:val="20"/>
              </w:rPr>
              <w:t>Median Family Income Ranges</w:t>
            </w:r>
          </w:p>
        </w:tc>
      </w:tr>
      <w:tr w:rsidR="00B3235A" w14:paraId="5B84EBED" w14:textId="77777777" w:rsidTr="00B3235A">
        <w:trPr>
          <w:trHeight w:val="426"/>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D92252" w14:textId="77777777" w:rsidR="00B3235A" w:rsidRDefault="00B3235A" w:rsidP="00B3235A">
            <w:pPr>
              <w:spacing w:after="0"/>
            </w:pPr>
            <w:r>
              <w:rPr>
                <w:rFonts w:ascii="Times New Roman" w:eastAsia="Times New Roman" w:hAnsi="Times New Roman"/>
                <w:b/>
                <w:color w:val="000000"/>
                <w:sz w:val="20"/>
              </w:rPr>
              <w:t>Median Family Incomes</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068B31" w14:textId="77777777" w:rsidR="00B3235A" w:rsidRDefault="00B3235A" w:rsidP="00B3235A">
            <w:pPr>
              <w:spacing w:after="0"/>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&lt;50% </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16A3C1" w14:textId="77777777" w:rsidR="00B3235A" w:rsidRDefault="00B3235A" w:rsidP="00B3235A">
            <w:pPr>
              <w:spacing w:after="0"/>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50% to &lt;80%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94EB7E" w14:textId="77777777" w:rsidR="00B3235A" w:rsidRDefault="00B3235A" w:rsidP="00B3235A">
            <w:pPr>
              <w:spacing w:after="0"/>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80% to &lt;120%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1B2C73" w14:textId="77777777" w:rsidR="00B3235A" w:rsidRDefault="00B3235A" w:rsidP="00B3235A">
            <w:pPr>
              <w:spacing w:after="0"/>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≥120%</w:t>
            </w:r>
          </w:p>
        </w:tc>
      </w:tr>
      <w:tr w:rsidR="00B3235A" w14:paraId="7DD8F8EC" w14:textId="77777777" w:rsidTr="00B3235A">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5BCD20" w14:textId="77777777" w:rsidR="00B3235A" w:rsidRDefault="00B3235A" w:rsidP="00B3235A">
            <w:pPr>
              <w:spacing w:after="0"/>
              <w:jc w:val="center"/>
            </w:pPr>
            <w:r>
              <w:rPr>
                <w:rFonts w:ascii="Times New Roman" w:eastAsia="Times New Roman" w:hAnsi="Times New Roman"/>
                <w:b/>
                <w:color w:val="000000"/>
                <w:sz w:val="20"/>
              </w:rPr>
              <w:t>Boston, MA MD Median Family Income (14454)</w:t>
            </w:r>
          </w:p>
        </w:tc>
      </w:tr>
      <w:tr w:rsidR="00B3235A" w14:paraId="2D9F7BDB" w14:textId="77777777" w:rsidTr="00B3235A">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D26DB3" w14:textId="77777777" w:rsidR="00B3235A" w:rsidRDefault="00B3235A" w:rsidP="00B3235A">
            <w:pPr>
              <w:spacing w:after="0"/>
            </w:pPr>
            <w:r>
              <w:rPr>
                <w:rFonts w:ascii="Times New Roman" w:eastAsia="Times New Roman" w:hAnsi="Times New Roman"/>
                <w:color w:val="000000"/>
                <w:sz w:val="20"/>
              </w:rPr>
              <w:t>2017 ($94,300)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71829" w14:textId="77777777" w:rsidR="00B3235A" w:rsidRDefault="00B3235A" w:rsidP="00B3235A">
            <w:pPr>
              <w:spacing w:after="0"/>
              <w:jc w:val="center"/>
            </w:pPr>
            <w:r>
              <w:rPr>
                <w:rFonts w:ascii="Times New Roman" w:eastAsia="Times New Roman" w:hAnsi="Times New Roman"/>
                <w:color w:val="000000"/>
                <w:sz w:val="20"/>
              </w:rPr>
              <w:t>&lt;$47,150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6B636" w14:textId="77777777" w:rsidR="00B3235A" w:rsidRDefault="00B3235A" w:rsidP="00B3235A">
            <w:pPr>
              <w:spacing w:after="0"/>
              <w:jc w:val="center"/>
            </w:pPr>
            <w:r>
              <w:rPr>
                <w:rFonts w:ascii="Times New Roman" w:eastAsia="Times New Roman" w:hAnsi="Times New Roman"/>
                <w:color w:val="000000"/>
                <w:sz w:val="20"/>
              </w:rPr>
              <w:t>$47,150 to &lt;$75,440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8FCDF" w14:textId="77777777" w:rsidR="00B3235A" w:rsidRDefault="00B3235A" w:rsidP="00B3235A">
            <w:pPr>
              <w:spacing w:after="0"/>
              <w:jc w:val="center"/>
            </w:pPr>
            <w:r>
              <w:rPr>
                <w:rFonts w:ascii="Times New Roman" w:eastAsia="Times New Roman" w:hAnsi="Times New Roman"/>
                <w:color w:val="000000"/>
                <w:sz w:val="20"/>
              </w:rPr>
              <w:t>$75,440 to &lt;$113,160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9ED40" w14:textId="77777777" w:rsidR="00B3235A" w:rsidRDefault="00B3235A" w:rsidP="00B3235A">
            <w:pPr>
              <w:spacing w:after="0"/>
              <w:jc w:val="center"/>
            </w:pPr>
            <w:r>
              <w:rPr>
                <w:rFonts w:ascii="Times New Roman" w:eastAsia="Times New Roman" w:hAnsi="Times New Roman"/>
                <w:color w:val="000000"/>
                <w:sz w:val="20"/>
              </w:rPr>
              <w:t>≥$113,160</w:t>
            </w:r>
          </w:p>
        </w:tc>
      </w:tr>
      <w:tr w:rsidR="00B3235A" w14:paraId="79269724" w14:textId="77777777" w:rsidTr="00B3235A">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5F3E99" w14:textId="77777777" w:rsidR="00B3235A" w:rsidRDefault="00B3235A" w:rsidP="00B3235A">
            <w:pPr>
              <w:spacing w:after="0"/>
            </w:pPr>
            <w:r>
              <w:rPr>
                <w:rFonts w:ascii="Times New Roman" w:eastAsia="Times New Roman" w:hAnsi="Times New Roman"/>
                <w:color w:val="000000"/>
                <w:sz w:val="20"/>
              </w:rPr>
              <w:t>2018 ($99,300)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F15CB6" w14:textId="77777777" w:rsidR="00B3235A" w:rsidRDefault="00B3235A" w:rsidP="00B3235A">
            <w:pPr>
              <w:spacing w:after="0"/>
              <w:jc w:val="center"/>
            </w:pPr>
            <w:r>
              <w:rPr>
                <w:rFonts w:ascii="Times New Roman" w:eastAsia="Times New Roman" w:hAnsi="Times New Roman"/>
                <w:color w:val="000000"/>
                <w:sz w:val="20"/>
              </w:rPr>
              <w:t>&lt;$49,650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E5F86" w14:textId="77777777" w:rsidR="00B3235A" w:rsidRDefault="00B3235A" w:rsidP="00B3235A">
            <w:pPr>
              <w:spacing w:after="0"/>
              <w:jc w:val="center"/>
            </w:pPr>
            <w:r>
              <w:rPr>
                <w:rFonts w:ascii="Times New Roman" w:eastAsia="Times New Roman" w:hAnsi="Times New Roman"/>
                <w:color w:val="000000"/>
                <w:sz w:val="20"/>
              </w:rPr>
              <w:t>$49,650 to &lt;$79,440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3745E" w14:textId="77777777" w:rsidR="00B3235A" w:rsidRDefault="00B3235A" w:rsidP="00B3235A">
            <w:pPr>
              <w:spacing w:after="0"/>
              <w:jc w:val="center"/>
            </w:pPr>
            <w:r>
              <w:rPr>
                <w:rFonts w:ascii="Times New Roman" w:eastAsia="Times New Roman" w:hAnsi="Times New Roman"/>
                <w:color w:val="000000"/>
                <w:sz w:val="20"/>
              </w:rPr>
              <w:t>$79,440 to &lt;$119,160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340813" w14:textId="77777777" w:rsidR="00B3235A" w:rsidRDefault="00B3235A" w:rsidP="00B3235A">
            <w:pPr>
              <w:spacing w:after="0"/>
              <w:jc w:val="center"/>
            </w:pPr>
            <w:r>
              <w:rPr>
                <w:rFonts w:ascii="Times New Roman" w:eastAsia="Times New Roman" w:hAnsi="Times New Roman"/>
                <w:color w:val="000000"/>
                <w:sz w:val="20"/>
              </w:rPr>
              <w:t>≥$119,160</w:t>
            </w:r>
          </w:p>
        </w:tc>
      </w:tr>
      <w:tr w:rsidR="00B3235A" w14:paraId="00F2FFE9" w14:textId="77777777" w:rsidTr="00B3235A">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8142E7" w14:textId="77777777" w:rsidR="00B3235A" w:rsidRDefault="00B3235A" w:rsidP="00B3235A">
            <w:pPr>
              <w:spacing w:after="0"/>
            </w:pPr>
            <w:r>
              <w:rPr>
                <w:rFonts w:ascii="Times New Roman" w:eastAsia="Times New Roman" w:hAnsi="Times New Roman"/>
                <w:color w:val="000000"/>
                <w:sz w:val="20"/>
              </w:rPr>
              <w:t>2019 ($105,500)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07773" w14:textId="77777777" w:rsidR="00B3235A" w:rsidRDefault="00B3235A" w:rsidP="00B3235A">
            <w:pPr>
              <w:spacing w:after="0"/>
              <w:jc w:val="center"/>
            </w:pPr>
            <w:r>
              <w:rPr>
                <w:rFonts w:ascii="Times New Roman" w:eastAsia="Times New Roman" w:hAnsi="Times New Roman"/>
                <w:color w:val="000000"/>
                <w:sz w:val="20"/>
              </w:rPr>
              <w:t>&lt;$52,750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236752" w14:textId="77777777" w:rsidR="00B3235A" w:rsidRDefault="00B3235A" w:rsidP="00B3235A">
            <w:pPr>
              <w:spacing w:after="0"/>
              <w:jc w:val="center"/>
            </w:pPr>
            <w:r>
              <w:rPr>
                <w:rFonts w:ascii="Times New Roman" w:eastAsia="Times New Roman" w:hAnsi="Times New Roman"/>
                <w:color w:val="000000"/>
                <w:sz w:val="20"/>
              </w:rPr>
              <w:t>$52,750 to &lt;$84,400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F8809" w14:textId="77777777" w:rsidR="00B3235A" w:rsidRDefault="00B3235A" w:rsidP="00B3235A">
            <w:pPr>
              <w:spacing w:after="0"/>
              <w:jc w:val="center"/>
            </w:pPr>
            <w:r>
              <w:rPr>
                <w:rFonts w:ascii="Times New Roman" w:eastAsia="Times New Roman" w:hAnsi="Times New Roman"/>
                <w:color w:val="000000"/>
                <w:sz w:val="20"/>
              </w:rPr>
              <w:t>$84,400 to &lt;$126,600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2938B" w14:textId="77777777" w:rsidR="00B3235A" w:rsidRDefault="00B3235A" w:rsidP="00B3235A">
            <w:pPr>
              <w:spacing w:after="0"/>
              <w:jc w:val="center"/>
            </w:pPr>
            <w:r>
              <w:rPr>
                <w:rFonts w:ascii="Times New Roman" w:eastAsia="Times New Roman" w:hAnsi="Times New Roman"/>
                <w:color w:val="000000"/>
                <w:sz w:val="20"/>
              </w:rPr>
              <w:t>≥$126,600</w:t>
            </w:r>
          </w:p>
        </w:tc>
      </w:tr>
      <w:tr w:rsidR="00B3235A" w14:paraId="71F07EAB" w14:textId="77777777" w:rsidTr="00B3235A">
        <w:trPr>
          <w:trHeight w:val="282"/>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503AE8" w14:textId="77777777" w:rsidR="00B3235A" w:rsidRDefault="00B3235A" w:rsidP="00B3235A">
            <w:pPr>
              <w:spacing w:after="0"/>
            </w:pPr>
            <w:r>
              <w:rPr>
                <w:rFonts w:ascii="Times New Roman" w:eastAsia="Times New Roman" w:hAnsi="Times New Roman"/>
                <w:i/>
                <w:color w:val="000000"/>
                <w:sz w:val="16"/>
              </w:rPr>
              <w:t>Source: FFIEC</w:t>
            </w:r>
          </w:p>
        </w:tc>
      </w:tr>
    </w:tbl>
    <w:p w14:paraId="323847C9" w14:textId="77777777" w:rsidR="00DB75C4" w:rsidRDefault="00DB75C4" w:rsidP="00E50970">
      <w:pPr>
        <w:spacing w:after="0" w:line="240" w:lineRule="auto"/>
        <w:rPr>
          <w:rFonts w:ascii="Times New Roman" w:eastAsia="Times New Roman" w:hAnsi="Times New Roman" w:cs="Times New Roman"/>
          <w:sz w:val="24"/>
          <w:szCs w:val="24"/>
        </w:rPr>
      </w:pPr>
    </w:p>
    <w:p w14:paraId="3426C68F" w14:textId="48A11A58" w:rsidR="001D4529" w:rsidRDefault="001D4529" w:rsidP="001D4529">
      <w:pPr>
        <w:widowControl w:val="0"/>
        <w:tabs>
          <w:tab w:val="left" w:pos="1080"/>
        </w:tabs>
        <w:spacing w:after="0" w:line="240" w:lineRule="auto"/>
        <w:ind w:right="-360"/>
        <w:rPr>
          <w:rFonts w:ascii="Times New Roman" w:hAnsi="Times New Roman" w:cs="Times New Roman"/>
          <w:bCs/>
          <w:iCs/>
          <w:color w:val="000000"/>
          <w:sz w:val="24"/>
          <w:szCs w:val="24"/>
        </w:rPr>
      </w:pPr>
      <w:r w:rsidRPr="00666E32">
        <w:rPr>
          <w:rFonts w:ascii="Times New Roman" w:hAnsi="Times New Roman" w:cs="Times New Roman"/>
          <w:bCs/>
          <w:iCs/>
          <w:color w:val="000000"/>
          <w:sz w:val="24"/>
          <w:szCs w:val="24"/>
        </w:rPr>
        <w:t xml:space="preserve">The assessment area includes both affluent and </w:t>
      </w:r>
      <w:r w:rsidR="00260208">
        <w:rPr>
          <w:rFonts w:ascii="Times New Roman" w:hAnsi="Times New Roman" w:cs="Times New Roman"/>
          <w:bCs/>
          <w:iCs/>
          <w:color w:val="000000"/>
          <w:sz w:val="24"/>
          <w:szCs w:val="24"/>
        </w:rPr>
        <w:t xml:space="preserve">low-income </w:t>
      </w:r>
      <w:r w:rsidR="00DC2332">
        <w:rPr>
          <w:rFonts w:ascii="Times New Roman" w:hAnsi="Times New Roman" w:cs="Times New Roman"/>
          <w:bCs/>
          <w:iCs/>
          <w:color w:val="000000"/>
          <w:sz w:val="24"/>
          <w:szCs w:val="24"/>
        </w:rPr>
        <w:t>communities</w:t>
      </w:r>
      <w:r w:rsidRPr="00666E32">
        <w:rPr>
          <w:rFonts w:ascii="Times New Roman" w:hAnsi="Times New Roman" w:cs="Times New Roman"/>
          <w:bCs/>
          <w:iCs/>
          <w:color w:val="000000"/>
          <w:sz w:val="24"/>
          <w:szCs w:val="24"/>
        </w:rPr>
        <w:t xml:space="preserve">.  Therefore, </w:t>
      </w:r>
      <w:r w:rsidR="00260208">
        <w:rPr>
          <w:rFonts w:ascii="Times New Roman" w:hAnsi="Times New Roman" w:cs="Times New Roman"/>
          <w:bCs/>
          <w:iCs/>
          <w:color w:val="000000"/>
          <w:sz w:val="24"/>
          <w:szCs w:val="24"/>
        </w:rPr>
        <w:t xml:space="preserve">overall </w:t>
      </w:r>
      <w:r w:rsidRPr="00666E32">
        <w:rPr>
          <w:rFonts w:ascii="Times New Roman" w:hAnsi="Times New Roman" w:cs="Times New Roman"/>
          <w:bCs/>
          <w:iCs/>
          <w:color w:val="000000"/>
          <w:sz w:val="24"/>
          <w:szCs w:val="24"/>
        </w:rPr>
        <w:t>demographic information for th</w:t>
      </w:r>
      <w:r w:rsidR="00260208">
        <w:rPr>
          <w:rFonts w:ascii="Times New Roman" w:hAnsi="Times New Roman" w:cs="Times New Roman"/>
          <w:bCs/>
          <w:iCs/>
          <w:color w:val="000000"/>
          <w:sz w:val="24"/>
          <w:szCs w:val="24"/>
        </w:rPr>
        <w:t xml:space="preserve">is </w:t>
      </w:r>
      <w:r w:rsidRPr="00666E32">
        <w:rPr>
          <w:rFonts w:ascii="Times New Roman" w:hAnsi="Times New Roman" w:cs="Times New Roman"/>
          <w:bCs/>
          <w:iCs/>
          <w:color w:val="000000"/>
          <w:sz w:val="24"/>
          <w:szCs w:val="24"/>
        </w:rPr>
        <w:t>assessment area does not reflect significant economic and demographic disparities</w:t>
      </w:r>
      <w:r w:rsidR="00260208">
        <w:rPr>
          <w:rFonts w:ascii="Times New Roman" w:hAnsi="Times New Roman" w:cs="Times New Roman"/>
          <w:bCs/>
          <w:iCs/>
          <w:color w:val="000000"/>
          <w:sz w:val="24"/>
          <w:szCs w:val="24"/>
        </w:rPr>
        <w:t xml:space="preserve"> at the city and town level</w:t>
      </w:r>
      <w:r w:rsidRPr="00666E32">
        <w:rPr>
          <w:rFonts w:ascii="Times New Roman" w:hAnsi="Times New Roman" w:cs="Times New Roman"/>
          <w:bCs/>
          <w:iCs/>
          <w:color w:val="000000"/>
          <w:sz w:val="24"/>
          <w:szCs w:val="24"/>
        </w:rPr>
        <w:t>.  Affluent areas include suburban towns such as Wellesley and Hingham, which contain census tracts with median i</w:t>
      </w:r>
      <w:r w:rsidR="00260208">
        <w:rPr>
          <w:rFonts w:ascii="Times New Roman" w:hAnsi="Times New Roman" w:cs="Times New Roman"/>
          <w:bCs/>
          <w:iCs/>
          <w:color w:val="000000"/>
          <w:sz w:val="24"/>
          <w:szCs w:val="24"/>
        </w:rPr>
        <w:t>ncomes over</w:t>
      </w:r>
      <w:r w:rsidRPr="00666E32">
        <w:rPr>
          <w:rFonts w:ascii="Times New Roman" w:hAnsi="Times New Roman" w:cs="Times New Roman"/>
          <w:bCs/>
          <w:iCs/>
          <w:color w:val="000000"/>
          <w:sz w:val="24"/>
          <w:szCs w:val="24"/>
        </w:rPr>
        <w:t xml:space="preserve"> $200,000 and median housing values </w:t>
      </w:r>
      <w:r w:rsidR="00AC3896">
        <w:rPr>
          <w:rFonts w:ascii="Times New Roman" w:hAnsi="Times New Roman" w:cs="Times New Roman"/>
          <w:bCs/>
          <w:iCs/>
          <w:color w:val="000000"/>
          <w:sz w:val="24"/>
          <w:szCs w:val="24"/>
        </w:rPr>
        <w:t xml:space="preserve">as high as </w:t>
      </w:r>
      <w:r w:rsidRPr="00666E32">
        <w:rPr>
          <w:rFonts w:ascii="Times New Roman" w:hAnsi="Times New Roman" w:cs="Times New Roman"/>
          <w:bCs/>
          <w:iCs/>
          <w:color w:val="000000"/>
          <w:sz w:val="24"/>
          <w:szCs w:val="24"/>
        </w:rPr>
        <w:t xml:space="preserve">$1.2 million.  In comparison, </w:t>
      </w:r>
      <w:r w:rsidR="00666E32">
        <w:rPr>
          <w:rFonts w:ascii="Times New Roman" w:hAnsi="Times New Roman" w:cs="Times New Roman"/>
          <w:sz w:val="24"/>
          <w:szCs w:val="24"/>
        </w:rPr>
        <w:t>Brockton</w:t>
      </w:r>
      <w:r w:rsidR="00260208">
        <w:rPr>
          <w:rFonts w:ascii="Times New Roman" w:hAnsi="Times New Roman" w:cs="Times New Roman"/>
          <w:sz w:val="24"/>
          <w:szCs w:val="24"/>
        </w:rPr>
        <w:t xml:space="preserve"> is an </w:t>
      </w:r>
      <w:r w:rsidRPr="00666E32">
        <w:rPr>
          <w:rFonts w:ascii="Times New Roman" w:hAnsi="Times New Roman" w:cs="Times New Roman"/>
          <w:bCs/>
          <w:iCs/>
          <w:color w:val="000000"/>
          <w:sz w:val="24"/>
          <w:szCs w:val="24"/>
        </w:rPr>
        <w:t>urban</w:t>
      </w:r>
      <w:r w:rsidR="00260208">
        <w:rPr>
          <w:rFonts w:ascii="Times New Roman" w:hAnsi="Times New Roman" w:cs="Times New Roman"/>
          <w:bCs/>
          <w:iCs/>
          <w:color w:val="000000"/>
          <w:sz w:val="24"/>
          <w:szCs w:val="24"/>
        </w:rPr>
        <w:t xml:space="preserve"> community </w:t>
      </w:r>
      <w:r w:rsidRPr="00666E32">
        <w:rPr>
          <w:rFonts w:ascii="Times New Roman" w:hAnsi="Times New Roman" w:cs="Times New Roman"/>
          <w:bCs/>
          <w:iCs/>
          <w:color w:val="000000"/>
          <w:sz w:val="24"/>
          <w:szCs w:val="24"/>
        </w:rPr>
        <w:t>consist</w:t>
      </w:r>
      <w:r w:rsidR="00260208">
        <w:rPr>
          <w:rFonts w:ascii="Times New Roman" w:hAnsi="Times New Roman" w:cs="Times New Roman"/>
          <w:bCs/>
          <w:iCs/>
          <w:color w:val="000000"/>
          <w:sz w:val="24"/>
          <w:szCs w:val="24"/>
        </w:rPr>
        <w:t>ing</w:t>
      </w:r>
      <w:r w:rsidRPr="00666E32">
        <w:rPr>
          <w:rFonts w:ascii="Times New Roman" w:hAnsi="Times New Roman" w:cs="Times New Roman"/>
          <w:bCs/>
          <w:iCs/>
          <w:color w:val="000000"/>
          <w:sz w:val="24"/>
          <w:szCs w:val="24"/>
        </w:rPr>
        <w:t xml:space="preserve"> of mostly low- and moderate-income census tracts.</w:t>
      </w:r>
    </w:p>
    <w:p w14:paraId="4E9C1BF0" w14:textId="77777777" w:rsidR="001D4529" w:rsidRDefault="001D4529" w:rsidP="001D4529">
      <w:pPr>
        <w:widowControl w:val="0"/>
        <w:tabs>
          <w:tab w:val="left" w:pos="1080"/>
        </w:tabs>
        <w:spacing w:after="0" w:line="240" w:lineRule="auto"/>
        <w:ind w:right="-360"/>
        <w:rPr>
          <w:rFonts w:ascii="Times New Roman" w:hAnsi="Times New Roman" w:cs="Times New Roman"/>
          <w:bCs/>
          <w:iCs/>
          <w:color w:val="000000"/>
          <w:sz w:val="24"/>
          <w:szCs w:val="24"/>
        </w:rPr>
      </w:pPr>
    </w:p>
    <w:p w14:paraId="55E8A4AC" w14:textId="5C55E69E" w:rsidR="001D4529" w:rsidRPr="002F72FF" w:rsidRDefault="001D4529" w:rsidP="001D4529">
      <w:pPr>
        <w:widowControl w:val="0"/>
        <w:tabs>
          <w:tab w:val="left" w:pos="1080"/>
        </w:tabs>
        <w:spacing w:after="0" w:line="240" w:lineRule="auto"/>
        <w:ind w:right="-360"/>
        <w:rPr>
          <w:rFonts w:ascii="Times New Roman" w:hAnsi="Times New Roman" w:cs="Times New Roman"/>
          <w:bCs/>
          <w:iCs/>
          <w:color w:val="000000"/>
          <w:sz w:val="24"/>
          <w:szCs w:val="24"/>
        </w:rPr>
      </w:pPr>
      <w:r w:rsidRPr="008710E6">
        <w:rPr>
          <w:rFonts w:ascii="Times New Roman" w:hAnsi="Times New Roman" w:cs="Times New Roman"/>
          <w:bCs/>
          <w:iCs/>
          <w:color w:val="000000"/>
          <w:sz w:val="24"/>
          <w:szCs w:val="24"/>
        </w:rPr>
        <w:t xml:space="preserve">Demographic data for </w:t>
      </w:r>
      <w:r w:rsidR="009E0591">
        <w:rPr>
          <w:rFonts w:ascii="Times New Roman" w:hAnsi="Times New Roman" w:cs="Times New Roman"/>
          <w:bCs/>
          <w:iCs/>
          <w:color w:val="000000"/>
          <w:sz w:val="24"/>
          <w:szCs w:val="24"/>
        </w:rPr>
        <w:t>low- and moderate-income census tracts</w:t>
      </w:r>
      <w:r w:rsidRPr="008710E6">
        <w:rPr>
          <w:rFonts w:ascii="Times New Roman" w:hAnsi="Times New Roman" w:cs="Times New Roman"/>
          <w:bCs/>
          <w:iCs/>
          <w:color w:val="000000"/>
          <w:sz w:val="24"/>
          <w:szCs w:val="24"/>
        </w:rPr>
        <w:t xml:space="preserve"> indicate limited opportunities for home mortgage lending.  Specifically, the m</w:t>
      </w:r>
      <w:r w:rsidRPr="008710E6">
        <w:rPr>
          <w:rFonts w:ascii="Times New Roman" w:hAnsi="Times New Roman" w:cs="Times New Roman"/>
          <w:sz w:val="24"/>
          <w:szCs w:val="24"/>
        </w:rPr>
        <w:t>edian housing values are as high as $2</w:t>
      </w:r>
      <w:r w:rsidR="009C4735" w:rsidRPr="008710E6">
        <w:rPr>
          <w:rFonts w:ascii="Times New Roman" w:hAnsi="Times New Roman" w:cs="Times New Roman"/>
          <w:sz w:val="24"/>
          <w:szCs w:val="24"/>
        </w:rPr>
        <w:t>67</w:t>
      </w:r>
      <w:r w:rsidRPr="008710E6">
        <w:rPr>
          <w:rFonts w:ascii="Times New Roman" w:hAnsi="Times New Roman" w:cs="Times New Roman"/>
          <w:sz w:val="24"/>
          <w:szCs w:val="24"/>
        </w:rPr>
        <w:t>,000 and me</w:t>
      </w:r>
      <w:r w:rsidR="009C4735" w:rsidRPr="008710E6">
        <w:rPr>
          <w:rFonts w:ascii="Times New Roman" w:hAnsi="Times New Roman" w:cs="Times New Roman"/>
          <w:sz w:val="24"/>
          <w:szCs w:val="24"/>
        </w:rPr>
        <w:t>dian family income as low as $16,00</w:t>
      </w:r>
      <w:r w:rsidRPr="008710E6">
        <w:rPr>
          <w:rFonts w:ascii="Times New Roman" w:hAnsi="Times New Roman" w:cs="Times New Roman"/>
          <w:sz w:val="24"/>
          <w:szCs w:val="24"/>
        </w:rPr>
        <w:t xml:space="preserve">0.  Additionally, owner occupied units are as low as </w:t>
      </w:r>
      <w:r w:rsidR="008710E6" w:rsidRPr="008710E6">
        <w:rPr>
          <w:rFonts w:ascii="Times New Roman" w:hAnsi="Times New Roman" w:cs="Times New Roman"/>
          <w:sz w:val="24"/>
          <w:szCs w:val="24"/>
        </w:rPr>
        <w:t>1.4</w:t>
      </w:r>
      <w:r w:rsidRPr="008710E6">
        <w:rPr>
          <w:rFonts w:ascii="Times New Roman" w:hAnsi="Times New Roman" w:cs="Times New Roman"/>
          <w:sz w:val="24"/>
          <w:szCs w:val="24"/>
        </w:rPr>
        <w:t xml:space="preserve"> percent of all housing with rental units as high as </w:t>
      </w:r>
      <w:r w:rsidR="008710E6" w:rsidRPr="008710E6">
        <w:rPr>
          <w:rFonts w:ascii="Times New Roman" w:hAnsi="Times New Roman" w:cs="Times New Roman"/>
          <w:sz w:val="24"/>
          <w:szCs w:val="24"/>
        </w:rPr>
        <w:t>85.9</w:t>
      </w:r>
      <w:r w:rsidRPr="008710E6">
        <w:rPr>
          <w:rFonts w:ascii="Times New Roman" w:hAnsi="Times New Roman" w:cs="Times New Roman"/>
          <w:sz w:val="24"/>
          <w:szCs w:val="24"/>
        </w:rPr>
        <w:t xml:space="preserve"> percent, il</w:t>
      </w:r>
      <w:r w:rsidR="00CA6A2B">
        <w:rPr>
          <w:rFonts w:ascii="Times New Roman" w:hAnsi="Times New Roman" w:cs="Times New Roman"/>
          <w:sz w:val="24"/>
          <w:szCs w:val="24"/>
        </w:rPr>
        <w:t>lustrating lack of opportunity</w:t>
      </w:r>
      <w:r w:rsidRPr="008710E6">
        <w:rPr>
          <w:rFonts w:ascii="Times New Roman" w:hAnsi="Times New Roman" w:cs="Times New Roman"/>
          <w:sz w:val="24"/>
          <w:szCs w:val="24"/>
        </w:rPr>
        <w:t xml:space="preserve"> for </w:t>
      </w:r>
      <w:r w:rsidR="00CA6A2B">
        <w:rPr>
          <w:rFonts w:ascii="Times New Roman" w:hAnsi="Times New Roman" w:cs="Times New Roman"/>
          <w:sz w:val="24"/>
          <w:szCs w:val="24"/>
        </w:rPr>
        <w:t xml:space="preserve">owner-occupied </w:t>
      </w:r>
      <w:r w:rsidRPr="008710E6">
        <w:rPr>
          <w:rFonts w:ascii="Times New Roman" w:hAnsi="Times New Roman" w:cs="Times New Roman"/>
          <w:sz w:val="24"/>
          <w:szCs w:val="24"/>
        </w:rPr>
        <w:t xml:space="preserve">home mortgage lending.  </w:t>
      </w:r>
      <w:r w:rsidRPr="008710E6">
        <w:rPr>
          <w:rFonts w:ascii="Times New Roman" w:hAnsi="Times New Roman" w:cs="Times New Roman"/>
          <w:bCs/>
          <w:iCs/>
          <w:color w:val="000000"/>
          <w:sz w:val="24"/>
          <w:szCs w:val="24"/>
        </w:rPr>
        <w:t xml:space="preserve">The high concentration of rental units contrasts significantly with housing demographics for the rest of the </w:t>
      </w:r>
      <w:r w:rsidR="008710E6">
        <w:rPr>
          <w:rFonts w:ascii="Times New Roman" w:hAnsi="Times New Roman" w:cs="Times New Roman"/>
          <w:bCs/>
          <w:iCs/>
          <w:color w:val="000000"/>
          <w:sz w:val="24"/>
          <w:szCs w:val="24"/>
        </w:rPr>
        <w:t>Boston, MA MD assessment area.</w:t>
      </w:r>
      <w:r w:rsidRPr="008710E6">
        <w:rPr>
          <w:rFonts w:ascii="Times New Roman" w:hAnsi="Times New Roman" w:cs="Times New Roman"/>
          <w:bCs/>
          <w:iCs/>
          <w:color w:val="000000"/>
          <w:sz w:val="24"/>
          <w:szCs w:val="24"/>
        </w:rPr>
        <w:t xml:space="preserve">  Furthermore, poverty levels </w:t>
      </w:r>
      <w:r w:rsidR="008710E6">
        <w:rPr>
          <w:rFonts w:ascii="Times New Roman" w:hAnsi="Times New Roman" w:cs="Times New Roman"/>
          <w:sz w:val="24"/>
          <w:szCs w:val="24"/>
        </w:rPr>
        <w:t xml:space="preserve">as high as 60.8 </w:t>
      </w:r>
      <w:r w:rsidRPr="008710E6">
        <w:rPr>
          <w:rFonts w:ascii="Times New Roman" w:hAnsi="Times New Roman" w:cs="Times New Roman"/>
          <w:sz w:val="24"/>
          <w:szCs w:val="24"/>
        </w:rPr>
        <w:t xml:space="preserve">percent </w:t>
      </w:r>
      <w:r w:rsidRPr="008710E6">
        <w:rPr>
          <w:rFonts w:ascii="Times New Roman" w:hAnsi="Times New Roman" w:cs="Times New Roman"/>
          <w:bCs/>
          <w:iCs/>
          <w:color w:val="000000"/>
          <w:sz w:val="24"/>
          <w:szCs w:val="24"/>
        </w:rPr>
        <w:t xml:space="preserve">indicate limited opportunities </w:t>
      </w:r>
      <w:r w:rsidRPr="002F72FF">
        <w:rPr>
          <w:rFonts w:ascii="Times New Roman" w:hAnsi="Times New Roman" w:cs="Times New Roman"/>
          <w:bCs/>
          <w:iCs/>
          <w:color w:val="000000"/>
          <w:sz w:val="24"/>
          <w:szCs w:val="24"/>
        </w:rPr>
        <w:t>for home mortgage lending.</w:t>
      </w:r>
    </w:p>
    <w:p w14:paraId="59023632" w14:textId="77777777" w:rsidR="001D4529" w:rsidRPr="002F72FF" w:rsidRDefault="001D4529" w:rsidP="001D4529">
      <w:pPr>
        <w:spacing w:after="0" w:line="240" w:lineRule="auto"/>
        <w:rPr>
          <w:rFonts w:ascii="Times New Roman" w:hAnsi="Times New Roman" w:cs="Times New Roman"/>
          <w:bCs/>
          <w:iCs/>
          <w:color w:val="000000"/>
          <w:sz w:val="24"/>
          <w:szCs w:val="24"/>
        </w:rPr>
      </w:pPr>
    </w:p>
    <w:p w14:paraId="44E60297" w14:textId="7C1C2571" w:rsidR="001D4529" w:rsidRPr="002F72FF" w:rsidRDefault="001D4529" w:rsidP="001D4529">
      <w:pPr>
        <w:spacing w:after="0" w:line="240" w:lineRule="auto"/>
        <w:rPr>
          <w:rFonts w:ascii="Times New Roman" w:hAnsi="Times New Roman" w:cs="Times New Roman"/>
          <w:bCs/>
          <w:iCs/>
          <w:sz w:val="24"/>
          <w:szCs w:val="24"/>
        </w:rPr>
      </w:pPr>
      <w:r w:rsidRPr="002F72FF">
        <w:rPr>
          <w:rFonts w:ascii="Times New Roman" w:hAnsi="Times New Roman" w:cs="Times New Roman"/>
          <w:bCs/>
          <w:iCs/>
          <w:sz w:val="24"/>
          <w:szCs w:val="24"/>
        </w:rPr>
        <w:t xml:space="preserve">According to 2019 D&amp;B data, </w:t>
      </w:r>
      <w:r w:rsidR="008710E6" w:rsidRPr="002F72FF">
        <w:rPr>
          <w:rFonts w:ascii="Times New Roman" w:hAnsi="Times New Roman" w:cs="Times New Roman"/>
          <w:bCs/>
          <w:iCs/>
          <w:sz w:val="24"/>
          <w:szCs w:val="24"/>
        </w:rPr>
        <w:t>173,405</w:t>
      </w:r>
      <w:r w:rsidRPr="002F72FF">
        <w:rPr>
          <w:rFonts w:ascii="Times New Roman" w:hAnsi="Times New Roman" w:cs="Times New Roman"/>
          <w:bCs/>
          <w:iCs/>
          <w:sz w:val="24"/>
          <w:szCs w:val="24"/>
        </w:rPr>
        <w:t xml:space="preserve"> non-farm businesses and </w:t>
      </w:r>
      <w:r w:rsidR="008710E6" w:rsidRPr="002F72FF">
        <w:rPr>
          <w:rFonts w:ascii="Times New Roman" w:hAnsi="Times New Roman" w:cs="Times New Roman"/>
          <w:bCs/>
          <w:iCs/>
          <w:sz w:val="24"/>
          <w:szCs w:val="24"/>
        </w:rPr>
        <w:t xml:space="preserve">2,802 </w:t>
      </w:r>
      <w:r w:rsidRPr="002F72FF">
        <w:rPr>
          <w:rFonts w:ascii="Times New Roman" w:hAnsi="Times New Roman" w:cs="Times New Roman"/>
          <w:bCs/>
          <w:iCs/>
          <w:sz w:val="24"/>
          <w:szCs w:val="24"/>
        </w:rPr>
        <w:t xml:space="preserve">farms are located in the assessment area.  Of those, </w:t>
      </w:r>
      <w:r w:rsidR="008710E6" w:rsidRPr="002F72FF">
        <w:rPr>
          <w:rFonts w:ascii="Times New Roman" w:hAnsi="Times New Roman" w:cs="Times New Roman"/>
          <w:bCs/>
          <w:iCs/>
          <w:sz w:val="24"/>
          <w:szCs w:val="24"/>
        </w:rPr>
        <w:t>151,136</w:t>
      </w:r>
      <w:r w:rsidRPr="002F72FF">
        <w:rPr>
          <w:rFonts w:ascii="Times New Roman" w:hAnsi="Times New Roman" w:cs="Times New Roman"/>
          <w:bCs/>
          <w:iCs/>
          <w:sz w:val="24"/>
          <w:szCs w:val="24"/>
        </w:rPr>
        <w:t xml:space="preserve"> or </w:t>
      </w:r>
      <w:r w:rsidR="008710E6" w:rsidRPr="002F72FF">
        <w:rPr>
          <w:rFonts w:ascii="Times New Roman" w:hAnsi="Times New Roman" w:cs="Times New Roman"/>
          <w:bCs/>
          <w:iCs/>
          <w:sz w:val="24"/>
          <w:szCs w:val="24"/>
        </w:rPr>
        <w:t>85.7</w:t>
      </w:r>
      <w:r w:rsidRPr="002F72FF">
        <w:rPr>
          <w:rFonts w:ascii="Times New Roman" w:hAnsi="Times New Roman" w:cs="Times New Roman"/>
          <w:bCs/>
          <w:iCs/>
          <w:sz w:val="24"/>
          <w:szCs w:val="24"/>
        </w:rPr>
        <w:t xml:space="preserve"> percent have gross annual revenues of $1</w:t>
      </w:r>
      <w:r w:rsidR="003F3AE7">
        <w:rPr>
          <w:rFonts w:ascii="Times New Roman" w:hAnsi="Times New Roman" w:cs="Times New Roman"/>
          <w:bCs/>
          <w:iCs/>
          <w:sz w:val="24"/>
          <w:szCs w:val="24"/>
        </w:rPr>
        <w:t>.0</w:t>
      </w:r>
      <w:r w:rsidRPr="002F72FF">
        <w:rPr>
          <w:rFonts w:ascii="Times New Roman" w:hAnsi="Times New Roman" w:cs="Times New Roman"/>
          <w:bCs/>
          <w:iCs/>
          <w:sz w:val="24"/>
          <w:szCs w:val="24"/>
        </w:rPr>
        <w:t xml:space="preserve"> million or less.  Service industries represent the largest portion of businesses at </w:t>
      </w:r>
      <w:r w:rsidR="008710E6" w:rsidRPr="002F72FF">
        <w:rPr>
          <w:rFonts w:ascii="Times New Roman" w:hAnsi="Times New Roman" w:cs="Times New Roman"/>
          <w:bCs/>
          <w:iCs/>
          <w:sz w:val="24"/>
          <w:szCs w:val="24"/>
        </w:rPr>
        <w:t xml:space="preserve">39.6 </w:t>
      </w:r>
      <w:r w:rsidRPr="002F72FF">
        <w:rPr>
          <w:rFonts w:ascii="Times New Roman" w:hAnsi="Times New Roman" w:cs="Times New Roman"/>
          <w:bCs/>
          <w:iCs/>
          <w:sz w:val="24"/>
          <w:szCs w:val="24"/>
        </w:rPr>
        <w:t xml:space="preserve">percent, followed by retail trade at </w:t>
      </w:r>
      <w:r w:rsidR="008710E6" w:rsidRPr="002F72FF">
        <w:rPr>
          <w:rFonts w:ascii="Times New Roman" w:hAnsi="Times New Roman" w:cs="Times New Roman"/>
          <w:bCs/>
          <w:iCs/>
          <w:sz w:val="24"/>
          <w:szCs w:val="24"/>
        </w:rPr>
        <w:t>10.9</w:t>
      </w:r>
      <w:r w:rsidRPr="002F72FF">
        <w:rPr>
          <w:rFonts w:ascii="Times New Roman" w:hAnsi="Times New Roman" w:cs="Times New Roman"/>
          <w:bCs/>
          <w:iCs/>
          <w:sz w:val="24"/>
          <w:szCs w:val="24"/>
        </w:rPr>
        <w:t xml:space="preserve"> percent, and finance/insurance businesses at </w:t>
      </w:r>
      <w:r w:rsidR="008710E6" w:rsidRPr="002F72FF">
        <w:rPr>
          <w:rFonts w:ascii="Times New Roman" w:hAnsi="Times New Roman" w:cs="Times New Roman"/>
          <w:bCs/>
          <w:iCs/>
          <w:sz w:val="24"/>
          <w:szCs w:val="24"/>
        </w:rPr>
        <w:t>12.8</w:t>
      </w:r>
      <w:r w:rsidRPr="002F72FF">
        <w:rPr>
          <w:rFonts w:ascii="Times New Roman" w:hAnsi="Times New Roman" w:cs="Times New Roman"/>
          <w:bCs/>
          <w:iCs/>
          <w:sz w:val="24"/>
          <w:szCs w:val="24"/>
        </w:rPr>
        <w:t xml:space="preserve"> percent.  Additionally, </w:t>
      </w:r>
      <w:r w:rsidR="002F72FF" w:rsidRPr="002F72FF">
        <w:rPr>
          <w:rFonts w:ascii="Times New Roman" w:hAnsi="Times New Roman" w:cs="Times New Roman"/>
          <w:bCs/>
          <w:iCs/>
          <w:sz w:val="24"/>
          <w:szCs w:val="24"/>
        </w:rPr>
        <w:t>61.6</w:t>
      </w:r>
      <w:r w:rsidRPr="002F72FF">
        <w:rPr>
          <w:rFonts w:ascii="Times New Roman" w:hAnsi="Times New Roman" w:cs="Times New Roman"/>
          <w:bCs/>
          <w:iCs/>
          <w:sz w:val="24"/>
          <w:szCs w:val="24"/>
        </w:rPr>
        <w:t xml:space="preserve"> percent of business operate with four employees or less.</w:t>
      </w:r>
    </w:p>
    <w:p w14:paraId="46FE404F" w14:textId="77777777" w:rsidR="001D4529" w:rsidRPr="002F72FF" w:rsidRDefault="001D4529" w:rsidP="001D4529">
      <w:pPr>
        <w:spacing w:after="0" w:line="240" w:lineRule="auto"/>
        <w:rPr>
          <w:rFonts w:ascii="Times New Roman" w:hAnsi="Times New Roman" w:cs="Times New Roman"/>
          <w:bCs/>
          <w:iCs/>
          <w:sz w:val="24"/>
          <w:szCs w:val="24"/>
        </w:rPr>
      </w:pPr>
    </w:p>
    <w:p w14:paraId="4FC373AF" w14:textId="328DA27E" w:rsidR="001D4529" w:rsidRPr="00FF7C77" w:rsidRDefault="001D4529" w:rsidP="00FF7C77">
      <w:pPr>
        <w:spacing w:line="240" w:lineRule="auto"/>
        <w:rPr>
          <w:rFonts w:ascii="Times New Roman" w:hAnsi="Times New Roman" w:cs="Times New Roman"/>
          <w:bCs/>
          <w:iCs/>
          <w:sz w:val="24"/>
          <w:szCs w:val="24"/>
        </w:rPr>
      </w:pPr>
      <w:r w:rsidRPr="002F72FF">
        <w:rPr>
          <w:rFonts w:ascii="Times New Roman" w:hAnsi="Times New Roman" w:cs="Times New Roman"/>
          <w:sz w:val="24"/>
          <w:szCs w:val="24"/>
        </w:rPr>
        <w:t xml:space="preserve">According to the U.S Bureau of Labor Statistics, unemployment rates in the assessment area </w:t>
      </w:r>
      <w:r w:rsidRPr="002F72FF">
        <w:rPr>
          <w:rFonts w:ascii="Times New Roman" w:hAnsi="Times New Roman" w:cs="Times New Roman"/>
          <w:bCs/>
          <w:iCs/>
          <w:sz w:val="24"/>
          <w:szCs w:val="24"/>
        </w:rPr>
        <w:t>increased since the previous evaluation</w:t>
      </w:r>
      <w:r w:rsidRPr="00C16D8F">
        <w:rPr>
          <w:rFonts w:ascii="Times New Roman" w:hAnsi="Times New Roman" w:cs="Times New Roman"/>
          <w:bCs/>
          <w:iCs/>
          <w:sz w:val="24"/>
          <w:szCs w:val="24"/>
        </w:rPr>
        <w:t xml:space="preserve"> period, as illustrated in the following table</w:t>
      </w:r>
      <w:r>
        <w:rPr>
          <w:rFonts w:ascii="Times New Roman" w:hAnsi="Times New Roman" w:cs="Times New Roman"/>
          <w:bCs/>
          <w:iCs/>
          <w:sz w:val="24"/>
          <w:szCs w:val="24"/>
        </w:rPr>
        <w:t>.</w:t>
      </w:r>
      <w:r w:rsidRPr="008308B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According to Moody’s Analytics, the </w:t>
      </w:r>
      <w:r w:rsidR="006D2AD2">
        <w:rPr>
          <w:rFonts w:ascii="Times New Roman" w:hAnsi="Times New Roman" w:cs="Times New Roman"/>
          <w:bCs/>
          <w:iCs/>
          <w:sz w:val="24"/>
          <w:szCs w:val="24"/>
        </w:rPr>
        <w:t xml:space="preserve">Boston, MA </w:t>
      </w:r>
      <w:r>
        <w:rPr>
          <w:rFonts w:ascii="Times New Roman" w:hAnsi="Times New Roman" w:cs="Times New Roman"/>
          <w:bCs/>
          <w:iCs/>
          <w:sz w:val="24"/>
          <w:szCs w:val="24"/>
        </w:rPr>
        <w:t xml:space="preserve">MD </w:t>
      </w:r>
      <w:r w:rsidRPr="008631D2">
        <w:rPr>
          <w:rFonts w:ascii="Times New Roman" w:hAnsi="Times New Roman" w:cs="Times New Roman"/>
          <w:bCs/>
          <w:iCs/>
          <w:sz w:val="24"/>
          <w:szCs w:val="24"/>
        </w:rPr>
        <w:t>experienced a sharp increase in unemployment due to the o</w:t>
      </w:r>
      <w:r>
        <w:rPr>
          <w:rFonts w:ascii="Times New Roman" w:hAnsi="Times New Roman" w:cs="Times New Roman"/>
          <w:bCs/>
          <w:iCs/>
          <w:sz w:val="24"/>
          <w:szCs w:val="24"/>
        </w:rPr>
        <w:t xml:space="preserve">nset of the COVID-19 pandemic.  </w:t>
      </w:r>
      <w:r w:rsidRPr="008631D2">
        <w:rPr>
          <w:rFonts w:ascii="Times New Roman" w:hAnsi="Times New Roman" w:cs="Times New Roman"/>
          <w:bCs/>
          <w:iCs/>
          <w:sz w:val="24"/>
          <w:szCs w:val="24"/>
        </w:rPr>
        <w:t xml:space="preserve">At </w:t>
      </w:r>
      <w:r>
        <w:rPr>
          <w:rFonts w:ascii="Times New Roman" w:hAnsi="Times New Roman" w:cs="Times New Roman"/>
          <w:bCs/>
          <w:iCs/>
          <w:sz w:val="24"/>
          <w:szCs w:val="24"/>
        </w:rPr>
        <w:t>the highest point in June 2020,</w:t>
      </w:r>
      <w:r w:rsidRPr="008631D2">
        <w:rPr>
          <w:rFonts w:ascii="Times New Roman" w:hAnsi="Times New Roman" w:cs="Times New Roman"/>
          <w:bCs/>
          <w:iCs/>
          <w:sz w:val="24"/>
          <w:szCs w:val="24"/>
        </w:rPr>
        <w:t xml:space="preserve"> unemployment </w:t>
      </w:r>
      <w:r>
        <w:rPr>
          <w:rFonts w:ascii="Times New Roman" w:hAnsi="Times New Roman" w:cs="Times New Roman"/>
          <w:bCs/>
          <w:iCs/>
          <w:sz w:val="24"/>
          <w:szCs w:val="24"/>
        </w:rPr>
        <w:t xml:space="preserve">in </w:t>
      </w:r>
      <w:r w:rsidR="006D2AD2">
        <w:rPr>
          <w:rFonts w:ascii="Times New Roman" w:hAnsi="Times New Roman" w:cs="Times New Roman"/>
          <w:bCs/>
          <w:iCs/>
          <w:sz w:val="24"/>
          <w:szCs w:val="24"/>
        </w:rPr>
        <w:t xml:space="preserve">the </w:t>
      </w:r>
      <w:r w:rsidR="003F3AE7">
        <w:rPr>
          <w:rFonts w:ascii="Times New Roman" w:hAnsi="Times New Roman" w:cs="Times New Roman"/>
          <w:bCs/>
          <w:iCs/>
          <w:sz w:val="24"/>
          <w:szCs w:val="24"/>
        </w:rPr>
        <w:t xml:space="preserve">Boston, </w:t>
      </w:r>
      <w:r w:rsidR="003F3AE7">
        <w:rPr>
          <w:rFonts w:ascii="Times New Roman" w:hAnsi="Times New Roman" w:cs="Times New Roman"/>
          <w:bCs/>
          <w:iCs/>
          <w:sz w:val="24"/>
          <w:szCs w:val="24"/>
        </w:rPr>
        <w:lastRenderedPageBreak/>
        <w:t xml:space="preserve">MA </w:t>
      </w:r>
      <w:r>
        <w:rPr>
          <w:rFonts w:ascii="Times New Roman" w:hAnsi="Times New Roman" w:cs="Times New Roman"/>
          <w:bCs/>
          <w:iCs/>
          <w:sz w:val="24"/>
          <w:szCs w:val="24"/>
        </w:rPr>
        <w:t xml:space="preserve">MD </w:t>
      </w:r>
      <w:r w:rsidR="009D3304">
        <w:rPr>
          <w:rFonts w:ascii="Times New Roman" w:hAnsi="Times New Roman" w:cs="Times New Roman"/>
          <w:bCs/>
          <w:iCs/>
          <w:sz w:val="24"/>
          <w:szCs w:val="24"/>
        </w:rPr>
        <w:t>was</w:t>
      </w:r>
      <w:r>
        <w:rPr>
          <w:rFonts w:ascii="Times New Roman" w:hAnsi="Times New Roman" w:cs="Times New Roman"/>
          <w:bCs/>
          <w:iCs/>
          <w:sz w:val="24"/>
          <w:szCs w:val="24"/>
        </w:rPr>
        <w:t xml:space="preserve"> 19.0 percent.</w:t>
      </w:r>
      <w:r w:rsidR="002F72FF">
        <w:rPr>
          <w:rFonts w:ascii="Times New Roman" w:hAnsi="Times New Roman" w:cs="Times New Roman"/>
          <w:bCs/>
          <w:iCs/>
          <w:sz w:val="24"/>
          <w:szCs w:val="24"/>
        </w:rPr>
        <w:t xml:space="preserve">  The following table reflects unemployment rates in the </w:t>
      </w:r>
      <w:r w:rsidR="003F3AE7">
        <w:rPr>
          <w:rFonts w:ascii="Times New Roman" w:hAnsi="Times New Roman" w:cs="Times New Roman"/>
          <w:bCs/>
          <w:iCs/>
          <w:sz w:val="24"/>
          <w:szCs w:val="24"/>
        </w:rPr>
        <w:t xml:space="preserve">Boston, MA </w:t>
      </w:r>
      <w:r w:rsidR="002F72FF">
        <w:rPr>
          <w:rFonts w:ascii="Times New Roman" w:hAnsi="Times New Roman" w:cs="Times New Roman"/>
          <w:bCs/>
          <w:iCs/>
          <w:sz w:val="24"/>
          <w:szCs w:val="24"/>
        </w:rPr>
        <w:t>MD compared to the state and national figures throughout the evaluation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710"/>
        <w:gridCol w:w="1686"/>
        <w:gridCol w:w="1817"/>
      </w:tblGrid>
      <w:tr w:rsidR="001D4529" w:rsidRPr="00533B17" w14:paraId="7FB35835" w14:textId="77777777" w:rsidTr="00345E67">
        <w:trPr>
          <w:trHeight w:val="360"/>
          <w:tblHeader/>
          <w:jc w:val="center"/>
        </w:trPr>
        <w:tc>
          <w:tcPr>
            <w:tcW w:w="7413" w:type="dxa"/>
            <w:gridSpan w:val="4"/>
            <w:shd w:val="clear" w:color="auto" w:fill="auto"/>
            <w:vAlign w:val="center"/>
          </w:tcPr>
          <w:p w14:paraId="1839E282" w14:textId="77777777" w:rsidR="001D4529" w:rsidRPr="00C16D8F" w:rsidRDefault="001D4529" w:rsidP="00345E67">
            <w:pPr>
              <w:keepNext/>
              <w:widowControl w:val="0"/>
              <w:spacing w:after="0"/>
              <w:jc w:val="center"/>
              <w:rPr>
                <w:rFonts w:ascii="Times New Roman" w:hAnsi="Times New Roman" w:cs="Times New Roman"/>
                <w:sz w:val="20"/>
                <w:szCs w:val="20"/>
              </w:rPr>
            </w:pPr>
            <w:r w:rsidRPr="00C16D8F">
              <w:rPr>
                <w:rFonts w:ascii="Times New Roman" w:hAnsi="Times New Roman" w:cs="Times New Roman"/>
                <w:b/>
                <w:sz w:val="20"/>
                <w:szCs w:val="20"/>
              </w:rPr>
              <w:t>Unemployment Rates</w:t>
            </w:r>
          </w:p>
        </w:tc>
      </w:tr>
      <w:tr w:rsidR="001D4529" w:rsidRPr="00533B17" w14:paraId="6C0EDD8E" w14:textId="77777777" w:rsidTr="00345E67">
        <w:trPr>
          <w:trHeight w:val="288"/>
          <w:jc w:val="center"/>
        </w:trPr>
        <w:tc>
          <w:tcPr>
            <w:tcW w:w="2200" w:type="dxa"/>
            <w:vMerge w:val="restart"/>
            <w:shd w:val="clear" w:color="auto" w:fill="auto"/>
            <w:vAlign w:val="center"/>
          </w:tcPr>
          <w:p w14:paraId="1E4BF84B" w14:textId="77777777" w:rsidR="001D4529" w:rsidRPr="00C16D8F" w:rsidRDefault="001D4529" w:rsidP="00345E67">
            <w:pPr>
              <w:keepNext/>
              <w:widowControl w:val="0"/>
              <w:spacing w:after="0"/>
              <w:rPr>
                <w:rFonts w:ascii="Times New Roman" w:hAnsi="Times New Roman" w:cs="Times New Roman"/>
                <w:b/>
                <w:sz w:val="20"/>
                <w:szCs w:val="20"/>
              </w:rPr>
            </w:pPr>
            <w:r w:rsidRPr="00C16D8F">
              <w:rPr>
                <w:rFonts w:ascii="Times New Roman" w:hAnsi="Times New Roman" w:cs="Times New Roman"/>
                <w:b/>
                <w:sz w:val="20"/>
                <w:szCs w:val="20"/>
              </w:rPr>
              <w:t>Location</w:t>
            </w:r>
          </w:p>
        </w:tc>
        <w:tc>
          <w:tcPr>
            <w:tcW w:w="1710" w:type="dxa"/>
            <w:shd w:val="clear" w:color="auto" w:fill="auto"/>
          </w:tcPr>
          <w:p w14:paraId="638125A4" w14:textId="77777777" w:rsidR="001D4529" w:rsidRPr="00C16D8F" w:rsidRDefault="001D4529" w:rsidP="00345E67">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2018</w:t>
            </w:r>
          </w:p>
        </w:tc>
        <w:tc>
          <w:tcPr>
            <w:tcW w:w="1686" w:type="dxa"/>
            <w:shd w:val="clear" w:color="auto" w:fill="auto"/>
          </w:tcPr>
          <w:p w14:paraId="6C8E00F5" w14:textId="77777777" w:rsidR="001D4529" w:rsidRPr="00C16D8F" w:rsidRDefault="001D4529" w:rsidP="00345E67">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2019</w:t>
            </w:r>
          </w:p>
        </w:tc>
        <w:tc>
          <w:tcPr>
            <w:tcW w:w="1817" w:type="dxa"/>
            <w:shd w:val="clear" w:color="auto" w:fill="auto"/>
          </w:tcPr>
          <w:p w14:paraId="1EC7A4ED" w14:textId="77777777" w:rsidR="001D4529" w:rsidRPr="00C16D8F" w:rsidRDefault="001D4529" w:rsidP="00345E67">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2020</w:t>
            </w:r>
          </w:p>
        </w:tc>
      </w:tr>
      <w:tr w:rsidR="001D4529" w:rsidRPr="00533B17" w14:paraId="5BEFBA0B" w14:textId="77777777" w:rsidTr="00345E67">
        <w:trPr>
          <w:trHeight w:val="288"/>
          <w:jc w:val="center"/>
        </w:trPr>
        <w:tc>
          <w:tcPr>
            <w:tcW w:w="2200" w:type="dxa"/>
            <w:vMerge/>
            <w:shd w:val="clear" w:color="auto" w:fill="auto"/>
          </w:tcPr>
          <w:p w14:paraId="1156790A" w14:textId="77777777" w:rsidR="001D4529" w:rsidRPr="00C16D8F" w:rsidRDefault="001D4529" w:rsidP="00345E67">
            <w:pPr>
              <w:keepNext/>
              <w:widowControl w:val="0"/>
              <w:spacing w:after="0"/>
              <w:rPr>
                <w:rFonts w:ascii="Times New Roman" w:hAnsi="Times New Roman" w:cs="Times New Roman"/>
                <w:sz w:val="20"/>
                <w:szCs w:val="20"/>
              </w:rPr>
            </w:pPr>
          </w:p>
        </w:tc>
        <w:tc>
          <w:tcPr>
            <w:tcW w:w="1710" w:type="dxa"/>
            <w:shd w:val="clear" w:color="auto" w:fill="auto"/>
          </w:tcPr>
          <w:p w14:paraId="3D6E3034" w14:textId="77777777" w:rsidR="001D4529" w:rsidRPr="00C16D8F" w:rsidRDefault="001D4529" w:rsidP="00345E67">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c>
          <w:tcPr>
            <w:tcW w:w="1686" w:type="dxa"/>
            <w:shd w:val="clear" w:color="auto" w:fill="auto"/>
          </w:tcPr>
          <w:p w14:paraId="473BFDE0" w14:textId="77777777" w:rsidR="001D4529" w:rsidRPr="00C16D8F" w:rsidRDefault="001D4529" w:rsidP="00345E67">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c>
          <w:tcPr>
            <w:tcW w:w="1817" w:type="dxa"/>
            <w:shd w:val="clear" w:color="auto" w:fill="auto"/>
          </w:tcPr>
          <w:p w14:paraId="6387630C" w14:textId="77777777" w:rsidR="001D4529" w:rsidRPr="00C16D8F" w:rsidRDefault="001D4529" w:rsidP="00345E67">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r>
      <w:tr w:rsidR="002F72FF" w:rsidRPr="00533B17" w14:paraId="1F169034" w14:textId="77777777" w:rsidTr="00345E67">
        <w:trPr>
          <w:trHeight w:val="288"/>
          <w:jc w:val="center"/>
        </w:trPr>
        <w:tc>
          <w:tcPr>
            <w:tcW w:w="2200" w:type="dxa"/>
            <w:shd w:val="clear" w:color="auto" w:fill="auto"/>
          </w:tcPr>
          <w:p w14:paraId="16C12D69" w14:textId="77777777" w:rsidR="002F72FF" w:rsidRDefault="002F72FF" w:rsidP="00345E67">
            <w:pPr>
              <w:keepNext/>
              <w:widowControl w:val="0"/>
              <w:spacing w:after="0"/>
              <w:rPr>
                <w:rFonts w:ascii="Times New Roman" w:hAnsi="Times New Roman" w:cs="Times New Roman"/>
                <w:sz w:val="20"/>
                <w:szCs w:val="20"/>
              </w:rPr>
            </w:pPr>
            <w:r>
              <w:rPr>
                <w:rFonts w:ascii="Times New Roman" w:hAnsi="Times New Roman" w:cs="Times New Roman"/>
                <w:sz w:val="20"/>
                <w:szCs w:val="20"/>
              </w:rPr>
              <w:t>Boston, MA MD</w:t>
            </w:r>
          </w:p>
        </w:tc>
        <w:tc>
          <w:tcPr>
            <w:tcW w:w="1710" w:type="dxa"/>
            <w:shd w:val="clear" w:color="auto" w:fill="auto"/>
          </w:tcPr>
          <w:p w14:paraId="0BF7E0D3"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3.1</w:t>
            </w:r>
          </w:p>
        </w:tc>
        <w:tc>
          <w:tcPr>
            <w:tcW w:w="1686" w:type="dxa"/>
            <w:shd w:val="clear" w:color="auto" w:fill="auto"/>
          </w:tcPr>
          <w:p w14:paraId="3F78C3A9"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1817" w:type="dxa"/>
            <w:shd w:val="clear" w:color="auto" w:fill="auto"/>
          </w:tcPr>
          <w:p w14:paraId="16F70F67"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10.2</w:t>
            </w:r>
          </w:p>
        </w:tc>
      </w:tr>
      <w:tr w:rsidR="002F72FF" w:rsidRPr="00533B17" w14:paraId="43A3091F" w14:textId="77777777" w:rsidTr="00345E67">
        <w:trPr>
          <w:trHeight w:val="288"/>
          <w:jc w:val="center"/>
        </w:trPr>
        <w:tc>
          <w:tcPr>
            <w:tcW w:w="2200" w:type="dxa"/>
            <w:shd w:val="clear" w:color="auto" w:fill="auto"/>
          </w:tcPr>
          <w:p w14:paraId="3FA6CDB1" w14:textId="77777777" w:rsidR="002F72FF" w:rsidRDefault="002F72FF" w:rsidP="00345E67">
            <w:pPr>
              <w:keepNext/>
              <w:widowControl w:val="0"/>
              <w:spacing w:after="0"/>
              <w:rPr>
                <w:rFonts w:ascii="Times New Roman" w:hAnsi="Times New Roman" w:cs="Times New Roman"/>
                <w:sz w:val="20"/>
                <w:szCs w:val="20"/>
              </w:rPr>
            </w:pPr>
            <w:r>
              <w:rPr>
                <w:rFonts w:ascii="Times New Roman" w:hAnsi="Times New Roman" w:cs="Times New Roman"/>
                <w:sz w:val="20"/>
                <w:szCs w:val="20"/>
              </w:rPr>
              <w:t>Massachusetts</w:t>
            </w:r>
          </w:p>
        </w:tc>
        <w:tc>
          <w:tcPr>
            <w:tcW w:w="1710" w:type="dxa"/>
            <w:shd w:val="clear" w:color="auto" w:fill="auto"/>
          </w:tcPr>
          <w:p w14:paraId="7D2DDEFB"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3.4</w:t>
            </w:r>
          </w:p>
        </w:tc>
        <w:tc>
          <w:tcPr>
            <w:tcW w:w="1686" w:type="dxa"/>
            <w:shd w:val="clear" w:color="auto" w:fill="auto"/>
          </w:tcPr>
          <w:p w14:paraId="63D041A9"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1817" w:type="dxa"/>
            <w:shd w:val="clear" w:color="auto" w:fill="auto"/>
          </w:tcPr>
          <w:p w14:paraId="4773E19C" w14:textId="77777777" w:rsidR="002F72FF" w:rsidRDefault="002F72FF"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7.4</w:t>
            </w:r>
          </w:p>
        </w:tc>
      </w:tr>
      <w:tr w:rsidR="001D4529" w:rsidRPr="00533B17" w14:paraId="1CE8B84C" w14:textId="77777777" w:rsidTr="00345E67">
        <w:trPr>
          <w:trHeight w:val="288"/>
          <w:jc w:val="center"/>
        </w:trPr>
        <w:tc>
          <w:tcPr>
            <w:tcW w:w="2200" w:type="dxa"/>
            <w:shd w:val="clear" w:color="auto" w:fill="auto"/>
          </w:tcPr>
          <w:p w14:paraId="60A1AFDE" w14:textId="77777777" w:rsidR="001D4529" w:rsidRDefault="001D4529" w:rsidP="00345E67">
            <w:pPr>
              <w:keepNext/>
              <w:widowControl w:val="0"/>
              <w:spacing w:after="0"/>
              <w:rPr>
                <w:rFonts w:ascii="Times New Roman" w:hAnsi="Times New Roman" w:cs="Times New Roman"/>
                <w:sz w:val="20"/>
                <w:szCs w:val="20"/>
              </w:rPr>
            </w:pPr>
            <w:r>
              <w:rPr>
                <w:rFonts w:ascii="Times New Roman" w:hAnsi="Times New Roman" w:cs="Times New Roman"/>
                <w:sz w:val="20"/>
                <w:szCs w:val="20"/>
              </w:rPr>
              <w:t>Nationwide</w:t>
            </w:r>
          </w:p>
        </w:tc>
        <w:tc>
          <w:tcPr>
            <w:tcW w:w="1710" w:type="dxa"/>
            <w:shd w:val="clear" w:color="auto" w:fill="auto"/>
          </w:tcPr>
          <w:p w14:paraId="35E4CE09" w14:textId="77777777" w:rsidR="001D4529" w:rsidRPr="00C16D8F" w:rsidRDefault="001D4529"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686" w:type="dxa"/>
            <w:shd w:val="clear" w:color="auto" w:fill="auto"/>
          </w:tcPr>
          <w:p w14:paraId="25C108D0" w14:textId="77777777" w:rsidR="001D4529" w:rsidRPr="00C16D8F" w:rsidRDefault="001D4529"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817" w:type="dxa"/>
            <w:shd w:val="clear" w:color="auto" w:fill="auto"/>
          </w:tcPr>
          <w:p w14:paraId="797BC95C" w14:textId="77777777" w:rsidR="001D4529" w:rsidRPr="00C16D8F" w:rsidRDefault="001D4529" w:rsidP="00345E67">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8.1</w:t>
            </w:r>
          </w:p>
        </w:tc>
      </w:tr>
      <w:tr w:rsidR="001D4529" w:rsidRPr="00533B17" w14:paraId="549684F3" w14:textId="77777777" w:rsidTr="00345E67">
        <w:trPr>
          <w:trHeight w:val="288"/>
          <w:jc w:val="center"/>
        </w:trPr>
        <w:tc>
          <w:tcPr>
            <w:tcW w:w="7413" w:type="dxa"/>
            <w:gridSpan w:val="4"/>
            <w:shd w:val="clear" w:color="auto" w:fill="auto"/>
            <w:vAlign w:val="center"/>
          </w:tcPr>
          <w:p w14:paraId="26F3086A" w14:textId="77777777" w:rsidR="001D4529" w:rsidRPr="00C16D8F" w:rsidRDefault="001D4529" w:rsidP="00345E67">
            <w:pPr>
              <w:keepNext/>
              <w:widowControl w:val="0"/>
              <w:spacing w:after="0"/>
              <w:rPr>
                <w:rFonts w:ascii="Times New Roman" w:hAnsi="Times New Roman" w:cs="Times New Roman"/>
                <w:sz w:val="20"/>
                <w:szCs w:val="20"/>
              </w:rPr>
            </w:pPr>
            <w:r w:rsidRPr="00C16D8F">
              <w:rPr>
                <w:rFonts w:ascii="Times New Roman" w:hAnsi="Times New Roman" w:cs="Times New Roman"/>
                <w:i/>
                <w:sz w:val="16"/>
                <w:szCs w:val="20"/>
              </w:rPr>
              <w:t>Source:  Bureau of Labor Statistics</w:t>
            </w:r>
            <w:r>
              <w:rPr>
                <w:rFonts w:ascii="Times New Roman" w:hAnsi="Times New Roman" w:cs="Times New Roman"/>
                <w:i/>
                <w:sz w:val="16"/>
                <w:szCs w:val="20"/>
              </w:rPr>
              <w:t>, Moody’s Analytics</w:t>
            </w:r>
          </w:p>
        </w:tc>
      </w:tr>
    </w:tbl>
    <w:p w14:paraId="2D775231" w14:textId="77777777" w:rsidR="001D4529" w:rsidRPr="008631D2" w:rsidRDefault="001D4529" w:rsidP="001D4529">
      <w:pPr>
        <w:spacing w:after="0" w:line="240" w:lineRule="auto"/>
        <w:rPr>
          <w:rFonts w:ascii="Times New Roman" w:hAnsi="Times New Roman" w:cs="Times New Roman"/>
          <w:sz w:val="24"/>
          <w:szCs w:val="24"/>
        </w:rPr>
      </w:pPr>
    </w:p>
    <w:p w14:paraId="5598FB90" w14:textId="45C4375D" w:rsidR="001D4529" w:rsidRDefault="002F72FF" w:rsidP="001D452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According to Moody’s Analytics, </w:t>
      </w:r>
      <w:r w:rsidR="001D4529">
        <w:rPr>
          <w:rFonts w:ascii="Times New Roman" w:hAnsi="Times New Roman" w:cs="Times New Roman"/>
          <w:bCs/>
          <w:iCs/>
          <w:sz w:val="24"/>
          <w:szCs w:val="24"/>
        </w:rPr>
        <w:t xml:space="preserve">the Boston, MA MD has challenges of high business and living costs </w:t>
      </w:r>
      <w:r w:rsidR="00FF7C77">
        <w:rPr>
          <w:rFonts w:ascii="Times New Roman" w:hAnsi="Times New Roman" w:cs="Times New Roman"/>
          <w:bCs/>
          <w:iCs/>
          <w:sz w:val="24"/>
          <w:szCs w:val="24"/>
        </w:rPr>
        <w:t>and</w:t>
      </w:r>
      <w:r w:rsidR="001D4529">
        <w:rPr>
          <w:rFonts w:ascii="Times New Roman" w:hAnsi="Times New Roman" w:cs="Times New Roman"/>
          <w:bCs/>
          <w:iCs/>
          <w:sz w:val="24"/>
          <w:szCs w:val="24"/>
        </w:rPr>
        <w:t xml:space="preserve"> high exposure to cyclical finance and tech</w:t>
      </w:r>
      <w:r w:rsidR="00CA6A2B">
        <w:rPr>
          <w:rFonts w:ascii="Times New Roman" w:hAnsi="Times New Roman" w:cs="Times New Roman"/>
          <w:bCs/>
          <w:iCs/>
          <w:sz w:val="24"/>
          <w:szCs w:val="24"/>
        </w:rPr>
        <w:t>nology industries</w:t>
      </w:r>
      <w:r w:rsidR="00FF4C53">
        <w:rPr>
          <w:rFonts w:ascii="Times New Roman" w:hAnsi="Times New Roman" w:cs="Times New Roman"/>
          <w:bCs/>
          <w:iCs/>
          <w:sz w:val="24"/>
          <w:szCs w:val="24"/>
        </w:rPr>
        <w:t>.  It also has</w:t>
      </w:r>
      <w:r w:rsidR="001D4529">
        <w:rPr>
          <w:rFonts w:ascii="Times New Roman" w:hAnsi="Times New Roman" w:cs="Times New Roman"/>
          <w:bCs/>
          <w:iCs/>
          <w:sz w:val="24"/>
          <w:szCs w:val="24"/>
        </w:rPr>
        <w:t xml:space="preserve"> strengths such as being the business capital of New England, having access to skilled labor and venture capital for emerging companies, dynamic high-tech and biomedical research industries, and labor market stability due to education/healthcare.  All major industries reduced staff since</w:t>
      </w:r>
      <w:r w:rsidR="00CA6A2B">
        <w:rPr>
          <w:rFonts w:ascii="Times New Roman" w:hAnsi="Times New Roman" w:cs="Times New Roman"/>
          <w:bCs/>
          <w:iCs/>
          <w:sz w:val="24"/>
          <w:szCs w:val="24"/>
        </w:rPr>
        <w:t xml:space="preserve"> February 2020, with leisure,</w:t>
      </w:r>
      <w:r w:rsidR="001D4529">
        <w:rPr>
          <w:rFonts w:ascii="Times New Roman" w:hAnsi="Times New Roman" w:cs="Times New Roman"/>
          <w:bCs/>
          <w:iCs/>
          <w:sz w:val="24"/>
          <w:szCs w:val="24"/>
        </w:rPr>
        <w:t xml:space="preserve"> hospitality</w:t>
      </w:r>
      <w:r w:rsidR="00CA6A2B">
        <w:rPr>
          <w:rFonts w:ascii="Times New Roman" w:hAnsi="Times New Roman" w:cs="Times New Roman"/>
          <w:bCs/>
          <w:iCs/>
          <w:sz w:val="24"/>
          <w:szCs w:val="24"/>
        </w:rPr>
        <w:t>,</w:t>
      </w:r>
      <w:r w:rsidR="001D4529">
        <w:rPr>
          <w:rFonts w:ascii="Times New Roman" w:hAnsi="Times New Roman" w:cs="Times New Roman"/>
          <w:bCs/>
          <w:iCs/>
          <w:sz w:val="24"/>
          <w:szCs w:val="24"/>
        </w:rPr>
        <w:t xml:space="preserve"> and transportation suffering the biggest losses.  Top employers in the area include Partners HealthCare, University of Massachusetts, and Stop &amp; Shop Supermarket Co.</w:t>
      </w:r>
    </w:p>
    <w:p w14:paraId="68F7B461" w14:textId="77777777" w:rsidR="00DB75C4" w:rsidRPr="00E50970" w:rsidRDefault="00DB75C4" w:rsidP="00E50970">
      <w:pPr>
        <w:spacing w:after="0" w:line="240" w:lineRule="auto"/>
        <w:rPr>
          <w:rFonts w:ascii="Times New Roman" w:eastAsia="Times New Roman" w:hAnsi="Times New Roman" w:cs="Times New Roman"/>
          <w:sz w:val="24"/>
          <w:szCs w:val="24"/>
        </w:rPr>
      </w:pPr>
    </w:p>
    <w:p w14:paraId="01CFCAC1" w14:textId="77777777" w:rsidR="00E50970" w:rsidRPr="00E50970" w:rsidRDefault="00E50970" w:rsidP="00E50970">
      <w:pPr>
        <w:spacing w:after="0" w:line="240" w:lineRule="auto"/>
        <w:rPr>
          <w:rFonts w:ascii="Times New Roman" w:eastAsia="Times New Roman" w:hAnsi="Times New Roman" w:cs="Times New Roman"/>
          <w:b/>
          <w:bCs/>
          <w:iCs/>
          <w:sz w:val="24"/>
          <w:szCs w:val="24"/>
        </w:rPr>
      </w:pPr>
      <w:r w:rsidRPr="00E50970">
        <w:rPr>
          <w:rFonts w:ascii="Times New Roman" w:eastAsia="Times New Roman" w:hAnsi="Times New Roman" w:cs="Times New Roman"/>
          <w:b/>
          <w:bCs/>
          <w:iCs/>
          <w:sz w:val="24"/>
          <w:szCs w:val="24"/>
          <w:u w:val="single"/>
        </w:rPr>
        <w:t>Competition</w:t>
      </w:r>
    </w:p>
    <w:p w14:paraId="1BA1F59A" w14:textId="77777777" w:rsidR="00E50970" w:rsidRDefault="00E50970" w:rsidP="00725496">
      <w:pPr>
        <w:tabs>
          <w:tab w:val="left" w:pos="1260"/>
        </w:tabs>
        <w:spacing w:after="0" w:line="240" w:lineRule="auto"/>
        <w:rPr>
          <w:rFonts w:ascii="Times New Roman" w:eastAsia="Times New Roman" w:hAnsi="Times New Roman" w:cs="Times New Roman"/>
          <w:bCs/>
          <w:iCs/>
          <w:sz w:val="24"/>
          <w:szCs w:val="24"/>
        </w:rPr>
      </w:pPr>
    </w:p>
    <w:p w14:paraId="2F57E439" w14:textId="3C9998F2" w:rsidR="00885105" w:rsidRDefault="00757915" w:rsidP="00757915">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Examiners</w:t>
      </w:r>
      <w:r w:rsidR="00F528CE">
        <w:rPr>
          <w:rFonts w:ascii="Times New Roman" w:hAnsi="Times New Roman" w:cs="Times New Roman"/>
          <w:sz w:val="24"/>
          <w:szCs w:val="24"/>
        </w:rPr>
        <w:t xml:space="preserve"> excluded the </w:t>
      </w:r>
      <w:r w:rsidR="00FF7C77">
        <w:rPr>
          <w:rFonts w:ascii="Times New Roman" w:hAnsi="Times New Roman" w:cs="Times New Roman"/>
          <w:sz w:val="24"/>
          <w:szCs w:val="24"/>
        </w:rPr>
        <w:t>C</w:t>
      </w:r>
      <w:r w:rsidR="00F528CE">
        <w:rPr>
          <w:rFonts w:ascii="Times New Roman" w:hAnsi="Times New Roman" w:cs="Times New Roman"/>
          <w:sz w:val="24"/>
          <w:szCs w:val="24"/>
        </w:rPr>
        <w:t xml:space="preserve">ity of Boston and </w:t>
      </w:r>
      <w:r w:rsidR="00FF4C53">
        <w:rPr>
          <w:rFonts w:ascii="Times New Roman" w:hAnsi="Times New Roman" w:cs="Times New Roman"/>
          <w:sz w:val="24"/>
          <w:szCs w:val="24"/>
        </w:rPr>
        <w:t xml:space="preserve">the </w:t>
      </w:r>
      <w:r w:rsidR="00F528CE">
        <w:rPr>
          <w:rFonts w:ascii="Times New Roman" w:hAnsi="Times New Roman" w:cs="Times New Roman"/>
          <w:sz w:val="24"/>
          <w:szCs w:val="24"/>
        </w:rPr>
        <w:t>Norfolk County</w:t>
      </w:r>
      <w:r w:rsidR="009A198C">
        <w:rPr>
          <w:rFonts w:ascii="Times New Roman" w:hAnsi="Times New Roman" w:cs="Times New Roman"/>
          <w:sz w:val="24"/>
          <w:szCs w:val="24"/>
        </w:rPr>
        <w:t xml:space="preserve"> towns added to the assessment area in 2020</w:t>
      </w:r>
      <w:r w:rsidR="00F528CE">
        <w:rPr>
          <w:rFonts w:ascii="Times New Roman" w:hAnsi="Times New Roman" w:cs="Times New Roman"/>
          <w:sz w:val="24"/>
          <w:szCs w:val="24"/>
        </w:rPr>
        <w:t xml:space="preserve"> </w:t>
      </w:r>
      <w:r w:rsidR="00542F10">
        <w:rPr>
          <w:rFonts w:ascii="Times New Roman" w:hAnsi="Times New Roman" w:cs="Times New Roman"/>
          <w:sz w:val="24"/>
          <w:szCs w:val="24"/>
        </w:rPr>
        <w:t>when</w:t>
      </w:r>
      <w:r>
        <w:rPr>
          <w:rFonts w:ascii="Times New Roman" w:hAnsi="Times New Roman" w:cs="Times New Roman"/>
          <w:sz w:val="24"/>
          <w:szCs w:val="24"/>
        </w:rPr>
        <w:t xml:space="preserve"> evaluat</w:t>
      </w:r>
      <w:r w:rsidR="00542F10">
        <w:rPr>
          <w:rFonts w:ascii="Times New Roman" w:hAnsi="Times New Roman" w:cs="Times New Roman"/>
          <w:sz w:val="24"/>
          <w:szCs w:val="24"/>
        </w:rPr>
        <w:t>ing</w:t>
      </w:r>
      <w:r>
        <w:rPr>
          <w:rFonts w:ascii="Times New Roman" w:hAnsi="Times New Roman" w:cs="Times New Roman"/>
          <w:sz w:val="24"/>
          <w:szCs w:val="24"/>
        </w:rPr>
        <w:t xml:space="preserve"> the bank’s competitive landscape</w:t>
      </w:r>
      <w:r w:rsidR="00FF7C77">
        <w:rPr>
          <w:rFonts w:ascii="Times New Roman" w:hAnsi="Times New Roman" w:cs="Times New Roman"/>
          <w:sz w:val="24"/>
          <w:szCs w:val="24"/>
        </w:rPr>
        <w:t>,</w:t>
      </w:r>
      <w:r>
        <w:rPr>
          <w:rFonts w:ascii="Times New Roman" w:hAnsi="Times New Roman" w:cs="Times New Roman"/>
          <w:sz w:val="24"/>
          <w:szCs w:val="24"/>
        </w:rPr>
        <w:t xml:space="preserve"> </w:t>
      </w:r>
      <w:r w:rsidRPr="00757915">
        <w:rPr>
          <w:rFonts w:ascii="Times New Roman" w:hAnsi="Times New Roman" w:cs="Times New Roman"/>
          <w:sz w:val="24"/>
          <w:szCs w:val="24"/>
        </w:rPr>
        <w:t xml:space="preserve">as the bank </w:t>
      </w:r>
      <w:r w:rsidR="00FF7C77">
        <w:rPr>
          <w:rFonts w:ascii="Times New Roman" w:hAnsi="Times New Roman" w:cs="Times New Roman"/>
          <w:sz w:val="24"/>
          <w:szCs w:val="24"/>
        </w:rPr>
        <w:t xml:space="preserve">had no branches and </w:t>
      </w:r>
      <w:r w:rsidRPr="00757915">
        <w:rPr>
          <w:rFonts w:ascii="Times New Roman" w:hAnsi="Times New Roman" w:cs="Times New Roman"/>
          <w:sz w:val="24"/>
          <w:szCs w:val="24"/>
        </w:rPr>
        <w:t>was not active</w:t>
      </w:r>
      <w:r w:rsidR="00F528CE">
        <w:rPr>
          <w:rFonts w:ascii="Times New Roman" w:hAnsi="Times New Roman" w:cs="Times New Roman"/>
          <w:sz w:val="24"/>
          <w:szCs w:val="24"/>
        </w:rPr>
        <w:t xml:space="preserve"> in those areas prior to 2020</w:t>
      </w:r>
      <w:r w:rsidRPr="00757915">
        <w:rPr>
          <w:rFonts w:ascii="Times New Roman" w:hAnsi="Times New Roman" w:cs="Times New Roman"/>
          <w:sz w:val="24"/>
          <w:szCs w:val="24"/>
        </w:rPr>
        <w:t>.</w:t>
      </w:r>
      <w:r w:rsidR="00F528CE">
        <w:rPr>
          <w:rFonts w:ascii="Times New Roman" w:hAnsi="Times New Roman" w:cs="Times New Roman"/>
          <w:sz w:val="24"/>
          <w:szCs w:val="24"/>
        </w:rPr>
        <w:t xml:space="preserve">  </w:t>
      </w:r>
      <w:r w:rsidR="00885105" w:rsidRPr="00757915">
        <w:rPr>
          <w:rFonts w:ascii="Times New Roman" w:hAnsi="Times New Roman" w:cs="Times New Roman"/>
          <w:sz w:val="24"/>
          <w:szCs w:val="24"/>
        </w:rPr>
        <w:t>HOB operates in a highly competitive market for banking services.  The presence of large</w:t>
      </w:r>
      <w:r w:rsidR="009A198C">
        <w:rPr>
          <w:rFonts w:ascii="Times New Roman" w:hAnsi="Times New Roman" w:cs="Times New Roman"/>
          <w:sz w:val="24"/>
          <w:szCs w:val="24"/>
        </w:rPr>
        <w:t xml:space="preserve"> national</w:t>
      </w:r>
      <w:r w:rsidR="00885105" w:rsidRPr="00757915">
        <w:rPr>
          <w:rFonts w:ascii="Times New Roman" w:hAnsi="Times New Roman" w:cs="Times New Roman"/>
          <w:sz w:val="24"/>
          <w:szCs w:val="24"/>
        </w:rPr>
        <w:t xml:space="preserve">, regional, </w:t>
      </w:r>
      <w:r w:rsidR="009A198C">
        <w:rPr>
          <w:rFonts w:ascii="Times New Roman" w:hAnsi="Times New Roman" w:cs="Times New Roman"/>
          <w:sz w:val="24"/>
          <w:szCs w:val="24"/>
        </w:rPr>
        <w:t xml:space="preserve">and </w:t>
      </w:r>
      <w:r w:rsidR="00885105" w:rsidRPr="00757915">
        <w:rPr>
          <w:rFonts w:ascii="Times New Roman" w:hAnsi="Times New Roman" w:cs="Times New Roman"/>
          <w:sz w:val="24"/>
          <w:szCs w:val="24"/>
        </w:rPr>
        <w:t>comm</w:t>
      </w:r>
      <w:r w:rsidR="009A198C">
        <w:rPr>
          <w:rFonts w:ascii="Times New Roman" w:hAnsi="Times New Roman" w:cs="Times New Roman"/>
          <w:sz w:val="24"/>
          <w:szCs w:val="24"/>
        </w:rPr>
        <w:t>unity banks</w:t>
      </w:r>
      <w:r w:rsidR="00A0183A" w:rsidRPr="00757915">
        <w:rPr>
          <w:rFonts w:ascii="Times New Roman" w:hAnsi="Times New Roman" w:cs="Times New Roman"/>
          <w:sz w:val="24"/>
          <w:szCs w:val="24"/>
        </w:rPr>
        <w:t xml:space="preserve"> and credit unions </w:t>
      </w:r>
      <w:r w:rsidR="00885105" w:rsidRPr="00757915">
        <w:rPr>
          <w:rFonts w:ascii="Times New Roman" w:hAnsi="Times New Roman" w:cs="Times New Roman"/>
          <w:sz w:val="24"/>
          <w:szCs w:val="24"/>
        </w:rPr>
        <w:t>creates significant competition</w:t>
      </w:r>
      <w:r w:rsidR="00885105" w:rsidRPr="00885105">
        <w:rPr>
          <w:rFonts w:ascii="Times New Roman" w:hAnsi="Times New Roman" w:cs="Times New Roman"/>
          <w:sz w:val="24"/>
          <w:szCs w:val="24"/>
        </w:rPr>
        <w:t xml:space="preserve"> in the area.</w:t>
      </w:r>
      <w:r w:rsidR="00B87CFE">
        <w:rPr>
          <w:rFonts w:ascii="Times New Roman" w:hAnsi="Times New Roman" w:cs="Times New Roman"/>
          <w:sz w:val="24"/>
          <w:szCs w:val="24"/>
        </w:rPr>
        <w:t xml:space="preserve">  </w:t>
      </w:r>
      <w:r w:rsidR="00885105" w:rsidRPr="007C7CB8">
        <w:rPr>
          <w:rFonts w:ascii="Times New Roman" w:hAnsi="Times New Roman" w:cs="Times New Roman"/>
          <w:sz w:val="24"/>
          <w:szCs w:val="24"/>
        </w:rPr>
        <w:t xml:space="preserve">According to the June 30, 2020 FDIC Deposit Market Share data, there were </w:t>
      </w:r>
      <w:r w:rsidR="00B87CFE" w:rsidRPr="007C7CB8">
        <w:rPr>
          <w:rFonts w:ascii="Times New Roman" w:hAnsi="Times New Roman" w:cs="Times New Roman"/>
          <w:sz w:val="24"/>
          <w:szCs w:val="24"/>
        </w:rPr>
        <w:t>31</w:t>
      </w:r>
      <w:r w:rsidR="00885105" w:rsidRPr="007C7CB8">
        <w:rPr>
          <w:rFonts w:ascii="Times New Roman" w:hAnsi="Times New Roman" w:cs="Times New Roman"/>
          <w:sz w:val="24"/>
          <w:szCs w:val="24"/>
        </w:rPr>
        <w:t xml:space="preserve"> financial institutions with </w:t>
      </w:r>
      <w:r w:rsidR="00B87CFE" w:rsidRPr="007C7CB8">
        <w:rPr>
          <w:rFonts w:ascii="Times New Roman" w:hAnsi="Times New Roman" w:cs="Times New Roman"/>
          <w:sz w:val="24"/>
          <w:szCs w:val="24"/>
        </w:rPr>
        <w:t>256</w:t>
      </w:r>
      <w:r w:rsidR="00885105" w:rsidRPr="007C7CB8">
        <w:rPr>
          <w:rFonts w:ascii="Times New Roman" w:hAnsi="Times New Roman" w:cs="Times New Roman"/>
          <w:sz w:val="24"/>
          <w:szCs w:val="24"/>
        </w:rPr>
        <w:t xml:space="preserve"> branches </w:t>
      </w:r>
      <w:r w:rsidR="00B87CFE" w:rsidRPr="007C7CB8">
        <w:rPr>
          <w:rFonts w:ascii="Times New Roman" w:hAnsi="Times New Roman" w:cs="Times New Roman"/>
          <w:sz w:val="24"/>
          <w:szCs w:val="24"/>
        </w:rPr>
        <w:t>in the a</w:t>
      </w:r>
      <w:r w:rsidR="00885105" w:rsidRPr="007C7CB8">
        <w:rPr>
          <w:rFonts w:ascii="Times New Roman" w:hAnsi="Times New Roman" w:cs="Times New Roman"/>
          <w:sz w:val="24"/>
          <w:szCs w:val="24"/>
        </w:rPr>
        <w:t xml:space="preserve">rea, among which </w:t>
      </w:r>
      <w:r w:rsidR="00FF7C77">
        <w:rPr>
          <w:rFonts w:ascii="Times New Roman" w:hAnsi="Times New Roman" w:cs="Times New Roman"/>
          <w:sz w:val="24"/>
          <w:szCs w:val="24"/>
        </w:rPr>
        <w:t>Rockland Trust Company;</w:t>
      </w:r>
      <w:r w:rsidR="00B87CFE" w:rsidRPr="007C7CB8">
        <w:rPr>
          <w:rFonts w:ascii="Times New Roman" w:hAnsi="Times New Roman" w:cs="Times New Roman"/>
          <w:sz w:val="24"/>
          <w:szCs w:val="24"/>
        </w:rPr>
        <w:t xml:space="preserve"> </w:t>
      </w:r>
      <w:r w:rsidR="00885105" w:rsidRPr="007C7CB8">
        <w:rPr>
          <w:rFonts w:ascii="Times New Roman" w:hAnsi="Times New Roman" w:cs="Times New Roman"/>
          <w:sz w:val="24"/>
          <w:szCs w:val="24"/>
        </w:rPr>
        <w:t>Citizens Bank, N</w:t>
      </w:r>
      <w:r w:rsidR="00FF4C53">
        <w:rPr>
          <w:rFonts w:ascii="Times New Roman" w:hAnsi="Times New Roman" w:cs="Times New Roman"/>
          <w:sz w:val="24"/>
          <w:szCs w:val="24"/>
        </w:rPr>
        <w:t>.</w:t>
      </w:r>
      <w:r w:rsidR="00885105" w:rsidRPr="007C7CB8">
        <w:rPr>
          <w:rFonts w:ascii="Times New Roman" w:hAnsi="Times New Roman" w:cs="Times New Roman"/>
          <w:sz w:val="24"/>
          <w:szCs w:val="24"/>
        </w:rPr>
        <w:t>A</w:t>
      </w:r>
      <w:r w:rsidR="00FF4C53">
        <w:rPr>
          <w:rFonts w:ascii="Times New Roman" w:hAnsi="Times New Roman" w:cs="Times New Roman"/>
          <w:sz w:val="24"/>
          <w:szCs w:val="24"/>
        </w:rPr>
        <w:t>.</w:t>
      </w:r>
      <w:r w:rsidR="009A198C">
        <w:rPr>
          <w:rFonts w:ascii="Times New Roman" w:hAnsi="Times New Roman" w:cs="Times New Roman"/>
          <w:sz w:val="24"/>
          <w:szCs w:val="24"/>
        </w:rPr>
        <w:t xml:space="preserve"> (CBNA)</w:t>
      </w:r>
      <w:r w:rsidR="00FF7C77">
        <w:rPr>
          <w:rFonts w:ascii="Times New Roman" w:hAnsi="Times New Roman" w:cs="Times New Roman"/>
          <w:sz w:val="24"/>
          <w:szCs w:val="24"/>
        </w:rPr>
        <w:t>;</w:t>
      </w:r>
      <w:r w:rsidR="00885105" w:rsidRPr="007C7CB8">
        <w:rPr>
          <w:rFonts w:ascii="Times New Roman" w:hAnsi="Times New Roman" w:cs="Times New Roman"/>
          <w:sz w:val="24"/>
          <w:szCs w:val="24"/>
        </w:rPr>
        <w:t xml:space="preserve"> </w:t>
      </w:r>
      <w:r w:rsidR="009A198C">
        <w:rPr>
          <w:rFonts w:ascii="Times New Roman" w:hAnsi="Times New Roman" w:cs="Times New Roman"/>
          <w:sz w:val="24"/>
          <w:szCs w:val="24"/>
        </w:rPr>
        <w:t xml:space="preserve">and </w:t>
      </w:r>
      <w:r w:rsidR="00885105" w:rsidRPr="007C7CB8">
        <w:rPr>
          <w:rFonts w:ascii="Times New Roman" w:hAnsi="Times New Roman" w:cs="Times New Roman"/>
          <w:sz w:val="24"/>
          <w:szCs w:val="24"/>
        </w:rPr>
        <w:t>Bank of America, N</w:t>
      </w:r>
      <w:r w:rsidR="00FF4C53">
        <w:rPr>
          <w:rFonts w:ascii="Times New Roman" w:hAnsi="Times New Roman" w:cs="Times New Roman"/>
          <w:sz w:val="24"/>
          <w:szCs w:val="24"/>
        </w:rPr>
        <w:t>.</w:t>
      </w:r>
      <w:r w:rsidR="00885105" w:rsidRPr="007C7CB8">
        <w:rPr>
          <w:rFonts w:ascii="Times New Roman" w:hAnsi="Times New Roman" w:cs="Times New Roman"/>
          <w:sz w:val="24"/>
          <w:szCs w:val="24"/>
        </w:rPr>
        <w:t>A</w:t>
      </w:r>
      <w:r w:rsidR="00FF4C53">
        <w:rPr>
          <w:rFonts w:ascii="Times New Roman" w:hAnsi="Times New Roman" w:cs="Times New Roman"/>
          <w:sz w:val="24"/>
          <w:szCs w:val="24"/>
        </w:rPr>
        <w:t>.</w:t>
      </w:r>
      <w:r w:rsidR="00B87CFE" w:rsidRPr="007C7CB8">
        <w:rPr>
          <w:rFonts w:ascii="Times New Roman" w:hAnsi="Times New Roman" w:cs="Times New Roman"/>
          <w:sz w:val="24"/>
          <w:szCs w:val="24"/>
        </w:rPr>
        <w:t xml:space="preserve"> </w:t>
      </w:r>
      <w:r w:rsidR="00885105" w:rsidRPr="007C7CB8">
        <w:rPr>
          <w:rFonts w:ascii="Times New Roman" w:hAnsi="Times New Roman" w:cs="Times New Roman"/>
          <w:sz w:val="24"/>
          <w:szCs w:val="24"/>
        </w:rPr>
        <w:t xml:space="preserve">were the top </w:t>
      </w:r>
      <w:r w:rsidR="007C7CB8" w:rsidRPr="007C7CB8">
        <w:rPr>
          <w:rFonts w:ascii="Times New Roman" w:hAnsi="Times New Roman" w:cs="Times New Roman"/>
          <w:sz w:val="24"/>
          <w:szCs w:val="24"/>
        </w:rPr>
        <w:t>three</w:t>
      </w:r>
      <w:r w:rsidR="009A198C">
        <w:rPr>
          <w:rFonts w:ascii="Times New Roman" w:hAnsi="Times New Roman" w:cs="Times New Roman"/>
          <w:sz w:val="24"/>
          <w:szCs w:val="24"/>
        </w:rPr>
        <w:t xml:space="preserve">, </w:t>
      </w:r>
      <w:r w:rsidR="00885105" w:rsidRPr="007C7CB8">
        <w:rPr>
          <w:rFonts w:ascii="Times New Roman" w:hAnsi="Times New Roman" w:cs="Times New Roman"/>
          <w:sz w:val="24"/>
          <w:szCs w:val="24"/>
        </w:rPr>
        <w:t xml:space="preserve">with a combined deposit market share of </w:t>
      </w:r>
      <w:r w:rsidR="007C7CB8" w:rsidRPr="007C7CB8">
        <w:rPr>
          <w:rFonts w:ascii="Times New Roman" w:hAnsi="Times New Roman" w:cs="Times New Roman"/>
          <w:sz w:val="24"/>
          <w:szCs w:val="24"/>
        </w:rPr>
        <w:t>46.9</w:t>
      </w:r>
      <w:r w:rsidR="00885105" w:rsidRPr="007C7CB8">
        <w:rPr>
          <w:rFonts w:ascii="Times New Roman" w:hAnsi="Times New Roman" w:cs="Times New Roman"/>
          <w:sz w:val="24"/>
          <w:szCs w:val="24"/>
        </w:rPr>
        <w:t xml:space="preserve"> percent.  </w:t>
      </w:r>
      <w:r w:rsidR="00191ADD">
        <w:rPr>
          <w:rFonts w:ascii="Times New Roman" w:hAnsi="Times New Roman" w:cs="Times New Roman"/>
          <w:sz w:val="24"/>
          <w:szCs w:val="24"/>
        </w:rPr>
        <w:t>H</w:t>
      </w:r>
      <w:r w:rsidR="007C7CB8" w:rsidRPr="007C7CB8">
        <w:rPr>
          <w:rFonts w:ascii="Times New Roman" w:hAnsi="Times New Roman" w:cs="Times New Roman"/>
          <w:sz w:val="24"/>
          <w:szCs w:val="24"/>
        </w:rPr>
        <w:t>O</w:t>
      </w:r>
      <w:r w:rsidR="00191ADD">
        <w:rPr>
          <w:rFonts w:ascii="Times New Roman" w:hAnsi="Times New Roman" w:cs="Times New Roman"/>
          <w:sz w:val="24"/>
          <w:szCs w:val="24"/>
        </w:rPr>
        <w:t>B</w:t>
      </w:r>
      <w:r w:rsidR="007C7CB8" w:rsidRPr="007C7CB8">
        <w:rPr>
          <w:rFonts w:ascii="Times New Roman" w:hAnsi="Times New Roman" w:cs="Times New Roman"/>
          <w:sz w:val="24"/>
          <w:szCs w:val="24"/>
        </w:rPr>
        <w:t xml:space="preserve"> ranked 4</w:t>
      </w:r>
      <w:r w:rsidR="00885105" w:rsidRPr="007C7CB8">
        <w:rPr>
          <w:rFonts w:ascii="Times New Roman" w:hAnsi="Times New Roman" w:cs="Times New Roman"/>
          <w:sz w:val="24"/>
          <w:szCs w:val="24"/>
          <w:vertAlign w:val="superscript"/>
        </w:rPr>
        <w:t>th</w:t>
      </w:r>
      <w:r w:rsidR="00885105" w:rsidRPr="007C7CB8">
        <w:rPr>
          <w:rFonts w:ascii="Times New Roman" w:hAnsi="Times New Roman" w:cs="Times New Roman"/>
          <w:sz w:val="24"/>
          <w:szCs w:val="24"/>
        </w:rPr>
        <w:t xml:space="preserve"> with a market share </w:t>
      </w:r>
      <w:r w:rsidR="007C7CB8" w:rsidRPr="007C7CB8">
        <w:rPr>
          <w:rFonts w:ascii="Times New Roman" w:hAnsi="Times New Roman" w:cs="Times New Roman"/>
          <w:sz w:val="24"/>
          <w:szCs w:val="24"/>
        </w:rPr>
        <w:t>of 8.1</w:t>
      </w:r>
      <w:r w:rsidR="00885105" w:rsidRPr="007C7CB8">
        <w:rPr>
          <w:rFonts w:ascii="Times New Roman" w:hAnsi="Times New Roman" w:cs="Times New Roman"/>
          <w:sz w:val="24"/>
          <w:szCs w:val="24"/>
        </w:rPr>
        <w:t xml:space="preserve"> percent.  Banks that trailed behind were </w:t>
      </w:r>
      <w:r w:rsidR="007C7CB8" w:rsidRPr="007C7CB8">
        <w:rPr>
          <w:rFonts w:ascii="Times New Roman" w:hAnsi="Times New Roman" w:cs="Times New Roman"/>
          <w:sz w:val="24"/>
          <w:szCs w:val="24"/>
        </w:rPr>
        <w:t>Eastern Bank (5</w:t>
      </w:r>
      <w:r w:rsidR="00885105" w:rsidRPr="007C7CB8">
        <w:rPr>
          <w:rFonts w:ascii="Times New Roman" w:hAnsi="Times New Roman" w:cs="Times New Roman"/>
          <w:sz w:val="24"/>
          <w:szCs w:val="24"/>
          <w:vertAlign w:val="superscript"/>
        </w:rPr>
        <w:t>th</w:t>
      </w:r>
      <w:r w:rsidR="007C7CB8" w:rsidRPr="007C7CB8">
        <w:rPr>
          <w:rFonts w:ascii="Times New Roman" w:hAnsi="Times New Roman" w:cs="Times New Roman"/>
          <w:sz w:val="24"/>
          <w:szCs w:val="24"/>
        </w:rPr>
        <w:t xml:space="preserve">) and Hingham Institution </w:t>
      </w:r>
      <w:r w:rsidR="007C7CB8">
        <w:rPr>
          <w:rFonts w:ascii="Times New Roman" w:hAnsi="Times New Roman" w:cs="Times New Roman"/>
          <w:sz w:val="24"/>
          <w:szCs w:val="24"/>
        </w:rPr>
        <w:t>for</w:t>
      </w:r>
      <w:r w:rsidR="007C7CB8" w:rsidRPr="007C7CB8">
        <w:rPr>
          <w:rFonts w:ascii="Times New Roman" w:hAnsi="Times New Roman" w:cs="Times New Roman"/>
          <w:sz w:val="24"/>
          <w:szCs w:val="24"/>
        </w:rPr>
        <w:t xml:space="preserve"> Savings (6</w:t>
      </w:r>
      <w:r w:rsidR="00885105" w:rsidRPr="007C7CB8">
        <w:rPr>
          <w:rFonts w:ascii="Times New Roman" w:hAnsi="Times New Roman" w:cs="Times New Roman"/>
          <w:sz w:val="24"/>
          <w:szCs w:val="24"/>
          <w:vertAlign w:val="superscript"/>
        </w:rPr>
        <w:t>th</w:t>
      </w:r>
      <w:r w:rsidR="007C7CB8" w:rsidRPr="007C7CB8">
        <w:rPr>
          <w:rFonts w:ascii="Times New Roman" w:hAnsi="Times New Roman" w:cs="Times New Roman"/>
          <w:sz w:val="24"/>
          <w:szCs w:val="24"/>
        </w:rPr>
        <w:t xml:space="preserve">), with </w:t>
      </w:r>
      <w:r w:rsidR="00885105" w:rsidRPr="007C7CB8">
        <w:rPr>
          <w:rFonts w:ascii="Times New Roman" w:hAnsi="Times New Roman" w:cs="Times New Roman"/>
          <w:sz w:val="24"/>
          <w:szCs w:val="24"/>
        </w:rPr>
        <w:t>market share</w:t>
      </w:r>
      <w:r w:rsidR="009A198C">
        <w:rPr>
          <w:rFonts w:ascii="Times New Roman" w:hAnsi="Times New Roman" w:cs="Times New Roman"/>
          <w:sz w:val="24"/>
          <w:szCs w:val="24"/>
        </w:rPr>
        <w:t>s</w:t>
      </w:r>
      <w:r w:rsidR="00885105" w:rsidRPr="007C7CB8">
        <w:rPr>
          <w:rFonts w:ascii="Times New Roman" w:hAnsi="Times New Roman" w:cs="Times New Roman"/>
          <w:sz w:val="24"/>
          <w:szCs w:val="24"/>
        </w:rPr>
        <w:t xml:space="preserve"> of </w:t>
      </w:r>
      <w:r w:rsidR="007C7CB8" w:rsidRPr="007C7CB8">
        <w:rPr>
          <w:rFonts w:ascii="Times New Roman" w:hAnsi="Times New Roman" w:cs="Times New Roman"/>
          <w:sz w:val="24"/>
          <w:szCs w:val="24"/>
        </w:rPr>
        <w:t>7.9</w:t>
      </w:r>
      <w:r w:rsidR="00885105" w:rsidRPr="007C7CB8">
        <w:rPr>
          <w:rFonts w:ascii="Times New Roman" w:hAnsi="Times New Roman" w:cs="Times New Roman"/>
          <w:sz w:val="24"/>
          <w:szCs w:val="24"/>
        </w:rPr>
        <w:t xml:space="preserve"> percent</w:t>
      </w:r>
      <w:r w:rsidR="007C7CB8" w:rsidRPr="007C7CB8">
        <w:rPr>
          <w:rFonts w:ascii="Times New Roman" w:hAnsi="Times New Roman" w:cs="Times New Roman"/>
          <w:sz w:val="24"/>
          <w:szCs w:val="24"/>
        </w:rPr>
        <w:t xml:space="preserve"> and 6.5</w:t>
      </w:r>
      <w:r w:rsidR="00885105" w:rsidRPr="007C7CB8">
        <w:rPr>
          <w:rFonts w:ascii="Times New Roman" w:hAnsi="Times New Roman" w:cs="Times New Roman"/>
          <w:sz w:val="24"/>
          <w:szCs w:val="24"/>
        </w:rPr>
        <w:t xml:space="preserve"> percent, </w:t>
      </w:r>
      <w:r w:rsidR="007C7CB8" w:rsidRPr="007C7CB8">
        <w:rPr>
          <w:rFonts w:ascii="Times New Roman" w:hAnsi="Times New Roman" w:cs="Times New Roman"/>
          <w:sz w:val="24"/>
          <w:szCs w:val="24"/>
        </w:rPr>
        <w:t>respectively.</w:t>
      </w:r>
    </w:p>
    <w:p w14:paraId="59DB2FEE" w14:textId="77777777" w:rsidR="00676BBB" w:rsidRDefault="00676BBB" w:rsidP="00885105">
      <w:pPr>
        <w:spacing w:after="0" w:line="240" w:lineRule="auto"/>
        <w:rPr>
          <w:rFonts w:ascii="Times New Roman" w:hAnsi="Times New Roman" w:cs="Times New Roman"/>
          <w:sz w:val="24"/>
          <w:szCs w:val="24"/>
        </w:rPr>
      </w:pPr>
    </w:p>
    <w:p w14:paraId="48CA9367" w14:textId="4F43B67D" w:rsidR="00885105" w:rsidRPr="00EA303B" w:rsidRDefault="00676BBB" w:rsidP="00885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HOB faces a </w:t>
      </w:r>
      <w:r w:rsidRPr="00EA303B">
        <w:rPr>
          <w:rFonts w:ascii="Times New Roman" w:hAnsi="Times New Roman" w:cs="Times New Roman"/>
          <w:sz w:val="24"/>
          <w:szCs w:val="24"/>
        </w:rPr>
        <w:t>high level of competition for home mortgage lending from national lenders, mortgage companies, credit unions, and communi</w:t>
      </w:r>
      <w:r w:rsidR="00C840E0" w:rsidRPr="00EA303B">
        <w:rPr>
          <w:rFonts w:ascii="Times New Roman" w:hAnsi="Times New Roman" w:cs="Times New Roman"/>
          <w:sz w:val="24"/>
          <w:szCs w:val="24"/>
        </w:rPr>
        <w:t xml:space="preserve">ty banks.  </w:t>
      </w:r>
      <w:r w:rsidR="00885105" w:rsidRPr="00EA303B">
        <w:rPr>
          <w:rFonts w:ascii="Times New Roman" w:hAnsi="Times New Roman" w:cs="Times New Roman"/>
          <w:sz w:val="24"/>
          <w:szCs w:val="24"/>
        </w:rPr>
        <w:t xml:space="preserve">In 2019, </w:t>
      </w:r>
      <w:r w:rsidR="004A229A" w:rsidRPr="00EA303B">
        <w:rPr>
          <w:rFonts w:ascii="Times New Roman" w:hAnsi="Times New Roman" w:cs="Times New Roman"/>
          <w:iCs/>
          <w:sz w:val="24"/>
          <w:szCs w:val="24"/>
        </w:rPr>
        <w:t>471</w:t>
      </w:r>
      <w:r w:rsidR="00885105" w:rsidRPr="00EA303B">
        <w:rPr>
          <w:rFonts w:ascii="Times New Roman" w:hAnsi="Times New Roman" w:cs="Times New Roman"/>
          <w:iCs/>
          <w:sz w:val="24"/>
          <w:szCs w:val="24"/>
        </w:rPr>
        <w:t xml:space="preserve"> HMDA-reporting lenders originated or purchased </w:t>
      </w:r>
      <w:r w:rsidR="004A229A" w:rsidRPr="00EA303B">
        <w:rPr>
          <w:rFonts w:ascii="Times New Roman" w:hAnsi="Times New Roman" w:cs="Times New Roman"/>
          <w:iCs/>
          <w:sz w:val="24"/>
          <w:szCs w:val="24"/>
        </w:rPr>
        <w:t>42,552</w:t>
      </w:r>
      <w:r w:rsidR="00885105" w:rsidRPr="00EA303B">
        <w:rPr>
          <w:rFonts w:ascii="Times New Roman" w:hAnsi="Times New Roman" w:cs="Times New Roman"/>
          <w:iCs/>
          <w:sz w:val="24"/>
          <w:szCs w:val="24"/>
        </w:rPr>
        <w:t xml:space="preserve"> home mortgage loans in the assessment area.  Combined, </w:t>
      </w:r>
      <w:r w:rsidR="00885105" w:rsidRPr="00EA303B">
        <w:rPr>
          <w:rFonts w:ascii="Times New Roman" w:hAnsi="Times New Roman" w:cs="Times New Roman"/>
          <w:sz w:val="24"/>
          <w:szCs w:val="24"/>
        </w:rPr>
        <w:t>HOB and HOME ranked 2</w:t>
      </w:r>
      <w:r w:rsidR="00EA303B" w:rsidRPr="00EA303B">
        <w:rPr>
          <w:rFonts w:ascii="Times New Roman" w:hAnsi="Times New Roman" w:cs="Times New Roman"/>
          <w:sz w:val="24"/>
          <w:szCs w:val="24"/>
        </w:rPr>
        <w:t>6</w:t>
      </w:r>
      <w:r w:rsidR="00885105" w:rsidRPr="00EA303B">
        <w:rPr>
          <w:rFonts w:ascii="Times New Roman" w:hAnsi="Times New Roman" w:cs="Times New Roman"/>
          <w:sz w:val="24"/>
          <w:szCs w:val="24"/>
          <w:vertAlign w:val="superscript"/>
        </w:rPr>
        <w:t>th</w:t>
      </w:r>
      <w:r w:rsidR="00885105" w:rsidRPr="00EA303B">
        <w:rPr>
          <w:rFonts w:ascii="Times New Roman" w:hAnsi="Times New Roman" w:cs="Times New Roman"/>
          <w:sz w:val="24"/>
          <w:szCs w:val="24"/>
        </w:rPr>
        <w:t xml:space="preserve"> with a 1.</w:t>
      </w:r>
      <w:r w:rsidR="00EA303B" w:rsidRPr="00EA303B">
        <w:rPr>
          <w:rFonts w:ascii="Times New Roman" w:hAnsi="Times New Roman" w:cs="Times New Roman"/>
          <w:sz w:val="24"/>
          <w:szCs w:val="24"/>
        </w:rPr>
        <w:t>2</w:t>
      </w:r>
      <w:r w:rsidR="00885105" w:rsidRPr="00EA303B">
        <w:rPr>
          <w:rFonts w:ascii="Times New Roman" w:hAnsi="Times New Roman" w:cs="Times New Roman"/>
          <w:sz w:val="24"/>
          <w:szCs w:val="24"/>
        </w:rPr>
        <w:t xml:space="preserve"> percent</w:t>
      </w:r>
      <w:r w:rsidR="009A198C">
        <w:rPr>
          <w:rFonts w:ascii="Times New Roman" w:hAnsi="Times New Roman" w:cs="Times New Roman"/>
          <w:sz w:val="24"/>
          <w:szCs w:val="24"/>
        </w:rPr>
        <w:t xml:space="preserve"> </w:t>
      </w:r>
      <w:r w:rsidR="009A198C" w:rsidRPr="00EA303B">
        <w:rPr>
          <w:rFonts w:ascii="Times New Roman" w:hAnsi="Times New Roman" w:cs="Times New Roman"/>
          <w:sz w:val="24"/>
          <w:szCs w:val="24"/>
        </w:rPr>
        <w:t>market share</w:t>
      </w:r>
      <w:r w:rsidR="00885105" w:rsidRPr="00EA303B">
        <w:rPr>
          <w:rFonts w:ascii="Times New Roman" w:hAnsi="Times New Roman" w:cs="Times New Roman"/>
          <w:sz w:val="24"/>
          <w:szCs w:val="24"/>
        </w:rPr>
        <w:t>.</w:t>
      </w:r>
      <w:r w:rsidR="00885105" w:rsidRPr="00EA303B">
        <w:rPr>
          <w:rFonts w:ascii="Times New Roman" w:hAnsi="Times New Roman" w:cs="Times New Roman"/>
          <w:iCs/>
          <w:sz w:val="24"/>
          <w:szCs w:val="24"/>
        </w:rPr>
        <w:t xml:space="preserve">  Lenders </w:t>
      </w:r>
      <w:r w:rsidR="00104E1C">
        <w:rPr>
          <w:rFonts w:ascii="Times New Roman" w:hAnsi="Times New Roman" w:cs="Times New Roman"/>
          <w:iCs/>
          <w:sz w:val="24"/>
          <w:szCs w:val="24"/>
        </w:rPr>
        <w:t xml:space="preserve">that </w:t>
      </w:r>
      <w:r w:rsidR="00885105" w:rsidRPr="00EA303B">
        <w:rPr>
          <w:rFonts w:ascii="Times New Roman" w:hAnsi="Times New Roman" w:cs="Times New Roman"/>
          <w:iCs/>
          <w:sz w:val="24"/>
          <w:szCs w:val="24"/>
        </w:rPr>
        <w:t xml:space="preserve">ranked </w:t>
      </w:r>
      <w:r w:rsidR="00FF4C53">
        <w:rPr>
          <w:rFonts w:ascii="Times New Roman" w:hAnsi="Times New Roman" w:cs="Times New Roman"/>
          <w:iCs/>
          <w:sz w:val="24"/>
          <w:szCs w:val="24"/>
        </w:rPr>
        <w:t>higher</w:t>
      </w:r>
      <w:r w:rsidR="00885105" w:rsidRPr="00EA303B">
        <w:rPr>
          <w:rFonts w:ascii="Times New Roman" w:hAnsi="Times New Roman" w:cs="Times New Roman"/>
          <w:iCs/>
          <w:sz w:val="24"/>
          <w:szCs w:val="24"/>
        </w:rPr>
        <w:t xml:space="preserve"> were large and national lenders and local credit unions, including CBNA, Wells Fa</w:t>
      </w:r>
      <w:r w:rsidR="00EA303B" w:rsidRPr="00EA303B">
        <w:rPr>
          <w:rFonts w:ascii="Times New Roman" w:hAnsi="Times New Roman" w:cs="Times New Roman"/>
          <w:iCs/>
          <w:sz w:val="24"/>
          <w:szCs w:val="24"/>
        </w:rPr>
        <w:t>rgo Bank N</w:t>
      </w:r>
      <w:r w:rsidR="00FF4C53">
        <w:rPr>
          <w:rFonts w:ascii="Times New Roman" w:hAnsi="Times New Roman" w:cs="Times New Roman"/>
          <w:iCs/>
          <w:sz w:val="24"/>
          <w:szCs w:val="24"/>
        </w:rPr>
        <w:t>.</w:t>
      </w:r>
      <w:r w:rsidR="00EA303B" w:rsidRPr="00EA303B">
        <w:rPr>
          <w:rFonts w:ascii="Times New Roman" w:hAnsi="Times New Roman" w:cs="Times New Roman"/>
          <w:iCs/>
          <w:sz w:val="24"/>
          <w:szCs w:val="24"/>
        </w:rPr>
        <w:t>A</w:t>
      </w:r>
      <w:r w:rsidR="00FF4C53">
        <w:rPr>
          <w:rFonts w:ascii="Times New Roman" w:hAnsi="Times New Roman" w:cs="Times New Roman"/>
          <w:iCs/>
          <w:sz w:val="24"/>
          <w:szCs w:val="24"/>
        </w:rPr>
        <w:t>.</w:t>
      </w:r>
      <w:r w:rsidR="00EA303B" w:rsidRPr="00EA303B">
        <w:rPr>
          <w:rFonts w:ascii="Times New Roman" w:hAnsi="Times New Roman" w:cs="Times New Roman"/>
          <w:iCs/>
          <w:sz w:val="24"/>
          <w:szCs w:val="24"/>
        </w:rPr>
        <w:t>, and Quicken Loans</w:t>
      </w:r>
      <w:r w:rsidR="00885105" w:rsidRPr="00EA303B">
        <w:rPr>
          <w:rFonts w:ascii="Times New Roman" w:hAnsi="Times New Roman" w:cs="Times New Roman"/>
          <w:iCs/>
          <w:sz w:val="24"/>
          <w:szCs w:val="24"/>
        </w:rPr>
        <w:t xml:space="preserve">.  Other community banks, such as </w:t>
      </w:r>
      <w:r w:rsidR="00EA303B" w:rsidRPr="00EA303B">
        <w:rPr>
          <w:rFonts w:ascii="Times New Roman" w:hAnsi="Times New Roman" w:cs="Times New Roman"/>
          <w:sz w:val="24"/>
          <w:szCs w:val="24"/>
        </w:rPr>
        <w:t>The Cape Cod Five Cents Saving</w:t>
      </w:r>
      <w:r w:rsidR="00356E52">
        <w:rPr>
          <w:rFonts w:ascii="Times New Roman" w:hAnsi="Times New Roman" w:cs="Times New Roman"/>
          <w:sz w:val="24"/>
          <w:szCs w:val="24"/>
        </w:rPr>
        <w:t>s Bank</w:t>
      </w:r>
      <w:r w:rsidR="00EA303B" w:rsidRPr="00EA303B">
        <w:rPr>
          <w:rFonts w:ascii="Times New Roman" w:hAnsi="Times New Roman" w:cs="Times New Roman"/>
          <w:sz w:val="24"/>
          <w:szCs w:val="24"/>
        </w:rPr>
        <w:t>,</w:t>
      </w:r>
      <w:r w:rsidR="00356E52">
        <w:rPr>
          <w:rFonts w:ascii="Times New Roman" w:hAnsi="Times New Roman" w:cs="Times New Roman"/>
          <w:sz w:val="24"/>
          <w:szCs w:val="24"/>
        </w:rPr>
        <w:t xml:space="preserve"> trailed behind</w:t>
      </w:r>
      <w:r w:rsidR="00FF4C53">
        <w:rPr>
          <w:rFonts w:ascii="Times New Roman" w:hAnsi="Times New Roman" w:cs="Times New Roman"/>
          <w:sz w:val="24"/>
          <w:szCs w:val="24"/>
        </w:rPr>
        <w:t>,</w:t>
      </w:r>
      <w:r w:rsidR="00356E52">
        <w:rPr>
          <w:rFonts w:ascii="Times New Roman" w:hAnsi="Times New Roman" w:cs="Times New Roman"/>
          <w:sz w:val="24"/>
          <w:szCs w:val="24"/>
        </w:rPr>
        <w:t xml:space="preserve"> ranking</w:t>
      </w:r>
      <w:r w:rsidR="00EA303B" w:rsidRPr="00EA303B">
        <w:rPr>
          <w:rFonts w:ascii="Times New Roman" w:hAnsi="Times New Roman" w:cs="Times New Roman"/>
          <w:sz w:val="24"/>
          <w:szCs w:val="24"/>
        </w:rPr>
        <w:t xml:space="preserve"> 40</w:t>
      </w:r>
      <w:r w:rsidR="00EA303B" w:rsidRPr="00EA303B">
        <w:rPr>
          <w:rFonts w:ascii="Times New Roman" w:hAnsi="Times New Roman" w:cs="Times New Roman"/>
          <w:sz w:val="24"/>
          <w:szCs w:val="24"/>
          <w:vertAlign w:val="superscript"/>
        </w:rPr>
        <w:t>th</w:t>
      </w:r>
      <w:r w:rsidR="00EA303B" w:rsidRPr="00EA303B">
        <w:rPr>
          <w:rFonts w:ascii="Times New Roman" w:hAnsi="Times New Roman" w:cs="Times New Roman"/>
          <w:sz w:val="24"/>
          <w:szCs w:val="24"/>
        </w:rPr>
        <w:t xml:space="preserve"> with </w:t>
      </w:r>
      <w:r w:rsidR="009A198C">
        <w:rPr>
          <w:rFonts w:ascii="Times New Roman" w:hAnsi="Times New Roman" w:cs="Times New Roman"/>
          <w:sz w:val="24"/>
          <w:szCs w:val="24"/>
        </w:rPr>
        <w:t xml:space="preserve">a </w:t>
      </w:r>
      <w:r w:rsidR="00EA303B" w:rsidRPr="00EA303B">
        <w:rPr>
          <w:rFonts w:ascii="Times New Roman" w:hAnsi="Times New Roman" w:cs="Times New Roman"/>
          <w:sz w:val="24"/>
          <w:szCs w:val="24"/>
        </w:rPr>
        <w:t xml:space="preserve">market share of 0.4 percent.  </w:t>
      </w:r>
      <w:r w:rsidR="00885105" w:rsidRPr="00EA303B">
        <w:rPr>
          <w:rFonts w:ascii="Times New Roman" w:hAnsi="Times New Roman" w:cs="Times New Roman"/>
          <w:sz w:val="24"/>
          <w:szCs w:val="24"/>
        </w:rPr>
        <w:t>BayCoast Mortgage Company and BayCoast Bank</w:t>
      </w:r>
      <w:r w:rsidR="00EA303B" w:rsidRPr="00EA303B">
        <w:rPr>
          <w:rFonts w:ascii="Times New Roman" w:hAnsi="Times New Roman" w:cs="Times New Roman"/>
          <w:sz w:val="24"/>
          <w:szCs w:val="24"/>
        </w:rPr>
        <w:t xml:space="preserve"> also</w:t>
      </w:r>
      <w:r w:rsidR="00885105" w:rsidRPr="00EA303B">
        <w:rPr>
          <w:rFonts w:ascii="Times New Roman" w:hAnsi="Times New Roman" w:cs="Times New Roman"/>
          <w:sz w:val="24"/>
          <w:szCs w:val="24"/>
        </w:rPr>
        <w:t xml:space="preserve"> trailed behind</w:t>
      </w:r>
      <w:r w:rsidR="00FF4C53">
        <w:rPr>
          <w:rFonts w:ascii="Times New Roman" w:hAnsi="Times New Roman" w:cs="Times New Roman"/>
          <w:sz w:val="24"/>
          <w:szCs w:val="24"/>
        </w:rPr>
        <w:t>,</w:t>
      </w:r>
      <w:r w:rsidR="00885105" w:rsidRPr="00EA303B">
        <w:rPr>
          <w:rFonts w:ascii="Times New Roman" w:hAnsi="Times New Roman" w:cs="Times New Roman"/>
          <w:sz w:val="24"/>
          <w:szCs w:val="24"/>
        </w:rPr>
        <w:t xml:space="preserve"> ranking</w:t>
      </w:r>
      <w:r w:rsidR="00EA303B" w:rsidRPr="00EA303B">
        <w:rPr>
          <w:rFonts w:ascii="Times New Roman" w:hAnsi="Times New Roman" w:cs="Times New Roman"/>
          <w:sz w:val="24"/>
          <w:szCs w:val="24"/>
        </w:rPr>
        <w:t xml:space="preserve"> 56</w:t>
      </w:r>
      <w:r w:rsidR="00EA303B" w:rsidRPr="00EA303B">
        <w:rPr>
          <w:rFonts w:ascii="Times New Roman" w:hAnsi="Times New Roman" w:cs="Times New Roman"/>
          <w:sz w:val="24"/>
          <w:szCs w:val="24"/>
          <w:vertAlign w:val="superscript"/>
        </w:rPr>
        <w:t>th</w:t>
      </w:r>
      <w:r w:rsidR="00EA303B" w:rsidRPr="00EA303B">
        <w:rPr>
          <w:rFonts w:ascii="Times New Roman" w:hAnsi="Times New Roman" w:cs="Times New Roman"/>
          <w:sz w:val="24"/>
          <w:szCs w:val="24"/>
        </w:rPr>
        <w:t xml:space="preserve"> and 65</w:t>
      </w:r>
      <w:r w:rsidR="00EA303B" w:rsidRPr="00EA303B">
        <w:rPr>
          <w:rFonts w:ascii="Times New Roman" w:hAnsi="Times New Roman" w:cs="Times New Roman"/>
          <w:sz w:val="24"/>
          <w:szCs w:val="24"/>
          <w:vertAlign w:val="superscript"/>
        </w:rPr>
        <w:t>th</w:t>
      </w:r>
      <w:r w:rsidR="00EA303B" w:rsidRPr="00EA303B">
        <w:rPr>
          <w:rFonts w:ascii="Times New Roman" w:hAnsi="Times New Roman" w:cs="Times New Roman"/>
          <w:sz w:val="24"/>
          <w:szCs w:val="24"/>
        </w:rPr>
        <w:t xml:space="preserve"> with</w:t>
      </w:r>
      <w:r w:rsidR="00356E52">
        <w:rPr>
          <w:rFonts w:ascii="Times New Roman" w:hAnsi="Times New Roman" w:cs="Times New Roman"/>
          <w:sz w:val="24"/>
          <w:szCs w:val="24"/>
        </w:rPr>
        <w:t xml:space="preserve"> a combined</w:t>
      </w:r>
      <w:r w:rsidR="00EA303B" w:rsidRPr="00EA303B">
        <w:rPr>
          <w:rFonts w:ascii="Times New Roman" w:hAnsi="Times New Roman" w:cs="Times New Roman"/>
          <w:sz w:val="24"/>
          <w:szCs w:val="24"/>
        </w:rPr>
        <w:t xml:space="preserve"> market share of 0.6</w:t>
      </w:r>
      <w:r w:rsidR="00885105" w:rsidRPr="00EA303B">
        <w:rPr>
          <w:rFonts w:ascii="Times New Roman" w:hAnsi="Times New Roman" w:cs="Times New Roman"/>
          <w:sz w:val="24"/>
          <w:szCs w:val="24"/>
        </w:rPr>
        <w:t xml:space="preserve"> percent.  </w:t>
      </w:r>
    </w:p>
    <w:p w14:paraId="1E85BD5F" w14:textId="77777777" w:rsidR="00885105" w:rsidRDefault="00885105" w:rsidP="00885105">
      <w:pPr>
        <w:spacing w:after="0" w:line="240" w:lineRule="auto"/>
        <w:rPr>
          <w:rFonts w:ascii="Times New Roman" w:hAnsi="Times New Roman" w:cs="Times New Roman"/>
          <w:sz w:val="24"/>
          <w:szCs w:val="24"/>
        </w:rPr>
      </w:pPr>
    </w:p>
    <w:p w14:paraId="0BBEAF05" w14:textId="514315DE" w:rsidR="00885105" w:rsidRPr="00356E52" w:rsidRDefault="00356E52" w:rsidP="00885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bank also faces a high level of competition for small business loans. </w:t>
      </w:r>
      <w:r w:rsidR="00885105" w:rsidRPr="00A06DB8">
        <w:rPr>
          <w:rFonts w:ascii="Times New Roman" w:hAnsi="Times New Roman" w:cs="Times New Roman"/>
          <w:bCs/>
          <w:spacing w:val="-3"/>
          <w:sz w:val="24"/>
          <w:szCs w:val="24"/>
        </w:rPr>
        <w:t xml:space="preserve"> In 2019,</w:t>
      </w:r>
      <w:r>
        <w:rPr>
          <w:rFonts w:ascii="Times New Roman" w:hAnsi="Times New Roman" w:cs="Times New Roman"/>
          <w:bCs/>
          <w:spacing w:val="-3"/>
          <w:sz w:val="24"/>
          <w:szCs w:val="24"/>
        </w:rPr>
        <w:t xml:space="preserve"> 138 lenders originated 37,411 small business loans in the area.  </w:t>
      </w:r>
      <w:r w:rsidR="00A0183A">
        <w:rPr>
          <w:rFonts w:ascii="Times New Roman" w:hAnsi="Times New Roman" w:cs="Times New Roman"/>
          <w:bCs/>
          <w:spacing w:val="-3"/>
          <w:sz w:val="24"/>
          <w:szCs w:val="24"/>
        </w:rPr>
        <w:t>The top three lenders were American Express National Bank, Bank of America, N.A., and JPMorgan Chase Bank, N.A</w:t>
      </w:r>
      <w:r w:rsidR="00FF4C53">
        <w:rPr>
          <w:rFonts w:ascii="Times New Roman" w:hAnsi="Times New Roman" w:cs="Times New Roman"/>
          <w:bCs/>
          <w:spacing w:val="-3"/>
          <w:sz w:val="24"/>
          <w:szCs w:val="24"/>
        </w:rPr>
        <w:t>.</w:t>
      </w:r>
      <w:r w:rsidR="00A0183A">
        <w:rPr>
          <w:rFonts w:ascii="Times New Roman" w:hAnsi="Times New Roman" w:cs="Times New Roman"/>
          <w:bCs/>
          <w:spacing w:val="-3"/>
          <w:sz w:val="24"/>
          <w:szCs w:val="24"/>
        </w:rPr>
        <w:t xml:space="preserve"> with a combined market share of 46.7 percent.</w:t>
      </w:r>
    </w:p>
    <w:p w14:paraId="19FB685E" w14:textId="77777777" w:rsidR="00FF4C53" w:rsidRDefault="00FF4C53" w:rsidP="00725496">
      <w:pPr>
        <w:spacing w:after="0" w:line="240" w:lineRule="auto"/>
        <w:rPr>
          <w:rFonts w:ascii="Times New Roman" w:eastAsia="Times New Roman" w:hAnsi="Times New Roman" w:cs="Times New Roman"/>
          <w:b/>
          <w:sz w:val="24"/>
          <w:szCs w:val="24"/>
          <w:u w:val="single"/>
        </w:rPr>
      </w:pPr>
    </w:p>
    <w:p w14:paraId="000E1061" w14:textId="67F0BFCF" w:rsidR="0009487A" w:rsidRPr="00725496" w:rsidRDefault="00E50970" w:rsidP="00725496">
      <w:pPr>
        <w:spacing w:after="0" w:line="240" w:lineRule="auto"/>
        <w:rPr>
          <w:rFonts w:ascii="Times New Roman" w:eastAsia="Times New Roman" w:hAnsi="Times New Roman" w:cs="Times New Roman"/>
          <w:b/>
          <w:sz w:val="24"/>
          <w:szCs w:val="24"/>
        </w:rPr>
      </w:pPr>
      <w:r w:rsidRPr="00725496">
        <w:rPr>
          <w:rFonts w:ascii="Times New Roman" w:eastAsia="Times New Roman" w:hAnsi="Times New Roman" w:cs="Times New Roman"/>
          <w:b/>
          <w:sz w:val="24"/>
          <w:szCs w:val="24"/>
          <w:u w:val="single"/>
        </w:rPr>
        <w:lastRenderedPageBreak/>
        <w:t>Community Contacts</w:t>
      </w:r>
      <w:r w:rsidRPr="00725496">
        <w:rPr>
          <w:rFonts w:ascii="Times New Roman" w:eastAsia="Times New Roman" w:hAnsi="Times New Roman" w:cs="Times New Roman"/>
          <w:b/>
          <w:sz w:val="24"/>
          <w:szCs w:val="24"/>
        </w:rPr>
        <w:t xml:space="preserve"> </w:t>
      </w:r>
    </w:p>
    <w:p w14:paraId="3696FC28" w14:textId="77777777" w:rsidR="007012F7" w:rsidRDefault="007012F7" w:rsidP="007012F7">
      <w:pPr>
        <w:spacing w:after="0" w:line="240" w:lineRule="auto"/>
        <w:rPr>
          <w:rFonts w:ascii="Times New Roman" w:hAnsi="Times New Roman" w:cs="Times New Roman"/>
          <w:sz w:val="24"/>
          <w:szCs w:val="24"/>
        </w:rPr>
      </w:pPr>
    </w:p>
    <w:p w14:paraId="595456BC" w14:textId="73BCC5AE" w:rsidR="00725496" w:rsidRDefault="00725496" w:rsidP="007012F7">
      <w:pPr>
        <w:spacing w:after="0" w:line="240" w:lineRule="auto"/>
        <w:rPr>
          <w:rFonts w:ascii="Times New Roman" w:hAnsi="Times New Roman" w:cs="Times New Roman"/>
          <w:sz w:val="24"/>
          <w:szCs w:val="24"/>
        </w:rPr>
      </w:pPr>
      <w:r w:rsidRPr="00725496">
        <w:rPr>
          <w:rFonts w:ascii="Times New Roman" w:hAnsi="Times New Roman" w:cs="Times New Roman"/>
          <w:sz w:val="24"/>
          <w:szCs w:val="24"/>
        </w:rPr>
        <w:t>As part of the evaluation process, examiners contact third</w:t>
      </w:r>
      <w:r w:rsidR="00104E1C">
        <w:rPr>
          <w:rFonts w:ascii="Times New Roman" w:hAnsi="Times New Roman" w:cs="Times New Roman"/>
          <w:sz w:val="24"/>
          <w:szCs w:val="24"/>
        </w:rPr>
        <w:t>-</w:t>
      </w:r>
      <w:r w:rsidRPr="00725496">
        <w:rPr>
          <w:rFonts w:ascii="Times New Roman" w:hAnsi="Times New Roman" w:cs="Times New Roman"/>
          <w:sz w:val="24"/>
          <w:szCs w:val="24"/>
        </w:rPr>
        <w:t>parties active in the assessment area to assist in identifying the credit and community development needs.  This information helps determine whether local financial institutions are responsive to these needs.  It also shows available credit and communi</w:t>
      </w:r>
      <w:r w:rsidR="007012F7">
        <w:rPr>
          <w:rFonts w:ascii="Times New Roman" w:hAnsi="Times New Roman" w:cs="Times New Roman"/>
          <w:sz w:val="24"/>
          <w:szCs w:val="24"/>
        </w:rPr>
        <w:t>ty development opportunities.</w:t>
      </w:r>
    </w:p>
    <w:p w14:paraId="1390475C" w14:textId="77777777" w:rsidR="007012F7" w:rsidRPr="00725496" w:rsidRDefault="007012F7" w:rsidP="007012F7">
      <w:pPr>
        <w:spacing w:after="0" w:line="240" w:lineRule="auto"/>
        <w:rPr>
          <w:rFonts w:ascii="Times New Roman" w:hAnsi="Times New Roman" w:cs="Times New Roman"/>
          <w:sz w:val="24"/>
          <w:szCs w:val="24"/>
        </w:rPr>
      </w:pPr>
    </w:p>
    <w:p w14:paraId="210E5ED4" w14:textId="6591AACE" w:rsidR="00725496" w:rsidRDefault="00725496" w:rsidP="007012F7">
      <w:pPr>
        <w:spacing w:after="0" w:line="240" w:lineRule="auto"/>
        <w:rPr>
          <w:rFonts w:ascii="Times New Roman" w:hAnsi="Times New Roman" w:cs="Times New Roman"/>
          <w:sz w:val="24"/>
          <w:szCs w:val="24"/>
        </w:rPr>
      </w:pPr>
      <w:r w:rsidRPr="00725496">
        <w:rPr>
          <w:rFonts w:ascii="Times New Roman" w:hAnsi="Times New Roman" w:cs="Times New Roman"/>
          <w:sz w:val="24"/>
          <w:szCs w:val="24"/>
        </w:rPr>
        <w:t xml:space="preserve">Examiners contacted a representative from a non-profit organization serving </w:t>
      </w:r>
      <w:r w:rsidR="00504AE4">
        <w:rPr>
          <w:rFonts w:ascii="Times New Roman" w:hAnsi="Times New Roman" w:cs="Times New Roman"/>
          <w:sz w:val="24"/>
          <w:szCs w:val="24"/>
        </w:rPr>
        <w:t xml:space="preserve">the </w:t>
      </w:r>
      <w:r w:rsidR="006F55FC">
        <w:rPr>
          <w:rFonts w:ascii="Times New Roman" w:hAnsi="Times New Roman" w:cs="Times New Roman"/>
          <w:sz w:val="24"/>
          <w:szCs w:val="24"/>
        </w:rPr>
        <w:t>Boston, MA MD</w:t>
      </w:r>
      <w:r w:rsidR="00A0183A">
        <w:rPr>
          <w:rFonts w:ascii="Times New Roman" w:hAnsi="Times New Roman" w:cs="Times New Roman"/>
          <w:sz w:val="24"/>
          <w:szCs w:val="24"/>
        </w:rPr>
        <w:t xml:space="preserve">.  </w:t>
      </w:r>
      <w:r w:rsidRPr="00725496">
        <w:rPr>
          <w:rFonts w:ascii="Times New Roman" w:hAnsi="Times New Roman" w:cs="Times New Roman"/>
          <w:sz w:val="24"/>
          <w:szCs w:val="24"/>
        </w:rPr>
        <w:t xml:space="preserve">Services include homelessness prevention, a food relief program, thrift shop, and mental health counseling. </w:t>
      </w:r>
      <w:r w:rsidR="0043347A">
        <w:rPr>
          <w:rFonts w:ascii="Times New Roman" w:hAnsi="Times New Roman" w:cs="Times New Roman"/>
          <w:sz w:val="24"/>
          <w:szCs w:val="24"/>
        </w:rPr>
        <w:t xml:space="preserve"> </w:t>
      </w:r>
      <w:r w:rsidRPr="00725496">
        <w:rPr>
          <w:rFonts w:ascii="Times New Roman" w:hAnsi="Times New Roman" w:cs="Times New Roman"/>
          <w:sz w:val="24"/>
          <w:szCs w:val="24"/>
        </w:rPr>
        <w:t>Due to the COVID-19 Pandemic, the contact acknowledged an increase in demand and opportunity for the provision of food supplies for low</w:t>
      </w:r>
      <w:r w:rsidR="00504AE4">
        <w:rPr>
          <w:rFonts w:ascii="Times New Roman" w:hAnsi="Times New Roman" w:cs="Times New Roman"/>
          <w:sz w:val="24"/>
          <w:szCs w:val="24"/>
        </w:rPr>
        <w:t>-</w:t>
      </w:r>
      <w:r w:rsidRPr="00725496">
        <w:rPr>
          <w:rFonts w:ascii="Times New Roman" w:hAnsi="Times New Roman" w:cs="Times New Roman"/>
          <w:sz w:val="24"/>
          <w:szCs w:val="24"/>
        </w:rPr>
        <w:t xml:space="preserve"> and moderate-income individuals and those below the poverty level.  In terms of c</w:t>
      </w:r>
      <w:r w:rsidR="00FF7C77">
        <w:rPr>
          <w:rFonts w:ascii="Times New Roman" w:hAnsi="Times New Roman" w:cs="Times New Roman"/>
          <w:sz w:val="24"/>
          <w:szCs w:val="24"/>
        </w:rPr>
        <w:t>redit-</w:t>
      </w:r>
      <w:r w:rsidRPr="00725496">
        <w:rPr>
          <w:rFonts w:ascii="Times New Roman" w:hAnsi="Times New Roman" w:cs="Times New Roman"/>
          <w:sz w:val="24"/>
          <w:szCs w:val="24"/>
        </w:rPr>
        <w:t>related assistance, the contact discussed the need for mortgage and r</w:t>
      </w:r>
      <w:r w:rsidR="00FF7C77">
        <w:rPr>
          <w:rFonts w:ascii="Times New Roman" w:hAnsi="Times New Roman" w:cs="Times New Roman"/>
          <w:sz w:val="24"/>
          <w:szCs w:val="24"/>
        </w:rPr>
        <w:t>ental relief to retain residents</w:t>
      </w:r>
      <w:r w:rsidRPr="00725496">
        <w:rPr>
          <w:rFonts w:ascii="Times New Roman" w:hAnsi="Times New Roman" w:cs="Times New Roman"/>
          <w:sz w:val="24"/>
          <w:szCs w:val="24"/>
        </w:rPr>
        <w:t xml:space="preserve"> in their homes and stabilize communities. </w:t>
      </w:r>
      <w:r w:rsidR="0043347A">
        <w:rPr>
          <w:rFonts w:ascii="Times New Roman" w:hAnsi="Times New Roman" w:cs="Times New Roman"/>
          <w:sz w:val="24"/>
          <w:szCs w:val="24"/>
        </w:rPr>
        <w:t xml:space="preserve"> </w:t>
      </w:r>
      <w:r w:rsidRPr="00725496">
        <w:rPr>
          <w:rFonts w:ascii="Times New Roman" w:hAnsi="Times New Roman" w:cs="Times New Roman"/>
          <w:sz w:val="24"/>
          <w:szCs w:val="24"/>
        </w:rPr>
        <w:t xml:space="preserve">The contact indicated that financial institutions have been responsive with donations to provide the needed funding to support essential programs and cited </w:t>
      </w:r>
      <w:r w:rsidR="0043347A">
        <w:rPr>
          <w:rFonts w:ascii="Times New Roman" w:hAnsi="Times New Roman" w:cs="Times New Roman"/>
          <w:sz w:val="24"/>
          <w:szCs w:val="24"/>
        </w:rPr>
        <w:t>HOB</w:t>
      </w:r>
      <w:r>
        <w:rPr>
          <w:rFonts w:ascii="Times New Roman" w:hAnsi="Times New Roman" w:cs="Times New Roman"/>
          <w:sz w:val="24"/>
          <w:szCs w:val="24"/>
        </w:rPr>
        <w:t xml:space="preserve"> as a supporter</w:t>
      </w:r>
      <w:r w:rsidR="0043347A">
        <w:rPr>
          <w:rFonts w:ascii="Times New Roman" w:hAnsi="Times New Roman" w:cs="Times New Roman"/>
          <w:sz w:val="24"/>
          <w:szCs w:val="24"/>
        </w:rPr>
        <w:t xml:space="preserve"> to the local community</w:t>
      </w:r>
      <w:r>
        <w:rPr>
          <w:rFonts w:ascii="Times New Roman" w:hAnsi="Times New Roman" w:cs="Times New Roman"/>
          <w:sz w:val="24"/>
          <w:szCs w:val="24"/>
        </w:rPr>
        <w:t>.</w:t>
      </w:r>
    </w:p>
    <w:p w14:paraId="3F58ACA7" w14:textId="77777777" w:rsidR="007012F7" w:rsidRPr="00725496" w:rsidRDefault="007012F7" w:rsidP="007012F7">
      <w:pPr>
        <w:spacing w:after="0" w:line="240" w:lineRule="auto"/>
        <w:rPr>
          <w:rFonts w:ascii="Times New Roman" w:hAnsi="Times New Roman" w:cs="Times New Roman"/>
          <w:sz w:val="24"/>
          <w:szCs w:val="24"/>
        </w:rPr>
      </w:pPr>
    </w:p>
    <w:p w14:paraId="47E46101" w14:textId="77777777" w:rsidR="00725496" w:rsidRPr="00725496" w:rsidRDefault="00725496" w:rsidP="007012F7">
      <w:pPr>
        <w:spacing w:after="0" w:line="240" w:lineRule="auto"/>
        <w:rPr>
          <w:rFonts w:ascii="Times New Roman" w:hAnsi="Times New Roman" w:cs="Times New Roman"/>
          <w:b/>
          <w:bCs/>
          <w:color w:val="000000"/>
          <w:sz w:val="24"/>
          <w:szCs w:val="24"/>
          <w:u w:val="single"/>
        </w:rPr>
      </w:pPr>
      <w:r w:rsidRPr="00725496">
        <w:rPr>
          <w:rFonts w:ascii="Times New Roman" w:hAnsi="Times New Roman" w:cs="Times New Roman"/>
          <w:b/>
          <w:bCs/>
          <w:color w:val="000000"/>
          <w:sz w:val="24"/>
          <w:szCs w:val="24"/>
          <w:u w:val="single"/>
        </w:rPr>
        <w:t>Credit and Community Development Needs and Opportunities</w:t>
      </w:r>
    </w:p>
    <w:p w14:paraId="1F6A3124" w14:textId="77777777" w:rsidR="007012F7" w:rsidRDefault="007012F7" w:rsidP="007012F7">
      <w:pPr>
        <w:spacing w:after="0" w:line="240" w:lineRule="auto"/>
        <w:rPr>
          <w:rFonts w:ascii="Times New Roman" w:hAnsi="Times New Roman" w:cs="Times New Roman"/>
          <w:spacing w:val="-3"/>
          <w:sz w:val="24"/>
          <w:szCs w:val="24"/>
        </w:rPr>
      </w:pPr>
    </w:p>
    <w:p w14:paraId="4B041828" w14:textId="26689769" w:rsidR="00F3537B" w:rsidRDefault="00725496" w:rsidP="007012F7">
      <w:pPr>
        <w:spacing w:after="0" w:line="240" w:lineRule="auto"/>
        <w:rPr>
          <w:rFonts w:ascii="Times New Roman" w:hAnsi="Times New Roman" w:cs="Times New Roman"/>
          <w:sz w:val="24"/>
          <w:szCs w:val="24"/>
        </w:rPr>
      </w:pPr>
      <w:r w:rsidRPr="00725496">
        <w:rPr>
          <w:rFonts w:ascii="Times New Roman" w:hAnsi="Times New Roman" w:cs="Times New Roman"/>
          <w:spacing w:val="-3"/>
          <w:sz w:val="24"/>
          <w:szCs w:val="24"/>
        </w:rPr>
        <w:t xml:space="preserve">Considering information from the community contact, bank management, and demographic and economic data, examiners determined </w:t>
      </w:r>
      <w:r w:rsidRPr="00725496">
        <w:rPr>
          <w:rFonts w:ascii="Times New Roman" w:hAnsi="Times New Roman" w:cs="Times New Roman"/>
          <w:sz w:val="24"/>
          <w:szCs w:val="24"/>
        </w:rPr>
        <w:t>affordable housing and community services to support low</w:t>
      </w:r>
      <w:r w:rsidR="00346F6C">
        <w:rPr>
          <w:rFonts w:ascii="Times New Roman" w:hAnsi="Times New Roman" w:cs="Times New Roman"/>
          <w:sz w:val="24"/>
          <w:szCs w:val="24"/>
        </w:rPr>
        <w:t>-</w:t>
      </w:r>
      <w:r w:rsidRPr="00725496">
        <w:rPr>
          <w:rFonts w:ascii="Times New Roman" w:hAnsi="Times New Roman" w:cs="Times New Roman"/>
          <w:sz w:val="24"/>
          <w:szCs w:val="24"/>
        </w:rPr>
        <w:t xml:space="preserve"> and moderate-income individuals are primary community development need</w:t>
      </w:r>
      <w:r w:rsidR="00F3537B">
        <w:rPr>
          <w:rFonts w:ascii="Times New Roman" w:hAnsi="Times New Roman" w:cs="Times New Roman"/>
          <w:sz w:val="24"/>
          <w:szCs w:val="24"/>
        </w:rPr>
        <w:t>s</w:t>
      </w:r>
      <w:r w:rsidRPr="00725496">
        <w:rPr>
          <w:rFonts w:ascii="Times New Roman" w:hAnsi="Times New Roman" w:cs="Times New Roman"/>
          <w:sz w:val="24"/>
          <w:szCs w:val="24"/>
        </w:rPr>
        <w:t xml:space="preserve"> in the assessment area</w:t>
      </w:r>
      <w:r w:rsidR="00FF7C77" w:rsidRPr="00725496">
        <w:rPr>
          <w:rFonts w:ascii="Times New Roman" w:hAnsi="Times New Roman" w:cs="Times New Roman"/>
          <w:sz w:val="24"/>
          <w:szCs w:val="24"/>
        </w:rPr>
        <w:t xml:space="preserve">.  </w:t>
      </w:r>
      <w:r w:rsidR="00F3537B">
        <w:rPr>
          <w:rFonts w:ascii="Times New Roman" w:hAnsi="Times New Roman" w:cs="Times New Roman"/>
          <w:sz w:val="24"/>
          <w:szCs w:val="24"/>
        </w:rPr>
        <w:t>Currently pressing needs include</w:t>
      </w:r>
      <w:r w:rsidRPr="00725496">
        <w:rPr>
          <w:rFonts w:ascii="Times New Roman" w:hAnsi="Times New Roman" w:cs="Times New Roman"/>
          <w:sz w:val="24"/>
          <w:szCs w:val="24"/>
        </w:rPr>
        <w:t xml:space="preserve"> housing stabilization in low</w:t>
      </w:r>
      <w:r w:rsidR="00F3537B">
        <w:rPr>
          <w:rFonts w:ascii="Times New Roman" w:hAnsi="Times New Roman" w:cs="Times New Roman"/>
          <w:sz w:val="24"/>
          <w:szCs w:val="24"/>
        </w:rPr>
        <w:t>-</w:t>
      </w:r>
      <w:r w:rsidRPr="00725496">
        <w:rPr>
          <w:rFonts w:ascii="Times New Roman" w:hAnsi="Times New Roman" w:cs="Times New Roman"/>
          <w:sz w:val="24"/>
          <w:szCs w:val="24"/>
        </w:rPr>
        <w:t xml:space="preserve"> and moderate-income areas and to low</w:t>
      </w:r>
      <w:r w:rsidR="00F3537B">
        <w:rPr>
          <w:rFonts w:ascii="Times New Roman" w:hAnsi="Times New Roman" w:cs="Times New Roman"/>
          <w:sz w:val="24"/>
          <w:szCs w:val="24"/>
        </w:rPr>
        <w:t>-</w:t>
      </w:r>
      <w:r w:rsidRPr="00725496">
        <w:rPr>
          <w:rFonts w:ascii="Times New Roman" w:hAnsi="Times New Roman" w:cs="Times New Roman"/>
          <w:sz w:val="24"/>
          <w:szCs w:val="24"/>
        </w:rPr>
        <w:t xml:space="preserve"> and moderate-income individuals.</w:t>
      </w:r>
    </w:p>
    <w:p w14:paraId="4DC57C73" w14:textId="77777777" w:rsidR="00F3537B" w:rsidRDefault="00F3537B" w:rsidP="007012F7">
      <w:pPr>
        <w:spacing w:after="0" w:line="240" w:lineRule="auto"/>
        <w:rPr>
          <w:rFonts w:ascii="Times New Roman" w:hAnsi="Times New Roman" w:cs="Times New Roman"/>
          <w:sz w:val="24"/>
          <w:szCs w:val="24"/>
        </w:rPr>
      </w:pPr>
    </w:p>
    <w:p w14:paraId="47EBFA62" w14:textId="33EC720C" w:rsidR="00725496" w:rsidRPr="00725496" w:rsidRDefault="00F3537B" w:rsidP="007012F7">
      <w:pPr>
        <w:spacing w:after="0" w:line="240" w:lineRule="auto"/>
        <w:rPr>
          <w:rFonts w:ascii="Times New Roman" w:hAnsi="Times New Roman" w:cs="Times New Roman"/>
          <w:b/>
          <w:bCs/>
          <w:color w:val="000000"/>
          <w:sz w:val="24"/>
          <w:szCs w:val="24"/>
          <w:u w:val="single"/>
        </w:rPr>
      </w:pPr>
      <w:r>
        <w:rPr>
          <w:rFonts w:ascii="Times New Roman" w:hAnsi="Times New Roman" w:cs="Times New Roman"/>
          <w:sz w:val="24"/>
          <w:szCs w:val="24"/>
        </w:rPr>
        <w:t xml:space="preserve">Brockton represents the community with most significant community development needs and opportunities during most of the evaluation period.  </w:t>
      </w:r>
      <w:r w:rsidRPr="00F3537B">
        <w:rPr>
          <w:rFonts w:ascii="Times New Roman" w:hAnsi="Times New Roman" w:cs="Times New Roman"/>
          <w:sz w:val="24"/>
          <w:szCs w:val="24"/>
        </w:rPr>
        <w:t>Homelessness, unemployment, and wellness gaps</w:t>
      </w:r>
      <w:r>
        <w:rPr>
          <w:rFonts w:ascii="Times New Roman" w:hAnsi="Times New Roman" w:cs="Times New Roman"/>
          <w:sz w:val="24"/>
          <w:szCs w:val="24"/>
        </w:rPr>
        <w:t xml:space="preserve"> in Brockton reflect </w:t>
      </w:r>
      <w:r w:rsidR="00346F6C">
        <w:rPr>
          <w:rFonts w:ascii="Times New Roman" w:hAnsi="Times New Roman" w:cs="Times New Roman"/>
          <w:sz w:val="24"/>
          <w:szCs w:val="24"/>
        </w:rPr>
        <w:t xml:space="preserve">a </w:t>
      </w:r>
      <w:r>
        <w:rPr>
          <w:rFonts w:ascii="Times New Roman" w:hAnsi="Times New Roman" w:cs="Times New Roman"/>
          <w:sz w:val="24"/>
          <w:szCs w:val="24"/>
        </w:rPr>
        <w:t xml:space="preserve">significant </w:t>
      </w:r>
      <w:r w:rsidR="00346F6C">
        <w:rPr>
          <w:rFonts w:ascii="Times New Roman" w:hAnsi="Times New Roman" w:cs="Times New Roman"/>
          <w:sz w:val="24"/>
          <w:szCs w:val="24"/>
        </w:rPr>
        <w:t xml:space="preserve">need for </w:t>
      </w:r>
      <w:r>
        <w:rPr>
          <w:rFonts w:ascii="Times New Roman" w:hAnsi="Times New Roman" w:cs="Times New Roman"/>
          <w:sz w:val="24"/>
          <w:szCs w:val="24"/>
        </w:rPr>
        <w:t>community service</w:t>
      </w:r>
      <w:r w:rsidR="00346F6C">
        <w:rPr>
          <w:rFonts w:ascii="Times New Roman" w:hAnsi="Times New Roman" w:cs="Times New Roman"/>
          <w:sz w:val="24"/>
          <w:szCs w:val="24"/>
        </w:rPr>
        <w:t>s and affordable housing for low- and moderate-income people</w:t>
      </w:r>
      <w:r>
        <w:rPr>
          <w:rFonts w:ascii="Times New Roman" w:hAnsi="Times New Roman" w:cs="Times New Roman"/>
          <w:sz w:val="24"/>
          <w:szCs w:val="24"/>
        </w:rPr>
        <w:t xml:space="preserve">.  In addition, support for small businesses and economic development in general is a critical need in Brockton.  With a substantial number of low- and moderate-income tracts in Boston </w:t>
      </w:r>
      <w:r w:rsidR="00504AE4">
        <w:rPr>
          <w:rFonts w:ascii="Times New Roman" w:hAnsi="Times New Roman" w:cs="Times New Roman"/>
          <w:sz w:val="24"/>
          <w:szCs w:val="24"/>
        </w:rPr>
        <w:t xml:space="preserve">added to the assessment area </w:t>
      </w:r>
      <w:r>
        <w:rPr>
          <w:rFonts w:ascii="Times New Roman" w:hAnsi="Times New Roman" w:cs="Times New Roman"/>
          <w:sz w:val="24"/>
          <w:szCs w:val="24"/>
        </w:rPr>
        <w:t xml:space="preserve">in 2020, credit and community development needs and opportunities significantly expanded.  Financial literacy represents a significant need in these areas in order to create economic development and help </w:t>
      </w:r>
      <w:r w:rsidR="00346F6C">
        <w:rPr>
          <w:rFonts w:ascii="Times New Roman" w:hAnsi="Times New Roman" w:cs="Times New Roman"/>
          <w:sz w:val="24"/>
          <w:szCs w:val="24"/>
        </w:rPr>
        <w:t>reduce</w:t>
      </w:r>
      <w:r>
        <w:rPr>
          <w:rFonts w:ascii="Times New Roman" w:hAnsi="Times New Roman" w:cs="Times New Roman"/>
          <w:sz w:val="24"/>
          <w:szCs w:val="24"/>
        </w:rPr>
        <w:t xml:space="preserve"> high poverty levels in many of the area’s low-income census tracts</w:t>
      </w:r>
      <w:r w:rsidR="00346F6C">
        <w:rPr>
          <w:rFonts w:ascii="Times New Roman" w:hAnsi="Times New Roman" w:cs="Times New Roman"/>
          <w:sz w:val="24"/>
          <w:szCs w:val="24"/>
        </w:rPr>
        <w:t xml:space="preserve"> </w:t>
      </w:r>
      <w:r w:rsidR="00504AE4">
        <w:rPr>
          <w:rFonts w:ascii="Times New Roman" w:hAnsi="Times New Roman" w:cs="Times New Roman"/>
          <w:sz w:val="24"/>
          <w:szCs w:val="24"/>
        </w:rPr>
        <w:t>for</w:t>
      </w:r>
      <w:r w:rsidR="00346F6C">
        <w:rPr>
          <w:rFonts w:ascii="Times New Roman" w:hAnsi="Times New Roman" w:cs="Times New Roman"/>
          <w:sz w:val="24"/>
          <w:szCs w:val="24"/>
        </w:rPr>
        <w:t xml:space="preserve"> the long term</w:t>
      </w:r>
      <w:r>
        <w:rPr>
          <w:rFonts w:ascii="Times New Roman" w:hAnsi="Times New Roman" w:cs="Times New Roman"/>
          <w:sz w:val="24"/>
          <w:szCs w:val="24"/>
        </w:rPr>
        <w:t>.</w:t>
      </w:r>
      <w:r w:rsidR="00725496" w:rsidRPr="00725496">
        <w:rPr>
          <w:rFonts w:ascii="Times New Roman" w:hAnsi="Times New Roman" w:cs="Times New Roman"/>
          <w:sz w:val="24"/>
          <w:szCs w:val="24"/>
        </w:rPr>
        <w:t xml:space="preserve"> </w:t>
      </w:r>
    </w:p>
    <w:p w14:paraId="42F1664E" w14:textId="77777777" w:rsidR="00E50970" w:rsidRPr="00725496" w:rsidRDefault="00E50970" w:rsidP="00725496">
      <w:pPr>
        <w:spacing w:after="0" w:line="240" w:lineRule="auto"/>
        <w:rPr>
          <w:rFonts w:ascii="Times New Roman" w:eastAsia="Times New Roman" w:hAnsi="Times New Roman" w:cs="Times New Roman"/>
          <w:color w:val="000000"/>
          <w:sz w:val="24"/>
          <w:szCs w:val="24"/>
        </w:rPr>
      </w:pPr>
    </w:p>
    <w:p w14:paraId="41EE9CF8" w14:textId="77777777" w:rsidR="00E50970" w:rsidRPr="00E50970" w:rsidRDefault="00E50970" w:rsidP="002F54B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
          <w:bCs/>
          <w:sz w:val="28"/>
          <w:szCs w:val="20"/>
        </w:rPr>
      </w:pPr>
      <w:bookmarkStart w:id="14" w:name="_Toc70419325"/>
      <w:r w:rsidRPr="00E50970">
        <w:rPr>
          <w:rFonts w:ascii="Times New Roman" w:eastAsia="Times New Roman" w:hAnsi="Times New Roman" w:cs="Times New Roman"/>
          <w:b/>
          <w:bCs/>
          <w:sz w:val="28"/>
          <w:szCs w:val="20"/>
        </w:rPr>
        <w:t xml:space="preserve">CONCLUSIONS ON PERFORMANCE CRITERIA IN </w:t>
      </w:r>
      <w:r w:rsidR="00F528CE">
        <w:rPr>
          <w:rFonts w:ascii="Times New Roman" w:eastAsia="Times New Roman" w:hAnsi="Times New Roman" w:cs="Times New Roman"/>
          <w:b/>
          <w:bCs/>
          <w:sz w:val="28"/>
          <w:szCs w:val="20"/>
        </w:rPr>
        <w:t>MASSACHUSETTS</w:t>
      </w:r>
      <w:bookmarkEnd w:id="14"/>
    </w:p>
    <w:p w14:paraId="7A08BFBD"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p>
    <w:p w14:paraId="3CB0BA35" w14:textId="77777777" w:rsidR="00E50970" w:rsidRPr="00E50970" w:rsidRDefault="00E50970" w:rsidP="00E50970">
      <w:pPr>
        <w:spacing w:after="0" w:line="240" w:lineRule="auto"/>
        <w:rPr>
          <w:rFonts w:ascii="Times New Roman" w:eastAsia="Times New Roman" w:hAnsi="Times New Roman" w:cs="Times New Roman"/>
          <w:b/>
          <w:bCs/>
          <w:color w:val="000000"/>
          <w:sz w:val="24"/>
          <w:szCs w:val="24"/>
        </w:rPr>
      </w:pPr>
      <w:r w:rsidRPr="00E50970">
        <w:rPr>
          <w:rFonts w:ascii="Times New Roman" w:eastAsia="Times New Roman" w:hAnsi="Times New Roman" w:cs="Times New Roman"/>
          <w:b/>
          <w:bCs/>
          <w:color w:val="000000"/>
          <w:sz w:val="24"/>
          <w:szCs w:val="24"/>
        </w:rPr>
        <w:t>LENDING TEST</w:t>
      </w:r>
    </w:p>
    <w:p w14:paraId="62E46987" w14:textId="77777777" w:rsidR="00E50970" w:rsidRDefault="00E50970" w:rsidP="00E50970">
      <w:pPr>
        <w:spacing w:after="0" w:line="240" w:lineRule="auto"/>
        <w:rPr>
          <w:rFonts w:ascii="Times New Roman" w:eastAsia="Times New Roman" w:hAnsi="Times New Roman" w:cs="Times New Roman"/>
          <w:bCs/>
          <w:spacing w:val="-3"/>
          <w:sz w:val="24"/>
          <w:szCs w:val="24"/>
        </w:rPr>
      </w:pPr>
    </w:p>
    <w:p w14:paraId="6FB15DEB" w14:textId="56A975BF" w:rsidR="00DB75C4" w:rsidRDefault="00DF5DE8" w:rsidP="00E50970">
      <w:pPr>
        <w:spacing w:after="0" w:line="240" w:lineRule="auto"/>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 xml:space="preserve">HOB demonstrated </w:t>
      </w:r>
      <w:proofErr w:type="gramStart"/>
      <w:r w:rsidR="00B3497E">
        <w:rPr>
          <w:rFonts w:ascii="Times New Roman" w:eastAsia="Times New Roman" w:hAnsi="Times New Roman" w:cs="Times New Roman"/>
          <w:bCs/>
          <w:spacing w:val="-3"/>
          <w:sz w:val="24"/>
          <w:szCs w:val="24"/>
        </w:rPr>
        <w:t>Outstanding</w:t>
      </w:r>
      <w:proofErr w:type="gramEnd"/>
      <w:r>
        <w:rPr>
          <w:rFonts w:ascii="Times New Roman" w:eastAsia="Times New Roman" w:hAnsi="Times New Roman" w:cs="Times New Roman"/>
          <w:bCs/>
          <w:spacing w:val="-3"/>
          <w:sz w:val="24"/>
          <w:szCs w:val="24"/>
        </w:rPr>
        <w:t xml:space="preserve"> performanc</w:t>
      </w:r>
      <w:r w:rsidR="00F528CE">
        <w:rPr>
          <w:rFonts w:ascii="Times New Roman" w:eastAsia="Times New Roman" w:hAnsi="Times New Roman" w:cs="Times New Roman"/>
          <w:bCs/>
          <w:spacing w:val="-3"/>
          <w:sz w:val="24"/>
          <w:szCs w:val="24"/>
        </w:rPr>
        <w:t>e under the Lending Test</w:t>
      </w:r>
      <w:r>
        <w:rPr>
          <w:rFonts w:ascii="Times New Roman" w:eastAsia="Times New Roman" w:hAnsi="Times New Roman" w:cs="Times New Roman"/>
          <w:bCs/>
          <w:spacing w:val="-3"/>
          <w:sz w:val="24"/>
          <w:szCs w:val="24"/>
        </w:rPr>
        <w:t>.  The following section</w:t>
      </w:r>
      <w:r w:rsidR="001E372E">
        <w:rPr>
          <w:rFonts w:ascii="Times New Roman" w:eastAsia="Times New Roman" w:hAnsi="Times New Roman" w:cs="Times New Roman"/>
          <w:bCs/>
          <w:spacing w:val="-3"/>
          <w:sz w:val="24"/>
          <w:szCs w:val="24"/>
        </w:rPr>
        <w:t>s</w:t>
      </w:r>
      <w:r>
        <w:rPr>
          <w:rFonts w:ascii="Times New Roman" w:eastAsia="Times New Roman" w:hAnsi="Times New Roman" w:cs="Times New Roman"/>
          <w:bCs/>
          <w:spacing w:val="-3"/>
          <w:sz w:val="24"/>
          <w:szCs w:val="24"/>
        </w:rPr>
        <w:t xml:space="preserve"> discuss the bank’s performance under each criterion.</w:t>
      </w:r>
    </w:p>
    <w:p w14:paraId="026D0692" w14:textId="77777777" w:rsidR="00DB75C4" w:rsidRPr="00E50970" w:rsidRDefault="00DB75C4" w:rsidP="00E50970">
      <w:pPr>
        <w:spacing w:after="0" w:line="240" w:lineRule="auto"/>
        <w:rPr>
          <w:rFonts w:ascii="Times New Roman" w:eastAsia="Times New Roman" w:hAnsi="Times New Roman" w:cs="Times New Roman"/>
          <w:bCs/>
          <w:spacing w:val="-3"/>
          <w:sz w:val="24"/>
          <w:szCs w:val="24"/>
        </w:rPr>
      </w:pPr>
    </w:p>
    <w:p w14:paraId="2BA1CECE" w14:textId="77777777" w:rsidR="00E50970" w:rsidRPr="00E50970" w:rsidRDefault="00E50970" w:rsidP="00E50970">
      <w:pPr>
        <w:spacing w:after="0" w:line="240" w:lineRule="auto"/>
        <w:rPr>
          <w:rFonts w:ascii="Times New Roman" w:eastAsia="Times New Roman" w:hAnsi="Times New Roman" w:cs="Times New Roman"/>
          <w:b/>
          <w:bCs/>
          <w:spacing w:val="-3"/>
          <w:sz w:val="24"/>
          <w:szCs w:val="24"/>
          <w:u w:val="single"/>
        </w:rPr>
      </w:pPr>
      <w:r w:rsidRPr="00E50970">
        <w:rPr>
          <w:rFonts w:ascii="Times New Roman" w:eastAsia="Times New Roman" w:hAnsi="Times New Roman" w:cs="Times New Roman"/>
          <w:b/>
          <w:bCs/>
          <w:spacing w:val="-3"/>
          <w:sz w:val="24"/>
          <w:szCs w:val="24"/>
          <w:u w:val="single"/>
        </w:rPr>
        <w:t>Lending Activity</w:t>
      </w:r>
    </w:p>
    <w:p w14:paraId="79877E6A" w14:textId="77777777" w:rsidR="00E50970" w:rsidRDefault="00E50970" w:rsidP="00E50970">
      <w:pPr>
        <w:spacing w:after="0" w:line="240" w:lineRule="auto"/>
        <w:ind w:right="-270"/>
        <w:rPr>
          <w:rFonts w:ascii="Times New Roman" w:eastAsia="Times New Roman" w:hAnsi="Times New Roman" w:cs="Times New Roman"/>
          <w:bCs/>
          <w:color w:val="000000"/>
          <w:sz w:val="24"/>
          <w:szCs w:val="24"/>
        </w:rPr>
      </w:pPr>
    </w:p>
    <w:p w14:paraId="5E09A796" w14:textId="79BD4B39" w:rsidR="00B60F71" w:rsidRDefault="00B60F71" w:rsidP="00B60F71">
      <w:pPr>
        <w:spacing w:after="0" w:line="240" w:lineRule="auto"/>
        <w:ind w:right="-270"/>
        <w:rPr>
          <w:rFonts w:ascii="Times New Roman" w:hAnsi="Times New Roman" w:cs="Times New Roman"/>
          <w:sz w:val="24"/>
          <w:szCs w:val="24"/>
        </w:rPr>
      </w:pPr>
      <w:r>
        <w:rPr>
          <w:rFonts w:ascii="Times New Roman" w:eastAsia="Times New Roman" w:hAnsi="Times New Roman" w:cs="Times New Roman"/>
          <w:bCs/>
          <w:color w:val="000000"/>
          <w:sz w:val="24"/>
          <w:szCs w:val="24"/>
        </w:rPr>
        <w:t>Lending levels reflect excellent responsiveness to</w:t>
      </w:r>
      <w:r w:rsidR="006D2AD2">
        <w:rPr>
          <w:rFonts w:ascii="Times New Roman" w:eastAsia="Times New Roman" w:hAnsi="Times New Roman" w:cs="Times New Roman"/>
          <w:bCs/>
          <w:color w:val="000000"/>
          <w:sz w:val="24"/>
          <w:szCs w:val="24"/>
        </w:rPr>
        <w:t xml:space="preserve"> </w:t>
      </w:r>
      <w:r w:rsidR="00104E1C">
        <w:rPr>
          <w:rFonts w:ascii="Times New Roman" w:eastAsia="Times New Roman" w:hAnsi="Times New Roman" w:cs="Times New Roman"/>
          <w:bCs/>
          <w:color w:val="000000"/>
          <w:sz w:val="24"/>
          <w:szCs w:val="24"/>
        </w:rPr>
        <w:t xml:space="preserve">the Boston, MA MD assessment area </w:t>
      </w:r>
      <w:r>
        <w:rPr>
          <w:rFonts w:ascii="Times New Roman" w:eastAsia="Times New Roman" w:hAnsi="Times New Roman" w:cs="Times New Roman"/>
          <w:bCs/>
          <w:color w:val="000000"/>
          <w:sz w:val="24"/>
          <w:szCs w:val="24"/>
        </w:rPr>
        <w:t xml:space="preserve">credit needs.  </w:t>
      </w:r>
      <w:r w:rsidRPr="00EA303B">
        <w:rPr>
          <w:rFonts w:ascii="Times New Roman" w:hAnsi="Times New Roman" w:cs="Times New Roman"/>
          <w:sz w:val="24"/>
          <w:szCs w:val="24"/>
        </w:rPr>
        <w:t xml:space="preserve">In 2019, HOB and HOME </w:t>
      </w:r>
      <w:r w:rsidR="001E372E">
        <w:rPr>
          <w:rFonts w:ascii="Times New Roman" w:hAnsi="Times New Roman" w:cs="Times New Roman"/>
          <w:sz w:val="24"/>
          <w:szCs w:val="24"/>
        </w:rPr>
        <w:t xml:space="preserve">combined to </w:t>
      </w:r>
      <w:r>
        <w:rPr>
          <w:rFonts w:ascii="Times New Roman" w:hAnsi="Times New Roman" w:cs="Times New Roman"/>
          <w:sz w:val="24"/>
          <w:szCs w:val="24"/>
        </w:rPr>
        <w:t xml:space="preserve">originate or purchase 514 home mortgage loans totaling $191.1 million.  </w:t>
      </w:r>
      <w:r w:rsidR="00AC3896">
        <w:rPr>
          <w:rFonts w:ascii="Times New Roman" w:hAnsi="Times New Roman" w:cs="Times New Roman"/>
          <w:sz w:val="24"/>
          <w:szCs w:val="24"/>
        </w:rPr>
        <w:t>Combined, HOB and HOME</w:t>
      </w:r>
      <w:r>
        <w:rPr>
          <w:rFonts w:ascii="Times New Roman" w:hAnsi="Times New Roman" w:cs="Times New Roman"/>
          <w:sz w:val="24"/>
          <w:szCs w:val="24"/>
        </w:rPr>
        <w:t xml:space="preserve"> </w:t>
      </w:r>
      <w:r w:rsidRPr="00EA303B">
        <w:rPr>
          <w:rFonts w:ascii="Times New Roman" w:hAnsi="Times New Roman" w:cs="Times New Roman"/>
          <w:sz w:val="24"/>
          <w:szCs w:val="24"/>
        </w:rPr>
        <w:t>ranked 26</w:t>
      </w:r>
      <w:r w:rsidRPr="00EA303B">
        <w:rPr>
          <w:rFonts w:ascii="Times New Roman" w:hAnsi="Times New Roman" w:cs="Times New Roman"/>
          <w:sz w:val="24"/>
          <w:szCs w:val="24"/>
          <w:vertAlign w:val="superscript"/>
        </w:rPr>
        <w:t>th</w:t>
      </w:r>
      <w:r w:rsidRPr="00EA303B">
        <w:rPr>
          <w:rFonts w:ascii="Times New Roman" w:hAnsi="Times New Roman" w:cs="Times New Roman"/>
          <w:sz w:val="24"/>
          <w:szCs w:val="24"/>
        </w:rPr>
        <w:t xml:space="preserve"> </w:t>
      </w:r>
      <w:r>
        <w:rPr>
          <w:rFonts w:ascii="Times New Roman" w:hAnsi="Times New Roman" w:cs="Times New Roman"/>
          <w:sz w:val="24"/>
          <w:szCs w:val="24"/>
        </w:rPr>
        <w:t xml:space="preserve">out of 471 lenders </w:t>
      </w:r>
      <w:r w:rsidRPr="00EA303B">
        <w:rPr>
          <w:rFonts w:ascii="Times New Roman" w:hAnsi="Times New Roman" w:cs="Times New Roman"/>
          <w:sz w:val="24"/>
          <w:szCs w:val="24"/>
        </w:rPr>
        <w:t>with a market share 1.2</w:t>
      </w:r>
      <w:r>
        <w:rPr>
          <w:rFonts w:ascii="Times New Roman" w:hAnsi="Times New Roman" w:cs="Times New Roman"/>
          <w:sz w:val="24"/>
          <w:szCs w:val="24"/>
        </w:rPr>
        <w:t xml:space="preserve"> </w:t>
      </w:r>
      <w:r>
        <w:rPr>
          <w:rFonts w:ascii="Times New Roman" w:hAnsi="Times New Roman" w:cs="Times New Roman"/>
          <w:sz w:val="24"/>
          <w:szCs w:val="24"/>
        </w:rPr>
        <w:lastRenderedPageBreak/>
        <w:t>percent, outperforming local community bank competitors.</w:t>
      </w:r>
      <w:r w:rsidR="001E372E">
        <w:rPr>
          <w:rFonts w:ascii="Times New Roman" w:hAnsi="Times New Roman" w:cs="Times New Roman"/>
          <w:sz w:val="24"/>
          <w:szCs w:val="24"/>
        </w:rPr>
        <w:t xml:space="preserve">  Lending activity increased notably from 2017 and 2018, although the consolidation of lending operations under HOME in 2019 make comparisons to prior years less meaningful.</w:t>
      </w:r>
    </w:p>
    <w:p w14:paraId="336F01BB" w14:textId="77777777" w:rsidR="00B60F71" w:rsidRDefault="00B60F71" w:rsidP="00B60F71">
      <w:pPr>
        <w:spacing w:after="0" w:line="240" w:lineRule="auto"/>
        <w:ind w:right="-270"/>
        <w:rPr>
          <w:rFonts w:ascii="Times New Roman" w:hAnsi="Times New Roman" w:cs="Times New Roman"/>
          <w:sz w:val="24"/>
          <w:szCs w:val="24"/>
        </w:rPr>
      </w:pPr>
    </w:p>
    <w:p w14:paraId="44A22D6A" w14:textId="761D3091" w:rsidR="00083291" w:rsidRDefault="001002E7" w:rsidP="00840DD8">
      <w:p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HOB originated 119</w:t>
      </w:r>
      <w:r w:rsidR="00B60F71">
        <w:rPr>
          <w:rFonts w:ascii="Times New Roman" w:hAnsi="Times New Roman" w:cs="Times New Roman"/>
          <w:sz w:val="24"/>
          <w:szCs w:val="24"/>
        </w:rPr>
        <w:t xml:space="preserve"> small business loans </w:t>
      </w:r>
      <w:r>
        <w:rPr>
          <w:rFonts w:ascii="Times New Roman" w:hAnsi="Times New Roman" w:cs="Times New Roman"/>
          <w:sz w:val="24"/>
          <w:szCs w:val="24"/>
        </w:rPr>
        <w:t>totaling $18.1</w:t>
      </w:r>
      <w:r w:rsidR="00840DD8">
        <w:rPr>
          <w:rFonts w:ascii="Times New Roman" w:hAnsi="Times New Roman" w:cs="Times New Roman"/>
          <w:sz w:val="24"/>
          <w:szCs w:val="24"/>
        </w:rPr>
        <w:t xml:space="preserve"> million</w:t>
      </w:r>
      <w:r>
        <w:rPr>
          <w:rFonts w:ascii="Times New Roman" w:hAnsi="Times New Roman" w:cs="Times New Roman"/>
          <w:sz w:val="24"/>
          <w:szCs w:val="24"/>
        </w:rPr>
        <w:t xml:space="preserve"> in the rated area in 2019</w:t>
      </w:r>
      <w:r w:rsidR="00840DD8">
        <w:rPr>
          <w:rFonts w:ascii="Times New Roman" w:hAnsi="Times New Roman" w:cs="Times New Roman"/>
          <w:sz w:val="24"/>
          <w:szCs w:val="24"/>
        </w:rPr>
        <w:t>.  H</w:t>
      </w:r>
      <w:r w:rsidR="00840DD8">
        <w:rPr>
          <w:rFonts w:ascii="Times New Roman" w:hAnsi="Times New Roman" w:cs="Times New Roman"/>
          <w:bCs/>
          <w:spacing w:val="-3"/>
          <w:sz w:val="24"/>
          <w:szCs w:val="24"/>
        </w:rPr>
        <w:t>OB</w:t>
      </w:r>
      <w:r w:rsidR="00840DD8" w:rsidRPr="00A06DB8">
        <w:rPr>
          <w:rFonts w:ascii="Times New Roman" w:hAnsi="Times New Roman" w:cs="Times New Roman"/>
          <w:bCs/>
          <w:spacing w:val="-3"/>
          <w:sz w:val="24"/>
          <w:szCs w:val="24"/>
        </w:rPr>
        <w:t xml:space="preserve"> outperformed other community banks, except Rockland Trust Company, which </w:t>
      </w:r>
      <w:r>
        <w:rPr>
          <w:rFonts w:ascii="Times New Roman" w:hAnsi="Times New Roman" w:cs="Times New Roman"/>
          <w:bCs/>
          <w:spacing w:val="-3"/>
          <w:sz w:val="24"/>
          <w:szCs w:val="24"/>
        </w:rPr>
        <w:t>is a much larger institution than HOB</w:t>
      </w:r>
      <w:r w:rsidR="00840DD8" w:rsidRPr="00A06DB8">
        <w:rPr>
          <w:rFonts w:ascii="Times New Roman" w:hAnsi="Times New Roman" w:cs="Times New Roman"/>
          <w:bCs/>
          <w:spacing w:val="-3"/>
          <w:sz w:val="24"/>
          <w:szCs w:val="24"/>
        </w:rPr>
        <w:t>.</w:t>
      </w:r>
      <w:r w:rsidR="00840DD8">
        <w:rPr>
          <w:rFonts w:ascii="Times New Roman" w:hAnsi="Times New Roman" w:cs="Times New Roman"/>
          <w:sz w:val="24"/>
          <w:szCs w:val="24"/>
        </w:rPr>
        <w:t xml:space="preserve">  The top lenders are national credit card lenders that offer average loan sizes of as little as 5,000</w:t>
      </w:r>
      <w:r>
        <w:rPr>
          <w:rFonts w:ascii="Times New Roman" w:hAnsi="Times New Roman" w:cs="Times New Roman"/>
          <w:sz w:val="24"/>
          <w:szCs w:val="24"/>
        </w:rPr>
        <w:t>,</w:t>
      </w:r>
      <w:r w:rsidR="00840DD8">
        <w:rPr>
          <w:rFonts w:ascii="Times New Roman" w:hAnsi="Times New Roman" w:cs="Times New Roman"/>
          <w:sz w:val="24"/>
          <w:szCs w:val="24"/>
        </w:rPr>
        <w:t xml:space="preserve"> compared to HOB whose average loan size was $153,000.</w:t>
      </w:r>
    </w:p>
    <w:p w14:paraId="1CB5041E" w14:textId="77777777" w:rsidR="00DB75C4" w:rsidRPr="00E50970" w:rsidRDefault="00DB75C4" w:rsidP="00E50970">
      <w:pPr>
        <w:spacing w:after="0" w:line="240" w:lineRule="auto"/>
        <w:ind w:right="-270"/>
        <w:rPr>
          <w:rFonts w:ascii="Times New Roman" w:eastAsia="Times New Roman" w:hAnsi="Times New Roman" w:cs="Times New Roman"/>
          <w:bCs/>
          <w:color w:val="000000"/>
          <w:sz w:val="24"/>
          <w:szCs w:val="24"/>
        </w:rPr>
      </w:pPr>
    </w:p>
    <w:p w14:paraId="676BA6BF" w14:textId="77777777" w:rsidR="00E50970" w:rsidRPr="00E50970" w:rsidRDefault="00E50970" w:rsidP="00E50970">
      <w:pPr>
        <w:spacing w:after="0" w:line="240" w:lineRule="auto"/>
        <w:ind w:right="-270"/>
        <w:rPr>
          <w:rFonts w:ascii="Times New Roman" w:eastAsia="Times New Roman" w:hAnsi="Times New Roman" w:cs="Times New Roman"/>
          <w:b/>
          <w:bCs/>
          <w:color w:val="000000"/>
          <w:sz w:val="24"/>
          <w:szCs w:val="24"/>
          <w:u w:val="single"/>
        </w:rPr>
      </w:pPr>
      <w:r w:rsidRPr="00E50970">
        <w:rPr>
          <w:rFonts w:ascii="Times New Roman" w:eastAsia="Times New Roman" w:hAnsi="Times New Roman" w:cs="Times New Roman"/>
          <w:b/>
          <w:bCs/>
          <w:color w:val="000000"/>
          <w:sz w:val="24"/>
          <w:szCs w:val="24"/>
          <w:u w:val="single"/>
        </w:rPr>
        <w:t>Geographic Distribution</w:t>
      </w:r>
    </w:p>
    <w:p w14:paraId="27E8E1E7" w14:textId="77777777" w:rsidR="00E50970" w:rsidRDefault="00E50970" w:rsidP="00E50970">
      <w:pPr>
        <w:spacing w:after="0" w:line="240" w:lineRule="auto"/>
        <w:rPr>
          <w:rFonts w:ascii="Times New Roman" w:eastAsia="Times New Roman" w:hAnsi="Times New Roman" w:cs="Times New Roman"/>
          <w:sz w:val="24"/>
          <w:szCs w:val="24"/>
        </w:rPr>
      </w:pPr>
    </w:p>
    <w:p w14:paraId="2C2F1FB4" w14:textId="34DFDA21" w:rsidR="00DF5DE8" w:rsidRDefault="00DF5DE8" w:rsidP="00E509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geographic distribution of home mortgage and small business loans reflects excellent </w:t>
      </w:r>
      <w:r w:rsidR="00FF7C77">
        <w:rPr>
          <w:rFonts w:ascii="Times New Roman" w:eastAsia="Times New Roman" w:hAnsi="Times New Roman" w:cs="Times New Roman"/>
          <w:sz w:val="24"/>
          <w:szCs w:val="24"/>
        </w:rPr>
        <w:t>penetrat</w:t>
      </w:r>
      <w:r>
        <w:rPr>
          <w:rFonts w:ascii="Times New Roman" w:eastAsia="Times New Roman" w:hAnsi="Times New Roman" w:cs="Times New Roman"/>
          <w:sz w:val="24"/>
          <w:szCs w:val="24"/>
        </w:rPr>
        <w:t>ion thr</w:t>
      </w:r>
      <w:r w:rsidR="00083291">
        <w:rPr>
          <w:rFonts w:ascii="Times New Roman" w:eastAsia="Times New Roman" w:hAnsi="Times New Roman" w:cs="Times New Roman"/>
          <w:sz w:val="24"/>
          <w:szCs w:val="24"/>
        </w:rPr>
        <w:t xml:space="preserve">oughout the </w:t>
      </w:r>
      <w:r w:rsidR="006D2AD2">
        <w:rPr>
          <w:rFonts w:ascii="Times New Roman" w:eastAsia="Times New Roman" w:hAnsi="Times New Roman" w:cs="Times New Roman"/>
          <w:sz w:val="24"/>
          <w:szCs w:val="24"/>
        </w:rPr>
        <w:t>Massachusetts</w:t>
      </w:r>
      <w:r w:rsidR="007C1793">
        <w:rPr>
          <w:rFonts w:ascii="Times New Roman" w:eastAsia="Times New Roman" w:hAnsi="Times New Roman" w:cs="Times New Roman"/>
          <w:sz w:val="24"/>
          <w:szCs w:val="24"/>
        </w:rPr>
        <w:t xml:space="preserve"> </w:t>
      </w:r>
      <w:r w:rsidR="00FF7C77">
        <w:rPr>
          <w:rFonts w:ascii="Times New Roman" w:eastAsia="Times New Roman" w:hAnsi="Times New Roman" w:cs="Times New Roman"/>
          <w:sz w:val="24"/>
          <w:szCs w:val="24"/>
        </w:rPr>
        <w:t>rated</w:t>
      </w:r>
      <w:r w:rsidR="00083291">
        <w:rPr>
          <w:rFonts w:ascii="Times New Roman" w:eastAsia="Times New Roman" w:hAnsi="Times New Roman" w:cs="Times New Roman"/>
          <w:sz w:val="24"/>
          <w:szCs w:val="24"/>
        </w:rPr>
        <w:t xml:space="preserve"> area.</w:t>
      </w:r>
    </w:p>
    <w:p w14:paraId="26E00C7E" w14:textId="77777777" w:rsidR="00DF5DE8" w:rsidRDefault="00DF5DE8" w:rsidP="00E50970">
      <w:pPr>
        <w:spacing w:after="0" w:line="240" w:lineRule="auto"/>
        <w:rPr>
          <w:rFonts w:ascii="Times New Roman" w:eastAsia="Times New Roman" w:hAnsi="Times New Roman" w:cs="Times New Roman"/>
          <w:sz w:val="24"/>
          <w:szCs w:val="24"/>
        </w:rPr>
      </w:pPr>
    </w:p>
    <w:p w14:paraId="7C4BF7EA" w14:textId="77777777" w:rsidR="0023625E" w:rsidRPr="0023625E" w:rsidRDefault="0023625E" w:rsidP="00E50970">
      <w:pPr>
        <w:spacing w:after="0" w:line="240" w:lineRule="auto"/>
        <w:rPr>
          <w:rFonts w:ascii="Times New Roman" w:eastAsia="Times New Roman" w:hAnsi="Times New Roman" w:cs="Times New Roman"/>
          <w:b/>
          <w:sz w:val="24"/>
          <w:szCs w:val="24"/>
        </w:rPr>
      </w:pPr>
      <w:r w:rsidRPr="0023625E">
        <w:rPr>
          <w:rFonts w:ascii="Times New Roman" w:eastAsia="Times New Roman" w:hAnsi="Times New Roman" w:cs="Times New Roman"/>
          <w:b/>
          <w:sz w:val="24"/>
          <w:szCs w:val="24"/>
        </w:rPr>
        <w:t>Home Mortgage Loans</w:t>
      </w:r>
    </w:p>
    <w:p w14:paraId="0FA17740" w14:textId="70105ADE" w:rsidR="00FF01E1" w:rsidRDefault="00B21C61" w:rsidP="00B21C61">
      <w:pPr>
        <w:spacing w:after="0" w:line="240" w:lineRule="auto"/>
        <w:contextualSpacing/>
        <w:rPr>
          <w:rFonts w:ascii="Times New Roman" w:eastAsia="Times New Roman" w:hAnsi="Times New Roman" w:cs="Times New Roman"/>
          <w:sz w:val="24"/>
          <w:szCs w:val="24"/>
        </w:rPr>
      </w:pPr>
      <w:r w:rsidRPr="007F497F">
        <w:rPr>
          <w:rFonts w:ascii="Times New Roman" w:eastAsia="Times New Roman" w:hAnsi="Times New Roman" w:cs="Times New Roman"/>
          <w:sz w:val="24"/>
          <w:szCs w:val="24"/>
        </w:rPr>
        <w:t xml:space="preserve">The geographic distribution of home mortgage loans reflects </w:t>
      </w:r>
      <w:r>
        <w:rPr>
          <w:rFonts w:ascii="Times New Roman" w:eastAsia="Times New Roman" w:hAnsi="Times New Roman" w:cs="Times New Roman"/>
          <w:sz w:val="24"/>
          <w:szCs w:val="24"/>
        </w:rPr>
        <w:t>excellent</w:t>
      </w:r>
      <w:r w:rsidRPr="007F497F">
        <w:rPr>
          <w:rFonts w:ascii="Times New Roman" w:eastAsia="Times New Roman" w:hAnsi="Times New Roman" w:cs="Times New Roman"/>
          <w:sz w:val="24"/>
          <w:szCs w:val="24"/>
        </w:rPr>
        <w:t xml:space="preserve"> penetration throughout the assessment area.</w:t>
      </w:r>
      <w:r>
        <w:rPr>
          <w:rFonts w:ascii="Times New Roman" w:eastAsia="Times New Roman" w:hAnsi="Times New Roman" w:cs="Times New Roman"/>
          <w:sz w:val="24"/>
          <w:szCs w:val="24"/>
        </w:rPr>
        <w:t xml:space="preserve">  </w:t>
      </w:r>
      <w:r>
        <w:rPr>
          <w:rFonts w:ascii="Times New Roman" w:hAnsi="Times New Roman" w:cs="Times New Roman"/>
          <w:iCs/>
          <w:sz w:val="24"/>
          <w:szCs w:val="24"/>
        </w:rPr>
        <w:t xml:space="preserve">The bank’s performance in low-income geographies </w:t>
      </w:r>
      <w:r>
        <w:rPr>
          <w:rFonts w:ascii="Times New Roman" w:eastAsia="Times New Roman" w:hAnsi="Times New Roman" w:cs="Times New Roman"/>
          <w:sz w:val="24"/>
          <w:szCs w:val="24"/>
        </w:rPr>
        <w:t>remained fairly consistent d</w:t>
      </w:r>
      <w:r w:rsidR="00BC793B">
        <w:rPr>
          <w:rFonts w:ascii="Times New Roman" w:eastAsia="Times New Roman" w:hAnsi="Times New Roman" w:cs="Times New Roman"/>
          <w:sz w:val="24"/>
          <w:szCs w:val="24"/>
        </w:rPr>
        <w:t xml:space="preserve">uring the evaluation period and </w:t>
      </w:r>
      <w:r w:rsidR="00C7777D">
        <w:rPr>
          <w:rFonts w:ascii="Times New Roman" w:eastAsia="Times New Roman" w:hAnsi="Times New Roman" w:cs="Times New Roman"/>
          <w:sz w:val="24"/>
          <w:szCs w:val="24"/>
        </w:rPr>
        <w:t xml:space="preserve">remained </w:t>
      </w:r>
      <w:r>
        <w:rPr>
          <w:rFonts w:ascii="Times New Roman" w:eastAsia="Times New Roman" w:hAnsi="Times New Roman" w:cs="Times New Roman"/>
          <w:sz w:val="24"/>
          <w:szCs w:val="24"/>
        </w:rPr>
        <w:t xml:space="preserve">above </w:t>
      </w:r>
      <w:r w:rsidR="00FF3CDB">
        <w:rPr>
          <w:rFonts w:ascii="Times New Roman" w:eastAsia="Times New Roman" w:hAnsi="Times New Roman" w:cs="Times New Roman"/>
          <w:sz w:val="24"/>
          <w:szCs w:val="24"/>
        </w:rPr>
        <w:t xml:space="preserve">comparable </w:t>
      </w:r>
      <w:r>
        <w:rPr>
          <w:rFonts w:ascii="Times New Roman" w:eastAsia="Times New Roman" w:hAnsi="Times New Roman" w:cs="Times New Roman"/>
          <w:sz w:val="24"/>
          <w:szCs w:val="24"/>
        </w:rPr>
        <w:t>demographic data and the aggregate performance</w:t>
      </w:r>
      <w:r w:rsidR="007C1793">
        <w:rPr>
          <w:rFonts w:ascii="Times New Roman" w:eastAsia="Times New Roman" w:hAnsi="Times New Roman" w:cs="Times New Roman"/>
          <w:sz w:val="24"/>
          <w:szCs w:val="24"/>
        </w:rPr>
        <w:t xml:space="preserve"> for the majority of the evaluation period</w:t>
      </w:r>
      <w:r>
        <w:rPr>
          <w:rFonts w:ascii="Times New Roman" w:eastAsia="Times New Roman" w:hAnsi="Times New Roman" w:cs="Times New Roman"/>
          <w:sz w:val="24"/>
          <w:szCs w:val="24"/>
        </w:rPr>
        <w:t xml:space="preserve">. </w:t>
      </w:r>
      <w:r w:rsidR="007C1793">
        <w:rPr>
          <w:rFonts w:ascii="Times New Roman" w:eastAsia="Times New Roman" w:hAnsi="Times New Roman" w:cs="Times New Roman"/>
          <w:sz w:val="24"/>
          <w:szCs w:val="24"/>
        </w:rPr>
        <w:t xml:space="preserve"> The bank’s percentage of loans decreased in 2019; however, the bank performed slightly above aggregate performance and demographic data. </w:t>
      </w:r>
      <w:r>
        <w:rPr>
          <w:rFonts w:ascii="Times New Roman" w:eastAsia="Times New Roman" w:hAnsi="Times New Roman" w:cs="Times New Roman"/>
          <w:sz w:val="24"/>
          <w:szCs w:val="24"/>
        </w:rPr>
        <w:t xml:space="preserve"> Given the lack of home mortgage lending opportunities due to </w:t>
      </w:r>
      <w:r w:rsidR="00FF7C77">
        <w:rPr>
          <w:rFonts w:ascii="Times New Roman" w:eastAsia="Times New Roman" w:hAnsi="Times New Roman" w:cs="Times New Roman"/>
          <w:sz w:val="24"/>
          <w:szCs w:val="24"/>
        </w:rPr>
        <w:t>a low percentage of owner-</w:t>
      </w:r>
      <w:r w:rsidR="00FF01E1">
        <w:rPr>
          <w:rFonts w:ascii="Times New Roman" w:eastAsia="Times New Roman" w:hAnsi="Times New Roman" w:cs="Times New Roman"/>
          <w:sz w:val="24"/>
          <w:szCs w:val="24"/>
        </w:rPr>
        <w:t>occupied units within the</w:t>
      </w:r>
      <w:r>
        <w:rPr>
          <w:rFonts w:ascii="Times New Roman" w:eastAsia="Times New Roman" w:hAnsi="Times New Roman" w:cs="Times New Roman"/>
          <w:sz w:val="24"/>
          <w:szCs w:val="24"/>
        </w:rPr>
        <w:t xml:space="preserve">se tracts, the bank’s performance is </w:t>
      </w:r>
      <w:r w:rsidR="00BC793B">
        <w:rPr>
          <w:rFonts w:ascii="Times New Roman" w:eastAsia="Times New Roman" w:hAnsi="Times New Roman" w:cs="Times New Roman"/>
          <w:sz w:val="24"/>
          <w:szCs w:val="24"/>
        </w:rPr>
        <w:t>excellent</w:t>
      </w:r>
      <w:r>
        <w:rPr>
          <w:rFonts w:ascii="Times New Roman" w:eastAsia="Times New Roman" w:hAnsi="Times New Roman" w:cs="Times New Roman"/>
          <w:sz w:val="24"/>
          <w:szCs w:val="24"/>
        </w:rPr>
        <w:t xml:space="preserve">.  </w:t>
      </w:r>
    </w:p>
    <w:p w14:paraId="0C306788" w14:textId="77777777" w:rsidR="00FF01E1" w:rsidRDefault="00FF01E1" w:rsidP="00B21C61">
      <w:pPr>
        <w:spacing w:after="0" w:line="240" w:lineRule="auto"/>
        <w:contextualSpacing/>
        <w:rPr>
          <w:rFonts w:ascii="Times New Roman" w:eastAsia="Times New Roman" w:hAnsi="Times New Roman" w:cs="Times New Roman"/>
          <w:sz w:val="24"/>
          <w:szCs w:val="24"/>
        </w:rPr>
      </w:pPr>
    </w:p>
    <w:p w14:paraId="0972CA6A" w14:textId="36EFEAD9" w:rsidR="00B21C61" w:rsidRDefault="00B21C61" w:rsidP="00B21C6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the </w:t>
      </w:r>
      <w:r w:rsidR="00BC793B">
        <w:rPr>
          <w:rFonts w:ascii="Times New Roman" w:eastAsia="Times New Roman" w:hAnsi="Times New Roman" w:cs="Times New Roman"/>
          <w:sz w:val="24"/>
          <w:szCs w:val="24"/>
        </w:rPr>
        <w:t>bank’s performance consistently outperformed aggregate performance and demographic data in moderate-income geographies.  HOB’s</w:t>
      </w:r>
      <w:r>
        <w:rPr>
          <w:rFonts w:ascii="Times New Roman" w:eastAsia="Times New Roman" w:hAnsi="Times New Roman" w:cs="Times New Roman"/>
          <w:sz w:val="24"/>
          <w:szCs w:val="24"/>
        </w:rPr>
        <w:t xml:space="preserve"> performance</w:t>
      </w:r>
      <w:r w:rsidR="00BC793B">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significantly increased in moderate-income census tracts </w:t>
      </w:r>
      <w:r w:rsidR="00BC793B">
        <w:rPr>
          <w:rFonts w:ascii="Times New Roman" w:eastAsia="Times New Roman" w:hAnsi="Times New Roman" w:cs="Times New Roman"/>
          <w:sz w:val="24"/>
          <w:szCs w:val="24"/>
        </w:rPr>
        <w:t>through</w:t>
      </w:r>
      <w:r w:rsidR="00FF3CDB">
        <w:rPr>
          <w:rFonts w:ascii="Times New Roman" w:eastAsia="Times New Roman" w:hAnsi="Times New Roman" w:cs="Times New Roman"/>
          <w:sz w:val="24"/>
          <w:szCs w:val="24"/>
        </w:rPr>
        <w:t>out</w:t>
      </w:r>
      <w:r w:rsidR="00BC793B">
        <w:rPr>
          <w:rFonts w:ascii="Times New Roman" w:eastAsia="Times New Roman" w:hAnsi="Times New Roman" w:cs="Times New Roman"/>
          <w:sz w:val="24"/>
          <w:szCs w:val="24"/>
        </w:rPr>
        <w:t xml:space="preserve"> the evaluation period.  In 2019, HOB </w:t>
      </w:r>
      <w:r w:rsidR="007C1793">
        <w:rPr>
          <w:rFonts w:ascii="Times New Roman" w:eastAsia="Times New Roman" w:hAnsi="Times New Roman" w:cs="Times New Roman"/>
          <w:sz w:val="24"/>
          <w:szCs w:val="24"/>
        </w:rPr>
        <w:t xml:space="preserve">and HOME </w:t>
      </w:r>
      <w:r w:rsidR="006D2AD2">
        <w:rPr>
          <w:rFonts w:ascii="Times New Roman" w:eastAsia="Times New Roman" w:hAnsi="Times New Roman" w:cs="Times New Roman"/>
          <w:sz w:val="24"/>
          <w:szCs w:val="24"/>
        </w:rPr>
        <w:t>ranked</w:t>
      </w:r>
      <w:r w:rsidR="00BC793B">
        <w:rPr>
          <w:rFonts w:ascii="Times New Roman" w:eastAsia="Times New Roman" w:hAnsi="Times New Roman" w:cs="Times New Roman"/>
          <w:sz w:val="24"/>
          <w:szCs w:val="24"/>
        </w:rPr>
        <w:t xml:space="preserve"> 26</w:t>
      </w:r>
      <w:r w:rsidR="00BC793B" w:rsidRPr="00BC793B">
        <w:rPr>
          <w:rFonts w:ascii="Times New Roman" w:eastAsia="Times New Roman" w:hAnsi="Times New Roman" w:cs="Times New Roman"/>
          <w:sz w:val="24"/>
          <w:szCs w:val="24"/>
          <w:vertAlign w:val="superscript"/>
        </w:rPr>
        <w:t>th</w:t>
      </w:r>
      <w:r w:rsidR="00BC793B">
        <w:rPr>
          <w:rFonts w:ascii="Times New Roman" w:eastAsia="Times New Roman" w:hAnsi="Times New Roman" w:cs="Times New Roman"/>
          <w:sz w:val="24"/>
          <w:szCs w:val="24"/>
        </w:rPr>
        <w:t xml:space="preserve"> out of 110 lenders in low-income geographies and 17</w:t>
      </w:r>
      <w:r w:rsidR="00BC793B" w:rsidRPr="00BC793B">
        <w:rPr>
          <w:rFonts w:ascii="Times New Roman" w:eastAsia="Times New Roman" w:hAnsi="Times New Roman" w:cs="Times New Roman"/>
          <w:sz w:val="24"/>
          <w:szCs w:val="24"/>
          <w:vertAlign w:val="superscript"/>
        </w:rPr>
        <w:t>th</w:t>
      </w:r>
      <w:r w:rsidR="00BC793B">
        <w:rPr>
          <w:rFonts w:ascii="Times New Roman" w:eastAsia="Times New Roman" w:hAnsi="Times New Roman" w:cs="Times New Roman"/>
          <w:sz w:val="24"/>
          <w:szCs w:val="24"/>
        </w:rPr>
        <w:t xml:space="preserve"> out of 304 lenders in moderate-income geographies</w:t>
      </w:r>
      <w:r w:rsidR="00C21573">
        <w:rPr>
          <w:rFonts w:ascii="Times New Roman" w:eastAsia="Times New Roman" w:hAnsi="Times New Roman" w:cs="Times New Roman"/>
          <w:sz w:val="24"/>
          <w:szCs w:val="24"/>
        </w:rPr>
        <w:t xml:space="preserve">, outperforming </w:t>
      </w:r>
      <w:r w:rsidR="00BC793B">
        <w:rPr>
          <w:rFonts w:ascii="Times New Roman" w:eastAsia="Times New Roman" w:hAnsi="Times New Roman" w:cs="Times New Roman"/>
          <w:sz w:val="24"/>
          <w:szCs w:val="24"/>
        </w:rPr>
        <w:t>its lo</w:t>
      </w:r>
      <w:r w:rsidR="00C21573">
        <w:rPr>
          <w:rFonts w:ascii="Times New Roman" w:eastAsia="Times New Roman" w:hAnsi="Times New Roman" w:cs="Times New Roman"/>
          <w:sz w:val="24"/>
          <w:szCs w:val="24"/>
        </w:rPr>
        <w:t>cal community bank competitors.  The increasing trend in performance and market share rankings support an excellent performance.</w:t>
      </w:r>
      <w:r w:rsidR="00FF3CDB">
        <w:rPr>
          <w:rFonts w:ascii="Times New Roman" w:eastAsia="Times New Roman" w:hAnsi="Times New Roman" w:cs="Times New Roman"/>
          <w:sz w:val="24"/>
          <w:szCs w:val="24"/>
        </w:rPr>
        <w:t xml:space="preserve">  The bank’s strong performance in moderate-income census tracts particularly stands out.</w:t>
      </w:r>
    </w:p>
    <w:p w14:paraId="13CC0879" w14:textId="645E442D" w:rsidR="00BC793B" w:rsidRDefault="00BC793B" w:rsidP="00BC793B">
      <w:pPr>
        <w:spacing w:after="0" w:line="240" w:lineRule="auto"/>
        <w:rPr>
          <w:rFonts w:ascii="Times New Roman" w:eastAsia="Times New Roman" w:hAnsi="Times New Roman" w:cs="Times New Roman"/>
          <w:sz w:val="24"/>
          <w:szCs w:val="24"/>
        </w:rPr>
      </w:pPr>
    </w:p>
    <w:p w14:paraId="0F6A4DD7" w14:textId="6E8C5263" w:rsidR="00FF3CDB" w:rsidRDefault="00FF3CDB" w:rsidP="00BC793B">
      <w:pPr>
        <w:spacing w:after="0" w:line="240" w:lineRule="auto"/>
        <w:rPr>
          <w:rFonts w:ascii="Times New Roman" w:eastAsia="Times New Roman" w:hAnsi="Times New Roman" w:cs="Times New Roman"/>
          <w:sz w:val="24"/>
          <w:szCs w:val="24"/>
        </w:rPr>
      </w:pPr>
    </w:p>
    <w:p w14:paraId="18419229" w14:textId="60D094A4" w:rsidR="00FF3CDB" w:rsidRDefault="00FF3CDB" w:rsidP="00BC793B">
      <w:pPr>
        <w:spacing w:after="0" w:line="240" w:lineRule="auto"/>
        <w:rPr>
          <w:rFonts w:ascii="Times New Roman" w:eastAsia="Times New Roman" w:hAnsi="Times New Roman" w:cs="Times New Roman"/>
          <w:sz w:val="24"/>
          <w:szCs w:val="24"/>
        </w:rPr>
      </w:pPr>
    </w:p>
    <w:p w14:paraId="3CE33337" w14:textId="20E52663" w:rsidR="00FF3CDB" w:rsidRDefault="00FF3CDB" w:rsidP="00BC793B">
      <w:pPr>
        <w:spacing w:after="0" w:line="240" w:lineRule="auto"/>
        <w:rPr>
          <w:rFonts w:ascii="Times New Roman" w:eastAsia="Times New Roman" w:hAnsi="Times New Roman" w:cs="Times New Roman"/>
          <w:sz w:val="24"/>
          <w:szCs w:val="24"/>
        </w:rPr>
      </w:pPr>
    </w:p>
    <w:p w14:paraId="11FE6994" w14:textId="77777777" w:rsidR="001002E7" w:rsidRDefault="001002E7" w:rsidP="00BC793B">
      <w:pPr>
        <w:spacing w:after="0" w:line="240" w:lineRule="auto"/>
        <w:rPr>
          <w:rFonts w:ascii="Times New Roman" w:eastAsia="Times New Roman" w:hAnsi="Times New Roman" w:cs="Times New Roman"/>
          <w:sz w:val="24"/>
          <w:szCs w:val="24"/>
        </w:rPr>
      </w:pPr>
    </w:p>
    <w:p w14:paraId="0AB6CE55" w14:textId="013D72D9" w:rsidR="00FF3CDB" w:rsidRDefault="00FF3CDB" w:rsidP="00BC793B">
      <w:pPr>
        <w:spacing w:after="0" w:line="240" w:lineRule="auto"/>
        <w:rPr>
          <w:rFonts w:ascii="Times New Roman" w:eastAsia="Times New Roman" w:hAnsi="Times New Roman" w:cs="Times New Roman"/>
          <w:sz w:val="24"/>
          <w:szCs w:val="24"/>
        </w:rPr>
      </w:pPr>
    </w:p>
    <w:p w14:paraId="2D6BB08C" w14:textId="12EB90CE" w:rsidR="00FF3CDB" w:rsidRDefault="00FF3CDB" w:rsidP="00BC793B">
      <w:pPr>
        <w:spacing w:after="0" w:line="240" w:lineRule="auto"/>
        <w:rPr>
          <w:rFonts w:ascii="Times New Roman" w:eastAsia="Times New Roman" w:hAnsi="Times New Roman" w:cs="Times New Roman"/>
          <w:sz w:val="24"/>
          <w:szCs w:val="24"/>
        </w:rPr>
      </w:pPr>
    </w:p>
    <w:p w14:paraId="721EF351" w14:textId="2A100BBE" w:rsidR="00FF3CDB" w:rsidRDefault="00FF3CDB" w:rsidP="00BC793B">
      <w:pPr>
        <w:spacing w:after="0" w:line="240" w:lineRule="auto"/>
        <w:rPr>
          <w:rFonts w:ascii="Times New Roman" w:eastAsia="Times New Roman" w:hAnsi="Times New Roman" w:cs="Times New Roman"/>
          <w:sz w:val="24"/>
          <w:szCs w:val="24"/>
        </w:rPr>
      </w:pPr>
    </w:p>
    <w:p w14:paraId="449F42BA" w14:textId="1C542D8E" w:rsidR="00FF3CDB" w:rsidRDefault="00FF3CDB" w:rsidP="00BC793B">
      <w:pPr>
        <w:spacing w:after="0" w:line="240" w:lineRule="auto"/>
        <w:rPr>
          <w:rFonts w:ascii="Times New Roman" w:eastAsia="Times New Roman" w:hAnsi="Times New Roman" w:cs="Times New Roman"/>
          <w:sz w:val="24"/>
          <w:szCs w:val="24"/>
        </w:rPr>
      </w:pPr>
    </w:p>
    <w:p w14:paraId="64646A3E" w14:textId="0F0842AE" w:rsidR="00FF3CDB" w:rsidRDefault="00FF3CDB" w:rsidP="00BC793B">
      <w:pPr>
        <w:spacing w:after="0" w:line="240" w:lineRule="auto"/>
        <w:rPr>
          <w:rFonts w:ascii="Times New Roman" w:eastAsia="Times New Roman" w:hAnsi="Times New Roman" w:cs="Times New Roman"/>
          <w:sz w:val="24"/>
          <w:szCs w:val="24"/>
        </w:rPr>
      </w:pPr>
    </w:p>
    <w:p w14:paraId="4AF2BD3D" w14:textId="2AD99253" w:rsidR="00FF3CDB" w:rsidRDefault="00FF3CDB" w:rsidP="00BC793B">
      <w:pPr>
        <w:spacing w:after="0" w:line="240" w:lineRule="auto"/>
        <w:rPr>
          <w:rFonts w:ascii="Times New Roman" w:eastAsia="Times New Roman" w:hAnsi="Times New Roman" w:cs="Times New Roman"/>
          <w:sz w:val="24"/>
          <w:szCs w:val="24"/>
        </w:rPr>
      </w:pPr>
    </w:p>
    <w:p w14:paraId="77CF3232" w14:textId="1FC7254A" w:rsidR="00FF3CDB" w:rsidRDefault="00FF3CDB" w:rsidP="00BC793B">
      <w:pPr>
        <w:spacing w:after="0" w:line="240" w:lineRule="auto"/>
        <w:rPr>
          <w:rFonts w:ascii="Times New Roman" w:eastAsia="Times New Roman" w:hAnsi="Times New Roman" w:cs="Times New Roman"/>
          <w:sz w:val="24"/>
          <w:szCs w:val="24"/>
        </w:rPr>
      </w:pPr>
    </w:p>
    <w:p w14:paraId="35EE597B" w14:textId="5A6EBEF4" w:rsidR="00FF3CDB" w:rsidRDefault="00FF3CDB" w:rsidP="00BC793B">
      <w:pPr>
        <w:spacing w:after="0" w:line="240" w:lineRule="auto"/>
        <w:rPr>
          <w:rFonts w:ascii="Times New Roman" w:eastAsia="Times New Roman" w:hAnsi="Times New Roman" w:cs="Times New Roman"/>
          <w:sz w:val="24"/>
          <w:szCs w:val="24"/>
        </w:rPr>
      </w:pPr>
    </w:p>
    <w:p w14:paraId="65A07FD7" w14:textId="199707D9" w:rsidR="00FF3CDB" w:rsidRDefault="00FF3CDB" w:rsidP="00BC793B">
      <w:pPr>
        <w:spacing w:after="0" w:line="240" w:lineRule="auto"/>
        <w:rPr>
          <w:rFonts w:ascii="Times New Roman" w:eastAsia="Times New Roman" w:hAnsi="Times New Roman" w:cs="Times New Roman"/>
          <w:sz w:val="24"/>
          <w:szCs w:val="24"/>
        </w:rPr>
      </w:pPr>
    </w:p>
    <w:p w14:paraId="5214C960" w14:textId="2A190FB3" w:rsidR="00FF3CDB" w:rsidRDefault="00FF3CDB" w:rsidP="00BC793B">
      <w:pPr>
        <w:spacing w:after="0" w:line="240" w:lineRule="auto"/>
        <w:rPr>
          <w:rFonts w:ascii="Times New Roman" w:eastAsia="Times New Roman" w:hAnsi="Times New Roman" w:cs="Times New Roman"/>
          <w:sz w:val="24"/>
          <w:szCs w:val="24"/>
        </w:rPr>
      </w:pPr>
    </w:p>
    <w:p w14:paraId="1E7C14EE" w14:textId="77777777" w:rsidR="00FF3CDB" w:rsidRDefault="00FF3CDB" w:rsidP="00BC793B">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2592"/>
        <w:gridCol w:w="1584"/>
        <w:gridCol w:w="1440"/>
        <w:gridCol w:w="1239"/>
        <w:gridCol w:w="869"/>
        <w:gridCol w:w="1028"/>
        <w:gridCol w:w="834"/>
      </w:tblGrid>
      <w:tr w:rsidR="003B4D63" w14:paraId="2C964DAE" w14:textId="77777777" w:rsidTr="00BE0C70">
        <w:trPr>
          <w:trHeight w:val="282"/>
        </w:trPr>
        <w:tc>
          <w:tcPr>
            <w:tcW w:w="9586"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156DB3C5" w14:textId="77777777" w:rsidR="003B4D63" w:rsidRDefault="003B4D63" w:rsidP="003B4D63">
            <w:pPr>
              <w:spacing w:after="0"/>
              <w:jc w:val="center"/>
            </w:pPr>
            <w:r>
              <w:rPr>
                <w:rFonts w:ascii="Times New Roman" w:eastAsia="Times New Roman" w:hAnsi="Times New Roman"/>
                <w:b/>
                <w:color w:val="000000"/>
                <w:sz w:val="20"/>
              </w:rPr>
              <w:lastRenderedPageBreak/>
              <w:t>Geographic Distribution of Home Mortgage Loans</w:t>
            </w:r>
          </w:p>
        </w:tc>
      </w:tr>
      <w:tr w:rsidR="003B4D63" w14:paraId="2A593C9D" w14:textId="77777777" w:rsidTr="00BE0C70">
        <w:trPr>
          <w:trHeight w:val="210"/>
        </w:trPr>
        <w:tc>
          <w:tcPr>
            <w:tcW w:w="9586" w:type="dxa"/>
            <w:gridSpan w:val="7"/>
            <w:tcBorders>
              <w:left w:val="single" w:sz="7" w:space="0" w:color="000000"/>
              <w:right w:val="single" w:sz="7" w:space="0" w:color="000000"/>
            </w:tcBorders>
            <w:tcMar>
              <w:top w:w="39" w:type="dxa"/>
              <w:left w:w="39" w:type="dxa"/>
              <w:bottom w:w="39" w:type="dxa"/>
              <w:right w:w="39" w:type="dxa"/>
            </w:tcMar>
            <w:vAlign w:val="center"/>
          </w:tcPr>
          <w:p w14:paraId="1D2EE022" w14:textId="11C48719" w:rsidR="003B4D63" w:rsidRDefault="003B4D63" w:rsidP="00AC3896">
            <w:pPr>
              <w:spacing w:after="0"/>
              <w:jc w:val="center"/>
            </w:pPr>
            <w:r>
              <w:rPr>
                <w:rFonts w:ascii="Times New Roman" w:eastAsia="Times New Roman" w:hAnsi="Times New Roman"/>
                <w:b/>
                <w:color w:val="000000"/>
                <w:sz w:val="20"/>
              </w:rPr>
              <w:t xml:space="preserve">Assessment Area: </w:t>
            </w:r>
            <w:r w:rsidR="00AC3896">
              <w:rPr>
                <w:rFonts w:ascii="Times New Roman" w:eastAsia="Times New Roman" w:hAnsi="Times New Roman"/>
                <w:b/>
                <w:color w:val="000000"/>
                <w:sz w:val="20"/>
              </w:rPr>
              <w:t>Massachusetts</w:t>
            </w:r>
          </w:p>
        </w:tc>
      </w:tr>
      <w:tr w:rsidR="003B4D63" w14:paraId="07174778" w14:textId="77777777" w:rsidTr="00BE0C70">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7718B8" w14:textId="77777777" w:rsidR="003B4D63" w:rsidRDefault="003B4D63" w:rsidP="003B4D63">
            <w:pPr>
              <w:spacing w:after="0"/>
            </w:pPr>
            <w:r>
              <w:rPr>
                <w:rFonts w:ascii="Times New Roman" w:eastAsia="Times New Roman" w:hAnsi="Times New Roman"/>
                <w:b/>
                <w:color w:val="000000"/>
                <w:sz w:val="20"/>
              </w:rPr>
              <w:t>Tract Income Level</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FC21D6" w14:textId="77777777" w:rsidR="003B4D63" w:rsidRDefault="003B4D63" w:rsidP="003B4D63">
            <w:pPr>
              <w:spacing w:after="0"/>
              <w:jc w:val="center"/>
            </w:pPr>
            <w:r>
              <w:rPr>
                <w:rFonts w:ascii="Times New Roman" w:eastAsia="Times New Roman" w:hAnsi="Times New Roman"/>
                <w:b/>
                <w:color w:val="000000"/>
                <w:sz w:val="20"/>
              </w:rPr>
              <w:t>% of  Owner-Occupied Housing Units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AAE429" w14:textId="77777777" w:rsidR="003B4D63" w:rsidRDefault="003B4D63" w:rsidP="003B4D63">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FFD56F" w14:textId="77777777" w:rsidR="003B4D63" w:rsidRDefault="003B4D63" w:rsidP="003B4D63">
            <w:pPr>
              <w:spacing w:after="0"/>
              <w:jc w:val="center"/>
            </w:pPr>
            <w:r>
              <w:rPr>
                <w:rFonts w:ascii="Times New Roman" w:eastAsia="Times New Roman" w:hAnsi="Times New Roman"/>
                <w:b/>
                <w:color w:val="000000"/>
                <w:sz w:val="20"/>
              </w:rPr>
              <w:t>#</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ABC351" w14:textId="77777777" w:rsidR="003B4D63" w:rsidRDefault="003B4D63" w:rsidP="003B4D63">
            <w:pPr>
              <w:spacing w:after="0"/>
              <w:jc w:val="center"/>
            </w:pPr>
            <w:r>
              <w:rPr>
                <w:rFonts w:ascii="Times New Roman" w:eastAsia="Times New Roman" w:hAnsi="Times New Roman"/>
                <w:b/>
                <w:color w:val="000000"/>
                <w:sz w:val="20"/>
              </w:rPr>
              <w:t>%</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70B28C" w14:textId="77777777" w:rsidR="003B4D63" w:rsidRDefault="003B4D63" w:rsidP="003B4D63">
            <w:pPr>
              <w:spacing w:after="0"/>
              <w:jc w:val="center"/>
            </w:pPr>
            <w:r>
              <w:rPr>
                <w:rFonts w:ascii="Times New Roman" w:eastAsia="Times New Roman" w:hAnsi="Times New Roman"/>
                <w:b/>
                <w:color w:val="000000"/>
                <w:sz w:val="20"/>
              </w:rPr>
              <w:t>$(000s)</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7E8092" w14:textId="77777777" w:rsidR="003B4D63" w:rsidRDefault="003B4D63" w:rsidP="003B4D63">
            <w:pPr>
              <w:spacing w:after="0"/>
              <w:jc w:val="center"/>
            </w:pPr>
            <w:r>
              <w:rPr>
                <w:rFonts w:ascii="Times New Roman" w:eastAsia="Times New Roman" w:hAnsi="Times New Roman"/>
                <w:b/>
                <w:color w:val="000000"/>
                <w:sz w:val="20"/>
              </w:rPr>
              <w:t>%</w:t>
            </w:r>
          </w:p>
        </w:tc>
      </w:tr>
      <w:tr w:rsidR="003B4D63" w14:paraId="5D28CC0F"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1D85AF" w14:textId="77777777" w:rsidR="003B4D63" w:rsidRDefault="003B4D63" w:rsidP="003B4D63">
            <w:pPr>
              <w:spacing w:after="0"/>
            </w:pPr>
            <w:r>
              <w:rPr>
                <w:rFonts w:ascii="Times New Roman" w:eastAsia="Times New Roman" w:hAnsi="Times New Roman"/>
                <w:color w:val="000000"/>
                <w:sz w:val="20"/>
              </w:rPr>
              <w:t>Low</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E622A" w14:textId="77777777" w:rsidR="003B4D63" w:rsidRDefault="003B4D63" w:rsidP="003B4D63">
            <w:pPr>
              <w:spacing w:after="0"/>
            </w:pPr>
          </w:p>
        </w:tc>
      </w:tr>
      <w:tr w:rsidR="003B4D63" w14:paraId="0B2B5137" w14:textId="77777777" w:rsidTr="00BE0C70">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293D62" w14:textId="77777777" w:rsidR="003B4D63" w:rsidRDefault="003B4D63" w:rsidP="003B4D63">
            <w:pPr>
              <w:spacing w:after="0"/>
              <w:jc w:val="right"/>
            </w:pPr>
            <w:r>
              <w:rPr>
                <w:rFonts w:ascii="Times New Roman" w:eastAsia="Times New Roman" w:hAnsi="Times New Roman"/>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49B97" w14:textId="77777777" w:rsidR="003B4D63" w:rsidRDefault="003B4D63" w:rsidP="003B4D63">
            <w:pPr>
              <w:spacing w:after="0"/>
              <w:jc w:val="center"/>
            </w:pPr>
            <w:r>
              <w:rPr>
                <w:rFonts w:ascii="Times New Roman" w:eastAsia="Times New Roman" w:hAnsi="Times New Roman"/>
                <w:color w:val="000000"/>
                <w:sz w:val="20"/>
              </w:rPr>
              <w:t>0.9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1B22B" w14:textId="77777777" w:rsidR="003B4D63" w:rsidRDefault="003B4D63" w:rsidP="003B4D63">
            <w:pPr>
              <w:spacing w:after="0"/>
              <w:jc w:val="center"/>
            </w:pPr>
            <w:r>
              <w:rPr>
                <w:rFonts w:ascii="Times New Roman" w:eastAsia="Times New Roman" w:hAnsi="Times New Roman"/>
                <w:color w:val="000000"/>
                <w:sz w:val="20"/>
              </w:rPr>
              <w:t>1.1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CF772" w14:textId="77777777" w:rsidR="003B4D63" w:rsidRDefault="00342D41" w:rsidP="003B4D63">
            <w:pPr>
              <w:spacing w:after="0"/>
              <w:jc w:val="center"/>
            </w:pPr>
            <w:r>
              <w:rPr>
                <w:rFonts w:ascii="Times New Roman" w:eastAsia="Times New Roman" w:hAnsi="Times New Roman"/>
                <w:color w:val="000000"/>
                <w:sz w:val="20"/>
              </w:rPr>
              <w:t>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DAE13" w14:textId="77777777" w:rsidR="003B4D63" w:rsidRDefault="00342D41" w:rsidP="003B4D63">
            <w:pPr>
              <w:spacing w:after="0"/>
              <w:jc w:val="center"/>
            </w:pPr>
            <w:r>
              <w:rPr>
                <w:rFonts w:ascii="Times New Roman" w:eastAsia="Times New Roman" w:hAnsi="Times New Roman"/>
                <w:color w:val="000000"/>
                <w:sz w:val="20"/>
              </w:rPr>
              <w:t>1.2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BEAB0" w14:textId="77777777" w:rsidR="003B4D63" w:rsidRDefault="00342D41" w:rsidP="003B4D63">
            <w:pPr>
              <w:spacing w:after="0"/>
              <w:jc w:val="center"/>
            </w:pPr>
            <w:r>
              <w:rPr>
                <w:rFonts w:ascii="Times New Roman" w:eastAsia="Times New Roman" w:hAnsi="Times New Roman"/>
                <w:color w:val="000000"/>
                <w:sz w:val="20"/>
              </w:rPr>
              <w:t>1,385</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74F55" w14:textId="77777777" w:rsidR="003B4D63" w:rsidRDefault="00342D41" w:rsidP="003B4D63">
            <w:pPr>
              <w:spacing w:after="0"/>
              <w:jc w:val="center"/>
            </w:pPr>
            <w:r>
              <w:rPr>
                <w:rFonts w:ascii="Times New Roman" w:eastAsia="Times New Roman" w:hAnsi="Times New Roman"/>
                <w:color w:val="000000"/>
                <w:sz w:val="20"/>
              </w:rPr>
              <w:t>0.7</w:t>
            </w:r>
          </w:p>
        </w:tc>
      </w:tr>
      <w:tr w:rsidR="003B4D63" w14:paraId="0C14C079"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D75C96" w14:textId="77777777" w:rsidR="003B4D63" w:rsidRDefault="003B4D63" w:rsidP="003B4D63">
            <w:pPr>
              <w:spacing w:after="0"/>
            </w:pPr>
            <w:r>
              <w:rPr>
                <w:rFonts w:ascii="Times New Roman" w:eastAsia="Times New Roman" w:hAnsi="Times New Roman"/>
                <w:color w:val="000000"/>
                <w:sz w:val="20"/>
              </w:rPr>
              <w:t>Moderate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07A369" w14:textId="77777777" w:rsidR="003B4D63" w:rsidRDefault="003B4D63" w:rsidP="003B4D63">
            <w:pPr>
              <w:spacing w:after="0"/>
            </w:pPr>
          </w:p>
        </w:tc>
      </w:tr>
      <w:tr w:rsidR="003B4D63" w14:paraId="771666AB" w14:textId="77777777" w:rsidTr="00BE0C70">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28A6D2" w14:textId="77777777" w:rsidR="003B4D63" w:rsidRDefault="003B4D63" w:rsidP="003B4D63">
            <w:pPr>
              <w:spacing w:after="0"/>
              <w:jc w:val="right"/>
            </w:pPr>
            <w:r>
              <w:rPr>
                <w:rFonts w:ascii="Times New Roman" w:eastAsia="Times New Roman" w:hAnsi="Times New Roman"/>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9476FF" w14:textId="77777777" w:rsidR="003B4D63" w:rsidRDefault="003B4D63" w:rsidP="003B4D63">
            <w:pPr>
              <w:spacing w:after="0"/>
              <w:jc w:val="center"/>
            </w:pPr>
            <w:r>
              <w:rPr>
                <w:rFonts w:ascii="Times New Roman" w:eastAsia="Times New Roman" w:hAnsi="Times New Roman"/>
                <w:color w:val="000000"/>
                <w:sz w:val="20"/>
              </w:rPr>
              <w:t>13.5</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A5CAA8" w14:textId="77777777" w:rsidR="003B4D63" w:rsidRDefault="003B4D63" w:rsidP="003B4D63">
            <w:pPr>
              <w:spacing w:after="0"/>
              <w:jc w:val="center"/>
            </w:pPr>
            <w:r>
              <w:rPr>
                <w:rFonts w:ascii="Times New Roman" w:eastAsia="Times New Roman" w:hAnsi="Times New Roman"/>
                <w:color w:val="000000"/>
                <w:sz w:val="20"/>
              </w:rPr>
              <w:t>13.2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C8DCF" w14:textId="77777777" w:rsidR="003B4D63" w:rsidRDefault="00342D41" w:rsidP="003B4D63">
            <w:pPr>
              <w:spacing w:after="0"/>
              <w:jc w:val="center"/>
            </w:pPr>
            <w:r>
              <w:rPr>
                <w:rFonts w:ascii="Times New Roman" w:eastAsia="Times New Roman" w:hAnsi="Times New Roman"/>
                <w:color w:val="000000"/>
                <w:sz w:val="20"/>
              </w:rPr>
              <w:t>104</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924EC" w14:textId="77777777" w:rsidR="003B4D63" w:rsidRDefault="00342D41" w:rsidP="003B4D63">
            <w:pPr>
              <w:spacing w:after="0"/>
              <w:jc w:val="center"/>
            </w:pPr>
            <w:r>
              <w:rPr>
                <w:rFonts w:ascii="Times New Roman" w:eastAsia="Times New Roman" w:hAnsi="Times New Roman"/>
                <w:color w:val="000000"/>
                <w:sz w:val="20"/>
              </w:rPr>
              <w:t>20.1</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A7310" w14:textId="77777777" w:rsidR="003B4D63" w:rsidRDefault="00342D41" w:rsidP="003B4D63">
            <w:pPr>
              <w:spacing w:after="0"/>
              <w:jc w:val="center"/>
            </w:pPr>
            <w:r>
              <w:rPr>
                <w:rFonts w:ascii="Times New Roman" w:eastAsia="Times New Roman" w:hAnsi="Times New Roman"/>
                <w:color w:val="000000"/>
                <w:sz w:val="20"/>
              </w:rPr>
              <w:t>24,604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CF3EC" w14:textId="77777777" w:rsidR="003B4D63" w:rsidRDefault="00342D41" w:rsidP="003B4D63">
            <w:pPr>
              <w:spacing w:after="0"/>
              <w:jc w:val="center"/>
            </w:pPr>
            <w:r>
              <w:rPr>
                <w:rFonts w:ascii="Times New Roman" w:eastAsia="Times New Roman" w:hAnsi="Times New Roman"/>
                <w:color w:val="000000"/>
                <w:sz w:val="20"/>
              </w:rPr>
              <w:t>12.9</w:t>
            </w:r>
          </w:p>
        </w:tc>
      </w:tr>
      <w:tr w:rsidR="003B4D63" w14:paraId="57947BA9"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6DA855" w14:textId="77777777" w:rsidR="003B4D63" w:rsidRDefault="003B4D63" w:rsidP="003B4D63">
            <w:pPr>
              <w:spacing w:after="0"/>
            </w:pPr>
            <w:r>
              <w:rPr>
                <w:rFonts w:ascii="Times New Roman" w:eastAsia="Times New Roman" w:hAnsi="Times New Roman"/>
                <w:color w:val="000000"/>
                <w:sz w:val="20"/>
              </w:rPr>
              <w:t>Middle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F823E" w14:textId="77777777" w:rsidR="003B4D63" w:rsidRDefault="003B4D63" w:rsidP="003B4D63">
            <w:pPr>
              <w:spacing w:after="0"/>
            </w:pPr>
          </w:p>
        </w:tc>
      </w:tr>
      <w:tr w:rsidR="003B4D63" w14:paraId="79308FDC" w14:textId="77777777" w:rsidTr="00BE0C70">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58D4E3" w14:textId="77777777" w:rsidR="003B4D63" w:rsidRDefault="003B4D63" w:rsidP="003B4D63">
            <w:pPr>
              <w:spacing w:after="0"/>
              <w:jc w:val="right"/>
            </w:pPr>
            <w:r>
              <w:rPr>
                <w:rFonts w:ascii="Times New Roman" w:eastAsia="Times New Roman" w:hAnsi="Times New Roman"/>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C0824" w14:textId="77777777" w:rsidR="003B4D63" w:rsidRDefault="003B4D63" w:rsidP="003B4D63">
            <w:pPr>
              <w:spacing w:after="0"/>
              <w:jc w:val="center"/>
            </w:pPr>
            <w:r>
              <w:rPr>
                <w:rFonts w:ascii="Times New Roman" w:eastAsia="Times New Roman" w:hAnsi="Times New Roman"/>
                <w:color w:val="000000"/>
                <w:sz w:val="20"/>
              </w:rPr>
              <w:t>54.7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13AB3" w14:textId="77777777" w:rsidR="003B4D63" w:rsidRDefault="003B4D63" w:rsidP="003B4D63">
            <w:pPr>
              <w:spacing w:after="0"/>
              <w:jc w:val="center"/>
            </w:pPr>
            <w:r>
              <w:rPr>
                <w:rFonts w:ascii="Times New Roman" w:eastAsia="Times New Roman" w:hAnsi="Times New Roman"/>
                <w:color w:val="000000"/>
                <w:sz w:val="20"/>
              </w:rPr>
              <w:t>53.1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5B4E7" w14:textId="77777777" w:rsidR="003B4D63" w:rsidRDefault="003B4D63" w:rsidP="003B4D63">
            <w:pPr>
              <w:spacing w:after="0"/>
              <w:jc w:val="center"/>
            </w:pPr>
            <w:r>
              <w:rPr>
                <w:rFonts w:ascii="Times New Roman" w:eastAsia="Times New Roman" w:hAnsi="Times New Roman"/>
                <w:color w:val="000000"/>
                <w:sz w:val="20"/>
              </w:rPr>
              <w:t>2</w:t>
            </w:r>
            <w:r w:rsidR="00342D41">
              <w:rPr>
                <w:rFonts w:ascii="Times New Roman" w:eastAsia="Times New Roman" w:hAnsi="Times New Roman"/>
                <w:color w:val="000000"/>
                <w:sz w:val="20"/>
              </w:rPr>
              <w:t>92</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9CD85" w14:textId="77777777" w:rsidR="003B4D63" w:rsidRDefault="00342D41" w:rsidP="003B4D63">
            <w:pPr>
              <w:spacing w:after="0"/>
              <w:jc w:val="center"/>
            </w:pPr>
            <w:r>
              <w:rPr>
                <w:rFonts w:ascii="Times New Roman" w:eastAsia="Times New Roman" w:hAnsi="Times New Roman"/>
                <w:color w:val="000000"/>
                <w:sz w:val="20"/>
              </w:rPr>
              <w:t>56.4</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E4BB8" w14:textId="77777777" w:rsidR="003B4D63" w:rsidRDefault="00342D41" w:rsidP="003B4D63">
            <w:pPr>
              <w:spacing w:after="0"/>
              <w:jc w:val="center"/>
            </w:pPr>
            <w:r>
              <w:rPr>
                <w:rFonts w:ascii="Times New Roman" w:eastAsia="Times New Roman" w:hAnsi="Times New Roman"/>
                <w:color w:val="000000"/>
                <w:sz w:val="20"/>
              </w:rPr>
              <w:t>121,459</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ABBAF9" w14:textId="77777777" w:rsidR="003B4D63" w:rsidRDefault="00342D41" w:rsidP="003B4D63">
            <w:pPr>
              <w:spacing w:after="0"/>
              <w:jc w:val="center"/>
            </w:pPr>
            <w:r>
              <w:rPr>
                <w:rFonts w:ascii="Times New Roman" w:eastAsia="Times New Roman" w:hAnsi="Times New Roman"/>
                <w:color w:val="000000"/>
                <w:sz w:val="20"/>
              </w:rPr>
              <w:t>63.6</w:t>
            </w:r>
          </w:p>
        </w:tc>
      </w:tr>
      <w:tr w:rsidR="003B4D63" w14:paraId="661D60B6"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0BEDF8" w14:textId="77777777" w:rsidR="003B4D63" w:rsidRDefault="003B4D63" w:rsidP="003B4D63">
            <w:pPr>
              <w:spacing w:after="0"/>
            </w:pPr>
            <w:r>
              <w:rPr>
                <w:rFonts w:ascii="Times New Roman" w:eastAsia="Times New Roman" w:hAnsi="Times New Roman"/>
                <w:color w:val="000000"/>
                <w:sz w:val="20"/>
              </w:rPr>
              <w:t>Upper</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53774" w14:textId="77777777" w:rsidR="003B4D63" w:rsidRDefault="003B4D63" w:rsidP="003B4D63">
            <w:pPr>
              <w:spacing w:after="0"/>
            </w:pPr>
          </w:p>
        </w:tc>
      </w:tr>
      <w:tr w:rsidR="003B4D63" w14:paraId="57D4D4E9" w14:textId="77777777" w:rsidTr="00BE0C70">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1424D3" w14:textId="77777777" w:rsidR="003B4D63" w:rsidRDefault="003B4D63" w:rsidP="003B4D63">
            <w:pPr>
              <w:spacing w:after="0"/>
              <w:jc w:val="right"/>
            </w:pPr>
            <w:r>
              <w:rPr>
                <w:rFonts w:ascii="Times New Roman" w:eastAsia="Times New Roman" w:hAnsi="Times New Roman"/>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56C0B" w14:textId="77777777" w:rsidR="003B4D63" w:rsidRDefault="003B4D63" w:rsidP="003B4D63">
            <w:pPr>
              <w:spacing w:after="0"/>
              <w:jc w:val="center"/>
            </w:pPr>
            <w:r>
              <w:rPr>
                <w:rFonts w:ascii="Times New Roman" w:eastAsia="Times New Roman" w:hAnsi="Times New Roman"/>
                <w:color w:val="000000"/>
                <w:sz w:val="20"/>
              </w:rPr>
              <w:t>30.9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EE771" w14:textId="77777777" w:rsidR="003B4D63" w:rsidRDefault="003B4D63" w:rsidP="003B4D63">
            <w:pPr>
              <w:spacing w:after="0"/>
              <w:jc w:val="center"/>
            </w:pPr>
            <w:r>
              <w:rPr>
                <w:rFonts w:ascii="Times New Roman" w:eastAsia="Times New Roman" w:hAnsi="Times New Roman"/>
                <w:color w:val="000000"/>
                <w:sz w:val="20"/>
              </w:rPr>
              <w:t>32.7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21C739" w14:textId="77777777" w:rsidR="003B4D63" w:rsidRDefault="00342D41" w:rsidP="003B4D63">
            <w:pPr>
              <w:spacing w:after="0"/>
              <w:jc w:val="center"/>
            </w:pPr>
            <w:r>
              <w:rPr>
                <w:rFonts w:ascii="Times New Roman" w:eastAsia="Times New Roman" w:hAnsi="Times New Roman"/>
                <w:color w:val="000000"/>
                <w:sz w:val="20"/>
              </w:rPr>
              <w:t>116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4A221" w14:textId="77777777" w:rsidR="003B4D63" w:rsidRDefault="00342D41" w:rsidP="003B4D63">
            <w:pPr>
              <w:spacing w:after="0"/>
              <w:jc w:val="center"/>
            </w:pPr>
            <w:r>
              <w:rPr>
                <w:rFonts w:ascii="Times New Roman" w:eastAsia="Times New Roman" w:hAnsi="Times New Roman"/>
                <w:color w:val="000000"/>
                <w:sz w:val="20"/>
              </w:rPr>
              <w:t>22.4</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CD6AF" w14:textId="77777777" w:rsidR="003B4D63" w:rsidRDefault="00342D41" w:rsidP="003B4D63">
            <w:pPr>
              <w:spacing w:after="0"/>
              <w:jc w:val="center"/>
            </w:pPr>
            <w:r>
              <w:rPr>
                <w:rFonts w:ascii="Times New Roman" w:eastAsia="Times New Roman" w:hAnsi="Times New Roman"/>
                <w:color w:val="000000"/>
                <w:sz w:val="20"/>
              </w:rPr>
              <w:t>43,440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4B371" w14:textId="77777777" w:rsidR="003B4D63" w:rsidRDefault="00342D41" w:rsidP="003B4D63">
            <w:pPr>
              <w:spacing w:after="0"/>
              <w:jc w:val="center"/>
            </w:pPr>
            <w:r>
              <w:rPr>
                <w:rFonts w:ascii="Times New Roman" w:eastAsia="Times New Roman" w:hAnsi="Times New Roman"/>
                <w:color w:val="000000"/>
                <w:sz w:val="20"/>
              </w:rPr>
              <w:t>22.8</w:t>
            </w:r>
          </w:p>
        </w:tc>
      </w:tr>
      <w:tr w:rsidR="003B4D63" w14:paraId="35A468A4"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F8C6D6" w14:textId="77777777" w:rsidR="003B4D63" w:rsidRDefault="003B4D63" w:rsidP="003B4D63">
            <w:pPr>
              <w:spacing w:after="0"/>
            </w:pPr>
            <w:r>
              <w:rPr>
                <w:rFonts w:ascii="Times New Roman" w:eastAsia="Times New Roman" w:hAnsi="Times New Roman"/>
                <w:color w:val="000000"/>
                <w:sz w:val="20"/>
              </w:rPr>
              <w:t>Not Available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0D190" w14:textId="77777777" w:rsidR="003B4D63" w:rsidRDefault="003B4D63" w:rsidP="003B4D63">
            <w:pPr>
              <w:spacing w:after="0"/>
            </w:pPr>
          </w:p>
        </w:tc>
      </w:tr>
      <w:tr w:rsidR="003B4D63" w14:paraId="2A9D9649" w14:textId="77777777" w:rsidTr="00BE0C70">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4F218F" w14:textId="77777777" w:rsidR="003B4D63" w:rsidRDefault="003B4D63" w:rsidP="003B4D63">
            <w:pPr>
              <w:spacing w:after="0"/>
              <w:jc w:val="right"/>
            </w:pPr>
            <w:r>
              <w:rPr>
                <w:rFonts w:ascii="Times New Roman" w:eastAsia="Times New Roman" w:hAnsi="Times New Roman"/>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75DD1" w14:textId="77777777" w:rsidR="003B4D63" w:rsidRDefault="003B4D63" w:rsidP="003B4D63">
            <w:pPr>
              <w:spacing w:after="0"/>
              <w:jc w:val="center"/>
            </w:pPr>
            <w:r>
              <w:rPr>
                <w:rFonts w:ascii="Times New Roman" w:eastAsia="Times New Roman" w:hAnsi="Times New Roman"/>
                <w:color w:val="000000"/>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6DFF0" w14:textId="77777777" w:rsidR="003B4D63" w:rsidRDefault="003B4D63" w:rsidP="003B4D63">
            <w:pPr>
              <w:spacing w:after="0"/>
              <w:jc w:val="center"/>
            </w:pPr>
            <w:r>
              <w:rPr>
                <w:rFonts w:ascii="Times New Roman" w:eastAsia="Times New Roman" w:hAnsi="Times New Roman"/>
                <w:color w:val="000000"/>
                <w:sz w:val="20"/>
              </w:rPr>
              <w:t>0.1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9B8D4" w14:textId="77777777" w:rsidR="003B4D63" w:rsidRDefault="003B4D63" w:rsidP="003B4D63">
            <w:pPr>
              <w:spacing w:after="0"/>
              <w:jc w:val="center"/>
            </w:pPr>
            <w:r>
              <w:rPr>
                <w:rFonts w:ascii="Times New Roman" w:eastAsia="Times New Roman" w:hAnsi="Times New Roman"/>
                <w:color w:val="000000"/>
                <w:sz w:val="20"/>
              </w:rPr>
              <w:t>0</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47128" w14:textId="77777777" w:rsidR="003B4D63" w:rsidRDefault="003B4D63" w:rsidP="003B4D63">
            <w:pPr>
              <w:spacing w:after="0"/>
              <w:jc w:val="center"/>
            </w:pPr>
            <w:r>
              <w:rPr>
                <w:rFonts w:ascii="Times New Roman" w:eastAsia="Times New Roman" w:hAnsi="Times New Roman"/>
                <w:color w:val="000000"/>
                <w:sz w:val="20"/>
              </w:rPr>
              <w:t>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60B0E" w14:textId="77777777" w:rsidR="003B4D63" w:rsidRDefault="003B4D63" w:rsidP="003B4D63">
            <w:pPr>
              <w:spacing w:after="0"/>
              <w:jc w:val="center"/>
            </w:pPr>
            <w:r>
              <w:rPr>
                <w:rFonts w:ascii="Times New Roman" w:eastAsia="Times New Roman" w:hAnsi="Times New Roman"/>
                <w:color w:val="000000"/>
                <w:sz w:val="20"/>
              </w:rPr>
              <w:t>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31E49" w14:textId="77777777" w:rsidR="003B4D63" w:rsidRDefault="003B4D63" w:rsidP="003B4D63">
            <w:pPr>
              <w:spacing w:after="0"/>
              <w:jc w:val="center"/>
            </w:pPr>
            <w:r>
              <w:rPr>
                <w:rFonts w:ascii="Times New Roman" w:eastAsia="Times New Roman" w:hAnsi="Times New Roman"/>
                <w:color w:val="000000"/>
                <w:sz w:val="20"/>
              </w:rPr>
              <w:t>0.0</w:t>
            </w:r>
          </w:p>
        </w:tc>
      </w:tr>
      <w:tr w:rsidR="003B4D63" w14:paraId="0D2086EA" w14:textId="77777777" w:rsidTr="00BE0C70">
        <w:trPr>
          <w:trHeight w:val="210"/>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9B3819" w14:textId="77777777" w:rsidR="003B4D63" w:rsidRDefault="003B4D63" w:rsidP="003B4D63">
            <w:pPr>
              <w:spacing w:after="0"/>
            </w:pPr>
            <w:r>
              <w:rPr>
                <w:rFonts w:ascii="Times New Roman" w:eastAsia="Times New Roman" w:hAnsi="Times New Roman"/>
                <w:b/>
                <w:color w:val="000000"/>
                <w:sz w:val="20"/>
              </w:rPr>
              <w:t>Totals</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3FF29" w14:textId="77777777" w:rsidR="003B4D63" w:rsidRDefault="003B4D63" w:rsidP="003B4D63">
            <w:pPr>
              <w:spacing w:after="0"/>
            </w:pPr>
          </w:p>
        </w:tc>
      </w:tr>
      <w:tr w:rsidR="003B4D63" w14:paraId="2479C00A" w14:textId="77777777" w:rsidTr="00BE0C70">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3E46945" w14:textId="77777777" w:rsidR="003B4D63" w:rsidRDefault="003B4D63" w:rsidP="003B4D63">
            <w:pPr>
              <w:spacing w:after="0"/>
              <w:jc w:val="right"/>
            </w:pPr>
            <w:r>
              <w:rPr>
                <w:rFonts w:ascii="Times New Roman" w:eastAsia="Times New Roman" w:hAnsi="Times New Roman"/>
                <w:b/>
                <w:color w:val="000000"/>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740A0" w14:textId="77777777" w:rsidR="003B4D63" w:rsidRDefault="003B4D63" w:rsidP="003B4D63">
            <w:pPr>
              <w:spacing w:after="0"/>
              <w:jc w:val="center"/>
            </w:pPr>
            <w:r>
              <w:rPr>
                <w:rFonts w:ascii="Times New Roman" w:eastAsia="Times New Roman" w:hAnsi="Times New Roman"/>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71BAF" w14:textId="77777777" w:rsidR="003B4D63" w:rsidRDefault="003B4D63" w:rsidP="003B4D63">
            <w:pPr>
              <w:spacing w:after="0"/>
              <w:jc w:val="center"/>
            </w:pPr>
            <w:r>
              <w:rPr>
                <w:rFonts w:ascii="Times New Roman" w:eastAsia="Times New Roman" w:hAnsi="Times New Roman"/>
                <w:b/>
                <w:color w:val="000000"/>
                <w:sz w:val="20"/>
              </w:rPr>
              <w:t>100.0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DCF14" w14:textId="77777777" w:rsidR="003B4D63" w:rsidRDefault="00342D41" w:rsidP="003B4D63">
            <w:pPr>
              <w:spacing w:after="0"/>
              <w:jc w:val="center"/>
            </w:pPr>
            <w:r>
              <w:rPr>
                <w:rFonts w:ascii="Times New Roman" w:eastAsia="Times New Roman" w:hAnsi="Times New Roman"/>
                <w:b/>
                <w:color w:val="000000"/>
                <w:sz w:val="20"/>
              </w:rPr>
              <w:t>518</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E2F8B" w14:textId="77777777" w:rsidR="003B4D63" w:rsidRDefault="003B4D63" w:rsidP="003B4D63">
            <w:pPr>
              <w:spacing w:after="0"/>
              <w:jc w:val="center"/>
            </w:pPr>
            <w:r>
              <w:rPr>
                <w:rFonts w:ascii="Times New Roman" w:eastAsia="Times New Roman" w:hAnsi="Times New Roman"/>
                <w:b/>
                <w:color w:val="000000"/>
                <w:sz w:val="20"/>
              </w:rPr>
              <w:t>100.0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2DC50" w14:textId="77777777" w:rsidR="003B4D63" w:rsidRDefault="00342D41" w:rsidP="003B4D63">
            <w:pPr>
              <w:spacing w:after="0"/>
              <w:jc w:val="center"/>
            </w:pPr>
            <w:r>
              <w:rPr>
                <w:rFonts w:ascii="Times New Roman" w:eastAsia="Times New Roman" w:hAnsi="Times New Roman"/>
                <w:b/>
                <w:color w:val="000000"/>
                <w:sz w:val="20"/>
              </w:rPr>
              <w:t>190,888</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AA35C" w14:textId="77777777" w:rsidR="003B4D63" w:rsidRDefault="003B4D63" w:rsidP="003B4D63">
            <w:pPr>
              <w:spacing w:after="0"/>
              <w:jc w:val="center"/>
            </w:pPr>
            <w:r>
              <w:rPr>
                <w:rFonts w:ascii="Times New Roman" w:eastAsia="Times New Roman" w:hAnsi="Times New Roman"/>
                <w:b/>
                <w:color w:val="000000"/>
                <w:sz w:val="20"/>
              </w:rPr>
              <w:t>100.0</w:t>
            </w:r>
          </w:p>
        </w:tc>
      </w:tr>
      <w:tr w:rsidR="003B4D63" w14:paraId="47AF6C34" w14:textId="77777777" w:rsidTr="003C6C61">
        <w:trPr>
          <w:trHeight w:val="59"/>
        </w:trPr>
        <w:tc>
          <w:tcPr>
            <w:tcW w:w="9586"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6DC8FB46" w14:textId="0E5ADA14" w:rsidR="003B4D63" w:rsidRDefault="003B4D63" w:rsidP="003B4D63">
            <w:pPr>
              <w:spacing w:after="0"/>
            </w:pPr>
            <w:r>
              <w:rPr>
                <w:rFonts w:ascii="Times New Roman" w:eastAsia="Times New Roman" w:hAnsi="Times New Roman"/>
                <w:i/>
                <w:color w:val="000000"/>
                <w:sz w:val="16"/>
              </w:rPr>
              <w:t>Source: 2015 ACS; Bank Data, 2019 HMDA Aggregate Data, "--" data not available.</w:t>
            </w:r>
          </w:p>
          <w:p w14:paraId="525CA83F" w14:textId="77777777" w:rsidR="003B4D63" w:rsidRDefault="003B4D63" w:rsidP="003B4D63">
            <w:pPr>
              <w:spacing w:after="0"/>
            </w:pPr>
            <w:r>
              <w:rPr>
                <w:rFonts w:ascii="Times New Roman" w:eastAsia="Times New Roman" w:hAnsi="Times New Roman"/>
                <w:i/>
                <w:color w:val="000000"/>
                <w:sz w:val="16"/>
              </w:rPr>
              <w:t>Due to rounding, totals may not equal 100.0%</w:t>
            </w:r>
          </w:p>
        </w:tc>
      </w:tr>
    </w:tbl>
    <w:p w14:paraId="5EDA75BD" w14:textId="3B9874F5" w:rsidR="003B4D63" w:rsidRDefault="003B4D63" w:rsidP="00E50970">
      <w:pPr>
        <w:spacing w:after="0" w:line="240" w:lineRule="auto"/>
        <w:rPr>
          <w:rFonts w:ascii="Times New Roman" w:eastAsia="Times New Roman" w:hAnsi="Times New Roman" w:cs="Times New Roman"/>
          <w:sz w:val="24"/>
          <w:szCs w:val="24"/>
        </w:rPr>
      </w:pPr>
    </w:p>
    <w:p w14:paraId="7DE3AE2C" w14:textId="77777777" w:rsidR="0023625E" w:rsidRPr="0023625E" w:rsidRDefault="0023625E" w:rsidP="00E50970">
      <w:pPr>
        <w:spacing w:after="0" w:line="240" w:lineRule="auto"/>
        <w:rPr>
          <w:rFonts w:ascii="Times New Roman" w:eastAsia="Times New Roman" w:hAnsi="Times New Roman" w:cs="Times New Roman"/>
          <w:b/>
          <w:sz w:val="24"/>
          <w:szCs w:val="24"/>
        </w:rPr>
      </w:pPr>
      <w:r w:rsidRPr="0023625E">
        <w:rPr>
          <w:rFonts w:ascii="Times New Roman" w:eastAsia="Times New Roman" w:hAnsi="Times New Roman" w:cs="Times New Roman"/>
          <w:b/>
          <w:sz w:val="24"/>
          <w:szCs w:val="24"/>
        </w:rPr>
        <w:t>Small Business Loans</w:t>
      </w:r>
    </w:p>
    <w:p w14:paraId="229DB803" w14:textId="0BB4F048" w:rsidR="0023625E" w:rsidRDefault="00825A17" w:rsidP="00E5097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geographic distribution of small business loans reflects excellent</w:t>
      </w:r>
      <w:r w:rsidRPr="002B136E">
        <w:rPr>
          <w:rFonts w:ascii="Times New Roman" w:eastAsia="Times New Roman" w:hAnsi="Times New Roman" w:cs="Times New Roman"/>
          <w:sz w:val="24"/>
          <w:szCs w:val="24"/>
        </w:rPr>
        <w:t xml:space="preserve"> penetration</w:t>
      </w:r>
      <w:r>
        <w:rPr>
          <w:rFonts w:ascii="Times New Roman" w:eastAsia="Times New Roman" w:hAnsi="Times New Roman" w:cs="Times New Roman"/>
          <w:sz w:val="24"/>
          <w:szCs w:val="24"/>
        </w:rPr>
        <w:t xml:space="preserve"> throughout the assessment area.  </w:t>
      </w:r>
      <w:r>
        <w:rPr>
          <w:rFonts w:ascii="Times New Roman" w:hAnsi="Times New Roman" w:cs="Times New Roman"/>
          <w:iCs/>
          <w:sz w:val="24"/>
          <w:szCs w:val="24"/>
        </w:rPr>
        <w:t>In low-income geographies, t</w:t>
      </w:r>
      <w:r>
        <w:rPr>
          <w:rFonts w:ascii="Times New Roman" w:eastAsia="Times New Roman" w:hAnsi="Times New Roman" w:cs="Times New Roman"/>
          <w:sz w:val="24"/>
          <w:szCs w:val="24"/>
        </w:rPr>
        <w:t xml:space="preserve">he bank </w:t>
      </w:r>
      <w:r w:rsidR="00FF01E1">
        <w:rPr>
          <w:rFonts w:ascii="Times New Roman" w:eastAsia="Times New Roman" w:hAnsi="Times New Roman" w:cs="Times New Roman"/>
          <w:sz w:val="24"/>
          <w:szCs w:val="24"/>
        </w:rPr>
        <w:t>exceeded</w:t>
      </w:r>
      <w:r>
        <w:rPr>
          <w:rFonts w:ascii="Times New Roman" w:eastAsia="Times New Roman" w:hAnsi="Times New Roman" w:cs="Times New Roman"/>
          <w:sz w:val="24"/>
          <w:szCs w:val="24"/>
        </w:rPr>
        <w:t xml:space="preserve"> aggregate performance </w:t>
      </w:r>
      <w:r w:rsidR="00FF01E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2C2CAD">
        <w:rPr>
          <w:rFonts w:ascii="Times New Roman" w:eastAsia="Times New Roman" w:hAnsi="Times New Roman" w:cs="Times New Roman"/>
          <w:sz w:val="24"/>
          <w:szCs w:val="24"/>
        </w:rPr>
        <w:t xml:space="preserve">demographic data </w:t>
      </w:r>
      <w:r>
        <w:rPr>
          <w:rFonts w:ascii="Times New Roman" w:eastAsia="Times New Roman" w:hAnsi="Times New Roman" w:cs="Times New Roman"/>
          <w:sz w:val="24"/>
          <w:szCs w:val="24"/>
        </w:rPr>
        <w:t>for the maj</w:t>
      </w:r>
      <w:r w:rsidR="00AA258E">
        <w:rPr>
          <w:rFonts w:ascii="Times New Roman" w:eastAsia="Times New Roman" w:hAnsi="Times New Roman" w:cs="Times New Roman"/>
          <w:sz w:val="24"/>
          <w:szCs w:val="24"/>
        </w:rPr>
        <w:t xml:space="preserve">ority of the evaluation period.  </w:t>
      </w:r>
      <w:r w:rsidRPr="002C2CAD">
        <w:rPr>
          <w:rFonts w:ascii="Times New Roman" w:eastAsia="Times New Roman" w:hAnsi="Times New Roman" w:cs="Times New Roman"/>
          <w:sz w:val="24"/>
          <w:szCs w:val="24"/>
        </w:rPr>
        <w:t>In moderate-income geographies, the bank increased its originations during the evaluation</w:t>
      </w:r>
      <w:r w:rsidR="00FF01E1">
        <w:rPr>
          <w:rFonts w:ascii="Times New Roman" w:eastAsia="Times New Roman" w:hAnsi="Times New Roman" w:cs="Times New Roman"/>
          <w:sz w:val="24"/>
          <w:szCs w:val="24"/>
        </w:rPr>
        <w:t xml:space="preserve"> period</w:t>
      </w:r>
      <w:r w:rsidRPr="002C2CAD">
        <w:rPr>
          <w:rFonts w:ascii="Times New Roman" w:eastAsia="Times New Roman" w:hAnsi="Times New Roman" w:cs="Times New Roman"/>
          <w:sz w:val="24"/>
          <w:szCs w:val="24"/>
        </w:rPr>
        <w:t xml:space="preserve">, </w:t>
      </w:r>
      <w:r w:rsidR="00FF01E1">
        <w:rPr>
          <w:rFonts w:ascii="Times New Roman" w:eastAsia="Times New Roman" w:hAnsi="Times New Roman" w:cs="Times New Roman"/>
          <w:sz w:val="24"/>
          <w:szCs w:val="24"/>
        </w:rPr>
        <w:t>exceeding</w:t>
      </w:r>
      <w:r>
        <w:rPr>
          <w:rFonts w:ascii="Times New Roman" w:eastAsia="Times New Roman" w:hAnsi="Times New Roman" w:cs="Times New Roman"/>
          <w:sz w:val="24"/>
          <w:szCs w:val="24"/>
        </w:rPr>
        <w:t xml:space="preserve"> </w:t>
      </w:r>
      <w:r w:rsidRPr="002C2CAD">
        <w:rPr>
          <w:rFonts w:ascii="Times New Roman" w:eastAsia="Times New Roman" w:hAnsi="Times New Roman" w:cs="Times New Roman"/>
          <w:sz w:val="24"/>
          <w:szCs w:val="24"/>
        </w:rPr>
        <w:t xml:space="preserve">demographic </w:t>
      </w:r>
      <w:r>
        <w:rPr>
          <w:rFonts w:ascii="Times New Roman" w:eastAsia="Times New Roman" w:hAnsi="Times New Roman" w:cs="Times New Roman"/>
          <w:sz w:val="24"/>
          <w:szCs w:val="24"/>
        </w:rPr>
        <w:t>data</w:t>
      </w:r>
      <w:r w:rsidR="00AA258E">
        <w:rPr>
          <w:rFonts w:ascii="Times New Roman" w:eastAsia="Times New Roman" w:hAnsi="Times New Roman" w:cs="Times New Roman"/>
          <w:sz w:val="24"/>
          <w:szCs w:val="24"/>
        </w:rPr>
        <w:t xml:space="preserve"> and aggregate performance</w:t>
      </w:r>
      <w:r w:rsidR="00FF01E1">
        <w:rPr>
          <w:rFonts w:ascii="Times New Roman" w:eastAsia="Times New Roman" w:hAnsi="Times New Roman" w:cs="Times New Roman"/>
          <w:sz w:val="24"/>
          <w:szCs w:val="24"/>
        </w:rPr>
        <w:t xml:space="preserve"> in 2019</w:t>
      </w:r>
      <w:r w:rsidR="00AA258E">
        <w:rPr>
          <w:rFonts w:ascii="Times New Roman" w:eastAsia="Times New Roman" w:hAnsi="Times New Roman" w:cs="Times New Roman"/>
          <w:sz w:val="24"/>
          <w:szCs w:val="24"/>
        </w:rPr>
        <w:t xml:space="preserve">.  The bank’s bank strong performance compared to its peers and percentages of businesses and </w:t>
      </w:r>
      <w:r w:rsidR="00FF01E1">
        <w:rPr>
          <w:rFonts w:ascii="Times New Roman" w:eastAsia="Times New Roman" w:hAnsi="Times New Roman" w:cs="Times New Roman"/>
          <w:sz w:val="24"/>
          <w:szCs w:val="24"/>
        </w:rPr>
        <w:t>positive trends</w:t>
      </w:r>
      <w:r w:rsidR="00AA258E">
        <w:rPr>
          <w:rFonts w:ascii="Times New Roman" w:eastAsia="Times New Roman" w:hAnsi="Times New Roman" w:cs="Times New Roman"/>
          <w:sz w:val="24"/>
          <w:szCs w:val="24"/>
        </w:rPr>
        <w:t xml:space="preserve"> support </w:t>
      </w:r>
      <w:r>
        <w:rPr>
          <w:rFonts w:ascii="Times New Roman" w:eastAsia="Times New Roman" w:hAnsi="Times New Roman" w:cs="Times New Roman"/>
          <w:sz w:val="24"/>
          <w:szCs w:val="24"/>
        </w:rPr>
        <w:t xml:space="preserve">the bank’s </w:t>
      </w:r>
      <w:r w:rsidR="00AA258E">
        <w:rPr>
          <w:rFonts w:ascii="Times New Roman" w:eastAsia="Times New Roman" w:hAnsi="Times New Roman" w:cs="Times New Roman"/>
          <w:sz w:val="24"/>
          <w:szCs w:val="24"/>
        </w:rPr>
        <w:t xml:space="preserve">excellent </w:t>
      </w:r>
      <w:r>
        <w:rPr>
          <w:rFonts w:ascii="Times New Roman" w:eastAsia="Times New Roman" w:hAnsi="Times New Roman" w:cs="Times New Roman"/>
          <w:sz w:val="24"/>
          <w:szCs w:val="24"/>
        </w:rPr>
        <w:t>performance.</w:t>
      </w:r>
    </w:p>
    <w:p w14:paraId="17A8FF78" w14:textId="30582D07" w:rsidR="00340B6C" w:rsidRDefault="00340B6C" w:rsidP="00E50970">
      <w:pPr>
        <w:spacing w:after="0" w:line="240" w:lineRule="auto"/>
        <w:contextualSpacing/>
        <w:rPr>
          <w:rFonts w:ascii="Times New Roman" w:eastAsia="Times New Roman" w:hAnsi="Times New Roman" w:cs="Times New Roman"/>
          <w:sz w:val="24"/>
          <w:szCs w:val="24"/>
        </w:rPr>
      </w:pPr>
    </w:p>
    <w:p w14:paraId="41C43CAF" w14:textId="336C82A0" w:rsidR="00FF3CDB" w:rsidRDefault="00FF3CDB" w:rsidP="00E50970">
      <w:pPr>
        <w:spacing w:after="0" w:line="240" w:lineRule="auto"/>
        <w:contextualSpacing/>
        <w:rPr>
          <w:rFonts w:ascii="Times New Roman" w:eastAsia="Times New Roman" w:hAnsi="Times New Roman" w:cs="Times New Roman"/>
          <w:sz w:val="24"/>
          <w:szCs w:val="24"/>
        </w:rPr>
      </w:pPr>
    </w:p>
    <w:p w14:paraId="64DC09C4" w14:textId="35D9A3EA" w:rsidR="00FF3CDB" w:rsidRDefault="00FF3CDB" w:rsidP="00E50970">
      <w:pPr>
        <w:spacing w:after="0" w:line="240" w:lineRule="auto"/>
        <w:contextualSpacing/>
        <w:rPr>
          <w:rFonts w:ascii="Times New Roman" w:eastAsia="Times New Roman" w:hAnsi="Times New Roman" w:cs="Times New Roman"/>
          <w:sz w:val="24"/>
          <w:szCs w:val="24"/>
        </w:rPr>
      </w:pPr>
    </w:p>
    <w:p w14:paraId="79720CDD" w14:textId="3C82B325" w:rsidR="00FF3CDB" w:rsidRDefault="00FF3CDB" w:rsidP="00E50970">
      <w:pPr>
        <w:spacing w:after="0" w:line="240" w:lineRule="auto"/>
        <w:contextualSpacing/>
        <w:rPr>
          <w:rFonts w:ascii="Times New Roman" w:eastAsia="Times New Roman" w:hAnsi="Times New Roman" w:cs="Times New Roman"/>
          <w:sz w:val="24"/>
          <w:szCs w:val="24"/>
        </w:rPr>
      </w:pPr>
    </w:p>
    <w:p w14:paraId="7D1F721F" w14:textId="47721848" w:rsidR="00FF3CDB" w:rsidRDefault="00FF3CDB" w:rsidP="00E50970">
      <w:pPr>
        <w:spacing w:after="0" w:line="240" w:lineRule="auto"/>
        <w:contextualSpacing/>
        <w:rPr>
          <w:rFonts w:ascii="Times New Roman" w:eastAsia="Times New Roman" w:hAnsi="Times New Roman" w:cs="Times New Roman"/>
          <w:sz w:val="24"/>
          <w:szCs w:val="24"/>
        </w:rPr>
      </w:pPr>
    </w:p>
    <w:p w14:paraId="7F1A6DD3" w14:textId="583678C9" w:rsidR="00FF3CDB" w:rsidRDefault="00FF3CDB" w:rsidP="00E50970">
      <w:pPr>
        <w:spacing w:after="0" w:line="240" w:lineRule="auto"/>
        <w:contextualSpacing/>
        <w:rPr>
          <w:rFonts w:ascii="Times New Roman" w:eastAsia="Times New Roman" w:hAnsi="Times New Roman" w:cs="Times New Roman"/>
          <w:sz w:val="24"/>
          <w:szCs w:val="24"/>
        </w:rPr>
      </w:pPr>
    </w:p>
    <w:p w14:paraId="3CC4AB89" w14:textId="7974AB5E" w:rsidR="00FF3CDB" w:rsidRDefault="00FF3CDB" w:rsidP="00E50970">
      <w:pPr>
        <w:spacing w:after="0" w:line="240" w:lineRule="auto"/>
        <w:contextualSpacing/>
        <w:rPr>
          <w:rFonts w:ascii="Times New Roman" w:eastAsia="Times New Roman" w:hAnsi="Times New Roman" w:cs="Times New Roman"/>
          <w:sz w:val="24"/>
          <w:szCs w:val="24"/>
        </w:rPr>
      </w:pPr>
    </w:p>
    <w:p w14:paraId="0BDF24B8" w14:textId="59E865E0" w:rsidR="00FF3CDB" w:rsidRDefault="00FF3CDB" w:rsidP="00E50970">
      <w:pPr>
        <w:spacing w:after="0" w:line="240" w:lineRule="auto"/>
        <w:contextualSpacing/>
        <w:rPr>
          <w:rFonts w:ascii="Times New Roman" w:eastAsia="Times New Roman" w:hAnsi="Times New Roman" w:cs="Times New Roman"/>
          <w:sz w:val="24"/>
          <w:szCs w:val="24"/>
        </w:rPr>
      </w:pPr>
    </w:p>
    <w:p w14:paraId="439937DD" w14:textId="00B8C5CB" w:rsidR="00FF3CDB" w:rsidRDefault="00FF3CDB" w:rsidP="00E50970">
      <w:pPr>
        <w:spacing w:after="0" w:line="240" w:lineRule="auto"/>
        <w:contextualSpacing/>
        <w:rPr>
          <w:rFonts w:ascii="Times New Roman" w:eastAsia="Times New Roman" w:hAnsi="Times New Roman" w:cs="Times New Roman"/>
          <w:sz w:val="24"/>
          <w:szCs w:val="24"/>
        </w:rPr>
      </w:pPr>
    </w:p>
    <w:p w14:paraId="4B88BF35" w14:textId="748F2A15" w:rsidR="00FF3CDB" w:rsidRDefault="00FF3CDB" w:rsidP="00E50970">
      <w:pPr>
        <w:spacing w:after="0" w:line="240" w:lineRule="auto"/>
        <w:contextualSpacing/>
        <w:rPr>
          <w:rFonts w:ascii="Times New Roman" w:eastAsia="Times New Roman" w:hAnsi="Times New Roman" w:cs="Times New Roman"/>
          <w:sz w:val="24"/>
          <w:szCs w:val="24"/>
        </w:rPr>
      </w:pPr>
    </w:p>
    <w:p w14:paraId="334E6429" w14:textId="4AA76185" w:rsidR="00FF3CDB" w:rsidRDefault="00FF3CDB" w:rsidP="00E50970">
      <w:pPr>
        <w:spacing w:after="0" w:line="240" w:lineRule="auto"/>
        <w:contextualSpacing/>
        <w:rPr>
          <w:rFonts w:ascii="Times New Roman" w:eastAsia="Times New Roman" w:hAnsi="Times New Roman" w:cs="Times New Roman"/>
          <w:sz w:val="24"/>
          <w:szCs w:val="24"/>
        </w:rPr>
      </w:pPr>
    </w:p>
    <w:p w14:paraId="1254FA4B" w14:textId="29B77005" w:rsidR="00FF3CDB" w:rsidRDefault="00FF3CDB" w:rsidP="00E50970">
      <w:pPr>
        <w:spacing w:after="0" w:line="240" w:lineRule="auto"/>
        <w:contextualSpacing/>
        <w:rPr>
          <w:rFonts w:ascii="Times New Roman" w:eastAsia="Times New Roman" w:hAnsi="Times New Roman" w:cs="Times New Roman"/>
          <w:sz w:val="24"/>
          <w:szCs w:val="24"/>
        </w:rPr>
      </w:pPr>
    </w:p>
    <w:p w14:paraId="7D51411C" w14:textId="28B973B0" w:rsidR="00FF3CDB" w:rsidRDefault="00FF3CDB" w:rsidP="00E50970">
      <w:pPr>
        <w:spacing w:after="0" w:line="240" w:lineRule="auto"/>
        <w:contextualSpacing/>
        <w:rPr>
          <w:rFonts w:ascii="Times New Roman" w:eastAsia="Times New Roman" w:hAnsi="Times New Roman" w:cs="Times New Roman"/>
          <w:sz w:val="24"/>
          <w:szCs w:val="24"/>
        </w:rPr>
      </w:pPr>
    </w:p>
    <w:p w14:paraId="6D97FC21" w14:textId="77777777" w:rsidR="00FF3CDB" w:rsidRDefault="00FF3CDB" w:rsidP="00E50970">
      <w:pPr>
        <w:spacing w:after="0" w:line="240" w:lineRule="auto"/>
        <w:contextualSpacing/>
        <w:rPr>
          <w:rFonts w:ascii="Times New Roman" w:eastAsia="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2592"/>
        <w:gridCol w:w="1440"/>
        <w:gridCol w:w="1440"/>
        <w:gridCol w:w="1008"/>
        <w:gridCol w:w="1008"/>
        <w:gridCol w:w="1008"/>
        <w:gridCol w:w="1008"/>
      </w:tblGrid>
      <w:tr w:rsidR="00340B6C" w14:paraId="1BF17069" w14:textId="77777777" w:rsidTr="00EA0023">
        <w:trPr>
          <w:trHeight w:val="282"/>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495D50CC" w14:textId="77777777" w:rsidR="00340B6C" w:rsidRDefault="00340B6C" w:rsidP="00340B6C">
            <w:pPr>
              <w:spacing w:after="0"/>
              <w:jc w:val="center"/>
            </w:pPr>
            <w:r>
              <w:rPr>
                <w:rFonts w:ascii="Times New Roman" w:eastAsia="Times New Roman" w:hAnsi="Times New Roman"/>
                <w:b/>
                <w:color w:val="000000"/>
                <w:sz w:val="20"/>
              </w:rPr>
              <w:lastRenderedPageBreak/>
              <w:t>Geographic Distribution of Small Business Loans</w:t>
            </w:r>
          </w:p>
        </w:tc>
      </w:tr>
      <w:tr w:rsidR="00340B6C" w14:paraId="71E29280" w14:textId="77777777" w:rsidTr="00EA0023">
        <w:trPr>
          <w:trHeight w:val="210"/>
        </w:trPr>
        <w:tc>
          <w:tcPr>
            <w:tcW w:w="9504" w:type="dxa"/>
            <w:gridSpan w:val="7"/>
            <w:tcBorders>
              <w:left w:val="single" w:sz="7" w:space="0" w:color="000000"/>
              <w:right w:val="single" w:sz="7" w:space="0" w:color="000000"/>
            </w:tcBorders>
            <w:tcMar>
              <w:top w:w="39" w:type="dxa"/>
              <w:left w:w="39" w:type="dxa"/>
              <w:bottom w:w="39" w:type="dxa"/>
              <w:right w:w="39" w:type="dxa"/>
            </w:tcMar>
            <w:vAlign w:val="center"/>
          </w:tcPr>
          <w:p w14:paraId="18723EDE" w14:textId="482AE9F3" w:rsidR="00340B6C" w:rsidRDefault="00340B6C" w:rsidP="00AC3896">
            <w:pPr>
              <w:spacing w:after="0"/>
              <w:jc w:val="center"/>
            </w:pPr>
            <w:r>
              <w:rPr>
                <w:rFonts w:ascii="Times New Roman" w:eastAsia="Times New Roman" w:hAnsi="Times New Roman"/>
                <w:b/>
                <w:color w:val="000000"/>
                <w:sz w:val="20"/>
              </w:rPr>
              <w:t xml:space="preserve">Assessment Area: </w:t>
            </w:r>
            <w:r w:rsidR="00AC3896">
              <w:rPr>
                <w:rFonts w:ascii="Times New Roman" w:eastAsia="Times New Roman" w:hAnsi="Times New Roman"/>
                <w:b/>
                <w:color w:val="000000"/>
                <w:sz w:val="20"/>
              </w:rPr>
              <w:t>Massachusetts</w:t>
            </w:r>
          </w:p>
        </w:tc>
      </w:tr>
      <w:tr w:rsidR="00340B6C" w14:paraId="2B7A59D5" w14:textId="77777777" w:rsidTr="00EA0023">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1B401F" w14:textId="77777777" w:rsidR="00340B6C" w:rsidRDefault="00340B6C" w:rsidP="00340B6C">
            <w:pPr>
              <w:spacing w:after="0"/>
            </w:pPr>
            <w:r>
              <w:rPr>
                <w:rFonts w:ascii="Times New Roman" w:eastAsia="Times New Roman" w:hAnsi="Times New Roman"/>
                <w:b/>
                <w:color w:val="000000"/>
                <w:sz w:val="20"/>
              </w:rPr>
              <w:t>Tract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77B668" w14:textId="77777777" w:rsidR="00340B6C" w:rsidRDefault="00340B6C" w:rsidP="00340B6C">
            <w:pPr>
              <w:spacing w:after="0"/>
              <w:jc w:val="center"/>
            </w:pPr>
            <w:r>
              <w:rPr>
                <w:rFonts w:ascii="Times New Roman" w:eastAsia="Times New Roman" w:hAnsi="Times New Roman"/>
                <w:b/>
                <w:color w:val="000000"/>
                <w:sz w:val="20"/>
              </w:rPr>
              <w:t>% of  Businesses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9DA91E" w14:textId="77777777" w:rsidR="00340B6C" w:rsidRDefault="00340B6C" w:rsidP="00340B6C">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6DCEF8" w14:textId="77777777" w:rsidR="00340B6C" w:rsidRDefault="00340B6C" w:rsidP="00340B6C">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A9EFA9" w14:textId="77777777" w:rsidR="00340B6C" w:rsidRDefault="00340B6C" w:rsidP="00340B6C">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5C1211" w14:textId="77777777" w:rsidR="00340B6C" w:rsidRDefault="00340B6C" w:rsidP="00340B6C">
            <w:pPr>
              <w:spacing w:after="0"/>
              <w:jc w:val="center"/>
            </w:pPr>
            <w:r>
              <w:rPr>
                <w:rFonts w:ascii="Times New Roman" w:eastAsia="Times New Roman" w:hAnsi="Times New Roman"/>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2DF0C5" w14:textId="77777777" w:rsidR="00340B6C" w:rsidRDefault="00340B6C" w:rsidP="00340B6C">
            <w:pPr>
              <w:spacing w:after="0"/>
              <w:jc w:val="center"/>
            </w:pPr>
            <w:r>
              <w:rPr>
                <w:rFonts w:ascii="Times New Roman" w:eastAsia="Times New Roman" w:hAnsi="Times New Roman"/>
                <w:b/>
                <w:color w:val="000000"/>
                <w:sz w:val="20"/>
              </w:rPr>
              <w:t>%</w:t>
            </w:r>
          </w:p>
        </w:tc>
      </w:tr>
      <w:tr w:rsidR="00340B6C" w14:paraId="4C2F47A7"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D516ED" w14:textId="77777777" w:rsidR="00340B6C" w:rsidRDefault="00340B6C" w:rsidP="00340B6C">
            <w:pPr>
              <w:spacing w:after="0"/>
            </w:pPr>
            <w:r>
              <w:rPr>
                <w:rFonts w:ascii="Times New Roman" w:eastAsia="Times New Roman" w:hAnsi="Times New Roman"/>
                <w:color w:val="000000"/>
                <w:sz w:val="20"/>
              </w:rPr>
              <w:t>Low</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D2DB4" w14:textId="77777777" w:rsidR="00340B6C" w:rsidRDefault="00340B6C" w:rsidP="00340B6C">
            <w:pPr>
              <w:spacing w:after="0"/>
            </w:pPr>
          </w:p>
        </w:tc>
      </w:tr>
      <w:tr w:rsidR="00340B6C" w14:paraId="38B0FE59" w14:textId="77777777" w:rsidTr="00EA0023">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CDCB5D9" w14:textId="77777777" w:rsidR="00340B6C" w:rsidRDefault="00340B6C" w:rsidP="00340B6C">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91A0D" w14:textId="77777777" w:rsidR="00340B6C" w:rsidRDefault="00340B6C" w:rsidP="00340B6C">
            <w:pPr>
              <w:spacing w:after="0"/>
              <w:jc w:val="center"/>
            </w:pPr>
            <w:r>
              <w:rPr>
                <w:rFonts w:ascii="Times New Roman" w:eastAsia="Times New Roman" w:hAnsi="Times New Roman"/>
                <w:color w:val="000000"/>
                <w:sz w:val="20"/>
              </w:rPr>
              <w:t>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944DC" w14:textId="77777777" w:rsidR="00340B6C" w:rsidRDefault="00340B6C" w:rsidP="00340B6C">
            <w:pPr>
              <w:spacing w:after="0"/>
              <w:jc w:val="center"/>
            </w:pPr>
            <w:r>
              <w:rPr>
                <w:rFonts w:ascii="Times New Roman" w:eastAsia="Times New Roman" w:hAnsi="Times New Roman"/>
                <w:color w:val="000000"/>
                <w:sz w:val="20"/>
              </w:rPr>
              <w:t>1.6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3611E" w14:textId="77777777" w:rsidR="00340B6C" w:rsidRDefault="00340B6C" w:rsidP="00340B6C">
            <w:pPr>
              <w:spacing w:after="0"/>
              <w:jc w:val="center"/>
            </w:pPr>
            <w:r>
              <w:rPr>
                <w:rFonts w:ascii="Times New Roman" w:eastAsia="Times New Roman" w:hAnsi="Times New Roman"/>
                <w:color w:val="000000"/>
                <w:sz w:val="20"/>
              </w:rPr>
              <w:t>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1BAC1" w14:textId="77777777" w:rsidR="00340B6C" w:rsidRDefault="00340B6C" w:rsidP="00340B6C">
            <w:pPr>
              <w:spacing w:after="0"/>
              <w:jc w:val="center"/>
            </w:pPr>
            <w:r>
              <w:rPr>
                <w:rFonts w:ascii="Times New Roman" w:eastAsia="Times New Roman" w:hAnsi="Times New Roman"/>
                <w:color w:val="000000"/>
                <w:sz w:val="20"/>
              </w:rPr>
              <w:t>5.9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64585" w14:textId="77777777" w:rsidR="00340B6C" w:rsidRDefault="00340B6C" w:rsidP="00340B6C">
            <w:pPr>
              <w:spacing w:after="0"/>
              <w:jc w:val="center"/>
            </w:pPr>
            <w:r>
              <w:rPr>
                <w:rFonts w:ascii="Times New Roman" w:eastAsia="Times New Roman" w:hAnsi="Times New Roman"/>
                <w:color w:val="000000"/>
                <w:sz w:val="20"/>
              </w:rPr>
              <w:t>1,750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5DD21" w14:textId="77777777" w:rsidR="00340B6C" w:rsidRDefault="00340B6C" w:rsidP="00340B6C">
            <w:pPr>
              <w:spacing w:after="0"/>
              <w:jc w:val="center"/>
            </w:pPr>
            <w:r>
              <w:rPr>
                <w:rFonts w:ascii="Times New Roman" w:eastAsia="Times New Roman" w:hAnsi="Times New Roman"/>
                <w:color w:val="000000"/>
                <w:sz w:val="20"/>
              </w:rPr>
              <w:t>9.7</w:t>
            </w:r>
          </w:p>
        </w:tc>
      </w:tr>
      <w:tr w:rsidR="00340B6C" w14:paraId="073646FD"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1A817B" w14:textId="77777777" w:rsidR="00340B6C" w:rsidRDefault="00340B6C" w:rsidP="00340B6C">
            <w:pPr>
              <w:spacing w:after="0"/>
            </w:pPr>
            <w:r>
              <w:rPr>
                <w:rFonts w:ascii="Times New Roman" w:eastAsia="Times New Roman" w:hAnsi="Times New Roman"/>
                <w:color w:val="000000"/>
                <w:sz w:val="20"/>
              </w:rPr>
              <w:t>Moderate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E65422" w14:textId="77777777" w:rsidR="00340B6C" w:rsidRDefault="00340B6C" w:rsidP="00340B6C">
            <w:pPr>
              <w:spacing w:after="0"/>
            </w:pPr>
          </w:p>
        </w:tc>
      </w:tr>
      <w:tr w:rsidR="00340B6C" w14:paraId="09B19B5A" w14:textId="77777777" w:rsidTr="00EA0023">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4E18F3" w14:textId="77777777" w:rsidR="00340B6C" w:rsidRDefault="00340B6C" w:rsidP="00340B6C">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FEF3A" w14:textId="77777777" w:rsidR="00340B6C" w:rsidRDefault="00340B6C" w:rsidP="00340B6C">
            <w:pPr>
              <w:spacing w:after="0"/>
              <w:jc w:val="center"/>
            </w:pPr>
            <w:r>
              <w:rPr>
                <w:rFonts w:ascii="Times New Roman" w:eastAsia="Times New Roman" w:hAnsi="Times New Roman"/>
                <w:color w:val="000000"/>
                <w:sz w:val="20"/>
              </w:rPr>
              <w:t>14.6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972D1" w14:textId="77777777" w:rsidR="00340B6C" w:rsidRDefault="00340B6C" w:rsidP="00340B6C">
            <w:pPr>
              <w:spacing w:after="0"/>
              <w:jc w:val="center"/>
            </w:pPr>
            <w:r>
              <w:rPr>
                <w:rFonts w:ascii="Times New Roman" w:eastAsia="Times New Roman" w:hAnsi="Times New Roman"/>
                <w:color w:val="000000"/>
                <w:sz w:val="20"/>
              </w:rPr>
              <w:t>14.5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268163" w14:textId="77777777" w:rsidR="00340B6C" w:rsidRDefault="00340B6C" w:rsidP="00340B6C">
            <w:pPr>
              <w:spacing w:after="0"/>
              <w:jc w:val="center"/>
            </w:pPr>
            <w:r>
              <w:rPr>
                <w:rFonts w:ascii="Times New Roman" w:eastAsia="Times New Roman" w:hAnsi="Times New Roman"/>
                <w:color w:val="000000"/>
                <w:sz w:val="20"/>
              </w:rPr>
              <w:t>24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E750E" w14:textId="77777777" w:rsidR="00340B6C" w:rsidRDefault="00340B6C" w:rsidP="00340B6C">
            <w:pPr>
              <w:spacing w:after="0"/>
              <w:jc w:val="center"/>
            </w:pPr>
            <w:r>
              <w:rPr>
                <w:rFonts w:ascii="Times New Roman" w:eastAsia="Times New Roman" w:hAnsi="Times New Roman"/>
                <w:color w:val="000000"/>
                <w:sz w:val="20"/>
              </w:rPr>
              <w:t>20.2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D5582" w14:textId="77777777" w:rsidR="00340B6C" w:rsidRDefault="00340B6C" w:rsidP="00340B6C">
            <w:pPr>
              <w:spacing w:after="0"/>
              <w:jc w:val="center"/>
            </w:pPr>
            <w:r>
              <w:rPr>
                <w:rFonts w:ascii="Times New Roman" w:eastAsia="Times New Roman" w:hAnsi="Times New Roman"/>
                <w:color w:val="000000"/>
                <w:sz w:val="20"/>
              </w:rPr>
              <w:t>3,963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61146" w14:textId="77777777" w:rsidR="00340B6C" w:rsidRDefault="00340B6C" w:rsidP="00340B6C">
            <w:pPr>
              <w:spacing w:after="0"/>
              <w:jc w:val="center"/>
            </w:pPr>
            <w:r>
              <w:rPr>
                <w:rFonts w:ascii="Times New Roman" w:eastAsia="Times New Roman" w:hAnsi="Times New Roman"/>
                <w:color w:val="000000"/>
                <w:sz w:val="20"/>
              </w:rPr>
              <w:t>21.9</w:t>
            </w:r>
          </w:p>
        </w:tc>
      </w:tr>
      <w:tr w:rsidR="00340B6C" w14:paraId="5CF0A170"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A174FA" w14:textId="77777777" w:rsidR="00340B6C" w:rsidRDefault="00340B6C" w:rsidP="00340B6C">
            <w:pPr>
              <w:spacing w:after="0"/>
            </w:pPr>
            <w:r>
              <w:rPr>
                <w:rFonts w:ascii="Times New Roman" w:eastAsia="Times New Roman" w:hAnsi="Times New Roman"/>
                <w:color w:val="000000"/>
                <w:sz w:val="20"/>
              </w:rPr>
              <w:t>Middle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19E3F" w14:textId="77777777" w:rsidR="00340B6C" w:rsidRDefault="00340B6C" w:rsidP="00340B6C">
            <w:pPr>
              <w:spacing w:after="0"/>
            </w:pPr>
          </w:p>
        </w:tc>
      </w:tr>
      <w:tr w:rsidR="00340B6C" w14:paraId="74BC74BC" w14:textId="77777777" w:rsidTr="00EA0023">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6E3BA1" w14:textId="77777777" w:rsidR="00340B6C" w:rsidRDefault="00340B6C" w:rsidP="00340B6C">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23F38" w14:textId="77777777" w:rsidR="00340B6C" w:rsidRDefault="00340B6C" w:rsidP="00340B6C">
            <w:pPr>
              <w:spacing w:after="0"/>
              <w:jc w:val="center"/>
            </w:pPr>
            <w:r>
              <w:rPr>
                <w:rFonts w:ascii="Times New Roman" w:eastAsia="Times New Roman" w:hAnsi="Times New Roman"/>
                <w:color w:val="000000"/>
                <w:sz w:val="20"/>
              </w:rPr>
              <w:t>51.3</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015DE" w14:textId="77777777" w:rsidR="00340B6C" w:rsidRDefault="00340B6C" w:rsidP="00340B6C">
            <w:pPr>
              <w:spacing w:after="0"/>
              <w:jc w:val="center"/>
            </w:pPr>
            <w:r>
              <w:rPr>
                <w:rFonts w:ascii="Times New Roman" w:eastAsia="Times New Roman" w:hAnsi="Times New Roman"/>
                <w:color w:val="000000"/>
                <w:sz w:val="20"/>
              </w:rPr>
              <w:t>53.2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3CD45" w14:textId="77777777" w:rsidR="00340B6C" w:rsidRDefault="00340B6C" w:rsidP="00340B6C">
            <w:pPr>
              <w:spacing w:after="0"/>
              <w:jc w:val="center"/>
            </w:pPr>
            <w:r>
              <w:rPr>
                <w:rFonts w:ascii="Times New Roman" w:eastAsia="Times New Roman" w:hAnsi="Times New Roman"/>
                <w:color w:val="000000"/>
                <w:sz w:val="20"/>
              </w:rPr>
              <w:t>62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6D85C" w14:textId="77777777" w:rsidR="00340B6C" w:rsidRDefault="00340B6C" w:rsidP="00340B6C">
            <w:pPr>
              <w:spacing w:after="0"/>
              <w:jc w:val="center"/>
            </w:pPr>
            <w:r>
              <w:rPr>
                <w:rFonts w:ascii="Times New Roman" w:eastAsia="Times New Roman" w:hAnsi="Times New Roman"/>
                <w:color w:val="000000"/>
                <w:sz w:val="20"/>
              </w:rPr>
              <w:t>52.1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72AD9" w14:textId="77777777" w:rsidR="00340B6C" w:rsidRDefault="00340B6C" w:rsidP="00340B6C">
            <w:pPr>
              <w:spacing w:after="0"/>
              <w:jc w:val="center"/>
            </w:pPr>
            <w:r>
              <w:rPr>
                <w:rFonts w:ascii="Times New Roman" w:eastAsia="Times New Roman" w:hAnsi="Times New Roman"/>
                <w:color w:val="000000"/>
                <w:sz w:val="20"/>
              </w:rPr>
              <w:t>8,034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3901E" w14:textId="77777777" w:rsidR="00340B6C" w:rsidRDefault="00340B6C" w:rsidP="00340B6C">
            <w:pPr>
              <w:spacing w:after="0"/>
              <w:jc w:val="center"/>
            </w:pPr>
            <w:r>
              <w:rPr>
                <w:rFonts w:ascii="Times New Roman" w:eastAsia="Times New Roman" w:hAnsi="Times New Roman"/>
                <w:color w:val="000000"/>
                <w:sz w:val="20"/>
              </w:rPr>
              <w:t>44.4</w:t>
            </w:r>
          </w:p>
        </w:tc>
      </w:tr>
      <w:tr w:rsidR="00340B6C" w14:paraId="0095C2A7"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D74615" w14:textId="77777777" w:rsidR="00340B6C" w:rsidRDefault="00340B6C" w:rsidP="00340B6C">
            <w:pPr>
              <w:spacing w:after="0"/>
            </w:pPr>
            <w:r>
              <w:rPr>
                <w:rFonts w:ascii="Times New Roman" w:eastAsia="Times New Roman" w:hAnsi="Times New Roman"/>
                <w:color w:val="000000"/>
                <w:sz w:val="20"/>
              </w:rPr>
              <w:t>Upper</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88225" w14:textId="77777777" w:rsidR="00340B6C" w:rsidRDefault="00340B6C" w:rsidP="00340B6C">
            <w:pPr>
              <w:spacing w:after="0"/>
            </w:pPr>
          </w:p>
        </w:tc>
      </w:tr>
      <w:tr w:rsidR="00340B6C" w14:paraId="7A7773E1" w14:textId="77777777" w:rsidTr="00EA0023">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5921CA" w14:textId="77777777" w:rsidR="00340B6C" w:rsidRDefault="00340B6C" w:rsidP="00340B6C">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200CC" w14:textId="77777777" w:rsidR="00340B6C" w:rsidRDefault="00340B6C" w:rsidP="00340B6C">
            <w:pPr>
              <w:spacing w:after="0"/>
              <w:jc w:val="center"/>
            </w:pPr>
            <w:r>
              <w:rPr>
                <w:rFonts w:ascii="Times New Roman" w:eastAsia="Times New Roman" w:hAnsi="Times New Roman"/>
                <w:color w:val="000000"/>
                <w:sz w:val="20"/>
              </w:rPr>
              <w:t>32.2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58336" w14:textId="77777777" w:rsidR="00340B6C" w:rsidRDefault="00340B6C" w:rsidP="00340B6C">
            <w:pPr>
              <w:spacing w:after="0"/>
              <w:jc w:val="center"/>
            </w:pPr>
            <w:r>
              <w:rPr>
                <w:rFonts w:ascii="Times New Roman" w:eastAsia="Times New Roman" w:hAnsi="Times New Roman"/>
                <w:color w:val="000000"/>
                <w:sz w:val="20"/>
              </w:rPr>
              <w:t>30.8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7A2C1" w14:textId="77777777" w:rsidR="00340B6C" w:rsidRDefault="00340B6C" w:rsidP="00340B6C">
            <w:pPr>
              <w:spacing w:after="0"/>
              <w:jc w:val="center"/>
            </w:pPr>
            <w:r>
              <w:rPr>
                <w:rFonts w:ascii="Times New Roman" w:eastAsia="Times New Roman" w:hAnsi="Times New Roman"/>
                <w:color w:val="000000"/>
                <w:sz w:val="20"/>
              </w:rPr>
              <w:t>26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BB4EE" w14:textId="77777777" w:rsidR="00340B6C" w:rsidRDefault="00340B6C" w:rsidP="00340B6C">
            <w:pPr>
              <w:spacing w:after="0"/>
              <w:jc w:val="center"/>
            </w:pPr>
            <w:r>
              <w:rPr>
                <w:rFonts w:ascii="Times New Roman" w:eastAsia="Times New Roman" w:hAnsi="Times New Roman"/>
                <w:color w:val="000000"/>
                <w:sz w:val="20"/>
              </w:rPr>
              <w:t>21.8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9011A" w14:textId="77777777" w:rsidR="00340B6C" w:rsidRDefault="00340B6C" w:rsidP="00340B6C">
            <w:pPr>
              <w:spacing w:after="0"/>
              <w:jc w:val="center"/>
            </w:pPr>
            <w:r>
              <w:rPr>
                <w:rFonts w:ascii="Times New Roman" w:eastAsia="Times New Roman" w:hAnsi="Times New Roman"/>
                <w:color w:val="000000"/>
                <w:sz w:val="20"/>
              </w:rPr>
              <w:t>4,345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C18FD" w14:textId="77777777" w:rsidR="00340B6C" w:rsidRDefault="00340B6C" w:rsidP="00340B6C">
            <w:pPr>
              <w:spacing w:after="0"/>
              <w:jc w:val="center"/>
            </w:pPr>
            <w:r>
              <w:rPr>
                <w:rFonts w:ascii="Times New Roman" w:eastAsia="Times New Roman" w:hAnsi="Times New Roman"/>
                <w:color w:val="000000"/>
                <w:sz w:val="20"/>
              </w:rPr>
              <w:t>24.0</w:t>
            </w:r>
          </w:p>
        </w:tc>
      </w:tr>
      <w:tr w:rsidR="00340B6C" w14:paraId="3826A0EE"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A57400" w14:textId="77777777" w:rsidR="00340B6C" w:rsidRDefault="00340B6C" w:rsidP="00340B6C">
            <w:pPr>
              <w:spacing w:after="0"/>
            </w:pPr>
            <w:r>
              <w:rPr>
                <w:rFonts w:ascii="Times New Roman" w:eastAsia="Times New Roman" w:hAnsi="Times New Roman"/>
                <w:color w:val="000000"/>
                <w:sz w:val="20"/>
              </w:rPr>
              <w:t>Not Available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0082F" w14:textId="77777777" w:rsidR="00340B6C" w:rsidRDefault="00340B6C" w:rsidP="00340B6C">
            <w:pPr>
              <w:spacing w:after="0"/>
            </w:pPr>
          </w:p>
        </w:tc>
      </w:tr>
      <w:tr w:rsidR="00340B6C" w14:paraId="31AE2844" w14:textId="77777777" w:rsidTr="00EA0023">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CF8AA98" w14:textId="77777777" w:rsidR="00340B6C" w:rsidRDefault="00340B6C" w:rsidP="00340B6C">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564C8" w14:textId="77777777" w:rsidR="00340B6C" w:rsidRDefault="00340B6C" w:rsidP="00340B6C">
            <w:pPr>
              <w:spacing w:after="0"/>
              <w:jc w:val="center"/>
            </w:pPr>
            <w:r>
              <w:rPr>
                <w:rFonts w:ascii="Times New Roman" w:eastAsia="Times New Roman" w:hAnsi="Times New Roman"/>
                <w:color w:val="000000"/>
                <w:sz w:val="20"/>
              </w:rPr>
              <w:t>0.1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82526" w14:textId="77777777" w:rsidR="00340B6C" w:rsidRDefault="00340B6C" w:rsidP="00340B6C">
            <w:pPr>
              <w:spacing w:after="0"/>
              <w:jc w:val="center"/>
            </w:pPr>
            <w:r>
              <w:rPr>
                <w:rFonts w:ascii="Times New Roman" w:eastAsia="Times New Roman" w:hAnsi="Times New Roman"/>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E5EA22" w14:textId="77777777" w:rsidR="00340B6C" w:rsidRDefault="00340B6C" w:rsidP="00340B6C">
            <w:pPr>
              <w:spacing w:after="0"/>
              <w:jc w:val="center"/>
            </w:pPr>
            <w:r>
              <w:rPr>
                <w:rFonts w:ascii="Times New Roman" w:eastAsia="Times New Roman" w:hAnsi="Times New Roman"/>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41790" w14:textId="77777777" w:rsidR="00340B6C" w:rsidRDefault="00340B6C" w:rsidP="00340B6C">
            <w:pPr>
              <w:spacing w:after="0"/>
              <w:jc w:val="center"/>
            </w:pPr>
            <w:r>
              <w:rPr>
                <w:rFonts w:ascii="Times New Roman" w:eastAsia="Times New Roman" w:hAnsi="Times New Roman"/>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8906E" w14:textId="77777777" w:rsidR="00340B6C" w:rsidRDefault="00340B6C" w:rsidP="00340B6C">
            <w:pPr>
              <w:spacing w:after="0"/>
              <w:jc w:val="center"/>
            </w:pPr>
            <w:r>
              <w:rPr>
                <w:rFonts w:ascii="Times New Roman" w:eastAsia="Times New Roman" w:hAnsi="Times New Roman"/>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9B0BD" w14:textId="77777777" w:rsidR="00340B6C" w:rsidRDefault="00340B6C" w:rsidP="00340B6C">
            <w:pPr>
              <w:spacing w:after="0"/>
              <w:jc w:val="center"/>
            </w:pPr>
            <w:r>
              <w:rPr>
                <w:rFonts w:ascii="Times New Roman" w:eastAsia="Times New Roman" w:hAnsi="Times New Roman"/>
                <w:color w:val="000000"/>
                <w:sz w:val="20"/>
              </w:rPr>
              <w:t>0.0</w:t>
            </w:r>
          </w:p>
        </w:tc>
      </w:tr>
      <w:tr w:rsidR="00340B6C" w14:paraId="5824F9EF"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4B77DF" w14:textId="77777777" w:rsidR="00340B6C" w:rsidRDefault="00340B6C" w:rsidP="00340B6C">
            <w:pPr>
              <w:spacing w:after="0"/>
            </w:pPr>
            <w:r>
              <w:rPr>
                <w:rFonts w:ascii="Times New Roman" w:eastAsia="Times New Roman" w:hAnsi="Times New Roman"/>
                <w:b/>
                <w:color w:val="000000"/>
                <w:sz w:val="20"/>
              </w:rPr>
              <w:t>Totals</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25E35" w14:textId="77777777" w:rsidR="00340B6C" w:rsidRDefault="00340B6C" w:rsidP="00340B6C">
            <w:pPr>
              <w:spacing w:after="0"/>
            </w:pPr>
          </w:p>
        </w:tc>
      </w:tr>
      <w:tr w:rsidR="00340B6C" w14:paraId="5FDBC144" w14:textId="77777777" w:rsidTr="00EA0023">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953399" w14:textId="77777777" w:rsidR="00340B6C" w:rsidRDefault="00340B6C" w:rsidP="00340B6C">
            <w:pPr>
              <w:spacing w:after="0"/>
              <w:jc w:val="right"/>
            </w:pPr>
            <w:r>
              <w:rPr>
                <w:rFonts w:ascii="Times New Roman" w:eastAsia="Times New Roman" w:hAnsi="Times New Roman"/>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E92C07" w14:textId="77777777" w:rsidR="00340B6C" w:rsidRDefault="00340B6C" w:rsidP="00340B6C">
            <w:pPr>
              <w:spacing w:after="0"/>
              <w:jc w:val="center"/>
            </w:pPr>
            <w:r>
              <w:rPr>
                <w:rFonts w:ascii="Times New Roman" w:eastAsia="Times New Roman" w:hAnsi="Times New Roman"/>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AF245" w14:textId="77777777" w:rsidR="00340B6C" w:rsidRDefault="00340B6C" w:rsidP="00340B6C">
            <w:pPr>
              <w:spacing w:after="0"/>
              <w:jc w:val="center"/>
            </w:pPr>
            <w:r>
              <w:rPr>
                <w:rFonts w:ascii="Times New Roman" w:eastAsia="Times New Roman" w:hAnsi="Times New Roman"/>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CFFEE" w14:textId="77777777" w:rsidR="00340B6C" w:rsidRDefault="00340B6C" w:rsidP="00340B6C">
            <w:pPr>
              <w:spacing w:after="0"/>
              <w:jc w:val="center"/>
            </w:pPr>
            <w:r>
              <w:rPr>
                <w:rFonts w:ascii="Times New Roman" w:eastAsia="Times New Roman" w:hAnsi="Times New Roman"/>
                <w:b/>
                <w:color w:val="000000"/>
                <w:sz w:val="20"/>
              </w:rPr>
              <w:t>119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333682" w14:textId="77777777" w:rsidR="00340B6C" w:rsidRDefault="00340B6C" w:rsidP="00340B6C">
            <w:pPr>
              <w:spacing w:after="0"/>
              <w:jc w:val="center"/>
            </w:pPr>
            <w:r>
              <w:rPr>
                <w:rFonts w:ascii="Times New Roman" w:eastAsia="Times New Roman" w:hAnsi="Times New Roman"/>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F0C65" w14:textId="77777777" w:rsidR="00340B6C" w:rsidRDefault="00340B6C" w:rsidP="00340B6C">
            <w:pPr>
              <w:spacing w:after="0"/>
              <w:jc w:val="center"/>
            </w:pPr>
            <w:r>
              <w:rPr>
                <w:rFonts w:ascii="Times New Roman" w:eastAsia="Times New Roman" w:hAnsi="Times New Roman"/>
                <w:b/>
                <w:color w:val="000000"/>
                <w:sz w:val="20"/>
              </w:rPr>
              <w:t>18,092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B3924" w14:textId="77777777" w:rsidR="00340B6C" w:rsidRDefault="00340B6C" w:rsidP="00340B6C">
            <w:pPr>
              <w:spacing w:after="0"/>
              <w:jc w:val="center"/>
            </w:pPr>
            <w:r>
              <w:rPr>
                <w:rFonts w:ascii="Times New Roman" w:eastAsia="Times New Roman" w:hAnsi="Times New Roman"/>
                <w:b/>
                <w:color w:val="000000"/>
                <w:sz w:val="20"/>
              </w:rPr>
              <w:t>100.0</w:t>
            </w:r>
          </w:p>
        </w:tc>
      </w:tr>
      <w:tr w:rsidR="00340B6C" w14:paraId="6535CE1E" w14:textId="77777777" w:rsidTr="00340B6C">
        <w:trPr>
          <w:trHeight w:val="104"/>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C922778" w14:textId="7480DB21" w:rsidR="00340B6C" w:rsidRDefault="00340B6C" w:rsidP="00340B6C">
            <w:pPr>
              <w:spacing w:after="0"/>
            </w:pPr>
            <w:r>
              <w:rPr>
                <w:rFonts w:ascii="Times New Roman" w:eastAsia="Times New Roman" w:hAnsi="Times New Roman"/>
                <w:i/>
                <w:color w:val="000000"/>
                <w:sz w:val="16"/>
              </w:rPr>
              <w:t>Source: 2019 D&amp;B Data; Bank Data; 2019 CRA Aggregate Data, "--" data not available.</w:t>
            </w:r>
          </w:p>
          <w:p w14:paraId="5E00F14C" w14:textId="77777777" w:rsidR="00340B6C" w:rsidRDefault="00340B6C" w:rsidP="00340B6C">
            <w:pPr>
              <w:spacing w:after="0"/>
            </w:pPr>
            <w:r>
              <w:rPr>
                <w:rFonts w:ascii="Times New Roman" w:eastAsia="Times New Roman" w:hAnsi="Times New Roman"/>
                <w:i/>
                <w:color w:val="000000"/>
                <w:sz w:val="16"/>
              </w:rPr>
              <w:t>Due to rounding, totals may not equal 100.0%</w:t>
            </w:r>
          </w:p>
        </w:tc>
      </w:tr>
    </w:tbl>
    <w:p w14:paraId="5C31491C" w14:textId="77777777" w:rsidR="00225EB7" w:rsidRDefault="00225EB7" w:rsidP="00E50970">
      <w:pPr>
        <w:spacing w:after="0" w:line="240" w:lineRule="auto"/>
        <w:rPr>
          <w:rFonts w:ascii="Times New Roman" w:eastAsia="Times New Roman" w:hAnsi="Times New Roman" w:cs="Times New Roman"/>
          <w:sz w:val="24"/>
          <w:szCs w:val="24"/>
        </w:rPr>
      </w:pPr>
    </w:p>
    <w:p w14:paraId="69CEACCF" w14:textId="77777777" w:rsidR="00E50970" w:rsidRPr="0087325F" w:rsidRDefault="00E50970" w:rsidP="00E50970">
      <w:pPr>
        <w:spacing w:after="0" w:line="240" w:lineRule="auto"/>
        <w:rPr>
          <w:rFonts w:ascii="Times New Roman" w:eastAsia="Times New Roman" w:hAnsi="Times New Roman" w:cs="Times New Roman"/>
          <w:b/>
          <w:bCs/>
          <w:sz w:val="24"/>
          <w:szCs w:val="24"/>
          <w:u w:val="single"/>
        </w:rPr>
      </w:pPr>
      <w:r w:rsidRPr="0087325F">
        <w:rPr>
          <w:rFonts w:ascii="Times New Roman" w:eastAsia="Times New Roman" w:hAnsi="Times New Roman" w:cs="Times New Roman"/>
          <w:b/>
          <w:bCs/>
          <w:sz w:val="24"/>
          <w:szCs w:val="24"/>
          <w:u w:val="single"/>
        </w:rPr>
        <w:t>Borrower Profile</w:t>
      </w:r>
    </w:p>
    <w:p w14:paraId="38C861C8" w14:textId="77777777" w:rsidR="00E50970" w:rsidRPr="003F6C8F" w:rsidRDefault="00E50970" w:rsidP="00E50970">
      <w:pPr>
        <w:spacing w:after="0" w:line="240" w:lineRule="auto"/>
        <w:rPr>
          <w:rFonts w:ascii="Times New Roman" w:eastAsia="Times New Roman" w:hAnsi="Times New Roman" w:cs="Times New Roman"/>
          <w:bCs/>
          <w:sz w:val="24"/>
          <w:szCs w:val="24"/>
        </w:rPr>
      </w:pPr>
    </w:p>
    <w:p w14:paraId="7A5C14A9" w14:textId="3CD50EB3" w:rsidR="003F6C8F" w:rsidRPr="003F6C8F" w:rsidRDefault="003F6C8F" w:rsidP="003F6C8F">
      <w:pPr>
        <w:spacing w:after="0" w:line="240" w:lineRule="auto"/>
        <w:rPr>
          <w:rFonts w:ascii="Times New Roman" w:eastAsia="Times New Roman" w:hAnsi="Times New Roman" w:cs="Times New Roman"/>
          <w:bCs/>
          <w:sz w:val="24"/>
          <w:szCs w:val="24"/>
        </w:rPr>
      </w:pPr>
      <w:r w:rsidRPr="003F6C8F">
        <w:rPr>
          <w:rFonts w:ascii="Times New Roman" w:eastAsia="Times New Roman" w:hAnsi="Times New Roman" w:cs="Times New Roman"/>
          <w:bCs/>
          <w:sz w:val="24"/>
          <w:szCs w:val="24"/>
        </w:rPr>
        <w:t xml:space="preserve">The distribution of borrowers reflects, given the demographics of the assessment area, excellent penetration among individuals of different income levels and </w:t>
      </w:r>
      <w:r w:rsidR="000A06A2">
        <w:rPr>
          <w:rFonts w:ascii="Times New Roman" w:eastAsia="Times New Roman" w:hAnsi="Times New Roman" w:cs="Times New Roman"/>
          <w:bCs/>
          <w:sz w:val="24"/>
          <w:szCs w:val="24"/>
        </w:rPr>
        <w:t xml:space="preserve">good penetration among </w:t>
      </w:r>
      <w:r w:rsidRPr="003F6C8F">
        <w:rPr>
          <w:rFonts w:ascii="Times New Roman" w:eastAsia="Times New Roman" w:hAnsi="Times New Roman" w:cs="Times New Roman"/>
          <w:bCs/>
          <w:sz w:val="24"/>
          <w:szCs w:val="24"/>
        </w:rPr>
        <w:t>businesses of different sizes.</w:t>
      </w:r>
    </w:p>
    <w:p w14:paraId="3991A3E3" w14:textId="77777777" w:rsidR="003F6C8F" w:rsidRPr="003F6C8F" w:rsidRDefault="003F6C8F" w:rsidP="00E50970">
      <w:pPr>
        <w:spacing w:after="0" w:line="240" w:lineRule="auto"/>
        <w:rPr>
          <w:rFonts w:ascii="Times New Roman" w:eastAsia="Times New Roman" w:hAnsi="Times New Roman" w:cs="Times New Roman"/>
          <w:bCs/>
          <w:sz w:val="24"/>
          <w:szCs w:val="24"/>
        </w:rPr>
      </w:pPr>
    </w:p>
    <w:p w14:paraId="2349051F" w14:textId="77777777" w:rsidR="0087325F" w:rsidRPr="0087325F" w:rsidRDefault="0087325F" w:rsidP="00E50970">
      <w:pPr>
        <w:spacing w:after="0" w:line="240" w:lineRule="auto"/>
        <w:rPr>
          <w:rFonts w:ascii="Times New Roman" w:eastAsia="Times New Roman" w:hAnsi="Times New Roman" w:cs="Times New Roman"/>
          <w:b/>
          <w:bCs/>
          <w:sz w:val="24"/>
          <w:szCs w:val="24"/>
        </w:rPr>
      </w:pPr>
      <w:r w:rsidRPr="0087325F">
        <w:rPr>
          <w:rFonts w:ascii="Times New Roman" w:eastAsia="Times New Roman" w:hAnsi="Times New Roman" w:cs="Times New Roman"/>
          <w:b/>
          <w:bCs/>
          <w:sz w:val="24"/>
          <w:szCs w:val="24"/>
        </w:rPr>
        <w:t>Home Mortgage Loans</w:t>
      </w:r>
    </w:p>
    <w:p w14:paraId="007789F6" w14:textId="77777777" w:rsidR="00FF01E1" w:rsidRDefault="001F4EB5" w:rsidP="001F4EB5">
      <w:pPr>
        <w:spacing w:after="0" w:line="240" w:lineRule="auto"/>
        <w:contextualSpacing/>
        <w:rPr>
          <w:rFonts w:ascii="Times New Roman" w:eastAsia="Times New Roman" w:hAnsi="Times New Roman" w:cs="Times New Roman"/>
          <w:sz w:val="24"/>
          <w:szCs w:val="24"/>
        </w:rPr>
      </w:pPr>
      <w:r w:rsidRPr="00D13784">
        <w:rPr>
          <w:rFonts w:ascii="Times New Roman" w:eastAsia="Times New Roman" w:hAnsi="Times New Roman" w:cs="Times New Roman"/>
          <w:bCs/>
          <w:sz w:val="24"/>
          <w:szCs w:val="24"/>
        </w:rPr>
        <w:t>The distribution of borrowers reflects, given the demographics of the assessment area, excellent penetration among individuals of different income levels.</w:t>
      </w:r>
      <w:r>
        <w:rPr>
          <w:rFonts w:ascii="Times New Roman" w:eastAsia="Times New Roman" w:hAnsi="Times New Roman" w:cs="Times New Roman"/>
          <w:bCs/>
          <w:sz w:val="24"/>
          <w:szCs w:val="24"/>
        </w:rPr>
        <w:t xml:space="preserve">  </w:t>
      </w:r>
      <w:r>
        <w:rPr>
          <w:rFonts w:ascii="Times New Roman" w:hAnsi="Times New Roman" w:cs="Times New Roman"/>
          <w:iCs/>
          <w:sz w:val="24"/>
          <w:szCs w:val="24"/>
        </w:rPr>
        <w:t xml:space="preserve">The bank’s </w:t>
      </w:r>
      <w:r w:rsidR="00FF01E1">
        <w:rPr>
          <w:rFonts w:ascii="Times New Roman" w:hAnsi="Times New Roman" w:cs="Times New Roman"/>
          <w:iCs/>
          <w:sz w:val="24"/>
          <w:szCs w:val="24"/>
        </w:rPr>
        <w:t xml:space="preserve">2019 </w:t>
      </w:r>
      <w:r>
        <w:rPr>
          <w:rFonts w:ascii="Times New Roman" w:hAnsi="Times New Roman" w:cs="Times New Roman"/>
          <w:iCs/>
          <w:sz w:val="24"/>
          <w:szCs w:val="24"/>
        </w:rPr>
        <w:t>h</w:t>
      </w:r>
      <w:r>
        <w:rPr>
          <w:rFonts w:ascii="Times New Roman" w:eastAsia="Times New Roman" w:hAnsi="Times New Roman" w:cs="Times New Roman"/>
          <w:sz w:val="24"/>
          <w:szCs w:val="24"/>
        </w:rPr>
        <w:t xml:space="preserve">ome mortgage lending to low-income borrowers increased </w:t>
      </w:r>
      <w:r w:rsidR="00FF01E1">
        <w:rPr>
          <w:rFonts w:ascii="Times New Roman" w:eastAsia="Times New Roman" w:hAnsi="Times New Roman" w:cs="Times New Roman"/>
          <w:sz w:val="24"/>
          <w:szCs w:val="24"/>
        </w:rPr>
        <w:t xml:space="preserve">compared to prior years and was significantly above aggregate performance. </w:t>
      </w:r>
      <w:r>
        <w:rPr>
          <w:rFonts w:ascii="Times New Roman" w:eastAsia="Times New Roman" w:hAnsi="Times New Roman" w:cs="Times New Roman"/>
          <w:sz w:val="24"/>
          <w:szCs w:val="24"/>
        </w:rPr>
        <w:t xml:space="preserve"> </w:t>
      </w:r>
      <w:r w:rsidR="00FF01E1">
        <w:rPr>
          <w:rFonts w:ascii="Times New Roman" w:eastAsia="Times New Roman" w:hAnsi="Times New Roman" w:cs="Times New Roman"/>
          <w:sz w:val="24"/>
          <w:szCs w:val="24"/>
        </w:rPr>
        <w:t>A</w:t>
      </w:r>
      <w:r>
        <w:rPr>
          <w:rFonts w:ascii="Times New Roman" w:eastAsia="Times New Roman" w:hAnsi="Times New Roman" w:cs="Times New Roman"/>
          <w:sz w:val="24"/>
          <w:szCs w:val="24"/>
        </w:rPr>
        <w:t>lthough the bank trailed demographic percentages throughout the evaluation period</w:t>
      </w:r>
      <w:r w:rsidR="00FF01E1">
        <w:rPr>
          <w:rFonts w:ascii="Times New Roman" w:eastAsia="Times New Roman" w:hAnsi="Times New Roman" w:cs="Times New Roman"/>
          <w:sz w:val="24"/>
          <w:szCs w:val="24"/>
        </w:rPr>
        <w:t>, the percentage of low-income families overstates home mortgage loan demand for this group due to difficulties with affording home ownership at these income levels</w:t>
      </w:r>
      <w:r>
        <w:rPr>
          <w:rFonts w:ascii="Times New Roman" w:eastAsia="Times New Roman" w:hAnsi="Times New Roman" w:cs="Times New Roman"/>
          <w:sz w:val="24"/>
          <w:szCs w:val="24"/>
        </w:rPr>
        <w:t xml:space="preserve">.  </w:t>
      </w:r>
    </w:p>
    <w:p w14:paraId="33AB22FD" w14:textId="77777777" w:rsidR="00FF01E1" w:rsidRDefault="00FF01E1" w:rsidP="001F4EB5">
      <w:pPr>
        <w:spacing w:after="0" w:line="240" w:lineRule="auto"/>
        <w:contextualSpacing/>
        <w:rPr>
          <w:rFonts w:ascii="Times New Roman" w:eastAsia="Times New Roman" w:hAnsi="Times New Roman" w:cs="Times New Roman"/>
          <w:sz w:val="24"/>
          <w:szCs w:val="24"/>
        </w:rPr>
      </w:pPr>
    </w:p>
    <w:p w14:paraId="43563EF1" w14:textId="7A6B9045" w:rsidR="001F4EB5" w:rsidRPr="003678A4" w:rsidRDefault="003678A4" w:rsidP="001F4EB5">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T</w:t>
      </w:r>
      <w:r w:rsidR="001F4EB5">
        <w:rPr>
          <w:rFonts w:ascii="Times New Roman" w:eastAsia="Times New Roman" w:hAnsi="Times New Roman" w:cs="Times New Roman"/>
          <w:sz w:val="24"/>
          <w:szCs w:val="24"/>
        </w:rPr>
        <w:t xml:space="preserve">he bank </w:t>
      </w:r>
      <w:r w:rsidR="001F4EB5" w:rsidRPr="001A6557">
        <w:rPr>
          <w:rFonts w:ascii="Times New Roman" w:eastAsia="Times New Roman" w:hAnsi="Times New Roman" w:cs="Times New Roman"/>
          <w:sz w:val="24"/>
          <w:szCs w:val="24"/>
        </w:rPr>
        <w:t>significantly</w:t>
      </w:r>
      <w:r w:rsidR="001F4EB5">
        <w:rPr>
          <w:rFonts w:ascii="Times New Roman" w:eastAsia="Times New Roman" w:hAnsi="Times New Roman" w:cs="Times New Roman"/>
          <w:sz w:val="24"/>
          <w:szCs w:val="24"/>
        </w:rPr>
        <w:t xml:space="preserve"> increased originations to moderate-income individuals during the </w:t>
      </w:r>
      <w:r>
        <w:rPr>
          <w:rFonts w:ascii="Times New Roman" w:eastAsia="Times New Roman" w:hAnsi="Times New Roman" w:cs="Times New Roman"/>
          <w:sz w:val="24"/>
          <w:szCs w:val="24"/>
        </w:rPr>
        <w:t>evaluation</w:t>
      </w:r>
      <w:r w:rsidR="001F4EB5">
        <w:rPr>
          <w:rFonts w:ascii="Times New Roman" w:eastAsia="Times New Roman" w:hAnsi="Times New Roman" w:cs="Times New Roman"/>
          <w:sz w:val="24"/>
          <w:szCs w:val="24"/>
        </w:rPr>
        <w:t xml:space="preserve"> period.  The bank’s performance in moderate-income borrowers was consistently significantly above aggregate and demographic data throughout the evaluation</w:t>
      </w:r>
      <w:r w:rsidR="00FF01E1">
        <w:rPr>
          <w:rFonts w:ascii="Times New Roman" w:eastAsia="Times New Roman" w:hAnsi="Times New Roman" w:cs="Times New Roman"/>
          <w:sz w:val="24"/>
          <w:szCs w:val="24"/>
        </w:rPr>
        <w:t xml:space="preserve"> period</w:t>
      </w:r>
      <w:r w:rsidR="001F4EB5">
        <w:rPr>
          <w:rFonts w:ascii="Times New Roman" w:eastAsia="Times New Roman" w:hAnsi="Times New Roman" w:cs="Times New Roman"/>
          <w:sz w:val="24"/>
          <w:szCs w:val="24"/>
        </w:rPr>
        <w:t xml:space="preserve">.  </w:t>
      </w:r>
      <w:r w:rsidR="00AC3896">
        <w:rPr>
          <w:rFonts w:ascii="Times New Roman" w:eastAsia="Times New Roman" w:hAnsi="Times New Roman" w:cs="Times New Roman"/>
          <w:sz w:val="24"/>
          <w:szCs w:val="24"/>
        </w:rPr>
        <w:t>In 2019, HOB and HOME r</w:t>
      </w:r>
      <w:r>
        <w:rPr>
          <w:rFonts w:ascii="Times New Roman" w:eastAsia="Times New Roman" w:hAnsi="Times New Roman" w:cs="Times New Roman"/>
          <w:sz w:val="24"/>
          <w:szCs w:val="24"/>
        </w:rPr>
        <w:t>anked 12</w:t>
      </w:r>
      <w:r w:rsidRPr="003678A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out of 202 lenders that made loans to low-income borrowers and 19</w:t>
      </w:r>
      <w:r w:rsidRPr="003678A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out of 278 lenders</w:t>
      </w:r>
      <w:r w:rsidR="000546F7">
        <w:rPr>
          <w:rFonts w:ascii="Times New Roman" w:eastAsia="Times New Roman" w:hAnsi="Times New Roman" w:cs="Times New Roman"/>
          <w:sz w:val="24"/>
          <w:szCs w:val="24"/>
        </w:rPr>
        <w:t xml:space="preserve"> that made loans to moderate-income borrowers</w:t>
      </w:r>
      <w:r>
        <w:rPr>
          <w:rFonts w:ascii="Times New Roman" w:eastAsia="Times New Roman" w:hAnsi="Times New Roman" w:cs="Times New Roman"/>
          <w:sz w:val="24"/>
          <w:szCs w:val="24"/>
        </w:rPr>
        <w:t>.  These market share rankings demonstrate an excellent level of lending to low</w:t>
      </w:r>
      <w:r w:rsidR="00FF0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moderate</w:t>
      </w:r>
      <w:r w:rsidR="00FF0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income </w:t>
      </w:r>
      <w:r w:rsidR="00FF01E1">
        <w:rPr>
          <w:rFonts w:ascii="Times New Roman" w:eastAsia="Times New Roman" w:hAnsi="Times New Roman" w:cs="Times New Roman"/>
          <w:sz w:val="24"/>
          <w:szCs w:val="24"/>
        </w:rPr>
        <w:t>borrower</w:t>
      </w:r>
      <w:r>
        <w:rPr>
          <w:rFonts w:ascii="Times New Roman" w:eastAsia="Times New Roman" w:hAnsi="Times New Roman" w:cs="Times New Roman"/>
          <w:sz w:val="24"/>
          <w:szCs w:val="24"/>
        </w:rPr>
        <w:t>s</w:t>
      </w:r>
      <w:r w:rsidR="000546F7">
        <w:rPr>
          <w:rFonts w:ascii="Times New Roman" w:eastAsia="Times New Roman" w:hAnsi="Times New Roman" w:cs="Times New Roman"/>
          <w:sz w:val="24"/>
          <w:szCs w:val="24"/>
        </w:rPr>
        <w:t xml:space="preserve"> as </w:t>
      </w:r>
      <w:r w:rsidR="00AC3896">
        <w:rPr>
          <w:rFonts w:ascii="Times New Roman" w:eastAsia="Times New Roman" w:hAnsi="Times New Roman" w:cs="Times New Roman"/>
          <w:sz w:val="24"/>
          <w:szCs w:val="24"/>
        </w:rPr>
        <w:t>the bank</w:t>
      </w:r>
      <w:r w:rsidR="000546F7">
        <w:rPr>
          <w:rFonts w:ascii="Times New Roman" w:eastAsia="Times New Roman" w:hAnsi="Times New Roman" w:cs="Times New Roman"/>
          <w:sz w:val="24"/>
          <w:szCs w:val="24"/>
        </w:rPr>
        <w:t xml:space="preserve"> outperformed other local community banks</w:t>
      </w:r>
      <w:r>
        <w:rPr>
          <w:rFonts w:ascii="Times New Roman" w:eastAsia="Times New Roman" w:hAnsi="Times New Roman" w:cs="Times New Roman"/>
          <w:sz w:val="24"/>
          <w:szCs w:val="24"/>
        </w:rPr>
        <w:t xml:space="preserve">.  </w:t>
      </w:r>
      <w:r w:rsidR="001F4EB5">
        <w:rPr>
          <w:rFonts w:ascii="Times New Roman" w:eastAsia="Times New Roman" w:hAnsi="Times New Roman" w:cs="Times New Roman"/>
          <w:sz w:val="24"/>
          <w:szCs w:val="24"/>
        </w:rPr>
        <w:t xml:space="preserve">Given the bank’s increase in lending activity and consistent </w:t>
      </w:r>
      <w:r w:rsidR="001F4EB5">
        <w:rPr>
          <w:rFonts w:ascii="Times New Roman" w:eastAsia="Times New Roman" w:hAnsi="Times New Roman" w:cs="Times New Roman"/>
          <w:sz w:val="24"/>
          <w:szCs w:val="24"/>
        </w:rPr>
        <w:lastRenderedPageBreak/>
        <w:t>performance above its peers, the bank’s performance to low- and moderate-income borrowers supports excellent distribution.</w:t>
      </w:r>
    </w:p>
    <w:p w14:paraId="5EB984BB" w14:textId="77777777" w:rsidR="00812AEB" w:rsidRDefault="00812AEB" w:rsidP="00E50970">
      <w:pPr>
        <w:spacing w:after="0" w:line="240" w:lineRule="auto"/>
        <w:rPr>
          <w:rFonts w:ascii="Times New Roman" w:eastAsia="Times New Roman" w:hAnsi="Times New Roman" w:cs="Times New Roman"/>
          <w:b/>
          <w:bCs/>
          <w:sz w:val="24"/>
          <w:szCs w:val="24"/>
        </w:rPr>
      </w:pPr>
    </w:p>
    <w:tbl>
      <w:tblPr>
        <w:tblW w:w="0" w:type="auto"/>
        <w:tblCellMar>
          <w:left w:w="0" w:type="dxa"/>
          <w:right w:w="0" w:type="dxa"/>
        </w:tblCellMar>
        <w:tblLook w:val="0000" w:firstRow="0" w:lastRow="0" w:firstColumn="0" w:lastColumn="0" w:noHBand="0" w:noVBand="0"/>
      </w:tblPr>
      <w:tblGrid>
        <w:gridCol w:w="2304"/>
        <w:gridCol w:w="1440"/>
        <w:gridCol w:w="1440"/>
        <w:gridCol w:w="1152"/>
        <w:gridCol w:w="1008"/>
        <w:gridCol w:w="1152"/>
        <w:gridCol w:w="1008"/>
      </w:tblGrid>
      <w:tr w:rsidR="00812AEB" w14:paraId="5F9B5DAC" w14:textId="77777777" w:rsidTr="00BE0C70">
        <w:trPr>
          <w:trHeight w:val="426"/>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0E25EA54" w14:textId="77777777" w:rsidR="00812AEB" w:rsidRDefault="00812AEB" w:rsidP="00812AEB">
            <w:pPr>
              <w:spacing w:after="0"/>
              <w:jc w:val="center"/>
            </w:pPr>
            <w:r>
              <w:rPr>
                <w:rFonts w:ascii="Times New Roman" w:eastAsia="Times New Roman" w:hAnsi="Times New Roman"/>
                <w:b/>
                <w:color w:val="000000"/>
                <w:sz w:val="20"/>
              </w:rPr>
              <w:t>Distribution of Home Mortgage Loans by Borrower Income Level</w:t>
            </w:r>
          </w:p>
        </w:tc>
      </w:tr>
      <w:tr w:rsidR="00812AEB" w14:paraId="5F495B80" w14:textId="77777777" w:rsidTr="00E6288B">
        <w:trPr>
          <w:trHeight w:val="31"/>
        </w:trPr>
        <w:tc>
          <w:tcPr>
            <w:tcW w:w="9504" w:type="dxa"/>
            <w:gridSpan w:val="7"/>
            <w:tcBorders>
              <w:left w:val="single" w:sz="7" w:space="0" w:color="000000"/>
              <w:right w:val="single" w:sz="7" w:space="0" w:color="000000"/>
            </w:tcBorders>
            <w:tcMar>
              <w:top w:w="39" w:type="dxa"/>
              <w:left w:w="39" w:type="dxa"/>
              <w:bottom w:w="39" w:type="dxa"/>
              <w:right w:w="39" w:type="dxa"/>
            </w:tcMar>
            <w:vAlign w:val="center"/>
          </w:tcPr>
          <w:p w14:paraId="6665826C" w14:textId="0CF0FB6E" w:rsidR="00812AEB" w:rsidRDefault="00812AEB" w:rsidP="00AC3896">
            <w:pPr>
              <w:spacing w:after="0"/>
              <w:jc w:val="center"/>
            </w:pPr>
            <w:r>
              <w:rPr>
                <w:rFonts w:ascii="Times New Roman" w:eastAsia="Times New Roman" w:hAnsi="Times New Roman"/>
                <w:b/>
                <w:color w:val="000000"/>
                <w:sz w:val="20"/>
              </w:rPr>
              <w:t xml:space="preserve">Assessment Area: </w:t>
            </w:r>
            <w:r w:rsidR="00AC3896">
              <w:rPr>
                <w:rFonts w:ascii="Times New Roman" w:eastAsia="Times New Roman" w:hAnsi="Times New Roman"/>
                <w:b/>
                <w:color w:val="000000"/>
                <w:sz w:val="20"/>
              </w:rPr>
              <w:t>Massachusetts</w:t>
            </w:r>
          </w:p>
        </w:tc>
      </w:tr>
      <w:tr w:rsidR="00812AEB" w14:paraId="50A07D56" w14:textId="77777777" w:rsidTr="00BE0C70">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48176B" w14:textId="77777777" w:rsidR="00812AEB" w:rsidRDefault="00812AEB" w:rsidP="00812AEB">
            <w:pPr>
              <w:spacing w:after="0"/>
            </w:pPr>
            <w:r>
              <w:rPr>
                <w:rFonts w:ascii="Times New Roman" w:eastAsia="Times New Roman" w:hAnsi="Times New Roman"/>
                <w:b/>
                <w:color w:val="000000"/>
                <w:sz w:val="20"/>
              </w:rPr>
              <w:t>Borrower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B71627" w14:textId="77777777" w:rsidR="00812AEB" w:rsidRDefault="00812AEB" w:rsidP="00812AEB">
            <w:pPr>
              <w:spacing w:after="0"/>
              <w:jc w:val="center"/>
            </w:pPr>
            <w:r>
              <w:rPr>
                <w:rFonts w:ascii="Times New Roman" w:eastAsia="Times New Roman" w:hAnsi="Times New Roman"/>
                <w:b/>
                <w:color w:val="000000"/>
                <w:sz w:val="20"/>
              </w:rPr>
              <w:t>% of  Families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D98513" w14:textId="77777777" w:rsidR="00812AEB" w:rsidRDefault="00812AEB" w:rsidP="00812AEB">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D2F881" w14:textId="77777777" w:rsidR="00812AEB" w:rsidRDefault="00812AEB" w:rsidP="00812AEB">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943517" w14:textId="77777777" w:rsidR="00812AEB" w:rsidRDefault="00812AEB" w:rsidP="00812AEB">
            <w:pPr>
              <w:spacing w:after="0"/>
              <w:jc w:val="center"/>
            </w:pPr>
            <w:r>
              <w:rPr>
                <w:rFonts w:ascii="Times New Roman" w:eastAsia="Times New Roman" w:hAnsi="Times New Roman"/>
                <w:b/>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C5B774" w14:textId="77777777" w:rsidR="00812AEB" w:rsidRDefault="00812AEB" w:rsidP="00812AEB">
            <w:pPr>
              <w:spacing w:after="0"/>
              <w:jc w:val="center"/>
            </w:pPr>
            <w:r>
              <w:rPr>
                <w:rFonts w:ascii="Times New Roman" w:eastAsia="Times New Roman" w:hAnsi="Times New Roman"/>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1BBFF8" w14:textId="77777777" w:rsidR="00812AEB" w:rsidRDefault="00812AEB" w:rsidP="00812AEB">
            <w:pPr>
              <w:spacing w:after="0"/>
              <w:jc w:val="center"/>
            </w:pPr>
            <w:r>
              <w:rPr>
                <w:rFonts w:ascii="Times New Roman" w:eastAsia="Times New Roman" w:hAnsi="Times New Roman"/>
                <w:b/>
                <w:color w:val="000000"/>
                <w:sz w:val="20"/>
              </w:rPr>
              <w:t>%</w:t>
            </w:r>
          </w:p>
        </w:tc>
      </w:tr>
      <w:tr w:rsidR="00812AEB" w14:paraId="7B6576AC"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F529FA" w14:textId="77777777" w:rsidR="00812AEB" w:rsidRDefault="00812AEB" w:rsidP="00812AEB">
            <w:pPr>
              <w:spacing w:after="0"/>
            </w:pPr>
            <w:r>
              <w:rPr>
                <w:rFonts w:ascii="Times New Roman" w:eastAsia="Times New Roman" w:hAnsi="Times New Roman"/>
                <w:color w:val="000000"/>
                <w:sz w:val="20"/>
              </w:rPr>
              <w:t>Low</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83E93" w14:textId="77777777" w:rsidR="00812AEB" w:rsidRDefault="00812AEB" w:rsidP="00812AEB">
            <w:pPr>
              <w:spacing w:after="0"/>
            </w:pPr>
          </w:p>
        </w:tc>
      </w:tr>
      <w:tr w:rsidR="00812AEB" w14:paraId="61A22FAD" w14:textId="77777777" w:rsidTr="00BE0C70">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E86AC8D" w14:textId="77777777" w:rsidR="00812AEB" w:rsidRDefault="00812AEB" w:rsidP="00812AEB">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69809" w14:textId="77777777" w:rsidR="00812AEB" w:rsidRDefault="00812AEB" w:rsidP="00812AEB">
            <w:pPr>
              <w:spacing w:after="0"/>
              <w:jc w:val="center"/>
            </w:pPr>
            <w:r>
              <w:rPr>
                <w:rFonts w:ascii="Times New Roman" w:eastAsia="Times New Roman" w:hAnsi="Times New Roman"/>
                <w:color w:val="000000"/>
                <w:sz w:val="20"/>
              </w:rPr>
              <w:t>20.4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5339A9" w14:textId="77777777" w:rsidR="00812AEB" w:rsidRDefault="00812AEB" w:rsidP="00812AEB">
            <w:pPr>
              <w:spacing w:after="0"/>
              <w:jc w:val="center"/>
            </w:pPr>
            <w:r>
              <w:rPr>
                <w:rFonts w:ascii="Times New Roman" w:eastAsia="Times New Roman" w:hAnsi="Times New Roman"/>
                <w:color w:val="000000"/>
                <w:sz w:val="20"/>
              </w:rPr>
              <w:t>5.4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7B833" w14:textId="77777777" w:rsidR="00812AEB" w:rsidRDefault="00812AEB" w:rsidP="00812AEB">
            <w:pPr>
              <w:spacing w:after="0"/>
              <w:jc w:val="center"/>
            </w:pPr>
            <w:r>
              <w:rPr>
                <w:rFonts w:ascii="Times New Roman" w:eastAsia="Times New Roman" w:hAnsi="Times New Roman"/>
                <w:color w:val="000000"/>
                <w:sz w:val="20"/>
              </w:rPr>
              <w:t>49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25206" w14:textId="77777777" w:rsidR="00812AEB" w:rsidRDefault="00812AEB" w:rsidP="00812AEB">
            <w:pPr>
              <w:spacing w:after="0"/>
              <w:jc w:val="center"/>
            </w:pPr>
            <w:r>
              <w:rPr>
                <w:rFonts w:ascii="Times New Roman" w:eastAsia="Times New Roman" w:hAnsi="Times New Roman"/>
                <w:color w:val="000000"/>
                <w:sz w:val="20"/>
              </w:rPr>
              <w:t>9.6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16D52" w14:textId="77777777" w:rsidR="00812AEB" w:rsidRDefault="00812AEB" w:rsidP="00812AEB">
            <w:pPr>
              <w:spacing w:after="0"/>
              <w:jc w:val="center"/>
            </w:pPr>
            <w:r>
              <w:rPr>
                <w:rFonts w:ascii="Times New Roman" w:eastAsia="Times New Roman" w:hAnsi="Times New Roman"/>
                <w:color w:val="000000"/>
                <w:sz w:val="20"/>
              </w:rPr>
              <w:t>7,469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BC505" w14:textId="77777777" w:rsidR="00812AEB" w:rsidRDefault="00812AEB" w:rsidP="00812AEB">
            <w:pPr>
              <w:spacing w:after="0"/>
              <w:jc w:val="center"/>
            </w:pPr>
            <w:r>
              <w:rPr>
                <w:rFonts w:ascii="Times New Roman" w:eastAsia="Times New Roman" w:hAnsi="Times New Roman"/>
                <w:color w:val="000000"/>
                <w:sz w:val="20"/>
              </w:rPr>
              <w:t>3.9</w:t>
            </w:r>
          </w:p>
        </w:tc>
      </w:tr>
      <w:tr w:rsidR="00812AEB" w14:paraId="551C4E77"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0BD80A" w14:textId="77777777" w:rsidR="00812AEB" w:rsidRDefault="00812AEB" w:rsidP="00812AEB">
            <w:pPr>
              <w:spacing w:after="0"/>
            </w:pPr>
            <w:r>
              <w:rPr>
                <w:rFonts w:ascii="Times New Roman" w:eastAsia="Times New Roman" w:hAnsi="Times New Roman"/>
                <w:color w:val="000000"/>
                <w:sz w:val="20"/>
              </w:rPr>
              <w:t>Moderate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BC975" w14:textId="77777777" w:rsidR="00812AEB" w:rsidRDefault="00812AEB" w:rsidP="00812AEB">
            <w:pPr>
              <w:spacing w:after="0"/>
            </w:pPr>
          </w:p>
        </w:tc>
      </w:tr>
      <w:tr w:rsidR="00812AEB" w14:paraId="6937FDE3" w14:textId="77777777" w:rsidTr="00BE0C70">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9FB1794" w14:textId="77777777" w:rsidR="00812AEB" w:rsidRDefault="00812AEB" w:rsidP="00812AEB">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45544" w14:textId="77777777" w:rsidR="00812AEB" w:rsidRDefault="00812AEB" w:rsidP="00812AEB">
            <w:pPr>
              <w:spacing w:after="0"/>
              <w:jc w:val="center"/>
            </w:pPr>
            <w:r>
              <w:rPr>
                <w:rFonts w:ascii="Times New Roman" w:eastAsia="Times New Roman" w:hAnsi="Times New Roman"/>
                <w:color w:val="000000"/>
                <w:sz w:val="20"/>
              </w:rPr>
              <w:t>16.9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7FD00" w14:textId="77777777" w:rsidR="00812AEB" w:rsidRDefault="00812AEB" w:rsidP="00812AEB">
            <w:pPr>
              <w:spacing w:after="0"/>
              <w:jc w:val="center"/>
            </w:pPr>
            <w:r>
              <w:rPr>
                <w:rFonts w:ascii="Times New Roman" w:eastAsia="Times New Roman" w:hAnsi="Times New Roman"/>
                <w:color w:val="000000"/>
                <w:sz w:val="20"/>
              </w:rPr>
              <w:t>19.4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1C709" w14:textId="77777777" w:rsidR="00812AEB" w:rsidRDefault="00812AEB" w:rsidP="00812AEB">
            <w:pPr>
              <w:spacing w:after="0"/>
              <w:jc w:val="center"/>
            </w:pPr>
            <w:r>
              <w:rPr>
                <w:rFonts w:ascii="Times New Roman" w:eastAsia="Times New Roman" w:hAnsi="Times New Roman"/>
                <w:color w:val="000000"/>
                <w:sz w:val="20"/>
              </w:rPr>
              <w:t>122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D7C89" w14:textId="77777777" w:rsidR="00812AEB" w:rsidRDefault="00812AEB" w:rsidP="00812AEB">
            <w:pPr>
              <w:spacing w:after="0"/>
              <w:jc w:val="center"/>
            </w:pPr>
            <w:r>
              <w:rPr>
                <w:rFonts w:ascii="Times New Roman" w:eastAsia="Times New Roman" w:hAnsi="Times New Roman"/>
                <w:color w:val="000000"/>
                <w:sz w:val="20"/>
              </w:rPr>
              <w:t>23.5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F6C8F" w14:textId="77777777" w:rsidR="00812AEB" w:rsidRDefault="00812AEB" w:rsidP="00812AEB">
            <w:pPr>
              <w:spacing w:after="0"/>
              <w:jc w:val="center"/>
            </w:pPr>
            <w:r>
              <w:rPr>
                <w:rFonts w:ascii="Times New Roman" w:eastAsia="Times New Roman" w:hAnsi="Times New Roman"/>
                <w:color w:val="000000"/>
                <w:sz w:val="20"/>
              </w:rPr>
              <w:t>29,998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48D29" w14:textId="77777777" w:rsidR="00812AEB" w:rsidRDefault="00812AEB" w:rsidP="00812AEB">
            <w:pPr>
              <w:spacing w:after="0"/>
              <w:jc w:val="center"/>
            </w:pPr>
            <w:r>
              <w:rPr>
                <w:rFonts w:ascii="Times New Roman" w:eastAsia="Times New Roman" w:hAnsi="Times New Roman"/>
                <w:color w:val="000000"/>
                <w:sz w:val="20"/>
              </w:rPr>
              <w:t>15.7</w:t>
            </w:r>
          </w:p>
        </w:tc>
      </w:tr>
      <w:tr w:rsidR="00812AEB" w14:paraId="1DA355BD"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13DCCF" w14:textId="77777777" w:rsidR="00812AEB" w:rsidRDefault="00812AEB" w:rsidP="00812AEB">
            <w:pPr>
              <w:spacing w:after="0"/>
            </w:pPr>
            <w:r>
              <w:rPr>
                <w:rFonts w:ascii="Times New Roman" w:eastAsia="Times New Roman" w:hAnsi="Times New Roman"/>
                <w:color w:val="000000"/>
                <w:sz w:val="20"/>
              </w:rPr>
              <w:t>Middle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AC7E5" w14:textId="77777777" w:rsidR="00812AEB" w:rsidRDefault="00812AEB" w:rsidP="00812AEB">
            <w:pPr>
              <w:spacing w:after="0"/>
            </w:pPr>
          </w:p>
        </w:tc>
      </w:tr>
      <w:tr w:rsidR="00812AEB" w14:paraId="6816467B" w14:textId="77777777" w:rsidTr="00BE0C70">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1CFA52" w14:textId="77777777" w:rsidR="00812AEB" w:rsidRDefault="00812AEB" w:rsidP="00812AEB">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BDA47" w14:textId="77777777" w:rsidR="00812AEB" w:rsidRDefault="00812AEB" w:rsidP="00812AEB">
            <w:pPr>
              <w:spacing w:after="0"/>
              <w:jc w:val="center"/>
            </w:pPr>
            <w:r>
              <w:rPr>
                <w:rFonts w:ascii="Times New Roman" w:eastAsia="Times New Roman" w:hAnsi="Times New Roman"/>
                <w:color w:val="000000"/>
                <w:sz w:val="20"/>
              </w:rPr>
              <w:t>20.7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1C25D" w14:textId="77777777" w:rsidR="00812AEB" w:rsidRDefault="00812AEB" w:rsidP="00812AEB">
            <w:pPr>
              <w:spacing w:after="0"/>
              <w:jc w:val="center"/>
            </w:pPr>
            <w:r>
              <w:rPr>
                <w:rFonts w:ascii="Times New Roman" w:eastAsia="Times New Roman" w:hAnsi="Times New Roman"/>
                <w:color w:val="000000"/>
                <w:sz w:val="20"/>
              </w:rPr>
              <w:t>24.6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A4B30" w14:textId="77777777" w:rsidR="00812AEB" w:rsidRDefault="00812AEB" w:rsidP="00812AEB">
            <w:pPr>
              <w:spacing w:after="0"/>
              <w:jc w:val="center"/>
            </w:pPr>
            <w:r>
              <w:rPr>
                <w:rFonts w:ascii="Times New Roman" w:eastAsia="Times New Roman" w:hAnsi="Times New Roman"/>
                <w:color w:val="000000"/>
                <w:sz w:val="20"/>
              </w:rPr>
              <w:t>170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375BC" w14:textId="77777777" w:rsidR="00812AEB" w:rsidRDefault="00812AEB" w:rsidP="00812AEB">
            <w:pPr>
              <w:spacing w:after="0"/>
              <w:jc w:val="center"/>
            </w:pPr>
            <w:r>
              <w:rPr>
                <w:rFonts w:ascii="Times New Roman" w:eastAsia="Times New Roman" w:hAnsi="Times New Roman"/>
                <w:color w:val="000000"/>
                <w:sz w:val="20"/>
              </w:rPr>
              <w:t>32.8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E88C88" w14:textId="77777777" w:rsidR="00812AEB" w:rsidRDefault="00812AEB" w:rsidP="00812AEB">
            <w:pPr>
              <w:spacing w:after="0"/>
              <w:jc w:val="center"/>
            </w:pPr>
            <w:r>
              <w:rPr>
                <w:rFonts w:ascii="Times New Roman" w:eastAsia="Times New Roman" w:hAnsi="Times New Roman"/>
                <w:color w:val="000000"/>
                <w:sz w:val="20"/>
              </w:rPr>
              <w:t>51,484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641214" w14:textId="77777777" w:rsidR="00812AEB" w:rsidRDefault="00812AEB" w:rsidP="00812AEB">
            <w:pPr>
              <w:spacing w:after="0"/>
              <w:jc w:val="center"/>
            </w:pPr>
            <w:r>
              <w:rPr>
                <w:rFonts w:ascii="Times New Roman" w:eastAsia="Times New Roman" w:hAnsi="Times New Roman"/>
                <w:color w:val="000000"/>
                <w:sz w:val="20"/>
              </w:rPr>
              <w:t>27.0</w:t>
            </w:r>
          </w:p>
        </w:tc>
      </w:tr>
      <w:tr w:rsidR="00812AEB" w14:paraId="636B95AB"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99AC5E2" w14:textId="77777777" w:rsidR="00812AEB" w:rsidRDefault="00812AEB" w:rsidP="00812AEB">
            <w:pPr>
              <w:spacing w:after="0"/>
            </w:pPr>
            <w:r>
              <w:rPr>
                <w:rFonts w:ascii="Times New Roman" w:eastAsia="Times New Roman" w:hAnsi="Times New Roman"/>
                <w:color w:val="000000"/>
                <w:sz w:val="20"/>
              </w:rPr>
              <w:t>Upper</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649D8" w14:textId="77777777" w:rsidR="00812AEB" w:rsidRDefault="00812AEB" w:rsidP="00812AEB">
            <w:pPr>
              <w:spacing w:after="0"/>
            </w:pPr>
          </w:p>
        </w:tc>
      </w:tr>
      <w:tr w:rsidR="00812AEB" w14:paraId="756E77AF" w14:textId="77777777" w:rsidTr="00BE0C70">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59B5C9" w14:textId="77777777" w:rsidR="00812AEB" w:rsidRDefault="00812AEB" w:rsidP="00812AEB">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FBE34" w14:textId="77777777" w:rsidR="00812AEB" w:rsidRDefault="00812AEB" w:rsidP="00812AEB">
            <w:pPr>
              <w:spacing w:after="0"/>
              <w:jc w:val="center"/>
            </w:pPr>
            <w:r>
              <w:rPr>
                <w:rFonts w:ascii="Times New Roman" w:eastAsia="Times New Roman" w:hAnsi="Times New Roman"/>
                <w:color w:val="000000"/>
                <w:sz w:val="20"/>
              </w:rPr>
              <w:t>42.0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50B717" w14:textId="77777777" w:rsidR="00812AEB" w:rsidRDefault="00812AEB" w:rsidP="00812AEB">
            <w:pPr>
              <w:spacing w:after="0"/>
              <w:jc w:val="center"/>
            </w:pPr>
            <w:r>
              <w:rPr>
                <w:rFonts w:ascii="Times New Roman" w:eastAsia="Times New Roman" w:hAnsi="Times New Roman"/>
                <w:color w:val="000000"/>
                <w:sz w:val="20"/>
              </w:rPr>
              <w:t>35.7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CE445" w14:textId="77777777" w:rsidR="00812AEB" w:rsidRDefault="00812AEB" w:rsidP="00812AEB">
            <w:pPr>
              <w:spacing w:after="0"/>
              <w:jc w:val="center"/>
            </w:pPr>
            <w:r>
              <w:rPr>
                <w:rFonts w:ascii="Times New Roman" w:eastAsia="Times New Roman" w:hAnsi="Times New Roman"/>
                <w:color w:val="000000"/>
                <w:sz w:val="20"/>
              </w:rPr>
              <w:t>166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DE8A9" w14:textId="77777777" w:rsidR="00812AEB" w:rsidRDefault="00812AEB" w:rsidP="00812AEB">
            <w:pPr>
              <w:spacing w:after="0"/>
              <w:jc w:val="center"/>
            </w:pPr>
            <w:r>
              <w:rPr>
                <w:rFonts w:ascii="Times New Roman" w:eastAsia="Times New Roman" w:hAnsi="Times New Roman"/>
                <w:color w:val="000000"/>
                <w:sz w:val="20"/>
              </w:rPr>
              <w:t>32.0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35AB5" w14:textId="77777777" w:rsidR="00812AEB" w:rsidRDefault="00812AEB" w:rsidP="00812AEB">
            <w:pPr>
              <w:spacing w:after="0"/>
              <w:jc w:val="center"/>
            </w:pPr>
            <w:r>
              <w:rPr>
                <w:rFonts w:ascii="Times New Roman" w:eastAsia="Times New Roman" w:hAnsi="Times New Roman"/>
                <w:color w:val="000000"/>
                <w:sz w:val="20"/>
              </w:rPr>
              <w:t>62,484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BE40" w14:textId="77777777" w:rsidR="00812AEB" w:rsidRDefault="00812AEB" w:rsidP="00812AEB">
            <w:pPr>
              <w:spacing w:after="0"/>
              <w:jc w:val="center"/>
            </w:pPr>
            <w:r>
              <w:rPr>
                <w:rFonts w:ascii="Times New Roman" w:eastAsia="Times New Roman" w:hAnsi="Times New Roman"/>
                <w:color w:val="000000"/>
                <w:sz w:val="20"/>
              </w:rPr>
              <w:t>32.7</w:t>
            </w:r>
          </w:p>
        </w:tc>
      </w:tr>
      <w:tr w:rsidR="00812AEB" w14:paraId="44BCC86A"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F27DFF" w14:textId="77777777" w:rsidR="00812AEB" w:rsidRDefault="00812AEB" w:rsidP="00812AEB">
            <w:pPr>
              <w:spacing w:after="0"/>
            </w:pPr>
            <w:r>
              <w:rPr>
                <w:rFonts w:ascii="Times New Roman" w:eastAsia="Times New Roman" w:hAnsi="Times New Roman"/>
                <w:color w:val="000000"/>
                <w:sz w:val="20"/>
              </w:rPr>
              <w:t>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85835" w14:textId="77777777" w:rsidR="00812AEB" w:rsidRDefault="00812AEB" w:rsidP="00812AEB">
            <w:pPr>
              <w:spacing w:after="0"/>
            </w:pPr>
          </w:p>
        </w:tc>
      </w:tr>
      <w:tr w:rsidR="00812AEB" w14:paraId="71121291" w14:textId="77777777" w:rsidTr="00BE0C70">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9615836" w14:textId="77777777" w:rsidR="00812AEB" w:rsidRDefault="00812AEB" w:rsidP="00812AEB">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1D0F4" w14:textId="77777777" w:rsidR="00812AEB" w:rsidRDefault="00812AEB" w:rsidP="00812AEB">
            <w:pPr>
              <w:spacing w:after="0"/>
              <w:jc w:val="center"/>
            </w:pPr>
            <w:r>
              <w:rPr>
                <w:rFonts w:ascii="Times New Roman" w:eastAsia="Times New Roman" w:hAnsi="Times New Roman"/>
                <w:color w:val="000000"/>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A0976" w14:textId="77777777" w:rsidR="00812AEB" w:rsidRDefault="00812AEB" w:rsidP="00812AEB">
            <w:pPr>
              <w:spacing w:after="0"/>
              <w:jc w:val="center"/>
            </w:pPr>
            <w:r>
              <w:rPr>
                <w:rFonts w:ascii="Times New Roman" w:eastAsia="Times New Roman" w:hAnsi="Times New Roman"/>
                <w:color w:val="000000"/>
                <w:sz w:val="20"/>
              </w:rPr>
              <w:t>14.9</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9F87E" w14:textId="77777777" w:rsidR="00812AEB" w:rsidRDefault="00812AEB" w:rsidP="00812AEB">
            <w:pPr>
              <w:spacing w:after="0"/>
              <w:jc w:val="center"/>
            </w:pPr>
            <w:r>
              <w:rPr>
                <w:rFonts w:ascii="Times New Roman" w:eastAsia="Times New Roman" w:hAnsi="Times New Roman"/>
                <w:color w:val="000000"/>
                <w:sz w:val="20"/>
              </w:rPr>
              <w:t>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EC0BB" w14:textId="77777777" w:rsidR="00812AEB" w:rsidRDefault="00812AEB" w:rsidP="00812AEB">
            <w:pPr>
              <w:spacing w:after="0"/>
              <w:jc w:val="center"/>
            </w:pPr>
            <w:r>
              <w:rPr>
                <w:rFonts w:ascii="Times New Roman" w:eastAsia="Times New Roman" w:hAnsi="Times New Roman"/>
                <w:color w:val="000000"/>
                <w:sz w:val="20"/>
              </w:rPr>
              <w:t>2.1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4A04C" w14:textId="77777777" w:rsidR="00812AEB" w:rsidRDefault="00812AEB" w:rsidP="00812AEB">
            <w:pPr>
              <w:spacing w:after="0"/>
              <w:jc w:val="center"/>
            </w:pPr>
            <w:r>
              <w:rPr>
                <w:rFonts w:ascii="Times New Roman" w:eastAsia="Times New Roman" w:hAnsi="Times New Roman"/>
                <w:color w:val="000000"/>
                <w:sz w:val="20"/>
              </w:rPr>
              <w:t>39,453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65FB2" w14:textId="77777777" w:rsidR="00812AEB" w:rsidRDefault="00812AEB" w:rsidP="00812AEB">
            <w:pPr>
              <w:spacing w:after="0"/>
              <w:jc w:val="center"/>
            </w:pPr>
            <w:r>
              <w:rPr>
                <w:rFonts w:ascii="Times New Roman" w:eastAsia="Times New Roman" w:hAnsi="Times New Roman"/>
                <w:color w:val="000000"/>
                <w:sz w:val="20"/>
              </w:rPr>
              <w:t>20.7</w:t>
            </w:r>
          </w:p>
        </w:tc>
      </w:tr>
      <w:tr w:rsidR="00812AEB" w14:paraId="135BFB87"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5F3BE3" w14:textId="77777777" w:rsidR="00812AEB" w:rsidRDefault="00812AEB" w:rsidP="00812AEB">
            <w:pPr>
              <w:spacing w:after="0"/>
            </w:pPr>
            <w:r>
              <w:rPr>
                <w:rFonts w:ascii="Times New Roman" w:eastAsia="Times New Roman" w:hAnsi="Times New Roman"/>
                <w:b/>
                <w:color w:val="000000"/>
                <w:sz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94D01" w14:textId="77777777" w:rsidR="00812AEB" w:rsidRDefault="00812AEB" w:rsidP="00812AEB">
            <w:pPr>
              <w:spacing w:after="0"/>
            </w:pPr>
          </w:p>
        </w:tc>
      </w:tr>
      <w:tr w:rsidR="00812AEB" w14:paraId="177A31DD" w14:textId="77777777" w:rsidTr="00BE0C70">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CD2D8E" w14:textId="77777777" w:rsidR="00812AEB" w:rsidRDefault="00812AEB" w:rsidP="00812AEB">
            <w:pPr>
              <w:spacing w:after="0"/>
              <w:jc w:val="right"/>
            </w:pPr>
            <w:r>
              <w:rPr>
                <w:rFonts w:ascii="Times New Roman" w:eastAsia="Times New Roman" w:hAnsi="Times New Roman"/>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96D50" w14:textId="77777777" w:rsidR="00812AEB" w:rsidRDefault="00812AEB" w:rsidP="00812AEB">
            <w:pPr>
              <w:spacing w:after="0"/>
              <w:jc w:val="center"/>
            </w:pPr>
            <w:r>
              <w:rPr>
                <w:rFonts w:ascii="Times New Roman" w:eastAsia="Times New Roman" w:hAnsi="Times New Roman"/>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36FE7" w14:textId="77777777" w:rsidR="00812AEB" w:rsidRDefault="00812AEB" w:rsidP="00812AEB">
            <w:pPr>
              <w:spacing w:after="0"/>
              <w:jc w:val="center"/>
            </w:pPr>
            <w:r>
              <w:rPr>
                <w:rFonts w:ascii="Times New Roman" w:eastAsia="Times New Roman" w:hAnsi="Times New Roman"/>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A8C297" w14:textId="77777777" w:rsidR="00812AEB" w:rsidRDefault="00812AEB" w:rsidP="00812AEB">
            <w:pPr>
              <w:spacing w:after="0"/>
              <w:jc w:val="center"/>
            </w:pPr>
            <w:r>
              <w:rPr>
                <w:rFonts w:ascii="Times New Roman" w:eastAsia="Times New Roman" w:hAnsi="Times New Roman"/>
                <w:b/>
                <w:color w:val="000000"/>
                <w:sz w:val="20"/>
              </w:rPr>
              <w:t>518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DF43F" w14:textId="77777777" w:rsidR="00812AEB" w:rsidRDefault="00812AEB" w:rsidP="00812AEB">
            <w:pPr>
              <w:spacing w:after="0"/>
              <w:jc w:val="center"/>
            </w:pPr>
            <w:r>
              <w:rPr>
                <w:rFonts w:ascii="Times New Roman" w:eastAsia="Times New Roman" w:hAnsi="Times New Roman"/>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FE31D" w14:textId="77777777" w:rsidR="00812AEB" w:rsidRDefault="00812AEB" w:rsidP="00812AEB">
            <w:pPr>
              <w:spacing w:after="0"/>
              <w:jc w:val="center"/>
            </w:pPr>
            <w:r>
              <w:rPr>
                <w:rFonts w:ascii="Times New Roman" w:eastAsia="Times New Roman" w:hAnsi="Times New Roman"/>
                <w:b/>
                <w:color w:val="000000"/>
                <w:sz w:val="20"/>
              </w:rPr>
              <w:t>190,888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89B49" w14:textId="77777777" w:rsidR="00812AEB" w:rsidRDefault="00812AEB" w:rsidP="00812AEB">
            <w:pPr>
              <w:spacing w:after="0"/>
              <w:jc w:val="center"/>
            </w:pPr>
            <w:r>
              <w:rPr>
                <w:rFonts w:ascii="Times New Roman" w:eastAsia="Times New Roman" w:hAnsi="Times New Roman"/>
                <w:b/>
                <w:color w:val="000000"/>
                <w:sz w:val="20"/>
              </w:rPr>
              <w:t>100.0</w:t>
            </w:r>
          </w:p>
        </w:tc>
      </w:tr>
      <w:tr w:rsidR="00812AEB" w14:paraId="1CAE0CB4" w14:textId="77777777" w:rsidTr="00564C10">
        <w:trPr>
          <w:trHeight w:val="13"/>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5D7A5CE" w14:textId="185ED9E7" w:rsidR="00812AEB" w:rsidRDefault="00812AEB" w:rsidP="00812AEB">
            <w:pPr>
              <w:spacing w:after="0"/>
            </w:pPr>
            <w:r>
              <w:rPr>
                <w:rFonts w:ascii="Times New Roman" w:eastAsia="Times New Roman" w:hAnsi="Times New Roman"/>
                <w:i/>
                <w:color w:val="000000"/>
                <w:sz w:val="16"/>
              </w:rPr>
              <w:t>Source: 2015 ACS; Bank Data, 2019 HMDA Aggregate Data, "--" data not available.</w:t>
            </w:r>
          </w:p>
          <w:p w14:paraId="7D00A45A" w14:textId="77777777" w:rsidR="00812AEB" w:rsidRDefault="00812AEB" w:rsidP="00812AEB">
            <w:pPr>
              <w:spacing w:after="0"/>
            </w:pPr>
            <w:r>
              <w:rPr>
                <w:rFonts w:ascii="Times New Roman" w:eastAsia="Times New Roman" w:hAnsi="Times New Roman"/>
                <w:i/>
                <w:color w:val="000000"/>
                <w:sz w:val="16"/>
              </w:rPr>
              <w:t>Due to rounding, totals may not equal 100.0%</w:t>
            </w:r>
          </w:p>
        </w:tc>
      </w:tr>
    </w:tbl>
    <w:p w14:paraId="572F5574" w14:textId="77777777" w:rsidR="00812AEB" w:rsidRDefault="00812AEB" w:rsidP="00E50970">
      <w:pPr>
        <w:spacing w:after="0" w:line="240" w:lineRule="auto"/>
        <w:rPr>
          <w:rFonts w:ascii="Times New Roman" w:eastAsia="Times New Roman" w:hAnsi="Times New Roman" w:cs="Times New Roman"/>
          <w:b/>
          <w:bCs/>
          <w:sz w:val="24"/>
          <w:szCs w:val="24"/>
        </w:rPr>
      </w:pPr>
    </w:p>
    <w:p w14:paraId="4DEE1EA1" w14:textId="77777777" w:rsidR="0087325F" w:rsidRPr="0087325F" w:rsidRDefault="0087325F" w:rsidP="00E50970">
      <w:pPr>
        <w:spacing w:after="0" w:line="240" w:lineRule="auto"/>
        <w:rPr>
          <w:rFonts w:ascii="Times New Roman" w:eastAsia="Times New Roman" w:hAnsi="Times New Roman" w:cs="Times New Roman"/>
          <w:b/>
          <w:bCs/>
          <w:sz w:val="24"/>
          <w:szCs w:val="24"/>
        </w:rPr>
      </w:pPr>
      <w:r w:rsidRPr="0087325F">
        <w:rPr>
          <w:rFonts w:ascii="Times New Roman" w:eastAsia="Times New Roman" w:hAnsi="Times New Roman" w:cs="Times New Roman"/>
          <w:b/>
          <w:bCs/>
          <w:sz w:val="24"/>
          <w:szCs w:val="24"/>
        </w:rPr>
        <w:t>Small Business Loans</w:t>
      </w:r>
    </w:p>
    <w:p w14:paraId="39F3FB10" w14:textId="108C893A" w:rsidR="00AC3896" w:rsidRDefault="003F6C8F" w:rsidP="003F6C8F">
      <w:pPr>
        <w:spacing w:after="0" w:line="240" w:lineRule="auto"/>
        <w:rPr>
          <w:rFonts w:ascii="Times New Roman" w:hAnsi="Times New Roman" w:cs="Times New Roman"/>
          <w:bCs/>
          <w:sz w:val="24"/>
          <w:szCs w:val="24"/>
        </w:rPr>
      </w:pPr>
      <w:r w:rsidRPr="00AE1571">
        <w:rPr>
          <w:rFonts w:ascii="Times New Roman" w:hAnsi="Times New Roman" w:cs="Times New Roman"/>
          <w:bCs/>
          <w:sz w:val="24"/>
          <w:szCs w:val="24"/>
        </w:rPr>
        <w:t>The distribution of small business loans r</w:t>
      </w:r>
      <w:r w:rsidR="00FF01E1">
        <w:rPr>
          <w:rFonts w:ascii="Times New Roman" w:hAnsi="Times New Roman" w:cs="Times New Roman"/>
          <w:bCs/>
          <w:sz w:val="24"/>
          <w:szCs w:val="24"/>
        </w:rPr>
        <w:t xml:space="preserve">eflects </w:t>
      </w:r>
      <w:r w:rsidR="000A06A2">
        <w:rPr>
          <w:rFonts w:ascii="Times New Roman" w:hAnsi="Times New Roman" w:cs="Times New Roman"/>
          <w:bCs/>
          <w:sz w:val="24"/>
          <w:szCs w:val="24"/>
        </w:rPr>
        <w:t>good</w:t>
      </w:r>
      <w:r w:rsidRPr="00AE1571">
        <w:rPr>
          <w:rFonts w:ascii="Times New Roman" w:hAnsi="Times New Roman" w:cs="Times New Roman"/>
          <w:bCs/>
          <w:sz w:val="24"/>
          <w:szCs w:val="24"/>
        </w:rPr>
        <w:t xml:space="preserve"> penetration among </w:t>
      </w:r>
      <w:r>
        <w:rPr>
          <w:rFonts w:ascii="Times New Roman" w:hAnsi="Times New Roman" w:cs="Times New Roman"/>
          <w:bCs/>
          <w:sz w:val="24"/>
          <w:szCs w:val="24"/>
        </w:rPr>
        <w:t xml:space="preserve">businesses of different sizes. </w:t>
      </w:r>
      <w:r w:rsidR="00340B6C">
        <w:rPr>
          <w:rFonts w:ascii="Times New Roman" w:hAnsi="Times New Roman" w:cs="Times New Roman"/>
          <w:bCs/>
          <w:sz w:val="24"/>
          <w:szCs w:val="24"/>
        </w:rPr>
        <w:t xml:space="preserve"> </w:t>
      </w:r>
      <w:r>
        <w:rPr>
          <w:rFonts w:ascii="Times New Roman" w:hAnsi="Times New Roman" w:cs="Times New Roman"/>
          <w:bCs/>
          <w:sz w:val="24"/>
          <w:szCs w:val="24"/>
        </w:rPr>
        <w:t>Although t</w:t>
      </w:r>
      <w:r w:rsidRPr="00AE1571">
        <w:rPr>
          <w:rFonts w:ascii="Times New Roman" w:hAnsi="Times New Roman" w:cs="Times New Roman"/>
          <w:bCs/>
          <w:sz w:val="24"/>
          <w:szCs w:val="24"/>
        </w:rPr>
        <w:t xml:space="preserve">he bank’s lending activity has </w:t>
      </w:r>
      <w:r>
        <w:rPr>
          <w:rFonts w:ascii="Times New Roman" w:hAnsi="Times New Roman" w:cs="Times New Roman"/>
          <w:bCs/>
          <w:sz w:val="24"/>
          <w:szCs w:val="24"/>
        </w:rPr>
        <w:t>decreased slightly</w:t>
      </w:r>
      <w:r w:rsidRPr="00AE1571">
        <w:rPr>
          <w:rFonts w:ascii="Times New Roman" w:hAnsi="Times New Roman" w:cs="Times New Roman"/>
          <w:bCs/>
          <w:sz w:val="24"/>
          <w:szCs w:val="24"/>
        </w:rPr>
        <w:t xml:space="preserve"> th</w:t>
      </w:r>
      <w:r>
        <w:rPr>
          <w:rFonts w:ascii="Times New Roman" w:hAnsi="Times New Roman" w:cs="Times New Roman"/>
          <w:bCs/>
          <w:sz w:val="24"/>
          <w:szCs w:val="24"/>
        </w:rPr>
        <w:t>roughout the evaluation period</w:t>
      </w:r>
      <w:r w:rsidRPr="00AE1571">
        <w:rPr>
          <w:rFonts w:ascii="Times New Roman" w:hAnsi="Times New Roman" w:cs="Times New Roman"/>
          <w:bCs/>
          <w:sz w:val="24"/>
          <w:szCs w:val="24"/>
        </w:rPr>
        <w:t xml:space="preserve">, </w:t>
      </w:r>
      <w:r>
        <w:rPr>
          <w:rFonts w:ascii="Times New Roman" w:hAnsi="Times New Roman" w:cs="Times New Roman"/>
          <w:bCs/>
          <w:sz w:val="24"/>
          <w:szCs w:val="24"/>
        </w:rPr>
        <w:t>HOB ranked</w:t>
      </w:r>
      <w:r w:rsidRPr="00AE1571">
        <w:rPr>
          <w:rFonts w:ascii="Times New Roman" w:hAnsi="Times New Roman" w:cs="Times New Roman"/>
          <w:bCs/>
          <w:sz w:val="24"/>
          <w:szCs w:val="24"/>
        </w:rPr>
        <w:t xml:space="preserve"> </w:t>
      </w:r>
      <w:r w:rsidR="00FF3CDB">
        <w:rPr>
          <w:rFonts w:ascii="Times New Roman" w:hAnsi="Times New Roman" w:cs="Times New Roman"/>
          <w:bCs/>
          <w:sz w:val="24"/>
          <w:szCs w:val="24"/>
        </w:rPr>
        <w:t>a</w:t>
      </w:r>
      <w:r w:rsidRPr="00AE1571">
        <w:rPr>
          <w:rFonts w:ascii="Times New Roman" w:hAnsi="Times New Roman" w:cs="Times New Roman"/>
          <w:bCs/>
          <w:sz w:val="24"/>
          <w:szCs w:val="24"/>
        </w:rPr>
        <w:t xml:space="preserve">bove </w:t>
      </w:r>
      <w:r>
        <w:rPr>
          <w:rFonts w:ascii="Times New Roman" w:hAnsi="Times New Roman" w:cs="Times New Roman"/>
          <w:bCs/>
          <w:sz w:val="24"/>
          <w:szCs w:val="24"/>
        </w:rPr>
        <w:t>the</w:t>
      </w:r>
      <w:r w:rsidRPr="00AE1571">
        <w:rPr>
          <w:rFonts w:ascii="Times New Roman" w:hAnsi="Times New Roman" w:cs="Times New Roman"/>
          <w:bCs/>
          <w:sz w:val="24"/>
          <w:szCs w:val="24"/>
        </w:rPr>
        <w:t xml:space="preserve"> aggregate performance each year.  Although the bank’s performance is below the percentage of businesses in the assessment area, the bank </w:t>
      </w:r>
      <w:r>
        <w:rPr>
          <w:rFonts w:ascii="Times New Roman" w:hAnsi="Times New Roman" w:cs="Times New Roman"/>
          <w:bCs/>
          <w:sz w:val="24"/>
          <w:szCs w:val="24"/>
        </w:rPr>
        <w:t xml:space="preserve">consistently </w:t>
      </w:r>
      <w:r w:rsidRPr="00AE1571">
        <w:rPr>
          <w:rFonts w:ascii="Times New Roman" w:hAnsi="Times New Roman" w:cs="Times New Roman"/>
          <w:bCs/>
          <w:sz w:val="24"/>
          <w:szCs w:val="24"/>
        </w:rPr>
        <w:t>outperform</w:t>
      </w:r>
      <w:r>
        <w:rPr>
          <w:rFonts w:ascii="Times New Roman" w:hAnsi="Times New Roman" w:cs="Times New Roman"/>
          <w:bCs/>
          <w:sz w:val="24"/>
          <w:szCs w:val="24"/>
        </w:rPr>
        <w:t>ed</w:t>
      </w:r>
      <w:r w:rsidRPr="00AE1571">
        <w:rPr>
          <w:rFonts w:ascii="Times New Roman" w:hAnsi="Times New Roman" w:cs="Times New Roman"/>
          <w:bCs/>
          <w:sz w:val="24"/>
          <w:szCs w:val="24"/>
        </w:rPr>
        <w:t xml:space="preserve"> its peers and other institutions </w:t>
      </w:r>
      <w:r w:rsidR="00FF01E1">
        <w:rPr>
          <w:rFonts w:ascii="Times New Roman" w:hAnsi="Times New Roman" w:cs="Times New Roman"/>
          <w:bCs/>
          <w:sz w:val="24"/>
          <w:szCs w:val="24"/>
        </w:rPr>
        <w:t xml:space="preserve">in lending to </w:t>
      </w:r>
      <w:r w:rsidRPr="00AE1571">
        <w:rPr>
          <w:rFonts w:ascii="Times New Roman" w:hAnsi="Times New Roman" w:cs="Times New Roman"/>
          <w:bCs/>
          <w:sz w:val="24"/>
          <w:szCs w:val="24"/>
        </w:rPr>
        <w:t xml:space="preserve">businesses with </w:t>
      </w:r>
      <w:r w:rsidR="00683B79">
        <w:rPr>
          <w:rFonts w:ascii="Times New Roman" w:hAnsi="Times New Roman" w:cs="Times New Roman"/>
          <w:bCs/>
          <w:sz w:val="24"/>
          <w:szCs w:val="24"/>
        </w:rPr>
        <w:t xml:space="preserve">gross </w:t>
      </w:r>
      <w:r w:rsidRPr="00AE1571">
        <w:rPr>
          <w:rFonts w:ascii="Times New Roman" w:hAnsi="Times New Roman" w:cs="Times New Roman"/>
          <w:bCs/>
          <w:sz w:val="24"/>
          <w:szCs w:val="24"/>
        </w:rPr>
        <w:t>annual revenue</w:t>
      </w:r>
      <w:r w:rsidR="00FF01E1">
        <w:rPr>
          <w:rFonts w:ascii="Times New Roman" w:hAnsi="Times New Roman" w:cs="Times New Roman"/>
          <w:bCs/>
          <w:sz w:val="24"/>
          <w:szCs w:val="24"/>
        </w:rPr>
        <w:t>s</w:t>
      </w:r>
      <w:r w:rsidRPr="00AE1571">
        <w:rPr>
          <w:rFonts w:ascii="Times New Roman" w:hAnsi="Times New Roman" w:cs="Times New Roman"/>
          <w:bCs/>
          <w:sz w:val="24"/>
          <w:szCs w:val="24"/>
        </w:rPr>
        <w:t xml:space="preserve"> </w:t>
      </w:r>
      <w:r w:rsidR="00FF01E1">
        <w:rPr>
          <w:rFonts w:ascii="Times New Roman" w:hAnsi="Times New Roman" w:cs="Times New Roman"/>
          <w:bCs/>
          <w:sz w:val="24"/>
          <w:szCs w:val="24"/>
        </w:rPr>
        <w:t>of</w:t>
      </w:r>
      <w:r w:rsidRPr="00AE1571">
        <w:rPr>
          <w:rFonts w:ascii="Times New Roman" w:hAnsi="Times New Roman" w:cs="Times New Roman"/>
          <w:bCs/>
          <w:sz w:val="24"/>
          <w:szCs w:val="24"/>
        </w:rPr>
        <w:t xml:space="preserve"> $1</w:t>
      </w:r>
      <w:r w:rsidR="00786783">
        <w:rPr>
          <w:rFonts w:ascii="Times New Roman" w:hAnsi="Times New Roman" w:cs="Times New Roman"/>
          <w:bCs/>
          <w:sz w:val="24"/>
          <w:szCs w:val="24"/>
        </w:rPr>
        <w:t>.0</w:t>
      </w:r>
      <w:r w:rsidRPr="00AE1571">
        <w:rPr>
          <w:rFonts w:ascii="Times New Roman" w:hAnsi="Times New Roman" w:cs="Times New Roman"/>
          <w:bCs/>
          <w:sz w:val="24"/>
          <w:szCs w:val="24"/>
        </w:rPr>
        <w:t xml:space="preserve"> million</w:t>
      </w:r>
      <w:r w:rsidR="00FF01E1">
        <w:rPr>
          <w:rFonts w:ascii="Times New Roman" w:hAnsi="Times New Roman" w:cs="Times New Roman"/>
          <w:bCs/>
          <w:sz w:val="24"/>
          <w:szCs w:val="24"/>
        </w:rPr>
        <w:t xml:space="preserve"> or less</w:t>
      </w:r>
      <w:r w:rsidRPr="00AE1571">
        <w:rPr>
          <w:rFonts w:ascii="Times New Roman" w:hAnsi="Times New Roman" w:cs="Times New Roman"/>
          <w:bCs/>
          <w:sz w:val="24"/>
          <w:szCs w:val="24"/>
        </w:rPr>
        <w:t>.</w:t>
      </w:r>
    </w:p>
    <w:p w14:paraId="51E7C8F6" w14:textId="263FCDB3" w:rsidR="007C7CB8" w:rsidRDefault="007C7CB8" w:rsidP="003F6C8F">
      <w:pPr>
        <w:spacing w:after="0" w:line="240" w:lineRule="auto"/>
        <w:rPr>
          <w:rFonts w:ascii="Times New Roman" w:hAnsi="Times New Roman" w:cs="Times New Roman"/>
          <w:bCs/>
          <w:sz w:val="24"/>
          <w:szCs w:val="24"/>
        </w:rPr>
      </w:pPr>
    </w:p>
    <w:p w14:paraId="78C324BD" w14:textId="484DDA06" w:rsidR="00FF3CDB" w:rsidRDefault="00FF3CDB" w:rsidP="003F6C8F">
      <w:pPr>
        <w:spacing w:after="0" w:line="240" w:lineRule="auto"/>
        <w:rPr>
          <w:rFonts w:ascii="Times New Roman" w:hAnsi="Times New Roman" w:cs="Times New Roman"/>
          <w:bCs/>
          <w:sz w:val="24"/>
          <w:szCs w:val="24"/>
        </w:rPr>
      </w:pPr>
    </w:p>
    <w:p w14:paraId="6DB2002D" w14:textId="49F0122A" w:rsidR="00FF3CDB" w:rsidRDefault="00FF3CDB" w:rsidP="003F6C8F">
      <w:pPr>
        <w:spacing w:after="0" w:line="240" w:lineRule="auto"/>
        <w:rPr>
          <w:rFonts w:ascii="Times New Roman" w:hAnsi="Times New Roman" w:cs="Times New Roman"/>
          <w:bCs/>
          <w:sz w:val="24"/>
          <w:szCs w:val="24"/>
        </w:rPr>
      </w:pPr>
    </w:p>
    <w:p w14:paraId="19F5C162" w14:textId="2E9906F4" w:rsidR="00FF3CDB" w:rsidRDefault="00FF3CDB" w:rsidP="003F6C8F">
      <w:pPr>
        <w:spacing w:after="0" w:line="240" w:lineRule="auto"/>
        <w:rPr>
          <w:rFonts w:ascii="Times New Roman" w:hAnsi="Times New Roman" w:cs="Times New Roman"/>
          <w:bCs/>
          <w:sz w:val="24"/>
          <w:szCs w:val="24"/>
        </w:rPr>
      </w:pPr>
    </w:p>
    <w:p w14:paraId="3FAC81DA" w14:textId="77777777" w:rsidR="00FF3CDB" w:rsidRDefault="00FF3CDB" w:rsidP="003F6C8F">
      <w:pPr>
        <w:spacing w:after="0" w:line="240" w:lineRule="auto"/>
        <w:rPr>
          <w:rFonts w:ascii="Times New Roman" w:hAnsi="Times New Roman" w:cs="Times New Roman"/>
          <w:bCs/>
          <w:sz w:val="24"/>
          <w:szCs w:val="24"/>
        </w:rPr>
      </w:pPr>
    </w:p>
    <w:p w14:paraId="431F21FC" w14:textId="5448C084" w:rsidR="00FF3CDB" w:rsidRDefault="00FF3CDB" w:rsidP="003F6C8F">
      <w:pPr>
        <w:spacing w:after="0" w:line="240" w:lineRule="auto"/>
        <w:rPr>
          <w:rFonts w:ascii="Times New Roman" w:hAnsi="Times New Roman" w:cs="Times New Roman"/>
          <w:bCs/>
          <w:sz w:val="24"/>
          <w:szCs w:val="24"/>
        </w:rPr>
      </w:pPr>
    </w:p>
    <w:p w14:paraId="060E76C7" w14:textId="299729A2" w:rsidR="00FF3CDB" w:rsidRDefault="00FF3CDB" w:rsidP="003F6C8F">
      <w:pPr>
        <w:spacing w:after="0" w:line="240" w:lineRule="auto"/>
        <w:rPr>
          <w:rFonts w:ascii="Times New Roman" w:hAnsi="Times New Roman" w:cs="Times New Roman"/>
          <w:bCs/>
          <w:sz w:val="24"/>
          <w:szCs w:val="24"/>
        </w:rPr>
      </w:pPr>
    </w:p>
    <w:p w14:paraId="27250086" w14:textId="0AAB714A" w:rsidR="00FF3CDB" w:rsidRDefault="00FF3CDB" w:rsidP="003F6C8F">
      <w:pPr>
        <w:spacing w:after="0" w:line="240" w:lineRule="auto"/>
        <w:rPr>
          <w:rFonts w:ascii="Times New Roman" w:hAnsi="Times New Roman" w:cs="Times New Roman"/>
          <w:bCs/>
          <w:sz w:val="24"/>
          <w:szCs w:val="24"/>
        </w:rPr>
      </w:pPr>
    </w:p>
    <w:p w14:paraId="6E25D52F" w14:textId="2266F2FA" w:rsidR="00FF3CDB" w:rsidRDefault="00FF3CDB" w:rsidP="003F6C8F">
      <w:pPr>
        <w:spacing w:after="0" w:line="240" w:lineRule="auto"/>
        <w:rPr>
          <w:rFonts w:ascii="Times New Roman" w:hAnsi="Times New Roman" w:cs="Times New Roman"/>
          <w:bCs/>
          <w:sz w:val="24"/>
          <w:szCs w:val="24"/>
        </w:rPr>
      </w:pPr>
    </w:p>
    <w:p w14:paraId="62842CF2" w14:textId="21473173" w:rsidR="00FF3CDB" w:rsidRDefault="00FF3CDB" w:rsidP="003F6C8F">
      <w:pPr>
        <w:spacing w:after="0" w:line="240" w:lineRule="auto"/>
        <w:rPr>
          <w:rFonts w:ascii="Times New Roman" w:hAnsi="Times New Roman" w:cs="Times New Roman"/>
          <w:bCs/>
          <w:sz w:val="24"/>
          <w:szCs w:val="24"/>
        </w:rPr>
      </w:pPr>
    </w:p>
    <w:p w14:paraId="4340DF78" w14:textId="77777777" w:rsidR="00FF3CDB" w:rsidRDefault="00FF3CDB" w:rsidP="003F6C8F">
      <w:pPr>
        <w:spacing w:after="0" w:line="240" w:lineRule="auto"/>
        <w:rPr>
          <w:rFonts w:ascii="Times New Roman" w:hAnsi="Times New Roman" w:cs="Times New Roman"/>
          <w:bCs/>
          <w:sz w:val="24"/>
          <w:szCs w:val="24"/>
        </w:rPr>
      </w:pPr>
    </w:p>
    <w:tbl>
      <w:tblPr>
        <w:tblW w:w="0" w:type="auto"/>
        <w:jc w:val="center"/>
        <w:tblCellMar>
          <w:left w:w="0" w:type="dxa"/>
          <w:right w:w="0" w:type="dxa"/>
        </w:tblCellMar>
        <w:tblLook w:val="0000" w:firstRow="0" w:lastRow="0" w:firstColumn="0" w:lastColumn="0" w:noHBand="0" w:noVBand="0"/>
      </w:tblPr>
      <w:tblGrid>
        <w:gridCol w:w="8551"/>
        <w:gridCol w:w="1097"/>
      </w:tblGrid>
      <w:tr w:rsidR="00340B6C" w14:paraId="2ED979BD" w14:textId="77777777" w:rsidTr="00662784">
        <w:trPr>
          <w:jc w:val="center"/>
        </w:trPr>
        <w:tc>
          <w:tcPr>
            <w:tcW w:w="9504" w:type="dxa"/>
          </w:tcPr>
          <w:tbl>
            <w:tblPr>
              <w:tblW w:w="0" w:type="auto"/>
              <w:jc w:val="center"/>
              <w:tblCellMar>
                <w:left w:w="0" w:type="dxa"/>
                <w:right w:w="0" w:type="dxa"/>
              </w:tblCellMar>
              <w:tblLook w:val="0000" w:firstRow="0" w:lastRow="0" w:firstColumn="0" w:lastColumn="0" w:noHBand="0" w:noVBand="0"/>
            </w:tblPr>
            <w:tblGrid>
              <w:gridCol w:w="2038"/>
              <w:gridCol w:w="1328"/>
              <w:gridCol w:w="1379"/>
              <w:gridCol w:w="964"/>
              <w:gridCol w:w="892"/>
              <w:gridCol w:w="1040"/>
              <w:gridCol w:w="892"/>
            </w:tblGrid>
            <w:tr w:rsidR="00340B6C" w14:paraId="0678DD52" w14:textId="77777777" w:rsidTr="00662784">
              <w:trPr>
                <w:trHeight w:val="354"/>
                <w:jc w:val="center"/>
              </w:trPr>
              <w:tc>
                <w:tcPr>
                  <w:tcW w:w="8533"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41576BC" w14:textId="77777777" w:rsidR="00340B6C" w:rsidRDefault="00340B6C" w:rsidP="00662784">
                  <w:pPr>
                    <w:spacing w:after="0"/>
                    <w:jc w:val="center"/>
                  </w:pPr>
                  <w:r>
                    <w:rPr>
                      <w:rFonts w:ascii="Times New Roman" w:eastAsia="Times New Roman" w:hAnsi="Times New Roman"/>
                      <w:b/>
                      <w:color w:val="000000"/>
                      <w:sz w:val="20"/>
                    </w:rPr>
                    <w:lastRenderedPageBreak/>
                    <w:t>Distribution of Small Business Loans by Gross Annual Revenue Category</w:t>
                  </w:r>
                </w:p>
              </w:tc>
            </w:tr>
            <w:tr w:rsidR="00340B6C" w14:paraId="5D42DF4D" w14:textId="77777777" w:rsidTr="00662784">
              <w:trPr>
                <w:trHeight w:val="210"/>
                <w:jc w:val="center"/>
              </w:trPr>
              <w:tc>
                <w:tcPr>
                  <w:tcW w:w="8533" w:type="dxa"/>
                  <w:gridSpan w:val="7"/>
                  <w:tcBorders>
                    <w:left w:val="single" w:sz="7" w:space="0" w:color="000000"/>
                    <w:right w:val="single" w:sz="7" w:space="0" w:color="000000"/>
                  </w:tcBorders>
                  <w:tcMar>
                    <w:top w:w="39" w:type="dxa"/>
                    <w:left w:w="39" w:type="dxa"/>
                    <w:bottom w:w="39" w:type="dxa"/>
                    <w:right w:w="39" w:type="dxa"/>
                  </w:tcMar>
                  <w:vAlign w:val="center"/>
                </w:tcPr>
                <w:p w14:paraId="65CF5027" w14:textId="348510AB" w:rsidR="00340B6C" w:rsidRDefault="00340B6C" w:rsidP="00662784">
                  <w:pPr>
                    <w:spacing w:after="0"/>
                    <w:jc w:val="center"/>
                  </w:pPr>
                  <w:r>
                    <w:rPr>
                      <w:rFonts w:ascii="Times New Roman" w:eastAsia="Times New Roman" w:hAnsi="Times New Roman"/>
                      <w:b/>
                      <w:color w:val="000000"/>
                      <w:sz w:val="20"/>
                    </w:rPr>
                    <w:t xml:space="preserve">Assessment Area: </w:t>
                  </w:r>
                  <w:r w:rsidR="00AC3896">
                    <w:rPr>
                      <w:rFonts w:ascii="Times New Roman" w:eastAsia="Times New Roman" w:hAnsi="Times New Roman"/>
                      <w:b/>
                      <w:color w:val="000000"/>
                      <w:sz w:val="20"/>
                    </w:rPr>
                    <w:t>Massachusetts</w:t>
                  </w:r>
                </w:p>
              </w:tc>
            </w:tr>
            <w:tr w:rsidR="00340B6C" w14:paraId="4F4D72A2" w14:textId="77777777" w:rsidTr="00662784">
              <w:trPr>
                <w:trHeight w:val="498"/>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7D85D4" w14:textId="77777777" w:rsidR="00340B6C" w:rsidRDefault="00340B6C" w:rsidP="00662784">
                  <w:pPr>
                    <w:spacing w:after="0"/>
                    <w:jc w:val="center"/>
                  </w:pPr>
                  <w:r>
                    <w:rPr>
                      <w:rFonts w:ascii="Times New Roman" w:eastAsia="Times New Roman" w:hAnsi="Times New Roman"/>
                      <w:b/>
                      <w:color w:val="000000"/>
                      <w:sz w:val="20"/>
                    </w:rPr>
                    <w:t>Gross Revenue Level</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8415B2" w14:textId="77777777" w:rsidR="00340B6C" w:rsidRDefault="00340B6C" w:rsidP="00662784">
                  <w:pPr>
                    <w:spacing w:after="0"/>
                    <w:jc w:val="center"/>
                  </w:pPr>
                  <w:r>
                    <w:rPr>
                      <w:rFonts w:ascii="Times New Roman" w:eastAsia="Times New Roman" w:hAnsi="Times New Roman"/>
                      <w:b/>
                      <w:color w:val="000000"/>
                      <w:sz w:val="20"/>
                    </w:rPr>
                    <w:t>% of  Businesses</w:t>
                  </w:r>
                </w:p>
              </w:tc>
              <w:tc>
                <w:tcPr>
                  <w:tcW w:w="13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4114EB" w14:textId="77777777" w:rsidR="00340B6C" w:rsidRDefault="00340B6C" w:rsidP="00662784">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CC719C" w14:textId="77777777" w:rsidR="00340B6C" w:rsidRDefault="00340B6C" w:rsidP="00662784">
                  <w:pPr>
                    <w:spacing w:after="0"/>
                    <w:jc w:val="center"/>
                  </w:pPr>
                  <w:r>
                    <w:rPr>
                      <w:rFonts w:ascii="Times New Roman" w:eastAsia="Times New Roman" w:hAnsi="Times New Roman"/>
                      <w:b/>
                      <w:color w:val="000000"/>
                      <w:sz w:val="20"/>
                    </w:rPr>
                    <w:t>#</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2F3947" w14:textId="77777777" w:rsidR="00340B6C" w:rsidRDefault="00340B6C" w:rsidP="00662784">
                  <w:pPr>
                    <w:spacing w:after="0"/>
                    <w:jc w:val="center"/>
                  </w:pPr>
                  <w:r>
                    <w:rPr>
                      <w:rFonts w:ascii="Times New Roman" w:eastAsia="Times New Roman" w:hAnsi="Times New Roman"/>
                      <w:b/>
                      <w:color w:val="000000"/>
                      <w:sz w:val="20"/>
                    </w:rPr>
                    <w:t>%</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B516D5" w14:textId="77777777" w:rsidR="00340B6C" w:rsidRDefault="00340B6C" w:rsidP="00662784">
                  <w:pPr>
                    <w:spacing w:after="0"/>
                    <w:jc w:val="center"/>
                  </w:pPr>
                  <w:r>
                    <w:rPr>
                      <w:rFonts w:ascii="Times New Roman" w:eastAsia="Times New Roman" w:hAnsi="Times New Roman"/>
                      <w:b/>
                      <w:color w:val="000000"/>
                      <w:sz w:val="20"/>
                    </w:rPr>
                    <w:t>$(000s)</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39D282" w14:textId="77777777" w:rsidR="00340B6C" w:rsidRDefault="00340B6C" w:rsidP="00662784">
                  <w:pPr>
                    <w:spacing w:after="0"/>
                    <w:jc w:val="center"/>
                  </w:pPr>
                  <w:r>
                    <w:rPr>
                      <w:rFonts w:ascii="Times New Roman" w:eastAsia="Times New Roman" w:hAnsi="Times New Roman"/>
                      <w:b/>
                      <w:color w:val="000000"/>
                      <w:sz w:val="20"/>
                    </w:rPr>
                    <w:t>%</w:t>
                  </w:r>
                </w:p>
              </w:tc>
            </w:tr>
            <w:tr w:rsidR="00340B6C" w14:paraId="4A33D6B1" w14:textId="77777777" w:rsidTr="00662784">
              <w:trPr>
                <w:trHeight w:val="181"/>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338D89" w14:textId="77777777" w:rsidR="00340B6C" w:rsidRDefault="00340B6C" w:rsidP="00662784">
                  <w:pPr>
                    <w:spacing w:after="0"/>
                    <w:jc w:val="center"/>
                  </w:pPr>
                  <w:r>
                    <w:rPr>
                      <w:rFonts w:ascii="Times New Roman" w:eastAsia="Times New Roman" w:hAnsi="Times New Roman"/>
                      <w:color w:val="000000"/>
                      <w:sz w:val="20"/>
                    </w:rPr>
                    <w:t>&lt;=$1,000,000</w:t>
                  </w:r>
                </w:p>
              </w:tc>
              <w:tc>
                <w:tcPr>
                  <w:tcW w:w="649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C9B50E" w14:textId="77777777" w:rsidR="00340B6C" w:rsidRDefault="00340B6C" w:rsidP="00662784">
                  <w:pPr>
                    <w:spacing w:after="0"/>
                    <w:jc w:val="center"/>
                  </w:pPr>
                </w:p>
              </w:tc>
            </w:tr>
            <w:tr w:rsidR="00340B6C" w14:paraId="6404920A" w14:textId="77777777" w:rsidTr="00662784">
              <w:trPr>
                <w:trHeight w:val="166"/>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1C020D6" w14:textId="77777777" w:rsidR="00340B6C" w:rsidRDefault="00340B6C" w:rsidP="00662784">
                  <w:pPr>
                    <w:spacing w:after="0"/>
                    <w:jc w:val="center"/>
                  </w:pPr>
                  <w:r>
                    <w:rPr>
                      <w:rFonts w:ascii="Times New Roman" w:eastAsia="Times New Roman" w:hAnsi="Times New Roman"/>
                      <w:color w:val="000000"/>
                      <w:sz w:val="20"/>
                    </w:rPr>
                    <w:t>2019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B89819" w14:textId="77777777" w:rsidR="00340B6C" w:rsidRDefault="00340B6C" w:rsidP="00662784">
                  <w:pPr>
                    <w:spacing w:after="0"/>
                    <w:jc w:val="center"/>
                  </w:pPr>
                  <w:r>
                    <w:rPr>
                      <w:rFonts w:ascii="Times New Roman" w:eastAsia="Times New Roman" w:hAnsi="Times New Roman"/>
                      <w:color w:val="000000"/>
                      <w:sz w:val="20"/>
                    </w:rPr>
                    <w:t>85.8</w:t>
                  </w:r>
                </w:p>
              </w:tc>
              <w:tc>
                <w:tcPr>
                  <w:tcW w:w="13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AFAF33" w14:textId="77777777" w:rsidR="00340B6C" w:rsidRDefault="00340B6C" w:rsidP="00662784">
                  <w:pPr>
                    <w:spacing w:after="0"/>
                    <w:jc w:val="center"/>
                  </w:pPr>
                  <w:r>
                    <w:rPr>
                      <w:rFonts w:ascii="Times New Roman" w:eastAsia="Times New Roman" w:hAnsi="Times New Roman"/>
                      <w:color w:val="000000"/>
                      <w:sz w:val="20"/>
                    </w:rPr>
                    <w:t>38.0</w:t>
                  </w: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E1399B" w14:textId="77777777" w:rsidR="00340B6C" w:rsidRDefault="00340B6C" w:rsidP="00662784">
                  <w:pPr>
                    <w:spacing w:after="0"/>
                    <w:jc w:val="center"/>
                  </w:pPr>
                  <w:r>
                    <w:rPr>
                      <w:rFonts w:ascii="Times New Roman" w:eastAsia="Times New Roman" w:hAnsi="Times New Roman"/>
                      <w:color w:val="000000"/>
                      <w:sz w:val="20"/>
                    </w:rPr>
                    <w:t>56</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6BC673" w14:textId="77777777" w:rsidR="00340B6C" w:rsidRDefault="00340B6C" w:rsidP="00662784">
                  <w:pPr>
                    <w:spacing w:after="0"/>
                    <w:jc w:val="center"/>
                  </w:pPr>
                  <w:r>
                    <w:rPr>
                      <w:rFonts w:ascii="Times New Roman" w:eastAsia="Times New Roman" w:hAnsi="Times New Roman"/>
                      <w:color w:val="000000"/>
                      <w:sz w:val="20"/>
                    </w:rPr>
                    <w:t>47.1</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A90D22" w14:textId="77777777" w:rsidR="00340B6C" w:rsidRDefault="00340B6C" w:rsidP="00662784">
                  <w:pPr>
                    <w:spacing w:after="0"/>
                    <w:jc w:val="center"/>
                  </w:pPr>
                  <w:r>
                    <w:rPr>
                      <w:rFonts w:ascii="Times New Roman" w:eastAsia="Times New Roman" w:hAnsi="Times New Roman"/>
                      <w:color w:val="000000"/>
                      <w:sz w:val="20"/>
                    </w:rPr>
                    <w:t>6,318</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69A5A6" w14:textId="77777777" w:rsidR="00340B6C" w:rsidRDefault="00340B6C" w:rsidP="00662784">
                  <w:pPr>
                    <w:spacing w:after="0"/>
                    <w:jc w:val="center"/>
                  </w:pPr>
                  <w:r>
                    <w:rPr>
                      <w:rFonts w:ascii="Times New Roman" w:eastAsia="Times New Roman" w:hAnsi="Times New Roman"/>
                      <w:color w:val="000000"/>
                      <w:sz w:val="20"/>
                    </w:rPr>
                    <w:t>34.9</w:t>
                  </w:r>
                </w:p>
              </w:tc>
            </w:tr>
            <w:tr w:rsidR="00340B6C" w14:paraId="6A9B8765" w14:textId="77777777" w:rsidTr="00662784">
              <w:trPr>
                <w:trHeight w:val="181"/>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638771" w14:textId="77777777" w:rsidR="00340B6C" w:rsidRDefault="00340B6C" w:rsidP="00662784">
                  <w:pPr>
                    <w:spacing w:after="0"/>
                    <w:jc w:val="center"/>
                  </w:pPr>
                  <w:r>
                    <w:rPr>
                      <w:rFonts w:ascii="Times New Roman" w:eastAsia="Times New Roman" w:hAnsi="Times New Roman"/>
                      <w:color w:val="000000"/>
                      <w:sz w:val="20"/>
                    </w:rPr>
                    <w:t>&gt;1,000,000</w:t>
                  </w:r>
                </w:p>
              </w:tc>
              <w:tc>
                <w:tcPr>
                  <w:tcW w:w="649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4FAC8D" w14:textId="77777777" w:rsidR="00340B6C" w:rsidRDefault="00340B6C" w:rsidP="00662784">
                  <w:pPr>
                    <w:spacing w:after="0"/>
                    <w:jc w:val="center"/>
                  </w:pPr>
                </w:p>
              </w:tc>
            </w:tr>
            <w:tr w:rsidR="00340B6C" w14:paraId="0B9A22BF" w14:textId="77777777" w:rsidTr="00662784">
              <w:trPr>
                <w:trHeight w:val="166"/>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BA6165D" w14:textId="77777777" w:rsidR="00340B6C" w:rsidRDefault="00340B6C" w:rsidP="00662784">
                  <w:pPr>
                    <w:spacing w:after="0"/>
                    <w:jc w:val="center"/>
                  </w:pPr>
                  <w:r>
                    <w:rPr>
                      <w:rFonts w:ascii="Times New Roman" w:eastAsia="Times New Roman" w:hAnsi="Times New Roman"/>
                      <w:color w:val="000000"/>
                      <w:sz w:val="20"/>
                    </w:rPr>
                    <w:t>2019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B4E478" w14:textId="77777777" w:rsidR="00340B6C" w:rsidRDefault="00340B6C" w:rsidP="00662784">
                  <w:pPr>
                    <w:spacing w:after="0"/>
                    <w:jc w:val="center"/>
                  </w:pPr>
                  <w:r>
                    <w:rPr>
                      <w:rFonts w:ascii="Times New Roman" w:eastAsia="Times New Roman" w:hAnsi="Times New Roman"/>
                      <w:color w:val="000000"/>
                      <w:sz w:val="20"/>
                    </w:rPr>
                    <w:t>5.6</w:t>
                  </w:r>
                </w:p>
              </w:tc>
              <w:tc>
                <w:tcPr>
                  <w:tcW w:w="13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ADC501" w14:textId="77777777" w:rsidR="00340B6C" w:rsidRDefault="00340B6C" w:rsidP="00662784">
                  <w:pPr>
                    <w:spacing w:after="0"/>
                    <w:jc w:val="center"/>
                  </w:pPr>
                  <w:r>
                    <w:rPr>
                      <w:rFonts w:ascii="Times New Roman" w:eastAsia="Times New Roman" w:hAnsi="Times New Roman"/>
                      <w:color w:val="000000"/>
                      <w:sz w:val="20"/>
                    </w:rPr>
                    <w:t>--</w:t>
                  </w: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6BA967" w14:textId="77777777" w:rsidR="00340B6C" w:rsidRDefault="00340B6C" w:rsidP="00662784">
                  <w:pPr>
                    <w:spacing w:after="0"/>
                    <w:jc w:val="center"/>
                  </w:pPr>
                  <w:r>
                    <w:rPr>
                      <w:rFonts w:ascii="Times New Roman" w:eastAsia="Times New Roman" w:hAnsi="Times New Roman"/>
                      <w:color w:val="000000"/>
                      <w:sz w:val="20"/>
                    </w:rPr>
                    <w:t>54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4EBFF0" w14:textId="77777777" w:rsidR="00340B6C" w:rsidRDefault="00340B6C" w:rsidP="00662784">
                  <w:pPr>
                    <w:spacing w:after="0"/>
                    <w:jc w:val="center"/>
                  </w:pPr>
                  <w:r>
                    <w:rPr>
                      <w:rFonts w:ascii="Times New Roman" w:eastAsia="Times New Roman" w:hAnsi="Times New Roman"/>
                      <w:color w:val="000000"/>
                      <w:sz w:val="20"/>
                    </w:rPr>
                    <w:t>45.4</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264D21" w14:textId="77777777" w:rsidR="00340B6C" w:rsidRDefault="00340B6C" w:rsidP="00662784">
                  <w:pPr>
                    <w:spacing w:after="0"/>
                    <w:jc w:val="center"/>
                  </w:pPr>
                  <w:r>
                    <w:rPr>
                      <w:rFonts w:ascii="Times New Roman" w:eastAsia="Times New Roman" w:hAnsi="Times New Roman"/>
                      <w:color w:val="000000"/>
                      <w:sz w:val="20"/>
                    </w:rPr>
                    <w:t>11,441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69B6E3" w14:textId="77777777" w:rsidR="00340B6C" w:rsidRDefault="00340B6C" w:rsidP="00662784">
                  <w:pPr>
                    <w:spacing w:after="0"/>
                    <w:jc w:val="center"/>
                  </w:pPr>
                  <w:r>
                    <w:rPr>
                      <w:rFonts w:ascii="Times New Roman" w:eastAsia="Times New Roman" w:hAnsi="Times New Roman"/>
                      <w:color w:val="000000"/>
                      <w:sz w:val="20"/>
                    </w:rPr>
                    <w:t>63.2</w:t>
                  </w:r>
                </w:p>
              </w:tc>
            </w:tr>
            <w:tr w:rsidR="00340B6C" w14:paraId="1582D125" w14:textId="77777777" w:rsidTr="00662784">
              <w:trPr>
                <w:trHeight w:val="181"/>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33ABAA" w14:textId="77777777" w:rsidR="00340B6C" w:rsidRDefault="00340B6C" w:rsidP="00662784">
                  <w:pPr>
                    <w:spacing w:after="0"/>
                    <w:jc w:val="center"/>
                  </w:pPr>
                  <w:r>
                    <w:rPr>
                      <w:rFonts w:ascii="Times New Roman" w:eastAsia="Times New Roman" w:hAnsi="Times New Roman"/>
                      <w:color w:val="000000"/>
                      <w:sz w:val="20"/>
                    </w:rPr>
                    <w:t>Revenue Not Available</w:t>
                  </w:r>
                </w:p>
              </w:tc>
              <w:tc>
                <w:tcPr>
                  <w:tcW w:w="649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4D6E06" w14:textId="77777777" w:rsidR="00340B6C" w:rsidRDefault="00340B6C" w:rsidP="00662784">
                  <w:pPr>
                    <w:spacing w:after="0"/>
                    <w:jc w:val="center"/>
                  </w:pPr>
                </w:p>
              </w:tc>
            </w:tr>
            <w:tr w:rsidR="00340B6C" w14:paraId="14ED6863" w14:textId="77777777" w:rsidTr="00662784">
              <w:trPr>
                <w:trHeight w:val="166"/>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69E40AC" w14:textId="77777777" w:rsidR="00340B6C" w:rsidRDefault="00340B6C" w:rsidP="00662784">
                  <w:pPr>
                    <w:spacing w:after="0"/>
                    <w:jc w:val="center"/>
                  </w:pPr>
                  <w:r>
                    <w:rPr>
                      <w:rFonts w:ascii="Times New Roman" w:eastAsia="Times New Roman" w:hAnsi="Times New Roman"/>
                      <w:color w:val="000000"/>
                      <w:sz w:val="20"/>
                    </w:rPr>
                    <w:t>2019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23E439" w14:textId="77777777" w:rsidR="00340B6C" w:rsidRDefault="00340B6C" w:rsidP="00662784">
                  <w:pPr>
                    <w:spacing w:after="0"/>
                    <w:jc w:val="center"/>
                  </w:pPr>
                  <w:r>
                    <w:rPr>
                      <w:rFonts w:ascii="Times New Roman" w:eastAsia="Times New Roman" w:hAnsi="Times New Roman"/>
                      <w:color w:val="000000"/>
                      <w:sz w:val="20"/>
                    </w:rPr>
                    <w:t>8.6</w:t>
                  </w:r>
                </w:p>
              </w:tc>
              <w:tc>
                <w:tcPr>
                  <w:tcW w:w="13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F71B19" w14:textId="77777777" w:rsidR="00340B6C" w:rsidRDefault="00340B6C" w:rsidP="00662784">
                  <w:pPr>
                    <w:spacing w:after="0"/>
                    <w:jc w:val="center"/>
                  </w:pPr>
                  <w:r>
                    <w:rPr>
                      <w:rFonts w:ascii="Times New Roman" w:eastAsia="Times New Roman" w:hAnsi="Times New Roman"/>
                      <w:color w:val="000000"/>
                      <w:sz w:val="20"/>
                    </w:rPr>
                    <w:t>--</w:t>
                  </w: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D7775B" w14:textId="77777777" w:rsidR="00340B6C" w:rsidRDefault="00340B6C" w:rsidP="00662784">
                  <w:pPr>
                    <w:spacing w:after="0"/>
                    <w:jc w:val="center"/>
                  </w:pPr>
                  <w:r>
                    <w:rPr>
                      <w:rFonts w:ascii="Times New Roman" w:eastAsia="Times New Roman" w:hAnsi="Times New Roman"/>
                      <w:color w:val="000000"/>
                      <w:sz w:val="20"/>
                    </w:rPr>
                    <w:t>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0ABFC4" w14:textId="77777777" w:rsidR="00340B6C" w:rsidRDefault="00340B6C" w:rsidP="00662784">
                  <w:pPr>
                    <w:spacing w:after="0"/>
                    <w:jc w:val="center"/>
                  </w:pPr>
                  <w:r>
                    <w:rPr>
                      <w:rFonts w:ascii="Times New Roman" w:eastAsia="Times New Roman" w:hAnsi="Times New Roman"/>
                      <w:color w:val="000000"/>
                      <w:sz w:val="20"/>
                    </w:rPr>
                    <w:t>7.6</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6B96A7" w14:textId="77777777" w:rsidR="00340B6C" w:rsidRDefault="00340B6C" w:rsidP="00662784">
                  <w:pPr>
                    <w:spacing w:after="0"/>
                    <w:jc w:val="center"/>
                  </w:pPr>
                  <w:r>
                    <w:rPr>
                      <w:rFonts w:ascii="Times New Roman" w:eastAsia="Times New Roman" w:hAnsi="Times New Roman"/>
                      <w:color w:val="000000"/>
                      <w:sz w:val="20"/>
                    </w:rPr>
                    <w:t>333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7F2CFA" w14:textId="77777777" w:rsidR="00340B6C" w:rsidRDefault="00340B6C" w:rsidP="00662784">
                  <w:pPr>
                    <w:spacing w:after="0"/>
                    <w:jc w:val="center"/>
                  </w:pPr>
                  <w:r>
                    <w:rPr>
                      <w:rFonts w:ascii="Times New Roman" w:eastAsia="Times New Roman" w:hAnsi="Times New Roman"/>
                      <w:color w:val="000000"/>
                      <w:sz w:val="20"/>
                    </w:rPr>
                    <w:t>1.8</w:t>
                  </w:r>
                </w:p>
              </w:tc>
            </w:tr>
            <w:tr w:rsidR="00340B6C" w14:paraId="024AAE01" w14:textId="77777777" w:rsidTr="00662784">
              <w:trPr>
                <w:trHeight w:val="181"/>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CA5137" w14:textId="77777777" w:rsidR="00340B6C" w:rsidRDefault="00340B6C" w:rsidP="00662784">
                  <w:pPr>
                    <w:spacing w:after="0"/>
                    <w:jc w:val="center"/>
                  </w:pPr>
                  <w:r>
                    <w:rPr>
                      <w:rFonts w:ascii="Times New Roman" w:eastAsia="Times New Roman" w:hAnsi="Times New Roman"/>
                      <w:b/>
                      <w:color w:val="000000"/>
                      <w:sz w:val="20"/>
                    </w:rPr>
                    <w:t>Totals</w:t>
                  </w:r>
                </w:p>
              </w:tc>
              <w:tc>
                <w:tcPr>
                  <w:tcW w:w="649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9A8E1C" w14:textId="77777777" w:rsidR="00340B6C" w:rsidRDefault="00340B6C" w:rsidP="00662784">
                  <w:pPr>
                    <w:spacing w:after="0"/>
                    <w:jc w:val="center"/>
                  </w:pPr>
                </w:p>
              </w:tc>
            </w:tr>
            <w:tr w:rsidR="00340B6C" w14:paraId="1123D71B" w14:textId="77777777" w:rsidTr="00662784">
              <w:trPr>
                <w:trHeight w:val="181"/>
                <w:jc w:val="center"/>
              </w:trPr>
              <w:tc>
                <w:tcPr>
                  <w:tcW w:w="203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020A13" w14:textId="77777777" w:rsidR="00340B6C" w:rsidRDefault="00340B6C" w:rsidP="00662784">
                  <w:pPr>
                    <w:spacing w:after="0"/>
                    <w:jc w:val="center"/>
                  </w:pPr>
                  <w:r>
                    <w:rPr>
                      <w:rFonts w:ascii="Times New Roman" w:eastAsia="Times New Roman" w:hAnsi="Times New Roman"/>
                      <w:b/>
                      <w:color w:val="000000"/>
                      <w:sz w:val="20"/>
                    </w:rPr>
                    <w:t>2019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4926BE" w14:textId="77777777" w:rsidR="00340B6C" w:rsidRDefault="00340B6C" w:rsidP="00662784">
                  <w:pPr>
                    <w:spacing w:after="0"/>
                    <w:jc w:val="center"/>
                  </w:pPr>
                  <w:r>
                    <w:rPr>
                      <w:rFonts w:ascii="Times New Roman" w:eastAsia="Times New Roman" w:hAnsi="Times New Roman"/>
                      <w:b/>
                      <w:color w:val="000000"/>
                      <w:sz w:val="20"/>
                    </w:rPr>
                    <w:t>100.0</w:t>
                  </w:r>
                </w:p>
              </w:tc>
              <w:tc>
                <w:tcPr>
                  <w:tcW w:w="13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5FF518" w14:textId="77777777" w:rsidR="00340B6C" w:rsidRDefault="00340B6C" w:rsidP="00662784">
                  <w:pPr>
                    <w:spacing w:after="0"/>
                    <w:jc w:val="center"/>
                  </w:pPr>
                  <w:r>
                    <w:rPr>
                      <w:rFonts w:ascii="Times New Roman" w:eastAsia="Times New Roman" w:hAnsi="Times New Roman"/>
                      <w:b/>
                      <w:color w:val="000000"/>
                      <w:sz w:val="20"/>
                    </w:rPr>
                    <w:t>100.0</w:t>
                  </w: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4A7F82" w14:textId="77777777" w:rsidR="00340B6C" w:rsidRDefault="00340B6C" w:rsidP="00662784">
                  <w:pPr>
                    <w:spacing w:after="0"/>
                    <w:jc w:val="center"/>
                  </w:pPr>
                  <w:r>
                    <w:rPr>
                      <w:rFonts w:ascii="Times New Roman" w:eastAsia="Times New Roman" w:hAnsi="Times New Roman"/>
                      <w:b/>
                      <w:color w:val="000000"/>
                      <w:sz w:val="20"/>
                    </w:rPr>
                    <w:t>119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0A821C" w14:textId="77777777" w:rsidR="00340B6C" w:rsidRDefault="00340B6C" w:rsidP="00662784">
                  <w:pPr>
                    <w:spacing w:after="0"/>
                    <w:jc w:val="center"/>
                  </w:pPr>
                  <w:r>
                    <w:rPr>
                      <w:rFonts w:ascii="Times New Roman" w:eastAsia="Times New Roman" w:hAnsi="Times New Roman"/>
                      <w:b/>
                      <w:color w:val="000000"/>
                      <w:sz w:val="20"/>
                    </w:rPr>
                    <w:t>100.0</w:t>
                  </w:r>
                </w:p>
              </w:tc>
              <w:tc>
                <w:tcPr>
                  <w:tcW w:w="10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2E2485" w14:textId="77777777" w:rsidR="00340B6C" w:rsidRDefault="00340B6C" w:rsidP="00662784">
                  <w:pPr>
                    <w:spacing w:after="0"/>
                    <w:jc w:val="center"/>
                  </w:pPr>
                  <w:r>
                    <w:rPr>
                      <w:rFonts w:ascii="Times New Roman" w:eastAsia="Times New Roman" w:hAnsi="Times New Roman"/>
                      <w:b/>
                      <w:color w:val="000000"/>
                      <w:sz w:val="20"/>
                    </w:rPr>
                    <w:t>18,092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3BCC93" w14:textId="77777777" w:rsidR="00340B6C" w:rsidRDefault="00340B6C" w:rsidP="00662784">
                  <w:pPr>
                    <w:spacing w:after="0"/>
                    <w:jc w:val="center"/>
                  </w:pPr>
                  <w:r>
                    <w:rPr>
                      <w:rFonts w:ascii="Times New Roman" w:eastAsia="Times New Roman" w:hAnsi="Times New Roman"/>
                      <w:b/>
                      <w:color w:val="000000"/>
                      <w:sz w:val="20"/>
                    </w:rPr>
                    <w:t>100.0</w:t>
                  </w:r>
                </w:p>
              </w:tc>
            </w:tr>
            <w:tr w:rsidR="00340B6C" w14:paraId="5F3F55D2" w14:textId="77777777" w:rsidTr="00662784">
              <w:trPr>
                <w:trHeight w:val="122"/>
                <w:jc w:val="center"/>
              </w:trPr>
              <w:tc>
                <w:tcPr>
                  <w:tcW w:w="8533"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vAlign w:val="center"/>
                </w:tcPr>
                <w:p w14:paraId="26FFE707" w14:textId="407F03D0" w:rsidR="00340B6C" w:rsidRDefault="00340B6C" w:rsidP="00662784">
                  <w:pPr>
                    <w:spacing w:after="0"/>
                    <w:jc w:val="center"/>
                  </w:pPr>
                  <w:r>
                    <w:rPr>
                      <w:rFonts w:ascii="Times New Roman" w:eastAsia="Times New Roman" w:hAnsi="Times New Roman"/>
                      <w:i/>
                      <w:color w:val="000000"/>
                      <w:sz w:val="16"/>
                    </w:rPr>
                    <w:t>Source: 2019 D&amp;B Data</w:t>
                  </w:r>
                  <w:r w:rsidR="00FF01E1">
                    <w:rPr>
                      <w:rFonts w:ascii="Times New Roman" w:eastAsia="Times New Roman" w:hAnsi="Times New Roman"/>
                      <w:i/>
                      <w:color w:val="000000"/>
                      <w:sz w:val="16"/>
                    </w:rPr>
                    <w:t>; Bank</w:t>
                  </w:r>
                  <w:r>
                    <w:rPr>
                      <w:rFonts w:ascii="Times New Roman" w:eastAsia="Times New Roman" w:hAnsi="Times New Roman"/>
                      <w:i/>
                      <w:color w:val="000000"/>
                      <w:sz w:val="16"/>
                    </w:rPr>
                    <w:t xml:space="preserve"> Data; 2019 CRA Aggregate Data; "--" data not available.</w:t>
                  </w:r>
                </w:p>
                <w:p w14:paraId="424EAC93" w14:textId="77777777" w:rsidR="00340B6C" w:rsidRDefault="00340B6C" w:rsidP="00662784">
                  <w:pPr>
                    <w:spacing w:after="0"/>
                    <w:jc w:val="center"/>
                  </w:pPr>
                  <w:r>
                    <w:rPr>
                      <w:rFonts w:ascii="Times New Roman" w:eastAsia="Times New Roman" w:hAnsi="Times New Roman"/>
                      <w:i/>
                      <w:color w:val="000000"/>
                      <w:sz w:val="16"/>
                    </w:rPr>
                    <w:t>Due to rounding, totals may not equal 100.0%</w:t>
                  </w:r>
                </w:p>
              </w:tc>
            </w:tr>
          </w:tbl>
          <w:p w14:paraId="1BCC5200" w14:textId="77777777" w:rsidR="00340B6C" w:rsidRDefault="00340B6C" w:rsidP="00EA0023"/>
        </w:tc>
        <w:tc>
          <w:tcPr>
            <w:tcW w:w="1439" w:type="dxa"/>
          </w:tcPr>
          <w:p w14:paraId="08729562" w14:textId="77777777" w:rsidR="00340B6C" w:rsidRDefault="00340B6C" w:rsidP="00EA0023">
            <w:pPr>
              <w:pStyle w:val="EmptyLayoutCell"/>
            </w:pPr>
          </w:p>
        </w:tc>
      </w:tr>
    </w:tbl>
    <w:p w14:paraId="682016C8" w14:textId="77777777" w:rsidR="007C7CB8" w:rsidRDefault="007C7CB8" w:rsidP="003F6C8F">
      <w:pPr>
        <w:spacing w:after="0" w:line="240" w:lineRule="auto"/>
        <w:rPr>
          <w:rFonts w:ascii="Times New Roman" w:hAnsi="Times New Roman" w:cs="Times New Roman"/>
          <w:bCs/>
          <w:sz w:val="24"/>
          <w:szCs w:val="24"/>
        </w:rPr>
      </w:pPr>
    </w:p>
    <w:p w14:paraId="3216EFAB" w14:textId="77777777" w:rsidR="00E50970" w:rsidRPr="00E50970" w:rsidRDefault="00E50970" w:rsidP="00E50970">
      <w:pPr>
        <w:spacing w:after="0" w:line="240" w:lineRule="auto"/>
        <w:rPr>
          <w:rFonts w:ascii="Times New Roman" w:eastAsia="Times New Roman" w:hAnsi="Times New Roman" w:cs="Times New Roman"/>
          <w:iCs/>
          <w:color w:val="000000"/>
          <w:sz w:val="24"/>
          <w:szCs w:val="24"/>
        </w:rPr>
      </w:pPr>
      <w:r w:rsidRPr="00E50970">
        <w:rPr>
          <w:rFonts w:ascii="Times New Roman" w:eastAsia="Times New Roman" w:hAnsi="Times New Roman" w:cs="Times New Roman"/>
          <w:b/>
          <w:bCs/>
          <w:sz w:val="24"/>
          <w:szCs w:val="24"/>
          <w:u w:val="single"/>
        </w:rPr>
        <w:t>Community Development Loans</w:t>
      </w:r>
      <w:r w:rsidRPr="00E50970">
        <w:rPr>
          <w:rFonts w:ascii="Times New Roman" w:eastAsia="Times New Roman" w:hAnsi="Times New Roman" w:cs="Times New Roman"/>
          <w:b/>
          <w:bCs/>
          <w:color w:val="0070C0"/>
          <w:sz w:val="24"/>
          <w:szCs w:val="24"/>
        </w:rPr>
        <w:t xml:space="preserve"> </w:t>
      </w:r>
    </w:p>
    <w:p w14:paraId="34F53403" w14:textId="77777777" w:rsidR="003F1C98" w:rsidRDefault="003F1C98" w:rsidP="00E50970">
      <w:pPr>
        <w:spacing w:after="0" w:line="240" w:lineRule="auto"/>
        <w:rPr>
          <w:rFonts w:ascii="Times New Roman" w:eastAsia="Times New Roman" w:hAnsi="Times New Roman" w:cs="Times New Roman"/>
          <w:color w:val="000000"/>
          <w:sz w:val="24"/>
          <w:szCs w:val="24"/>
        </w:rPr>
      </w:pPr>
    </w:p>
    <w:p w14:paraId="3DD9161B" w14:textId="7B5E36D4" w:rsidR="00DB75C4" w:rsidRDefault="003F1C98" w:rsidP="00E50970">
      <w:pPr>
        <w:spacing w:after="0" w:line="240" w:lineRule="auto"/>
        <w:rPr>
          <w:rFonts w:ascii="Times New Roman" w:eastAsia="Times New Roman" w:hAnsi="Times New Roman" w:cs="Times New Roman"/>
          <w:color w:val="000000"/>
          <w:sz w:val="24"/>
          <w:szCs w:val="24"/>
        </w:rPr>
      </w:pPr>
      <w:r w:rsidRPr="00E22302">
        <w:rPr>
          <w:rFonts w:ascii="Times New Roman" w:eastAsia="Times New Roman" w:hAnsi="Times New Roman" w:cs="Times New Roman"/>
          <w:bCs/>
          <w:sz w:val="24"/>
          <w:szCs w:val="24"/>
        </w:rPr>
        <w:t>HOB is a leader in makin</w:t>
      </w:r>
      <w:r>
        <w:rPr>
          <w:rFonts w:ascii="Times New Roman" w:eastAsia="Times New Roman" w:hAnsi="Times New Roman" w:cs="Times New Roman"/>
          <w:bCs/>
          <w:sz w:val="24"/>
          <w:szCs w:val="24"/>
        </w:rPr>
        <w:t xml:space="preserve">g community development loans in the </w:t>
      </w:r>
      <w:r w:rsidR="006D2AD2">
        <w:rPr>
          <w:rFonts w:ascii="Times New Roman" w:eastAsia="Times New Roman" w:hAnsi="Times New Roman" w:cs="Times New Roman"/>
          <w:bCs/>
          <w:sz w:val="24"/>
          <w:szCs w:val="24"/>
        </w:rPr>
        <w:t>Massachusetts</w:t>
      </w:r>
      <w:r>
        <w:rPr>
          <w:rFonts w:ascii="Times New Roman" w:eastAsia="Times New Roman" w:hAnsi="Times New Roman" w:cs="Times New Roman"/>
          <w:bCs/>
          <w:sz w:val="24"/>
          <w:szCs w:val="24"/>
        </w:rPr>
        <w:t xml:space="preserve"> assessment area.  </w:t>
      </w:r>
      <w:r w:rsidR="004D3745">
        <w:rPr>
          <w:rFonts w:ascii="Times New Roman" w:eastAsia="Times New Roman" w:hAnsi="Times New Roman" w:cs="Times New Roman"/>
          <w:color w:val="000000"/>
          <w:sz w:val="24"/>
          <w:szCs w:val="24"/>
        </w:rPr>
        <w:t xml:space="preserve">HOB originated </w:t>
      </w:r>
      <w:r w:rsidR="00530B36">
        <w:rPr>
          <w:rFonts w:ascii="Times New Roman" w:eastAsia="Times New Roman" w:hAnsi="Times New Roman" w:cs="Times New Roman"/>
          <w:color w:val="000000"/>
          <w:sz w:val="24"/>
          <w:szCs w:val="24"/>
        </w:rPr>
        <w:t>14 community development loans</w:t>
      </w:r>
      <w:r w:rsidR="00816F69">
        <w:rPr>
          <w:rFonts w:ascii="Times New Roman" w:eastAsia="Times New Roman" w:hAnsi="Times New Roman" w:cs="Times New Roman"/>
          <w:color w:val="000000"/>
          <w:sz w:val="24"/>
          <w:szCs w:val="24"/>
        </w:rPr>
        <w:t xml:space="preserve"> totaling $27.6 million</w:t>
      </w:r>
      <w:r>
        <w:rPr>
          <w:rFonts w:ascii="Times New Roman" w:eastAsia="Times New Roman" w:hAnsi="Times New Roman" w:cs="Times New Roman"/>
          <w:color w:val="000000"/>
          <w:sz w:val="24"/>
          <w:szCs w:val="24"/>
        </w:rPr>
        <w:t xml:space="preserve"> that met the needs of affordable housing, community services, and economic development.  The following table illustrates the bank’s community development lending activity.</w:t>
      </w:r>
    </w:p>
    <w:p w14:paraId="4C31DA6E" w14:textId="77777777" w:rsidR="004D3745" w:rsidRDefault="004D3745" w:rsidP="00E50970">
      <w:pPr>
        <w:spacing w:after="0" w:line="240" w:lineRule="auto"/>
        <w:rPr>
          <w:rFonts w:ascii="Times New Roman" w:eastAsia="Times New Roman" w:hAnsi="Times New Roman" w:cs="Times New Roman"/>
          <w:color w:val="000000"/>
          <w:sz w:val="24"/>
          <w:szCs w:val="24"/>
        </w:rPr>
      </w:pPr>
    </w:p>
    <w:tbl>
      <w:tblPr>
        <w:tblStyle w:val="TableGrid"/>
        <w:tblW w:w="8228" w:type="dxa"/>
        <w:jc w:val="center"/>
        <w:tblLayout w:type="fixed"/>
        <w:tblLook w:val="01E0" w:firstRow="1" w:lastRow="1" w:firstColumn="1" w:lastColumn="1" w:noHBand="0" w:noVBand="0"/>
        <w:tblCaption w:val="Community Development: Lending "/>
      </w:tblPr>
      <w:tblGrid>
        <w:gridCol w:w="1987"/>
        <w:gridCol w:w="700"/>
        <w:gridCol w:w="998"/>
        <w:gridCol w:w="512"/>
        <w:gridCol w:w="914"/>
        <w:gridCol w:w="616"/>
        <w:gridCol w:w="914"/>
        <w:gridCol w:w="659"/>
        <w:gridCol w:w="928"/>
      </w:tblGrid>
      <w:tr w:rsidR="004D3745" w:rsidRPr="00142E67" w14:paraId="1916F7A9" w14:textId="77777777" w:rsidTr="003320C2">
        <w:trPr>
          <w:trHeight w:val="360"/>
          <w:tblHeader/>
          <w:jc w:val="center"/>
        </w:trPr>
        <w:tc>
          <w:tcPr>
            <w:tcW w:w="8228" w:type="dxa"/>
            <w:gridSpan w:val="9"/>
          </w:tcPr>
          <w:p w14:paraId="2F38DF85" w14:textId="77777777" w:rsidR="004D3745" w:rsidRDefault="004D3745" w:rsidP="003320C2">
            <w:pPr>
              <w:keepNext/>
              <w:jc w:val="center"/>
              <w:rPr>
                <w:b/>
              </w:rPr>
            </w:pPr>
            <w:r w:rsidRPr="00142E67">
              <w:rPr>
                <w:b/>
              </w:rPr>
              <w:t>Community Development Lending</w:t>
            </w:r>
          </w:p>
          <w:p w14:paraId="2F9598E3" w14:textId="4C5F3845" w:rsidR="00816F69" w:rsidRPr="00142E67" w:rsidRDefault="00816F69" w:rsidP="003320C2">
            <w:pPr>
              <w:keepNext/>
              <w:jc w:val="center"/>
              <w:rPr>
                <w:b/>
              </w:rPr>
            </w:pPr>
            <w:r>
              <w:rPr>
                <w:b/>
              </w:rPr>
              <w:t>Assessment Area: Massachusetts</w:t>
            </w:r>
          </w:p>
        </w:tc>
      </w:tr>
      <w:tr w:rsidR="004D3745" w:rsidRPr="00142E67" w14:paraId="7B9296B0" w14:textId="77777777" w:rsidTr="003320C2">
        <w:trPr>
          <w:trHeight w:val="288"/>
          <w:jc w:val="center"/>
        </w:trPr>
        <w:tc>
          <w:tcPr>
            <w:tcW w:w="1987" w:type="dxa"/>
            <w:vMerge w:val="restart"/>
          </w:tcPr>
          <w:p w14:paraId="2127D4E7" w14:textId="77777777" w:rsidR="004D3745" w:rsidRPr="00142E67" w:rsidRDefault="004D3745" w:rsidP="003320C2">
            <w:pPr>
              <w:keepNext/>
              <w:rPr>
                <w:b/>
              </w:rPr>
            </w:pPr>
            <w:r w:rsidRPr="00142E67">
              <w:rPr>
                <w:b/>
              </w:rPr>
              <w:t>Activity Year</w:t>
            </w:r>
          </w:p>
        </w:tc>
        <w:tc>
          <w:tcPr>
            <w:tcW w:w="1698" w:type="dxa"/>
            <w:gridSpan w:val="2"/>
          </w:tcPr>
          <w:p w14:paraId="101F78D7" w14:textId="77777777" w:rsidR="004D3745" w:rsidRPr="00142E67" w:rsidRDefault="004D3745" w:rsidP="003320C2">
            <w:pPr>
              <w:keepNext/>
              <w:jc w:val="center"/>
              <w:rPr>
                <w:b/>
              </w:rPr>
            </w:pPr>
            <w:r w:rsidRPr="00142E67">
              <w:rPr>
                <w:b/>
              </w:rPr>
              <w:t>Affordable Housing</w:t>
            </w:r>
          </w:p>
        </w:tc>
        <w:tc>
          <w:tcPr>
            <w:tcW w:w="1426" w:type="dxa"/>
            <w:gridSpan w:val="2"/>
          </w:tcPr>
          <w:p w14:paraId="226B7832" w14:textId="77777777" w:rsidR="004D3745" w:rsidRPr="00142E67" w:rsidRDefault="004D3745" w:rsidP="003320C2">
            <w:pPr>
              <w:keepNext/>
              <w:jc w:val="center"/>
              <w:rPr>
                <w:b/>
              </w:rPr>
            </w:pPr>
            <w:r w:rsidRPr="00142E67">
              <w:rPr>
                <w:b/>
              </w:rPr>
              <w:t>Community Services</w:t>
            </w:r>
          </w:p>
        </w:tc>
        <w:tc>
          <w:tcPr>
            <w:tcW w:w="1530" w:type="dxa"/>
            <w:gridSpan w:val="2"/>
          </w:tcPr>
          <w:p w14:paraId="0FEED076" w14:textId="77777777" w:rsidR="004D3745" w:rsidRPr="00142E67" w:rsidRDefault="004D3745" w:rsidP="003320C2">
            <w:pPr>
              <w:keepNext/>
              <w:jc w:val="center"/>
              <w:rPr>
                <w:b/>
              </w:rPr>
            </w:pPr>
            <w:r w:rsidRPr="00142E67">
              <w:rPr>
                <w:b/>
              </w:rPr>
              <w:t>Economic Development</w:t>
            </w:r>
          </w:p>
        </w:tc>
        <w:tc>
          <w:tcPr>
            <w:tcW w:w="1587" w:type="dxa"/>
            <w:gridSpan w:val="2"/>
          </w:tcPr>
          <w:p w14:paraId="57BFFE7B" w14:textId="77777777" w:rsidR="004D3745" w:rsidRPr="00142E67" w:rsidRDefault="004D3745" w:rsidP="003320C2">
            <w:pPr>
              <w:keepNext/>
              <w:jc w:val="center"/>
              <w:rPr>
                <w:b/>
              </w:rPr>
            </w:pPr>
            <w:r w:rsidRPr="00142E67">
              <w:rPr>
                <w:b/>
              </w:rPr>
              <w:t>Totals</w:t>
            </w:r>
          </w:p>
        </w:tc>
      </w:tr>
      <w:tr w:rsidR="004D3745" w:rsidRPr="00142E67" w14:paraId="51FC3DB9" w14:textId="77777777" w:rsidTr="003320C2">
        <w:trPr>
          <w:trHeight w:val="288"/>
          <w:jc w:val="center"/>
        </w:trPr>
        <w:tc>
          <w:tcPr>
            <w:tcW w:w="1987" w:type="dxa"/>
            <w:vMerge/>
          </w:tcPr>
          <w:p w14:paraId="41ABCE41" w14:textId="77777777" w:rsidR="004D3745" w:rsidRPr="00142E67" w:rsidRDefault="004D3745" w:rsidP="003320C2">
            <w:pPr>
              <w:keepNext/>
              <w:rPr>
                <w:highlight w:val="green"/>
              </w:rPr>
            </w:pPr>
          </w:p>
        </w:tc>
        <w:tc>
          <w:tcPr>
            <w:tcW w:w="700" w:type="dxa"/>
          </w:tcPr>
          <w:p w14:paraId="7714783D" w14:textId="77777777" w:rsidR="004D3745" w:rsidRPr="00142E67" w:rsidRDefault="004D3745" w:rsidP="003320C2">
            <w:pPr>
              <w:keepNext/>
              <w:jc w:val="center"/>
              <w:rPr>
                <w:b/>
              </w:rPr>
            </w:pPr>
            <w:r w:rsidRPr="00142E67">
              <w:rPr>
                <w:b/>
              </w:rPr>
              <w:t>#</w:t>
            </w:r>
          </w:p>
        </w:tc>
        <w:tc>
          <w:tcPr>
            <w:tcW w:w="998" w:type="dxa"/>
          </w:tcPr>
          <w:p w14:paraId="6755BA30" w14:textId="77777777" w:rsidR="004D3745" w:rsidRPr="00142E67" w:rsidRDefault="004D3745" w:rsidP="003320C2">
            <w:pPr>
              <w:keepNext/>
              <w:jc w:val="center"/>
              <w:rPr>
                <w:b/>
              </w:rPr>
            </w:pPr>
            <w:r w:rsidRPr="00142E67">
              <w:rPr>
                <w:b/>
              </w:rPr>
              <w:t>$(000s)</w:t>
            </w:r>
          </w:p>
        </w:tc>
        <w:tc>
          <w:tcPr>
            <w:tcW w:w="512" w:type="dxa"/>
          </w:tcPr>
          <w:p w14:paraId="5ED4B15B" w14:textId="77777777" w:rsidR="004D3745" w:rsidRPr="00142E67" w:rsidRDefault="004D3745" w:rsidP="003320C2">
            <w:pPr>
              <w:keepNext/>
              <w:jc w:val="center"/>
              <w:rPr>
                <w:b/>
              </w:rPr>
            </w:pPr>
            <w:r w:rsidRPr="00142E67">
              <w:rPr>
                <w:b/>
              </w:rPr>
              <w:t>#</w:t>
            </w:r>
          </w:p>
        </w:tc>
        <w:tc>
          <w:tcPr>
            <w:tcW w:w="914" w:type="dxa"/>
          </w:tcPr>
          <w:p w14:paraId="20A4DBCF" w14:textId="77777777" w:rsidR="004D3745" w:rsidRPr="00142E67" w:rsidRDefault="004D3745" w:rsidP="003320C2">
            <w:pPr>
              <w:keepNext/>
              <w:jc w:val="center"/>
              <w:rPr>
                <w:b/>
              </w:rPr>
            </w:pPr>
            <w:r w:rsidRPr="00142E67">
              <w:rPr>
                <w:b/>
              </w:rPr>
              <w:t>$(000s)</w:t>
            </w:r>
          </w:p>
        </w:tc>
        <w:tc>
          <w:tcPr>
            <w:tcW w:w="616" w:type="dxa"/>
          </w:tcPr>
          <w:p w14:paraId="6F914F51" w14:textId="77777777" w:rsidR="004D3745" w:rsidRPr="00142E67" w:rsidRDefault="004D3745" w:rsidP="003320C2">
            <w:pPr>
              <w:keepNext/>
              <w:jc w:val="center"/>
              <w:rPr>
                <w:b/>
              </w:rPr>
            </w:pPr>
            <w:r w:rsidRPr="00142E67">
              <w:rPr>
                <w:b/>
              </w:rPr>
              <w:t>#</w:t>
            </w:r>
          </w:p>
        </w:tc>
        <w:tc>
          <w:tcPr>
            <w:tcW w:w="914" w:type="dxa"/>
          </w:tcPr>
          <w:p w14:paraId="349CBC54" w14:textId="77777777" w:rsidR="004D3745" w:rsidRPr="00142E67" w:rsidRDefault="004D3745" w:rsidP="003320C2">
            <w:pPr>
              <w:keepNext/>
              <w:jc w:val="center"/>
              <w:rPr>
                <w:b/>
              </w:rPr>
            </w:pPr>
            <w:r w:rsidRPr="00142E67">
              <w:rPr>
                <w:b/>
              </w:rPr>
              <w:t>$(000s)</w:t>
            </w:r>
          </w:p>
        </w:tc>
        <w:tc>
          <w:tcPr>
            <w:tcW w:w="659" w:type="dxa"/>
          </w:tcPr>
          <w:p w14:paraId="7BF1BD8D" w14:textId="77777777" w:rsidR="004D3745" w:rsidRPr="00142E67" w:rsidRDefault="004D3745" w:rsidP="003320C2">
            <w:pPr>
              <w:keepNext/>
              <w:jc w:val="center"/>
              <w:rPr>
                <w:b/>
              </w:rPr>
            </w:pPr>
            <w:r w:rsidRPr="00142E67">
              <w:rPr>
                <w:b/>
              </w:rPr>
              <w:t>#</w:t>
            </w:r>
          </w:p>
        </w:tc>
        <w:tc>
          <w:tcPr>
            <w:tcW w:w="928" w:type="dxa"/>
          </w:tcPr>
          <w:p w14:paraId="0401BEAA" w14:textId="77777777" w:rsidR="004D3745" w:rsidRPr="00142E67" w:rsidRDefault="004D3745" w:rsidP="003320C2">
            <w:pPr>
              <w:keepNext/>
              <w:jc w:val="center"/>
              <w:rPr>
                <w:b/>
              </w:rPr>
            </w:pPr>
            <w:r w:rsidRPr="00142E67">
              <w:rPr>
                <w:b/>
              </w:rPr>
              <w:t>$(000s)</w:t>
            </w:r>
          </w:p>
        </w:tc>
      </w:tr>
      <w:tr w:rsidR="004D3745" w:rsidRPr="00142E67" w14:paraId="216AEF4F" w14:textId="77777777" w:rsidTr="003320C2">
        <w:trPr>
          <w:trHeight w:val="288"/>
          <w:jc w:val="center"/>
        </w:trPr>
        <w:tc>
          <w:tcPr>
            <w:tcW w:w="1987" w:type="dxa"/>
          </w:tcPr>
          <w:p w14:paraId="54D8C45D" w14:textId="77777777" w:rsidR="004D3745" w:rsidRPr="00142E67" w:rsidRDefault="004D3745" w:rsidP="003320C2">
            <w:pPr>
              <w:keepNext/>
            </w:pPr>
            <w:r>
              <w:t>Partial 2017</w:t>
            </w:r>
          </w:p>
        </w:tc>
        <w:tc>
          <w:tcPr>
            <w:tcW w:w="700" w:type="dxa"/>
          </w:tcPr>
          <w:p w14:paraId="1AF1FBAE" w14:textId="77777777" w:rsidR="004D3745" w:rsidRPr="00142E67" w:rsidRDefault="009F5380" w:rsidP="003320C2">
            <w:pPr>
              <w:keepNext/>
              <w:jc w:val="center"/>
            </w:pPr>
            <w:r>
              <w:t>0</w:t>
            </w:r>
          </w:p>
        </w:tc>
        <w:tc>
          <w:tcPr>
            <w:tcW w:w="998" w:type="dxa"/>
          </w:tcPr>
          <w:p w14:paraId="5050F829" w14:textId="77777777" w:rsidR="004D3745" w:rsidRPr="00142E67" w:rsidRDefault="009F5380" w:rsidP="003320C2">
            <w:pPr>
              <w:keepNext/>
              <w:jc w:val="center"/>
            </w:pPr>
            <w:r>
              <w:t>0</w:t>
            </w:r>
          </w:p>
        </w:tc>
        <w:tc>
          <w:tcPr>
            <w:tcW w:w="512" w:type="dxa"/>
          </w:tcPr>
          <w:p w14:paraId="4D4D0E57" w14:textId="77777777" w:rsidR="004D3745" w:rsidRPr="00142E67" w:rsidRDefault="009F5380" w:rsidP="003320C2">
            <w:pPr>
              <w:keepNext/>
              <w:jc w:val="center"/>
            </w:pPr>
            <w:r>
              <w:t>0</w:t>
            </w:r>
          </w:p>
        </w:tc>
        <w:tc>
          <w:tcPr>
            <w:tcW w:w="914" w:type="dxa"/>
          </w:tcPr>
          <w:p w14:paraId="202C0A75" w14:textId="77777777" w:rsidR="004D3745" w:rsidRPr="00142E67" w:rsidRDefault="009F5380" w:rsidP="003320C2">
            <w:pPr>
              <w:keepNext/>
              <w:jc w:val="center"/>
            </w:pPr>
            <w:r>
              <w:t>0</w:t>
            </w:r>
          </w:p>
        </w:tc>
        <w:tc>
          <w:tcPr>
            <w:tcW w:w="616" w:type="dxa"/>
          </w:tcPr>
          <w:p w14:paraId="5499DEBA" w14:textId="77777777" w:rsidR="004D3745" w:rsidRPr="00142E67" w:rsidRDefault="009F5380" w:rsidP="003320C2">
            <w:pPr>
              <w:keepNext/>
              <w:jc w:val="center"/>
            </w:pPr>
            <w:r>
              <w:t>0</w:t>
            </w:r>
          </w:p>
        </w:tc>
        <w:tc>
          <w:tcPr>
            <w:tcW w:w="914" w:type="dxa"/>
          </w:tcPr>
          <w:p w14:paraId="2E027690" w14:textId="77777777" w:rsidR="004D3745" w:rsidRPr="00142E67" w:rsidRDefault="009F5380" w:rsidP="003320C2">
            <w:pPr>
              <w:keepNext/>
              <w:jc w:val="center"/>
            </w:pPr>
            <w:r>
              <w:t>0</w:t>
            </w:r>
          </w:p>
        </w:tc>
        <w:tc>
          <w:tcPr>
            <w:tcW w:w="659" w:type="dxa"/>
          </w:tcPr>
          <w:p w14:paraId="2F8B48DB" w14:textId="77777777" w:rsidR="004D3745" w:rsidRPr="00142E67" w:rsidRDefault="009F5380" w:rsidP="003320C2">
            <w:pPr>
              <w:keepNext/>
              <w:jc w:val="center"/>
              <w:rPr>
                <w:b/>
              </w:rPr>
            </w:pPr>
            <w:r>
              <w:rPr>
                <w:b/>
              </w:rPr>
              <w:t>0</w:t>
            </w:r>
          </w:p>
        </w:tc>
        <w:tc>
          <w:tcPr>
            <w:tcW w:w="928" w:type="dxa"/>
          </w:tcPr>
          <w:p w14:paraId="0D76CB89" w14:textId="77777777" w:rsidR="004D3745" w:rsidRPr="00142E67" w:rsidRDefault="009F5380" w:rsidP="003320C2">
            <w:pPr>
              <w:keepNext/>
              <w:jc w:val="center"/>
              <w:rPr>
                <w:b/>
              </w:rPr>
            </w:pPr>
            <w:r>
              <w:rPr>
                <w:b/>
              </w:rPr>
              <w:t>0</w:t>
            </w:r>
          </w:p>
        </w:tc>
      </w:tr>
      <w:tr w:rsidR="004D3745" w:rsidRPr="00142E67" w14:paraId="602D0FDB" w14:textId="77777777" w:rsidTr="003320C2">
        <w:trPr>
          <w:trHeight w:val="288"/>
          <w:jc w:val="center"/>
        </w:trPr>
        <w:tc>
          <w:tcPr>
            <w:tcW w:w="1987" w:type="dxa"/>
          </w:tcPr>
          <w:p w14:paraId="1E6B6771" w14:textId="77777777" w:rsidR="004D3745" w:rsidRPr="00142E67" w:rsidRDefault="004D3745" w:rsidP="003320C2">
            <w:pPr>
              <w:keepNext/>
            </w:pPr>
            <w:r>
              <w:t>2018</w:t>
            </w:r>
          </w:p>
        </w:tc>
        <w:tc>
          <w:tcPr>
            <w:tcW w:w="700" w:type="dxa"/>
          </w:tcPr>
          <w:p w14:paraId="196C274E" w14:textId="77777777" w:rsidR="00A56B7C" w:rsidRPr="00142E67" w:rsidRDefault="00A56B7C" w:rsidP="00A56B7C">
            <w:pPr>
              <w:keepNext/>
              <w:jc w:val="center"/>
            </w:pPr>
            <w:r>
              <w:t>2</w:t>
            </w:r>
          </w:p>
        </w:tc>
        <w:tc>
          <w:tcPr>
            <w:tcW w:w="998" w:type="dxa"/>
          </w:tcPr>
          <w:p w14:paraId="652C993A" w14:textId="77777777" w:rsidR="004D3745" w:rsidRPr="00142E67" w:rsidRDefault="00A56B7C" w:rsidP="003320C2">
            <w:pPr>
              <w:keepNext/>
              <w:jc w:val="center"/>
            </w:pPr>
            <w:r>
              <w:t>4,800</w:t>
            </w:r>
          </w:p>
        </w:tc>
        <w:tc>
          <w:tcPr>
            <w:tcW w:w="512" w:type="dxa"/>
          </w:tcPr>
          <w:p w14:paraId="7AFF2141" w14:textId="77777777" w:rsidR="004D3745" w:rsidRPr="00142E67" w:rsidRDefault="00A56B7C" w:rsidP="003320C2">
            <w:pPr>
              <w:keepNext/>
              <w:jc w:val="center"/>
            </w:pPr>
            <w:r>
              <w:t>2</w:t>
            </w:r>
          </w:p>
        </w:tc>
        <w:tc>
          <w:tcPr>
            <w:tcW w:w="914" w:type="dxa"/>
          </w:tcPr>
          <w:p w14:paraId="28ABBCFE" w14:textId="77777777" w:rsidR="00A56B7C" w:rsidRPr="00142E67" w:rsidRDefault="00A56B7C" w:rsidP="00A56B7C">
            <w:pPr>
              <w:keepNext/>
              <w:jc w:val="center"/>
            </w:pPr>
            <w:r>
              <w:t>400</w:t>
            </w:r>
          </w:p>
        </w:tc>
        <w:tc>
          <w:tcPr>
            <w:tcW w:w="616" w:type="dxa"/>
          </w:tcPr>
          <w:p w14:paraId="5F7E11D8" w14:textId="77777777" w:rsidR="004D3745" w:rsidRPr="00142E67" w:rsidRDefault="00A56B7C" w:rsidP="003320C2">
            <w:pPr>
              <w:keepNext/>
              <w:jc w:val="center"/>
            </w:pPr>
            <w:r>
              <w:t>2</w:t>
            </w:r>
          </w:p>
        </w:tc>
        <w:tc>
          <w:tcPr>
            <w:tcW w:w="914" w:type="dxa"/>
          </w:tcPr>
          <w:p w14:paraId="027F86CE" w14:textId="77777777" w:rsidR="004D3745" w:rsidRPr="00142E67" w:rsidRDefault="00A56B7C" w:rsidP="003320C2">
            <w:pPr>
              <w:keepNext/>
              <w:jc w:val="center"/>
            </w:pPr>
            <w:r>
              <w:t>4,009</w:t>
            </w:r>
          </w:p>
        </w:tc>
        <w:tc>
          <w:tcPr>
            <w:tcW w:w="659" w:type="dxa"/>
          </w:tcPr>
          <w:p w14:paraId="71633F8F" w14:textId="77777777" w:rsidR="004D3745" w:rsidRPr="00142E67" w:rsidRDefault="00A56B7C" w:rsidP="003320C2">
            <w:pPr>
              <w:keepNext/>
              <w:jc w:val="center"/>
              <w:rPr>
                <w:b/>
              </w:rPr>
            </w:pPr>
            <w:r>
              <w:rPr>
                <w:b/>
              </w:rPr>
              <w:t>6</w:t>
            </w:r>
          </w:p>
        </w:tc>
        <w:tc>
          <w:tcPr>
            <w:tcW w:w="928" w:type="dxa"/>
          </w:tcPr>
          <w:p w14:paraId="078A5009" w14:textId="77777777" w:rsidR="004D3745" w:rsidRPr="00142E67" w:rsidRDefault="00A56B7C" w:rsidP="003320C2">
            <w:pPr>
              <w:keepNext/>
              <w:jc w:val="center"/>
              <w:rPr>
                <w:b/>
              </w:rPr>
            </w:pPr>
            <w:r>
              <w:rPr>
                <w:b/>
              </w:rPr>
              <w:t>9,209</w:t>
            </w:r>
          </w:p>
        </w:tc>
      </w:tr>
      <w:tr w:rsidR="004D3745" w:rsidRPr="00142E67" w14:paraId="68A1E552" w14:textId="77777777" w:rsidTr="003320C2">
        <w:trPr>
          <w:trHeight w:val="288"/>
          <w:jc w:val="center"/>
        </w:trPr>
        <w:tc>
          <w:tcPr>
            <w:tcW w:w="1987" w:type="dxa"/>
          </w:tcPr>
          <w:p w14:paraId="3BC6334E" w14:textId="77777777" w:rsidR="004D3745" w:rsidRPr="00142E67" w:rsidRDefault="004D3745" w:rsidP="003320C2">
            <w:pPr>
              <w:keepNext/>
            </w:pPr>
            <w:r>
              <w:t>2019</w:t>
            </w:r>
          </w:p>
        </w:tc>
        <w:tc>
          <w:tcPr>
            <w:tcW w:w="700" w:type="dxa"/>
          </w:tcPr>
          <w:p w14:paraId="3DAAFCA5" w14:textId="77777777" w:rsidR="004D3745" w:rsidRPr="00142E67" w:rsidRDefault="00EF0F8C" w:rsidP="003320C2">
            <w:pPr>
              <w:keepNext/>
              <w:jc w:val="center"/>
            </w:pPr>
            <w:r>
              <w:t>3</w:t>
            </w:r>
          </w:p>
        </w:tc>
        <w:tc>
          <w:tcPr>
            <w:tcW w:w="998" w:type="dxa"/>
          </w:tcPr>
          <w:p w14:paraId="63AB2074" w14:textId="77777777" w:rsidR="004D3745" w:rsidRPr="00142E67" w:rsidRDefault="00EF0F8C" w:rsidP="003320C2">
            <w:pPr>
              <w:keepNext/>
              <w:jc w:val="center"/>
            </w:pPr>
            <w:r>
              <w:t>8,015</w:t>
            </w:r>
          </w:p>
        </w:tc>
        <w:tc>
          <w:tcPr>
            <w:tcW w:w="512" w:type="dxa"/>
          </w:tcPr>
          <w:p w14:paraId="3708EC2A" w14:textId="77777777" w:rsidR="004D3745" w:rsidRPr="00142E67" w:rsidRDefault="00EF0F8C" w:rsidP="003320C2">
            <w:pPr>
              <w:keepNext/>
              <w:jc w:val="center"/>
            </w:pPr>
            <w:r>
              <w:t>1</w:t>
            </w:r>
          </w:p>
        </w:tc>
        <w:tc>
          <w:tcPr>
            <w:tcW w:w="914" w:type="dxa"/>
          </w:tcPr>
          <w:p w14:paraId="6C58E1EB" w14:textId="77777777" w:rsidR="004D3745" w:rsidRPr="00142E67" w:rsidRDefault="00EF0F8C" w:rsidP="003320C2">
            <w:pPr>
              <w:keepNext/>
              <w:jc w:val="center"/>
            </w:pPr>
            <w:r>
              <w:t>25</w:t>
            </w:r>
          </w:p>
        </w:tc>
        <w:tc>
          <w:tcPr>
            <w:tcW w:w="616" w:type="dxa"/>
          </w:tcPr>
          <w:p w14:paraId="28DFEC55" w14:textId="77777777" w:rsidR="004D3745" w:rsidRPr="00142E67" w:rsidRDefault="00EF0F8C" w:rsidP="003320C2">
            <w:pPr>
              <w:keepNext/>
              <w:jc w:val="center"/>
            </w:pPr>
            <w:r>
              <w:t>0</w:t>
            </w:r>
          </w:p>
        </w:tc>
        <w:tc>
          <w:tcPr>
            <w:tcW w:w="914" w:type="dxa"/>
          </w:tcPr>
          <w:p w14:paraId="317A4B60" w14:textId="77777777" w:rsidR="004D3745" w:rsidRPr="00142E67" w:rsidRDefault="00EF0F8C" w:rsidP="003320C2">
            <w:pPr>
              <w:keepNext/>
              <w:jc w:val="center"/>
            </w:pPr>
            <w:r>
              <w:t>0</w:t>
            </w:r>
          </w:p>
        </w:tc>
        <w:tc>
          <w:tcPr>
            <w:tcW w:w="659" w:type="dxa"/>
          </w:tcPr>
          <w:p w14:paraId="3BAA7B31" w14:textId="77777777" w:rsidR="004D3745" w:rsidRPr="00142E67" w:rsidRDefault="00EF0F8C" w:rsidP="003320C2">
            <w:pPr>
              <w:keepNext/>
              <w:jc w:val="center"/>
              <w:rPr>
                <w:b/>
              </w:rPr>
            </w:pPr>
            <w:r>
              <w:rPr>
                <w:b/>
              </w:rPr>
              <w:t>4</w:t>
            </w:r>
          </w:p>
        </w:tc>
        <w:tc>
          <w:tcPr>
            <w:tcW w:w="928" w:type="dxa"/>
          </w:tcPr>
          <w:p w14:paraId="1644CE0F" w14:textId="77777777" w:rsidR="004D3745" w:rsidRPr="00142E67" w:rsidRDefault="00EF0F8C" w:rsidP="003320C2">
            <w:pPr>
              <w:keepNext/>
              <w:jc w:val="center"/>
              <w:rPr>
                <w:b/>
              </w:rPr>
            </w:pPr>
            <w:r>
              <w:rPr>
                <w:b/>
              </w:rPr>
              <w:t>8,040</w:t>
            </w:r>
          </w:p>
        </w:tc>
      </w:tr>
      <w:tr w:rsidR="004D3745" w:rsidRPr="00142E67" w14:paraId="19747060" w14:textId="77777777" w:rsidTr="003320C2">
        <w:trPr>
          <w:trHeight w:val="288"/>
          <w:jc w:val="center"/>
        </w:trPr>
        <w:tc>
          <w:tcPr>
            <w:tcW w:w="1987" w:type="dxa"/>
          </w:tcPr>
          <w:p w14:paraId="25E76CC2" w14:textId="77777777" w:rsidR="004D3745" w:rsidRDefault="004D3745" w:rsidP="003320C2">
            <w:pPr>
              <w:keepNext/>
            </w:pPr>
            <w:r>
              <w:t>2020</w:t>
            </w:r>
          </w:p>
        </w:tc>
        <w:tc>
          <w:tcPr>
            <w:tcW w:w="700" w:type="dxa"/>
          </w:tcPr>
          <w:p w14:paraId="3A440C85" w14:textId="77777777" w:rsidR="004D3745" w:rsidRPr="00142E67" w:rsidRDefault="002A7EDF" w:rsidP="003320C2">
            <w:pPr>
              <w:keepNext/>
              <w:jc w:val="center"/>
            </w:pPr>
            <w:r>
              <w:t>4</w:t>
            </w:r>
          </w:p>
        </w:tc>
        <w:tc>
          <w:tcPr>
            <w:tcW w:w="998" w:type="dxa"/>
          </w:tcPr>
          <w:p w14:paraId="5FA10D13" w14:textId="77777777" w:rsidR="004D3745" w:rsidRPr="00142E67" w:rsidRDefault="002A7EDF" w:rsidP="003320C2">
            <w:pPr>
              <w:keepNext/>
              <w:jc w:val="center"/>
            </w:pPr>
            <w:r>
              <w:t>10,307</w:t>
            </w:r>
          </w:p>
        </w:tc>
        <w:tc>
          <w:tcPr>
            <w:tcW w:w="512" w:type="dxa"/>
          </w:tcPr>
          <w:p w14:paraId="407F8C09" w14:textId="77777777" w:rsidR="004D3745" w:rsidRPr="00142E67" w:rsidRDefault="002A7EDF" w:rsidP="003320C2">
            <w:pPr>
              <w:keepNext/>
              <w:jc w:val="center"/>
            </w:pPr>
            <w:r>
              <w:t>0</w:t>
            </w:r>
          </w:p>
        </w:tc>
        <w:tc>
          <w:tcPr>
            <w:tcW w:w="914" w:type="dxa"/>
          </w:tcPr>
          <w:p w14:paraId="782C11F4" w14:textId="77777777" w:rsidR="004D3745" w:rsidRPr="00142E67" w:rsidRDefault="002A7EDF" w:rsidP="003320C2">
            <w:pPr>
              <w:keepNext/>
              <w:jc w:val="center"/>
            </w:pPr>
            <w:r>
              <w:t>0</w:t>
            </w:r>
          </w:p>
        </w:tc>
        <w:tc>
          <w:tcPr>
            <w:tcW w:w="616" w:type="dxa"/>
          </w:tcPr>
          <w:p w14:paraId="4DB9B1EE" w14:textId="77777777" w:rsidR="004D3745" w:rsidRPr="00142E67" w:rsidRDefault="002A7EDF" w:rsidP="003320C2">
            <w:pPr>
              <w:keepNext/>
              <w:jc w:val="center"/>
            </w:pPr>
            <w:r>
              <w:t>0</w:t>
            </w:r>
          </w:p>
        </w:tc>
        <w:tc>
          <w:tcPr>
            <w:tcW w:w="914" w:type="dxa"/>
          </w:tcPr>
          <w:p w14:paraId="67EBCDB4" w14:textId="77777777" w:rsidR="004D3745" w:rsidRPr="00142E67" w:rsidRDefault="002A7EDF" w:rsidP="003320C2">
            <w:pPr>
              <w:keepNext/>
              <w:jc w:val="center"/>
            </w:pPr>
            <w:r>
              <w:t>0</w:t>
            </w:r>
          </w:p>
        </w:tc>
        <w:tc>
          <w:tcPr>
            <w:tcW w:w="659" w:type="dxa"/>
          </w:tcPr>
          <w:p w14:paraId="5C3F4EDA" w14:textId="77777777" w:rsidR="004D3745" w:rsidRPr="00142E67" w:rsidRDefault="002A7EDF" w:rsidP="003320C2">
            <w:pPr>
              <w:keepNext/>
              <w:jc w:val="center"/>
              <w:rPr>
                <w:b/>
              </w:rPr>
            </w:pPr>
            <w:r>
              <w:rPr>
                <w:b/>
              </w:rPr>
              <w:t>4</w:t>
            </w:r>
          </w:p>
        </w:tc>
        <w:tc>
          <w:tcPr>
            <w:tcW w:w="928" w:type="dxa"/>
          </w:tcPr>
          <w:p w14:paraId="03C0E095" w14:textId="77777777" w:rsidR="004D3745" w:rsidRPr="00142E67" w:rsidRDefault="002A7EDF" w:rsidP="003320C2">
            <w:pPr>
              <w:keepNext/>
              <w:jc w:val="center"/>
              <w:rPr>
                <w:b/>
              </w:rPr>
            </w:pPr>
            <w:r>
              <w:rPr>
                <w:b/>
              </w:rPr>
              <w:t>10,307</w:t>
            </w:r>
          </w:p>
        </w:tc>
      </w:tr>
      <w:tr w:rsidR="004D3745" w:rsidRPr="00142E67" w14:paraId="4AB49B31" w14:textId="77777777" w:rsidTr="003320C2">
        <w:trPr>
          <w:trHeight w:val="288"/>
          <w:jc w:val="center"/>
        </w:trPr>
        <w:tc>
          <w:tcPr>
            <w:tcW w:w="1987" w:type="dxa"/>
          </w:tcPr>
          <w:p w14:paraId="2307C7DA" w14:textId="77777777" w:rsidR="004D3745" w:rsidRPr="00142E67" w:rsidRDefault="004D3745" w:rsidP="003320C2">
            <w:pPr>
              <w:keepNext/>
              <w:rPr>
                <w:b/>
                <w:highlight w:val="green"/>
              </w:rPr>
            </w:pPr>
            <w:r w:rsidRPr="00142E67">
              <w:rPr>
                <w:b/>
              </w:rPr>
              <w:t>Total</w:t>
            </w:r>
          </w:p>
        </w:tc>
        <w:tc>
          <w:tcPr>
            <w:tcW w:w="700" w:type="dxa"/>
          </w:tcPr>
          <w:p w14:paraId="7C8AB9C7" w14:textId="77777777" w:rsidR="004D3745" w:rsidRPr="00142E67" w:rsidRDefault="00324944" w:rsidP="003320C2">
            <w:pPr>
              <w:keepNext/>
              <w:jc w:val="center"/>
              <w:rPr>
                <w:b/>
              </w:rPr>
            </w:pPr>
            <w:r>
              <w:rPr>
                <w:b/>
              </w:rPr>
              <w:t>9</w:t>
            </w:r>
          </w:p>
        </w:tc>
        <w:tc>
          <w:tcPr>
            <w:tcW w:w="998" w:type="dxa"/>
          </w:tcPr>
          <w:p w14:paraId="71060159" w14:textId="77777777" w:rsidR="004D3745" w:rsidRPr="00142E67" w:rsidRDefault="00324944" w:rsidP="003320C2">
            <w:pPr>
              <w:keepNext/>
              <w:jc w:val="center"/>
              <w:rPr>
                <w:b/>
              </w:rPr>
            </w:pPr>
            <w:r>
              <w:rPr>
                <w:b/>
              </w:rPr>
              <w:t>23,122</w:t>
            </w:r>
          </w:p>
        </w:tc>
        <w:tc>
          <w:tcPr>
            <w:tcW w:w="512" w:type="dxa"/>
          </w:tcPr>
          <w:p w14:paraId="0E6EAF7E" w14:textId="77777777" w:rsidR="004D3745" w:rsidRPr="00142E67" w:rsidRDefault="00324944" w:rsidP="003320C2">
            <w:pPr>
              <w:keepNext/>
              <w:jc w:val="center"/>
              <w:rPr>
                <w:b/>
              </w:rPr>
            </w:pPr>
            <w:r>
              <w:rPr>
                <w:b/>
              </w:rPr>
              <w:t>3</w:t>
            </w:r>
          </w:p>
        </w:tc>
        <w:tc>
          <w:tcPr>
            <w:tcW w:w="914" w:type="dxa"/>
          </w:tcPr>
          <w:p w14:paraId="474F2780" w14:textId="77777777" w:rsidR="004D3745" w:rsidRPr="00142E67" w:rsidRDefault="00324944" w:rsidP="003320C2">
            <w:pPr>
              <w:keepNext/>
              <w:jc w:val="center"/>
              <w:rPr>
                <w:b/>
              </w:rPr>
            </w:pPr>
            <w:r>
              <w:rPr>
                <w:b/>
              </w:rPr>
              <w:t>425</w:t>
            </w:r>
          </w:p>
        </w:tc>
        <w:tc>
          <w:tcPr>
            <w:tcW w:w="616" w:type="dxa"/>
          </w:tcPr>
          <w:p w14:paraId="42AB3237" w14:textId="77777777" w:rsidR="004D3745" w:rsidRPr="00142E67" w:rsidRDefault="00324944" w:rsidP="003320C2">
            <w:pPr>
              <w:keepNext/>
              <w:jc w:val="center"/>
              <w:rPr>
                <w:b/>
              </w:rPr>
            </w:pPr>
            <w:r>
              <w:rPr>
                <w:b/>
              </w:rPr>
              <w:t>2</w:t>
            </w:r>
          </w:p>
        </w:tc>
        <w:tc>
          <w:tcPr>
            <w:tcW w:w="914" w:type="dxa"/>
          </w:tcPr>
          <w:p w14:paraId="3CB24438" w14:textId="77777777" w:rsidR="004D3745" w:rsidRPr="00142E67" w:rsidRDefault="00324944" w:rsidP="003320C2">
            <w:pPr>
              <w:keepNext/>
              <w:jc w:val="center"/>
              <w:rPr>
                <w:b/>
              </w:rPr>
            </w:pPr>
            <w:r>
              <w:rPr>
                <w:b/>
              </w:rPr>
              <w:t>4,009</w:t>
            </w:r>
          </w:p>
        </w:tc>
        <w:tc>
          <w:tcPr>
            <w:tcW w:w="659" w:type="dxa"/>
          </w:tcPr>
          <w:p w14:paraId="1DEFE2D3" w14:textId="77777777" w:rsidR="004D3745" w:rsidRPr="004335FF" w:rsidRDefault="00324944" w:rsidP="003320C2">
            <w:pPr>
              <w:keepNext/>
              <w:jc w:val="center"/>
              <w:rPr>
                <w:b/>
              </w:rPr>
            </w:pPr>
            <w:r>
              <w:rPr>
                <w:b/>
              </w:rPr>
              <w:t>14</w:t>
            </w:r>
          </w:p>
        </w:tc>
        <w:tc>
          <w:tcPr>
            <w:tcW w:w="928" w:type="dxa"/>
          </w:tcPr>
          <w:p w14:paraId="16DD8143" w14:textId="77777777" w:rsidR="004D3745" w:rsidRPr="004335FF" w:rsidRDefault="00324944" w:rsidP="003320C2">
            <w:pPr>
              <w:keepNext/>
              <w:jc w:val="center"/>
              <w:rPr>
                <w:b/>
              </w:rPr>
            </w:pPr>
            <w:r>
              <w:rPr>
                <w:b/>
              </w:rPr>
              <w:t>27,556</w:t>
            </w:r>
          </w:p>
        </w:tc>
      </w:tr>
      <w:tr w:rsidR="004D3745" w:rsidRPr="00142E67" w14:paraId="123D796E" w14:textId="77777777" w:rsidTr="003320C2">
        <w:trPr>
          <w:trHeight w:val="288"/>
          <w:jc w:val="center"/>
        </w:trPr>
        <w:tc>
          <w:tcPr>
            <w:tcW w:w="8228" w:type="dxa"/>
            <w:gridSpan w:val="9"/>
          </w:tcPr>
          <w:p w14:paraId="0DB274F4" w14:textId="77777777" w:rsidR="004D3745" w:rsidRPr="00142E67" w:rsidRDefault="004D3745" w:rsidP="003320C2">
            <w:pPr>
              <w:keepNext/>
              <w:rPr>
                <w:b/>
              </w:rPr>
            </w:pPr>
            <w:r w:rsidRPr="00142E67">
              <w:rPr>
                <w:i/>
                <w:sz w:val="16"/>
                <w:szCs w:val="16"/>
              </w:rPr>
              <w:t>Source:</w:t>
            </w:r>
            <w:r>
              <w:rPr>
                <w:i/>
                <w:sz w:val="16"/>
                <w:szCs w:val="16"/>
              </w:rPr>
              <w:t xml:space="preserve"> </w:t>
            </w:r>
            <w:r w:rsidRPr="00142E67">
              <w:rPr>
                <w:i/>
                <w:sz w:val="16"/>
                <w:szCs w:val="16"/>
              </w:rPr>
              <w:t xml:space="preserve"> Bank </w:t>
            </w:r>
            <w:r>
              <w:rPr>
                <w:i/>
                <w:sz w:val="16"/>
                <w:szCs w:val="16"/>
              </w:rPr>
              <w:t>Data</w:t>
            </w:r>
          </w:p>
        </w:tc>
      </w:tr>
    </w:tbl>
    <w:p w14:paraId="5B681AB2" w14:textId="77777777" w:rsidR="004D3745" w:rsidRDefault="004D3745" w:rsidP="00E50970">
      <w:pPr>
        <w:spacing w:after="0" w:line="240" w:lineRule="auto"/>
        <w:rPr>
          <w:rFonts w:ascii="Times New Roman" w:eastAsia="Times New Roman" w:hAnsi="Times New Roman" w:cs="Times New Roman"/>
          <w:color w:val="000000"/>
          <w:sz w:val="24"/>
          <w:szCs w:val="24"/>
        </w:rPr>
      </w:pPr>
    </w:p>
    <w:p w14:paraId="43D4FF2C" w14:textId="77777777" w:rsidR="004D3745" w:rsidRDefault="004D3745" w:rsidP="004D3745">
      <w:pPr>
        <w:spacing w:after="0" w:line="240" w:lineRule="auto"/>
        <w:rPr>
          <w:rFonts w:ascii="Times New Roman" w:hAnsi="Times New Roman" w:cs="Times New Roman"/>
          <w:sz w:val="24"/>
          <w:szCs w:val="24"/>
        </w:rPr>
      </w:pPr>
      <w:r w:rsidRPr="00F53A16">
        <w:rPr>
          <w:rFonts w:ascii="Times New Roman" w:hAnsi="Times New Roman" w:cs="Times New Roman"/>
          <w:sz w:val="24"/>
          <w:szCs w:val="24"/>
        </w:rPr>
        <w:t xml:space="preserve">Below are notable examples of the bank’s </w:t>
      </w:r>
      <w:r>
        <w:rPr>
          <w:rFonts w:ascii="Times New Roman" w:hAnsi="Times New Roman" w:cs="Times New Roman"/>
          <w:sz w:val="24"/>
          <w:szCs w:val="24"/>
        </w:rPr>
        <w:t>community development loans.</w:t>
      </w:r>
    </w:p>
    <w:p w14:paraId="5D4E1306" w14:textId="77777777" w:rsidR="004D3745" w:rsidRDefault="004D3745" w:rsidP="004D3745">
      <w:pPr>
        <w:spacing w:after="0" w:line="240" w:lineRule="auto"/>
        <w:rPr>
          <w:rFonts w:ascii="Times New Roman" w:hAnsi="Times New Roman" w:cs="Times New Roman"/>
          <w:sz w:val="24"/>
          <w:szCs w:val="24"/>
        </w:rPr>
      </w:pPr>
    </w:p>
    <w:p w14:paraId="1B01C251" w14:textId="5BDD8893" w:rsidR="00BB6702" w:rsidRDefault="00BB6702" w:rsidP="00BB6702">
      <w:pPr>
        <w:pStyle w:val="ListParagraph"/>
        <w:widowControl/>
        <w:numPr>
          <w:ilvl w:val="0"/>
          <w:numId w:val="39"/>
        </w:numPr>
        <w:spacing w:after="200"/>
        <w:contextualSpacing/>
        <w:rPr>
          <w:rFonts w:ascii="Times New Roman" w:hAnsi="Times New Roman" w:cs="Times New Roman"/>
        </w:rPr>
      </w:pPr>
      <w:r>
        <w:rPr>
          <w:rFonts w:ascii="Times New Roman" w:hAnsi="Times New Roman" w:cs="Times New Roman"/>
        </w:rPr>
        <w:t xml:space="preserve">In 2019, the bank was a lead lender in a participation loan </w:t>
      </w:r>
      <w:r w:rsidR="005A6F83">
        <w:rPr>
          <w:rFonts w:ascii="Times New Roman" w:hAnsi="Times New Roman" w:cs="Times New Roman"/>
        </w:rPr>
        <w:t>totaling</w:t>
      </w:r>
      <w:r>
        <w:rPr>
          <w:rFonts w:ascii="Times New Roman" w:hAnsi="Times New Roman" w:cs="Times New Roman"/>
        </w:rPr>
        <w:t xml:space="preserve"> $36.5 million </w:t>
      </w:r>
      <w:r w:rsidR="005A6F83">
        <w:rPr>
          <w:rFonts w:ascii="Times New Roman" w:hAnsi="Times New Roman" w:cs="Times New Roman"/>
        </w:rPr>
        <w:t>that financed a 180-unit apartment</w:t>
      </w:r>
      <w:r>
        <w:rPr>
          <w:rFonts w:ascii="Times New Roman" w:hAnsi="Times New Roman" w:cs="Times New Roman"/>
        </w:rPr>
        <w:t xml:space="preserve"> development in Stoughton, Massachusetts.  Of 180 units, 45 units were designated as affordable.  The bank’s participation was </w:t>
      </w:r>
      <w:r w:rsidRPr="00857847">
        <w:rPr>
          <w:rFonts w:ascii="Times New Roman" w:hAnsi="Times New Roman" w:cs="Times New Roman"/>
        </w:rPr>
        <w:t>$</w:t>
      </w:r>
      <w:r>
        <w:rPr>
          <w:rFonts w:ascii="Times New Roman" w:hAnsi="Times New Roman" w:cs="Times New Roman"/>
        </w:rPr>
        <w:t>13.6 million, of which $3.4 million was qualified for community development</w:t>
      </w:r>
      <w:r w:rsidR="00985DAD">
        <w:rPr>
          <w:rFonts w:ascii="Times New Roman" w:hAnsi="Times New Roman" w:cs="Times New Roman"/>
        </w:rPr>
        <w:t xml:space="preserve"> purpose of affordable housing</w:t>
      </w:r>
      <w:r>
        <w:rPr>
          <w:rFonts w:ascii="Times New Roman" w:hAnsi="Times New Roman" w:cs="Times New Roman"/>
        </w:rPr>
        <w:t>.</w:t>
      </w:r>
    </w:p>
    <w:p w14:paraId="173CB76E" w14:textId="78C8D1F4" w:rsidR="004D3745" w:rsidRDefault="004D3745" w:rsidP="004D3745">
      <w:pPr>
        <w:pStyle w:val="ListParagraph"/>
        <w:widowControl/>
        <w:numPr>
          <w:ilvl w:val="0"/>
          <w:numId w:val="39"/>
        </w:numPr>
        <w:spacing w:after="200"/>
        <w:contextualSpacing/>
        <w:rPr>
          <w:rFonts w:ascii="Times New Roman" w:hAnsi="Times New Roman" w:cs="Times New Roman"/>
        </w:rPr>
      </w:pPr>
      <w:r>
        <w:rPr>
          <w:rFonts w:ascii="Times New Roman" w:hAnsi="Times New Roman" w:cs="Times New Roman"/>
        </w:rPr>
        <w:lastRenderedPageBreak/>
        <w:t xml:space="preserve">In 2020, HOB originated a loan to finance a development of a 60-unit apartment building in Canton, Massachusetts.  Of the total 60 units, 15 were designated as affordable.  The total loan amount was $16.4 million, of which $4.1 qualified for </w:t>
      </w:r>
      <w:r w:rsidR="00985DAD">
        <w:rPr>
          <w:rFonts w:ascii="Times New Roman" w:hAnsi="Times New Roman" w:cs="Times New Roman"/>
        </w:rPr>
        <w:t xml:space="preserve">the </w:t>
      </w:r>
      <w:r>
        <w:rPr>
          <w:rFonts w:ascii="Times New Roman" w:hAnsi="Times New Roman" w:cs="Times New Roman"/>
        </w:rPr>
        <w:t>community development purpose of affordable housing.</w:t>
      </w:r>
    </w:p>
    <w:p w14:paraId="0F55C02B" w14:textId="748CAC6B" w:rsidR="005C5CEB" w:rsidRDefault="005C5CEB" w:rsidP="005C5CEB">
      <w:pPr>
        <w:pStyle w:val="ListParagraph"/>
        <w:widowControl/>
        <w:numPr>
          <w:ilvl w:val="0"/>
          <w:numId w:val="39"/>
        </w:numPr>
        <w:spacing w:after="200"/>
        <w:contextualSpacing/>
        <w:rPr>
          <w:rFonts w:ascii="Times New Roman" w:hAnsi="Times New Roman" w:cs="Times New Roman"/>
        </w:rPr>
      </w:pPr>
      <w:r>
        <w:rPr>
          <w:rFonts w:ascii="Times New Roman" w:hAnsi="Times New Roman" w:cs="Times New Roman"/>
        </w:rPr>
        <w:t>In 2019, the bank originated a loan for construction of a 100-unit apartment building in Mansfield, Massachusetts.  Of the 100, 12 units were designated as affordable.  The total loan amount was $19.0 million, of which $2.8 million met the community development purpose</w:t>
      </w:r>
      <w:r w:rsidR="00985DAD">
        <w:rPr>
          <w:rFonts w:ascii="Times New Roman" w:hAnsi="Times New Roman" w:cs="Times New Roman"/>
        </w:rPr>
        <w:t xml:space="preserve"> of supporting affordable housing</w:t>
      </w:r>
      <w:r>
        <w:rPr>
          <w:rFonts w:ascii="Times New Roman" w:hAnsi="Times New Roman" w:cs="Times New Roman"/>
        </w:rPr>
        <w:t>.</w:t>
      </w:r>
    </w:p>
    <w:p w14:paraId="6440031A" w14:textId="661E0433" w:rsidR="00A56B7C" w:rsidRPr="00A56B7C" w:rsidRDefault="00A56B7C" w:rsidP="00A56B7C">
      <w:pPr>
        <w:pStyle w:val="ListParagraph"/>
        <w:widowControl/>
        <w:numPr>
          <w:ilvl w:val="0"/>
          <w:numId w:val="39"/>
        </w:numPr>
        <w:contextualSpacing/>
        <w:rPr>
          <w:rFonts w:ascii="Times New Roman" w:hAnsi="Times New Roman" w:cs="Times New Roman"/>
          <w:b/>
          <w:bCs/>
          <w:u w:val="single"/>
        </w:rPr>
      </w:pPr>
      <w:r w:rsidRPr="00A56B7C">
        <w:rPr>
          <w:rFonts w:ascii="Times New Roman" w:hAnsi="Times New Roman" w:cs="Times New Roman"/>
        </w:rPr>
        <w:t xml:space="preserve">In 2018, the bank made </w:t>
      </w:r>
      <w:r w:rsidR="00985DAD">
        <w:rPr>
          <w:rFonts w:ascii="Times New Roman" w:hAnsi="Times New Roman" w:cs="Times New Roman"/>
        </w:rPr>
        <w:t xml:space="preserve">a </w:t>
      </w:r>
      <w:r w:rsidRPr="00A56B7C">
        <w:rPr>
          <w:rFonts w:ascii="Times New Roman" w:hAnsi="Times New Roman" w:cs="Times New Roman"/>
        </w:rPr>
        <w:t>$2.9 million SBA loan as part of the 504 Certified Development Company program.</w:t>
      </w:r>
      <w:r w:rsidR="00985DAD">
        <w:rPr>
          <w:rFonts w:ascii="Times New Roman" w:hAnsi="Times New Roman" w:cs="Times New Roman"/>
        </w:rPr>
        <w:t xml:space="preserve">  SBA 504 loans meet the community development purpose of economic development.</w:t>
      </w:r>
    </w:p>
    <w:p w14:paraId="06C3EA98" w14:textId="736D5D01" w:rsidR="004D3745" w:rsidRDefault="004D3745" w:rsidP="00E50970">
      <w:pPr>
        <w:spacing w:after="0" w:line="240" w:lineRule="auto"/>
        <w:rPr>
          <w:rFonts w:ascii="Times New Roman" w:eastAsia="Times New Roman" w:hAnsi="Times New Roman" w:cs="Times New Roman"/>
          <w:color w:val="000000"/>
          <w:sz w:val="24"/>
          <w:szCs w:val="24"/>
        </w:rPr>
      </w:pPr>
    </w:p>
    <w:p w14:paraId="34A35929" w14:textId="77777777" w:rsidR="00F1001F" w:rsidRPr="005A51A3" w:rsidRDefault="00F1001F" w:rsidP="00F1001F">
      <w:pPr>
        <w:spacing w:after="0" w:line="240" w:lineRule="auto"/>
        <w:rPr>
          <w:rFonts w:ascii="Times New Roman" w:eastAsia="Times New Roman" w:hAnsi="Times New Roman" w:cs="Times New Roman"/>
          <w:bCs/>
          <w:sz w:val="24"/>
          <w:szCs w:val="24"/>
        </w:rPr>
      </w:pPr>
      <w:r w:rsidRPr="005A51A3">
        <w:rPr>
          <w:rFonts w:ascii="Times New Roman" w:eastAsia="Times New Roman" w:hAnsi="Times New Roman" w:cs="Times New Roman"/>
          <w:b/>
          <w:bCs/>
          <w:sz w:val="24"/>
          <w:szCs w:val="24"/>
          <w:u w:val="single"/>
        </w:rPr>
        <w:t xml:space="preserve">Innovative or Flexible </w:t>
      </w:r>
      <w:r>
        <w:rPr>
          <w:rFonts w:ascii="Times New Roman" w:eastAsia="Times New Roman" w:hAnsi="Times New Roman" w:cs="Times New Roman"/>
          <w:b/>
          <w:bCs/>
          <w:sz w:val="24"/>
          <w:szCs w:val="24"/>
          <w:u w:val="single"/>
        </w:rPr>
        <w:t xml:space="preserve">Lending </w:t>
      </w:r>
      <w:r w:rsidRPr="005A51A3">
        <w:rPr>
          <w:rFonts w:ascii="Times New Roman" w:eastAsia="Times New Roman" w:hAnsi="Times New Roman" w:cs="Times New Roman"/>
          <w:b/>
          <w:bCs/>
          <w:sz w:val="24"/>
          <w:szCs w:val="24"/>
          <w:u w:val="single"/>
        </w:rPr>
        <w:t>Practices</w:t>
      </w:r>
      <w:r w:rsidRPr="005A51A3">
        <w:rPr>
          <w:rFonts w:ascii="Times New Roman" w:eastAsia="Times New Roman" w:hAnsi="Times New Roman" w:cs="Times New Roman"/>
          <w:b/>
          <w:bCs/>
          <w:sz w:val="24"/>
          <w:szCs w:val="24"/>
        </w:rPr>
        <w:t xml:space="preserve"> </w:t>
      </w:r>
    </w:p>
    <w:p w14:paraId="22E47C68" w14:textId="77777777" w:rsidR="00F1001F" w:rsidRDefault="00F1001F" w:rsidP="00F1001F">
      <w:pPr>
        <w:spacing w:after="0" w:line="240" w:lineRule="auto"/>
        <w:rPr>
          <w:rFonts w:ascii="Times New Roman" w:hAnsi="Times New Roman" w:cs="Times New Roman"/>
          <w:color w:val="000000" w:themeColor="text1"/>
          <w:sz w:val="24"/>
          <w:szCs w:val="24"/>
        </w:rPr>
      </w:pPr>
    </w:p>
    <w:p w14:paraId="4595F6E9" w14:textId="6B88B42B" w:rsidR="00F1001F" w:rsidRPr="00F1001F" w:rsidRDefault="00F1001F" w:rsidP="00F1001F">
      <w:pPr>
        <w:pStyle w:val="Default"/>
        <w:rPr>
          <w:rFonts w:eastAsia="Times New Roman"/>
          <w:bCs/>
        </w:rPr>
      </w:pPr>
      <w:r w:rsidRPr="0070172B">
        <w:t xml:space="preserve">HOB makes extensive use of innovative and flexible lending practices in order to serve </w:t>
      </w:r>
      <w:r>
        <w:t xml:space="preserve">the MA </w:t>
      </w:r>
      <w:r w:rsidRPr="0070172B">
        <w:t xml:space="preserve">assessment </w:t>
      </w:r>
      <w:r>
        <w:t xml:space="preserve">area </w:t>
      </w:r>
      <w:r w:rsidRPr="0070172B">
        <w:t xml:space="preserve">credit needs.  </w:t>
      </w:r>
      <w:r>
        <w:t>The bank showed leadership under this factor through responsive in-house programs such as the ONECommunity, Success for Small Business, Secured VISA, and Money Smart LOC loan programs.  The extensive volume of innovative or flexible lending combined with these particularly responsive in-house programs supports the strong performance conclusion.</w:t>
      </w:r>
    </w:p>
    <w:p w14:paraId="250B7D25" w14:textId="77777777" w:rsidR="00DB75C4" w:rsidRPr="00E50970" w:rsidRDefault="00DB75C4" w:rsidP="00E50970">
      <w:pPr>
        <w:spacing w:after="0" w:line="240" w:lineRule="auto"/>
        <w:rPr>
          <w:rFonts w:ascii="Times New Roman" w:eastAsia="Times New Roman" w:hAnsi="Times New Roman" w:cs="Times New Roman"/>
          <w:color w:val="000000"/>
          <w:sz w:val="24"/>
          <w:szCs w:val="24"/>
        </w:rPr>
      </w:pPr>
    </w:p>
    <w:p w14:paraId="44CCC98F" w14:textId="77777777" w:rsidR="00411D29" w:rsidRPr="00E50970" w:rsidRDefault="00411D29" w:rsidP="00411D29">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INVESTMENT TEST</w:t>
      </w:r>
    </w:p>
    <w:p w14:paraId="7F5D59F9" w14:textId="77777777" w:rsidR="00411D29" w:rsidRDefault="00411D29" w:rsidP="00411D29">
      <w:pPr>
        <w:spacing w:after="0" w:line="240" w:lineRule="auto"/>
        <w:rPr>
          <w:rFonts w:ascii="Times New Roman" w:eastAsia="Times New Roman" w:hAnsi="Times New Roman" w:cs="Times New Roman"/>
          <w:bCs/>
          <w:sz w:val="24"/>
          <w:szCs w:val="24"/>
        </w:rPr>
      </w:pPr>
    </w:p>
    <w:p w14:paraId="14CD66BD" w14:textId="21E27BAA" w:rsidR="00816F69" w:rsidRPr="00E502BC" w:rsidRDefault="00816F69" w:rsidP="00816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The</w:t>
      </w:r>
      <w:r w:rsidRPr="002D2484">
        <w:rPr>
          <w:rFonts w:ascii="Times New Roman" w:eastAsia="Times New Roman" w:hAnsi="Times New Roman" w:cs="Times New Roman"/>
          <w:bCs/>
          <w:sz w:val="24"/>
          <w:szCs w:val="24"/>
        </w:rPr>
        <w:t xml:space="preserve"> Investment Test</w:t>
      </w:r>
      <w:r>
        <w:rPr>
          <w:rFonts w:ascii="Times New Roman" w:eastAsia="Times New Roman" w:hAnsi="Times New Roman" w:cs="Times New Roman"/>
          <w:bCs/>
          <w:sz w:val="24"/>
          <w:szCs w:val="24"/>
        </w:rPr>
        <w:t xml:space="preserve"> </w:t>
      </w:r>
      <w:r w:rsidR="00F15B3D">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Massachusetts is rated Outstanding</w:t>
      </w:r>
      <w:r w:rsidRPr="002D2484">
        <w:rPr>
          <w:rFonts w:ascii="Times New Roman" w:eastAsia="Times New Roman" w:hAnsi="Times New Roman" w:cs="Times New Roman"/>
          <w:bCs/>
          <w:sz w:val="24"/>
          <w:szCs w:val="24"/>
        </w:rPr>
        <w:t xml:space="preserve">.  </w:t>
      </w:r>
      <w:r w:rsidRPr="002D2484">
        <w:rPr>
          <w:rFonts w:ascii="Times New Roman" w:eastAsia="Times New Roman" w:hAnsi="Times New Roman" w:cs="Times New Roman"/>
          <w:sz w:val="24"/>
          <w:szCs w:val="24"/>
        </w:rPr>
        <w:t xml:space="preserve">The bank </w:t>
      </w:r>
      <w:r>
        <w:rPr>
          <w:rFonts w:ascii="Times New Roman" w:eastAsia="Times New Roman" w:hAnsi="Times New Roman" w:cs="Times New Roman"/>
          <w:sz w:val="24"/>
          <w:szCs w:val="24"/>
        </w:rPr>
        <w:t xml:space="preserve">and </w:t>
      </w:r>
      <w:r w:rsidR="00985DAD">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foundations have</w:t>
      </w:r>
      <w:r w:rsidRPr="002D2484">
        <w:rPr>
          <w:rFonts w:ascii="Times New Roman" w:eastAsia="Times New Roman" w:hAnsi="Times New Roman" w:cs="Times New Roman"/>
          <w:sz w:val="24"/>
          <w:szCs w:val="24"/>
        </w:rPr>
        <w:t xml:space="preserve"> an excellent level of qualified community development investment and grants, often in a leadership position, particularly those that are not routinely provided by private investors</w:t>
      </w:r>
      <w:r w:rsidR="00FF01E1">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bank exhibits excellent responsiveness to credit and community </w:t>
      </w:r>
      <w:r w:rsidR="00985DAD">
        <w:rPr>
          <w:rFonts w:ascii="Times New Roman" w:hAnsi="Times New Roman" w:cs="Times New Roman"/>
          <w:sz w:val="24"/>
          <w:szCs w:val="24"/>
        </w:rPr>
        <w:t xml:space="preserve">development </w:t>
      </w:r>
      <w:r>
        <w:rPr>
          <w:rFonts w:ascii="Times New Roman" w:hAnsi="Times New Roman" w:cs="Times New Roman"/>
          <w:sz w:val="24"/>
          <w:szCs w:val="24"/>
        </w:rPr>
        <w:t xml:space="preserve">needs.  </w:t>
      </w:r>
      <w:r w:rsidR="00F15B3D">
        <w:rPr>
          <w:rFonts w:ascii="Times New Roman" w:hAnsi="Times New Roman" w:cs="Times New Roman"/>
          <w:sz w:val="24"/>
          <w:szCs w:val="24"/>
        </w:rPr>
        <w:t xml:space="preserve">HOB </w:t>
      </w:r>
      <w:r w:rsidR="00481F9C">
        <w:rPr>
          <w:rFonts w:ascii="Times New Roman" w:hAnsi="Times New Roman" w:cs="Times New Roman"/>
          <w:sz w:val="24"/>
          <w:szCs w:val="24"/>
        </w:rPr>
        <w:t>makes significant use of</w:t>
      </w:r>
      <w:r w:rsidR="00F15B3D">
        <w:rPr>
          <w:rFonts w:ascii="Times New Roman" w:hAnsi="Times New Roman" w:cs="Times New Roman"/>
          <w:sz w:val="24"/>
          <w:szCs w:val="24"/>
        </w:rPr>
        <w:t xml:space="preserve"> innovative and/or complex investments to support community development initiatives.  </w:t>
      </w:r>
      <w:r>
        <w:rPr>
          <w:rFonts w:ascii="Times New Roman" w:hAnsi="Times New Roman" w:cs="Times New Roman"/>
          <w:sz w:val="24"/>
          <w:szCs w:val="24"/>
        </w:rPr>
        <w:t xml:space="preserve">The bank’s performance in this </w:t>
      </w:r>
      <w:r w:rsidR="00F15B3D">
        <w:rPr>
          <w:rFonts w:ascii="Times New Roman" w:hAnsi="Times New Roman" w:cs="Times New Roman"/>
          <w:sz w:val="24"/>
          <w:szCs w:val="24"/>
        </w:rPr>
        <w:t>assessment</w:t>
      </w:r>
      <w:r>
        <w:rPr>
          <w:rFonts w:ascii="Times New Roman" w:hAnsi="Times New Roman" w:cs="Times New Roman"/>
          <w:sz w:val="24"/>
          <w:szCs w:val="24"/>
        </w:rPr>
        <w:t xml:space="preserve"> area is consistent with the overall performance. </w:t>
      </w:r>
    </w:p>
    <w:p w14:paraId="44E5C662" w14:textId="77777777" w:rsidR="00411D29" w:rsidRPr="002D2484" w:rsidRDefault="00411D29" w:rsidP="00411D29">
      <w:pPr>
        <w:spacing w:after="0" w:line="240" w:lineRule="auto"/>
        <w:rPr>
          <w:rFonts w:ascii="Times New Roman" w:eastAsia="Times New Roman" w:hAnsi="Times New Roman" w:cs="Times New Roman"/>
          <w:b/>
          <w:bCs/>
          <w:sz w:val="24"/>
          <w:szCs w:val="24"/>
          <w:u w:val="single"/>
        </w:rPr>
      </w:pPr>
    </w:p>
    <w:p w14:paraId="3DF86EF9" w14:textId="77777777" w:rsidR="00411D29" w:rsidRPr="002D2484" w:rsidRDefault="00411D29" w:rsidP="00411D29">
      <w:pPr>
        <w:spacing w:after="0" w:line="240" w:lineRule="auto"/>
        <w:rPr>
          <w:rFonts w:ascii="Times New Roman" w:eastAsia="Times New Roman" w:hAnsi="Times New Roman" w:cs="Times New Roman"/>
          <w:b/>
          <w:bCs/>
          <w:sz w:val="24"/>
          <w:szCs w:val="24"/>
          <w:u w:val="single"/>
        </w:rPr>
      </w:pPr>
      <w:r w:rsidRPr="002D2484">
        <w:rPr>
          <w:rFonts w:ascii="Times New Roman" w:eastAsia="Times New Roman" w:hAnsi="Times New Roman" w:cs="Times New Roman"/>
          <w:b/>
          <w:bCs/>
          <w:sz w:val="24"/>
          <w:szCs w:val="24"/>
          <w:u w:val="single"/>
        </w:rPr>
        <w:t>Investment and Grant Activity</w:t>
      </w:r>
    </w:p>
    <w:p w14:paraId="7EC62A55" w14:textId="77777777" w:rsidR="00411D29" w:rsidRPr="002D2484" w:rsidRDefault="00411D29" w:rsidP="00411D29">
      <w:pPr>
        <w:spacing w:after="0" w:line="240" w:lineRule="auto"/>
        <w:rPr>
          <w:rFonts w:ascii="Times New Roman" w:eastAsia="Times New Roman" w:hAnsi="Times New Roman" w:cs="Times New Roman"/>
          <w:bCs/>
          <w:sz w:val="24"/>
          <w:szCs w:val="24"/>
        </w:rPr>
      </w:pPr>
    </w:p>
    <w:p w14:paraId="59C4F9E3" w14:textId="0F201F13" w:rsidR="00816F69" w:rsidRDefault="00816F69" w:rsidP="00816F69">
      <w:pPr>
        <w:spacing w:after="0" w:line="240" w:lineRule="auto"/>
        <w:rPr>
          <w:rFonts w:ascii="Times New Roman" w:eastAsia="Times New Roman" w:hAnsi="Times New Roman" w:cs="Times New Roman"/>
          <w:sz w:val="24"/>
          <w:szCs w:val="24"/>
        </w:rPr>
      </w:pPr>
      <w:r w:rsidRPr="002D2484">
        <w:rPr>
          <w:rFonts w:ascii="Times New Roman" w:eastAsia="Times New Roman" w:hAnsi="Times New Roman" w:cs="Times New Roman"/>
          <w:sz w:val="24"/>
          <w:szCs w:val="24"/>
        </w:rPr>
        <w:t>The bank has an excellent level of qualified co</w:t>
      </w:r>
      <w:r>
        <w:rPr>
          <w:rFonts w:ascii="Times New Roman" w:eastAsia="Times New Roman" w:hAnsi="Times New Roman" w:cs="Times New Roman"/>
          <w:sz w:val="24"/>
          <w:szCs w:val="24"/>
        </w:rPr>
        <w:t xml:space="preserve">mmunity development investments, </w:t>
      </w:r>
      <w:r w:rsidRPr="002D2484">
        <w:rPr>
          <w:rFonts w:ascii="Times New Roman" w:eastAsia="Times New Roman" w:hAnsi="Times New Roman" w:cs="Times New Roman"/>
          <w:sz w:val="24"/>
          <w:szCs w:val="24"/>
        </w:rPr>
        <w:t>grants</w:t>
      </w:r>
      <w:r>
        <w:rPr>
          <w:rFonts w:ascii="Times New Roman" w:eastAsia="Times New Roman" w:hAnsi="Times New Roman" w:cs="Times New Roman"/>
          <w:sz w:val="24"/>
          <w:szCs w:val="24"/>
        </w:rPr>
        <w:t xml:space="preserve"> and donations</w:t>
      </w:r>
      <w:r w:rsidRPr="002D2484">
        <w:rPr>
          <w:rFonts w:ascii="Times New Roman" w:eastAsia="Times New Roman" w:hAnsi="Times New Roman" w:cs="Times New Roman"/>
          <w:sz w:val="24"/>
          <w:szCs w:val="24"/>
        </w:rPr>
        <w:t>.  During the evaluat</w:t>
      </w:r>
      <w:r>
        <w:rPr>
          <w:rFonts w:ascii="Times New Roman" w:eastAsia="Times New Roman" w:hAnsi="Times New Roman" w:cs="Times New Roman"/>
          <w:sz w:val="24"/>
          <w:szCs w:val="24"/>
        </w:rPr>
        <w:t xml:space="preserve">ion period, the bank </w:t>
      </w:r>
      <w:r w:rsidR="00F15B3D">
        <w:rPr>
          <w:rFonts w:ascii="Times New Roman" w:eastAsia="Times New Roman" w:hAnsi="Times New Roman" w:cs="Times New Roman"/>
          <w:sz w:val="24"/>
          <w:szCs w:val="24"/>
        </w:rPr>
        <w:t xml:space="preserve">made or </w:t>
      </w:r>
      <w:r>
        <w:rPr>
          <w:rFonts w:ascii="Times New Roman" w:eastAsia="Times New Roman" w:hAnsi="Times New Roman" w:cs="Times New Roman"/>
          <w:sz w:val="24"/>
          <w:szCs w:val="24"/>
        </w:rPr>
        <w:t>maintained 32</w:t>
      </w:r>
      <w:r w:rsidR="0069324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D2484">
        <w:rPr>
          <w:rFonts w:ascii="Times New Roman" w:eastAsia="Times New Roman" w:hAnsi="Times New Roman" w:cs="Times New Roman"/>
          <w:sz w:val="24"/>
          <w:szCs w:val="24"/>
        </w:rPr>
        <w:t>qualified inve</w:t>
      </w:r>
      <w:r w:rsidR="00F15B3D">
        <w:rPr>
          <w:rFonts w:ascii="Times New Roman" w:eastAsia="Times New Roman" w:hAnsi="Times New Roman" w:cs="Times New Roman"/>
          <w:sz w:val="24"/>
          <w:szCs w:val="24"/>
        </w:rPr>
        <w:t xml:space="preserve">stments totaling </w:t>
      </w:r>
      <w:r w:rsidRPr="002D2484">
        <w:rPr>
          <w:rFonts w:ascii="Times New Roman" w:eastAsia="Times New Roman" w:hAnsi="Times New Roman" w:cs="Times New Roman"/>
          <w:sz w:val="24"/>
          <w:szCs w:val="24"/>
        </w:rPr>
        <w:t>$</w:t>
      </w:r>
      <w:r w:rsidR="0069324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693249">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million</w:t>
      </w:r>
      <w:r w:rsidR="00693249">
        <w:rPr>
          <w:rFonts w:ascii="Times New Roman" w:eastAsia="Times New Roman" w:hAnsi="Times New Roman" w:cs="Times New Roman"/>
          <w:sz w:val="24"/>
          <w:szCs w:val="24"/>
        </w:rPr>
        <w:t xml:space="preserve"> within Massachusetts</w:t>
      </w:r>
      <w:r w:rsidR="00FF01E1">
        <w:rPr>
          <w:rFonts w:ascii="Times New Roman" w:eastAsia="Times New Roman" w:hAnsi="Times New Roman" w:cs="Times New Roman"/>
          <w:sz w:val="24"/>
          <w:szCs w:val="24"/>
        </w:rPr>
        <w:t xml:space="preserve">.  </w:t>
      </w:r>
      <w:r w:rsidRPr="00B36D6F">
        <w:rPr>
          <w:rFonts w:ascii="Times New Roman" w:eastAsia="Times New Roman" w:hAnsi="Times New Roman" w:cs="Times New Roman"/>
          <w:sz w:val="24"/>
          <w:szCs w:val="24"/>
        </w:rPr>
        <w:t>The following table illustrates the bank’s qualified community development investments and qualified grants and donations by year and purpose.</w:t>
      </w:r>
    </w:p>
    <w:p w14:paraId="5E54C257" w14:textId="2EBC525D" w:rsidR="004A1B96" w:rsidRDefault="004A1B96" w:rsidP="00816F69">
      <w:pPr>
        <w:spacing w:after="0" w:line="240" w:lineRule="auto"/>
        <w:rPr>
          <w:rFonts w:ascii="Times New Roman" w:eastAsia="Times New Roman" w:hAnsi="Times New Roman" w:cs="Times New Roman"/>
          <w:sz w:val="24"/>
          <w:szCs w:val="24"/>
        </w:rPr>
      </w:pPr>
    </w:p>
    <w:p w14:paraId="09B09427" w14:textId="6BE00120" w:rsidR="004A1B96" w:rsidRDefault="004A1B96" w:rsidP="00816F69">
      <w:pPr>
        <w:spacing w:after="0" w:line="240" w:lineRule="auto"/>
        <w:rPr>
          <w:rFonts w:ascii="Times New Roman" w:eastAsia="Times New Roman" w:hAnsi="Times New Roman" w:cs="Times New Roman"/>
          <w:sz w:val="24"/>
          <w:szCs w:val="24"/>
        </w:rPr>
      </w:pPr>
    </w:p>
    <w:p w14:paraId="0B982682" w14:textId="047B1165" w:rsidR="004A1B96" w:rsidRDefault="004A1B96" w:rsidP="00816F69">
      <w:pPr>
        <w:spacing w:after="0" w:line="240" w:lineRule="auto"/>
        <w:rPr>
          <w:rFonts w:ascii="Times New Roman" w:eastAsia="Times New Roman" w:hAnsi="Times New Roman" w:cs="Times New Roman"/>
          <w:sz w:val="24"/>
          <w:szCs w:val="24"/>
        </w:rPr>
      </w:pPr>
    </w:p>
    <w:p w14:paraId="0056F995" w14:textId="28256ECC" w:rsidR="004A1B96" w:rsidRDefault="004A1B96" w:rsidP="00816F69">
      <w:pPr>
        <w:spacing w:after="0" w:line="240" w:lineRule="auto"/>
        <w:rPr>
          <w:rFonts w:ascii="Times New Roman" w:eastAsia="Times New Roman" w:hAnsi="Times New Roman" w:cs="Times New Roman"/>
          <w:sz w:val="24"/>
          <w:szCs w:val="24"/>
        </w:rPr>
      </w:pPr>
    </w:p>
    <w:p w14:paraId="3F185A9B" w14:textId="1B2886EC" w:rsidR="004A1B96" w:rsidRDefault="004A1B96" w:rsidP="00816F69">
      <w:pPr>
        <w:spacing w:after="0" w:line="240" w:lineRule="auto"/>
        <w:rPr>
          <w:rFonts w:ascii="Times New Roman" w:eastAsia="Times New Roman" w:hAnsi="Times New Roman" w:cs="Times New Roman"/>
          <w:sz w:val="24"/>
          <w:szCs w:val="24"/>
        </w:rPr>
      </w:pPr>
    </w:p>
    <w:p w14:paraId="7CCCD11D" w14:textId="53515E7B" w:rsidR="004A1B96" w:rsidRDefault="004A1B96" w:rsidP="00816F69">
      <w:pPr>
        <w:spacing w:after="0" w:line="240" w:lineRule="auto"/>
        <w:rPr>
          <w:rFonts w:ascii="Times New Roman" w:eastAsia="Times New Roman" w:hAnsi="Times New Roman" w:cs="Times New Roman"/>
          <w:sz w:val="24"/>
          <w:szCs w:val="24"/>
        </w:rPr>
      </w:pPr>
    </w:p>
    <w:p w14:paraId="73A28872" w14:textId="507F43CC" w:rsidR="004A1B96" w:rsidRDefault="004A1B96" w:rsidP="00816F69">
      <w:pPr>
        <w:spacing w:after="0" w:line="240" w:lineRule="auto"/>
        <w:rPr>
          <w:rFonts w:ascii="Times New Roman" w:eastAsia="Times New Roman" w:hAnsi="Times New Roman" w:cs="Times New Roman"/>
          <w:sz w:val="24"/>
          <w:szCs w:val="24"/>
        </w:rPr>
      </w:pPr>
    </w:p>
    <w:p w14:paraId="3D58C293" w14:textId="49F67298" w:rsidR="004A1B96" w:rsidRDefault="004A1B96" w:rsidP="00816F69">
      <w:pPr>
        <w:spacing w:after="0" w:line="240" w:lineRule="auto"/>
        <w:rPr>
          <w:rFonts w:ascii="Times New Roman" w:eastAsia="Times New Roman" w:hAnsi="Times New Roman" w:cs="Times New Roman"/>
          <w:sz w:val="24"/>
          <w:szCs w:val="24"/>
        </w:rPr>
      </w:pPr>
    </w:p>
    <w:p w14:paraId="0E9702AB" w14:textId="77777777" w:rsidR="004A1B96" w:rsidRPr="00B36D6F" w:rsidRDefault="004A1B96" w:rsidP="00816F69">
      <w:pPr>
        <w:spacing w:after="0" w:line="240" w:lineRule="auto"/>
        <w:rPr>
          <w:rFonts w:ascii="Times New Roman" w:eastAsia="Times New Roman" w:hAnsi="Times New Roman" w:cs="Times New Roman"/>
          <w:sz w:val="24"/>
          <w:szCs w:val="24"/>
        </w:rPr>
      </w:pPr>
    </w:p>
    <w:p w14:paraId="72CB71E4" w14:textId="77777777" w:rsidR="00411D29" w:rsidRPr="00B36D6F" w:rsidRDefault="00411D29" w:rsidP="00411D29">
      <w:pPr>
        <w:spacing w:after="0" w:line="240" w:lineRule="auto"/>
        <w:rPr>
          <w:rFonts w:ascii="Times New Roman" w:eastAsia="Times New Roman" w:hAnsi="Times New Roman" w:cs="Times New Roman"/>
          <w:sz w:val="24"/>
          <w:szCs w:val="24"/>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46"/>
        <w:gridCol w:w="956"/>
        <w:gridCol w:w="949"/>
        <w:gridCol w:w="957"/>
        <w:gridCol w:w="948"/>
        <w:gridCol w:w="958"/>
        <w:gridCol w:w="949"/>
        <w:gridCol w:w="957"/>
      </w:tblGrid>
      <w:tr w:rsidR="00411D29" w:rsidRPr="00B36D6F" w14:paraId="1EC3FC58" w14:textId="77777777" w:rsidTr="00E07E08">
        <w:trPr>
          <w:trHeight w:val="290"/>
          <w:jc w:val="center"/>
        </w:trPr>
        <w:tc>
          <w:tcPr>
            <w:tcW w:w="8659" w:type="dxa"/>
            <w:gridSpan w:val="9"/>
            <w:tcBorders>
              <w:top w:val="single" w:sz="4" w:space="0" w:color="auto"/>
              <w:left w:val="single" w:sz="4" w:space="0" w:color="auto"/>
              <w:bottom w:val="nil"/>
              <w:right w:val="single" w:sz="4" w:space="0" w:color="auto"/>
            </w:tcBorders>
            <w:shd w:val="clear" w:color="auto" w:fill="auto"/>
            <w:vAlign w:val="center"/>
            <w:hideMark/>
          </w:tcPr>
          <w:p w14:paraId="01DD3842" w14:textId="77777777" w:rsidR="00411D29" w:rsidRPr="00B36D6F" w:rsidRDefault="00411D2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lastRenderedPageBreak/>
              <w:t>Qualified Investments</w:t>
            </w:r>
          </w:p>
        </w:tc>
      </w:tr>
      <w:tr w:rsidR="00411D29" w:rsidRPr="00B36D6F" w14:paraId="284F6F27" w14:textId="77777777" w:rsidTr="00E07E08">
        <w:trPr>
          <w:trHeight w:val="300"/>
          <w:jc w:val="center"/>
        </w:trPr>
        <w:tc>
          <w:tcPr>
            <w:tcW w:w="8659" w:type="dxa"/>
            <w:gridSpan w:val="9"/>
            <w:tcBorders>
              <w:top w:val="nil"/>
              <w:left w:val="single" w:sz="4" w:space="0" w:color="auto"/>
              <w:bottom w:val="single" w:sz="4" w:space="0" w:color="auto"/>
              <w:right w:val="single" w:sz="4" w:space="0" w:color="auto"/>
            </w:tcBorders>
            <w:shd w:val="clear" w:color="auto" w:fill="auto"/>
            <w:vAlign w:val="center"/>
            <w:hideMark/>
          </w:tcPr>
          <w:p w14:paraId="5FB47092" w14:textId="4F79E7E5" w:rsidR="00411D2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Assessment Area: Massachusetts</w:t>
            </w:r>
          </w:p>
        </w:tc>
      </w:tr>
      <w:tr w:rsidR="00816F69" w:rsidRPr="00B36D6F" w14:paraId="5A6CE17A" w14:textId="77777777" w:rsidTr="00E07E08">
        <w:trPr>
          <w:trHeight w:val="520"/>
          <w:jc w:val="center"/>
        </w:trPr>
        <w:tc>
          <w:tcPr>
            <w:tcW w:w="1039" w:type="dxa"/>
            <w:vMerge w:val="restart"/>
            <w:tcBorders>
              <w:top w:val="single" w:sz="4" w:space="0" w:color="auto"/>
            </w:tcBorders>
            <w:shd w:val="clear" w:color="auto" w:fill="auto"/>
            <w:vAlign w:val="center"/>
            <w:hideMark/>
          </w:tcPr>
          <w:p w14:paraId="0A67E40B" w14:textId="77777777" w:rsidR="00816F69" w:rsidRPr="00B36D6F" w:rsidRDefault="00816F69" w:rsidP="00411D29">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Activity Year</w:t>
            </w:r>
          </w:p>
        </w:tc>
        <w:tc>
          <w:tcPr>
            <w:tcW w:w="1902" w:type="dxa"/>
            <w:gridSpan w:val="2"/>
            <w:tcBorders>
              <w:top w:val="single" w:sz="4" w:space="0" w:color="auto"/>
            </w:tcBorders>
            <w:shd w:val="clear" w:color="auto" w:fill="auto"/>
            <w:vAlign w:val="center"/>
            <w:hideMark/>
          </w:tcPr>
          <w:p w14:paraId="4EA4284D"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Affordable Housing</w:t>
            </w:r>
          </w:p>
        </w:tc>
        <w:tc>
          <w:tcPr>
            <w:tcW w:w="1906" w:type="dxa"/>
            <w:gridSpan w:val="2"/>
            <w:tcBorders>
              <w:top w:val="single" w:sz="4" w:space="0" w:color="auto"/>
            </w:tcBorders>
            <w:shd w:val="clear" w:color="auto" w:fill="auto"/>
            <w:vAlign w:val="center"/>
            <w:hideMark/>
          </w:tcPr>
          <w:p w14:paraId="0AAAF58E"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Community Services</w:t>
            </w:r>
          </w:p>
        </w:tc>
        <w:tc>
          <w:tcPr>
            <w:tcW w:w="1906" w:type="dxa"/>
            <w:gridSpan w:val="2"/>
            <w:tcBorders>
              <w:top w:val="single" w:sz="4" w:space="0" w:color="auto"/>
            </w:tcBorders>
            <w:shd w:val="clear" w:color="auto" w:fill="auto"/>
            <w:vAlign w:val="center"/>
            <w:hideMark/>
          </w:tcPr>
          <w:p w14:paraId="5B9B0B6C"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Economic Development</w:t>
            </w:r>
          </w:p>
        </w:tc>
        <w:tc>
          <w:tcPr>
            <w:tcW w:w="1906" w:type="dxa"/>
            <w:gridSpan w:val="2"/>
            <w:tcBorders>
              <w:top w:val="single" w:sz="4" w:space="0" w:color="auto"/>
            </w:tcBorders>
            <w:shd w:val="clear" w:color="auto" w:fill="auto"/>
            <w:vAlign w:val="center"/>
            <w:hideMark/>
          </w:tcPr>
          <w:p w14:paraId="5CEF1105"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Totals</w:t>
            </w:r>
          </w:p>
        </w:tc>
      </w:tr>
      <w:tr w:rsidR="00816F69" w:rsidRPr="00B36D6F" w14:paraId="56412472" w14:textId="77777777" w:rsidTr="0037554D">
        <w:trPr>
          <w:trHeight w:val="300"/>
          <w:jc w:val="center"/>
        </w:trPr>
        <w:tc>
          <w:tcPr>
            <w:tcW w:w="1039" w:type="dxa"/>
            <w:vMerge/>
            <w:vAlign w:val="center"/>
            <w:hideMark/>
          </w:tcPr>
          <w:p w14:paraId="1E12FE68" w14:textId="77777777" w:rsidR="00816F69" w:rsidRPr="00B36D6F" w:rsidRDefault="00816F69" w:rsidP="00411D29">
            <w:pPr>
              <w:spacing w:after="0" w:line="240" w:lineRule="auto"/>
              <w:rPr>
                <w:rFonts w:ascii="Times New Roman" w:eastAsia="Times New Roman" w:hAnsi="Times New Roman" w:cs="Times New Roman"/>
                <w:b/>
                <w:bCs/>
                <w:color w:val="000000"/>
                <w:sz w:val="20"/>
                <w:szCs w:val="20"/>
              </w:rPr>
            </w:pPr>
          </w:p>
        </w:tc>
        <w:tc>
          <w:tcPr>
            <w:tcW w:w="946" w:type="dxa"/>
            <w:shd w:val="clear" w:color="auto" w:fill="auto"/>
            <w:vAlign w:val="center"/>
            <w:hideMark/>
          </w:tcPr>
          <w:p w14:paraId="59B6A3A3"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6" w:type="dxa"/>
            <w:shd w:val="clear" w:color="auto" w:fill="auto"/>
            <w:vAlign w:val="center"/>
            <w:hideMark/>
          </w:tcPr>
          <w:p w14:paraId="4EB08579"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9" w:type="dxa"/>
            <w:shd w:val="clear" w:color="auto" w:fill="auto"/>
            <w:vAlign w:val="center"/>
            <w:hideMark/>
          </w:tcPr>
          <w:p w14:paraId="64FD43F4"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7" w:type="dxa"/>
            <w:shd w:val="clear" w:color="auto" w:fill="auto"/>
            <w:vAlign w:val="center"/>
            <w:hideMark/>
          </w:tcPr>
          <w:p w14:paraId="6324CF0A"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8" w:type="dxa"/>
            <w:shd w:val="clear" w:color="auto" w:fill="auto"/>
            <w:vAlign w:val="center"/>
            <w:hideMark/>
          </w:tcPr>
          <w:p w14:paraId="1627A5F3"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8" w:type="dxa"/>
            <w:shd w:val="clear" w:color="auto" w:fill="auto"/>
            <w:vAlign w:val="center"/>
            <w:hideMark/>
          </w:tcPr>
          <w:p w14:paraId="0A1623A9"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9" w:type="dxa"/>
            <w:shd w:val="clear" w:color="auto" w:fill="auto"/>
            <w:vAlign w:val="center"/>
            <w:hideMark/>
          </w:tcPr>
          <w:p w14:paraId="1160B5F2"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7" w:type="dxa"/>
            <w:shd w:val="clear" w:color="auto" w:fill="auto"/>
            <w:vAlign w:val="center"/>
            <w:hideMark/>
          </w:tcPr>
          <w:p w14:paraId="4630B94A"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r>
      <w:tr w:rsidR="00816F69" w:rsidRPr="00B36D6F" w14:paraId="0D4FA02D" w14:textId="77777777" w:rsidTr="0037554D">
        <w:trPr>
          <w:trHeight w:val="530"/>
          <w:jc w:val="center"/>
        </w:trPr>
        <w:tc>
          <w:tcPr>
            <w:tcW w:w="1039" w:type="dxa"/>
            <w:shd w:val="clear" w:color="auto" w:fill="auto"/>
            <w:vAlign w:val="center"/>
            <w:hideMark/>
          </w:tcPr>
          <w:p w14:paraId="1C201E14" w14:textId="77777777" w:rsidR="00816F69" w:rsidRPr="00B36D6F" w:rsidRDefault="00816F69" w:rsidP="00411D29">
            <w:pPr>
              <w:spacing w:after="0" w:line="240" w:lineRule="auto"/>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Prior Period</w:t>
            </w:r>
          </w:p>
        </w:tc>
        <w:tc>
          <w:tcPr>
            <w:tcW w:w="946" w:type="dxa"/>
            <w:shd w:val="clear" w:color="auto" w:fill="auto"/>
            <w:vAlign w:val="center"/>
            <w:hideMark/>
          </w:tcPr>
          <w:p w14:paraId="172EB7FD"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56" w:type="dxa"/>
            <w:shd w:val="clear" w:color="auto" w:fill="auto"/>
            <w:vAlign w:val="center"/>
            <w:hideMark/>
          </w:tcPr>
          <w:p w14:paraId="76552CC3"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9" w:type="dxa"/>
            <w:shd w:val="clear" w:color="auto" w:fill="auto"/>
            <w:vAlign w:val="center"/>
            <w:hideMark/>
          </w:tcPr>
          <w:p w14:paraId="3CA33C76"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w:t>
            </w:r>
          </w:p>
        </w:tc>
        <w:tc>
          <w:tcPr>
            <w:tcW w:w="957" w:type="dxa"/>
            <w:shd w:val="clear" w:color="auto" w:fill="auto"/>
            <w:vAlign w:val="center"/>
            <w:hideMark/>
          </w:tcPr>
          <w:p w14:paraId="5D534C03"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2,600</w:t>
            </w:r>
          </w:p>
        </w:tc>
        <w:tc>
          <w:tcPr>
            <w:tcW w:w="948" w:type="dxa"/>
            <w:shd w:val="clear" w:color="auto" w:fill="auto"/>
            <w:vAlign w:val="center"/>
            <w:hideMark/>
          </w:tcPr>
          <w:p w14:paraId="5F98046D" w14:textId="63F11822"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8" w:type="dxa"/>
            <w:shd w:val="clear" w:color="auto" w:fill="auto"/>
            <w:vAlign w:val="center"/>
            <w:hideMark/>
          </w:tcPr>
          <w:p w14:paraId="65EEB4AB" w14:textId="60AE6F7F"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9" w:type="dxa"/>
            <w:shd w:val="clear" w:color="auto" w:fill="auto"/>
            <w:vAlign w:val="center"/>
            <w:hideMark/>
          </w:tcPr>
          <w:p w14:paraId="2F65FB6D" w14:textId="30C37032"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766B4C00" w14:textId="680C289B"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2,600</w:t>
            </w:r>
          </w:p>
        </w:tc>
      </w:tr>
      <w:tr w:rsidR="00816F69" w:rsidRPr="00B36D6F" w14:paraId="5076E330" w14:textId="77777777" w:rsidTr="0037554D">
        <w:trPr>
          <w:trHeight w:val="300"/>
          <w:jc w:val="center"/>
        </w:trPr>
        <w:tc>
          <w:tcPr>
            <w:tcW w:w="1039" w:type="dxa"/>
            <w:shd w:val="clear" w:color="auto" w:fill="auto"/>
            <w:vAlign w:val="center"/>
            <w:hideMark/>
          </w:tcPr>
          <w:p w14:paraId="42C0A1B5" w14:textId="77777777" w:rsidR="00816F69" w:rsidRPr="00B36D6F" w:rsidRDefault="00816F69" w:rsidP="00411D29">
            <w:pPr>
              <w:spacing w:after="0" w:line="240" w:lineRule="auto"/>
              <w:jc w:val="right"/>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2018</w:t>
            </w:r>
          </w:p>
        </w:tc>
        <w:tc>
          <w:tcPr>
            <w:tcW w:w="946" w:type="dxa"/>
            <w:shd w:val="clear" w:color="auto" w:fill="auto"/>
            <w:vAlign w:val="center"/>
            <w:hideMark/>
          </w:tcPr>
          <w:p w14:paraId="730881E8"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56" w:type="dxa"/>
            <w:shd w:val="clear" w:color="auto" w:fill="auto"/>
            <w:vAlign w:val="center"/>
            <w:hideMark/>
          </w:tcPr>
          <w:p w14:paraId="286C835D"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9" w:type="dxa"/>
            <w:shd w:val="clear" w:color="auto" w:fill="auto"/>
            <w:vAlign w:val="center"/>
            <w:hideMark/>
          </w:tcPr>
          <w:p w14:paraId="65F857C8"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w:t>
            </w:r>
          </w:p>
        </w:tc>
        <w:tc>
          <w:tcPr>
            <w:tcW w:w="957" w:type="dxa"/>
            <w:shd w:val="clear" w:color="auto" w:fill="auto"/>
            <w:vAlign w:val="center"/>
            <w:hideMark/>
          </w:tcPr>
          <w:p w14:paraId="034C7B10"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7,000</w:t>
            </w:r>
          </w:p>
        </w:tc>
        <w:tc>
          <w:tcPr>
            <w:tcW w:w="948" w:type="dxa"/>
            <w:shd w:val="clear" w:color="auto" w:fill="auto"/>
            <w:vAlign w:val="center"/>
            <w:hideMark/>
          </w:tcPr>
          <w:p w14:paraId="2819BB67"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58" w:type="dxa"/>
            <w:shd w:val="clear" w:color="auto" w:fill="auto"/>
            <w:vAlign w:val="center"/>
            <w:hideMark/>
          </w:tcPr>
          <w:p w14:paraId="7E3726CC"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9" w:type="dxa"/>
            <w:shd w:val="clear" w:color="auto" w:fill="auto"/>
            <w:vAlign w:val="center"/>
            <w:hideMark/>
          </w:tcPr>
          <w:p w14:paraId="2596E215"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286BF3DB"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7,000</w:t>
            </w:r>
          </w:p>
        </w:tc>
      </w:tr>
      <w:tr w:rsidR="00816F69" w:rsidRPr="00B36D6F" w14:paraId="79B7DBC1" w14:textId="77777777" w:rsidTr="0037554D">
        <w:trPr>
          <w:trHeight w:val="300"/>
          <w:jc w:val="center"/>
        </w:trPr>
        <w:tc>
          <w:tcPr>
            <w:tcW w:w="1039" w:type="dxa"/>
            <w:shd w:val="clear" w:color="auto" w:fill="auto"/>
            <w:vAlign w:val="center"/>
            <w:hideMark/>
          </w:tcPr>
          <w:p w14:paraId="7BF67EFA" w14:textId="77777777" w:rsidR="00816F69" w:rsidRPr="00B36D6F" w:rsidRDefault="00816F69" w:rsidP="00411D29">
            <w:pPr>
              <w:spacing w:after="0" w:line="240" w:lineRule="auto"/>
              <w:jc w:val="right"/>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2019</w:t>
            </w:r>
          </w:p>
        </w:tc>
        <w:tc>
          <w:tcPr>
            <w:tcW w:w="946" w:type="dxa"/>
            <w:shd w:val="clear" w:color="auto" w:fill="auto"/>
            <w:vAlign w:val="center"/>
            <w:hideMark/>
          </w:tcPr>
          <w:p w14:paraId="3A723528"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56" w:type="dxa"/>
            <w:shd w:val="clear" w:color="auto" w:fill="auto"/>
            <w:vAlign w:val="center"/>
            <w:hideMark/>
          </w:tcPr>
          <w:p w14:paraId="4A6E0E95"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9" w:type="dxa"/>
            <w:shd w:val="clear" w:color="auto" w:fill="auto"/>
            <w:vAlign w:val="center"/>
            <w:hideMark/>
          </w:tcPr>
          <w:p w14:paraId="7B3235CE"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w:t>
            </w:r>
          </w:p>
        </w:tc>
        <w:tc>
          <w:tcPr>
            <w:tcW w:w="957" w:type="dxa"/>
            <w:shd w:val="clear" w:color="auto" w:fill="auto"/>
            <w:vAlign w:val="center"/>
            <w:hideMark/>
          </w:tcPr>
          <w:p w14:paraId="50470B35"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7,300</w:t>
            </w:r>
          </w:p>
        </w:tc>
        <w:tc>
          <w:tcPr>
            <w:tcW w:w="948" w:type="dxa"/>
            <w:shd w:val="clear" w:color="auto" w:fill="auto"/>
            <w:vAlign w:val="center"/>
            <w:hideMark/>
          </w:tcPr>
          <w:p w14:paraId="5085D555"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58" w:type="dxa"/>
            <w:shd w:val="clear" w:color="auto" w:fill="auto"/>
            <w:vAlign w:val="center"/>
            <w:hideMark/>
          </w:tcPr>
          <w:p w14:paraId="3955F8FE"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9" w:type="dxa"/>
            <w:shd w:val="clear" w:color="auto" w:fill="auto"/>
            <w:vAlign w:val="center"/>
            <w:hideMark/>
          </w:tcPr>
          <w:p w14:paraId="231C25A5"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09DCE131"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7,300</w:t>
            </w:r>
          </w:p>
        </w:tc>
      </w:tr>
      <w:tr w:rsidR="00816F69" w:rsidRPr="00B36D6F" w14:paraId="01D4444C" w14:textId="77777777" w:rsidTr="0037554D">
        <w:trPr>
          <w:trHeight w:val="300"/>
          <w:jc w:val="center"/>
        </w:trPr>
        <w:tc>
          <w:tcPr>
            <w:tcW w:w="1039" w:type="dxa"/>
            <w:shd w:val="clear" w:color="auto" w:fill="auto"/>
            <w:vAlign w:val="center"/>
            <w:hideMark/>
          </w:tcPr>
          <w:p w14:paraId="1D767BD8" w14:textId="77777777" w:rsidR="00816F69" w:rsidRPr="00B36D6F" w:rsidRDefault="00816F69" w:rsidP="00411D29">
            <w:pPr>
              <w:spacing w:after="0" w:line="240" w:lineRule="auto"/>
              <w:jc w:val="right"/>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2020</w:t>
            </w:r>
          </w:p>
        </w:tc>
        <w:tc>
          <w:tcPr>
            <w:tcW w:w="946" w:type="dxa"/>
            <w:shd w:val="clear" w:color="auto" w:fill="auto"/>
            <w:vAlign w:val="center"/>
            <w:hideMark/>
          </w:tcPr>
          <w:p w14:paraId="6579C357" w14:textId="415F6B60"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56" w:type="dxa"/>
            <w:shd w:val="clear" w:color="auto" w:fill="auto"/>
            <w:vAlign w:val="center"/>
            <w:hideMark/>
          </w:tcPr>
          <w:p w14:paraId="0B47D173" w14:textId="213C0DFB"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65</w:t>
            </w:r>
          </w:p>
        </w:tc>
        <w:tc>
          <w:tcPr>
            <w:tcW w:w="949" w:type="dxa"/>
            <w:shd w:val="clear" w:color="auto" w:fill="auto"/>
            <w:vAlign w:val="center"/>
            <w:hideMark/>
          </w:tcPr>
          <w:p w14:paraId="5D3AF162" w14:textId="66F01D06"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7" w:type="dxa"/>
            <w:shd w:val="clear" w:color="auto" w:fill="auto"/>
            <w:vAlign w:val="center"/>
            <w:hideMark/>
          </w:tcPr>
          <w:p w14:paraId="394B16D1" w14:textId="6C476608"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0</w:t>
            </w:r>
          </w:p>
        </w:tc>
        <w:tc>
          <w:tcPr>
            <w:tcW w:w="948" w:type="dxa"/>
            <w:shd w:val="clear" w:color="auto" w:fill="auto"/>
            <w:vAlign w:val="center"/>
            <w:hideMark/>
          </w:tcPr>
          <w:p w14:paraId="10B71E14" w14:textId="2ECEC389"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58" w:type="dxa"/>
            <w:shd w:val="clear" w:color="auto" w:fill="auto"/>
            <w:vAlign w:val="center"/>
            <w:hideMark/>
          </w:tcPr>
          <w:p w14:paraId="5C09AA0C" w14:textId="7EE4EBE2" w:rsidR="00816F69" w:rsidRPr="00B36D6F" w:rsidRDefault="00E07E08" w:rsidP="00411D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949" w:type="dxa"/>
            <w:shd w:val="clear" w:color="auto" w:fill="auto"/>
            <w:vAlign w:val="center"/>
            <w:hideMark/>
          </w:tcPr>
          <w:p w14:paraId="68280626" w14:textId="28FD630B"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957" w:type="dxa"/>
            <w:shd w:val="clear" w:color="auto" w:fill="auto"/>
            <w:vAlign w:val="center"/>
            <w:hideMark/>
          </w:tcPr>
          <w:p w14:paraId="6280CA0D" w14:textId="6BD134A5"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365</w:t>
            </w:r>
          </w:p>
        </w:tc>
      </w:tr>
      <w:tr w:rsidR="00816F69" w:rsidRPr="00B36D6F" w14:paraId="1492A17E" w14:textId="77777777" w:rsidTr="0037554D">
        <w:trPr>
          <w:trHeight w:val="300"/>
          <w:jc w:val="center"/>
        </w:trPr>
        <w:tc>
          <w:tcPr>
            <w:tcW w:w="1039" w:type="dxa"/>
            <w:shd w:val="clear" w:color="auto" w:fill="auto"/>
            <w:vAlign w:val="center"/>
            <w:hideMark/>
          </w:tcPr>
          <w:p w14:paraId="474CB67B" w14:textId="77777777" w:rsidR="00816F69" w:rsidRPr="00B36D6F" w:rsidRDefault="00816F69" w:rsidP="00411D29">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Subtotal</w:t>
            </w:r>
          </w:p>
        </w:tc>
        <w:tc>
          <w:tcPr>
            <w:tcW w:w="946" w:type="dxa"/>
            <w:shd w:val="clear" w:color="auto" w:fill="auto"/>
            <w:vAlign w:val="center"/>
            <w:hideMark/>
          </w:tcPr>
          <w:p w14:paraId="6501603B" w14:textId="765B85E6"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956" w:type="dxa"/>
            <w:shd w:val="clear" w:color="auto" w:fill="auto"/>
            <w:vAlign w:val="center"/>
            <w:hideMark/>
          </w:tcPr>
          <w:p w14:paraId="00D59639" w14:textId="20171A5D"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65</w:t>
            </w:r>
          </w:p>
        </w:tc>
        <w:tc>
          <w:tcPr>
            <w:tcW w:w="949" w:type="dxa"/>
            <w:shd w:val="clear" w:color="auto" w:fill="auto"/>
            <w:vAlign w:val="center"/>
            <w:hideMark/>
          </w:tcPr>
          <w:p w14:paraId="1CF0B392" w14:textId="0BEE63F4"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957" w:type="dxa"/>
            <w:shd w:val="clear" w:color="auto" w:fill="auto"/>
            <w:vAlign w:val="center"/>
            <w:hideMark/>
          </w:tcPr>
          <w:p w14:paraId="5925979E" w14:textId="5C41E856" w:rsidR="00816F69" w:rsidRPr="00B36D6F" w:rsidRDefault="00816F69" w:rsidP="00E07E08">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w:t>
            </w:r>
            <w:r w:rsidR="00E07E08">
              <w:rPr>
                <w:rFonts w:ascii="Times New Roman" w:eastAsia="Times New Roman" w:hAnsi="Times New Roman" w:cs="Times New Roman"/>
                <w:b/>
                <w:bCs/>
                <w:color w:val="000000"/>
                <w:sz w:val="20"/>
                <w:szCs w:val="20"/>
              </w:rPr>
              <w:t>6</w:t>
            </w:r>
            <w:r w:rsidRPr="00B36D6F">
              <w:rPr>
                <w:rFonts w:ascii="Times New Roman" w:eastAsia="Times New Roman" w:hAnsi="Times New Roman" w:cs="Times New Roman"/>
                <w:b/>
                <w:bCs/>
                <w:color w:val="000000"/>
                <w:sz w:val="20"/>
                <w:szCs w:val="20"/>
              </w:rPr>
              <w:t>,</w:t>
            </w:r>
            <w:r w:rsidR="00E07E08">
              <w:rPr>
                <w:rFonts w:ascii="Times New Roman" w:eastAsia="Times New Roman" w:hAnsi="Times New Roman" w:cs="Times New Roman"/>
                <w:b/>
                <w:bCs/>
                <w:color w:val="000000"/>
                <w:sz w:val="20"/>
                <w:szCs w:val="20"/>
              </w:rPr>
              <w:t>9</w:t>
            </w:r>
            <w:r w:rsidRPr="00B36D6F">
              <w:rPr>
                <w:rFonts w:ascii="Times New Roman" w:eastAsia="Times New Roman" w:hAnsi="Times New Roman" w:cs="Times New Roman"/>
                <w:b/>
                <w:bCs/>
                <w:color w:val="000000"/>
                <w:sz w:val="20"/>
                <w:szCs w:val="20"/>
              </w:rPr>
              <w:t>00</w:t>
            </w:r>
          </w:p>
        </w:tc>
        <w:tc>
          <w:tcPr>
            <w:tcW w:w="948" w:type="dxa"/>
            <w:shd w:val="clear" w:color="auto" w:fill="auto"/>
            <w:vAlign w:val="center"/>
            <w:hideMark/>
          </w:tcPr>
          <w:p w14:paraId="12367ADB" w14:textId="08CBCCEE"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958" w:type="dxa"/>
            <w:shd w:val="clear" w:color="auto" w:fill="auto"/>
            <w:vAlign w:val="center"/>
            <w:hideMark/>
          </w:tcPr>
          <w:p w14:paraId="4F13D54F" w14:textId="1657D2CC"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w:t>
            </w:r>
            <w:r w:rsidR="00E07E08">
              <w:rPr>
                <w:rFonts w:ascii="Times New Roman" w:eastAsia="Times New Roman" w:hAnsi="Times New Roman" w:cs="Times New Roman"/>
                <w:b/>
                <w:bCs/>
                <w:color w:val="000000"/>
                <w:sz w:val="20"/>
                <w:szCs w:val="20"/>
              </w:rPr>
              <w:t>00</w:t>
            </w:r>
          </w:p>
        </w:tc>
        <w:tc>
          <w:tcPr>
            <w:tcW w:w="949" w:type="dxa"/>
            <w:shd w:val="clear" w:color="auto" w:fill="auto"/>
            <w:vAlign w:val="center"/>
            <w:hideMark/>
          </w:tcPr>
          <w:p w14:paraId="3E1F421D" w14:textId="49418C51"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957" w:type="dxa"/>
            <w:shd w:val="clear" w:color="auto" w:fill="auto"/>
            <w:vAlign w:val="center"/>
            <w:hideMark/>
          </w:tcPr>
          <w:p w14:paraId="5038228F" w14:textId="41BF21CC" w:rsidR="00816F69" w:rsidRPr="00B36D6F" w:rsidRDefault="00E07E08" w:rsidP="00E07E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w:t>
            </w:r>
            <w:r w:rsidR="00816F69" w:rsidRPr="00B36D6F">
              <w:rPr>
                <w:rFonts w:ascii="Times New Roman" w:eastAsia="Times New Roman" w:hAnsi="Times New Roman" w:cs="Times New Roman"/>
                <w:b/>
                <w:bCs/>
                <w:color w:val="000000"/>
                <w:sz w:val="20"/>
                <w:szCs w:val="20"/>
              </w:rPr>
              <w:t>26</w:t>
            </w:r>
            <w:r>
              <w:rPr>
                <w:rFonts w:ascii="Times New Roman" w:eastAsia="Times New Roman" w:hAnsi="Times New Roman" w:cs="Times New Roman"/>
                <w:b/>
                <w:bCs/>
                <w:color w:val="000000"/>
                <w:sz w:val="20"/>
                <w:szCs w:val="20"/>
              </w:rPr>
              <w:t>5</w:t>
            </w:r>
          </w:p>
        </w:tc>
      </w:tr>
      <w:tr w:rsidR="00816F69" w:rsidRPr="00B36D6F" w14:paraId="0FBDAF4F" w14:textId="77777777" w:rsidTr="0037554D">
        <w:trPr>
          <w:trHeight w:val="790"/>
          <w:jc w:val="center"/>
        </w:trPr>
        <w:tc>
          <w:tcPr>
            <w:tcW w:w="1039" w:type="dxa"/>
            <w:shd w:val="clear" w:color="auto" w:fill="auto"/>
            <w:vAlign w:val="center"/>
            <w:hideMark/>
          </w:tcPr>
          <w:p w14:paraId="584A1492" w14:textId="77777777" w:rsidR="00816F69" w:rsidRPr="00B36D6F" w:rsidRDefault="00816F69" w:rsidP="00411D29">
            <w:pPr>
              <w:spacing w:after="0" w:line="240" w:lineRule="auto"/>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Qualified Grants &amp; Donations</w:t>
            </w:r>
          </w:p>
        </w:tc>
        <w:tc>
          <w:tcPr>
            <w:tcW w:w="946" w:type="dxa"/>
            <w:shd w:val="clear" w:color="auto" w:fill="auto"/>
            <w:vAlign w:val="center"/>
            <w:hideMark/>
          </w:tcPr>
          <w:p w14:paraId="2D040EEA"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37</w:t>
            </w:r>
          </w:p>
        </w:tc>
        <w:tc>
          <w:tcPr>
            <w:tcW w:w="956" w:type="dxa"/>
            <w:shd w:val="clear" w:color="auto" w:fill="auto"/>
            <w:vAlign w:val="center"/>
            <w:hideMark/>
          </w:tcPr>
          <w:p w14:paraId="0FBCF3BD"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241</w:t>
            </w:r>
          </w:p>
        </w:tc>
        <w:tc>
          <w:tcPr>
            <w:tcW w:w="949" w:type="dxa"/>
            <w:shd w:val="clear" w:color="auto" w:fill="auto"/>
            <w:vAlign w:val="center"/>
            <w:hideMark/>
          </w:tcPr>
          <w:p w14:paraId="5EDF4D22"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264</w:t>
            </w:r>
          </w:p>
        </w:tc>
        <w:tc>
          <w:tcPr>
            <w:tcW w:w="957" w:type="dxa"/>
            <w:shd w:val="clear" w:color="auto" w:fill="auto"/>
            <w:vAlign w:val="center"/>
            <w:hideMark/>
          </w:tcPr>
          <w:p w14:paraId="379F0963"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1,280</w:t>
            </w:r>
          </w:p>
        </w:tc>
        <w:tc>
          <w:tcPr>
            <w:tcW w:w="948" w:type="dxa"/>
            <w:shd w:val="clear" w:color="auto" w:fill="auto"/>
            <w:vAlign w:val="center"/>
            <w:hideMark/>
          </w:tcPr>
          <w:p w14:paraId="6B37F45A"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18</w:t>
            </w:r>
          </w:p>
        </w:tc>
        <w:tc>
          <w:tcPr>
            <w:tcW w:w="958" w:type="dxa"/>
            <w:shd w:val="clear" w:color="auto" w:fill="auto"/>
            <w:vAlign w:val="center"/>
            <w:hideMark/>
          </w:tcPr>
          <w:p w14:paraId="5CA61548" w14:textId="77777777" w:rsidR="00816F69" w:rsidRPr="00B36D6F" w:rsidRDefault="00816F69" w:rsidP="00411D29">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58</w:t>
            </w:r>
          </w:p>
        </w:tc>
        <w:tc>
          <w:tcPr>
            <w:tcW w:w="949" w:type="dxa"/>
            <w:shd w:val="clear" w:color="auto" w:fill="auto"/>
            <w:vAlign w:val="center"/>
            <w:hideMark/>
          </w:tcPr>
          <w:p w14:paraId="557D00AA"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319</w:t>
            </w:r>
          </w:p>
        </w:tc>
        <w:tc>
          <w:tcPr>
            <w:tcW w:w="957" w:type="dxa"/>
            <w:shd w:val="clear" w:color="auto" w:fill="auto"/>
            <w:vAlign w:val="center"/>
            <w:hideMark/>
          </w:tcPr>
          <w:p w14:paraId="378F4E5A" w14:textId="77777777"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1,579</w:t>
            </w:r>
          </w:p>
        </w:tc>
      </w:tr>
      <w:tr w:rsidR="00816F69" w:rsidRPr="00B36D6F" w14:paraId="022974E6" w14:textId="77777777" w:rsidTr="0037554D">
        <w:trPr>
          <w:trHeight w:val="300"/>
          <w:jc w:val="center"/>
        </w:trPr>
        <w:tc>
          <w:tcPr>
            <w:tcW w:w="1039" w:type="dxa"/>
            <w:shd w:val="clear" w:color="auto" w:fill="auto"/>
            <w:vAlign w:val="center"/>
            <w:hideMark/>
          </w:tcPr>
          <w:p w14:paraId="7AFB30A7" w14:textId="77777777" w:rsidR="00816F69" w:rsidRPr="00B36D6F" w:rsidRDefault="00816F69" w:rsidP="00411D29">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Total</w:t>
            </w:r>
          </w:p>
        </w:tc>
        <w:tc>
          <w:tcPr>
            <w:tcW w:w="946" w:type="dxa"/>
            <w:shd w:val="clear" w:color="auto" w:fill="auto"/>
            <w:vAlign w:val="center"/>
            <w:hideMark/>
          </w:tcPr>
          <w:p w14:paraId="11867766" w14:textId="73F6FA4F"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w:t>
            </w:r>
          </w:p>
        </w:tc>
        <w:tc>
          <w:tcPr>
            <w:tcW w:w="956" w:type="dxa"/>
            <w:shd w:val="clear" w:color="auto" w:fill="auto"/>
            <w:vAlign w:val="center"/>
            <w:hideMark/>
          </w:tcPr>
          <w:p w14:paraId="6E9F39ED" w14:textId="740D40E4" w:rsidR="00816F69" w:rsidRPr="00B36D6F" w:rsidRDefault="00816F69" w:rsidP="00411D29">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306</w:t>
            </w:r>
          </w:p>
        </w:tc>
        <w:tc>
          <w:tcPr>
            <w:tcW w:w="949" w:type="dxa"/>
            <w:shd w:val="clear" w:color="auto" w:fill="auto"/>
            <w:vAlign w:val="center"/>
            <w:hideMark/>
          </w:tcPr>
          <w:p w14:paraId="6D7E29F0" w14:textId="439BF1A7"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267</w:t>
            </w:r>
          </w:p>
        </w:tc>
        <w:tc>
          <w:tcPr>
            <w:tcW w:w="957" w:type="dxa"/>
            <w:shd w:val="clear" w:color="auto" w:fill="auto"/>
            <w:vAlign w:val="center"/>
            <w:hideMark/>
          </w:tcPr>
          <w:p w14:paraId="1C1BCB4F" w14:textId="60869994"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18,1</w:t>
            </w:r>
            <w:r w:rsidR="00816F69" w:rsidRPr="00B36D6F">
              <w:rPr>
                <w:rFonts w:ascii="Times New Roman" w:eastAsia="Times New Roman" w:hAnsi="Times New Roman" w:cs="Times New Roman"/>
                <w:b/>
                <w:bCs/>
                <w:color w:val="000000"/>
                <w:sz w:val="20"/>
                <w:szCs w:val="20"/>
              </w:rPr>
              <w:t>80</w:t>
            </w:r>
          </w:p>
        </w:tc>
        <w:tc>
          <w:tcPr>
            <w:tcW w:w="948" w:type="dxa"/>
            <w:shd w:val="clear" w:color="auto" w:fill="auto"/>
            <w:vAlign w:val="center"/>
            <w:hideMark/>
          </w:tcPr>
          <w:p w14:paraId="7153578F" w14:textId="39953585"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w:t>
            </w:r>
          </w:p>
        </w:tc>
        <w:tc>
          <w:tcPr>
            <w:tcW w:w="958" w:type="dxa"/>
            <w:shd w:val="clear" w:color="auto" w:fill="auto"/>
            <w:vAlign w:val="center"/>
            <w:hideMark/>
          </w:tcPr>
          <w:p w14:paraId="2552FC31" w14:textId="4D296E94" w:rsidR="00816F69" w:rsidRPr="00B36D6F" w:rsidRDefault="00E07E08"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358</w:t>
            </w:r>
          </w:p>
        </w:tc>
        <w:tc>
          <w:tcPr>
            <w:tcW w:w="949" w:type="dxa"/>
            <w:shd w:val="clear" w:color="auto" w:fill="auto"/>
            <w:vAlign w:val="center"/>
            <w:hideMark/>
          </w:tcPr>
          <w:p w14:paraId="71128236" w14:textId="261E7E24" w:rsidR="00816F69" w:rsidRPr="00B36D6F" w:rsidRDefault="00693249"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324</w:t>
            </w:r>
          </w:p>
        </w:tc>
        <w:tc>
          <w:tcPr>
            <w:tcW w:w="957" w:type="dxa"/>
            <w:shd w:val="clear" w:color="auto" w:fill="auto"/>
            <w:vAlign w:val="center"/>
            <w:hideMark/>
          </w:tcPr>
          <w:p w14:paraId="6E1A4DD9" w14:textId="0E9038B1" w:rsidR="00816F69" w:rsidRPr="00B36D6F" w:rsidRDefault="00693249" w:rsidP="00411D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18,844</w:t>
            </w:r>
          </w:p>
        </w:tc>
      </w:tr>
      <w:tr w:rsidR="00411D29" w:rsidRPr="00B36D6F" w14:paraId="52A09027" w14:textId="77777777" w:rsidTr="0037554D">
        <w:trPr>
          <w:trHeight w:val="300"/>
          <w:jc w:val="center"/>
        </w:trPr>
        <w:tc>
          <w:tcPr>
            <w:tcW w:w="8659" w:type="dxa"/>
            <w:gridSpan w:val="9"/>
            <w:shd w:val="clear" w:color="auto" w:fill="auto"/>
            <w:vAlign w:val="center"/>
            <w:hideMark/>
          </w:tcPr>
          <w:p w14:paraId="0B7640CC" w14:textId="77777777" w:rsidR="00411D29" w:rsidRPr="00B36D6F" w:rsidRDefault="00411D29" w:rsidP="00411D29">
            <w:pPr>
              <w:spacing w:after="0" w:line="240" w:lineRule="auto"/>
              <w:rPr>
                <w:rFonts w:ascii="Times New Roman" w:eastAsia="Times New Roman" w:hAnsi="Times New Roman" w:cs="Times New Roman"/>
                <w:i/>
                <w:iCs/>
                <w:color w:val="000000"/>
                <w:sz w:val="16"/>
                <w:szCs w:val="16"/>
              </w:rPr>
            </w:pPr>
            <w:r w:rsidRPr="00B36D6F">
              <w:rPr>
                <w:rFonts w:ascii="Times New Roman" w:eastAsia="Times New Roman" w:hAnsi="Times New Roman" w:cs="Times New Roman"/>
                <w:i/>
                <w:iCs/>
                <w:color w:val="000000"/>
                <w:sz w:val="16"/>
                <w:szCs w:val="16"/>
              </w:rPr>
              <w:t>Source:  Bank Data</w:t>
            </w:r>
          </w:p>
        </w:tc>
      </w:tr>
    </w:tbl>
    <w:p w14:paraId="27D928C7" w14:textId="77777777" w:rsidR="0003665C" w:rsidRDefault="0003665C" w:rsidP="00411D29">
      <w:pPr>
        <w:spacing w:line="240" w:lineRule="auto"/>
        <w:contextualSpacing/>
        <w:rPr>
          <w:rFonts w:ascii="Times New Roman" w:hAnsi="Times New Roman" w:cs="Times New Roman"/>
          <w:sz w:val="24"/>
          <w:szCs w:val="24"/>
        </w:rPr>
      </w:pPr>
    </w:p>
    <w:p w14:paraId="7FFE4F70" w14:textId="43DD9CE7" w:rsidR="00411D29" w:rsidRDefault="00267D9D" w:rsidP="00411D29">
      <w:pPr>
        <w:spacing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816F69" w:rsidRPr="00231215">
        <w:rPr>
          <w:rFonts w:ascii="Times New Roman" w:hAnsi="Times New Roman" w:cs="Times New Roman"/>
          <w:sz w:val="24"/>
          <w:szCs w:val="24"/>
        </w:rPr>
        <w:t xml:space="preserve">ollowing </w:t>
      </w:r>
      <w:r>
        <w:rPr>
          <w:rFonts w:ascii="Times New Roman" w:hAnsi="Times New Roman" w:cs="Times New Roman"/>
          <w:sz w:val="24"/>
          <w:szCs w:val="24"/>
        </w:rPr>
        <w:t xml:space="preserve">are notable examples of the bank’s </w:t>
      </w:r>
      <w:r w:rsidRPr="00231215">
        <w:rPr>
          <w:rFonts w:ascii="Times New Roman" w:hAnsi="Times New Roman" w:cs="Times New Roman"/>
          <w:sz w:val="24"/>
          <w:szCs w:val="24"/>
        </w:rPr>
        <w:t xml:space="preserve">qualified </w:t>
      </w:r>
      <w:r>
        <w:rPr>
          <w:rFonts w:ascii="Times New Roman" w:hAnsi="Times New Roman" w:cs="Times New Roman"/>
          <w:sz w:val="24"/>
          <w:szCs w:val="24"/>
        </w:rPr>
        <w:t>investment</w:t>
      </w:r>
      <w:r w:rsidR="00073D4E">
        <w:rPr>
          <w:rFonts w:ascii="Times New Roman" w:hAnsi="Times New Roman" w:cs="Times New Roman"/>
          <w:sz w:val="24"/>
          <w:szCs w:val="24"/>
        </w:rPr>
        <w:t>s</w:t>
      </w:r>
      <w:r>
        <w:rPr>
          <w:rFonts w:ascii="Times New Roman" w:hAnsi="Times New Roman" w:cs="Times New Roman"/>
          <w:sz w:val="24"/>
          <w:szCs w:val="24"/>
        </w:rPr>
        <w:t xml:space="preserve"> benefitting the Massachusetts assessment area.</w:t>
      </w:r>
      <w:r w:rsidR="00816F69">
        <w:rPr>
          <w:rFonts w:ascii="Times New Roman" w:hAnsi="Times New Roman" w:cs="Times New Roman"/>
          <w:sz w:val="24"/>
          <w:szCs w:val="24"/>
        </w:rPr>
        <w:t xml:space="preserve"> </w:t>
      </w:r>
    </w:p>
    <w:p w14:paraId="3B5534BB" w14:textId="77777777" w:rsidR="00816F69" w:rsidRPr="00816F69" w:rsidRDefault="00816F69" w:rsidP="00411D29">
      <w:pPr>
        <w:spacing w:line="240" w:lineRule="auto"/>
        <w:contextualSpacing/>
        <w:rPr>
          <w:rFonts w:ascii="Times New Roman" w:hAnsi="Times New Roman" w:cs="Times New Roman"/>
          <w:sz w:val="24"/>
          <w:szCs w:val="24"/>
        </w:rPr>
      </w:pPr>
    </w:p>
    <w:p w14:paraId="696AAFD3" w14:textId="6ECF68CA" w:rsidR="00411D29" w:rsidRPr="00231215" w:rsidRDefault="00411D29" w:rsidP="00411D29">
      <w:pPr>
        <w:spacing w:line="240" w:lineRule="auto"/>
        <w:contextualSpacing/>
        <w:rPr>
          <w:rFonts w:ascii="Times New Roman" w:hAnsi="Times New Roman" w:cs="Times New Roman"/>
          <w:sz w:val="24"/>
          <w:szCs w:val="24"/>
        </w:rPr>
      </w:pPr>
      <w:r w:rsidRPr="00231215">
        <w:rPr>
          <w:rFonts w:ascii="Times New Roman" w:hAnsi="Times New Roman" w:cs="Times New Roman"/>
          <w:i/>
          <w:sz w:val="24"/>
          <w:szCs w:val="24"/>
        </w:rPr>
        <w:t xml:space="preserve">Brockton Venture Fund – </w:t>
      </w:r>
      <w:r w:rsidRPr="00231215">
        <w:rPr>
          <w:rFonts w:ascii="Times New Roman" w:hAnsi="Times New Roman" w:cs="Times New Roman"/>
          <w:sz w:val="24"/>
          <w:szCs w:val="24"/>
        </w:rPr>
        <w:t xml:space="preserve">In 2020, HOB was the leading financial institution and collaborated with </w:t>
      </w:r>
      <w:r w:rsidR="00073D4E">
        <w:rPr>
          <w:rFonts w:ascii="Times New Roman" w:hAnsi="Times New Roman" w:cs="Times New Roman"/>
          <w:sz w:val="24"/>
          <w:szCs w:val="24"/>
        </w:rPr>
        <w:t xml:space="preserve">Neighborworks Solutions and </w:t>
      </w:r>
      <w:r w:rsidRPr="00231215">
        <w:rPr>
          <w:rFonts w:ascii="Times New Roman" w:hAnsi="Times New Roman" w:cs="Times New Roman"/>
          <w:sz w:val="24"/>
          <w:szCs w:val="24"/>
        </w:rPr>
        <w:t>other regional institutions to create The Brockton Venture Fund</w:t>
      </w:r>
      <w:r w:rsidR="00073D4E">
        <w:rPr>
          <w:rFonts w:ascii="Times New Roman" w:hAnsi="Times New Roman" w:cs="Times New Roman"/>
          <w:sz w:val="24"/>
          <w:szCs w:val="24"/>
        </w:rPr>
        <w:t xml:space="preserve"> to help businesses locate, expand, and hire in Brockton</w:t>
      </w:r>
      <w:r w:rsidRPr="00231215">
        <w:rPr>
          <w:rFonts w:ascii="Times New Roman" w:hAnsi="Times New Roman" w:cs="Times New Roman"/>
          <w:sz w:val="24"/>
          <w:szCs w:val="24"/>
        </w:rPr>
        <w:t>.</w:t>
      </w:r>
      <w:r w:rsidR="00073D4E">
        <w:rPr>
          <w:rFonts w:ascii="Times New Roman" w:hAnsi="Times New Roman" w:cs="Times New Roman"/>
          <w:sz w:val="24"/>
          <w:szCs w:val="24"/>
        </w:rPr>
        <w:t xml:space="preserve">  The fund provides for loans</w:t>
      </w:r>
      <w:r w:rsidRPr="00231215">
        <w:rPr>
          <w:rFonts w:ascii="Times New Roman" w:hAnsi="Times New Roman" w:cs="Times New Roman"/>
          <w:sz w:val="24"/>
          <w:szCs w:val="24"/>
        </w:rPr>
        <w:t xml:space="preserve"> up to $50,000 along with small business education tr</w:t>
      </w:r>
      <w:r w:rsidR="00073D4E">
        <w:rPr>
          <w:rFonts w:ascii="Times New Roman" w:hAnsi="Times New Roman" w:cs="Times New Roman"/>
          <w:sz w:val="24"/>
          <w:szCs w:val="24"/>
        </w:rPr>
        <w:t xml:space="preserve">aining for eligible </w:t>
      </w:r>
      <w:r w:rsidR="00073D4E" w:rsidRPr="00073D4E">
        <w:rPr>
          <w:rFonts w:ascii="Times New Roman" w:hAnsi="Times New Roman" w:cs="Times New Roman"/>
          <w:sz w:val="24"/>
          <w:szCs w:val="24"/>
        </w:rPr>
        <w:t xml:space="preserve">borrowers, targeting applicants with the most upside for job growth to stimulate housing, neighborhood revitalization, and increased spending on other services in the city. </w:t>
      </w:r>
      <w:r w:rsidR="00683B79">
        <w:rPr>
          <w:rFonts w:ascii="Times New Roman" w:hAnsi="Times New Roman" w:cs="Times New Roman"/>
          <w:sz w:val="24"/>
          <w:szCs w:val="24"/>
        </w:rPr>
        <w:t xml:space="preserve"> </w:t>
      </w:r>
      <w:r w:rsidR="00073D4E" w:rsidRPr="00073D4E">
        <w:rPr>
          <w:rFonts w:ascii="Times New Roman" w:hAnsi="Times New Roman" w:cs="Times New Roman"/>
          <w:sz w:val="24"/>
          <w:szCs w:val="24"/>
        </w:rPr>
        <w:t xml:space="preserve">The program particularly seeks businesses that are women-, minority-, or veteran-owned.  </w:t>
      </w:r>
      <w:r w:rsidRPr="00073D4E">
        <w:rPr>
          <w:rFonts w:ascii="Times New Roman" w:hAnsi="Times New Roman" w:cs="Times New Roman"/>
          <w:sz w:val="24"/>
          <w:szCs w:val="24"/>
        </w:rPr>
        <w:t>HarborOne provided $300,000 for the fund</w:t>
      </w:r>
      <w:r w:rsidR="00073D4E" w:rsidRPr="00073D4E">
        <w:rPr>
          <w:rFonts w:ascii="Times New Roman" w:hAnsi="Times New Roman" w:cs="Times New Roman"/>
          <w:sz w:val="24"/>
          <w:szCs w:val="24"/>
        </w:rPr>
        <w:t>, which collectively</w:t>
      </w:r>
      <w:r w:rsidR="00073D4E">
        <w:rPr>
          <w:rFonts w:ascii="Times New Roman" w:hAnsi="Times New Roman" w:cs="Times New Roman"/>
          <w:sz w:val="24"/>
          <w:szCs w:val="24"/>
        </w:rPr>
        <w:t xml:space="preserve"> committed to $1 million in loans to eligible businesses</w:t>
      </w:r>
      <w:r w:rsidRPr="00231215">
        <w:rPr>
          <w:rFonts w:ascii="Times New Roman" w:hAnsi="Times New Roman" w:cs="Times New Roman"/>
          <w:sz w:val="24"/>
          <w:szCs w:val="24"/>
        </w:rPr>
        <w:t>.</w:t>
      </w:r>
    </w:p>
    <w:p w14:paraId="3CE81203" w14:textId="77777777" w:rsidR="00411D29" w:rsidRPr="00231215" w:rsidRDefault="00411D29" w:rsidP="00411D29">
      <w:pPr>
        <w:spacing w:line="240" w:lineRule="auto"/>
        <w:contextualSpacing/>
        <w:rPr>
          <w:rFonts w:ascii="Times New Roman" w:hAnsi="Times New Roman" w:cs="Times New Roman"/>
          <w:i/>
          <w:sz w:val="24"/>
          <w:szCs w:val="24"/>
        </w:rPr>
      </w:pPr>
    </w:p>
    <w:p w14:paraId="4F7926B3" w14:textId="1367C007" w:rsidR="00411D29" w:rsidRPr="00231215" w:rsidRDefault="00411D29" w:rsidP="00411D29">
      <w:pPr>
        <w:spacing w:line="240" w:lineRule="auto"/>
        <w:contextualSpacing/>
        <w:rPr>
          <w:rFonts w:ascii="Times New Roman" w:hAnsi="Times New Roman" w:cs="Times New Roman"/>
          <w:sz w:val="24"/>
          <w:szCs w:val="24"/>
        </w:rPr>
      </w:pPr>
      <w:r w:rsidRPr="00231215">
        <w:rPr>
          <w:rFonts w:ascii="Times New Roman" w:hAnsi="Times New Roman" w:cs="Times New Roman"/>
          <w:i/>
          <w:sz w:val="24"/>
          <w:szCs w:val="24"/>
        </w:rPr>
        <w:t xml:space="preserve">Conservatory Lab Charter School – </w:t>
      </w:r>
      <w:r w:rsidRPr="00231215">
        <w:rPr>
          <w:rFonts w:ascii="Times New Roman" w:hAnsi="Times New Roman" w:cs="Times New Roman"/>
          <w:sz w:val="24"/>
          <w:szCs w:val="24"/>
        </w:rPr>
        <w:t>In 2019, the bank participated in a $7.3 million bond consisting of an overall $17.3 direct purchase tax-exempt bond to the Conservatory Lab Charter Foundation, Inc. to finance construction of the new Conservatory Lab Charter School.  The bank’s participation represents 41.8 percent.  The project financing also utilized New Market Tax Credits.  The school is located in a moderate-income census tract in</w:t>
      </w:r>
      <w:r w:rsidR="00267D9D">
        <w:rPr>
          <w:rFonts w:ascii="Times New Roman" w:hAnsi="Times New Roman" w:cs="Times New Roman"/>
          <w:sz w:val="24"/>
          <w:szCs w:val="24"/>
        </w:rPr>
        <w:t xml:space="preserve"> the</w:t>
      </w:r>
      <w:r w:rsidRPr="00231215">
        <w:rPr>
          <w:rFonts w:ascii="Times New Roman" w:hAnsi="Times New Roman" w:cs="Times New Roman"/>
          <w:sz w:val="24"/>
          <w:szCs w:val="24"/>
        </w:rPr>
        <w:t xml:space="preserve"> Dorchester</w:t>
      </w:r>
      <w:r w:rsidR="00267D9D">
        <w:rPr>
          <w:rFonts w:ascii="Times New Roman" w:hAnsi="Times New Roman" w:cs="Times New Roman"/>
          <w:sz w:val="24"/>
          <w:szCs w:val="24"/>
        </w:rPr>
        <w:t xml:space="preserve"> section of Boston,</w:t>
      </w:r>
      <w:r w:rsidRPr="00231215">
        <w:rPr>
          <w:rFonts w:ascii="Times New Roman" w:hAnsi="Times New Roman" w:cs="Times New Roman"/>
          <w:sz w:val="24"/>
          <w:szCs w:val="24"/>
        </w:rPr>
        <w:t xml:space="preserve"> and 68.0 percent of students qualify for free or reduced lunch programs. </w:t>
      </w:r>
    </w:p>
    <w:p w14:paraId="75CE93BD" w14:textId="77777777" w:rsidR="00411D29" w:rsidRDefault="00411D29" w:rsidP="00411D29">
      <w:pPr>
        <w:spacing w:after="0" w:line="240" w:lineRule="auto"/>
        <w:rPr>
          <w:rFonts w:ascii="Times New Roman" w:eastAsia="Times New Roman" w:hAnsi="Times New Roman" w:cs="Times New Roman"/>
          <w:bCs/>
          <w:sz w:val="24"/>
          <w:szCs w:val="24"/>
        </w:rPr>
      </w:pPr>
    </w:p>
    <w:p w14:paraId="1106BD63" w14:textId="77777777" w:rsidR="00411D29" w:rsidRPr="00231215" w:rsidRDefault="00411D29" w:rsidP="00411D29">
      <w:pPr>
        <w:spacing w:line="240" w:lineRule="auto"/>
        <w:contextualSpacing/>
        <w:rPr>
          <w:rFonts w:ascii="Times New Roman" w:hAnsi="Times New Roman" w:cs="Times New Roman"/>
          <w:sz w:val="24"/>
          <w:szCs w:val="24"/>
          <w:u w:val="single"/>
        </w:rPr>
      </w:pPr>
      <w:r w:rsidRPr="00231215">
        <w:rPr>
          <w:rFonts w:ascii="Times New Roman" w:hAnsi="Times New Roman" w:cs="Times New Roman"/>
          <w:sz w:val="24"/>
          <w:szCs w:val="24"/>
          <w:u w:val="single"/>
        </w:rPr>
        <w:t>Charitable Contributions</w:t>
      </w:r>
    </w:p>
    <w:p w14:paraId="4A9C3F07" w14:textId="77777777" w:rsidR="00411D29" w:rsidRPr="00231215" w:rsidRDefault="00411D29" w:rsidP="00411D29">
      <w:pPr>
        <w:spacing w:line="240" w:lineRule="auto"/>
        <w:contextualSpacing/>
        <w:rPr>
          <w:rFonts w:ascii="Times New Roman" w:hAnsi="Times New Roman" w:cs="Times New Roman"/>
          <w:sz w:val="24"/>
          <w:szCs w:val="24"/>
        </w:rPr>
      </w:pPr>
    </w:p>
    <w:p w14:paraId="672AD4FE" w14:textId="1181862E" w:rsidR="00411D29" w:rsidRPr="00231215" w:rsidRDefault="00411D29" w:rsidP="00411D29">
      <w:pPr>
        <w:spacing w:line="240" w:lineRule="auto"/>
        <w:contextualSpacing/>
        <w:rPr>
          <w:rFonts w:ascii="Times New Roman" w:hAnsi="Times New Roman" w:cs="Times New Roman"/>
          <w:sz w:val="24"/>
          <w:szCs w:val="24"/>
        </w:rPr>
      </w:pPr>
      <w:r w:rsidRPr="00EE1730">
        <w:rPr>
          <w:rFonts w:ascii="Times New Roman" w:hAnsi="Times New Roman" w:cs="Times New Roman"/>
          <w:sz w:val="24"/>
          <w:szCs w:val="24"/>
        </w:rPr>
        <w:t xml:space="preserve">HOB and HarborOne Charitable Foundation Massachusetts made $1.5 million in </w:t>
      </w:r>
      <w:r w:rsidR="000D651A">
        <w:rPr>
          <w:rFonts w:ascii="Times New Roman" w:hAnsi="Times New Roman" w:cs="Times New Roman"/>
          <w:sz w:val="24"/>
          <w:szCs w:val="24"/>
        </w:rPr>
        <w:t xml:space="preserve">qualified </w:t>
      </w:r>
      <w:r w:rsidRPr="00EE1730">
        <w:rPr>
          <w:rFonts w:ascii="Times New Roman" w:hAnsi="Times New Roman" w:cs="Times New Roman"/>
          <w:sz w:val="24"/>
          <w:szCs w:val="24"/>
        </w:rPr>
        <w:t xml:space="preserve">donations benefitting the Boston, </w:t>
      </w:r>
      <w:r w:rsidR="000D651A">
        <w:rPr>
          <w:rFonts w:ascii="Times New Roman" w:hAnsi="Times New Roman" w:cs="Times New Roman"/>
          <w:sz w:val="24"/>
          <w:szCs w:val="24"/>
        </w:rPr>
        <w:t xml:space="preserve">MA </w:t>
      </w:r>
      <w:r w:rsidRPr="00EE1730">
        <w:rPr>
          <w:rFonts w:ascii="Times New Roman" w:hAnsi="Times New Roman" w:cs="Times New Roman"/>
          <w:sz w:val="24"/>
          <w:szCs w:val="24"/>
        </w:rPr>
        <w:t xml:space="preserve">MD.  </w:t>
      </w:r>
      <w:r w:rsidRPr="00231215">
        <w:rPr>
          <w:rFonts w:ascii="Times New Roman" w:hAnsi="Times New Roman" w:cs="Times New Roman"/>
          <w:sz w:val="24"/>
          <w:szCs w:val="24"/>
        </w:rPr>
        <w:t>The majority of donations went to organizations that provide community services to low</w:t>
      </w:r>
      <w:r w:rsidR="000D651A">
        <w:rPr>
          <w:rFonts w:ascii="Times New Roman" w:hAnsi="Times New Roman" w:cs="Times New Roman"/>
          <w:sz w:val="24"/>
          <w:szCs w:val="24"/>
        </w:rPr>
        <w:t>-</w:t>
      </w:r>
      <w:r w:rsidRPr="00231215">
        <w:rPr>
          <w:rFonts w:ascii="Times New Roman" w:hAnsi="Times New Roman" w:cs="Times New Roman"/>
          <w:sz w:val="24"/>
          <w:szCs w:val="24"/>
        </w:rPr>
        <w:t xml:space="preserve"> and moderate-income individuals and families.</w:t>
      </w:r>
      <w:r w:rsidR="000D651A">
        <w:rPr>
          <w:rFonts w:ascii="Times New Roman" w:hAnsi="Times New Roman" w:cs="Times New Roman"/>
          <w:sz w:val="24"/>
          <w:szCs w:val="24"/>
        </w:rPr>
        <w:t xml:space="preserve">  The following examples highlight </w:t>
      </w:r>
      <w:r w:rsidR="00FA42AA">
        <w:rPr>
          <w:rFonts w:ascii="Times New Roman" w:hAnsi="Times New Roman" w:cs="Times New Roman"/>
          <w:sz w:val="24"/>
          <w:szCs w:val="24"/>
        </w:rPr>
        <w:t xml:space="preserve">a few of the many </w:t>
      </w:r>
      <w:r w:rsidR="000D651A">
        <w:rPr>
          <w:rFonts w:ascii="Times New Roman" w:hAnsi="Times New Roman" w:cs="Times New Roman"/>
          <w:sz w:val="24"/>
          <w:szCs w:val="24"/>
        </w:rPr>
        <w:t xml:space="preserve">organizations receiving bank or foundation donations during the evaluation period. </w:t>
      </w:r>
      <w:r w:rsidR="00FA42AA">
        <w:rPr>
          <w:rFonts w:ascii="Times New Roman" w:hAnsi="Times New Roman" w:cs="Times New Roman"/>
          <w:sz w:val="24"/>
          <w:szCs w:val="24"/>
        </w:rPr>
        <w:t xml:space="preserve"> These example received notable qualitative credit under the Investment Test due to their community impact.</w:t>
      </w:r>
      <w:r w:rsidRPr="00231215">
        <w:rPr>
          <w:rFonts w:ascii="Times New Roman" w:hAnsi="Times New Roman" w:cs="Times New Roman"/>
          <w:sz w:val="24"/>
          <w:szCs w:val="24"/>
        </w:rPr>
        <w:t xml:space="preserve">  </w:t>
      </w:r>
    </w:p>
    <w:p w14:paraId="713A123A" w14:textId="77777777" w:rsidR="00411D29" w:rsidRDefault="00411D29" w:rsidP="00411D29">
      <w:pPr>
        <w:spacing w:after="0" w:line="240" w:lineRule="auto"/>
        <w:rPr>
          <w:rFonts w:ascii="Times New Roman" w:eastAsia="Times New Roman" w:hAnsi="Times New Roman" w:cs="Times New Roman"/>
          <w:bCs/>
          <w:sz w:val="24"/>
          <w:szCs w:val="24"/>
        </w:rPr>
      </w:pPr>
    </w:p>
    <w:p w14:paraId="5BDA21DF" w14:textId="0B5A9389" w:rsidR="00411D29" w:rsidRPr="000D3D10" w:rsidRDefault="00411D29" w:rsidP="00411D29">
      <w:pPr>
        <w:spacing w:line="240" w:lineRule="auto"/>
        <w:contextualSpacing/>
        <w:rPr>
          <w:rFonts w:ascii="Times New Roman" w:hAnsi="Times New Roman" w:cs="Times New Roman"/>
          <w:sz w:val="24"/>
          <w:szCs w:val="24"/>
        </w:rPr>
      </w:pPr>
      <w:r w:rsidRPr="000D3D10">
        <w:rPr>
          <w:rFonts w:ascii="Times New Roman" w:hAnsi="Times New Roman" w:cs="Times New Roman"/>
          <w:i/>
          <w:sz w:val="24"/>
          <w:szCs w:val="24"/>
        </w:rPr>
        <w:lastRenderedPageBreak/>
        <w:t xml:space="preserve">Father Bills &amp; Mainspring – </w:t>
      </w:r>
      <w:r w:rsidRPr="000D3D10">
        <w:rPr>
          <w:rFonts w:ascii="Times New Roman" w:hAnsi="Times New Roman" w:cs="Times New Roman"/>
          <w:sz w:val="24"/>
          <w:szCs w:val="24"/>
        </w:rPr>
        <w:t xml:space="preserve">Father Bills and Mainspring is a social service agency focused on emergency and permanent housing, job training and placement, and </w:t>
      </w:r>
      <w:r w:rsidR="00534621">
        <w:rPr>
          <w:rFonts w:ascii="Times New Roman" w:hAnsi="Times New Roman" w:cs="Times New Roman"/>
          <w:sz w:val="24"/>
          <w:szCs w:val="24"/>
        </w:rPr>
        <w:t xml:space="preserve">homelessness </w:t>
      </w:r>
      <w:r w:rsidRPr="000D3D10">
        <w:rPr>
          <w:rFonts w:ascii="Times New Roman" w:hAnsi="Times New Roman" w:cs="Times New Roman"/>
          <w:sz w:val="24"/>
          <w:szCs w:val="24"/>
        </w:rPr>
        <w:t xml:space="preserve">prevention services.  HarborOne’s yearly contribution supported homelessness prevention, food security and basic essentials for individuals, families and veterans in need.  In 2019, HOB made a grant for stabilization services at their newest permanent supportive housing developments in Brockton.  In 2020, HOB gave a grant to support essential services for </w:t>
      </w:r>
      <w:r w:rsidR="00534621">
        <w:rPr>
          <w:rFonts w:ascii="Times New Roman" w:hAnsi="Times New Roman" w:cs="Times New Roman"/>
          <w:sz w:val="24"/>
          <w:szCs w:val="24"/>
        </w:rPr>
        <w:t>h</w:t>
      </w:r>
      <w:r w:rsidRPr="000D3D10">
        <w:rPr>
          <w:rFonts w:ascii="Times New Roman" w:hAnsi="Times New Roman" w:cs="Times New Roman"/>
          <w:sz w:val="24"/>
          <w:szCs w:val="24"/>
        </w:rPr>
        <w:t xml:space="preserve">omeless </w:t>
      </w:r>
      <w:r w:rsidR="00534621">
        <w:rPr>
          <w:rFonts w:ascii="Times New Roman" w:hAnsi="Times New Roman" w:cs="Times New Roman"/>
          <w:sz w:val="24"/>
          <w:szCs w:val="24"/>
        </w:rPr>
        <w:t>i</w:t>
      </w:r>
      <w:r w:rsidRPr="000D3D10">
        <w:rPr>
          <w:rFonts w:ascii="Times New Roman" w:hAnsi="Times New Roman" w:cs="Times New Roman"/>
          <w:sz w:val="24"/>
          <w:szCs w:val="24"/>
        </w:rPr>
        <w:t xml:space="preserve">ndividuals and </w:t>
      </w:r>
      <w:r w:rsidR="00534621">
        <w:rPr>
          <w:rFonts w:ascii="Times New Roman" w:hAnsi="Times New Roman" w:cs="Times New Roman"/>
          <w:sz w:val="24"/>
          <w:szCs w:val="24"/>
        </w:rPr>
        <w:t>f</w:t>
      </w:r>
      <w:r w:rsidRPr="000D3D10">
        <w:rPr>
          <w:rFonts w:ascii="Times New Roman" w:hAnsi="Times New Roman" w:cs="Times New Roman"/>
          <w:sz w:val="24"/>
          <w:szCs w:val="24"/>
        </w:rPr>
        <w:t>amilies during the COVID-19 pandemic.</w:t>
      </w:r>
    </w:p>
    <w:p w14:paraId="5A5249F1" w14:textId="77777777" w:rsidR="00411D29" w:rsidRPr="000D3D10" w:rsidRDefault="00411D29" w:rsidP="00411D29">
      <w:pPr>
        <w:spacing w:line="240" w:lineRule="auto"/>
        <w:contextualSpacing/>
        <w:rPr>
          <w:rFonts w:ascii="Times New Roman" w:hAnsi="Times New Roman" w:cs="Times New Roman"/>
          <w:sz w:val="24"/>
          <w:szCs w:val="24"/>
        </w:rPr>
      </w:pPr>
    </w:p>
    <w:p w14:paraId="21EB8BE7" w14:textId="71737521" w:rsidR="00411D29" w:rsidRPr="000D3D10" w:rsidRDefault="00411D29" w:rsidP="00411D29">
      <w:pPr>
        <w:spacing w:line="240" w:lineRule="auto"/>
        <w:contextualSpacing/>
        <w:rPr>
          <w:rFonts w:ascii="Times New Roman" w:hAnsi="Times New Roman" w:cs="Times New Roman"/>
          <w:i/>
          <w:sz w:val="24"/>
          <w:szCs w:val="24"/>
        </w:rPr>
      </w:pPr>
      <w:r w:rsidRPr="000D3D10">
        <w:rPr>
          <w:rFonts w:ascii="Times New Roman" w:hAnsi="Times New Roman" w:cs="Times New Roman"/>
          <w:i/>
          <w:sz w:val="24"/>
          <w:szCs w:val="24"/>
        </w:rPr>
        <w:t>Fresh Truck</w:t>
      </w:r>
      <w:r w:rsidR="000D651A">
        <w:rPr>
          <w:rFonts w:ascii="Times New Roman" w:hAnsi="Times New Roman" w:cs="Times New Roman"/>
          <w:i/>
          <w:sz w:val="24"/>
          <w:szCs w:val="24"/>
        </w:rPr>
        <w:t xml:space="preserve"> –</w:t>
      </w:r>
      <w:r w:rsidRPr="000D3D10">
        <w:rPr>
          <w:rFonts w:ascii="Times New Roman" w:hAnsi="Times New Roman" w:cs="Times New Roman"/>
          <w:i/>
          <w:sz w:val="24"/>
          <w:szCs w:val="24"/>
        </w:rPr>
        <w:t xml:space="preserve"> </w:t>
      </w:r>
      <w:r w:rsidRPr="000D3D10">
        <w:rPr>
          <w:rFonts w:ascii="Times New Roman" w:hAnsi="Times New Roman" w:cs="Times New Roman"/>
          <w:sz w:val="24"/>
          <w:szCs w:val="24"/>
        </w:rPr>
        <w:t>H</w:t>
      </w:r>
      <w:r w:rsidR="000D651A">
        <w:rPr>
          <w:rFonts w:ascii="Times New Roman" w:hAnsi="Times New Roman" w:cs="Times New Roman"/>
          <w:sz w:val="24"/>
          <w:szCs w:val="24"/>
        </w:rPr>
        <w:t>O</w:t>
      </w:r>
      <w:r w:rsidRPr="000D3D10">
        <w:rPr>
          <w:rFonts w:ascii="Times New Roman" w:hAnsi="Times New Roman" w:cs="Times New Roman"/>
          <w:sz w:val="24"/>
          <w:szCs w:val="24"/>
        </w:rPr>
        <w:t xml:space="preserve">B established a relationship with Fresh Truck, a Boston based non-profit organization whose mission seeks to improve the health of low-income communities by getting healthy food to those who need it most.  The bank’s relationship is driven by monetary contributions and also a volunteer component that is both innovative and responsive.  A grant from the HarborOne Foundation helped launch and facilitate Fresh Truck’s </w:t>
      </w:r>
      <w:r w:rsidRPr="000D3D10">
        <w:rPr>
          <w:rFonts w:ascii="Times New Roman" w:hAnsi="Times New Roman" w:cs="Times New Roman"/>
          <w:bCs/>
          <w:sz w:val="24"/>
          <w:szCs w:val="24"/>
        </w:rPr>
        <w:t>Fresh Connect Food Prescription Program</w:t>
      </w:r>
      <w:r w:rsidRPr="000D3D10">
        <w:rPr>
          <w:rFonts w:ascii="Times New Roman" w:hAnsi="Times New Roman" w:cs="Times New Roman"/>
          <w:sz w:val="24"/>
          <w:szCs w:val="24"/>
        </w:rPr>
        <w:t>.  A partner with Boston Medical Center (BMC), Fresh Truck is able to track and measure the impact of nutritious food on BMC patients’ health outcomes.</w:t>
      </w:r>
    </w:p>
    <w:p w14:paraId="6462DF3A" w14:textId="77777777" w:rsidR="00411D29" w:rsidRPr="000D3D10" w:rsidRDefault="00411D29" w:rsidP="00411D29">
      <w:pPr>
        <w:spacing w:line="240" w:lineRule="auto"/>
        <w:contextualSpacing/>
        <w:rPr>
          <w:rFonts w:ascii="Times New Roman" w:hAnsi="Times New Roman" w:cs="Times New Roman"/>
          <w:i/>
          <w:sz w:val="24"/>
          <w:szCs w:val="24"/>
        </w:rPr>
      </w:pPr>
    </w:p>
    <w:p w14:paraId="401AAAC2" w14:textId="5DF33580" w:rsidR="00411D29" w:rsidRPr="000D3D10" w:rsidRDefault="00411D29" w:rsidP="00411D29">
      <w:pPr>
        <w:spacing w:line="240" w:lineRule="auto"/>
        <w:contextualSpacing/>
        <w:rPr>
          <w:rFonts w:ascii="Times New Roman" w:hAnsi="Times New Roman" w:cs="Times New Roman"/>
          <w:sz w:val="24"/>
          <w:szCs w:val="24"/>
        </w:rPr>
      </w:pPr>
      <w:r w:rsidRPr="000D3D10">
        <w:rPr>
          <w:rFonts w:ascii="Times New Roman" w:hAnsi="Times New Roman" w:cs="Times New Roman"/>
          <w:i/>
          <w:sz w:val="24"/>
          <w:szCs w:val="24"/>
        </w:rPr>
        <w:t xml:space="preserve">Pro Home, Inc. – </w:t>
      </w:r>
      <w:r w:rsidRPr="000D3D10">
        <w:rPr>
          <w:rFonts w:ascii="Times New Roman" w:hAnsi="Times New Roman" w:cs="Times New Roman"/>
          <w:sz w:val="24"/>
          <w:szCs w:val="24"/>
        </w:rPr>
        <w:t>Pro Home, Inc. is a nonprofit organization established for the production and protection of affordable housing.  HOB made donations to Pro Home, Inc. in 2018, 2019, and 2020.  The contributions support financial literacy programs, counseling for first-time homebuyers, tenant-landlords, and those facing foreclosure, as well as down payment and closing cost assistance.</w:t>
      </w:r>
    </w:p>
    <w:p w14:paraId="5A15A386" w14:textId="77777777" w:rsidR="00411D29" w:rsidRDefault="00411D29" w:rsidP="00411D29">
      <w:pPr>
        <w:autoSpaceDE w:val="0"/>
        <w:autoSpaceDN w:val="0"/>
        <w:adjustRightInd w:val="0"/>
        <w:spacing w:after="0" w:line="240" w:lineRule="auto"/>
        <w:rPr>
          <w:rFonts w:ascii="Times New Roman" w:hAnsi="Times New Roman" w:cs="Times New Roman"/>
          <w:bCs/>
          <w:i/>
          <w:color w:val="000000"/>
          <w:sz w:val="23"/>
          <w:szCs w:val="23"/>
        </w:rPr>
      </w:pPr>
    </w:p>
    <w:p w14:paraId="0B2F3DB9" w14:textId="3DEE62C3" w:rsidR="00411D29" w:rsidRDefault="00411D29" w:rsidP="00411D29">
      <w:pPr>
        <w:autoSpaceDE w:val="0"/>
        <w:autoSpaceDN w:val="0"/>
        <w:adjustRightInd w:val="0"/>
        <w:spacing w:after="0" w:line="240" w:lineRule="auto"/>
        <w:rPr>
          <w:rFonts w:ascii="Times New Roman" w:hAnsi="Times New Roman" w:cs="Times New Roman"/>
          <w:color w:val="000000"/>
          <w:sz w:val="24"/>
          <w:szCs w:val="23"/>
        </w:rPr>
      </w:pPr>
      <w:r w:rsidRPr="00FA42AA">
        <w:rPr>
          <w:rFonts w:ascii="Times New Roman" w:hAnsi="Times New Roman" w:cs="Times New Roman"/>
          <w:bCs/>
          <w:i/>
          <w:color w:val="000000"/>
          <w:sz w:val="24"/>
          <w:szCs w:val="23"/>
        </w:rPr>
        <w:t>Community Servings</w:t>
      </w:r>
      <w:r w:rsidRPr="00FA42AA">
        <w:rPr>
          <w:rFonts w:ascii="Times New Roman" w:hAnsi="Times New Roman" w:cs="Times New Roman"/>
          <w:b/>
          <w:bCs/>
          <w:color w:val="000000"/>
          <w:sz w:val="24"/>
          <w:szCs w:val="23"/>
        </w:rPr>
        <w:t xml:space="preserve"> </w:t>
      </w:r>
      <w:r w:rsidRPr="00FA42AA">
        <w:rPr>
          <w:rFonts w:ascii="Times New Roman" w:hAnsi="Times New Roman" w:cs="Times New Roman"/>
          <w:color w:val="000000"/>
          <w:sz w:val="24"/>
          <w:szCs w:val="23"/>
        </w:rPr>
        <w:t>– Community Servings provides medically tailored and nutritious meals to chronically and critically ill individuals and their families throughout the assessment area.  More than 90 percent of clients served are below the poverty level.  The Bank and Foundation</w:t>
      </w:r>
      <w:r w:rsidR="00534621">
        <w:rPr>
          <w:rFonts w:ascii="Times New Roman" w:hAnsi="Times New Roman" w:cs="Times New Roman"/>
          <w:color w:val="000000"/>
          <w:sz w:val="24"/>
          <w:szCs w:val="23"/>
        </w:rPr>
        <w:t>’</w:t>
      </w:r>
      <w:r w:rsidRPr="00FA42AA">
        <w:rPr>
          <w:rFonts w:ascii="Times New Roman" w:hAnsi="Times New Roman" w:cs="Times New Roman"/>
          <w:color w:val="000000"/>
          <w:sz w:val="24"/>
          <w:szCs w:val="23"/>
        </w:rPr>
        <w:t>s yearly contribution</w:t>
      </w:r>
      <w:r w:rsidR="00534621">
        <w:rPr>
          <w:rFonts w:ascii="Times New Roman" w:hAnsi="Times New Roman" w:cs="Times New Roman"/>
          <w:color w:val="000000"/>
          <w:sz w:val="24"/>
          <w:szCs w:val="23"/>
        </w:rPr>
        <w:t>s</w:t>
      </w:r>
      <w:r w:rsidRPr="00FA42AA">
        <w:rPr>
          <w:rFonts w:ascii="Times New Roman" w:hAnsi="Times New Roman" w:cs="Times New Roman"/>
          <w:color w:val="000000"/>
          <w:sz w:val="24"/>
          <w:szCs w:val="23"/>
        </w:rPr>
        <w:t xml:space="preserve"> support the food program.  HOB also made an additional contribution in 2020 for emergency COVID-19 relief.</w:t>
      </w:r>
    </w:p>
    <w:p w14:paraId="2AEB2FEC" w14:textId="3DE3CB50" w:rsidR="00636776" w:rsidRDefault="00636776" w:rsidP="00411D29">
      <w:pPr>
        <w:autoSpaceDE w:val="0"/>
        <w:autoSpaceDN w:val="0"/>
        <w:adjustRightInd w:val="0"/>
        <w:spacing w:after="0" w:line="240" w:lineRule="auto"/>
        <w:rPr>
          <w:rFonts w:ascii="Times New Roman" w:hAnsi="Times New Roman" w:cs="Times New Roman"/>
          <w:color w:val="000000"/>
          <w:sz w:val="24"/>
          <w:szCs w:val="23"/>
        </w:rPr>
      </w:pPr>
    </w:p>
    <w:p w14:paraId="66FB9DFE" w14:textId="3E7AF20E" w:rsidR="00636776" w:rsidRPr="00636776" w:rsidRDefault="00636776" w:rsidP="00411D29">
      <w:pPr>
        <w:autoSpaceDE w:val="0"/>
        <w:autoSpaceDN w:val="0"/>
        <w:adjustRightInd w:val="0"/>
        <w:spacing w:after="0" w:line="240" w:lineRule="auto"/>
        <w:rPr>
          <w:rFonts w:ascii="Times New Roman" w:hAnsi="Times New Roman" w:cs="Times New Roman"/>
          <w:color w:val="000000"/>
          <w:sz w:val="24"/>
          <w:szCs w:val="24"/>
        </w:rPr>
      </w:pPr>
      <w:r w:rsidRPr="00636776">
        <w:rPr>
          <w:rFonts w:ascii="Times New Roman" w:hAnsi="Times New Roman" w:cs="Times New Roman"/>
          <w:i/>
          <w:color w:val="000000"/>
          <w:sz w:val="24"/>
          <w:szCs w:val="23"/>
        </w:rPr>
        <w:t>In-kind Donations</w:t>
      </w:r>
      <w:r>
        <w:rPr>
          <w:rFonts w:ascii="Times New Roman" w:hAnsi="Times New Roman" w:cs="Times New Roman"/>
          <w:color w:val="000000"/>
          <w:sz w:val="24"/>
          <w:szCs w:val="23"/>
        </w:rPr>
        <w:t xml:space="preserve"> – The bank made substantial in-kind donations, </w:t>
      </w:r>
      <w:r w:rsidRPr="00636776">
        <w:rPr>
          <w:rFonts w:ascii="Times New Roman" w:hAnsi="Times New Roman" w:cs="Times New Roman"/>
          <w:color w:val="000000"/>
          <w:sz w:val="24"/>
          <w:szCs w:val="24"/>
        </w:rPr>
        <w:t xml:space="preserve">including </w:t>
      </w:r>
      <w:r w:rsidRPr="00636776">
        <w:rPr>
          <w:rFonts w:ascii="Times New Roman" w:hAnsi="Times New Roman" w:cs="Times New Roman"/>
          <w:sz w:val="24"/>
          <w:szCs w:val="24"/>
        </w:rPr>
        <w:t>over $90,000 of in-kind educational tools to assemble over 12,000 backpacks full of new school supplies and handwritten note</w:t>
      </w:r>
      <w:r w:rsidR="00534621">
        <w:rPr>
          <w:rFonts w:ascii="Times New Roman" w:hAnsi="Times New Roman" w:cs="Times New Roman"/>
          <w:sz w:val="24"/>
          <w:szCs w:val="24"/>
        </w:rPr>
        <w:t>s</w:t>
      </w:r>
      <w:r w:rsidRPr="00636776">
        <w:rPr>
          <w:rFonts w:ascii="Times New Roman" w:hAnsi="Times New Roman" w:cs="Times New Roman"/>
          <w:sz w:val="24"/>
          <w:szCs w:val="24"/>
        </w:rPr>
        <w:t xml:space="preserve"> of encouragement to help local at-risk children start the school year.</w:t>
      </w:r>
      <w:r>
        <w:rPr>
          <w:rFonts w:ascii="Times New Roman" w:hAnsi="Times New Roman" w:cs="Times New Roman"/>
          <w:sz w:val="24"/>
          <w:szCs w:val="24"/>
        </w:rPr>
        <w:t xml:space="preserve">  Additionally, HOB </w:t>
      </w:r>
      <w:r w:rsidRPr="00636776">
        <w:rPr>
          <w:rFonts w:ascii="Times New Roman" w:hAnsi="Times New Roman" w:cs="Times New Roman"/>
          <w:sz w:val="24"/>
          <w:szCs w:val="24"/>
        </w:rPr>
        <w:t>offered free periodic meeting space</w:t>
      </w:r>
      <w:r>
        <w:rPr>
          <w:rFonts w:ascii="Times New Roman" w:hAnsi="Times New Roman" w:cs="Times New Roman"/>
          <w:sz w:val="24"/>
          <w:szCs w:val="24"/>
        </w:rPr>
        <w:t xml:space="preserve"> </w:t>
      </w:r>
      <w:r w:rsidRPr="00636776">
        <w:rPr>
          <w:rFonts w:ascii="Times New Roman" w:hAnsi="Times New Roman" w:cs="Times New Roman"/>
          <w:sz w:val="24"/>
          <w:szCs w:val="24"/>
        </w:rPr>
        <w:t>to additional community development organizations, economic development agencies, networking groups</w:t>
      </w:r>
      <w:r w:rsidR="00534621">
        <w:rPr>
          <w:rFonts w:ascii="Times New Roman" w:hAnsi="Times New Roman" w:cs="Times New Roman"/>
          <w:sz w:val="24"/>
          <w:szCs w:val="24"/>
        </w:rPr>
        <w:t>,</w:t>
      </w:r>
      <w:r w:rsidRPr="00636776">
        <w:rPr>
          <w:rFonts w:ascii="Times New Roman" w:hAnsi="Times New Roman" w:cs="Times New Roman"/>
          <w:sz w:val="24"/>
          <w:szCs w:val="24"/>
        </w:rPr>
        <w:t xml:space="preserve"> and community service organizations that provide human services and resources for micro businesses and entrepreneurs, especially those </w:t>
      </w:r>
      <w:r w:rsidR="00534621">
        <w:rPr>
          <w:rFonts w:ascii="Times New Roman" w:hAnsi="Times New Roman" w:cs="Times New Roman"/>
          <w:sz w:val="24"/>
          <w:szCs w:val="24"/>
        </w:rPr>
        <w:t>that</w:t>
      </w:r>
      <w:r w:rsidRPr="00636776">
        <w:rPr>
          <w:rFonts w:ascii="Times New Roman" w:hAnsi="Times New Roman" w:cs="Times New Roman"/>
          <w:sz w:val="24"/>
          <w:szCs w:val="24"/>
        </w:rPr>
        <w:t xml:space="preserve"> are women</w:t>
      </w:r>
      <w:r w:rsidR="00534621">
        <w:rPr>
          <w:rFonts w:ascii="Times New Roman" w:hAnsi="Times New Roman" w:cs="Times New Roman"/>
          <w:sz w:val="24"/>
          <w:szCs w:val="24"/>
        </w:rPr>
        <w:t>-</w:t>
      </w:r>
      <w:r w:rsidRPr="00636776">
        <w:rPr>
          <w:rFonts w:ascii="Times New Roman" w:hAnsi="Times New Roman" w:cs="Times New Roman"/>
          <w:sz w:val="24"/>
          <w:szCs w:val="24"/>
        </w:rPr>
        <w:t>, veteran</w:t>
      </w:r>
      <w:r w:rsidR="00534621">
        <w:rPr>
          <w:rFonts w:ascii="Times New Roman" w:hAnsi="Times New Roman" w:cs="Times New Roman"/>
          <w:sz w:val="24"/>
          <w:szCs w:val="24"/>
        </w:rPr>
        <w:t>-</w:t>
      </w:r>
      <w:r w:rsidRPr="00636776">
        <w:rPr>
          <w:rFonts w:ascii="Times New Roman" w:hAnsi="Times New Roman" w:cs="Times New Roman"/>
          <w:sz w:val="24"/>
          <w:szCs w:val="24"/>
        </w:rPr>
        <w:t xml:space="preserve"> and/or minority-owned.</w:t>
      </w:r>
    </w:p>
    <w:p w14:paraId="269ECDFC" w14:textId="6D5A69C6" w:rsidR="00411D29" w:rsidRPr="00E50970" w:rsidRDefault="00411D29" w:rsidP="00411D29">
      <w:pPr>
        <w:spacing w:after="0" w:line="240" w:lineRule="auto"/>
        <w:rPr>
          <w:rFonts w:ascii="Times New Roman" w:eastAsia="Times New Roman" w:hAnsi="Times New Roman" w:cs="Times New Roman"/>
          <w:bCs/>
          <w:sz w:val="24"/>
          <w:szCs w:val="24"/>
        </w:rPr>
      </w:pPr>
    </w:p>
    <w:p w14:paraId="355110B1" w14:textId="77777777" w:rsidR="00411D29" w:rsidRPr="00E50970" w:rsidRDefault="00411D29" w:rsidP="00411D29">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u w:val="single"/>
        </w:rPr>
        <w:t>Responsiveness to Credit and Community Development Needs</w:t>
      </w:r>
    </w:p>
    <w:p w14:paraId="01FA2F78" w14:textId="77777777" w:rsidR="00411D29" w:rsidRDefault="00411D29" w:rsidP="00411D29">
      <w:pPr>
        <w:spacing w:after="0" w:line="240" w:lineRule="auto"/>
        <w:rPr>
          <w:rFonts w:ascii="Times New Roman" w:eastAsia="Times New Roman" w:hAnsi="Times New Roman" w:cs="Times New Roman"/>
          <w:bCs/>
          <w:sz w:val="24"/>
          <w:szCs w:val="24"/>
        </w:rPr>
      </w:pPr>
    </w:p>
    <w:p w14:paraId="77ED7223" w14:textId="1C6A0912" w:rsidR="00FA42AA" w:rsidRDefault="00816F69" w:rsidP="00816F69">
      <w:pPr>
        <w:spacing w:line="240" w:lineRule="auto"/>
        <w:contextualSpacing/>
        <w:rPr>
          <w:rFonts w:ascii="Times New Roman" w:hAnsi="Times New Roman" w:cs="Times New Roman"/>
          <w:sz w:val="24"/>
          <w:szCs w:val="24"/>
        </w:rPr>
      </w:pPr>
      <w:r w:rsidRPr="000D3D10">
        <w:rPr>
          <w:rFonts w:ascii="Times New Roman" w:hAnsi="Times New Roman" w:cs="Times New Roman"/>
          <w:sz w:val="24"/>
          <w:szCs w:val="24"/>
        </w:rPr>
        <w:t>The bank exhibits excellent responsiveness to credit and community needs</w:t>
      </w:r>
      <w:r>
        <w:rPr>
          <w:rFonts w:ascii="Times New Roman" w:hAnsi="Times New Roman" w:cs="Times New Roman"/>
          <w:sz w:val="24"/>
          <w:szCs w:val="24"/>
        </w:rPr>
        <w:t xml:space="preserve"> in the Massachusetts assessment area</w:t>
      </w:r>
      <w:r w:rsidRPr="000D3D10">
        <w:rPr>
          <w:rFonts w:ascii="Times New Roman" w:hAnsi="Times New Roman" w:cs="Times New Roman"/>
          <w:sz w:val="24"/>
          <w:szCs w:val="24"/>
        </w:rPr>
        <w:t>.  The investments and donations supported activities that predomina</w:t>
      </w:r>
      <w:r w:rsidR="00534621">
        <w:rPr>
          <w:rFonts w:ascii="Times New Roman" w:hAnsi="Times New Roman" w:cs="Times New Roman"/>
          <w:sz w:val="24"/>
          <w:szCs w:val="24"/>
        </w:rPr>
        <w:t>n</w:t>
      </w:r>
      <w:r w:rsidRPr="000D3D10">
        <w:rPr>
          <w:rFonts w:ascii="Times New Roman" w:hAnsi="Times New Roman" w:cs="Times New Roman"/>
          <w:sz w:val="24"/>
          <w:szCs w:val="24"/>
        </w:rPr>
        <w:t>tly promote community services to low- and moderate-income individua</w:t>
      </w:r>
      <w:r w:rsidR="00DC233A">
        <w:rPr>
          <w:rFonts w:ascii="Times New Roman" w:hAnsi="Times New Roman" w:cs="Times New Roman"/>
          <w:sz w:val="24"/>
          <w:szCs w:val="24"/>
        </w:rPr>
        <w:t xml:space="preserve">ls, which the community contact identified as </w:t>
      </w:r>
      <w:r w:rsidRPr="000D3D10">
        <w:rPr>
          <w:rFonts w:ascii="Times New Roman" w:hAnsi="Times New Roman" w:cs="Times New Roman"/>
          <w:sz w:val="24"/>
          <w:szCs w:val="24"/>
        </w:rPr>
        <w:t>the assessment area</w:t>
      </w:r>
      <w:r w:rsidR="00DC233A">
        <w:rPr>
          <w:rFonts w:ascii="Times New Roman" w:hAnsi="Times New Roman" w:cs="Times New Roman"/>
          <w:sz w:val="24"/>
          <w:szCs w:val="24"/>
        </w:rPr>
        <w:t>’s greatest need</w:t>
      </w:r>
      <w:r w:rsidRPr="000D3D10">
        <w:rPr>
          <w:rFonts w:ascii="Times New Roman" w:hAnsi="Times New Roman" w:cs="Times New Roman"/>
          <w:sz w:val="24"/>
          <w:szCs w:val="24"/>
        </w:rPr>
        <w:t xml:space="preserve">. </w:t>
      </w:r>
      <w:r w:rsidR="00FA42AA">
        <w:rPr>
          <w:rFonts w:ascii="Times New Roman" w:hAnsi="Times New Roman" w:cs="Times New Roman"/>
          <w:sz w:val="24"/>
          <w:szCs w:val="24"/>
        </w:rPr>
        <w:t xml:space="preserve"> </w:t>
      </w:r>
    </w:p>
    <w:p w14:paraId="394F105C" w14:textId="77777777" w:rsidR="00FA42AA" w:rsidRDefault="00FA42AA" w:rsidP="00816F69">
      <w:pPr>
        <w:spacing w:line="240" w:lineRule="auto"/>
        <w:contextualSpacing/>
        <w:rPr>
          <w:rFonts w:ascii="Times New Roman" w:hAnsi="Times New Roman" w:cs="Times New Roman"/>
          <w:sz w:val="24"/>
          <w:szCs w:val="24"/>
        </w:rPr>
      </w:pPr>
    </w:p>
    <w:p w14:paraId="0EC270A7" w14:textId="48C7961D" w:rsidR="00346F6C" w:rsidRDefault="00CA69EB" w:rsidP="00816F6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order to determine community development needs, </w:t>
      </w:r>
      <w:r w:rsidR="00FA42AA">
        <w:rPr>
          <w:rFonts w:ascii="Times New Roman" w:hAnsi="Times New Roman" w:cs="Times New Roman"/>
          <w:sz w:val="24"/>
          <w:szCs w:val="24"/>
        </w:rPr>
        <w:t xml:space="preserve">HOB uses a comprehensive strategy that involves significant outreach to and partnership with nonprofits and government agencies within </w:t>
      </w:r>
      <w:r>
        <w:rPr>
          <w:rFonts w:ascii="Times New Roman" w:hAnsi="Times New Roman" w:cs="Times New Roman"/>
          <w:sz w:val="24"/>
          <w:szCs w:val="24"/>
        </w:rPr>
        <w:t>its assessment areas</w:t>
      </w:r>
      <w:r w:rsidR="00FA42AA">
        <w:rPr>
          <w:rFonts w:ascii="Times New Roman" w:hAnsi="Times New Roman" w:cs="Times New Roman"/>
          <w:sz w:val="24"/>
          <w:szCs w:val="24"/>
        </w:rPr>
        <w:t>.</w:t>
      </w:r>
      <w:r w:rsidR="00DE23B6">
        <w:rPr>
          <w:rFonts w:ascii="Times New Roman" w:hAnsi="Times New Roman" w:cs="Times New Roman"/>
          <w:sz w:val="24"/>
          <w:szCs w:val="24"/>
        </w:rPr>
        <w:t xml:space="preserve">  Through analysis of community-based studies and direct outreach to community groups, the bank considers how to ensure its qualified investments address all area needs, </w:t>
      </w:r>
      <w:r w:rsidR="00534621">
        <w:rPr>
          <w:rFonts w:ascii="Times New Roman" w:hAnsi="Times New Roman" w:cs="Times New Roman"/>
          <w:sz w:val="24"/>
          <w:szCs w:val="24"/>
        </w:rPr>
        <w:t>with</w:t>
      </w:r>
      <w:r w:rsidR="00DE23B6">
        <w:rPr>
          <w:rFonts w:ascii="Times New Roman" w:hAnsi="Times New Roman" w:cs="Times New Roman"/>
          <w:sz w:val="24"/>
          <w:szCs w:val="24"/>
        </w:rPr>
        <w:t xml:space="preserve"> focus on the most critical credit and community development needs.</w:t>
      </w:r>
      <w:r w:rsidR="00346F6C">
        <w:rPr>
          <w:rFonts w:ascii="Times New Roman" w:hAnsi="Times New Roman" w:cs="Times New Roman"/>
          <w:sz w:val="24"/>
          <w:szCs w:val="24"/>
        </w:rPr>
        <w:t xml:space="preserve">  </w:t>
      </w:r>
    </w:p>
    <w:p w14:paraId="098B93F1" w14:textId="77777777" w:rsidR="00346F6C" w:rsidRDefault="00346F6C" w:rsidP="00816F69">
      <w:pPr>
        <w:spacing w:line="240" w:lineRule="auto"/>
        <w:contextualSpacing/>
        <w:rPr>
          <w:rFonts w:ascii="Times New Roman" w:hAnsi="Times New Roman" w:cs="Times New Roman"/>
          <w:sz w:val="24"/>
          <w:szCs w:val="24"/>
        </w:rPr>
      </w:pPr>
    </w:p>
    <w:p w14:paraId="67B06E39" w14:textId="3E80844E" w:rsidR="00816F69" w:rsidRPr="000D3D10" w:rsidRDefault="00346F6C" w:rsidP="00816F69">
      <w:pPr>
        <w:spacing w:line="240" w:lineRule="auto"/>
        <w:contextualSpacing/>
        <w:rPr>
          <w:rFonts w:ascii="Times New Roman" w:hAnsi="Times New Roman" w:cs="Times New Roman"/>
          <w:sz w:val="24"/>
          <w:szCs w:val="24"/>
        </w:rPr>
      </w:pPr>
      <w:r>
        <w:rPr>
          <w:rFonts w:ascii="Times New Roman" w:hAnsi="Times New Roman" w:cs="Times New Roman"/>
          <w:sz w:val="24"/>
          <w:szCs w:val="24"/>
        </w:rPr>
        <w:t>Guided by information gathered through its various needs assessment methods, HOB and the HarborOne Foundation MA targeted investments primarily to community services for low- and moderate-income individuals, followed by economic development and affordable housing.  In addition to meeting critical food, energy, and short-term housing needs for fixed-income elderly and low-income residents, the bank also invested in organizations and efforts aimed at small business g</w:t>
      </w:r>
      <w:r w:rsidR="00DC233A">
        <w:rPr>
          <w:rFonts w:ascii="Times New Roman" w:hAnsi="Times New Roman" w:cs="Times New Roman"/>
          <w:sz w:val="24"/>
          <w:szCs w:val="24"/>
        </w:rPr>
        <w:t>rowth and financial literacy, which provide long-term solutions for assessment area individuals to achieve economic independence and stability.</w:t>
      </w:r>
    </w:p>
    <w:p w14:paraId="57313420" w14:textId="77777777" w:rsidR="00411D29" w:rsidRPr="00E50970" w:rsidRDefault="00411D29" w:rsidP="00411D29">
      <w:pPr>
        <w:spacing w:after="0" w:line="240" w:lineRule="auto"/>
        <w:rPr>
          <w:rFonts w:ascii="Times New Roman" w:eastAsia="Times New Roman" w:hAnsi="Times New Roman" w:cs="Times New Roman"/>
          <w:bCs/>
          <w:sz w:val="24"/>
          <w:szCs w:val="24"/>
        </w:rPr>
      </w:pPr>
    </w:p>
    <w:p w14:paraId="15A9918F" w14:textId="77777777" w:rsidR="00411D29" w:rsidRPr="00E50970" w:rsidRDefault="00411D29" w:rsidP="00411D29">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u w:val="single"/>
        </w:rPr>
        <w:t>Community Development Initiatives</w:t>
      </w:r>
    </w:p>
    <w:p w14:paraId="2541DDF0" w14:textId="77777777" w:rsidR="00411D29" w:rsidRDefault="00411D29" w:rsidP="00411D29">
      <w:pPr>
        <w:spacing w:after="0" w:line="240" w:lineRule="auto"/>
        <w:rPr>
          <w:rFonts w:ascii="Times New Roman" w:eastAsia="Times New Roman" w:hAnsi="Times New Roman" w:cs="Times New Roman"/>
          <w:iCs/>
          <w:sz w:val="24"/>
          <w:szCs w:val="24"/>
        </w:rPr>
      </w:pPr>
    </w:p>
    <w:p w14:paraId="3C400DCC" w14:textId="2BD6AA9B" w:rsidR="00816F69" w:rsidRDefault="00816F69" w:rsidP="00816F69">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 xml:space="preserve">The bank makes significant use of innovative or complex investments to support community development initiatives. </w:t>
      </w:r>
      <w:r w:rsidR="00DC233A">
        <w:rPr>
          <w:rFonts w:ascii="Times New Roman" w:hAnsi="Times New Roman" w:cs="Times New Roman"/>
          <w:sz w:val="24"/>
          <w:szCs w:val="24"/>
        </w:rPr>
        <w:t xml:space="preserve"> The recently established Brockton Venture Fund is a primary example of the bank’s leadership to create innovative ways to invest in community development</w:t>
      </w:r>
      <w:r w:rsidR="00636776">
        <w:rPr>
          <w:rFonts w:ascii="Times New Roman" w:hAnsi="Times New Roman" w:cs="Times New Roman"/>
          <w:sz w:val="24"/>
          <w:szCs w:val="24"/>
        </w:rPr>
        <w:t xml:space="preserve"> in an area with significant needs</w:t>
      </w:r>
      <w:r w:rsidR="00DC233A">
        <w:rPr>
          <w:rFonts w:ascii="Times New Roman" w:hAnsi="Times New Roman" w:cs="Times New Roman"/>
          <w:sz w:val="24"/>
          <w:szCs w:val="24"/>
        </w:rPr>
        <w:t xml:space="preserve">.  Additionally, the bank’s relationship </w:t>
      </w:r>
      <w:r w:rsidR="00DC2332">
        <w:rPr>
          <w:rFonts w:ascii="Times New Roman" w:hAnsi="Times New Roman" w:cs="Times New Roman"/>
          <w:sz w:val="24"/>
          <w:szCs w:val="24"/>
        </w:rPr>
        <w:t xml:space="preserve">with Fresh Truck </w:t>
      </w:r>
      <w:r w:rsidR="00DC233A">
        <w:rPr>
          <w:rFonts w:ascii="Times New Roman" w:hAnsi="Times New Roman" w:cs="Times New Roman"/>
          <w:sz w:val="24"/>
          <w:szCs w:val="24"/>
        </w:rPr>
        <w:t>combines financial contributions with providing technical expertise and volunteer support</w:t>
      </w:r>
      <w:r w:rsidR="007E2A11">
        <w:rPr>
          <w:rFonts w:ascii="Times New Roman" w:hAnsi="Times New Roman" w:cs="Times New Roman"/>
          <w:sz w:val="24"/>
          <w:szCs w:val="24"/>
        </w:rPr>
        <w:t>.  The bank ha</w:t>
      </w:r>
      <w:r>
        <w:rPr>
          <w:rFonts w:ascii="Times New Roman" w:hAnsi="Times New Roman" w:cs="Times New Roman"/>
          <w:sz w:val="24"/>
          <w:szCs w:val="24"/>
        </w:rPr>
        <w:t>s</w:t>
      </w:r>
      <w:r w:rsidR="007E2A11">
        <w:rPr>
          <w:rFonts w:ascii="Times New Roman" w:hAnsi="Times New Roman" w:cs="Times New Roman"/>
          <w:sz w:val="24"/>
          <w:szCs w:val="24"/>
        </w:rPr>
        <w:t xml:space="preserve"> also</w:t>
      </w:r>
      <w:r>
        <w:rPr>
          <w:rFonts w:ascii="Times New Roman" w:hAnsi="Times New Roman" w:cs="Times New Roman"/>
          <w:sz w:val="24"/>
          <w:szCs w:val="24"/>
        </w:rPr>
        <w:t xml:space="preserve"> proactive</w:t>
      </w:r>
      <w:r w:rsidR="007E2A11">
        <w:rPr>
          <w:rFonts w:ascii="Times New Roman" w:hAnsi="Times New Roman" w:cs="Times New Roman"/>
          <w:sz w:val="24"/>
          <w:szCs w:val="24"/>
        </w:rPr>
        <w:t>ly pursued</w:t>
      </w:r>
      <w:r>
        <w:rPr>
          <w:rFonts w:ascii="Times New Roman" w:hAnsi="Times New Roman" w:cs="Times New Roman"/>
          <w:sz w:val="24"/>
          <w:szCs w:val="24"/>
        </w:rPr>
        <w:t xml:space="preserve"> L</w:t>
      </w:r>
      <w:r w:rsidR="007E2A11">
        <w:rPr>
          <w:rFonts w:ascii="Times New Roman" w:hAnsi="Times New Roman" w:cs="Times New Roman"/>
          <w:sz w:val="24"/>
          <w:szCs w:val="24"/>
        </w:rPr>
        <w:t xml:space="preserve">ow </w:t>
      </w:r>
      <w:r>
        <w:rPr>
          <w:rFonts w:ascii="Times New Roman" w:hAnsi="Times New Roman" w:cs="Times New Roman"/>
          <w:sz w:val="24"/>
          <w:szCs w:val="24"/>
        </w:rPr>
        <w:t>I</w:t>
      </w:r>
      <w:r w:rsidR="007E2A11">
        <w:rPr>
          <w:rFonts w:ascii="Times New Roman" w:hAnsi="Times New Roman" w:cs="Times New Roman"/>
          <w:sz w:val="24"/>
          <w:szCs w:val="24"/>
        </w:rPr>
        <w:t xml:space="preserve">ncome </w:t>
      </w:r>
      <w:r>
        <w:rPr>
          <w:rFonts w:ascii="Times New Roman" w:hAnsi="Times New Roman" w:cs="Times New Roman"/>
          <w:sz w:val="24"/>
          <w:szCs w:val="24"/>
        </w:rPr>
        <w:t>H</w:t>
      </w:r>
      <w:r w:rsidR="007E2A11">
        <w:rPr>
          <w:rFonts w:ascii="Times New Roman" w:hAnsi="Times New Roman" w:cs="Times New Roman"/>
          <w:sz w:val="24"/>
          <w:szCs w:val="24"/>
        </w:rPr>
        <w:t xml:space="preserve">ousing </w:t>
      </w:r>
      <w:r>
        <w:rPr>
          <w:rFonts w:ascii="Times New Roman" w:hAnsi="Times New Roman" w:cs="Times New Roman"/>
          <w:sz w:val="24"/>
          <w:szCs w:val="24"/>
        </w:rPr>
        <w:t>T</w:t>
      </w:r>
      <w:r w:rsidR="007E2A11">
        <w:rPr>
          <w:rFonts w:ascii="Times New Roman" w:hAnsi="Times New Roman" w:cs="Times New Roman"/>
          <w:sz w:val="24"/>
          <w:szCs w:val="24"/>
        </w:rPr>
        <w:t xml:space="preserve">ax </w:t>
      </w:r>
      <w:r>
        <w:rPr>
          <w:rFonts w:ascii="Times New Roman" w:hAnsi="Times New Roman" w:cs="Times New Roman"/>
          <w:sz w:val="24"/>
          <w:szCs w:val="24"/>
        </w:rPr>
        <w:t>C</w:t>
      </w:r>
      <w:r w:rsidR="007E2A11">
        <w:rPr>
          <w:rFonts w:ascii="Times New Roman" w:hAnsi="Times New Roman" w:cs="Times New Roman"/>
          <w:sz w:val="24"/>
          <w:szCs w:val="24"/>
        </w:rPr>
        <w:t>redit and New Market Tax Credit</w:t>
      </w:r>
      <w:r>
        <w:rPr>
          <w:rFonts w:ascii="Times New Roman" w:hAnsi="Times New Roman" w:cs="Times New Roman"/>
          <w:sz w:val="24"/>
          <w:szCs w:val="24"/>
        </w:rPr>
        <w:t xml:space="preserve"> investments, which </w:t>
      </w:r>
      <w:r w:rsidR="007E2A11">
        <w:rPr>
          <w:rFonts w:ascii="Times New Roman" w:hAnsi="Times New Roman" w:cs="Times New Roman"/>
          <w:sz w:val="24"/>
          <w:szCs w:val="24"/>
        </w:rPr>
        <w:t>involve greater complexity and require expertise</w:t>
      </w:r>
      <w:r>
        <w:rPr>
          <w:rFonts w:ascii="Times New Roman" w:hAnsi="Times New Roman" w:cs="Times New Roman"/>
          <w:sz w:val="24"/>
          <w:szCs w:val="24"/>
        </w:rPr>
        <w:t>.</w:t>
      </w:r>
    </w:p>
    <w:p w14:paraId="0E7105FD" w14:textId="77777777" w:rsidR="00534621" w:rsidRDefault="00534621" w:rsidP="00411D29">
      <w:pPr>
        <w:spacing w:after="0" w:line="240" w:lineRule="auto"/>
        <w:rPr>
          <w:rFonts w:ascii="Times New Roman" w:eastAsia="Times New Roman" w:hAnsi="Times New Roman" w:cs="Times New Roman"/>
          <w:b/>
          <w:bCs/>
          <w:sz w:val="24"/>
          <w:szCs w:val="24"/>
        </w:rPr>
      </w:pPr>
    </w:p>
    <w:p w14:paraId="644745B3" w14:textId="128188FD" w:rsidR="00411D29" w:rsidRPr="005A51A3" w:rsidRDefault="00411D29" w:rsidP="00411D29">
      <w:pPr>
        <w:spacing w:after="0" w:line="240" w:lineRule="auto"/>
        <w:rPr>
          <w:rFonts w:ascii="Times New Roman" w:eastAsia="Times New Roman" w:hAnsi="Times New Roman" w:cs="Times New Roman"/>
          <w:b/>
          <w:bCs/>
          <w:sz w:val="24"/>
          <w:szCs w:val="24"/>
        </w:rPr>
      </w:pPr>
      <w:r w:rsidRPr="005A51A3">
        <w:rPr>
          <w:rFonts w:ascii="Times New Roman" w:eastAsia="Times New Roman" w:hAnsi="Times New Roman" w:cs="Times New Roman"/>
          <w:b/>
          <w:bCs/>
          <w:sz w:val="24"/>
          <w:szCs w:val="24"/>
        </w:rPr>
        <w:t>SERVICE TEST</w:t>
      </w:r>
    </w:p>
    <w:p w14:paraId="1D49D625" w14:textId="77777777" w:rsidR="00411D29" w:rsidRDefault="00411D29" w:rsidP="00411D29">
      <w:pPr>
        <w:spacing w:after="0" w:line="240" w:lineRule="auto"/>
        <w:rPr>
          <w:rFonts w:ascii="Times New Roman" w:eastAsia="Times New Roman" w:hAnsi="Times New Roman" w:cs="Times New Roman"/>
          <w:bCs/>
          <w:sz w:val="24"/>
          <w:szCs w:val="24"/>
        </w:rPr>
      </w:pPr>
    </w:p>
    <w:p w14:paraId="693AE545" w14:textId="230D3AC1" w:rsidR="00816F69" w:rsidRDefault="00816F69" w:rsidP="00816F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The bank’s Service Test performance is rated Outstanding.  The following sections discuss the bank’s performance under each criterion</w:t>
      </w:r>
      <w:r w:rsidR="00DC2332">
        <w:rPr>
          <w:rFonts w:ascii="Times New Roman" w:eastAsia="Times New Roman" w:hAnsi="Times New Roman" w:cs="Times New Roman"/>
          <w:bCs/>
          <w:sz w:val="24"/>
          <w:szCs w:val="24"/>
        </w:rPr>
        <w:t xml:space="preserve"> for Massachusetts</w:t>
      </w:r>
      <w:r>
        <w:rPr>
          <w:rFonts w:ascii="Times New Roman" w:eastAsia="Times New Roman" w:hAnsi="Times New Roman" w:cs="Times New Roman"/>
          <w:bCs/>
          <w:sz w:val="24"/>
          <w:szCs w:val="24"/>
        </w:rPr>
        <w:t>.</w:t>
      </w:r>
      <w:r w:rsidR="00DC23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The bank’s performance in this assessment area is consistent with overall performance. </w:t>
      </w:r>
    </w:p>
    <w:p w14:paraId="55A78AC1" w14:textId="77777777" w:rsidR="00411D29" w:rsidRPr="006A50EC" w:rsidRDefault="00411D29" w:rsidP="00411D29">
      <w:pPr>
        <w:spacing w:after="0" w:line="240" w:lineRule="auto"/>
        <w:rPr>
          <w:rFonts w:ascii="Times New Roman" w:eastAsia="Times New Roman" w:hAnsi="Times New Roman" w:cs="Times New Roman"/>
          <w:bCs/>
          <w:sz w:val="24"/>
          <w:szCs w:val="24"/>
        </w:rPr>
      </w:pPr>
    </w:p>
    <w:p w14:paraId="1782E2A3" w14:textId="77777777" w:rsidR="00411D29" w:rsidRPr="005A51A3" w:rsidRDefault="00411D29" w:rsidP="00411D29">
      <w:pPr>
        <w:spacing w:after="0" w:line="240" w:lineRule="auto"/>
        <w:rPr>
          <w:rFonts w:ascii="Times New Roman" w:eastAsia="Times New Roman" w:hAnsi="Times New Roman" w:cs="Times New Roman"/>
          <w:b/>
          <w:bCs/>
          <w:sz w:val="24"/>
          <w:szCs w:val="24"/>
          <w:u w:val="single"/>
        </w:rPr>
      </w:pPr>
      <w:r w:rsidRPr="005A51A3">
        <w:rPr>
          <w:rFonts w:ascii="Times New Roman" w:eastAsia="Times New Roman" w:hAnsi="Times New Roman" w:cs="Times New Roman"/>
          <w:b/>
          <w:bCs/>
          <w:sz w:val="24"/>
          <w:szCs w:val="24"/>
          <w:u w:val="single"/>
        </w:rPr>
        <w:t>Accessibility of Delivery Systems</w:t>
      </w:r>
    </w:p>
    <w:p w14:paraId="133D367F" w14:textId="77777777" w:rsidR="00411D29" w:rsidRDefault="00411D29" w:rsidP="00411D29">
      <w:pPr>
        <w:spacing w:after="0" w:line="240" w:lineRule="auto"/>
        <w:rPr>
          <w:rFonts w:ascii="Times New Roman" w:eastAsia="Times New Roman" w:hAnsi="Times New Roman" w:cs="Times New Roman"/>
          <w:iCs/>
          <w:sz w:val="24"/>
          <w:szCs w:val="24"/>
        </w:rPr>
      </w:pPr>
    </w:p>
    <w:p w14:paraId="7B2104A8" w14:textId="1C1EA1C8" w:rsidR="00816F69" w:rsidRPr="00BC09FC" w:rsidRDefault="00816F69" w:rsidP="00816F69">
      <w:pPr>
        <w:spacing w:line="240" w:lineRule="auto"/>
        <w:contextualSpacing/>
        <w:rPr>
          <w:rFonts w:ascii="Times New Roman" w:eastAsia="Times New Roman" w:hAnsi="Times New Roman" w:cs="Times New Roman"/>
          <w:iCs/>
          <w:sz w:val="24"/>
          <w:szCs w:val="24"/>
        </w:rPr>
      </w:pPr>
      <w:r w:rsidRPr="00D0222B">
        <w:rPr>
          <w:rFonts w:ascii="Times New Roman" w:eastAsia="Times New Roman" w:hAnsi="Times New Roman" w:cs="Times New Roman"/>
          <w:iCs/>
          <w:sz w:val="24"/>
          <w:szCs w:val="24"/>
        </w:rPr>
        <w:t>The bank’s delivery systems are readily accessible to all portions of</w:t>
      </w:r>
      <w:r>
        <w:rPr>
          <w:rFonts w:ascii="Times New Roman" w:eastAsia="Times New Roman" w:hAnsi="Times New Roman" w:cs="Times New Roman"/>
          <w:iCs/>
          <w:sz w:val="24"/>
          <w:szCs w:val="24"/>
        </w:rPr>
        <w:t xml:space="preserve"> its assessment area.</w:t>
      </w:r>
      <w:r w:rsidR="003436E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The bank maintains</w:t>
      </w:r>
      <w:r w:rsidRPr="00D0222B">
        <w:rPr>
          <w:rFonts w:ascii="Times New Roman" w:eastAsia="Times New Roman" w:hAnsi="Times New Roman" w:cs="Times New Roman"/>
          <w:iCs/>
          <w:sz w:val="24"/>
          <w:szCs w:val="24"/>
        </w:rPr>
        <w:t xml:space="preserve"> 13 branches and 23</w:t>
      </w:r>
      <w:r>
        <w:rPr>
          <w:rFonts w:ascii="Times New Roman" w:eastAsia="Times New Roman" w:hAnsi="Times New Roman" w:cs="Times New Roman"/>
          <w:iCs/>
          <w:sz w:val="24"/>
          <w:szCs w:val="24"/>
        </w:rPr>
        <w:t xml:space="preserve"> ATMs located </w:t>
      </w:r>
      <w:r w:rsidRPr="00D0222B">
        <w:rPr>
          <w:rFonts w:ascii="Times New Roman" w:eastAsia="Times New Roman" w:hAnsi="Times New Roman" w:cs="Times New Roman"/>
          <w:iCs/>
          <w:sz w:val="24"/>
          <w:szCs w:val="24"/>
        </w:rPr>
        <w:t>in Norfolk, Plymouth</w:t>
      </w:r>
      <w:r w:rsidR="00534621">
        <w:rPr>
          <w:rFonts w:ascii="Times New Roman" w:eastAsia="Times New Roman" w:hAnsi="Times New Roman" w:cs="Times New Roman"/>
          <w:iCs/>
          <w:sz w:val="24"/>
          <w:szCs w:val="24"/>
        </w:rPr>
        <w:t>,</w:t>
      </w:r>
      <w:r w:rsidRPr="00D0222B">
        <w:rPr>
          <w:rFonts w:ascii="Times New Roman" w:eastAsia="Times New Roman" w:hAnsi="Times New Roman" w:cs="Times New Roman"/>
          <w:iCs/>
          <w:sz w:val="24"/>
          <w:szCs w:val="24"/>
        </w:rPr>
        <w:t xml:space="preserve"> and Suffolk Counties in Massachusetts.  All branches have at least one 24</w:t>
      </w:r>
      <w:r w:rsidR="003436EE">
        <w:rPr>
          <w:rFonts w:ascii="Times New Roman" w:eastAsia="Times New Roman" w:hAnsi="Times New Roman" w:cs="Times New Roman"/>
          <w:iCs/>
          <w:sz w:val="24"/>
          <w:szCs w:val="24"/>
        </w:rPr>
        <w:t>-</w:t>
      </w:r>
      <w:r w:rsidRPr="00D0222B">
        <w:rPr>
          <w:rFonts w:ascii="Times New Roman" w:eastAsia="Times New Roman" w:hAnsi="Times New Roman" w:cs="Times New Roman"/>
          <w:iCs/>
          <w:sz w:val="24"/>
          <w:szCs w:val="24"/>
        </w:rPr>
        <w:t>hour deposit</w:t>
      </w:r>
      <w:r w:rsidR="003436EE">
        <w:rPr>
          <w:rFonts w:ascii="Times New Roman" w:eastAsia="Times New Roman" w:hAnsi="Times New Roman" w:cs="Times New Roman"/>
          <w:iCs/>
          <w:sz w:val="24"/>
          <w:szCs w:val="24"/>
        </w:rPr>
        <w:t>-</w:t>
      </w:r>
      <w:r w:rsidR="007C084C">
        <w:rPr>
          <w:rFonts w:ascii="Times New Roman" w:eastAsia="Times New Roman" w:hAnsi="Times New Roman" w:cs="Times New Roman"/>
          <w:iCs/>
          <w:sz w:val="24"/>
          <w:szCs w:val="24"/>
        </w:rPr>
        <w:t>taking ATM and have</w:t>
      </w:r>
      <w:r w:rsidRPr="00D0222B">
        <w:rPr>
          <w:rFonts w:ascii="Times New Roman" w:eastAsia="Times New Roman" w:hAnsi="Times New Roman" w:cs="Times New Roman"/>
          <w:iCs/>
          <w:sz w:val="24"/>
          <w:szCs w:val="24"/>
        </w:rPr>
        <w:t xml:space="preserve"> </w:t>
      </w:r>
      <w:r w:rsidR="007C084C">
        <w:rPr>
          <w:rFonts w:ascii="Times New Roman" w:eastAsia="Times New Roman" w:hAnsi="Times New Roman" w:cs="Times New Roman"/>
          <w:iCs/>
          <w:sz w:val="24"/>
          <w:szCs w:val="24"/>
        </w:rPr>
        <w:t xml:space="preserve">staff who are </w:t>
      </w:r>
      <w:r w:rsidRPr="00D0222B">
        <w:rPr>
          <w:rFonts w:ascii="Times New Roman" w:eastAsia="Times New Roman" w:hAnsi="Times New Roman" w:cs="Times New Roman"/>
          <w:iCs/>
          <w:sz w:val="24"/>
          <w:szCs w:val="24"/>
        </w:rPr>
        <w:t xml:space="preserve">bi-lingual in English and Spanish.  </w:t>
      </w:r>
      <w:r w:rsidRPr="00D0222B">
        <w:rPr>
          <w:rFonts w:ascii="Times New Roman" w:hAnsi="Times New Roman" w:cs="Times New Roman"/>
          <w:bCs/>
          <w:sz w:val="24"/>
          <w:szCs w:val="24"/>
        </w:rPr>
        <w:t xml:space="preserve">The following table illustrates branches and ATMs by </w:t>
      </w:r>
      <w:r w:rsidR="007C084C">
        <w:rPr>
          <w:rFonts w:ascii="Times New Roman" w:hAnsi="Times New Roman" w:cs="Times New Roman"/>
          <w:bCs/>
          <w:sz w:val="24"/>
          <w:szCs w:val="24"/>
        </w:rPr>
        <w:t xml:space="preserve">census </w:t>
      </w:r>
      <w:r w:rsidRPr="00D0222B">
        <w:rPr>
          <w:rFonts w:ascii="Times New Roman" w:hAnsi="Times New Roman" w:cs="Times New Roman"/>
          <w:bCs/>
          <w:sz w:val="24"/>
          <w:szCs w:val="24"/>
        </w:rPr>
        <w:t>tract income level.</w:t>
      </w:r>
    </w:p>
    <w:p w14:paraId="44E424F8" w14:textId="77777777" w:rsidR="00411D29" w:rsidRDefault="00411D29" w:rsidP="00411D29">
      <w:pPr>
        <w:spacing w:after="0" w:line="240" w:lineRule="auto"/>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984"/>
        <w:gridCol w:w="984"/>
        <w:gridCol w:w="1016"/>
        <w:gridCol w:w="984"/>
        <w:gridCol w:w="984"/>
        <w:gridCol w:w="984"/>
        <w:gridCol w:w="984"/>
        <w:gridCol w:w="984"/>
      </w:tblGrid>
      <w:tr w:rsidR="00411D29" w:rsidRPr="00B7631E" w14:paraId="2314A42F" w14:textId="77777777" w:rsidTr="00411D29">
        <w:trPr>
          <w:trHeight w:val="360"/>
          <w:jc w:val="center"/>
        </w:trPr>
        <w:tc>
          <w:tcPr>
            <w:tcW w:w="9468" w:type="dxa"/>
            <w:gridSpan w:val="9"/>
            <w:shd w:val="clear" w:color="auto" w:fill="auto"/>
            <w:vAlign w:val="center"/>
          </w:tcPr>
          <w:p w14:paraId="7F6B1DB3" w14:textId="77777777" w:rsidR="00411D29"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Branch and ATM Distribution by Geography Income Level</w:t>
            </w:r>
          </w:p>
          <w:p w14:paraId="4B5F538A" w14:textId="3CEB0F0A" w:rsidR="00411D29" w:rsidRPr="00B7631E" w:rsidRDefault="004353B3" w:rsidP="00411D29">
            <w:pPr>
              <w:keepNext/>
              <w:widowControl w:val="0"/>
              <w:contextualSpacing/>
              <w:jc w:val="center"/>
              <w:rPr>
                <w:rFonts w:ascii="Times New Roman" w:hAnsi="Times New Roman" w:cs="Times New Roman"/>
                <w:sz w:val="20"/>
                <w:szCs w:val="20"/>
              </w:rPr>
            </w:pPr>
            <w:r>
              <w:rPr>
                <w:rFonts w:ascii="Times New Roman" w:hAnsi="Times New Roman" w:cs="Times New Roman"/>
                <w:b/>
                <w:sz w:val="20"/>
                <w:szCs w:val="20"/>
              </w:rPr>
              <w:t>Assessment Area: Massachusetts</w:t>
            </w:r>
          </w:p>
        </w:tc>
      </w:tr>
      <w:tr w:rsidR="00411D29" w:rsidRPr="00B7631E" w14:paraId="7EB35851" w14:textId="77777777" w:rsidTr="00411D29">
        <w:trPr>
          <w:trHeight w:val="288"/>
          <w:jc w:val="center"/>
        </w:trPr>
        <w:tc>
          <w:tcPr>
            <w:tcW w:w="1596" w:type="dxa"/>
            <w:vMerge w:val="restart"/>
            <w:shd w:val="clear" w:color="auto" w:fill="auto"/>
            <w:vAlign w:val="center"/>
          </w:tcPr>
          <w:p w14:paraId="69EB6AC0" w14:textId="77777777" w:rsidR="00411D29" w:rsidRPr="00B7631E" w:rsidRDefault="00411D29" w:rsidP="00411D29">
            <w:pPr>
              <w:keepNext/>
              <w:widowControl w:val="0"/>
              <w:contextualSpacing/>
              <w:rPr>
                <w:rFonts w:ascii="Times New Roman" w:hAnsi="Times New Roman" w:cs="Times New Roman"/>
                <w:b/>
                <w:sz w:val="20"/>
                <w:szCs w:val="20"/>
              </w:rPr>
            </w:pPr>
            <w:r w:rsidRPr="00B7631E">
              <w:rPr>
                <w:rFonts w:ascii="Times New Roman" w:hAnsi="Times New Roman" w:cs="Times New Roman"/>
                <w:b/>
                <w:sz w:val="20"/>
                <w:szCs w:val="20"/>
              </w:rPr>
              <w:t>Tract Income Level</w:t>
            </w:r>
          </w:p>
        </w:tc>
        <w:tc>
          <w:tcPr>
            <w:tcW w:w="1968" w:type="dxa"/>
            <w:gridSpan w:val="2"/>
            <w:shd w:val="clear" w:color="auto" w:fill="auto"/>
            <w:vAlign w:val="center"/>
          </w:tcPr>
          <w:p w14:paraId="076B3320"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Census Tracts</w:t>
            </w:r>
          </w:p>
        </w:tc>
        <w:tc>
          <w:tcPr>
            <w:tcW w:w="1968" w:type="dxa"/>
            <w:gridSpan w:val="2"/>
            <w:shd w:val="clear" w:color="auto" w:fill="auto"/>
            <w:vAlign w:val="center"/>
          </w:tcPr>
          <w:p w14:paraId="36951144"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Population</w:t>
            </w:r>
          </w:p>
        </w:tc>
        <w:tc>
          <w:tcPr>
            <w:tcW w:w="1968" w:type="dxa"/>
            <w:gridSpan w:val="2"/>
            <w:shd w:val="clear" w:color="auto" w:fill="auto"/>
            <w:vAlign w:val="center"/>
          </w:tcPr>
          <w:p w14:paraId="0FC431DA"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Branches</w:t>
            </w:r>
          </w:p>
        </w:tc>
        <w:tc>
          <w:tcPr>
            <w:tcW w:w="1968" w:type="dxa"/>
            <w:gridSpan w:val="2"/>
            <w:shd w:val="clear" w:color="auto" w:fill="auto"/>
            <w:vAlign w:val="center"/>
          </w:tcPr>
          <w:p w14:paraId="74B92AFE"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 xml:space="preserve">ATMs  </w:t>
            </w:r>
          </w:p>
        </w:tc>
      </w:tr>
      <w:tr w:rsidR="00411D29" w:rsidRPr="00B7631E" w14:paraId="6B140DD4" w14:textId="77777777" w:rsidTr="00411D29">
        <w:trPr>
          <w:trHeight w:val="288"/>
          <w:jc w:val="center"/>
        </w:trPr>
        <w:tc>
          <w:tcPr>
            <w:tcW w:w="1596" w:type="dxa"/>
            <w:vMerge/>
            <w:shd w:val="clear" w:color="auto" w:fill="auto"/>
            <w:vAlign w:val="center"/>
          </w:tcPr>
          <w:p w14:paraId="415019FB" w14:textId="77777777" w:rsidR="00411D29" w:rsidRPr="00B7631E" w:rsidRDefault="00411D29" w:rsidP="00411D29">
            <w:pPr>
              <w:keepNext/>
              <w:widowControl w:val="0"/>
              <w:contextualSpacing/>
              <w:rPr>
                <w:rFonts w:ascii="Times New Roman" w:hAnsi="Times New Roman" w:cs="Times New Roman"/>
                <w:sz w:val="20"/>
                <w:szCs w:val="20"/>
              </w:rPr>
            </w:pPr>
          </w:p>
        </w:tc>
        <w:tc>
          <w:tcPr>
            <w:tcW w:w="984" w:type="dxa"/>
            <w:shd w:val="clear" w:color="auto" w:fill="auto"/>
            <w:vAlign w:val="center"/>
          </w:tcPr>
          <w:p w14:paraId="39018415" w14:textId="77777777" w:rsidR="00411D29" w:rsidRPr="00B7631E" w:rsidRDefault="00411D29" w:rsidP="00411D29">
            <w:pPr>
              <w:keepNext/>
              <w:widowControl w:val="0"/>
              <w:contextualSpacing/>
              <w:jc w:val="center"/>
              <w:rPr>
                <w:rFonts w:ascii="Times New Roman" w:hAnsi="Times New Roman" w:cs="Times New Roman"/>
                <w:b/>
              </w:rPr>
            </w:pPr>
            <w:r w:rsidRPr="00B7631E">
              <w:rPr>
                <w:rFonts w:ascii="Times New Roman" w:hAnsi="Times New Roman" w:cs="Times New Roman"/>
                <w:b/>
              </w:rPr>
              <w:t>#</w:t>
            </w:r>
          </w:p>
        </w:tc>
        <w:tc>
          <w:tcPr>
            <w:tcW w:w="984" w:type="dxa"/>
            <w:shd w:val="clear" w:color="auto" w:fill="auto"/>
            <w:vAlign w:val="center"/>
          </w:tcPr>
          <w:p w14:paraId="0A34E190"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29BE132D"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7BF27239"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1F14DC7C"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7E5B4A8C"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0F47E455"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540F53F0" w14:textId="77777777" w:rsidR="00411D29" w:rsidRPr="00B7631E" w:rsidRDefault="00411D29" w:rsidP="00411D29">
            <w:pPr>
              <w:keepNext/>
              <w:widowControl w:val="0"/>
              <w:contextualSpacing/>
              <w:jc w:val="center"/>
              <w:rPr>
                <w:rFonts w:ascii="Times New Roman" w:hAnsi="Times New Roman" w:cs="Times New Roman"/>
                <w:b/>
              </w:rPr>
            </w:pPr>
            <w:r w:rsidRPr="00B7631E">
              <w:rPr>
                <w:rFonts w:ascii="Times New Roman" w:hAnsi="Times New Roman" w:cs="Times New Roman"/>
                <w:b/>
              </w:rPr>
              <w:t>%</w:t>
            </w:r>
          </w:p>
        </w:tc>
      </w:tr>
      <w:tr w:rsidR="00411D29" w:rsidRPr="00B7631E" w14:paraId="74356A37" w14:textId="77777777" w:rsidTr="00411D29">
        <w:trPr>
          <w:trHeight w:val="288"/>
          <w:jc w:val="center"/>
        </w:trPr>
        <w:tc>
          <w:tcPr>
            <w:tcW w:w="1596" w:type="dxa"/>
            <w:shd w:val="clear" w:color="auto" w:fill="auto"/>
            <w:vAlign w:val="center"/>
          </w:tcPr>
          <w:p w14:paraId="7B637094" w14:textId="77777777" w:rsidR="00411D29" w:rsidRPr="00B7631E" w:rsidRDefault="00411D29" w:rsidP="00411D29">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Low</w:t>
            </w:r>
          </w:p>
        </w:tc>
        <w:tc>
          <w:tcPr>
            <w:tcW w:w="984" w:type="dxa"/>
            <w:shd w:val="clear" w:color="auto" w:fill="auto"/>
            <w:vAlign w:val="center"/>
          </w:tcPr>
          <w:p w14:paraId="30E2D3A1"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51</w:t>
            </w:r>
          </w:p>
        </w:tc>
        <w:tc>
          <w:tcPr>
            <w:tcW w:w="984" w:type="dxa"/>
            <w:shd w:val="clear" w:color="auto" w:fill="auto"/>
            <w:vAlign w:val="center"/>
          </w:tcPr>
          <w:p w14:paraId="08DD96B1"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12.4</w:t>
            </w:r>
          </w:p>
        </w:tc>
        <w:tc>
          <w:tcPr>
            <w:tcW w:w="984" w:type="dxa"/>
            <w:shd w:val="clear" w:color="auto" w:fill="auto"/>
            <w:vAlign w:val="center"/>
          </w:tcPr>
          <w:p w14:paraId="37EAB78D"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186,187</w:t>
            </w:r>
          </w:p>
        </w:tc>
        <w:tc>
          <w:tcPr>
            <w:tcW w:w="984" w:type="dxa"/>
            <w:shd w:val="clear" w:color="auto" w:fill="auto"/>
            <w:vAlign w:val="center"/>
          </w:tcPr>
          <w:p w14:paraId="42907F5A"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10.1</w:t>
            </w:r>
          </w:p>
        </w:tc>
        <w:tc>
          <w:tcPr>
            <w:tcW w:w="984" w:type="dxa"/>
            <w:shd w:val="clear" w:color="auto" w:fill="auto"/>
            <w:vAlign w:val="center"/>
          </w:tcPr>
          <w:p w14:paraId="3C728573"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84" w:type="dxa"/>
            <w:shd w:val="clear" w:color="auto" w:fill="auto"/>
            <w:vAlign w:val="center"/>
          </w:tcPr>
          <w:p w14:paraId="107659E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15.5</w:t>
            </w:r>
          </w:p>
        </w:tc>
        <w:tc>
          <w:tcPr>
            <w:tcW w:w="984" w:type="dxa"/>
            <w:shd w:val="clear" w:color="auto" w:fill="auto"/>
            <w:vAlign w:val="center"/>
          </w:tcPr>
          <w:p w14:paraId="2762E30F"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shd w:val="clear" w:color="auto" w:fill="auto"/>
            <w:vAlign w:val="center"/>
          </w:tcPr>
          <w:p w14:paraId="17AD7385"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13.0</w:t>
            </w:r>
          </w:p>
        </w:tc>
      </w:tr>
      <w:tr w:rsidR="00411D29" w:rsidRPr="00B7631E" w14:paraId="5EBF9249" w14:textId="77777777" w:rsidTr="00411D29">
        <w:trPr>
          <w:trHeight w:val="288"/>
          <w:jc w:val="center"/>
        </w:trPr>
        <w:tc>
          <w:tcPr>
            <w:tcW w:w="1596" w:type="dxa"/>
            <w:shd w:val="clear" w:color="auto" w:fill="auto"/>
            <w:vAlign w:val="center"/>
          </w:tcPr>
          <w:p w14:paraId="4038A2F6" w14:textId="77777777" w:rsidR="00411D29" w:rsidRPr="00B7631E" w:rsidRDefault="00411D29" w:rsidP="00411D29">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Moderate</w:t>
            </w:r>
          </w:p>
        </w:tc>
        <w:tc>
          <w:tcPr>
            <w:tcW w:w="984" w:type="dxa"/>
            <w:shd w:val="clear" w:color="auto" w:fill="auto"/>
            <w:vAlign w:val="center"/>
          </w:tcPr>
          <w:p w14:paraId="57D08F4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77</w:t>
            </w:r>
          </w:p>
        </w:tc>
        <w:tc>
          <w:tcPr>
            <w:tcW w:w="984" w:type="dxa"/>
            <w:shd w:val="clear" w:color="auto" w:fill="auto"/>
            <w:vAlign w:val="center"/>
          </w:tcPr>
          <w:p w14:paraId="7714B349"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18.7</w:t>
            </w:r>
          </w:p>
        </w:tc>
        <w:tc>
          <w:tcPr>
            <w:tcW w:w="984" w:type="dxa"/>
            <w:shd w:val="clear" w:color="auto" w:fill="auto"/>
            <w:vAlign w:val="center"/>
          </w:tcPr>
          <w:p w14:paraId="702EEF54"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349,908</w:t>
            </w:r>
          </w:p>
        </w:tc>
        <w:tc>
          <w:tcPr>
            <w:tcW w:w="984" w:type="dxa"/>
            <w:shd w:val="clear" w:color="auto" w:fill="auto"/>
            <w:vAlign w:val="center"/>
          </w:tcPr>
          <w:p w14:paraId="53A05470"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19.0</w:t>
            </w:r>
          </w:p>
        </w:tc>
        <w:tc>
          <w:tcPr>
            <w:tcW w:w="984" w:type="dxa"/>
            <w:shd w:val="clear" w:color="auto" w:fill="auto"/>
            <w:vAlign w:val="center"/>
          </w:tcPr>
          <w:p w14:paraId="48D42E5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984" w:type="dxa"/>
            <w:shd w:val="clear" w:color="auto" w:fill="auto"/>
            <w:vAlign w:val="center"/>
          </w:tcPr>
          <w:p w14:paraId="0F01CD45"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30.7</w:t>
            </w:r>
          </w:p>
        </w:tc>
        <w:tc>
          <w:tcPr>
            <w:tcW w:w="984" w:type="dxa"/>
            <w:shd w:val="clear" w:color="auto" w:fill="auto"/>
            <w:vAlign w:val="center"/>
          </w:tcPr>
          <w:p w14:paraId="532C7C7F"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984" w:type="dxa"/>
            <w:shd w:val="clear" w:color="auto" w:fill="auto"/>
            <w:vAlign w:val="center"/>
          </w:tcPr>
          <w:p w14:paraId="6CB1095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21.8</w:t>
            </w:r>
          </w:p>
        </w:tc>
      </w:tr>
      <w:tr w:rsidR="00411D29" w:rsidRPr="00B7631E" w14:paraId="7D8E7D9B" w14:textId="77777777" w:rsidTr="00411D29">
        <w:trPr>
          <w:trHeight w:val="288"/>
          <w:jc w:val="center"/>
        </w:trPr>
        <w:tc>
          <w:tcPr>
            <w:tcW w:w="1596" w:type="dxa"/>
            <w:shd w:val="clear" w:color="auto" w:fill="auto"/>
            <w:vAlign w:val="center"/>
          </w:tcPr>
          <w:p w14:paraId="765BF254" w14:textId="77777777" w:rsidR="00411D29" w:rsidRPr="00B7631E" w:rsidRDefault="00411D29" w:rsidP="00411D29">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Middle</w:t>
            </w:r>
          </w:p>
        </w:tc>
        <w:tc>
          <w:tcPr>
            <w:tcW w:w="984" w:type="dxa"/>
            <w:shd w:val="clear" w:color="auto" w:fill="auto"/>
            <w:vAlign w:val="center"/>
          </w:tcPr>
          <w:p w14:paraId="406C6B5D"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140</w:t>
            </w:r>
          </w:p>
        </w:tc>
        <w:tc>
          <w:tcPr>
            <w:tcW w:w="984" w:type="dxa"/>
            <w:shd w:val="clear" w:color="auto" w:fill="auto"/>
            <w:vAlign w:val="center"/>
          </w:tcPr>
          <w:p w14:paraId="1A5FA987"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34.0</w:t>
            </w:r>
          </w:p>
        </w:tc>
        <w:tc>
          <w:tcPr>
            <w:tcW w:w="984" w:type="dxa"/>
            <w:shd w:val="clear" w:color="auto" w:fill="auto"/>
            <w:vAlign w:val="center"/>
          </w:tcPr>
          <w:p w14:paraId="62F7523E"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669,558</w:t>
            </w:r>
          </w:p>
        </w:tc>
        <w:tc>
          <w:tcPr>
            <w:tcW w:w="984" w:type="dxa"/>
            <w:shd w:val="clear" w:color="auto" w:fill="auto"/>
            <w:vAlign w:val="center"/>
          </w:tcPr>
          <w:p w14:paraId="451B0930"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36.4</w:t>
            </w:r>
          </w:p>
        </w:tc>
        <w:tc>
          <w:tcPr>
            <w:tcW w:w="984" w:type="dxa"/>
            <w:shd w:val="clear" w:color="auto" w:fill="auto"/>
            <w:vAlign w:val="center"/>
          </w:tcPr>
          <w:p w14:paraId="393C4929"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984" w:type="dxa"/>
            <w:shd w:val="clear" w:color="auto" w:fill="auto"/>
            <w:vAlign w:val="center"/>
          </w:tcPr>
          <w:p w14:paraId="58CF71C0"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30.7</w:t>
            </w:r>
          </w:p>
        </w:tc>
        <w:tc>
          <w:tcPr>
            <w:tcW w:w="984" w:type="dxa"/>
            <w:shd w:val="clear" w:color="auto" w:fill="auto"/>
            <w:vAlign w:val="center"/>
          </w:tcPr>
          <w:p w14:paraId="294BB40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984" w:type="dxa"/>
            <w:shd w:val="clear" w:color="auto" w:fill="auto"/>
            <w:vAlign w:val="center"/>
          </w:tcPr>
          <w:p w14:paraId="584581B9"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52.2</w:t>
            </w:r>
          </w:p>
        </w:tc>
      </w:tr>
      <w:tr w:rsidR="00411D29" w:rsidRPr="00B7631E" w14:paraId="57C24B73" w14:textId="77777777" w:rsidTr="00411D29">
        <w:trPr>
          <w:trHeight w:val="288"/>
          <w:jc w:val="center"/>
        </w:trPr>
        <w:tc>
          <w:tcPr>
            <w:tcW w:w="1596" w:type="dxa"/>
            <w:shd w:val="clear" w:color="auto" w:fill="auto"/>
            <w:vAlign w:val="center"/>
          </w:tcPr>
          <w:p w14:paraId="5E75969F" w14:textId="77777777" w:rsidR="00411D29" w:rsidRPr="00B7631E" w:rsidRDefault="00411D29" w:rsidP="00411D29">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Upper</w:t>
            </w:r>
          </w:p>
        </w:tc>
        <w:tc>
          <w:tcPr>
            <w:tcW w:w="984" w:type="dxa"/>
            <w:shd w:val="clear" w:color="auto" w:fill="auto"/>
            <w:vAlign w:val="center"/>
          </w:tcPr>
          <w:p w14:paraId="60204094"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128</w:t>
            </w:r>
          </w:p>
        </w:tc>
        <w:tc>
          <w:tcPr>
            <w:tcW w:w="984" w:type="dxa"/>
            <w:shd w:val="clear" w:color="auto" w:fill="auto"/>
            <w:vAlign w:val="center"/>
          </w:tcPr>
          <w:p w14:paraId="505A6068"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31.2</w:t>
            </w:r>
          </w:p>
        </w:tc>
        <w:tc>
          <w:tcPr>
            <w:tcW w:w="984" w:type="dxa"/>
            <w:shd w:val="clear" w:color="auto" w:fill="auto"/>
            <w:vAlign w:val="center"/>
          </w:tcPr>
          <w:p w14:paraId="36314C2D"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623,041</w:t>
            </w:r>
          </w:p>
        </w:tc>
        <w:tc>
          <w:tcPr>
            <w:tcW w:w="984" w:type="dxa"/>
            <w:shd w:val="clear" w:color="auto" w:fill="auto"/>
            <w:vAlign w:val="center"/>
          </w:tcPr>
          <w:p w14:paraId="1C441E63"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33.8</w:t>
            </w:r>
          </w:p>
        </w:tc>
        <w:tc>
          <w:tcPr>
            <w:tcW w:w="984" w:type="dxa"/>
            <w:shd w:val="clear" w:color="auto" w:fill="auto"/>
            <w:vAlign w:val="center"/>
          </w:tcPr>
          <w:p w14:paraId="7C4E6CBD"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shd w:val="clear" w:color="auto" w:fill="auto"/>
            <w:vAlign w:val="center"/>
          </w:tcPr>
          <w:p w14:paraId="67AE9860"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23.1</w:t>
            </w:r>
          </w:p>
        </w:tc>
        <w:tc>
          <w:tcPr>
            <w:tcW w:w="984" w:type="dxa"/>
            <w:shd w:val="clear" w:color="auto" w:fill="auto"/>
            <w:vAlign w:val="center"/>
          </w:tcPr>
          <w:p w14:paraId="301895AF"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shd w:val="clear" w:color="auto" w:fill="auto"/>
            <w:vAlign w:val="center"/>
          </w:tcPr>
          <w:p w14:paraId="3A332940"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13.0</w:t>
            </w:r>
          </w:p>
        </w:tc>
      </w:tr>
      <w:tr w:rsidR="00411D29" w:rsidRPr="00B7631E" w14:paraId="7FC9E42D" w14:textId="77777777" w:rsidTr="00411D29">
        <w:trPr>
          <w:trHeight w:val="288"/>
          <w:jc w:val="center"/>
        </w:trPr>
        <w:tc>
          <w:tcPr>
            <w:tcW w:w="1596" w:type="dxa"/>
            <w:shd w:val="clear" w:color="auto" w:fill="auto"/>
            <w:vAlign w:val="center"/>
          </w:tcPr>
          <w:p w14:paraId="53D55464" w14:textId="77777777" w:rsidR="00411D29" w:rsidRPr="00B7631E" w:rsidRDefault="00411D29" w:rsidP="00411D29">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NA</w:t>
            </w:r>
          </w:p>
        </w:tc>
        <w:tc>
          <w:tcPr>
            <w:tcW w:w="984" w:type="dxa"/>
            <w:shd w:val="clear" w:color="auto" w:fill="auto"/>
            <w:vAlign w:val="center"/>
          </w:tcPr>
          <w:p w14:paraId="3A136375"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984" w:type="dxa"/>
            <w:shd w:val="clear" w:color="auto" w:fill="auto"/>
            <w:vAlign w:val="center"/>
          </w:tcPr>
          <w:p w14:paraId="14DB6542"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3.7</w:t>
            </w:r>
          </w:p>
        </w:tc>
        <w:tc>
          <w:tcPr>
            <w:tcW w:w="984" w:type="dxa"/>
            <w:shd w:val="clear" w:color="auto" w:fill="auto"/>
            <w:vAlign w:val="center"/>
          </w:tcPr>
          <w:p w14:paraId="3FC86214"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12,989</w:t>
            </w:r>
          </w:p>
        </w:tc>
        <w:tc>
          <w:tcPr>
            <w:tcW w:w="984" w:type="dxa"/>
            <w:shd w:val="clear" w:color="auto" w:fill="auto"/>
            <w:vAlign w:val="center"/>
          </w:tcPr>
          <w:p w14:paraId="05676F96"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0.7</w:t>
            </w:r>
          </w:p>
        </w:tc>
        <w:tc>
          <w:tcPr>
            <w:tcW w:w="984" w:type="dxa"/>
            <w:shd w:val="clear" w:color="auto" w:fill="auto"/>
            <w:vAlign w:val="center"/>
          </w:tcPr>
          <w:p w14:paraId="6C308A8E"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984" w:type="dxa"/>
            <w:shd w:val="clear" w:color="auto" w:fill="auto"/>
            <w:vAlign w:val="center"/>
          </w:tcPr>
          <w:p w14:paraId="1D406B37"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984" w:type="dxa"/>
            <w:shd w:val="clear" w:color="auto" w:fill="auto"/>
            <w:vAlign w:val="center"/>
          </w:tcPr>
          <w:p w14:paraId="4B5DD9BF"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984" w:type="dxa"/>
            <w:shd w:val="clear" w:color="auto" w:fill="auto"/>
            <w:vAlign w:val="center"/>
          </w:tcPr>
          <w:p w14:paraId="6A775A23" w14:textId="77777777" w:rsidR="00411D29" w:rsidRPr="00B7631E" w:rsidRDefault="00411D29" w:rsidP="00411D29">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0.0</w:t>
            </w:r>
          </w:p>
        </w:tc>
      </w:tr>
      <w:tr w:rsidR="00411D29" w:rsidRPr="00B7631E" w14:paraId="40B7ADCE" w14:textId="77777777" w:rsidTr="00411D29">
        <w:trPr>
          <w:trHeight w:val="288"/>
          <w:jc w:val="center"/>
        </w:trPr>
        <w:tc>
          <w:tcPr>
            <w:tcW w:w="1596" w:type="dxa"/>
            <w:shd w:val="clear" w:color="auto" w:fill="auto"/>
            <w:vAlign w:val="center"/>
          </w:tcPr>
          <w:p w14:paraId="7F438F06" w14:textId="77777777" w:rsidR="00411D29" w:rsidRPr="00B7631E" w:rsidRDefault="00411D29" w:rsidP="00411D29">
            <w:pPr>
              <w:keepNext/>
              <w:widowControl w:val="0"/>
              <w:contextualSpacing/>
              <w:rPr>
                <w:rFonts w:ascii="Times New Roman" w:hAnsi="Times New Roman" w:cs="Times New Roman"/>
                <w:b/>
                <w:sz w:val="20"/>
                <w:szCs w:val="20"/>
              </w:rPr>
            </w:pPr>
            <w:r w:rsidRPr="00B7631E">
              <w:rPr>
                <w:rFonts w:ascii="Times New Roman" w:hAnsi="Times New Roman" w:cs="Times New Roman"/>
                <w:b/>
                <w:sz w:val="20"/>
                <w:szCs w:val="20"/>
              </w:rPr>
              <w:t>Total</w:t>
            </w:r>
          </w:p>
        </w:tc>
        <w:tc>
          <w:tcPr>
            <w:tcW w:w="984" w:type="dxa"/>
            <w:shd w:val="clear" w:color="auto" w:fill="auto"/>
            <w:vAlign w:val="center"/>
          </w:tcPr>
          <w:p w14:paraId="5DD2E2F9" w14:textId="77777777" w:rsidR="00411D29" w:rsidRPr="00B7631E" w:rsidRDefault="00411D29" w:rsidP="00411D29">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411</w:t>
            </w:r>
          </w:p>
        </w:tc>
        <w:tc>
          <w:tcPr>
            <w:tcW w:w="984" w:type="dxa"/>
            <w:shd w:val="clear" w:color="auto" w:fill="auto"/>
            <w:vAlign w:val="center"/>
          </w:tcPr>
          <w:p w14:paraId="7E5A45CB"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984" w:type="dxa"/>
            <w:shd w:val="clear" w:color="auto" w:fill="auto"/>
            <w:vAlign w:val="center"/>
          </w:tcPr>
          <w:p w14:paraId="683466B1" w14:textId="77777777" w:rsidR="00411D29" w:rsidRPr="00B7631E" w:rsidRDefault="00411D29" w:rsidP="00411D29">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1,841,683</w:t>
            </w:r>
          </w:p>
        </w:tc>
        <w:tc>
          <w:tcPr>
            <w:tcW w:w="984" w:type="dxa"/>
            <w:shd w:val="clear" w:color="auto" w:fill="auto"/>
            <w:vAlign w:val="center"/>
          </w:tcPr>
          <w:p w14:paraId="3D548E82"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984" w:type="dxa"/>
            <w:shd w:val="clear" w:color="auto" w:fill="auto"/>
            <w:vAlign w:val="center"/>
          </w:tcPr>
          <w:p w14:paraId="6FEBF4E1" w14:textId="77777777" w:rsidR="00411D29" w:rsidRPr="00B7631E" w:rsidRDefault="00411D29" w:rsidP="00411D29">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13</w:t>
            </w:r>
          </w:p>
        </w:tc>
        <w:tc>
          <w:tcPr>
            <w:tcW w:w="984" w:type="dxa"/>
            <w:shd w:val="clear" w:color="auto" w:fill="auto"/>
            <w:vAlign w:val="center"/>
          </w:tcPr>
          <w:p w14:paraId="4A1E4BE8"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984" w:type="dxa"/>
            <w:shd w:val="clear" w:color="auto" w:fill="auto"/>
            <w:vAlign w:val="center"/>
          </w:tcPr>
          <w:p w14:paraId="0752D9FA" w14:textId="77777777" w:rsidR="00411D29" w:rsidRPr="00B7631E" w:rsidRDefault="00411D29" w:rsidP="00411D29">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23</w:t>
            </w:r>
          </w:p>
        </w:tc>
        <w:tc>
          <w:tcPr>
            <w:tcW w:w="984" w:type="dxa"/>
            <w:shd w:val="clear" w:color="auto" w:fill="auto"/>
            <w:vAlign w:val="center"/>
          </w:tcPr>
          <w:p w14:paraId="1081055E" w14:textId="77777777" w:rsidR="00411D29" w:rsidRPr="00B7631E" w:rsidRDefault="00411D29" w:rsidP="00411D29">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r>
      <w:tr w:rsidR="00411D29" w:rsidRPr="00B7631E" w14:paraId="76EEF881" w14:textId="77777777" w:rsidTr="00411D29">
        <w:trPr>
          <w:trHeight w:val="288"/>
          <w:jc w:val="center"/>
        </w:trPr>
        <w:tc>
          <w:tcPr>
            <w:tcW w:w="9468" w:type="dxa"/>
            <w:gridSpan w:val="9"/>
            <w:shd w:val="clear" w:color="auto" w:fill="auto"/>
            <w:vAlign w:val="center"/>
          </w:tcPr>
          <w:p w14:paraId="61939CB0" w14:textId="77777777" w:rsidR="00411D29" w:rsidRPr="00B7631E" w:rsidRDefault="00411D29" w:rsidP="00411D29">
            <w:pPr>
              <w:keepNext/>
              <w:widowControl w:val="0"/>
              <w:contextualSpacing/>
              <w:rPr>
                <w:rFonts w:ascii="Times New Roman" w:hAnsi="Times New Roman" w:cs="Times New Roman"/>
                <w:i/>
                <w:sz w:val="16"/>
                <w:szCs w:val="16"/>
              </w:rPr>
            </w:pPr>
            <w:r w:rsidRPr="00B7631E">
              <w:rPr>
                <w:rFonts w:ascii="Times New Roman" w:hAnsi="Times New Roman" w:cs="Times New Roman"/>
                <w:i/>
                <w:sz w:val="16"/>
                <w:szCs w:val="16"/>
              </w:rPr>
              <w:t xml:space="preserve">Source:  2015 ACS Data; Bank Data </w:t>
            </w:r>
          </w:p>
        </w:tc>
      </w:tr>
    </w:tbl>
    <w:p w14:paraId="48C074A2" w14:textId="2540C5E9" w:rsidR="00411D29" w:rsidRDefault="00411D29" w:rsidP="00411D29">
      <w:pPr>
        <w:spacing w:after="0" w:line="240" w:lineRule="auto"/>
        <w:rPr>
          <w:rFonts w:ascii="Times New Roman" w:eastAsia="Times New Roman" w:hAnsi="Times New Roman" w:cs="Times New Roman"/>
          <w:iCs/>
          <w:sz w:val="24"/>
          <w:szCs w:val="24"/>
        </w:rPr>
      </w:pPr>
    </w:p>
    <w:p w14:paraId="19220505" w14:textId="5E31453B" w:rsidR="00816F69" w:rsidRPr="000C3BC7" w:rsidRDefault="007662F3" w:rsidP="00816F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Bank</w:t>
      </w:r>
      <w:r w:rsidR="00816F69" w:rsidRPr="000C3BC7">
        <w:rPr>
          <w:rFonts w:ascii="Times New Roman" w:hAnsi="Times New Roman" w:cs="Times New Roman"/>
          <w:sz w:val="24"/>
          <w:szCs w:val="24"/>
        </w:rPr>
        <w:t xml:space="preserve"> branches in low</w:t>
      </w:r>
      <w:r w:rsidR="003436EE">
        <w:rPr>
          <w:rFonts w:ascii="Times New Roman" w:hAnsi="Times New Roman" w:cs="Times New Roman"/>
          <w:sz w:val="24"/>
          <w:szCs w:val="24"/>
        </w:rPr>
        <w:t>-</w:t>
      </w:r>
      <w:r w:rsidR="00816F69" w:rsidRPr="000C3BC7">
        <w:rPr>
          <w:rFonts w:ascii="Times New Roman" w:hAnsi="Times New Roman" w:cs="Times New Roman"/>
          <w:sz w:val="24"/>
          <w:szCs w:val="24"/>
        </w:rPr>
        <w:t xml:space="preserve"> and moderate-income census tracts, i</w:t>
      </w:r>
      <w:r w:rsidR="003436EE">
        <w:rPr>
          <w:rFonts w:ascii="Times New Roman" w:hAnsi="Times New Roman" w:cs="Times New Roman"/>
          <w:sz w:val="24"/>
          <w:szCs w:val="24"/>
        </w:rPr>
        <w:t xml:space="preserve">ncluding </w:t>
      </w:r>
      <w:r w:rsidR="007C084C">
        <w:rPr>
          <w:rFonts w:ascii="Times New Roman" w:hAnsi="Times New Roman" w:cs="Times New Roman"/>
          <w:sz w:val="24"/>
          <w:szCs w:val="24"/>
        </w:rPr>
        <w:t>one</w:t>
      </w:r>
      <w:r w:rsidR="003436EE">
        <w:rPr>
          <w:rFonts w:ascii="Times New Roman" w:hAnsi="Times New Roman" w:cs="Times New Roman"/>
          <w:sz w:val="24"/>
          <w:szCs w:val="24"/>
        </w:rPr>
        <w:t xml:space="preserve"> Quincy branch</w:t>
      </w:r>
      <w:r w:rsidR="00816F69">
        <w:rPr>
          <w:rFonts w:ascii="Times New Roman" w:hAnsi="Times New Roman" w:cs="Times New Roman"/>
          <w:sz w:val="24"/>
          <w:szCs w:val="24"/>
        </w:rPr>
        <w:t xml:space="preserve"> and four </w:t>
      </w:r>
      <w:r w:rsidR="00816F69" w:rsidRPr="000C3BC7">
        <w:rPr>
          <w:rFonts w:ascii="Times New Roman" w:hAnsi="Times New Roman" w:cs="Times New Roman"/>
          <w:sz w:val="24"/>
          <w:szCs w:val="24"/>
        </w:rPr>
        <w:t>Brockton branches, are accessible by public transportation</w:t>
      </w:r>
      <w:r>
        <w:rPr>
          <w:rFonts w:ascii="Times New Roman" w:hAnsi="Times New Roman" w:cs="Times New Roman"/>
          <w:sz w:val="24"/>
          <w:szCs w:val="24"/>
        </w:rPr>
        <w:t>,</w:t>
      </w:r>
      <w:r w:rsidR="00816F69" w:rsidRPr="000C3BC7">
        <w:rPr>
          <w:rFonts w:ascii="Times New Roman" w:hAnsi="Times New Roman" w:cs="Times New Roman"/>
          <w:sz w:val="24"/>
          <w:szCs w:val="24"/>
        </w:rPr>
        <w:t xml:space="preserve"> and some are within walking distance from other low- and mo</w:t>
      </w:r>
      <w:r w:rsidR="00816F69">
        <w:rPr>
          <w:rFonts w:ascii="Times New Roman" w:hAnsi="Times New Roman" w:cs="Times New Roman"/>
          <w:sz w:val="24"/>
          <w:szCs w:val="24"/>
        </w:rPr>
        <w:t>derate-income census tracts.</w:t>
      </w:r>
      <w:r w:rsidR="003436EE">
        <w:rPr>
          <w:rFonts w:ascii="Times New Roman" w:hAnsi="Times New Roman" w:cs="Times New Roman"/>
          <w:sz w:val="24"/>
          <w:szCs w:val="24"/>
        </w:rPr>
        <w:t xml:space="preserve">  Notably, the distribution of bank branches and ATMs in low- and moderate-income census tracts exceed population percentages in these tracts.</w:t>
      </w:r>
    </w:p>
    <w:p w14:paraId="49274A83" w14:textId="77777777" w:rsidR="00816F69" w:rsidRDefault="00816F69" w:rsidP="00816F69">
      <w:pPr>
        <w:spacing w:after="0" w:line="240" w:lineRule="auto"/>
        <w:rPr>
          <w:rFonts w:ascii="Times New Roman" w:eastAsia="Times New Roman" w:hAnsi="Times New Roman" w:cs="Times New Roman"/>
          <w:iCs/>
          <w:sz w:val="24"/>
          <w:szCs w:val="24"/>
        </w:rPr>
      </w:pPr>
    </w:p>
    <w:p w14:paraId="03625830" w14:textId="4731C85D" w:rsidR="00816F69" w:rsidRDefault="00816F69" w:rsidP="00816F69">
      <w:pPr>
        <w:spacing w:after="0" w:line="240" w:lineRule="auto"/>
        <w:rPr>
          <w:rFonts w:ascii="Times New Roman" w:hAnsi="Times New Roman" w:cs="Times New Roman"/>
          <w:sz w:val="24"/>
          <w:szCs w:val="24"/>
        </w:rPr>
      </w:pPr>
      <w:r w:rsidRPr="00167AA3">
        <w:rPr>
          <w:rFonts w:ascii="Times New Roman" w:hAnsi="Times New Roman" w:cs="Times New Roman"/>
          <w:sz w:val="24"/>
          <w:szCs w:val="24"/>
        </w:rPr>
        <w:t>HOB’s Quincy</w:t>
      </w:r>
      <w:r w:rsidR="00167AA3" w:rsidRPr="00662784">
        <w:rPr>
          <w:rFonts w:ascii="Times New Roman" w:hAnsi="Times New Roman" w:cs="Times New Roman"/>
          <w:sz w:val="24"/>
          <w:szCs w:val="24"/>
        </w:rPr>
        <w:t xml:space="preserve"> and</w:t>
      </w:r>
      <w:r w:rsidRPr="00167AA3">
        <w:rPr>
          <w:rFonts w:ascii="Times New Roman" w:hAnsi="Times New Roman" w:cs="Times New Roman"/>
          <w:sz w:val="24"/>
          <w:szCs w:val="24"/>
        </w:rPr>
        <w:t xml:space="preserve"> Randolph</w:t>
      </w:r>
      <w:r w:rsidR="00167AA3" w:rsidRPr="00662784">
        <w:rPr>
          <w:rFonts w:ascii="Times New Roman" w:hAnsi="Times New Roman" w:cs="Times New Roman"/>
          <w:sz w:val="24"/>
          <w:szCs w:val="24"/>
        </w:rPr>
        <w:t xml:space="preserve"> branches</w:t>
      </w:r>
      <w:r w:rsidR="007C084C" w:rsidRPr="00167AA3">
        <w:rPr>
          <w:rFonts w:ascii="Times New Roman" w:hAnsi="Times New Roman" w:cs="Times New Roman"/>
          <w:sz w:val="24"/>
          <w:szCs w:val="24"/>
        </w:rPr>
        <w:t>,</w:t>
      </w:r>
      <w:r w:rsidRPr="00167AA3">
        <w:rPr>
          <w:rFonts w:ascii="Times New Roman" w:hAnsi="Times New Roman" w:cs="Times New Roman"/>
          <w:sz w:val="24"/>
          <w:szCs w:val="24"/>
        </w:rPr>
        <w:t xml:space="preserve"> </w:t>
      </w:r>
      <w:r w:rsidR="00167AA3" w:rsidRPr="00662784">
        <w:rPr>
          <w:rFonts w:ascii="Times New Roman" w:hAnsi="Times New Roman" w:cs="Times New Roman"/>
          <w:sz w:val="24"/>
          <w:szCs w:val="24"/>
        </w:rPr>
        <w:t xml:space="preserve">as well as the </w:t>
      </w:r>
      <w:r w:rsidRPr="00167AA3">
        <w:rPr>
          <w:rFonts w:ascii="Times New Roman" w:hAnsi="Times New Roman" w:cs="Times New Roman"/>
          <w:sz w:val="24"/>
          <w:szCs w:val="24"/>
        </w:rPr>
        <w:t>Brockton branches at 68 Legion Parkway and 443 B</w:t>
      </w:r>
      <w:r w:rsidRPr="00662784">
        <w:rPr>
          <w:rFonts w:ascii="Times New Roman" w:hAnsi="Times New Roman" w:cs="Times New Roman"/>
          <w:sz w:val="24"/>
          <w:szCs w:val="24"/>
        </w:rPr>
        <w:t>elmont Street,</w:t>
      </w:r>
      <w:r>
        <w:rPr>
          <w:rFonts w:ascii="Times New Roman" w:hAnsi="Times New Roman" w:cs="Times New Roman"/>
          <w:sz w:val="24"/>
          <w:szCs w:val="24"/>
        </w:rPr>
        <w:t xml:space="preserve"> are in </w:t>
      </w:r>
      <w:r w:rsidR="00167AA3">
        <w:rPr>
          <w:rFonts w:ascii="Times New Roman" w:hAnsi="Times New Roman" w:cs="Times New Roman"/>
          <w:sz w:val="24"/>
          <w:szCs w:val="24"/>
        </w:rPr>
        <w:t xml:space="preserve">designated </w:t>
      </w:r>
      <w:r w:rsidRPr="008B6990">
        <w:rPr>
          <w:rFonts w:ascii="Times New Roman" w:hAnsi="Times New Roman" w:cs="Times New Roman"/>
          <w:sz w:val="24"/>
          <w:szCs w:val="24"/>
        </w:rPr>
        <w:t>opportunity zones.</w:t>
      </w:r>
      <w:r>
        <w:rPr>
          <w:rFonts w:ascii="Times New Roman" w:hAnsi="Times New Roman" w:cs="Times New Roman"/>
          <w:sz w:val="24"/>
          <w:szCs w:val="24"/>
        </w:rPr>
        <w:t xml:space="preserve"> </w:t>
      </w:r>
      <w:r w:rsidRPr="008B6990">
        <w:rPr>
          <w:rFonts w:ascii="Times New Roman" w:hAnsi="Times New Roman" w:cs="Times New Roman"/>
          <w:sz w:val="24"/>
          <w:szCs w:val="24"/>
        </w:rPr>
        <w:t xml:space="preserve"> These zones are recommended by the Governor of Massachusetts and approved by the U.S. Department of Treasury. </w:t>
      </w:r>
      <w:r>
        <w:rPr>
          <w:rFonts w:ascii="Times New Roman" w:hAnsi="Times New Roman" w:cs="Times New Roman"/>
          <w:sz w:val="24"/>
          <w:szCs w:val="24"/>
        </w:rPr>
        <w:t xml:space="preserve"> </w:t>
      </w:r>
      <w:r w:rsidR="007C084C">
        <w:rPr>
          <w:rFonts w:ascii="Times New Roman" w:hAnsi="Times New Roman" w:cs="Times New Roman"/>
          <w:sz w:val="24"/>
          <w:szCs w:val="24"/>
        </w:rPr>
        <w:t>O</w:t>
      </w:r>
      <w:r w:rsidRPr="008B6990">
        <w:rPr>
          <w:rFonts w:ascii="Times New Roman" w:hAnsi="Times New Roman" w:cs="Times New Roman"/>
          <w:sz w:val="24"/>
          <w:szCs w:val="24"/>
        </w:rPr>
        <w:t xml:space="preserve">pportunity zones are identified as areas of economic need, </w:t>
      </w:r>
      <w:r w:rsidR="007C084C">
        <w:rPr>
          <w:rFonts w:ascii="Times New Roman" w:hAnsi="Times New Roman" w:cs="Times New Roman"/>
          <w:sz w:val="24"/>
          <w:szCs w:val="24"/>
        </w:rPr>
        <w:t>and</w:t>
      </w:r>
      <w:r w:rsidRPr="008B6990">
        <w:rPr>
          <w:rFonts w:ascii="Times New Roman" w:hAnsi="Times New Roman" w:cs="Times New Roman"/>
          <w:sz w:val="24"/>
          <w:szCs w:val="24"/>
        </w:rPr>
        <w:t xml:space="preserve"> many hav</w:t>
      </w:r>
      <w:r w:rsidR="007C084C">
        <w:rPr>
          <w:rFonts w:ascii="Times New Roman" w:hAnsi="Times New Roman" w:cs="Times New Roman"/>
          <w:sz w:val="24"/>
          <w:szCs w:val="24"/>
        </w:rPr>
        <w:t>e</w:t>
      </w:r>
      <w:r w:rsidRPr="008B6990">
        <w:rPr>
          <w:rFonts w:ascii="Times New Roman" w:hAnsi="Times New Roman" w:cs="Times New Roman"/>
          <w:sz w:val="24"/>
          <w:szCs w:val="24"/>
        </w:rPr>
        <w:t xml:space="preserve"> the lowest median family income within the state of </w:t>
      </w:r>
      <w:r>
        <w:rPr>
          <w:rFonts w:ascii="Times New Roman" w:hAnsi="Times New Roman" w:cs="Times New Roman"/>
          <w:sz w:val="24"/>
          <w:szCs w:val="24"/>
        </w:rPr>
        <w:t>Massachusetts</w:t>
      </w:r>
      <w:r w:rsidRPr="008B6990">
        <w:rPr>
          <w:rFonts w:ascii="Times New Roman" w:hAnsi="Times New Roman" w:cs="Times New Roman"/>
          <w:sz w:val="24"/>
          <w:szCs w:val="24"/>
        </w:rPr>
        <w:t>.</w:t>
      </w:r>
      <w:r>
        <w:rPr>
          <w:rFonts w:ascii="Times New Roman" w:hAnsi="Times New Roman" w:cs="Times New Roman"/>
          <w:sz w:val="24"/>
          <w:szCs w:val="24"/>
        </w:rPr>
        <w:t xml:space="preserve"> </w:t>
      </w:r>
      <w:r w:rsidRPr="008B6990">
        <w:rPr>
          <w:rFonts w:ascii="Times New Roman" w:hAnsi="Times New Roman" w:cs="Times New Roman"/>
          <w:sz w:val="24"/>
          <w:szCs w:val="24"/>
        </w:rPr>
        <w:t xml:space="preserve"> These branch locations </w:t>
      </w:r>
      <w:r>
        <w:rPr>
          <w:rFonts w:ascii="Times New Roman" w:hAnsi="Times New Roman" w:cs="Times New Roman"/>
          <w:sz w:val="24"/>
          <w:szCs w:val="24"/>
        </w:rPr>
        <w:t xml:space="preserve">further </w:t>
      </w:r>
      <w:r w:rsidRPr="008B6990">
        <w:rPr>
          <w:rFonts w:ascii="Times New Roman" w:hAnsi="Times New Roman" w:cs="Times New Roman"/>
          <w:sz w:val="24"/>
          <w:szCs w:val="24"/>
        </w:rPr>
        <w:t>demonstrate the accessibility of banking services</w:t>
      </w:r>
      <w:r>
        <w:rPr>
          <w:rFonts w:ascii="Times New Roman" w:hAnsi="Times New Roman" w:cs="Times New Roman"/>
          <w:sz w:val="24"/>
          <w:szCs w:val="24"/>
        </w:rPr>
        <w:t xml:space="preserve"> available</w:t>
      </w:r>
      <w:r w:rsidRPr="008B6990">
        <w:rPr>
          <w:rFonts w:ascii="Times New Roman" w:hAnsi="Times New Roman" w:cs="Times New Roman"/>
          <w:sz w:val="24"/>
          <w:szCs w:val="24"/>
        </w:rPr>
        <w:t xml:space="preserve"> to low</w:t>
      </w:r>
      <w:r w:rsidR="007C084C">
        <w:rPr>
          <w:rFonts w:ascii="Times New Roman" w:hAnsi="Times New Roman" w:cs="Times New Roman"/>
          <w:sz w:val="24"/>
          <w:szCs w:val="24"/>
        </w:rPr>
        <w:t>-</w:t>
      </w:r>
      <w:r w:rsidRPr="008B6990">
        <w:rPr>
          <w:rFonts w:ascii="Times New Roman" w:hAnsi="Times New Roman" w:cs="Times New Roman"/>
          <w:sz w:val="24"/>
          <w:szCs w:val="24"/>
        </w:rPr>
        <w:t xml:space="preserve"> and moderate-income individuals</w:t>
      </w:r>
      <w:r>
        <w:rPr>
          <w:rFonts w:ascii="Times New Roman" w:hAnsi="Times New Roman" w:cs="Times New Roman"/>
          <w:sz w:val="24"/>
          <w:szCs w:val="24"/>
        </w:rPr>
        <w:t xml:space="preserve"> and businesses.</w:t>
      </w:r>
    </w:p>
    <w:p w14:paraId="6E825889" w14:textId="43A6A42E" w:rsidR="007662F3" w:rsidRDefault="007662F3" w:rsidP="00816F69">
      <w:pPr>
        <w:spacing w:after="0" w:line="240" w:lineRule="auto"/>
        <w:rPr>
          <w:rFonts w:ascii="Times New Roman" w:hAnsi="Times New Roman" w:cs="Times New Roman"/>
          <w:sz w:val="24"/>
          <w:szCs w:val="24"/>
        </w:rPr>
      </w:pPr>
    </w:p>
    <w:p w14:paraId="11C2FF32" w14:textId="5BE071D9" w:rsidR="007662F3" w:rsidRPr="008753A5" w:rsidRDefault="007662F3" w:rsidP="007662F3">
      <w:pPr>
        <w:spacing w:after="0" w:line="240" w:lineRule="auto"/>
        <w:rPr>
          <w:rFonts w:ascii="Times New Roman" w:eastAsia="Times New Roman" w:hAnsi="Times New Roman" w:cs="Times New Roman"/>
          <w:b/>
          <w:bCs/>
          <w:sz w:val="24"/>
          <w:szCs w:val="24"/>
          <w:u w:val="single"/>
        </w:rPr>
      </w:pPr>
      <w:r w:rsidRPr="008753A5">
        <w:rPr>
          <w:rFonts w:ascii="Times New Roman" w:hAnsi="Times New Roman" w:cs="Times New Roman"/>
          <w:sz w:val="24"/>
          <w:szCs w:val="24"/>
        </w:rPr>
        <w:t xml:space="preserve">In addition to its branches and ATMs, </w:t>
      </w:r>
      <w:r>
        <w:rPr>
          <w:rFonts w:ascii="Times New Roman" w:hAnsi="Times New Roman" w:cs="Times New Roman"/>
          <w:sz w:val="24"/>
          <w:szCs w:val="24"/>
        </w:rPr>
        <w:t>HOB</w:t>
      </w:r>
      <w:r w:rsidRPr="008753A5">
        <w:rPr>
          <w:rFonts w:ascii="Times New Roman" w:hAnsi="Times New Roman" w:cs="Times New Roman"/>
          <w:sz w:val="24"/>
          <w:szCs w:val="24"/>
        </w:rPr>
        <w:t xml:space="preserve"> offers alternative delivery systems to expand retail banking service access to all individuals.  The bank offers online</w:t>
      </w:r>
      <w:r w:rsidR="007C084C">
        <w:rPr>
          <w:rFonts w:ascii="Times New Roman" w:hAnsi="Times New Roman" w:cs="Times New Roman"/>
          <w:sz w:val="24"/>
          <w:szCs w:val="24"/>
        </w:rPr>
        <w:t xml:space="preserve"> banking</w:t>
      </w:r>
      <w:r w:rsidRPr="008753A5">
        <w:rPr>
          <w:rFonts w:ascii="Times New Roman" w:hAnsi="Times New Roman" w:cs="Times New Roman"/>
          <w:sz w:val="24"/>
          <w:szCs w:val="24"/>
        </w:rPr>
        <w:t>, mobile banking</w:t>
      </w:r>
      <w:r w:rsidR="007C084C">
        <w:rPr>
          <w:rFonts w:ascii="Times New Roman" w:hAnsi="Times New Roman" w:cs="Times New Roman"/>
          <w:sz w:val="24"/>
          <w:szCs w:val="24"/>
        </w:rPr>
        <w:t>,</w:t>
      </w:r>
      <w:r w:rsidRPr="008753A5">
        <w:rPr>
          <w:rFonts w:ascii="Times New Roman" w:hAnsi="Times New Roman" w:cs="Times New Roman"/>
          <w:sz w:val="24"/>
          <w:szCs w:val="24"/>
        </w:rPr>
        <w:t xml:space="preserve"> and support through its Customer Call </w:t>
      </w:r>
      <w:r w:rsidR="007C084C">
        <w:rPr>
          <w:rFonts w:ascii="Times New Roman" w:hAnsi="Times New Roman" w:cs="Times New Roman"/>
          <w:sz w:val="24"/>
          <w:szCs w:val="24"/>
        </w:rPr>
        <w:t>C</w:t>
      </w:r>
      <w:r w:rsidRPr="008753A5">
        <w:rPr>
          <w:rFonts w:ascii="Times New Roman" w:hAnsi="Times New Roman" w:cs="Times New Roman"/>
          <w:sz w:val="24"/>
          <w:szCs w:val="24"/>
        </w:rPr>
        <w:t xml:space="preserve">enter. </w:t>
      </w:r>
      <w:r>
        <w:rPr>
          <w:rFonts w:ascii="Times New Roman" w:hAnsi="Times New Roman" w:cs="Times New Roman"/>
          <w:sz w:val="24"/>
          <w:szCs w:val="24"/>
        </w:rPr>
        <w:t xml:space="preserve"> </w:t>
      </w:r>
      <w:r w:rsidRPr="008753A5">
        <w:rPr>
          <w:rFonts w:ascii="Times New Roman" w:hAnsi="Times New Roman" w:cs="Times New Roman"/>
          <w:sz w:val="24"/>
          <w:szCs w:val="24"/>
        </w:rPr>
        <w:t>Businesses and consumers can access their accounts 24 hours a day to perform various transactions.</w:t>
      </w:r>
    </w:p>
    <w:p w14:paraId="6AF562E2" w14:textId="673AFA30" w:rsidR="007662F3" w:rsidRDefault="007662F3" w:rsidP="00816F69">
      <w:pPr>
        <w:spacing w:after="0" w:line="240" w:lineRule="auto"/>
        <w:rPr>
          <w:rFonts w:ascii="Times New Roman" w:hAnsi="Times New Roman" w:cs="Times New Roman"/>
          <w:sz w:val="24"/>
          <w:szCs w:val="24"/>
        </w:rPr>
      </w:pPr>
    </w:p>
    <w:p w14:paraId="5C9CEA03" w14:textId="2B87ED52" w:rsidR="007662F3" w:rsidRPr="007662F3" w:rsidRDefault="007662F3" w:rsidP="00816F69">
      <w:pPr>
        <w:spacing w:after="0" w:line="240" w:lineRule="auto"/>
        <w:rPr>
          <w:rFonts w:ascii="Times New Roman" w:hAnsi="Times New Roman" w:cs="Times New Roman"/>
          <w:sz w:val="24"/>
          <w:szCs w:val="24"/>
        </w:rPr>
      </w:pPr>
      <w:r w:rsidRPr="007662F3">
        <w:rPr>
          <w:rFonts w:ascii="Times New Roman" w:hAnsi="Times New Roman" w:cs="Times New Roman"/>
          <w:bCs/>
          <w:sz w:val="24"/>
          <w:szCs w:val="24"/>
        </w:rPr>
        <w:t xml:space="preserve">The bank also offers a “Bank at Work” program that currently serves </w:t>
      </w:r>
      <w:r>
        <w:rPr>
          <w:rFonts w:ascii="Times New Roman" w:hAnsi="Times New Roman" w:cs="Times New Roman"/>
          <w:sz w:val="24"/>
          <w:szCs w:val="24"/>
        </w:rPr>
        <w:t>294 companies</w:t>
      </w:r>
      <w:r w:rsidRPr="007662F3">
        <w:rPr>
          <w:rFonts w:ascii="Times New Roman" w:hAnsi="Times New Roman" w:cs="Times New Roman"/>
          <w:sz w:val="24"/>
          <w:szCs w:val="24"/>
        </w:rPr>
        <w:t>, many of which employ low- and moderate-income individuals, minorities</w:t>
      </w:r>
      <w:r w:rsidR="007C084C">
        <w:rPr>
          <w:rFonts w:ascii="Times New Roman" w:hAnsi="Times New Roman" w:cs="Times New Roman"/>
          <w:sz w:val="24"/>
          <w:szCs w:val="24"/>
        </w:rPr>
        <w:t>,</w:t>
      </w:r>
      <w:r>
        <w:rPr>
          <w:rFonts w:ascii="Times New Roman" w:hAnsi="Times New Roman" w:cs="Times New Roman"/>
          <w:sz w:val="24"/>
          <w:szCs w:val="24"/>
        </w:rPr>
        <w:t xml:space="preserve"> and immigrants throughout the b</w:t>
      </w:r>
      <w:r w:rsidRPr="007662F3">
        <w:rPr>
          <w:rFonts w:ascii="Times New Roman" w:hAnsi="Times New Roman" w:cs="Times New Roman"/>
          <w:sz w:val="24"/>
          <w:szCs w:val="24"/>
        </w:rPr>
        <w:t>ank’s assessment area, making financial services more accessible to the community.</w:t>
      </w:r>
    </w:p>
    <w:p w14:paraId="40F550B0" w14:textId="63CA0DC8" w:rsidR="00816F69" w:rsidRDefault="00816F69" w:rsidP="00411D29">
      <w:pPr>
        <w:spacing w:after="0" w:line="240" w:lineRule="auto"/>
        <w:rPr>
          <w:rFonts w:ascii="Times New Roman" w:eastAsia="Times New Roman" w:hAnsi="Times New Roman" w:cs="Times New Roman"/>
          <w:iCs/>
          <w:sz w:val="24"/>
          <w:szCs w:val="24"/>
        </w:rPr>
      </w:pPr>
    </w:p>
    <w:p w14:paraId="1A4749CA" w14:textId="77777777" w:rsidR="00411D29" w:rsidRPr="00E50970" w:rsidRDefault="00411D29" w:rsidP="00411D29">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Changes in Branch Locations</w:t>
      </w:r>
    </w:p>
    <w:p w14:paraId="3BE6832E" w14:textId="77777777" w:rsidR="00411D29" w:rsidRDefault="00411D29" w:rsidP="00411D29">
      <w:pPr>
        <w:spacing w:after="0" w:line="240" w:lineRule="auto"/>
        <w:rPr>
          <w:rFonts w:ascii="Times New Roman" w:eastAsia="Times New Roman" w:hAnsi="Times New Roman" w:cs="Times New Roman"/>
          <w:bCs/>
          <w:sz w:val="24"/>
          <w:szCs w:val="24"/>
        </w:rPr>
      </w:pPr>
    </w:p>
    <w:p w14:paraId="032C9C0B" w14:textId="4C7C7869" w:rsidR="00816F69" w:rsidRPr="00155104" w:rsidRDefault="00816F69" w:rsidP="00816F69">
      <w:pPr>
        <w:spacing w:after="0" w:line="240" w:lineRule="auto"/>
        <w:rPr>
          <w:rFonts w:ascii="Times New Roman" w:eastAsia="Times New Roman" w:hAnsi="Times New Roman" w:cs="Times New Roman"/>
          <w:bCs/>
          <w:sz w:val="24"/>
          <w:szCs w:val="24"/>
        </w:rPr>
      </w:pPr>
      <w:r w:rsidRPr="00155104">
        <w:rPr>
          <w:rFonts w:ascii="Times New Roman" w:hAnsi="Times New Roman" w:cs="Times New Roman"/>
          <w:color w:val="141414"/>
          <w:sz w:val="24"/>
          <w:szCs w:val="24"/>
        </w:rPr>
        <w:t>To the extent cha</w:t>
      </w:r>
      <w:r>
        <w:rPr>
          <w:rFonts w:ascii="Times New Roman" w:hAnsi="Times New Roman" w:cs="Times New Roman"/>
          <w:color w:val="141414"/>
          <w:sz w:val="24"/>
          <w:szCs w:val="24"/>
        </w:rPr>
        <w:t>nges have been made, HOB’s</w:t>
      </w:r>
      <w:r w:rsidRPr="00155104">
        <w:rPr>
          <w:rFonts w:ascii="Times New Roman" w:hAnsi="Times New Roman" w:cs="Times New Roman"/>
          <w:color w:val="141414"/>
          <w:sz w:val="24"/>
          <w:szCs w:val="24"/>
        </w:rPr>
        <w:t xml:space="preserve"> record of opening and closing branches has improved the accessibility of its delivery systems, particularly to low- and moderate-income </w:t>
      </w:r>
      <w:r w:rsidR="007C084C">
        <w:rPr>
          <w:rFonts w:ascii="Times New Roman" w:hAnsi="Times New Roman" w:cs="Times New Roman"/>
          <w:color w:val="141414"/>
          <w:sz w:val="24"/>
          <w:szCs w:val="24"/>
        </w:rPr>
        <w:t xml:space="preserve">community </w:t>
      </w:r>
      <w:r w:rsidRPr="00155104">
        <w:rPr>
          <w:rFonts w:ascii="Times New Roman" w:hAnsi="Times New Roman" w:cs="Times New Roman"/>
          <w:color w:val="141414"/>
          <w:sz w:val="24"/>
          <w:szCs w:val="24"/>
        </w:rPr>
        <w:t xml:space="preserve">members </w:t>
      </w:r>
      <w:r w:rsidR="007C084C">
        <w:rPr>
          <w:rFonts w:ascii="Times New Roman" w:hAnsi="Times New Roman" w:cs="Times New Roman"/>
          <w:color w:val="141414"/>
          <w:sz w:val="24"/>
          <w:szCs w:val="24"/>
        </w:rPr>
        <w:t>and</w:t>
      </w:r>
      <w:r w:rsidRPr="00155104">
        <w:rPr>
          <w:rFonts w:ascii="Times New Roman" w:hAnsi="Times New Roman" w:cs="Times New Roman"/>
          <w:color w:val="141414"/>
          <w:sz w:val="24"/>
          <w:szCs w:val="24"/>
        </w:rPr>
        <w:t xml:space="preserve"> in low- and moderate-income geographies</w:t>
      </w:r>
      <w:r>
        <w:rPr>
          <w:rFonts w:ascii="Times New Roman" w:hAnsi="Times New Roman" w:cs="Times New Roman"/>
          <w:color w:val="141414"/>
          <w:sz w:val="24"/>
          <w:szCs w:val="24"/>
        </w:rPr>
        <w:t>.  Since the last evaluation</w:t>
      </w:r>
      <w:r w:rsidR="007C084C">
        <w:rPr>
          <w:rFonts w:ascii="Times New Roman" w:hAnsi="Times New Roman" w:cs="Times New Roman"/>
          <w:color w:val="141414"/>
          <w:sz w:val="24"/>
          <w:szCs w:val="24"/>
        </w:rPr>
        <w:t>,</w:t>
      </w:r>
      <w:r>
        <w:rPr>
          <w:rFonts w:ascii="Times New Roman" w:hAnsi="Times New Roman" w:cs="Times New Roman"/>
          <w:color w:val="141414"/>
          <w:sz w:val="24"/>
          <w:szCs w:val="24"/>
        </w:rPr>
        <w:t xml:space="preserve"> the bank increased its branch presence in low</w:t>
      </w:r>
      <w:r w:rsidR="003436EE">
        <w:rPr>
          <w:rFonts w:ascii="Times New Roman" w:hAnsi="Times New Roman" w:cs="Times New Roman"/>
          <w:color w:val="141414"/>
          <w:sz w:val="24"/>
          <w:szCs w:val="24"/>
        </w:rPr>
        <w:t>-</w:t>
      </w:r>
      <w:r>
        <w:rPr>
          <w:rFonts w:ascii="Times New Roman" w:hAnsi="Times New Roman" w:cs="Times New Roman"/>
          <w:color w:val="141414"/>
          <w:sz w:val="24"/>
          <w:szCs w:val="24"/>
        </w:rPr>
        <w:t xml:space="preserve"> and moderate-income areas.</w:t>
      </w:r>
    </w:p>
    <w:p w14:paraId="616B05FF" w14:textId="77777777" w:rsidR="00816F69" w:rsidRDefault="00816F69" w:rsidP="00816F69">
      <w:pPr>
        <w:spacing w:after="0" w:line="240" w:lineRule="auto"/>
        <w:rPr>
          <w:rFonts w:ascii="Times New Roman" w:eastAsia="Times New Roman" w:hAnsi="Times New Roman" w:cs="Times New Roman"/>
          <w:bCs/>
          <w:sz w:val="24"/>
          <w:szCs w:val="24"/>
        </w:rPr>
      </w:pPr>
    </w:p>
    <w:p w14:paraId="61D1E3B9" w14:textId="082AF86F" w:rsidR="00816F69" w:rsidRDefault="00816F69" w:rsidP="00816F6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During the exam period, HOB expanded operations i</w:t>
      </w:r>
      <w:r w:rsidR="003436EE">
        <w:rPr>
          <w:rFonts w:ascii="Times New Roman" w:eastAsia="Times New Roman" w:hAnsi="Times New Roman" w:cs="Times New Roman"/>
          <w:bCs/>
          <w:sz w:val="24"/>
          <w:szCs w:val="24"/>
        </w:rPr>
        <w:t>nto the Boston area and opened branch offices</w:t>
      </w:r>
      <w:r>
        <w:rPr>
          <w:rFonts w:ascii="Times New Roman" w:eastAsia="Times New Roman" w:hAnsi="Times New Roman" w:cs="Times New Roman"/>
          <w:bCs/>
          <w:sz w:val="24"/>
          <w:szCs w:val="24"/>
        </w:rPr>
        <w:t xml:space="preserve"> in a moderate-income area</w:t>
      </w:r>
      <w:r w:rsidR="00376945">
        <w:rPr>
          <w:rFonts w:ascii="Times New Roman" w:eastAsia="Times New Roman" w:hAnsi="Times New Roman" w:cs="Times New Roman"/>
          <w:bCs/>
          <w:sz w:val="24"/>
          <w:szCs w:val="24"/>
        </w:rPr>
        <w:t xml:space="preserve"> of Quincy</w:t>
      </w:r>
      <w:r>
        <w:rPr>
          <w:rFonts w:ascii="Times New Roman" w:eastAsia="Times New Roman" w:hAnsi="Times New Roman" w:cs="Times New Roman"/>
          <w:bCs/>
          <w:sz w:val="24"/>
          <w:szCs w:val="24"/>
        </w:rPr>
        <w:t>, a middle-income area</w:t>
      </w:r>
      <w:r w:rsidR="00376945">
        <w:rPr>
          <w:rFonts w:ascii="Times New Roman" w:eastAsia="Times New Roman" w:hAnsi="Times New Roman" w:cs="Times New Roman"/>
          <w:bCs/>
          <w:sz w:val="24"/>
          <w:szCs w:val="24"/>
        </w:rPr>
        <w:t xml:space="preserve"> of Stoughton</w:t>
      </w:r>
      <w:r>
        <w:rPr>
          <w:rFonts w:ascii="Times New Roman" w:eastAsia="Times New Roman" w:hAnsi="Times New Roman" w:cs="Times New Roman"/>
          <w:bCs/>
          <w:sz w:val="24"/>
          <w:szCs w:val="24"/>
        </w:rPr>
        <w:t>, and in an upper-income area</w:t>
      </w:r>
      <w:r w:rsidR="00376945">
        <w:rPr>
          <w:rFonts w:ascii="Times New Roman" w:eastAsia="Times New Roman" w:hAnsi="Times New Roman" w:cs="Times New Roman"/>
          <w:bCs/>
          <w:sz w:val="24"/>
          <w:szCs w:val="24"/>
        </w:rPr>
        <w:t xml:space="preserve"> of Boston</w:t>
      </w:r>
      <w:r>
        <w:rPr>
          <w:rFonts w:ascii="Times New Roman" w:eastAsia="Times New Roman" w:hAnsi="Times New Roman" w:cs="Times New Roman"/>
          <w:bCs/>
          <w:sz w:val="24"/>
          <w:szCs w:val="24"/>
        </w:rPr>
        <w:t>.</w:t>
      </w:r>
    </w:p>
    <w:p w14:paraId="4C1A2A1D" w14:textId="77777777" w:rsidR="00816F69" w:rsidRDefault="00816F69" w:rsidP="00816F69">
      <w:pPr>
        <w:spacing w:after="0" w:line="240" w:lineRule="auto"/>
        <w:rPr>
          <w:rFonts w:ascii="Times New Roman" w:eastAsia="Times New Roman" w:hAnsi="Times New Roman" w:cs="Times New Roman"/>
          <w:bCs/>
          <w:sz w:val="24"/>
          <w:szCs w:val="24"/>
        </w:rPr>
      </w:pPr>
    </w:p>
    <w:p w14:paraId="22CE88AF" w14:textId="0DA4E339" w:rsidR="00816F69" w:rsidRDefault="00816F69" w:rsidP="00816F6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376945">
        <w:rPr>
          <w:rFonts w:ascii="Times New Roman" w:eastAsia="Times New Roman" w:hAnsi="Times New Roman" w:cs="Times New Roman"/>
          <w:bCs/>
          <w:sz w:val="24"/>
          <w:szCs w:val="24"/>
        </w:rPr>
        <w:t xml:space="preserve"> bank</w:t>
      </w:r>
      <w:r>
        <w:rPr>
          <w:rFonts w:ascii="Times New Roman" w:eastAsia="Times New Roman" w:hAnsi="Times New Roman" w:cs="Times New Roman"/>
          <w:bCs/>
          <w:sz w:val="24"/>
          <w:szCs w:val="24"/>
        </w:rPr>
        <w:t xml:space="preserve"> </w:t>
      </w:r>
      <w:r w:rsidR="00376945">
        <w:rPr>
          <w:rFonts w:ascii="Times New Roman" w:eastAsia="Times New Roman" w:hAnsi="Times New Roman" w:cs="Times New Roman"/>
          <w:bCs/>
          <w:sz w:val="24"/>
          <w:szCs w:val="24"/>
        </w:rPr>
        <w:t xml:space="preserve">closed </w:t>
      </w:r>
      <w:r>
        <w:rPr>
          <w:rFonts w:ascii="Times New Roman" w:eastAsia="Times New Roman" w:hAnsi="Times New Roman" w:cs="Times New Roman"/>
          <w:bCs/>
          <w:sz w:val="24"/>
          <w:szCs w:val="24"/>
        </w:rPr>
        <w:t>one branch in a middle-income census tract in the Massachusetts assessment area</w:t>
      </w:r>
      <w:r w:rsidR="00376945">
        <w:rPr>
          <w:rFonts w:ascii="Times New Roman" w:eastAsia="Times New Roman" w:hAnsi="Times New Roman" w:cs="Times New Roman"/>
          <w:bCs/>
          <w:sz w:val="24"/>
          <w:szCs w:val="24"/>
        </w:rPr>
        <w:t xml:space="preserve"> since the prior evaluation</w:t>
      </w:r>
      <w:r>
        <w:rPr>
          <w:rFonts w:ascii="Times New Roman" w:eastAsia="Times New Roman" w:hAnsi="Times New Roman" w:cs="Times New Roman"/>
          <w:bCs/>
          <w:sz w:val="24"/>
          <w:szCs w:val="24"/>
        </w:rPr>
        <w:t>.  Th</w:t>
      </w:r>
      <w:r w:rsidR="00376945">
        <w:rPr>
          <w:rFonts w:ascii="Times New Roman" w:eastAsia="Times New Roman" w:hAnsi="Times New Roman" w:cs="Times New Roman"/>
          <w:bCs/>
          <w:sz w:val="24"/>
          <w:szCs w:val="24"/>
        </w:rPr>
        <w:t xml:space="preserve">is </w:t>
      </w:r>
      <w:r>
        <w:rPr>
          <w:rFonts w:ascii="Times New Roman" w:eastAsia="Times New Roman" w:hAnsi="Times New Roman" w:cs="Times New Roman"/>
          <w:bCs/>
          <w:sz w:val="24"/>
          <w:szCs w:val="24"/>
        </w:rPr>
        <w:t>clos</w:t>
      </w:r>
      <w:r w:rsidR="00376945">
        <w:rPr>
          <w:rFonts w:ascii="Times New Roman" w:eastAsia="Times New Roman" w:hAnsi="Times New Roman" w:cs="Times New Roman"/>
          <w:bCs/>
          <w:sz w:val="24"/>
          <w:szCs w:val="24"/>
        </w:rPr>
        <w:t>ure</w:t>
      </w:r>
      <w:r>
        <w:rPr>
          <w:rFonts w:ascii="Times New Roman" w:eastAsia="Times New Roman" w:hAnsi="Times New Roman" w:cs="Times New Roman"/>
          <w:bCs/>
          <w:sz w:val="24"/>
          <w:szCs w:val="24"/>
        </w:rPr>
        <w:t xml:space="preserve"> </w:t>
      </w:r>
      <w:r w:rsidR="00376945">
        <w:rPr>
          <w:rFonts w:ascii="Times New Roman" w:eastAsia="Times New Roman" w:hAnsi="Times New Roman" w:cs="Times New Roman"/>
          <w:bCs/>
          <w:sz w:val="24"/>
          <w:szCs w:val="24"/>
        </w:rPr>
        <w:t xml:space="preserve">was </w:t>
      </w:r>
      <w:r>
        <w:rPr>
          <w:rFonts w:ascii="Times New Roman" w:eastAsia="Times New Roman" w:hAnsi="Times New Roman" w:cs="Times New Roman"/>
          <w:bCs/>
          <w:sz w:val="24"/>
          <w:szCs w:val="24"/>
        </w:rPr>
        <w:t>a limited service branch at Brockton high school on November 2020.  The office had low transaction volume due the branch having limited accessibility to the public.</w:t>
      </w:r>
      <w:r w:rsidR="00376945">
        <w:rPr>
          <w:rFonts w:ascii="Times New Roman" w:eastAsia="Times New Roman" w:hAnsi="Times New Roman" w:cs="Times New Roman"/>
          <w:bCs/>
          <w:sz w:val="24"/>
          <w:szCs w:val="24"/>
        </w:rPr>
        <w:t xml:space="preserve">  Therefore, the closure had a very limited effect on the accessibility of delivery systems to low- and moderate-income individuals or geographies in the assessment area.  </w:t>
      </w:r>
    </w:p>
    <w:p w14:paraId="685E557F" w14:textId="77777777" w:rsidR="00816F69" w:rsidRPr="00C62AA2" w:rsidRDefault="00816F69" w:rsidP="00816F69">
      <w:pPr>
        <w:autoSpaceDE w:val="0"/>
        <w:autoSpaceDN w:val="0"/>
        <w:adjustRightInd w:val="0"/>
        <w:spacing w:after="0" w:line="240" w:lineRule="auto"/>
        <w:rPr>
          <w:rFonts w:ascii="Times New Roman" w:hAnsi="Times New Roman" w:cs="Times New Roman"/>
          <w:color w:val="000000"/>
          <w:sz w:val="24"/>
          <w:szCs w:val="24"/>
        </w:rPr>
      </w:pPr>
    </w:p>
    <w:p w14:paraId="0602E49F" w14:textId="0706E674" w:rsidR="00816F69" w:rsidRPr="00C62AA2" w:rsidRDefault="00B43B5F" w:rsidP="00816F69">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The bank’</w:t>
      </w:r>
      <w:r w:rsidR="00816F69" w:rsidRPr="00C62AA2">
        <w:rPr>
          <w:rFonts w:ascii="Times New Roman" w:hAnsi="Times New Roman" w:cs="Times New Roman"/>
          <w:sz w:val="24"/>
          <w:szCs w:val="24"/>
        </w:rPr>
        <w:t xml:space="preserve">s opening and closing of branches in the </w:t>
      </w:r>
      <w:r w:rsidR="00816F69">
        <w:rPr>
          <w:rFonts w:ascii="Times New Roman" w:hAnsi="Times New Roman" w:cs="Times New Roman"/>
          <w:sz w:val="24"/>
          <w:szCs w:val="24"/>
        </w:rPr>
        <w:t>Massachusetts assessment area</w:t>
      </w:r>
      <w:r w:rsidR="00816F69" w:rsidRPr="00C62AA2">
        <w:rPr>
          <w:rFonts w:ascii="Times New Roman" w:hAnsi="Times New Roman" w:cs="Times New Roman"/>
          <w:sz w:val="24"/>
          <w:szCs w:val="24"/>
        </w:rPr>
        <w:t xml:space="preserve"> is consistent with the bank</w:t>
      </w:r>
      <w:r w:rsidR="00376945">
        <w:rPr>
          <w:rFonts w:ascii="Times New Roman" w:hAnsi="Times New Roman" w:cs="Times New Roman"/>
          <w:sz w:val="24"/>
          <w:szCs w:val="24"/>
        </w:rPr>
        <w:t>’</w:t>
      </w:r>
      <w:r w:rsidR="00816F69" w:rsidRPr="00C62AA2">
        <w:rPr>
          <w:rFonts w:ascii="Times New Roman" w:hAnsi="Times New Roman" w:cs="Times New Roman"/>
          <w:sz w:val="24"/>
          <w:szCs w:val="24"/>
        </w:rPr>
        <w:t xml:space="preserve">s overall opening and closing of branches. </w:t>
      </w:r>
    </w:p>
    <w:p w14:paraId="3B71476E" w14:textId="77777777" w:rsidR="00411D29" w:rsidRPr="00C62AA2" w:rsidRDefault="00411D29" w:rsidP="00411D29">
      <w:pPr>
        <w:spacing w:after="0" w:line="240" w:lineRule="auto"/>
        <w:rPr>
          <w:rFonts w:ascii="Times New Roman" w:eastAsia="Times New Roman" w:hAnsi="Times New Roman" w:cs="Times New Roman"/>
          <w:bCs/>
          <w:sz w:val="24"/>
          <w:szCs w:val="24"/>
        </w:rPr>
      </w:pPr>
    </w:p>
    <w:p w14:paraId="03CE1EDB" w14:textId="77777777" w:rsidR="00411D29" w:rsidRPr="00C62AA2" w:rsidRDefault="00411D29" w:rsidP="00411D29">
      <w:pPr>
        <w:spacing w:after="0" w:line="240" w:lineRule="auto"/>
        <w:rPr>
          <w:rFonts w:ascii="Times New Roman" w:eastAsia="Times New Roman" w:hAnsi="Times New Roman" w:cs="Times New Roman"/>
          <w:b/>
          <w:bCs/>
          <w:sz w:val="24"/>
          <w:szCs w:val="24"/>
          <w:u w:val="single"/>
        </w:rPr>
      </w:pPr>
      <w:r w:rsidRPr="00C62AA2">
        <w:rPr>
          <w:rFonts w:ascii="Times New Roman" w:eastAsia="Times New Roman" w:hAnsi="Times New Roman" w:cs="Times New Roman"/>
          <w:b/>
          <w:bCs/>
          <w:sz w:val="24"/>
          <w:szCs w:val="24"/>
          <w:u w:val="single"/>
        </w:rPr>
        <w:t>Reasonableness of Business Hours and Services</w:t>
      </w:r>
    </w:p>
    <w:p w14:paraId="15826D83" w14:textId="77777777" w:rsidR="00411D29" w:rsidRPr="00C62AA2" w:rsidRDefault="00411D29" w:rsidP="00411D29">
      <w:pPr>
        <w:autoSpaceDE w:val="0"/>
        <w:autoSpaceDN w:val="0"/>
        <w:adjustRightInd w:val="0"/>
        <w:spacing w:after="0" w:line="240" w:lineRule="auto"/>
        <w:rPr>
          <w:rFonts w:ascii="Times New Roman" w:hAnsi="Times New Roman" w:cs="Times New Roman"/>
          <w:color w:val="000000"/>
          <w:sz w:val="24"/>
          <w:szCs w:val="24"/>
        </w:rPr>
      </w:pPr>
    </w:p>
    <w:p w14:paraId="12352741" w14:textId="30B33935" w:rsidR="00816F69" w:rsidRPr="00C62AA2" w:rsidRDefault="00816F69" w:rsidP="00816F69">
      <w:pPr>
        <w:spacing w:after="0" w:line="240" w:lineRule="auto"/>
        <w:rPr>
          <w:rFonts w:ascii="Times New Roman" w:eastAsia="Times New Roman" w:hAnsi="Times New Roman" w:cs="Times New Roman"/>
          <w:iCs/>
          <w:color w:val="000000"/>
          <w:sz w:val="24"/>
          <w:szCs w:val="24"/>
        </w:rPr>
      </w:pPr>
      <w:r w:rsidRPr="00C62AA2">
        <w:rPr>
          <w:rFonts w:ascii="Times New Roman" w:hAnsi="Times New Roman" w:cs="Times New Roman"/>
          <w:sz w:val="24"/>
          <w:szCs w:val="24"/>
        </w:rPr>
        <w:t xml:space="preserve">Services and business hours are tailored to the convenience and needs of the </w:t>
      </w:r>
      <w:r>
        <w:rPr>
          <w:rFonts w:ascii="Times New Roman" w:hAnsi="Times New Roman" w:cs="Times New Roman"/>
          <w:sz w:val="24"/>
          <w:szCs w:val="24"/>
        </w:rPr>
        <w:t>Massachusetts assessment area</w:t>
      </w:r>
      <w:r w:rsidRPr="00C62AA2">
        <w:rPr>
          <w:rFonts w:ascii="Times New Roman" w:hAnsi="Times New Roman" w:cs="Times New Roman"/>
          <w:sz w:val="24"/>
          <w:szCs w:val="24"/>
        </w:rPr>
        <w:t xml:space="preserve">, particularly low- and moderate-income geographies and individuals. </w:t>
      </w:r>
      <w:r>
        <w:rPr>
          <w:rFonts w:ascii="Times New Roman" w:hAnsi="Times New Roman" w:cs="Times New Roman"/>
          <w:sz w:val="24"/>
          <w:szCs w:val="24"/>
        </w:rPr>
        <w:t xml:space="preserve"> </w:t>
      </w:r>
      <w:r w:rsidRPr="00B26780">
        <w:rPr>
          <w:rFonts w:ascii="Times New Roman" w:eastAsia="Times New Roman" w:hAnsi="Times New Roman" w:cs="Times New Roman"/>
          <w:iCs/>
          <w:color w:val="000000"/>
          <w:sz w:val="24"/>
          <w:szCs w:val="24"/>
        </w:rPr>
        <w:t xml:space="preserve">All branch </w:t>
      </w:r>
      <w:r>
        <w:rPr>
          <w:rFonts w:ascii="Times New Roman" w:eastAsia="Times New Roman" w:hAnsi="Times New Roman" w:cs="Times New Roman"/>
          <w:iCs/>
          <w:color w:val="000000"/>
          <w:sz w:val="24"/>
          <w:szCs w:val="24"/>
        </w:rPr>
        <w:t xml:space="preserve">locations </w:t>
      </w:r>
      <w:r w:rsidRPr="00B26780">
        <w:rPr>
          <w:rFonts w:ascii="Times New Roman" w:eastAsia="Times New Roman" w:hAnsi="Times New Roman" w:cs="Times New Roman"/>
          <w:iCs/>
          <w:color w:val="000000"/>
          <w:sz w:val="24"/>
          <w:szCs w:val="24"/>
        </w:rPr>
        <w:t>offer the same loan and deposit products and retail banking services.</w:t>
      </w:r>
      <w:r>
        <w:rPr>
          <w:rFonts w:ascii="Times New Roman" w:eastAsia="Times New Roman" w:hAnsi="Times New Roman" w:cs="Times New Roman"/>
          <w:iCs/>
          <w:color w:val="000000"/>
          <w:sz w:val="24"/>
          <w:szCs w:val="24"/>
        </w:rPr>
        <w:t xml:space="preserve"> </w:t>
      </w:r>
      <w:r w:rsidRPr="00B26780">
        <w:rPr>
          <w:rFonts w:ascii="Times New Roman" w:eastAsia="Times New Roman" w:hAnsi="Times New Roman" w:cs="Times New Roman"/>
          <w:iCs/>
          <w:color w:val="000000"/>
          <w:sz w:val="24"/>
          <w:szCs w:val="24"/>
        </w:rPr>
        <w:t xml:space="preserve"> </w:t>
      </w:r>
      <w:r w:rsidR="0003665C" w:rsidRPr="0003665C">
        <w:rPr>
          <w:rFonts w:ascii="Times New Roman" w:hAnsi="Times New Roman" w:cs="Times New Roman"/>
          <w:sz w:val="24"/>
          <w:szCs w:val="24"/>
        </w:rPr>
        <w:t xml:space="preserve">The bank’s business </w:t>
      </w:r>
      <w:r w:rsidR="0003665C" w:rsidRPr="0003665C">
        <w:rPr>
          <w:rFonts w:ascii="Times New Roman" w:hAnsi="Times New Roman" w:cs="Times New Roman"/>
          <w:sz w:val="24"/>
          <w:szCs w:val="24"/>
        </w:rPr>
        <w:lastRenderedPageBreak/>
        <w:t xml:space="preserve">hours and services in the Massachusetts assessment area are consistent with the </w:t>
      </w:r>
      <w:proofErr w:type="gramStart"/>
      <w:r w:rsidR="0003665C" w:rsidRPr="0003665C">
        <w:rPr>
          <w:rFonts w:ascii="Times New Roman" w:hAnsi="Times New Roman" w:cs="Times New Roman"/>
          <w:sz w:val="24"/>
          <w:szCs w:val="24"/>
        </w:rPr>
        <w:t>bank’s</w:t>
      </w:r>
      <w:proofErr w:type="gramEnd"/>
      <w:r w:rsidR="0003665C" w:rsidRPr="0003665C">
        <w:rPr>
          <w:rFonts w:ascii="Times New Roman" w:hAnsi="Times New Roman" w:cs="Times New Roman"/>
          <w:sz w:val="24"/>
          <w:szCs w:val="24"/>
        </w:rPr>
        <w:t xml:space="preserve"> overall assessment area business hours and services. </w:t>
      </w:r>
      <w:r w:rsidR="0003665C">
        <w:rPr>
          <w:rFonts w:ascii="Times New Roman" w:hAnsi="Times New Roman" w:cs="Times New Roman"/>
          <w:sz w:val="24"/>
          <w:szCs w:val="24"/>
        </w:rPr>
        <w:t xml:space="preserve"> </w:t>
      </w:r>
      <w:r w:rsidR="0003665C" w:rsidRPr="0003665C">
        <w:rPr>
          <w:rFonts w:ascii="Times New Roman" w:hAnsi="Times New Roman" w:cs="Times New Roman"/>
          <w:sz w:val="24"/>
          <w:szCs w:val="24"/>
        </w:rPr>
        <w:t xml:space="preserve">All full-service branch locations offer lobby and drive-up teller services and at least one 24-hour deposit taking ATM. </w:t>
      </w:r>
      <w:r w:rsidR="0003665C">
        <w:rPr>
          <w:rFonts w:ascii="Times New Roman" w:hAnsi="Times New Roman" w:cs="Times New Roman"/>
          <w:sz w:val="24"/>
          <w:szCs w:val="24"/>
        </w:rPr>
        <w:t xml:space="preserve"> </w:t>
      </w:r>
      <w:r w:rsidR="0003665C" w:rsidRPr="0003665C">
        <w:rPr>
          <w:rFonts w:ascii="Times New Roman" w:hAnsi="Times New Roman" w:cs="Times New Roman"/>
          <w:sz w:val="24"/>
          <w:szCs w:val="24"/>
        </w:rPr>
        <w:t>All full service branches have extended hours at least one night a week and all are open on Saturdays.  Weekday hours include 8:30 A.M. to 4:00 P.M. on Mondays through Wednesday, 8:30 A.M. to 6:00 P.M on Thursdays, 8:30 A.M. to 5:00 P.M. on Fridays, and 9:00 A.M</w:t>
      </w:r>
      <w:r w:rsidR="0003665C">
        <w:rPr>
          <w:rFonts w:ascii="Times New Roman" w:hAnsi="Times New Roman" w:cs="Times New Roman"/>
          <w:sz w:val="24"/>
          <w:szCs w:val="24"/>
        </w:rPr>
        <w:t xml:space="preserve">. to 1:00 P.M. on Saturdays.  </w:t>
      </w:r>
      <w:r w:rsidR="007662F3">
        <w:rPr>
          <w:rFonts w:ascii="Times New Roman" w:hAnsi="Times New Roman" w:cs="Times New Roman"/>
          <w:sz w:val="24"/>
          <w:szCs w:val="24"/>
        </w:rPr>
        <w:t>In addition, the bank employs multilingual staff, ensur</w:t>
      </w:r>
      <w:r w:rsidR="00F971F4">
        <w:rPr>
          <w:rFonts w:ascii="Times New Roman" w:hAnsi="Times New Roman" w:cs="Times New Roman"/>
          <w:sz w:val="24"/>
          <w:szCs w:val="24"/>
        </w:rPr>
        <w:t>ing</w:t>
      </w:r>
      <w:r w:rsidR="007662F3">
        <w:rPr>
          <w:rFonts w:ascii="Times New Roman" w:hAnsi="Times New Roman" w:cs="Times New Roman"/>
          <w:sz w:val="24"/>
          <w:szCs w:val="24"/>
        </w:rPr>
        <w:t xml:space="preserve"> clients receive critical account </w:t>
      </w:r>
      <w:r w:rsidR="00F971F4">
        <w:rPr>
          <w:rFonts w:ascii="Times New Roman" w:hAnsi="Times New Roman" w:cs="Times New Roman"/>
          <w:sz w:val="24"/>
          <w:szCs w:val="24"/>
        </w:rPr>
        <w:t xml:space="preserve">information </w:t>
      </w:r>
      <w:r w:rsidR="007662F3">
        <w:rPr>
          <w:rFonts w:ascii="Times New Roman" w:hAnsi="Times New Roman" w:cs="Times New Roman"/>
          <w:sz w:val="24"/>
          <w:szCs w:val="24"/>
        </w:rPr>
        <w:t xml:space="preserve">and services in their native language.  Multilingual services have been particularly beneficial at the bank’s Brockton locations, which service many immigrants, including Haitian, Dominican, and Cape Verdean individuals. </w:t>
      </w:r>
    </w:p>
    <w:p w14:paraId="1C2FB485" w14:textId="7E80A477" w:rsidR="00816F69" w:rsidRDefault="00816F69" w:rsidP="00816F69">
      <w:pPr>
        <w:spacing w:after="0" w:line="240" w:lineRule="auto"/>
        <w:rPr>
          <w:rFonts w:ascii="Times New Roman" w:eastAsia="Times New Roman" w:hAnsi="Times New Roman" w:cs="Times New Roman"/>
          <w:iCs/>
          <w:color w:val="000000"/>
          <w:sz w:val="24"/>
          <w:szCs w:val="24"/>
        </w:rPr>
      </w:pPr>
    </w:p>
    <w:p w14:paraId="2832714D" w14:textId="5B603460" w:rsidR="004201BD" w:rsidRDefault="004201BD" w:rsidP="00816F69">
      <w:pPr>
        <w:spacing w:after="0" w:line="240" w:lineRule="auto"/>
        <w:rPr>
          <w:rFonts w:ascii="Times New Roman" w:hAnsi="Times New Roman" w:cs="Times New Roman"/>
          <w:sz w:val="24"/>
          <w:szCs w:val="23"/>
        </w:rPr>
      </w:pPr>
      <w:r w:rsidRPr="004201BD">
        <w:rPr>
          <w:rFonts w:ascii="Times New Roman" w:hAnsi="Times New Roman" w:cs="Times New Roman"/>
          <w:sz w:val="24"/>
          <w:szCs w:val="23"/>
        </w:rPr>
        <w:t>The Bank</w:t>
      </w:r>
      <w:r>
        <w:rPr>
          <w:rFonts w:ascii="Times New Roman" w:hAnsi="Times New Roman" w:cs="Times New Roman"/>
          <w:sz w:val="24"/>
          <w:szCs w:val="23"/>
        </w:rPr>
        <w:t xml:space="preserve"> also offers several no</w:t>
      </w:r>
      <w:r w:rsidR="00F971F4">
        <w:rPr>
          <w:rFonts w:ascii="Times New Roman" w:hAnsi="Times New Roman" w:cs="Times New Roman"/>
          <w:sz w:val="24"/>
          <w:szCs w:val="23"/>
        </w:rPr>
        <w:t>-</w:t>
      </w:r>
      <w:r>
        <w:rPr>
          <w:rFonts w:ascii="Times New Roman" w:hAnsi="Times New Roman" w:cs="Times New Roman"/>
          <w:sz w:val="24"/>
          <w:szCs w:val="23"/>
        </w:rPr>
        <w:t xml:space="preserve"> and low-</w:t>
      </w:r>
      <w:r w:rsidRPr="004201BD">
        <w:rPr>
          <w:rFonts w:ascii="Times New Roman" w:hAnsi="Times New Roman" w:cs="Times New Roman"/>
          <w:sz w:val="24"/>
          <w:szCs w:val="23"/>
        </w:rPr>
        <w:t xml:space="preserve">cost deposit products to provide opportunities for those unbanked and underbanked to more easily </w:t>
      </w:r>
      <w:r>
        <w:rPr>
          <w:rFonts w:ascii="Times New Roman" w:hAnsi="Times New Roman" w:cs="Times New Roman"/>
          <w:sz w:val="24"/>
          <w:szCs w:val="23"/>
        </w:rPr>
        <w:t>enter mainstream</w:t>
      </w:r>
      <w:r w:rsidRPr="004201BD">
        <w:rPr>
          <w:rFonts w:ascii="Times New Roman" w:hAnsi="Times New Roman" w:cs="Times New Roman"/>
          <w:sz w:val="24"/>
          <w:szCs w:val="23"/>
        </w:rPr>
        <w:t xml:space="preserve"> banking. </w:t>
      </w:r>
      <w:r>
        <w:rPr>
          <w:rFonts w:ascii="Times New Roman" w:hAnsi="Times New Roman" w:cs="Times New Roman"/>
          <w:sz w:val="24"/>
          <w:szCs w:val="23"/>
        </w:rPr>
        <w:t xml:space="preserve"> </w:t>
      </w:r>
      <w:r w:rsidRPr="004201BD">
        <w:rPr>
          <w:rFonts w:ascii="Times New Roman" w:hAnsi="Times New Roman" w:cs="Times New Roman"/>
          <w:sz w:val="24"/>
          <w:szCs w:val="23"/>
        </w:rPr>
        <w:t xml:space="preserve">Further, HarborOne’s CRA Officer </w:t>
      </w:r>
      <w:r>
        <w:rPr>
          <w:rFonts w:ascii="Times New Roman" w:hAnsi="Times New Roman" w:cs="Times New Roman"/>
          <w:sz w:val="24"/>
          <w:szCs w:val="23"/>
        </w:rPr>
        <w:t>leads</w:t>
      </w:r>
      <w:r w:rsidRPr="004201BD">
        <w:rPr>
          <w:rFonts w:ascii="Times New Roman" w:hAnsi="Times New Roman" w:cs="Times New Roman"/>
          <w:sz w:val="24"/>
          <w:szCs w:val="23"/>
        </w:rPr>
        <w:t xml:space="preserve"> the </w:t>
      </w:r>
      <w:r w:rsidRPr="004201BD">
        <w:rPr>
          <w:rFonts w:ascii="Times New Roman" w:hAnsi="Times New Roman" w:cs="Times New Roman"/>
          <w:bCs/>
          <w:i/>
          <w:sz w:val="24"/>
          <w:szCs w:val="23"/>
        </w:rPr>
        <w:t xml:space="preserve">Bank </w:t>
      </w:r>
      <w:proofErr w:type="gramStart"/>
      <w:r w:rsidRPr="004201BD">
        <w:rPr>
          <w:rFonts w:ascii="Times New Roman" w:hAnsi="Times New Roman" w:cs="Times New Roman"/>
          <w:bCs/>
          <w:i/>
          <w:sz w:val="24"/>
          <w:szCs w:val="23"/>
        </w:rPr>
        <w:t>On</w:t>
      </w:r>
      <w:proofErr w:type="gramEnd"/>
      <w:r w:rsidRPr="004201BD">
        <w:rPr>
          <w:rFonts w:ascii="Times New Roman" w:hAnsi="Times New Roman" w:cs="Times New Roman"/>
          <w:bCs/>
          <w:i/>
          <w:sz w:val="24"/>
          <w:szCs w:val="23"/>
        </w:rPr>
        <w:t xml:space="preserve"> Brockton</w:t>
      </w:r>
      <w:r w:rsidRPr="004201BD">
        <w:rPr>
          <w:rFonts w:ascii="Times New Roman" w:hAnsi="Times New Roman" w:cs="Times New Roman"/>
          <w:b/>
          <w:bCs/>
          <w:sz w:val="24"/>
          <w:szCs w:val="23"/>
        </w:rPr>
        <w:t xml:space="preserve"> </w:t>
      </w:r>
      <w:r w:rsidRPr="004201BD">
        <w:rPr>
          <w:rFonts w:ascii="Times New Roman" w:hAnsi="Times New Roman" w:cs="Times New Roman"/>
          <w:sz w:val="24"/>
          <w:szCs w:val="23"/>
        </w:rPr>
        <w:t xml:space="preserve">initiative locally </w:t>
      </w:r>
      <w:r>
        <w:rPr>
          <w:rFonts w:ascii="Times New Roman" w:hAnsi="Times New Roman" w:cs="Times New Roman"/>
          <w:sz w:val="24"/>
          <w:szCs w:val="23"/>
        </w:rPr>
        <w:t xml:space="preserve">and participates on committees to help re-launch </w:t>
      </w:r>
      <w:r w:rsidRPr="004201BD">
        <w:rPr>
          <w:rFonts w:ascii="Times New Roman" w:hAnsi="Times New Roman" w:cs="Times New Roman"/>
          <w:bCs/>
          <w:i/>
          <w:sz w:val="24"/>
          <w:szCs w:val="23"/>
        </w:rPr>
        <w:t>Bank On Boston</w:t>
      </w:r>
      <w:r w:rsidRPr="004201BD">
        <w:rPr>
          <w:rFonts w:ascii="Times New Roman" w:hAnsi="Times New Roman" w:cs="Times New Roman"/>
          <w:sz w:val="24"/>
          <w:szCs w:val="23"/>
        </w:rPr>
        <w:t xml:space="preserve">. </w:t>
      </w:r>
      <w:r>
        <w:rPr>
          <w:rFonts w:ascii="Times New Roman" w:hAnsi="Times New Roman" w:cs="Times New Roman"/>
          <w:sz w:val="24"/>
          <w:szCs w:val="23"/>
        </w:rPr>
        <w:t xml:space="preserve"> </w:t>
      </w:r>
      <w:r w:rsidRPr="004201BD">
        <w:rPr>
          <w:rFonts w:ascii="Times New Roman" w:hAnsi="Times New Roman" w:cs="Times New Roman"/>
          <w:bCs/>
          <w:i/>
          <w:sz w:val="24"/>
          <w:szCs w:val="23"/>
        </w:rPr>
        <w:t>Bank On</w:t>
      </w:r>
      <w:r w:rsidRPr="004201BD">
        <w:rPr>
          <w:rFonts w:ascii="Times New Roman" w:hAnsi="Times New Roman" w:cs="Times New Roman"/>
          <w:b/>
          <w:bCs/>
          <w:sz w:val="24"/>
          <w:szCs w:val="23"/>
        </w:rPr>
        <w:t xml:space="preserve"> </w:t>
      </w:r>
      <w:r w:rsidRPr="004201BD">
        <w:rPr>
          <w:rFonts w:ascii="Times New Roman" w:hAnsi="Times New Roman" w:cs="Times New Roman"/>
          <w:sz w:val="24"/>
          <w:szCs w:val="23"/>
        </w:rPr>
        <w:t xml:space="preserve">is a national program sponsored by the </w:t>
      </w:r>
      <w:r w:rsidRPr="004201BD">
        <w:rPr>
          <w:rFonts w:ascii="Times New Roman" w:hAnsi="Times New Roman" w:cs="Times New Roman"/>
          <w:iCs/>
          <w:sz w:val="24"/>
          <w:szCs w:val="23"/>
        </w:rPr>
        <w:t>Cities for Financial Empowerment</w:t>
      </w:r>
      <w:r w:rsidRPr="004201BD">
        <w:rPr>
          <w:rFonts w:ascii="Times New Roman" w:hAnsi="Times New Roman" w:cs="Times New Roman"/>
          <w:i/>
          <w:iCs/>
          <w:sz w:val="24"/>
          <w:szCs w:val="23"/>
        </w:rPr>
        <w:t xml:space="preserve"> </w:t>
      </w:r>
      <w:r>
        <w:rPr>
          <w:rFonts w:ascii="Times New Roman" w:hAnsi="Times New Roman" w:cs="Times New Roman"/>
          <w:sz w:val="24"/>
          <w:szCs w:val="23"/>
        </w:rPr>
        <w:t>that</w:t>
      </w:r>
      <w:r w:rsidRPr="004201BD">
        <w:rPr>
          <w:rFonts w:ascii="Times New Roman" w:hAnsi="Times New Roman" w:cs="Times New Roman"/>
          <w:sz w:val="24"/>
          <w:szCs w:val="23"/>
        </w:rPr>
        <w:t xml:space="preserve"> introduc</w:t>
      </w:r>
      <w:r>
        <w:rPr>
          <w:rFonts w:ascii="Times New Roman" w:hAnsi="Times New Roman" w:cs="Times New Roman"/>
          <w:sz w:val="24"/>
          <w:szCs w:val="23"/>
        </w:rPr>
        <w:t>es</w:t>
      </w:r>
      <w:r w:rsidRPr="004201BD">
        <w:rPr>
          <w:rFonts w:ascii="Times New Roman" w:hAnsi="Times New Roman" w:cs="Times New Roman"/>
          <w:sz w:val="24"/>
          <w:szCs w:val="23"/>
        </w:rPr>
        <w:t xml:space="preserve"> unbanked and underbanked families to traditional deposit and credit products in order to promote financial independence and wealth building for historically disadvantaged populations.</w:t>
      </w:r>
    </w:p>
    <w:p w14:paraId="3C16CEEB" w14:textId="77777777" w:rsidR="004201BD" w:rsidRPr="004201BD" w:rsidRDefault="004201BD" w:rsidP="00816F69">
      <w:pPr>
        <w:spacing w:after="0" w:line="240" w:lineRule="auto"/>
        <w:rPr>
          <w:rFonts w:ascii="Times New Roman" w:eastAsia="Times New Roman" w:hAnsi="Times New Roman" w:cs="Times New Roman"/>
          <w:iCs/>
          <w:color w:val="000000"/>
          <w:sz w:val="28"/>
          <w:szCs w:val="24"/>
        </w:rPr>
      </w:pPr>
    </w:p>
    <w:p w14:paraId="6D2D05DD" w14:textId="0E3A7B6C" w:rsidR="00816F69" w:rsidRDefault="00816F69" w:rsidP="00816F69">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bank </w:t>
      </w:r>
      <w:r w:rsidR="007662F3">
        <w:rPr>
          <w:rFonts w:ascii="Times New Roman" w:eastAsia="Times New Roman" w:hAnsi="Times New Roman" w:cs="Times New Roman"/>
          <w:iCs/>
          <w:color w:val="000000"/>
          <w:sz w:val="24"/>
          <w:szCs w:val="24"/>
        </w:rPr>
        <w:t>also</w:t>
      </w:r>
      <w:r>
        <w:rPr>
          <w:rFonts w:ascii="Times New Roman" w:eastAsia="Times New Roman" w:hAnsi="Times New Roman" w:cs="Times New Roman"/>
          <w:iCs/>
          <w:color w:val="000000"/>
          <w:sz w:val="24"/>
          <w:szCs w:val="24"/>
        </w:rPr>
        <w:t xml:space="preserve"> reach</w:t>
      </w:r>
      <w:r w:rsidR="007662F3">
        <w:rPr>
          <w:rFonts w:ascii="Times New Roman" w:eastAsia="Times New Roman" w:hAnsi="Times New Roman" w:cs="Times New Roman"/>
          <w:iCs/>
          <w:color w:val="000000"/>
          <w:sz w:val="24"/>
          <w:szCs w:val="24"/>
        </w:rPr>
        <w:t>es</w:t>
      </w:r>
      <w:r>
        <w:rPr>
          <w:rFonts w:ascii="Times New Roman" w:eastAsia="Times New Roman" w:hAnsi="Times New Roman" w:cs="Times New Roman"/>
          <w:iCs/>
          <w:color w:val="000000"/>
          <w:sz w:val="24"/>
          <w:szCs w:val="24"/>
        </w:rPr>
        <w:t xml:space="preserve"> low</w:t>
      </w:r>
      <w:r w:rsidR="00985D0B">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and moderate-income individuals through the HarborOne U</w:t>
      </w:r>
      <w:r w:rsidRPr="00B26780">
        <w:rPr>
          <w:rFonts w:ascii="Times New Roman" w:eastAsia="Times New Roman" w:hAnsi="Times New Roman" w:cs="Times New Roman"/>
          <w:iCs/>
          <w:color w:val="000000"/>
          <w:sz w:val="24"/>
          <w:szCs w:val="24"/>
        </w:rPr>
        <w:t xml:space="preserve"> Brockton </w:t>
      </w:r>
      <w:r>
        <w:rPr>
          <w:rFonts w:ascii="Times New Roman" w:eastAsia="Times New Roman" w:hAnsi="Times New Roman" w:cs="Times New Roman"/>
          <w:iCs/>
          <w:color w:val="000000"/>
          <w:sz w:val="24"/>
          <w:szCs w:val="24"/>
        </w:rPr>
        <w:t>campus, which</w:t>
      </w:r>
      <w:r w:rsidRPr="00B26780">
        <w:rPr>
          <w:rFonts w:ascii="Times New Roman" w:eastAsia="Times New Roman" w:hAnsi="Times New Roman" w:cs="Times New Roman"/>
          <w:iCs/>
          <w:color w:val="000000"/>
          <w:sz w:val="24"/>
          <w:szCs w:val="24"/>
        </w:rPr>
        <w:t xml:space="preserve"> was formed in 2007 as a formal educational community outreach program to provide financial and other services to the unbanked and underbanked. </w:t>
      </w:r>
      <w:r>
        <w:rPr>
          <w:rFonts w:ascii="Times New Roman" w:eastAsia="Times New Roman" w:hAnsi="Times New Roman" w:cs="Times New Roman"/>
          <w:iCs/>
          <w:color w:val="000000"/>
          <w:sz w:val="24"/>
          <w:szCs w:val="24"/>
        </w:rPr>
        <w:t xml:space="preserve"> The campus</w:t>
      </w:r>
      <w:r w:rsidRPr="00B26780">
        <w:rPr>
          <w:rFonts w:ascii="Times New Roman" w:eastAsia="Times New Roman" w:hAnsi="Times New Roman" w:cs="Times New Roman"/>
          <w:iCs/>
          <w:color w:val="000000"/>
          <w:sz w:val="24"/>
          <w:szCs w:val="24"/>
        </w:rPr>
        <w:t xml:space="preserve"> offer</w:t>
      </w:r>
      <w:r>
        <w:rPr>
          <w:rFonts w:ascii="Times New Roman" w:eastAsia="Times New Roman" w:hAnsi="Times New Roman" w:cs="Times New Roman"/>
          <w:iCs/>
          <w:color w:val="000000"/>
          <w:sz w:val="24"/>
          <w:szCs w:val="24"/>
        </w:rPr>
        <w:t xml:space="preserve">s a wide range of </w:t>
      </w:r>
      <w:r w:rsidRPr="00B26780">
        <w:rPr>
          <w:rFonts w:ascii="Times New Roman" w:eastAsia="Times New Roman" w:hAnsi="Times New Roman" w:cs="Times New Roman"/>
          <w:iCs/>
          <w:color w:val="000000"/>
          <w:sz w:val="24"/>
          <w:szCs w:val="24"/>
        </w:rPr>
        <w:t>financial education, seminars and financial counseling</w:t>
      </w:r>
      <w:r>
        <w:rPr>
          <w:rFonts w:ascii="Times New Roman" w:eastAsia="Times New Roman" w:hAnsi="Times New Roman" w:cs="Times New Roman"/>
          <w:iCs/>
          <w:color w:val="000000"/>
          <w:sz w:val="24"/>
          <w:szCs w:val="24"/>
        </w:rPr>
        <w:t xml:space="preserve"> tailored to help youth, adults</w:t>
      </w:r>
      <w:r w:rsidR="00337CAF">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and business owners better understand and manage their finances</w:t>
      </w:r>
      <w:r w:rsidRPr="00B26780">
        <w:rPr>
          <w:rFonts w:ascii="Times New Roman" w:eastAsia="Times New Roman" w:hAnsi="Times New Roman" w:cs="Times New Roman"/>
          <w:iCs/>
          <w:color w:val="000000"/>
          <w:sz w:val="24"/>
          <w:szCs w:val="24"/>
        </w:rPr>
        <w:t>.</w:t>
      </w:r>
      <w:r w:rsidR="007662F3">
        <w:rPr>
          <w:rFonts w:ascii="Times New Roman" w:eastAsia="Times New Roman" w:hAnsi="Times New Roman" w:cs="Times New Roman"/>
          <w:iCs/>
          <w:color w:val="000000"/>
          <w:sz w:val="24"/>
          <w:szCs w:val="24"/>
        </w:rPr>
        <w:t xml:space="preserve">  These se</w:t>
      </w:r>
      <w:r w:rsidR="004201BD">
        <w:rPr>
          <w:rFonts w:ascii="Times New Roman" w:eastAsia="Times New Roman" w:hAnsi="Times New Roman" w:cs="Times New Roman"/>
          <w:iCs/>
          <w:color w:val="000000"/>
          <w:sz w:val="24"/>
          <w:szCs w:val="24"/>
        </w:rPr>
        <w:t>r</w:t>
      </w:r>
      <w:r w:rsidR="007662F3">
        <w:rPr>
          <w:rFonts w:ascii="Times New Roman" w:eastAsia="Times New Roman" w:hAnsi="Times New Roman" w:cs="Times New Roman"/>
          <w:iCs/>
          <w:color w:val="000000"/>
          <w:sz w:val="24"/>
          <w:szCs w:val="24"/>
        </w:rPr>
        <w:t>vices are also offered in multiple languages to meet the needs of the large immigrant population in Brockton.</w:t>
      </w:r>
      <w:r w:rsidR="004201BD">
        <w:rPr>
          <w:rFonts w:ascii="Times New Roman" w:eastAsia="Times New Roman" w:hAnsi="Times New Roman" w:cs="Times New Roman"/>
          <w:iCs/>
          <w:color w:val="000000"/>
          <w:sz w:val="24"/>
          <w:szCs w:val="24"/>
        </w:rPr>
        <w:t xml:space="preserve">  </w:t>
      </w:r>
      <w:r w:rsidR="007662F3" w:rsidRPr="007662F3">
        <w:rPr>
          <w:rFonts w:ascii="Times New Roman" w:eastAsia="Times New Roman" w:hAnsi="Times New Roman" w:cs="Times New Roman"/>
          <w:iCs/>
          <w:color w:val="000000"/>
          <w:sz w:val="24"/>
          <w:szCs w:val="24"/>
        </w:rPr>
        <w:t xml:space="preserve">The “Bank at Work” program described previously also received positive consideration under this factor. </w:t>
      </w:r>
      <w:r>
        <w:rPr>
          <w:rFonts w:ascii="Times New Roman" w:eastAsia="Times New Roman" w:hAnsi="Times New Roman" w:cs="Times New Roman"/>
          <w:iCs/>
          <w:color w:val="000000"/>
          <w:sz w:val="24"/>
          <w:szCs w:val="24"/>
        </w:rPr>
        <w:t xml:space="preserve"> </w:t>
      </w:r>
    </w:p>
    <w:p w14:paraId="0783220E" w14:textId="77777777" w:rsidR="00337CAF" w:rsidRDefault="00337CAF" w:rsidP="00816F69">
      <w:pPr>
        <w:widowControl w:val="0"/>
        <w:spacing w:after="0" w:line="240" w:lineRule="auto"/>
        <w:rPr>
          <w:rFonts w:ascii="Times New Roman" w:eastAsia="Times New Roman" w:hAnsi="Times New Roman" w:cs="Times New Roman"/>
          <w:b/>
          <w:snapToGrid w:val="0"/>
          <w:color w:val="000000"/>
          <w:sz w:val="24"/>
          <w:szCs w:val="24"/>
          <w:u w:val="single"/>
          <w:lang w:eastAsia="x-none"/>
        </w:rPr>
      </w:pPr>
    </w:p>
    <w:p w14:paraId="0330623B" w14:textId="307805CC" w:rsidR="00816F69" w:rsidRPr="00C62AA2" w:rsidRDefault="00816F69" w:rsidP="00816F69">
      <w:pPr>
        <w:widowControl w:val="0"/>
        <w:spacing w:after="0" w:line="240" w:lineRule="auto"/>
        <w:rPr>
          <w:rFonts w:ascii="Times New Roman" w:eastAsia="Times New Roman" w:hAnsi="Times New Roman" w:cs="Times New Roman"/>
          <w:b/>
          <w:snapToGrid w:val="0"/>
          <w:color w:val="000000"/>
          <w:sz w:val="24"/>
          <w:szCs w:val="24"/>
          <w:u w:val="single"/>
          <w:lang w:eastAsia="x-none"/>
        </w:rPr>
      </w:pPr>
      <w:r w:rsidRPr="00C62AA2">
        <w:rPr>
          <w:rFonts w:ascii="Times New Roman" w:eastAsia="Times New Roman" w:hAnsi="Times New Roman" w:cs="Times New Roman"/>
          <w:b/>
          <w:snapToGrid w:val="0"/>
          <w:color w:val="000000"/>
          <w:sz w:val="24"/>
          <w:szCs w:val="24"/>
          <w:u w:val="single"/>
          <w:lang w:eastAsia="x-none"/>
        </w:rPr>
        <w:t>Community Development Services</w:t>
      </w:r>
    </w:p>
    <w:p w14:paraId="723520B6" w14:textId="77777777" w:rsidR="00816F69" w:rsidRPr="00C62AA2" w:rsidRDefault="00816F69" w:rsidP="00816F69">
      <w:pPr>
        <w:autoSpaceDE w:val="0"/>
        <w:autoSpaceDN w:val="0"/>
        <w:adjustRightInd w:val="0"/>
        <w:spacing w:after="0" w:line="240" w:lineRule="auto"/>
        <w:rPr>
          <w:rFonts w:ascii="Times New Roman" w:hAnsi="Times New Roman" w:cs="Times New Roman"/>
          <w:color w:val="000000"/>
          <w:sz w:val="24"/>
          <w:szCs w:val="24"/>
        </w:rPr>
      </w:pPr>
    </w:p>
    <w:p w14:paraId="7B34D78F" w14:textId="08F27D01" w:rsidR="00816F69" w:rsidRPr="00C62AA2" w:rsidRDefault="00816F69" w:rsidP="00816F69">
      <w:pPr>
        <w:widowControl w:val="0"/>
        <w:spacing w:after="0" w:line="240" w:lineRule="auto"/>
        <w:rPr>
          <w:rFonts w:ascii="Times New Roman" w:hAnsi="Times New Roman" w:cs="Times New Roman"/>
          <w:sz w:val="24"/>
          <w:szCs w:val="24"/>
        </w:rPr>
      </w:pPr>
      <w:r w:rsidRPr="00C62AA2">
        <w:rPr>
          <w:rFonts w:ascii="Times New Roman" w:hAnsi="Times New Roman" w:cs="Times New Roman"/>
          <w:sz w:val="24"/>
          <w:szCs w:val="24"/>
        </w:rPr>
        <w:t xml:space="preserve">HOB is a leader in providing community development services in the </w:t>
      </w:r>
      <w:r>
        <w:rPr>
          <w:rFonts w:ascii="Times New Roman" w:hAnsi="Times New Roman" w:cs="Times New Roman"/>
          <w:sz w:val="24"/>
          <w:szCs w:val="24"/>
        </w:rPr>
        <w:t>Massachusetts assessment area</w:t>
      </w:r>
      <w:r w:rsidR="000B5B91">
        <w:rPr>
          <w:rFonts w:ascii="Times New Roman" w:hAnsi="Times New Roman" w:cs="Times New Roman"/>
          <w:sz w:val="24"/>
          <w:szCs w:val="24"/>
        </w:rPr>
        <w:t xml:space="preserve">.  The bank’s community development leadership primarily shows through its innovative approach and substantial resources devoted to </w:t>
      </w:r>
      <w:r w:rsidRPr="00C62AA2">
        <w:rPr>
          <w:rFonts w:ascii="Times New Roman" w:hAnsi="Times New Roman" w:cs="Times New Roman"/>
          <w:sz w:val="24"/>
          <w:szCs w:val="24"/>
        </w:rPr>
        <w:t>providing free financial education to low</w:t>
      </w:r>
      <w:r w:rsidR="00610D5A">
        <w:rPr>
          <w:rFonts w:ascii="Times New Roman" w:hAnsi="Times New Roman" w:cs="Times New Roman"/>
          <w:sz w:val="24"/>
          <w:szCs w:val="24"/>
        </w:rPr>
        <w:t>-</w:t>
      </w:r>
      <w:r w:rsidRPr="00C62AA2">
        <w:rPr>
          <w:rFonts w:ascii="Times New Roman" w:hAnsi="Times New Roman" w:cs="Times New Roman"/>
          <w:sz w:val="24"/>
          <w:szCs w:val="24"/>
        </w:rPr>
        <w:t xml:space="preserve"> and moderate-income individuals and small businesses</w:t>
      </w:r>
      <w:r w:rsidR="000B5B91" w:rsidRPr="00C62AA2">
        <w:rPr>
          <w:rFonts w:ascii="Times New Roman" w:hAnsi="Times New Roman" w:cs="Times New Roman"/>
          <w:sz w:val="24"/>
          <w:szCs w:val="24"/>
        </w:rPr>
        <w:t xml:space="preserve">.  </w:t>
      </w:r>
      <w:r w:rsidR="000B5B91">
        <w:rPr>
          <w:rFonts w:ascii="Times New Roman" w:hAnsi="Times New Roman" w:cs="Times New Roman"/>
          <w:sz w:val="24"/>
          <w:szCs w:val="24"/>
        </w:rPr>
        <w:t>The bank’s efforts to provide extensive and</w:t>
      </w:r>
      <w:r w:rsidRPr="00C62AA2">
        <w:rPr>
          <w:rFonts w:ascii="Times New Roman" w:hAnsi="Times New Roman" w:cs="Times New Roman"/>
          <w:sz w:val="24"/>
          <w:szCs w:val="24"/>
        </w:rPr>
        <w:t xml:space="preserve"> innovative community development services</w:t>
      </w:r>
      <w:r w:rsidR="000B5B91">
        <w:rPr>
          <w:rFonts w:ascii="Times New Roman" w:hAnsi="Times New Roman" w:cs="Times New Roman"/>
          <w:sz w:val="24"/>
          <w:szCs w:val="24"/>
        </w:rPr>
        <w:t xml:space="preserve"> have resulted in</w:t>
      </w:r>
      <w:r w:rsidRPr="00C62AA2">
        <w:rPr>
          <w:rFonts w:ascii="Times New Roman" w:hAnsi="Times New Roman" w:cs="Times New Roman"/>
          <w:sz w:val="24"/>
          <w:szCs w:val="24"/>
        </w:rPr>
        <w:t xml:space="preserve"> excellent responsiveness to community development needs.</w:t>
      </w:r>
      <w:r w:rsidR="000B5B91">
        <w:rPr>
          <w:rFonts w:ascii="Times New Roman" w:hAnsi="Times New Roman" w:cs="Times New Roman"/>
          <w:sz w:val="24"/>
          <w:szCs w:val="24"/>
        </w:rPr>
        <w:t xml:space="preserve">  In addition to outstanding financial education, the bank’s leadership also shows through its commitment to providing financial expertise to community organizations that serve low- and moderate-income individuals and small businesses. </w:t>
      </w:r>
    </w:p>
    <w:p w14:paraId="353E7A04" w14:textId="77777777" w:rsidR="00816F69" w:rsidRDefault="00816F69" w:rsidP="00816F69">
      <w:pPr>
        <w:widowControl w:val="0"/>
        <w:spacing w:after="0" w:line="240" w:lineRule="auto"/>
        <w:rPr>
          <w:rFonts w:ascii="Times New Roman" w:hAnsi="Times New Roman" w:cs="Times New Roman"/>
          <w:sz w:val="24"/>
          <w:szCs w:val="24"/>
        </w:rPr>
      </w:pPr>
    </w:p>
    <w:p w14:paraId="38DBC90A" w14:textId="77777777" w:rsidR="00816F69" w:rsidRPr="00826320" w:rsidRDefault="00816F69" w:rsidP="00816F69">
      <w:pPr>
        <w:widowControl w:val="0"/>
        <w:spacing w:after="0" w:line="240" w:lineRule="auto"/>
        <w:rPr>
          <w:rFonts w:ascii="Times New Roman" w:hAnsi="Times New Roman" w:cs="Times New Roman"/>
          <w:b/>
          <w:sz w:val="24"/>
          <w:szCs w:val="24"/>
        </w:rPr>
      </w:pPr>
      <w:r w:rsidRPr="00826320">
        <w:rPr>
          <w:rFonts w:ascii="Times New Roman" w:hAnsi="Times New Roman" w:cs="Times New Roman"/>
          <w:b/>
          <w:sz w:val="24"/>
          <w:szCs w:val="24"/>
        </w:rPr>
        <w:t>Financial Education</w:t>
      </w:r>
    </w:p>
    <w:p w14:paraId="62BC5973" w14:textId="0BDA56D4" w:rsidR="00816F69" w:rsidRDefault="00816F69" w:rsidP="00816F69">
      <w:pPr>
        <w:widowControl w:val="0"/>
        <w:spacing w:after="0" w:line="240" w:lineRule="auto"/>
        <w:rPr>
          <w:rFonts w:ascii="Times New Roman" w:hAnsi="Times New Roman" w:cs="Times New Roman"/>
          <w:sz w:val="24"/>
          <w:szCs w:val="24"/>
        </w:rPr>
      </w:pPr>
    </w:p>
    <w:p w14:paraId="5241BE22" w14:textId="68E89060" w:rsidR="000B5B91" w:rsidRPr="000B5B91" w:rsidRDefault="000B5B91" w:rsidP="00816F69">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HarborOne U</w:t>
      </w:r>
    </w:p>
    <w:p w14:paraId="6EC0824B" w14:textId="5368FF60" w:rsidR="00816F69" w:rsidRPr="00C62AA2" w:rsidRDefault="00816F69" w:rsidP="00816F69">
      <w:pPr>
        <w:widowControl w:val="0"/>
        <w:spacing w:after="0" w:line="240" w:lineRule="auto"/>
        <w:rPr>
          <w:rFonts w:ascii="Times New Roman" w:hAnsi="Times New Roman" w:cs="Times New Roman"/>
          <w:sz w:val="24"/>
          <w:szCs w:val="24"/>
        </w:rPr>
      </w:pPr>
      <w:r w:rsidRPr="00C62AA2">
        <w:rPr>
          <w:rFonts w:ascii="Times New Roman" w:hAnsi="Times New Roman" w:cs="Times New Roman"/>
          <w:sz w:val="24"/>
          <w:szCs w:val="24"/>
        </w:rPr>
        <w:t>During the evaluation</w:t>
      </w:r>
      <w:r w:rsidR="000B5B91">
        <w:rPr>
          <w:rFonts w:ascii="Times New Roman" w:hAnsi="Times New Roman" w:cs="Times New Roman"/>
          <w:sz w:val="24"/>
          <w:szCs w:val="24"/>
        </w:rPr>
        <w:t xml:space="preserve"> period,</w:t>
      </w:r>
      <w:r w:rsidRPr="00C62AA2">
        <w:rPr>
          <w:rFonts w:ascii="Times New Roman" w:hAnsi="Times New Roman" w:cs="Times New Roman"/>
          <w:sz w:val="24"/>
          <w:szCs w:val="24"/>
        </w:rPr>
        <w:t xml:space="preserve"> HarborOne</w:t>
      </w:r>
      <w:r w:rsidR="004201BD">
        <w:rPr>
          <w:rFonts w:ascii="Times New Roman" w:hAnsi="Times New Roman" w:cs="Times New Roman"/>
          <w:sz w:val="24"/>
          <w:szCs w:val="24"/>
        </w:rPr>
        <w:t xml:space="preserve"> </w:t>
      </w:r>
      <w:r w:rsidRPr="00C62AA2">
        <w:rPr>
          <w:rFonts w:ascii="Times New Roman" w:hAnsi="Times New Roman" w:cs="Times New Roman"/>
          <w:sz w:val="24"/>
          <w:szCs w:val="24"/>
        </w:rPr>
        <w:t xml:space="preserve">U delivered 88 classes </w:t>
      </w:r>
      <w:r w:rsidR="003A16BB">
        <w:rPr>
          <w:rFonts w:ascii="Times New Roman" w:hAnsi="Times New Roman" w:cs="Times New Roman"/>
          <w:sz w:val="24"/>
          <w:szCs w:val="24"/>
        </w:rPr>
        <w:t xml:space="preserve">through its Brockton campus </w:t>
      </w:r>
      <w:r w:rsidRPr="00C62AA2">
        <w:rPr>
          <w:rFonts w:ascii="Times New Roman" w:hAnsi="Times New Roman" w:cs="Times New Roman"/>
          <w:sz w:val="24"/>
          <w:szCs w:val="24"/>
        </w:rPr>
        <w:t>to low</w:t>
      </w:r>
      <w:r w:rsidR="000B5B91">
        <w:rPr>
          <w:rFonts w:ascii="Times New Roman" w:hAnsi="Times New Roman" w:cs="Times New Roman"/>
          <w:sz w:val="24"/>
          <w:szCs w:val="24"/>
        </w:rPr>
        <w:t>-</w:t>
      </w:r>
      <w:r w:rsidRPr="00C62AA2">
        <w:rPr>
          <w:rFonts w:ascii="Times New Roman" w:hAnsi="Times New Roman" w:cs="Times New Roman"/>
          <w:sz w:val="24"/>
          <w:szCs w:val="24"/>
        </w:rPr>
        <w:t xml:space="preserve"> and moderate</w:t>
      </w:r>
      <w:r w:rsidR="000B5B91">
        <w:rPr>
          <w:rFonts w:ascii="Times New Roman" w:hAnsi="Times New Roman" w:cs="Times New Roman"/>
          <w:sz w:val="24"/>
          <w:szCs w:val="24"/>
        </w:rPr>
        <w:t>-</w:t>
      </w:r>
      <w:r w:rsidRPr="00C62AA2">
        <w:rPr>
          <w:rFonts w:ascii="Times New Roman" w:hAnsi="Times New Roman" w:cs="Times New Roman"/>
          <w:sz w:val="24"/>
          <w:szCs w:val="24"/>
        </w:rPr>
        <w:t>income youths and adults</w:t>
      </w:r>
      <w:r w:rsidR="000B5B91" w:rsidRPr="00C62AA2">
        <w:rPr>
          <w:rFonts w:ascii="Times New Roman" w:hAnsi="Times New Roman" w:cs="Times New Roman"/>
          <w:sz w:val="24"/>
          <w:szCs w:val="24"/>
        </w:rPr>
        <w:t xml:space="preserve">.  </w:t>
      </w:r>
      <w:r w:rsidR="004201BD">
        <w:rPr>
          <w:rFonts w:ascii="Times New Roman" w:hAnsi="Times New Roman" w:cs="Times New Roman"/>
          <w:sz w:val="24"/>
          <w:szCs w:val="24"/>
        </w:rPr>
        <w:t xml:space="preserve">The extent of free, multilingual financial education to low- and moderate-income individuals and small business owners through HarborOne U surpasses that of all similarly situated institutions, highlighting the bank’s </w:t>
      </w:r>
      <w:r w:rsidR="00337CAF">
        <w:rPr>
          <w:rFonts w:ascii="Times New Roman" w:hAnsi="Times New Roman" w:cs="Times New Roman"/>
          <w:sz w:val="24"/>
          <w:szCs w:val="24"/>
        </w:rPr>
        <w:t xml:space="preserve">leadership in </w:t>
      </w:r>
      <w:r w:rsidR="004201BD">
        <w:rPr>
          <w:rFonts w:ascii="Times New Roman" w:hAnsi="Times New Roman" w:cs="Times New Roman"/>
          <w:sz w:val="24"/>
          <w:szCs w:val="24"/>
        </w:rPr>
        <w:t xml:space="preserve">financial education. </w:t>
      </w:r>
      <w:r w:rsidR="000B5B91" w:rsidRPr="00C62AA2">
        <w:rPr>
          <w:rFonts w:ascii="Times New Roman" w:hAnsi="Times New Roman" w:cs="Times New Roman"/>
          <w:sz w:val="24"/>
          <w:szCs w:val="24"/>
        </w:rPr>
        <w:t xml:space="preserve">  </w:t>
      </w:r>
      <w:r w:rsidRPr="00C62AA2">
        <w:rPr>
          <w:rFonts w:ascii="Times New Roman" w:hAnsi="Times New Roman" w:cs="Times New Roman"/>
          <w:sz w:val="24"/>
          <w:szCs w:val="24"/>
        </w:rPr>
        <w:t xml:space="preserve"> </w:t>
      </w:r>
    </w:p>
    <w:p w14:paraId="6A535833" w14:textId="77777777" w:rsidR="00816F69" w:rsidRDefault="00816F69" w:rsidP="00816F69">
      <w:pPr>
        <w:autoSpaceDE w:val="0"/>
        <w:autoSpaceDN w:val="0"/>
        <w:adjustRightInd w:val="0"/>
        <w:spacing w:after="0" w:line="240" w:lineRule="auto"/>
        <w:rPr>
          <w:rFonts w:ascii="Times New Roman" w:hAnsi="Times New Roman" w:cs="Times New Roman"/>
          <w:sz w:val="24"/>
          <w:szCs w:val="24"/>
        </w:rPr>
      </w:pPr>
    </w:p>
    <w:p w14:paraId="1A6B9E88" w14:textId="208A6FAA" w:rsidR="00816F69" w:rsidRPr="00BC09FC" w:rsidRDefault="00816F69" w:rsidP="00816F69">
      <w:pPr>
        <w:widowControl w:val="0"/>
        <w:spacing w:after="0" w:line="240" w:lineRule="auto"/>
        <w:rPr>
          <w:rFonts w:ascii="Times New Roman" w:eastAsia="Times New Roman" w:hAnsi="Times New Roman" w:cs="Times New Roman"/>
          <w:snapToGrid w:val="0"/>
          <w:sz w:val="24"/>
          <w:szCs w:val="24"/>
          <w:lang w:eastAsia="x-none"/>
        </w:rPr>
      </w:pPr>
      <w:r w:rsidRPr="0014110E">
        <w:rPr>
          <w:rFonts w:ascii="Times New Roman" w:eastAsia="Times New Roman" w:hAnsi="Times New Roman" w:cs="Times New Roman"/>
          <w:snapToGrid w:val="0"/>
          <w:color w:val="000000"/>
          <w:sz w:val="24"/>
          <w:szCs w:val="24"/>
          <w:lang w:eastAsia="x-none"/>
        </w:rPr>
        <w:t>For youth</w:t>
      </w:r>
      <w:r>
        <w:rPr>
          <w:rFonts w:ascii="Times New Roman" w:eastAsia="Times New Roman" w:hAnsi="Times New Roman" w:cs="Times New Roman"/>
          <w:snapToGrid w:val="0"/>
          <w:color w:val="000000"/>
          <w:sz w:val="24"/>
          <w:szCs w:val="24"/>
          <w:lang w:eastAsia="x-none"/>
        </w:rPr>
        <w:t>s</w:t>
      </w:r>
      <w:r w:rsidRPr="0014110E">
        <w:rPr>
          <w:rFonts w:ascii="Times New Roman" w:eastAsia="Times New Roman" w:hAnsi="Times New Roman" w:cs="Times New Roman"/>
          <w:snapToGrid w:val="0"/>
          <w:color w:val="000000"/>
          <w:sz w:val="24"/>
          <w:szCs w:val="24"/>
          <w:lang w:eastAsia="x-none"/>
        </w:rPr>
        <w:t xml:space="preserve"> </w:t>
      </w:r>
      <w:r>
        <w:rPr>
          <w:rFonts w:ascii="Times New Roman" w:eastAsia="Times New Roman" w:hAnsi="Times New Roman" w:cs="Times New Roman"/>
          <w:snapToGrid w:val="0"/>
          <w:color w:val="000000"/>
          <w:sz w:val="24"/>
          <w:szCs w:val="24"/>
          <w:lang w:eastAsia="x-none"/>
        </w:rPr>
        <w:t>a</w:t>
      </w:r>
      <w:r w:rsidRPr="0014110E">
        <w:rPr>
          <w:rFonts w:ascii="Times New Roman" w:eastAsia="Times New Roman" w:hAnsi="Times New Roman" w:cs="Times New Roman"/>
          <w:snapToGrid w:val="0"/>
          <w:color w:val="000000"/>
          <w:sz w:val="24"/>
          <w:szCs w:val="24"/>
          <w:lang w:eastAsia="x-none"/>
        </w:rPr>
        <w:t>ges 7-21, financial education classes focus on savings, budgeting, and credit.</w:t>
      </w:r>
      <w:r>
        <w:rPr>
          <w:rFonts w:ascii="Times New Roman" w:eastAsia="Times New Roman" w:hAnsi="Times New Roman" w:cs="Times New Roman"/>
          <w:snapToGrid w:val="0"/>
          <w:color w:val="000000"/>
          <w:sz w:val="24"/>
          <w:szCs w:val="24"/>
          <w:lang w:eastAsia="x-none"/>
        </w:rPr>
        <w:t xml:space="preserve"> </w:t>
      </w:r>
      <w:r w:rsidRPr="0014110E">
        <w:rPr>
          <w:rFonts w:ascii="Times New Roman" w:eastAsia="Times New Roman" w:hAnsi="Times New Roman" w:cs="Times New Roman"/>
          <w:snapToGrid w:val="0"/>
          <w:color w:val="000000"/>
          <w:sz w:val="24"/>
          <w:szCs w:val="24"/>
          <w:lang w:eastAsia="x-none"/>
        </w:rPr>
        <w:t xml:space="preserve"> Adult classes focus on setting financial goals, creating and maintaining a budget, and improving credit history. </w:t>
      </w:r>
      <w:r w:rsidRPr="0014110E">
        <w:rPr>
          <w:rFonts w:ascii="Times New Roman" w:hAnsi="Times New Roman" w:cs="Times New Roman"/>
          <w:color w:val="333333"/>
          <w:sz w:val="24"/>
          <w:szCs w:val="24"/>
          <w:shd w:val="clear" w:color="auto" w:fill="FFFFFF"/>
        </w:rPr>
        <w:t xml:space="preserve"> </w:t>
      </w:r>
      <w:r w:rsidRPr="00BC09FC">
        <w:rPr>
          <w:rFonts w:ascii="Times New Roman" w:hAnsi="Times New Roman" w:cs="Times New Roman"/>
          <w:sz w:val="24"/>
          <w:szCs w:val="24"/>
          <w:shd w:val="clear" w:color="auto" w:fill="FFFFFF"/>
        </w:rPr>
        <w:t>One-on-one financial coaching is available for those looking to develop a plan to achieve personal financial goals, improve a credit score</w:t>
      </w:r>
      <w:r w:rsidR="00EE323C">
        <w:rPr>
          <w:rFonts w:ascii="Times New Roman" w:hAnsi="Times New Roman" w:cs="Times New Roman"/>
          <w:sz w:val="24"/>
          <w:szCs w:val="24"/>
          <w:shd w:val="clear" w:color="auto" w:fill="FFFFFF"/>
        </w:rPr>
        <w:t>,</w:t>
      </w:r>
      <w:r w:rsidRPr="00BC09FC">
        <w:rPr>
          <w:rFonts w:ascii="Times New Roman" w:hAnsi="Times New Roman" w:cs="Times New Roman"/>
          <w:sz w:val="24"/>
          <w:szCs w:val="24"/>
          <w:shd w:val="clear" w:color="auto" w:fill="FFFFFF"/>
        </w:rPr>
        <w:t xml:space="preserve"> or increase savings</w:t>
      </w:r>
      <w:r w:rsidRPr="00BC09FC">
        <w:rPr>
          <w:rFonts w:ascii="Times New Roman" w:eastAsia="Times New Roman" w:hAnsi="Times New Roman" w:cs="Times New Roman"/>
          <w:snapToGrid w:val="0"/>
          <w:sz w:val="24"/>
          <w:szCs w:val="24"/>
          <w:lang w:eastAsia="x-none"/>
        </w:rPr>
        <w:t xml:space="preserve">. </w:t>
      </w:r>
      <w:r w:rsidR="00337CAF">
        <w:rPr>
          <w:rFonts w:ascii="Times New Roman" w:eastAsia="Times New Roman" w:hAnsi="Times New Roman" w:cs="Times New Roman"/>
          <w:snapToGrid w:val="0"/>
          <w:sz w:val="24"/>
          <w:szCs w:val="24"/>
          <w:lang w:eastAsia="x-none"/>
        </w:rPr>
        <w:t xml:space="preserve"> </w:t>
      </w:r>
      <w:r w:rsidRPr="00BC09FC">
        <w:rPr>
          <w:rFonts w:ascii="Times New Roman" w:eastAsia="Times New Roman" w:hAnsi="Times New Roman" w:cs="Times New Roman"/>
          <w:snapToGrid w:val="0"/>
          <w:sz w:val="24"/>
          <w:szCs w:val="24"/>
          <w:lang w:eastAsia="x-none"/>
        </w:rPr>
        <w:t xml:space="preserve">For businesses, </w:t>
      </w:r>
      <w:r w:rsidRPr="00BC09FC">
        <w:rPr>
          <w:rFonts w:ascii="Times New Roman" w:hAnsi="Times New Roman" w:cs="Times New Roman"/>
          <w:sz w:val="24"/>
          <w:szCs w:val="24"/>
        </w:rPr>
        <w:t>topics focus on business planning, bookkeeping and tax planning, financial management, business credit, and cash flow.</w:t>
      </w:r>
    </w:p>
    <w:p w14:paraId="165D0E4D" w14:textId="5FC76E69" w:rsidR="003A16BB" w:rsidRDefault="003A16BB" w:rsidP="00816F69">
      <w:pPr>
        <w:autoSpaceDE w:val="0"/>
        <w:autoSpaceDN w:val="0"/>
        <w:adjustRightInd w:val="0"/>
        <w:spacing w:after="0" w:line="240" w:lineRule="auto"/>
        <w:rPr>
          <w:rFonts w:ascii="Times New Roman" w:hAnsi="Times New Roman" w:cs="Times New Roman"/>
          <w:sz w:val="24"/>
          <w:szCs w:val="24"/>
        </w:rPr>
      </w:pPr>
    </w:p>
    <w:p w14:paraId="00E39774" w14:textId="6DA9D80D" w:rsidR="003A16BB" w:rsidRPr="003A16BB" w:rsidRDefault="003A16BB" w:rsidP="00816F69">
      <w:pPr>
        <w:autoSpaceDE w:val="0"/>
        <w:autoSpaceDN w:val="0"/>
        <w:adjustRightInd w:val="0"/>
        <w:spacing w:after="0" w:line="240" w:lineRule="auto"/>
        <w:rPr>
          <w:rFonts w:ascii="Times New Roman" w:hAnsi="Times New Roman" w:cs="Times New Roman"/>
          <w:i/>
          <w:sz w:val="24"/>
          <w:szCs w:val="24"/>
        </w:rPr>
      </w:pPr>
      <w:r w:rsidRPr="003A16BB">
        <w:rPr>
          <w:rFonts w:ascii="Times New Roman" w:hAnsi="Times New Roman" w:cs="Times New Roman"/>
          <w:i/>
          <w:sz w:val="24"/>
          <w:szCs w:val="24"/>
        </w:rPr>
        <w:t>Other Financial Education</w:t>
      </w:r>
    </w:p>
    <w:p w14:paraId="74279812" w14:textId="45D99D5E" w:rsidR="00816F69" w:rsidRDefault="003A16BB" w:rsidP="00816F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Additionally, t</w:t>
      </w:r>
      <w:r w:rsidR="00337CAF">
        <w:rPr>
          <w:rFonts w:ascii="Times New Roman" w:hAnsi="Times New Roman" w:cs="Times New Roman"/>
          <w:sz w:val="24"/>
          <w:szCs w:val="24"/>
        </w:rPr>
        <w:t xml:space="preserve">he </w:t>
      </w:r>
      <w:r w:rsidR="00816F69" w:rsidRPr="0014110E">
        <w:rPr>
          <w:rFonts w:ascii="Times New Roman" w:hAnsi="Times New Roman" w:cs="Times New Roman"/>
          <w:sz w:val="24"/>
          <w:szCs w:val="24"/>
        </w:rPr>
        <w:t xml:space="preserve">bank provides financial education and training </w:t>
      </w:r>
      <w:r w:rsidR="00EE323C">
        <w:rPr>
          <w:rFonts w:ascii="Times New Roman" w:hAnsi="Times New Roman" w:cs="Times New Roman"/>
          <w:sz w:val="24"/>
          <w:szCs w:val="24"/>
        </w:rPr>
        <w:t>t</w:t>
      </w:r>
      <w:r w:rsidR="00816F69" w:rsidRPr="0014110E">
        <w:rPr>
          <w:rFonts w:ascii="Times New Roman" w:hAnsi="Times New Roman" w:cs="Times New Roman"/>
          <w:sz w:val="24"/>
          <w:szCs w:val="24"/>
        </w:rPr>
        <w:t xml:space="preserve">hroughout the assessment area, both in schools and </w:t>
      </w:r>
      <w:r>
        <w:rPr>
          <w:rFonts w:ascii="Times New Roman" w:hAnsi="Times New Roman" w:cs="Times New Roman"/>
          <w:sz w:val="24"/>
          <w:szCs w:val="24"/>
        </w:rPr>
        <w:t>at</w:t>
      </w:r>
      <w:r w:rsidR="00816F69" w:rsidRPr="0014110E">
        <w:rPr>
          <w:rFonts w:ascii="Times New Roman" w:hAnsi="Times New Roman" w:cs="Times New Roman"/>
          <w:sz w:val="24"/>
          <w:szCs w:val="24"/>
        </w:rPr>
        <w:t xml:space="preserve"> local nonprofit organizations.</w:t>
      </w:r>
      <w:r w:rsidR="00816F69">
        <w:rPr>
          <w:rFonts w:ascii="Times New Roman" w:hAnsi="Times New Roman" w:cs="Times New Roman"/>
          <w:sz w:val="24"/>
          <w:szCs w:val="24"/>
        </w:rPr>
        <w:t xml:space="preserve"> </w:t>
      </w:r>
      <w:r w:rsidR="00816F69" w:rsidRPr="0014110E">
        <w:rPr>
          <w:rFonts w:ascii="Times New Roman" w:hAnsi="Times New Roman" w:cs="Times New Roman"/>
          <w:sz w:val="24"/>
          <w:szCs w:val="24"/>
        </w:rPr>
        <w:t xml:space="preserve"> This education and training includes courses</w:t>
      </w:r>
      <w:r w:rsidR="00816F69">
        <w:rPr>
          <w:rFonts w:ascii="Times New Roman" w:hAnsi="Times New Roman" w:cs="Times New Roman"/>
          <w:sz w:val="24"/>
          <w:szCs w:val="24"/>
        </w:rPr>
        <w:t xml:space="preserve"> presented</w:t>
      </w:r>
      <w:r w:rsidR="00816F69" w:rsidRPr="0014110E">
        <w:rPr>
          <w:rFonts w:ascii="Times New Roman" w:hAnsi="Times New Roman" w:cs="Times New Roman"/>
          <w:sz w:val="24"/>
          <w:szCs w:val="24"/>
        </w:rPr>
        <w:t xml:space="preserve"> in foreign languages, in low- and moderate-income geographies, to youth and adults, and to nonprofits who serve the needs of low- and moderate-income communities</w:t>
      </w:r>
      <w:r w:rsidR="004201BD">
        <w:rPr>
          <w:rFonts w:ascii="Times New Roman" w:hAnsi="Times New Roman" w:cs="Times New Roman"/>
          <w:sz w:val="24"/>
          <w:szCs w:val="24"/>
        </w:rPr>
        <w:t>.</w:t>
      </w:r>
    </w:p>
    <w:p w14:paraId="01E77B1D" w14:textId="6571D58E" w:rsidR="004201BD" w:rsidRDefault="004201BD" w:rsidP="00816F69">
      <w:pPr>
        <w:autoSpaceDE w:val="0"/>
        <w:autoSpaceDN w:val="0"/>
        <w:adjustRightInd w:val="0"/>
        <w:spacing w:after="0" w:line="240" w:lineRule="auto"/>
        <w:rPr>
          <w:rFonts w:ascii="Times New Roman" w:hAnsi="Times New Roman" w:cs="Times New Roman"/>
          <w:sz w:val="24"/>
          <w:szCs w:val="24"/>
        </w:rPr>
      </w:pPr>
    </w:p>
    <w:p w14:paraId="11DE9340" w14:textId="77777777" w:rsidR="004201BD" w:rsidRPr="004201BD" w:rsidRDefault="004201BD" w:rsidP="004201BD">
      <w:pPr>
        <w:spacing w:after="0"/>
        <w:rPr>
          <w:rFonts w:ascii="Times New Roman" w:hAnsi="Times New Roman" w:cs="Times New Roman"/>
          <w:i/>
          <w:sz w:val="24"/>
          <w:szCs w:val="23"/>
        </w:rPr>
      </w:pPr>
      <w:r w:rsidRPr="004201BD">
        <w:rPr>
          <w:rFonts w:ascii="Times New Roman" w:hAnsi="Times New Roman" w:cs="Times New Roman"/>
          <w:i/>
          <w:sz w:val="24"/>
          <w:szCs w:val="23"/>
        </w:rPr>
        <w:t>Credit for Life Fairs</w:t>
      </w:r>
    </w:p>
    <w:p w14:paraId="6CD1BE5A" w14:textId="684EBAC5" w:rsidR="00F55FC2" w:rsidRDefault="00F55FC2" w:rsidP="004201BD">
      <w:pPr>
        <w:pStyle w:val="Default"/>
        <w:rPr>
          <w:szCs w:val="23"/>
        </w:rPr>
      </w:pPr>
      <w:r>
        <w:t xml:space="preserve">The bank has been instrumental in implementing this widely successful financial literacy program for high school students on </w:t>
      </w:r>
      <w:r w:rsidRPr="007405AF">
        <w:t>the basics of personal finance</w:t>
      </w:r>
      <w:r>
        <w:t xml:space="preserve"> since 2001</w:t>
      </w:r>
      <w:r w:rsidRPr="007405AF">
        <w:t xml:space="preserve">.  The program is an interactive fair where </w:t>
      </w:r>
      <w:r>
        <w:t>each student</w:t>
      </w:r>
      <w:r w:rsidRPr="007405AF">
        <w:t xml:space="preserve"> </w:t>
      </w:r>
      <w:r>
        <w:t>is</w:t>
      </w:r>
      <w:r w:rsidRPr="007405AF">
        <w:t xml:space="preserve"> given a scenario that provides them with net income and a blank budget</w:t>
      </w:r>
      <w:r>
        <w:t xml:space="preserve"> sheet.  Then they must visit various</w:t>
      </w:r>
      <w:r w:rsidRPr="007405AF">
        <w:t xml:space="preserve"> booths to decide what lifestyle choices their budget all</w:t>
      </w:r>
      <w:r>
        <w:t xml:space="preserve">ows.  </w:t>
      </w:r>
      <w:r>
        <w:rPr>
          <w:sz w:val="23"/>
          <w:szCs w:val="23"/>
        </w:rPr>
        <w:t xml:space="preserve">  </w:t>
      </w:r>
      <w:r w:rsidR="004201BD" w:rsidRPr="00D83231">
        <w:rPr>
          <w:szCs w:val="23"/>
        </w:rPr>
        <w:t>During th</w:t>
      </w:r>
      <w:r w:rsidR="004201BD">
        <w:rPr>
          <w:szCs w:val="23"/>
        </w:rPr>
        <w:t xml:space="preserve">e evaluation </w:t>
      </w:r>
      <w:r w:rsidR="004201BD" w:rsidRPr="00D83231">
        <w:rPr>
          <w:szCs w:val="23"/>
        </w:rPr>
        <w:t xml:space="preserve">period, </w:t>
      </w:r>
      <w:r w:rsidR="00EE323C">
        <w:rPr>
          <w:szCs w:val="23"/>
        </w:rPr>
        <w:t>b</w:t>
      </w:r>
      <w:r w:rsidR="00EE323C" w:rsidRPr="00D83231">
        <w:rPr>
          <w:szCs w:val="23"/>
        </w:rPr>
        <w:t xml:space="preserve">ank employees volunteered </w:t>
      </w:r>
      <w:r w:rsidR="00EE323C">
        <w:rPr>
          <w:szCs w:val="23"/>
        </w:rPr>
        <w:t>at</w:t>
      </w:r>
      <w:r w:rsidR="00EE323C" w:rsidRPr="00D83231">
        <w:rPr>
          <w:szCs w:val="23"/>
        </w:rPr>
        <w:t xml:space="preserve"> 20 Credit for Life Fairs</w:t>
      </w:r>
      <w:r w:rsidR="00EE323C">
        <w:rPr>
          <w:szCs w:val="23"/>
        </w:rPr>
        <w:t>, including the first one at Blue Hills Regional Vocational Technical High School in 2018.  These fairs</w:t>
      </w:r>
      <w:r w:rsidR="00EE323C" w:rsidRPr="00D83231">
        <w:rPr>
          <w:szCs w:val="23"/>
        </w:rPr>
        <w:t xml:space="preserve"> reach</w:t>
      </w:r>
      <w:r w:rsidR="00EE323C">
        <w:rPr>
          <w:szCs w:val="23"/>
        </w:rPr>
        <w:t>ed</w:t>
      </w:r>
      <w:r w:rsidR="00EE323C" w:rsidRPr="00D83231">
        <w:rPr>
          <w:szCs w:val="23"/>
        </w:rPr>
        <w:t xml:space="preserve"> 5,755 students, </w:t>
      </w:r>
      <w:r w:rsidR="00EE323C">
        <w:rPr>
          <w:szCs w:val="23"/>
        </w:rPr>
        <w:t xml:space="preserve">including nearly </w:t>
      </w:r>
      <w:r w:rsidR="00EE323C" w:rsidRPr="00D83231">
        <w:rPr>
          <w:szCs w:val="23"/>
        </w:rPr>
        <w:t>2</w:t>
      </w:r>
      <w:r w:rsidR="00EE323C">
        <w:rPr>
          <w:szCs w:val="23"/>
        </w:rPr>
        <w:t>,000</w:t>
      </w:r>
      <w:r w:rsidR="00EE323C" w:rsidRPr="00D83231">
        <w:rPr>
          <w:szCs w:val="23"/>
        </w:rPr>
        <w:t xml:space="preserve"> in Brockton.</w:t>
      </w:r>
      <w:r w:rsidR="00EE323C">
        <w:rPr>
          <w:szCs w:val="23"/>
        </w:rPr>
        <w:t xml:space="preserve">  </w:t>
      </w:r>
      <w:r w:rsidR="00EE323C" w:rsidRPr="00EE323C">
        <w:rPr>
          <w:szCs w:val="23"/>
        </w:rPr>
        <w:t xml:space="preserve"> </w:t>
      </w:r>
      <w:r w:rsidR="00EE323C" w:rsidRPr="00D83231">
        <w:rPr>
          <w:szCs w:val="23"/>
        </w:rPr>
        <w:t xml:space="preserve">In 2018, 2019 and 2020, </w:t>
      </w:r>
      <w:r w:rsidR="00EE323C">
        <w:rPr>
          <w:szCs w:val="23"/>
        </w:rPr>
        <w:t>HOB</w:t>
      </w:r>
      <w:r w:rsidR="00EE323C" w:rsidRPr="00D83231">
        <w:rPr>
          <w:szCs w:val="23"/>
        </w:rPr>
        <w:t xml:space="preserve"> staff successfully secured a $2,500 grant from the MA State Treasurer’s Office to defray </w:t>
      </w:r>
      <w:r w:rsidR="00EE323C">
        <w:rPr>
          <w:szCs w:val="23"/>
        </w:rPr>
        <w:t>fair costs for</w:t>
      </w:r>
      <w:r w:rsidR="00EE323C" w:rsidRPr="00D83231">
        <w:rPr>
          <w:szCs w:val="23"/>
        </w:rPr>
        <w:t xml:space="preserve"> Brockton High School.</w:t>
      </w:r>
      <w:r w:rsidR="00EE323C">
        <w:rPr>
          <w:szCs w:val="23"/>
        </w:rPr>
        <w:t xml:space="preserve">  </w:t>
      </w:r>
      <w:r w:rsidR="00B03FCB">
        <w:rPr>
          <w:szCs w:val="23"/>
        </w:rPr>
        <w:t>The bank also</w:t>
      </w:r>
      <w:r w:rsidR="00337CAF">
        <w:rPr>
          <w:szCs w:val="23"/>
        </w:rPr>
        <w:t xml:space="preserve"> </w:t>
      </w:r>
      <w:r w:rsidR="004201BD" w:rsidRPr="00D83231">
        <w:rPr>
          <w:szCs w:val="23"/>
        </w:rPr>
        <w:t>assist</w:t>
      </w:r>
      <w:r w:rsidR="004201BD">
        <w:rPr>
          <w:szCs w:val="23"/>
        </w:rPr>
        <w:t>ed</w:t>
      </w:r>
      <w:r w:rsidR="004201BD" w:rsidRPr="00D83231">
        <w:rPr>
          <w:szCs w:val="23"/>
        </w:rPr>
        <w:t xml:space="preserve"> Randolph High School in obtaining a grant from the MA State Treasurer’s Office</w:t>
      </w:r>
      <w:r w:rsidR="00337CAF">
        <w:rPr>
          <w:szCs w:val="23"/>
        </w:rPr>
        <w:t xml:space="preserve"> to sponsor their own Credit for Life Fair</w:t>
      </w:r>
      <w:r w:rsidR="004201BD" w:rsidRPr="00D83231">
        <w:rPr>
          <w:szCs w:val="23"/>
        </w:rPr>
        <w:t xml:space="preserve">. </w:t>
      </w:r>
      <w:r>
        <w:rPr>
          <w:szCs w:val="23"/>
        </w:rPr>
        <w:t xml:space="preserve"> </w:t>
      </w:r>
    </w:p>
    <w:p w14:paraId="27756C43" w14:textId="77777777" w:rsidR="00337CAF" w:rsidRDefault="00337CAF" w:rsidP="00D74364">
      <w:pPr>
        <w:pStyle w:val="Default"/>
        <w:rPr>
          <w:szCs w:val="23"/>
        </w:rPr>
      </w:pPr>
    </w:p>
    <w:p w14:paraId="5B1A924F" w14:textId="5A234910" w:rsidR="004201BD" w:rsidRPr="00F55FC2" w:rsidRDefault="004201BD" w:rsidP="00D74364">
      <w:pPr>
        <w:pStyle w:val="Default"/>
        <w:rPr>
          <w:sz w:val="28"/>
        </w:rPr>
      </w:pPr>
      <w:r w:rsidRPr="00F55FC2">
        <w:rPr>
          <w:szCs w:val="23"/>
        </w:rPr>
        <w:t xml:space="preserve">Since many Credit for Life Fairs did not </w:t>
      </w:r>
      <w:r w:rsidR="000F1C6B">
        <w:rPr>
          <w:szCs w:val="23"/>
        </w:rPr>
        <w:t>occur in</w:t>
      </w:r>
      <w:r w:rsidRPr="00F55FC2">
        <w:rPr>
          <w:szCs w:val="23"/>
        </w:rPr>
        <w:t xml:space="preserve"> 2020</w:t>
      </w:r>
      <w:r w:rsidR="00F55FC2">
        <w:rPr>
          <w:szCs w:val="23"/>
        </w:rPr>
        <w:t xml:space="preserve"> due to COVID-19</w:t>
      </w:r>
      <w:r w:rsidRPr="00F55FC2">
        <w:rPr>
          <w:szCs w:val="23"/>
        </w:rPr>
        <w:t xml:space="preserve">, </w:t>
      </w:r>
      <w:r w:rsidR="00F55FC2">
        <w:rPr>
          <w:szCs w:val="23"/>
        </w:rPr>
        <w:t>HOB</w:t>
      </w:r>
      <w:r w:rsidRPr="00F55FC2">
        <w:rPr>
          <w:szCs w:val="23"/>
        </w:rPr>
        <w:t xml:space="preserve"> joined forces with seven other banks to share the cost of a vendor to develop a virtual Credit for Life “experience</w:t>
      </w:r>
      <w:r w:rsidR="00F55FC2">
        <w:rPr>
          <w:szCs w:val="23"/>
        </w:rPr>
        <w:t>,</w:t>
      </w:r>
      <w:r w:rsidRPr="00F55FC2">
        <w:rPr>
          <w:szCs w:val="23"/>
        </w:rPr>
        <w:t xml:space="preserve">” </w:t>
      </w:r>
      <w:r w:rsidR="00F55FC2">
        <w:rPr>
          <w:szCs w:val="23"/>
        </w:rPr>
        <w:t>hoping to make</w:t>
      </w:r>
      <w:r w:rsidRPr="00F55FC2">
        <w:rPr>
          <w:szCs w:val="23"/>
        </w:rPr>
        <w:t xml:space="preserve"> a free web-based program available to all </w:t>
      </w:r>
      <w:r w:rsidR="00F55FC2">
        <w:rPr>
          <w:szCs w:val="23"/>
        </w:rPr>
        <w:t xml:space="preserve">Massachusetts </w:t>
      </w:r>
      <w:r w:rsidRPr="00F55FC2">
        <w:rPr>
          <w:szCs w:val="23"/>
        </w:rPr>
        <w:t xml:space="preserve">schools in 2021. </w:t>
      </w:r>
      <w:r w:rsidR="00F55FC2">
        <w:rPr>
          <w:szCs w:val="23"/>
        </w:rPr>
        <w:t xml:space="preserve"> </w:t>
      </w:r>
      <w:r w:rsidRPr="00F55FC2">
        <w:rPr>
          <w:szCs w:val="23"/>
        </w:rPr>
        <w:t>This platform will also become available to non-profit organizations for</w:t>
      </w:r>
      <w:r w:rsidR="003E5561">
        <w:rPr>
          <w:szCs w:val="23"/>
        </w:rPr>
        <w:t xml:space="preserve"> use with</w:t>
      </w:r>
      <w:r w:rsidRPr="00F55FC2">
        <w:rPr>
          <w:szCs w:val="23"/>
        </w:rPr>
        <w:t xml:space="preserve"> their clients.</w:t>
      </w:r>
    </w:p>
    <w:p w14:paraId="2E01E81F" w14:textId="77777777" w:rsidR="00816F69" w:rsidRDefault="00816F69" w:rsidP="00816F69">
      <w:pPr>
        <w:autoSpaceDE w:val="0"/>
        <w:autoSpaceDN w:val="0"/>
        <w:adjustRightInd w:val="0"/>
        <w:spacing w:after="0" w:line="240" w:lineRule="auto"/>
        <w:rPr>
          <w:rFonts w:ascii="Times New Roman" w:hAnsi="Times New Roman" w:cs="Times New Roman"/>
          <w:color w:val="000000"/>
          <w:sz w:val="24"/>
          <w:szCs w:val="24"/>
        </w:rPr>
      </w:pPr>
    </w:p>
    <w:p w14:paraId="1A32B139" w14:textId="77777777" w:rsidR="00816F69" w:rsidRDefault="00816F69" w:rsidP="00816F69">
      <w:pPr>
        <w:widowControl w:val="0"/>
        <w:spacing w:after="0" w:line="240" w:lineRule="auto"/>
        <w:contextualSpacing/>
        <w:rPr>
          <w:rFonts w:ascii="Times New Roman" w:eastAsia="Times New Roman" w:hAnsi="Times New Roman" w:cs="Times New Roman"/>
          <w:b/>
          <w:snapToGrid w:val="0"/>
          <w:color w:val="000000"/>
          <w:sz w:val="24"/>
          <w:szCs w:val="24"/>
          <w:lang w:eastAsia="x-none"/>
        </w:rPr>
      </w:pPr>
      <w:r w:rsidRPr="00D70E5C">
        <w:rPr>
          <w:rFonts w:ascii="Times New Roman" w:eastAsia="Times New Roman" w:hAnsi="Times New Roman" w:cs="Times New Roman"/>
          <w:b/>
          <w:snapToGrid w:val="0"/>
          <w:color w:val="000000"/>
          <w:sz w:val="24"/>
          <w:szCs w:val="24"/>
          <w:lang w:eastAsia="x-none"/>
        </w:rPr>
        <w:t>Board Involvement and Technical Expertise</w:t>
      </w:r>
    </w:p>
    <w:p w14:paraId="25C5A7E2" w14:textId="77777777" w:rsidR="00816F69" w:rsidRDefault="00816F69" w:rsidP="00816F69">
      <w:pPr>
        <w:autoSpaceDE w:val="0"/>
        <w:autoSpaceDN w:val="0"/>
        <w:adjustRightInd w:val="0"/>
        <w:spacing w:after="0" w:line="240" w:lineRule="auto"/>
        <w:rPr>
          <w:rFonts w:ascii="Times New Roman" w:hAnsi="Times New Roman" w:cs="Times New Roman"/>
          <w:sz w:val="24"/>
          <w:szCs w:val="24"/>
        </w:rPr>
      </w:pPr>
    </w:p>
    <w:p w14:paraId="2AC64A37" w14:textId="6E55D2DD" w:rsidR="00816F69" w:rsidRDefault="000B5B91" w:rsidP="00816F69">
      <w:pPr>
        <w:autoSpaceDE w:val="0"/>
        <w:autoSpaceDN w:val="0"/>
        <w:adjustRightInd w:val="0"/>
        <w:spacing w:after="0" w:line="240" w:lineRule="auto"/>
        <w:rPr>
          <w:rFonts w:ascii="Times New Roman" w:hAnsi="Times New Roman" w:cs="Times New Roman"/>
          <w:color w:val="000000"/>
          <w:sz w:val="24"/>
          <w:szCs w:val="24"/>
        </w:rPr>
      </w:pPr>
      <w:r w:rsidRPr="00C62AA2">
        <w:rPr>
          <w:rFonts w:ascii="Times New Roman" w:hAnsi="Times New Roman" w:cs="Times New Roman"/>
          <w:sz w:val="24"/>
          <w:szCs w:val="24"/>
        </w:rPr>
        <w:t>In addition to financial education, the bank provided 3,702 hours of qualified</w:t>
      </w:r>
      <w:r>
        <w:rPr>
          <w:rFonts w:ascii="Times New Roman" w:hAnsi="Times New Roman" w:cs="Times New Roman"/>
          <w:sz w:val="24"/>
          <w:szCs w:val="24"/>
        </w:rPr>
        <w:t xml:space="preserve"> community development services</w:t>
      </w:r>
      <w:r w:rsidR="00875E9C">
        <w:rPr>
          <w:rFonts w:ascii="Times New Roman" w:hAnsi="Times New Roman" w:cs="Times New Roman"/>
          <w:sz w:val="24"/>
          <w:szCs w:val="24"/>
        </w:rPr>
        <w:t xml:space="preserve"> in the Massachusetts rated area</w:t>
      </w:r>
      <w:r>
        <w:rPr>
          <w:rFonts w:ascii="Times New Roman" w:hAnsi="Times New Roman" w:cs="Times New Roman"/>
          <w:sz w:val="24"/>
          <w:szCs w:val="24"/>
        </w:rPr>
        <w:t xml:space="preserve">.  </w:t>
      </w:r>
      <w:r w:rsidRPr="00C62AA2">
        <w:rPr>
          <w:rFonts w:ascii="Times New Roman" w:hAnsi="Times New Roman" w:cs="Times New Roman"/>
          <w:sz w:val="24"/>
          <w:szCs w:val="24"/>
        </w:rPr>
        <w:t xml:space="preserve">These hours represent 65.0 percent of </w:t>
      </w:r>
      <w:r w:rsidR="006E49C7">
        <w:rPr>
          <w:rFonts w:ascii="Times New Roman" w:hAnsi="Times New Roman" w:cs="Times New Roman"/>
          <w:sz w:val="24"/>
          <w:szCs w:val="24"/>
        </w:rPr>
        <w:t xml:space="preserve">the bank’s </w:t>
      </w:r>
      <w:r w:rsidR="00875E9C">
        <w:rPr>
          <w:rFonts w:ascii="Times New Roman" w:hAnsi="Times New Roman" w:cs="Times New Roman"/>
          <w:sz w:val="24"/>
          <w:szCs w:val="24"/>
        </w:rPr>
        <w:t xml:space="preserve">total </w:t>
      </w:r>
      <w:r w:rsidRPr="00C62AA2">
        <w:rPr>
          <w:rFonts w:ascii="Times New Roman" w:hAnsi="Times New Roman" w:cs="Times New Roman"/>
          <w:sz w:val="24"/>
          <w:szCs w:val="24"/>
        </w:rPr>
        <w:t>financial and technical assistance activities.</w:t>
      </w:r>
      <w:r w:rsidR="00875E9C">
        <w:rPr>
          <w:rFonts w:ascii="Times New Roman" w:hAnsi="Times New Roman" w:cs="Times New Roman"/>
          <w:sz w:val="24"/>
          <w:szCs w:val="24"/>
        </w:rPr>
        <w:t xml:space="preserve">  </w:t>
      </w:r>
      <w:r w:rsidR="00816F69">
        <w:rPr>
          <w:rFonts w:ascii="Times New Roman" w:hAnsi="Times New Roman" w:cs="Times New Roman"/>
          <w:sz w:val="24"/>
          <w:szCs w:val="24"/>
        </w:rPr>
        <w:t xml:space="preserve">Bank </w:t>
      </w:r>
      <w:r w:rsidR="00816F69" w:rsidRPr="00E17158">
        <w:rPr>
          <w:rFonts w:ascii="Times New Roman" w:hAnsi="Times New Roman" w:cs="Times New Roman"/>
          <w:sz w:val="24"/>
          <w:szCs w:val="24"/>
        </w:rPr>
        <w:t>officers have taken a leadership role within community organizations t</w:t>
      </w:r>
      <w:r w:rsidR="00816F69">
        <w:rPr>
          <w:rFonts w:ascii="Times New Roman" w:hAnsi="Times New Roman" w:cs="Times New Roman"/>
          <w:sz w:val="24"/>
          <w:szCs w:val="24"/>
        </w:rPr>
        <w:t xml:space="preserve">o </w:t>
      </w:r>
      <w:r w:rsidR="00816F69" w:rsidRPr="00E17158">
        <w:rPr>
          <w:rFonts w:ascii="Times New Roman" w:hAnsi="Times New Roman" w:cs="Times New Roman"/>
          <w:sz w:val="24"/>
          <w:szCs w:val="24"/>
        </w:rPr>
        <w:t>provide significant support to the most economically diverse areas of the assessment area, many being low</w:t>
      </w:r>
      <w:r w:rsidR="00875E9C">
        <w:rPr>
          <w:rFonts w:ascii="Times New Roman" w:hAnsi="Times New Roman" w:cs="Times New Roman"/>
          <w:sz w:val="24"/>
          <w:szCs w:val="24"/>
        </w:rPr>
        <w:t>-</w:t>
      </w:r>
      <w:r w:rsidR="00816F69" w:rsidRPr="00E17158">
        <w:rPr>
          <w:rFonts w:ascii="Times New Roman" w:hAnsi="Times New Roman" w:cs="Times New Roman"/>
          <w:sz w:val="24"/>
          <w:szCs w:val="24"/>
        </w:rPr>
        <w:t xml:space="preserve"> and moderate-income areas</w:t>
      </w:r>
      <w:r w:rsidR="00875E9C">
        <w:rPr>
          <w:rFonts w:ascii="Times New Roman" w:hAnsi="Times New Roman" w:cs="Times New Roman"/>
          <w:sz w:val="24"/>
          <w:szCs w:val="24"/>
        </w:rPr>
        <w:t>.</w:t>
      </w:r>
    </w:p>
    <w:p w14:paraId="1419F3E7" w14:textId="77777777" w:rsidR="00816F69" w:rsidRDefault="00816F69" w:rsidP="00816F69">
      <w:pPr>
        <w:autoSpaceDE w:val="0"/>
        <w:autoSpaceDN w:val="0"/>
        <w:adjustRightInd w:val="0"/>
        <w:spacing w:after="0" w:line="240" w:lineRule="auto"/>
        <w:rPr>
          <w:rFonts w:ascii="Times New Roman" w:hAnsi="Times New Roman" w:cs="Times New Roman"/>
          <w:color w:val="000000"/>
          <w:sz w:val="24"/>
          <w:szCs w:val="24"/>
        </w:rPr>
      </w:pPr>
    </w:p>
    <w:p w14:paraId="42AEA92E" w14:textId="36F63F15" w:rsidR="00816F69" w:rsidRPr="008904CD" w:rsidRDefault="00875E9C" w:rsidP="00816F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HOB’s o</w:t>
      </w:r>
      <w:r w:rsidR="00816F69" w:rsidRPr="008904CD">
        <w:rPr>
          <w:rFonts w:ascii="Times New Roman" w:hAnsi="Times New Roman" w:cs="Times New Roman"/>
          <w:color w:val="000000"/>
          <w:sz w:val="24"/>
          <w:szCs w:val="24"/>
        </w:rPr>
        <w:t xml:space="preserve">fficers serve on boards and committees of leading </w:t>
      </w:r>
      <w:r w:rsidR="003E5561">
        <w:rPr>
          <w:rFonts w:ascii="Times New Roman" w:hAnsi="Times New Roman" w:cs="Times New Roman"/>
          <w:color w:val="000000"/>
          <w:sz w:val="24"/>
          <w:szCs w:val="24"/>
        </w:rPr>
        <w:t xml:space="preserve">area </w:t>
      </w:r>
      <w:r w:rsidR="00816F69" w:rsidRPr="008904CD">
        <w:rPr>
          <w:rFonts w:ascii="Times New Roman" w:hAnsi="Times New Roman" w:cs="Times New Roman"/>
          <w:color w:val="000000"/>
          <w:sz w:val="24"/>
          <w:szCs w:val="24"/>
        </w:rPr>
        <w:t>nonprofits including</w:t>
      </w:r>
      <w:r w:rsidR="003E5561">
        <w:rPr>
          <w:rFonts w:ascii="Times New Roman" w:hAnsi="Times New Roman" w:cs="Times New Roman"/>
          <w:color w:val="000000"/>
          <w:sz w:val="24"/>
          <w:szCs w:val="24"/>
        </w:rPr>
        <w:t>,</w:t>
      </w:r>
      <w:r w:rsidR="00816F69" w:rsidRPr="008904CD">
        <w:rPr>
          <w:rFonts w:ascii="Times New Roman" w:hAnsi="Times New Roman" w:cs="Times New Roman"/>
          <w:color w:val="000000"/>
          <w:sz w:val="24"/>
          <w:szCs w:val="24"/>
        </w:rPr>
        <w:t xml:space="preserve"> but not limited to: Old Colony YMCA, Old Colony Hospice, the United Way of Greater Plymouth County, NeighborWorks Southern Mass, and Brockton Boys and Girls Club</w:t>
      </w:r>
      <w:r w:rsidR="00816F69">
        <w:rPr>
          <w:rFonts w:ascii="Times New Roman" w:hAnsi="Times New Roman" w:cs="Times New Roman"/>
          <w:color w:val="000000"/>
          <w:sz w:val="24"/>
          <w:szCs w:val="24"/>
        </w:rPr>
        <w:t xml:space="preserve">.  </w:t>
      </w:r>
      <w:r w:rsidR="00816F69" w:rsidRPr="008904CD">
        <w:rPr>
          <w:rFonts w:ascii="Times New Roman" w:hAnsi="Times New Roman" w:cs="Times New Roman"/>
          <w:color w:val="000000"/>
          <w:sz w:val="24"/>
          <w:szCs w:val="24"/>
        </w:rPr>
        <w:t xml:space="preserve">All of these organizations serve low- and moderate-income individuals in the </w:t>
      </w:r>
      <w:r w:rsidR="00816F69">
        <w:rPr>
          <w:rFonts w:ascii="Times New Roman" w:hAnsi="Times New Roman" w:cs="Times New Roman"/>
          <w:color w:val="000000"/>
          <w:sz w:val="24"/>
          <w:szCs w:val="24"/>
        </w:rPr>
        <w:t>Massachusetts assessment area</w:t>
      </w:r>
      <w:r w:rsidRPr="008904CD">
        <w:rPr>
          <w:rFonts w:ascii="Times New Roman" w:hAnsi="Times New Roman" w:cs="Times New Roman"/>
          <w:color w:val="000000"/>
          <w:sz w:val="24"/>
          <w:szCs w:val="24"/>
        </w:rPr>
        <w:t xml:space="preserve">.  </w:t>
      </w:r>
      <w:r w:rsidR="00816F69" w:rsidRPr="008904CD">
        <w:rPr>
          <w:rFonts w:ascii="Times New Roman" w:hAnsi="Times New Roman" w:cs="Times New Roman"/>
          <w:color w:val="000000"/>
          <w:sz w:val="24"/>
          <w:szCs w:val="24"/>
        </w:rPr>
        <w:t xml:space="preserve">HarborOne Officers also serve on the boards and financial/investment committees of economic development organizations including </w:t>
      </w:r>
      <w:r w:rsidR="00816F69" w:rsidRPr="00662784">
        <w:rPr>
          <w:rFonts w:ascii="Times New Roman" w:hAnsi="Times New Roman" w:cs="Times New Roman"/>
          <w:color w:val="000000"/>
          <w:sz w:val="24"/>
          <w:szCs w:val="24"/>
        </w:rPr>
        <w:t>Brockton Area Workforce Development</w:t>
      </w:r>
      <w:r w:rsidR="003604BC" w:rsidRPr="00662784">
        <w:rPr>
          <w:rFonts w:ascii="Times New Roman" w:hAnsi="Times New Roman" w:cs="Times New Roman"/>
          <w:color w:val="000000"/>
          <w:sz w:val="24"/>
          <w:szCs w:val="24"/>
        </w:rPr>
        <w:t>,</w:t>
      </w:r>
      <w:r w:rsidR="00816F69" w:rsidRPr="00662784">
        <w:rPr>
          <w:rFonts w:ascii="Times New Roman" w:hAnsi="Times New Roman" w:cs="Times New Roman"/>
          <w:color w:val="000000"/>
          <w:sz w:val="24"/>
          <w:szCs w:val="24"/>
        </w:rPr>
        <w:t xml:space="preserve"> Southeastern Economic Development (SEED) Corporation</w:t>
      </w:r>
      <w:r w:rsidR="003604BC" w:rsidRPr="00662784">
        <w:rPr>
          <w:rFonts w:ascii="Times New Roman" w:hAnsi="Times New Roman" w:cs="Times New Roman"/>
          <w:color w:val="000000"/>
          <w:sz w:val="24"/>
          <w:szCs w:val="24"/>
        </w:rPr>
        <w:t>,</w:t>
      </w:r>
      <w:r w:rsidR="00816F69" w:rsidRPr="00662784">
        <w:rPr>
          <w:rFonts w:ascii="Times New Roman" w:hAnsi="Times New Roman" w:cs="Times New Roman"/>
          <w:color w:val="000000"/>
          <w:sz w:val="24"/>
          <w:szCs w:val="24"/>
        </w:rPr>
        <w:t xml:space="preserve"> and other similar organizations</w:t>
      </w:r>
      <w:r w:rsidR="00141C01" w:rsidRPr="00662784">
        <w:rPr>
          <w:rFonts w:ascii="Times New Roman" w:hAnsi="Times New Roman" w:cs="Times New Roman"/>
          <w:color w:val="000000"/>
          <w:sz w:val="24"/>
          <w:szCs w:val="24"/>
        </w:rPr>
        <w:t>.</w:t>
      </w:r>
      <w:r w:rsidR="00816F69" w:rsidRPr="008904CD">
        <w:rPr>
          <w:rFonts w:ascii="Times New Roman" w:hAnsi="Times New Roman" w:cs="Times New Roman"/>
          <w:color w:val="000000"/>
          <w:sz w:val="24"/>
          <w:szCs w:val="24"/>
        </w:rPr>
        <w:t xml:space="preserve"> </w:t>
      </w:r>
    </w:p>
    <w:p w14:paraId="419D0F65" w14:textId="77777777" w:rsidR="00816F69" w:rsidRPr="008904CD" w:rsidRDefault="00816F69" w:rsidP="00816F69">
      <w:pPr>
        <w:autoSpaceDE w:val="0"/>
        <w:autoSpaceDN w:val="0"/>
        <w:adjustRightInd w:val="0"/>
        <w:spacing w:after="0" w:line="240" w:lineRule="auto"/>
        <w:rPr>
          <w:rFonts w:ascii="Times New Roman" w:hAnsi="Times New Roman" w:cs="Times New Roman"/>
          <w:color w:val="000000"/>
          <w:sz w:val="24"/>
          <w:szCs w:val="24"/>
        </w:rPr>
      </w:pPr>
    </w:p>
    <w:p w14:paraId="7D316E48" w14:textId="1714D497" w:rsidR="00985D0B" w:rsidRDefault="00816F69" w:rsidP="00985D0B">
      <w:pPr>
        <w:widowControl w:val="0"/>
        <w:spacing w:after="0" w:line="240" w:lineRule="auto"/>
        <w:rPr>
          <w:rFonts w:ascii="Times New Roman" w:hAnsi="Times New Roman" w:cs="Times New Roman"/>
          <w:sz w:val="24"/>
          <w:szCs w:val="24"/>
        </w:rPr>
      </w:pPr>
      <w:r w:rsidRPr="00C62AA2">
        <w:rPr>
          <w:rFonts w:ascii="Times New Roman" w:hAnsi="Times New Roman" w:cs="Times New Roman"/>
          <w:sz w:val="24"/>
          <w:szCs w:val="24"/>
        </w:rPr>
        <w:t xml:space="preserve">The following table shows the number of hours </w:t>
      </w:r>
      <w:r w:rsidR="003E5561">
        <w:rPr>
          <w:rFonts w:ascii="Times New Roman" w:hAnsi="Times New Roman" w:cs="Times New Roman"/>
          <w:sz w:val="24"/>
          <w:szCs w:val="24"/>
        </w:rPr>
        <w:t xml:space="preserve">bank officers </w:t>
      </w:r>
      <w:r w:rsidRPr="00C62AA2">
        <w:rPr>
          <w:rFonts w:ascii="Times New Roman" w:hAnsi="Times New Roman" w:cs="Times New Roman"/>
          <w:sz w:val="24"/>
          <w:szCs w:val="24"/>
        </w:rPr>
        <w:t xml:space="preserve">devoted </w:t>
      </w:r>
      <w:r w:rsidR="003E5561">
        <w:rPr>
          <w:rFonts w:ascii="Times New Roman" w:hAnsi="Times New Roman" w:cs="Times New Roman"/>
          <w:sz w:val="24"/>
          <w:szCs w:val="24"/>
        </w:rPr>
        <w:t xml:space="preserve">to </w:t>
      </w:r>
      <w:r w:rsidRPr="00C62AA2">
        <w:rPr>
          <w:rFonts w:ascii="Times New Roman" w:hAnsi="Times New Roman" w:cs="Times New Roman"/>
          <w:sz w:val="24"/>
          <w:szCs w:val="24"/>
        </w:rPr>
        <w:t xml:space="preserve">qualified community development services by year and purpose in the </w:t>
      </w:r>
      <w:r>
        <w:rPr>
          <w:rFonts w:ascii="Times New Roman" w:hAnsi="Times New Roman" w:cs="Times New Roman"/>
          <w:sz w:val="24"/>
          <w:szCs w:val="24"/>
        </w:rPr>
        <w:t>Massachusetts assessment area</w:t>
      </w:r>
      <w:r w:rsidRPr="00C62AA2">
        <w:rPr>
          <w:rFonts w:ascii="Times New Roman" w:hAnsi="Times New Roman" w:cs="Times New Roman"/>
          <w:sz w:val="24"/>
          <w:szCs w:val="24"/>
        </w:rPr>
        <w:t>.</w:t>
      </w:r>
      <w:r w:rsidR="00875E9C">
        <w:rPr>
          <w:rFonts w:ascii="Times New Roman" w:hAnsi="Times New Roman" w:cs="Times New Roman"/>
          <w:sz w:val="24"/>
          <w:szCs w:val="24"/>
        </w:rPr>
        <w:t xml:space="preserve">  </w:t>
      </w:r>
      <w:r w:rsidRPr="00C62AA2">
        <w:rPr>
          <w:rFonts w:ascii="Times New Roman" w:hAnsi="Times New Roman" w:cs="Times New Roman"/>
          <w:sz w:val="24"/>
          <w:szCs w:val="24"/>
        </w:rPr>
        <w:t xml:space="preserve"> </w:t>
      </w:r>
    </w:p>
    <w:p w14:paraId="3BC84FB2" w14:textId="4F7325EF" w:rsidR="00F55FC2" w:rsidRDefault="00F55FC2" w:rsidP="00985D0B">
      <w:pPr>
        <w:widowControl w:val="0"/>
        <w:spacing w:after="0" w:line="240" w:lineRule="auto"/>
        <w:rPr>
          <w:rFonts w:ascii="Times New Roman" w:hAnsi="Times New Roman" w:cs="Times New Roman"/>
          <w:sz w:val="24"/>
          <w:szCs w:val="24"/>
        </w:rPr>
      </w:pPr>
    </w:p>
    <w:tbl>
      <w:tblPr>
        <w:tblStyle w:val="TableGrid3"/>
        <w:tblW w:w="7920" w:type="dxa"/>
        <w:tblLayout w:type="fixed"/>
        <w:tblCellMar>
          <w:left w:w="115" w:type="dxa"/>
          <w:right w:w="115" w:type="dxa"/>
        </w:tblCellMar>
        <w:tblLook w:val="01E0" w:firstRow="1" w:lastRow="1" w:firstColumn="1" w:lastColumn="1" w:noHBand="0" w:noVBand="0"/>
        <w:tblCaption w:val="Community Development: Services"/>
      </w:tblPr>
      <w:tblGrid>
        <w:gridCol w:w="2970"/>
        <w:gridCol w:w="1170"/>
        <w:gridCol w:w="1260"/>
        <w:gridCol w:w="1435"/>
        <w:gridCol w:w="1085"/>
      </w:tblGrid>
      <w:tr w:rsidR="00F55FC2" w:rsidRPr="00887ABC" w14:paraId="2458BF58" w14:textId="77777777" w:rsidTr="00EE0E5B">
        <w:trPr>
          <w:trHeight w:val="360"/>
          <w:tblHeader/>
        </w:trPr>
        <w:tc>
          <w:tcPr>
            <w:tcW w:w="7920" w:type="dxa"/>
            <w:gridSpan w:val="5"/>
            <w:vAlign w:val="center"/>
          </w:tcPr>
          <w:p w14:paraId="7A97A84D" w14:textId="77777777" w:rsidR="00F55FC2" w:rsidRDefault="00F55FC2" w:rsidP="00EE0E5B">
            <w:pPr>
              <w:keepNext/>
              <w:jc w:val="center"/>
              <w:rPr>
                <w:b/>
                <w:color w:val="000000"/>
              </w:rPr>
            </w:pPr>
            <w:r>
              <w:rPr>
                <w:sz w:val="24"/>
                <w:szCs w:val="24"/>
              </w:rPr>
              <w:tab/>
            </w:r>
            <w:r w:rsidRPr="00887ABC">
              <w:rPr>
                <w:b/>
                <w:color w:val="000000"/>
              </w:rPr>
              <w:t>Community Development Service</w:t>
            </w:r>
            <w:r>
              <w:rPr>
                <w:b/>
                <w:color w:val="000000"/>
              </w:rPr>
              <w:t xml:space="preserve"> Hour</w:t>
            </w:r>
            <w:r w:rsidRPr="00887ABC">
              <w:rPr>
                <w:b/>
                <w:color w:val="000000"/>
              </w:rPr>
              <w:t>s</w:t>
            </w:r>
          </w:p>
          <w:p w14:paraId="27207C99" w14:textId="77777777" w:rsidR="00F55FC2" w:rsidRPr="00887ABC" w:rsidRDefault="00F55FC2" w:rsidP="00EE0E5B">
            <w:pPr>
              <w:keepNext/>
              <w:jc w:val="center"/>
              <w:rPr>
                <w:b/>
              </w:rPr>
            </w:pPr>
            <w:r>
              <w:rPr>
                <w:b/>
                <w:color w:val="000000"/>
              </w:rPr>
              <w:t>Assessment Area: Massachusetts</w:t>
            </w:r>
          </w:p>
        </w:tc>
      </w:tr>
      <w:tr w:rsidR="00F55FC2" w:rsidRPr="00887ABC" w14:paraId="74F69499" w14:textId="77777777" w:rsidTr="00EE0E5B">
        <w:trPr>
          <w:trHeight w:val="288"/>
        </w:trPr>
        <w:tc>
          <w:tcPr>
            <w:tcW w:w="2970" w:type="dxa"/>
            <w:vMerge w:val="restart"/>
            <w:vAlign w:val="center"/>
          </w:tcPr>
          <w:p w14:paraId="7BB14A90" w14:textId="77777777" w:rsidR="00F55FC2" w:rsidRPr="00887ABC" w:rsidRDefault="00F55FC2" w:rsidP="00EE0E5B">
            <w:pPr>
              <w:keepNext/>
              <w:rPr>
                <w:b/>
              </w:rPr>
            </w:pPr>
            <w:r w:rsidRPr="00887ABC">
              <w:rPr>
                <w:b/>
              </w:rPr>
              <w:t>Activity Year</w:t>
            </w:r>
          </w:p>
        </w:tc>
        <w:tc>
          <w:tcPr>
            <w:tcW w:w="1170" w:type="dxa"/>
            <w:vAlign w:val="center"/>
          </w:tcPr>
          <w:p w14:paraId="5B866DF9" w14:textId="77777777" w:rsidR="00F55FC2" w:rsidRPr="00887ABC" w:rsidRDefault="00F55FC2" w:rsidP="00EE0E5B">
            <w:pPr>
              <w:keepNext/>
              <w:jc w:val="center"/>
            </w:pPr>
            <w:r w:rsidRPr="00887ABC">
              <w:rPr>
                <w:b/>
              </w:rPr>
              <w:t>Affordable Housing</w:t>
            </w:r>
          </w:p>
        </w:tc>
        <w:tc>
          <w:tcPr>
            <w:tcW w:w="1260" w:type="dxa"/>
            <w:vAlign w:val="center"/>
          </w:tcPr>
          <w:p w14:paraId="4F35C671" w14:textId="77777777" w:rsidR="00F55FC2" w:rsidRPr="00887ABC" w:rsidRDefault="00F55FC2" w:rsidP="00EE0E5B">
            <w:pPr>
              <w:keepNext/>
              <w:jc w:val="center"/>
              <w:rPr>
                <w:b/>
              </w:rPr>
            </w:pPr>
            <w:r w:rsidRPr="00887ABC">
              <w:rPr>
                <w:b/>
              </w:rPr>
              <w:t>Community Services</w:t>
            </w:r>
          </w:p>
        </w:tc>
        <w:tc>
          <w:tcPr>
            <w:tcW w:w="1435" w:type="dxa"/>
            <w:vAlign w:val="center"/>
          </w:tcPr>
          <w:p w14:paraId="5D0AC6D9" w14:textId="77777777" w:rsidR="00F55FC2" w:rsidRPr="00887ABC" w:rsidRDefault="00F55FC2" w:rsidP="00EE0E5B">
            <w:pPr>
              <w:keepNext/>
              <w:jc w:val="center"/>
              <w:rPr>
                <w:b/>
              </w:rPr>
            </w:pPr>
            <w:r w:rsidRPr="00887ABC">
              <w:rPr>
                <w:b/>
              </w:rPr>
              <w:t>Economic Development</w:t>
            </w:r>
          </w:p>
        </w:tc>
        <w:tc>
          <w:tcPr>
            <w:tcW w:w="1085" w:type="dxa"/>
            <w:vAlign w:val="center"/>
          </w:tcPr>
          <w:p w14:paraId="017B5EF5" w14:textId="77777777" w:rsidR="00F55FC2" w:rsidRPr="00887ABC" w:rsidRDefault="00F55FC2" w:rsidP="00EE0E5B">
            <w:pPr>
              <w:keepNext/>
              <w:jc w:val="center"/>
              <w:rPr>
                <w:b/>
              </w:rPr>
            </w:pPr>
            <w:r w:rsidRPr="00887ABC">
              <w:rPr>
                <w:b/>
              </w:rPr>
              <w:t>Totals</w:t>
            </w:r>
          </w:p>
        </w:tc>
      </w:tr>
      <w:tr w:rsidR="00F55FC2" w:rsidRPr="00887ABC" w14:paraId="7609C2F2" w14:textId="77777777" w:rsidTr="00EE0E5B">
        <w:trPr>
          <w:trHeight w:val="288"/>
        </w:trPr>
        <w:tc>
          <w:tcPr>
            <w:tcW w:w="2970" w:type="dxa"/>
            <w:vMerge/>
            <w:vAlign w:val="center"/>
          </w:tcPr>
          <w:p w14:paraId="32AFA93F" w14:textId="77777777" w:rsidR="00F55FC2" w:rsidRPr="00887ABC" w:rsidRDefault="00F55FC2" w:rsidP="00EE0E5B">
            <w:pPr>
              <w:keepNext/>
            </w:pPr>
          </w:p>
        </w:tc>
        <w:tc>
          <w:tcPr>
            <w:tcW w:w="1170" w:type="dxa"/>
            <w:vAlign w:val="center"/>
          </w:tcPr>
          <w:p w14:paraId="17FC980D" w14:textId="77777777" w:rsidR="00F55FC2" w:rsidRPr="00887ABC" w:rsidRDefault="00F55FC2" w:rsidP="00EE0E5B">
            <w:pPr>
              <w:keepNext/>
              <w:jc w:val="center"/>
              <w:rPr>
                <w:b/>
              </w:rPr>
            </w:pPr>
            <w:r w:rsidRPr="00887ABC">
              <w:rPr>
                <w:b/>
              </w:rPr>
              <w:t>#</w:t>
            </w:r>
          </w:p>
        </w:tc>
        <w:tc>
          <w:tcPr>
            <w:tcW w:w="1260" w:type="dxa"/>
            <w:vAlign w:val="center"/>
          </w:tcPr>
          <w:p w14:paraId="5061ED1C" w14:textId="77777777" w:rsidR="00F55FC2" w:rsidRPr="00887ABC" w:rsidRDefault="00F55FC2" w:rsidP="00EE0E5B">
            <w:pPr>
              <w:keepNext/>
              <w:jc w:val="center"/>
              <w:rPr>
                <w:b/>
              </w:rPr>
            </w:pPr>
            <w:r w:rsidRPr="00887ABC">
              <w:rPr>
                <w:b/>
              </w:rPr>
              <w:t>#</w:t>
            </w:r>
          </w:p>
        </w:tc>
        <w:tc>
          <w:tcPr>
            <w:tcW w:w="1435" w:type="dxa"/>
            <w:vAlign w:val="center"/>
          </w:tcPr>
          <w:p w14:paraId="57D22276" w14:textId="77777777" w:rsidR="00F55FC2" w:rsidRPr="00887ABC" w:rsidRDefault="00F55FC2" w:rsidP="00EE0E5B">
            <w:pPr>
              <w:keepNext/>
              <w:jc w:val="center"/>
              <w:rPr>
                <w:b/>
              </w:rPr>
            </w:pPr>
            <w:r w:rsidRPr="00887ABC">
              <w:rPr>
                <w:b/>
              </w:rPr>
              <w:t>#</w:t>
            </w:r>
          </w:p>
        </w:tc>
        <w:tc>
          <w:tcPr>
            <w:tcW w:w="1085" w:type="dxa"/>
            <w:vAlign w:val="center"/>
          </w:tcPr>
          <w:p w14:paraId="3380FA29" w14:textId="77777777" w:rsidR="00F55FC2" w:rsidRPr="00887ABC" w:rsidRDefault="00F55FC2" w:rsidP="00EE0E5B">
            <w:pPr>
              <w:keepNext/>
              <w:jc w:val="center"/>
              <w:rPr>
                <w:b/>
              </w:rPr>
            </w:pPr>
            <w:r w:rsidRPr="00887ABC">
              <w:rPr>
                <w:b/>
              </w:rPr>
              <w:t>#</w:t>
            </w:r>
          </w:p>
        </w:tc>
      </w:tr>
      <w:tr w:rsidR="00F55FC2" w:rsidRPr="00887ABC" w14:paraId="07B10D21" w14:textId="77777777" w:rsidTr="00EE0E5B">
        <w:trPr>
          <w:trHeight w:val="288"/>
        </w:trPr>
        <w:tc>
          <w:tcPr>
            <w:tcW w:w="2970" w:type="dxa"/>
            <w:vAlign w:val="center"/>
          </w:tcPr>
          <w:p w14:paraId="6F88A5C3" w14:textId="77777777" w:rsidR="00F55FC2" w:rsidRPr="00887ABC" w:rsidRDefault="00F55FC2" w:rsidP="00EE0E5B">
            <w:pPr>
              <w:keepNext/>
            </w:pPr>
            <w:r>
              <w:t>2018</w:t>
            </w:r>
          </w:p>
        </w:tc>
        <w:tc>
          <w:tcPr>
            <w:tcW w:w="1170" w:type="dxa"/>
            <w:shd w:val="clear" w:color="auto" w:fill="auto"/>
            <w:vAlign w:val="center"/>
          </w:tcPr>
          <w:p w14:paraId="684C20C0" w14:textId="77777777" w:rsidR="00F55FC2" w:rsidRPr="002B5CEF" w:rsidRDefault="00F55FC2" w:rsidP="00EE0E5B">
            <w:pPr>
              <w:keepNext/>
              <w:jc w:val="center"/>
            </w:pPr>
            <w:r>
              <w:t>167</w:t>
            </w:r>
          </w:p>
        </w:tc>
        <w:tc>
          <w:tcPr>
            <w:tcW w:w="1260" w:type="dxa"/>
            <w:shd w:val="clear" w:color="auto" w:fill="auto"/>
            <w:vAlign w:val="center"/>
          </w:tcPr>
          <w:p w14:paraId="4B9149C7" w14:textId="77777777" w:rsidR="00F55FC2" w:rsidRPr="002B5CEF" w:rsidRDefault="00F55FC2" w:rsidP="00EE0E5B">
            <w:pPr>
              <w:keepNext/>
              <w:jc w:val="center"/>
            </w:pPr>
            <w:r>
              <w:t>1,019</w:t>
            </w:r>
          </w:p>
        </w:tc>
        <w:tc>
          <w:tcPr>
            <w:tcW w:w="1435" w:type="dxa"/>
            <w:shd w:val="clear" w:color="auto" w:fill="auto"/>
            <w:vAlign w:val="center"/>
          </w:tcPr>
          <w:p w14:paraId="1FC843F1" w14:textId="77777777" w:rsidR="00F55FC2" w:rsidRPr="002B5CEF" w:rsidRDefault="00F55FC2" w:rsidP="00EE0E5B">
            <w:pPr>
              <w:keepNext/>
              <w:jc w:val="center"/>
            </w:pPr>
            <w:r>
              <w:t>96</w:t>
            </w:r>
          </w:p>
        </w:tc>
        <w:tc>
          <w:tcPr>
            <w:tcW w:w="1085" w:type="dxa"/>
            <w:shd w:val="clear" w:color="auto" w:fill="auto"/>
            <w:vAlign w:val="center"/>
          </w:tcPr>
          <w:p w14:paraId="60E33690" w14:textId="77777777" w:rsidR="00F55FC2" w:rsidRPr="002B5CEF" w:rsidRDefault="00F55FC2" w:rsidP="00EE0E5B">
            <w:pPr>
              <w:keepNext/>
              <w:jc w:val="center"/>
              <w:rPr>
                <w:b/>
              </w:rPr>
            </w:pPr>
            <w:r>
              <w:rPr>
                <w:b/>
              </w:rPr>
              <w:t>1,282</w:t>
            </w:r>
          </w:p>
        </w:tc>
      </w:tr>
      <w:tr w:rsidR="00F55FC2" w:rsidRPr="00887ABC" w14:paraId="6A4DAA0F" w14:textId="77777777" w:rsidTr="00EE0E5B">
        <w:trPr>
          <w:trHeight w:val="288"/>
        </w:trPr>
        <w:tc>
          <w:tcPr>
            <w:tcW w:w="2970" w:type="dxa"/>
            <w:vAlign w:val="center"/>
          </w:tcPr>
          <w:p w14:paraId="2E516429" w14:textId="77777777" w:rsidR="00F55FC2" w:rsidRPr="00887ABC" w:rsidRDefault="00F55FC2" w:rsidP="00EE0E5B">
            <w:pPr>
              <w:keepNext/>
            </w:pPr>
            <w:r>
              <w:t>2019</w:t>
            </w:r>
          </w:p>
        </w:tc>
        <w:tc>
          <w:tcPr>
            <w:tcW w:w="1170" w:type="dxa"/>
            <w:shd w:val="clear" w:color="auto" w:fill="auto"/>
            <w:vAlign w:val="center"/>
          </w:tcPr>
          <w:p w14:paraId="037C4314" w14:textId="77777777" w:rsidR="00F55FC2" w:rsidRPr="002B5CEF" w:rsidRDefault="00F55FC2" w:rsidP="00EE0E5B">
            <w:pPr>
              <w:keepNext/>
              <w:jc w:val="center"/>
            </w:pPr>
            <w:r>
              <w:t>190</w:t>
            </w:r>
          </w:p>
        </w:tc>
        <w:tc>
          <w:tcPr>
            <w:tcW w:w="1260" w:type="dxa"/>
            <w:shd w:val="clear" w:color="auto" w:fill="auto"/>
            <w:vAlign w:val="center"/>
          </w:tcPr>
          <w:p w14:paraId="512602FF" w14:textId="77777777" w:rsidR="00F55FC2" w:rsidRPr="002B5CEF" w:rsidRDefault="00F55FC2" w:rsidP="00EE0E5B">
            <w:pPr>
              <w:keepNext/>
              <w:jc w:val="center"/>
            </w:pPr>
            <w:r>
              <w:t>687</w:t>
            </w:r>
          </w:p>
        </w:tc>
        <w:tc>
          <w:tcPr>
            <w:tcW w:w="1435" w:type="dxa"/>
            <w:shd w:val="clear" w:color="auto" w:fill="auto"/>
            <w:vAlign w:val="center"/>
          </w:tcPr>
          <w:p w14:paraId="3A4DDB56" w14:textId="77777777" w:rsidR="00F55FC2" w:rsidRPr="002B5CEF" w:rsidRDefault="00F55FC2" w:rsidP="00EE0E5B">
            <w:pPr>
              <w:keepNext/>
              <w:jc w:val="center"/>
            </w:pPr>
            <w:r>
              <w:t>488</w:t>
            </w:r>
          </w:p>
        </w:tc>
        <w:tc>
          <w:tcPr>
            <w:tcW w:w="1085" w:type="dxa"/>
            <w:shd w:val="clear" w:color="auto" w:fill="auto"/>
            <w:vAlign w:val="center"/>
          </w:tcPr>
          <w:p w14:paraId="57E43EE5" w14:textId="77777777" w:rsidR="00F55FC2" w:rsidRPr="002B5CEF" w:rsidRDefault="00F55FC2" w:rsidP="00EE0E5B">
            <w:pPr>
              <w:keepNext/>
              <w:jc w:val="center"/>
              <w:rPr>
                <w:b/>
              </w:rPr>
            </w:pPr>
            <w:r>
              <w:rPr>
                <w:b/>
              </w:rPr>
              <w:t>1,365</w:t>
            </w:r>
          </w:p>
        </w:tc>
      </w:tr>
      <w:tr w:rsidR="00F55FC2" w:rsidRPr="00887ABC" w14:paraId="4FDE03A9" w14:textId="77777777" w:rsidTr="00EE0E5B">
        <w:trPr>
          <w:trHeight w:val="288"/>
        </w:trPr>
        <w:tc>
          <w:tcPr>
            <w:tcW w:w="2970" w:type="dxa"/>
            <w:vAlign w:val="center"/>
          </w:tcPr>
          <w:p w14:paraId="4081FD9B" w14:textId="77777777" w:rsidR="00F55FC2" w:rsidRPr="00887ABC" w:rsidRDefault="00F55FC2" w:rsidP="00EE0E5B">
            <w:pPr>
              <w:keepNext/>
            </w:pPr>
            <w:r>
              <w:t>2020</w:t>
            </w:r>
          </w:p>
        </w:tc>
        <w:tc>
          <w:tcPr>
            <w:tcW w:w="1170" w:type="dxa"/>
            <w:shd w:val="clear" w:color="auto" w:fill="auto"/>
            <w:vAlign w:val="center"/>
          </w:tcPr>
          <w:p w14:paraId="55EAFC53" w14:textId="77777777" w:rsidR="00F55FC2" w:rsidRPr="002B5CEF" w:rsidRDefault="00F55FC2" w:rsidP="00EE0E5B">
            <w:pPr>
              <w:keepNext/>
              <w:jc w:val="center"/>
            </w:pPr>
            <w:r>
              <w:t>172</w:t>
            </w:r>
          </w:p>
        </w:tc>
        <w:tc>
          <w:tcPr>
            <w:tcW w:w="1260" w:type="dxa"/>
            <w:shd w:val="clear" w:color="auto" w:fill="auto"/>
            <w:vAlign w:val="center"/>
          </w:tcPr>
          <w:p w14:paraId="32DECDE6" w14:textId="77777777" w:rsidR="00F55FC2" w:rsidRPr="002B5CEF" w:rsidRDefault="00F55FC2" w:rsidP="00EE0E5B">
            <w:pPr>
              <w:keepNext/>
              <w:jc w:val="center"/>
            </w:pPr>
            <w:r>
              <w:t>830</w:t>
            </w:r>
          </w:p>
        </w:tc>
        <w:tc>
          <w:tcPr>
            <w:tcW w:w="1435" w:type="dxa"/>
            <w:shd w:val="clear" w:color="auto" w:fill="auto"/>
            <w:vAlign w:val="center"/>
          </w:tcPr>
          <w:p w14:paraId="288DD0EA" w14:textId="77777777" w:rsidR="00F55FC2" w:rsidRPr="002B5CEF" w:rsidRDefault="00F55FC2" w:rsidP="00EE0E5B">
            <w:pPr>
              <w:keepNext/>
              <w:jc w:val="center"/>
            </w:pPr>
            <w:r>
              <w:t>53</w:t>
            </w:r>
          </w:p>
        </w:tc>
        <w:tc>
          <w:tcPr>
            <w:tcW w:w="1085" w:type="dxa"/>
            <w:shd w:val="clear" w:color="auto" w:fill="auto"/>
            <w:vAlign w:val="center"/>
          </w:tcPr>
          <w:p w14:paraId="63946B1C" w14:textId="77777777" w:rsidR="00F55FC2" w:rsidRPr="002B5CEF" w:rsidRDefault="00F55FC2" w:rsidP="00EE0E5B">
            <w:pPr>
              <w:keepNext/>
              <w:jc w:val="center"/>
              <w:rPr>
                <w:b/>
              </w:rPr>
            </w:pPr>
            <w:r>
              <w:rPr>
                <w:b/>
              </w:rPr>
              <w:t>1,055</w:t>
            </w:r>
          </w:p>
        </w:tc>
      </w:tr>
      <w:tr w:rsidR="00F55FC2" w:rsidRPr="00887ABC" w14:paraId="73D34586" w14:textId="77777777" w:rsidTr="00EE0E5B">
        <w:trPr>
          <w:trHeight w:val="288"/>
        </w:trPr>
        <w:tc>
          <w:tcPr>
            <w:tcW w:w="2970" w:type="dxa"/>
            <w:vAlign w:val="center"/>
          </w:tcPr>
          <w:p w14:paraId="133F5937" w14:textId="77777777" w:rsidR="00F55FC2" w:rsidRPr="00887ABC" w:rsidRDefault="00F55FC2" w:rsidP="00EE0E5B">
            <w:pPr>
              <w:keepNext/>
              <w:rPr>
                <w:b/>
                <w:highlight w:val="green"/>
              </w:rPr>
            </w:pPr>
            <w:r w:rsidRPr="00887ABC">
              <w:rPr>
                <w:b/>
              </w:rPr>
              <w:t>Total</w:t>
            </w:r>
          </w:p>
        </w:tc>
        <w:tc>
          <w:tcPr>
            <w:tcW w:w="1170" w:type="dxa"/>
            <w:shd w:val="clear" w:color="auto" w:fill="auto"/>
            <w:vAlign w:val="center"/>
          </w:tcPr>
          <w:p w14:paraId="004E5F43" w14:textId="77777777" w:rsidR="00F55FC2" w:rsidRPr="002B5CEF" w:rsidRDefault="00F55FC2" w:rsidP="00EE0E5B">
            <w:pPr>
              <w:keepNext/>
              <w:jc w:val="center"/>
              <w:rPr>
                <w:b/>
              </w:rPr>
            </w:pPr>
            <w:r>
              <w:rPr>
                <w:b/>
                <w:bCs/>
                <w:color w:val="000000"/>
              </w:rPr>
              <w:t>529</w:t>
            </w:r>
          </w:p>
        </w:tc>
        <w:tc>
          <w:tcPr>
            <w:tcW w:w="1260" w:type="dxa"/>
            <w:shd w:val="clear" w:color="auto" w:fill="auto"/>
            <w:vAlign w:val="center"/>
          </w:tcPr>
          <w:p w14:paraId="59A93D5E" w14:textId="77777777" w:rsidR="00F55FC2" w:rsidRPr="002B5CEF" w:rsidRDefault="00F55FC2" w:rsidP="00EE0E5B">
            <w:pPr>
              <w:keepNext/>
              <w:jc w:val="center"/>
              <w:rPr>
                <w:b/>
              </w:rPr>
            </w:pPr>
            <w:r>
              <w:rPr>
                <w:b/>
                <w:bCs/>
                <w:color w:val="000000"/>
              </w:rPr>
              <w:t>2,536</w:t>
            </w:r>
          </w:p>
        </w:tc>
        <w:tc>
          <w:tcPr>
            <w:tcW w:w="1435" w:type="dxa"/>
            <w:shd w:val="clear" w:color="auto" w:fill="auto"/>
            <w:vAlign w:val="center"/>
          </w:tcPr>
          <w:p w14:paraId="4CA4298C" w14:textId="77777777" w:rsidR="00F55FC2" w:rsidRPr="002B5CEF" w:rsidRDefault="00F55FC2" w:rsidP="00EE0E5B">
            <w:pPr>
              <w:keepNext/>
              <w:jc w:val="center"/>
              <w:rPr>
                <w:b/>
              </w:rPr>
            </w:pPr>
            <w:r>
              <w:rPr>
                <w:b/>
                <w:bCs/>
                <w:color w:val="000000"/>
              </w:rPr>
              <w:t>637</w:t>
            </w:r>
          </w:p>
        </w:tc>
        <w:tc>
          <w:tcPr>
            <w:tcW w:w="1085" w:type="dxa"/>
            <w:shd w:val="clear" w:color="auto" w:fill="auto"/>
            <w:vAlign w:val="center"/>
          </w:tcPr>
          <w:p w14:paraId="50DAC563" w14:textId="77777777" w:rsidR="00F55FC2" w:rsidRPr="002B5CEF" w:rsidRDefault="00F55FC2" w:rsidP="00EE0E5B">
            <w:pPr>
              <w:keepNext/>
              <w:jc w:val="center"/>
              <w:rPr>
                <w:b/>
              </w:rPr>
            </w:pPr>
            <w:r>
              <w:rPr>
                <w:b/>
                <w:bCs/>
                <w:color w:val="000000"/>
              </w:rPr>
              <w:t>3,702</w:t>
            </w:r>
          </w:p>
        </w:tc>
      </w:tr>
      <w:tr w:rsidR="00F55FC2" w:rsidRPr="00887ABC" w14:paraId="409093CE" w14:textId="77777777" w:rsidTr="00EE0E5B">
        <w:trPr>
          <w:trHeight w:val="288"/>
        </w:trPr>
        <w:tc>
          <w:tcPr>
            <w:tcW w:w="7920" w:type="dxa"/>
            <w:gridSpan w:val="5"/>
            <w:vAlign w:val="center"/>
          </w:tcPr>
          <w:p w14:paraId="0B1F085D" w14:textId="77777777" w:rsidR="00F55FC2" w:rsidRPr="00816F69" w:rsidRDefault="00F55FC2" w:rsidP="00EE0E5B">
            <w:pPr>
              <w:keepNext/>
              <w:rPr>
                <w:i/>
                <w:sz w:val="16"/>
                <w:szCs w:val="16"/>
              </w:rPr>
            </w:pPr>
            <w:r w:rsidRPr="00816F69">
              <w:rPr>
                <w:i/>
                <w:sz w:val="16"/>
                <w:szCs w:val="16"/>
              </w:rPr>
              <w:t>Source: Bank Data</w:t>
            </w:r>
          </w:p>
        </w:tc>
      </w:tr>
    </w:tbl>
    <w:p w14:paraId="46B8C00E" w14:textId="77777777" w:rsidR="00F55FC2" w:rsidRDefault="00F55FC2" w:rsidP="00F55FC2">
      <w:pPr>
        <w:keepNext/>
        <w:tabs>
          <w:tab w:val="left" w:pos="480"/>
          <w:tab w:val="left" w:pos="960"/>
          <w:tab w:val="left" w:pos="6840"/>
        </w:tabs>
        <w:spacing w:after="0" w:line="240" w:lineRule="auto"/>
        <w:outlineLvl w:val="0"/>
        <w:rPr>
          <w:rFonts w:ascii="Times New Roman" w:eastAsia="Times New Roman" w:hAnsi="Times New Roman" w:cs="Times New Roman"/>
          <w:bCs/>
          <w:spacing w:val="-3"/>
          <w:sz w:val="24"/>
          <w:szCs w:val="20"/>
        </w:rPr>
      </w:pPr>
    </w:p>
    <w:p w14:paraId="0BF51475" w14:textId="56366951" w:rsidR="00F55FC2" w:rsidRDefault="00F55FC2" w:rsidP="00F55FC2">
      <w:pPr>
        <w:keepNext/>
        <w:tabs>
          <w:tab w:val="left" w:pos="480"/>
          <w:tab w:val="left" w:pos="960"/>
          <w:tab w:val="left" w:pos="6840"/>
        </w:tabs>
        <w:spacing w:after="0" w:line="240" w:lineRule="auto"/>
        <w:outlineLvl w:val="0"/>
        <w:rPr>
          <w:rFonts w:ascii="Times New Roman" w:eastAsia="Times New Roman" w:hAnsi="Times New Roman" w:cs="Times New Roman"/>
          <w:bCs/>
          <w:spacing w:val="-3"/>
          <w:sz w:val="24"/>
          <w:szCs w:val="20"/>
        </w:rPr>
      </w:pPr>
      <w:r>
        <w:rPr>
          <w:rFonts w:ascii="Times New Roman" w:eastAsia="Times New Roman" w:hAnsi="Times New Roman" w:cs="Times New Roman"/>
          <w:bCs/>
          <w:spacing w:val="-3"/>
          <w:sz w:val="24"/>
          <w:szCs w:val="20"/>
        </w:rPr>
        <w:t>The following represents notable examples of how the bank has been a community development service leader through partnerships with government and community development organizations.</w:t>
      </w:r>
    </w:p>
    <w:p w14:paraId="33DBC326" w14:textId="77777777" w:rsidR="00F55FC2" w:rsidRDefault="00F55FC2" w:rsidP="00F55FC2">
      <w:pPr>
        <w:pStyle w:val="Default"/>
        <w:rPr>
          <w:bCs/>
          <w:i/>
          <w:szCs w:val="23"/>
        </w:rPr>
      </w:pPr>
    </w:p>
    <w:p w14:paraId="5896F555" w14:textId="0F72F3E7" w:rsidR="00F55FC2" w:rsidRPr="00745A21" w:rsidRDefault="00F55FC2" w:rsidP="00F55FC2">
      <w:pPr>
        <w:pStyle w:val="Default"/>
        <w:rPr>
          <w:i/>
          <w:szCs w:val="23"/>
        </w:rPr>
      </w:pPr>
      <w:r w:rsidRPr="00745A21">
        <w:rPr>
          <w:bCs/>
          <w:i/>
          <w:szCs w:val="23"/>
        </w:rPr>
        <w:t xml:space="preserve">Small Business Banking Pilot </w:t>
      </w:r>
      <w:r w:rsidRPr="00745A21">
        <w:rPr>
          <w:bCs/>
          <w:i/>
          <w:iCs/>
          <w:szCs w:val="23"/>
        </w:rPr>
        <w:t xml:space="preserve">(with MA State Treasurer’s Office) </w:t>
      </w:r>
    </w:p>
    <w:p w14:paraId="291FAD92" w14:textId="6D33DA76" w:rsidR="00F55FC2" w:rsidRPr="00F55FC2" w:rsidRDefault="00F55FC2" w:rsidP="00F55FC2">
      <w:pPr>
        <w:keepNext/>
        <w:tabs>
          <w:tab w:val="left" w:pos="480"/>
          <w:tab w:val="left" w:pos="960"/>
          <w:tab w:val="left" w:pos="6840"/>
        </w:tabs>
        <w:spacing w:after="0" w:line="240" w:lineRule="auto"/>
        <w:outlineLvl w:val="0"/>
        <w:rPr>
          <w:rFonts w:ascii="Times New Roman" w:eastAsia="Times New Roman" w:hAnsi="Times New Roman" w:cs="Times New Roman"/>
          <w:bCs/>
          <w:spacing w:val="-3"/>
          <w:sz w:val="28"/>
          <w:szCs w:val="20"/>
        </w:rPr>
      </w:pPr>
      <w:r w:rsidRPr="00F55FC2">
        <w:rPr>
          <w:rFonts w:ascii="Times New Roman" w:hAnsi="Times New Roman" w:cs="Times New Roman"/>
          <w:sz w:val="24"/>
          <w:szCs w:val="23"/>
        </w:rPr>
        <w:t xml:space="preserve">In early 2019, the Office of the Massachusetts State Treasurer and Receiver General and HarborOne Bank entered into an agreement to collaborate and develop a pilot program as part of the Small Business Banking Pilot. </w:t>
      </w:r>
      <w:r>
        <w:rPr>
          <w:rFonts w:ascii="Times New Roman" w:hAnsi="Times New Roman" w:cs="Times New Roman"/>
          <w:sz w:val="24"/>
          <w:szCs w:val="23"/>
        </w:rPr>
        <w:t xml:space="preserve"> </w:t>
      </w:r>
      <w:r w:rsidRPr="00F55FC2">
        <w:rPr>
          <w:rFonts w:ascii="Times New Roman" w:hAnsi="Times New Roman" w:cs="Times New Roman"/>
          <w:sz w:val="24"/>
          <w:szCs w:val="23"/>
        </w:rPr>
        <w:t>The purpose of the pilot was to specifically help citizens who reside in Gateway Cities</w:t>
      </w:r>
      <w:r>
        <w:rPr>
          <w:rFonts w:ascii="Times New Roman" w:hAnsi="Times New Roman" w:cs="Times New Roman"/>
          <w:sz w:val="24"/>
          <w:szCs w:val="23"/>
        </w:rPr>
        <w:t xml:space="preserve"> (midsize urban centers that anchor regional economies)</w:t>
      </w:r>
      <w:r w:rsidRPr="00F55FC2">
        <w:rPr>
          <w:rFonts w:ascii="Times New Roman" w:hAnsi="Times New Roman" w:cs="Times New Roman"/>
          <w:sz w:val="24"/>
          <w:szCs w:val="23"/>
        </w:rPr>
        <w:t xml:space="preserve"> across </w:t>
      </w:r>
      <w:r>
        <w:rPr>
          <w:rFonts w:ascii="Times New Roman" w:hAnsi="Times New Roman" w:cs="Times New Roman"/>
          <w:sz w:val="24"/>
          <w:szCs w:val="23"/>
        </w:rPr>
        <w:t>Massachusetts</w:t>
      </w:r>
      <w:r w:rsidRPr="00F55FC2">
        <w:rPr>
          <w:rFonts w:ascii="Times New Roman" w:hAnsi="Times New Roman" w:cs="Times New Roman"/>
          <w:sz w:val="24"/>
          <w:szCs w:val="23"/>
        </w:rPr>
        <w:t xml:space="preserve"> obtain the knowledge, understanding, and funding necessary to establish, sustain, expand</w:t>
      </w:r>
      <w:r w:rsidR="003E5561">
        <w:rPr>
          <w:rFonts w:ascii="Times New Roman" w:hAnsi="Times New Roman" w:cs="Times New Roman"/>
          <w:sz w:val="24"/>
          <w:szCs w:val="23"/>
        </w:rPr>
        <w:t>,</w:t>
      </w:r>
      <w:r w:rsidRPr="00F55FC2">
        <w:rPr>
          <w:rFonts w:ascii="Times New Roman" w:hAnsi="Times New Roman" w:cs="Times New Roman"/>
          <w:sz w:val="24"/>
          <w:szCs w:val="23"/>
        </w:rPr>
        <w:t xml:space="preserve"> and</w:t>
      </w:r>
      <w:r w:rsidR="003E5561">
        <w:rPr>
          <w:rFonts w:ascii="Times New Roman" w:hAnsi="Times New Roman" w:cs="Times New Roman"/>
          <w:sz w:val="24"/>
          <w:szCs w:val="23"/>
        </w:rPr>
        <w:t>/or</w:t>
      </w:r>
      <w:r w:rsidRPr="00F55FC2">
        <w:rPr>
          <w:rFonts w:ascii="Times New Roman" w:hAnsi="Times New Roman" w:cs="Times New Roman"/>
          <w:sz w:val="24"/>
          <w:szCs w:val="23"/>
        </w:rPr>
        <w:t xml:space="preserve"> renovate their small business</w:t>
      </w:r>
      <w:r w:rsidR="003E5561">
        <w:rPr>
          <w:rFonts w:ascii="Times New Roman" w:hAnsi="Times New Roman" w:cs="Times New Roman"/>
          <w:sz w:val="24"/>
          <w:szCs w:val="23"/>
        </w:rPr>
        <w:t>es</w:t>
      </w:r>
      <w:r w:rsidRPr="00F55FC2">
        <w:rPr>
          <w:rFonts w:ascii="Times New Roman" w:hAnsi="Times New Roman" w:cs="Times New Roman"/>
          <w:sz w:val="24"/>
          <w:szCs w:val="23"/>
        </w:rPr>
        <w:t>.</w:t>
      </w:r>
    </w:p>
    <w:p w14:paraId="118F6B5D" w14:textId="77777777" w:rsidR="00D74364" w:rsidRDefault="00D74364" w:rsidP="00985D0B">
      <w:pPr>
        <w:widowControl w:val="0"/>
        <w:spacing w:after="0" w:line="240" w:lineRule="auto"/>
        <w:rPr>
          <w:rFonts w:ascii="Times New Roman" w:hAnsi="Times New Roman" w:cs="Times New Roman"/>
          <w:sz w:val="24"/>
          <w:szCs w:val="24"/>
        </w:rPr>
      </w:pPr>
    </w:p>
    <w:p w14:paraId="2EFF92BD" w14:textId="77777777" w:rsidR="00F55FC2" w:rsidRPr="00F55FC2" w:rsidRDefault="00F55FC2" w:rsidP="00F55FC2">
      <w:pPr>
        <w:spacing w:after="0" w:line="240" w:lineRule="auto"/>
        <w:rPr>
          <w:rFonts w:ascii="Times New Roman" w:hAnsi="Times New Roman" w:cs="Times New Roman"/>
          <w:i/>
          <w:sz w:val="24"/>
        </w:rPr>
      </w:pPr>
      <w:r w:rsidRPr="00F55FC2">
        <w:rPr>
          <w:rFonts w:ascii="Times New Roman" w:hAnsi="Times New Roman" w:cs="Times New Roman"/>
          <w:i/>
          <w:sz w:val="24"/>
        </w:rPr>
        <w:t>NeighborWorks Housing Solutions</w:t>
      </w:r>
    </w:p>
    <w:p w14:paraId="1DAD1635" w14:textId="5388A789" w:rsidR="00F55FC2" w:rsidRPr="00F55FC2" w:rsidRDefault="00F55FC2" w:rsidP="00F55FC2">
      <w:pPr>
        <w:spacing w:after="0" w:line="240" w:lineRule="auto"/>
        <w:rPr>
          <w:rFonts w:ascii="Times New Roman" w:hAnsi="Times New Roman" w:cs="Times New Roman"/>
          <w:sz w:val="24"/>
        </w:rPr>
      </w:pPr>
      <w:r w:rsidRPr="00F55FC2">
        <w:rPr>
          <w:rFonts w:ascii="Times New Roman" w:hAnsi="Times New Roman" w:cs="Times New Roman"/>
          <w:sz w:val="24"/>
        </w:rPr>
        <w:t xml:space="preserve">In 2019, </w:t>
      </w:r>
      <w:r>
        <w:rPr>
          <w:rFonts w:ascii="Times New Roman" w:hAnsi="Times New Roman" w:cs="Times New Roman"/>
          <w:sz w:val="24"/>
        </w:rPr>
        <w:t>HOB received</w:t>
      </w:r>
      <w:r w:rsidRPr="00F55FC2">
        <w:rPr>
          <w:rFonts w:ascii="Times New Roman" w:hAnsi="Times New Roman" w:cs="Times New Roman"/>
          <w:sz w:val="24"/>
        </w:rPr>
        <w:t xml:space="preserve"> the Boston Business Journal’s Partner of the Year Award (Annual Corporate Citizenship Program) for its longstanding collaboration and partnership with NeighborWorks, now called NeighborWorks Housing Solutions (NHS).</w:t>
      </w:r>
      <w:r>
        <w:rPr>
          <w:rFonts w:ascii="Times New Roman" w:hAnsi="Times New Roman" w:cs="Times New Roman"/>
          <w:sz w:val="24"/>
        </w:rPr>
        <w:t xml:space="preserve">  </w:t>
      </w:r>
      <w:r w:rsidRPr="00F55FC2">
        <w:rPr>
          <w:rFonts w:ascii="Times New Roman" w:hAnsi="Times New Roman" w:cs="Times New Roman"/>
          <w:sz w:val="24"/>
        </w:rPr>
        <w:t xml:space="preserve">For over a decade, </w:t>
      </w:r>
      <w:r w:rsidR="00E87225">
        <w:rPr>
          <w:rFonts w:ascii="Times New Roman" w:hAnsi="Times New Roman" w:cs="Times New Roman"/>
          <w:sz w:val="24"/>
        </w:rPr>
        <w:t>HOB</w:t>
      </w:r>
      <w:r w:rsidRPr="00F55FC2">
        <w:rPr>
          <w:rFonts w:ascii="Times New Roman" w:hAnsi="Times New Roman" w:cs="Times New Roman"/>
          <w:sz w:val="24"/>
        </w:rPr>
        <w:t xml:space="preserve"> and NHS have formed a mutually beneficial relationship aimed at improving the financial wellbeing of Greater Brockton area residents. </w:t>
      </w:r>
      <w:r>
        <w:rPr>
          <w:rFonts w:ascii="Times New Roman" w:hAnsi="Times New Roman" w:cs="Times New Roman"/>
          <w:sz w:val="24"/>
        </w:rPr>
        <w:t xml:space="preserve"> </w:t>
      </w:r>
      <w:r w:rsidRPr="00F55FC2">
        <w:rPr>
          <w:rFonts w:ascii="Times New Roman" w:hAnsi="Times New Roman" w:cs="Times New Roman"/>
          <w:sz w:val="24"/>
        </w:rPr>
        <w:t xml:space="preserve">Since 2008, HarborOne has provided </w:t>
      </w:r>
      <w:r>
        <w:rPr>
          <w:rFonts w:ascii="Times New Roman" w:hAnsi="Times New Roman" w:cs="Times New Roman"/>
          <w:sz w:val="24"/>
        </w:rPr>
        <w:t xml:space="preserve">technical expertise and </w:t>
      </w:r>
      <w:r w:rsidRPr="00F55FC2">
        <w:rPr>
          <w:rFonts w:ascii="Times New Roman" w:hAnsi="Times New Roman" w:cs="Times New Roman"/>
          <w:sz w:val="24"/>
        </w:rPr>
        <w:t xml:space="preserve">in-kind office and classroom space at its HarborOne educational facility in downtown Brockton. </w:t>
      </w:r>
      <w:r w:rsidR="00E87225">
        <w:rPr>
          <w:rFonts w:ascii="Times New Roman" w:hAnsi="Times New Roman" w:cs="Times New Roman"/>
          <w:sz w:val="24"/>
        </w:rPr>
        <w:t xml:space="preserve"> </w:t>
      </w:r>
      <w:r w:rsidRPr="00F55FC2">
        <w:rPr>
          <w:rFonts w:ascii="Times New Roman" w:hAnsi="Times New Roman" w:cs="Times New Roman"/>
          <w:sz w:val="24"/>
        </w:rPr>
        <w:t>NHS h</w:t>
      </w:r>
      <w:r w:rsidR="00E87225">
        <w:rPr>
          <w:rFonts w:ascii="Times New Roman" w:hAnsi="Times New Roman" w:cs="Times New Roman"/>
          <w:sz w:val="24"/>
        </w:rPr>
        <w:t xml:space="preserve">as utilized the space </w:t>
      </w:r>
      <w:r w:rsidR="003E5561">
        <w:rPr>
          <w:rFonts w:ascii="Times New Roman" w:hAnsi="Times New Roman" w:cs="Times New Roman"/>
          <w:sz w:val="24"/>
        </w:rPr>
        <w:t>to deliver</w:t>
      </w:r>
      <w:r w:rsidR="00E87225">
        <w:rPr>
          <w:rFonts w:ascii="Times New Roman" w:hAnsi="Times New Roman" w:cs="Times New Roman"/>
          <w:sz w:val="24"/>
        </w:rPr>
        <w:t xml:space="preserve"> first-</w:t>
      </w:r>
      <w:r w:rsidRPr="00F55FC2">
        <w:rPr>
          <w:rFonts w:ascii="Times New Roman" w:hAnsi="Times New Roman" w:cs="Times New Roman"/>
          <w:sz w:val="24"/>
        </w:rPr>
        <w:t>time homebuyer classes</w:t>
      </w:r>
      <w:r w:rsidR="003E5561">
        <w:rPr>
          <w:rFonts w:ascii="Times New Roman" w:hAnsi="Times New Roman" w:cs="Times New Roman"/>
          <w:sz w:val="24"/>
        </w:rPr>
        <w:t>,</w:t>
      </w:r>
      <w:r w:rsidRPr="00F55FC2">
        <w:rPr>
          <w:rFonts w:ascii="Times New Roman" w:hAnsi="Times New Roman" w:cs="Times New Roman"/>
          <w:sz w:val="24"/>
        </w:rPr>
        <w:t xml:space="preserve"> foreclosure mitigation counseling</w:t>
      </w:r>
      <w:r w:rsidR="00E87225">
        <w:rPr>
          <w:rFonts w:ascii="Times New Roman" w:hAnsi="Times New Roman" w:cs="Times New Roman"/>
          <w:sz w:val="24"/>
        </w:rPr>
        <w:t>, and</w:t>
      </w:r>
      <w:r w:rsidR="003E5561">
        <w:rPr>
          <w:rFonts w:ascii="Times New Roman" w:hAnsi="Times New Roman" w:cs="Times New Roman"/>
          <w:sz w:val="24"/>
        </w:rPr>
        <w:t xml:space="preserve"> </w:t>
      </w:r>
      <w:r w:rsidRPr="00F55FC2">
        <w:rPr>
          <w:rFonts w:ascii="Times New Roman" w:hAnsi="Times New Roman" w:cs="Times New Roman"/>
          <w:sz w:val="24"/>
        </w:rPr>
        <w:t xml:space="preserve">courses on personal </w:t>
      </w:r>
      <w:r w:rsidR="00E87225">
        <w:rPr>
          <w:rFonts w:ascii="Times New Roman" w:hAnsi="Times New Roman" w:cs="Times New Roman"/>
          <w:sz w:val="24"/>
        </w:rPr>
        <w:t>finance and other critical life-</w:t>
      </w:r>
      <w:r w:rsidRPr="00F55FC2">
        <w:rPr>
          <w:rFonts w:ascii="Times New Roman" w:hAnsi="Times New Roman" w:cs="Times New Roman"/>
          <w:sz w:val="24"/>
        </w:rPr>
        <w:t>skills for new Americans and historically disadvantaged populations.</w:t>
      </w:r>
    </w:p>
    <w:p w14:paraId="6C975E97" w14:textId="77777777" w:rsidR="00985D0B" w:rsidRDefault="00985D0B" w:rsidP="00E50970">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p>
    <w:p w14:paraId="2ADC66CA" w14:textId="77777777" w:rsidR="00985D0B" w:rsidRDefault="00985D0B" w:rsidP="00E50970">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p>
    <w:p w14:paraId="4499FF13" w14:textId="77777777" w:rsidR="00985D0B" w:rsidRDefault="00985D0B" w:rsidP="00E50970">
      <w:pPr>
        <w:keepNext/>
        <w:tabs>
          <w:tab w:val="left" w:pos="480"/>
          <w:tab w:val="left" w:pos="960"/>
          <w:tab w:val="left" w:pos="6840"/>
        </w:tabs>
        <w:spacing w:after="0" w:line="240" w:lineRule="auto"/>
        <w:jc w:val="center"/>
        <w:outlineLvl w:val="0"/>
        <w:rPr>
          <w:rFonts w:ascii="Times New Roman" w:eastAsia="Times New Roman" w:hAnsi="Times New Roman" w:cs="Times New Roman"/>
          <w:b/>
          <w:bCs/>
          <w:spacing w:val="-3"/>
          <w:sz w:val="28"/>
          <w:szCs w:val="20"/>
        </w:rPr>
      </w:pPr>
    </w:p>
    <w:p w14:paraId="44A4B7E2" w14:textId="65C8BDCD" w:rsidR="00E50970" w:rsidRDefault="00E50970" w:rsidP="00E50970">
      <w:pPr>
        <w:spacing w:after="0" w:line="240" w:lineRule="auto"/>
        <w:jc w:val="center"/>
        <w:rPr>
          <w:rFonts w:ascii="Times New Roman" w:eastAsia="Times New Roman" w:hAnsi="Times New Roman" w:cs="Times New Roman"/>
          <w:bCs/>
          <w:color w:val="000000"/>
          <w:sz w:val="24"/>
          <w:szCs w:val="24"/>
        </w:rPr>
      </w:pPr>
    </w:p>
    <w:p w14:paraId="61264C3E" w14:textId="796E7205" w:rsidR="00E87225" w:rsidRDefault="00E87225" w:rsidP="00E50970">
      <w:pPr>
        <w:spacing w:after="0" w:line="240" w:lineRule="auto"/>
        <w:jc w:val="center"/>
        <w:rPr>
          <w:rFonts w:ascii="Times New Roman" w:eastAsia="Times New Roman" w:hAnsi="Times New Roman" w:cs="Times New Roman"/>
          <w:bCs/>
          <w:color w:val="000000"/>
          <w:sz w:val="24"/>
          <w:szCs w:val="24"/>
        </w:rPr>
      </w:pPr>
    </w:p>
    <w:p w14:paraId="1D19120B" w14:textId="4DF2DC66" w:rsidR="00E87225" w:rsidRDefault="00E87225" w:rsidP="00E50970">
      <w:pPr>
        <w:spacing w:after="0" w:line="240" w:lineRule="auto"/>
        <w:jc w:val="center"/>
        <w:rPr>
          <w:rFonts w:ascii="Times New Roman" w:eastAsia="Times New Roman" w:hAnsi="Times New Roman" w:cs="Times New Roman"/>
          <w:bCs/>
          <w:color w:val="000000"/>
          <w:sz w:val="24"/>
          <w:szCs w:val="24"/>
        </w:rPr>
      </w:pPr>
    </w:p>
    <w:p w14:paraId="78FE267E" w14:textId="51468EBD" w:rsidR="006554A0" w:rsidRDefault="006554A0" w:rsidP="00E50970">
      <w:pPr>
        <w:spacing w:after="0" w:line="240" w:lineRule="auto"/>
        <w:jc w:val="center"/>
        <w:rPr>
          <w:rFonts w:ascii="Times New Roman" w:eastAsia="Times New Roman" w:hAnsi="Times New Roman" w:cs="Times New Roman"/>
          <w:bCs/>
          <w:color w:val="000000"/>
          <w:sz w:val="24"/>
          <w:szCs w:val="24"/>
        </w:rPr>
      </w:pPr>
    </w:p>
    <w:p w14:paraId="1ADED4C9" w14:textId="772A3490" w:rsidR="006554A0" w:rsidRDefault="006554A0" w:rsidP="00E50970">
      <w:pPr>
        <w:spacing w:after="0" w:line="240" w:lineRule="auto"/>
        <w:jc w:val="center"/>
        <w:rPr>
          <w:rFonts w:ascii="Times New Roman" w:eastAsia="Times New Roman" w:hAnsi="Times New Roman" w:cs="Times New Roman"/>
          <w:bCs/>
          <w:color w:val="000000"/>
          <w:sz w:val="24"/>
          <w:szCs w:val="24"/>
        </w:rPr>
      </w:pPr>
    </w:p>
    <w:p w14:paraId="292F7CA3" w14:textId="6FEFF7CB" w:rsidR="006554A0" w:rsidRDefault="006554A0" w:rsidP="00E50970">
      <w:pPr>
        <w:spacing w:after="0" w:line="240" w:lineRule="auto"/>
        <w:jc w:val="center"/>
        <w:rPr>
          <w:rFonts w:ascii="Times New Roman" w:eastAsia="Times New Roman" w:hAnsi="Times New Roman" w:cs="Times New Roman"/>
          <w:bCs/>
          <w:color w:val="000000"/>
          <w:sz w:val="24"/>
          <w:szCs w:val="24"/>
        </w:rPr>
      </w:pPr>
    </w:p>
    <w:p w14:paraId="64022B24" w14:textId="5E7B28BE" w:rsidR="003E5561" w:rsidRDefault="003E5561">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34D7FF75" w14:textId="77777777" w:rsidR="00985D0B" w:rsidRDefault="00985D0B" w:rsidP="003E5561">
      <w:pPr>
        <w:keepNext/>
        <w:tabs>
          <w:tab w:val="left" w:pos="480"/>
          <w:tab w:val="left" w:pos="960"/>
          <w:tab w:val="left" w:pos="6840"/>
        </w:tabs>
        <w:spacing w:after="0" w:line="240" w:lineRule="auto"/>
        <w:jc w:val="center"/>
        <w:outlineLvl w:val="0"/>
        <w:rPr>
          <w:rFonts w:ascii="Times New Roman" w:eastAsia="Times New Roman" w:hAnsi="Times New Roman" w:cs="Times New Roman"/>
          <w:b/>
          <w:sz w:val="28"/>
          <w:szCs w:val="28"/>
        </w:rPr>
      </w:pPr>
      <w:bookmarkStart w:id="15" w:name="_Toc70419326"/>
      <w:r>
        <w:rPr>
          <w:rFonts w:ascii="Times New Roman" w:eastAsia="Times New Roman" w:hAnsi="Times New Roman" w:cs="Times New Roman"/>
          <w:b/>
          <w:sz w:val="28"/>
          <w:szCs w:val="28"/>
        </w:rPr>
        <w:lastRenderedPageBreak/>
        <w:t>PROVIDENCE-WARWICK, RI-MA MULTISTATE MSA</w:t>
      </w:r>
      <w:bookmarkEnd w:id="15"/>
    </w:p>
    <w:p w14:paraId="577A0DE6" w14:textId="77777777" w:rsidR="00985D0B" w:rsidRDefault="00985D0B" w:rsidP="002F54B0">
      <w:pPr>
        <w:keepNext/>
        <w:tabs>
          <w:tab w:val="left" w:pos="480"/>
          <w:tab w:val="left" w:pos="960"/>
          <w:tab w:val="left" w:pos="6840"/>
        </w:tabs>
        <w:spacing w:after="0" w:line="240" w:lineRule="auto"/>
        <w:outlineLvl w:val="0"/>
        <w:rPr>
          <w:rFonts w:ascii="Times New Roman" w:eastAsia="Times New Roman" w:hAnsi="Times New Roman" w:cs="Times New Roman"/>
          <w:b/>
          <w:sz w:val="28"/>
          <w:szCs w:val="28"/>
        </w:rPr>
      </w:pPr>
    </w:p>
    <w:p w14:paraId="7E2F4106" w14:textId="0DAB3243" w:rsidR="00E50970" w:rsidRPr="002F54B0" w:rsidRDefault="00985D0B" w:rsidP="00985D0B">
      <w:pPr>
        <w:keepNext/>
        <w:tabs>
          <w:tab w:val="left" w:pos="480"/>
          <w:tab w:val="left" w:pos="960"/>
          <w:tab w:val="left" w:pos="6840"/>
        </w:tabs>
        <w:spacing w:after="0" w:line="240" w:lineRule="auto"/>
        <w:outlineLvl w:val="0"/>
        <w:rPr>
          <w:rFonts w:ascii="Times New Roman" w:eastAsia="Times New Roman" w:hAnsi="Times New Roman" w:cs="Times New Roman"/>
          <w:b/>
          <w:bCs/>
          <w:spacing w:val="-3"/>
          <w:sz w:val="28"/>
          <w:szCs w:val="20"/>
        </w:rPr>
      </w:pPr>
      <w:bookmarkStart w:id="16" w:name="_Toc70419327"/>
      <w:r>
        <w:rPr>
          <w:rFonts w:ascii="Times New Roman" w:eastAsia="Times New Roman" w:hAnsi="Times New Roman" w:cs="Times New Roman"/>
          <w:b/>
          <w:sz w:val="28"/>
          <w:szCs w:val="28"/>
        </w:rPr>
        <w:t>C</w:t>
      </w:r>
      <w:r w:rsidR="002F54B0">
        <w:rPr>
          <w:rFonts w:ascii="Times New Roman" w:eastAsia="Times New Roman" w:hAnsi="Times New Roman" w:cs="Times New Roman"/>
          <w:b/>
          <w:sz w:val="28"/>
          <w:szCs w:val="28"/>
        </w:rPr>
        <w:t xml:space="preserve">RA RATING FOR </w:t>
      </w:r>
      <w:r w:rsidR="0037554D">
        <w:rPr>
          <w:rFonts w:ascii="Times New Roman" w:eastAsia="Times New Roman" w:hAnsi="Times New Roman" w:cs="Times New Roman"/>
          <w:b/>
          <w:sz w:val="28"/>
          <w:szCs w:val="28"/>
        </w:rPr>
        <w:t xml:space="preserve">RI-MA </w:t>
      </w:r>
      <w:r>
        <w:rPr>
          <w:rFonts w:ascii="Times New Roman" w:eastAsia="Times New Roman" w:hAnsi="Times New Roman" w:cs="Times New Roman"/>
          <w:b/>
          <w:sz w:val="28"/>
          <w:szCs w:val="28"/>
        </w:rPr>
        <w:t>MULTISTATE MSA</w:t>
      </w:r>
      <w:r w:rsidR="00E50970" w:rsidRPr="00E50970">
        <w:rPr>
          <w:rFonts w:ascii="Times New Roman" w:eastAsia="Times New Roman" w:hAnsi="Times New Roman" w:cs="Times New Roman"/>
          <w:b/>
          <w:sz w:val="28"/>
          <w:szCs w:val="28"/>
        </w:rPr>
        <w:t xml:space="preserve">:  </w:t>
      </w:r>
      <w:sdt>
        <w:sdtPr>
          <w:rPr>
            <w:rFonts w:ascii="Times New Roman" w:eastAsia="Times New Roman" w:hAnsi="Times New Roman" w:cs="Times New Roman"/>
            <w:b/>
            <w:bCs/>
            <w:sz w:val="24"/>
            <w:szCs w:val="24"/>
            <w:u w:val="single"/>
          </w:rPr>
          <w:alias w:val="CRA Ratings"/>
          <w:tag w:val="CRA Ratings"/>
          <w:id w:val="351934712"/>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sdtContent>
          <w:r w:rsidR="008159F7">
            <w:rPr>
              <w:rFonts w:ascii="Times New Roman" w:eastAsia="Times New Roman" w:hAnsi="Times New Roman" w:cs="Times New Roman"/>
              <w:b/>
              <w:bCs/>
              <w:sz w:val="24"/>
              <w:szCs w:val="24"/>
              <w:u w:val="single"/>
            </w:rPr>
            <w:t>OUTSTANDING</w:t>
          </w:r>
        </w:sdtContent>
      </w:sdt>
      <w:bookmarkEnd w:id="16"/>
      <w:r w:rsidR="00E50970" w:rsidRPr="00E50970">
        <w:rPr>
          <w:rFonts w:ascii="Times New Roman" w:eastAsia="Times New Roman" w:hAnsi="Times New Roman" w:cs="Times New Roman"/>
          <w:b/>
          <w:bCs/>
          <w:color w:val="000000"/>
          <w:sz w:val="28"/>
          <w:szCs w:val="28"/>
        </w:rPr>
        <w:t xml:space="preserve"> </w:t>
      </w:r>
    </w:p>
    <w:p w14:paraId="75DE80E8" w14:textId="77777777" w:rsidR="00E50970" w:rsidRPr="00DB75C4" w:rsidRDefault="00E50970" w:rsidP="00E50970">
      <w:pPr>
        <w:spacing w:after="0" w:line="240" w:lineRule="auto"/>
        <w:rPr>
          <w:rFonts w:ascii="Times New Roman" w:eastAsia="Times New Roman" w:hAnsi="Times New Roman" w:cs="Times New Roman"/>
          <w:bCs/>
          <w:color w:val="000000"/>
          <w:sz w:val="24"/>
          <w:szCs w:val="24"/>
        </w:rPr>
      </w:pPr>
    </w:p>
    <w:p w14:paraId="74043CB0" w14:textId="77777777" w:rsidR="00E50970" w:rsidRPr="00E50970" w:rsidRDefault="00E50970" w:rsidP="00E50970">
      <w:pPr>
        <w:spacing w:after="0" w:line="240" w:lineRule="auto"/>
        <w:rPr>
          <w:rFonts w:ascii="Times New Roman" w:eastAsia="Times New Roman" w:hAnsi="Times New Roman" w:cs="Times New Roman"/>
          <w:b/>
          <w:bCs/>
          <w:color w:val="000000"/>
          <w:sz w:val="24"/>
          <w:szCs w:val="24"/>
        </w:rPr>
      </w:pPr>
      <w:r w:rsidRPr="00E50970">
        <w:rPr>
          <w:rFonts w:ascii="Times New Roman" w:eastAsia="Times New Roman" w:hAnsi="Times New Roman" w:cs="Times New Roman"/>
          <w:b/>
          <w:bCs/>
          <w:color w:val="000000"/>
          <w:sz w:val="24"/>
          <w:szCs w:val="24"/>
        </w:rPr>
        <w:t xml:space="preserve">The Lending Test is rated:  </w:t>
      </w:r>
      <w:sdt>
        <w:sdtPr>
          <w:rPr>
            <w:rFonts w:ascii="Times New Roman" w:eastAsia="Times New Roman" w:hAnsi="Times New Roman" w:cs="Times New Roman"/>
            <w:b/>
            <w:bCs/>
            <w:sz w:val="24"/>
            <w:szCs w:val="24"/>
            <w:u w:val="single"/>
          </w:rPr>
          <w:alias w:val="CRA Ratings"/>
          <w:tag w:val="CRA Ratings"/>
          <w:id w:val="959462569"/>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8159F7">
            <w:rPr>
              <w:rFonts w:ascii="Times New Roman" w:eastAsia="Times New Roman" w:hAnsi="Times New Roman" w:cs="Times New Roman"/>
              <w:b/>
              <w:bCs/>
              <w:sz w:val="24"/>
              <w:szCs w:val="24"/>
              <w:u w:val="single"/>
            </w:rPr>
            <w:t>Outstanding</w:t>
          </w:r>
        </w:sdtContent>
      </w:sdt>
    </w:p>
    <w:p w14:paraId="6199283E" w14:textId="6A5FD4E5" w:rsidR="00E50970" w:rsidRPr="00E50970" w:rsidRDefault="00E50970" w:rsidP="00E50970">
      <w:pPr>
        <w:spacing w:after="0" w:line="240" w:lineRule="auto"/>
        <w:rPr>
          <w:rFonts w:ascii="Times New Roman" w:eastAsia="Times New Roman" w:hAnsi="Times New Roman" w:cs="Times New Roman"/>
          <w:b/>
          <w:bCs/>
          <w:color w:val="000000"/>
          <w:sz w:val="24"/>
          <w:szCs w:val="24"/>
          <w:u w:val="single"/>
        </w:rPr>
      </w:pPr>
      <w:r w:rsidRPr="00E50970">
        <w:rPr>
          <w:rFonts w:ascii="Times New Roman" w:eastAsia="Times New Roman" w:hAnsi="Times New Roman" w:cs="Times New Roman"/>
          <w:b/>
          <w:bCs/>
          <w:color w:val="000000"/>
          <w:sz w:val="24"/>
          <w:szCs w:val="24"/>
        </w:rPr>
        <w:t xml:space="preserve">The Investment Test is rated:  </w:t>
      </w:r>
      <w:sdt>
        <w:sdtPr>
          <w:rPr>
            <w:rFonts w:ascii="Times New Roman" w:eastAsia="Times New Roman" w:hAnsi="Times New Roman" w:cs="Times New Roman"/>
            <w:b/>
            <w:bCs/>
            <w:sz w:val="24"/>
            <w:szCs w:val="24"/>
            <w:u w:val="single"/>
          </w:rPr>
          <w:alias w:val="CRA Ratings"/>
          <w:tag w:val="CRA Ratings"/>
          <w:id w:val="1610848325"/>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B3497E">
            <w:rPr>
              <w:rFonts w:ascii="Times New Roman" w:eastAsia="Times New Roman" w:hAnsi="Times New Roman" w:cs="Times New Roman"/>
              <w:b/>
              <w:bCs/>
              <w:sz w:val="24"/>
              <w:szCs w:val="24"/>
              <w:u w:val="single"/>
            </w:rPr>
            <w:t>High Satisfactory</w:t>
          </w:r>
        </w:sdtContent>
      </w:sdt>
      <w:r w:rsidRPr="00E50970">
        <w:rPr>
          <w:rFonts w:ascii="Times New Roman" w:eastAsia="Times New Roman" w:hAnsi="Times New Roman" w:cs="Times New Roman"/>
          <w:b/>
          <w:bCs/>
          <w:color w:val="000000"/>
          <w:sz w:val="24"/>
          <w:szCs w:val="24"/>
          <w:u w:val="single"/>
        </w:rPr>
        <w:t xml:space="preserve"> </w:t>
      </w:r>
    </w:p>
    <w:p w14:paraId="4BA9B98D" w14:textId="6E299F79" w:rsidR="00E50970" w:rsidRPr="00E50970" w:rsidRDefault="00E50970" w:rsidP="00E50970">
      <w:pPr>
        <w:spacing w:after="0" w:line="240" w:lineRule="auto"/>
        <w:rPr>
          <w:rFonts w:ascii="Times New Roman" w:eastAsia="Times New Roman" w:hAnsi="Times New Roman" w:cs="Times New Roman"/>
          <w:color w:val="000000"/>
          <w:sz w:val="24"/>
          <w:szCs w:val="24"/>
        </w:rPr>
      </w:pPr>
      <w:r w:rsidRPr="00E50970">
        <w:rPr>
          <w:rFonts w:ascii="Times New Roman" w:eastAsia="Times New Roman" w:hAnsi="Times New Roman" w:cs="Times New Roman"/>
          <w:b/>
          <w:bCs/>
          <w:color w:val="000000"/>
          <w:sz w:val="24"/>
          <w:szCs w:val="24"/>
        </w:rPr>
        <w:t xml:space="preserve">The Service Test is rated:  </w:t>
      </w:r>
      <w:sdt>
        <w:sdtPr>
          <w:rPr>
            <w:rFonts w:ascii="Times New Roman" w:eastAsia="Times New Roman" w:hAnsi="Times New Roman" w:cs="Times New Roman"/>
            <w:b/>
            <w:bCs/>
            <w:sz w:val="24"/>
            <w:szCs w:val="24"/>
            <w:u w:val="single"/>
          </w:rPr>
          <w:alias w:val="CRA Ratings"/>
          <w:tag w:val="CRA Ratings"/>
          <w:id w:val="-396356907"/>
          <w:dropDownList>
            <w:listItem w:displayText="Select a Rating" w:value="Select a Rating"/>
            <w:listItem w:displayText="Outstanding" w:value="Outstanding"/>
            <w:listItem w:displayText="High Satisfactory" w:value="High Satisfactory"/>
            <w:listItem w:displayText="Needs to Improve" w:value="Needs to Improve"/>
            <w:listItem w:displayText="Substantial Noncompliance" w:value="Substantial Noncompliance"/>
            <w:listItem w:displayText="Low Satisfactory" w:value="Low Satisfactory"/>
          </w:dropDownList>
        </w:sdtPr>
        <w:sdtEndPr/>
        <w:sdtContent>
          <w:r w:rsidR="006554A0">
            <w:rPr>
              <w:rFonts w:ascii="Times New Roman" w:eastAsia="Times New Roman" w:hAnsi="Times New Roman" w:cs="Times New Roman"/>
              <w:b/>
              <w:bCs/>
              <w:sz w:val="24"/>
              <w:szCs w:val="24"/>
              <w:u w:val="single"/>
            </w:rPr>
            <w:t>Outstanding</w:t>
          </w:r>
        </w:sdtContent>
      </w:sdt>
      <w:r w:rsidRPr="00E50970">
        <w:rPr>
          <w:rFonts w:ascii="Times New Roman" w:eastAsia="Times New Roman" w:hAnsi="Times New Roman" w:cs="Times New Roman"/>
          <w:b/>
          <w:bCs/>
          <w:color w:val="000000"/>
          <w:sz w:val="24"/>
          <w:szCs w:val="24"/>
        </w:rPr>
        <w:t xml:space="preserve"> </w:t>
      </w:r>
    </w:p>
    <w:p w14:paraId="3D1957A7" w14:textId="15C47663" w:rsidR="00E131A5" w:rsidRPr="00E131A5" w:rsidRDefault="00E131A5" w:rsidP="00E131A5">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
          <w:bCs/>
          <w:sz w:val="24"/>
          <w:szCs w:val="24"/>
        </w:rPr>
      </w:pPr>
    </w:p>
    <w:p w14:paraId="1044651B" w14:textId="390170E8" w:rsidR="00E131A5" w:rsidRPr="00E131A5" w:rsidRDefault="00E131A5" w:rsidP="00647F37">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sz w:val="28"/>
          <w:szCs w:val="28"/>
        </w:rPr>
      </w:pPr>
      <w:bookmarkStart w:id="17" w:name="_Toc70419328"/>
      <w:r w:rsidRPr="00E131A5">
        <w:rPr>
          <w:rFonts w:ascii="Times New Roman" w:eastAsia="Times New Roman" w:hAnsi="Times New Roman" w:cs="Times New Roman"/>
          <w:b/>
          <w:bCs/>
          <w:sz w:val="28"/>
          <w:szCs w:val="28"/>
        </w:rPr>
        <w:t>SCOPE OF EVALUATION</w:t>
      </w:r>
      <w:r w:rsidR="00647F37">
        <w:rPr>
          <w:rFonts w:ascii="Times New Roman" w:eastAsia="Times New Roman" w:hAnsi="Times New Roman" w:cs="Times New Roman"/>
          <w:b/>
          <w:bCs/>
          <w:sz w:val="28"/>
          <w:szCs w:val="28"/>
        </w:rPr>
        <w:t xml:space="preserve"> – </w:t>
      </w:r>
      <w:r w:rsidR="0037554D">
        <w:rPr>
          <w:rFonts w:ascii="Times New Roman" w:eastAsia="Times New Roman" w:hAnsi="Times New Roman" w:cs="Times New Roman"/>
          <w:b/>
          <w:bCs/>
          <w:sz w:val="28"/>
          <w:szCs w:val="28"/>
        </w:rPr>
        <w:t>RI-MA MULTISTATE MSA</w:t>
      </w:r>
      <w:bookmarkEnd w:id="17"/>
    </w:p>
    <w:p w14:paraId="2AE78292" w14:textId="77777777" w:rsidR="00E131A5" w:rsidRPr="00E131A5" w:rsidRDefault="00E131A5" w:rsidP="00E131A5">
      <w:pPr>
        <w:autoSpaceDE w:val="0"/>
        <w:autoSpaceDN w:val="0"/>
        <w:adjustRightInd w:val="0"/>
        <w:spacing w:after="0" w:line="240" w:lineRule="auto"/>
        <w:rPr>
          <w:rFonts w:ascii="Times New Roman" w:hAnsi="Times New Roman" w:cs="Times New Roman"/>
          <w:color w:val="000000"/>
          <w:sz w:val="24"/>
          <w:szCs w:val="24"/>
        </w:rPr>
      </w:pPr>
    </w:p>
    <w:p w14:paraId="0E88D2A4" w14:textId="60B507DB" w:rsidR="00B34F60" w:rsidRPr="00757915" w:rsidRDefault="00B34F60" w:rsidP="00B34F60">
      <w:pPr>
        <w:spacing w:after="0" w:line="240" w:lineRule="auto"/>
        <w:rPr>
          <w:rFonts w:ascii="Times New Roman" w:hAnsi="Times New Roman" w:cs="Times New Roman"/>
          <w:sz w:val="24"/>
          <w:szCs w:val="24"/>
        </w:rPr>
      </w:pPr>
      <w:r w:rsidRPr="00757915">
        <w:rPr>
          <w:rFonts w:ascii="Times New Roman" w:hAnsi="Times New Roman" w:cs="Times New Roman"/>
          <w:sz w:val="24"/>
          <w:szCs w:val="24"/>
        </w:rPr>
        <w:t>Examiners used full-scope examination procedures to review the bank</w:t>
      </w:r>
      <w:r w:rsidR="003E5561">
        <w:rPr>
          <w:rFonts w:ascii="Times New Roman" w:hAnsi="Times New Roman" w:cs="Times New Roman"/>
          <w:sz w:val="24"/>
          <w:szCs w:val="24"/>
        </w:rPr>
        <w:t>’</w:t>
      </w:r>
      <w:r w:rsidRPr="00757915">
        <w:rPr>
          <w:rFonts w:ascii="Times New Roman" w:hAnsi="Times New Roman" w:cs="Times New Roman"/>
          <w:sz w:val="24"/>
          <w:szCs w:val="24"/>
        </w:rPr>
        <w:t xml:space="preserve">s operations in </w:t>
      </w:r>
      <w:r>
        <w:rPr>
          <w:rFonts w:ascii="Times New Roman" w:hAnsi="Times New Roman" w:cs="Times New Roman"/>
          <w:sz w:val="24"/>
          <w:szCs w:val="24"/>
        </w:rPr>
        <w:t xml:space="preserve">the Providence-Warwick, RI-MA MSA.  </w:t>
      </w:r>
      <w:r w:rsidRPr="00757915">
        <w:rPr>
          <w:rFonts w:ascii="Times New Roman" w:hAnsi="Times New Roman" w:cs="Times New Roman"/>
          <w:sz w:val="24"/>
          <w:szCs w:val="24"/>
        </w:rPr>
        <w:t>Examiners evaluated and considered loans, qualified investments</w:t>
      </w:r>
      <w:r>
        <w:rPr>
          <w:rFonts w:ascii="Times New Roman" w:hAnsi="Times New Roman" w:cs="Times New Roman"/>
          <w:sz w:val="24"/>
          <w:szCs w:val="24"/>
        </w:rPr>
        <w:t xml:space="preserve"> and donations</w:t>
      </w:r>
      <w:r w:rsidRPr="00757915">
        <w:rPr>
          <w:rFonts w:ascii="Times New Roman" w:hAnsi="Times New Roman" w:cs="Times New Roman"/>
          <w:sz w:val="24"/>
          <w:szCs w:val="24"/>
        </w:rPr>
        <w:t xml:space="preserve">, and services originated, made, or provided in the assessment area.  Examiners evaluated the </w:t>
      </w:r>
      <w:r w:rsidR="006D5CB5">
        <w:rPr>
          <w:rFonts w:ascii="Times New Roman" w:hAnsi="Times New Roman" w:cs="Times New Roman"/>
          <w:sz w:val="24"/>
          <w:szCs w:val="24"/>
        </w:rPr>
        <w:t xml:space="preserve">lending activity, </w:t>
      </w:r>
      <w:r>
        <w:rPr>
          <w:rFonts w:ascii="Times New Roman" w:hAnsi="Times New Roman" w:cs="Times New Roman"/>
          <w:sz w:val="24"/>
          <w:szCs w:val="24"/>
        </w:rPr>
        <w:t>geographic distribution</w:t>
      </w:r>
      <w:r w:rsidR="006D5CB5">
        <w:rPr>
          <w:rFonts w:ascii="Times New Roman" w:hAnsi="Times New Roman" w:cs="Times New Roman"/>
          <w:sz w:val="24"/>
          <w:szCs w:val="24"/>
        </w:rPr>
        <w:t>,</w:t>
      </w:r>
      <w:r>
        <w:rPr>
          <w:rFonts w:ascii="Times New Roman" w:hAnsi="Times New Roman" w:cs="Times New Roman"/>
          <w:sz w:val="24"/>
          <w:szCs w:val="24"/>
        </w:rPr>
        <w:t xml:space="preserve"> and borrower profile factors</w:t>
      </w:r>
      <w:r w:rsidR="003E5561">
        <w:rPr>
          <w:rFonts w:ascii="Times New Roman" w:hAnsi="Times New Roman" w:cs="Times New Roman"/>
          <w:sz w:val="24"/>
          <w:szCs w:val="24"/>
        </w:rPr>
        <w:t>,</w:t>
      </w:r>
      <w:r>
        <w:rPr>
          <w:rFonts w:ascii="Times New Roman" w:hAnsi="Times New Roman" w:cs="Times New Roman"/>
          <w:sz w:val="24"/>
          <w:szCs w:val="24"/>
        </w:rPr>
        <w:t xml:space="preserve"> </w:t>
      </w:r>
      <w:r w:rsidR="00474184">
        <w:rPr>
          <w:rFonts w:ascii="Times New Roman" w:hAnsi="Times New Roman" w:cs="Times New Roman"/>
          <w:sz w:val="24"/>
          <w:szCs w:val="24"/>
        </w:rPr>
        <w:t>focusing</w:t>
      </w:r>
      <w:r>
        <w:rPr>
          <w:rFonts w:ascii="Times New Roman" w:hAnsi="Times New Roman" w:cs="Times New Roman"/>
          <w:sz w:val="24"/>
          <w:szCs w:val="24"/>
        </w:rPr>
        <w:t xml:space="preserve"> </w:t>
      </w:r>
      <w:r w:rsidR="00474184">
        <w:rPr>
          <w:rFonts w:ascii="Times New Roman" w:hAnsi="Times New Roman" w:cs="Times New Roman"/>
          <w:sz w:val="24"/>
          <w:szCs w:val="24"/>
        </w:rPr>
        <w:t xml:space="preserve">on </w:t>
      </w:r>
      <w:r>
        <w:rPr>
          <w:rFonts w:ascii="Times New Roman" w:hAnsi="Times New Roman" w:cs="Times New Roman"/>
          <w:sz w:val="24"/>
          <w:szCs w:val="24"/>
        </w:rPr>
        <w:t>the bank’s performance in 2019</w:t>
      </w:r>
      <w:r w:rsidR="00474184">
        <w:rPr>
          <w:rFonts w:ascii="Times New Roman" w:hAnsi="Times New Roman" w:cs="Times New Roman"/>
          <w:sz w:val="24"/>
          <w:szCs w:val="24"/>
        </w:rPr>
        <w:t xml:space="preserve"> becau</w:t>
      </w:r>
      <w:r>
        <w:rPr>
          <w:rFonts w:ascii="Times New Roman" w:hAnsi="Times New Roman" w:cs="Times New Roman"/>
          <w:sz w:val="24"/>
          <w:szCs w:val="24"/>
        </w:rPr>
        <w:t>s</w:t>
      </w:r>
      <w:r w:rsidR="00474184">
        <w:rPr>
          <w:rFonts w:ascii="Times New Roman" w:hAnsi="Times New Roman" w:cs="Times New Roman"/>
          <w:sz w:val="24"/>
          <w:szCs w:val="24"/>
        </w:rPr>
        <w:t>e</w:t>
      </w:r>
      <w:r>
        <w:rPr>
          <w:rFonts w:ascii="Times New Roman" w:hAnsi="Times New Roman" w:cs="Times New Roman"/>
          <w:sz w:val="24"/>
          <w:szCs w:val="24"/>
        </w:rPr>
        <w:t xml:space="preserve"> the bank </w:t>
      </w:r>
      <w:r w:rsidR="00474184">
        <w:rPr>
          <w:rFonts w:ascii="Times New Roman" w:hAnsi="Times New Roman" w:cs="Times New Roman"/>
          <w:sz w:val="24"/>
          <w:szCs w:val="24"/>
        </w:rPr>
        <w:t>did not operate</w:t>
      </w:r>
      <w:r>
        <w:rPr>
          <w:rFonts w:ascii="Times New Roman" w:hAnsi="Times New Roman" w:cs="Times New Roman"/>
          <w:sz w:val="24"/>
          <w:szCs w:val="24"/>
        </w:rPr>
        <w:t xml:space="preserve"> in </w:t>
      </w:r>
      <w:r w:rsidR="00474184">
        <w:rPr>
          <w:rFonts w:ascii="Times New Roman" w:hAnsi="Times New Roman" w:cs="Times New Roman"/>
          <w:sz w:val="24"/>
          <w:szCs w:val="24"/>
        </w:rPr>
        <w:t>Rhode Island</w:t>
      </w:r>
      <w:r>
        <w:rPr>
          <w:rFonts w:ascii="Times New Roman" w:hAnsi="Times New Roman" w:cs="Times New Roman"/>
          <w:sz w:val="24"/>
          <w:szCs w:val="24"/>
        </w:rPr>
        <w:t xml:space="preserve"> </w:t>
      </w:r>
      <w:r w:rsidR="00474184">
        <w:rPr>
          <w:rFonts w:ascii="Times New Roman" w:hAnsi="Times New Roman" w:cs="Times New Roman"/>
          <w:sz w:val="24"/>
          <w:szCs w:val="24"/>
        </w:rPr>
        <w:t>until</w:t>
      </w:r>
      <w:r>
        <w:rPr>
          <w:rFonts w:ascii="Times New Roman" w:hAnsi="Times New Roman" w:cs="Times New Roman"/>
          <w:sz w:val="24"/>
          <w:szCs w:val="24"/>
        </w:rPr>
        <w:t xml:space="preserve"> </w:t>
      </w:r>
      <w:r w:rsidR="006D5CB5">
        <w:rPr>
          <w:rFonts w:ascii="Times New Roman" w:hAnsi="Times New Roman" w:cs="Times New Roman"/>
          <w:sz w:val="24"/>
          <w:szCs w:val="24"/>
        </w:rPr>
        <w:t>October</w:t>
      </w:r>
      <w:r>
        <w:rPr>
          <w:rFonts w:ascii="Times New Roman" w:hAnsi="Times New Roman" w:cs="Times New Roman"/>
          <w:sz w:val="24"/>
          <w:szCs w:val="24"/>
        </w:rPr>
        <w:t xml:space="preserve"> 2018</w:t>
      </w:r>
      <w:r w:rsidR="00363F08">
        <w:rPr>
          <w:rFonts w:ascii="Times New Roman" w:hAnsi="Times New Roman" w:cs="Times New Roman"/>
          <w:sz w:val="24"/>
          <w:szCs w:val="24"/>
        </w:rPr>
        <w:t>,</w:t>
      </w:r>
      <w:r w:rsidR="003E5561">
        <w:rPr>
          <w:rFonts w:ascii="Times New Roman" w:hAnsi="Times New Roman" w:cs="Times New Roman"/>
          <w:sz w:val="24"/>
          <w:szCs w:val="24"/>
        </w:rPr>
        <w:t xml:space="preserve"> and it</w:t>
      </w:r>
      <w:r w:rsidR="00363F08">
        <w:rPr>
          <w:rFonts w:ascii="Times New Roman" w:hAnsi="Times New Roman" w:cs="Times New Roman"/>
          <w:sz w:val="24"/>
          <w:szCs w:val="24"/>
        </w:rPr>
        <w:t xml:space="preserve"> did</w:t>
      </w:r>
      <w:r w:rsidR="003E5561">
        <w:rPr>
          <w:rFonts w:ascii="Times New Roman" w:hAnsi="Times New Roman" w:cs="Times New Roman"/>
          <w:sz w:val="24"/>
          <w:szCs w:val="24"/>
        </w:rPr>
        <w:t xml:space="preserve"> not</w:t>
      </w:r>
      <w:r w:rsidR="00363F08">
        <w:rPr>
          <w:rFonts w:ascii="Times New Roman" w:hAnsi="Times New Roman" w:cs="Times New Roman"/>
          <w:sz w:val="24"/>
          <w:szCs w:val="24"/>
        </w:rPr>
        <w:t xml:space="preserve"> include all of </w:t>
      </w:r>
      <w:r w:rsidR="006D5CB5">
        <w:rPr>
          <w:rFonts w:ascii="Times New Roman" w:hAnsi="Times New Roman" w:cs="Times New Roman"/>
          <w:sz w:val="24"/>
          <w:szCs w:val="24"/>
        </w:rPr>
        <w:t>Bristol County, MA in its assessment area until that time</w:t>
      </w:r>
      <w:r>
        <w:rPr>
          <w:rFonts w:ascii="Times New Roman" w:hAnsi="Times New Roman" w:cs="Times New Roman"/>
          <w:sz w:val="24"/>
          <w:szCs w:val="24"/>
        </w:rPr>
        <w:t>.</w:t>
      </w:r>
    </w:p>
    <w:p w14:paraId="32058883" w14:textId="77777777" w:rsidR="00B34F60" w:rsidRPr="00E131A5" w:rsidRDefault="00B34F60" w:rsidP="00E131A5">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
          <w:bCs/>
          <w:sz w:val="24"/>
          <w:szCs w:val="24"/>
        </w:rPr>
      </w:pPr>
    </w:p>
    <w:p w14:paraId="1952E681" w14:textId="77777777" w:rsidR="002563CA" w:rsidRPr="00725496" w:rsidRDefault="00E50970" w:rsidP="002563CA">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
          <w:bCs/>
          <w:sz w:val="28"/>
          <w:szCs w:val="20"/>
        </w:rPr>
      </w:pPr>
      <w:bookmarkStart w:id="18" w:name="_Toc70419329"/>
      <w:r w:rsidRPr="00725496">
        <w:rPr>
          <w:rFonts w:ascii="Times New Roman" w:eastAsia="Times New Roman" w:hAnsi="Times New Roman" w:cs="Times New Roman"/>
          <w:b/>
          <w:bCs/>
          <w:sz w:val="28"/>
          <w:szCs w:val="28"/>
        </w:rPr>
        <w:t xml:space="preserve">DESCRIPTION OF INSTITUTION’S OPERATIONS IN </w:t>
      </w:r>
      <w:r w:rsidR="002563CA" w:rsidRPr="00725496">
        <w:rPr>
          <w:rFonts w:ascii="Times New Roman" w:eastAsia="Times New Roman" w:hAnsi="Times New Roman" w:cs="Times New Roman"/>
          <w:b/>
          <w:bCs/>
          <w:sz w:val="28"/>
          <w:szCs w:val="20"/>
        </w:rPr>
        <w:t>PROVIDENCE-</w:t>
      </w:r>
      <w:r w:rsidR="003A6FA8" w:rsidRPr="00725496">
        <w:rPr>
          <w:rFonts w:ascii="Times New Roman" w:eastAsia="Times New Roman" w:hAnsi="Times New Roman" w:cs="Times New Roman"/>
          <w:b/>
          <w:bCs/>
          <w:sz w:val="28"/>
          <w:szCs w:val="20"/>
        </w:rPr>
        <w:t>WARWICK</w:t>
      </w:r>
      <w:r w:rsidR="002563CA" w:rsidRPr="00725496">
        <w:rPr>
          <w:rFonts w:ascii="Times New Roman" w:eastAsia="Times New Roman" w:hAnsi="Times New Roman" w:cs="Times New Roman"/>
          <w:b/>
          <w:bCs/>
          <w:sz w:val="28"/>
          <w:szCs w:val="20"/>
        </w:rPr>
        <w:t>, RI-MA MSA</w:t>
      </w:r>
      <w:bookmarkEnd w:id="18"/>
    </w:p>
    <w:p w14:paraId="1C619F55" w14:textId="77777777" w:rsidR="00E50970" w:rsidRPr="00C56A00" w:rsidRDefault="00E50970" w:rsidP="00E131A5">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Cs/>
          <w:sz w:val="24"/>
          <w:szCs w:val="24"/>
        </w:rPr>
      </w:pPr>
    </w:p>
    <w:p w14:paraId="682A49C2" w14:textId="1BFB36B3" w:rsidR="00231835" w:rsidRPr="00C56A00" w:rsidRDefault="00231835" w:rsidP="00231835">
      <w:pPr>
        <w:spacing w:after="0" w:line="240" w:lineRule="auto"/>
        <w:rPr>
          <w:rFonts w:ascii="Times New Roman" w:hAnsi="Times New Roman" w:cs="Times New Roman"/>
          <w:bCs/>
          <w:iCs/>
          <w:color w:val="000000"/>
          <w:sz w:val="24"/>
          <w:szCs w:val="24"/>
        </w:rPr>
      </w:pPr>
      <w:r w:rsidRPr="00C56A00">
        <w:rPr>
          <w:rFonts w:ascii="Times New Roman" w:eastAsia="Times New Roman" w:hAnsi="Times New Roman" w:cs="Times New Roman"/>
          <w:bCs/>
          <w:sz w:val="24"/>
          <w:szCs w:val="24"/>
        </w:rPr>
        <w:t xml:space="preserve">HOB operates 13 of its 26 branches in the Providence-Warwick, RI-MA MSA.  </w:t>
      </w:r>
      <w:r w:rsidRPr="00C56A00">
        <w:rPr>
          <w:rFonts w:ascii="Times New Roman" w:eastAsia="Times New Roman" w:hAnsi="Times New Roman" w:cs="Times New Roman"/>
          <w:sz w:val="24"/>
          <w:szCs w:val="24"/>
        </w:rPr>
        <w:t xml:space="preserve">As part of the CCB acquisition, the bank acquired 10 full-service branches and a limited-service branch.  In addition, HOB </w:t>
      </w:r>
      <w:r w:rsidRPr="00C56A00">
        <w:rPr>
          <w:rFonts w:ascii="Times New Roman" w:hAnsi="Times New Roman" w:cs="Times New Roman"/>
          <w:bCs/>
          <w:iCs/>
          <w:color w:val="000000"/>
          <w:sz w:val="24"/>
          <w:szCs w:val="24"/>
        </w:rPr>
        <w:t>closed its limited-service branches in Attleboro (December 2018).  This portion of the bank’s assessment area contains the follow</w:t>
      </w:r>
      <w:r w:rsidR="00C56A00" w:rsidRPr="00C56A00">
        <w:rPr>
          <w:rFonts w:ascii="Times New Roman" w:hAnsi="Times New Roman" w:cs="Times New Roman"/>
          <w:bCs/>
          <w:iCs/>
          <w:color w:val="000000"/>
          <w:sz w:val="24"/>
          <w:szCs w:val="24"/>
        </w:rPr>
        <w:t>ing counties, cities, and towns in the Providence-Warwick, RI-MA MSA</w:t>
      </w:r>
      <w:r w:rsidR="008B1306">
        <w:rPr>
          <w:rFonts w:ascii="Times New Roman" w:hAnsi="Times New Roman" w:cs="Times New Roman"/>
          <w:bCs/>
          <w:iCs/>
          <w:color w:val="000000"/>
          <w:sz w:val="24"/>
          <w:szCs w:val="24"/>
        </w:rPr>
        <w:t xml:space="preserve"> (Providence, RI-MA MSA)</w:t>
      </w:r>
      <w:r w:rsidR="00C56A00" w:rsidRPr="00C56A00">
        <w:rPr>
          <w:rFonts w:ascii="Times New Roman" w:hAnsi="Times New Roman" w:cs="Times New Roman"/>
          <w:bCs/>
          <w:iCs/>
          <w:color w:val="000000"/>
          <w:sz w:val="24"/>
          <w:szCs w:val="24"/>
        </w:rPr>
        <w:t>.</w:t>
      </w:r>
    </w:p>
    <w:p w14:paraId="395C7510" w14:textId="77777777" w:rsidR="00DC17DF" w:rsidRPr="00C56A00" w:rsidRDefault="00DC17DF" w:rsidP="00DC17DF">
      <w:pPr>
        <w:autoSpaceDE w:val="0"/>
        <w:autoSpaceDN w:val="0"/>
        <w:adjustRightInd w:val="0"/>
        <w:spacing w:after="0" w:line="240" w:lineRule="auto"/>
        <w:rPr>
          <w:rFonts w:ascii="Times New Roman" w:hAnsi="Times New Roman" w:cs="Times New Roman"/>
          <w:b/>
          <w:sz w:val="24"/>
          <w:szCs w:val="24"/>
        </w:rPr>
      </w:pPr>
    </w:p>
    <w:p w14:paraId="2B03BBA2" w14:textId="77777777" w:rsidR="00DC17DF" w:rsidRPr="007E37E2" w:rsidRDefault="00DC17DF" w:rsidP="00DC17DF">
      <w:pPr>
        <w:pStyle w:val="Default"/>
        <w:numPr>
          <w:ilvl w:val="0"/>
          <w:numId w:val="36"/>
        </w:numPr>
        <w:rPr>
          <w:b/>
        </w:rPr>
      </w:pPr>
      <w:r w:rsidRPr="00C56A00">
        <w:rPr>
          <w:b/>
        </w:rPr>
        <w:t>Bristol County, MA</w:t>
      </w:r>
      <w:r w:rsidRPr="007E37E2">
        <w:rPr>
          <w:b/>
        </w:rPr>
        <w:t xml:space="preserve"> –</w:t>
      </w:r>
      <w:r w:rsidRPr="007E37E2">
        <w:t xml:space="preserve"> </w:t>
      </w:r>
      <w:r w:rsidRPr="007E37E2">
        <w:rPr>
          <w:color w:val="auto"/>
        </w:rPr>
        <w:t xml:space="preserve">Attleboro, </w:t>
      </w:r>
      <w:r w:rsidRPr="008B1306">
        <w:rPr>
          <w:i/>
        </w:rPr>
        <w:t>Acushnet</w:t>
      </w:r>
      <w:r>
        <w:t>,</w:t>
      </w:r>
      <w:r w:rsidRPr="007E37E2">
        <w:rPr>
          <w:color w:val="auto"/>
        </w:rPr>
        <w:t xml:space="preserve"> Berkley, </w:t>
      </w:r>
      <w:r w:rsidRPr="008B1306">
        <w:rPr>
          <w:i/>
        </w:rPr>
        <w:t>Dartmouth</w:t>
      </w:r>
      <w:r>
        <w:t xml:space="preserve">, </w:t>
      </w:r>
      <w:r w:rsidRPr="007E37E2">
        <w:rPr>
          <w:color w:val="auto"/>
        </w:rPr>
        <w:t xml:space="preserve">Dighton, Easton, </w:t>
      </w:r>
      <w:r w:rsidRPr="008B1306">
        <w:rPr>
          <w:i/>
        </w:rPr>
        <w:t>Fairhaven</w:t>
      </w:r>
      <w:r>
        <w:t>,</w:t>
      </w:r>
      <w:r w:rsidRPr="007E37E2">
        <w:rPr>
          <w:color w:val="auto"/>
        </w:rPr>
        <w:t xml:space="preserve"> </w:t>
      </w:r>
      <w:r w:rsidRPr="008B1306">
        <w:rPr>
          <w:i/>
        </w:rPr>
        <w:t>Fall River</w:t>
      </w:r>
      <w:r>
        <w:rPr>
          <w:color w:val="auto"/>
        </w:rPr>
        <w:t xml:space="preserve">, </w:t>
      </w:r>
      <w:r w:rsidRPr="008B1306">
        <w:rPr>
          <w:i/>
        </w:rPr>
        <w:t>Freetown</w:t>
      </w:r>
      <w:r>
        <w:t>,</w:t>
      </w:r>
      <w:r w:rsidRPr="007E37E2">
        <w:rPr>
          <w:color w:val="auto"/>
        </w:rPr>
        <w:t xml:space="preserve"> Mansfield, </w:t>
      </w:r>
      <w:r w:rsidRPr="008B1306">
        <w:rPr>
          <w:i/>
        </w:rPr>
        <w:t>New Bedford</w:t>
      </w:r>
      <w:r w:rsidRPr="007E37E2">
        <w:t xml:space="preserve">, </w:t>
      </w:r>
      <w:r w:rsidRPr="008B1306">
        <w:rPr>
          <w:color w:val="auto"/>
        </w:rPr>
        <w:t>North Attleboro</w:t>
      </w:r>
      <w:r w:rsidRPr="007E37E2">
        <w:rPr>
          <w:color w:val="auto"/>
        </w:rPr>
        <w:t>, Norton, Raynham,</w:t>
      </w:r>
      <w:r w:rsidRPr="007E37E2">
        <w:t xml:space="preserve"> Rehoboth, Seekonk, </w:t>
      </w:r>
      <w:r w:rsidRPr="008B1306">
        <w:rPr>
          <w:i/>
        </w:rPr>
        <w:t>Somerset</w:t>
      </w:r>
      <w:r>
        <w:t xml:space="preserve">, </w:t>
      </w:r>
      <w:r w:rsidRPr="008B1306">
        <w:rPr>
          <w:i/>
        </w:rPr>
        <w:t>Swansea</w:t>
      </w:r>
      <w:r>
        <w:t xml:space="preserve">, </w:t>
      </w:r>
      <w:r w:rsidRPr="007E37E2">
        <w:t>Taunton</w:t>
      </w:r>
      <w:r>
        <w:t xml:space="preserve">, and </w:t>
      </w:r>
      <w:r w:rsidRPr="008B1306">
        <w:rPr>
          <w:i/>
        </w:rPr>
        <w:t>Westport</w:t>
      </w:r>
    </w:p>
    <w:p w14:paraId="49420101" w14:textId="77777777" w:rsidR="00DC17DF" w:rsidRDefault="00DC17DF" w:rsidP="00DC17DF">
      <w:pPr>
        <w:pStyle w:val="Default"/>
        <w:numPr>
          <w:ilvl w:val="0"/>
          <w:numId w:val="36"/>
        </w:numPr>
        <w:rPr>
          <w:b/>
        </w:rPr>
      </w:pPr>
      <w:r>
        <w:rPr>
          <w:b/>
        </w:rPr>
        <w:t xml:space="preserve">Bristol County, RI – </w:t>
      </w:r>
      <w:r w:rsidRPr="006A24D1">
        <w:t xml:space="preserve">Barrington, </w:t>
      </w:r>
      <w:r>
        <w:t xml:space="preserve">Bristol, and </w:t>
      </w:r>
      <w:r w:rsidRPr="006A24D1">
        <w:t>Warren</w:t>
      </w:r>
    </w:p>
    <w:p w14:paraId="042D6453" w14:textId="77777777" w:rsidR="00DC17DF" w:rsidRDefault="00DC17DF" w:rsidP="00DC17DF">
      <w:pPr>
        <w:pStyle w:val="Default"/>
        <w:numPr>
          <w:ilvl w:val="0"/>
          <w:numId w:val="36"/>
        </w:numPr>
        <w:rPr>
          <w:b/>
        </w:rPr>
      </w:pPr>
      <w:r>
        <w:rPr>
          <w:b/>
        </w:rPr>
        <w:t xml:space="preserve">Kent County, RI – </w:t>
      </w:r>
      <w:r w:rsidRPr="006A24D1">
        <w:t xml:space="preserve">Coventry, East Greenwich, </w:t>
      </w:r>
      <w:r w:rsidRPr="006A6C06">
        <w:t>Warwick</w:t>
      </w:r>
      <w:r>
        <w:t xml:space="preserve">, </w:t>
      </w:r>
      <w:r w:rsidRPr="006A24D1">
        <w:t xml:space="preserve">West Greenwich, </w:t>
      </w:r>
      <w:r>
        <w:t>and West Warwick</w:t>
      </w:r>
    </w:p>
    <w:p w14:paraId="5C6E7946" w14:textId="77777777" w:rsidR="00DC17DF" w:rsidRPr="004C07BD" w:rsidRDefault="00DC17DF" w:rsidP="00DC17DF">
      <w:pPr>
        <w:pStyle w:val="Default"/>
        <w:numPr>
          <w:ilvl w:val="0"/>
          <w:numId w:val="36"/>
        </w:numPr>
        <w:rPr>
          <w:b/>
        </w:rPr>
      </w:pPr>
      <w:r>
        <w:rPr>
          <w:b/>
        </w:rPr>
        <w:t xml:space="preserve">Newport County, RI </w:t>
      </w:r>
      <w:r w:rsidRPr="004C07BD">
        <w:t xml:space="preserve">– Jamestown, Little Compton, Middletown, Newport, Portsmouth, </w:t>
      </w:r>
      <w:r>
        <w:t xml:space="preserve">and </w:t>
      </w:r>
      <w:r w:rsidRPr="004C07BD">
        <w:t>T</w:t>
      </w:r>
      <w:r>
        <w:t>iverton</w:t>
      </w:r>
    </w:p>
    <w:p w14:paraId="152F6A51" w14:textId="77777777" w:rsidR="00DC17DF" w:rsidRPr="004C07BD" w:rsidRDefault="00DC17DF" w:rsidP="00DC17DF">
      <w:pPr>
        <w:pStyle w:val="Default"/>
        <w:numPr>
          <w:ilvl w:val="0"/>
          <w:numId w:val="36"/>
        </w:numPr>
        <w:rPr>
          <w:b/>
        </w:rPr>
      </w:pPr>
      <w:r>
        <w:rPr>
          <w:b/>
        </w:rPr>
        <w:t xml:space="preserve">Providence County, RI – </w:t>
      </w:r>
      <w:r>
        <w:t>Burrillville, Central Falls, Cranston, Cumberland, East Providence, Foster, Glocester, Johnston, Lincoln, North Providence, North Smithfield, Pawtucket, Providence, Scituate, Smithfield, and Woonsocket</w:t>
      </w:r>
    </w:p>
    <w:p w14:paraId="570E70E1" w14:textId="77777777" w:rsidR="00DC17DF" w:rsidRPr="003E16F3" w:rsidRDefault="00DC17DF" w:rsidP="00DC17DF">
      <w:pPr>
        <w:pStyle w:val="Default"/>
        <w:numPr>
          <w:ilvl w:val="0"/>
          <w:numId w:val="36"/>
        </w:numPr>
      </w:pPr>
      <w:r>
        <w:rPr>
          <w:b/>
        </w:rPr>
        <w:t xml:space="preserve">Washington County, RI – </w:t>
      </w:r>
      <w:r w:rsidRPr="003E16F3">
        <w:t>Charlestown</w:t>
      </w:r>
      <w:r>
        <w:t xml:space="preserve">, </w:t>
      </w:r>
      <w:r w:rsidRPr="003E16F3">
        <w:t>Exeter, Hopkinton, Narragansett</w:t>
      </w:r>
      <w:r>
        <w:t xml:space="preserve">, </w:t>
      </w:r>
      <w:r w:rsidRPr="003E16F3">
        <w:t xml:space="preserve">New Shoreham, North Kingstown, Richmond, South Kingstown, </w:t>
      </w:r>
      <w:r>
        <w:t>and Westerly</w:t>
      </w:r>
    </w:p>
    <w:p w14:paraId="600D3E34" w14:textId="77777777" w:rsidR="00DB75C4" w:rsidRDefault="00DB75C4" w:rsidP="00E50970">
      <w:pPr>
        <w:spacing w:after="0" w:line="240" w:lineRule="auto"/>
        <w:rPr>
          <w:rFonts w:ascii="Times New Roman" w:eastAsia="Times New Roman" w:hAnsi="Times New Roman" w:cs="Times New Roman"/>
          <w:color w:val="000000"/>
          <w:sz w:val="24"/>
          <w:szCs w:val="24"/>
        </w:rPr>
      </w:pPr>
    </w:p>
    <w:p w14:paraId="60D638F1" w14:textId="386F77E7" w:rsidR="00046004" w:rsidRDefault="008B1306" w:rsidP="00712F5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After</w:t>
      </w:r>
      <w:r w:rsidRPr="00324944">
        <w:rPr>
          <w:rFonts w:ascii="Times New Roman" w:hAnsi="Times New Roman" w:cs="Times New Roman"/>
          <w:sz w:val="24"/>
          <w:szCs w:val="24"/>
        </w:rPr>
        <w:t xml:space="preserve"> acqui</w:t>
      </w:r>
      <w:r>
        <w:rPr>
          <w:rFonts w:ascii="Times New Roman" w:hAnsi="Times New Roman" w:cs="Times New Roman"/>
          <w:sz w:val="24"/>
          <w:szCs w:val="24"/>
        </w:rPr>
        <w:t>ring</w:t>
      </w:r>
      <w:r w:rsidRPr="00324944">
        <w:rPr>
          <w:rFonts w:ascii="Times New Roman" w:hAnsi="Times New Roman" w:cs="Times New Roman"/>
          <w:sz w:val="24"/>
          <w:szCs w:val="24"/>
        </w:rPr>
        <w:t xml:space="preserve"> CCB </w:t>
      </w:r>
      <w:r>
        <w:rPr>
          <w:rFonts w:ascii="Times New Roman" w:hAnsi="Times New Roman" w:cs="Times New Roman"/>
          <w:sz w:val="24"/>
          <w:szCs w:val="24"/>
        </w:rPr>
        <w:t>in October 2018,</w:t>
      </w:r>
      <w:r w:rsidR="00324944" w:rsidRPr="00324944">
        <w:rPr>
          <w:rFonts w:ascii="Times New Roman" w:hAnsi="Times New Roman" w:cs="Times New Roman"/>
          <w:sz w:val="24"/>
          <w:szCs w:val="24"/>
        </w:rPr>
        <w:t xml:space="preserve"> the bank expanded its assessment area</w:t>
      </w:r>
      <w:r>
        <w:rPr>
          <w:rFonts w:ascii="Times New Roman" w:hAnsi="Times New Roman" w:cs="Times New Roman"/>
          <w:sz w:val="24"/>
          <w:szCs w:val="24"/>
        </w:rPr>
        <w:t xml:space="preserve"> in the Providence, RI-MA MSA</w:t>
      </w:r>
      <w:r w:rsidR="00324944" w:rsidRPr="00324944">
        <w:rPr>
          <w:rFonts w:ascii="Times New Roman" w:hAnsi="Times New Roman" w:cs="Times New Roman"/>
          <w:sz w:val="24"/>
          <w:szCs w:val="24"/>
        </w:rPr>
        <w:t xml:space="preserve"> to encompass all of</w:t>
      </w:r>
      <w:r w:rsidR="00324944" w:rsidRPr="00324944">
        <w:rPr>
          <w:rFonts w:ascii="Times New Roman" w:eastAsia="Times New Roman" w:hAnsi="Times New Roman" w:cs="Times New Roman"/>
          <w:color w:val="000000"/>
          <w:sz w:val="24"/>
          <w:szCs w:val="24"/>
        </w:rPr>
        <w:t xml:space="preserve"> Bristol County in Massachusetts</w:t>
      </w:r>
      <w:r>
        <w:rPr>
          <w:rFonts w:ascii="Times New Roman" w:eastAsia="Times New Roman" w:hAnsi="Times New Roman" w:cs="Times New Roman"/>
          <w:color w:val="000000"/>
          <w:sz w:val="24"/>
          <w:szCs w:val="24"/>
        </w:rPr>
        <w:t xml:space="preserve"> (added communities italicized above) and</w:t>
      </w:r>
      <w:r w:rsidR="00324944" w:rsidRPr="00324944">
        <w:rPr>
          <w:rFonts w:ascii="Times New Roman" w:eastAsia="Times New Roman" w:hAnsi="Times New Roman" w:cs="Times New Roman"/>
          <w:color w:val="000000"/>
          <w:sz w:val="24"/>
          <w:szCs w:val="24"/>
        </w:rPr>
        <w:t xml:space="preserve"> </w:t>
      </w:r>
      <w:r w:rsidR="006D5CB5">
        <w:rPr>
          <w:rFonts w:ascii="Times New Roman" w:eastAsia="Times New Roman" w:hAnsi="Times New Roman" w:cs="Times New Roman"/>
          <w:color w:val="000000"/>
          <w:sz w:val="24"/>
          <w:szCs w:val="24"/>
        </w:rPr>
        <w:t xml:space="preserve">add </w:t>
      </w:r>
      <w:r w:rsidR="00324944" w:rsidRPr="00324944">
        <w:rPr>
          <w:rFonts w:ascii="Times New Roman" w:eastAsia="Times New Roman" w:hAnsi="Times New Roman" w:cs="Times New Roman"/>
          <w:color w:val="000000"/>
          <w:sz w:val="24"/>
          <w:szCs w:val="24"/>
        </w:rPr>
        <w:t>the whole state of Rhode Island.</w:t>
      </w:r>
      <w:r>
        <w:rPr>
          <w:rFonts w:ascii="Times New Roman" w:eastAsia="Times New Roman" w:hAnsi="Times New Roman" w:cs="Times New Roman"/>
          <w:color w:val="000000"/>
          <w:sz w:val="24"/>
          <w:szCs w:val="24"/>
        </w:rPr>
        <w:t xml:space="preserve">  </w:t>
      </w:r>
      <w:r w:rsidR="00046004">
        <w:rPr>
          <w:rFonts w:ascii="Times New Roman" w:eastAsia="Times New Roman" w:hAnsi="Times New Roman" w:cs="Times New Roman"/>
          <w:color w:val="000000"/>
          <w:sz w:val="24"/>
          <w:szCs w:val="24"/>
        </w:rPr>
        <w:t xml:space="preserve">Acquiring CCB drastically changed the bank’s operations and assessment area within the Providence, RI-MA MSA, notably adding Providence, New Bedford, Fall River, and other urban areas with large low- and moderate-income populations.  </w:t>
      </w:r>
    </w:p>
    <w:p w14:paraId="6C76C311" w14:textId="264EA199" w:rsidR="008B1306" w:rsidRDefault="00046004" w:rsidP="00712F5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While former CCB branches provide a physical presence in and near Providence, neither CCB nor HOB had ever operated </w:t>
      </w:r>
      <w:r w:rsidR="003E5561">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or included New Bedford or Fall River in their assessment areas.  HOB’s recent inclusion of New Bedford and Fall River in the assessment area and lack of a physical presence in these cities affected the bank’s ability to meet credit and community development needs in these areas.  Combined, New Bedford and Fall River contain 20 low- and 25 moderate-income census tracts, representing over a third of total low- and moderate-income census tracts in the Providence, RI-MA MSA.  </w:t>
      </w:r>
    </w:p>
    <w:p w14:paraId="2BC66A68" w14:textId="77777777" w:rsidR="008B1306" w:rsidRDefault="008B1306" w:rsidP="00712F53">
      <w:pPr>
        <w:autoSpaceDE w:val="0"/>
        <w:autoSpaceDN w:val="0"/>
        <w:adjustRightInd w:val="0"/>
        <w:spacing w:after="0" w:line="240" w:lineRule="auto"/>
        <w:rPr>
          <w:rFonts w:ascii="Times New Roman" w:eastAsia="Times New Roman" w:hAnsi="Times New Roman" w:cs="Times New Roman"/>
          <w:color w:val="000000"/>
          <w:sz w:val="24"/>
          <w:szCs w:val="24"/>
        </w:rPr>
      </w:pPr>
    </w:p>
    <w:p w14:paraId="77184241" w14:textId="6A273BD6" w:rsidR="00324944" w:rsidRPr="00947A5B" w:rsidRDefault="00324944" w:rsidP="00712F53">
      <w:pPr>
        <w:autoSpaceDE w:val="0"/>
        <w:autoSpaceDN w:val="0"/>
        <w:adjustRightInd w:val="0"/>
        <w:spacing w:after="0" w:line="240" w:lineRule="auto"/>
        <w:rPr>
          <w:rFonts w:ascii="Times New Roman" w:hAnsi="Times New Roman" w:cs="Times New Roman"/>
          <w:bCs/>
          <w:iCs/>
          <w:color w:val="000000"/>
          <w:sz w:val="24"/>
          <w:szCs w:val="24"/>
        </w:rPr>
      </w:pPr>
      <w:r w:rsidRPr="00324944">
        <w:rPr>
          <w:rFonts w:ascii="Times New Roman" w:hAnsi="Times New Roman" w:cs="Times New Roman"/>
          <w:bCs/>
          <w:iCs/>
          <w:color w:val="000000"/>
          <w:sz w:val="24"/>
          <w:szCs w:val="24"/>
        </w:rPr>
        <w:t xml:space="preserve">The </w:t>
      </w:r>
      <w:r w:rsidR="00F60AA4">
        <w:rPr>
          <w:rFonts w:ascii="Times New Roman" w:eastAsia="Times New Roman" w:hAnsi="Times New Roman" w:cs="Times New Roman"/>
          <w:color w:val="000000"/>
          <w:sz w:val="24"/>
          <w:szCs w:val="24"/>
        </w:rPr>
        <w:t>Providence, RI-MA MSA</w:t>
      </w:r>
      <w:r w:rsidR="00F60AA4" w:rsidRPr="00324944">
        <w:rPr>
          <w:rFonts w:ascii="Times New Roman" w:hAnsi="Times New Roman" w:cs="Times New Roman"/>
          <w:bCs/>
          <w:iCs/>
          <w:color w:val="000000"/>
          <w:sz w:val="24"/>
          <w:szCs w:val="24"/>
        </w:rPr>
        <w:t xml:space="preserve"> </w:t>
      </w:r>
      <w:r w:rsidRPr="00324944">
        <w:rPr>
          <w:rFonts w:ascii="Times New Roman" w:hAnsi="Times New Roman" w:cs="Times New Roman"/>
          <w:bCs/>
          <w:iCs/>
          <w:color w:val="000000"/>
          <w:sz w:val="24"/>
          <w:szCs w:val="24"/>
        </w:rPr>
        <w:t xml:space="preserve">assessment area comprises </w:t>
      </w:r>
      <w:r w:rsidR="00530B36">
        <w:rPr>
          <w:rFonts w:ascii="Times New Roman" w:hAnsi="Times New Roman" w:cs="Times New Roman"/>
          <w:bCs/>
          <w:iCs/>
          <w:color w:val="000000"/>
          <w:sz w:val="24"/>
          <w:szCs w:val="24"/>
        </w:rPr>
        <w:t xml:space="preserve">370 </w:t>
      </w:r>
      <w:r w:rsidRPr="00324944">
        <w:rPr>
          <w:rFonts w:ascii="Times New Roman" w:hAnsi="Times New Roman" w:cs="Times New Roman"/>
          <w:bCs/>
          <w:iCs/>
          <w:color w:val="000000"/>
          <w:sz w:val="24"/>
          <w:szCs w:val="24"/>
        </w:rPr>
        <w:t>census tracts that reflect the following income designa</w:t>
      </w:r>
      <w:r w:rsidR="00712F53">
        <w:rPr>
          <w:rFonts w:ascii="Times New Roman" w:hAnsi="Times New Roman" w:cs="Times New Roman"/>
          <w:bCs/>
          <w:iCs/>
          <w:color w:val="000000"/>
          <w:sz w:val="24"/>
          <w:szCs w:val="24"/>
        </w:rPr>
        <w:t>tions according to the 2015 ACS:</w:t>
      </w:r>
      <w:r w:rsidR="00712F53">
        <w:rPr>
          <w:rFonts w:ascii="Times New Roman" w:hAnsi="Times New Roman" w:cs="Times New Roman"/>
          <w:bCs/>
          <w:iCs/>
          <w:color w:val="000000"/>
          <w:sz w:val="24"/>
          <w:szCs w:val="24"/>
        </w:rPr>
        <w:br/>
      </w:r>
    </w:p>
    <w:p w14:paraId="78B2B0FE" w14:textId="77777777" w:rsidR="00324944" w:rsidRPr="00947A5B" w:rsidRDefault="003500CB" w:rsidP="00324944">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 xml:space="preserve">53 </w:t>
      </w:r>
      <w:r w:rsidR="00324944" w:rsidRPr="00947A5B">
        <w:rPr>
          <w:rFonts w:ascii="Times New Roman" w:hAnsi="Times New Roman" w:cs="Times New Roman"/>
          <w:bCs/>
          <w:iCs/>
          <w:color w:val="000000"/>
        </w:rPr>
        <w:t>low-income census tracts</w:t>
      </w:r>
      <w:r w:rsidR="00324944">
        <w:rPr>
          <w:rFonts w:ascii="Times New Roman" w:hAnsi="Times New Roman" w:cs="Times New Roman"/>
          <w:bCs/>
          <w:iCs/>
          <w:color w:val="000000"/>
        </w:rPr>
        <w:t>,</w:t>
      </w:r>
    </w:p>
    <w:p w14:paraId="7A3D0A5D" w14:textId="77777777" w:rsidR="00324944" w:rsidRPr="00947A5B" w:rsidRDefault="003500CB" w:rsidP="00324944">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 xml:space="preserve">69 </w:t>
      </w:r>
      <w:r w:rsidR="00324944" w:rsidRPr="00947A5B">
        <w:rPr>
          <w:rFonts w:ascii="Times New Roman" w:hAnsi="Times New Roman" w:cs="Times New Roman"/>
          <w:bCs/>
          <w:iCs/>
          <w:color w:val="000000"/>
        </w:rPr>
        <w:t>moderate-income census tracts</w:t>
      </w:r>
      <w:r w:rsidR="00324944">
        <w:rPr>
          <w:rFonts w:ascii="Times New Roman" w:hAnsi="Times New Roman" w:cs="Times New Roman"/>
          <w:bCs/>
          <w:iCs/>
          <w:color w:val="000000"/>
        </w:rPr>
        <w:t>,</w:t>
      </w:r>
    </w:p>
    <w:p w14:paraId="12C38900" w14:textId="77777777" w:rsidR="00324944" w:rsidRPr="00947A5B" w:rsidRDefault="003500CB" w:rsidP="00324944">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 xml:space="preserve">129 </w:t>
      </w:r>
      <w:r w:rsidR="00324944" w:rsidRPr="00947A5B">
        <w:rPr>
          <w:rFonts w:ascii="Times New Roman" w:hAnsi="Times New Roman" w:cs="Times New Roman"/>
          <w:bCs/>
          <w:iCs/>
          <w:color w:val="000000"/>
        </w:rPr>
        <w:t>middle-income census tracts</w:t>
      </w:r>
      <w:r w:rsidR="00324944">
        <w:rPr>
          <w:rFonts w:ascii="Times New Roman" w:hAnsi="Times New Roman" w:cs="Times New Roman"/>
          <w:bCs/>
          <w:iCs/>
          <w:color w:val="000000"/>
        </w:rPr>
        <w:t>,</w:t>
      </w:r>
    </w:p>
    <w:p w14:paraId="726B782C" w14:textId="77777777" w:rsidR="00324944" w:rsidRPr="00947A5B" w:rsidRDefault="003500CB" w:rsidP="00324944">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 xml:space="preserve">112 </w:t>
      </w:r>
      <w:r w:rsidR="00324944" w:rsidRPr="00947A5B">
        <w:rPr>
          <w:rFonts w:ascii="Times New Roman" w:hAnsi="Times New Roman" w:cs="Times New Roman"/>
          <w:bCs/>
          <w:iCs/>
          <w:color w:val="000000"/>
        </w:rPr>
        <w:t>upper-income census tracts</w:t>
      </w:r>
      <w:r w:rsidR="00324944">
        <w:rPr>
          <w:rFonts w:ascii="Times New Roman" w:hAnsi="Times New Roman" w:cs="Times New Roman"/>
          <w:bCs/>
          <w:iCs/>
          <w:color w:val="000000"/>
        </w:rPr>
        <w:t>,</w:t>
      </w:r>
    </w:p>
    <w:p w14:paraId="1FEE3283" w14:textId="77777777" w:rsidR="00324944" w:rsidRDefault="003500CB" w:rsidP="00324944">
      <w:pPr>
        <w:pStyle w:val="ListParagraph"/>
        <w:numPr>
          <w:ilvl w:val="0"/>
          <w:numId w:val="38"/>
        </w:numPr>
        <w:tabs>
          <w:tab w:val="left" w:pos="1080"/>
        </w:tabs>
        <w:ind w:right="-360"/>
        <w:contextualSpacing/>
        <w:rPr>
          <w:rFonts w:ascii="Times New Roman" w:hAnsi="Times New Roman" w:cs="Times New Roman"/>
          <w:bCs/>
          <w:iCs/>
          <w:color w:val="000000"/>
        </w:rPr>
      </w:pPr>
      <w:r>
        <w:rPr>
          <w:rFonts w:ascii="Times New Roman" w:hAnsi="Times New Roman" w:cs="Times New Roman"/>
          <w:bCs/>
          <w:iCs/>
          <w:color w:val="000000"/>
        </w:rPr>
        <w:t xml:space="preserve">7 </w:t>
      </w:r>
      <w:r w:rsidR="00324944">
        <w:rPr>
          <w:rFonts w:ascii="Times New Roman" w:hAnsi="Times New Roman" w:cs="Times New Roman"/>
          <w:bCs/>
          <w:iCs/>
          <w:color w:val="000000"/>
        </w:rPr>
        <w:t>census</w:t>
      </w:r>
      <w:r w:rsidR="00324944" w:rsidRPr="00947A5B">
        <w:rPr>
          <w:rFonts w:ascii="Times New Roman" w:hAnsi="Times New Roman" w:cs="Times New Roman"/>
          <w:bCs/>
          <w:iCs/>
          <w:color w:val="000000"/>
        </w:rPr>
        <w:t xml:space="preserve"> tracts with no income designation</w:t>
      </w:r>
      <w:r w:rsidR="00324944">
        <w:rPr>
          <w:rFonts w:ascii="Times New Roman" w:hAnsi="Times New Roman" w:cs="Times New Roman"/>
          <w:bCs/>
          <w:iCs/>
          <w:color w:val="000000"/>
        </w:rPr>
        <w:t>.</w:t>
      </w:r>
    </w:p>
    <w:p w14:paraId="10148F41" w14:textId="77777777" w:rsidR="00324944" w:rsidRDefault="00324944" w:rsidP="00324944">
      <w:pPr>
        <w:widowControl w:val="0"/>
        <w:tabs>
          <w:tab w:val="left" w:pos="1080"/>
        </w:tabs>
        <w:spacing w:after="0" w:line="240" w:lineRule="auto"/>
        <w:ind w:right="-360"/>
        <w:rPr>
          <w:rFonts w:ascii="Times New Roman" w:hAnsi="Times New Roman" w:cs="Times New Roman"/>
          <w:bCs/>
          <w:iCs/>
          <w:color w:val="000000"/>
          <w:sz w:val="24"/>
          <w:szCs w:val="24"/>
        </w:rPr>
      </w:pPr>
    </w:p>
    <w:p w14:paraId="7FC864E9" w14:textId="77777777" w:rsidR="005A27E3" w:rsidRDefault="005A27E3" w:rsidP="005A27E3">
      <w:pPr>
        <w:widowControl w:val="0"/>
        <w:tabs>
          <w:tab w:val="left" w:pos="1080"/>
        </w:tabs>
        <w:spacing w:after="0" w:line="240" w:lineRule="auto"/>
        <w:ind w:right="-360"/>
        <w:rPr>
          <w:rFonts w:ascii="Times New Roman" w:hAnsi="Times New Roman" w:cs="Times New Roman"/>
          <w:bCs/>
          <w:iCs/>
          <w:color w:val="000000"/>
          <w:sz w:val="24"/>
          <w:szCs w:val="24"/>
        </w:rPr>
      </w:pPr>
      <w:r w:rsidRPr="00C94EEF">
        <w:rPr>
          <w:rFonts w:ascii="Times New Roman" w:hAnsi="Times New Roman" w:cs="Times New Roman"/>
          <w:bCs/>
          <w:iCs/>
          <w:color w:val="000000"/>
          <w:sz w:val="24"/>
          <w:szCs w:val="24"/>
        </w:rPr>
        <w:t>The following table illustrates demographic information of the assessment area.</w:t>
      </w:r>
    </w:p>
    <w:p w14:paraId="45D4369B" w14:textId="77777777" w:rsidR="006F50C8" w:rsidRDefault="006F50C8" w:rsidP="00324944">
      <w:pPr>
        <w:widowControl w:val="0"/>
        <w:tabs>
          <w:tab w:val="left" w:pos="1080"/>
        </w:tabs>
        <w:spacing w:after="0" w:line="240" w:lineRule="auto"/>
        <w:ind w:right="-360"/>
        <w:rPr>
          <w:rFonts w:ascii="Times New Roman" w:hAnsi="Times New Roman" w:cs="Times New Roman"/>
          <w:bCs/>
          <w:iCs/>
          <w:color w:val="000000"/>
          <w:sz w:val="24"/>
          <w:szCs w:val="24"/>
        </w:rPr>
      </w:pPr>
    </w:p>
    <w:tbl>
      <w:tblPr>
        <w:tblW w:w="0" w:type="auto"/>
        <w:tblCellMar>
          <w:left w:w="0" w:type="dxa"/>
          <w:right w:w="0" w:type="dxa"/>
        </w:tblCellMar>
        <w:tblLook w:val="0000" w:firstRow="0" w:lastRow="0" w:firstColumn="0" w:lastColumn="0" w:noHBand="0" w:noVBand="0"/>
      </w:tblPr>
      <w:tblGrid>
        <w:gridCol w:w="3351"/>
        <w:gridCol w:w="1036"/>
        <w:gridCol w:w="971"/>
        <w:gridCol w:w="1114"/>
        <w:gridCol w:w="1042"/>
        <w:gridCol w:w="1020"/>
        <w:gridCol w:w="1096"/>
      </w:tblGrid>
      <w:tr w:rsidR="005A27E3" w14:paraId="1A887A27" w14:textId="77777777" w:rsidTr="00530B36">
        <w:trPr>
          <w:trHeight w:val="282"/>
        </w:trPr>
        <w:tc>
          <w:tcPr>
            <w:tcW w:w="1136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93FAACD" w14:textId="77777777" w:rsidR="005A27E3" w:rsidRDefault="005A27E3" w:rsidP="005A27E3">
            <w:pPr>
              <w:spacing w:after="0"/>
              <w:jc w:val="center"/>
            </w:pPr>
            <w:r>
              <w:rPr>
                <w:rFonts w:ascii="Times New Roman" w:eastAsia="Times New Roman" w:hAnsi="Times New Roman"/>
                <w:b/>
                <w:color w:val="000000"/>
                <w:sz w:val="20"/>
              </w:rPr>
              <w:t>Demographic Information of the Assessment Area</w:t>
            </w:r>
          </w:p>
        </w:tc>
      </w:tr>
      <w:tr w:rsidR="005A27E3" w14:paraId="51B4B278" w14:textId="77777777" w:rsidTr="00530B36">
        <w:trPr>
          <w:trHeight w:val="210"/>
        </w:trPr>
        <w:tc>
          <w:tcPr>
            <w:tcW w:w="11367" w:type="dxa"/>
            <w:gridSpan w:val="7"/>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0C2F16E" w14:textId="242D2868" w:rsidR="005A27E3" w:rsidRDefault="005A27E3" w:rsidP="00A31502">
            <w:pPr>
              <w:spacing w:after="0"/>
              <w:jc w:val="center"/>
            </w:pPr>
            <w:r>
              <w:rPr>
                <w:rFonts w:ascii="Times New Roman" w:eastAsia="Times New Roman" w:hAnsi="Times New Roman"/>
                <w:b/>
                <w:color w:val="000000"/>
                <w:sz w:val="20"/>
              </w:rPr>
              <w:t xml:space="preserve">Assessment Area: </w:t>
            </w:r>
            <w:r w:rsidR="00A31502">
              <w:rPr>
                <w:rFonts w:ascii="Times New Roman" w:eastAsia="Times New Roman" w:hAnsi="Times New Roman"/>
                <w:b/>
                <w:color w:val="000000"/>
                <w:sz w:val="20"/>
              </w:rPr>
              <w:t>RI-MA Multistate MSA</w:t>
            </w:r>
          </w:p>
        </w:tc>
      </w:tr>
      <w:tr w:rsidR="005A27E3" w14:paraId="4D138B96" w14:textId="77777777" w:rsidTr="00530B36">
        <w:trPr>
          <w:trHeight w:val="426"/>
        </w:trPr>
        <w:tc>
          <w:tcPr>
            <w:tcW w:w="43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2F9790" w14:textId="77777777" w:rsidR="005A27E3" w:rsidRDefault="005A27E3" w:rsidP="005A27E3">
            <w:pPr>
              <w:spacing w:after="0"/>
            </w:pPr>
            <w:r>
              <w:rPr>
                <w:rFonts w:ascii="Times New Roman" w:eastAsia="Times New Roman" w:hAnsi="Times New Roman"/>
                <w:b/>
                <w:color w:val="000000"/>
                <w:sz w:val="20"/>
              </w:rPr>
              <w:t>Demographic Characteristics</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D638D1" w14:textId="77777777" w:rsidR="005A27E3" w:rsidRDefault="005A27E3" w:rsidP="005A27E3">
            <w:pPr>
              <w:spacing w:after="0"/>
              <w:jc w:val="center"/>
            </w:pPr>
            <w:r>
              <w:rPr>
                <w:rFonts w:ascii="Times New Roman" w:eastAsia="Times New Roman" w:hAnsi="Times New Roman"/>
                <w:b/>
                <w:color w:val="000000"/>
                <w:sz w:val="20"/>
              </w:rPr>
              <w:t>#</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4E8B08" w14:textId="77777777" w:rsidR="005A27E3" w:rsidRDefault="005A27E3" w:rsidP="005A27E3">
            <w:pPr>
              <w:spacing w:after="0"/>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 of #</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389B55" w14:textId="77777777" w:rsidR="005A27E3" w:rsidRDefault="005A27E3" w:rsidP="005A27E3">
            <w:pPr>
              <w:spacing w:after="0"/>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 xml:space="preserve"> % of #</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ABD53C" w14:textId="77777777" w:rsidR="005A27E3" w:rsidRDefault="005A27E3" w:rsidP="005A27E3">
            <w:pPr>
              <w:spacing w:after="0"/>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 xml:space="preserve"> % of #</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2031F8" w14:textId="77777777" w:rsidR="005A27E3" w:rsidRDefault="005A27E3" w:rsidP="005A27E3">
            <w:pPr>
              <w:spacing w:after="0"/>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 of #</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29C266" w14:textId="77777777" w:rsidR="005A27E3" w:rsidRDefault="005A27E3" w:rsidP="005A27E3">
            <w:pPr>
              <w:spacing w:after="0"/>
              <w:jc w:val="center"/>
            </w:pPr>
            <w:r>
              <w:rPr>
                <w:rFonts w:ascii="Times New Roman" w:eastAsia="Times New Roman" w:hAnsi="Times New Roman"/>
                <w:b/>
                <w:color w:val="000000"/>
                <w:sz w:val="20"/>
              </w:rPr>
              <w:t xml:space="preserve">NA* </w:t>
            </w:r>
            <w:r>
              <w:rPr>
                <w:rFonts w:ascii="Times New Roman" w:eastAsia="Times New Roman" w:hAnsi="Times New Roman"/>
                <w:b/>
                <w:color w:val="000000"/>
                <w:sz w:val="20"/>
              </w:rPr>
              <w:br/>
              <w:t>% of #</w:t>
            </w:r>
          </w:p>
        </w:tc>
      </w:tr>
      <w:tr w:rsidR="005A27E3" w14:paraId="0DFA6736"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1DECCBE" w14:textId="77777777" w:rsidR="005A27E3" w:rsidRDefault="005A27E3" w:rsidP="005A27E3">
            <w:pPr>
              <w:spacing w:after="0"/>
            </w:pPr>
            <w:r>
              <w:rPr>
                <w:rFonts w:ascii="Times New Roman" w:eastAsia="Times New Roman" w:hAnsi="Times New Roman"/>
                <w:color w:val="000000"/>
                <w:sz w:val="20"/>
              </w:rPr>
              <w:t>Geographies (Census Tracts)</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140EE" w14:textId="77777777" w:rsidR="005A27E3" w:rsidRDefault="005A27E3" w:rsidP="005A27E3">
            <w:pPr>
              <w:spacing w:after="0"/>
              <w:jc w:val="right"/>
            </w:pPr>
            <w:r>
              <w:rPr>
                <w:rFonts w:ascii="Times New Roman" w:eastAsia="Times New Roman" w:hAnsi="Times New Roman"/>
                <w:color w:val="000000"/>
                <w:sz w:val="20"/>
              </w:rPr>
              <w:t>370</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4D53D" w14:textId="77777777" w:rsidR="005A27E3" w:rsidRDefault="005A27E3" w:rsidP="005A27E3">
            <w:pPr>
              <w:spacing w:after="0"/>
              <w:jc w:val="right"/>
            </w:pPr>
            <w:r>
              <w:rPr>
                <w:rFonts w:ascii="Times New Roman" w:eastAsia="Times New Roman" w:hAnsi="Times New Roman"/>
                <w:color w:val="000000"/>
                <w:sz w:val="20"/>
              </w:rPr>
              <w:t>14.3</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75496B" w14:textId="77777777" w:rsidR="005A27E3" w:rsidRDefault="005A27E3" w:rsidP="005A27E3">
            <w:pPr>
              <w:spacing w:after="0"/>
              <w:jc w:val="right"/>
            </w:pPr>
            <w:r>
              <w:rPr>
                <w:rFonts w:ascii="Times New Roman" w:eastAsia="Times New Roman" w:hAnsi="Times New Roman"/>
                <w:color w:val="000000"/>
                <w:sz w:val="20"/>
              </w:rPr>
              <w:t>18.6</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E79EC" w14:textId="77777777" w:rsidR="005A27E3" w:rsidRDefault="005A27E3" w:rsidP="005A27E3">
            <w:pPr>
              <w:spacing w:after="0"/>
              <w:jc w:val="right"/>
            </w:pPr>
            <w:r>
              <w:rPr>
                <w:rFonts w:ascii="Times New Roman" w:eastAsia="Times New Roman" w:hAnsi="Times New Roman"/>
                <w:color w:val="000000"/>
                <w:sz w:val="20"/>
              </w:rPr>
              <w:t>34.9</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80383" w14:textId="77777777" w:rsidR="005A27E3" w:rsidRDefault="005A27E3" w:rsidP="005A27E3">
            <w:pPr>
              <w:spacing w:after="0"/>
              <w:jc w:val="right"/>
            </w:pPr>
            <w:r>
              <w:rPr>
                <w:rFonts w:ascii="Times New Roman" w:eastAsia="Times New Roman" w:hAnsi="Times New Roman"/>
                <w:color w:val="000000"/>
                <w:sz w:val="20"/>
              </w:rPr>
              <w:t>30.3</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B9BF3" w14:textId="77777777" w:rsidR="005A27E3" w:rsidRDefault="005A27E3" w:rsidP="005A27E3">
            <w:pPr>
              <w:spacing w:after="0"/>
              <w:jc w:val="right"/>
            </w:pPr>
            <w:r>
              <w:rPr>
                <w:rFonts w:ascii="Times New Roman" w:eastAsia="Times New Roman" w:hAnsi="Times New Roman"/>
                <w:color w:val="000000"/>
                <w:sz w:val="20"/>
              </w:rPr>
              <w:t>1.9</w:t>
            </w:r>
          </w:p>
        </w:tc>
      </w:tr>
      <w:tr w:rsidR="005A27E3" w14:paraId="191D4EDC"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A56435B" w14:textId="77777777" w:rsidR="005A27E3" w:rsidRDefault="005A27E3" w:rsidP="005A27E3">
            <w:pPr>
              <w:spacing w:after="0"/>
            </w:pPr>
            <w:r>
              <w:rPr>
                <w:rFonts w:ascii="Times New Roman" w:eastAsia="Times New Roman" w:hAnsi="Times New Roman"/>
                <w:color w:val="000000"/>
                <w:sz w:val="20"/>
              </w:rPr>
              <w:t>Population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2D180" w14:textId="77777777" w:rsidR="005A27E3" w:rsidRDefault="005A27E3" w:rsidP="005A27E3">
            <w:pPr>
              <w:spacing w:after="0"/>
              <w:jc w:val="right"/>
            </w:pPr>
            <w:r>
              <w:rPr>
                <w:rFonts w:ascii="Times New Roman" w:eastAsia="Times New Roman" w:hAnsi="Times New Roman"/>
                <w:color w:val="000000"/>
                <w:sz w:val="20"/>
              </w:rPr>
              <w:t>1,606,424</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BF45D" w14:textId="77777777" w:rsidR="005A27E3" w:rsidRDefault="005A27E3" w:rsidP="005A27E3">
            <w:pPr>
              <w:spacing w:after="0"/>
              <w:jc w:val="right"/>
            </w:pPr>
            <w:r>
              <w:rPr>
                <w:rFonts w:ascii="Times New Roman" w:eastAsia="Times New Roman" w:hAnsi="Times New Roman"/>
                <w:color w:val="000000"/>
                <w:sz w:val="20"/>
              </w:rPr>
              <w:t>11.8</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A7DF5" w14:textId="77777777" w:rsidR="005A27E3" w:rsidRDefault="005A27E3" w:rsidP="005A27E3">
            <w:pPr>
              <w:spacing w:after="0"/>
              <w:jc w:val="right"/>
            </w:pPr>
            <w:r>
              <w:rPr>
                <w:rFonts w:ascii="Times New Roman" w:eastAsia="Times New Roman" w:hAnsi="Times New Roman"/>
                <w:color w:val="000000"/>
                <w:sz w:val="20"/>
              </w:rPr>
              <w:t>16.8</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F08AE" w14:textId="77777777" w:rsidR="005A27E3" w:rsidRDefault="005A27E3" w:rsidP="005A27E3">
            <w:pPr>
              <w:spacing w:after="0"/>
              <w:jc w:val="right"/>
            </w:pPr>
            <w:r>
              <w:rPr>
                <w:rFonts w:ascii="Times New Roman" w:eastAsia="Times New Roman" w:hAnsi="Times New Roman"/>
                <w:color w:val="000000"/>
                <w:sz w:val="20"/>
              </w:rPr>
              <w:t>35.9</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ECCB9C" w14:textId="77777777" w:rsidR="005A27E3" w:rsidRDefault="005A27E3" w:rsidP="005A27E3">
            <w:pPr>
              <w:spacing w:after="0"/>
              <w:jc w:val="right"/>
            </w:pPr>
            <w:r>
              <w:rPr>
                <w:rFonts w:ascii="Times New Roman" w:eastAsia="Times New Roman" w:hAnsi="Times New Roman"/>
                <w:color w:val="000000"/>
                <w:sz w:val="20"/>
              </w:rPr>
              <w:t>34.8</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BF5B0" w14:textId="77777777" w:rsidR="005A27E3" w:rsidRDefault="005A27E3" w:rsidP="005A27E3">
            <w:pPr>
              <w:spacing w:after="0"/>
              <w:jc w:val="right"/>
            </w:pPr>
            <w:r>
              <w:rPr>
                <w:rFonts w:ascii="Times New Roman" w:eastAsia="Times New Roman" w:hAnsi="Times New Roman"/>
                <w:color w:val="000000"/>
                <w:sz w:val="20"/>
              </w:rPr>
              <w:t>0.6</w:t>
            </w:r>
          </w:p>
        </w:tc>
      </w:tr>
      <w:tr w:rsidR="005A27E3" w14:paraId="6C743564"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467134F" w14:textId="77777777" w:rsidR="005A27E3" w:rsidRDefault="005A27E3" w:rsidP="005A27E3">
            <w:pPr>
              <w:spacing w:after="0"/>
            </w:pPr>
            <w:r>
              <w:rPr>
                <w:rFonts w:ascii="Times New Roman" w:eastAsia="Times New Roman" w:hAnsi="Times New Roman"/>
                <w:color w:val="000000"/>
                <w:sz w:val="20"/>
              </w:rPr>
              <w:t>Housing Units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C78D1" w14:textId="77777777" w:rsidR="005A27E3" w:rsidRDefault="005A27E3" w:rsidP="005A27E3">
            <w:pPr>
              <w:spacing w:after="0"/>
              <w:jc w:val="right"/>
            </w:pPr>
            <w:r>
              <w:rPr>
                <w:rFonts w:ascii="Times New Roman" w:eastAsia="Times New Roman" w:hAnsi="Times New Roman"/>
                <w:color w:val="000000"/>
                <w:sz w:val="20"/>
              </w:rPr>
              <w:t>693,886</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3CFD4" w14:textId="77777777" w:rsidR="005A27E3" w:rsidRDefault="005A27E3" w:rsidP="005A27E3">
            <w:pPr>
              <w:spacing w:after="0"/>
              <w:jc w:val="right"/>
            </w:pPr>
            <w:r>
              <w:rPr>
                <w:rFonts w:ascii="Times New Roman" w:eastAsia="Times New Roman" w:hAnsi="Times New Roman"/>
                <w:color w:val="000000"/>
                <w:sz w:val="20"/>
              </w:rPr>
              <w:t>12.1</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8D30E" w14:textId="77777777" w:rsidR="005A27E3" w:rsidRDefault="005A27E3" w:rsidP="005A27E3">
            <w:pPr>
              <w:spacing w:after="0"/>
              <w:jc w:val="right"/>
            </w:pPr>
            <w:r>
              <w:rPr>
                <w:rFonts w:ascii="Times New Roman" w:eastAsia="Times New Roman" w:hAnsi="Times New Roman"/>
                <w:color w:val="000000"/>
                <w:sz w:val="20"/>
              </w:rPr>
              <w:t>17.5</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58E29" w14:textId="77777777" w:rsidR="005A27E3" w:rsidRDefault="005A27E3" w:rsidP="005A27E3">
            <w:pPr>
              <w:spacing w:after="0"/>
              <w:jc w:val="right"/>
            </w:pPr>
            <w:r>
              <w:rPr>
                <w:rFonts w:ascii="Times New Roman" w:eastAsia="Times New Roman" w:hAnsi="Times New Roman"/>
                <w:color w:val="000000"/>
                <w:sz w:val="20"/>
              </w:rPr>
              <w:t>36.4</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B9F13" w14:textId="77777777" w:rsidR="005A27E3" w:rsidRDefault="005A27E3" w:rsidP="005A27E3">
            <w:pPr>
              <w:spacing w:after="0"/>
              <w:jc w:val="right"/>
            </w:pPr>
            <w:r>
              <w:rPr>
                <w:rFonts w:ascii="Times New Roman" w:eastAsia="Times New Roman" w:hAnsi="Times New Roman"/>
                <w:color w:val="000000"/>
                <w:sz w:val="20"/>
              </w:rPr>
              <w:t>33.5</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2701F" w14:textId="77777777" w:rsidR="005A27E3" w:rsidRDefault="005A27E3" w:rsidP="005A27E3">
            <w:pPr>
              <w:spacing w:after="0"/>
              <w:jc w:val="right"/>
            </w:pPr>
            <w:r>
              <w:rPr>
                <w:rFonts w:ascii="Times New Roman" w:eastAsia="Times New Roman" w:hAnsi="Times New Roman"/>
                <w:color w:val="000000"/>
                <w:sz w:val="20"/>
              </w:rPr>
              <w:t>0.4</w:t>
            </w:r>
          </w:p>
        </w:tc>
      </w:tr>
      <w:tr w:rsidR="005A27E3" w14:paraId="258C1AFA"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1313F41" w14:textId="77777777" w:rsidR="005A27E3" w:rsidRDefault="005A27E3" w:rsidP="005A27E3">
            <w:pPr>
              <w:spacing w:after="0"/>
            </w:pPr>
            <w:r>
              <w:rPr>
                <w:rFonts w:ascii="Times New Roman" w:eastAsia="Times New Roman" w:hAnsi="Times New Roman"/>
                <w:color w:val="000000"/>
                <w:sz w:val="20"/>
              </w:rPr>
              <w:t>Owner-Occupied Units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47942" w14:textId="77777777" w:rsidR="005A27E3" w:rsidRDefault="005A27E3" w:rsidP="005A27E3">
            <w:pPr>
              <w:spacing w:after="0"/>
              <w:jc w:val="right"/>
            </w:pPr>
            <w:r>
              <w:rPr>
                <w:rFonts w:ascii="Times New Roman" w:eastAsia="Times New Roman" w:hAnsi="Times New Roman"/>
                <w:color w:val="000000"/>
                <w:sz w:val="20"/>
              </w:rPr>
              <w:t>378,517</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C87E1" w14:textId="77777777" w:rsidR="005A27E3" w:rsidRDefault="005A27E3" w:rsidP="005A27E3">
            <w:pPr>
              <w:spacing w:after="0"/>
              <w:jc w:val="right"/>
            </w:pPr>
            <w:r>
              <w:rPr>
                <w:rFonts w:ascii="Times New Roman" w:eastAsia="Times New Roman" w:hAnsi="Times New Roman"/>
                <w:color w:val="000000"/>
                <w:sz w:val="20"/>
              </w:rPr>
              <w:t>4.3</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5B7B3" w14:textId="77777777" w:rsidR="005A27E3" w:rsidRDefault="005A27E3" w:rsidP="005A27E3">
            <w:pPr>
              <w:spacing w:after="0"/>
              <w:jc w:val="right"/>
            </w:pPr>
            <w:r>
              <w:rPr>
                <w:rFonts w:ascii="Times New Roman" w:eastAsia="Times New Roman" w:hAnsi="Times New Roman"/>
                <w:color w:val="000000"/>
                <w:sz w:val="20"/>
              </w:rPr>
              <w:t>11.2</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53C9E" w14:textId="77777777" w:rsidR="005A27E3" w:rsidRDefault="005A27E3" w:rsidP="005A27E3">
            <w:pPr>
              <w:spacing w:after="0"/>
              <w:jc w:val="right"/>
            </w:pPr>
            <w:r>
              <w:rPr>
                <w:rFonts w:ascii="Times New Roman" w:eastAsia="Times New Roman" w:hAnsi="Times New Roman"/>
                <w:color w:val="000000"/>
                <w:sz w:val="20"/>
              </w:rPr>
              <w:t>41.5</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37D7F" w14:textId="77777777" w:rsidR="005A27E3" w:rsidRDefault="005A27E3" w:rsidP="005A27E3">
            <w:pPr>
              <w:spacing w:after="0"/>
              <w:jc w:val="right"/>
            </w:pPr>
            <w:r>
              <w:rPr>
                <w:rFonts w:ascii="Times New Roman" w:eastAsia="Times New Roman" w:hAnsi="Times New Roman"/>
                <w:color w:val="000000"/>
                <w:sz w:val="20"/>
              </w:rPr>
              <w:t>42.8</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253F9" w14:textId="77777777" w:rsidR="005A27E3" w:rsidRDefault="005A27E3" w:rsidP="005A27E3">
            <w:pPr>
              <w:spacing w:after="0"/>
              <w:jc w:val="right"/>
            </w:pPr>
            <w:r>
              <w:rPr>
                <w:rFonts w:ascii="Times New Roman" w:eastAsia="Times New Roman" w:hAnsi="Times New Roman"/>
                <w:color w:val="000000"/>
                <w:sz w:val="20"/>
              </w:rPr>
              <w:t>0.2</w:t>
            </w:r>
          </w:p>
        </w:tc>
      </w:tr>
      <w:tr w:rsidR="005A27E3" w14:paraId="0565F96C"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AF3A00C" w14:textId="77777777" w:rsidR="005A27E3" w:rsidRDefault="005A27E3" w:rsidP="005A27E3">
            <w:pPr>
              <w:spacing w:after="0"/>
            </w:pPr>
            <w:r>
              <w:rPr>
                <w:rFonts w:ascii="Times New Roman" w:eastAsia="Times New Roman" w:hAnsi="Times New Roman"/>
                <w:color w:val="000000"/>
                <w:sz w:val="20"/>
              </w:rPr>
              <w:t>Occupied Rental Units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4FB1D1" w14:textId="77777777" w:rsidR="005A27E3" w:rsidRDefault="005A27E3" w:rsidP="005A27E3">
            <w:pPr>
              <w:spacing w:after="0"/>
              <w:jc w:val="right"/>
            </w:pPr>
            <w:r>
              <w:rPr>
                <w:rFonts w:ascii="Times New Roman" w:eastAsia="Times New Roman" w:hAnsi="Times New Roman"/>
                <w:color w:val="000000"/>
                <w:sz w:val="20"/>
              </w:rPr>
              <w:t>244,114</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58760" w14:textId="77777777" w:rsidR="005A27E3" w:rsidRDefault="005A27E3" w:rsidP="005A27E3">
            <w:pPr>
              <w:spacing w:after="0"/>
              <w:jc w:val="right"/>
            </w:pPr>
            <w:r>
              <w:rPr>
                <w:rFonts w:ascii="Times New Roman" w:eastAsia="Times New Roman" w:hAnsi="Times New Roman"/>
                <w:color w:val="000000"/>
                <w:sz w:val="20"/>
              </w:rPr>
              <w:t>22.9</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074FA9" w14:textId="77777777" w:rsidR="005A27E3" w:rsidRDefault="005A27E3" w:rsidP="005A27E3">
            <w:pPr>
              <w:spacing w:after="0"/>
              <w:jc w:val="right"/>
            </w:pPr>
            <w:r>
              <w:rPr>
                <w:rFonts w:ascii="Times New Roman" w:eastAsia="Times New Roman" w:hAnsi="Times New Roman"/>
                <w:color w:val="000000"/>
                <w:sz w:val="20"/>
              </w:rPr>
              <w:t>27.3</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7BB85" w14:textId="77777777" w:rsidR="005A27E3" w:rsidRDefault="005A27E3" w:rsidP="005A27E3">
            <w:pPr>
              <w:spacing w:after="0"/>
              <w:jc w:val="right"/>
            </w:pPr>
            <w:r>
              <w:rPr>
                <w:rFonts w:ascii="Times New Roman" w:eastAsia="Times New Roman" w:hAnsi="Times New Roman"/>
                <w:color w:val="000000"/>
                <w:sz w:val="20"/>
              </w:rPr>
              <w:t>31.0</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1AED8" w14:textId="77777777" w:rsidR="005A27E3" w:rsidRDefault="005A27E3" w:rsidP="005A27E3">
            <w:pPr>
              <w:spacing w:after="0"/>
              <w:jc w:val="right"/>
            </w:pPr>
            <w:r>
              <w:rPr>
                <w:rFonts w:ascii="Times New Roman" w:eastAsia="Times New Roman" w:hAnsi="Times New Roman"/>
                <w:color w:val="000000"/>
                <w:sz w:val="20"/>
              </w:rPr>
              <w:t>18.1</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D398F" w14:textId="77777777" w:rsidR="005A27E3" w:rsidRDefault="005A27E3" w:rsidP="005A27E3">
            <w:pPr>
              <w:spacing w:after="0"/>
              <w:jc w:val="right"/>
            </w:pPr>
            <w:r>
              <w:rPr>
                <w:rFonts w:ascii="Times New Roman" w:eastAsia="Times New Roman" w:hAnsi="Times New Roman"/>
                <w:color w:val="000000"/>
                <w:sz w:val="20"/>
              </w:rPr>
              <w:t>0.7</w:t>
            </w:r>
          </w:p>
        </w:tc>
      </w:tr>
      <w:tr w:rsidR="005A27E3" w14:paraId="705ECA8F"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41E48E0" w14:textId="77777777" w:rsidR="005A27E3" w:rsidRDefault="005A27E3" w:rsidP="005A27E3">
            <w:pPr>
              <w:spacing w:after="0"/>
            </w:pPr>
            <w:r>
              <w:rPr>
                <w:rFonts w:ascii="Times New Roman" w:eastAsia="Times New Roman" w:hAnsi="Times New Roman"/>
                <w:color w:val="000000"/>
                <w:sz w:val="20"/>
              </w:rPr>
              <w:t>Vacant Units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E8C66" w14:textId="77777777" w:rsidR="005A27E3" w:rsidRDefault="005A27E3" w:rsidP="005A27E3">
            <w:pPr>
              <w:spacing w:after="0"/>
              <w:jc w:val="right"/>
            </w:pPr>
            <w:r>
              <w:rPr>
                <w:rFonts w:ascii="Times New Roman" w:eastAsia="Times New Roman" w:hAnsi="Times New Roman"/>
                <w:color w:val="000000"/>
                <w:sz w:val="20"/>
              </w:rPr>
              <w:t>71,255</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CE26B" w14:textId="77777777" w:rsidR="005A27E3" w:rsidRDefault="005A27E3" w:rsidP="005A27E3">
            <w:pPr>
              <w:spacing w:after="0"/>
              <w:jc w:val="right"/>
            </w:pPr>
            <w:r>
              <w:rPr>
                <w:rFonts w:ascii="Times New Roman" w:eastAsia="Times New Roman" w:hAnsi="Times New Roman"/>
                <w:color w:val="000000"/>
                <w:sz w:val="20"/>
              </w:rPr>
              <w:t>16.9</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71A02" w14:textId="77777777" w:rsidR="005A27E3" w:rsidRDefault="005A27E3" w:rsidP="005A27E3">
            <w:pPr>
              <w:spacing w:after="0"/>
              <w:jc w:val="right"/>
            </w:pPr>
            <w:r>
              <w:rPr>
                <w:rFonts w:ascii="Times New Roman" w:eastAsia="Times New Roman" w:hAnsi="Times New Roman"/>
                <w:color w:val="000000"/>
                <w:sz w:val="20"/>
              </w:rPr>
              <w:t>17.8</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BD913A" w14:textId="77777777" w:rsidR="005A27E3" w:rsidRDefault="005A27E3" w:rsidP="005A27E3">
            <w:pPr>
              <w:spacing w:after="0"/>
              <w:jc w:val="right"/>
            </w:pPr>
            <w:r>
              <w:rPr>
                <w:rFonts w:ascii="Times New Roman" w:eastAsia="Times New Roman" w:hAnsi="Times New Roman"/>
                <w:color w:val="000000"/>
                <w:sz w:val="20"/>
              </w:rPr>
              <w:t>28.1</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91106" w14:textId="77777777" w:rsidR="005A27E3" w:rsidRDefault="005A27E3" w:rsidP="005A27E3">
            <w:pPr>
              <w:spacing w:after="0"/>
              <w:jc w:val="right"/>
            </w:pPr>
            <w:r>
              <w:rPr>
                <w:rFonts w:ascii="Times New Roman" w:eastAsia="Times New Roman" w:hAnsi="Times New Roman"/>
                <w:color w:val="000000"/>
                <w:sz w:val="20"/>
              </w:rPr>
              <w:t>36.8</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EDA70" w14:textId="77777777" w:rsidR="005A27E3" w:rsidRDefault="005A27E3" w:rsidP="005A27E3">
            <w:pPr>
              <w:spacing w:after="0"/>
              <w:jc w:val="right"/>
            </w:pPr>
            <w:r>
              <w:rPr>
                <w:rFonts w:ascii="Times New Roman" w:eastAsia="Times New Roman" w:hAnsi="Times New Roman"/>
                <w:color w:val="000000"/>
                <w:sz w:val="20"/>
              </w:rPr>
              <w:t>0.4</w:t>
            </w:r>
          </w:p>
        </w:tc>
      </w:tr>
      <w:tr w:rsidR="005A27E3" w14:paraId="7AC7CCA4"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F8DC1E9" w14:textId="77777777" w:rsidR="005A27E3" w:rsidRDefault="005A27E3" w:rsidP="005A27E3">
            <w:pPr>
              <w:spacing w:after="0"/>
            </w:pPr>
            <w:r>
              <w:rPr>
                <w:rFonts w:ascii="Times New Roman" w:eastAsia="Times New Roman" w:hAnsi="Times New Roman"/>
                <w:color w:val="000000"/>
                <w:sz w:val="20"/>
              </w:rPr>
              <w:t>Businesses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5127C" w14:textId="77777777" w:rsidR="005A27E3" w:rsidRDefault="005A27E3" w:rsidP="005A27E3">
            <w:pPr>
              <w:spacing w:after="0"/>
              <w:jc w:val="right"/>
            </w:pPr>
            <w:r>
              <w:rPr>
                <w:rFonts w:ascii="Times New Roman" w:eastAsia="Times New Roman" w:hAnsi="Times New Roman"/>
                <w:color w:val="000000"/>
                <w:sz w:val="20"/>
              </w:rPr>
              <w:t>117,259</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30F36" w14:textId="77777777" w:rsidR="005A27E3" w:rsidRDefault="005A27E3" w:rsidP="005A27E3">
            <w:pPr>
              <w:spacing w:after="0"/>
              <w:jc w:val="right"/>
            </w:pPr>
            <w:r>
              <w:rPr>
                <w:rFonts w:ascii="Times New Roman" w:eastAsia="Times New Roman" w:hAnsi="Times New Roman"/>
                <w:color w:val="000000"/>
                <w:sz w:val="20"/>
              </w:rPr>
              <w:t>9.7</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B87AB" w14:textId="77777777" w:rsidR="005A27E3" w:rsidRDefault="005A27E3" w:rsidP="005A27E3">
            <w:pPr>
              <w:spacing w:after="0"/>
              <w:jc w:val="right"/>
            </w:pPr>
            <w:r>
              <w:rPr>
                <w:rFonts w:ascii="Times New Roman" w:eastAsia="Times New Roman" w:hAnsi="Times New Roman"/>
                <w:color w:val="000000"/>
                <w:sz w:val="20"/>
              </w:rPr>
              <w:t>15.2</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0B165" w14:textId="77777777" w:rsidR="005A27E3" w:rsidRDefault="005A27E3" w:rsidP="005A27E3">
            <w:pPr>
              <w:spacing w:after="0"/>
              <w:jc w:val="right"/>
            </w:pPr>
            <w:r>
              <w:rPr>
                <w:rFonts w:ascii="Times New Roman" w:eastAsia="Times New Roman" w:hAnsi="Times New Roman"/>
                <w:color w:val="000000"/>
                <w:sz w:val="20"/>
              </w:rPr>
              <w:t>35.4</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2365A" w14:textId="77777777" w:rsidR="005A27E3" w:rsidRDefault="005A27E3" w:rsidP="005A27E3">
            <w:pPr>
              <w:spacing w:after="0"/>
              <w:jc w:val="right"/>
            </w:pPr>
            <w:r>
              <w:rPr>
                <w:rFonts w:ascii="Times New Roman" w:eastAsia="Times New Roman" w:hAnsi="Times New Roman"/>
                <w:color w:val="000000"/>
                <w:sz w:val="20"/>
              </w:rPr>
              <w:t>39.0</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BD930" w14:textId="77777777" w:rsidR="005A27E3" w:rsidRDefault="005A27E3" w:rsidP="005A27E3">
            <w:pPr>
              <w:spacing w:after="0"/>
              <w:jc w:val="right"/>
            </w:pPr>
            <w:r>
              <w:rPr>
                <w:rFonts w:ascii="Times New Roman" w:eastAsia="Times New Roman" w:hAnsi="Times New Roman"/>
                <w:color w:val="000000"/>
                <w:sz w:val="20"/>
              </w:rPr>
              <w:t>0.7</w:t>
            </w:r>
          </w:p>
        </w:tc>
      </w:tr>
      <w:tr w:rsidR="005A27E3" w14:paraId="6D968A0B"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E02B759" w14:textId="77777777" w:rsidR="005A27E3" w:rsidRDefault="005A27E3" w:rsidP="005A27E3">
            <w:pPr>
              <w:spacing w:after="0"/>
            </w:pPr>
            <w:r>
              <w:rPr>
                <w:rFonts w:ascii="Times New Roman" w:eastAsia="Times New Roman" w:hAnsi="Times New Roman"/>
                <w:color w:val="000000"/>
                <w:sz w:val="20"/>
              </w:rPr>
              <w:t>Farms by Geography</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0B045" w14:textId="77777777" w:rsidR="005A27E3" w:rsidRDefault="005A27E3" w:rsidP="005A27E3">
            <w:pPr>
              <w:spacing w:after="0"/>
              <w:jc w:val="right"/>
            </w:pPr>
            <w:r>
              <w:rPr>
                <w:rFonts w:ascii="Times New Roman" w:eastAsia="Times New Roman" w:hAnsi="Times New Roman"/>
                <w:color w:val="000000"/>
                <w:sz w:val="20"/>
              </w:rPr>
              <w:t>3,210</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6FFDD" w14:textId="77777777" w:rsidR="005A27E3" w:rsidRDefault="005A27E3" w:rsidP="005A27E3">
            <w:pPr>
              <w:spacing w:after="0"/>
              <w:jc w:val="right"/>
            </w:pPr>
            <w:r>
              <w:rPr>
                <w:rFonts w:ascii="Times New Roman" w:eastAsia="Times New Roman" w:hAnsi="Times New Roman"/>
                <w:color w:val="000000"/>
                <w:sz w:val="20"/>
              </w:rPr>
              <w:t>3.8</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28EFC" w14:textId="77777777" w:rsidR="005A27E3" w:rsidRDefault="005A27E3" w:rsidP="005A27E3">
            <w:pPr>
              <w:spacing w:after="0"/>
              <w:jc w:val="right"/>
            </w:pPr>
            <w:r>
              <w:rPr>
                <w:rFonts w:ascii="Times New Roman" w:eastAsia="Times New Roman" w:hAnsi="Times New Roman"/>
                <w:color w:val="000000"/>
                <w:sz w:val="20"/>
              </w:rPr>
              <w:t>8.7</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B44140" w14:textId="77777777" w:rsidR="005A27E3" w:rsidRDefault="005A27E3" w:rsidP="005A27E3">
            <w:pPr>
              <w:spacing w:after="0"/>
              <w:jc w:val="right"/>
            </w:pPr>
            <w:r>
              <w:rPr>
                <w:rFonts w:ascii="Times New Roman" w:eastAsia="Times New Roman" w:hAnsi="Times New Roman"/>
                <w:color w:val="000000"/>
                <w:sz w:val="20"/>
              </w:rPr>
              <w:t>32.8</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7F6B6" w14:textId="77777777" w:rsidR="005A27E3" w:rsidRDefault="005A27E3" w:rsidP="005A27E3">
            <w:pPr>
              <w:spacing w:after="0"/>
              <w:jc w:val="right"/>
            </w:pPr>
            <w:r>
              <w:rPr>
                <w:rFonts w:ascii="Times New Roman" w:eastAsia="Times New Roman" w:hAnsi="Times New Roman"/>
                <w:color w:val="000000"/>
                <w:sz w:val="20"/>
              </w:rPr>
              <w:t>54.7</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08260" w14:textId="77777777" w:rsidR="005A27E3" w:rsidRDefault="005A27E3" w:rsidP="005A27E3">
            <w:pPr>
              <w:spacing w:after="0"/>
              <w:jc w:val="right"/>
            </w:pPr>
            <w:r>
              <w:rPr>
                <w:rFonts w:ascii="Times New Roman" w:eastAsia="Times New Roman" w:hAnsi="Times New Roman"/>
                <w:color w:val="000000"/>
                <w:sz w:val="20"/>
              </w:rPr>
              <w:t>0.0</w:t>
            </w:r>
          </w:p>
        </w:tc>
      </w:tr>
      <w:tr w:rsidR="005A27E3" w14:paraId="4A174D39"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33ABAC9" w14:textId="77777777" w:rsidR="005A27E3" w:rsidRDefault="005A27E3" w:rsidP="005A27E3">
            <w:pPr>
              <w:spacing w:after="0"/>
            </w:pPr>
            <w:r>
              <w:rPr>
                <w:rFonts w:ascii="Times New Roman" w:eastAsia="Times New Roman" w:hAnsi="Times New Roman"/>
                <w:color w:val="000000"/>
                <w:sz w:val="20"/>
              </w:rPr>
              <w:t>Family Distribution by Income Level</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C9559" w14:textId="77777777" w:rsidR="005A27E3" w:rsidRDefault="005A27E3" w:rsidP="005A27E3">
            <w:pPr>
              <w:spacing w:after="0"/>
              <w:jc w:val="right"/>
            </w:pPr>
            <w:r>
              <w:rPr>
                <w:rFonts w:ascii="Times New Roman" w:eastAsia="Times New Roman" w:hAnsi="Times New Roman"/>
                <w:color w:val="000000"/>
                <w:sz w:val="20"/>
              </w:rPr>
              <w:t>396,417</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A597D" w14:textId="77777777" w:rsidR="005A27E3" w:rsidRDefault="005A27E3" w:rsidP="005A27E3">
            <w:pPr>
              <w:spacing w:after="0"/>
              <w:jc w:val="right"/>
            </w:pPr>
            <w:r>
              <w:rPr>
                <w:rFonts w:ascii="Times New Roman" w:eastAsia="Times New Roman" w:hAnsi="Times New Roman"/>
                <w:color w:val="000000"/>
                <w:sz w:val="20"/>
              </w:rPr>
              <w:t>23.6</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7E84D" w14:textId="77777777" w:rsidR="005A27E3" w:rsidRDefault="005A27E3" w:rsidP="005A27E3">
            <w:pPr>
              <w:spacing w:after="0"/>
              <w:jc w:val="right"/>
            </w:pPr>
            <w:r>
              <w:rPr>
                <w:rFonts w:ascii="Times New Roman" w:eastAsia="Times New Roman" w:hAnsi="Times New Roman"/>
                <w:color w:val="000000"/>
                <w:sz w:val="20"/>
              </w:rPr>
              <w:t>16.4</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47AE48" w14:textId="77777777" w:rsidR="005A27E3" w:rsidRDefault="005A27E3" w:rsidP="005A27E3">
            <w:pPr>
              <w:spacing w:after="0"/>
              <w:jc w:val="right"/>
            </w:pPr>
            <w:r>
              <w:rPr>
                <w:rFonts w:ascii="Times New Roman" w:eastAsia="Times New Roman" w:hAnsi="Times New Roman"/>
                <w:color w:val="000000"/>
                <w:sz w:val="20"/>
              </w:rPr>
              <w:t>19.2</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5F7F8" w14:textId="77777777" w:rsidR="005A27E3" w:rsidRDefault="005A27E3" w:rsidP="005A27E3">
            <w:pPr>
              <w:spacing w:after="0"/>
              <w:jc w:val="right"/>
            </w:pPr>
            <w:r>
              <w:rPr>
                <w:rFonts w:ascii="Times New Roman" w:eastAsia="Times New Roman" w:hAnsi="Times New Roman"/>
                <w:color w:val="000000"/>
                <w:sz w:val="20"/>
              </w:rPr>
              <w:t>40.8</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6A9A8" w14:textId="77777777" w:rsidR="005A27E3" w:rsidRDefault="005A27E3" w:rsidP="005A27E3">
            <w:pPr>
              <w:spacing w:after="0"/>
              <w:jc w:val="right"/>
            </w:pPr>
            <w:r>
              <w:rPr>
                <w:rFonts w:ascii="Times New Roman" w:eastAsia="Times New Roman" w:hAnsi="Times New Roman"/>
                <w:color w:val="000000"/>
                <w:sz w:val="20"/>
              </w:rPr>
              <w:t>0.0</w:t>
            </w:r>
          </w:p>
        </w:tc>
      </w:tr>
      <w:tr w:rsidR="005A27E3" w14:paraId="658957AC" w14:textId="77777777" w:rsidTr="00530B36">
        <w:trPr>
          <w:trHeight w:val="188"/>
        </w:trPr>
        <w:tc>
          <w:tcPr>
            <w:tcW w:w="430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AFA7093" w14:textId="77777777" w:rsidR="005A27E3" w:rsidRDefault="005A27E3" w:rsidP="005A27E3">
            <w:pPr>
              <w:spacing w:after="0"/>
            </w:pPr>
            <w:r>
              <w:rPr>
                <w:rFonts w:ascii="Times New Roman" w:eastAsia="Times New Roman" w:hAnsi="Times New Roman"/>
                <w:color w:val="000000"/>
                <w:sz w:val="20"/>
              </w:rPr>
              <w:t>Household Distribution by Income Level</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BDB4AE" w14:textId="77777777" w:rsidR="005A27E3" w:rsidRDefault="005A27E3" w:rsidP="005A27E3">
            <w:pPr>
              <w:spacing w:after="0"/>
              <w:jc w:val="right"/>
            </w:pPr>
            <w:r>
              <w:rPr>
                <w:rFonts w:ascii="Times New Roman" w:eastAsia="Times New Roman" w:hAnsi="Times New Roman"/>
                <w:color w:val="000000"/>
                <w:sz w:val="20"/>
              </w:rPr>
              <w:t>622,631</w:t>
            </w:r>
          </w:p>
        </w:tc>
        <w:tc>
          <w:tcPr>
            <w:tcW w:w="10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C96C07" w14:textId="77777777" w:rsidR="005A27E3" w:rsidRDefault="005A27E3" w:rsidP="005A27E3">
            <w:pPr>
              <w:spacing w:after="0"/>
              <w:jc w:val="right"/>
            </w:pPr>
            <w:r>
              <w:rPr>
                <w:rFonts w:ascii="Times New Roman" w:eastAsia="Times New Roman" w:hAnsi="Times New Roman"/>
                <w:color w:val="000000"/>
                <w:sz w:val="20"/>
              </w:rPr>
              <w:t>26.4</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202E9" w14:textId="77777777" w:rsidR="005A27E3" w:rsidRDefault="005A27E3" w:rsidP="005A27E3">
            <w:pPr>
              <w:spacing w:after="0"/>
              <w:jc w:val="right"/>
            </w:pPr>
            <w:r>
              <w:rPr>
                <w:rFonts w:ascii="Times New Roman" w:eastAsia="Times New Roman" w:hAnsi="Times New Roman"/>
                <w:color w:val="000000"/>
                <w:sz w:val="20"/>
              </w:rPr>
              <w:t>14.7</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69196" w14:textId="77777777" w:rsidR="005A27E3" w:rsidRDefault="005A27E3" w:rsidP="005A27E3">
            <w:pPr>
              <w:spacing w:after="0"/>
              <w:jc w:val="right"/>
            </w:pPr>
            <w:r>
              <w:rPr>
                <w:rFonts w:ascii="Times New Roman" w:eastAsia="Times New Roman" w:hAnsi="Times New Roman"/>
                <w:color w:val="000000"/>
                <w:sz w:val="20"/>
              </w:rPr>
              <w:t>16.0</w:t>
            </w:r>
          </w:p>
        </w:tc>
        <w:tc>
          <w:tcPr>
            <w:tcW w:w="12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C2BBD" w14:textId="77777777" w:rsidR="005A27E3" w:rsidRDefault="005A27E3" w:rsidP="005A27E3">
            <w:pPr>
              <w:spacing w:after="0"/>
              <w:jc w:val="right"/>
            </w:pPr>
            <w:r>
              <w:rPr>
                <w:rFonts w:ascii="Times New Roman" w:eastAsia="Times New Roman" w:hAnsi="Times New Roman"/>
                <w:color w:val="000000"/>
                <w:sz w:val="20"/>
              </w:rPr>
              <w:t>42.9</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E6E26D" w14:textId="77777777" w:rsidR="005A27E3" w:rsidRDefault="005A27E3" w:rsidP="005A27E3">
            <w:pPr>
              <w:spacing w:after="0"/>
              <w:jc w:val="right"/>
            </w:pPr>
            <w:r>
              <w:rPr>
                <w:rFonts w:ascii="Times New Roman" w:eastAsia="Times New Roman" w:hAnsi="Times New Roman"/>
                <w:color w:val="000000"/>
                <w:sz w:val="20"/>
              </w:rPr>
              <w:t>0.0</w:t>
            </w:r>
          </w:p>
        </w:tc>
      </w:tr>
      <w:tr w:rsidR="005A27E3" w14:paraId="627CD187" w14:textId="77777777" w:rsidTr="00530B36">
        <w:trPr>
          <w:trHeight w:val="188"/>
        </w:trPr>
        <w:tc>
          <w:tcPr>
            <w:tcW w:w="4303" w:type="dxa"/>
            <w:tcBorders>
              <w:top w:val="single" w:sz="7" w:space="0" w:color="000000"/>
              <w:left w:val="single" w:sz="7" w:space="0" w:color="000000"/>
              <w:bottom w:val="single" w:sz="7" w:space="0" w:color="000000"/>
            </w:tcBorders>
            <w:tcMar>
              <w:top w:w="39" w:type="dxa"/>
              <w:left w:w="239" w:type="dxa"/>
              <w:bottom w:w="39" w:type="dxa"/>
              <w:right w:w="39" w:type="dxa"/>
            </w:tcMar>
          </w:tcPr>
          <w:p w14:paraId="60F546C9" w14:textId="77777777" w:rsidR="005A27E3" w:rsidRDefault="005A27E3" w:rsidP="005A27E3">
            <w:pPr>
              <w:spacing w:after="0"/>
            </w:pPr>
            <w:r>
              <w:rPr>
                <w:rFonts w:ascii="Times New Roman" w:eastAsia="Times New Roman" w:hAnsi="Times New Roman"/>
                <w:color w:val="000000"/>
                <w:sz w:val="20"/>
              </w:rPr>
              <w:t>Median Family Income MSA - 39300 Providence-Warwick, RI-MA MSA</w:t>
            </w:r>
          </w:p>
        </w:tc>
        <w:tc>
          <w:tcPr>
            <w:tcW w:w="1113" w:type="dxa"/>
            <w:tcBorders>
              <w:top w:val="single" w:sz="7" w:space="0" w:color="000000"/>
              <w:bottom w:val="single" w:sz="7" w:space="0" w:color="000000"/>
            </w:tcBorders>
            <w:tcMar>
              <w:top w:w="39" w:type="dxa"/>
              <w:left w:w="239" w:type="dxa"/>
              <w:bottom w:w="39" w:type="dxa"/>
              <w:right w:w="39" w:type="dxa"/>
            </w:tcMar>
          </w:tcPr>
          <w:p w14:paraId="3CA97D0A" w14:textId="77777777" w:rsidR="005A27E3" w:rsidRDefault="005A27E3" w:rsidP="005A27E3">
            <w:pPr>
              <w:spacing w:after="0"/>
            </w:pPr>
          </w:p>
        </w:tc>
        <w:tc>
          <w:tcPr>
            <w:tcW w:w="1089" w:type="dxa"/>
            <w:tcBorders>
              <w:top w:val="single" w:sz="7" w:space="0" w:color="000000"/>
              <w:left w:val="single" w:sz="7" w:space="0" w:color="000000"/>
              <w:bottom w:val="single" w:sz="7" w:space="0" w:color="000000"/>
            </w:tcBorders>
            <w:tcMar>
              <w:top w:w="39" w:type="dxa"/>
              <w:left w:w="39" w:type="dxa"/>
              <w:bottom w:w="39" w:type="dxa"/>
              <w:right w:w="39" w:type="dxa"/>
            </w:tcMar>
          </w:tcPr>
          <w:p w14:paraId="4D2EB150" w14:textId="77777777" w:rsidR="005A27E3" w:rsidRDefault="005A27E3" w:rsidP="005A27E3">
            <w:pPr>
              <w:spacing w:after="0"/>
              <w:jc w:val="right"/>
            </w:pPr>
            <w:r>
              <w:rPr>
                <w:rFonts w:ascii="Times New Roman" w:eastAsia="Times New Roman" w:hAnsi="Times New Roman"/>
                <w:color w:val="000000"/>
                <w:sz w:val="20"/>
              </w:rPr>
              <w:t>$73,950</w:t>
            </w:r>
          </w:p>
        </w:tc>
        <w:tc>
          <w:tcPr>
            <w:tcW w:w="363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52B3F" w14:textId="77777777" w:rsidR="005A27E3" w:rsidRDefault="005A27E3" w:rsidP="005A27E3">
            <w:pPr>
              <w:spacing w:after="0"/>
            </w:pPr>
            <w:r>
              <w:rPr>
                <w:rFonts w:ascii="Times New Roman" w:eastAsia="Times New Roman" w:hAnsi="Times New Roman"/>
                <w:color w:val="000000"/>
                <w:sz w:val="20"/>
              </w:rPr>
              <w:t>Median Housing Value</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68D9EA" w14:textId="77777777" w:rsidR="005A27E3" w:rsidRDefault="005A27E3" w:rsidP="005A27E3">
            <w:pPr>
              <w:spacing w:after="0"/>
              <w:jc w:val="right"/>
            </w:pPr>
            <w:r>
              <w:rPr>
                <w:rFonts w:ascii="Times New Roman" w:eastAsia="Times New Roman" w:hAnsi="Times New Roman"/>
                <w:color w:val="000000"/>
                <w:sz w:val="20"/>
              </w:rPr>
              <w:t>$258,088</w:t>
            </w:r>
          </w:p>
        </w:tc>
      </w:tr>
      <w:tr w:rsidR="005A27E3" w14:paraId="34C038E4" w14:textId="77777777" w:rsidTr="00530B36">
        <w:trPr>
          <w:trHeight w:val="188"/>
        </w:trPr>
        <w:tc>
          <w:tcPr>
            <w:tcW w:w="4303" w:type="dxa"/>
            <w:tcBorders>
              <w:left w:val="single" w:sz="7" w:space="0" w:color="000000"/>
            </w:tcBorders>
            <w:tcMar>
              <w:top w:w="39" w:type="dxa"/>
              <w:left w:w="239" w:type="dxa"/>
              <w:bottom w:w="39" w:type="dxa"/>
              <w:right w:w="39" w:type="dxa"/>
            </w:tcMar>
          </w:tcPr>
          <w:p w14:paraId="697F1AFB" w14:textId="77777777" w:rsidR="005A27E3" w:rsidRDefault="005A27E3" w:rsidP="005A27E3">
            <w:pPr>
              <w:spacing w:after="0"/>
            </w:pPr>
          </w:p>
        </w:tc>
        <w:tc>
          <w:tcPr>
            <w:tcW w:w="1113" w:type="dxa"/>
            <w:tcMar>
              <w:top w:w="39" w:type="dxa"/>
              <w:left w:w="239" w:type="dxa"/>
              <w:bottom w:w="39" w:type="dxa"/>
              <w:right w:w="39" w:type="dxa"/>
            </w:tcMar>
          </w:tcPr>
          <w:p w14:paraId="4C3B0173" w14:textId="77777777" w:rsidR="005A27E3" w:rsidRDefault="005A27E3" w:rsidP="005A27E3">
            <w:pPr>
              <w:spacing w:after="0"/>
            </w:pPr>
          </w:p>
        </w:tc>
        <w:tc>
          <w:tcPr>
            <w:tcW w:w="1089" w:type="dxa"/>
            <w:tcMar>
              <w:top w:w="39" w:type="dxa"/>
              <w:left w:w="39" w:type="dxa"/>
              <w:bottom w:w="39" w:type="dxa"/>
              <w:right w:w="39" w:type="dxa"/>
            </w:tcMar>
          </w:tcPr>
          <w:p w14:paraId="0EB372B2" w14:textId="77777777" w:rsidR="005A27E3" w:rsidRDefault="005A27E3" w:rsidP="005A27E3">
            <w:pPr>
              <w:spacing w:after="0"/>
            </w:pPr>
          </w:p>
        </w:tc>
        <w:tc>
          <w:tcPr>
            <w:tcW w:w="363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3C8F2" w14:textId="77777777" w:rsidR="005A27E3" w:rsidRDefault="005A27E3" w:rsidP="005A27E3">
            <w:pPr>
              <w:spacing w:after="0"/>
            </w:pPr>
            <w:r>
              <w:rPr>
                <w:rFonts w:ascii="Times New Roman" w:eastAsia="Times New Roman" w:hAnsi="Times New Roman"/>
                <w:color w:val="000000"/>
                <w:sz w:val="20"/>
              </w:rPr>
              <w:t>Median Gross Rent</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09AD1" w14:textId="77777777" w:rsidR="005A27E3" w:rsidRDefault="005A27E3" w:rsidP="005A27E3">
            <w:pPr>
              <w:spacing w:after="0"/>
              <w:jc w:val="right"/>
            </w:pPr>
            <w:r>
              <w:rPr>
                <w:rFonts w:ascii="Times New Roman" w:eastAsia="Times New Roman" w:hAnsi="Times New Roman"/>
                <w:color w:val="000000"/>
                <w:sz w:val="20"/>
              </w:rPr>
              <w:t>$897</w:t>
            </w:r>
          </w:p>
        </w:tc>
      </w:tr>
      <w:tr w:rsidR="005A27E3" w14:paraId="1CF0E84D" w14:textId="77777777" w:rsidTr="00530B36">
        <w:trPr>
          <w:trHeight w:val="188"/>
        </w:trPr>
        <w:tc>
          <w:tcPr>
            <w:tcW w:w="4303" w:type="dxa"/>
            <w:tcBorders>
              <w:left w:val="single" w:sz="7" w:space="0" w:color="000000"/>
              <w:bottom w:val="single" w:sz="7" w:space="0" w:color="000000"/>
            </w:tcBorders>
            <w:tcMar>
              <w:top w:w="39" w:type="dxa"/>
              <w:left w:w="239" w:type="dxa"/>
              <w:bottom w:w="39" w:type="dxa"/>
              <w:right w:w="39" w:type="dxa"/>
            </w:tcMar>
          </w:tcPr>
          <w:p w14:paraId="4D534B0F" w14:textId="77777777" w:rsidR="005A27E3" w:rsidRDefault="005A27E3" w:rsidP="005A27E3">
            <w:pPr>
              <w:spacing w:after="0"/>
            </w:pPr>
          </w:p>
        </w:tc>
        <w:tc>
          <w:tcPr>
            <w:tcW w:w="1113" w:type="dxa"/>
            <w:tcBorders>
              <w:bottom w:val="single" w:sz="7" w:space="0" w:color="000000"/>
            </w:tcBorders>
            <w:tcMar>
              <w:top w:w="39" w:type="dxa"/>
              <w:left w:w="239" w:type="dxa"/>
              <w:bottom w:w="39" w:type="dxa"/>
              <w:right w:w="39" w:type="dxa"/>
            </w:tcMar>
          </w:tcPr>
          <w:p w14:paraId="0F735C30" w14:textId="77777777" w:rsidR="005A27E3" w:rsidRDefault="005A27E3" w:rsidP="005A27E3">
            <w:pPr>
              <w:spacing w:after="0"/>
            </w:pPr>
          </w:p>
        </w:tc>
        <w:tc>
          <w:tcPr>
            <w:tcW w:w="1089" w:type="dxa"/>
            <w:tcBorders>
              <w:bottom w:val="single" w:sz="7" w:space="0" w:color="000000"/>
            </w:tcBorders>
            <w:tcMar>
              <w:top w:w="39" w:type="dxa"/>
              <w:left w:w="39" w:type="dxa"/>
              <w:bottom w:w="39" w:type="dxa"/>
              <w:right w:w="39" w:type="dxa"/>
            </w:tcMar>
          </w:tcPr>
          <w:p w14:paraId="57A459D4" w14:textId="77777777" w:rsidR="005A27E3" w:rsidRDefault="005A27E3" w:rsidP="005A27E3">
            <w:pPr>
              <w:spacing w:after="0"/>
            </w:pPr>
          </w:p>
        </w:tc>
        <w:tc>
          <w:tcPr>
            <w:tcW w:w="3636"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7034A" w14:textId="77777777" w:rsidR="005A27E3" w:rsidRDefault="005A27E3" w:rsidP="005A27E3">
            <w:pPr>
              <w:spacing w:after="0"/>
            </w:pPr>
            <w:r>
              <w:rPr>
                <w:rFonts w:ascii="Times New Roman" w:eastAsia="Times New Roman" w:hAnsi="Times New Roman"/>
                <w:color w:val="000000"/>
                <w:sz w:val="20"/>
              </w:rPr>
              <w:t>Families Below Poverty Level</w:t>
            </w:r>
          </w:p>
        </w:tc>
        <w:tc>
          <w:tcPr>
            <w:tcW w:w="12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60F97" w14:textId="77777777" w:rsidR="005A27E3" w:rsidRDefault="005A27E3" w:rsidP="005A27E3">
            <w:pPr>
              <w:spacing w:after="0"/>
              <w:jc w:val="right"/>
            </w:pPr>
            <w:r>
              <w:rPr>
                <w:rFonts w:ascii="Times New Roman" w:eastAsia="Times New Roman" w:hAnsi="Times New Roman"/>
                <w:color w:val="000000"/>
                <w:sz w:val="20"/>
              </w:rPr>
              <w:t>9.9%</w:t>
            </w:r>
          </w:p>
        </w:tc>
      </w:tr>
      <w:tr w:rsidR="005A27E3" w14:paraId="12AC6874" w14:textId="77777777" w:rsidTr="00F60AA4">
        <w:trPr>
          <w:trHeight w:val="400"/>
        </w:trPr>
        <w:tc>
          <w:tcPr>
            <w:tcW w:w="11367"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3C7BCF81" w14:textId="5984B372" w:rsidR="005A27E3" w:rsidRDefault="005A27E3" w:rsidP="00A657F1">
            <w:pPr>
              <w:spacing w:after="0"/>
            </w:pPr>
            <w:r>
              <w:rPr>
                <w:rFonts w:ascii="Times New Roman" w:eastAsia="Times New Roman" w:hAnsi="Times New Roman"/>
                <w:i/>
                <w:color w:val="000000"/>
                <w:sz w:val="16"/>
              </w:rPr>
              <w:t>Source: 2015 ACS  and 2019 D&amp;B Data</w:t>
            </w:r>
            <w:r w:rsidR="00F60AA4">
              <w:rPr>
                <w:rFonts w:ascii="Times New Roman" w:eastAsia="Times New Roman" w:hAnsi="Times New Roman"/>
                <w:i/>
                <w:color w:val="000000"/>
                <w:sz w:val="16"/>
              </w:rPr>
              <w:t xml:space="preserve">; </w:t>
            </w:r>
            <w:r>
              <w:rPr>
                <w:rFonts w:ascii="Times New Roman" w:eastAsia="Times New Roman" w:hAnsi="Times New Roman"/>
                <w:i/>
                <w:color w:val="000000"/>
                <w:sz w:val="16"/>
              </w:rPr>
              <w:t>Due to rounding, totals may not equal 100.0%</w:t>
            </w:r>
          </w:p>
          <w:p w14:paraId="74D4617A" w14:textId="77777777" w:rsidR="005A27E3" w:rsidRDefault="005A27E3" w:rsidP="00A657F1">
            <w:pPr>
              <w:spacing w:after="0"/>
            </w:pPr>
            <w:r>
              <w:rPr>
                <w:rFonts w:ascii="Times New Roman" w:eastAsia="Times New Roman" w:hAnsi="Times New Roman"/>
                <w:i/>
                <w:color w:val="000000"/>
                <w:sz w:val="16"/>
              </w:rPr>
              <w:t>(*) The NA category consists of geographies that have not been assigned an income classification.</w:t>
            </w:r>
          </w:p>
        </w:tc>
      </w:tr>
    </w:tbl>
    <w:p w14:paraId="7B2FE99A" w14:textId="77777777" w:rsidR="006F50C8" w:rsidRDefault="006F50C8" w:rsidP="00324944">
      <w:pPr>
        <w:widowControl w:val="0"/>
        <w:tabs>
          <w:tab w:val="left" w:pos="1080"/>
        </w:tabs>
        <w:spacing w:after="0" w:line="240" w:lineRule="auto"/>
        <w:ind w:right="-360"/>
        <w:rPr>
          <w:rFonts w:ascii="Times New Roman" w:hAnsi="Times New Roman" w:cs="Times New Roman"/>
          <w:bCs/>
          <w:iCs/>
          <w:color w:val="000000"/>
          <w:sz w:val="24"/>
          <w:szCs w:val="24"/>
        </w:rPr>
      </w:pPr>
    </w:p>
    <w:p w14:paraId="7821B360" w14:textId="0150A595" w:rsidR="005A27E3" w:rsidRDefault="005A27E3" w:rsidP="005A27E3">
      <w:pPr>
        <w:spacing w:after="0" w:line="240" w:lineRule="auto"/>
        <w:rPr>
          <w:rFonts w:ascii="Times New Roman" w:hAnsi="Times New Roman" w:cs="Times New Roman"/>
          <w:bCs/>
          <w:iCs/>
          <w:sz w:val="24"/>
          <w:szCs w:val="24"/>
        </w:rPr>
      </w:pPr>
      <w:r w:rsidRPr="004D6B86">
        <w:rPr>
          <w:rFonts w:ascii="Times New Roman" w:hAnsi="Times New Roman" w:cs="Times New Roman"/>
          <w:bCs/>
          <w:iCs/>
          <w:sz w:val="24"/>
          <w:szCs w:val="24"/>
        </w:rPr>
        <w:lastRenderedPageBreak/>
        <w:t>The median housing value</w:t>
      </w:r>
      <w:r w:rsidR="00FA3F23">
        <w:rPr>
          <w:rFonts w:ascii="Times New Roman" w:hAnsi="Times New Roman" w:cs="Times New Roman"/>
          <w:bCs/>
          <w:iCs/>
          <w:sz w:val="24"/>
          <w:szCs w:val="24"/>
        </w:rPr>
        <w:t xml:space="preserve"> </w:t>
      </w:r>
      <w:r w:rsidRPr="004D6B86">
        <w:rPr>
          <w:rFonts w:ascii="Times New Roman" w:hAnsi="Times New Roman" w:cs="Times New Roman"/>
          <w:bCs/>
          <w:iCs/>
          <w:sz w:val="24"/>
          <w:szCs w:val="24"/>
        </w:rPr>
        <w:t>is $</w:t>
      </w:r>
      <w:r>
        <w:rPr>
          <w:rFonts w:ascii="Times New Roman" w:hAnsi="Times New Roman" w:cs="Times New Roman"/>
          <w:bCs/>
          <w:iCs/>
          <w:sz w:val="24"/>
          <w:szCs w:val="24"/>
        </w:rPr>
        <w:t>258,088</w:t>
      </w:r>
      <w:r w:rsidR="00C516DF">
        <w:rPr>
          <w:rFonts w:ascii="Times New Roman" w:hAnsi="Times New Roman" w:cs="Times New Roman"/>
          <w:bCs/>
          <w:iCs/>
          <w:sz w:val="24"/>
          <w:szCs w:val="24"/>
        </w:rPr>
        <w:t>,</w:t>
      </w:r>
      <w:r w:rsidRPr="004D6B86">
        <w:rPr>
          <w:rFonts w:ascii="Times New Roman" w:hAnsi="Times New Roman" w:cs="Times New Roman"/>
          <w:bCs/>
          <w:iCs/>
          <w:sz w:val="24"/>
          <w:szCs w:val="24"/>
        </w:rPr>
        <w:t xml:space="preserve"> and</w:t>
      </w:r>
      <w:r w:rsidR="00530B36">
        <w:rPr>
          <w:rFonts w:ascii="Times New Roman" w:hAnsi="Times New Roman" w:cs="Times New Roman"/>
          <w:bCs/>
          <w:iCs/>
          <w:sz w:val="24"/>
          <w:szCs w:val="24"/>
        </w:rPr>
        <w:t xml:space="preserve"> the median family income is </w:t>
      </w:r>
      <w:r w:rsidRPr="004D6B86">
        <w:rPr>
          <w:rFonts w:ascii="Times New Roman" w:hAnsi="Times New Roman" w:cs="Times New Roman"/>
          <w:bCs/>
          <w:iCs/>
          <w:sz w:val="24"/>
          <w:szCs w:val="24"/>
        </w:rPr>
        <w:t>$73,950 in the Providence, RI-MA MSA.</w:t>
      </w:r>
      <w:r>
        <w:rPr>
          <w:rFonts w:ascii="Times New Roman" w:hAnsi="Times New Roman" w:cs="Times New Roman"/>
          <w:bCs/>
          <w:iCs/>
          <w:sz w:val="24"/>
          <w:szCs w:val="24"/>
        </w:rPr>
        <w:t xml:space="preserve">  In addition, approximately 9.9</w:t>
      </w:r>
      <w:r w:rsidRPr="004D6B86">
        <w:rPr>
          <w:rFonts w:ascii="Times New Roman" w:hAnsi="Times New Roman" w:cs="Times New Roman"/>
          <w:bCs/>
          <w:iCs/>
          <w:sz w:val="24"/>
          <w:szCs w:val="24"/>
        </w:rPr>
        <w:t xml:space="preserve"> percent of families are below poverty level, which is a subset of the low-income level category.  Families in this category </w:t>
      </w:r>
      <w:r w:rsidR="00C516DF">
        <w:rPr>
          <w:rFonts w:ascii="Times New Roman" w:hAnsi="Times New Roman" w:cs="Times New Roman"/>
          <w:bCs/>
          <w:iCs/>
          <w:sz w:val="24"/>
          <w:szCs w:val="24"/>
        </w:rPr>
        <w:t xml:space="preserve">generally </w:t>
      </w:r>
      <w:r w:rsidRPr="004D6B86">
        <w:rPr>
          <w:rFonts w:ascii="Times New Roman" w:hAnsi="Times New Roman" w:cs="Times New Roman"/>
          <w:bCs/>
          <w:iCs/>
          <w:sz w:val="24"/>
          <w:szCs w:val="24"/>
        </w:rPr>
        <w:t>face</w:t>
      </w:r>
      <w:r w:rsidR="00EC6228">
        <w:rPr>
          <w:rFonts w:ascii="Times New Roman" w:hAnsi="Times New Roman" w:cs="Times New Roman"/>
          <w:bCs/>
          <w:iCs/>
          <w:sz w:val="24"/>
          <w:szCs w:val="24"/>
        </w:rPr>
        <w:t xml:space="preserve"> </w:t>
      </w:r>
      <w:r w:rsidRPr="004D6B86">
        <w:rPr>
          <w:rFonts w:ascii="Times New Roman" w:hAnsi="Times New Roman" w:cs="Times New Roman"/>
          <w:bCs/>
          <w:iCs/>
          <w:sz w:val="24"/>
          <w:szCs w:val="24"/>
        </w:rPr>
        <w:t xml:space="preserve">financial hardship and likely </w:t>
      </w:r>
      <w:r w:rsidR="00C516DF">
        <w:rPr>
          <w:rFonts w:ascii="Times New Roman" w:hAnsi="Times New Roman" w:cs="Times New Roman"/>
          <w:bCs/>
          <w:iCs/>
          <w:sz w:val="24"/>
          <w:szCs w:val="24"/>
        </w:rPr>
        <w:t>have</w:t>
      </w:r>
      <w:r w:rsidRPr="004D6B86">
        <w:rPr>
          <w:rFonts w:ascii="Times New Roman" w:hAnsi="Times New Roman" w:cs="Times New Roman"/>
          <w:bCs/>
          <w:iCs/>
          <w:sz w:val="24"/>
          <w:szCs w:val="24"/>
        </w:rPr>
        <w:t xml:space="preserve"> challenges qualifying for traditional residential loans for homes </w:t>
      </w:r>
      <w:r w:rsidR="00C516DF">
        <w:rPr>
          <w:rFonts w:ascii="Times New Roman" w:hAnsi="Times New Roman" w:cs="Times New Roman"/>
          <w:bCs/>
          <w:iCs/>
          <w:sz w:val="24"/>
          <w:szCs w:val="24"/>
        </w:rPr>
        <w:t xml:space="preserve">considering the </w:t>
      </w:r>
      <w:r w:rsidRPr="004D6B86">
        <w:rPr>
          <w:rFonts w:ascii="Times New Roman" w:hAnsi="Times New Roman" w:cs="Times New Roman"/>
          <w:bCs/>
          <w:iCs/>
          <w:sz w:val="24"/>
          <w:szCs w:val="24"/>
        </w:rPr>
        <w:t>median housing value of $</w:t>
      </w:r>
      <w:r>
        <w:rPr>
          <w:rFonts w:ascii="Times New Roman" w:hAnsi="Times New Roman" w:cs="Times New Roman"/>
          <w:bCs/>
          <w:iCs/>
          <w:sz w:val="24"/>
          <w:szCs w:val="24"/>
        </w:rPr>
        <w:t>258,088</w:t>
      </w:r>
      <w:r w:rsidRPr="004D6B86">
        <w:rPr>
          <w:rFonts w:ascii="Times New Roman" w:hAnsi="Times New Roman" w:cs="Times New Roman"/>
          <w:bCs/>
          <w:iCs/>
          <w:sz w:val="24"/>
          <w:szCs w:val="24"/>
        </w:rPr>
        <w:t xml:space="preserve">.  </w:t>
      </w:r>
      <w:r w:rsidRPr="004D6B86">
        <w:rPr>
          <w:rFonts w:ascii="Times New Roman" w:hAnsi="Times New Roman" w:cs="Times New Roman"/>
          <w:sz w:val="24"/>
          <w:szCs w:val="24"/>
        </w:rPr>
        <w:t xml:space="preserve">Additionally, low-income geographies contain only </w:t>
      </w:r>
      <w:r>
        <w:rPr>
          <w:rFonts w:ascii="Times New Roman" w:hAnsi="Times New Roman" w:cs="Times New Roman"/>
          <w:sz w:val="24"/>
          <w:szCs w:val="24"/>
        </w:rPr>
        <w:t xml:space="preserve">4.3 </w:t>
      </w:r>
      <w:r w:rsidR="00F60AA4">
        <w:rPr>
          <w:rFonts w:ascii="Times New Roman" w:hAnsi="Times New Roman" w:cs="Times New Roman"/>
          <w:sz w:val="24"/>
          <w:szCs w:val="24"/>
        </w:rPr>
        <w:t>percent of the area’</w:t>
      </w:r>
      <w:r w:rsidRPr="004D6B86">
        <w:rPr>
          <w:rFonts w:ascii="Times New Roman" w:hAnsi="Times New Roman" w:cs="Times New Roman"/>
          <w:sz w:val="24"/>
          <w:szCs w:val="24"/>
        </w:rPr>
        <w:t>s owner-occupied housing units, limit</w:t>
      </w:r>
      <w:r w:rsidR="00F60AA4">
        <w:rPr>
          <w:rFonts w:ascii="Times New Roman" w:hAnsi="Times New Roman" w:cs="Times New Roman"/>
          <w:sz w:val="24"/>
          <w:szCs w:val="24"/>
        </w:rPr>
        <w:t>ing lender</w:t>
      </w:r>
      <w:r w:rsidRPr="004D6B86">
        <w:rPr>
          <w:rFonts w:ascii="Times New Roman" w:hAnsi="Times New Roman" w:cs="Times New Roman"/>
          <w:sz w:val="24"/>
          <w:szCs w:val="24"/>
        </w:rPr>
        <w:t xml:space="preserve"> opportunities to make home mortgage loans in these geographies.  </w:t>
      </w:r>
      <w:r w:rsidRPr="004D6B86">
        <w:rPr>
          <w:rFonts w:ascii="Times New Roman" w:hAnsi="Times New Roman" w:cs="Times New Roman"/>
          <w:bCs/>
          <w:iCs/>
          <w:sz w:val="24"/>
          <w:szCs w:val="24"/>
        </w:rPr>
        <w:t>The</w:t>
      </w:r>
      <w:r w:rsidR="00F60AA4">
        <w:rPr>
          <w:rFonts w:ascii="Times New Roman" w:hAnsi="Times New Roman" w:cs="Times New Roman"/>
          <w:bCs/>
          <w:iCs/>
          <w:sz w:val="24"/>
          <w:szCs w:val="24"/>
        </w:rPr>
        <w:t xml:space="preserve"> following table shows median family income ranges</w:t>
      </w:r>
      <w:r w:rsidRPr="004D6B86">
        <w:rPr>
          <w:rFonts w:ascii="Times New Roman" w:hAnsi="Times New Roman" w:cs="Times New Roman"/>
          <w:bCs/>
          <w:iCs/>
          <w:sz w:val="24"/>
          <w:szCs w:val="24"/>
        </w:rPr>
        <w:t>.</w:t>
      </w:r>
    </w:p>
    <w:p w14:paraId="3FEB6296" w14:textId="77777777" w:rsidR="00324944" w:rsidRDefault="00324944" w:rsidP="00324944">
      <w:pPr>
        <w:widowControl w:val="0"/>
        <w:tabs>
          <w:tab w:val="left" w:pos="1080"/>
        </w:tabs>
        <w:spacing w:after="0" w:line="240" w:lineRule="auto"/>
        <w:ind w:right="-360"/>
        <w:rPr>
          <w:rFonts w:ascii="Times New Roman" w:hAnsi="Times New Roman" w:cs="Times New Roman"/>
          <w:bCs/>
          <w:iCs/>
          <w:color w:val="000000"/>
          <w:sz w:val="24"/>
          <w:szCs w:val="24"/>
        </w:rPr>
      </w:pPr>
    </w:p>
    <w:tbl>
      <w:tblPr>
        <w:tblW w:w="0" w:type="auto"/>
        <w:tblCellMar>
          <w:left w:w="0" w:type="dxa"/>
          <w:right w:w="0" w:type="dxa"/>
        </w:tblCellMar>
        <w:tblLook w:val="0000" w:firstRow="0" w:lastRow="0" w:firstColumn="0" w:lastColumn="0" w:noHBand="0" w:noVBand="0"/>
      </w:tblPr>
      <w:tblGrid>
        <w:gridCol w:w="2610"/>
        <w:gridCol w:w="1356"/>
        <w:gridCol w:w="2100"/>
        <w:gridCol w:w="2195"/>
        <w:gridCol w:w="1369"/>
      </w:tblGrid>
      <w:tr w:rsidR="00324944" w14:paraId="48691D62" w14:textId="77777777" w:rsidTr="00530B36">
        <w:trPr>
          <w:trHeight w:val="282"/>
        </w:trPr>
        <w:tc>
          <w:tcPr>
            <w:tcW w:w="9630"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4431DFF2" w14:textId="77777777" w:rsidR="00324944" w:rsidRDefault="00324944" w:rsidP="00530B36">
            <w:pPr>
              <w:spacing w:after="0"/>
              <w:jc w:val="center"/>
            </w:pPr>
            <w:r>
              <w:rPr>
                <w:rFonts w:ascii="Times New Roman" w:eastAsia="Times New Roman" w:hAnsi="Times New Roman"/>
                <w:b/>
                <w:color w:val="000000"/>
                <w:sz w:val="20"/>
              </w:rPr>
              <w:t>Median Family Income Ranges</w:t>
            </w:r>
          </w:p>
        </w:tc>
      </w:tr>
      <w:tr w:rsidR="00324944" w14:paraId="56534437" w14:textId="77777777" w:rsidTr="00530B36">
        <w:trPr>
          <w:trHeight w:val="426"/>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99039C" w14:textId="77777777" w:rsidR="00324944" w:rsidRDefault="00324944" w:rsidP="00530B36">
            <w:pPr>
              <w:spacing w:after="0"/>
            </w:pPr>
            <w:r>
              <w:rPr>
                <w:rFonts w:ascii="Times New Roman" w:eastAsia="Times New Roman" w:hAnsi="Times New Roman"/>
                <w:b/>
                <w:color w:val="000000"/>
                <w:sz w:val="20"/>
              </w:rPr>
              <w:t>Median Family Incomes</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2C2455" w14:textId="77777777" w:rsidR="00324944" w:rsidRDefault="00324944" w:rsidP="00530B36">
            <w:pPr>
              <w:spacing w:after="0"/>
              <w:jc w:val="center"/>
            </w:pPr>
            <w:r>
              <w:rPr>
                <w:rFonts w:ascii="Times New Roman" w:eastAsia="Times New Roman" w:hAnsi="Times New Roman"/>
                <w:b/>
                <w:color w:val="000000"/>
                <w:sz w:val="20"/>
              </w:rPr>
              <w:t>Low</w:t>
            </w:r>
            <w:r>
              <w:rPr>
                <w:rFonts w:ascii="Times New Roman" w:eastAsia="Times New Roman" w:hAnsi="Times New Roman"/>
                <w:b/>
                <w:color w:val="000000"/>
                <w:sz w:val="20"/>
              </w:rPr>
              <w:br/>
              <w:t xml:space="preserve"> &lt;50% </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7A8E3E" w14:textId="77777777" w:rsidR="00324944" w:rsidRDefault="00324944" w:rsidP="00530B36">
            <w:pPr>
              <w:spacing w:after="0"/>
              <w:jc w:val="center"/>
            </w:pPr>
            <w:r>
              <w:rPr>
                <w:rFonts w:ascii="Times New Roman" w:eastAsia="Times New Roman" w:hAnsi="Times New Roman"/>
                <w:b/>
                <w:color w:val="000000"/>
                <w:sz w:val="20"/>
              </w:rPr>
              <w:t>Moderate</w:t>
            </w:r>
            <w:r>
              <w:rPr>
                <w:rFonts w:ascii="Times New Roman" w:eastAsia="Times New Roman" w:hAnsi="Times New Roman"/>
                <w:b/>
                <w:color w:val="000000"/>
                <w:sz w:val="20"/>
              </w:rPr>
              <w:br/>
              <w:t>50% to &lt;80%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AFD7A8" w14:textId="77777777" w:rsidR="00324944" w:rsidRDefault="00324944" w:rsidP="00530B36">
            <w:pPr>
              <w:spacing w:after="0"/>
              <w:jc w:val="center"/>
            </w:pPr>
            <w:r>
              <w:rPr>
                <w:rFonts w:ascii="Times New Roman" w:eastAsia="Times New Roman" w:hAnsi="Times New Roman"/>
                <w:b/>
                <w:color w:val="000000"/>
                <w:sz w:val="20"/>
              </w:rPr>
              <w:t>Middle</w:t>
            </w:r>
            <w:r>
              <w:rPr>
                <w:rFonts w:ascii="Times New Roman" w:eastAsia="Times New Roman" w:hAnsi="Times New Roman"/>
                <w:b/>
                <w:color w:val="000000"/>
                <w:sz w:val="20"/>
              </w:rPr>
              <w:br/>
              <w:t>80% to &lt;120%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F140E4" w14:textId="77777777" w:rsidR="00324944" w:rsidRDefault="00324944" w:rsidP="00530B36">
            <w:pPr>
              <w:spacing w:after="0"/>
              <w:jc w:val="center"/>
            </w:pPr>
            <w:r>
              <w:rPr>
                <w:rFonts w:ascii="Times New Roman" w:eastAsia="Times New Roman" w:hAnsi="Times New Roman"/>
                <w:b/>
                <w:color w:val="000000"/>
                <w:sz w:val="20"/>
              </w:rPr>
              <w:t>Upper</w:t>
            </w:r>
            <w:r>
              <w:rPr>
                <w:rFonts w:ascii="Times New Roman" w:eastAsia="Times New Roman" w:hAnsi="Times New Roman"/>
                <w:b/>
                <w:color w:val="000000"/>
                <w:sz w:val="20"/>
              </w:rPr>
              <w:br/>
              <w:t>≥120%</w:t>
            </w:r>
          </w:p>
        </w:tc>
      </w:tr>
      <w:tr w:rsidR="00324944" w14:paraId="13D63ACB" w14:textId="77777777" w:rsidTr="00530B36">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6CE691" w14:textId="77777777" w:rsidR="00324944" w:rsidRDefault="00324944" w:rsidP="00530B36">
            <w:pPr>
              <w:spacing w:after="0"/>
              <w:jc w:val="center"/>
            </w:pPr>
            <w:r>
              <w:rPr>
                <w:rFonts w:ascii="Times New Roman" w:eastAsia="Times New Roman" w:hAnsi="Times New Roman"/>
                <w:b/>
                <w:color w:val="000000"/>
                <w:sz w:val="20"/>
              </w:rPr>
              <w:t>Providence-Warwick, RI-MA MSA Median Family Income (39300)</w:t>
            </w:r>
          </w:p>
        </w:tc>
      </w:tr>
      <w:tr w:rsidR="00324944" w14:paraId="7C9ED92D" w14:textId="77777777" w:rsidTr="00530B36">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9A49BA" w14:textId="77777777" w:rsidR="00324944" w:rsidRDefault="00324944" w:rsidP="00530B36">
            <w:pPr>
              <w:spacing w:after="0"/>
            </w:pPr>
            <w:r>
              <w:rPr>
                <w:rFonts w:ascii="Times New Roman" w:eastAsia="Times New Roman" w:hAnsi="Times New Roman"/>
                <w:color w:val="000000"/>
                <w:sz w:val="20"/>
              </w:rPr>
              <w:t>2017 ($74,500)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B1F16" w14:textId="77777777" w:rsidR="00324944" w:rsidRDefault="00324944" w:rsidP="00530B36">
            <w:pPr>
              <w:spacing w:after="0"/>
              <w:jc w:val="center"/>
            </w:pPr>
            <w:r>
              <w:rPr>
                <w:rFonts w:ascii="Times New Roman" w:eastAsia="Times New Roman" w:hAnsi="Times New Roman"/>
                <w:color w:val="000000"/>
                <w:sz w:val="20"/>
              </w:rPr>
              <w:t>&lt;$37,250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B489E0" w14:textId="77777777" w:rsidR="00324944" w:rsidRDefault="00324944" w:rsidP="00530B36">
            <w:pPr>
              <w:spacing w:after="0"/>
              <w:jc w:val="center"/>
            </w:pPr>
            <w:r>
              <w:rPr>
                <w:rFonts w:ascii="Times New Roman" w:eastAsia="Times New Roman" w:hAnsi="Times New Roman"/>
                <w:color w:val="000000"/>
                <w:sz w:val="20"/>
              </w:rPr>
              <w:t>$37,250 to &lt;$59,600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1A2C04" w14:textId="77777777" w:rsidR="00324944" w:rsidRDefault="00324944" w:rsidP="00530B36">
            <w:pPr>
              <w:spacing w:after="0"/>
              <w:jc w:val="center"/>
            </w:pPr>
            <w:r>
              <w:rPr>
                <w:rFonts w:ascii="Times New Roman" w:eastAsia="Times New Roman" w:hAnsi="Times New Roman"/>
                <w:color w:val="000000"/>
                <w:sz w:val="20"/>
              </w:rPr>
              <w:t>$59,600 to &lt;$89,400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786E6" w14:textId="77777777" w:rsidR="00324944" w:rsidRDefault="00324944" w:rsidP="00530B36">
            <w:pPr>
              <w:spacing w:after="0"/>
              <w:jc w:val="center"/>
            </w:pPr>
            <w:r>
              <w:rPr>
                <w:rFonts w:ascii="Times New Roman" w:eastAsia="Times New Roman" w:hAnsi="Times New Roman"/>
                <w:color w:val="000000"/>
                <w:sz w:val="20"/>
              </w:rPr>
              <w:t>≥$89,400</w:t>
            </w:r>
          </w:p>
        </w:tc>
      </w:tr>
      <w:tr w:rsidR="00324944" w14:paraId="024A8A8B" w14:textId="77777777" w:rsidTr="00530B36">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FE9951" w14:textId="77777777" w:rsidR="00324944" w:rsidRDefault="00324944" w:rsidP="00530B36">
            <w:pPr>
              <w:spacing w:after="0"/>
            </w:pPr>
            <w:r>
              <w:rPr>
                <w:rFonts w:ascii="Times New Roman" w:eastAsia="Times New Roman" w:hAnsi="Times New Roman"/>
                <w:color w:val="000000"/>
                <w:sz w:val="20"/>
              </w:rPr>
              <w:t>2018 ($80,600)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CAFEF" w14:textId="77777777" w:rsidR="00324944" w:rsidRDefault="00324944" w:rsidP="00530B36">
            <w:pPr>
              <w:spacing w:after="0"/>
              <w:jc w:val="center"/>
            </w:pPr>
            <w:r>
              <w:rPr>
                <w:rFonts w:ascii="Times New Roman" w:eastAsia="Times New Roman" w:hAnsi="Times New Roman"/>
                <w:color w:val="000000"/>
                <w:sz w:val="20"/>
              </w:rPr>
              <w:t>&lt;$40,300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6593D" w14:textId="77777777" w:rsidR="00324944" w:rsidRDefault="00324944" w:rsidP="00530B36">
            <w:pPr>
              <w:spacing w:after="0"/>
              <w:jc w:val="center"/>
            </w:pPr>
            <w:r>
              <w:rPr>
                <w:rFonts w:ascii="Times New Roman" w:eastAsia="Times New Roman" w:hAnsi="Times New Roman"/>
                <w:color w:val="000000"/>
                <w:sz w:val="20"/>
              </w:rPr>
              <w:t>$40,300 to &lt;$64,480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A44D7" w14:textId="77777777" w:rsidR="00324944" w:rsidRDefault="00324944" w:rsidP="00530B36">
            <w:pPr>
              <w:spacing w:after="0"/>
              <w:jc w:val="center"/>
            </w:pPr>
            <w:r>
              <w:rPr>
                <w:rFonts w:ascii="Times New Roman" w:eastAsia="Times New Roman" w:hAnsi="Times New Roman"/>
                <w:color w:val="000000"/>
                <w:sz w:val="20"/>
              </w:rPr>
              <w:t>$64,480 to &lt;$96,720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FB11D" w14:textId="77777777" w:rsidR="00324944" w:rsidRDefault="00324944" w:rsidP="00530B36">
            <w:pPr>
              <w:spacing w:after="0"/>
              <w:jc w:val="center"/>
            </w:pPr>
            <w:r>
              <w:rPr>
                <w:rFonts w:ascii="Times New Roman" w:eastAsia="Times New Roman" w:hAnsi="Times New Roman"/>
                <w:color w:val="000000"/>
                <w:sz w:val="20"/>
              </w:rPr>
              <w:t>≥$96,720</w:t>
            </w:r>
          </w:p>
        </w:tc>
      </w:tr>
      <w:tr w:rsidR="00324944" w14:paraId="4C183BD2" w14:textId="77777777" w:rsidTr="00530B36">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B1A448" w14:textId="77777777" w:rsidR="00324944" w:rsidRDefault="00324944" w:rsidP="00530B36">
            <w:pPr>
              <w:spacing w:after="0"/>
            </w:pPr>
            <w:r>
              <w:rPr>
                <w:rFonts w:ascii="Times New Roman" w:eastAsia="Times New Roman" w:hAnsi="Times New Roman"/>
                <w:color w:val="000000"/>
                <w:sz w:val="20"/>
              </w:rPr>
              <w:t>2019 ($85,100)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F810F6" w14:textId="77777777" w:rsidR="00324944" w:rsidRDefault="00324944" w:rsidP="00530B36">
            <w:pPr>
              <w:spacing w:after="0"/>
              <w:jc w:val="center"/>
            </w:pPr>
            <w:r>
              <w:rPr>
                <w:rFonts w:ascii="Times New Roman" w:eastAsia="Times New Roman" w:hAnsi="Times New Roman"/>
                <w:color w:val="000000"/>
                <w:sz w:val="20"/>
              </w:rPr>
              <w:t>&lt;$42,550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F7DAE" w14:textId="77777777" w:rsidR="00324944" w:rsidRDefault="00324944" w:rsidP="00530B36">
            <w:pPr>
              <w:spacing w:after="0"/>
              <w:jc w:val="center"/>
            </w:pPr>
            <w:r>
              <w:rPr>
                <w:rFonts w:ascii="Times New Roman" w:eastAsia="Times New Roman" w:hAnsi="Times New Roman"/>
                <w:color w:val="000000"/>
                <w:sz w:val="20"/>
              </w:rPr>
              <w:t>$42,550 to &lt;$68,080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584E1" w14:textId="77777777" w:rsidR="00324944" w:rsidRDefault="00324944" w:rsidP="00530B36">
            <w:pPr>
              <w:spacing w:after="0"/>
              <w:jc w:val="center"/>
            </w:pPr>
            <w:r>
              <w:rPr>
                <w:rFonts w:ascii="Times New Roman" w:eastAsia="Times New Roman" w:hAnsi="Times New Roman"/>
                <w:color w:val="000000"/>
                <w:sz w:val="20"/>
              </w:rPr>
              <w:t>$68,080 to &lt;$102,120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79190" w14:textId="77777777" w:rsidR="00324944" w:rsidRDefault="00324944" w:rsidP="00530B36">
            <w:pPr>
              <w:spacing w:after="0"/>
              <w:jc w:val="center"/>
            </w:pPr>
            <w:r>
              <w:rPr>
                <w:rFonts w:ascii="Times New Roman" w:eastAsia="Times New Roman" w:hAnsi="Times New Roman"/>
                <w:color w:val="000000"/>
                <w:sz w:val="20"/>
              </w:rPr>
              <w:t>≥$102,120</w:t>
            </w:r>
          </w:p>
        </w:tc>
      </w:tr>
      <w:tr w:rsidR="00324944" w14:paraId="35D5E1B2" w14:textId="77777777" w:rsidTr="00F60AA4">
        <w:trPr>
          <w:trHeight w:val="15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BC087" w14:textId="77777777" w:rsidR="00324944" w:rsidRDefault="00324944" w:rsidP="00530B36">
            <w:pPr>
              <w:spacing w:after="0"/>
            </w:pPr>
            <w:r>
              <w:rPr>
                <w:rFonts w:ascii="Times New Roman" w:eastAsia="Times New Roman" w:hAnsi="Times New Roman"/>
                <w:i/>
                <w:color w:val="000000"/>
                <w:sz w:val="16"/>
              </w:rPr>
              <w:t>Source: FFIEC</w:t>
            </w:r>
          </w:p>
        </w:tc>
      </w:tr>
    </w:tbl>
    <w:p w14:paraId="69403DA8" w14:textId="77777777" w:rsidR="00324944" w:rsidRDefault="00324944" w:rsidP="00324944">
      <w:pPr>
        <w:spacing w:after="0" w:line="240" w:lineRule="auto"/>
        <w:rPr>
          <w:rFonts w:ascii="Times New Roman" w:hAnsi="Times New Roman" w:cs="Times New Roman"/>
          <w:bCs/>
          <w:iCs/>
          <w:sz w:val="24"/>
          <w:szCs w:val="24"/>
        </w:rPr>
      </w:pPr>
    </w:p>
    <w:p w14:paraId="608A479F" w14:textId="2D84C975" w:rsidR="006F50C8" w:rsidRPr="00651BA3" w:rsidRDefault="006F50C8" w:rsidP="006F50C8">
      <w:pPr>
        <w:widowControl w:val="0"/>
        <w:tabs>
          <w:tab w:val="left" w:pos="1080"/>
        </w:tabs>
        <w:spacing w:after="0" w:line="240" w:lineRule="auto"/>
        <w:ind w:right="-360"/>
        <w:rPr>
          <w:rFonts w:ascii="Times New Roman" w:hAnsi="Times New Roman" w:cs="Times New Roman"/>
          <w:bCs/>
          <w:iCs/>
          <w:color w:val="000000"/>
          <w:sz w:val="24"/>
          <w:szCs w:val="24"/>
        </w:rPr>
      </w:pPr>
      <w:r w:rsidRPr="007D55DB">
        <w:rPr>
          <w:rFonts w:ascii="Times New Roman" w:hAnsi="Times New Roman" w:cs="Times New Roman"/>
          <w:bCs/>
          <w:iCs/>
          <w:color w:val="000000"/>
          <w:sz w:val="24"/>
          <w:szCs w:val="24"/>
        </w:rPr>
        <w:t xml:space="preserve">The assessment area includes both affluent and </w:t>
      </w:r>
      <w:r w:rsidR="00F60AA4">
        <w:rPr>
          <w:rFonts w:ascii="Times New Roman" w:hAnsi="Times New Roman" w:cs="Times New Roman"/>
          <w:bCs/>
          <w:iCs/>
          <w:color w:val="000000"/>
          <w:sz w:val="24"/>
          <w:szCs w:val="24"/>
        </w:rPr>
        <w:t>low-income communities</w:t>
      </w:r>
      <w:r w:rsidRPr="007D55DB">
        <w:rPr>
          <w:rFonts w:ascii="Times New Roman" w:hAnsi="Times New Roman" w:cs="Times New Roman"/>
          <w:bCs/>
          <w:iCs/>
          <w:color w:val="000000"/>
          <w:sz w:val="24"/>
          <w:szCs w:val="24"/>
        </w:rPr>
        <w:t xml:space="preserve">.  Therefore, demographic information for the whole assessment area does not reflect </w:t>
      </w:r>
      <w:r w:rsidR="00C516DF">
        <w:rPr>
          <w:rFonts w:ascii="Times New Roman" w:hAnsi="Times New Roman" w:cs="Times New Roman"/>
          <w:bCs/>
          <w:iCs/>
          <w:color w:val="000000"/>
          <w:sz w:val="24"/>
          <w:szCs w:val="24"/>
        </w:rPr>
        <w:t xml:space="preserve">the </w:t>
      </w:r>
      <w:r w:rsidRPr="007D55DB">
        <w:rPr>
          <w:rFonts w:ascii="Times New Roman" w:hAnsi="Times New Roman" w:cs="Times New Roman"/>
          <w:bCs/>
          <w:iCs/>
          <w:color w:val="000000"/>
          <w:sz w:val="24"/>
          <w:szCs w:val="24"/>
        </w:rPr>
        <w:t xml:space="preserve">significant economic and demographic </w:t>
      </w:r>
      <w:r w:rsidRPr="00651BA3">
        <w:rPr>
          <w:rFonts w:ascii="Times New Roman" w:hAnsi="Times New Roman" w:cs="Times New Roman"/>
          <w:bCs/>
          <w:iCs/>
          <w:color w:val="000000"/>
          <w:sz w:val="24"/>
          <w:szCs w:val="24"/>
        </w:rPr>
        <w:t xml:space="preserve">disparities </w:t>
      </w:r>
      <w:r w:rsidR="00F60AA4">
        <w:rPr>
          <w:rFonts w:ascii="Times New Roman" w:hAnsi="Times New Roman" w:cs="Times New Roman"/>
          <w:bCs/>
          <w:iCs/>
          <w:color w:val="000000"/>
          <w:sz w:val="24"/>
          <w:szCs w:val="24"/>
        </w:rPr>
        <w:t>across</w:t>
      </w:r>
      <w:r w:rsidRPr="00651BA3">
        <w:rPr>
          <w:rFonts w:ascii="Times New Roman" w:hAnsi="Times New Roman" w:cs="Times New Roman"/>
          <w:bCs/>
          <w:iCs/>
          <w:color w:val="000000"/>
          <w:sz w:val="24"/>
          <w:szCs w:val="24"/>
        </w:rPr>
        <w:t xml:space="preserve"> assessment area</w:t>
      </w:r>
      <w:r w:rsidR="00F60AA4">
        <w:rPr>
          <w:rFonts w:ascii="Times New Roman" w:hAnsi="Times New Roman" w:cs="Times New Roman"/>
          <w:bCs/>
          <w:iCs/>
          <w:color w:val="000000"/>
          <w:sz w:val="24"/>
          <w:szCs w:val="24"/>
        </w:rPr>
        <w:t xml:space="preserve"> communities</w:t>
      </w:r>
      <w:r w:rsidRPr="00651BA3">
        <w:rPr>
          <w:rFonts w:ascii="Times New Roman" w:hAnsi="Times New Roman" w:cs="Times New Roman"/>
          <w:bCs/>
          <w:iCs/>
          <w:color w:val="000000"/>
          <w:sz w:val="24"/>
          <w:szCs w:val="24"/>
        </w:rPr>
        <w:t xml:space="preserve">.  Affluent areas include suburban towns such as </w:t>
      </w:r>
      <w:r w:rsidR="00530B36" w:rsidRPr="00651BA3">
        <w:rPr>
          <w:rFonts w:ascii="Times New Roman" w:hAnsi="Times New Roman" w:cs="Times New Roman"/>
          <w:bCs/>
          <w:iCs/>
          <w:color w:val="000000"/>
          <w:sz w:val="24"/>
          <w:szCs w:val="24"/>
        </w:rPr>
        <w:t xml:space="preserve">Westerly, which contains </w:t>
      </w:r>
      <w:r w:rsidRPr="00651BA3">
        <w:rPr>
          <w:rFonts w:ascii="Times New Roman" w:hAnsi="Times New Roman" w:cs="Times New Roman"/>
          <w:bCs/>
          <w:iCs/>
          <w:color w:val="000000"/>
          <w:sz w:val="24"/>
          <w:szCs w:val="24"/>
        </w:rPr>
        <w:t xml:space="preserve">upper-income census tracts with median incomes of </w:t>
      </w:r>
      <w:r w:rsidR="00651BA3" w:rsidRPr="00651BA3">
        <w:rPr>
          <w:rFonts w:ascii="Times New Roman" w:hAnsi="Times New Roman" w:cs="Times New Roman"/>
          <w:bCs/>
          <w:iCs/>
          <w:color w:val="000000"/>
          <w:sz w:val="24"/>
          <w:szCs w:val="24"/>
        </w:rPr>
        <w:t>over</w:t>
      </w:r>
      <w:r w:rsidRPr="00651BA3">
        <w:rPr>
          <w:rFonts w:ascii="Times New Roman" w:hAnsi="Times New Roman" w:cs="Times New Roman"/>
          <w:bCs/>
          <w:iCs/>
          <w:color w:val="000000"/>
          <w:sz w:val="24"/>
          <w:szCs w:val="24"/>
        </w:rPr>
        <w:t xml:space="preserve"> $</w:t>
      </w:r>
      <w:r w:rsidR="00651BA3" w:rsidRPr="00651BA3">
        <w:rPr>
          <w:rFonts w:ascii="Times New Roman" w:hAnsi="Times New Roman" w:cs="Times New Roman"/>
          <w:bCs/>
          <w:iCs/>
          <w:color w:val="000000"/>
          <w:sz w:val="24"/>
          <w:szCs w:val="24"/>
        </w:rPr>
        <w:t>1</w:t>
      </w:r>
      <w:r w:rsidRPr="00651BA3">
        <w:rPr>
          <w:rFonts w:ascii="Times New Roman" w:hAnsi="Times New Roman" w:cs="Times New Roman"/>
          <w:bCs/>
          <w:iCs/>
          <w:color w:val="000000"/>
          <w:sz w:val="24"/>
          <w:szCs w:val="24"/>
        </w:rPr>
        <w:t>00,000</w:t>
      </w:r>
      <w:r w:rsidR="00651BA3" w:rsidRPr="00651BA3">
        <w:rPr>
          <w:rFonts w:ascii="Times New Roman" w:hAnsi="Times New Roman" w:cs="Times New Roman"/>
          <w:bCs/>
          <w:iCs/>
          <w:color w:val="000000"/>
          <w:sz w:val="24"/>
          <w:szCs w:val="24"/>
        </w:rPr>
        <w:t xml:space="preserve"> and median housing values as high as $640,000</w:t>
      </w:r>
      <w:r w:rsidRPr="00651BA3">
        <w:rPr>
          <w:rFonts w:ascii="Times New Roman" w:hAnsi="Times New Roman" w:cs="Times New Roman"/>
          <w:bCs/>
          <w:iCs/>
          <w:color w:val="000000"/>
          <w:sz w:val="24"/>
          <w:szCs w:val="24"/>
        </w:rPr>
        <w:t xml:space="preserve">.  In comparison, </w:t>
      </w:r>
      <w:r w:rsidRPr="00651BA3">
        <w:rPr>
          <w:rFonts w:ascii="Times New Roman" w:hAnsi="Times New Roman" w:cs="Times New Roman"/>
          <w:sz w:val="24"/>
          <w:szCs w:val="24"/>
        </w:rPr>
        <w:t xml:space="preserve">Fall River, New Bedford, and </w:t>
      </w:r>
      <w:r w:rsidRPr="00651BA3">
        <w:rPr>
          <w:rFonts w:ascii="Times New Roman" w:hAnsi="Times New Roman" w:cs="Times New Roman"/>
          <w:bCs/>
          <w:iCs/>
          <w:color w:val="000000"/>
          <w:sz w:val="24"/>
          <w:szCs w:val="24"/>
        </w:rPr>
        <w:t>Central Falls</w:t>
      </w:r>
      <w:r w:rsidR="00F60AA4">
        <w:rPr>
          <w:rFonts w:ascii="Times New Roman" w:hAnsi="Times New Roman" w:cs="Times New Roman"/>
          <w:bCs/>
          <w:iCs/>
          <w:color w:val="000000"/>
          <w:sz w:val="24"/>
          <w:szCs w:val="24"/>
        </w:rPr>
        <w:t xml:space="preserve"> </w:t>
      </w:r>
      <w:r w:rsidRPr="00651BA3">
        <w:rPr>
          <w:rFonts w:ascii="Times New Roman" w:hAnsi="Times New Roman" w:cs="Times New Roman"/>
          <w:bCs/>
          <w:iCs/>
          <w:color w:val="000000"/>
          <w:sz w:val="24"/>
          <w:szCs w:val="24"/>
        </w:rPr>
        <w:t xml:space="preserve">are urban </w:t>
      </w:r>
      <w:r w:rsidR="00F60AA4">
        <w:rPr>
          <w:rFonts w:ascii="Times New Roman" w:hAnsi="Times New Roman" w:cs="Times New Roman"/>
          <w:bCs/>
          <w:iCs/>
          <w:color w:val="000000"/>
          <w:sz w:val="24"/>
          <w:szCs w:val="24"/>
        </w:rPr>
        <w:t xml:space="preserve">communities with many </w:t>
      </w:r>
      <w:r w:rsidRPr="00651BA3">
        <w:rPr>
          <w:rFonts w:ascii="Times New Roman" w:hAnsi="Times New Roman" w:cs="Times New Roman"/>
          <w:bCs/>
          <w:iCs/>
          <w:color w:val="000000"/>
          <w:sz w:val="24"/>
          <w:szCs w:val="24"/>
        </w:rPr>
        <w:t>low- and moderate-income census tracts.</w:t>
      </w:r>
    </w:p>
    <w:p w14:paraId="33EA86B0" w14:textId="77777777" w:rsidR="006F50C8" w:rsidRPr="00651BA3" w:rsidRDefault="006F50C8" w:rsidP="006F50C8">
      <w:pPr>
        <w:widowControl w:val="0"/>
        <w:tabs>
          <w:tab w:val="left" w:pos="1080"/>
        </w:tabs>
        <w:spacing w:after="0" w:line="240" w:lineRule="auto"/>
        <w:ind w:right="-360"/>
        <w:rPr>
          <w:rFonts w:ascii="Times New Roman" w:hAnsi="Times New Roman" w:cs="Times New Roman"/>
          <w:bCs/>
          <w:iCs/>
          <w:color w:val="000000"/>
          <w:sz w:val="24"/>
          <w:szCs w:val="24"/>
        </w:rPr>
      </w:pPr>
    </w:p>
    <w:p w14:paraId="473DE54E" w14:textId="439A9A65" w:rsidR="006F50C8" w:rsidRPr="00651BA3" w:rsidRDefault="006F50C8" w:rsidP="006F50C8">
      <w:pPr>
        <w:widowControl w:val="0"/>
        <w:tabs>
          <w:tab w:val="left" w:pos="1080"/>
        </w:tabs>
        <w:spacing w:after="0" w:line="240" w:lineRule="auto"/>
        <w:ind w:right="-360"/>
        <w:rPr>
          <w:rFonts w:ascii="Times New Roman" w:hAnsi="Times New Roman" w:cs="Times New Roman"/>
          <w:bCs/>
          <w:iCs/>
          <w:color w:val="000000"/>
          <w:sz w:val="24"/>
          <w:szCs w:val="24"/>
        </w:rPr>
      </w:pPr>
      <w:r w:rsidRPr="00651BA3">
        <w:rPr>
          <w:rFonts w:ascii="Times New Roman" w:hAnsi="Times New Roman" w:cs="Times New Roman"/>
          <w:bCs/>
          <w:iCs/>
          <w:color w:val="000000"/>
          <w:sz w:val="24"/>
          <w:szCs w:val="24"/>
        </w:rPr>
        <w:t xml:space="preserve">Demographic data for </w:t>
      </w:r>
      <w:r w:rsidR="000F1C6B">
        <w:rPr>
          <w:rFonts w:ascii="Times New Roman" w:hAnsi="Times New Roman" w:cs="Times New Roman"/>
          <w:bCs/>
          <w:iCs/>
          <w:color w:val="000000"/>
          <w:sz w:val="24"/>
          <w:szCs w:val="24"/>
        </w:rPr>
        <w:t>low- and moderate-income geographies</w:t>
      </w:r>
      <w:r w:rsidR="00F60AA4">
        <w:rPr>
          <w:rFonts w:ascii="Times New Roman" w:hAnsi="Times New Roman" w:cs="Times New Roman"/>
          <w:bCs/>
          <w:iCs/>
          <w:color w:val="000000"/>
          <w:sz w:val="24"/>
          <w:szCs w:val="24"/>
        </w:rPr>
        <w:t xml:space="preserve"> indicate</w:t>
      </w:r>
      <w:r w:rsidRPr="00651BA3">
        <w:rPr>
          <w:rFonts w:ascii="Times New Roman" w:hAnsi="Times New Roman" w:cs="Times New Roman"/>
          <w:bCs/>
          <w:iCs/>
          <w:color w:val="000000"/>
          <w:sz w:val="24"/>
          <w:szCs w:val="24"/>
        </w:rPr>
        <w:t xml:space="preserve"> limited opportunities for home mortgage lending.  Specifically, m</w:t>
      </w:r>
      <w:r w:rsidRPr="00651BA3">
        <w:rPr>
          <w:rFonts w:ascii="Times New Roman" w:hAnsi="Times New Roman" w:cs="Times New Roman"/>
          <w:sz w:val="24"/>
          <w:szCs w:val="24"/>
        </w:rPr>
        <w:t>edian housing values are as high as $240,000 and median family income as low a</w:t>
      </w:r>
      <w:r w:rsidR="00F60AA4">
        <w:rPr>
          <w:rFonts w:ascii="Times New Roman" w:hAnsi="Times New Roman" w:cs="Times New Roman"/>
          <w:sz w:val="24"/>
          <w:szCs w:val="24"/>
        </w:rPr>
        <w:t>s $14,000.  Additionally, owner-</w:t>
      </w:r>
      <w:r w:rsidRPr="00651BA3">
        <w:rPr>
          <w:rFonts w:ascii="Times New Roman" w:hAnsi="Times New Roman" w:cs="Times New Roman"/>
          <w:sz w:val="24"/>
          <w:szCs w:val="24"/>
        </w:rPr>
        <w:t xml:space="preserve">occupied units are as low as 5.3 percent of all housing with rental units as high as 80.4 percent, illustrating lack of opportunities for </w:t>
      </w:r>
      <w:r w:rsidR="00F60AA4">
        <w:rPr>
          <w:rFonts w:ascii="Times New Roman" w:hAnsi="Times New Roman" w:cs="Times New Roman"/>
          <w:sz w:val="24"/>
          <w:szCs w:val="24"/>
        </w:rPr>
        <w:t xml:space="preserve">owner-occupied </w:t>
      </w:r>
      <w:r w:rsidRPr="00651BA3">
        <w:rPr>
          <w:rFonts w:ascii="Times New Roman" w:hAnsi="Times New Roman" w:cs="Times New Roman"/>
          <w:sz w:val="24"/>
          <w:szCs w:val="24"/>
        </w:rPr>
        <w:t xml:space="preserve">home mortgage lending.  </w:t>
      </w:r>
      <w:r w:rsidRPr="00651BA3">
        <w:rPr>
          <w:rFonts w:ascii="Times New Roman" w:hAnsi="Times New Roman" w:cs="Times New Roman"/>
          <w:bCs/>
          <w:iCs/>
          <w:color w:val="000000"/>
          <w:sz w:val="24"/>
          <w:szCs w:val="24"/>
        </w:rPr>
        <w:t xml:space="preserve">The high concentration of rental units contrasts significantly with housing demographics for the rest of the assessment area.  Furthermore, poverty levels </w:t>
      </w:r>
      <w:r w:rsidRPr="00651BA3">
        <w:rPr>
          <w:rFonts w:ascii="Times New Roman" w:hAnsi="Times New Roman" w:cs="Times New Roman"/>
          <w:sz w:val="24"/>
          <w:szCs w:val="24"/>
        </w:rPr>
        <w:t>as high as 52.7 percent</w:t>
      </w:r>
      <w:r w:rsidR="00F60AA4">
        <w:rPr>
          <w:rFonts w:ascii="Times New Roman" w:hAnsi="Times New Roman" w:cs="Times New Roman"/>
          <w:sz w:val="24"/>
          <w:szCs w:val="24"/>
        </w:rPr>
        <w:t xml:space="preserve"> in these census tracts</w:t>
      </w:r>
      <w:r w:rsidRPr="00651BA3">
        <w:rPr>
          <w:rFonts w:ascii="Times New Roman" w:hAnsi="Times New Roman" w:cs="Times New Roman"/>
          <w:sz w:val="24"/>
          <w:szCs w:val="24"/>
        </w:rPr>
        <w:t xml:space="preserve"> </w:t>
      </w:r>
      <w:r w:rsidRPr="00651BA3">
        <w:rPr>
          <w:rFonts w:ascii="Times New Roman" w:hAnsi="Times New Roman" w:cs="Times New Roman"/>
          <w:bCs/>
          <w:iCs/>
          <w:color w:val="000000"/>
          <w:sz w:val="24"/>
          <w:szCs w:val="24"/>
        </w:rPr>
        <w:t>indicate limited opportunities for home mortgage lending.</w:t>
      </w:r>
    </w:p>
    <w:p w14:paraId="2C92B33C" w14:textId="77777777" w:rsidR="006F50C8" w:rsidRPr="00651BA3" w:rsidRDefault="006F50C8" w:rsidP="006F50C8">
      <w:pPr>
        <w:autoSpaceDE w:val="0"/>
        <w:autoSpaceDN w:val="0"/>
        <w:adjustRightInd w:val="0"/>
        <w:spacing w:after="0" w:line="240" w:lineRule="auto"/>
        <w:rPr>
          <w:rFonts w:ascii="Times New Roman" w:eastAsia="Times New Roman" w:hAnsi="Times New Roman" w:cs="Times New Roman"/>
          <w:sz w:val="24"/>
          <w:szCs w:val="24"/>
        </w:rPr>
      </w:pPr>
    </w:p>
    <w:p w14:paraId="12F2CCBB" w14:textId="74AF7ADC" w:rsidR="006F50C8" w:rsidRPr="000428CB" w:rsidRDefault="006F50C8" w:rsidP="006F50C8">
      <w:pPr>
        <w:autoSpaceDE w:val="0"/>
        <w:autoSpaceDN w:val="0"/>
        <w:adjustRightInd w:val="0"/>
        <w:spacing w:after="0" w:line="240" w:lineRule="auto"/>
        <w:rPr>
          <w:rFonts w:ascii="Times New Roman" w:hAnsi="Times New Roman" w:cs="Times New Roman"/>
          <w:sz w:val="24"/>
          <w:szCs w:val="24"/>
        </w:rPr>
      </w:pPr>
      <w:r w:rsidRPr="00651BA3">
        <w:rPr>
          <w:rFonts w:ascii="Times New Roman" w:hAnsi="Times New Roman" w:cs="Times New Roman"/>
          <w:color w:val="000000"/>
          <w:sz w:val="24"/>
          <w:szCs w:val="24"/>
        </w:rPr>
        <w:t>The assessment</w:t>
      </w:r>
      <w:r w:rsidRPr="009A3E8D">
        <w:rPr>
          <w:rFonts w:ascii="Times New Roman" w:hAnsi="Times New Roman" w:cs="Times New Roman"/>
          <w:color w:val="000000"/>
          <w:sz w:val="24"/>
          <w:szCs w:val="24"/>
        </w:rPr>
        <w:t xml:space="preserve"> area also </w:t>
      </w:r>
      <w:r>
        <w:rPr>
          <w:rFonts w:ascii="Times New Roman" w:hAnsi="Times New Roman" w:cs="Times New Roman"/>
          <w:color w:val="000000"/>
          <w:sz w:val="24"/>
          <w:szCs w:val="24"/>
        </w:rPr>
        <w:t xml:space="preserve">includes cities such </w:t>
      </w:r>
      <w:r w:rsidR="005A27E3">
        <w:rPr>
          <w:rFonts w:ascii="Times New Roman" w:hAnsi="Times New Roman" w:cs="Times New Roman"/>
          <w:color w:val="000000"/>
          <w:sz w:val="24"/>
          <w:szCs w:val="24"/>
        </w:rPr>
        <w:t>as</w:t>
      </w:r>
      <w:r w:rsidRPr="00F10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Providence</w:t>
      </w:r>
      <w:r w:rsidR="00EC6228">
        <w:rPr>
          <w:rFonts w:ascii="Times New Roman" w:hAnsi="Times New Roman" w:cs="Times New Roman"/>
          <w:color w:val="000000"/>
          <w:sz w:val="24"/>
          <w:szCs w:val="24"/>
        </w:rPr>
        <w:t>,</w:t>
      </w:r>
      <w:r w:rsidRPr="00F10E0A">
        <w:rPr>
          <w:rFonts w:ascii="Times New Roman" w:hAnsi="Times New Roman" w:cs="Times New Roman"/>
          <w:color w:val="000000"/>
          <w:sz w:val="24"/>
          <w:szCs w:val="24"/>
        </w:rPr>
        <w:t xml:space="preserve"> that have diverse and varying demographics</w:t>
      </w:r>
      <w:r>
        <w:rPr>
          <w:rFonts w:ascii="Times New Roman" w:hAnsi="Times New Roman" w:cs="Times New Roman"/>
          <w:color w:val="000000"/>
          <w:sz w:val="24"/>
          <w:szCs w:val="24"/>
        </w:rPr>
        <w:t xml:space="preserve"> within different neighborhoods that </w:t>
      </w:r>
      <w:r w:rsidRPr="0097125F">
        <w:rPr>
          <w:rFonts w:ascii="Times New Roman" w:hAnsi="Times New Roman" w:cs="Times New Roman"/>
          <w:sz w:val="24"/>
          <w:szCs w:val="24"/>
        </w:rPr>
        <w:t>provide insight on the level of opportun</w:t>
      </w:r>
      <w:r>
        <w:rPr>
          <w:rFonts w:ascii="Times New Roman" w:hAnsi="Times New Roman" w:cs="Times New Roman"/>
          <w:sz w:val="24"/>
          <w:szCs w:val="24"/>
        </w:rPr>
        <w:t xml:space="preserve">ity and challenges within the assessment area.  </w:t>
      </w:r>
      <w:r>
        <w:rPr>
          <w:rFonts w:ascii="Times New Roman" w:hAnsi="Times New Roman" w:cs="Times New Roman"/>
          <w:color w:val="000000"/>
          <w:sz w:val="24"/>
          <w:szCs w:val="24"/>
        </w:rPr>
        <w:t xml:space="preserve">Specifically, </w:t>
      </w:r>
      <w:r>
        <w:rPr>
          <w:rFonts w:ascii="Times New Roman" w:hAnsi="Times New Roman" w:cs="Times New Roman"/>
          <w:sz w:val="24"/>
          <w:szCs w:val="24"/>
        </w:rPr>
        <w:t xml:space="preserve">43.6 percent of the Providence population is low-income and 17.0 percent is moderate-income, </w:t>
      </w:r>
      <w:r w:rsidR="00F60AA4">
        <w:rPr>
          <w:rFonts w:ascii="Times New Roman" w:hAnsi="Times New Roman" w:cs="Times New Roman"/>
          <w:sz w:val="24"/>
          <w:szCs w:val="24"/>
        </w:rPr>
        <w:t>with</w:t>
      </w:r>
      <w:r>
        <w:rPr>
          <w:rFonts w:ascii="Times New Roman" w:hAnsi="Times New Roman" w:cs="Times New Roman"/>
          <w:sz w:val="24"/>
          <w:szCs w:val="24"/>
        </w:rPr>
        <w:t xml:space="preserve"> 24.0</w:t>
      </w:r>
      <w:r w:rsidR="00F60AA4">
        <w:rPr>
          <w:rFonts w:ascii="Times New Roman" w:hAnsi="Times New Roman" w:cs="Times New Roman"/>
          <w:sz w:val="24"/>
          <w:szCs w:val="24"/>
        </w:rPr>
        <w:t xml:space="preserve"> percent of</w:t>
      </w:r>
      <w:r>
        <w:rPr>
          <w:rFonts w:ascii="Times New Roman" w:hAnsi="Times New Roman" w:cs="Times New Roman"/>
          <w:sz w:val="24"/>
          <w:szCs w:val="24"/>
        </w:rPr>
        <w:t xml:space="preserve"> families </w:t>
      </w:r>
      <w:r w:rsidR="00F60AA4">
        <w:rPr>
          <w:rFonts w:ascii="Times New Roman" w:hAnsi="Times New Roman" w:cs="Times New Roman"/>
          <w:sz w:val="24"/>
          <w:szCs w:val="24"/>
        </w:rPr>
        <w:t>having incomes</w:t>
      </w:r>
      <w:r>
        <w:rPr>
          <w:rFonts w:ascii="Times New Roman" w:hAnsi="Times New Roman" w:cs="Times New Roman"/>
          <w:sz w:val="24"/>
          <w:szCs w:val="24"/>
        </w:rPr>
        <w:t xml:space="preserve"> below poverty level.  Median </w:t>
      </w:r>
      <w:r w:rsidRPr="00AA24D2">
        <w:rPr>
          <w:rFonts w:ascii="Times New Roman" w:hAnsi="Times New Roman" w:cs="Times New Roman"/>
          <w:sz w:val="24"/>
          <w:szCs w:val="24"/>
        </w:rPr>
        <w:t>housing values vary between approximately</w:t>
      </w:r>
      <w:r w:rsidRPr="0097125F">
        <w:rPr>
          <w:rFonts w:ascii="Times New Roman" w:hAnsi="Times New Roman" w:cs="Times New Roman"/>
          <w:sz w:val="24"/>
          <w:szCs w:val="24"/>
        </w:rPr>
        <w:t xml:space="preserve"> $</w:t>
      </w:r>
      <w:r>
        <w:rPr>
          <w:rFonts w:ascii="Times New Roman" w:hAnsi="Times New Roman" w:cs="Times New Roman"/>
          <w:sz w:val="24"/>
          <w:szCs w:val="24"/>
        </w:rPr>
        <w:t>110,000</w:t>
      </w:r>
      <w:r w:rsidRPr="0097125F">
        <w:rPr>
          <w:rFonts w:ascii="Times New Roman" w:hAnsi="Times New Roman" w:cs="Times New Roman"/>
          <w:sz w:val="24"/>
          <w:szCs w:val="24"/>
        </w:rPr>
        <w:t xml:space="preserve"> and $</w:t>
      </w:r>
      <w:r>
        <w:rPr>
          <w:rFonts w:ascii="Times New Roman" w:hAnsi="Times New Roman" w:cs="Times New Roman"/>
          <w:sz w:val="24"/>
          <w:szCs w:val="24"/>
        </w:rPr>
        <w:t>776,000</w:t>
      </w:r>
      <w:r w:rsidRPr="0097125F">
        <w:rPr>
          <w:rFonts w:ascii="Times New Roman" w:hAnsi="Times New Roman" w:cs="Times New Roman"/>
          <w:sz w:val="24"/>
          <w:szCs w:val="24"/>
        </w:rPr>
        <w:t>, similar to</w:t>
      </w:r>
      <w:r>
        <w:rPr>
          <w:rFonts w:ascii="Times New Roman" w:hAnsi="Times New Roman" w:cs="Times New Roman"/>
          <w:sz w:val="24"/>
          <w:szCs w:val="24"/>
        </w:rPr>
        <w:t xml:space="preserve"> median family</w:t>
      </w:r>
      <w:r w:rsidRPr="0097125F">
        <w:rPr>
          <w:rFonts w:ascii="Times New Roman" w:hAnsi="Times New Roman" w:cs="Times New Roman"/>
          <w:sz w:val="24"/>
          <w:szCs w:val="24"/>
        </w:rPr>
        <w:t xml:space="preserve"> income, </w:t>
      </w:r>
      <w:r w:rsidRPr="0070633D">
        <w:rPr>
          <w:rFonts w:ascii="Times New Roman" w:hAnsi="Times New Roman" w:cs="Times New Roman"/>
          <w:sz w:val="24"/>
          <w:szCs w:val="24"/>
        </w:rPr>
        <w:t xml:space="preserve">which </w:t>
      </w:r>
      <w:r>
        <w:rPr>
          <w:rFonts w:ascii="Times New Roman" w:hAnsi="Times New Roman" w:cs="Times New Roman"/>
          <w:sz w:val="24"/>
          <w:szCs w:val="24"/>
        </w:rPr>
        <w:t>is as high as</w:t>
      </w:r>
      <w:r w:rsidRPr="0070633D">
        <w:rPr>
          <w:rFonts w:ascii="Times New Roman" w:hAnsi="Times New Roman" w:cs="Times New Roman"/>
          <w:sz w:val="24"/>
          <w:szCs w:val="24"/>
        </w:rPr>
        <w:t xml:space="preserve"> $</w:t>
      </w:r>
      <w:r>
        <w:rPr>
          <w:rFonts w:ascii="Times New Roman" w:hAnsi="Times New Roman" w:cs="Times New Roman"/>
          <w:sz w:val="24"/>
          <w:szCs w:val="24"/>
        </w:rPr>
        <w:t xml:space="preserve">184,000 </w:t>
      </w:r>
      <w:r w:rsidRPr="0070633D">
        <w:rPr>
          <w:rFonts w:ascii="Times New Roman" w:hAnsi="Times New Roman" w:cs="Times New Roman"/>
          <w:sz w:val="24"/>
          <w:szCs w:val="24"/>
        </w:rPr>
        <w:t>and as low as $1</w:t>
      </w:r>
      <w:r>
        <w:rPr>
          <w:rFonts w:ascii="Times New Roman" w:hAnsi="Times New Roman" w:cs="Times New Roman"/>
          <w:sz w:val="24"/>
          <w:szCs w:val="24"/>
        </w:rPr>
        <w:t>9</w:t>
      </w:r>
      <w:r w:rsidRPr="0070633D">
        <w:rPr>
          <w:rFonts w:ascii="Times New Roman" w:hAnsi="Times New Roman" w:cs="Times New Roman"/>
          <w:sz w:val="24"/>
          <w:szCs w:val="24"/>
        </w:rPr>
        <w:t xml:space="preserve">,000, with poverty levels </w:t>
      </w:r>
      <w:r w:rsidR="006E49C7">
        <w:rPr>
          <w:rFonts w:ascii="Times New Roman" w:hAnsi="Times New Roman" w:cs="Times New Roman"/>
          <w:sz w:val="24"/>
          <w:szCs w:val="24"/>
        </w:rPr>
        <w:t xml:space="preserve">in some areas </w:t>
      </w:r>
      <w:r w:rsidRPr="0070633D">
        <w:rPr>
          <w:rFonts w:ascii="Times New Roman" w:hAnsi="Times New Roman" w:cs="Times New Roman"/>
          <w:sz w:val="24"/>
          <w:szCs w:val="24"/>
        </w:rPr>
        <w:t xml:space="preserve">as high as </w:t>
      </w:r>
      <w:r>
        <w:rPr>
          <w:rFonts w:ascii="Times New Roman" w:hAnsi="Times New Roman" w:cs="Times New Roman"/>
          <w:sz w:val="24"/>
          <w:szCs w:val="24"/>
        </w:rPr>
        <w:t xml:space="preserve">46.9 </w:t>
      </w:r>
      <w:r w:rsidRPr="0070633D">
        <w:rPr>
          <w:rFonts w:ascii="Times New Roman" w:hAnsi="Times New Roman" w:cs="Times New Roman"/>
          <w:sz w:val="24"/>
          <w:szCs w:val="24"/>
        </w:rPr>
        <w:t>percent.  Percentage</w:t>
      </w:r>
      <w:r w:rsidR="00F60AA4">
        <w:rPr>
          <w:rFonts w:ascii="Times New Roman" w:hAnsi="Times New Roman" w:cs="Times New Roman"/>
          <w:sz w:val="24"/>
          <w:szCs w:val="24"/>
        </w:rPr>
        <w:t>s</w:t>
      </w:r>
      <w:r w:rsidRPr="0070633D">
        <w:rPr>
          <w:rFonts w:ascii="Times New Roman" w:hAnsi="Times New Roman" w:cs="Times New Roman"/>
          <w:sz w:val="24"/>
          <w:szCs w:val="24"/>
        </w:rPr>
        <w:t xml:space="preserve"> of owner</w:t>
      </w:r>
      <w:r w:rsidR="00EE6D83">
        <w:rPr>
          <w:rFonts w:ascii="Times New Roman" w:hAnsi="Times New Roman" w:cs="Times New Roman"/>
          <w:sz w:val="24"/>
          <w:szCs w:val="24"/>
        </w:rPr>
        <w:t>-</w:t>
      </w:r>
      <w:r w:rsidRPr="0097125F">
        <w:rPr>
          <w:rFonts w:ascii="Times New Roman" w:hAnsi="Times New Roman" w:cs="Times New Roman"/>
          <w:sz w:val="24"/>
          <w:szCs w:val="24"/>
        </w:rPr>
        <w:t xml:space="preserve">occupied units compared to rental </w:t>
      </w:r>
      <w:r w:rsidRPr="001E59E2">
        <w:rPr>
          <w:rFonts w:ascii="Times New Roman" w:hAnsi="Times New Roman" w:cs="Times New Roman"/>
          <w:sz w:val="24"/>
          <w:szCs w:val="24"/>
        </w:rPr>
        <w:t xml:space="preserve">units </w:t>
      </w:r>
      <w:r>
        <w:rPr>
          <w:rFonts w:ascii="Times New Roman" w:hAnsi="Times New Roman" w:cs="Times New Roman"/>
          <w:sz w:val="24"/>
          <w:szCs w:val="24"/>
        </w:rPr>
        <w:t>demonstrate the</w:t>
      </w:r>
      <w:r w:rsidRPr="001E59E2">
        <w:rPr>
          <w:rFonts w:ascii="Times New Roman" w:hAnsi="Times New Roman" w:cs="Times New Roman"/>
          <w:sz w:val="24"/>
          <w:szCs w:val="24"/>
        </w:rPr>
        <w:t xml:space="preserve"> lack of ho</w:t>
      </w:r>
      <w:r w:rsidR="00EE6D83">
        <w:rPr>
          <w:rFonts w:ascii="Times New Roman" w:hAnsi="Times New Roman" w:cs="Times New Roman"/>
          <w:sz w:val="24"/>
          <w:szCs w:val="24"/>
        </w:rPr>
        <w:t>meownership</w:t>
      </w:r>
      <w:r w:rsidRPr="001E59E2">
        <w:rPr>
          <w:rFonts w:ascii="Times New Roman" w:hAnsi="Times New Roman" w:cs="Times New Roman"/>
          <w:sz w:val="24"/>
          <w:szCs w:val="24"/>
        </w:rPr>
        <w:t xml:space="preserve"> opportunities in low-income geographies, as owner</w:t>
      </w:r>
      <w:r w:rsidR="00F60AA4">
        <w:rPr>
          <w:rFonts w:ascii="Times New Roman" w:hAnsi="Times New Roman" w:cs="Times New Roman"/>
          <w:sz w:val="24"/>
          <w:szCs w:val="24"/>
        </w:rPr>
        <w:t>-</w:t>
      </w:r>
      <w:r>
        <w:rPr>
          <w:rFonts w:ascii="Times New Roman" w:hAnsi="Times New Roman" w:cs="Times New Roman"/>
          <w:sz w:val="24"/>
          <w:szCs w:val="24"/>
        </w:rPr>
        <w:t>occupied units are as low as 7.0</w:t>
      </w:r>
      <w:r w:rsidRPr="001E59E2">
        <w:rPr>
          <w:rFonts w:ascii="Times New Roman" w:hAnsi="Times New Roman" w:cs="Times New Roman"/>
          <w:sz w:val="24"/>
          <w:szCs w:val="24"/>
        </w:rPr>
        <w:t xml:space="preserve"> percent with rental units </w:t>
      </w:r>
      <w:r>
        <w:rPr>
          <w:rFonts w:ascii="Times New Roman" w:hAnsi="Times New Roman" w:cs="Times New Roman"/>
          <w:sz w:val="24"/>
          <w:szCs w:val="24"/>
        </w:rPr>
        <w:t>as high as</w:t>
      </w:r>
      <w:r w:rsidRPr="001E59E2">
        <w:rPr>
          <w:rFonts w:ascii="Times New Roman" w:hAnsi="Times New Roman" w:cs="Times New Roman"/>
          <w:sz w:val="24"/>
          <w:szCs w:val="24"/>
        </w:rPr>
        <w:t xml:space="preserve"> </w:t>
      </w:r>
      <w:r>
        <w:rPr>
          <w:rFonts w:ascii="Times New Roman" w:hAnsi="Times New Roman" w:cs="Times New Roman"/>
          <w:sz w:val="24"/>
          <w:szCs w:val="24"/>
        </w:rPr>
        <w:t>85.0</w:t>
      </w:r>
      <w:r w:rsidRPr="001E59E2">
        <w:rPr>
          <w:rFonts w:ascii="Times New Roman" w:hAnsi="Times New Roman" w:cs="Times New Roman"/>
          <w:sz w:val="24"/>
          <w:szCs w:val="24"/>
        </w:rPr>
        <w:t xml:space="preserve"> percent </w:t>
      </w:r>
      <w:r>
        <w:rPr>
          <w:rFonts w:ascii="Times New Roman" w:hAnsi="Times New Roman" w:cs="Times New Roman"/>
          <w:sz w:val="24"/>
          <w:szCs w:val="24"/>
        </w:rPr>
        <w:t>within low-income areas</w:t>
      </w:r>
      <w:r w:rsidRPr="001E59E2">
        <w:rPr>
          <w:rFonts w:ascii="Times New Roman" w:hAnsi="Times New Roman" w:cs="Times New Roman"/>
          <w:sz w:val="24"/>
          <w:szCs w:val="24"/>
        </w:rPr>
        <w:t>.</w:t>
      </w:r>
    </w:p>
    <w:p w14:paraId="07A4E3CD" w14:textId="77777777" w:rsidR="006F50C8" w:rsidRDefault="006F50C8" w:rsidP="006F50C8">
      <w:pPr>
        <w:spacing w:after="0" w:line="240" w:lineRule="auto"/>
        <w:rPr>
          <w:rFonts w:ascii="Times New Roman" w:hAnsi="Times New Roman" w:cs="Times New Roman"/>
          <w:bCs/>
          <w:iCs/>
          <w:color w:val="000000"/>
          <w:sz w:val="24"/>
          <w:szCs w:val="24"/>
        </w:rPr>
      </w:pPr>
    </w:p>
    <w:p w14:paraId="5BC3D5FC" w14:textId="79C6E660" w:rsidR="006F50C8" w:rsidRPr="00651BA3" w:rsidRDefault="006F50C8" w:rsidP="006F50C8">
      <w:pPr>
        <w:spacing w:after="0" w:line="240" w:lineRule="auto"/>
        <w:rPr>
          <w:rFonts w:ascii="Times New Roman" w:hAnsi="Times New Roman" w:cs="Times New Roman"/>
          <w:bCs/>
          <w:iCs/>
          <w:sz w:val="24"/>
          <w:szCs w:val="24"/>
        </w:rPr>
      </w:pPr>
      <w:r w:rsidRPr="00651BA3">
        <w:rPr>
          <w:rFonts w:ascii="Times New Roman" w:hAnsi="Times New Roman" w:cs="Times New Roman"/>
          <w:bCs/>
          <w:iCs/>
          <w:sz w:val="24"/>
          <w:szCs w:val="24"/>
        </w:rPr>
        <w:lastRenderedPageBreak/>
        <w:t xml:space="preserve">According to 2019 D&amp;B data, </w:t>
      </w:r>
      <w:r w:rsidR="00651BA3" w:rsidRPr="00651BA3">
        <w:rPr>
          <w:rFonts w:ascii="Times New Roman" w:hAnsi="Times New Roman" w:cs="Times New Roman"/>
          <w:bCs/>
          <w:iCs/>
          <w:sz w:val="24"/>
          <w:szCs w:val="24"/>
        </w:rPr>
        <w:t>125,609 non-farm businesses and 3,378</w:t>
      </w:r>
      <w:r w:rsidRPr="00651BA3">
        <w:rPr>
          <w:rFonts w:ascii="Times New Roman" w:hAnsi="Times New Roman" w:cs="Times New Roman"/>
          <w:bCs/>
          <w:iCs/>
          <w:sz w:val="24"/>
          <w:szCs w:val="24"/>
        </w:rPr>
        <w:t xml:space="preserve"> farms are located in the assessment area.  Of those, </w:t>
      </w:r>
      <w:r w:rsidR="00651BA3" w:rsidRPr="00651BA3">
        <w:rPr>
          <w:rFonts w:ascii="Times New Roman" w:hAnsi="Times New Roman" w:cs="Times New Roman"/>
          <w:bCs/>
          <w:iCs/>
          <w:sz w:val="24"/>
          <w:szCs w:val="24"/>
        </w:rPr>
        <w:t>111,472 or 86.4</w:t>
      </w:r>
      <w:r w:rsidRPr="00651BA3">
        <w:rPr>
          <w:rFonts w:ascii="Times New Roman" w:hAnsi="Times New Roman" w:cs="Times New Roman"/>
          <w:bCs/>
          <w:iCs/>
          <w:sz w:val="24"/>
          <w:szCs w:val="24"/>
        </w:rPr>
        <w:t xml:space="preserve"> percent have gross annual revenues of $1 million or less.  Service industries represent the largest portion of businesses at </w:t>
      </w:r>
      <w:r w:rsidR="00651BA3" w:rsidRPr="00651BA3">
        <w:rPr>
          <w:rFonts w:ascii="Times New Roman" w:hAnsi="Times New Roman" w:cs="Times New Roman"/>
          <w:bCs/>
          <w:iCs/>
          <w:sz w:val="24"/>
          <w:szCs w:val="24"/>
        </w:rPr>
        <w:t>37.3</w:t>
      </w:r>
      <w:r w:rsidRPr="00651BA3">
        <w:rPr>
          <w:rFonts w:ascii="Times New Roman" w:hAnsi="Times New Roman" w:cs="Times New Roman"/>
          <w:bCs/>
          <w:iCs/>
          <w:sz w:val="24"/>
          <w:szCs w:val="24"/>
        </w:rPr>
        <w:t xml:space="preserve"> percent, followed by retail trade at </w:t>
      </w:r>
      <w:r w:rsidR="00651BA3" w:rsidRPr="00651BA3">
        <w:rPr>
          <w:rFonts w:ascii="Times New Roman" w:hAnsi="Times New Roman" w:cs="Times New Roman"/>
          <w:bCs/>
          <w:iCs/>
          <w:sz w:val="24"/>
          <w:szCs w:val="24"/>
        </w:rPr>
        <w:t>13.0</w:t>
      </w:r>
      <w:r w:rsidRPr="00651BA3">
        <w:rPr>
          <w:rFonts w:ascii="Times New Roman" w:hAnsi="Times New Roman" w:cs="Times New Roman"/>
          <w:bCs/>
          <w:iCs/>
          <w:sz w:val="24"/>
          <w:szCs w:val="24"/>
        </w:rPr>
        <w:t xml:space="preserve"> percent and finance/insurance businesses at </w:t>
      </w:r>
      <w:r w:rsidR="00651BA3" w:rsidRPr="00651BA3">
        <w:rPr>
          <w:rFonts w:ascii="Times New Roman" w:hAnsi="Times New Roman" w:cs="Times New Roman"/>
          <w:bCs/>
          <w:iCs/>
          <w:sz w:val="24"/>
          <w:szCs w:val="24"/>
        </w:rPr>
        <w:t>9.8</w:t>
      </w:r>
      <w:r w:rsidRPr="00651BA3">
        <w:rPr>
          <w:rFonts w:ascii="Times New Roman" w:hAnsi="Times New Roman" w:cs="Times New Roman"/>
          <w:bCs/>
          <w:iCs/>
          <w:sz w:val="24"/>
          <w:szCs w:val="24"/>
        </w:rPr>
        <w:t xml:space="preserve"> percent.  Additionally, </w:t>
      </w:r>
      <w:r w:rsidR="00651BA3" w:rsidRPr="00651BA3">
        <w:rPr>
          <w:rFonts w:ascii="Times New Roman" w:hAnsi="Times New Roman" w:cs="Times New Roman"/>
          <w:bCs/>
          <w:iCs/>
          <w:sz w:val="24"/>
          <w:szCs w:val="24"/>
        </w:rPr>
        <w:t>62.8</w:t>
      </w:r>
      <w:r w:rsidRPr="00651BA3">
        <w:rPr>
          <w:rFonts w:ascii="Times New Roman" w:hAnsi="Times New Roman" w:cs="Times New Roman"/>
          <w:bCs/>
          <w:iCs/>
          <w:sz w:val="24"/>
          <w:szCs w:val="24"/>
        </w:rPr>
        <w:t xml:space="preserve"> percent of business</w:t>
      </w:r>
      <w:r w:rsidR="00EE6D83">
        <w:rPr>
          <w:rFonts w:ascii="Times New Roman" w:hAnsi="Times New Roman" w:cs="Times New Roman"/>
          <w:bCs/>
          <w:iCs/>
          <w:sz w:val="24"/>
          <w:szCs w:val="24"/>
        </w:rPr>
        <w:t>es</w:t>
      </w:r>
      <w:r w:rsidRPr="00651BA3">
        <w:rPr>
          <w:rFonts w:ascii="Times New Roman" w:hAnsi="Times New Roman" w:cs="Times New Roman"/>
          <w:bCs/>
          <w:iCs/>
          <w:sz w:val="24"/>
          <w:szCs w:val="24"/>
        </w:rPr>
        <w:t xml:space="preserve"> operate with four employees or less.</w:t>
      </w:r>
    </w:p>
    <w:p w14:paraId="02F50C54" w14:textId="77777777" w:rsidR="006F50C8" w:rsidRPr="00651BA3" w:rsidRDefault="006F50C8" w:rsidP="006F50C8">
      <w:pPr>
        <w:spacing w:after="0" w:line="240" w:lineRule="auto"/>
        <w:rPr>
          <w:rFonts w:ascii="Times New Roman" w:hAnsi="Times New Roman" w:cs="Times New Roman"/>
          <w:bCs/>
          <w:iCs/>
          <w:sz w:val="24"/>
          <w:szCs w:val="24"/>
        </w:rPr>
      </w:pPr>
    </w:p>
    <w:p w14:paraId="0DE69596" w14:textId="21DEDDAF" w:rsidR="005A27E3" w:rsidRDefault="006F50C8" w:rsidP="006F50C8">
      <w:pPr>
        <w:spacing w:line="240" w:lineRule="auto"/>
        <w:rPr>
          <w:rFonts w:ascii="Times New Roman" w:hAnsi="Times New Roman" w:cs="Times New Roman"/>
          <w:bCs/>
          <w:iCs/>
          <w:sz w:val="24"/>
          <w:szCs w:val="24"/>
        </w:rPr>
      </w:pPr>
      <w:r w:rsidRPr="00651BA3">
        <w:rPr>
          <w:rFonts w:ascii="Times New Roman" w:hAnsi="Times New Roman" w:cs="Times New Roman"/>
          <w:sz w:val="24"/>
          <w:szCs w:val="24"/>
        </w:rPr>
        <w:t xml:space="preserve">According to the U.S Bureau of Labor Statistics, unemployment rates in the </w:t>
      </w:r>
      <w:r w:rsidR="00F60AA4">
        <w:rPr>
          <w:rFonts w:ascii="Times New Roman" w:eastAsia="Times New Roman" w:hAnsi="Times New Roman" w:cs="Times New Roman"/>
          <w:color w:val="000000"/>
          <w:sz w:val="24"/>
          <w:szCs w:val="24"/>
        </w:rPr>
        <w:t>Providence, RI-MA MSA</w:t>
      </w:r>
      <w:r w:rsidR="00F60AA4" w:rsidRPr="00651BA3">
        <w:rPr>
          <w:rFonts w:ascii="Times New Roman" w:hAnsi="Times New Roman" w:cs="Times New Roman"/>
          <w:sz w:val="24"/>
          <w:szCs w:val="24"/>
        </w:rPr>
        <w:t xml:space="preserve"> </w:t>
      </w:r>
      <w:r w:rsidRPr="00651BA3">
        <w:rPr>
          <w:rFonts w:ascii="Times New Roman" w:hAnsi="Times New Roman" w:cs="Times New Roman"/>
          <w:bCs/>
          <w:iCs/>
          <w:sz w:val="24"/>
          <w:szCs w:val="24"/>
        </w:rPr>
        <w:t>increased since the previous evaluation</w:t>
      </w:r>
      <w:r w:rsidRPr="00C16D8F">
        <w:rPr>
          <w:rFonts w:ascii="Times New Roman" w:hAnsi="Times New Roman" w:cs="Times New Roman"/>
          <w:bCs/>
          <w:iCs/>
          <w:sz w:val="24"/>
          <w:szCs w:val="24"/>
        </w:rPr>
        <w:t>, as illustrated in the following table</w:t>
      </w:r>
      <w:r>
        <w:rPr>
          <w:rFonts w:ascii="Times New Roman" w:hAnsi="Times New Roman" w:cs="Times New Roman"/>
          <w:bCs/>
          <w:iCs/>
          <w:sz w:val="24"/>
          <w:szCs w:val="24"/>
        </w:rPr>
        <w:t>.</w:t>
      </w:r>
      <w:r w:rsidRPr="008308B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According to Moody’s Analytics, the MSA </w:t>
      </w:r>
      <w:r w:rsidRPr="008631D2">
        <w:rPr>
          <w:rFonts w:ascii="Times New Roman" w:hAnsi="Times New Roman" w:cs="Times New Roman"/>
          <w:bCs/>
          <w:iCs/>
          <w:sz w:val="24"/>
          <w:szCs w:val="24"/>
        </w:rPr>
        <w:t>experienced a sharp increase in unemployment due to the o</w:t>
      </w:r>
      <w:r>
        <w:rPr>
          <w:rFonts w:ascii="Times New Roman" w:hAnsi="Times New Roman" w:cs="Times New Roman"/>
          <w:bCs/>
          <w:iCs/>
          <w:sz w:val="24"/>
          <w:szCs w:val="24"/>
        </w:rPr>
        <w:t xml:space="preserve">nset of the COVID-19 pandemic.  </w:t>
      </w:r>
      <w:r w:rsidR="00EE6D83">
        <w:rPr>
          <w:rFonts w:ascii="Times New Roman" w:hAnsi="Times New Roman" w:cs="Times New Roman"/>
          <w:bCs/>
          <w:iCs/>
          <w:sz w:val="24"/>
          <w:szCs w:val="24"/>
        </w:rPr>
        <w:t>T</w:t>
      </w:r>
      <w:r>
        <w:rPr>
          <w:rFonts w:ascii="Times New Roman" w:hAnsi="Times New Roman" w:cs="Times New Roman"/>
          <w:bCs/>
          <w:iCs/>
          <w:sz w:val="24"/>
          <w:szCs w:val="24"/>
        </w:rPr>
        <w:t xml:space="preserve">he highest point </w:t>
      </w:r>
      <w:r w:rsidR="00EE6D83">
        <w:rPr>
          <w:rFonts w:ascii="Times New Roman" w:hAnsi="Times New Roman" w:cs="Times New Roman"/>
          <w:bCs/>
          <w:iCs/>
          <w:sz w:val="24"/>
          <w:szCs w:val="24"/>
        </w:rPr>
        <w:t xml:space="preserve">was </w:t>
      </w:r>
      <w:r>
        <w:rPr>
          <w:rFonts w:ascii="Times New Roman" w:hAnsi="Times New Roman" w:cs="Times New Roman"/>
          <w:bCs/>
          <w:iCs/>
          <w:sz w:val="24"/>
          <w:szCs w:val="24"/>
        </w:rPr>
        <w:t>in June 2020,</w:t>
      </w:r>
      <w:r w:rsidRPr="008631D2">
        <w:rPr>
          <w:rFonts w:ascii="Times New Roman" w:hAnsi="Times New Roman" w:cs="Times New Roman"/>
          <w:bCs/>
          <w:iCs/>
          <w:sz w:val="24"/>
          <w:szCs w:val="24"/>
        </w:rPr>
        <w:t xml:space="preserve"> </w:t>
      </w:r>
      <w:r w:rsidR="00EE6D83">
        <w:rPr>
          <w:rFonts w:ascii="Times New Roman" w:hAnsi="Times New Roman" w:cs="Times New Roman"/>
          <w:bCs/>
          <w:iCs/>
          <w:sz w:val="24"/>
          <w:szCs w:val="24"/>
        </w:rPr>
        <w:t xml:space="preserve">when the monthly </w:t>
      </w:r>
      <w:r w:rsidRPr="008631D2">
        <w:rPr>
          <w:rFonts w:ascii="Times New Roman" w:hAnsi="Times New Roman" w:cs="Times New Roman"/>
          <w:bCs/>
          <w:iCs/>
          <w:sz w:val="24"/>
          <w:szCs w:val="24"/>
        </w:rPr>
        <w:t xml:space="preserve">unemployment </w:t>
      </w:r>
      <w:r w:rsidR="00EE6D83">
        <w:rPr>
          <w:rFonts w:ascii="Times New Roman" w:hAnsi="Times New Roman" w:cs="Times New Roman"/>
          <w:bCs/>
          <w:iCs/>
          <w:sz w:val="24"/>
          <w:szCs w:val="24"/>
        </w:rPr>
        <w:t xml:space="preserve">rate </w:t>
      </w:r>
      <w:r w:rsidR="00F60AA4">
        <w:rPr>
          <w:rFonts w:ascii="Times New Roman" w:hAnsi="Times New Roman" w:cs="Times New Roman"/>
          <w:bCs/>
          <w:iCs/>
          <w:sz w:val="24"/>
          <w:szCs w:val="24"/>
        </w:rPr>
        <w:t>in the Providence</w:t>
      </w:r>
      <w:r w:rsidR="005A27E3">
        <w:rPr>
          <w:rFonts w:ascii="Times New Roman" w:hAnsi="Times New Roman" w:cs="Times New Roman"/>
          <w:bCs/>
          <w:iCs/>
          <w:sz w:val="24"/>
          <w:szCs w:val="24"/>
        </w:rPr>
        <w:t xml:space="preserve">, RI-MA MSA was </w:t>
      </w:r>
      <w:r w:rsidRPr="008631D2">
        <w:rPr>
          <w:rFonts w:ascii="Times New Roman" w:hAnsi="Times New Roman" w:cs="Times New Roman"/>
          <w:bCs/>
          <w:iCs/>
          <w:sz w:val="24"/>
          <w:szCs w:val="24"/>
        </w:rPr>
        <w:t>17.2 percent</w:t>
      </w:r>
      <w:r w:rsidR="006D22FB">
        <w:rPr>
          <w:rFonts w:ascii="Times New Roman" w:hAnsi="Times New Roman" w:cs="Times New Roman"/>
          <w:bCs/>
          <w:iCs/>
          <w:sz w:val="24"/>
          <w:szCs w:val="24"/>
        </w:rPr>
        <w:t xml:space="preserve">.  The following table illustrates </w:t>
      </w:r>
      <w:r w:rsidR="00EE6D83">
        <w:rPr>
          <w:rFonts w:ascii="Times New Roman" w:hAnsi="Times New Roman" w:cs="Times New Roman"/>
          <w:bCs/>
          <w:iCs/>
          <w:sz w:val="24"/>
          <w:szCs w:val="24"/>
        </w:rPr>
        <w:t xml:space="preserve">annual </w:t>
      </w:r>
      <w:r w:rsidR="006D22FB">
        <w:rPr>
          <w:rFonts w:ascii="Times New Roman" w:hAnsi="Times New Roman" w:cs="Times New Roman"/>
          <w:bCs/>
          <w:iCs/>
          <w:sz w:val="24"/>
          <w:szCs w:val="24"/>
        </w:rPr>
        <w:t>unemployment rates by location throughout the evaluation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710"/>
        <w:gridCol w:w="1686"/>
        <w:gridCol w:w="1817"/>
      </w:tblGrid>
      <w:tr w:rsidR="006F50C8" w:rsidRPr="00533B17" w14:paraId="00BEE841" w14:textId="77777777" w:rsidTr="00816F69">
        <w:trPr>
          <w:trHeight w:val="360"/>
          <w:tblHeader/>
          <w:jc w:val="center"/>
        </w:trPr>
        <w:tc>
          <w:tcPr>
            <w:tcW w:w="8588" w:type="dxa"/>
            <w:gridSpan w:val="4"/>
            <w:shd w:val="clear" w:color="auto" w:fill="auto"/>
            <w:vAlign w:val="center"/>
          </w:tcPr>
          <w:p w14:paraId="62054F45" w14:textId="77777777" w:rsidR="006F50C8" w:rsidRPr="00C16D8F" w:rsidRDefault="006F50C8" w:rsidP="00530B36">
            <w:pPr>
              <w:keepNext/>
              <w:widowControl w:val="0"/>
              <w:spacing w:after="0"/>
              <w:jc w:val="center"/>
              <w:rPr>
                <w:rFonts w:ascii="Times New Roman" w:hAnsi="Times New Roman" w:cs="Times New Roman"/>
                <w:sz w:val="20"/>
                <w:szCs w:val="20"/>
              </w:rPr>
            </w:pPr>
            <w:r w:rsidRPr="00C16D8F">
              <w:rPr>
                <w:rFonts w:ascii="Times New Roman" w:hAnsi="Times New Roman" w:cs="Times New Roman"/>
                <w:b/>
                <w:sz w:val="20"/>
                <w:szCs w:val="20"/>
              </w:rPr>
              <w:t>Unemployment Rates</w:t>
            </w:r>
          </w:p>
        </w:tc>
      </w:tr>
      <w:tr w:rsidR="006F50C8" w:rsidRPr="00533B17" w14:paraId="5C63C4C8" w14:textId="77777777" w:rsidTr="00816F69">
        <w:trPr>
          <w:trHeight w:val="288"/>
          <w:jc w:val="center"/>
        </w:trPr>
        <w:tc>
          <w:tcPr>
            <w:tcW w:w="3375" w:type="dxa"/>
            <w:vMerge w:val="restart"/>
            <w:shd w:val="clear" w:color="auto" w:fill="auto"/>
            <w:vAlign w:val="center"/>
          </w:tcPr>
          <w:p w14:paraId="36E0C574" w14:textId="77777777" w:rsidR="006F50C8" w:rsidRPr="00C16D8F" w:rsidRDefault="006F50C8" w:rsidP="00530B36">
            <w:pPr>
              <w:keepNext/>
              <w:widowControl w:val="0"/>
              <w:spacing w:after="0"/>
              <w:rPr>
                <w:rFonts w:ascii="Times New Roman" w:hAnsi="Times New Roman" w:cs="Times New Roman"/>
                <w:b/>
                <w:sz w:val="20"/>
                <w:szCs w:val="20"/>
              </w:rPr>
            </w:pPr>
            <w:r w:rsidRPr="00C16D8F">
              <w:rPr>
                <w:rFonts w:ascii="Times New Roman" w:hAnsi="Times New Roman" w:cs="Times New Roman"/>
                <w:b/>
                <w:sz w:val="20"/>
                <w:szCs w:val="20"/>
              </w:rPr>
              <w:t>Location</w:t>
            </w:r>
          </w:p>
        </w:tc>
        <w:tc>
          <w:tcPr>
            <w:tcW w:w="1710" w:type="dxa"/>
            <w:shd w:val="clear" w:color="auto" w:fill="auto"/>
          </w:tcPr>
          <w:p w14:paraId="6803C3B0" w14:textId="77777777" w:rsidR="006F50C8" w:rsidRPr="00C16D8F" w:rsidRDefault="006F50C8" w:rsidP="00530B36">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2018</w:t>
            </w:r>
          </w:p>
        </w:tc>
        <w:tc>
          <w:tcPr>
            <w:tcW w:w="1686" w:type="dxa"/>
            <w:shd w:val="clear" w:color="auto" w:fill="auto"/>
          </w:tcPr>
          <w:p w14:paraId="7377265A" w14:textId="77777777" w:rsidR="006F50C8" w:rsidRPr="00C16D8F" w:rsidRDefault="006F50C8" w:rsidP="00530B36">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2019</w:t>
            </w:r>
          </w:p>
        </w:tc>
        <w:tc>
          <w:tcPr>
            <w:tcW w:w="1817" w:type="dxa"/>
            <w:shd w:val="clear" w:color="auto" w:fill="auto"/>
          </w:tcPr>
          <w:p w14:paraId="3D074EB8" w14:textId="77777777" w:rsidR="006F50C8" w:rsidRPr="00C16D8F" w:rsidRDefault="006F50C8" w:rsidP="00530B36">
            <w:pPr>
              <w:keepNext/>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2020</w:t>
            </w:r>
          </w:p>
        </w:tc>
      </w:tr>
      <w:tr w:rsidR="006F50C8" w:rsidRPr="00533B17" w14:paraId="4417704A" w14:textId="77777777" w:rsidTr="00816F69">
        <w:trPr>
          <w:trHeight w:val="288"/>
          <w:jc w:val="center"/>
        </w:trPr>
        <w:tc>
          <w:tcPr>
            <w:tcW w:w="3375" w:type="dxa"/>
            <w:vMerge/>
            <w:shd w:val="clear" w:color="auto" w:fill="auto"/>
          </w:tcPr>
          <w:p w14:paraId="7A81019F" w14:textId="77777777" w:rsidR="006F50C8" w:rsidRPr="00C16D8F" w:rsidRDefault="006F50C8" w:rsidP="00530B36">
            <w:pPr>
              <w:keepNext/>
              <w:widowControl w:val="0"/>
              <w:spacing w:after="0"/>
              <w:rPr>
                <w:rFonts w:ascii="Times New Roman" w:hAnsi="Times New Roman" w:cs="Times New Roman"/>
                <w:sz w:val="20"/>
                <w:szCs w:val="20"/>
              </w:rPr>
            </w:pPr>
          </w:p>
        </w:tc>
        <w:tc>
          <w:tcPr>
            <w:tcW w:w="1710" w:type="dxa"/>
            <w:shd w:val="clear" w:color="auto" w:fill="auto"/>
          </w:tcPr>
          <w:p w14:paraId="42283037" w14:textId="77777777" w:rsidR="006F50C8" w:rsidRPr="00C16D8F" w:rsidRDefault="006F50C8" w:rsidP="00530B36">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c>
          <w:tcPr>
            <w:tcW w:w="1686" w:type="dxa"/>
            <w:shd w:val="clear" w:color="auto" w:fill="auto"/>
          </w:tcPr>
          <w:p w14:paraId="1ACE86C6" w14:textId="77777777" w:rsidR="006F50C8" w:rsidRPr="00C16D8F" w:rsidRDefault="006F50C8" w:rsidP="00530B36">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c>
          <w:tcPr>
            <w:tcW w:w="1817" w:type="dxa"/>
            <w:shd w:val="clear" w:color="auto" w:fill="auto"/>
          </w:tcPr>
          <w:p w14:paraId="001516C7" w14:textId="77777777" w:rsidR="006F50C8" w:rsidRPr="00C16D8F" w:rsidRDefault="006F50C8" w:rsidP="00530B36">
            <w:pPr>
              <w:keepNext/>
              <w:widowControl w:val="0"/>
              <w:spacing w:after="0"/>
              <w:jc w:val="center"/>
              <w:rPr>
                <w:rFonts w:ascii="Times New Roman" w:hAnsi="Times New Roman" w:cs="Times New Roman"/>
                <w:b/>
                <w:sz w:val="20"/>
                <w:szCs w:val="20"/>
              </w:rPr>
            </w:pPr>
            <w:r w:rsidRPr="00C16D8F">
              <w:rPr>
                <w:rFonts w:ascii="Times New Roman" w:hAnsi="Times New Roman" w:cs="Times New Roman"/>
                <w:b/>
                <w:sz w:val="20"/>
                <w:szCs w:val="20"/>
              </w:rPr>
              <w:t>%</w:t>
            </w:r>
          </w:p>
        </w:tc>
      </w:tr>
      <w:tr w:rsidR="006F50C8" w:rsidRPr="00533B17" w14:paraId="1130AF9E" w14:textId="77777777" w:rsidTr="00816F69">
        <w:trPr>
          <w:trHeight w:val="288"/>
          <w:jc w:val="center"/>
        </w:trPr>
        <w:tc>
          <w:tcPr>
            <w:tcW w:w="3375" w:type="dxa"/>
            <w:shd w:val="clear" w:color="auto" w:fill="auto"/>
          </w:tcPr>
          <w:p w14:paraId="523B8FDD" w14:textId="77777777" w:rsidR="006F50C8" w:rsidRPr="00B64AB1" w:rsidRDefault="006F50C8" w:rsidP="00530B36">
            <w:pPr>
              <w:keepNext/>
              <w:widowControl w:val="0"/>
              <w:spacing w:after="0"/>
              <w:rPr>
                <w:rFonts w:ascii="Times New Roman" w:hAnsi="Times New Roman" w:cs="Times New Roman"/>
                <w:sz w:val="20"/>
                <w:szCs w:val="20"/>
              </w:rPr>
            </w:pPr>
            <w:r w:rsidRPr="00B64AB1">
              <w:rPr>
                <w:rFonts w:ascii="Times New Roman" w:hAnsi="Times New Roman" w:cs="Times New Roman"/>
                <w:sz w:val="20"/>
                <w:szCs w:val="20"/>
              </w:rPr>
              <w:t>Providence-Warwick, RI-MA MSA</w:t>
            </w:r>
          </w:p>
        </w:tc>
        <w:tc>
          <w:tcPr>
            <w:tcW w:w="1710" w:type="dxa"/>
            <w:shd w:val="clear" w:color="auto" w:fill="auto"/>
          </w:tcPr>
          <w:p w14:paraId="520AF59D" w14:textId="77777777" w:rsidR="006F50C8" w:rsidRPr="00B64AB1" w:rsidRDefault="006F50C8" w:rsidP="00530B36">
            <w:pPr>
              <w:keepNext/>
              <w:widowControl w:val="0"/>
              <w:spacing w:after="0"/>
              <w:jc w:val="center"/>
              <w:rPr>
                <w:rFonts w:ascii="Times New Roman" w:hAnsi="Times New Roman" w:cs="Times New Roman"/>
                <w:sz w:val="20"/>
                <w:szCs w:val="20"/>
              </w:rPr>
            </w:pPr>
            <w:r w:rsidRPr="00B64AB1">
              <w:rPr>
                <w:rFonts w:ascii="Times New Roman" w:hAnsi="Times New Roman" w:cs="Times New Roman"/>
                <w:sz w:val="20"/>
                <w:szCs w:val="20"/>
              </w:rPr>
              <w:t>4.1</w:t>
            </w:r>
          </w:p>
        </w:tc>
        <w:tc>
          <w:tcPr>
            <w:tcW w:w="1686" w:type="dxa"/>
            <w:shd w:val="clear" w:color="auto" w:fill="auto"/>
          </w:tcPr>
          <w:p w14:paraId="097D6A32" w14:textId="77777777" w:rsidR="006F50C8" w:rsidRPr="00B64AB1" w:rsidRDefault="006F50C8" w:rsidP="00530B36">
            <w:pPr>
              <w:keepNext/>
              <w:widowControl w:val="0"/>
              <w:spacing w:after="0"/>
              <w:jc w:val="center"/>
              <w:rPr>
                <w:rFonts w:ascii="Times New Roman" w:hAnsi="Times New Roman" w:cs="Times New Roman"/>
                <w:sz w:val="20"/>
                <w:szCs w:val="20"/>
              </w:rPr>
            </w:pPr>
            <w:r w:rsidRPr="00B64AB1">
              <w:rPr>
                <w:rFonts w:ascii="Times New Roman" w:hAnsi="Times New Roman" w:cs="Times New Roman"/>
                <w:sz w:val="20"/>
                <w:szCs w:val="20"/>
              </w:rPr>
              <w:t>3.6</w:t>
            </w:r>
          </w:p>
        </w:tc>
        <w:tc>
          <w:tcPr>
            <w:tcW w:w="1817" w:type="dxa"/>
            <w:shd w:val="clear" w:color="auto" w:fill="auto"/>
          </w:tcPr>
          <w:p w14:paraId="2B5FB1B1" w14:textId="77777777" w:rsidR="006F50C8" w:rsidRPr="00B64AB1" w:rsidRDefault="006F50C8" w:rsidP="00530B36">
            <w:pPr>
              <w:keepNext/>
              <w:widowControl w:val="0"/>
              <w:spacing w:after="0"/>
              <w:jc w:val="center"/>
              <w:rPr>
                <w:rFonts w:ascii="Times New Roman" w:hAnsi="Times New Roman" w:cs="Times New Roman"/>
                <w:sz w:val="20"/>
                <w:szCs w:val="20"/>
              </w:rPr>
            </w:pPr>
            <w:r w:rsidRPr="00B64AB1">
              <w:rPr>
                <w:rFonts w:ascii="Times New Roman" w:hAnsi="Times New Roman" w:cs="Times New Roman"/>
                <w:sz w:val="20"/>
                <w:szCs w:val="20"/>
              </w:rPr>
              <w:t>10.2</w:t>
            </w:r>
          </w:p>
        </w:tc>
      </w:tr>
      <w:tr w:rsidR="006F50C8" w:rsidRPr="00533B17" w14:paraId="2E394F3F" w14:textId="77777777" w:rsidTr="00816F69">
        <w:trPr>
          <w:trHeight w:val="288"/>
          <w:jc w:val="center"/>
        </w:trPr>
        <w:tc>
          <w:tcPr>
            <w:tcW w:w="3375" w:type="dxa"/>
            <w:shd w:val="clear" w:color="auto" w:fill="auto"/>
          </w:tcPr>
          <w:p w14:paraId="13CDEB7C" w14:textId="77777777" w:rsidR="006F50C8" w:rsidRPr="00C16D8F" w:rsidRDefault="006F50C8" w:rsidP="00530B36">
            <w:pPr>
              <w:keepNext/>
              <w:widowControl w:val="0"/>
              <w:spacing w:after="0"/>
              <w:rPr>
                <w:rFonts w:ascii="Times New Roman" w:hAnsi="Times New Roman" w:cs="Times New Roman"/>
                <w:sz w:val="20"/>
                <w:szCs w:val="20"/>
              </w:rPr>
            </w:pPr>
            <w:r w:rsidRPr="00C16D8F">
              <w:rPr>
                <w:rFonts w:ascii="Times New Roman" w:hAnsi="Times New Roman" w:cs="Times New Roman"/>
                <w:sz w:val="20"/>
                <w:szCs w:val="20"/>
              </w:rPr>
              <w:t>Rhode Island</w:t>
            </w:r>
          </w:p>
        </w:tc>
        <w:tc>
          <w:tcPr>
            <w:tcW w:w="1710" w:type="dxa"/>
            <w:shd w:val="clear" w:color="auto" w:fill="auto"/>
          </w:tcPr>
          <w:p w14:paraId="5DCFB888" w14:textId="77777777" w:rsidR="006F50C8" w:rsidRPr="00C16D8F" w:rsidRDefault="006F50C8"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4.0</w:t>
            </w:r>
          </w:p>
        </w:tc>
        <w:tc>
          <w:tcPr>
            <w:tcW w:w="1686" w:type="dxa"/>
            <w:shd w:val="clear" w:color="auto" w:fill="auto"/>
          </w:tcPr>
          <w:p w14:paraId="04E71400" w14:textId="77777777" w:rsidR="006F50C8" w:rsidRPr="00C16D8F" w:rsidRDefault="006F50C8"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1817" w:type="dxa"/>
            <w:shd w:val="clear" w:color="auto" w:fill="auto"/>
          </w:tcPr>
          <w:p w14:paraId="2FF6E844" w14:textId="77777777" w:rsidR="006F50C8" w:rsidRPr="00C16D8F" w:rsidRDefault="006F50C8"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8.1</w:t>
            </w:r>
          </w:p>
        </w:tc>
      </w:tr>
      <w:tr w:rsidR="006D22FB" w:rsidRPr="00533B17" w14:paraId="34F1F3CF" w14:textId="77777777" w:rsidTr="00816F69">
        <w:trPr>
          <w:trHeight w:val="288"/>
          <w:jc w:val="center"/>
        </w:trPr>
        <w:tc>
          <w:tcPr>
            <w:tcW w:w="3375" w:type="dxa"/>
            <w:shd w:val="clear" w:color="auto" w:fill="auto"/>
          </w:tcPr>
          <w:p w14:paraId="67A1F5DB" w14:textId="77777777" w:rsidR="006D22FB" w:rsidRPr="00C16D8F" w:rsidRDefault="006D22FB" w:rsidP="00530B36">
            <w:pPr>
              <w:keepNext/>
              <w:widowControl w:val="0"/>
              <w:spacing w:after="0"/>
              <w:rPr>
                <w:rFonts w:ascii="Times New Roman" w:hAnsi="Times New Roman" w:cs="Times New Roman"/>
                <w:sz w:val="20"/>
                <w:szCs w:val="20"/>
              </w:rPr>
            </w:pPr>
            <w:r>
              <w:rPr>
                <w:rFonts w:ascii="Times New Roman" w:hAnsi="Times New Roman" w:cs="Times New Roman"/>
                <w:sz w:val="20"/>
                <w:szCs w:val="20"/>
              </w:rPr>
              <w:t>Nationwide</w:t>
            </w:r>
          </w:p>
        </w:tc>
        <w:tc>
          <w:tcPr>
            <w:tcW w:w="1710" w:type="dxa"/>
            <w:shd w:val="clear" w:color="auto" w:fill="auto"/>
          </w:tcPr>
          <w:p w14:paraId="4B61C7D2" w14:textId="77777777" w:rsidR="006D22FB" w:rsidRDefault="006D22FB"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686" w:type="dxa"/>
            <w:shd w:val="clear" w:color="auto" w:fill="auto"/>
          </w:tcPr>
          <w:p w14:paraId="013BA766" w14:textId="77777777" w:rsidR="006D22FB" w:rsidRDefault="006D22FB"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817" w:type="dxa"/>
            <w:shd w:val="clear" w:color="auto" w:fill="auto"/>
          </w:tcPr>
          <w:p w14:paraId="68919AF1" w14:textId="77777777" w:rsidR="006D22FB" w:rsidRDefault="006D22FB" w:rsidP="00530B36">
            <w:pPr>
              <w:keepNext/>
              <w:widowControl w:val="0"/>
              <w:spacing w:after="0"/>
              <w:jc w:val="center"/>
              <w:rPr>
                <w:rFonts w:ascii="Times New Roman" w:hAnsi="Times New Roman" w:cs="Times New Roman"/>
                <w:sz w:val="20"/>
                <w:szCs w:val="20"/>
              </w:rPr>
            </w:pPr>
            <w:r>
              <w:rPr>
                <w:rFonts w:ascii="Times New Roman" w:hAnsi="Times New Roman" w:cs="Times New Roman"/>
                <w:sz w:val="20"/>
                <w:szCs w:val="20"/>
              </w:rPr>
              <w:t>8.1</w:t>
            </w:r>
          </w:p>
        </w:tc>
      </w:tr>
      <w:tr w:rsidR="006F50C8" w:rsidRPr="00533B17" w14:paraId="78A2EB67" w14:textId="77777777" w:rsidTr="00816F69">
        <w:trPr>
          <w:trHeight w:val="288"/>
          <w:jc w:val="center"/>
        </w:trPr>
        <w:tc>
          <w:tcPr>
            <w:tcW w:w="8588" w:type="dxa"/>
            <w:gridSpan w:val="4"/>
            <w:shd w:val="clear" w:color="auto" w:fill="auto"/>
            <w:vAlign w:val="center"/>
          </w:tcPr>
          <w:p w14:paraId="41230C7D" w14:textId="77777777" w:rsidR="006F50C8" w:rsidRPr="00C16D8F" w:rsidRDefault="006F50C8" w:rsidP="00530B36">
            <w:pPr>
              <w:keepNext/>
              <w:widowControl w:val="0"/>
              <w:spacing w:after="0"/>
              <w:rPr>
                <w:rFonts w:ascii="Times New Roman" w:hAnsi="Times New Roman" w:cs="Times New Roman"/>
                <w:sz w:val="20"/>
                <w:szCs w:val="20"/>
              </w:rPr>
            </w:pPr>
            <w:r w:rsidRPr="00C16D8F">
              <w:rPr>
                <w:rFonts w:ascii="Times New Roman" w:hAnsi="Times New Roman" w:cs="Times New Roman"/>
                <w:i/>
                <w:sz w:val="16"/>
                <w:szCs w:val="20"/>
              </w:rPr>
              <w:t>Source:  Bureau of Labor Statistics</w:t>
            </w:r>
            <w:r>
              <w:rPr>
                <w:rFonts w:ascii="Times New Roman" w:hAnsi="Times New Roman" w:cs="Times New Roman"/>
                <w:i/>
                <w:sz w:val="16"/>
                <w:szCs w:val="20"/>
              </w:rPr>
              <w:t>, Moody’s Analytics</w:t>
            </w:r>
          </w:p>
        </w:tc>
      </w:tr>
    </w:tbl>
    <w:p w14:paraId="1D2DC003" w14:textId="77777777" w:rsidR="00324944" w:rsidRDefault="00324944" w:rsidP="00324944">
      <w:pPr>
        <w:widowControl w:val="0"/>
        <w:tabs>
          <w:tab w:val="left" w:pos="1080"/>
        </w:tabs>
        <w:spacing w:after="0" w:line="240" w:lineRule="auto"/>
        <w:ind w:right="-360"/>
        <w:rPr>
          <w:rFonts w:ascii="Times New Roman" w:hAnsi="Times New Roman" w:cs="Times New Roman"/>
          <w:bCs/>
          <w:iCs/>
          <w:color w:val="000000"/>
          <w:sz w:val="24"/>
          <w:szCs w:val="24"/>
        </w:rPr>
      </w:pPr>
    </w:p>
    <w:p w14:paraId="7F2BF4A6" w14:textId="487BE93B" w:rsidR="006F50C8" w:rsidRDefault="006F50C8" w:rsidP="006F50C8">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Furthermore, according to Moody’s Analytics, </w:t>
      </w:r>
      <w:r w:rsidRPr="008631D2">
        <w:rPr>
          <w:rFonts w:ascii="Times New Roman" w:hAnsi="Times New Roman" w:cs="Times New Roman"/>
          <w:bCs/>
          <w:iCs/>
          <w:sz w:val="24"/>
          <w:szCs w:val="24"/>
        </w:rPr>
        <w:t xml:space="preserve">the Providence RI-MA MSA </w:t>
      </w:r>
      <w:r w:rsidR="00F60AA4">
        <w:rPr>
          <w:rFonts w:ascii="Times New Roman" w:hAnsi="Times New Roman" w:cs="Times New Roman"/>
          <w:bCs/>
          <w:iCs/>
          <w:sz w:val="24"/>
          <w:szCs w:val="24"/>
        </w:rPr>
        <w:t>has</w:t>
      </w:r>
      <w:r>
        <w:rPr>
          <w:rFonts w:ascii="Times New Roman" w:hAnsi="Times New Roman" w:cs="Times New Roman"/>
          <w:bCs/>
          <w:iCs/>
          <w:sz w:val="24"/>
          <w:szCs w:val="24"/>
        </w:rPr>
        <w:t xml:space="preserve"> challenges such as unequal distribution of wealth</w:t>
      </w:r>
      <w:r w:rsidR="00F60AA4">
        <w:rPr>
          <w:rFonts w:ascii="Times New Roman" w:hAnsi="Times New Roman" w:cs="Times New Roman"/>
          <w:bCs/>
          <w:iCs/>
          <w:sz w:val="24"/>
          <w:szCs w:val="24"/>
        </w:rPr>
        <w:t>,</w:t>
      </w:r>
      <w:r>
        <w:rPr>
          <w:rFonts w:ascii="Times New Roman" w:hAnsi="Times New Roman" w:cs="Times New Roman"/>
          <w:bCs/>
          <w:iCs/>
          <w:sz w:val="24"/>
          <w:szCs w:val="24"/>
        </w:rPr>
        <w:t xml:space="preserve"> heavy tax burden</w:t>
      </w:r>
      <w:r w:rsidR="00F60AA4">
        <w:rPr>
          <w:rFonts w:ascii="Times New Roman" w:hAnsi="Times New Roman" w:cs="Times New Roman"/>
          <w:bCs/>
          <w:iCs/>
          <w:sz w:val="24"/>
          <w:szCs w:val="24"/>
        </w:rPr>
        <w:t>,</w:t>
      </w:r>
      <w:r>
        <w:rPr>
          <w:rFonts w:ascii="Times New Roman" w:hAnsi="Times New Roman" w:cs="Times New Roman"/>
          <w:bCs/>
          <w:iCs/>
          <w:sz w:val="24"/>
          <w:szCs w:val="24"/>
        </w:rPr>
        <w:t xml:space="preserve"> and poor infrastructure.  The MSA’s </w:t>
      </w:r>
      <w:r w:rsidR="00F60AA4">
        <w:rPr>
          <w:rFonts w:ascii="Times New Roman" w:hAnsi="Times New Roman" w:cs="Times New Roman"/>
          <w:bCs/>
          <w:iCs/>
          <w:sz w:val="24"/>
          <w:szCs w:val="24"/>
        </w:rPr>
        <w:t xml:space="preserve">economic </w:t>
      </w:r>
      <w:r>
        <w:rPr>
          <w:rFonts w:ascii="Times New Roman" w:hAnsi="Times New Roman" w:cs="Times New Roman"/>
          <w:bCs/>
          <w:iCs/>
          <w:sz w:val="24"/>
          <w:szCs w:val="24"/>
        </w:rPr>
        <w:t xml:space="preserve">strengths include a strong housing market, strong links to fast-growing Boston, </w:t>
      </w:r>
      <w:r w:rsidR="00F60AA4">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collection of colleges and universities, and synergies among universities, hospitals, and R&amp;D firms.  </w:t>
      </w:r>
      <w:r w:rsidRPr="008631D2">
        <w:rPr>
          <w:rFonts w:ascii="Times New Roman" w:hAnsi="Times New Roman" w:cs="Times New Roman"/>
          <w:bCs/>
          <w:iCs/>
          <w:sz w:val="24"/>
          <w:szCs w:val="24"/>
        </w:rPr>
        <w:t>Top employers in the area include Lifespan, Care New England, and CVS Health Corporation, all</w:t>
      </w:r>
      <w:r w:rsidR="00EE6D83">
        <w:rPr>
          <w:rFonts w:ascii="Times New Roman" w:hAnsi="Times New Roman" w:cs="Times New Roman"/>
          <w:bCs/>
          <w:iCs/>
          <w:sz w:val="24"/>
          <w:szCs w:val="24"/>
        </w:rPr>
        <w:t xml:space="preserve"> of which are</w:t>
      </w:r>
      <w:r w:rsidRPr="008631D2">
        <w:rPr>
          <w:rFonts w:ascii="Times New Roman" w:hAnsi="Times New Roman" w:cs="Times New Roman"/>
          <w:bCs/>
          <w:iCs/>
          <w:sz w:val="24"/>
          <w:szCs w:val="24"/>
        </w:rPr>
        <w:t xml:space="preserve"> </w:t>
      </w:r>
      <w:r w:rsidR="00EE6D83">
        <w:rPr>
          <w:rFonts w:ascii="Times New Roman" w:hAnsi="Times New Roman" w:cs="Times New Roman"/>
          <w:bCs/>
          <w:iCs/>
          <w:sz w:val="24"/>
          <w:szCs w:val="24"/>
        </w:rPr>
        <w:t>h</w:t>
      </w:r>
      <w:r w:rsidRPr="008631D2">
        <w:rPr>
          <w:rFonts w:ascii="Times New Roman" w:hAnsi="Times New Roman" w:cs="Times New Roman"/>
          <w:bCs/>
          <w:iCs/>
          <w:sz w:val="24"/>
          <w:szCs w:val="24"/>
        </w:rPr>
        <w:t>ealthcare</w:t>
      </w:r>
      <w:r w:rsidR="00EE6D83">
        <w:rPr>
          <w:rFonts w:ascii="Times New Roman" w:hAnsi="Times New Roman" w:cs="Times New Roman"/>
          <w:bCs/>
          <w:iCs/>
          <w:sz w:val="24"/>
          <w:szCs w:val="24"/>
        </w:rPr>
        <w:t>-</w:t>
      </w:r>
      <w:r w:rsidRPr="008631D2">
        <w:rPr>
          <w:rFonts w:ascii="Times New Roman" w:hAnsi="Times New Roman" w:cs="Times New Roman"/>
          <w:bCs/>
          <w:iCs/>
          <w:sz w:val="24"/>
          <w:szCs w:val="24"/>
        </w:rPr>
        <w:t>related employers that have been crucial since the ons</w:t>
      </w:r>
      <w:r>
        <w:rPr>
          <w:rFonts w:ascii="Times New Roman" w:hAnsi="Times New Roman" w:cs="Times New Roman"/>
          <w:bCs/>
          <w:iCs/>
          <w:sz w:val="24"/>
          <w:szCs w:val="24"/>
        </w:rPr>
        <w:t>et of the pandemic.</w:t>
      </w:r>
    </w:p>
    <w:p w14:paraId="54558209" w14:textId="77777777" w:rsidR="006F50C8" w:rsidRDefault="006F50C8" w:rsidP="00E50970">
      <w:pPr>
        <w:spacing w:after="0" w:line="240" w:lineRule="auto"/>
        <w:rPr>
          <w:rFonts w:ascii="Times New Roman" w:eastAsia="Times New Roman" w:hAnsi="Times New Roman" w:cs="Times New Roman"/>
          <w:color w:val="000000"/>
          <w:sz w:val="24"/>
          <w:szCs w:val="24"/>
        </w:rPr>
      </w:pPr>
    </w:p>
    <w:p w14:paraId="6F6A6550" w14:textId="77777777" w:rsidR="006F50C8" w:rsidRPr="006F50C8" w:rsidRDefault="006F50C8" w:rsidP="00E50970">
      <w:pPr>
        <w:spacing w:after="0" w:line="240" w:lineRule="auto"/>
        <w:rPr>
          <w:rFonts w:ascii="Times New Roman" w:eastAsia="Times New Roman" w:hAnsi="Times New Roman" w:cs="Times New Roman"/>
          <w:b/>
          <w:color w:val="000000"/>
          <w:sz w:val="24"/>
          <w:szCs w:val="24"/>
          <w:u w:val="single"/>
        </w:rPr>
      </w:pPr>
      <w:r w:rsidRPr="006F50C8">
        <w:rPr>
          <w:rFonts w:ascii="Times New Roman" w:eastAsia="Times New Roman" w:hAnsi="Times New Roman" w:cs="Times New Roman"/>
          <w:b/>
          <w:color w:val="000000"/>
          <w:sz w:val="24"/>
          <w:szCs w:val="24"/>
          <w:u w:val="single"/>
        </w:rPr>
        <w:t>Competition</w:t>
      </w:r>
    </w:p>
    <w:p w14:paraId="5FBDAA4B" w14:textId="77777777" w:rsidR="006F50C8" w:rsidRDefault="006F50C8" w:rsidP="00E50970">
      <w:pPr>
        <w:spacing w:after="0" w:line="240" w:lineRule="auto"/>
        <w:rPr>
          <w:rFonts w:ascii="Times New Roman" w:eastAsia="Times New Roman" w:hAnsi="Times New Roman" w:cs="Times New Roman"/>
          <w:color w:val="000000"/>
          <w:sz w:val="24"/>
          <w:szCs w:val="24"/>
        </w:rPr>
      </w:pPr>
    </w:p>
    <w:p w14:paraId="0A3ADF62" w14:textId="13C725F7" w:rsidR="00885105" w:rsidRPr="00885105" w:rsidRDefault="00885105" w:rsidP="00885105">
      <w:pPr>
        <w:spacing w:after="0" w:line="240" w:lineRule="auto"/>
        <w:rPr>
          <w:rFonts w:ascii="Times New Roman" w:hAnsi="Times New Roman" w:cs="Times New Roman"/>
          <w:sz w:val="24"/>
          <w:szCs w:val="24"/>
          <w:highlight w:val="yellow"/>
        </w:rPr>
      </w:pPr>
      <w:r w:rsidRPr="00885105">
        <w:rPr>
          <w:rFonts w:ascii="Times New Roman" w:hAnsi="Times New Roman" w:cs="Times New Roman"/>
          <w:sz w:val="24"/>
          <w:szCs w:val="24"/>
        </w:rPr>
        <w:t xml:space="preserve">HOB operates in a </w:t>
      </w:r>
      <w:r w:rsidRPr="00420EA2">
        <w:rPr>
          <w:rFonts w:ascii="Times New Roman" w:hAnsi="Times New Roman" w:cs="Times New Roman"/>
          <w:sz w:val="24"/>
          <w:szCs w:val="24"/>
        </w:rPr>
        <w:t xml:space="preserve">highly competitive market for banking services.  The presence of </w:t>
      </w:r>
      <w:r w:rsidR="006A0BB4" w:rsidRPr="00757915">
        <w:rPr>
          <w:rFonts w:ascii="Times New Roman" w:hAnsi="Times New Roman" w:cs="Times New Roman"/>
          <w:sz w:val="24"/>
          <w:szCs w:val="24"/>
        </w:rPr>
        <w:t>large</w:t>
      </w:r>
      <w:r w:rsidR="006A0BB4">
        <w:rPr>
          <w:rFonts w:ascii="Times New Roman" w:hAnsi="Times New Roman" w:cs="Times New Roman"/>
          <w:sz w:val="24"/>
          <w:szCs w:val="24"/>
        </w:rPr>
        <w:t xml:space="preserve"> national</w:t>
      </w:r>
      <w:r w:rsidR="006A0BB4" w:rsidRPr="00757915">
        <w:rPr>
          <w:rFonts w:ascii="Times New Roman" w:hAnsi="Times New Roman" w:cs="Times New Roman"/>
          <w:sz w:val="24"/>
          <w:szCs w:val="24"/>
        </w:rPr>
        <w:t xml:space="preserve">, regional, </w:t>
      </w:r>
      <w:r w:rsidR="006A0BB4">
        <w:rPr>
          <w:rFonts w:ascii="Times New Roman" w:hAnsi="Times New Roman" w:cs="Times New Roman"/>
          <w:sz w:val="24"/>
          <w:szCs w:val="24"/>
        </w:rPr>
        <w:t xml:space="preserve">and </w:t>
      </w:r>
      <w:r w:rsidR="006A0BB4" w:rsidRPr="00757915">
        <w:rPr>
          <w:rFonts w:ascii="Times New Roman" w:hAnsi="Times New Roman" w:cs="Times New Roman"/>
          <w:sz w:val="24"/>
          <w:szCs w:val="24"/>
        </w:rPr>
        <w:t>comm</w:t>
      </w:r>
      <w:r w:rsidR="006A0BB4">
        <w:rPr>
          <w:rFonts w:ascii="Times New Roman" w:hAnsi="Times New Roman" w:cs="Times New Roman"/>
          <w:sz w:val="24"/>
          <w:szCs w:val="24"/>
        </w:rPr>
        <w:t>unity banks</w:t>
      </w:r>
      <w:r w:rsidR="006A0BB4" w:rsidRPr="00757915">
        <w:rPr>
          <w:rFonts w:ascii="Times New Roman" w:hAnsi="Times New Roman" w:cs="Times New Roman"/>
          <w:sz w:val="24"/>
          <w:szCs w:val="24"/>
        </w:rPr>
        <w:t xml:space="preserve"> and credit unions</w:t>
      </w:r>
      <w:r w:rsidRPr="00420EA2">
        <w:rPr>
          <w:rFonts w:ascii="Times New Roman" w:hAnsi="Times New Roman" w:cs="Times New Roman"/>
          <w:sz w:val="24"/>
          <w:szCs w:val="24"/>
        </w:rPr>
        <w:t xml:space="preserve"> within the assessment area creates significant competition in the area.  According to the June 30, 2020 FDIC Deposit Market Share data, there were </w:t>
      </w:r>
      <w:r w:rsidR="00420EA2" w:rsidRPr="00420EA2">
        <w:rPr>
          <w:rFonts w:ascii="Times New Roman" w:hAnsi="Times New Roman" w:cs="Times New Roman"/>
          <w:sz w:val="24"/>
          <w:szCs w:val="24"/>
        </w:rPr>
        <w:t>28 financial institutions with 394</w:t>
      </w:r>
      <w:r w:rsidRPr="00420EA2">
        <w:rPr>
          <w:rFonts w:ascii="Times New Roman" w:hAnsi="Times New Roman" w:cs="Times New Roman"/>
          <w:sz w:val="24"/>
          <w:szCs w:val="24"/>
        </w:rPr>
        <w:t xml:space="preserve"> branches in the assessment area</w:t>
      </w:r>
      <w:r w:rsidR="006A0BB4">
        <w:rPr>
          <w:rFonts w:ascii="Times New Roman" w:hAnsi="Times New Roman" w:cs="Times New Roman"/>
          <w:sz w:val="24"/>
          <w:szCs w:val="24"/>
        </w:rPr>
        <w:t>, among which Citizens Bank, N</w:t>
      </w:r>
      <w:r w:rsidR="00EE6D83">
        <w:rPr>
          <w:rFonts w:ascii="Times New Roman" w:hAnsi="Times New Roman" w:cs="Times New Roman"/>
          <w:sz w:val="24"/>
          <w:szCs w:val="24"/>
        </w:rPr>
        <w:t>.</w:t>
      </w:r>
      <w:r w:rsidR="006A0BB4">
        <w:rPr>
          <w:rFonts w:ascii="Times New Roman" w:hAnsi="Times New Roman" w:cs="Times New Roman"/>
          <w:sz w:val="24"/>
          <w:szCs w:val="24"/>
        </w:rPr>
        <w:t>A</w:t>
      </w:r>
      <w:r w:rsidR="00EE6D83">
        <w:rPr>
          <w:rFonts w:ascii="Times New Roman" w:hAnsi="Times New Roman" w:cs="Times New Roman"/>
          <w:sz w:val="24"/>
          <w:szCs w:val="24"/>
        </w:rPr>
        <w:t>.</w:t>
      </w:r>
      <w:r w:rsidR="006A0BB4">
        <w:rPr>
          <w:rFonts w:ascii="Times New Roman" w:hAnsi="Times New Roman" w:cs="Times New Roman"/>
          <w:sz w:val="24"/>
          <w:szCs w:val="24"/>
        </w:rPr>
        <w:t>; Bank of America, N</w:t>
      </w:r>
      <w:r w:rsidR="00EE6D83">
        <w:rPr>
          <w:rFonts w:ascii="Times New Roman" w:hAnsi="Times New Roman" w:cs="Times New Roman"/>
          <w:sz w:val="24"/>
          <w:szCs w:val="24"/>
        </w:rPr>
        <w:t>.</w:t>
      </w:r>
      <w:r w:rsidR="006A0BB4">
        <w:rPr>
          <w:rFonts w:ascii="Times New Roman" w:hAnsi="Times New Roman" w:cs="Times New Roman"/>
          <w:sz w:val="24"/>
          <w:szCs w:val="24"/>
        </w:rPr>
        <w:t>A</w:t>
      </w:r>
      <w:r w:rsidR="00EE6D83">
        <w:rPr>
          <w:rFonts w:ascii="Times New Roman" w:hAnsi="Times New Roman" w:cs="Times New Roman"/>
          <w:sz w:val="24"/>
          <w:szCs w:val="24"/>
        </w:rPr>
        <w:t>.</w:t>
      </w:r>
      <w:r w:rsidR="006A0BB4">
        <w:rPr>
          <w:rFonts w:ascii="Times New Roman" w:hAnsi="Times New Roman" w:cs="Times New Roman"/>
          <w:sz w:val="24"/>
          <w:szCs w:val="24"/>
        </w:rPr>
        <w:t>;</w:t>
      </w:r>
      <w:r w:rsidRPr="00420EA2">
        <w:rPr>
          <w:rFonts w:ascii="Times New Roman" w:hAnsi="Times New Roman" w:cs="Times New Roman"/>
          <w:sz w:val="24"/>
          <w:szCs w:val="24"/>
        </w:rPr>
        <w:t xml:space="preserve"> </w:t>
      </w:r>
      <w:r w:rsidR="00420EA2" w:rsidRPr="00420EA2">
        <w:rPr>
          <w:rFonts w:ascii="Times New Roman" w:hAnsi="Times New Roman" w:cs="Times New Roman"/>
          <w:sz w:val="24"/>
          <w:szCs w:val="24"/>
        </w:rPr>
        <w:t>and The Washington Trust Company</w:t>
      </w:r>
      <w:r w:rsidRPr="00420EA2">
        <w:rPr>
          <w:rFonts w:ascii="Times New Roman" w:hAnsi="Times New Roman" w:cs="Times New Roman"/>
          <w:sz w:val="24"/>
          <w:szCs w:val="24"/>
        </w:rPr>
        <w:t xml:space="preserve"> were the top </w:t>
      </w:r>
      <w:r w:rsidR="00420EA2" w:rsidRPr="00420EA2">
        <w:rPr>
          <w:rFonts w:ascii="Times New Roman" w:hAnsi="Times New Roman" w:cs="Times New Roman"/>
          <w:sz w:val="24"/>
          <w:szCs w:val="24"/>
        </w:rPr>
        <w:t>three</w:t>
      </w:r>
      <w:r w:rsidRPr="00420EA2">
        <w:rPr>
          <w:rFonts w:ascii="Times New Roman" w:hAnsi="Times New Roman" w:cs="Times New Roman"/>
          <w:sz w:val="24"/>
          <w:szCs w:val="24"/>
        </w:rPr>
        <w:t xml:space="preserve"> institutions with a combined deposit ma</w:t>
      </w:r>
      <w:r w:rsidR="00420EA2" w:rsidRPr="00420EA2">
        <w:rPr>
          <w:rFonts w:ascii="Times New Roman" w:hAnsi="Times New Roman" w:cs="Times New Roman"/>
          <w:sz w:val="24"/>
          <w:szCs w:val="24"/>
        </w:rPr>
        <w:t>rket share of approximately 58.8</w:t>
      </w:r>
      <w:r w:rsidRPr="00420EA2">
        <w:rPr>
          <w:rFonts w:ascii="Times New Roman" w:hAnsi="Times New Roman" w:cs="Times New Roman"/>
          <w:sz w:val="24"/>
          <w:szCs w:val="24"/>
        </w:rPr>
        <w:t xml:space="preserve"> percent.  </w:t>
      </w:r>
      <w:r w:rsidR="00420EA2" w:rsidRPr="00420EA2">
        <w:rPr>
          <w:rFonts w:ascii="Times New Roman" w:hAnsi="Times New Roman" w:cs="Times New Roman"/>
          <w:sz w:val="24"/>
          <w:szCs w:val="24"/>
        </w:rPr>
        <w:t>HO</w:t>
      </w:r>
      <w:r w:rsidR="006A0BB4">
        <w:rPr>
          <w:rFonts w:ascii="Times New Roman" w:hAnsi="Times New Roman" w:cs="Times New Roman"/>
          <w:sz w:val="24"/>
          <w:szCs w:val="24"/>
        </w:rPr>
        <w:t>B</w:t>
      </w:r>
      <w:r w:rsidR="00420EA2" w:rsidRPr="00420EA2">
        <w:rPr>
          <w:rFonts w:ascii="Times New Roman" w:hAnsi="Times New Roman" w:cs="Times New Roman"/>
          <w:sz w:val="24"/>
          <w:szCs w:val="24"/>
        </w:rPr>
        <w:t xml:space="preserve"> ranked 10</w:t>
      </w:r>
      <w:r w:rsidR="00420EA2" w:rsidRPr="00420EA2">
        <w:rPr>
          <w:rFonts w:ascii="Times New Roman" w:hAnsi="Times New Roman" w:cs="Times New Roman"/>
          <w:sz w:val="24"/>
          <w:szCs w:val="24"/>
          <w:vertAlign w:val="superscript"/>
        </w:rPr>
        <w:t>th</w:t>
      </w:r>
      <w:r w:rsidRPr="00420EA2">
        <w:rPr>
          <w:rFonts w:ascii="Times New Roman" w:hAnsi="Times New Roman" w:cs="Times New Roman"/>
          <w:sz w:val="24"/>
          <w:szCs w:val="24"/>
        </w:rPr>
        <w:t xml:space="preserve"> with a market share of </w:t>
      </w:r>
      <w:r w:rsidR="00420EA2" w:rsidRPr="00420EA2">
        <w:rPr>
          <w:rFonts w:ascii="Times New Roman" w:hAnsi="Times New Roman" w:cs="Times New Roman"/>
          <w:sz w:val="24"/>
          <w:szCs w:val="24"/>
        </w:rPr>
        <w:t>2.3</w:t>
      </w:r>
      <w:r w:rsidRPr="00420EA2">
        <w:rPr>
          <w:rFonts w:ascii="Times New Roman" w:hAnsi="Times New Roman" w:cs="Times New Roman"/>
          <w:sz w:val="24"/>
          <w:szCs w:val="24"/>
        </w:rPr>
        <w:t xml:space="preserve"> percent.  </w:t>
      </w:r>
      <w:r w:rsidR="00420EA2">
        <w:rPr>
          <w:rFonts w:ascii="Times New Roman" w:hAnsi="Times New Roman" w:cs="Times New Roman"/>
          <w:sz w:val="24"/>
          <w:szCs w:val="24"/>
        </w:rPr>
        <w:t xml:space="preserve">Banks that also ranked above HOB were </w:t>
      </w:r>
      <w:r w:rsidRPr="00420EA2">
        <w:rPr>
          <w:rFonts w:ascii="Times New Roman" w:hAnsi="Times New Roman" w:cs="Times New Roman"/>
          <w:sz w:val="24"/>
          <w:szCs w:val="24"/>
        </w:rPr>
        <w:t>Bank Rhode Island (</w:t>
      </w:r>
      <w:r w:rsidR="00420EA2" w:rsidRPr="00420EA2">
        <w:rPr>
          <w:rFonts w:ascii="Times New Roman" w:hAnsi="Times New Roman" w:cs="Times New Roman"/>
          <w:sz w:val="24"/>
          <w:szCs w:val="24"/>
        </w:rPr>
        <w:t>5</w:t>
      </w:r>
      <w:r w:rsidRPr="00420EA2">
        <w:rPr>
          <w:rFonts w:ascii="Times New Roman" w:hAnsi="Times New Roman" w:cs="Times New Roman"/>
          <w:sz w:val="24"/>
          <w:szCs w:val="24"/>
          <w:vertAlign w:val="superscript"/>
        </w:rPr>
        <w:t>th</w:t>
      </w:r>
      <w:r w:rsidRPr="00420EA2">
        <w:rPr>
          <w:rFonts w:ascii="Times New Roman" w:hAnsi="Times New Roman" w:cs="Times New Roman"/>
          <w:sz w:val="24"/>
          <w:szCs w:val="24"/>
        </w:rPr>
        <w:t>)</w:t>
      </w:r>
      <w:r w:rsidR="00420EA2" w:rsidRPr="00420EA2">
        <w:rPr>
          <w:rFonts w:ascii="Times New Roman" w:hAnsi="Times New Roman" w:cs="Times New Roman"/>
          <w:sz w:val="24"/>
          <w:szCs w:val="24"/>
        </w:rPr>
        <w:t>, Bristol County Savings Bank (6</w:t>
      </w:r>
      <w:r w:rsidRPr="00420EA2">
        <w:rPr>
          <w:rFonts w:ascii="Times New Roman" w:hAnsi="Times New Roman" w:cs="Times New Roman"/>
          <w:sz w:val="24"/>
          <w:szCs w:val="24"/>
          <w:vertAlign w:val="superscript"/>
        </w:rPr>
        <w:t>th</w:t>
      </w:r>
      <w:r w:rsidR="00420EA2" w:rsidRPr="00420EA2">
        <w:rPr>
          <w:rFonts w:ascii="Times New Roman" w:hAnsi="Times New Roman" w:cs="Times New Roman"/>
          <w:sz w:val="24"/>
          <w:szCs w:val="24"/>
        </w:rPr>
        <w:t>), and BayCoast Bank (7</w:t>
      </w:r>
      <w:r w:rsidRPr="00420EA2">
        <w:rPr>
          <w:rFonts w:ascii="Times New Roman" w:hAnsi="Times New Roman" w:cs="Times New Roman"/>
          <w:sz w:val="24"/>
          <w:szCs w:val="24"/>
          <w:vertAlign w:val="superscript"/>
        </w:rPr>
        <w:t>th</w:t>
      </w:r>
      <w:r w:rsidRPr="00420EA2">
        <w:rPr>
          <w:rFonts w:ascii="Times New Roman" w:hAnsi="Times New Roman" w:cs="Times New Roman"/>
          <w:sz w:val="24"/>
          <w:szCs w:val="24"/>
        </w:rPr>
        <w:t xml:space="preserve">) with a </w:t>
      </w:r>
      <w:r w:rsidR="00420EA2" w:rsidRPr="00420EA2">
        <w:rPr>
          <w:rFonts w:ascii="Times New Roman" w:hAnsi="Times New Roman" w:cs="Times New Roman"/>
          <w:sz w:val="24"/>
          <w:szCs w:val="24"/>
        </w:rPr>
        <w:t>combined market share of 12.1</w:t>
      </w:r>
      <w:r w:rsidR="006A0BB4">
        <w:rPr>
          <w:rFonts w:ascii="Times New Roman" w:hAnsi="Times New Roman" w:cs="Times New Roman"/>
          <w:sz w:val="24"/>
          <w:szCs w:val="24"/>
        </w:rPr>
        <w:t xml:space="preserve"> percent</w:t>
      </w:r>
      <w:r w:rsidRPr="00420EA2">
        <w:rPr>
          <w:rFonts w:ascii="Times New Roman" w:hAnsi="Times New Roman" w:cs="Times New Roman"/>
          <w:sz w:val="24"/>
          <w:szCs w:val="24"/>
        </w:rPr>
        <w:t>.</w:t>
      </w:r>
      <w:r w:rsidR="00420EA2">
        <w:rPr>
          <w:rFonts w:ascii="Times New Roman" w:hAnsi="Times New Roman" w:cs="Times New Roman"/>
          <w:sz w:val="24"/>
          <w:szCs w:val="24"/>
        </w:rPr>
        <w:t xml:space="preserve">  Centreville Bank ranked 13</w:t>
      </w:r>
      <w:r w:rsidR="00420EA2" w:rsidRPr="00420EA2">
        <w:rPr>
          <w:rFonts w:ascii="Times New Roman" w:hAnsi="Times New Roman" w:cs="Times New Roman"/>
          <w:sz w:val="24"/>
          <w:szCs w:val="24"/>
          <w:vertAlign w:val="superscript"/>
        </w:rPr>
        <w:t>th</w:t>
      </w:r>
      <w:r w:rsidR="00420EA2">
        <w:rPr>
          <w:rFonts w:ascii="Times New Roman" w:hAnsi="Times New Roman" w:cs="Times New Roman"/>
          <w:sz w:val="24"/>
          <w:szCs w:val="24"/>
        </w:rPr>
        <w:t xml:space="preserve"> with a market share of 1.9 percent.</w:t>
      </w:r>
    </w:p>
    <w:p w14:paraId="0F9867CE" w14:textId="77777777" w:rsidR="00885105" w:rsidRPr="00885105" w:rsidRDefault="00885105" w:rsidP="00885105">
      <w:pPr>
        <w:spacing w:after="0" w:line="240" w:lineRule="auto"/>
        <w:rPr>
          <w:rFonts w:ascii="Times New Roman" w:hAnsi="Times New Roman" w:cs="Times New Roman"/>
          <w:sz w:val="24"/>
          <w:szCs w:val="24"/>
          <w:highlight w:val="yellow"/>
        </w:rPr>
      </w:pPr>
    </w:p>
    <w:p w14:paraId="64D2FBF6" w14:textId="60729580" w:rsidR="00885105" w:rsidRPr="001A23A4" w:rsidRDefault="00F85256" w:rsidP="00885105">
      <w:pPr>
        <w:spacing w:after="0" w:line="240" w:lineRule="auto"/>
        <w:rPr>
          <w:rFonts w:ascii="Times New Roman" w:hAnsi="Times New Roman" w:cs="Times New Roman"/>
          <w:sz w:val="24"/>
          <w:szCs w:val="24"/>
        </w:rPr>
      </w:pPr>
      <w:r>
        <w:rPr>
          <w:rFonts w:ascii="Times New Roman" w:hAnsi="Times New Roman" w:cs="Times New Roman"/>
          <w:sz w:val="24"/>
          <w:szCs w:val="24"/>
        </w:rPr>
        <w:t>HOB faces a high level of competition for home mortgage lending from national banks, mortgage companies, credit unions, and community banks.</w:t>
      </w:r>
      <w:r w:rsidR="004353B3">
        <w:rPr>
          <w:rFonts w:ascii="Times New Roman" w:hAnsi="Times New Roman" w:cs="Times New Roman"/>
          <w:sz w:val="24"/>
          <w:szCs w:val="24"/>
        </w:rPr>
        <w:t xml:space="preserve">  </w:t>
      </w:r>
      <w:r w:rsidR="00885105" w:rsidRPr="00885105">
        <w:rPr>
          <w:rFonts w:ascii="Times New Roman" w:hAnsi="Times New Roman" w:cs="Times New Roman"/>
          <w:sz w:val="24"/>
          <w:szCs w:val="24"/>
        </w:rPr>
        <w:t xml:space="preserve">In 2019, </w:t>
      </w:r>
      <w:r w:rsidR="00885105" w:rsidRPr="00885105">
        <w:rPr>
          <w:rFonts w:ascii="Times New Roman" w:hAnsi="Times New Roman" w:cs="Times New Roman"/>
          <w:iCs/>
          <w:sz w:val="24"/>
          <w:szCs w:val="24"/>
        </w:rPr>
        <w:t>520 HMDA-reporting lenders originated or purchased 63,429 home mortgage loans in the</w:t>
      </w:r>
      <w:r w:rsidR="00885105">
        <w:rPr>
          <w:rFonts w:ascii="Times New Roman" w:hAnsi="Times New Roman" w:cs="Times New Roman"/>
          <w:iCs/>
          <w:sz w:val="24"/>
          <w:szCs w:val="24"/>
        </w:rPr>
        <w:t xml:space="preserve"> </w:t>
      </w:r>
      <w:r w:rsidR="006A0BB4">
        <w:rPr>
          <w:rFonts w:ascii="Times New Roman" w:hAnsi="Times New Roman" w:cs="Times New Roman"/>
          <w:iCs/>
          <w:sz w:val="24"/>
          <w:szCs w:val="24"/>
        </w:rPr>
        <w:t>Providence, RI-MA MSA</w:t>
      </w:r>
      <w:r w:rsidR="00885105" w:rsidRPr="001A23A4">
        <w:rPr>
          <w:rFonts w:ascii="Times New Roman" w:hAnsi="Times New Roman" w:cs="Times New Roman"/>
          <w:iCs/>
          <w:sz w:val="24"/>
          <w:szCs w:val="24"/>
        </w:rPr>
        <w:t xml:space="preserve">.  Combined, </w:t>
      </w:r>
      <w:r w:rsidR="00885105" w:rsidRPr="001A23A4">
        <w:rPr>
          <w:rFonts w:ascii="Times New Roman" w:hAnsi="Times New Roman" w:cs="Times New Roman"/>
          <w:sz w:val="24"/>
          <w:szCs w:val="24"/>
        </w:rPr>
        <w:t>HOB and HOME ranked 26</w:t>
      </w:r>
      <w:r w:rsidR="00885105" w:rsidRPr="001A23A4">
        <w:rPr>
          <w:rFonts w:ascii="Times New Roman" w:hAnsi="Times New Roman" w:cs="Times New Roman"/>
          <w:sz w:val="24"/>
          <w:szCs w:val="24"/>
          <w:vertAlign w:val="superscript"/>
        </w:rPr>
        <w:t>th</w:t>
      </w:r>
      <w:r w:rsidR="00885105" w:rsidRPr="001A23A4">
        <w:rPr>
          <w:rFonts w:ascii="Times New Roman" w:hAnsi="Times New Roman" w:cs="Times New Roman"/>
          <w:sz w:val="24"/>
          <w:szCs w:val="24"/>
        </w:rPr>
        <w:t xml:space="preserve"> with a market share</w:t>
      </w:r>
      <w:r w:rsidR="006A0BB4">
        <w:rPr>
          <w:rFonts w:ascii="Times New Roman" w:hAnsi="Times New Roman" w:cs="Times New Roman"/>
          <w:sz w:val="24"/>
          <w:szCs w:val="24"/>
        </w:rPr>
        <w:t xml:space="preserve"> of</w:t>
      </w:r>
      <w:r w:rsidR="00885105" w:rsidRPr="001A23A4">
        <w:rPr>
          <w:rFonts w:ascii="Times New Roman" w:hAnsi="Times New Roman" w:cs="Times New Roman"/>
          <w:sz w:val="24"/>
          <w:szCs w:val="24"/>
        </w:rPr>
        <w:t xml:space="preserve"> 1.1 percent.</w:t>
      </w:r>
      <w:r w:rsidR="00885105" w:rsidRPr="001A23A4">
        <w:rPr>
          <w:rFonts w:ascii="Times New Roman" w:hAnsi="Times New Roman" w:cs="Times New Roman"/>
          <w:iCs/>
          <w:sz w:val="24"/>
          <w:szCs w:val="24"/>
        </w:rPr>
        <w:t xml:space="preserve">  Lenders that ranked </w:t>
      </w:r>
      <w:r w:rsidR="00EE6D83">
        <w:rPr>
          <w:rFonts w:ascii="Times New Roman" w:hAnsi="Times New Roman" w:cs="Times New Roman"/>
          <w:iCs/>
          <w:sz w:val="24"/>
          <w:szCs w:val="24"/>
        </w:rPr>
        <w:t>higher</w:t>
      </w:r>
      <w:r w:rsidR="00885105" w:rsidRPr="001A23A4">
        <w:rPr>
          <w:rFonts w:ascii="Times New Roman" w:hAnsi="Times New Roman" w:cs="Times New Roman"/>
          <w:iCs/>
          <w:sz w:val="24"/>
          <w:szCs w:val="24"/>
        </w:rPr>
        <w:t xml:space="preserve"> were large national lenders and local credit unions, including CBNA, Quicken Loans, Navigant Credit Union, and Pawtucket Credit Union.</w:t>
      </w:r>
      <w:r w:rsidR="001A23A4" w:rsidRPr="001A23A4">
        <w:rPr>
          <w:rFonts w:ascii="Times New Roman" w:hAnsi="Times New Roman" w:cs="Times New Roman"/>
          <w:iCs/>
          <w:sz w:val="24"/>
          <w:szCs w:val="24"/>
        </w:rPr>
        <w:t xml:space="preserve">  </w:t>
      </w:r>
      <w:r w:rsidR="00885105" w:rsidRPr="001A23A4">
        <w:rPr>
          <w:rFonts w:ascii="Times New Roman" w:hAnsi="Times New Roman" w:cs="Times New Roman"/>
          <w:iCs/>
          <w:sz w:val="24"/>
          <w:szCs w:val="24"/>
        </w:rPr>
        <w:t>The Wa</w:t>
      </w:r>
      <w:r w:rsidR="001A23A4" w:rsidRPr="001A23A4">
        <w:rPr>
          <w:rFonts w:ascii="Times New Roman" w:hAnsi="Times New Roman" w:cs="Times New Roman"/>
          <w:iCs/>
          <w:sz w:val="24"/>
          <w:szCs w:val="24"/>
        </w:rPr>
        <w:t>shington Trust Company ranked 7</w:t>
      </w:r>
      <w:r w:rsidR="00885105" w:rsidRPr="001A23A4">
        <w:rPr>
          <w:rFonts w:ascii="Times New Roman" w:hAnsi="Times New Roman" w:cs="Times New Roman"/>
          <w:iCs/>
          <w:sz w:val="24"/>
          <w:szCs w:val="24"/>
          <w:vertAlign w:val="superscript"/>
        </w:rPr>
        <w:t>th</w:t>
      </w:r>
      <w:r w:rsidR="00EE6D83">
        <w:rPr>
          <w:rFonts w:ascii="Times New Roman" w:hAnsi="Times New Roman" w:cs="Times New Roman"/>
          <w:iCs/>
          <w:sz w:val="24"/>
          <w:szCs w:val="24"/>
        </w:rPr>
        <w:t xml:space="preserve">, </w:t>
      </w:r>
      <w:r w:rsidR="001A23A4" w:rsidRPr="001A23A4">
        <w:rPr>
          <w:rFonts w:ascii="Times New Roman" w:hAnsi="Times New Roman" w:cs="Times New Roman"/>
          <w:iCs/>
          <w:sz w:val="24"/>
          <w:szCs w:val="24"/>
        </w:rPr>
        <w:t>o</w:t>
      </w:r>
      <w:r w:rsidR="00885105" w:rsidRPr="001A23A4">
        <w:rPr>
          <w:rFonts w:ascii="Times New Roman" w:hAnsi="Times New Roman" w:cs="Times New Roman"/>
          <w:iCs/>
          <w:sz w:val="24"/>
          <w:szCs w:val="24"/>
        </w:rPr>
        <w:t xml:space="preserve">utperforming HOB and </w:t>
      </w:r>
      <w:r w:rsidR="00885105" w:rsidRPr="001A23A4">
        <w:rPr>
          <w:rFonts w:ascii="Times New Roman" w:hAnsi="Times New Roman" w:cs="Times New Roman"/>
          <w:iCs/>
          <w:sz w:val="24"/>
          <w:szCs w:val="24"/>
        </w:rPr>
        <w:lastRenderedPageBreak/>
        <w:t xml:space="preserve">HOME’s </w:t>
      </w:r>
      <w:r>
        <w:rPr>
          <w:rFonts w:ascii="Times New Roman" w:hAnsi="Times New Roman" w:cs="Times New Roman"/>
          <w:iCs/>
          <w:sz w:val="24"/>
          <w:szCs w:val="24"/>
        </w:rPr>
        <w:t xml:space="preserve">combined </w:t>
      </w:r>
      <w:r w:rsidR="00885105" w:rsidRPr="001A23A4">
        <w:rPr>
          <w:rFonts w:ascii="Times New Roman" w:hAnsi="Times New Roman" w:cs="Times New Roman"/>
          <w:iCs/>
          <w:sz w:val="24"/>
          <w:szCs w:val="24"/>
        </w:rPr>
        <w:t xml:space="preserve">activity.  </w:t>
      </w:r>
      <w:r w:rsidR="00EE6D83">
        <w:rPr>
          <w:rFonts w:ascii="Times New Roman" w:hAnsi="Times New Roman" w:cs="Times New Roman"/>
          <w:iCs/>
          <w:sz w:val="24"/>
          <w:szCs w:val="24"/>
        </w:rPr>
        <w:t xml:space="preserve">For </w:t>
      </w:r>
      <w:r w:rsidR="00885105" w:rsidRPr="001A23A4">
        <w:rPr>
          <w:rFonts w:ascii="Times New Roman" w:hAnsi="Times New Roman" w:cs="Times New Roman"/>
          <w:iCs/>
          <w:sz w:val="24"/>
          <w:szCs w:val="24"/>
        </w:rPr>
        <w:t>community</w:t>
      </w:r>
      <w:r w:rsidR="00EE6D83">
        <w:rPr>
          <w:rFonts w:ascii="Times New Roman" w:hAnsi="Times New Roman" w:cs="Times New Roman"/>
          <w:iCs/>
          <w:sz w:val="24"/>
          <w:szCs w:val="24"/>
        </w:rPr>
        <w:t>-based lenders</w:t>
      </w:r>
      <w:r w:rsidR="00885105" w:rsidRPr="001A23A4">
        <w:rPr>
          <w:rFonts w:ascii="Times New Roman" w:hAnsi="Times New Roman" w:cs="Times New Roman"/>
          <w:iCs/>
          <w:sz w:val="24"/>
          <w:szCs w:val="24"/>
        </w:rPr>
        <w:t xml:space="preserve">, </w:t>
      </w:r>
      <w:r w:rsidR="00885105" w:rsidRPr="001A23A4">
        <w:rPr>
          <w:rFonts w:ascii="Times New Roman" w:hAnsi="Times New Roman" w:cs="Times New Roman"/>
          <w:sz w:val="24"/>
          <w:szCs w:val="24"/>
        </w:rPr>
        <w:t xml:space="preserve">BayCoast Mortgage Company and BayCoast Bank </w:t>
      </w:r>
      <w:r w:rsidR="006A0BB4">
        <w:rPr>
          <w:rFonts w:ascii="Times New Roman" w:hAnsi="Times New Roman" w:cs="Times New Roman"/>
          <w:sz w:val="24"/>
          <w:szCs w:val="24"/>
        </w:rPr>
        <w:t>ranked</w:t>
      </w:r>
      <w:r w:rsidR="00885105" w:rsidRPr="001A23A4">
        <w:rPr>
          <w:rFonts w:ascii="Times New Roman" w:hAnsi="Times New Roman" w:cs="Times New Roman"/>
          <w:sz w:val="24"/>
          <w:szCs w:val="24"/>
        </w:rPr>
        <w:t xml:space="preserve"> </w:t>
      </w:r>
      <w:r w:rsidR="001A23A4" w:rsidRPr="001A23A4">
        <w:rPr>
          <w:rFonts w:ascii="Times New Roman" w:hAnsi="Times New Roman" w:cs="Times New Roman"/>
          <w:sz w:val="24"/>
          <w:szCs w:val="24"/>
        </w:rPr>
        <w:t>19</w:t>
      </w:r>
      <w:r w:rsidR="001A23A4" w:rsidRPr="001A23A4">
        <w:rPr>
          <w:rFonts w:ascii="Times New Roman" w:hAnsi="Times New Roman" w:cs="Times New Roman"/>
          <w:sz w:val="24"/>
          <w:szCs w:val="24"/>
          <w:vertAlign w:val="superscript"/>
        </w:rPr>
        <w:t>th</w:t>
      </w:r>
      <w:r w:rsidR="00885105" w:rsidRPr="001A23A4">
        <w:rPr>
          <w:rFonts w:ascii="Times New Roman" w:hAnsi="Times New Roman" w:cs="Times New Roman"/>
          <w:sz w:val="24"/>
          <w:szCs w:val="24"/>
        </w:rPr>
        <w:t xml:space="preserve"> and </w:t>
      </w:r>
      <w:r w:rsidR="001A23A4" w:rsidRPr="001A23A4">
        <w:rPr>
          <w:rFonts w:ascii="Times New Roman" w:hAnsi="Times New Roman" w:cs="Times New Roman"/>
          <w:sz w:val="24"/>
          <w:szCs w:val="24"/>
        </w:rPr>
        <w:t>27</w:t>
      </w:r>
      <w:r w:rsidR="00885105" w:rsidRPr="001A23A4">
        <w:rPr>
          <w:rFonts w:ascii="Times New Roman" w:hAnsi="Times New Roman" w:cs="Times New Roman"/>
          <w:sz w:val="24"/>
          <w:szCs w:val="24"/>
          <w:vertAlign w:val="superscript"/>
        </w:rPr>
        <w:t>th</w:t>
      </w:r>
      <w:r w:rsidR="00885105" w:rsidRPr="001A23A4">
        <w:rPr>
          <w:rFonts w:ascii="Times New Roman" w:hAnsi="Times New Roman" w:cs="Times New Roman"/>
          <w:sz w:val="24"/>
          <w:szCs w:val="24"/>
        </w:rPr>
        <w:t xml:space="preserve"> </w:t>
      </w:r>
      <w:r w:rsidR="001A23A4" w:rsidRPr="001A23A4">
        <w:rPr>
          <w:rFonts w:ascii="Times New Roman" w:hAnsi="Times New Roman" w:cs="Times New Roman"/>
          <w:sz w:val="24"/>
          <w:szCs w:val="24"/>
        </w:rPr>
        <w:t xml:space="preserve">with a combined market share of 2.3 </w:t>
      </w:r>
      <w:r w:rsidR="00885105" w:rsidRPr="001A23A4">
        <w:rPr>
          <w:rFonts w:ascii="Times New Roman" w:hAnsi="Times New Roman" w:cs="Times New Roman"/>
          <w:sz w:val="24"/>
          <w:szCs w:val="24"/>
        </w:rPr>
        <w:t>percent.  Bristol County Savings Bank trailed behind, ranking</w:t>
      </w:r>
      <w:r w:rsidR="001A23A4" w:rsidRPr="001A23A4">
        <w:rPr>
          <w:rFonts w:ascii="Times New Roman" w:hAnsi="Times New Roman" w:cs="Times New Roman"/>
          <w:sz w:val="24"/>
          <w:szCs w:val="24"/>
        </w:rPr>
        <w:t xml:space="preserve"> 49</w:t>
      </w:r>
      <w:r w:rsidR="00885105" w:rsidRPr="001A23A4">
        <w:rPr>
          <w:rFonts w:ascii="Times New Roman" w:hAnsi="Times New Roman" w:cs="Times New Roman"/>
          <w:sz w:val="24"/>
          <w:szCs w:val="24"/>
          <w:vertAlign w:val="superscript"/>
        </w:rPr>
        <w:t>th</w:t>
      </w:r>
      <w:r w:rsidR="001A23A4" w:rsidRPr="001A23A4">
        <w:rPr>
          <w:rFonts w:ascii="Times New Roman" w:hAnsi="Times New Roman" w:cs="Times New Roman"/>
          <w:sz w:val="24"/>
          <w:szCs w:val="24"/>
        </w:rPr>
        <w:t xml:space="preserve"> with </w:t>
      </w:r>
      <w:r w:rsidR="006A0BB4">
        <w:rPr>
          <w:rFonts w:ascii="Times New Roman" w:hAnsi="Times New Roman" w:cs="Times New Roman"/>
          <w:sz w:val="24"/>
          <w:szCs w:val="24"/>
        </w:rPr>
        <w:t xml:space="preserve">a </w:t>
      </w:r>
      <w:r w:rsidR="001A23A4" w:rsidRPr="001A23A4">
        <w:rPr>
          <w:rFonts w:ascii="Times New Roman" w:hAnsi="Times New Roman" w:cs="Times New Roman"/>
          <w:sz w:val="24"/>
          <w:szCs w:val="24"/>
        </w:rPr>
        <w:t>market share of 0.6</w:t>
      </w:r>
      <w:r w:rsidR="00885105" w:rsidRPr="001A23A4">
        <w:rPr>
          <w:rFonts w:ascii="Times New Roman" w:hAnsi="Times New Roman" w:cs="Times New Roman"/>
          <w:sz w:val="24"/>
          <w:szCs w:val="24"/>
        </w:rPr>
        <w:t xml:space="preserve"> percent.</w:t>
      </w:r>
    </w:p>
    <w:p w14:paraId="0D18FA11" w14:textId="77777777" w:rsidR="00885105" w:rsidRPr="001A23A4" w:rsidRDefault="00885105" w:rsidP="00885105">
      <w:pPr>
        <w:spacing w:after="0" w:line="240" w:lineRule="auto"/>
        <w:rPr>
          <w:rFonts w:ascii="Times New Roman" w:hAnsi="Times New Roman" w:cs="Times New Roman"/>
          <w:sz w:val="24"/>
          <w:szCs w:val="24"/>
        </w:rPr>
      </w:pPr>
    </w:p>
    <w:p w14:paraId="123E0EA8" w14:textId="29F19FDD" w:rsidR="00885105" w:rsidRDefault="00F85256" w:rsidP="00885105">
      <w:pPr>
        <w:spacing w:after="0" w:line="240" w:lineRule="auto"/>
        <w:rPr>
          <w:rFonts w:ascii="Times New Roman" w:hAnsi="Times New Roman" w:cs="Times New Roman"/>
          <w:bCs/>
          <w:spacing w:val="-3"/>
          <w:sz w:val="24"/>
          <w:szCs w:val="24"/>
        </w:rPr>
      </w:pPr>
      <w:r>
        <w:rPr>
          <w:rFonts w:ascii="Times New Roman" w:hAnsi="Times New Roman" w:cs="Times New Roman"/>
          <w:bCs/>
          <w:spacing w:val="-3"/>
          <w:sz w:val="24"/>
          <w:szCs w:val="24"/>
        </w:rPr>
        <w:t>The bank also faces a high level of competition for small business loans</w:t>
      </w:r>
      <w:r w:rsidR="00885105" w:rsidRPr="001A23A4">
        <w:rPr>
          <w:rFonts w:ascii="Times New Roman" w:hAnsi="Times New Roman" w:cs="Times New Roman"/>
          <w:bCs/>
          <w:spacing w:val="-3"/>
          <w:sz w:val="24"/>
          <w:szCs w:val="24"/>
        </w:rPr>
        <w:t xml:space="preserve">.  In 2019, the bank ranked </w:t>
      </w:r>
      <w:r w:rsidR="001A23A4" w:rsidRPr="001A23A4">
        <w:rPr>
          <w:rFonts w:ascii="Times New Roman" w:hAnsi="Times New Roman" w:cs="Times New Roman"/>
          <w:bCs/>
          <w:spacing w:val="-3"/>
          <w:sz w:val="24"/>
          <w:szCs w:val="24"/>
        </w:rPr>
        <w:t>19</w:t>
      </w:r>
      <w:r w:rsidR="001A23A4" w:rsidRPr="001A23A4">
        <w:rPr>
          <w:rFonts w:ascii="Times New Roman" w:hAnsi="Times New Roman" w:cs="Times New Roman"/>
          <w:bCs/>
          <w:spacing w:val="-3"/>
          <w:sz w:val="24"/>
          <w:szCs w:val="24"/>
          <w:vertAlign w:val="superscript"/>
        </w:rPr>
        <w:t>th</w:t>
      </w:r>
      <w:r w:rsidR="001A23A4" w:rsidRPr="001A23A4">
        <w:rPr>
          <w:rFonts w:ascii="Times New Roman" w:hAnsi="Times New Roman" w:cs="Times New Roman"/>
          <w:bCs/>
          <w:spacing w:val="-3"/>
          <w:sz w:val="24"/>
          <w:szCs w:val="24"/>
        </w:rPr>
        <w:t xml:space="preserve"> out of 132</w:t>
      </w:r>
      <w:r w:rsidR="00885105" w:rsidRPr="001A23A4">
        <w:rPr>
          <w:rFonts w:ascii="Times New Roman" w:hAnsi="Times New Roman" w:cs="Times New Roman"/>
          <w:bCs/>
          <w:spacing w:val="-3"/>
          <w:sz w:val="24"/>
          <w:szCs w:val="24"/>
        </w:rPr>
        <w:t xml:space="preserve"> lenders with a market share of 0.</w:t>
      </w:r>
      <w:r w:rsidR="001A23A4" w:rsidRPr="001A23A4">
        <w:rPr>
          <w:rFonts w:ascii="Times New Roman" w:hAnsi="Times New Roman" w:cs="Times New Roman"/>
          <w:bCs/>
          <w:spacing w:val="-3"/>
          <w:sz w:val="24"/>
          <w:szCs w:val="24"/>
        </w:rPr>
        <w:t>7</w:t>
      </w:r>
      <w:r w:rsidR="00885105" w:rsidRPr="001A23A4">
        <w:rPr>
          <w:rFonts w:ascii="Times New Roman" w:hAnsi="Times New Roman" w:cs="Times New Roman"/>
          <w:bCs/>
          <w:spacing w:val="-3"/>
          <w:sz w:val="24"/>
          <w:szCs w:val="24"/>
        </w:rPr>
        <w:t xml:space="preserve"> percent.  In comparison, Bank Rhode Island, </w:t>
      </w:r>
      <w:r w:rsidR="001A23A4" w:rsidRPr="001A23A4">
        <w:rPr>
          <w:rFonts w:ascii="Times New Roman" w:hAnsi="Times New Roman" w:cs="Times New Roman"/>
          <w:bCs/>
          <w:spacing w:val="-3"/>
          <w:sz w:val="24"/>
          <w:szCs w:val="24"/>
        </w:rPr>
        <w:t xml:space="preserve">Bristol County Savings Bank, </w:t>
      </w:r>
      <w:r w:rsidR="00885105" w:rsidRPr="001A23A4">
        <w:rPr>
          <w:rFonts w:ascii="Times New Roman" w:hAnsi="Times New Roman" w:cs="Times New Roman"/>
          <w:bCs/>
          <w:spacing w:val="-3"/>
          <w:sz w:val="24"/>
          <w:szCs w:val="24"/>
        </w:rPr>
        <w:t>and BayCoast Bank rank</w:t>
      </w:r>
      <w:r w:rsidR="006A0BB4">
        <w:rPr>
          <w:rFonts w:ascii="Times New Roman" w:hAnsi="Times New Roman" w:cs="Times New Roman"/>
          <w:bCs/>
          <w:spacing w:val="-3"/>
          <w:sz w:val="24"/>
          <w:szCs w:val="24"/>
        </w:rPr>
        <w:t>ed</w:t>
      </w:r>
      <w:r w:rsidR="001A23A4" w:rsidRPr="001A23A4">
        <w:rPr>
          <w:rFonts w:ascii="Times New Roman" w:hAnsi="Times New Roman" w:cs="Times New Roman"/>
          <w:bCs/>
          <w:spacing w:val="-3"/>
          <w:sz w:val="24"/>
          <w:szCs w:val="24"/>
        </w:rPr>
        <w:t xml:space="preserve"> 20</w:t>
      </w:r>
      <w:r w:rsidR="001A23A4" w:rsidRPr="001A23A4">
        <w:rPr>
          <w:rFonts w:ascii="Times New Roman" w:hAnsi="Times New Roman" w:cs="Times New Roman"/>
          <w:bCs/>
          <w:spacing w:val="-3"/>
          <w:sz w:val="24"/>
          <w:szCs w:val="24"/>
          <w:vertAlign w:val="superscript"/>
        </w:rPr>
        <w:t>th</w:t>
      </w:r>
      <w:r w:rsidR="00885105" w:rsidRPr="001A23A4">
        <w:rPr>
          <w:rFonts w:ascii="Times New Roman" w:hAnsi="Times New Roman" w:cs="Times New Roman"/>
          <w:bCs/>
          <w:spacing w:val="-3"/>
          <w:sz w:val="24"/>
          <w:szCs w:val="24"/>
        </w:rPr>
        <w:t xml:space="preserve">, </w:t>
      </w:r>
      <w:r w:rsidR="001A23A4" w:rsidRPr="001A23A4">
        <w:rPr>
          <w:rFonts w:ascii="Times New Roman" w:hAnsi="Times New Roman" w:cs="Times New Roman"/>
          <w:bCs/>
          <w:spacing w:val="-3"/>
          <w:sz w:val="24"/>
          <w:szCs w:val="24"/>
        </w:rPr>
        <w:t>21</w:t>
      </w:r>
      <w:r w:rsidR="001A23A4" w:rsidRPr="001A23A4">
        <w:rPr>
          <w:rFonts w:ascii="Times New Roman" w:hAnsi="Times New Roman" w:cs="Times New Roman"/>
          <w:bCs/>
          <w:spacing w:val="-3"/>
          <w:sz w:val="24"/>
          <w:szCs w:val="24"/>
          <w:vertAlign w:val="superscript"/>
        </w:rPr>
        <w:t>st</w:t>
      </w:r>
      <w:r w:rsidR="001A23A4" w:rsidRPr="001A23A4">
        <w:rPr>
          <w:rFonts w:ascii="Times New Roman" w:hAnsi="Times New Roman" w:cs="Times New Roman"/>
          <w:bCs/>
          <w:spacing w:val="-3"/>
          <w:sz w:val="24"/>
          <w:szCs w:val="24"/>
        </w:rPr>
        <w:t>, and 25</w:t>
      </w:r>
      <w:r w:rsidR="00885105" w:rsidRPr="001A23A4">
        <w:rPr>
          <w:rFonts w:ascii="Times New Roman" w:hAnsi="Times New Roman" w:cs="Times New Roman"/>
          <w:bCs/>
          <w:spacing w:val="-3"/>
          <w:sz w:val="24"/>
          <w:szCs w:val="24"/>
          <w:vertAlign w:val="superscript"/>
        </w:rPr>
        <w:t>th</w:t>
      </w:r>
      <w:r w:rsidR="00885105" w:rsidRPr="001A23A4">
        <w:rPr>
          <w:rFonts w:ascii="Times New Roman" w:hAnsi="Times New Roman" w:cs="Times New Roman"/>
          <w:bCs/>
          <w:spacing w:val="-3"/>
          <w:sz w:val="24"/>
          <w:szCs w:val="24"/>
        </w:rPr>
        <w:t xml:space="preserve"> wit</w:t>
      </w:r>
      <w:r w:rsidR="006A0BB4">
        <w:rPr>
          <w:rFonts w:ascii="Times New Roman" w:hAnsi="Times New Roman" w:cs="Times New Roman"/>
          <w:bCs/>
          <w:spacing w:val="-3"/>
          <w:sz w:val="24"/>
          <w:szCs w:val="24"/>
        </w:rPr>
        <w:t>h</w:t>
      </w:r>
      <w:r w:rsidR="001A23A4" w:rsidRPr="001A23A4">
        <w:rPr>
          <w:rFonts w:ascii="Times New Roman" w:hAnsi="Times New Roman" w:cs="Times New Roman"/>
          <w:bCs/>
          <w:spacing w:val="-3"/>
          <w:sz w:val="24"/>
          <w:szCs w:val="24"/>
        </w:rPr>
        <w:t xml:space="preserve"> market share</w:t>
      </w:r>
      <w:r w:rsidR="006A0BB4">
        <w:rPr>
          <w:rFonts w:ascii="Times New Roman" w:hAnsi="Times New Roman" w:cs="Times New Roman"/>
          <w:bCs/>
          <w:spacing w:val="-3"/>
          <w:sz w:val="24"/>
          <w:szCs w:val="24"/>
        </w:rPr>
        <w:t>s</w:t>
      </w:r>
      <w:r w:rsidR="001A23A4" w:rsidRPr="001A23A4">
        <w:rPr>
          <w:rFonts w:ascii="Times New Roman" w:hAnsi="Times New Roman" w:cs="Times New Roman"/>
          <w:bCs/>
          <w:spacing w:val="-3"/>
          <w:sz w:val="24"/>
          <w:szCs w:val="24"/>
        </w:rPr>
        <w:t xml:space="preserve"> of 0.7 percent, 0.7 percent and 0.5 </w:t>
      </w:r>
      <w:r w:rsidR="00885105" w:rsidRPr="001A23A4">
        <w:rPr>
          <w:rFonts w:ascii="Times New Roman" w:hAnsi="Times New Roman" w:cs="Times New Roman"/>
          <w:bCs/>
          <w:spacing w:val="-3"/>
          <w:sz w:val="24"/>
          <w:szCs w:val="24"/>
        </w:rPr>
        <w:t>percent, respectively.</w:t>
      </w:r>
    </w:p>
    <w:p w14:paraId="71C50A83" w14:textId="77777777" w:rsidR="006F50C8" w:rsidRDefault="006F50C8" w:rsidP="00E50970">
      <w:pPr>
        <w:spacing w:after="0" w:line="240" w:lineRule="auto"/>
        <w:rPr>
          <w:rFonts w:ascii="Times New Roman" w:eastAsia="Times New Roman" w:hAnsi="Times New Roman" w:cs="Times New Roman"/>
          <w:color w:val="000000"/>
          <w:sz w:val="24"/>
          <w:szCs w:val="24"/>
        </w:rPr>
      </w:pPr>
    </w:p>
    <w:p w14:paraId="2F31285F" w14:textId="77777777" w:rsidR="00725496" w:rsidRPr="00725496" w:rsidRDefault="00725496" w:rsidP="00E50970">
      <w:pPr>
        <w:spacing w:after="0" w:line="240" w:lineRule="auto"/>
        <w:rPr>
          <w:rFonts w:ascii="Times New Roman" w:eastAsia="Times New Roman" w:hAnsi="Times New Roman" w:cs="Times New Roman"/>
          <w:b/>
          <w:color w:val="000000"/>
          <w:sz w:val="24"/>
          <w:szCs w:val="24"/>
          <w:u w:val="single"/>
        </w:rPr>
      </w:pPr>
      <w:r w:rsidRPr="00725496">
        <w:rPr>
          <w:rFonts w:ascii="Times New Roman" w:eastAsia="Times New Roman" w:hAnsi="Times New Roman" w:cs="Times New Roman"/>
          <w:b/>
          <w:color w:val="000000"/>
          <w:sz w:val="24"/>
          <w:szCs w:val="24"/>
          <w:u w:val="single"/>
        </w:rPr>
        <w:t>Community Contact</w:t>
      </w:r>
    </w:p>
    <w:p w14:paraId="0BE683D4" w14:textId="77777777" w:rsidR="00725496" w:rsidRDefault="00725496" w:rsidP="00E50970">
      <w:pPr>
        <w:spacing w:after="0" w:line="240" w:lineRule="auto"/>
        <w:rPr>
          <w:rFonts w:ascii="Times New Roman" w:eastAsia="Times New Roman" w:hAnsi="Times New Roman" w:cs="Times New Roman"/>
          <w:color w:val="000000"/>
          <w:sz w:val="24"/>
          <w:szCs w:val="24"/>
        </w:rPr>
      </w:pPr>
    </w:p>
    <w:p w14:paraId="255C2227" w14:textId="2E6F9D6A" w:rsidR="00725496" w:rsidRPr="00DD613B" w:rsidRDefault="00F85256" w:rsidP="0072549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Examiners contacted an</w:t>
      </w:r>
      <w:r w:rsidR="00725496" w:rsidRPr="00DD613B">
        <w:rPr>
          <w:rFonts w:ascii="Times New Roman" w:hAnsi="Times New Roman" w:cs="Times New Roman"/>
          <w:bCs/>
          <w:iCs/>
          <w:sz w:val="24"/>
          <w:szCs w:val="24"/>
        </w:rPr>
        <w:t xml:space="preserve"> organization</w:t>
      </w:r>
      <w:r w:rsidR="00916519">
        <w:rPr>
          <w:rFonts w:ascii="Times New Roman" w:hAnsi="Times New Roman" w:cs="Times New Roman"/>
          <w:bCs/>
          <w:iCs/>
          <w:sz w:val="24"/>
          <w:szCs w:val="24"/>
        </w:rPr>
        <w:t xml:space="preserve"> in Providence</w:t>
      </w:r>
      <w:r w:rsidR="00725496" w:rsidRPr="00DD613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that </w:t>
      </w:r>
      <w:r w:rsidR="00725496" w:rsidRPr="00DD613B">
        <w:rPr>
          <w:rFonts w:ascii="Times New Roman" w:hAnsi="Times New Roman" w:cs="Times New Roman"/>
          <w:bCs/>
          <w:iCs/>
          <w:sz w:val="24"/>
          <w:szCs w:val="24"/>
        </w:rPr>
        <w:t xml:space="preserve">revitalizes buildings </w:t>
      </w:r>
      <w:r w:rsidR="00EE6D83">
        <w:rPr>
          <w:rFonts w:ascii="Times New Roman" w:hAnsi="Times New Roman" w:cs="Times New Roman"/>
          <w:bCs/>
          <w:iCs/>
          <w:sz w:val="24"/>
          <w:szCs w:val="24"/>
        </w:rPr>
        <w:t>and</w:t>
      </w:r>
      <w:r w:rsidR="00725496" w:rsidRPr="00DD613B">
        <w:rPr>
          <w:rFonts w:ascii="Times New Roman" w:hAnsi="Times New Roman" w:cs="Times New Roman"/>
          <w:bCs/>
          <w:iCs/>
          <w:sz w:val="24"/>
          <w:szCs w:val="24"/>
        </w:rPr>
        <w:t xml:space="preserve"> homes </w:t>
      </w:r>
      <w:r w:rsidR="00916519">
        <w:rPr>
          <w:rFonts w:ascii="Times New Roman" w:hAnsi="Times New Roman" w:cs="Times New Roman"/>
          <w:bCs/>
          <w:iCs/>
          <w:sz w:val="24"/>
          <w:szCs w:val="24"/>
        </w:rPr>
        <w:t>to provide</w:t>
      </w:r>
      <w:r w:rsidR="00725496" w:rsidRPr="00DD613B">
        <w:rPr>
          <w:rFonts w:ascii="Times New Roman" w:hAnsi="Times New Roman" w:cs="Times New Roman"/>
          <w:bCs/>
          <w:iCs/>
          <w:sz w:val="24"/>
          <w:szCs w:val="24"/>
        </w:rPr>
        <w:t xml:space="preserve"> safe and affordable housing for low- and moderate-income </w:t>
      </w:r>
      <w:r w:rsidR="00916519">
        <w:rPr>
          <w:rFonts w:ascii="Times New Roman" w:hAnsi="Times New Roman" w:cs="Times New Roman"/>
          <w:bCs/>
          <w:iCs/>
          <w:sz w:val="24"/>
          <w:szCs w:val="24"/>
        </w:rPr>
        <w:t>families</w:t>
      </w:r>
      <w:r w:rsidR="00725496" w:rsidRPr="00DD613B">
        <w:rPr>
          <w:rFonts w:ascii="Times New Roman" w:hAnsi="Times New Roman" w:cs="Times New Roman"/>
          <w:bCs/>
          <w:iCs/>
          <w:sz w:val="24"/>
          <w:szCs w:val="24"/>
        </w:rPr>
        <w:t xml:space="preserve">.  The contact </w:t>
      </w:r>
      <w:r w:rsidR="00EE6D83">
        <w:rPr>
          <w:rFonts w:ascii="Times New Roman" w:hAnsi="Times New Roman" w:cs="Times New Roman"/>
          <w:bCs/>
          <w:iCs/>
          <w:sz w:val="24"/>
          <w:szCs w:val="24"/>
        </w:rPr>
        <w:t xml:space="preserve">indicated </w:t>
      </w:r>
      <w:r w:rsidR="000F1C6B">
        <w:rPr>
          <w:rFonts w:ascii="Times New Roman" w:hAnsi="Times New Roman" w:cs="Times New Roman"/>
          <w:bCs/>
          <w:iCs/>
          <w:sz w:val="24"/>
          <w:szCs w:val="24"/>
        </w:rPr>
        <w:t xml:space="preserve">that </w:t>
      </w:r>
      <w:r w:rsidR="000F1C6B" w:rsidRPr="00DD613B">
        <w:rPr>
          <w:rFonts w:ascii="Times New Roman" w:hAnsi="Times New Roman" w:cs="Times New Roman"/>
          <w:bCs/>
          <w:iCs/>
          <w:sz w:val="24"/>
          <w:szCs w:val="24"/>
        </w:rPr>
        <w:t>affordable</w:t>
      </w:r>
      <w:r w:rsidR="00725496" w:rsidRPr="00DD613B">
        <w:rPr>
          <w:rFonts w:ascii="Times New Roman" w:hAnsi="Times New Roman" w:cs="Times New Roman"/>
          <w:bCs/>
          <w:iCs/>
          <w:sz w:val="24"/>
          <w:szCs w:val="24"/>
        </w:rPr>
        <w:t xml:space="preserve"> home ownership and home repair opportunities</w:t>
      </w:r>
      <w:r w:rsidR="00EE6D83">
        <w:rPr>
          <w:rFonts w:ascii="Times New Roman" w:hAnsi="Times New Roman" w:cs="Times New Roman"/>
          <w:bCs/>
          <w:iCs/>
          <w:sz w:val="24"/>
          <w:szCs w:val="24"/>
        </w:rPr>
        <w:t xml:space="preserve"> are needs within the area</w:t>
      </w:r>
      <w:r w:rsidR="00725496" w:rsidRPr="00DD613B">
        <w:rPr>
          <w:rFonts w:ascii="Times New Roman" w:hAnsi="Times New Roman" w:cs="Times New Roman"/>
          <w:bCs/>
          <w:iCs/>
          <w:sz w:val="24"/>
          <w:szCs w:val="24"/>
        </w:rPr>
        <w:t>.  A majority of the housing stock in Providence was built pre-1940s</w:t>
      </w:r>
      <w:r w:rsidR="00916519">
        <w:rPr>
          <w:rFonts w:ascii="Times New Roman" w:hAnsi="Times New Roman" w:cs="Times New Roman"/>
          <w:bCs/>
          <w:iCs/>
          <w:sz w:val="24"/>
          <w:szCs w:val="24"/>
        </w:rPr>
        <w:t>,</w:t>
      </w:r>
      <w:r w:rsidR="00725496" w:rsidRPr="00DD613B">
        <w:rPr>
          <w:rFonts w:ascii="Times New Roman" w:hAnsi="Times New Roman" w:cs="Times New Roman"/>
          <w:bCs/>
          <w:iCs/>
          <w:sz w:val="24"/>
          <w:szCs w:val="24"/>
        </w:rPr>
        <w:t xml:space="preserve"> and low- and moderate-income homeowners struggle to afford purchasing and caring for these properties.</w:t>
      </w:r>
    </w:p>
    <w:p w14:paraId="5A96E63E" w14:textId="77777777" w:rsidR="00725496" w:rsidRPr="00DD613B" w:rsidRDefault="00725496" w:rsidP="00725496">
      <w:pPr>
        <w:spacing w:after="0" w:line="240" w:lineRule="auto"/>
        <w:rPr>
          <w:rFonts w:ascii="Times New Roman" w:hAnsi="Times New Roman" w:cs="Times New Roman"/>
          <w:bCs/>
          <w:iCs/>
          <w:sz w:val="24"/>
          <w:szCs w:val="24"/>
        </w:rPr>
      </w:pPr>
    </w:p>
    <w:p w14:paraId="6A0BBB94" w14:textId="4F861EE2" w:rsidR="00725496" w:rsidRPr="00DD613B" w:rsidRDefault="00725496" w:rsidP="00725496">
      <w:pPr>
        <w:spacing w:after="0" w:line="240" w:lineRule="auto"/>
        <w:rPr>
          <w:rFonts w:ascii="Times New Roman" w:hAnsi="Times New Roman" w:cs="Times New Roman"/>
          <w:bCs/>
          <w:iCs/>
          <w:sz w:val="24"/>
          <w:szCs w:val="24"/>
        </w:rPr>
      </w:pPr>
      <w:r w:rsidRPr="00DD613B">
        <w:rPr>
          <w:rFonts w:ascii="Times New Roman" w:hAnsi="Times New Roman" w:cs="Times New Roman"/>
          <w:bCs/>
          <w:iCs/>
          <w:sz w:val="24"/>
          <w:szCs w:val="24"/>
        </w:rPr>
        <w:t>According to the contact, the first-time homebuyers and low- and moderate-income persons that struggle</w:t>
      </w:r>
      <w:r w:rsidR="00EE6D83">
        <w:rPr>
          <w:rFonts w:ascii="Times New Roman" w:hAnsi="Times New Roman" w:cs="Times New Roman"/>
          <w:bCs/>
          <w:iCs/>
          <w:sz w:val="24"/>
          <w:szCs w:val="24"/>
        </w:rPr>
        <w:t>d</w:t>
      </w:r>
      <w:r w:rsidRPr="00DD613B">
        <w:rPr>
          <w:rFonts w:ascii="Times New Roman" w:hAnsi="Times New Roman" w:cs="Times New Roman"/>
          <w:bCs/>
          <w:iCs/>
          <w:sz w:val="24"/>
          <w:szCs w:val="24"/>
        </w:rPr>
        <w:t xml:space="preserve"> to afford purchasing a home in Providence have achieved home ownership through loans with flexible down payment options and down payment loans.  However, low- and moderate-income borrowers using these targeted programs often have large mortgages or multiple liens on their property, which reduces their available home equity.  As a result, the contact stated that many low- and moderate-income homeowners struggle to qualify for home equity loans or lines of credit, which forces them to pay for repairs and improvements out of pocket, or defer necessary maintenance and allow their homes to fall into disrepair.  Much of the available housing stock needs rehabilitation, as many homes have code violations, lead paint, and foundation or roofing problems.</w:t>
      </w:r>
    </w:p>
    <w:p w14:paraId="5F27FB8C" w14:textId="77777777" w:rsidR="00725496" w:rsidRPr="00DD613B" w:rsidRDefault="00725496" w:rsidP="00725496">
      <w:pPr>
        <w:spacing w:after="0" w:line="240" w:lineRule="auto"/>
        <w:rPr>
          <w:rFonts w:ascii="Times New Roman" w:hAnsi="Times New Roman" w:cs="Times New Roman"/>
          <w:bCs/>
          <w:iCs/>
          <w:sz w:val="24"/>
          <w:szCs w:val="24"/>
        </w:rPr>
      </w:pPr>
    </w:p>
    <w:p w14:paraId="1BEA2173" w14:textId="1971971A" w:rsidR="00725496" w:rsidRDefault="00916519" w:rsidP="0072549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The contact also expressed that small business</w:t>
      </w:r>
      <w:r w:rsidR="00725496" w:rsidRPr="00DD613B">
        <w:rPr>
          <w:rFonts w:ascii="Times New Roman" w:hAnsi="Times New Roman" w:cs="Times New Roman"/>
          <w:bCs/>
          <w:iCs/>
          <w:sz w:val="24"/>
          <w:szCs w:val="24"/>
        </w:rPr>
        <w:t xml:space="preserve"> owners need financial assistance because of the COVID-19 Pandemic.  </w:t>
      </w:r>
      <w:r>
        <w:rPr>
          <w:rFonts w:ascii="Times New Roman" w:hAnsi="Times New Roman" w:cs="Times New Roman"/>
          <w:bCs/>
          <w:iCs/>
          <w:sz w:val="24"/>
          <w:szCs w:val="24"/>
        </w:rPr>
        <w:t>B</w:t>
      </w:r>
      <w:r w:rsidR="00725496" w:rsidRPr="00DD613B">
        <w:rPr>
          <w:rFonts w:ascii="Times New Roman" w:hAnsi="Times New Roman" w:cs="Times New Roman"/>
          <w:bCs/>
          <w:iCs/>
          <w:sz w:val="24"/>
          <w:szCs w:val="24"/>
        </w:rPr>
        <w:t xml:space="preserve">usinesses </w:t>
      </w:r>
      <w:r>
        <w:rPr>
          <w:rFonts w:ascii="Times New Roman" w:hAnsi="Times New Roman" w:cs="Times New Roman"/>
          <w:bCs/>
          <w:iCs/>
          <w:sz w:val="24"/>
          <w:szCs w:val="24"/>
        </w:rPr>
        <w:t xml:space="preserve">have </w:t>
      </w:r>
      <w:r w:rsidR="00725496" w:rsidRPr="00DD613B">
        <w:rPr>
          <w:rFonts w:ascii="Times New Roman" w:hAnsi="Times New Roman" w:cs="Times New Roman"/>
          <w:bCs/>
          <w:iCs/>
          <w:sz w:val="24"/>
          <w:szCs w:val="24"/>
        </w:rPr>
        <w:t>struggled to provide the required application documentation for PPP loans</w:t>
      </w:r>
      <w:r w:rsidR="00BC7927">
        <w:rPr>
          <w:rFonts w:ascii="Times New Roman" w:hAnsi="Times New Roman" w:cs="Times New Roman"/>
          <w:bCs/>
          <w:iCs/>
          <w:sz w:val="24"/>
          <w:szCs w:val="24"/>
        </w:rPr>
        <w:t xml:space="preserve"> and</w:t>
      </w:r>
      <w:r w:rsidR="00725496" w:rsidRPr="00DD613B">
        <w:rPr>
          <w:rFonts w:ascii="Times New Roman" w:hAnsi="Times New Roman" w:cs="Times New Roman"/>
          <w:bCs/>
          <w:iCs/>
          <w:sz w:val="24"/>
          <w:szCs w:val="24"/>
        </w:rPr>
        <w:t xml:space="preserve"> found the application process confusing, and many were </w:t>
      </w:r>
      <w:r w:rsidR="00BC7927">
        <w:rPr>
          <w:rFonts w:ascii="Times New Roman" w:hAnsi="Times New Roman" w:cs="Times New Roman"/>
          <w:bCs/>
          <w:iCs/>
          <w:sz w:val="24"/>
          <w:szCs w:val="24"/>
        </w:rPr>
        <w:t xml:space="preserve">ultimately </w:t>
      </w:r>
      <w:r w:rsidR="00725496" w:rsidRPr="00DD613B">
        <w:rPr>
          <w:rFonts w:ascii="Times New Roman" w:hAnsi="Times New Roman" w:cs="Times New Roman"/>
          <w:bCs/>
          <w:iCs/>
          <w:sz w:val="24"/>
          <w:szCs w:val="24"/>
        </w:rPr>
        <w:t xml:space="preserve">denied for PPP loans.  According to the contact, not all businesses are able to pull required payroll records or receipts quickly, especially those operated by non-native English speakers, and businesses denied for PPP loans often closed due to lack of financial support.  The contact </w:t>
      </w:r>
      <w:r w:rsidR="00BC7927">
        <w:rPr>
          <w:rFonts w:ascii="Times New Roman" w:hAnsi="Times New Roman" w:cs="Times New Roman"/>
          <w:bCs/>
          <w:iCs/>
          <w:sz w:val="24"/>
          <w:szCs w:val="24"/>
        </w:rPr>
        <w:t xml:space="preserve">also </w:t>
      </w:r>
      <w:r w:rsidR="00725496" w:rsidRPr="00DD613B">
        <w:rPr>
          <w:rFonts w:ascii="Times New Roman" w:hAnsi="Times New Roman" w:cs="Times New Roman"/>
          <w:bCs/>
          <w:iCs/>
          <w:sz w:val="24"/>
          <w:szCs w:val="24"/>
        </w:rPr>
        <w:t>suggested small businesses need financial literacy and financial assistance.</w:t>
      </w:r>
    </w:p>
    <w:p w14:paraId="0011E85C" w14:textId="77777777" w:rsidR="00725496" w:rsidRDefault="00725496" w:rsidP="00725496">
      <w:pPr>
        <w:spacing w:after="0" w:line="240" w:lineRule="auto"/>
        <w:rPr>
          <w:rFonts w:ascii="Times New Roman" w:hAnsi="Times New Roman" w:cs="Times New Roman"/>
          <w:bCs/>
          <w:iCs/>
          <w:sz w:val="24"/>
          <w:szCs w:val="24"/>
        </w:rPr>
      </w:pPr>
    </w:p>
    <w:p w14:paraId="4A0BD203" w14:textId="77777777" w:rsidR="00725496" w:rsidRPr="00506ABC" w:rsidRDefault="00725496" w:rsidP="00725496">
      <w:pPr>
        <w:spacing w:after="0" w:line="240" w:lineRule="auto"/>
        <w:rPr>
          <w:rFonts w:ascii="Times New Roman" w:hAnsi="Times New Roman" w:cs="Times New Roman"/>
          <w:b/>
          <w:sz w:val="24"/>
          <w:szCs w:val="24"/>
          <w:u w:val="single"/>
        </w:rPr>
      </w:pPr>
      <w:r w:rsidRPr="00506ABC">
        <w:rPr>
          <w:rFonts w:ascii="Times New Roman" w:hAnsi="Times New Roman" w:cs="Times New Roman"/>
          <w:b/>
          <w:sz w:val="24"/>
          <w:szCs w:val="24"/>
          <w:u w:val="single"/>
        </w:rPr>
        <w:t>Credit and Community Development Needs and Opportunities</w:t>
      </w:r>
    </w:p>
    <w:p w14:paraId="42848699" w14:textId="77777777" w:rsidR="00725496" w:rsidRDefault="00725496" w:rsidP="00725496">
      <w:pPr>
        <w:spacing w:after="0" w:line="240" w:lineRule="auto"/>
        <w:rPr>
          <w:rFonts w:ascii="Times New Roman" w:hAnsi="Times New Roman" w:cs="Times New Roman"/>
          <w:b/>
          <w:sz w:val="24"/>
          <w:szCs w:val="24"/>
          <w:u w:val="single"/>
        </w:rPr>
      </w:pPr>
    </w:p>
    <w:p w14:paraId="712C63F6" w14:textId="77777777" w:rsidR="00725496" w:rsidRPr="00A62792" w:rsidRDefault="00725496" w:rsidP="00725496">
      <w:pPr>
        <w:tabs>
          <w:tab w:val="left" w:pos="720"/>
          <w:tab w:val="left" w:pos="1440"/>
          <w:tab w:val="left" w:pos="2160"/>
          <w:tab w:val="left" w:pos="2880"/>
          <w:tab w:val="left" w:pos="3600"/>
          <w:tab w:val="left" w:pos="5328"/>
          <w:tab w:val="left" w:pos="11520"/>
        </w:tabs>
        <w:spacing w:after="0" w:line="240" w:lineRule="auto"/>
        <w:rPr>
          <w:rFonts w:ascii="Times New Roman" w:hAnsi="Times New Roman" w:cs="Times New Roman"/>
          <w:bCs/>
          <w:iCs/>
          <w:sz w:val="24"/>
          <w:szCs w:val="24"/>
        </w:rPr>
      </w:pPr>
      <w:r w:rsidRPr="00A62792">
        <w:rPr>
          <w:rFonts w:ascii="Times New Roman" w:hAnsi="Times New Roman" w:cs="Times New Roman"/>
          <w:bCs/>
          <w:iCs/>
          <w:sz w:val="24"/>
          <w:szCs w:val="24"/>
        </w:rPr>
        <w:t>Examiners determined the primary needs of the assessment area based on demographic and economic information, discussions with bank management, and information from community contacts.  The needs and opportunities include affordable housi</w:t>
      </w:r>
      <w:r>
        <w:rPr>
          <w:rFonts w:ascii="Times New Roman" w:hAnsi="Times New Roman" w:cs="Times New Roman"/>
          <w:bCs/>
          <w:iCs/>
          <w:sz w:val="24"/>
          <w:szCs w:val="24"/>
        </w:rPr>
        <w:t>ng, community services,</w:t>
      </w:r>
      <w:r w:rsidRPr="00A62792">
        <w:rPr>
          <w:rFonts w:ascii="Times New Roman" w:hAnsi="Times New Roman" w:cs="Times New Roman"/>
          <w:bCs/>
          <w:iCs/>
          <w:sz w:val="24"/>
          <w:szCs w:val="24"/>
        </w:rPr>
        <w:t xml:space="preserve"> and economic development.  </w:t>
      </w:r>
      <w:r w:rsidRPr="00A62792">
        <w:rPr>
          <w:rFonts w:ascii="Times New Roman" w:hAnsi="Times New Roman" w:cs="Times New Roman"/>
          <w:bCs/>
          <w:spacing w:val="-3"/>
          <w:sz w:val="24"/>
          <w:szCs w:val="24"/>
        </w:rPr>
        <w:t>Financial institutions have an opportunity to support community needs through innovative and flexible lending programs, community development loa</w:t>
      </w:r>
      <w:r>
        <w:rPr>
          <w:rFonts w:ascii="Times New Roman" w:hAnsi="Times New Roman" w:cs="Times New Roman"/>
          <w:bCs/>
          <w:spacing w:val="-3"/>
          <w:sz w:val="24"/>
          <w:szCs w:val="24"/>
        </w:rPr>
        <w:t>ns, investments, and services.</w:t>
      </w:r>
    </w:p>
    <w:p w14:paraId="4F03C00A" w14:textId="77777777" w:rsidR="00725496" w:rsidRPr="00A62792" w:rsidRDefault="00725496" w:rsidP="00725496">
      <w:pPr>
        <w:tabs>
          <w:tab w:val="left" w:pos="720"/>
          <w:tab w:val="left" w:pos="1440"/>
          <w:tab w:val="left" w:pos="2160"/>
          <w:tab w:val="left" w:pos="2880"/>
          <w:tab w:val="left" w:pos="3600"/>
          <w:tab w:val="left" w:pos="5328"/>
          <w:tab w:val="left" w:pos="11520"/>
        </w:tabs>
        <w:spacing w:after="0" w:line="240" w:lineRule="auto"/>
        <w:rPr>
          <w:rFonts w:ascii="Times New Roman" w:hAnsi="Times New Roman" w:cs="Times New Roman"/>
          <w:bCs/>
          <w:iCs/>
          <w:sz w:val="24"/>
          <w:szCs w:val="24"/>
        </w:rPr>
      </w:pPr>
    </w:p>
    <w:p w14:paraId="5DEB1A38" w14:textId="2E317AE7" w:rsidR="00725496" w:rsidRPr="00A62792" w:rsidRDefault="00725496" w:rsidP="00725496">
      <w:pPr>
        <w:tabs>
          <w:tab w:val="left" w:pos="720"/>
          <w:tab w:val="left" w:pos="1440"/>
          <w:tab w:val="left" w:pos="2160"/>
          <w:tab w:val="left" w:pos="2880"/>
          <w:tab w:val="left" w:pos="3600"/>
          <w:tab w:val="left" w:pos="5328"/>
          <w:tab w:val="left" w:pos="11520"/>
        </w:tabs>
        <w:spacing w:after="0" w:line="240" w:lineRule="auto"/>
        <w:rPr>
          <w:rFonts w:ascii="Times New Roman" w:hAnsi="Times New Roman" w:cs="Times New Roman"/>
          <w:bCs/>
          <w:iCs/>
          <w:sz w:val="24"/>
          <w:szCs w:val="24"/>
        </w:rPr>
      </w:pPr>
      <w:r w:rsidRPr="00A62792">
        <w:rPr>
          <w:rFonts w:ascii="Times New Roman" w:hAnsi="Times New Roman" w:cs="Times New Roman"/>
          <w:bCs/>
          <w:iCs/>
          <w:sz w:val="24"/>
          <w:szCs w:val="24"/>
        </w:rPr>
        <w:t xml:space="preserve">There is an overall need for affordable housing in the area, especially in low- and moderate-income geographies, due to relatively high home prices and varied income and housing demographics </w:t>
      </w:r>
      <w:r w:rsidRPr="00A62792">
        <w:rPr>
          <w:rFonts w:ascii="Times New Roman" w:hAnsi="Times New Roman" w:cs="Times New Roman"/>
          <w:bCs/>
          <w:iCs/>
          <w:sz w:val="24"/>
          <w:szCs w:val="24"/>
        </w:rPr>
        <w:lastRenderedPageBreak/>
        <w:t xml:space="preserve">depending on the town or city.  Low- and moderate-income individuals would benefit from low-cost home mortgage loans, first-time homebuyer programs, and down payment assistance.  Additionally, </w:t>
      </w:r>
      <w:r w:rsidR="00A11B5E" w:rsidRPr="00A62792">
        <w:rPr>
          <w:rFonts w:ascii="Times New Roman" w:hAnsi="Times New Roman" w:cs="Times New Roman"/>
          <w:bCs/>
          <w:iCs/>
          <w:sz w:val="24"/>
          <w:szCs w:val="24"/>
        </w:rPr>
        <w:t>there is a need for economic development as low- and moderate-income areas continue to struggle with unemployment and business retention, a need elevated by the ongoing COVID-19 Pandemic.  Small dollar loans would help low- and moderate-income individuals struggling to pay basic expenses due to job loss.  Small businesses affected by the pandemic and individuals struggling to navigate the loan application process would benefit from small dollar loans, financial literacy programs, and multi-lingual loan officers.</w:t>
      </w:r>
    </w:p>
    <w:p w14:paraId="1F59C757" w14:textId="77777777" w:rsidR="00725496" w:rsidRPr="00A62792" w:rsidRDefault="00725496" w:rsidP="00725496">
      <w:pPr>
        <w:tabs>
          <w:tab w:val="left" w:pos="720"/>
          <w:tab w:val="left" w:pos="1440"/>
          <w:tab w:val="left" w:pos="2160"/>
          <w:tab w:val="left" w:pos="2880"/>
          <w:tab w:val="left" w:pos="3600"/>
          <w:tab w:val="left" w:pos="5328"/>
          <w:tab w:val="left" w:pos="11520"/>
        </w:tabs>
        <w:spacing w:after="0" w:line="240" w:lineRule="auto"/>
        <w:rPr>
          <w:rFonts w:ascii="Times New Roman" w:hAnsi="Times New Roman" w:cs="Times New Roman"/>
          <w:bCs/>
          <w:iCs/>
          <w:sz w:val="24"/>
          <w:szCs w:val="24"/>
        </w:rPr>
      </w:pPr>
    </w:p>
    <w:p w14:paraId="524104C9" w14:textId="407128B4" w:rsidR="00725496" w:rsidRPr="00A62792" w:rsidRDefault="00725496" w:rsidP="00725496">
      <w:pPr>
        <w:tabs>
          <w:tab w:val="left" w:pos="720"/>
          <w:tab w:val="left" w:pos="1440"/>
          <w:tab w:val="left" w:pos="2160"/>
          <w:tab w:val="left" w:pos="2880"/>
          <w:tab w:val="left" w:pos="3600"/>
          <w:tab w:val="left" w:pos="5328"/>
          <w:tab w:val="left" w:pos="11520"/>
        </w:tabs>
        <w:spacing w:after="0" w:line="240" w:lineRule="auto"/>
        <w:rPr>
          <w:rFonts w:ascii="Times New Roman" w:hAnsi="Times New Roman" w:cs="Times New Roman"/>
          <w:bCs/>
          <w:iCs/>
          <w:sz w:val="24"/>
          <w:szCs w:val="24"/>
        </w:rPr>
      </w:pPr>
      <w:r w:rsidRPr="00A62792">
        <w:rPr>
          <w:rFonts w:ascii="Times New Roman" w:hAnsi="Times New Roman" w:cs="Times New Roman"/>
          <w:bCs/>
          <w:iCs/>
          <w:sz w:val="24"/>
          <w:szCs w:val="24"/>
        </w:rPr>
        <w:t>Lastly,</w:t>
      </w:r>
      <w:r w:rsidR="00A11B5E">
        <w:rPr>
          <w:rFonts w:ascii="Times New Roman" w:hAnsi="Times New Roman" w:cs="Times New Roman"/>
          <w:bCs/>
          <w:iCs/>
          <w:sz w:val="24"/>
          <w:szCs w:val="24"/>
        </w:rPr>
        <w:t xml:space="preserve"> </w:t>
      </w:r>
      <w:r w:rsidR="00A11B5E" w:rsidRPr="00A62792">
        <w:rPr>
          <w:rFonts w:ascii="Times New Roman" w:hAnsi="Times New Roman" w:cs="Times New Roman"/>
          <w:bCs/>
          <w:iCs/>
          <w:sz w:val="24"/>
          <w:szCs w:val="24"/>
        </w:rPr>
        <w:t>there is a need for revitalization and stabilization projects in the cities of Providence, Fall River</w:t>
      </w:r>
      <w:r w:rsidR="00BC7927">
        <w:rPr>
          <w:rFonts w:ascii="Times New Roman" w:hAnsi="Times New Roman" w:cs="Times New Roman"/>
          <w:bCs/>
          <w:iCs/>
          <w:sz w:val="24"/>
          <w:szCs w:val="24"/>
        </w:rPr>
        <w:t>,</w:t>
      </w:r>
      <w:r w:rsidR="00A11B5E" w:rsidRPr="00A62792">
        <w:rPr>
          <w:rFonts w:ascii="Times New Roman" w:hAnsi="Times New Roman" w:cs="Times New Roman"/>
          <w:bCs/>
          <w:iCs/>
          <w:sz w:val="24"/>
          <w:szCs w:val="24"/>
        </w:rPr>
        <w:t xml:space="preserve"> and New Bedford, where housing stock is outdated and needs restoration.  Low- and moderate-income homeowners in these areas would benefit from home repair loans that support owners with limited to no home equity</w:t>
      </w:r>
      <w:r w:rsidR="00A11B5E">
        <w:rPr>
          <w:rFonts w:ascii="Times New Roman" w:hAnsi="Times New Roman" w:cs="Times New Roman"/>
          <w:bCs/>
          <w:iCs/>
          <w:sz w:val="24"/>
          <w:szCs w:val="24"/>
        </w:rPr>
        <w:t>.</w:t>
      </w:r>
      <w:r w:rsidRPr="00A62792">
        <w:rPr>
          <w:rFonts w:ascii="Times New Roman" w:hAnsi="Times New Roman" w:cs="Times New Roman"/>
          <w:bCs/>
          <w:iCs/>
          <w:sz w:val="24"/>
          <w:szCs w:val="24"/>
        </w:rPr>
        <w:t xml:space="preserve">  </w:t>
      </w:r>
    </w:p>
    <w:p w14:paraId="6A6C332C" w14:textId="08988F86" w:rsidR="00725496" w:rsidRPr="00E50970" w:rsidRDefault="00725496" w:rsidP="00E50970">
      <w:pPr>
        <w:spacing w:after="0" w:line="240" w:lineRule="auto"/>
        <w:rPr>
          <w:rFonts w:ascii="Times New Roman" w:eastAsia="Times New Roman" w:hAnsi="Times New Roman" w:cs="Times New Roman"/>
          <w:color w:val="000000"/>
          <w:sz w:val="24"/>
          <w:szCs w:val="24"/>
        </w:rPr>
      </w:pPr>
    </w:p>
    <w:p w14:paraId="53F40316" w14:textId="646F2A0E" w:rsidR="00E50970" w:rsidRPr="00E50970" w:rsidRDefault="00E50970" w:rsidP="00E5097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sz w:val="28"/>
          <w:szCs w:val="20"/>
        </w:rPr>
      </w:pPr>
      <w:bookmarkStart w:id="19" w:name="_Toc70419330"/>
      <w:r w:rsidRPr="00E50970">
        <w:rPr>
          <w:rFonts w:ascii="Times New Roman" w:eastAsia="Times New Roman" w:hAnsi="Times New Roman" w:cs="Times New Roman"/>
          <w:b/>
          <w:bCs/>
          <w:sz w:val="28"/>
          <w:szCs w:val="20"/>
        </w:rPr>
        <w:t xml:space="preserve">CONCLUSIONS ON PERFORMANCE CRITERIA IN </w:t>
      </w:r>
      <w:r w:rsidR="005840EB">
        <w:rPr>
          <w:rFonts w:ascii="Times New Roman" w:eastAsia="Times New Roman" w:hAnsi="Times New Roman" w:cs="Times New Roman"/>
          <w:b/>
          <w:bCs/>
          <w:sz w:val="28"/>
          <w:szCs w:val="20"/>
        </w:rPr>
        <w:t>RI-MA MSA</w:t>
      </w:r>
      <w:bookmarkEnd w:id="19"/>
    </w:p>
    <w:p w14:paraId="5327569B"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p>
    <w:p w14:paraId="27325C91" w14:textId="77777777" w:rsidR="00E50970" w:rsidRPr="00E50970" w:rsidRDefault="00E50970" w:rsidP="00E50970">
      <w:pPr>
        <w:spacing w:after="0" w:line="240" w:lineRule="auto"/>
        <w:rPr>
          <w:rFonts w:ascii="Times New Roman" w:eastAsia="Times New Roman" w:hAnsi="Times New Roman" w:cs="Times New Roman"/>
          <w:b/>
          <w:bCs/>
          <w:color w:val="000000"/>
          <w:sz w:val="24"/>
          <w:szCs w:val="24"/>
        </w:rPr>
      </w:pPr>
      <w:r w:rsidRPr="00E50970">
        <w:rPr>
          <w:rFonts w:ascii="Times New Roman" w:eastAsia="Times New Roman" w:hAnsi="Times New Roman" w:cs="Times New Roman"/>
          <w:b/>
          <w:bCs/>
          <w:color w:val="000000"/>
          <w:sz w:val="24"/>
          <w:szCs w:val="24"/>
        </w:rPr>
        <w:t>LENDING TEST</w:t>
      </w:r>
    </w:p>
    <w:p w14:paraId="5215DB80" w14:textId="77777777" w:rsidR="00E50970" w:rsidRDefault="00E50970" w:rsidP="00E50970">
      <w:pPr>
        <w:spacing w:after="0" w:line="240" w:lineRule="auto"/>
        <w:ind w:right="-360"/>
        <w:rPr>
          <w:rFonts w:ascii="Times New Roman" w:eastAsia="Times New Roman" w:hAnsi="Times New Roman" w:cs="Times New Roman"/>
          <w:iCs/>
          <w:color w:val="000000"/>
          <w:sz w:val="24"/>
          <w:szCs w:val="24"/>
        </w:rPr>
      </w:pPr>
    </w:p>
    <w:p w14:paraId="2B929983" w14:textId="251EC087" w:rsidR="00617C63" w:rsidRDefault="00617C63" w:rsidP="00617C63">
      <w:pPr>
        <w:spacing w:after="0" w:line="240" w:lineRule="auto"/>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 xml:space="preserve">HOB demonstrated </w:t>
      </w:r>
      <w:proofErr w:type="gramStart"/>
      <w:r w:rsidRPr="00F85256">
        <w:rPr>
          <w:rFonts w:ascii="Times New Roman" w:eastAsia="Times New Roman" w:hAnsi="Times New Roman" w:cs="Times New Roman"/>
          <w:bCs/>
          <w:spacing w:val="-3"/>
          <w:sz w:val="24"/>
          <w:szCs w:val="24"/>
        </w:rPr>
        <w:t>Outstanding</w:t>
      </w:r>
      <w:proofErr w:type="gramEnd"/>
      <w:r w:rsidRPr="00F85256">
        <w:rPr>
          <w:rFonts w:ascii="Times New Roman" w:eastAsia="Times New Roman" w:hAnsi="Times New Roman" w:cs="Times New Roman"/>
          <w:bCs/>
          <w:spacing w:val="-3"/>
          <w:sz w:val="24"/>
          <w:szCs w:val="24"/>
        </w:rPr>
        <w:t xml:space="preserve"> performance under the Lending Test.  The following sections provide support for the bank’s </w:t>
      </w:r>
      <w:r>
        <w:rPr>
          <w:rFonts w:ascii="Times New Roman" w:eastAsia="Times New Roman" w:hAnsi="Times New Roman" w:cs="Times New Roman"/>
          <w:bCs/>
          <w:spacing w:val="-3"/>
          <w:sz w:val="24"/>
          <w:szCs w:val="24"/>
        </w:rPr>
        <w:t>performance under each factor criteria.</w:t>
      </w:r>
    </w:p>
    <w:p w14:paraId="32181287" w14:textId="77777777" w:rsidR="00DB75C4" w:rsidRPr="00E50970" w:rsidRDefault="00DB75C4" w:rsidP="00E50970">
      <w:pPr>
        <w:spacing w:after="0" w:line="240" w:lineRule="auto"/>
        <w:ind w:right="-360"/>
        <w:rPr>
          <w:rFonts w:ascii="Times New Roman" w:eastAsia="Times New Roman" w:hAnsi="Times New Roman" w:cs="Times New Roman"/>
          <w:iCs/>
          <w:color w:val="000000"/>
          <w:sz w:val="24"/>
          <w:szCs w:val="24"/>
        </w:rPr>
      </w:pPr>
    </w:p>
    <w:p w14:paraId="608B9A03" w14:textId="77777777" w:rsidR="00E50970" w:rsidRPr="00E50970" w:rsidRDefault="00E50970" w:rsidP="00E50970">
      <w:pPr>
        <w:spacing w:after="0" w:line="240" w:lineRule="auto"/>
        <w:rPr>
          <w:rFonts w:ascii="Times New Roman" w:eastAsia="Times New Roman" w:hAnsi="Times New Roman" w:cs="Times New Roman"/>
          <w:b/>
          <w:bCs/>
          <w:spacing w:val="-3"/>
          <w:sz w:val="24"/>
          <w:szCs w:val="24"/>
          <w:u w:val="single"/>
        </w:rPr>
      </w:pPr>
      <w:r w:rsidRPr="00E50970">
        <w:rPr>
          <w:rFonts w:ascii="Times New Roman" w:eastAsia="Times New Roman" w:hAnsi="Times New Roman" w:cs="Times New Roman"/>
          <w:b/>
          <w:bCs/>
          <w:spacing w:val="-3"/>
          <w:sz w:val="24"/>
          <w:szCs w:val="24"/>
          <w:u w:val="single"/>
        </w:rPr>
        <w:t>Lending Activity</w:t>
      </w:r>
    </w:p>
    <w:p w14:paraId="6DA74438" w14:textId="0637DA9B" w:rsidR="00617C63" w:rsidRPr="005C02E3" w:rsidRDefault="00617C63" w:rsidP="00A33DF0">
      <w:pPr>
        <w:spacing w:after="0" w:line="240" w:lineRule="auto"/>
        <w:outlineLvl w:val="2"/>
        <w:rPr>
          <w:rFonts w:ascii="Times New Roman" w:hAnsi="Times New Roman" w:cs="Times New Roman"/>
          <w:sz w:val="24"/>
          <w:szCs w:val="24"/>
        </w:rPr>
      </w:pPr>
      <w:bookmarkStart w:id="20" w:name="_Toc70419331"/>
      <w:r w:rsidRPr="00E9294F">
        <w:rPr>
          <w:rFonts w:ascii="Times New Roman" w:hAnsi="Times New Roman" w:cs="Times New Roman"/>
          <w:bCs/>
          <w:spacing w:val="-3"/>
          <w:sz w:val="24"/>
          <w:szCs w:val="24"/>
        </w:rPr>
        <w:t xml:space="preserve">The bank’s lending levels reflect </w:t>
      </w:r>
      <w:r w:rsidR="00E452FE">
        <w:rPr>
          <w:rFonts w:ascii="Times New Roman" w:hAnsi="Times New Roman" w:cs="Times New Roman"/>
          <w:bCs/>
          <w:spacing w:val="-3"/>
          <w:sz w:val="24"/>
          <w:szCs w:val="24"/>
        </w:rPr>
        <w:t>good</w:t>
      </w:r>
      <w:r w:rsidRPr="00E9294F">
        <w:rPr>
          <w:rFonts w:ascii="Times New Roman" w:hAnsi="Times New Roman" w:cs="Times New Roman"/>
          <w:bCs/>
          <w:spacing w:val="-3"/>
          <w:sz w:val="24"/>
          <w:szCs w:val="24"/>
        </w:rPr>
        <w:t xml:space="preserve"> responsiveness to </w:t>
      </w:r>
      <w:r w:rsidR="005840EB">
        <w:rPr>
          <w:rFonts w:ascii="Times New Roman" w:hAnsi="Times New Roman" w:cs="Times New Roman"/>
          <w:bCs/>
          <w:spacing w:val="-3"/>
          <w:sz w:val="24"/>
          <w:szCs w:val="24"/>
        </w:rPr>
        <w:t>Providence</w:t>
      </w:r>
      <w:r w:rsidR="00A33DF0">
        <w:rPr>
          <w:rFonts w:ascii="Times New Roman" w:hAnsi="Times New Roman" w:cs="Times New Roman"/>
          <w:bCs/>
          <w:spacing w:val="-3"/>
          <w:sz w:val="24"/>
          <w:szCs w:val="24"/>
        </w:rPr>
        <w:t>,</w:t>
      </w:r>
      <w:r w:rsidR="005840EB">
        <w:rPr>
          <w:rFonts w:ascii="Times New Roman" w:hAnsi="Times New Roman" w:cs="Times New Roman"/>
          <w:bCs/>
          <w:spacing w:val="-3"/>
          <w:sz w:val="24"/>
          <w:szCs w:val="24"/>
        </w:rPr>
        <w:t xml:space="preserve"> RI-MA MSA</w:t>
      </w:r>
      <w:r w:rsidRPr="00E9294F">
        <w:rPr>
          <w:rFonts w:ascii="Times New Roman" w:hAnsi="Times New Roman" w:cs="Times New Roman"/>
          <w:bCs/>
          <w:spacing w:val="-3"/>
          <w:sz w:val="24"/>
          <w:szCs w:val="24"/>
        </w:rPr>
        <w:t xml:space="preserve"> credit needs.</w:t>
      </w:r>
      <w:bookmarkEnd w:id="20"/>
      <w:r w:rsidR="00A33DF0">
        <w:rPr>
          <w:rFonts w:ascii="Times New Roman" w:hAnsi="Times New Roman" w:cs="Times New Roman"/>
          <w:bCs/>
          <w:spacing w:val="-3"/>
          <w:sz w:val="24"/>
          <w:szCs w:val="24"/>
        </w:rPr>
        <w:t xml:space="preserve">  </w:t>
      </w:r>
      <w:r>
        <w:rPr>
          <w:rFonts w:ascii="Times New Roman" w:hAnsi="Times New Roman" w:cs="Times New Roman"/>
          <w:sz w:val="24"/>
          <w:szCs w:val="24"/>
        </w:rPr>
        <w:t>In 2019, HOB and HOME ori</w:t>
      </w:r>
      <w:r>
        <w:rPr>
          <w:rFonts w:ascii="Times New Roman" w:hAnsi="Times New Roman" w:cs="Times New Roman"/>
          <w:bCs/>
          <w:spacing w:val="-3"/>
          <w:sz w:val="24"/>
          <w:szCs w:val="24"/>
        </w:rPr>
        <w:t>ginated or purchased a combined t</w:t>
      </w:r>
      <w:r w:rsidR="00272E5D">
        <w:rPr>
          <w:rFonts w:ascii="Times New Roman" w:hAnsi="Times New Roman" w:cs="Times New Roman"/>
          <w:bCs/>
          <w:spacing w:val="-3"/>
          <w:sz w:val="24"/>
          <w:szCs w:val="24"/>
        </w:rPr>
        <w:t>otal of 688 home mortgage loans</w:t>
      </w:r>
      <w:r w:rsidR="00A33DF0">
        <w:rPr>
          <w:rFonts w:ascii="Times New Roman" w:hAnsi="Times New Roman" w:cs="Times New Roman"/>
          <w:bCs/>
          <w:spacing w:val="-3"/>
          <w:sz w:val="24"/>
          <w:szCs w:val="24"/>
        </w:rPr>
        <w:t>,</w:t>
      </w:r>
      <w:r>
        <w:rPr>
          <w:rFonts w:ascii="Times New Roman" w:hAnsi="Times New Roman" w:cs="Times New Roman"/>
          <w:bCs/>
          <w:spacing w:val="-3"/>
          <w:sz w:val="24"/>
          <w:szCs w:val="24"/>
        </w:rPr>
        <w:t xml:space="preserve"> </w:t>
      </w:r>
      <w:r w:rsidR="00A33DF0">
        <w:rPr>
          <w:rFonts w:ascii="Times New Roman" w:hAnsi="Times New Roman" w:cs="Times New Roman"/>
          <w:bCs/>
          <w:spacing w:val="-3"/>
          <w:sz w:val="24"/>
          <w:szCs w:val="24"/>
        </w:rPr>
        <w:t>ranking</w:t>
      </w:r>
      <w:r w:rsidRPr="005C02E3">
        <w:rPr>
          <w:rFonts w:ascii="Times New Roman" w:hAnsi="Times New Roman" w:cs="Times New Roman"/>
          <w:sz w:val="24"/>
          <w:szCs w:val="24"/>
        </w:rPr>
        <w:t xml:space="preserve"> 2</w:t>
      </w:r>
      <w:r>
        <w:rPr>
          <w:rFonts w:ascii="Times New Roman" w:hAnsi="Times New Roman" w:cs="Times New Roman"/>
          <w:sz w:val="24"/>
          <w:szCs w:val="24"/>
        </w:rPr>
        <w:t>6</w:t>
      </w:r>
      <w:r w:rsidRPr="005C02E3">
        <w:rPr>
          <w:rFonts w:ascii="Times New Roman" w:hAnsi="Times New Roman" w:cs="Times New Roman"/>
          <w:sz w:val="24"/>
          <w:szCs w:val="24"/>
          <w:vertAlign w:val="superscript"/>
        </w:rPr>
        <w:t>th</w:t>
      </w:r>
      <w:r w:rsidRPr="005C02E3">
        <w:rPr>
          <w:rFonts w:ascii="Times New Roman" w:hAnsi="Times New Roman" w:cs="Times New Roman"/>
          <w:sz w:val="24"/>
          <w:szCs w:val="24"/>
        </w:rPr>
        <w:t xml:space="preserve"> </w:t>
      </w:r>
      <w:r w:rsidR="00A33DF0">
        <w:rPr>
          <w:rFonts w:ascii="Times New Roman" w:hAnsi="Times New Roman" w:cs="Times New Roman"/>
          <w:sz w:val="24"/>
          <w:szCs w:val="24"/>
        </w:rPr>
        <w:t xml:space="preserve">among 520 lenders, </w:t>
      </w:r>
      <w:r w:rsidRPr="005C02E3">
        <w:rPr>
          <w:rFonts w:ascii="Times New Roman" w:hAnsi="Times New Roman" w:cs="Times New Roman"/>
          <w:sz w:val="24"/>
          <w:szCs w:val="24"/>
        </w:rPr>
        <w:t xml:space="preserve">with a market share </w:t>
      </w:r>
      <w:r>
        <w:rPr>
          <w:rFonts w:ascii="Times New Roman" w:hAnsi="Times New Roman" w:cs="Times New Roman"/>
          <w:sz w:val="24"/>
          <w:szCs w:val="24"/>
        </w:rPr>
        <w:t xml:space="preserve">of </w:t>
      </w:r>
      <w:r w:rsidRPr="005C02E3">
        <w:rPr>
          <w:rFonts w:ascii="Times New Roman" w:hAnsi="Times New Roman" w:cs="Times New Roman"/>
          <w:sz w:val="24"/>
          <w:szCs w:val="24"/>
        </w:rPr>
        <w:t>1.1 percent.</w:t>
      </w:r>
      <w:r>
        <w:rPr>
          <w:rFonts w:ascii="Times New Roman" w:hAnsi="Times New Roman" w:cs="Times New Roman"/>
          <w:iCs/>
          <w:sz w:val="24"/>
          <w:szCs w:val="24"/>
        </w:rPr>
        <w:t xml:space="preserve">  </w:t>
      </w:r>
      <w:r w:rsidR="00A33DF0">
        <w:rPr>
          <w:rFonts w:ascii="Times New Roman" w:hAnsi="Times New Roman" w:cs="Times New Roman"/>
          <w:iCs/>
          <w:sz w:val="24"/>
          <w:szCs w:val="24"/>
        </w:rPr>
        <w:t>Although</w:t>
      </w:r>
      <w:r>
        <w:rPr>
          <w:rFonts w:ascii="Times New Roman" w:hAnsi="Times New Roman" w:cs="Times New Roman"/>
          <w:iCs/>
          <w:sz w:val="24"/>
          <w:szCs w:val="24"/>
        </w:rPr>
        <w:t xml:space="preserve"> HOB and HOME were outperformed by W</w:t>
      </w:r>
      <w:r w:rsidR="004353B3">
        <w:rPr>
          <w:rFonts w:ascii="Times New Roman" w:hAnsi="Times New Roman" w:cs="Times New Roman"/>
          <w:iCs/>
          <w:sz w:val="24"/>
          <w:szCs w:val="24"/>
        </w:rPr>
        <w:t>ashington Trust Company and BayC</w:t>
      </w:r>
      <w:r>
        <w:rPr>
          <w:rFonts w:ascii="Times New Roman" w:hAnsi="Times New Roman" w:cs="Times New Roman"/>
          <w:iCs/>
          <w:sz w:val="24"/>
          <w:szCs w:val="24"/>
        </w:rPr>
        <w:t xml:space="preserve">oast Mortgage Company, </w:t>
      </w:r>
      <w:r w:rsidR="00F85256">
        <w:rPr>
          <w:rFonts w:ascii="Times New Roman" w:hAnsi="Times New Roman" w:cs="Times New Roman"/>
          <w:iCs/>
          <w:sz w:val="24"/>
          <w:szCs w:val="24"/>
        </w:rPr>
        <w:t>they</w:t>
      </w:r>
      <w:r>
        <w:rPr>
          <w:rFonts w:ascii="Times New Roman" w:hAnsi="Times New Roman" w:cs="Times New Roman"/>
          <w:iCs/>
          <w:sz w:val="24"/>
          <w:szCs w:val="24"/>
        </w:rPr>
        <w:t xml:space="preserve"> outperformed other community banks </w:t>
      </w:r>
      <w:r w:rsidR="00A33DF0">
        <w:rPr>
          <w:rFonts w:ascii="Times New Roman" w:hAnsi="Times New Roman" w:cs="Times New Roman"/>
          <w:iCs/>
          <w:sz w:val="24"/>
          <w:szCs w:val="24"/>
        </w:rPr>
        <w:t>operating</w:t>
      </w:r>
      <w:r>
        <w:rPr>
          <w:rFonts w:ascii="Times New Roman" w:hAnsi="Times New Roman" w:cs="Times New Roman"/>
          <w:iCs/>
          <w:sz w:val="24"/>
          <w:szCs w:val="24"/>
        </w:rPr>
        <w:t xml:space="preserve"> in the area</w:t>
      </w:r>
      <w:r w:rsidR="00863FA4">
        <w:rPr>
          <w:rFonts w:ascii="Times New Roman" w:hAnsi="Times New Roman" w:cs="Times New Roman"/>
          <w:iCs/>
          <w:sz w:val="24"/>
          <w:szCs w:val="24"/>
        </w:rPr>
        <w:t>, which is notable considering HOB’s recent expansion into most of the Providence, RI-MA MSA</w:t>
      </w:r>
      <w:r>
        <w:rPr>
          <w:rFonts w:ascii="Times New Roman" w:hAnsi="Times New Roman" w:cs="Times New Roman"/>
          <w:iCs/>
          <w:sz w:val="24"/>
          <w:szCs w:val="24"/>
        </w:rPr>
        <w:t>.</w:t>
      </w:r>
    </w:p>
    <w:p w14:paraId="44F10751" w14:textId="77777777" w:rsidR="00617C63" w:rsidRDefault="00617C63" w:rsidP="00A33DF0">
      <w:pPr>
        <w:spacing w:after="0" w:line="240" w:lineRule="auto"/>
        <w:rPr>
          <w:rFonts w:ascii="Times New Roman" w:eastAsia="Times New Roman" w:hAnsi="Times New Roman" w:cs="Times New Roman"/>
          <w:bCs/>
          <w:spacing w:val="-3"/>
          <w:sz w:val="24"/>
          <w:szCs w:val="24"/>
        </w:rPr>
      </w:pPr>
    </w:p>
    <w:p w14:paraId="1D550449" w14:textId="1C86BE04" w:rsidR="00617C63" w:rsidRDefault="00617C63" w:rsidP="00617C63">
      <w:pPr>
        <w:spacing w:after="0" w:line="240" w:lineRule="auto"/>
        <w:rPr>
          <w:rFonts w:ascii="Times New Roman" w:hAnsi="Times New Roman" w:cs="Times New Roman"/>
          <w:bCs/>
          <w:spacing w:val="-3"/>
          <w:sz w:val="24"/>
          <w:szCs w:val="24"/>
        </w:rPr>
      </w:pPr>
      <w:r>
        <w:rPr>
          <w:rFonts w:ascii="Times New Roman" w:eastAsia="Times New Roman" w:hAnsi="Times New Roman" w:cs="Times New Roman"/>
          <w:bCs/>
          <w:spacing w:val="-3"/>
          <w:sz w:val="24"/>
          <w:szCs w:val="24"/>
        </w:rPr>
        <w:t xml:space="preserve">The bank’s small business lending activity further supports this conclusion.  </w:t>
      </w:r>
      <w:r w:rsidR="00272E5D">
        <w:rPr>
          <w:rFonts w:ascii="Times New Roman" w:hAnsi="Times New Roman" w:cs="Times New Roman"/>
          <w:bCs/>
          <w:spacing w:val="-3"/>
          <w:sz w:val="24"/>
          <w:szCs w:val="24"/>
        </w:rPr>
        <w:t>The bank</w:t>
      </w:r>
      <w:r>
        <w:rPr>
          <w:rFonts w:ascii="Times New Roman" w:hAnsi="Times New Roman" w:cs="Times New Roman"/>
          <w:bCs/>
          <w:spacing w:val="-3"/>
          <w:sz w:val="24"/>
          <w:szCs w:val="24"/>
        </w:rPr>
        <w:t xml:space="preserve"> originated </w:t>
      </w:r>
      <w:r w:rsidR="001002E7">
        <w:rPr>
          <w:rFonts w:ascii="Times New Roman" w:hAnsi="Times New Roman" w:cs="Times New Roman"/>
          <w:bCs/>
          <w:spacing w:val="-3"/>
          <w:sz w:val="24"/>
          <w:szCs w:val="24"/>
        </w:rPr>
        <w:t>125</w:t>
      </w:r>
      <w:r>
        <w:rPr>
          <w:rFonts w:ascii="Times New Roman" w:hAnsi="Times New Roman" w:cs="Times New Roman"/>
          <w:bCs/>
          <w:spacing w:val="-3"/>
          <w:sz w:val="24"/>
          <w:szCs w:val="24"/>
        </w:rPr>
        <w:t xml:space="preserve"> </w:t>
      </w:r>
      <w:r w:rsidR="00272E5D">
        <w:rPr>
          <w:rFonts w:ascii="Times New Roman" w:hAnsi="Times New Roman" w:cs="Times New Roman"/>
          <w:bCs/>
          <w:spacing w:val="-3"/>
          <w:sz w:val="24"/>
          <w:szCs w:val="24"/>
        </w:rPr>
        <w:t xml:space="preserve">small business </w:t>
      </w:r>
      <w:r>
        <w:rPr>
          <w:rFonts w:ascii="Times New Roman" w:hAnsi="Times New Roman" w:cs="Times New Roman"/>
          <w:bCs/>
          <w:spacing w:val="-3"/>
          <w:sz w:val="24"/>
          <w:szCs w:val="24"/>
        </w:rPr>
        <w:t>loans</w:t>
      </w:r>
      <w:r w:rsidR="001002E7">
        <w:rPr>
          <w:rFonts w:ascii="Times New Roman" w:hAnsi="Times New Roman" w:cs="Times New Roman"/>
          <w:bCs/>
          <w:spacing w:val="-3"/>
          <w:sz w:val="24"/>
          <w:szCs w:val="24"/>
        </w:rPr>
        <w:t xml:space="preserve"> totaling $19.9 million</w:t>
      </w:r>
      <w:r>
        <w:rPr>
          <w:rFonts w:ascii="Times New Roman" w:hAnsi="Times New Roman" w:cs="Times New Roman"/>
          <w:bCs/>
          <w:spacing w:val="-3"/>
          <w:sz w:val="24"/>
          <w:szCs w:val="24"/>
        </w:rPr>
        <w:t xml:space="preserve"> in 2019</w:t>
      </w:r>
      <w:r w:rsidR="001002E7">
        <w:rPr>
          <w:rFonts w:ascii="Times New Roman" w:hAnsi="Times New Roman" w:cs="Times New Roman"/>
          <w:bCs/>
          <w:spacing w:val="-3"/>
          <w:sz w:val="24"/>
          <w:szCs w:val="24"/>
        </w:rPr>
        <w:t xml:space="preserve"> in the Providence, RI-MA MSA</w:t>
      </w:r>
      <w:r>
        <w:rPr>
          <w:rFonts w:ascii="Times New Roman" w:hAnsi="Times New Roman" w:cs="Times New Roman"/>
          <w:bCs/>
          <w:spacing w:val="-3"/>
          <w:sz w:val="24"/>
          <w:szCs w:val="24"/>
        </w:rPr>
        <w:t>.  According to 2019 Peer Small Business Data, the bank outperform</w:t>
      </w:r>
      <w:r w:rsidR="001002E7">
        <w:rPr>
          <w:rFonts w:ascii="Times New Roman" w:hAnsi="Times New Roman" w:cs="Times New Roman"/>
          <w:bCs/>
          <w:spacing w:val="-3"/>
          <w:sz w:val="24"/>
          <w:szCs w:val="24"/>
        </w:rPr>
        <w:t>ed</w:t>
      </w:r>
      <w:r>
        <w:rPr>
          <w:rFonts w:ascii="Times New Roman" w:hAnsi="Times New Roman" w:cs="Times New Roman"/>
          <w:bCs/>
          <w:spacing w:val="-3"/>
          <w:sz w:val="24"/>
          <w:szCs w:val="24"/>
        </w:rPr>
        <w:t xml:space="preserve"> other community </w:t>
      </w:r>
      <w:r w:rsidR="001002E7">
        <w:rPr>
          <w:rFonts w:ascii="Times New Roman" w:hAnsi="Times New Roman" w:cs="Times New Roman"/>
          <w:bCs/>
          <w:spacing w:val="-3"/>
          <w:sz w:val="24"/>
          <w:szCs w:val="24"/>
        </w:rPr>
        <w:t>banks</w:t>
      </w:r>
      <w:r>
        <w:rPr>
          <w:rFonts w:ascii="Times New Roman" w:hAnsi="Times New Roman" w:cs="Times New Roman"/>
          <w:bCs/>
          <w:spacing w:val="-3"/>
          <w:sz w:val="24"/>
          <w:szCs w:val="24"/>
        </w:rPr>
        <w:t>.</w:t>
      </w:r>
      <w:r w:rsidR="00A33DF0">
        <w:rPr>
          <w:rFonts w:ascii="Times New Roman" w:hAnsi="Times New Roman" w:cs="Times New Roman"/>
          <w:bCs/>
          <w:spacing w:val="-3"/>
          <w:sz w:val="24"/>
          <w:szCs w:val="24"/>
        </w:rPr>
        <w:t xml:space="preserve">  Given </w:t>
      </w:r>
      <w:r w:rsidRPr="007C1603">
        <w:rPr>
          <w:rFonts w:ascii="Times New Roman" w:hAnsi="Times New Roman" w:cs="Times New Roman"/>
          <w:bCs/>
          <w:spacing w:val="-3"/>
          <w:sz w:val="24"/>
          <w:szCs w:val="24"/>
        </w:rPr>
        <w:t>significant competition</w:t>
      </w:r>
      <w:r w:rsidR="00A33DF0">
        <w:rPr>
          <w:rFonts w:ascii="Times New Roman" w:hAnsi="Times New Roman" w:cs="Times New Roman"/>
          <w:bCs/>
          <w:spacing w:val="-3"/>
          <w:sz w:val="24"/>
          <w:szCs w:val="24"/>
        </w:rPr>
        <w:t xml:space="preserve"> and the bank’s recent</w:t>
      </w:r>
      <w:r w:rsidRPr="007C1603">
        <w:rPr>
          <w:rFonts w:ascii="Times New Roman" w:hAnsi="Times New Roman" w:cs="Times New Roman"/>
          <w:bCs/>
          <w:spacing w:val="-3"/>
          <w:sz w:val="24"/>
          <w:szCs w:val="24"/>
        </w:rPr>
        <w:t xml:space="preserve"> assessment area</w:t>
      </w:r>
      <w:r w:rsidR="00A33DF0">
        <w:rPr>
          <w:rFonts w:ascii="Times New Roman" w:hAnsi="Times New Roman" w:cs="Times New Roman"/>
          <w:bCs/>
          <w:spacing w:val="-3"/>
          <w:sz w:val="24"/>
          <w:szCs w:val="24"/>
        </w:rPr>
        <w:t xml:space="preserve"> expansion</w:t>
      </w:r>
      <w:r w:rsidRPr="007C1603">
        <w:rPr>
          <w:rFonts w:ascii="Times New Roman" w:hAnsi="Times New Roman" w:cs="Times New Roman"/>
          <w:bCs/>
          <w:spacing w:val="-3"/>
          <w:sz w:val="24"/>
          <w:szCs w:val="24"/>
        </w:rPr>
        <w:t xml:space="preserve">, </w:t>
      </w:r>
      <w:r>
        <w:rPr>
          <w:rFonts w:ascii="Times New Roman" w:hAnsi="Times New Roman" w:cs="Times New Roman"/>
          <w:bCs/>
          <w:spacing w:val="-3"/>
          <w:sz w:val="24"/>
          <w:szCs w:val="24"/>
        </w:rPr>
        <w:t>HOB’s</w:t>
      </w:r>
      <w:r w:rsidRPr="007C1603">
        <w:rPr>
          <w:rFonts w:ascii="Times New Roman" w:hAnsi="Times New Roman" w:cs="Times New Roman"/>
          <w:bCs/>
          <w:spacing w:val="-3"/>
          <w:sz w:val="24"/>
          <w:szCs w:val="24"/>
        </w:rPr>
        <w:t xml:space="preserve"> lending performance demonstrates </w:t>
      </w:r>
      <w:r w:rsidR="00E452FE">
        <w:rPr>
          <w:rFonts w:ascii="Times New Roman" w:hAnsi="Times New Roman" w:cs="Times New Roman"/>
          <w:bCs/>
          <w:spacing w:val="-3"/>
          <w:sz w:val="24"/>
          <w:szCs w:val="24"/>
        </w:rPr>
        <w:t>good</w:t>
      </w:r>
      <w:r>
        <w:rPr>
          <w:rFonts w:ascii="Times New Roman" w:hAnsi="Times New Roman" w:cs="Times New Roman"/>
          <w:bCs/>
          <w:spacing w:val="-3"/>
          <w:sz w:val="24"/>
          <w:szCs w:val="24"/>
        </w:rPr>
        <w:t xml:space="preserve"> responsiveness to assessment area credit needs.</w:t>
      </w:r>
    </w:p>
    <w:p w14:paraId="61921C31" w14:textId="77777777" w:rsidR="00DB75C4" w:rsidRPr="00E50970" w:rsidRDefault="00DB75C4" w:rsidP="00E50970">
      <w:pPr>
        <w:spacing w:after="0" w:line="240" w:lineRule="auto"/>
        <w:rPr>
          <w:rFonts w:ascii="Times New Roman" w:eastAsia="Times New Roman" w:hAnsi="Times New Roman" w:cs="Times New Roman"/>
          <w:color w:val="000000"/>
          <w:sz w:val="24"/>
          <w:szCs w:val="24"/>
        </w:rPr>
      </w:pPr>
    </w:p>
    <w:p w14:paraId="3D505C11" w14:textId="77777777" w:rsidR="00E50970" w:rsidRPr="00E50970" w:rsidRDefault="00E50970" w:rsidP="00E50970">
      <w:pPr>
        <w:spacing w:after="0" w:line="240" w:lineRule="auto"/>
        <w:ind w:right="-270"/>
        <w:rPr>
          <w:rFonts w:ascii="Times New Roman" w:eastAsia="Times New Roman" w:hAnsi="Times New Roman" w:cs="Times New Roman"/>
          <w:b/>
          <w:bCs/>
          <w:color w:val="000000"/>
          <w:sz w:val="24"/>
          <w:szCs w:val="24"/>
          <w:u w:val="single"/>
        </w:rPr>
      </w:pPr>
      <w:r w:rsidRPr="00E50970">
        <w:rPr>
          <w:rFonts w:ascii="Times New Roman" w:eastAsia="Times New Roman" w:hAnsi="Times New Roman" w:cs="Times New Roman"/>
          <w:b/>
          <w:bCs/>
          <w:color w:val="000000"/>
          <w:sz w:val="24"/>
          <w:szCs w:val="24"/>
          <w:u w:val="single"/>
        </w:rPr>
        <w:t>Geographic Distribution</w:t>
      </w:r>
    </w:p>
    <w:p w14:paraId="4EE8D0F7" w14:textId="77777777" w:rsidR="00E50970" w:rsidRDefault="00E50970" w:rsidP="00E50970">
      <w:pPr>
        <w:spacing w:after="0" w:line="240" w:lineRule="auto"/>
        <w:rPr>
          <w:rFonts w:ascii="Times New Roman" w:eastAsia="Times New Roman" w:hAnsi="Times New Roman" w:cs="Times New Roman"/>
          <w:iCs/>
          <w:sz w:val="24"/>
          <w:szCs w:val="24"/>
        </w:rPr>
      </w:pPr>
    </w:p>
    <w:p w14:paraId="54A576EF" w14:textId="537E90C4" w:rsidR="00AE595E" w:rsidRDefault="00E452FE" w:rsidP="00E5097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293605">
        <w:rPr>
          <w:rFonts w:ascii="Times New Roman" w:eastAsia="Times New Roman" w:hAnsi="Times New Roman" w:cs="Times New Roman"/>
          <w:sz w:val="24"/>
          <w:szCs w:val="24"/>
        </w:rPr>
        <w:t>geographic distribution of home mortgage</w:t>
      </w:r>
      <w:r w:rsidR="004A1B96">
        <w:rPr>
          <w:rFonts w:ascii="Times New Roman" w:eastAsia="Times New Roman" w:hAnsi="Times New Roman" w:cs="Times New Roman"/>
          <w:sz w:val="24"/>
          <w:szCs w:val="24"/>
        </w:rPr>
        <w:t xml:space="preserve"> reflects good penetration and</w:t>
      </w:r>
      <w:r w:rsidRPr="00293605">
        <w:rPr>
          <w:rFonts w:ascii="Times New Roman" w:eastAsia="Times New Roman" w:hAnsi="Times New Roman" w:cs="Times New Roman"/>
          <w:sz w:val="24"/>
          <w:szCs w:val="24"/>
        </w:rPr>
        <w:t xml:space="preserve"> small business loans </w:t>
      </w:r>
      <w:r w:rsidRPr="00D5358A">
        <w:rPr>
          <w:rFonts w:ascii="Times New Roman" w:eastAsia="Times New Roman" w:hAnsi="Times New Roman" w:cs="Times New Roman"/>
          <w:sz w:val="24"/>
          <w:szCs w:val="24"/>
        </w:rPr>
        <w:t xml:space="preserve">reflects </w:t>
      </w:r>
      <w:r w:rsidR="004A1B96">
        <w:rPr>
          <w:rFonts w:ascii="Times New Roman" w:eastAsia="Times New Roman" w:hAnsi="Times New Roman" w:cs="Times New Roman"/>
          <w:sz w:val="24"/>
          <w:szCs w:val="24"/>
        </w:rPr>
        <w:t>adequate</w:t>
      </w:r>
      <w:r w:rsidRPr="00293605">
        <w:rPr>
          <w:rFonts w:ascii="Times New Roman" w:eastAsia="Times New Roman" w:hAnsi="Times New Roman" w:cs="Times New Roman"/>
          <w:sz w:val="24"/>
          <w:szCs w:val="24"/>
        </w:rPr>
        <w:t xml:space="preserve"> penetration throughout the </w:t>
      </w:r>
      <w:r w:rsidR="00F103AF">
        <w:rPr>
          <w:rFonts w:ascii="Times New Roman" w:hAnsi="Times New Roman" w:cs="Times New Roman"/>
          <w:sz w:val="24"/>
          <w:szCs w:val="24"/>
        </w:rPr>
        <w:t>Providence, RI-MA MSA</w:t>
      </w:r>
      <w:r w:rsidR="00CB271A">
        <w:rPr>
          <w:rFonts w:ascii="Times New Roman" w:eastAsia="Times New Roman" w:hAnsi="Times New Roman" w:cs="Times New Roman"/>
          <w:sz w:val="24"/>
          <w:szCs w:val="24"/>
        </w:rPr>
        <w:t>.</w:t>
      </w:r>
    </w:p>
    <w:p w14:paraId="6AD09B8B" w14:textId="77777777" w:rsidR="00CB271A" w:rsidRDefault="00CB271A" w:rsidP="00E50970">
      <w:pPr>
        <w:spacing w:after="0" w:line="240" w:lineRule="auto"/>
        <w:contextualSpacing/>
        <w:rPr>
          <w:rFonts w:ascii="Times New Roman" w:eastAsia="Times New Roman" w:hAnsi="Times New Roman" w:cs="Times New Roman"/>
          <w:iCs/>
          <w:sz w:val="24"/>
          <w:szCs w:val="24"/>
        </w:rPr>
      </w:pPr>
    </w:p>
    <w:p w14:paraId="5FEC12D7" w14:textId="77777777" w:rsidR="00DB75C4" w:rsidRPr="00B66386" w:rsidRDefault="00B66386" w:rsidP="00E50970">
      <w:pPr>
        <w:spacing w:after="0" w:line="240" w:lineRule="auto"/>
        <w:rPr>
          <w:rFonts w:ascii="Times New Roman" w:eastAsia="Times New Roman" w:hAnsi="Times New Roman" w:cs="Times New Roman"/>
          <w:b/>
          <w:iCs/>
          <w:sz w:val="24"/>
          <w:szCs w:val="24"/>
        </w:rPr>
      </w:pPr>
      <w:r w:rsidRPr="00B66386">
        <w:rPr>
          <w:rFonts w:ascii="Times New Roman" w:eastAsia="Times New Roman" w:hAnsi="Times New Roman" w:cs="Times New Roman"/>
          <w:b/>
          <w:iCs/>
          <w:sz w:val="24"/>
          <w:szCs w:val="24"/>
        </w:rPr>
        <w:t>Home Mortgage Loans</w:t>
      </w:r>
    </w:p>
    <w:p w14:paraId="386D16AA" w14:textId="5F6FA265" w:rsidR="006D5CB5" w:rsidRDefault="00CB271A" w:rsidP="00E50970">
      <w:pPr>
        <w:spacing w:after="0" w:line="240" w:lineRule="auto"/>
        <w:rPr>
          <w:rFonts w:ascii="Times New Roman" w:hAnsi="Times New Roman" w:cs="Times New Roman"/>
          <w:sz w:val="24"/>
          <w:szCs w:val="24"/>
        </w:rPr>
      </w:pPr>
      <w:r w:rsidRPr="00CB271A">
        <w:rPr>
          <w:rFonts w:ascii="Times New Roman" w:hAnsi="Times New Roman" w:cs="Times New Roman"/>
          <w:sz w:val="24"/>
          <w:szCs w:val="24"/>
        </w:rPr>
        <w:t>Home mortgage lending reflects good penetration throughout the</w:t>
      </w:r>
      <w:r w:rsidR="00272E5D">
        <w:rPr>
          <w:rFonts w:ascii="Times New Roman" w:hAnsi="Times New Roman" w:cs="Times New Roman"/>
          <w:sz w:val="24"/>
          <w:szCs w:val="24"/>
        </w:rPr>
        <w:t xml:space="preserve"> </w:t>
      </w:r>
      <w:r w:rsidRPr="00CB271A">
        <w:rPr>
          <w:rFonts w:ascii="Times New Roman" w:hAnsi="Times New Roman" w:cs="Times New Roman"/>
          <w:sz w:val="24"/>
          <w:szCs w:val="24"/>
        </w:rPr>
        <w:t xml:space="preserve">assessment area.  </w:t>
      </w:r>
      <w:r>
        <w:rPr>
          <w:rFonts w:ascii="Times New Roman" w:hAnsi="Times New Roman" w:cs="Times New Roman"/>
          <w:sz w:val="24"/>
          <w:szCs w:val="24"/>
        </w:rPr>
        <w:t>HOB’</w:t>
      </w:r>
      <w:r w:rsidRPr="00CB271A">
        <w:rPr>
          <w:rFonts w:ascii="Times New Roman" w:hAnsi="Times New Roman" w:cs="Times New Roman"/>
          <w:sz w:val="24"/>
          <w:szCs w:val="24"/>
        </w:rPr>
        <w:t>s performance was below aggregate and the percentage of owner-occupied units in both low- and moderate-inc</w:t>
      </w:r>
      <w:r>
        <w:rPr>
          <w:rFonts w:ascii="Times New Roman" w:hAnsi="Times New Roman" w:cs="Times New Roman"/>
          <w:sz w:val="24"/>
          <w:szCs w:val="24"/>
        </w:rPr>
        <w:t>ome tracts; however, the difference was only approximately two percentage points or less.</w:t>
      </w:r>
      <w:r w:rsidR="009060D0">
        <w:rPr>
          <w:rFonts w:ascii="Times New Roman" w:hAnsi="Times New Roman" w:cs="Times New Roman"/>
          <w:sz w:val="24"/>
          <w:szCs w:val="24"/>
        </w:rPr>
        <w:t xml:space="preserve">  </w:t>
      </w:r>
      <w:r w:rsidR="00B659A1">
        <w:rPr>
          <w:rFonts w:ascii="Times New Roman" w:hAnsi="Times New Roman" w:cs="Times New Roman"/>
          <w:sz w:val="24"/>
          <w:szCs w:val="24"/>
        </w:rPr>
        <w:t>Combined</w:t>
      </w:r>
      <w:r w:rsidR="00272E5D">
        <w:rPr>
          <w:rFonts w:ascii="Times New Roman" w:hAnsi="Times New Roman" w:cs="Times New Roman"/>
          <w:sz w:val="24"/>
          <w:szCs w:val="24"/>
        </w:rPr>
        <w:t xml:space="preserve">, </w:t>
      </w:r>
      <w:r>
        <w:rPr>
          <w:rFonts w:ascii="Times New Roman" w:hAnsi="Times New Roman" w:cs="Times New Roman"/>
          <w:sz w:val="24"/>
          <w:szCs w:val="24"/>
        </w:rPr>
        <w:t>HOB and HOME ranked 37</w:t>
      </w:r>
      <w:r w:rsidRPr="00CB271A">
        <w:rPr>
          <w:rFonts w:ascii="Times New Roman" w:hAnsi="Times New Roman" w:cs="Times New Roman"/>
          <w:sz w:val="24"/>
          <w:szCs w:val="24"/>
          <w:vertAlign w:val="superscript"/>
        </w:rPr>
        <w:t>th</w:t>
      </w:r>
      <w:r>
        <w:rPr>
          <w:rFonts w:ascii="Times New Roman" w:hAnsi="Times New Roman" w:cs="Times New Roman"/>
          <w:sz w:val="24"/>
          <w:szCs w:val="24"/>
        </w:rPr>
        <w:t xml:space="preserve"> out of 206 lenders in low-income geographies and </w:t>
      </w:r>
      <w:r w:rsidR="00670A26">
        <w:rPr>
          <w:rFonts w:ascii="Times New Roman" w:hAnsi="Times New Roman" w:cs="Times New Roman"/>
          <w:sz w:val="24"/>
          <w:szCs w:val="24"/>
        </w:rPr>
        <w:t>38</w:t>
      </w:r>
      <w:r w:rsidR="00670A26" w:rsidRPr="00670A26">
        <w:rPr>
          <w:rFonts w:ascii="Times New Roman" w:hAnsi="Times New Roman" w:cs="Times New Roman"/>
          <w:sz w:val="24"/>
          <w:szCs w:val="24"/>
          <w:vertAlign w:val="superscript"/>
        </w:rPr>
        <w:t>th</w:t>
      </w:r>
      <w:r>
        <w:rPr>
          <w:rFonts w:ascii="Times New Roman" w:hAnsi="Times New Roman" w:cs="Times New Roman"/>
          <w:sz w:val="24"/>
          <w:szCs w:val="24"/>
        </w:rPr>
        <w:t xml:space="preserve"> out of </w:t>
      </w:r>
      <w:r w:rsidR="00670A26">
        <w:rPr>
          <w:rFonts w:ascii="Times New Roman" w:hAnsi="Times New Roman" w:cs="Times New Roman"/>
          <w:sz w:val="24"/>
          <w:szCs w:val="24"/>
        </w:rPr>
        <w:t>272</w:t>
      </w:r>
      <w:r>
        <w:rPr>
          <w:rFonts w:ascii="Times New Roman" w:hAnsi="Times New Roman" w:cs="Times New Roman"/>
          <w:sz w:val="24"/>
          <w:szCs w:val="24"/>
        </w:rPr>
        <w:t xml:space="preserve"> lenders in moderate-income geographies.</w:t>
      </w:r>
      <w:r w:rsidR="006D5CB5">
        <w:rPr>
          <w:rFonts w:ascii="Times New Roman" w:hAnsi="Times New Roman" w:cs="Times New Roman"/>
          <w:sz w:val="24"/>
          <w:szCs w:val="24"/>
        </w:rPr>
        <w:t xml:space="preserve">  Although examiners also evaluated </w:t>
      </w:r>
      <w:r w:rsidR="006D5CB5">
        <w:rPr>
          <w:rFonts w:ascii="Times New Roman" w:hAnsi="Times New Roman" w:cs="Times New Roman"/>
          <w:sz w:val="24"/>
          <w:szCs w:val="24"/>
        </w:rPr>
        <w:lastRenderedPageBreak/>
        <w:t xml:space="preserve">geographic distribution for 2017 and 2018, this analysis did not significantly affect conclusions.  Prior to acquiring CCB in October 2018, the bank’s assessment area contained only one low-income tract and seven moderate-income tracts across portions of Bristol County, Massachusetts. </w:t>
      </w:r>
      <w:r>
        <w:rPr>
          <w:rFonts w:ascii="Times New Roman" w:hAnsi="Times New Roman" w:cs="Times New Roman"/>
          <w:sz w:val="24"/>
          <w:szCs w:val="24"/>
        </w:rPr>
        <w:t xml:space="preserve">  </w:t>
      </w:r>
    </w:p>
    <w:p w14:paraId="2939622C" w14:textId="77777777" w:rsidR="006D5CB5" w:rsidRDefault="006D5CB5" w:rsidP="00E50970">
      <w:pPr>
        <w:spacing w:after="0" w:line="240" w:lineRule="auto"/>
        <w:rPr>
          <w:rFonts w:ascii="Times New Roman" w:hAnsi="Times New Roman" w:cs="Times New Roman"/>
          <w:sz w:val="24"/>
          <w:szCs w:val="24"/>
        </w:rPr>
      </w:pPr>
    </w:p>
    <w:p w14:paraId="7E9B98F2" w14:textId="38138FD5" w:rsidR="003B6E5D" w:rsidRPr="003B6E5D" w:rsidRDefault="00CB271A" w:rsidP="00E50970">
      <w:pPr>
        <w:spacing w:after="0" w:line="240" w:lineRule="auto"/>
        <w:rPr>
          <w:rFonts w:ascii="Times New Roman" w:hAnsi="Times New Roman" w:cs="Times New Roman"/>
          <w:sz w:val="24"/>
          <w:szCs w:val="24"/>
        </w:rPr>
      </w:pPr>
      <w:r>
        <w:rPr>
          <w:rFonts w:ascii="Times New Roman" w:hAnsi="Times New Roman" w:cs="Times New Roman"/>
          <w:sz w:val="24"/>
          <w:szCs w:val="24"/>
        </w:rPr>
        <w:t>The bank faces</w:t>
      </w:r>
      <w:r w:rsidR="00BC7927">
        <w:rPr>
          <w:rFonts w:ascii="Times New Roman" w:hAnsi="Times New Roman" w:cs="Times New Roman"/>
          <w:sz w:val="24"/>
          <w:szCs w:val="24"/>
        </w:rPr>
        <w:t xml:space="preserve"> a</w:t>
      </w:r>
      <w:r>
        <w:rPr>
          <w:rFonts w:ascii="Times New Roman" w:hAnsi="Times New Roman" w:cs="Times New Roman"/>
          <w:sz w:val="24"/>
          <w:szCs w:val="24"/>
        </w:rPr>
        <w:t xml:space="preserve"> high level of competition from institutions that are more established in </w:t>
      </w:r>
      <w:r w:rsidR="00F103AF">
        <w:rPr>
          <w:rFonts w:ascii="Times New Roman" w:hAnsi="Times New Roman" w:cs="Times New Roman"/>
          <w:sz w:val="24"/>
          <w:szCs w:val="24"/>
        </w:rPr>
        <w:t>Providence</w:t>
      </w:r>
      <w:r>
        <w:rPr>
          <w:rFonts w:ascii="Times New Roman" w:hAnsi="Times New Roman" w:cs="Times New Roman"/>
          <w:sz w:val="24"/>
          <w:szCs w:val="24"/>
        </w:rPr>
        <w:t>,</w:t>
      </w:r>
      <w:r w:rsidR="00F103AF">
        <w:rPr>
          <w:rFonts w:ascii="Times New Roman" w:hAnsi="Times New Roman" w:cs="Times New Roman"/>
          <w:sz w:val="24"/>
          <w:szCs w:val="24"/>
        </w:rPr>
        <w:t xml:space="preserve"> New Bedford, and Fall River,</w:t>
      </w:r>
      <w:r>
        <w:rPr>
          <w:rFonts w:ascii="Times New Roman" w:hAnsi="Times New Roman" w:cs="Times New Roman"/>
          <w:sz w:val="24"/>
          <w:szCs w:val="24"/>
        </w:rPr>
        <w:t xml:space="preserve"> where most of the low-and moderate-i</w:t>
      </w:r>
      <w:r w:rsidR="00272E5D">
        <w:rPr>
          <w:rFonts w:ascii="Times New Roman" w:hAnsi="Times New Roman" w:cs="Times New Roman"/>
          <w:sz w:val="24"/>
          <w:szCs w:val="24"/>
        </w:rPr>
        <w:t xml:space="preserve">ncome geographies are located.  </w:t>
      </w:r>
      <w:r>
        <w:rPr>
          <w:rFonts w:ascii="Times New Roman" w:hAnsi="Times New Roman" w:cs="Times New Roman"/>
          <w:sz w:val="24"/>
          <w:szCs w:val="24"/>
        </w:rPr>
        <w:t>Additionally, most lenders that ranked above HOB</w:t>
      </w:r>
      <w:r w:rsidR="00B659A1">
        <w:rPr>
          <w:rFonts w:ascii="Times New Roman" w:hAnsi="Times New Roman" w:cs="Times New Roman"/>
          <w:sz w:val="24"/>
          <w:szCs w:val="24"/>
        </w:rPr>
        <w:t xml:space="preserve"> and HOME</w:t>
      </w:r>
      <w:r>
        <w:rPr>
          <w:rFonts w:ascii="Times New Roman" w:hAnsi="Times New Roman" w:cs="Times New Roman"/>
          <w:sz w:val="24"/>
          <w:szCs w:val="24"/>
        </w:rPr>
        <w:t xml:space="preserve"> are national lenders and mortgage companies</w:t>
      </w:r>
      <w:r w:rsidR="00272E5D">
        <w:rPr>
          <w:rFonts w:ascii="Times New Roman" w:hAnsi="Times New Roman" w:cs="Times New Roman"/>
          <w:sz w:val="24"/>
          <w:szCs w:val="24"/>
        </w:rPr>
        <w:t xml:space="preserve"> and local credit unions</w:t>
      </w:r>
      <w:r>
        <w:rPr>
          <w:rFonts w:ascii="Times New Roman" w:hAnsi="Times New Roman" w:cs="Times New Roman"/>
          <w:sz w:val="24"/>
          <w:szCs w:val="24"/>
        </w:rPr>
        <w:t>.</w:t>
      </w:r>
      <w:r w:rsidR="003B6E5D">
        <w:rPr>
          <w:rFonts w:ascii="Times New Roman" w:hAnsi="Times New Roman" w:cs="Times New Roman"/>
          <w:sz w:val="24"/>
          <w:szCs w:val="24"/>
        </w:rPr>
        <w:t xml:space="preserve">  Given the bank’s recent expansion and </w:t>
      </w:r>
      <w:r w:rsidR="00F103AF">
        <w:rPr>
          <w:rFonts w:ascii="Times New Roman" w:hAnsi="Times New Roman" w:cs="Times New Roman"/>
          <w:sz w:val="24"/>
          <w:szCs w:val="24"/>
        </w:rPr>
        <w:t xml:space="preserve">the </w:t>
      </w:r>
      <w:r w:rsidR="003B6E5D">
        <w:rPr>
          <w:rFonts w:ascii="Times New Roman" w:hAnsi="Times New Roman" w:cs="Times New Roman"/>
          <w:sz w:val="24"/>
          <w:szCs w:val="24"/>
        </w:rPr>
        <w:t>highly competitive market, the bank’s performance</w:t>
      </w:r>
      <w:r w:rsidR="006D5CB5">
        <w:rPr>
          <w:rFonts w:ascii="Times New Roman" w:hAnsi="Times New Roman" w:cs="Times New Roman"/>
          <w:sz w:val="24"/>
          <w:szCs w:val="24"/>
        </w:rPr>
        <w:t xml:space="preserve"> and market rank</w:t>
      </w:r>
      <w:r w:rsidR="003B6E5D">
        <w:rPr>
          <w:rFonts w:ascii="Times New Roman" w:hAnsi="Times New Roman" w:cs="Times New Roman"/>
          <w:sz w:val="24"/>
          <w:szCs w:val="24"/>
        </w:rPr>
        <w:t xml:space="preserve"> support the rating.</w:t>
      </w:r>
    </w:p>
    <w:p w14:paraId="324769C3" w14:textId="77777777" w:rsidR="00725545" w:rsidRPr="00CB271A" w:rsidRDefault="00725545" w:rsidP="00E50970">
      <w:pPr>
        <w:spacing w:after="0" w:line="240" w:lineRule="auto"/>
        <w:rPr>
          <w:rFonts w:ascii="Times New Roman" w:eastAsia="Times New Roman" w:hAnsi="Times New Roman" w:cs="Times New Roman"/>
          <w:iCs/>
          <w:sz w:val="24"/>
          <w:szCs w:val="24"/>
        </w:rPr>
      </w:pPr>
    </w:p>
    <w:tbl>
      <w:tblPr>
        <w:tblW w:w="0" w:type="auto"/>
        <w:tblCellMar>
          <w:left w:w="0" w:type="dxa"/>
          <w:right w:w="0" w:type="dxa"/>
        </w:tblCellMar>
        <w:tblLook w:val="0000" w:firstRow="0" w:lastRow="0" w:firstColumn="0" w:lastColumn="0" w:noHBand="0" w:noVBand="0"/>
      </w:tblPr>
      <w:tblGrid>
        <w:gridCol w:w="8543"/>
        <w:gridCol w:w="1105"/>
      </w:tblGrid>
      <w:tr w:rsidR="00607C22" w14:paraId="4FDEF2A7" w14:textId="77777777" w:rsidTr="00530B36">
        <w:tc>
          <w:tcPr>
            <w:tcW w:w="9587" w:type="dxa"/>
          </w:tcPr>
          <w:tbl>
            <w:tblPr>
              <w:tblW w:w="0" w:type="auto"/>
              <w:jc w:val="center"/>
              <w:tblCellMar>
                <w:left w:w="0" w:type="dxa"/>
                <w:right w:w="0" w:type="dxa"/>
              </w:tblCellMar>
              <w:tblLook w:val="0000" w:firstRow="0" w:lastRow="0" w:firstColumn="0" w:lastColumn="0" w:noHBand="0" w:noVBand="0"/>
            </w:tblPr>
            <w:tblGrid>
              <w:gridCol w:w="2182"/>
              <w:gridCol w:w="1420"/>
              <w:gridCol w:w="1381"/>
              <w:gridCol w:w="1035"/>
              <w:gridCol w:w="788"/>
              <w:gridCol w:w="957"/>
              <w:gridCol w:w="762"/>
            </w:tblGrid>
            <w:tr w:rsidR="00607C22" w14:paraId="3D9B8EF5" w14:textId="77777777" w:rsidTr="00725545">
              <w:trPr>
                <w:trHeight w:val="282"/>
                <w:jc w:val="center"/>
              </w:trPr>
              <w:tc>
                <w:tcPr>
                  <w:tcW w:w="8525"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8B11C67" w14:textId="77777777" w:rsidR="00607C22" w:rsidRDefault="00607C22" w:rsidP="00607C22">
                  <w:pPr>
                    <w:spacing w:after="0"/>
                    <w:jc w:val="center"/>
                  </w:pPr>
                  <w:r>
                    <w:rPr>
                      <w:rFonts w:ascii="Times New Roman" w:eastAsia="Times New Roman" w:hAnsi="Times New Roman"/>
                      <w:b/>
                      <w:color w:val="000000"/>
                      <w:sz w:val="20"/>
                    </w:rPr>
                    <w:t>Geographic Distribution of Home Mortgage Loans</w:t>
                  </w:r>
                </w:p>
              </w:tc>
            </w:tr>
            <w:tr w:rsidR="00607C22" w14:paraId="0110F7F0" w14:textId="77777777" w:rsidTr="00725545">
              <w:trPr>
                <w:trHeight w:val="210"/>
                <w:jc w:val="center"/>
              </w:trPr>
              <w:tc>
                <w:tcPr>
                  <w:tcW w:w="8525" w:type="dxa"/>
                  <w:gridSpan w:val="7"/>
                  <w:tcBorders>
                    <w:left w:val="single" w:sz="7" w:space="0" w:color="000000"/>
                    <w:right w:val="single" w:sz="7" w:space="0" w:color="000000"/>
                  </w:tcBorders>
                  <w:tcMar>
                    <w:top w:w="39" w:type="dxa"/>
                    <w:left w:w="39" w:type="dxa"/>
                    <w:bottom w:w="39" w:type="dxa"/>
                    <w:right w:w="39" w:type="dxa"/>
                  </w:tcMar>
                  <w:vAlign w:val="center"/>
                </w:tcPr>
                <w:p w14:paraId="13C82A71" w14:textId="6E0E78DC" w:rsidR="00607C22" w:rsidRDefault="00607C22" w:rsidP="004353B3">
                  <w:pPr>
                    <w:spacing w:after="0"/>
                    <w:jc w:val="center"/>
                  </w:pPr>
                  <w:r>
                    <w:rPr>
                      <w:rFonts w:ascii="Times New Roman" w:eastAsia="Times New Roman" w:hAnsi="Times New Roman"/>
                      <w:b/>
                      <w:color w:val="000000"/>
                      <w:sz w:val="20"/>
                    </w:rPr>
                    <w:t xml:space="preserve">Assessment Area: </w:t>
                  </w:r>
                  <w:r w:rsidR="00A31502">
                    <w:rPr>
                      <w:rFonts w:ascii="Times New Roman" w:eastAsia="Times New Roman" w:hAnsi="Times New Roman"/>
                      <w:b/>
                      <w:color w:val="000000"/>
                      <w:sz w:val="20"/>
                    </w:rPr>
                    <w:t>RI-MA Multistate MSA</w:t>
                  </w:r>
                </w:p>
              </w:tc>
            </w:tr>
            <w:tr w:rsidR="00607C22" w14:paraId="22B3FA4A" w14:textId="77777777" w:rsidTr="00725545">
              <w:trPr>
                <w:trHeight w:val="498"/>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045F39" w14:textId="77777777" w:rsidR="00607C22" w:rsidRDefault="00607C22" w:rsidP="00607C22">
                  <w:pPr>
                    <w:spacing w:after="0"/>
                  </w:pPr>
                  <w:r>
                    <w:rPr>
                      <w:rFonts w:ascii="Times New Roman" w:eastAsia="Times New Roman" w:hAnsi="Times New Roman"/>
                      <w:b/>
                      <w:color w:val="000000"/>
                      <w:sz w:val="20"/>
                    </w:rPr>
                    <w:t>Tract Income Level</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C5C78D" w14:textId="77777777" w:rsidR="00607C22" w:rsidRDefault="00607C22" w:rsidP="00607C22">
                  <w:pPr>
                    <w:spacing w:after="0"/>
                    <w:jc w:val="center"/>
                  </w:pPr>
                  <w:r>
                    <w:rPr>
                      <w:rFonts w:ascii="Times New Roman" w:eastAsia="Times New Roman" w:hAnsi="Times New Roman"/>
                      <w:b/>
                      <w:color w:val="000000"/>
                      <w:sz w:val="20"/>
                    </w:rPr>
                    <w:t>% of  Owner-Occupied Housing Units</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855A41" w14:textId="77777777" w:rsidR="00607C22" w:rsidRDefault="00607C22" w:rsidP="00607C22">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E43BA9" w14:textId="77777777" w:rsidR="00607C22" w:rsidRDefault="00607C22" w:rsidP="00607C22">
                  <w:pPr>
                    <w:spacing w:after="0"/>
                    <w:jc w:val="center"/>
                  </w:pPr>
                  <w:r>
                    <w:rPr>
                      <w:rFonts w:ascii="Times New Roman" w:eastAsia="Times New Roman" w:hAnsi="Times New Roman"/>
                      <w:b/>
                      <w:color w:val="000000"/>
                      <w:sz w:val="20"/>
                    </w:rPr>
                    <w:t>#</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D1D09C" w14:textId="77777777" w:rsidR="00607C22" w:rsidRDefault="00607C22" w:rsidP="00607C22">
                  <w:pPr>
                    <w:spacing w:after="0"/>
                    <w:jc w:val="center"/>
                  </w:pPr>
                  <w:r>
                    <w:rPr>
                      <w:rFonts w:ascii="Times New Roman" w:eastAsia="Times New Roman" w:hAnsi="Times New Roman"/>
                      <w:b/>
                      <w:color w:val="000000"/>
                      <w:sz w:val="20"/>
                    </w:rPr>
                    <w:t>%</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3CC139" w14:textId="77777777" w:rsidR="00607C22" w:rsidRDefault="00607C22" w:rsidP="00607C22">
                  <w:pPr>
                    <w:spacing w:after="0"/>
                    <w:jc w:val="center"/>
                  </w:pPr>
                  <w:r>
                    <w:rPr>
                      <w:rFonts w:ascii="Times New Roman" w:eastAsia="Times New Roman" w:hAnsi="Times New Roman"/>
                      <w:b/>
                      <w:color w:val="000000"/>
                      <w:sz w:val="20"/>
                    </w:rPr>
                    <w:t>$(000s)</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CD654C" w14:textId="77777777" w:rsidR="00607C22" w:rsidRDefault="00607C22" w:rsidP="00607C22">
                  <w:pPr>
                    <w:spacing w:after="0"/>
                    <w:jc w:val="center"/>
                  </w:pPr>
                  <w:r>
                    <w:rPr>
                      <w:rFonts w:ascii="Times New Roman" w:eastAsia="Times New Roman" w:hAnsi="Times New Roman"/>
                      <w:b/>
                      <w:color w:val="000000"/>
                      <w:sz w:val="20"/>
                    </w:rPr>
                    <w:t>%</w:t>
                  </w:r>
                </w:p>
              </w:tc>
            </w:tr>
            <w:tr w:rsidR="00607C22" w14:paraId="0BDD3BF6"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95AF03" w14:textId="77777777" w:rsidR="00607C22" w:rsidRDefault="00607C22" w:rsidP="00607C22">
                  <w:pPr>
                    <w:spacing w:after="0"/>
                  </w:pPr>
                  <w:r>
                    <w:rPr>
                      <w:rFonts w:ascii="Times New Roman" w:eastAsia="Times New Roman" w:hAnsi="Times New Roman"/>
                      <w:color w:val="000000"/>
                      <w:sz w:val="20"/>
                    </w:rPr>
                    <w:t>Low</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806E5" w14:textId="77777777" w:rsidR="00607C22" w:rsidRDefault="00607C22" w:rsidP="00607C22">
                  <w:pPr>
                    <w:spacing w:after="0"/>
                  </w:pPr>
                </w:p>
              </w:tc>
            </w:tr>
            <w:tr w:rsidR="00607C22" w14:paraId="265A38E6" w14:textId="77777777" w:rsidTr="00725545">
              <w:trPr>
                <w:trHeight w:val="181"/>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1520BC2" w14:textId="77777777" w:rsidR="00607C22" w:rsidRPr="00B2355E" w:rsidRDefault="00607C22" w:rsidP="00607C22">
                  <w:pPr>
                    <w:spacing w:after="0"/>
                    <w:jc w:val="right"/>
                  </w:pPr>
                  <w:r w:rsidRPr="00B2355E">
                    <w:rPr>
                      <w:rFonts w:ascii="Times New Roman" w:eastAsia="Times New Roman" w:hAnsi="Times New Roman"/>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99DE95" w14:textId="77777777" w:rsidR="00607C22" w:rsidRPr="00B2355E" w:rsidRDefault="00607C22" w:rsidP="00607C22">
                  <w:pPr>
                    <w:spacing w:after="0"/>
                    <w:jc w:val="center"/>
                  </w:pPr>
                  <w:r w:rsidRPr="00B2355E">
                    <w:rPr>
                      <w:rFonts w:ascii="Times New Roman" w:eastAsia="Times New Roman" w:hAnsi="Times New Roman"/>
                      <w:color w:val="000000"/>
                      <w:sz w:val="20"/>
                    </w:rPr>
                    <w:t>4.3</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CAA15" w14:textId="77777777" w:rsidR="00607C22" w:rsidRPr="00B2355E" w:rsidRDefault="00607C22" w:rsidP="00607C22">
                  <w:pPr>
                    <w:spacing w:after="0"/>
                    <w:jc w:val="center"/>
                  </w:pPr>
                  <w:r w:rsidRPr="00B2355E">
                    <w:rPr>
                      <w:rFonts w:ascii="Times New Roman" w:eastAsia="Times New Roman" w:hAnsi="Times New Roman"/>
                      <w:color w:val="000000"/>
                      <w:sz w:val="20"/>
                    </w:rPr>
                    <w:t>5.3</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5CB0F" w14:textId="77777777" w:rsidR="00607C22" w:rsidRPr="00B2355E" w:rsidRDefault="00B2355E" w:rsidP="00607C22">
                  <w:pPr>
                    <w:spacing w:after="0"/>
                    <w:jc w:val="center"/>
                  </w:pPr>
                  <w:r w:rsidRPr="00B2355E">
                    <w:rPr>
                      <w:rFonts w:ascii="Times New Roman" w:eastAsia="Times New Roman" w:hAnsi="Times New Roman"/>
                      <w:color w:val="000000"/>
                      <w:sz w:val="20"/>
                    </w:rPr>
                    <w:t>27</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1BD9B6" w14:textId="77777777" w:rsidR="00607C22" w:rsidRPr="00B2355E" w:rsidRDefault="00B2355E" w:rsidP="00607C22">
                  <w:pPr>
                    <w:spacing w:after="0"/>
                    <w:jc w:val="center"/>
                  </w:pPr>
                  <w:r w:rsidRPr="00B2355E">
                    <w:rPr>
                      <w:rFonts w:ascii="Times New Roman" w:eastAsia="Times New Roman" w:hAnsi="Times New Roman"/>
                      <w:color w:val="000000"/>
                      <w:sz w:val="20"/>
                    </w:rPr>
                    <w:t>3.9</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7BFE19" w14:textId="77777777" w:rsidR="00607C22" w:rsidRPr="00B2355E" w:rsidRDefault="00B2355E" w:rsidP="00607C22">
                  <w:pPr>
                    <w:spacing w:after="0"/>
                    <w:jc w:val="center"/>
                  </w:pPr>
                  <w:r w:rsidRPr="00B2355E">
                    <w:rPr>
                      <w:rFonts w:ascii="Times New Roman" w:eastAsia="Times New Roman" w:hAnsi="Times New Roman"/>
                      <w:color w:val="000000"/>
                      <w:sz w:val="20"/>
                    </w:rPr>
                    <w:t>5,705</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FDCE6" w14:textId="77777777" w:rsidR="00607C22" w:rsidRPr="00B2355E" w:rsidRDefault="00B2355E" w:rsidP="00607C22">
                  <w:pPr>
                    <w:spacing w:after="0"/>
                    <w:jc w:val="center"/>
                  </w:pPr>
                  <w:r w:rsidRPr="00B2355E">
                    <w:rPr>
                      <w:rFonts w:ascii="Times New Roman" w:eastAsia="Times New Roman" w:hAnsi="Times New Roman"/>
                      <w:color w:val="000000"/>
                      <w:sz w:val="20"/>
                    </w:rPr>
                    <w:t>2.5</w:t>
                  </w:r>
                </w:p>
              </w:tc>
            </w:tr>
            <w:tr w:rsidR="00607C22" w14:paraId="26438A7C"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45A51F" w14:textId="77777777" w:rsidR="00607C22" w:rsidRDefault="00607C22" w:rsidP="00607C22">
                  <w:pPr>
                    <w:spacing w:after="0"/>
                  </w:pPr>
                  <w:r>
                    <w:rPr>
                      <w:rFonts w:ascii="Times New Roman" w:eastAsia="Times New Roman" w:hAnsi="Times New Roman"/>
                      <w:color w:val="000000"/>
                      <w:sz w:val="20"/>
                    </w:rPr>
                    <w:t>Moderate</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C80BD" w14:textId="77777777" w:rsidR="00607C22" w:rsidRDefault="00607C22" w:rsidP="00607C22">
                  <w:pPr>
                    <w:spacing w:after="0"/>
                  </w:pPr>
                </w:p>
              </w:tc>
            </w:tr>
            <w:tr w:rsidR="00607C22" w14:paraId="2C285C1B" w14:textId="77777777" w:rsidTr="00725545">
              <w:trPr>
                <w:trHeight w:val="181"/>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82476E4" w14:textId="77777777" w:rsidR="00607C22" w:rsidRDefault="00607C22" w:rsidP="00607C22">
                  <w:pPr>
                    <w:spacing w:after="0"/>
                    <w:jc w:val="right"/>
                  </w:pPr>
                  <w:r>
                    <w:rPr>
                      <w:rFonts w:ascii="Times New Roman" w:eastAsia="Times New Roman" w:hAnsi="Times New Roman"/>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1BE83" w14:textId="77777777" w:rsidR="00607C22" w:rsidRDefault="00607C22" w:rsidP="00607C22">
                  <w:pPr>
                    <w:spacing w:after="0"/>
                    <w:jc w:val="center"/>
                  </w:pPr>
                  <w:r>
                    <w:rPr>
                      <w:rFonts w:ascii="Times New Roman" w:eastAsia="Times New Roman" w:hAnsi="Times New Roman"/>
                      <w:color w:val="000000"/>
                      <w:sz w:val="20"/>
                    </w:rPr>
                    <w:t>11.2</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69A31" w14:textId="77777777" w:rsidR="00607C22" w:rsidRDefault="00607C22" w:rsidP="00607C22">
                  <w:pPr>
                    <w:spacing w:after="0"/>
                    <w:jc w:val="center"/>
                  </w:pPr>
                  <w:r>
                    <w:rPr>
                      <w:rFonts w:ascii="Times New Roman" w:eastAsia="Times New Roman" w:hAnsi="Times New Roman"/>
                      <w:color w:val="000000"/>
                      <w:sz w:val="20"/>
                    </w:rPr>
                    <w:t>11.5</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62FEE" w14:textId="77777777" w:rsidR="00607C22" w:rsidRDefault="00B2355E" w:rsidP="00607C22">
                  <w:pPr>
                    <w:spacing w:after="0"/>
                    <w:jc w:val="center"/>
                  </w:pPr>
                  <w:r>
                    <w:rPr>
                      <w:rFonts w:ascii="Times New Roman" w:eastAsia="Times New Roman" w:hAnsi="Times New Roman"/>
                      <w:color w:val="000000"/>
                      <w:sz w:val="20"/>
                    </w:rPr>
                    <w:t>65</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9870B" w14:textId="77777777" w:rsidR="00607C22" w:rsidRDefault="00B2355E" w:rsidP="00607C22">
                  <w:pPr>
                    <w:spacing w:after="0"/>
                    <w:jc w:val="center"/>
                  </w:pPr>
                  <w:r>
                    <w:rPr>
                      <w:rFonts w:ascii="Times New Roman" w:eastAsia="Times New Roman" w:hAnsi="Times New Roman"/>
                      <w:color w:val="000000"/>
                      <w:sz w:val="20"/>
                    </w:rPr>
                    <w:t>9.4</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E72B5" w14:textId="77777777" w:rsidR="00607C22" w:rsidRDefault="00B2355E" w:rsidP="00607C22">
                  <w:pPr>
                    <w:spacing w:after="0"/>
                    <w:jc w:val="center"/>
                  </w:pPr>
                  <w:r>
                    <w:rPr>
                      <w:rFonts w:ascii="Times New Roman" w:eastAsia="Times New Roman" w:hAnsi="Times New Roman"/>
                      <w:color w:val="000000"/>
                      <w:sz w:val="20"/>
                    </w:rPr>
                    <w:t>14,058</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36F0F" w14:textId="77777777" w:rsidR="00607C22" w:rsidRDefault="00B2355E" w:rsidP="00607C22">
                  <w:pPr>
                    <w:spacing w:after="0"/>
                    <w:jc w:val="center"/>
                  </w:pPr>
                  <w:r>
                    <w:rPr>
                      <w:rFonts w:ascii="Times New Roman" w:eastAsia="Times New Roman" w:hAnsi="Times New Roman"/>
                      <w:color w:val="000000"/>
                      <w:sz w:val="20"/>
                    </w:rPr>
                    <w:t>6.2</w:t>
                  </w:r>
                </w:p>
              </w:tc>
            </w:tr>
            <w:tr w:rsidR="00607C22" w14:paraId="382B7D40"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62407E" w14:textId="77777777" w:rsidR="00607C22" w:rsidRDefault="00607C22" w:rsidP="00607C22">
                  <w:pPr>
                    <w:spacing w:after="0"/>
                  </w:pPr>
                  <w:r>
                    <w:rPr>
                      <w:rFonts w:ascii="Times New Roman" w:eastAsia="Times New Roman" w:hAnsi="Times New Roman"/>
                      <w:color w:val="000000"/>
                      <w:sz w:val="20"/>
                    </w:rPr>
                    <w:t>Middle</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0DC98" w14:textId="77777777" w:rsidR="00607C22" w:rsidRDefault="00607C22" w:rsidP="00607C22">
                  <w:pPr>
                    <w:spacing w:after="0"/>
                  </w:pPr>
                </w:p>
              </w:tc>
            </w:tr>
            <w:tr w:rsidR="00607C22" w14:paraId="57E54154" w14:textId="77777777" w:rsidTr="00725545">
              <w:trPr>
                <w:trHeight w:val="181"/>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70C568" w14:textId="77777777" w:rsidR="00607C22" w:rsidRDefault="00607C22" w:rsidP="00607C22">
                  <w:pPr>
                    <w:spacing w:after="0"/>
                    <w:jc w:val="right"/>
                  </w:pPr>
                  <w:r>
                    <w:rPr>
                      <w:rFonts w:ascii="Times New Roman" w:eastAsia="Times New Roman" w:hAnsi="Times New Roman"/>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219B9" w14:textId="77777777" w:rsidR="00607C22" w:rsidRDefault="00607C22" w:rsidP="00607C22">
                  <w:pPr>
                    <w:spacing w:after="0"/>
                    <w:jc w:val="center"/>
                  </w:pPr>
                  <w:r>
                    <w:rPr>
                      <w:rFonts w:ascii="Times New Roman" w:eastAsia="Times New Roman" w:hAnsi="Times New Roman"/>
                      <w:color w:val="000000"/>
                      <w:sz w:val="20"/>
                    </w:rPr>
                    <w:t>41.5</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19A43" w14:textId="77777777" w:rsidR="00607C22" w:rsidRDefault="00607C22" w:rsidP="00607C22">
                  <w:pPr>
                    <w:spacing w:after="0"/>
                    <w:jc w:val="center"/>
                  </w:pPr>
                  <w:r>
                    <w:rPr>
                      <w:rFonts w:ascii="Times New Roman" w:eastAsia="Times New Roman" w:hAnsi="Times New Roman"/>
                      <w:color w:val="000000"/>
                      <w:sz w:val="20"/>
                    </w:rPr>
                    <w:t>39.4</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7BDD4" w14:textId="77777777" w:rsidR="00607C22" w:rsidRDefault="00B2355E" w:rsidP="00607C22">
                  <w:pPr>
                    <w:spacing w:after="0"/>
                    <w:jc w:val="center"/>
                  </w:pPr>
                  <w:r>
                    <w:rPr>
                      <w:rFonts w:ascii="Times New Roman" w:eastAsia="Times New Roman" w:hAnsi="Times New Roman"/>
                      <w:color w:val="000000"/>
                      <w:sz w:val="20"/>
                    </w:rPr>
                    <w:t>252</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BA3E6A" w14:textId="77777777" w:rsidR="00607C22" w:rsidRDefault="00B2355E" w:rsidP="00607C22">
                  <w:pPr>
                    <w:spacing w:after="0"/>
                    <w:jc w:val="center"/>
                  </w:pPr>
                  <w:r>
                    <w:rPr>
                      <w:rFonts w:ascii="Times New Roman" w:eastAsia="Times New Roman" w:hAnsi="Times New Roman"/>
                      <w:color w:val="000000"/>
                      <w:sz w:val="20"/>
                    </w:rPr>
                    <w:t>36.6</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93E86" w14:textId="77777777" w:rsidR="00607C22" w:rsidRDefault="00B2355E" w:rsidP="00607C22">
                  <w:pPr>
                    <w:spacing w:after="0"/>
                    <w:jc w:val="center"/>
                  </w:pPr>
                  <w:r>
                    <w:rPr>
                      <w:rFonts w:ascii="Times New Roman" w:eastAsia="Times New Roman" w:hAnsi="Times New Roman"/>
                      <w:color w:val="000000"/>
                      <w:sz w:val="20"/>
                    </w:rPr>
                    <w:t>88,297</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0889A" w14:textId="77777777" w:rsidR="00607C22" w:rsidRDefault="00B2355E" w:rsidP="00607C22">
                  <w:pPr>
                    <w:spacing w:after="0"/>
                    <w:jc w:val="center"/>
                  </w:pPr>
                  <w:r>
                    <w:rPr>
                      <w:rFonts w:ascii="Times New Roman" w:eastAsia="Times New Roman" w:hAnsi="Times New Roman"/>
                      <w:color w:val="000000"/>
                      <w:sz w:val="20"/>
                    </w:rPr>
                    <w:t>39.0</w:t>
                  </w:r>
                </w:p>
              </w:tc>
            </w:tr>
            <w:tr w:rsidR="00607C22" w14:paraId="54F6692B"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081500" w14:textId="77777777" w:rsidR="00607C22" w:rsidRDefault="00607C22" w:rsidP="00607C22">
                  <w:pPr>
                    <w:spacing w:after="0"/>
                  </w:pPr>
                  <w:r>
                    <w:rPr>
                      <w:rFonts w:ascii="Times New Roman" w:eastAsia="Times New Roman" w:hAnsi="Times New Roman"/>
                      <w:color w:val="000000"/>
                      <w:sz w:val="20"/>
                    </w:rPr>
                    <w:t>Upper</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A6089" w14:textId="77777777" w:rsidR="00607C22" w:rsidRDefault="00607C22" w:rsidP="00607C22">
                  <w:pPr>
                    <w:spacing w:after="0"/>
                  </w:pPr>
                </w:p>
              </w:tc>
            </w:tr>
            <w:tr w:rsidR="00607C22" w14:paraId="4A4372DA" w14:textId="77777777" w:rsidTr="00725545">
              <w:trPr>
                <w:trHeight w:val="181"/>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2D8B23" w14:textId="77777777" w:rsidR="00607C22" w:rsidRDefault="00607C22" w:rsidP="00607C22">
                  <w:pPr>
                    <w:spacing w:after="0"/>
                    <w:jc w:val="right"/>
                  </w:pPr>
                  <w:r>
                    <w:rPr>
                      <w:rFonts w:ascii="Times New Roman" w:eastAsia="Times New Roman" w:hAnsi="Times New Roman"/>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3F8280" w14:textId="77777777" w:rsidR="00607C22" w:rsidRDefault="00607C22" w:rsidP="00607C22">
                  <w:pPr>
                    <w:spacing w:after="0"/>
                    <w:jc w:val="center"/>
                  </w:pPr>
                  <w:r>
                    <w:rPr>
                      <w:rFonts w:ascii="Times New Roman" w:eastAsia="Times New Roman" w:hAnsi="Times New Roman"/>
                      <w:color w:val="000000"/>
                      <w:sz w:val="20"/>
                    </w:rPr>
                    <w:t>42.8</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E389A" w14:textId="77777777" w:rsidR="00607C22" w:rsidRDefault="00607C22" w:rsidP="00607C22">
                  <w:pPr>
                    <w:spacing w:after="0"/>
                    <w:jc w:val="center"/>
                  </w:pPr>
                  <w:r>
                    <w:rPr>
                      <w:rFonts w:ascii="Times New Roman" w:eastAsia="Times New Roman" w:hAnsi="Times New Roman"/>
                      <w:color w:val="000000"/>
                      <w:sz w:val="20"/>
                    </w:rPr>
                    <w:t>43.5</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E2617" w14:textId="77777777" w:rsidR="00607C22" w:rsidRDefault="00B2355E" w:rsidP="00607C22">
                  <w:pPr>
                    <w:spacing w:after="0"/>
                    <w:jc w:val="center"/>
                  </w:pPr>
                  <w:r>
                    <w:rPr>
                      <w:rFonts w:ascii="Times New Roman" w:eastAsia="Times New Roman" w:hAnsi="Times New Roman"/>
                      <w:color w:val="000000"/>
                      <w:sz w:val="20"/>
                    </w:rPr>
                    <w:t>343</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81865" w14:textId="77777777" w:rsidR="00607C22" w:rsidRDefault="00607C22" w:rsidP="00607C22">
                  <w:pPr>
                    <w:spacing w:after="0"/>
                    <w:jc w:val="center"/>
                  </w:pPr>
                  <w:r>
                    <w:rPr>
                      <w:rFonts w:ascii="Times New Roman" w:eastAsia="Times New Roman" w:hAnsi="Times New Roman"/>
                      <w:color w:val="000000"/>
                      <w:sz w:val="20"/>
                    </w:rPr>
                    <w:t>50.0</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CD068" w14:textId="77777777" w:rsidR="00607C22" w:rsidRDefault="00B2355E" w:rsidP="00607C22">
                  <w:pPr>
                    <w:spacing w:after="0"/>
                    <w:jc w:val="center"/>
                  </w:pPr>
                  <w:r>
                    <w:rPr>
                      <w:rFonts w:ascii="Times New Roman" w:eastAsia="Times New Roman" w:hAnsi="Times New Roman"/>
                      <w:color w:val="000000"/>
                      <w:sz w:val="20"/>
                    </w:rPr>
                    <w:t>118,108</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83E70B" w14:textId="77777777" w:rsidR="00607C22" w:rsidRDefault="00B2355E" w:rsidP="00607C22">
                  <w:pPr>
                    <w:spacing w:after="0"/>
                    <w:jc w:val="center"/>
                  </w:pPr>
                  <w:r>
                    <w:rPr>
                      <w:rFonts w:ascii="Times New Roman" w:eastAsia="Times New Roman" w:hAnsi="Times New Roman"/>
                      <w:color w:val="000000"/>
                      <w:sz w:val="20"/>
                    </w:rPr>
                    <w:t>52.1</w:t>
                  </w:r>
                </w:p>
              </w:tc>
            </w:tr>
            <w:tr w:rsidR="00607C22" w14:paraId="6C3D0779"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99F794" w14:textId="77777777" w:rsidR="00607C22" w:rsidRDefault="00607C22" w:rsidP="00607C22">
                  <w:pPr>
                    <w:spacing w:after="0"/>
                  </w:pPr>
                  <w:r>
                    <w:rPr>
                      <w:rFonts w:ascii="Times New Roman" w:eastAsia="Times New Roman" w:hAnsi="Times New Roman"/>
                      <w:color w:val="000000"/>
                      <w:sz w:val="20"/>
                    </w:rPr>
                    <w:t>Not Available</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BBAF32" w14:textId="77777777" w:rsidR="00607C22" w:rsidRDefault="00607C22" w:rsidP="00607C22">
                  <w:pPr>
                    <w:spacing w:after="0"/>
                  </w:pPr>
                </w:p>
              </w:tc>
            </w:tr>
            <w:tr w:rsidR="00607C22" w14:paraId="21714672" w14:textId="77777777" w:rsidTr="00725545">
              <w:trPr>
                <w:trHeight w:val="181"/>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C54A5E3" w14:textId="77777777" w:rsidR="00607C22" w:rsidRDefault="00607C22" w:rsidP="00607C22">
                  <w:pPr>
                    <w:spacing w:after="0"/>
                    <w:jc w:val="right"/>
                  </w:pPr>
                  <w:r>
                    <w:rPr>
                      <w:rFonts w:ascii="Times New Roman" w:eastAsia="Times New Roman" w:hAnsi="Times New Roman"/>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CFC43" w14:textId="77777777" w:rsidR="00607C22" w:rsidRDefault="00607C22" w:rsidP="00607C22">
                  <w:pPr>
                    <w:spacing w:after="0"/>
                    <w:jc w:val="center"/>
                  </w:pPr>
                  <w:r>
                    <w:rPr>
                      <w:rFonts w:ascii="Times New Roman" w:eastAsia="Times New Roman" w:hAnsi="Times New Roman"/>
                      <w:color w:val="000000"/>
                      <w:sz w:val="20"/>
                    </w:rPr>
                    <w:t>0.2</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6677D" w14:textId="77777777" w:rsidR="00607C22" w:rsidRDefault="00607C22" w:rsidP="00607C22">
                  <w:pPr>
                    <w:spacing w:after="0"/>
                    <w:jc w:val="center"/>
                  </w:pPr>
                  <w:r>
                    <w:rPr>
                      <w:rFonts w:ascii="Times New Roman" w:eastAsia="Times New Roman" w:hAnsi="Times New Roman"/>
                      <w:color w:val="000000"/>
                      <w:sz w:val="20"/>
                    </w:rPr>
                    <w:t>0.2</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CF563" w14:textId="77777777" w:rsidR="00607C22" w:rsidRDefault="00607C22" w:rsidP="00607C22">
                  <w:pPr>
                    <w:spacing w:after="0"/>
                    <w:jc w:val="center"/>
                  </w:pPr>
                  <w:r>
                    <w:rPr>
                      <w:rFonts w:ascii="Times New Roman" w:eastAsia="Times New Roman" w:hAnsi="Times New Roman"/>
                      <w:color w:val="000000"/>
                      <w:sz w:val="20"/>
                    </w:rPr>
                    <w:t>1</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E9BAD" w14:textId="77777777" w:rsidR="00607C22" w:rsidRDefault="00B2355E" w:rsidP="00607C22">
                  <w:pPr>
                    <w:spacing w:after="0"/>
                    <w:jc w:val="center"/>
                  </w:pPr>
                  <w:r>
                    <w:rPr>
                      <w:rFonts w:ascii="Times New Roman" w:eastAsia="Times New Roman" w:hAnsi="Times New Roman"/>
                      <w:color w:val="000000"/>
                      <w:sz w:val="20"/>
                    </w:rPr>
                    <w:t>0.1</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704FA" w14:textId="77777777" w:rsidR="00607C22" w:rsidRDefault="00607C22" w:rsidP="00607C22">
                  <w:pPr>
                    <w:spacing w:after="0"/>
                    <w:jc w:val="center"/>
                  </w:pPr>
                  <w:r>
                    <w:rPr>
                      <w:rFonts w:ascii="Times New Roman" w:eastAsia="Times New Roman" w:hAnsi="Times New Roman"/>
                      <w:color w:val="000000"/>
                      <w:sz w:val="20"/>
                    </w:rPr>
                    <w:t>385</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6CF73" w14:textId="77777777" w:rsidR="00607C22" w:rsidRDefault="00B2355E" w:rsidP="00607C22">
                  <w:pPr>
                    <w:spacing w:after="0"/>
                    <w:jc w:val="center"/>
                  </w:pPr>
                  <w:r>
                    <w:rPr>
                      <w:rFonts w:ascii="Times New Roman" w:eastAsia="Times New Roman" w:hAnsi="Times New Roman"/>
                      <w:color w:val="000000"/>
                      <w:sz w:val="20"/>
                    </w:rPr>
                    <w:t>0.2</w:t>
                  </w:r>
                </w:p>
              </w:tc>
            </w:tr>
            <w:tr w:rsidR="00607C22" w14:paraId="60B400CE" w14:textId="77777777" w:rsidTr="00725545">
              <w:trPr>
                <w:trHeight w:val="210"/>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A84AD3" w14:textId="77777777" w:rsidR="00607C22" w:rsidRDefault="00607C22" w:rsidP="00607C22">
                  <w:pPr>
                    <w:spacing w:after="0"/>
                  </w:pPr>
                  <w:r>
                    <w:rPr>
                      <w:rFonts w:ascii="Times New Roman" w:eastAsia="Times New Roman" w:hAnsi="Times New Roman"/>
                      <w:b/>
                      <w:color w:val="000000"/>
                      <w:sz w:val="20"/>
                    </w:rPr>
                    <w:t>Totals</w:t>
                  </w:r>
                </w:p>
              </w:tc>
              <w:tc>
                <w:tcPr>
                  <w:tcW w:w="634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B381A" w14:textId="77777777" w:rsidR="00607C22" w:rsidRDefault="00607C22" w:rsidP="00607C22">
                  <w:pPr>
                    <w:spacing w:after="0"/>
                  </w:pPr>
                </w:p>
              </w:tc>
            </w:tr>
            <w:tr w:rsidR="00607C22" w14:paraId="2D6D16A0" w14:textId="77777777" w:rsidTr="00725545">
              <w:trPr>
                <w:trHeight w:val="195"/>
                <w:jc w:val="center"/>
              </w:trPr>
              <w:tc>
                <w:tcPr>
                  <w:tcW w:w="218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48FC3FD" w14:textId="77777777" w:rsidR="00607C22" w:rsidRDefault="00607C22" w:rsidP="00607C22">
                  <w:pPr>
                    <w:spacing w:after="0"/>
                    <w:jc w:val="right"/>
                  </w:pPr>
                  <w:r>
                    <w:rPr>
                      <w:rFonts w:ascii="Times New Roman" w:eastAsia="Times New Roman" w:hAnsi="Times New Roman"/>
                      <w:b/>
                      <w:color w:val="000000"/>
                      <w:sz w:val="20"/>
                    </w:rPr>
                    <w:t>2019</w:t>
                  </w:r>
                </w:p>
              </w:tc>
              <w:tc>
                <w:tcPr>
                  <w:tcW w:w="14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5EB161" w14:textId="77777777" w:rsidR="00607C22" w:rsidRDefault="00607C22" w:rsidP="00607C22">
                  <w:pPr>
                    <w:spacing w:after="0"/>
                    <w:jc w:val="center"/>
                  </w:pPr>
                  <w:r>
                    <w:rPr>
                      <w:rFonts w:ascii="Times New Roman" w:eastAsia="Times New Roman" w:hAnsi="Times New Roman"/>
                      <w:b/>
                      <w:color w:val="000000"/>
                      <w:sz w:val="20"/>
                    </w:rPr>
                    <w:t>100.0</w:t>
                  </w:r>
                </w:p>
              </w:tc>
              <w:tc>
                <w:tcPr>
                  <w:tcW w:w="13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7A271" w14:textId="77777777" w:rsidR="00607C22" w:rsidRDefault="00607C22" w:rsidP="00607C22">
                  <w:pPr>
                    <w:spacing w:after="0"/>
                    <w:jc w:val="center"/>
                  </w:pPr>
                  <w:r>
                    <w:rPr>
                      <w:rFonts w:ascii="Times New Roman" w:eastAsia="Times New Roman" w:hAnsi="Times New Roman"/>
                      <w:b/>
                      <w:color w:val="000000"/>
                      <w:sz w:val="20"/>
                    </w:rPr>
                    <w:t>100.0</w:t>
                  </w:r>
                </w:p>
              </w:tc>
              <w:tc>
                <w:tcPr>
                  <w:tcW w:w="10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F9879" w14:textId="77777777" w:rsidR="00607C22" w:rsidRDefault="00B2355E" w:rsidP="00607C22">
                  <w:pPr>
                    <w:spacing w:after="0"/>
                    <w:jc w:val="center"/>
                  </w:pPr>
                  <w:r>
                    <w:rPr>
                      <w:rFonts w:ascii="Times New Roman" w:eastAsia="Times New Roman" w:hAnsi="Times New Roman"/>
                      <w:b/>
                      <w:color w:val="000000"/>
                      <w:sz w:val="20"/>
                    </w:rPr>
                    <w:t>688</w:t>
                  </w:r>
                </w:p>
              </w:tc>
              <w:tc>
                <w:tcPr>
                  <w:tcW w:w="7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9487B" w14:textId="77777777" w:rsidR="00607C22" w:rsidRDefault="00607C22" w:rsidP="00607C22">
                  <w:pPr>
                    <w:spacing w:after="0"/>
                    <w:jc w:val="center"/>
                  </w:pPr>
                  <w:r>
                    <w:rPr>
                      <w:rFonts w:ascii="Times New Roman" w:eastAsia="Times New Roman" w:hAnsi="Times New Roman"/>
                      <w:b/>
                      <w:color w:val="000000"/>
                      <w:sz w:val="20"/>
                    </w:rPr>
                    <w:t>100.0</w:t>
                  </w:r>
                </w:p>
              </w:tc>
              <w:tc>
                <w:tcPr>
                  <w:tcW w:w="9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E4716" w14:textId="77777777" w:rsidR="00607C22" w:rsidRDefault="00B2355E" w:rsidP="00607C22">
                  <w:pPr>
                    <w:spacing w:after="0"/>
                    <w:jc w:val="center"/>
                  </w:pPr>
                  <w:r>
                    <w:rPr>
                      <w:rFonts w:ascii="Times New Roman" w:eastAsia="Times New Roman" w:hAnsi="Times New Roman"/>
                      <w:b/>
                      <w:color w:val="000000"/>
                      <w:sz w:val="20"/>
                    </w:rPr>
                    <w:t>226,553</w:t>
                  </w:r>
                </w:p>
              </w:tc>
              <w:tc>
                <w:tcPr>
                  <w:tcW w:w="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9FDDF" w14:textId="77777777" w:rsidR="00607C22" w:rsidRDefault="00607C22" w:rsidP="00607C22">
                  <w:pPr>
                    <w:spacing w:after="0"/>
                    <w:jc w:val="center"/>
                  </w:pPr>
                  <w:r>
                    <w:rPr>
                      <w:rFonts w:ascii="Times New Roman" w:eastAsia="Times New Roman" w:hAnsi="Times New Roman"/>
                      <w:b/>
                      <w:color w:val="000000"/>
                      <w:sz w:val="20"/>
                    </w:rPr>
                    <w:t>100.0</w:t>
                  </w:r>
                </w:p>
              </w:tc>
            </w:tr>
            <w:tr w:rsidR="00607C22" w14:paraId="09665201" w14:textId="77777777" w:rsidTr="00725545">
              <w:trPr>
                <w:trHeight w:val="194"/>
                <w:jc w:val="center"/>
              </w:trPr>
              <w:tc>
                <w:tcPr>
                  <w:tcW w:w="8525"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D09BDF5" w14:textId="77777777" w:rsidR="00607C22" w:rsidRDefault="00607C22" w:rsidP="00607C22">
                  <w:pPr>
                    <w:spacing w:after="0"/>
                  </w:pPr>
                  <w:r>
                    <w:rPr>
                      <w:rFonts w:ascii="Times New Roman" w:eastAsia="Times New Roman" w:hAnsi="Times New Roman"/>
                      <w:i/>
                      <w:color w:val="000000"/>
                      <w:sz w:val="16"/>
                    </w:rPr>
                    <w:t>Source: 2015 ACS; Bank Data, 2017, 2018 &amp; 2019 HMDA Aggregate Data, "--" data not available.</w:t>
                  </w:r>
                </w:p>
                <w:p w14:paraId="09C944F0" w14:textId="77777777" w:rsidR="00607C22" w:rsidRDefault="00607C22" w:rsidP="00607C22">
                  <w:pPr>
                    <w:spacing w:after="0"/>
                  </w:pPr>
                  <w:r>
                    <w:rPr>
                      <w:rFonts w:ascii="Times New Roman" w:eastAsia="Times New Roman" w:hAnsi="Times New Roman"/>
                      <w:i/>
                      <w:color w:val="000000"/>
                      <w:sz w:val="16"/>
                    </w:rPr>
                    <w:t>Due to rounding, totals may not equal 100.0%</w:t>
                  </w:r>
                </w:p>
              </w:tc>
            </w:tr>
          </w:tbl>
          <w:p w14:paraId="3564A749" w14:textId="77777777" w:rsidR="00607C22" w:rsidRDefault="00607C22" w:rsidP="00530B36"/>
        </w:tc>
        <w:tc>
          <w:tcPr>
            <w:tcW w:w="1439" w:type="dxa"/>
          </w:tcPr>
          <w:p w14:paraId="71727AD3" w14:textId="77777777" w:rsidR="00607C22" w:rsidRDefault="00607C22" w:rsidP="00530B36">
            <w:pPr>
              <w:pStyle w:val="EmptyLayoutCell"/>
            </w:pPr>
          </w:p>
        </w:tc>
      </w:tr>
    </w:tbl>
    <w:p w14:paraId="74B32511" w14:textId="3AEA8270" w:rsidR="00DB75C4" w:rsidRDefault="00DB75C4" w:rsidP="00E50970">
      <w:pPr>
        <w:spacing w:after="0" w:line="240" w:lineRule="auto"/>
        <w:rPr>
          <w:rFonts w:ascii="Times New Roman" w:eastAsia="Times New Roman" w:hAnsi="Times New Roman" w:cs="Times New Roman"/>
          <w:iCs/>
          <w:sz w:val="24"/>
          <w:szCs w:val="24"/>
        </w:rPr>
      </w:pPr>
    </w:p>
    <w:p w14:paraId="17A1F6A3" w14:textId="77777777" w:rsidR="00B66386" w:rsidRPr="00B66386" w:rsidRDefault="00B66386" w:rsidP="00E50970">
      <w:pPr>
        <w:spacing w:after="0" w:line="240" w:lineRule="auto"/>
        <w:rPr>
          <w:rFonts w:ascii="Times New Roman" w:eastAsia="Times New Roman" w:hAnsi="Times New Roman" w:cs="Times New Roman"/>
          <w:b/>
          <w:iCs/>
          <w:sz w:val="24"/>
          <w:szCs w:val="24"/>
        </w:rPr>
      </w:pPr>
      <w:r w:rsidRPr="00B66386">
        <w:rPr>
          <w:rFonts w:ascii="Times New Roman" w:eastAsia="Times New Roman" w:hAnsi="Times New Roman" w:cs="Times New Roman"/>
          <w:b/>
          <w:iCs/>
          <w:sz w:val="24"/>
          <w:szCs w:val="24"/>
        </w:rPr>
        <w:t>Small Business Loans</w:t>
      </w:r>
    </w:p>
    <w:p w14:paraId="3B7F8FA0" w14:textId="78E34282" w:rsidR="00AE595E" w:rsidRDefault="00AE595E" w:rsidP="00AE595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geographic distribution of small business loans reflects </w:t>
      </w:r>
      <w:r w:rsidR="006D5CB5">
        <w:rPr>
          <w:rFonts w:ascii="Times New Roman" w:eastAsia="Times New Roman" w:hAnsi="Times New Roman" w:cs="Times New Roman"/>
          <w:sz w:val="24"/>
          <w:szCs w:val="24"/>
        </w:rPr>
        <w:t>adequate</w:t>
      </w:r>
      <w:r w:rsidRPr="002B136E">
        <w:rPr>
          <w:rFonts w:ascii="Times New Roman" w:eastAsia="Times New Roman" w:hAnsi="Times New Roman" w:cs="Times New Roman"/>
          <w:sz w:val="24"/>
          <w:szCs w:val="24"/>
        </w:rPr>
        <w:t xml:space="preserve"> penetration</w:t>
      </w:r>
      <w:r>
        <w:rPr>
          <w:rFonts w:ascii="Times New Roman" w:eastAsia="Times New Roman" w:hAnsi="Times New Roman" w:cs="Times New Roman"/>
          <w:sz w:val="24"/>
          <w:szCs w:val="24"/>
        </w:rPr>
        <w:t xml:space="preserve"> throughout the </w:t>
      </w:r>
      <w:r w:rsidR="006D5CB5">
        <w:rPr>
          <w:rFonts w:ascii="Times New Roman" w:eastAsia="Times New Roman" w:hAnsi="Times New Roman" w:cs="Times New Roman"/>
          <w:sz w:val="24"/>
          <w:szCs w:val="24"/>
        </w:rPr>
        <w:t>Providence, RI-MA MSA</w:t>
      </w:r>
      <w:r>
        <w:rPr>
          <w:rFonts w:ascii="Times New Roman" w:eastAsia="Times New Roman" w:hAnsi="Times New Roman" w:cs="Times New Roman"/>
          <w:sz w:val="24"/>
          <w:szCs w:val="24"/>
        </w:rPr>
        <w:t xml:space="preserve">.  </w:t>
      </w:r>
      <w:r>
        <w:rPr>
          <w:rFonts w:ascii="Times New Roman" w:hAnsi="Times New Roman" w:cs="Times New Roman"/>
          <w:iCs/>
          <w:sz w:val="24"/>
          <w:szCs w:val="24"/>
        </w:rPr>
        <w:t>In low-income geographies, t</w:t>
      </w:r>
      <w:r>
        <w:rPr>
          <w:rFonts w:ascii="Times New Roman" w:eastAsia="Times New Roman" w:hAnsi="Times New Roman" w:cs="Times New Roman"/>
          <w:sz w:val="24"/>
          <w:szCs w:val="24"/>
        </w:rPr>
        <w:t>he bank</w:t>
      </w:r>
      <w:r w:rsidR="00DA5D41">
        <w:rPr>
          <w:rFonts w:ascii="Times New Roman" w:eastAsia="Times New Roman" w:hAnsi="Times New Roman" w:cs="Times New Roman"/>
          <w:sz w:val="24"/>
          <w:szCs w:val="24"/>
        </w:rPr>
        <w:t xml:space="preserve"> performed</w:t>
      </w:r>
      <w:r>
        <w:rPr>
          <w:rFonts w:ascii="Times New Roman" w:eastAsia="Times New Roman" w:hAnsi="Times New Roman" w:cs="Times New Roman"/>
          <w:sz w:val="24"/>
          <w:szCs w:val="24"/>
        </w:rPr>
        <w:t xml:space="preserve"> slightly below </w:t>
      </w:r>
      <w:r w:rsidR="00DA5D4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aggregate </w:t>
      </w:r>
      <w:r w:rsidR="00DA5D41">
        <w:rPr>
          <w:rFonts w:ascii="Times New Roman" w:eastAsia="Times New Roman" w:hAnsi="Times New Roman" w:cs="Times New Roman"/>
          <w:sz w:val="24"/>
          <w:szCs w:val="24"/>
        </w:rPr>
        <w:t xml:space="preserve">market </w:t>
      </w:r>
      <w:r>
        <w:rPr>
          <w:rFonts w:ascii="Times New Roman" w:eastAsia="Times New Roman" w:hAnsi="Times New Roman" w:cs="Times New Roman"/>
          <w:sz w:val="24"/>
          <w:szCs w:val="24"/>
        </w:rPr>
        <w:t>a</w:t>
      </w:r>
      <w:r w:rsidR="006D5CB5">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Pr="002C2CAD">
        <w:rPr>
          <w:rFonts w:ascii="Times New Roman" w:eastAsia="Times New Roman" w:hAnsi="Times New Roman" w:cs="Times New Roman"/>
          <w:sz w:val="24"/>
          <w:szCs w:val="24"/>
        </w:rPr>
        <w:t xml:space="preserve">demographic </w:t>
      </w:r>
      <w:r w:rsidR="00DA5D41">
        <w:rPr>
          <w:rFonts w:ascii="Times New Roman" w:eastAsia="Times New Roman" w:hAnsi="Times New Roman" w:cs="Times New Roman"/>
          <w:sz w:val="24"/>
          <w:szCs w:val="24"/>
        </w:rPr>
        <w:t>percentages</w:t>
      </w:r>
      <w:r w:rsidRPr="002C2CAD">
        <w:rPr>
          <w:rFonts w:ascii="Times New Roman" w:eastAsia="Times New Roman" w:hAnsi="Times New Roman" w:cs="Times New Roman"/>
          <w:sz w:val="24"/>
          <w:szCs w:val="24"/>
        </w:rPr>
        <w:t xml:space="preserve">.  In moderate-income geographies, </w:t>
      </w:r>
      <w:r>
        <w:rPr>
          <w:rFonts w:ascii="Times New Roman" w:eastAsia="Times New Roman" w:hAnsi="Times New Roman" w:cs="Times New Roman"/>
          <w:sz w:val="24"/>
          <w:szCs w:val="24"/>
        </w:rPr>
        <w:t xml:space="preserve">the bank </w:t>
      </w:r>
      <w:r w:rsidR="00DA5D41">
        <w:rPr>
          <w:rFonts w:ascii="Times New Roman" w:eastAsia="Times New Roman" w:hAnsi="Times New Roman" w:cs="Times New Roman"/>
          <w:sz w:val="24"/>
          <w:szCs w:val="24"/>
        </w:rPr>
        <w:t>performed</w:t>
      </w:r>
      <w:r>
        <w:rPr>
          <w:rFonts w:ascii="Times New Roman" w:eastAsia="Times New Roman" w:hAnsi="Times New Roman" w:cs="Times New Roman"/>
          <w:sz w:val="24"/>
          <w:szCs w:val="24"/>
        </w:rPr>
        <w:t xml:space="preserve"> b</w:t>
      </w:r>
      <w:r w:rsidRPr="002C2CAD">
        <w:rPr>
          <w:rFonts w:ascii="Times New Roman" w:eastAsia="Times New Roman" w:hAnsi="Times New Roman" w:cs="Times New Roman"/>
          <w:sz w:val="24"/>
          <w:szCs w:val="24"/>
        </w:rPr>
        <w:t xml:space="preserve">elow </w:t>
      </w:r>
      <w:r w:rsidR="00DA5D41">
        <w:rPr>
          <w:rFonts w:ascii="Times New Roman" w:eastAsia="Times New Roman" w:hAnsi="Times New Roman" w:cs="Times New Roman"/>
          <w:sz w:val="24"/>
          <w:szCs w:val="24"/>
        </w:rPr>
        <w:t xml:space="preserve">the aggregate market and </w:t>
      </w:r>
      <w:r w:rsidRPr="002C2CAD">
        <w:rPr>
          <w:rFonts w:ascii="Times New Roman" w:eastAsia="Times New Roman" w:hAnsi="Times New Roman" w:cs="Times New Roman"/>
          <w:sz w:val="24"/>
          <w:szCs w:val="24"/>
        </w:rPr>
        <w:t xml:space="preserve">demographic </w:t>
      </w:r>
      <w:r w:rsidR="00DA5D41">
        <w:rPr>
          <w:rFonts w:ascii="Times New Roman" w:eastAsia="Times New Roman" w:hAnsi="Times New Roman" w:cs="Times New Roman"/>
          <w:sz w:val="24"/>
          <w:szCs w:val="24"/>
        </w:rPr>
        <w:t>percentages.</w:t>
      </w:r>
      <w:r w:rsidR="00186E33">
        <w:rPr>
          <w:rFonts w:ascii="Times New Roman" w:eastAsia="Times New Roman" w:hAnsi="Times New Roman" w:cs="Times New Roman"/>
          <w:sz w:val="24"/>
          <w:szCs w:val="24"/>
        </w:rPr>
        <w:t xml:space="preserve">  The bank faces significant competition from small business lenders in the area</w:t>
      </w:r>
      <w:r w:rsidR="00DA5D41">
        <w:rPr>
          <w:rFonts w:ascii="Times New Roman" w:eastAsia="Times New Roman" w:hAnsi="Times New Roman" w:cs="Times New Roman"/>
          <w:sz w:val="24"/>
          <w:szCs w:val="24"/>
        </w:rPr>
        <w:t>,</w:t>
      </w:r>
      <w:r w:rsidR="00186E33">
        <w:rPr>
          <w:rFonts w:ascii="Times New Roman" w:eastAsia="Times New Roman" w:hAnsi="Times New Roman" w:cs="Times New Roman"/>
          <w:sz w:val="24"/>
          <w:szCs w:val="24"/>
        </w:rPr>
        <w:t xml:space="preserve"> and given the recent expansion into the area</w:t>
      </w:r>
      <w:r w:rsidR="00601CC2">
        <w:rPr>
          <w:rFonts w:ascii="Times New Roman" w:eastAsia="Times New Roman" w:hAnsi="Times New Roman" w:cs="Times New Roman"/>
          <w:sz w:val="24"/>
          <w:szCs w:val="24"/>
        </w:rPr>
        <w:t>, the bank’s performance supports the rating.</w:t>
      </w:r>
    </w:p>
    <w:p w14:paraId="27B5C0BF" w14:textId="65DF13BA" w:rsidR="00AE595E" w:rsidRDefault="00AE595E" w:rsidP="00E50970">
      <w:pPr>
        <w:spacing w:after="0" w:line="240" w:lineRule="auto"/>
        <w:rPr>
          <w:rFonts w:ascii="Times New Roman" w:eastAsia="Times New Roman" w:hAnsi="Times New Roman" w:cs="Times New Roman"/>
          <w:iCs/>
          <w:sz w:val="24"/>
          <w:szCs w:val="24"/>
        </w:rPr>
      </w:pPr>
    </w:p>
    <w:p w14:paraId="3A04A32F" w14:textId="6D6D07CE" w:rsidR="00863FA4" w:rsidRDefault="00863FA4" w:rsidP="00E50970">
      <w:pPr>
        <w:spacing w:after="0" w:line="240" w:lineRule="auto"/>
        <w:rPr>
          <w:rFonts w:ascii="Times New Roman" w:eastAsia="Times New Roman" w:hAnsi="Times New Roman" w:cs="Times New Roman"/>
          <w:iCs/>
          <w:sz w:val="24"/>
          <w:szCs w:val="24"/>
        </w:rPr>
      </w:pPr>
    </w:p>
    <w:p w14:paraId="0AD16027" w14:textId="77777777" w:rsidR="006554A0" w:rsidRDefault="006554A0" w:rsidP="00E50970">
      <w:pPr>
        <w:spacing w:after="0" w:line="240" w:lineRule="auto"/>
        <w:rPr>
          <w:rFonts w:ascii="Times New Roman" w:eastAsia="Times New Roman" w:hAnsi="Times New Roman" w:cs="Times New Roman"/>
          <w:iCs/>
          <w:sz w:val="24"/>
          <w:szCs w:val="24"/>
        </w:rPr>
      </w:pPr>
    </w:p>
    <w:p w14:paraId="4AE1BB4D" w14:textId="77777777" w:rsidR="00863FA4" w:rsidRDefault="00863FA4" w:rsidP="00E50970">
      <w:pPr>
        <w:spacing w:after="0" w:line="240" w:lineRule="auto"/>
        <w:rPr>
          <w:rFonts w:ascii="Times New Roman" w:eastAsia="Times New Roman" w:hAnsi="Times New Roman" w:cs="Times New Roman"/>
          <w:iCs/>
          <w:sz w:val="24"/>
          <w:szCs w:val="24"/>
        </w:rPr>
      </w:pPr>
    </w:p>
    <w:tbl>
      <w:tblPr>
        <w:tblW w:w="0" w:type="auto"/>
        <w:tblCellMar>
          <w:left w:w="0" w:type="dxa"/>
          <w:right w:w="0" w:type="dxa"/>
        </w:tblCellMar>
        <w:tblLook w:val="0000" w:firstRow="0" w:lastRow="0" w:firstColumn="0" w:lastColumn="0" w:noHBand="0" w:noVBand="0"/>
      </w:tblPr>
      <w:tblGrid>
        <w:gridCol w:w="2592"/>
        <w:gridCol w:w="1440"/>
        <w:gridCol w:w="1440"/>
        <w:gridCol w:w="1008"/>
        <w:gridCol w:w="1008"/>
        <w:gridCol w:w="1008"/>
        <w:gridCol w:w="1008"/>
      </w:tblGrid>
      <w:tr w:rsidR="00607C22" w14:paraId="3BE6CAE2" w14:textId="77777777" w:rsidTr="00530B36">
        <w:trPr>
          <w:trHeight w:val="282"/>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02B02E24" w14:textId="77777777" w:rsidR="00607C22" w:rsidRDefault="00607C22" w:rsidP="00607C22">
            <w:pPr>
              <w:spacing w:after="0"/>
              <w:jc w:val="center"/>
            </w:pPr>
            <w:r>
              <w:rPr>
                <w:rFonts w:ascii="Times New Roman" w:eastAsia="Times New Roman" w:hAnsi="Times New Roman"/>
                <w:b/>
                <w:color w:val="000000"/>
                <w:sz w:val="20"/>
              </w:rPr>
              <w:lastRenderedPageBreak/>
              <w:t>Geographic Distribution of Small Business Loans</w:t>
            </w:r>
          </w:p>
        </w:tc>
      </w:tr>
      <w:tr w:rsidR="00607C22" w14:paraId="0B0362BB" w14:textId="77777777" w:rsidTr="00530B36">
        <w:trPr>
          <w:trHeight w:val="210"/>
        </w:trPr>
        <w:tc>
          <w:tcPr>
            <w:tcW w:w="9504" w:type="dxa"/>
            <w:gridSpan w:val="7"/>
            <w:tcBorders>
              <w:left w:val="single" w:sz="7" w:space="0" w:color="000000"/>
              <w:right w:val="single" w:sz="7" w:space="0" w:color="000000"/>
            </w:tcBorders>
            <w:tcMar>
              <w:top w:w="39" w:type="dxa"/>
              <w:left w:w="39" w:type="dxa"/>
              <w:bottom w:w="39" w:type="dxa"/>
              <w:right w:w="39" w:type="dxa"/>
            </w:tcMar>
            <w:vAlign w:val="center"/>
          </w:tcPr>
          <w:p w14:paraId="20021599" w14:textId="5F485FA2" w:rsidR="00607C22" w:rsidRDefault="00607C22" w:rsidP="004353B3">
            <w:pPr>
              <w:spacing w:after="0"/>
              <w:jc w:val="center"/>
            </w:pPr>
            <w:r>
              <w:rPr>
                <w:rFonts w:ascii="Times New Roman" w:eastAsia="Times New Roman" w:hAnsi="Times New Roman"/>
                <w:b/>
                <w:color w:val="000000"/>
                <w:sz w:val="20"/>
              </w:rPr>
              <w:t xml:space="preserve">Assessment Area: </w:t>
            </w:r>
            <w:r w:rsidR="00A31502">
              <w:rPr>
                <w:rFonts w:ascii="Times New Roman" w:eastAsia="Times New Roman" w:hAnsi="Times New Roman"/>
                <w:b/>
                <w:color w:val="000000"/>
                <w:sz w:val="20"/>
              </w:rPr>
              <w:t>RI-MA Multistate MSA</w:t>
            </w:r>
          </w:p>
        </w:tc>
      </w:tr>
      <w:tr w:rsidR="00607C22" w14:paraId="61453795" w14:textId="77777777" w:rsidTr="00530B36">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EF52BD" w14:textId="77777777" w:rsidR="00607C22" w:rsidRDefault="00607C22" w:rsidP="00607C22">
            <w:pPr>
              <w:spacing w:after="0"/>
            </w:pPr>
            <w:r>
              <w:rPr>
                <w:rFonts w:ascii="Times New Roman" w:eastAsia="Times New Roman" w:hAnsi="Times New Roman"/>
                <w:b/>
                <w:color w:val="000000"/>
                <w:sz w:val="20"/>
              </w:rPr>
              <w:t>Tract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45D5FB" w14:textId="77777777" w:rsidR="00607C22" w:rsidRDefault="00607C22" w:rsidP="00607C22">
            <w:pPr>
              <w:spacing w:after="0"/>
              <w:jc w:val="center"/>
            </w:pPr>
            <w:r>
              <w:rPr>
                <w:rFonts w:ascii="Times New Roman" w:eastAsia="Times New Roman" w:hAnsi="Times New Roman"/>
                <w:b/>
                <w:color w:val="000000"/>
                <w:sz w:val="20"/>
              </w:rPr>
              <w:t>% of  Businesses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2ED64C" w14:textId="77777777" w:rsidR="00607C22" w:rsidRDefault="00607C22" w:rsidP="00607C22">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E012D3" w14:textId="77777777" w:rsidR="00607C22" w:rsidRDefault="00607C22" w:rsidP="00607C22">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3F1419" w14:textId="77777777" w:rsidR="00607C22" w:rsidRDefault="00607C22" w:rsidP="00607C22">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F2EF0E" w14:textId="77777777" w:rsidR="00607C22" w:rsidRDefault="00607C22" w:rsidP="00607C22">
            <w:pPr>
              <w:spacing w:after="0"/>
              <w:jc w:val="center"/>
            </w:pPr>
            <w:r>
              <w:rPr>
                <w:rFonts w:ascii="Times New Roman" w:eastAsia="Times New Roman" w:hAnsi="Times New Roman"/>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C9BC30" w14:textId="77777777" w:rsidR="00607C22" w:rsidRDefault="00607C22" w:rsidP="00607C22">
            <w:pPr>
              <w:spacing w:after="0"/>
              <w:jc w:val="center"/>
            </w:pPr>
            <w:r>
              <w:rPr>
                <w:rFonts w:ascii="Times New Roman" w:eastAsia="Times New Roman" w:hAnsi="Times New Roman"/>
                <w:b/>
                <w:color w:val="000000"/>
                <w:sz w:val="20"/>
              </w:rPr>
              <w:t>%</w:t>
            </w:r>
          </w:p>
        </w:tc>
      </w:tr>
      <w:tr w:rsidR="00607C22" w14:paraId="3923E238"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72272C" w14:textId="77777777" w:rsidR="00607C22" w:rsidRDefault="00607C22" w:rsidP="00607C22">
            <w:pPr>
              <w:spacing w:after="0"/>
            </w:pPr>
            <w:r>
              <w:rPr>
                <w:rFonts w:ascii="Times New Roman" w:eastAsia="Times New Roman" w:hAnsi="Times New Roman"/>
                <w:color w:val="000000"/>
                <w:sz w:val="20"/>
              </w:rPr>
              <w:t>Low</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586DF" w14:textId="77777777" w:rsidR="00607C22" w:rsidRDefault="00607C22" w:rsidP="00607C22">
            <w:pPr>
              <w:spacing w:after="0"/>
            </w:pPr>
          </w:p>
        </w:tc>
      </w:tr>
      <w:tr w:rsidR="00607C22" w14:paraId="65C92868" w14:textId="77777777" w:rsidTr="00530B36">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0AA4394"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F5850" w14:textId="77777777" w:rsidR="00607C22" w:rsidRDefault="00607C22" w:rsidP="00607C22">
            <w:pPr>
              <w:spacing w:after="0"/>
              <w:jc w:val="center"/>
            </w:pPr>
            <w:r>
              <w:rPr>
                <w:rFonts w:ascii="Times New Roman" w:eastAsia="Times New Roman" w:hAnsi="Times New Roman"/>
                <w:color w:val="000000"/>
                <w:sz w:val="20"/>
              </w:rPr>
              <w:t>9.7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BBCD9" w14:textId="77777777" w:rsidR="00607C22" w:rsidRDefault="00607C22" w:rsidP="00607C22">
            <w:pPr>
              <w:spacing w:after="0"/>
              <w:jc w:val="center"/>
            </w:pPr>
            <w:r>
              <w:rPr>
                <w:rFonts w:ascii="Times New Roman" w:eastAsia="Times New Roman" w:hAnsi="Times New Roman"/>
                <w:color w:val="000000"/>
                <w:sz w:val="20"/>
              </w:rPr>
              <w:t>9.8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2884C2" w14:textId="77777777" w:rsidR="00607C22" w:rsidRDefault="00607C22" w:rsidP="00607C22">
            <w:pPr>
              <w:spacing w:after="0"/>
              <w:jc w:val="center"/>
            </w:pPr>
            <w:r>
              <w:rPr>
                <w:rFonts w:ascii="Times New Roman" w:eastAsia="Times New Roman" w:hAnsi="Times New Roman"/>
                <w:color w:val="000000"/>
                <w:sz w:val="20"/>
              </w:rPr>
              <w:t>10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9DB98" w14:textId="77777777" w:rsidR="00607C22" w:rsidRDefault="00607C22" w:rsidP="00607C22">
            <w:pPr>
              <w:spacing w:after="0"/>
              <w:jc w:val="center"/>
            </w:pPr>
            <w:r>
              <w:rPr>
                <w:rFonts w:ascii="Times New Roman" w:eastAsia="Times New Roman" w:hAnsi="Times New Roman"/>
                <w:color w:val="000000"/>
                <w:sz w:val="20"/>
              </w:rPr>
              <w:t>8.0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A3D3F" w14:textId="77777777" w:rsidR="00607C22" w:rsidRDefault="00607C22" w:rsidP="00607C22">
            <w:pPr>
              <w:spacing w:after="0"/>
              <w:jc w:val="center"/>
            </w:pPr>
            <w:r>
              <w:rPr>
                <w:rFonts w:ascii="Times New Roman" w:eastAsia="Times New Roman" w:hAnsi="Times New Roman"/>
                <w:color w:val="000000"/>
                <w:sz w:val="20"/>
              </w:rPr>
              <w:t>722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C6A5C" w14:textId="77777777" w:rsidR="00607C22" w:rsidRDefault="00607C22" w:rsidP="00607C22">
            <w:pPr>
              <w:spacing w:after="0"/>
              <w:jc w:val="center"/>
            </w:pPr>
            <w:r>
              <w:rPr>
                <w:rFonts w:ascii="Times New Roman" w:eastAsia="Times New Roman" w:hAnsi="Times New Roman"/>
                <w:color w:val="000000"/>
                <w:sz w:val="20"/>
              </w:rPr>
              <w:t>3.6</w:t>
            </w:r>
          </w:p>
        </w:tc>
      </w:tr>
      <w:tr w:rsidR="00607C22" w14:paraId="5CF57680"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200794" w14:textId="77777777" w:rsidR="00607C22" w:rsidRDefault="00607C22" w:rsidP="00607C22">
            <w:pPr>
              <w:spacing w:after="0"/>
            </w:pPr>
            <w:r>
              <w:rPr>
                <w:rFonts w:ascii="Times New Roman" w:eastAsia="Times New Roman" w:hAnsi="Times New Roman"/>
                <w:color w:val="000000"/>
                <w:sz w:val="20"/>
              </w:rPr>
              <w:t>Moderate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FA4E2" w14:textId="77777777" w:rsidR="00607C22" w:rsidRDefault="00607C22" w:rsidP="00607C22">
            <w:pPr>
              <w:spacing w:after="0"/>
            </w:pPr>
          </w:p>
        </w:tc>
      </w:tr>
      <w:tr w:rsidR="00607C22" w14:paraId="438CFA8B" w14:textId="77777777" w:rsidTr="00530B36">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FCFE4D7"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AEBDC" w14:textId="77777777" w:rsidR="00607C22" w:rsidRDefault="00607C22" w:rsidP="00607C22">
            <w:pPr>
              <w:spacing w:after="0"/>
              <w:jc w:val="center"/>
            </w:pPr>
            <w:r>
              <w:rPr>
                <w:rFonts w:ascii="Times New Roman" w:eastAsia="Times New Roman" w:hAnsi="Times New Roman"/>
                <w:color w:val="000000"/>
                <w:sz w:val="20"/>
              </w:rPr>
              <w:t>15.2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875C5E" w14:textId="77777777" w:rsidR="00607C22" w:rsidRDefault="00607C22" w:rsidP="00607C22">
            <w:pPr>
              <w:spacing w:after="0"/>
              <w:jc w:val="center"/>
            </w:pPr>
            <w:r>
              <w:rPr>
                <w:rFonts w:ascii="Times New Roman" w:eastAsia="Times New Roman" w:hAnsi="Times New Roman"/>
                <w:color w:val="000000"/>
                <w:sz w:val="20"/>
              </w:rPr>
              <w:t>15.1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F6F51" w14:textId="77777777" w:rsidR="00607C22" w:rsidRDefault="00607C22" w:rsidP="00607C22">
            <w:pPr>
              <w:spacing w:after="0"/>
              <w:jc w:val="center"/>
            </w:pPr>
            <w:r>
              <w:rPr>
                <w:rFonts w:ascii="Times New Roman" w:eastAsia="Times New Roman" w:hAnsi="Times New Roman"/>
                <w:color w:val="000000"/>
                <w:sz w:val="20"/>
              </w:rPr>
              <w:t>10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E694B" w14:textId="77777777" w:rsidR="00607C22" w:rsidRDefault="00607C22" w:rsidP="00607C22">
            <w:pPr>
              <w:spacing w:after="0"/>
              <w:jc w:val="center"/>
            </w:pPr>
            <w:r>
              <w:rPr>
                <w:rFonts w:ascii="Times New Roman" w:eastAsia="Times New Roman" w:hAnsi="Times New Roman"/>
                <w:color w:val="000000"/>
                <w:sz w:val="20"/>
              </w:rPr>
              <w:t>8.0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A2741" w14:textId="77777777" w:rsidR="00607C22" w:rsidRDefault="00607C22" w:rsidP="00607C22">
            <w:pPr>
              <w:spacing w:after="0"/>
              <w:jc w:val="center"/>
            </w:pPr>
            <w:r>
              <w:rPr>
                <w:rFonts w:ascii="Times New Roman" w:eastAsia="Times New Roman" w:hAnsi="Times New Roman"/>
                <w:color w:val="000000"/>
                <w:sz w:val="20"/>
              </w:rPr>
              <w:t>1,751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70CD9E" w14:textId="77777777" w:rsidR="00607C22" w:rsidRDefault="00607C22" w:rsidP="00607C22">
            <w:pPr>
              <w:spacing w:after="0"/>
              <w:jc w:val="center"/>
            </w:pPr>
            <w:r>
              <w:rPr>
                <w:rFonts w:ascii="Times New Roman" w:eastAsia="Times New Roman" w:hAnsi="Times New Roman"/>
                <w:color w:val="000000"/>
                <w:sz w:val="20"/>
              </w:rPr>
              <w:t>8.8</w:t>
            </w:r>
          </w:p>
        </w:tc>
      </w:tr>
      <w:tr w:rsidR="00607C22" w14:paraId="63BD1561"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747FAA" w14:textId="77777777" w:rsidR="00607C22" w:rsidRDefault="00607C22" w:rsidP="00607C22">
            <w:pPr>
              <w:spacing w:after="0"/>
            </w:pPr>
            <w:r>
              <w:rPr>
                <w:rFonts w:ascii="Times New Roman" w:eastAsia="Times New Roman" w:hAnsi="Times New Roman"/>
                <w:color w:val="000000"/>
                <w:sz w:val="20"/>
              </w:rPr>
              <w:t>Middle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25615" w14:textId="77777777" w:rsidR="00607C22" w:rsidRDefault="00607C22" w:rsidP="00607C22">
            <w:pPr>
              <w:spacing w:after="0"/>
            </w:pPr>
          </w:p>
        </w:tc>
      </w:tr>
      <w:tr w:rsidR="00607C22" w14:paraId="53F1E75A" w14:textId="77777777" w:rsidTr="00530B36">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7EA1B74"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C1C97" w14:textId="77777777" w:rsidR="00607C22" w:rsidRDefault="00607C22" w:rsidP="00607C22">
            <w:pPr>
              <w:spacing w:after="0"/>
              <w:jc w:val="center"/>
            </w:pPr>
            <w:r>
              <w:rPr>
                <w:rFonts w:ascii="Times New Roman" w:eastAsia="Times New Roman" w:hAnsi="Times New Roman"/>
                <w:color w:val="000000"/>
                <w:sz w:val="20"/>
              </w:rPr>
              <w:t>35.4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519278" w14:textId="77777777" w:rsidR="00607C22" w:rsidRDefault="00607C22" w:rsidP="00607C22">
            <w:pPr>
              <w:spacing w:after="0"/>
              <w:jc w:val="center"/>
            </w:pPr>
            <w:r>
              <w:rPr>
                <w:rFonts w:ascii="Times New Roman" w:eastAsia="Times New Roman" w:hAnsi="Times New Roman"/>
                <w:color w:val="000000"/>
                <w:sz w:val="20"/>
              </w:rPr>
              <w:t>34.4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CAF42" w14:textId="77777777" w:rsidR="00607C22" w:rsidRDefault="00607C22" w:rsidP="00607C22">
            <w:pPr>
              <w:spacing w:after="0"/>
              <w:jc w:val="center"/>
            </w:pPr>
            <w:r>
              <w:rPr>
                <w:rFonts w:ascii="Times New Roman" w:eastAsia="Times New Roman" w:hAnsi="Times New Roman"/>
                <w:color w:val="000000"/>
                <w:sz w:val="20"/>
              </w:rPr>
              <w:t>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8C2A28" w14:textId="77777777" w:rsidR="00607C22" w:rsidRDefault="00607C22" w:rsidP="00607C22">
            <w:pPr>
              <w:spacing w:after="0"/>
              <w:jc w:val="center"/>
            </w:pPr>
            <w:r>
              <w:rPr>
                <w:rFonts w:ascii="Times New Roman" w:eastAsia="Times New Roman" w:hAnsi="Times New Roman"/>
                <w:color w:val="000000"/>
                <w:sz w:val="20"/>
              </w:rPr>
              <w:t>40.0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9F656" w14:textId="77777777" w:rsidR="00607C22" w:rsidRDefault="00607C22" w:rsidP="00607C22">
            <w:pPr>
              <w:spacing w:after="0"/>
              <w:jc w:val="center"/>
            </w:pPr>
            <w:r>
              <w:rPr>
                <w:rFonts w:ascii="Times New Roman" w:eastAsia="Times New Roman" w:hAnsi="Times New Roman"/>
                <w:color w:val="000000"/>
                <w:sz w:val="20"/>
              </w:rPr>
              <w:t>7,621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BF565" w14:textId="77777777" w:rsidR="00607C22" w:rsidRDefault="00607C22" w:rsidP="00607C22">
            <w:pPr>
              <w:spacing w:after="0"/>
              <w:jc w:val="center"/>
            </w:pPr>
            <w:r>
              <w:rPr>
                <w:rFonts w:ascii="Times New Roman" w:eastAsia="Times New Roman" w:hAnsi="Times New Roman"/>
                <w:color w:val="000000"/>
                <w:sz w:val="20"/>
              </w:rPr>
              <w:t>38.3</w:t>
            </w:r>
          </w:p>
        </w:tc>
      </w:tr>
      <w:tr w:rsidR="00607C22" w14:paraId="3F7BCE7C"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45595B" w14:textId="77777777" w:rsidR="00607C22" w:rsidRDefault="00607C22" w:rsidP="00607C22">
            <w:pPr>
              <w:spacing w:after="0"/>
            </w:pPr>
            <w:r>
              <w:rPr>
                <w:rFonts w:ascii="Times New Roman" w:eastAsia="Times New Roman" w:hAnsi="Times New Roman"/>
                <w:color w:val="000000"/>
                <w:sz w:val="20"/>
              </w:rPr>
              <w:t>Upper</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1B14E" w14:textId="77777777" w:rsidR="00607C22" w:rsidRDefault="00607C22" w:rsidP="00607C22">
            <w:pPr>
              <w:spacing w:after="0"/>
            </w:pPr>
          </w:p>
        </w:tc>
      </w:tr>
      <w:tr w:rsidR="00607C22" w14:paraId="021AB877" w14:textId="77777777" w:rsidTr="00530B36">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BAD5107"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A3530" w14:textId="77777777" w:rsidR="00607C22" w:rsidRDefault="00607C22" w:rsidP="00607C22">
            <w:pPr>
              <w:spacing w:after="0"/>
              <w:jc w:val="center"/>
            </w:pPr>
            <w:r>
              <w:rPr>
                <w:rFonts w:ascii="Times New Roman" w:eastAsia="Times New Roman" w:hAnsi="Times New Roman"/>
                <w:color w:val="000000"/>
                <w:sz w:val="20"/>
              </w:rPr>
              <w:t>39.0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73C65" w14:textId="77777777" w:rsidR="00607C22" w:rsidRDefault="00607C22" w:rsidP="00607C22">
            <w:pPr>
              <w:spacing w:after="0"/>
              <w:jc w:val="center"/>
            </w:pPr>
            <w:r>
              <w:rPr>
                <w:rFonts w:ascii="Times New Roman" w:eastAsia="Times New Roman" w:hAnsi="Times New Roman"/>
                <w:color w:val="000000"/>
                <w:sz w:val="20"/>
              </w:rPr>
              <w:t>40.3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C4ACE1" w14:textId="77777777" w:rsidR="00607C22" w:rsidRDefault="00607C22" w:rsidP="00607C22">
            <w:pPr>
              <w:spacing w:after="0"/>
              <w:jc w:val="center"/>
            </w:pPr>
            <w:r>
              <w:rPr>
                <w:rFonts w:ascii="Times New Roman" w:eastAsia="Times New Roman" w:hAnsi="Times New Roman"/>
                <w:color w:val="000000"/>
                <w:sz w:val="20"/>
              </w:rPr>
              <w:t>54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92ACC" w14:textId="77777777" w:rsidR="00607C22" w:rsidRDefault="00607C22" w:rsidP="00607C22">
            <w:pPr>
              <w:spacing w:after="0"/>
              <w:jc w:val="center"/>
            </w:pPr>
            <w:r>
              <w:rPr>
                <w:rFonts w:ascii="Times New Roman" w:eastAsia="Times New Roman" w:hAnsi="Times New Roman"/>
                <w:color w:val="000000"/>
                <w:sz w:val="20"/>
              </w:rPr>
              <w:t>43.2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BC614" w14:textId="77777777" w:rsidR="00607C22" w:rsidRDefault="00607C22" w:rsidP="00607C22">
            <w:pPr>
              <w:spacing w:after="0"/>
              <w:jc w:val="center"/>
            </w:pPr>
            <w:r>
              <w:rPr>
                <w:rFonts w:ascii="Times New Roman" w:eastAsia="Times New Roman" w:hAnsi="Times New Roman"/>
                <w:color w:val="000000"/>
                <w:sz w:val="20"/>
              </w:rPr>
              <w:t>9,775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CAAB4F" w14:textId="77777777" w:rsidR="00607C22" w:rsidRDefault="00607C22" w:rsidP="00607C22">
            <w:pPr>
              <w:spacing w:after="0"/>
              <w:jc w:val="center"/>
            </w:pPr>
            <w:r>
              <w:rPr>
                <w:rFonts w:ascii="Times New Roman" w:eastAsia="Times New Roman" w:hAnsi="Times New Roman"/>
                <w:color w:val="000000"/>
                <w:sz w:val="20"/>
              </w:rPr>
              <w:t>49.1</w:t>
            </w:r>
          </w:p>
        </w:tc>
      </w:tr>
      <w:tr w:rsidR="00607C22" w14:paraId="61C4B1D8"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235AA3" w14:textId="77777777" w:rsidR="00607C22" w:rsidRDefault="00607C22" w:rsidP="00607C22">
            <w:pPr>
              <w:spacing w:after="0"/>
            </w:pPr>
            <w:r>
              <w:rPr>
                <w:rFonts w:ascii="Times New Roman" w:eastAsia="Times New Roman" w:hAnsi="Times New Roman"/>
                <w:color w:val="000000"/>
                <w:sz w:val="20"/>
              </w:rPr>
              <w:t>Not Available</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8FBE8" w14:textId="77777777" w:rsidR="00607C22" w:rsidRDefault="00607C22" w:rsidP="00607C22">
            <w:pPr>
              <w:spacing w:after="0"/>
            </w:pPr>
          </w:p>
        </w:tc>
      </w:tr>
      <w:tr w:rsidR="00607C22" w14:paraId="64922E82" w14:textId="77777777" w:rsidTr="00530B36">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1E79F02"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BED03" w14:textId="77777777" w:rsidR="00607C22" w:rsidRDefault="00607C22" w:rsidP="00607C22">
            <w:pPr>
              <w:spacing w:after="0"/>
              <w:jc w:val="center"/>
            </w:pPr>
            <w:r>
              <w:rPr>
                <w:rFonts w:ascii="Times New Roman" w:eastAsia="Times New Roman" w:hAnsi="Times New Roman"/>
                <w:color w:val="000000"/>
                <w:sz w:val="20"/>
              </w:rPr>
              <w:t>0.7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06B66" w14:textId="77777777" w:rsidR="00607C22" w:rsidRDefault="00607C22" w:rsidP="00607C22">
            <w:pPr>
              <w:spacing w:after="0"/>
              <w:jc w:val="center"/>
            </w:pPr>
            <w:r>
              <w:rPr>
                <w:rFonts w:ascii="Times New Roman" w:eastAsia="Times New Roman" w:hAnsi="Times New Roman"/>
                <w:color w:val="000000"/>
                <w:sz w:val="20"/>
              </w:rPr>
              <w:t>0.4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503B1" w14:textId="77777777" w:rsidR="00607C22" w:rsidRDefault="00607C22" w:rsidP="00607C22">
            <w:pPr>
              <w:spacing w:after="0"/>
              <w:jc w:val="center"/>
            </w:pPr>
            <w:r>
              <w:rPr>
                <w:rFonts w:ascii="Times New Roman" w:eastAsia="Times New Roman" w:hAnsi="Times New Roman"/>
                <w:color w:val="000000"/>
                <w:sz w:val="20"/>
              </w:rPr>
              <w:t>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B7CC2" w14:textId="77777777" w:rsidR="00607C22" w:rsidRDefault="00607C22" w:rsidP="00607C22">
            <w:pPr>
              <w:spacing w:after="0"/>
              <w:jc w:val="center"/>
            </w:pPr>
            <w:r>
              <w:rPr>
                <w:rFonts w:ascii="Times New Roman" w:eastAsia="Times New Roman" w:hAnsi="Times New Roman"/>
                <w:color w:val="000000"/>
                <w:sz w:val="20"/>
              </w:rPr>
              <w:t>0.8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E080C" w14:textId="77777777" w:rsidR="00607C22" w:rsidRDefault="00607C22" w:rsidP="00607C22">
            <w:pPr>
              <w:spacing w:after="0"/>
              <w:jc w:val="center"/>
            </w:pPr>
            <w:r>
              <w:rPr>
                <w:rFonts w:ascii="Times New Roman" w:eastAsia="Times New Roman" w:hAnsi="Times New Roman"/>
                <w:color w:val="000000"/>
                <w:sz w:val="20"/>
              </w:rPr>
              <w:t>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7B1F0" w14:textId="77777777" w:rsidR="00607C22" w:rsidRDefault="00607C22" w:rsidP="00607C22">
            <w:pPr>
              <w:spacing w:after="0"/>
              <w:jc w:val="center"/>
            </w:pPr>
            <w:r>
              <w:rPr>
                <w:rFonts w:ascii="Times New Roman" w:eastAsia="Times New Roman" w:hAnsi="Times New Roman"/>
                <w:color w:val="000000"/>
                <w:sz w:val="20"/>
              </w:rPr>
              <w:t>0.3</w:t>
            </w:r>
          </w:p>
        </w:tc>
      </w:tr>
      <w:tr w:rsidR="00607C22" w14:paraId="5DD73658"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0F27C3" w14:textId="77777777" w:rsidR="00607C22" w:rsidRDefault="00607C22" w:rsidP="00607C22">
            <w:pPr>
              <w:spacing w:after="0"/>
            </w:pPr>
            <w:r>
              <w:rPr>
                <w:rFonts w:ascii="Times New Roman" w:eastAsia="Times New Roman" w:hAnsi="Times New Roman"/>
                <w:b/>
                <w:color w:val="000000"/>
                <w:sz w:val="20"/>
              </w:rPr>
              <w:t>Totals</w:t>
            </w:r>
          </w:p>
        </w:tc>
        <w:tc>
          <w:tcPr>
            <w:tcW w:w="691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54B50" w14:textId="77777777" w:rsidR="00607C22" w:rsidRDefault="00607C22" w:rsidP="00607C22">
            <w:pPr>
              <w:spacing w:after="0"/>
            </w:pPr>
          </w:p>
        </w:tc>
      </w:tr>
      <w:tr w:rsidR="00607C22" w14:paraId="383A212A" w14:textId="77777777" w:rsidTr="00530B36">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4CB898" w14:textId="77777777" w:rsidR="00607C22" w:rsidRDefault="00607C22" w:rsidP="00607C22">
            <w:pPr>
              <w:spacing w:after="0"/>
              <w:jc w:val="right"/>
            </w:pPr>
            <w:r>
              <w:rPr>
                <w:rFonts w:ascii="Times New Roman" w:eastAsia="Times New Roman" w:hAnsi="Times New Roman"/>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264E7" w14:textId="77777777" w:rsidR="00607C22" w:rsidRDefault="00607C22" w:rsidP="00607C22">
            <w:pPr>
              <w:spacing w:after="0"/>
              <w:jc w:val="center"/>
            </w:pPr>
            <w:r>
              <w:rPr>
                <w:rFonts w:ascii="Times New Roman" w:eastAsia="Times New Roman" w:hAnsi="Times New Roman"/>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5C8E9" w14:textId="77777777" w:rsidR="00607C22" w:rsidRDefault="00607C22" w:rsidP="00607C22">
            <w:pPr>
              <w:spacing w:after="0"/>
              <w:jc w:val="center"/>
            </w:pPr>
            <w:r>
              <w:rPr>
                <w:rFonts w:ascii="Times New Roman" w:eastAsia="Times New Roman" w:hAnsi="Times New Roman"/>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96810" w14:textId="77777777" w:rsidR="00607C22" w:rsidRDefault="00607C22" w:rsidP="00607C22">
            <w:pPr>
              <w:spacing w:after="0"/>
              <w:jc w:val="center"/>
            </w:pPr>
            <w:r>
              <w:rPr>
                <w:rFonts w:ascii="Times New Roman" w:eastAsia="Times New Roman" w:hAnsi="Times New Roman"/>
                <w:b/>
                <w:color w:val="000000"/>
                <w:sz w:val="20"/>
              </w:rPr>
              <w:t>125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A0A5A" w14:textId="77777777" w:rsidR="00607C22" w:rsidRDefault="00607C22" w:rsidP="00607C22">
            <w:pPr>
              <w:spacing w:after="0"/>
              <w:jc w:val="center"/>
            </w:pPr>
            <w:r>
              <w:rPr>
                <w:rFonts w:ascii="Times New Roman" w:eastAsia="Times New Roman" w:hAnsi="Times New Roman"/>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BDEAF" w14:textId="77777777" w:rsidR="00607C22" w:rsidRDefault="00607C22" w:rsidP="00607C22">
            <w:pPr>
              <w:spacing w:after="0"/>
              <w:jc w:val="center"/>
            </w:pPr>
            <w:r>
              <w:rPr>
                <w:rFonts w:ascii="Times New Roman" w:eastAsia="Times New Roman" w:hAnsi="Times New Roman"/>
                <w:b/>
                <w:color w:val="000000"/>
                <w:sz w:val="20"/>
              </w:rPr>
              <w:t>19,919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ABE0F" w14:textId="77777777" w:rsidR="00607C22" w:rsidRDefault="00607C22" w:rsidP="00607C22">
            <w:pPr>
              <w:spacing w:after="0"/>
              <w:jc w:val="center"/>
            </w:pPr>
            <w:r>
              <w:rPr>
                <w:rFonts w:ascii="Times New Roman" w:eastAsia="Times New Roman" w:hAnsi="Times New Roman"/>
                <w:b/>
                <w:color w:val="000000"/>
                <w:sz w:val="20"/>
              </w:rPr>
              <w:t>100.0</w:t>
            </w:r>
          </w:p>
        </w:tc>
      </w:tr>
      <w:tr w:rsidR="00607C22" w14:paraId="6C337D1D" w14:textId="77777777" w:rsidTr="00607C22">
        <w:trPr>
          <w:trHeight w:val="19"/>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9170853" w14:textId="77777777" w:rsidR="00607C22" w:rsidRDefault="00607C22" w:rsidP="00607C22">
            <w:pPr>
              <w:spacing w:after="0"/>
            </w:pPr>
            <w:r>
              <w:rPr>
                <w:rFonts w:ascii="Times New Roman" w:eastAsia="Times New Roman" w:hAnsi="Times New Roman"/>
                <w:i/>
                <w:color w:val="000000"/>
                <w:sz w:val="16"/>
              </w:rPr>
              <w:t xml:space="preserve">Source: 2017, 2018 &amp; </w:t>
            </w:r>
            <w:r w:rsidR="009060D0">
              <w:rPr>
                <w:rFonts w:ascii="Times New Roman" w:eastAsia="Times New Roman" w:hAnsi="Times New Roman"/>
                <w:i/>
                <w:color w:val="000000"/>
                <w:sz w:val="16"/>
              </w:rPr>
              <w:t xml:space="preserve">2019 D&amp;B Data; </w:t>
            </w:r>
            <w:r>
              <w:rPr>
                <w:rFonts w:ascii="Times New Roman" w:eastAsia="Times New Roman" w:hAnsi="Times New Roman"/>
                <w:i/>
                <w:color w:val="000000"/>
                <w:sz w:val="16"/>
              </w:rPr>
              <w:t>Bank Data; 2017, 2018 &amp; 2019 CRA Aggregate Data, "--" data not available.</w:t>
            </w:r>
          </w:p>
          <w:p w14:paraId="73A7173D" w14:textId="77777777" w:rsidR="00607C22" w:rsidRDefault="00607C22" w:rsidP="00607C22">
            <w:pPr>
              <w:spacing w:after="0"/>
            </w:pPr>
            <w:r>
              <w:rPr>
                <w:rFonts w:ascii="Times New Roman" w:eastAsia="Times New Roman" w:hAnsi="Times New Roman"/>
                <w:i/>
                <w:color w:val="000000"/>
                <w:sz w:val="16"/>
              </w:rPr>
              <w:t>Due to rounding, totals may not equal 100.0%</w:t>
            </w:r>
          </w:p>
        </w:tc>
      </w:tr>
    </w:tbl>
    <w:p w14:paraId="0E53A86A" w14:textId="77777777" w:rsidR="00607C22" w:rsidRDefault="00607C22" w:rsidP="00E50970">
      <w:pPr>
        <w:spacing w:after="0" w:line="240" w:lineRule="auto"/>
        <w:rPr>
          <w:rFonts w:ascii="Times New Roman" w:eastAsia="Times New Roman" w:hAnsi="Times New Roman" w:cs="Times New Roman"/>
          <w:iCs/>
          <w:sz w:val="24"/>
          <w:szCs w:val="24"/>
        </w:rPr>
      </w:pPr>
    </w:p>
    <w:p w14:paraId="0FAE4419" w14:textId="77777777" w:rsidR="00E50970" w:rsidRPr="00E50970" w:rsidRDefault="00E50970" w:rsidP="00E50970">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Borrower Profile</w:t>
      </w:r>
    </w:p>
    <w:p w14:paraId="2B7731A6" w14:textId="77777777" w:rsidR="00E50970" w:rsidRDefault="00E50970" w:rsidP="00E50970">
      <w:pPr>
        <w:spacing w:after="0" w:line="240" w:lineRule="auto"/>
        <w:rPr>
          <w:rFonts w:ascii="Times New Roman" w:eastAsia="Times New Roman" w:hAnsi="Times New Roman" w:cs="Times New Roman"/>
          <w:bCs/>
          <w:sz w:val="24"/>
          <w:szCs w:val="24"/>
        </w:rPr>
      </w:pPr>
    </w:p>
    <w:p w14:paraId="16B87A7C" w14:textId="4DDA693B" w:rsidR="00EC5BA9" w:rsidRDefault="00EC5BA9" w:rsidP="00EC5BA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distribution of borrowers reflects, given the demographics of the </w:t>
      </w:r>
      <w:r w:rsidR="00863FA4">
        <w:rPr>
          <w:rFonts w:ascii="Times New Roman" w:hAnsi="Times New Roman" w:cs="Times New Roman"/>
          <w:sz w:val="24"/>
          <w:szCs w:val="24"/>
        </w:rPr>
        <w:t>Providence, RI-MA MSA</w:t>
      </w:r>
      <w:r w:rsidRPr="00BD55EC">
        <w:rPr>
          <w:rFonts w:ascii="Times New Roman" w:eastAsia="Times New Roman" w:hAnsi="Times New Roman" w:cs="Times New Roman"/>
          <w:bCs/>
          <w:sz w:val="24"/>
          <w:szCs w:val="24"/>
        </w:rPr>
        <w:t>, excellent penetration among individuals of different income levels and businesses of different sizes.</w:t>
      </w:r>
    </w:p>
    <w:p w14:paraId="3E3F9DF8" w14:textId="77777777" w:rsidR="00EC5BA9" w:rsidRDefault="00EC5BA9" w:rsidP="00E50970">
      <w:pPr>
        <w:spacing w:after="0" w:line="240" w:lineRule="auto"/>
        <w:rPr>
          <w:rFonts w:ascii="Times New Roman" w:eastAsia="Times New Roman" w:hAnsi="Times New Roman" w:cs="Times New Roman"/>
          <w:bCs/>
          <w:sz w:val="24"/>
          <w:szCs w:val="24"/>
        </w:rPr>
      </w:pPr>
    </w:p>
    <w:p w14:paraId="299C1267" w14:textId="77777777" w:rsidR="00EC5BA9" w:rsidRPr="00EC5BA9" w:rsidRDefault="00EC5BA9" w:rsidP="00E50970">
      <w:pPr>
        <w:spacing w:after="0" w:line="240" w:lineRule="auto"/>
        <w:rPr>
          <w:rFonts w:ascii="Times New Roman" w:eastAsia="Times New Roman" w:hAnsi="Times New Roman" w:cs="Times New Roman"/>
          <w:b/>
          <w:bCs/>
          <w:i/>
          <w:sz w:val="24"/>
          <w:szCs w:val="24"/>
        </w:rPr>
      </w:pPr>
      <w:r w:rsidRPr="00EC5BA9">
        <w:rPr>
          <w:rFonts w:ascii="Times New Roman" w:eastAsia="Times New Roman" w:hAnsi="Times New Roman" w:cs="Times New Roman"/>
          <w:b/>
          <w:bCs/>
          <w:i/>
          <w:sz w:val="24"/>
          <w:szCs w:val="24"/>
        </w:rPr>
        <w:t>Home Mortgage Loans</w:t>
      </w:r>
    </w:p>
    <w:p w14:paraId="42858857" w14:textId="2D940E63" w:rsidR="00863FA4" w:rsidRDefault="000C5B57" w:rsidP="000C5B57">
      <w:pPr>
        <w:spacing w:after="0" w:line="240" w:lineRule="auto"/>
        <w:contextualSpacing/>
        <w:rPr>
          <w:rFonts w:ascii="Times New Roman" w:eastAsia="Times New Roman" w:hAnsi="Times New Roman" w:cs="Times New Roman"/>
          <w:sz w:val="24"/>
          <w:szCs w:val="24"/>
        </w:rPr>
      </w:pPr>
      <w:r w:rsidRPr="00D13784">
        <w:rPr>
          <w:rFonts w:ascii="Times New Roman" w:eastAsia="Times New Roman" w:hAnsi="Times New Roman" w:cs="Times New Roman"/>
          <w:bCs/>
          <w:sz w:val="24"/>
          <w:szCs w:val="24"/>
        </w:rPr>
        <w:t>The distribution of borrowers reflects, given the demographics of the assessment area, excellent penetration among individuals of different income levels.</w:t>
      </w:r>
      <w:r>
        <w:rPr>
          <w:rFonts w:ascii="Times New Roman" w:eastAsia="Times New Roman" w:hAnsi="Times New Roman" w:cs="Times New Roman"/>
          <w:bCs/>
          <w:sz w:val="24"/>
          <w:szCs w:val="24"/>
        </w:rPr>
        <w:t xml:space="preserve">  </w:t>
      </w:r>
      <w:r>
        <w:rPr>
          <w:rFonts w:ascii="Times New Roman" w:hAnsi="Times New Roman" w:cs="Times New Roman"/>
          <w:iCs/>
          <w:sz w:val="24"/>
          <w:szCs w:val="24"/>
        </w:rPr>
        <w:t>The ban</w:t>
      </w:r>
      <w:r w:rsidR="00C536E5">
        <w:rPr>
          <w:rFonts w:ascii="Times New Roman" w:hAnsi="Times New Roman" w:cs="Times New Roman"/>
          <w:iCs/>
          <w:sz w:val="24"/>
          <w:szCs w:val="24"/>
        </w:rPr>
        <w:t>k’s lending performance to low-income</w:t>
      </w:r>
      <w:r>
        <w:rPr>
          <w:rFonts w:ascii="Times New Roman" w:hAnsi="Times New Roman" w:cs="Times New Roman"/>
          <w:iCs/>
          <w:sz w:val="24"/>
          <w:szCs w:val="24"/>
        </w:rPr>
        <w:t xml:space="preserve"> borrowers </w:t>
      </w:r>
      <w:r>
        <w:rPr>
          <w:rFonts w:ascii="Times New Roman" w:eastAsia="Times New Roman" w:hAnsi="Times New Roman" w:cs="Times New Roman"/>
          <w:sz w:val="24"/>
          <w:szCs w:val="24"/>
        </w:rPr>
        <w:t xml:space="preserve">was slightly below </w:t>
      </w:r>
      <w:r w:rsidR="00C536E5">
        <w:rPr>
          <w:rFonts w:ascii="Times New Roman" w:eastAsia="Times New Roman" w:hAnsi="Times New Roman" w:cs="Times New Roman"/>
          <w:sz w:val="24"/>
          <w:szCs w:val="24"/>
        </w:rPr>
        <w:t>aggregate performance</w:t>
      </w:r>
      <w:r w:rsidR="00511B2D">
        <w:rPr>
          <w:rFonts w:ascii="Times New Roman" w:eastAsia="Times New Roman" w:hAnsi="Times New Roman" w:cs="Times New Roman"/>
          <w:sz w:val="24"/>
          <w:szCs w:val="24"/>
        </w:rPr>
        <w:t xml:space="preserve"> and </w:t>
      </w:r>
      <w:r w:rsidR="00C536E5">
        <w:rPr>
          <w:rFonts w:ascii="Times New Roman" w:eastAsia="Times New Roman" w:hAnsi="Times New Roman" w:cs="Times New Roman"/>
          <w:sz w:val="24"/>
          <w:szCs w:val="24"/>
        </w:rPr>
        <w:t xml:space="preserve">trailed </w:t>
      </w:r>
      <w:r>
        <w:rPr>
          <w:rFonts w:ascii="Times New Roman" w:eastAsia="Times New Roman" w:hAnsi="Times New Roman" w:cs="Times New Roman"/>
          <w:sz w:val="24"/>
          <w:szCs w:val="24"/>
        </w:rPr>
        <w:t xml:space="preserve">the </w:t>
      </w:r>
      <w:r w:rsidR="00C536E5">
        <w:rPr>
          <w:rFonts w:ascii="Times New Roman" w:eastAsia="Times New Roman" w:hAnsi="Times New Roman" w:cs="Times New Roman"/>
          <w:sz w:val="24"/>
          <w:szCs w:val="24"/>
        </w:rPr>
        <w:t>demographic data</w:t>
      </w:r>
      <w:r>
        <w:rPr>
          <w:rFonts w:ascii="Times New Roman" w:eastAsia="Times New Roman" w:hAnsi="Times New Roman" w:cs="Times New Roman"/>
          <w:sz w:val="24"/>
          <w:szCs w:val="24"/>
        </w:rPr>
        <w:t xml:space="preserve">; however, the difference </w:t>
      </w:r>
      <w:r w:rsidR="00511B2D">
        <w:rPr>
          <w:rFonts w:ascii="Times New Roman" w:eastAsia="Times New Roman" w:hAnsi="Times New Roman" w:cs="Times New Roman"/>
          <w:sz w:val="24"/>
          <w:szCs w:val="24"/>
        </w:rPr>
        <w:t xml:space="preserve">compared to aggregate performance was minimal.  </w:t>
      </w:r>
      <w:r w:rsidR="004C68BB">
        <w:rPr>
          <w:rFonts w:ascii="Times New Roman" w:eastAsia="Times New Roman" w:hAnsi="Times New Roman" w:cs="Times New Roman"/>
          <w:sz w:val="24"/>
          <w:szCs w:val="24"/>
        </w:rPr>
        <w:t xml:space="preserve">The bank’s performance in moderate-income borrowers was above </w:t>
      </w:r>
      <w:r w:rsidR="00DA5D41">
        <w:rPr>
          <w:rFonts w:ascii="Times New Roman" w:eastAsia="Times New Roman" w:hAnsi="Times New Roman" w:cs="Times New Roman"/>
          <w:sz w:val="24"/>
          <w:szCs w:val="24"/>
        </w:rPr>
        <w:t xml:space="preserve">both </w:t>
      </w:r>
      <w:r w:rsidR="004C68BB">
        <w:rPr>
          <w:rFonts w:ascii="Times New Roman" w:eastAsia="Times New Roman" w:hAnsi="Times New Roman" w:cs="Times New Roman"/>
          <w:sz w:val="24"/>
          <w:szCs w:val="24"/>
        </w:rPr>
        <w:t xml:space="preserve">the aggregate and demographic data.  </w:t>
      </w:r>
    </w:p>
    <w:p w14:paraId="0ADFEEEE" w14:textId="77777777" w:rsidR="00863FA4" w:rsidRDefault="00863FA4" w:rsidP="000C5B57">
      <w:pPr>
        <w:spacing w:after="0" w:line="240" w:lineRule="auto"/>
        <w:contextualSpacing/>
        <w:rPr>
          <w:rFonts w:ascii="Times New Roman" w:eastAsia="Times New Roman" w:hAnsi="Times New Roman" w:cs="Times New Roman"/>
          <w:sz w:val="24"/>
          <w:szCs w:val="24"/>
        </w:rPr>
      </w:pPr>
    </w:p>
    <w:p w14:paraId="637AD50E" w14:textId="4E044D35" w:rsidR="004C68BB" w:rsidRDefault="00B659A1" w:rsidP="000C5B5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Combined</w:t>
      </w:r>
      <w:r w:rsidR="004C68BB">
        <w:rPr>
          <w:rFonts w:ascii="Times New Roman" w:eastAsia="Times New Roman" w:hAnsi="Times New Roman" w:cs="Times New Roman"/>
          <w:sz w:val="24"/>
          <w:szCs w:val="24"/>
        </w:rPr>
        <w:t xml:space="preserve">, HOB </w:t>
      </w:r>
      <w:r w:rsidR="00272E5D">
        <w:rPr>
          <w:rFonts w:ascii="Times New Roman" w:eastAsia="Times New Roman" w:hAnsi="Times New Roman" w:cs="Times New Roman"/>
          <w:sz w:val="24"/>
          <w:szCs w:val="24"/>
        </w:rPr>
        <w:t xml:space="preserve">and HOME </w:t>
      </w:r>
      <w:r w:rsidR="004C68BB">
        <w:rPr>
          <w:rFonts w:ascii="Times New Roman" w:eastAsia="Times New Roman" w:hAnsi="Times New Roman" w:cs="Times New Roman"/>
          <w:sz w:val="24"/>
          <w:szCs w:val="24"/>
        </w:rPr>
        <w:t>ranked 27</w:t>
      </w:r>
      <w:r w:rsidR="004C68BB" w:rsidRPr="004C68BB">
        <w:rPr>
          <w:rFonts w:ascii="Times New Roman" w:eastAsia="Times New Roman" w:hAnsi="Times New Roman" w:cs="Times New Roman"/>
          <w:sz w:val="24"/>
          <w:szCs w:val="24"/>
          <w:vertAlign w:val="superscript"/>
        </w:rPr>
        <w:t>th</w:t>
      </w:r>
      <w:r w:rsidR="004C68BB">
        <w:rPr>
          <w:rFonts w:ascii="Times New Roman" w:eastAsia="Times New Roman" w:hAnsi="Times New Roman" w:cs="Times New Roman"/>
          <w:sz w:val="24"/>
          <w:szCs w:val="24"/>
        </w:rPr>
        <w:t xml:space="preserve"> out of 180 lenders that made loans to low-income borrowers and 21</w:t>
      </w:r>
      <w:r w:rsidR="004C68BB" w:rsidRPr="004C68BB">
        <w:rPr>
          <w:rFonts w:ascii="Times New Roman" w:eastAsia="Times New Roman" w:hAnsi="Times New Roman" w:cs="Times New Roman"/>
          <w:sz w:val="24"/>
          <w:szCs w:val="24"/>
          <w:vertAlign w:val="superscript"/>
        </w:rPr>
        <w:t>st</w:t>
      </w:r>
      <w:r w:rsidR="004C68BB">
        <w:rPr>
          <w:rFonts w:ascii="Times New Roman" w:eastAsia="Times New Roman" w:hAnsi="Times New Roman" w:cs="Times New Roman"/>
          <w:sz w:val="24"/>
          <w:szCs w:val="24"/>
        </w:rPr>
        <w:t xml:space="preserve"> out of 284 lenders that made loans t</w:t>
      </w:r>
      <w:r w:rsidR="00C536E5">
        <w:rPr>
          <w:rFonts w:ascii="Times New Roman" w:eastAsia="Times New Roman" w:hAnsi="Times New Roman" w:cs="Times New Roman"/>
          <w:sz w:val="24"/>
          <w:szCs w:val="24"/>
        </w:rPr>
        <w:t>o moderate-income individuals.</w:t>
      </w:r>
      <w:r w:rsidR="006E6F0A">
        <w:rPr>
          <w:rFonts w:ascii="Times New Roman" w:eastAsia="Times New Roman" w:hAnsi="Times New Roman" w:cs="Times New Roman"/>
          <w:sz w:val="24"/>
          <w:szCs w:val="24"/>
        </w:rPr>
        <w:t xml:space="preserve">  The market share ratings demonstrate the bank’s excellent level of lending to both borrower income levels as m</w:t>
      </w:r>
      <w:r w:rsidR="00863FA4">
        <w:rPr>
          <w:rFonts w:ascii="Times New Roman" w:eastAsia="Times New Roman" w:hAnsi="Times New Roman" w:cs="Times New Roman"/>
          <w:sz w:val="24"/>
          <w:szCs w:val="24"/>
        </w:rPr>
        <w:t>ost</w:t>
      </w:r>
      <w:r w:rsidR="006E6F0A">
        <w:rPr>
          <w:rFonts w:ascii="Times New Roman" w:eastAsia="Times New Roman" w:hAnsi="Times New Roman" w:cs="Times New Roman"/>
          <w:sz w:val="24"/>
          <w:szCs w:val="24"/>
        </w:rPr>
        <w:t xml:space="preserve"> banks that ranked above were national lenders or larger community banks</w:t>
      </w:r>
      <w:r w:rsidR="00186E33">
        <w:rPr>
          <w:rFonts w:ascii="Times New Roman" w:eastAsia="Times New Roman" w:hAnsi="Times New Roman" w:cs="Times New Roman"/>
          <w:sz w:val="24"/>
          <w:szCs w:val="24"/>
        </w:rPr>
        <w:t xml:space="preserve"> and credit unions</w:t>
      </w:r>
      <w:r w:rsidR="006E6F0A">
        <w:rPr>
          <w:rFonts w:ascii="Times New Roman" w:eastAsia="Times New Roman" w:hAnsi="Times New Roman" w:cs="Times New Roman"/>
          <w:sz w:val="24"/>
          <w:szCs w:val="24"/>
        </w:rPr>
        <w:t>, such as The Washington Trust Company</w:t>
      </w:r>
      <w:r w:rsidR="00186E33">
        <w:rPr>
          <w:rFonts w:ascii="Times New Roman" w:eastAsia="Times New Roman" w:hAnsi="Times New Roman" w:cs="Times New Roman"/>
          <w:sz w:val="24"/>
          <w:szCs w:val="24"/>
        </w:rPr>
        <w:t xml:space="preserve"> and Navigant Credit Union</w:t>
      </w:r>
      <w:r w:rsidR="006E6F0A">
        <w:rPr>
          <w:rFonts w:ascii="Times New Roman" w:eastAsia="Times New Roman" w:hAnsi="Times New Roman" w:cs="Times New Roman"/>
          <w:sz w:val="24"/>
          <w:szCs w:val="24"/>
        </w:rPr>
        <w:t xml:space="preserve">, </w:t>
      </w:r>
      <w:r w:rsidR="00186E33">
        <w:rPr>
          <w:rFonts w:ascii="Times New Roman" w:eastAsia="Times New Roman" w:hAnsi="Times New Roman" w:cs="Times New Roman"/>
          <w:sz w:val="24"/>
          <w:szCs w:val="24"/>
        </w:rPr>
        <w:t>which are more established within the market.</w:t>
      </w:r>
      <w:r w:rsidR="00863FA4">
        <w:rPr>
          <w:rFonts w:ascii="Times New Roman" w:eastAsia="Times New Roman" w:hAnsi="Times New Roman" w:cs="Times New Roman"/>
          <w:sz w:val="24"/>
          <w:szCs w:val="24"/>
        </w:rPr>
        <w:t xml:space="preserve">  The bank’s performance is excellent, particularly due to strong lending to moderate-income borrowers and considering the bank’s recent expansion into Rhode Island and the lack of branch presence in the most populated parts of Bristol County, Massachusetts. </w:t>
      </w:r>
    </w:p>
    <w:p w14:paraId="7A4C598B" w14:textId="77777777" w:rsidR="00EC5BA9" w:rsidRDefault="00EC5BA9" w:rsidP="00E50970">
      <w:pPr>
        <w:spacing w:after="0" w:line="240" w:lineRule="auto"/>
        <w:rPr>
          <w:rFonts w:ascii="Times New Roman" w:eastAsia="Times New Roman" w:hAnsi="Times New Roman" w:cs="Times New Roman"/>
          <w:bCs/>
          <w:sz w:val="24"/>
          <w:szCs w:val="24"/>
        </w:rPr>
      </w:pPr>
    </w:p>
    <w:tbl>
      <w:tblPr>
        <w:tblW w:w="0" w:type="auto"/>
        <w:tblCellMar>
          <w:left w:w="0" w:type="dxa"/>
          <w:right w:w="0" w:type="dxa"/>
        </w:tblCellMar>
        <w:tblLook w:val="0000" w:firstRow="0" w:lastRow="0" w:firstColumn="0" w:lastColumn="0" w:noHBand="0" w:noVBand="0"/>
      </w:tblPr>
      <w:tblGrid>
        <w:gridCol w:w="9504"/>
      </w:tblGrid>
      <w:tr w:rsidR="00607C22" w14:paraId="765E1AB6" w14:textId="77777777" w:rsidTr="00530B36">
        <w:tc>
          <w:tcPr>
            <w:tcW w:w="9504" w:type="dxa"/>
          </w:tcPr>
          <w:tbl>
            <w:tblPr>
              <w:tblW w:w="0" w:type="auto"/>
              <w:tblCellMar>
                <w:left w:w="0" w:type="dxa"/>
                <w:right w:w="0" w:type="dxa"/>
              </w:tblCellMar>
              <w:tblLook w:val="0000" w:firstRow="0" w:lastRow="0" w:firstColumn="0" w:lastColumn="0" w:noHBand="0" w:noVBand="0"/>
            </w:tblPr>
            <w:tblGrid>
              <w:gridCol w:w="2299"/>
              <w:gridCol w:w="1437"/>
              <w:gridCol w:w="1439"/>
              <w:gridCol w:w="1149"/>
              <w:gridCol w:w="1006"/>
              <w:gridCol w:w="1150"/>
              <w:gridCol w:w="1006"/>
            </w:tblGrid>
            <w:tr w:rsidR="00607C22" w14:paraId="432C70D5" w14:textId="77777777" w:rsidTr="00613B8D">
              <w:trPr>
                <w:trHeight w:val="304"/>
              </w:trPr>
              <w:tc>
                <w:tcPr>
                  <w:tcW w:w="9486"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5E141312" w14:textId="77777777" w:rsidR="00607C22" w:rsidRDefault="00607C22" w:rsidP="00607C22">
                  <w:pPr>
                    <w:spacing w:after="0"/>
                    <w:jc w:val="center"/>
                  </w:pPr>
                  <w:r>
                    <w:rPr>
                      <w:rFonts w:ascii="Times New Roman" w:eastAsia="Times New Roman" w:hAnsi="Times New Roman"/>
                      <w:b/>
                      <w:color w:val="000000"/>
                      <w:sz w:val="20"/>
                    </w:rPr>
                    <w:lastRenderedPageBreak/>
                    <w:t>Distribution of Home Mortgage Loans by Borrower Income Level</w:t>
                  </w:r>
                </w:p>
              </w:tc>
            </w:tr>
            <w:tr w:rsidR="00607C22" w14:paraId="39EEB0C1" w14:textId="77777777" w:rsidTr="00C536E5">
              <w:trPr>
                <w:trHeight w:val="210"/>
              </w:trPr>
              <w:tc>
                <w:tcPr>
                  <w:tcW w:w="9486" w:type="dxa"/>
                  <w:gridSpan w:val="7"/>
                  <w:tcBorders>
                    <w:left w:val="single" w:sz="7" w:space="0" w:color="000000"/>
                    <w:right w:val="single" w:sz="7" w:space="0" w:color="000000"/>
                  </w:tcBorders>
                  <w:tcMar>
                    <w:top w:w="39" w:type="dxa"/>
                    <w:left w:w="39" w:type="dxa"/>
                    <w:bottom w:w="39" w:type="dxa"/>
                    <w:right w:w="39" w:type="dxa"/>
                  </w:tcMar>
                  <w:vAlign w:val="center"/>
                </w:tcPr>
                <w:p w14:paraId="1AF1664F" w14:textId="5166612E" w:rsidR="00607C22" w:rsidRDefault="00607C22" w:rsidP="004353B3">
                  <w:pPr>
                    <w:spacing w:after="0"/>
                    <w:jc w:val="center"/>
                  </w:pPr>
                  <w:r>
                    <w:rPr>
                      <w:rFonts w:ascii="Times New Roman" w:eastAsia="Times New Roman" w:hAnsi="Times New Roman"/>
                      <w:b/>
                      <w:color w:val="000000"/>
                      <w:sz w:val="20"/>
                    </w:rPr>
                    <w:t xml:space="preserve">Assessment Area: </w:t>
                  </w:r>
                  <w:r w:rsidR="00A31502">
                    <w:rPr>
                      <w:rFonts w:ascii="Times New Roman" w:eastAsia="Times New Roman" w:hAnsi="Times New Roman"/>
                      <w:b/>
                      <w:color w:val="000000"/>
                      <w:sz w:val="20"/>
                    </w:rPr>
                    <w:t>RI-MA Multistate MSA</w:t>
                  </w:r>
                </w:p>
              </w:tc>
            </w:tr>
            <w:tr w:rsidR="00607C22" w14:paraId="3F29DE6A" w14:textId="77777777" w:rsidTr="00C536E5">
              <w:trPr>
                <w:trHeight w:val="498"/>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FF9D9B" w14:textId="77777777" w:rsidR="00607C22" w:rsidRDefault="00607C22" w:rsidP="00607C22">
                  <w:pPr>
                    <w:spacing w:after="0"/>
                  </w:pPr>
                  <w:r>
                    <w:rPr>
                      <w:rFonts w:ascii="Times New Roman" w:eastAsia="Times New Roman" w:hAnsi="Times New Roman"/>
                      <w:b/>
                      <w:color w:val="000000"/>
                      <w:sz w:val="20"/>
                    </w:rPr>
                    <w:t>Borrower Income Level</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4DED58" w14:textId="77777777" w:rsidR="00607C22" w:rsidRDefault="00607C22" w:rsidP="00607C22">
                  <w:pPr>
                    <w:spacing w:after="0"/>
                    <w:jc w:val="center"/>
                  </w:pPr>
                  <w:r>
                    <w:rPr>
                      <w:rFonts w:ascii="Times New Roman" w:eastAsia="Times New Roman" w:hAnsi="Times New Roman"/>
                      <w:b/>
                      <w:color w:val="000000"/>
                      <w:sz w:val="20"/>
                    </w:rPr>
                    <w:t>% of  Families</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971EFD" w14:textId="77777777" w:rsidR="00607C22" w:rsidRDefault="00607C22" w:rsidP="00607C22">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8C9778" w14:textId="77777777" w:rsidR="00607C22" w:rsidRDefault="00607C22" w:rsidP="00607C22">
                  <w:pPr>
                    <w:spacing w:after="0"/>
                    <w:jc w:val="center"/>
                  </w:pPr>
                  <w:r>
                    <w:rPr>
                      <w:rFonts w:ascii="Times New Roman" w:eastAsia="Times New Roman" w:hAnsi="Times New Roman"/>
                      <w:b/>
                      <w:color w:val="000000"/>
                      <w:sz w:val="20"/>
                    </w:rPr>
                    <w:t>#</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9B9BFA" w14:textId="77777777" w:rsidR="00607C22" w:rsidRDefault="00607C22" w:rsidP="00607C22">
                  <w:pPr>
                    <w:spacing w:after="0"/>
                    <w:jc w:val="center"/>
                  </w:pPr>
                  <w:r>
                    <w:rPr>
                      <w:rFonts w:ascii="Times New Roman" w:eastAsia="Times New Roman" w:hAnsi="Times New Roman"/>
                      <w:b/>
                      <w:color w:val="000000"/>
                      <w:sz w:val="20"/>
                    </w:rPr>
                    <w:t>%</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BBA74D" w14:textId="77777777" w:rsidR="00607C22" w:rsidRDefault="00607C22" w:rsidP="00607C22">
                  <w:pPr>
                    <w:spacing w:after="0"/>
                    <w:jc w:val="center"/>
                  </w:pPr>
                  <w:r>
                    <w:rPr>
                      <w:rFonts w:ascii="Times New Roman" w:eastAsia="Times New Roman" w:hAnsi="Times New Roman"/>
                      <w:b/>
                      <w:color w:val="000000"/>
                      <w:sz w:val="20"/>
                    </w:rPr>
                    <w:t>$(000s)</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0E1AE0" w14:textId="77777777" w:rsidR="00607C22" w:rsidRDefault="00607C22" w:rsidP="00607C22">
                  <w:pPr>
                    <w:spacing w:after="0"/>
                    <w:jc w:val="center"/>
                  </w:pPr>
                  <w:r>
                    <w:rPr>
                      <w:rFonts w:ascii="Times New Roman" w:eastAsia="Times New Roman" w:hAnsi="Times New Roman"/>
                      <w:b/>
                      <w:color w:val="000000"/>
                      <w:sz w:val="20"/>
                    </w:rPr>
                    <w:t>%</w:t>
                  </w:r>
                </w:p>
              </w:tc>
            </w:tr>
            <w:tr w:rsidR="00607C22" w14:paraId="63EB88EB"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465695" w14:textId="77777777" w:rsidR="00607C22" w:rsidRDefault="00607C22" w:rsidP="00607C22">
                  <w:pPr>
                    <w:spacing w:after="0"/>
                  </w:pPr>
                  <w:r>
                    <w:rPr>
                      <w:rFonts w:ascii="Times New Roman" w:eastAsia="Times New Roman" w:hAnsi="Times New Roman"/>
                      <w:color w:val="000000"/>
                      <w:sz w:val="20"/>
                    </w:rPr>
                    <w:t>Low</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4764F" w14:textId="77777777" w:rsidR="00607C22" w:rsidRDefault="00607C22" w:rsidP="00607C22">
                  <w:pPr>
                    <w:spacing w:after="0"/>
                  </w:pPr>
                </w:p>
              </w:tc>
            </w:tr>
            <w:tr w:rsidR="00607C22" w14:paraId="2CD75DBF" w14:textId="77777777" w:rsidTr="00C536E5">
              <w:trPr>
                <w:trHeight w:val="166"/>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DF07F81" w14:textId="77777777" w:rsidR="00607C22" w:rsidRPr="00B66386" w:rsidRDefault="00607C22" w:rsidP="00607C22">
                  <w:pPr>
                    <w:spacing w:after="0"/>
                    <w:jc w:val="right"/>
                  </w:pPr>
                  <w:r w:rsidRPr="00B66386">
                    <w:rPr>
                      <w:rFonts w:ascii="Times New Roman" w:eastAsia="Times New Roman" w:hAnsi="Times New Roman"/>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8536C" w14:textId="77777777" w:rsidR="00607C22" w:rsidRPr="00B66386" w:rsidRDefault="00607C22" w:rsidP="00607C22">
                  <w:pPr>
                    <w:spacing w:after="0"/>
                    <w:jc w:val="center"/>
                  </w:pPr>
                  <w:r w:rsidRPr="00B66386">
                    <w:rPr>
                      <w:rFonts w:ascii="Times New Roman" w:eastAsia="Times New Roman" w:hAnsi="Times New Roman"/>
                      <w:color w:val="000000"/>
                      <w:sz w:val="20"/>
                    </w:rPr>
                    <w:t>23.6</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55516" w14:textId="77777777" w:rsidR="00607C22" w:rsidRPr="00B66386" w:rsidRDefault="00607C22" w:rsidP="00607C22">
                  <w:pPr>
                    <w:spacing w:after="0"/>
                    <w:jc w:val="center"/>
                  </w:pPr>
                  <w:r w:rsidRPr="00B66386">
                    <w:rPr>
                      <w:rFonts w:ascii="Times New Roman" w:eastAsia="Times New Roman" w:hAnsi="Times New Roman"/>
                      <w:color w:val="000000"/>
                      <w:sz w:val="20"/>
                    </w:rPr>
                    <w:t>5.7</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E1AC4" w14:textId="77777777" w:rsidR="00607C22" w:rsidRPr="00B66386" w:rsidRDefault="00B66386" w:rsidP="00607C22">
                  <w:pPr>
                    <w:spacing w:after="0"/>
                    <w:jc w:val="center"/>
                  </w:pPr>
                  <w:r>
                    <w:rPr>
                      <w:rFonts w:ascii="Times New Roman" w:eastAsia="Times New Roman" w:hAnsi="Times New Roman"/>
                      <w:color w:val="000000"/>
                      <w:sz w:val="20"/>
                    </w:rPr>
                    <w:t>36</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588A7" w14:textId="77777777" w:rsidR="00607C22" w:rsidRPr="00B66386" w:rsidRDefault="00B66386" w:rsidP="00607C22">
                  <w:pPr>
                    <w:spacing w:after="0"/>
                    <w:jc w:val="center"/>
                  </w:pPr>
                  <w:r>
                    <w:rPr>
                      <w:rFonts w:ascii="Times New Roman" w:eastAsia="Times New Roman" w:hAnsi="Times New Roman"/>
                      <w:color w:val="000000"/>
                      <w:sz w:val="20"/>
                    </w:rPr>
                    <w:t>5.2</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883208" w14:textId="77777777" w:rsidR="00607C22" w:rsidRPr="00B66386" w:rsidRDefault="00B66386" w:rsidP="00607C22">
                  <w:pPr>
                    <w:spacing w:after="0"/>
                    <w:jc w:val="center"/>
                  </w:pPr>
                  <w:r>
                    <w:rPr>
                      <w:rFonts w:ascii="Times New Roman" w:eastAsia="Times New Roman" w:hAnsi="Times New Roman"/>
                      <w:color w:val="000000"/>
                      <w:sz w:val="20"/>
                    </w:rPr>
                    <w:t>6,127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41BB3" w14:textId="77777777" w:rsidR="00607C22" w:rsidRPr="00B66386" w:rsidRDefault="00607C22" w:rsidP="00607C22">
                  <w:pPr>
                    <w:spacing w:after="0"/>
                    <w:jc w:val="center"/>
                  </w:pPr>
                  <w:r w:rsidRPr="00B66386">
                    <w:rPr>
                      <w:rFonts w:ascii="Times New Roman" w:eastAsia="Times New Roman" w:hAnsi="Times New Roman"/>
                      <w:color w:val="000000"/>
                      <w:sz w:val="20"/>
                    </w:rPr>
                    <w:t>2.7</w:t>
                  </w:r>
                </w:p>
              </w:tc>
            </w:tr>
            <w:tr w:rsidR="00607C22" w14:paraId="614C256C"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34394F" w14:textId="77777777" w:rsidR="00607C22" w:rsidRDefault="00607C22" w:rsidP="00607C22">
                  <w:pPr>
                    <w:spacing w:after="0"/>
                  </w:pPr>
                  <w:r>
                    <w:rPr>
                      <w:rFonts w:ascii="Times New Roman" w:eastAsia="Times New Roman" w:hAnsi="Times New Roman"/>
                      <w:color w:val="000000"/>
                      <w:sz w:val="20"/>
                    </w:rPr>
                    <w:t>Moderate</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6C22" w14:textId="77777777" w:rsidR="00607C22" w:rsidRDefault="00607C22" w:rsidP="00607C22">
                  <w:pPr>
                    <w:spacing w:after="0"/>
                  </w:pPr>
                </w:p>
              </w:tc>
            </w:tr>
            <w:tr w:rsidR="00607C22" w14:paraId="4821FA43" w14:textId="77777777" w:rsidTr="00C536E5">
              <w:trPr>
                <w:trHeight w:val="166"/>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1448E9B" w14:textId="77777777" w:rsidR="00607C22" w:rsidRDefault="00607C22" w:rsidP="00607C22">
                  <w:pPr>
                    <w:spacing w:after="0"/>
                    <w:jc w:val="right"/>
                  </w:pPr>
                  <w:r>
                    <w:rPr>
                      <w:rFonts w:ascii="Times New Roman" w:eastAsia="Times New Roman" w:hAnsi="Times New Roman"/>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F9923" w14:textId="77777777" w:rsidR="00607C22" w:rsidRDefault="00607C22" w:rsidP="00607C22">
                  <w:pPr>
                    <w:spacing w:after="0"/>
                    <w:jc w:val="center"/>
                  </w:pPr>
                  <w:r>
                    <w:rPr>
                      <w:rFonts w:ascii="Times New Roman" w:eastAsia="Times New Roman" w:hAnsi="Times New Roman"/>
                      <w:color w:val="000000"/>
                      <w:sz w:val="20"/>
                    </w:rPr>
                    <w:t>16.4</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2C2D6" w14:textId="77777777" w:rsidR="00607C22" w:rsidRDefault="00607C22" w:rsidP="00607C22">
                  <w:pPr>
                    <w:spacing w:after="0"/>
                    <w:jc w:val="center"/>
                  </w:pPr>
                  <w:r>
                    <w:rPr>
                      <w:rFonts w:ascii="Times New Roman" w:eastAsia="Times New Roman" w:hAnsi="Times New Roman"/>
                      <w:color w:val="000000"/>
                      <w:sz w:val="20"/>
                    </w:rPr>
                    <w:t>20.2</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94D9B" w14:textId="77777777" w:rsidR="00607C22" w:rsidRDefault="00B66386" w:rsidP="00607C22">
                  <w:pPr>
                    <w:spacing w:after="0"/>
                    <w:jc w:val="center"/>
                  </w:pPr>
                  <w:r>
                    <w:rPr>
                      <w:rFonts w:ascii="Times New Roman" w:eastAsia="Times New Roman" w:hAnsi="Times New Roman"/>
                      <w:color w:val="000000"/>
                      <w:sz w:val="20"/>
                    </w:rPr>
                    <w:t>172</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0030" w14:textId="77777777" w:rsidR="00607C22" w:rsidRDefault="00B66386" w:rsidP="00607C22">
                  <w:pPr>
                    <w:spacing w:after="0"/>
                    <w:jc w:val="center"/>
                  </w:pPr>
                  <w:r>
                    <w:rPr>
                      <w:rFonts w:ascii="Times New Roman" w:eastAsia="Times New Roman" w:hAnsi="Times New Roman"/>
                      <w:color w:val="000000"/>
                      <w:sz w:val="20"/>
                    </w:rPr>
                    <w:t>25.0</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AF2D9" w14:textId="77777777" w:rsidR="00607C22" w:rsidRDefault="00B66386" w:rsidP="00607C22">
                  <w:pPr>
                    <w:spacing w:after="0"/>
                    <w:jc w:val="center"/>
                  </w:pPr>
                  <w:r>
                    <w:rPr>
                      <w:rFonts w:ascii="Times New Roman" w:eastAsia="Times New Roman" w:hAnsi="Times New Roman"/>
                      <w:color w:val="000000"/>
                      <w:sz w:val="20"/>
                    </w:rPr>
                    <w:t>34,829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35E9F" w14:textId="77777777" w:rsidR="00607C22" w:rsidRDefault="00B66386" w:rsidP="00607C22">
                  <w:pPr>
                    <w:spacing w:after="0"/>
                    <w:jc w:val="center"/>
                  </w:pPr>
                  <w:r>
                    <w:rPr>
                      <w:rFonts w:ascii="Times New Roman" w:eastAsia="Times New Roman" w:hAnsi="Times New Roman"/>
                      <w:color w:val="000000"/>
                      <w:sz w:val="20"/>
                    </w:rPr>
                    <w:t>15.4</w:t>
                  </w:r>
                </w:p>
              </w:tc>
            </w:tr>
            <w:tr w:rsidR="00607C22" w14:paraId="602CC020"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8AC9F5" w14:textId="77777777" w:rsidR="00607C22" w:rsidRDefault="00607C22" w:rsidP="00607C22">
                  <w:pPr>
                    <w:spacing w:after="0"/>
                  </w:pPr>
                  <w:r>
                    <w:rPr>
                      <w:rFonts w:ascii="Times New Roman" w:eastAsia="Times New Roman" w:hAnsi="Times New Roman"/>
                      <w:color w:val="000000"/>
                      <w:sz w:val="20"/>
                    </w:rPr>
                    <w:t>Middle</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2B23E" w14:textId="77777777" w:rsidR="00607C22" w:rsidRDefault="00607C22" w:rsidP="00607C22">
                  <w:pPr>
                    <w:spacing w:after="0"/>
                  </w:pPr>
                </w:p>
              </w:tc>
            </w:tr>
            <w:tr w:rsidR="00607C22" w14:paraId="24BC5746" w14:textId="77777777" w:rsidTr="00C536E5">
              <w:trPr>
                <w:trHeight w:val="166"/>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D37008" w14:textId="77777777" w:rsidR="00607C22" w:rsidRDefault="00607C22" w:rsidP="00607C22">
                  <w:pPr>
                    <w:spacing w:after="0"/>
                    <w:jc w:val="right"/>
                  </w:pPr>
                  <w:r>
                    <w:rPr>
                      <w:rFonts w:ascii="Times New Roman" w:eastAsia="Times New Roman" w:hAnsi="Times New Roman"/>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DA5AA" w14:textId="77777777" w:rsidR="00607C22" w:rsidRDefault="00607C22" w:rsidP="00607C22">
                  <w:pPr>
                    <w:spacing w:after="0"/>
                    <w:jc w:val="center"/>
                  </w:pPr>
                  <w:r>
                    <w:rPr>
                      <w:rFonts w:ascii="Times New Roman" w:eastAsia="Times New Roman" w:hAnsi="Times New Roman"/>
                      <w:color w:val="000000"/>
                      <w:sz w:val="20"/>
                    </w:rPr>
                    <w:t>19.2</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964E4" w14:textId="77777777" w:rsidR="00607C22" w:rsidRDefault="00607C22" w:rsidP="00607C22">
                  <w:pPr>
                    <w:spacing w:after="0"/>
                    <w:jc w:val="center"/>
                  </w:pPr>
                  <w:r>
                    <w:rPr>
                      <w:rFonts w:ascii="Times New Roman" w:eastAsia="Times New Roman" w:hAnsi="Times New Roman"/>
                      <w:color w:val="000000"/>
                      <w:sz w:val="20"/>
                    </w:rPr>
                    <w:t>24.1</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05B83" w14:textId="77777777" w:rsidR="00607C22" w:rsidRDefault="00607C22" w:rsidP="00607C22">
                  <w:pPr>
                    <w:spacing w:after="0"/>
                    <w:jc w:val="center"/>
                  </w:pPr>
                  <w:r>
                    <w:rPr>
                      <w:rFonts w:ascii="Times New Roman" w:eastAsia="Times New Roman" w:hAnsi="Times New Roman"/>
                      <w:color w:val="000000"/>
                      <w:sz w:val="20"/>
                    </w:rPr>
                    <w:t>204</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3A4E0" w14:textId="77777777" w:rsidR="00607C22" w:rsidRDefault="00B66386" w:rsidP="00607C22">
                  <w:pPr>
                    <w:spacing w:after="0"/>
                    <w:jc w:val="center"/>
                  </w:pPr>
                  <w:r>
                    <w:rPr>
                      <w:rFonts w:ascii="Times New Roman" w:eastAsia="Times New Roman" w:hAnsi="Times New Roman"/>
                      <w:color w:val="000000"/>
                      <w:sz w:val="20"/>
                    </w:rPr>
                    <w:t>29.</w:t>
                  </w:r>
                  <w:r w:rsidR="005112AF">
                    <w:rPr>
                      <w:rFonts w:ascii="Times New Roman" w:eastAsia="Times New Roman" w:hAnsi="Times New Roman"/>
                      <w:color w:val="000000"/>
                      <w:sz w:val="20"/>
                    </w:rPr>
                    <w:t>6</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921FA" w14:textId="77777777" w:rsidR="00607C22" w:rsidRDefault="00607C22" w:rsidP="00607C22">
                  <w:pPr>
                    <w:spacing w:after="0"/>
                    <w:jc w:val="center"/>
                  </w:pPr>
                  <w:r>
                    <w:rPr>
                      <w:rFonts w:ascii="Times New Roman" w:eastAsia="Times New Roman" w:hAnsi="Times New Roman"/>
                      <w:color w:val="000000"/>
                      <w:sz w:val="20"/>
                    </w:rPr>
                    <w:t>50,882</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976B8" w14:textId="77777777" w:rsidR="00607C22" w:rsidRDefault="00FF0AF8" w:rsidP="00607C22">
                  <w:pPr>
                    <w:spacing w:after="0"/>
                    <w:jc w:val="center"/>
                  </w:pPr>
                  <w:r>
                    <w:rPr>
                      <w:rFonts w:ascii="Times New Roman" w:eastAsia="Times New Roman" w:hAnsi="Times New Roman"/>
                      <w:color w:val="000000"/>
                      <w:sz w:val="20"/>
                    </w:rPr>
                    <w:t>22.4</w:t>
                  </w:r>
                </w:p>
              </w:tc>
            </w:tr>
            <w:tr w:rsidR="00607C22" w14:paraId="02CB74FA"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6CD798" w14:textId="77777777" w:rsidR="00607C22" w:rsidRDefault="00607C22" w:rsidP="00607C22">
                  <w:pPr>
                    <w:spacing w:after="0"/>
                  </w:pPr>
                  <w:r>
                    <w:rPr>
                      <w:rFonts w:ascii="Times New Roman" w:eastAsia="Times New Roman" w:hAnsi="Times New Roman"/>
                      <w:color w:val="000000"/>
                      <w:sz w:val="20"/>
                    </w:rPr>
                    <w:t>Upper</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97C0C8" w14:textId="77777777" w:rsidR="00607C22" w:rsidRDefault="00607C22" w:rsidP="00607C22">
                  <w:pPr>
                    <w:spacing w:after="0"/>
                  </w:pPr>
                </w:p>
              </w:tc>
            </w:tr>
            <w:tr w:rsidR="00607C22" w14:paraId="167C9E3B" w14:textId="77777777" w:rsidTr="00C536E5">
              <w:trPr>
                <w:trHeight w:val="166"/>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5356C3" w14:textId="77777777" w:rsidR="00607C22" w:rsidRDefault="00607C22" w:rsidP="00607C22">
                  <w:pPr>
                    <w:spacing w:after="0"/>
                    <w:jc w:val="right"/>
                  </w:pPr>
                  <w:r>
                    <w:rPr>
                      <w:rFonts w:ascii="Times New Roman" w:eastAsia="Times New Roman" w:hAnsi="Times New Roman"/>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45CAB" w14:textId="77777777" w:rsidR="00607C22" w:rsidRDefault="00607C22" w:rsidP="00607C22">
                  <w:pPr>
                    <w:spacing w:after="0"/>
                    <w:jc w:val="center"/>
                  </w:pPr>
                  <w:r>
                    <w:rPr>
                      <w:rFonts w:ascii="Times New Roman" w:eastAsia="Times New Roman" w:hAnsi="Times New Roman"/>
                      <w:color w:val="000000"/>
                      <w:sz w:val="20"/>
                    </w:rPr>
                    <w:t>40.8</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D3F732" w14:textId="77777777" w:rsidR="00607C22" w:rsidRDefault="00607C22" w:rsidP="00607C22">
                  <w:pPr>
                    <w:spacing w:after="0"/>
                    <w:jc w:val="center"/>
                  </w:pPr>
                  <w:r>
                    <w:rPr>
                      <w:rFonts w:ascii="Times New Roman" w:eastAsia="Times New Roman" w:hAnsi="Times New Roman"/>
                      <w:color w:val="000000"/>
                      <w:sz w:val="20"/>
                    </w:rPr>
                    <w:t>35.3</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F024C" w14:textId="77777777" w:rsidR="00607C22" w:rsidRDefault="00B66386" w:rsidP="00607C22">
                  <w:pPr>
                    <w:spacing w:after="0"/>
                    <w:jc w:val="center"/>
                  </w:pPr>
                  <w:r>
                    <w:rPr>
                      <w:rFonts w:ascii="Times New Roman" w:eastAsia="Times New Roman" w:hAnsi="Times New Roman"/>
                      <w:color w:val="000000"/>
                      <w:sz w:val="20"/>
                    </w:rPr>
                    <w:t>257</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7DBE1" w14:textId="77777777" w:rsidR="00607C22" w:rsidRDefault="00B66386" w:rsidP="00607C22">
                  <w:pPr>
                    <w:spacing w:after="0"/>
                    <w:jc w:val="center"/>
                  </w:pPr>
                  <w:r>
                    <w:rPr>
                      <w:rFonts w:ascii="Times New Roman" w:eastAsia="Times New Roman" w:hAnsi="Times New Roman"/>
                      <w:color w:val="000000"/>
                      <w:sz w:val="20"/>
                    </w:rPr>
                    <w:t>37.4</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AF80B" w14:textId="77777777" w:rsidR="00607C22" w:rsidRDefault="00B66386" w:rsidP="00607C22">
                  <w:pPr>
                    <w:spacing w:after="0"/>
                    <w:jc w:val="center"/>
                  </w:pPr>
                  <w:r>
                    <w:rPr>
                      <w:rFonts w:ascii="Times New Roman" w:eastAsia="Times New Roman" w:hAnsi="Times New Roman"/>
                      <w:color w:val="000000"/>
                      <w:sz w:val="20"/>
                    </w:rPr>
                    <w:t>94,440</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A8567" w14:textId="77777777" w:rsidR="00607C22" w:rsidRDefault="00B66386" w:rsidP="00607C22">
                  <w:pPr>
                    <w:spacing w:after="0"/>
                    <w:jc w:val="center"/>
                  </w:pPr>
                  <w:r>
                    <w:rPr>
                      <w:rFonts w:ascii="Times New Roman" w:eastAsia="Times New Roman" w:hAnsi="Times New Roman"/>
                      <w:color w:val="000000"/>
                      <w:sz w:val="20"/>
                    </w:rPr>
                    <w:t>41.7</w:t>
                  </w:r>
                </w:p>
              </w:tc>
            </w:tr>
            <w:tr w:rsidR="00607C22" w14:paraId="0A5269A4"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CF00CB" w14:textId="77777777" w:rsidR="00607C22" w:rsidRDefault="00607C22" w:rsidP="00607C22">
                  <w:pPr>
                    <w:spacing w:after="0"/>
                  </w:pPr>
                  <w:r>
                    <w:rPr>
                      <w:rFonts w:ascii="Times New Roman" w:eastAsia="Times New Roman" w:hAnsi="Times New Roman"/>
                      <w:color w:val="000000"/>
                      <w:sz w:val="20"/>
                    </w:rPr>
                    <w:t>Not Available</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E50E7" w14:textId="77777777" w:rsidR="00607C22" w:rsidRDefault="00607C22" w:rsidP="00607C22">
                  <w:pPr>
                    <w:spacing w:after="0"/>
                  </w:pPr>
                </w:p>
              </w:tc>
            </w:tr>
            <w:tr w:rsidR="00607C22" w14:paraId="7D0EFAB4" w14:textId="77777777" w:rsidTr="00C536E5">
              <w:trPr>
                <w:trHeight w:val="166"/>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AB6324" w14:textId="77777777" w:rsidR="00607C22" w:rsidRDefault="00607C22" w:rsidP="00607C22">
                  <w:pPr>
                    <w:spacing w:after="0"/>
                    <w:jc w:val="right"/>
                  </w:pPr>
                  <w:r>
                    <w:rPr>
                      <w:rFonts w:ascii="Times New Roman" w:eastAsia="Times New Roman" w:hAnsi="Times New Roman"/>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71626" w14:textId="77777777" w:rsidR="00607C22" w:rsidRDefault="00607C22" w:rsidP="00607C22">
                  <w:pPr>
                    <w:spacing w:after="0"/>
                    <w:jc w:val="center"/>
                  </w:pPr>
                  <w:r>
                    <w:rPr>
                      <w:rFonts w:ascii="Times New Roman" w:eastAsia="Times New Roman" w:hAnsi="Times New Roman"/>
                      <w:color w:val="000000"/>
                      <w:sz w:val="20"/>
                    </w:rPr>
                    <w:t>0.0</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E980E0" w14:textId="77777777" w:rsidR="00607C22" w:rsidRDefault="00607C22" w:rsidP="00607C22">
                  <w:pPr>
                    <w:spacing w:after="0"/>
                    <w:jc w:val="center"/>
                  </w:pPr>
                  <w:r>
                    <w:rPr>
                      <w:rFonts w:ascii="Times New Roman" w:eastAsia="Times New Roman" w:hAnsi="Times New Roman"/>
                      <w:color w:val="000000"/>
                      <w:sz w:val="20"/>
                    </w:rPr>
                    <w:t>14.6</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01FFBE" w14:textId="77777777" w:rsidR="00607C22" w:rsidRDefault="00B66386" w:rsidP="00607C22">
                  <w:pPr>
                    <w:spacing w:after="0"/>
                    <w:jc w:val="center"/>
                  </w:pPr>
                  <w:r>
                    <w:rPr>
                      <w:rFonts w:ascii="Times New Roman" w:eastAsia="Times New Roman" w:hAnsi="Times New Roman"/>
                      <w:color w:val="000000"/>
                      <w:sz w:val="20"/>
                    </w:rPr>
                    <w:t>19</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D0B37" w14:textId="77777777" w:rsidR="00607C22" w:rsidRDefault="00B66386" w:rsidP="00607C22">
                  <w:pPr>
                    <w:spacing w:after="0"/>
                    <w:jc w:val="center"/>
                  </w:pPr>
                  <w:r>
                    <w:rPr>
                      <w:rFonts w:ascii="Times New Roman" w:eastAsia="Times New Roman" w:hAnsi="Times New Roman"/>
                      <w:color w:val="000000"/>
                      <w:sz w:val="20"/>
                    </w:rPr>
                    <w:t>2.8</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42C1A" w14:textId="77777777" w:rsidR="00607C22" w:rsidRDefault="00B66386" w:rsidP="00607C22">
                  <w:pPr>
                    <w:spacing w:after="0"/>
                    <w:jc w:val="center"/>
                  </w:pPr>
                  <w:r>
                    <w:rPr>
                      <w:rFonts w:ascii="Times New Roman" w:eastAsia="Times New Roman" w:hAnsi="Times New Roman"/>
                      <w:color w:val="000000"/>
                      <w:sz w:val="20"/>
                    </w:rPr>
                    <w:t>40,275</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CA33C" w14:textId="77777777" w:rsidR="00607C22" w:rsidRDefault="00B66386" w:rsidP="00607C22">
                  <w:pPr>
                    <w:spacing w:after="0"/>
                    <w:jc w:val="center"/>
                  </w:pPr>
                  <w:r>
                    <w:rPr>
                      <w:rFonts w:ascii="Times New Roman" w:eastAsia="Times New Roman" w:hAnsi="Times New Roman"/>
                      <w:color w:val="000000"/>
                      <w:sz w:val="20"/>
                    </w:rPr>
                    <w:t>17.8</w:t>
                  </w:r>
                </w:p>
              </w:tc>
            </w:tr>
            <w:tr w:rsidR="00607C22" w14:paraId="51F586D9"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B4B74A" w14:textId="77777777" w:rsidR="00607C22" w:rsidRDefault="00607C22" w:rsidP="00607C22">
                  <w:pPr>
                    <w:spacing w:after="0"/>
                  </w:pPr>
                  <w:r>
                    <w:rPr>
                      <w:rFonts w:ascii="Times New Roman" w:eastAsia="Times New Roman" w:hAnsi="Times New Roman"/>
                      <w:b/>
                      <w:color w:val="000000"/>
                      <w:sz w:val="20"/>
                    </w:rPr>
                    <w:t>Totals</w:t>
                  </w:r>
                </w:p>
              </w:tc>
              <w:tc>
                <w:tcPr>
                  <w:tcW w:w="7187"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85AF1" w14:textId="77777777" w:rsidR="00607C22" w:rsidRDefault="00607C22" w:rsidP="00607C22">
                  <w:pPr>
                    <w:spacing w:after="0"/>
                  </w:pPr>
                </w:p>
              </w:tc>
            </w:tr>
            <w:tr w:rsidR="00607C22" w14:paraId="60F0DB84" w14:textId="77777777" w:rsidTr="00C536E5">
              <w:trPr>
                <w:trHeight w:val="181"/>
              </w:trPr>
              <w:tc>
                <w:tcPr>
                  <w:tcW w:w="229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430E9E" w14:textId="77777777" w:rsidR="00607C22" w:rsidRDefault="00607C22" w:rsidP="00607C22">
                  <w:pPr>
                    <w:spacing w:after="0"/>
                    <w:jc w:val="right"/>
                  </w:pPr>
                  <w:r>
                    <w:rPr>
                      <w:rFonts w:ascii="Times New Roman" w:eastAsia="Times New Roman" w:hAnsi="Times New Roman"/>
                      <w:b/>
                      <w:color w:val="000000"/>
                      <w:sz w:val="20"/>
                    </w:rPr>
                    <w:t>2019</w:t>
                  </w:r>
                </w:p>
              </w:tc>
              <w:tc>
                <w:tcPr>
                  <w:tcW w:w="14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94B0CB" w14:textId="77777777" w:rsidR="00607C22" w:rsidRDefault="00607C22" w:rsidP="00607C22">
                  <w:pPr>
                    <w:spacing w:after="0"/>
                    <w:jc w:val="center"/>
                  </w:pPr>
                  <w:r>
                    <w:rPr>
                      <w:rFonts w:ascii="Times New Roman" w:eastAsia="Times New Roman" w:hAnsi="Times New Roman"/>
                      <w:b/>
                      <w:color w:val="000000"/>
                      <w:sz w:val="20"/>
                    </w:rPr>
                    <w:t>100.0</w:t>
                  </w:r>
                </w:p>
              </w:tc>
              <w:tc>
                <w:tcPr>
                  <w:tcW w:w="14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F3D14" w14:textId="77777777" w:rsidR="00607C22" w:rsidRDefault="00607C22" w:rsidP="00607C22">
                  <w:pPr>
                    <w:spacing w:after="0"/>
                    <w:jc w:val="center"/>
                  </w:pPr>
                  <w:r>
                    <w:rPr>
                      <w:rFonts w:ascii="Times New Roman" w:eastAsia="Times New Roman" w:hAnsi="Times New Roman"/>
                      <w:b/>
                      <w:color w:val="000000"/>
                      <w:sz w:val="20"/>
                    </w:rPr>
                    <w:t>100.0</w:t>
                  </w:r>
                </w:p>
              </w:tc>
              <w:tc>
                <w:tcPr>
                  <w:tcW w:w="1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7003C" w14:textId="77777777" w:rsidR="00607C22" w:rsidRDefault="00607C22" w:rsidP="00B66386">
                  <w:pPr>
                    <w:spacing w:after="0"/>
                    <w:jc w:val="center"/>
                  </w:pPr>
                  <w:r>
                    <w:rPr>
                      <w:rFonts w:ascii="Times New Roman" w:eastAsia="Times New Roman" w:hAnsi="Times New Roman"/>
                      <w:b/>
                      <w:color w:val="000000"/>
                      <w:sz w:val="20"/>
                    </w:rPr>
                    <w:t>6</w:t>
                  </w:r>
                  <w:r w:rsidR="00B66386">
                    <w:rPr>
                      <w:rFonts w:ascii="Times New Roman" w:eastAsia="Times New Roman" w:hAnsi="Times New Roman"/>
                      <w:b/>
                      <w:color w:val="000000"/>
                      <w:sz w:val="20"/>
                    </w:rPr>
                    <w:t>8</w:t>
                  </w:r>
                  <w:r>
                    <w:rPr>
                      <w:rFonts w:ascii="Times New Roman" w:eastAsia="Times New Roman" w:hAnsi="Times New Roman"/>
                      <w:b/>
                      <w:color w:val="000000"/>
                      <w:sz w:val="20"/>
                    </w:rPr>
                    <w:t>8</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0BAB7" w14:textId="77777777" w:rsidR="00607C22" w:rsidRDefault="00607C22" w:rsidP="00607C22">
                  <w:pPr>
                    <w:spacing w:after="0"/>
                    <w:jc w:val="center"/>
                  </w:pPr>
                  <w:r>
                    <w:rPr>
                      <w:rFonts w:ascii="Times New Roman" w:eastAsia="Times New Roman" w:hAnsi="Times New Roman"/>
                      <w:b/>
                      <w:color w:val="000000"/>
                      <w:sz w:val="20"/>
                    </w:rPr>
                    <w:t>100.0</w:t>
                  </w:r>
                </w:p>
              </w:tc>
              <w:tc>
                <w:tcPr>
                  <w:tcW w:w="11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7CBCE" w14:textId="77777777" w:rsidR="00607C22" w:rsidRDefault="00B66386" w:rsidP="00607C22">
                  <w:pPr>
                    <w:spacing w:after="0"/>
                    <w:jc w:val="center"/>
                  </w:pPr>
                  <w:r>
                    <w:rPr>
                      <w:rFonts w:ascii="Times New Roman" w:eastAsia="Times New Roman" w:hAnsi="Times New Roman"/>
                      <w:b/>
                      <w:color w:val="000000"/>
                      <w:sz w:val="20"/>
                    </w:rPr>
                    <w:t>226,553</w:t>
                  </w:r>
                </w:p>
              </w:tc>
              <w:tc>
                <w:tcPr>
                  <w:tcW w:w="10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22890E" w14:textId="77777777" w:rsidR="00607C22" w:rsidRDefault="00607C22" w:rsidP="00607C22">
                  <w:pPr>
                    <w:spacing w:after="0"/>
                    <w:jc w:val="center"/>
                  </w:pPr>
                  <w:r>
                    <w:rPr>
                      <w:rFonts w:ascii="Times New Roman" w:eastAsia="Times New Roman" w:hAnsi="Times New Roman"/>
                      <w:b/>
                      <w:color w:val="000000"/>
                      <w:sz w:val="20"/>
                    </w:rPr>
                    <w:t>100.0</w:t>
                  </w:r>
                </w:p>
              </w:tc>
            </w:tr>
            <w:tr w:rsidR="00607C22" w14:paraId="7A0E9F52" w14:textId="77777777" w:rsidTr="00C536E5">
              <w:trPr>
                <w:trHeight w:val="302"/>
              </w:trPr>
              <w:tc>
                <w:tcPr>
                  <w:tcW w:w="9486"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322337E" w14:textId="77777777" w:rsidR="00607C22" w:rsidRDefault="00607C22" w:rsidP="00607C22">
                  <w:pPr>
                    <w:spacing w:after="0"/>
                  </w:pPr>
                  <w:r>
                    <w:rPr>
                      <w:rFonts w:ascii="Times New Roman" w:eastAsia="Times New Roman" w:hAnsi="Times New Roman"/>
                      <w:i/>
                      <w:color w:val="000000"/>
                      <w:sz w:val="16"/>
                    </w:rPr>
                    <w:t>Source: 2015 ACS; Bank Data, 2017, 2018 &amp; 2019 HMDA Aggregate Data, "--" data not available.</w:t>
                  </w:r>
                </w:p>
                <w:p w14:paraId="221E28C4" w14:textId="77777777" w:rsidR="00607C22" w:rsidRDefault="00607C22" w:rsidP="00607C22">
                  <w:pPr>
                    <w:spacing w:after="0"/>
                  </w:pPr>
                  <w:r>
                    <w:rPr>
                      <w:rFonts w:ascii="Times New Roman" w:eastAsia="Times New Roman" w:hAnsi="Times New Roman"/>
                      <w:i/>
                      <w:color w:val="000000"/>
                      <w:sz w:val="16"/>
                    </w:rPr>
                    <w:t>Due to rounding, totals may not equal 100.0%</w:t>
                  </w:r>
                </w:p>
              </w:tc>
            </w:tr>
          </w:tbl>
          <w:p w14:paraId="1E030EDE" w14:textId="77777777" w:rsidR="00607C22" w:rsidRDefault="00607C22" w:rsidP="00530B36"/>
        </w:tc>
      </w:tr>
    </w:tbl>
    <w:p w14:paraId="3E30C1C8" w14:textId="6F80AAE3" w:rsidR="00607C22" w:rsidRDefault="00607C22" w:rsidP="00E50970">
      <w:pPr>
        <w:spacing w:after="0" w:line="240" w:lineRule="auto"/>
        <w:rPr>
          <w:rFonts w:ascii="Times New Roman" w:eastAsia="Times New Roman" w:hAnsi="Times New Roman" w:cs="Times New Roman"/>
          <w:bCs/>
          <w:sz w:val="24"/>
          <w:szCs w:val="24"/>
        </w:rPr>
      </w:pPr>
    </w:p>
    <w:p w14:paraId="6F86E407" w14:textId="77777777" w:rsidR="00607C22" w:rsidRPr="00607C22" w:rsidRDefault="00607C22" w:rsidP="00E50970">
      <w:pPr>
        <w:spacing w:after="0" w:line="240" w:lineRule="auto"/>
        <w:rPr>
          <w:rFonts w:ascii="Times New Roman" w:eastAsia="Times New Roman" w:hAnsi="Times New Roman" w:cs="Times New Roman"/>
          <w:b/>
          <w:bCs/>
          <w:sz w:val="24"/>
          <w:szCs w:val="24"/>
        </w:rPr>
      </w:pPr>
      <w:r w:rsidRPr="00607C22">
        <w:rPr>
          <w:rFonts w:ascii="Times New Roman" w:eastAsia="Times New Roman" w:hAnsi="Times New Roman" w:cs="Times New Roman"/>
          <w:b/>
          <w:bCs/>
          <w:sz w:val="24"/>
          <w:szCs w:val="24"/>
        </w:rPr>
        <w:t>Small Business Loans</w:t>
      </w:r>
    </w:p>
    <w:p w14:paraId="24E6E099" w14:textId="37706D66" w:rsidR="000C5B57" w:rsidRDefault="000C5B57" w:rsidP="000C5B57">
      <w:pPr>
        <w:spacing w:after="0" w:line="240" w:lineRule="auto"/>
        <w:rPr>
          <w:rFonts w:ascii="Times New Roman" w:hAnsi="Times New Roman" w:cs="Times New Roman"/>
          <w:bCs/>
          <w:sz w:val="24"/>
          <w:szCs w:val="24"/>
        </w:rPr>
      </w:pPr>
      <w:r w:rsidRPr="00AE1571">
        <w:rPr>
          <w:rFonts w:ascii="Times New Roman" w:hAnsi="Times New Roman" w:cs="Times New Roman"/>
          <w:bCs/>
          <w:sz w:val="24"/>
          <w:szCs w:val="24"/>
        </w:rPr>
        <w:t xml:space="preserve">The distribution of small business loans reflects an </w:t>
      </w:r>
      <w:r w:rsidRPr="009A1F95">
        <w:rPr>
          <w:rFonts w:ascii="Times New Roman" w:hAnsi="Times New Roman" w:cs="Times New Roman"/>
          <w:bCs/>
          <w:sz w:val="24"/>
          <w:szCs w:val="24"/>
        </w:rPr>
        <w:t>excellent</w:t>
      </w:r>
      <w:r w:rsidRPr="00AE1571">
        <w:rPr>
          <w:rFonts w:ascii="Times New Roman" w:hAnsi="Times New Roman" w:cs="Times New Roman"/>
          <w:bCs/>
          <w:sz w:val="24"/>
          <w:szCs w:val="24"/>
        </w:rPr>
        <w:t xml:space="preserve"> penetration among </w:t>
      </w:r>
      <w:r>
        <w:rPr>
          <w:rFonts w:ascii="Times New Roman" w:hAnsi="Times New Roman" w:cs="Times New Roman"/>
          <w:bCs/>
          <w:sz w:val="24"/>
          <w:szCs w:val="24"/>
        </w:rPr>
        <w:t xml:space="preserve">businesses of different sizes.  </w:t>
      </w:r>
      <w:r w:rsidRPr="00AE1571">
        <w:rPr>
          <w:rFonts w:ascii="Times New Roman" w:hAnsi="Times New Roman" w:cs="Times New Roman"/>
          <w:bCs/>
          <w:sz w:val="24"/>
          <w:szCs w:val="24"/>
        </w:rPr>
        <w:t xml:space="preserve">The bank’s lending </w:t>
      </w:r>
      <w:r w:rsidR="00C536E5">
        <w:rPr>
          <w:rFonts w:ascii="Times New Roman" w:hAnsi="Times New Roman" w:cs="Times New Roman"/>
          <w:bCs/>
          <w:sz w:val="24"/>
          <w:szCs w:val="24"/>
        </w:rPr>
        <w:t>performance was</w:t>
      </w:r>
      <w:r w:rsidRPr="00AE1571">
        <w:rPr>
          <w:rFonts w:ascii="Times New Roman" w:hAnsi="Times New Roman" w:cs="Times New Roman"/>
          <w:bCs/>
          <w:sz w:val="24"/>
          <w:szCs w:val="24"/>
        </w:rPr>
        <w:t xml:space="preserve"> significantly above </w:t>
      </w:r>
      <w:r>
        <w:rPr>
          <w:rFonts w:ascii="Times New Roman" w:hAnsi="Times New Roman" w:cs="Times New Roman"/>
          <w:bCs/>
          <w:sz w:val="24"/>
          <w:szCs w:val="24"/>
        </w:rPr>
        <w:t>the</w:t>
      </w:r>
      <w:r w:rsidRPr="00AE1571">
        <w:rPr>
          <w:rFonts w:ascii="Times New Roman" w:hAnsi="Times New Roman" w:cs="Times New Roman"/>
          <w:bCs/>
          <w:sz w:val="24"/>
          <w:szCs w:val="24"/>
        </w:rPr>
        <w:t xml:space="preserve"> aggregate performance.  Although the bank’s performance is below the percentage of businesses in the assessment area, the bank outperform</w:t>
      </w:r>
      <w:r>
        <w:rPr>
          <w:rFonts w:ascii="Times New Roman" w:hAnsi="Times New Roman" w:cs="Times New Roman"/>
          <w:bCs/>
          <w:sz w:val="24"/>
          <w:szCs w:val="24"/>
        </w:rPr>
        <w:t>ed</w:t>
      </w:r>
      <w:r w:rsidRPr="00AE1571">
        <w:rPr>
          <w:rFonts w:ascii="Times New Roman" w:hAnsi="Times New Roman" w:cs="Times New Roman"/>
          <w:bCs/>
          <w:sz w:val="24"/>
          <w:szCs w:val="24"/>
        </w:rPr>
        <w:t xml:space="preserve"> its peers and other institutions and provides </w:t>
      </w:r>
      <w:r w:rsidR="00863FA4">
        <w:rPr>
          <w:rFonts w:ascii="Times New Roman" w:hAnsi="Times New Roman" w:cs="Times New Roman"/>
          <w:bCs/>
          <w:sz w:val="24"/>
          <w:szCs w:val="24"/>
        </w:rPr>
        <w:t xml:space="preserve">a majority of its </w:t>
      </w:r>
      <w:r w:rsidRPr="00AE1571">
        <w:rPr>
          <w:rFonts w:ascii="Times New Roman" w:hAnsi="Times New Roman" w:cs="Times New Roman"/>
          <w:bCs/>
          <w:sz w:val="24"/>
          <w:szCs w:val="24"/>
        </w:rPr>
        <w:t>l</w:t>
      </w:r>
      <w:r w:rsidR="00863FA4">
        <w:rPr>
          <w:rFonts w:ascii="Times New Roman" w:hAnsi="Times New Roman" w:cs="Times New Roman"/>
          <w:bCs/>
          <w:sz w:val="24"/>
          <w:szCs w:val="24"/>
        </w:rPr>
        <w:t>oans</w:t>
      </w:r>
      <w:r w:rsidRPr="00AE1571">
        <w:rPr>
          <w:rFonts w:ascii="Times New Roman" w:hAnsi="Times New Roman" w:cs="Times New Roman"/>
          <w:bCs/>
          <w:sz w:val="24"/>
          <w:szCs w:val="24"/>
        </w:rPr>
        <w:t xml:space="preserve"> to businesses with annual revenue below $1</w:t>
      </w:r>
      <w:r w:rsidR="00AD3BF7">
        <w:rPr>
          <w:rFonts w:ascii="Times New Roman" w:hAnsi="Times New Roman" w:cs="Times New Roman"/>
          <w:bCs/>
          <w:sz w:val="24"/>
          <w:szCs w:val="24"/>
        </w:rPr>
        <w:t>.0</w:t>
      </w:r>
      <w:r w:rsidRPr="00AE1571">
        <w:rPr>
          <w:rFonts w:ascii="Times New Roman" w:hAnsi="Times New Roman" w:cs="Times New Roman"/>
          <w:bCs/>
          <w:sz w:val="24"/>
          <w:szCs w:val="24"/>
        </w:rPr>
        <w:t xml:space="preserve"> million.</w:t>
      </w:r>
    </w:p>
    <w:p w14:paraId="48431164" w14:textId="26A580E8" w:rsidR="00607C22" w:rsidRDefault="00607C22" w:rsidP="00E50970">
      <w:pPr>
        <w:spacing w:after="0" w:line="240" w:lineRule="auto"/>
        <w:rPr>
          <w:rFonts w:ascii="Times New Roman" w:eastAsia="Times New Roman" w:hAnsi="Times New Roman" w:cs="Times New Roman"/>
          <w:bCs/>
          <w:sz w:val="24"/>
          <w:szCs w:val="24"/>
        </w:rPr>
      </w:pPr>
    </w:p>
    <w:p w14:paraId="364F102F" w14:textId="56CB4B47" w:rsidR="00863FA4" w:rsidRDefault="00863FA4" w:rsidP="00E50970">
      <w:pPr>
        <w:spacing w:after="0" w:line="240" w:lineRule="auto"/>
        <w:rPr>
          <w:rFonts w:ascii="Times New Roman" w:eastAsia="Times New Roman" w:hAnsi="Times New Roman" w:cs="Times New Roman"/>
          <w:bCs/>
          <w:sz w:val="24"/>
          <w:szCs w:val="24"/>
        </w:rPr>
      </w:pPr>
    </w:p>
    <w:p w14:paraId="5013B79C" w14:textId="43B11BED" w:rsidR="00863FA4" w:rsidRDefault="00863FA4" w:rsidP="00E50970">
      <w:pPr>
        <w:spacing w:after="0" w:line="240" w:lineRule="auto"/>
        <w:rPr>
          <w:rFonts w:ascii="Times New Roman" w:eastAsia="Times New Roman" w:hAnsi="Times New Roman" w:cs="Times New Roman"/>
          <w:bCs/>
          <w:sz w:val="24"/>
          <w:szCs w:val="24"/>
        </w:rPr>
      </w:pPr>
    </w:p>
    <w:p w14:paraId="7C8923DE" w14:textId="4E255935" w:rsidR="00863FA4" w:rsidRDefault="00863FA4" w:rsidP="00E50970">
      <w:pPr>
        <w:spacing w:after="0" w:line="240" w:lineRule="auto"/>
        <w:rPr>
          <w:rFonts w:ascii="Times New Roman" w:eastAsia="Times New Roman" w:hAnsi="Times New Roman" w:cs="Times New Roman"/>
          <w:bCs/>
          <w:sz w:val="24"/>
          <w:szCs w:val="24"/>
        </w:rPr>
      </w:pPr>
    </w:p>
    <w:p w14:paraId="09DC1801" w14:textId="5F687558" w:rsidR="00863FA4" w:rsidRDefault="00863FA4" w:rsidP="00E50970">
      <w:pPr>
        <w:spacing w:after="0" w:line="240" w:lineRule="auto"/>
        <w:rPr>
          <w:rFonts w:ascii="Times New Roman" w:eastAsia="Times New Roman" w:hAnsi="Times New Roman" w:cs="Times New Roman"/>
          <w:bCs/>
          <w:sz w:val="24"/>
          <w:szCs w:val="24"/>
        </w:rPr>
      </w:pPr>
    </w:p>
    <w:p w14:paraId="456AAC73" w14:textId="46E521D0" w:rsidR="00863FA4" w:rsidRDefault="00863FA4" w:rsidP="00E50970">
      <w:pPr>
        <w:spacing w:after="0" w:line="240" w:lineRule="auto"/>
        <w:rPr>
          <w:rFonts w:ascii="Times New Roman" w:eastAsia="Times New Roman" w:hAnsi="Times New Roman" w:cs="Times New Roman"/>
          <w:bCs/>
          <w:sz w:val="24"/>
          <w:szCs w:val="24"/>
        </w:rPr>
      </w:pPr>
    </w:p>
    <w:p w14:paraId="5F4F1535" w14:textId="3BED491A" w:rsidR="00863FA4" w:rsidRDefault="00863FA4" w:rsidP="00E50970">
      <w:pPr>
        <w:spacing w:after="0" w:line="240" w:lineRule="auto"/>
        <w:rPr>
          <w:rFonts w:ascii="Times New Roman" w:eastAsia="Times New Roman" w:hAnsi="Times New Roman" w:cs="Times New Roman"/>
          <w:bCs/>
          <w:sz w:val="24"/>
          <w:szCs w:val="24"/>
        </w:rPr>
      </w:pPr>
    </w:p>
    <w:p w14:paraId="191A2CD6" w14:textId="29E5C232" w:rsidR="00863FA4" w:rsidRDefault="00863FA4" w:rsidP="00E50970">
      <w:pPr>
        <w:spacing w:after="0" w:line="240" w:lineRule="auto"/>
        <w:rPr>
          <w:rFonts w:ascii="Times New Roman" w:eastAsia="Times New Roman" w:hAnsi="Times New Roman" w:cs="Times New Roman"/>
          <w:bCs/>
          <w:sz w:val="24"/>
          <w:szCs w:val="24"/>
        </w:rPr>
      </w:pPr>
    </w:p>
    <w:p w14:paraId="6E57B5D4" w14:textId="4B1E6544" w:rsidR="00863FA4" w:rsidRDefault="00863FA4" w:rsidP="00E50970">
      <w:pPr>
        <w:spacing w:after="0" w:line="240" w:lineRule="auto"/>
        <w:rPr>
          <w:rFonts w:ascii="Times New Roman" w:eastAsia="Times New Roman" w:hAnsi="Times New Roman" w:cs="Times New Roman"/>
          <w:bCs/>
          <w:sz w:val="24"/>
          <w:szCs w:val="24"/>
        </w:rPr>
      </w:pPr>
    </w:p>
    <w:p w14:paraId="681FC1AF" w14:textId="730D1A3E" w:rsidR="00863FA4" w:rsidRDefault="00863FA4" w:rsidP="00E50970">
      <w:pPr>
        <w:spacing w:after="0" w:line="240" w:lineRule="auto"/>
        <w:rPr>
          <w:rFonts w:ascii="Times New Roman" w:eastAsia="Times New Roman" w:hAnsi="Times New Roman" w:cs="Times New Roman"/>
          <w:bCs/>
          <w:sz w:val="24"/>
          <w:szCs w:val="24"/>
        </w:rPr>
      </w:pPr>
    </w:p>
    <w:p w14:paraId="58B4C3B2" w14:textId="6D355A63" w:rsidR="00863FA4" w:rsidRDefault="00863FA4" w:rsidP="00E50970">
      <w:pPr>
        <w:spacing w:after="0" w:line="240" w:lineRule="auto"/>
        <w:rPr>
          <w:rFonts w:ascii="Times New Roman" w:eastAsia="Times New Roman" w:hAnsi="Times New Roman" w:cs="Times New Roman"/>
          <w:bCs/>
          <w:sz w:val="24"/>
          <w:szCs w:val="24"/>
        </w:rPr>
      </w:pPr>
    </w:p>
    <w:p w14:paraId="32D96939" w14:textId="69405730" w:rsidR="00863FA4" w:rsidRDefault="00863FA4" w:rsidP="00E50970">
      <w:pPr>
        <w:spacing w:after="0" w:line="240" w:lineRule="auto"/>
        <w:rPr>
          <w:rFonts w:ascii="Times New Roman" w:eastAsia="Times New Roman" w:hAnsi="Times New Roman" w:cs="Times New Roman"/>
          <w:bCs/>
          <w:sz w:val="24"/>
          <w:szCs w:val="24"/>
        </w:rPr>
      </w:pPr>
    </w:p>
    <w:p w14:paraId="645DCA77" w14:textId="1B9276F8" w:rsidR="00863FA4" w:rsidRDefault="00863FA4" w:rsidP="00E50970">
      <w:pPr>
        <w:spacing w:after="0" w:line="240" w:lineRule="auto"/>
        <w:rPr>
          <w:rFonts w:ascii="Times New Roman" w:eastAsia="Times New Roman" w:hAnsi="Times New Roman" w:cs="Times New Roman"/>
          <w:bCs/>
          <w:sz w:val="24"/>
          <w:szCs w:val="24"/>
        </w:rPr>
      </w:pPr>
    </w:p>
    <w:p w14:paraId="5CEAD0FF" w14:textId="3A6F0B02" w:rsidR="00863FA4" w:rsidRDefault="00863FA4" w:rsidP="00E50970">
      <w:pPr>
        <w:spacing w:after="0" w:line="240" w:lineRule="auto"/>
        <w:rPr>
          <w:rFonts w:ascii="Times New Roman" w:eastAsia="Times New Roman" w:hAnsi="Times New Roman" w:cs="Times New Roman"/>
          <w:bCs/>
          <w:sz w:val="24"/>
          <w:szCs w:val="24"/>
        </w:rPr>
      </w:pPr>
    </w:p>
    <w:p w14:paraId="498D62CD" w14:textId="00D01F0A" w:rsidR="00863FA4" w:rsidRDefault="00863FA4" w:rsidP="00E50970">
      <w:pPr>
        <w:spacing w:after="0" w:line="240" w:lineRule="auto"/>
        <w:rPr>
          <w:rFonts w:ascii="Times New Roman" w:eastAsia="Times New Roman" w:hAnsi="Times New Roman" w:cs="Times New Roman"/>
          <w:bCs/>
          <w:sz w:val="24"/>
          <w:szCs w:val="24"/>
        </w:rPr>
      </w:pPr>
    </w:p>
    <w:tbl>
      <w:tblPr>
        <w:tblW w:w="0" w:type="auto"/>
        <w:tblCellMar>
          <w:left w:w="0" w:type="dxa"/>
          <w:right w:w="0" w:type="dxa"/>
        </w:tblCellMar>
        <w:tblLook w:val="0000" w:firstRow="0" w:lastRow="0" w:firstColumn="0" w:lastColumn="0" w:noHBand="0" w:noVBand="0"/>
      </w:tblPr>
      <w:tblGrid>
        <w:gridCol w:w="2304"/>
        <w:gridCol w:w="1440"/>
        <w:gridCol w:w="1440"/>
        <w:gridCol w:w="1152"/>
        <w:gridCol w:w="1008"/>
        <w:gridCol w:w="1152"/>
        <w:gridCol w:w="1008"/>
      </w:tblGrid>
      <w:tr w:rsidR="00607C22" w14:paraId="075FA0D2" w14:textId="77777777" w:rsidTr="00613B8D">
        <w:trPr>
          <w:trHeight w:val="214"/>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4FFF11ED" w14:textId="77777777" w:rsidR="00607C22" w:rsidRDefault="00607C22" w:rsidP="00607C22">
            <w:pPr>
              <w:spacing w:after="0"/>
              <w:jc w:val="center"/>
            </w:pPr>
            <w:r>
              <w:rPr>
                <w:rFonts w:ascii="Times New Roman" w:eastAsia="Times New Roman" w:hAnsi="Times New Roman"/>
                <w:b/>
                <w:color w:val="000000"/>
                <w:sz w:val="20"/>
              </w:rPr>
              <w:lastRenderedPageBreak/>
              <w:t>Distribution of Small Business Loans by Gross Annual Revenue Category</w:t>
            </w:r>
          </w:p>
        </w:tc>
      </w:tr>
      <w:tr w:rsidR="00607C22" w14:paraId="4ACC9B62" w14:textId="77777777" w:rsidTr="00530B36">
        <w:trPr>
          <w:trHeight w:val="210"/>
        </w:trPr>
        <w:tc>
          <w:tcPr>
            <w:tcW w:w="9504" w:type="dxa"/>
            <w:gridSpan w:val="7"/>
            <w:tcBorders>
              <w:left w:val="single" w:sz="7" w:space="0" w:color="000000"/>
              <w:right w:val="single" w:sz="7" w:space="0" w:color="000000"/>
            </w:tcBorders>
            <w:tcMar>
              <w:top w:w="39" w:type="dxa"/>
              <w:left w:w="39" w:type="dxa"/>
              <w:bottom w:w="39" w:type="dxa"/>
              <w:right w:w="39" w:type="dxa"/>
            </w:tcMar>
            <w:vAlign w:val="center"/>
          </w:tcPr>
          <w:p w14:paraId="7AA94518" w14:textId="5B659309" w:rsidR="00607C22" w:rsidRDefault="00607C22" w:rsidP="00607C22">
            <w:pPr>
              <w:spacing w:after="0"/>
              <w:jc w:val="center"/>
            </w:pPr>
            <w:r>
              <w:rPr>
                <w:rFonts w:ascii="Times New Roman" w:eastAsia="Times New Roman" w:hAnsi="Times New Roman"/>
                <w:b/>
                <w:color w:val="000000"/>
                <w:sz w:val="20"/>
              </w:rPr>
              <w:t xml:space="preserve">Assessment Area: </w:t>
            </w:r>
            <w:r w:rsidR="00A31502">
              <w:rPr>
                <w:rFonts w:ascii="Times New Roman" w:eastAsia="Times New Roman" w:hAnsi="Times New Roman"/>
                <w:b/>
                <w:color w:val="000000"/>
                <w:sz w:val="20"/>
              </w:rPr>
              <w:t>RI-MA Multistate MSA</w:t>
            </w:r>
          </w:p>
        </w:tc>
      </w:tr>
      <w:tr w:rsidR="00607C22" w14:paraId="2A7A013B" w14:textId="77777777" w:rsidTr="00530B36">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71ED92" w14:textId="77777777" w:rsidR="00607C22" w:rsidRDefault="00607C22" w:rsidP="00607C22">
            <w:pPr>
              <w:spacing w:after="0"/>
            </w:pPr>
            <w:r>
              <w:rPr>
                <w:rFonts w:ascii="Times New Roman" w:eastAsia="Times New Roman" w:hAnsi="Times New Roman"/>
                <w:b/>
                <w:color w:val="000000"/>
                <w:sz w:val="20"/>
              </w:rPr>
              <w:t>Gross Revenue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B3D440" w14:textId="77777777" w:rsidR="00607C22" w:rsidRDefault="00607C22" w:rsidP="00607C22">
            <w:pPr>
              <w:spacing w:after="0"/>
              <w:jc w:val="center"/>
            </w:pPr>
            <w:r>
              <w:rPr>
                <w:rFonts w:ascii="Times New Roman" w:eastAsia="Times New Roman" w:hAnsi="Times New Roman"/>
                <w:b/>
                <w:color w:val="000000"/>
                <w:sz w:val="20"/>
              </w:rPr>
              <w:t>% of  Businesses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E28FC4" w14:textId="77777777" w:rsidR="00607C22" w:rsidRDefault="00607C22" w:rsidP="00607C22">
            <w:pPr>
              <w:spacing w:after="0"/>
              <w:jc w:val="center"/>
            </w:pPr>
            <w:r>
              <w:rPr>
                <w:rFonts w:ascii="Times New Roman" w:eastAsia="Times New Roman" w:hAnsi="Times New Roman"/>
                <w:b/>
                <w:color w:val="000000"/>
                <w:sz w:val="20"/>
              </w:rPr>
              <w:t>Aggregate Performance</w:t>
            </w:r>
            <w:r>
              <w:rPr>
                <w:rFonts w:ascii="Times New Roman" w:eastAsia="Times New Roman" w:hAnsi="Times New Roman"/>
                <w:b/>
                <w:color w:val="000000"/>
                <w:sz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B21710" w14:textId="77777777" w:rsidR="00607C22" w:rsidRDefault="00607C22" w:rsidP="00607C22">
            <w:pPr>
              <w:spacing w:after="0"/>
              <w:jc w:val="center"/>
            </w:pPr>
            <w:r>
              <w:rPr>
                <w:rFonts w:ascii="Times New Roman" w:eastAsia="Times New Roman" w:hAnsi="Times New Roman"/>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2B97E0" w14:textId="77777777" w:rsidR="00607C22" w:rsidRDefault="00607C22" w:rsidP="00607C22">
            <w:pPr>
              <w:spacing w:after="0"/>
              <w:jc w:val="center"/>
            </w:pPr>
            <w:r>
              <w:rPr>
                <w:rFonts w:ascii="Times New Roman" w:eastAsia="Times New Roman" w:hAnsi="Times New Roman"/>
                <w:b/>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6E6F21" w14:textId="77777777" w:rsidR="00607C22" w:rsidRDefault="00607C22" w:rsidP="00607C22">
            <w:pPr>
              <w:spacing w:after="0"/>
              <w:jc w:val="center"/>
            </w:pPr>
            <w:r>
              <w:rPr>
                <w:rFonts w:ascii="Times New Roman" w:eastAsia="Times New Roman" w:hAnsi="Times New Roman"/>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A9F71F" w14:textId="77777777" w:rsidR="00607C22" w:rsidRDefault="00607C22" w:rsidP="00607C22">
            <w:pPr>
              <w:spacing w:after="0"/>
              <w:jc w:val="center"/>
            </w:pPr>
            <w:r>
              <w:rPr>
                <w:rFonts w:ascii="Times New Roman" w:eastAsia="Times New Roman" w:hAnsi="Times New Roman"/>
                <w:b/>
                <w:color w:val="000000"/>
                <w:sz w:val="20"/>
              </w:rPr>
              <w:t>%</w:t>
            </w:r>
          </w:p>
        </w:tc>
      </w:tr>
      <w:tr w:rsidR="00607C22" w14:paraId="7C20E434" w14:textId="77777777" w:rsidTr="00530B36">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8E0B47" w14:textId="77777777" w:rsidR="00607C22" w:rsidRDefault="00607C22" w:rsidP="00607C22">
            <w:pPr>
              <w:spacing w:after="0"/>
            </w:pPr>
            <w:r>
              <w:rPr>
                <w:rFonts w:ascii="Times New Roman" w:eastAsia="Times New Roman" w:hAnsi="Times New Roman"/>
                <w:color w:val="000000"/>
                <w:sz w:val="20"/>
              </w:rPr>
              <w:t>&lt;=$1,000,000</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36A46" w14:textId="77777777" w:rsidR="00607C22" w:rsidRDefault="00607C22" w:rsidP="00607C22">
            <w:pPr>
              <w:spacing w:after="0"/>
            </w:pPr>
          </w:p>
        </w:tc>
      </w:tr>
      <w:tr w:rsidR="00607C22" w14:paraId="7EFDAF4C" w14:textId="77777777" w:rsidTr="00530B36">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4DFAADC"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AA7916" w14:textId="77777777" w:rsidR="00607C22" w:rsidRDefault="00607C22" w:rsidP="00607C22">
            <w:pPr>
              <w:spacing w:after="0"/>
              <w:jc w:val="center"/>
            </w:pPr>
            <w:r>
              <w:rPr>
                <w:rFonts w:ascii="Times New Roman" w:eastAsia="Times New Roman" w:hAnsi="Times New Roman"/>
                <w:color w:val="000000"/>
                <w:sz w:val="20"/>
              </w:rPr>
              <w:t>85.3</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41F8E" w14:textId="77777777" w:rsidR="00607C22" w:rsidRDefault="00607C22" w:rsidP="00607C22">
            <w:pPr>
              <w:spacing w:after="0"/>
              <w:jc w:val="center"/>
            </w:pPr>
            <w:r>
              <w:rPr>
                <w:rFonts w:ascii="Times New Roman" w:eastAsia="Times New Roman" w:hAnsi="Times New Roman"/>
                <w:color w:val="000000"/>
                <w:sz w:val="20"/>
              </w:rPr>
              <w:t>39.4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46E7" w14:textId="77777777" w:rsidR="00607C22" w:rsidRDefault="00607C22" w:rsidP="00607C22">
            <w:pPr>
              <w:spacing w:after="0"/>
              <w:jc w:val="center"/>
            </w:pPr>
            <w:r>
              <w:rPr>
                <w:rFonts w:ascii="Times New Roman" w:eastAsia="Times New Roman" w:hAnsi="Times New Roman"/>
                <w:color w:val="000000"/>
                <w:sz w:val="20"/>
              </w:rPr>
              <w:t>80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BEE39" w14:textId="77777777" w:rsidR="00607C22" w:rsidRDefault="00607C22" w:rsidP="00607C22">
            <w:pPr>
              <w:spacing w:after="0"/>
              <w:jc w:val="center"/>
            </w:pPr>
            <w:r>
              <w:rPr>
                <w:rFonts w:ascii="Times New Roman" w:eastAsia="Times New Roman" w:hAnsi="Times New Roman"/>
                <w:color w:val="000000"/>
                <w:sz w:val="20"/>
              </w:rPr>
              <w:t>64.0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EE68A" w14:textId="77777777" w:rsidR="00607C22" w:rsidRDefault="00607C22" w:rsidP="00607C22">
            <w:pPr>
              <w:spacing w:after="0"/>
              <w:jc w:val="center"/>
            </w:pPr>
            <w:r>
              <w:rPr>
                <w:rFonts w:ascii="Times New Roman" w:eastAsia="Times New Roman" w:hAnsi="Times New Roman"/>
                <w:color w:val="000000"/>
                <w:sz w:val="20"/>
              </w:rPr>
              <w:t>8,368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EE9D7" w14:textId="77777777" w:rsidR="00607C22" w:rsidRDefault="00607C22" w:rsidP="00607C22">
            <w:pPr>
              <w:spacing w:after="0"/>
              <w:jc w:val="center"/>
            </w:pPr>
            <w:r>
              <w:rPr>
                <w:rFonts w:ascii="Times New Roman" w:eastAsia="Times New Roman" w:hAnsi="Times New Roman"/>
                <w:color w:val="000000"/>
                <w:sz w:val="20"/>
              </w:rPr>
              <w:t>42.0</w:t>
            </w:r>
          </w:p>
        </w:tc>
      </w:tr>
      <w:tr w:rsidR="00607C22" w14:paraId="591CE9A5" w14:textId="77777777" w:rsidTr="00530B36">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3B00C6" w14:textId="77777777" w:rsidR="00607C22" w:rsidRDefault="00607C22" w:rsidP="00607C22">
            <w:pPr>
              <w:spacing w:after="0"/>
            </w:pPr>
            <w:r>
              <w:rPr>
                <w:rFonts w:ascii="Times New Roman" w:eastAsia="Times New Roman" w:hAnsi="Times New Roman"/>
                <w:color w:val="000000"/>
                <w:sz w:val="20"/>
              </w:rPr>
              <w:t>&gt;1,000,000</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9AA09" w14:textId="77777777" w:rsidR="00607C22" w:rsidRDefault="00607C22" w:rsidP="00607C22">
            <w:pPr>
              <w:spacing w:after="0"/>
            </w:pPr>
          </w:p>
        </w:tc>
      </w:tr>
      <w:tr w:rsidR="00607C22" w14:paraId="7347340A" w14:textId="77777777" w:rsidTr="00530B36">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3C38A1"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56297" w14:textId="77777777" w:rsidR="00607C22" w:rsidRDefault="00607C22" w:rsidP="00607C22">
            <w:pPr>
              <w:spacing w:after="0"/>
              <w:jc w:val="center"/>
            </w:pPr>
            <w:r>
              <w:rPr>
                <w:rFonts w:ascii="Times New Roman" w:eastAsia="Times New Roman" w:hAnsi="Times New Roman"/>
                <w:color w:val="000000"/>
                <w:sz w:val="20"/>
              </w:rPr>
              <w:t>5.6</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3F621" w14:textId="77777777" w:rsidR="00607C22" w:rsidRDefault="00607C22" w:rsidP="00607C22">
            <w:pPr>
              <w:spacing w:after="0"/>
              <w:jc w:val="center"/>
            </w:pPr>
            <w:r>
              <w:rPr>
                <w:rFonts w:ascii="Times New Roman" w:eastAsia="Times New Roman" w:hAnsi="Times New Roman"/>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5F719" w14:textId="77777777" w:rsidR="00607C22" w:rsidRDefault="00607C22" w:rsidP="00607C22">
            <w:pPr>
              <w:spacing w:after="0"/>
              <w:jc w:val="center"/>
            </w:pPr>
            <w:r>
              <w:rPr>
                <w:rFonts w:ascii="Times New Roman" w:eastAsia="Times New Roman" w:hAnsi="Times New Roman"/>
                <w:color w:val="000000"/>
                <w:sz w:val="20"/>
              </w:rPr>
              <w:t>44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5733F" w14:textId="77777777" w:rsidR="00607C22" w:rsidRDefault="00607C22" w:rsidP="00607C22">
            <w:pPr>
              <w:spacing w:after="0"/>
              <w:jc w:val="center"/>
            </w:pPr>
            <w:r>
              <w:rPr>
                <w:rFonts w:ascii="Times New Roman" w:eastAsia="Times New Roman" w:hAnsi="Times New Roman"/>
                <w:color w:val="000000"/>
                <w:sz w:val="20"/>
              </w:rPr>
              <w:t>35.2</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F2E058" w14:textId="77777777" w:rsidR="00607C22" w:rsidRDefault="00607C22" w:rsidP="00607C22">
            <w:pPr>
              <w:spacing w:after="0"/>
              <w:jc w:val="center"/>
            </w:pPr>
            <w:r>
              <w:rPr>
                <w:rFonts w:ascii="Times New Roman" w:eastAsia="Times New Roman" w:hAnsi="Times New Roman"/>
                <w:color w:val="000000"/>
                <w:sz w:val="20"/>
              </w:rPr>
              <w:t>11,501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959378" w14:textId="77777777" w:rsidR="00607C22" w:rsidRDefault="00607C22" w:rsidP="00607C22">
            <w:pPr>
              <w:spacing w:after="0"/>
              <w:jc w:val="center"/>
            </w:pPr>
            <w:r>
              <w:rPr>
                <w:rFonts w:ascii="Times New Roman" w:eastAsia="Times New Roman" w:hAnsi="Times New Roman"/>
                <w:color w:val="000000"/>
                <w:sz w:val="20"/>
              </w:rPr>
              <w:t>57.7</w:t>
            </w:r>
          </w:p>
        </w:tc>
      </w:tr>
      <w:tr w:rsidR="00607C22" w14:paraId="4FE7CACD" w14:textId="77777777" w:rsidTr="00530B36">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A44E7C" w14:textId="77777777" w:rsidR="00607C22" w:rsidRDefault="00607C22" w:rsidP="00607C22">
            <w:pPr>
              <w:spacing w:after="0"/>
            </w:pPr>
            <w:r>
              <w:rPr>
                <w:rFonts w:ascii="Times New Roman" w:eastAsia="Times New Roman" w:hAnsi="Times New Roman"/>
                <w:color w:val="000000"/>
                <w:sz w:val="20"/>
              </w:rPr>
              <w:t>Revenue 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39F6B" w14:textId="77777777" w:rsidR="00607C22" w:rsidRDefault="00607C22" w:rsidP="00607C22">
            <w:pPr>
              <w:spacing w:after="0"/>
            </w:pPr>
          </w:p>
        </w:tc>
      </w:tr>
      <w:tr w:rsidR="00607C22" w14:paraId="6F1569E7" w14:textId="77777777" w:rsidTr="00530B36">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5BE8ED" w14:textId="77777777" w:rsidR="00607C22" w:rsidRDefault="00607C22" w:rsidP="00607C22">
            <w:pPr>
              <w:spacing w:after="0"/>
              <w:jc w:val="right"/>
            </w:pPr>
            <w:r>
              <w:rPr>
                <w:rFonts w:ascii="Times New Roman" w:eastAsia="Times New Roman" w:hAnsi="Times New Roman"/>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38665" w14:textId="77777777" w:rsidR="00607C22" w:rsidRDefault="00607C22" w:rsidP="00607C22">
            <w:pPr>
              <w:spacing w:after="0"/>
              <w:jc w:val="center"/>
            </w:pPr>
            <w:r>
              <w:rPr>
                <w:rFonts w:ascii="Times New Roman" w:eastAsia="Times New Roman" w:hAnsi="Times New Roman"/>
                <w:color w:val="000000"/>
                <w:sz w:val="20"/>
              </w:rPr>
              <w:t>9.1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7904E" w14:textId="77777777" w:rsidR="00607C22" w:rsidRDefault="00607C22" w:rsidP="00607C22">
            <w:pPr>
              <w:spacing w:after="0"/>
              <w:jc w:val="center"/>
            </w:pPr>
            <w:r>
              <w:rPr>
                <w:rFonts w:ascii="Times New Roman" w:eastAsia="Times New Roman" w:hAnsi="Times New Roman"/>
                <w:color w:val="000000"/>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77E259" w14:textId="77777777" w:rsidR="00607C22" w:rsidRDefault="00607C22" w:rsidP="00607C22">
            <w:pPr>
              <w:spacing w:after="0"/>
              <w:jc w:val="center"/>
            </w:pPr>
            <w:r>
              <w:rPr>
                <w:rFonts w:ascii="Times New Roman" w:eastAsia="Times New Roman" w:hAnsi="Times New Roman"/>
                <w:color w:val="000000"/>
                <w:sz w:val="20"/>
              </w:rPr>
              <w:t>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32AED" w14:textId="77777777" w:rsidR="00607C22" w:rsidRDefault="00607C22" w:rsidP="00607C22">
            <w:pPr>
              <w:spacing w:after="0"/>
              <w:jc w:val="center"/>
            </w:pPr>
            <w:r>
              <w:rPr>
                <w:rFonts w:ascii="Times New Roman" w:eastAsia="Times New Roman" w:hAnsi="Times New Roman"/>
                <w:color w:val="000000"/>
                <w:sz w:val="20"/>
              </w:rPr>
              <w:t>0.8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2A195" w14:textId="77777777" w:rsidR="00607C22" w:rsidRDefault="00607C22" w:rsidP="00607C22">
            <w:pPr>
              <w:spacing w:after="0"/>
              <w:jc w:val="center"/>
            </w:pPr>
            <w:r>
              <w:rPr>
                <w:rFonts w:ascii="Times New Roman" w:eastAsia="Times New Roman" w:hAnsi="Times New Roman"/>
                <w:color w:val="000000"/>
                <w:sz w:val="20"/>
              </w:rPr>
              <w:t>50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FDC904" w14:textId="77777777" w:rsidR="00607C22" w:rsidRDefault="00607C22" w:rsidP="00607C22">
            <w:pPr>
              <w:spacing w:after="0"/>
              <w:jc w:val="center"/>
            </w:pPr>
            <w:r>
              <w:rPr>
                <w:rFonts w:ascii="Times New Roman" w:eastAsia="Times New Roman" w:hAnsi="Times New Roman"/>
                <w:color w:val="000000"/>
                <w:sz w:val="20"/>
              </w:rPr>
              <w:t>0.3</w:t>
            </w:r>
          </w:p>
        </w:tc>
      </w:tr>
      <w:tr w:rsidR="00607C22" w14:paraId="782DC5DF" w14:textId="77777777" w:rsidTr="00530B36">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8CBFC0" w14:textId="77777777" w:rsidR="00607C22" w:rsidRDefault="00607C22" w:rsidP="00607C22">
            <w:pPr>
              <w:spacing w:after="0"/>
            </w:pPr>
            <w:r>
              <w:rPr>
                <w:rFonts w:ascii="Times New Roman" w:eastAsia="Times New Roman" w:hAnsi="Times New Roman"/>
                <w:b/>
                <w:color w:val="000000"/>
                <w:sz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4F3E7" w14:textId="77777777" w:rsidR="00607C22" w:rsidRDefault="00607C22" w:rsidP="00607C22">
            <w:pPr>
              <w:spacing w:after="0"/>
            </w:pPr>
          </w:p>
        </w:tc>
      </w:tr>
      <w:tr w:rsidR="00607C22" w14:paraId="5E3E83C7" w14:textId="77777777" w:rsidTr="00530B36">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F0CFDDE" w14:textId="77777777" w:rsidR="00607C22" w:rsidRDefault="00607C22" w:rsidP="00607C22">
            <w:pPr>
              <w:spacing w:after="0"/>
              <w:jc w:val="right"/>
            </w:pPr>
            <w:r>
              <w:rPr>
                <w:rFonts w:ascii="Times New Roman" w:eastAsia="Times New Roman" w:hAnsi="Times New Roman"/>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3D8E3" w14:textId="77777777" w:rsidR="00607C22" w:rsidRDefault="00607C22" w:rsidP="00607C22">
            <w:pPr>
              <w:spacing w:after="0"/>
              <w:jc w:val="center"/>
            </w:pPr>
            <w:r>
              <w:rPr>
                <w:rFonts w:ascii="Times New Roman" w:eastAsia="Times New Roman" w:hAnsi="Times New Roman"/>
                <w:b/>
                <w:color w:val="000000"/>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42885" w14:textId="77777777" w:rsidR="00607C22" w:rsidRDefault="00607C22" w:rsidP="00607C22">
            <w:pPr>
              <w:spacing w:after="0"/>
              <w:jc w:val="center"/>
            </w:pPr>
            <w:r>
              <w:rPr>
                <w:rFonts w:ascii="Times New Roman" w:eastAsia="Times New Roman" w:hAnsi="Times New Roman"/>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36F06" w14:textId="77777777" w:rsidR="00607C22" w:rsidRDefault="00607C22" w:rsidP="00607C22">
            <w:pPr>
              <w:spacing w:after="0"/>
              <w:jc w:val="center"/>
            </w:pPr>
            <w:r>
              <w:rPr>
                <w:rFonts w:ascii="Times New Roman" w:eastAsia="Times New Roman" w:hAnsi="Times New Roman"/>
                <w:b/>
                <w:color w:val="000000"/>
                <w:sz w:val="20"/>
              </w:rPr>
              <w:t>125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7368A" w14:textId="77777777" w:rsidR="00607C22" w:rsidRDefault="00607C22" w:rsidP="00607C22">
            <w:pPr>
              <w:spacing w:after="0"/>
              <w:jc w:val="center"/>
            </w:pPr>
            <w:r>
              <w:rPr>
                <w:rFonts w:ascii="Times New Roman" w:eastAsia="Times New Roman" w:hAnsi="Times New Roman"/>
                <w:b/>
                <w:color w:val="000000"/>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3FB42" w14:textId="77777777" w:rsidR="00607C22" w:rsidRDefault="00607C22" w:rsidP="00607C22">
            <w:pPr>
              <w:spacing w:after="0"/>
              <w:jc w:val="center"/>
            </w:pPr>
            <w:r>
              <w:rPr>
                <w:rFonts w:ascii="Times New Roman" w:eastAsia="Times New Roman" w:hAnsi="Times New Roman"/>
                <w:b/>
                <w:color w:val="000000"/>
                <w:sz w:val="20"/>
              </w:rPr>
              <w:t>19,919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B1CD9" w14:textId="77777777" w:rsidR="00607C22" w:rsidRDefault="00607C22" w:rsidP="00607C22">
            <w:pPr>
              <w:spacing w:after="0"/>
              <w:jc w:val="center"/>
            </w:pPr>
            <w:r>
              <w:rPr>
                <w:rFonts w:ascii="Times New Roman" w:eastAsia="Times New Roman" w:hAnsi="Times New Roman"/>
                <w:b/>
                <w:color w:val="000000"/>
                <w:sz w:val="20"/>
              </w:rPr>
              <w:t>100.0</w:t>
            </w:r>
          </w:p>
        </w:tc>
      </w:tr>
      <w:tr w:rsidR="00607C22" w14:paraId="36137E4E" w14:textId="77777777" w:rsidTr="00607C22">
        <w:trPr>
          <w:trHeight w:val="239"/>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F52460E" w14:textId="069ECE56" w:rsidR="00607C22" w:rsidRDefault="00607C22" w:rsidP="00607C22">
            <w:pPr>
              <w:spacing w:after="0"/>
            </w:pPr>
            <w:r>
              <w:rPr>
                <w:rFonts w:ascii="Times New Roman" w:eastAsia="Times New Roman" w:hAnsi="Times New Roman"/>
                <w:i/>
                <w:color w:val="000000"/>
                <w:sz w:val="16"/>
              </w:rPr>
              <w:t>Source: 2017, 2018 &amp; 2019 D&amp;B Data; Bank Data; 2017, 2018 &amp; 2019 CRA Aggregate Data; "--" data not available.</w:t>
            </w:r>
          </w:p>
          <w:p w14:paraId="32565BFB" w14:textId="77777777" w:rsidR="00607C22" w:rsidRDefault="00607C22" w:rsidP="00607C22">
            <w:pPr>
              <w:spacing w:after="0"/>
            </w:pPr>
            <w:r>
              <w:rPr>
                <w:rFonts w:ascii="Times New Roman" w:eastAsia="Times New Roman" w:hAnsi="Times New Roman"/>
                <w:i/>
                <w:color w:val="000000"/>
                <w:sz w:val="16"/>
              </w:rPr>
              <w:t>Due to rounding, totals may not equal 100.0%</w:t>
            </w:r>
          </w:p>
        </w:tc>
      </w:tr>
    </w:tbl>
    <w:p w14:paraId="24E1532D" w14:textId="77777777" w:rsidR="00DB75C4" w:rsidRPr="00E50970" w:rsidRDefault="00DB75C4" w:rsidP="00E50970">
      <w:pPr>
        <w:spacing w:after="0" w:line="240" w:lineRule="auto"/>
        <w:rPr>
          <w:rFonts w:ascii="Times New Roman" w:eastAsia="Times New Roman" w:hAnsi="Times New Roman" w:cs="Times New Roman"/>
          <w:bCs/>
          <w:sz w:val="24"/>
          <w:szCs w:val="24"/>
        </w:rPr>
      </w:pPr>
    </w:p>
    <w:p w14:paraId="73409AD8" w14:textId="77777777" w:rsidR="00E50970" w:rsidRPr="00E50970" w:rsidRDefault="00E50970" w:rsidP="00E50970">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u w:val="single"/>
        </w:rPr>
        <w:t>Community Development Loans</w:t>
      </w:r>
    </w:p>
    <w:p w14:paraId="108144D6" w14:textId="77777777" w:rsidR="00A6166D" w:rsidRDefault="00A6166D" w:rsidP="00A6166D">
      <w:pPr>
        <w:spacing w:after="0" w:line="240" w:lineRule="auto"/>
        <w:rPr>
          <w:rFonts w:ascii="Times New Roman" w:eastAsia="Times New Roman" w:hAnsi="Times New Roman" w:cs="Times New Roman"/>
          <w:color w:val="000000"/>
          <w:sz w:val="24"/>
          <w:szCs w:val="24"/>
        </w:rPr>
      </w:pPr>
    </w:p>
    <w:p w14:paraId="4A3A7CAA" w14:textId="0DB25E48" w:rsidR="00A6166D" w:rsidRDefault="00A6166D" w:rsidP="00A6166D">
      <w:pPr>
        <w:spacing w:after="0" w:line="240" w:lineRule="auto"/>
        <w:rPr>
          <w:rFonts w:ascii="Times New Roman" w:eastAsia="Times New Roman" w:hAnsi="Times New Roman" w:cs="Times New Roman"/>
          <w:color w:val="000000"/>
          <w:sz w:val="24"/>
          <w:szCs w:val="24"/>
        </w:rPr>
      </w:pPr>
      <w:r w:rsidRPr="00E22302">
        <w:rPr>
          <w:rFonts w:ascii="Times New Roman" w:eastAsia="Times New Roman" w:hAnsi="Times New Roman" w:cs="Times New Roman"/>
          <w:bCs/>
          <w:sz w:val="24"/>
          <w:szCs w:val="24"/>
        </w:rPr>
        <w:t>HOB is a leader in makin</w:t>
      </w:r>
      <w:r>
        <w:rPr>
          <w:rFonts w:ascii="Times New Roman" w:eastAsia="Times New Roman" w:hAnsi="Times New Roman" w:cs="Times New Roman"/>
          <w:bCs/>
          <w:sz w:val="24"/>
          <w:szCs w:val="24"/>
        </w:rPr>
        <w:t xml:space="preserve">g community development loans in the </w:t>
      </w:r>
      <w:r w:rsidR="00EC2080">
        <w:rPr>
          <w:rFonts w:ascii="Times New Roman" w:eastAsia="Times New Roman" w:hAnsi="Times New Roman" w:cs="Times New Roman"/>
          <w:bCs/>
          <w:sz w:val="24"/>
          <w:szCs w:val="24"/>
        </w:rPr>
        <w:t>Providence, RI-MA MSA</w:t>
      </w:r>
      <w:r>
        <w:rPr>
          <w:rFonts w:ascii="Times New Roman" w:eastAsia="Times New Roman" w:hAnsi="Times New Roman" w:cs="Times New Roman"/>
          <w:bCs/>
          <w:sz w:val="24"/>
          <w:szCs w:val="24"/>
        </w:rPr>
        <w:t xml:space="preserve">.  </w:t>
      </w:r>
      <w:r>
        <w:rPr>
          <w:rFonts w:ascii="Times New Roman" w:eastAsia="Times New Roman" w:hAnsi="Times New Roman" w:cs="Times New Roman"/>
          <w:color w:val="000000"/>
          <w:sz w:val="24"/>
          <w:szCs w:val="24"/>
        </w:rPr>
        <w:t>HOB originated 13 community development loans</w:t>
      </w:r>
      <w:r w:rsidR="004353B3">
        <w:rPr>
          <w:rFonts w:ascii="Times New Roman" w:eastAsia="Times New Roman" w:hAnsi="Times New Roman" w:cs="Times New Roman"/>
          <w:color w:val="000000"/>
          <w:sz w:val="24"/>
          <w:szCs w:val="24"/>
        </w:rPr>
        <w:t xml:space="preserve"> totaling $26.6 million</w:t>
      </w:r>
      <w:r>
        <w:rPr>
          <w:rFonts w:ascii="Times New Roman" w:eastAsia="Times New Roman" w:hAnsi="Times New Roman" w:cs="Times New Roman"/>
          <w:color w:val="000000"/>
          <w:sz w:val="24"/>
          <w:szCs w:val="24"/>
        </w:rPr>
        <w:t xml:space="preserve"> that met the needs of affordable housing, community services, and </w:t>
      </w:r>
      <w:r w:rsidR="00613B8D">
        <w:rPr>
          <w:rFonts w:ascii="Times New Roman" w:eastAsia="Times New Roman" w:hAnsi="Times New Roman" w:cs="Times New Roman"/>
          <w:color w:val="000000"/>
          <w:sz w:val="24"/>
          <w:szCs w:val="24"/>
        </w:rPr>
        <w:t>revitalization and stabilization</w:t>
      </w:r>
      <w:r>
        <w:rPr>
          <w:rFonts w:ascii="Times New Roman" w:eastAsia="Times New Roman" w:hAnsi="Times New Roman" w:cs="Times New Roman"/>
          <w:color w:val="000000"/>
          <w:sz w:val="24"/>
          <w:szCs w:val="24"/>
        </w:rPr>
        <w:t xml:space="preserve">.  </w:t>
      </w:r>
      <w:r w:rsidR="00613B8D">
        <w:rPr>
          <w:rFonts w:ascii="Times New Roman" w:eastAsia="Times New Roman" w:hAnsi="Times New Roman" w:cs="Times New Roman"/>
          <w:color w:val="000000"/>
          <w:sz w:val="24"/>
          <w:szCs w:val="24"/>
        </w:rPr>
        <w:t xml:space="preserve">The extent of community development loans is notable considering the bank’s expanded presence in the Providence, RI-MA MSA did not occur until October 2018.  </w:t>
      </w:r>
      <w:r w:rsidR="00EF5A47">
        <w:rPr>
          <w:rFonts w:ascii="Times New Roman" w:eastAsia="Times New Roman" w:hAnsi="Times New Roman" w:cs="Times New Roman"/>
          <w:color w:val="000000"/>
          <w:sz w:val="24"/>
          <w:szCs w:val="24"/>
        </w:rPr>
        <w:t>In addition, these loans supported activities</w:t>
      </w:r>
      <w:r w:rsidR="008962DE">
        <w:rPr>
          <w:rFonts w:ascii="Times New Roman" w:eastAsia="Times New Roman" w:hAnsi="Times New Roman" w:cs="Times New Roman"/>
          <w:color w:val="000000"/>
          <w:sz w:val="24"/>
          <w:szCs w:val="24"/>
        </w:rPr>
        <w:t xml:space="preserve"> that were </w:t>
      </w:r>
      <w:r w:rsidR="00EF5A47">
        <w:rPr>
          <w:rFonts w:ascii="Times New Roman" w:eastAsia="Times New Roman" w:hAnsi="Times New Roman" w:cs="Times New Roman"/>
          <w:color w:val="000000"/>
          <w:sz w:val="24"/>
          <w:szCs w:val="24"/>
        </w:rPr>
        <w:t xml:space="preserve">responsive to community development needs identified by the community contact.  </w:t>
      </w:r>
      <w:r>
        <w:rPr>
          <w:rFonts w:ascii="Times New Roman" w:eastAsia="Times New Roman" w:hAnsi="Times New Roman" w:cs="Times New Roman"/>
          <w:color w:val="000000"/>
          <w:sz w:val="24"/>
          <w:szCs w:val="24"/>
        </w:rPr>
        <w:t>The following table illustrates community development lending activity</w:t>
      </w:r>
      <w:r w:rsidR="00613B8D">
        <w:rPr>
          <w:rFonts w:ascii="Times New Roman" w:eastAsia="Times New Roman" w:hAnsi="Times New Roman" w:cs="Times New Roman"/>
          <w:color w:val="000000"/>
          <w:sz w:val="24"/>
          <w:szCs w:val="24"/>
        </w:rPr>
        <w:t xml:space="preserve"> during the evaluation period</w:t>
      </w:r>
      <w:r>
        <w:rPr>
          <w:rFonts w:ascii="Times New Roman" w:eastAsia="Times New Roman" w:hAnsi="Times New Roman" w:cs="Times New Roman"/>
          <w:color w:val="000000"/>
          <w:sz w:val="24"/>
          <w:szCs w:val="24"/>
        </w:rPr>
        <w:t>.</w:t>
      </w:r>
    </w:p>
    <w:p w14:paraId="40CD6511" w14:textId="77777777" w:rsidR="00A6166D" w:rsidRDefault="00A6166D" w:rsidP="00E50970">
      <w:pPr>
        <w:spacing w:after="0" w:line="240" w:lineRule="auto"/>
        <w:rPr>
          <w:rFonts w:ascii="Times New Roman" w:eastAsia="Times New Roman" w:hAnsi="Times New Roman" w:cs="Times New Roman"/>
          <w:iCs/>
          <w:color w:val="000000"/>
          <w:sz w:val="24"/>
          <w:szCs w:val="24"/>
        </w:rPr>
      </w:pPr>
    </w:p>
    <w:tbl>
      <w:tblPr>
        <w:tblStyle w:val="TableGrid"/>
        <w:tblW w:w="8228" w:type="dxa"/>
        <w:jc w:val="center"/>
        <w:tblLayout w:type="fixed"/>
        <w:tblLook w:val="01E0" w:firstRow="1" w:lastRow="1" w:firstColumn="1" w:lastColumn="1" w:noHBand="0" w:noVBand="0"/>
        <w:tblCaption w:val="Community Development: Lending "/>
      </w:tblPr>
      <w:tblGrid>
        <w:gridCol w:w="1987"/>
        <w:gridCol w:w="700"/>
        <w:gridCol w:w="998"/>
        <w:gridCol w:w="512"/>
        <w:gridCol w:w="914"/>
        <w:gridCol w:w="616"/>
        <w:gridCol w:w="914"/>
        <w:gridCol w:w="659"/>
        <w:gridCol w:w="928"/>
      </w:tblGrid>
      <w:tr w:rsidR="003320C2" w:rsidRPr="00142E67" w14:paraId="18E3C306" w14:textId="77777777" w:rsidTr="003320C2">
        <w:trPr>
          <w:trHeight w:val="360"/>
          <w:tblHeader/>
          <w:jc w:val="center"/>
        </w:trPr>
        <w:tc>
          <w:tcPr>
            <w:tcW w:w="8228" w:type="dxa"/>
            <w:gridSpan w:val="9"/>
          </w:tcPr>
          <w:p w14:paraId="208243DD" w14:textId="77777777" w:rsidR="003320C2" w:rsidRDefault="003320C2" w:rsidP="003320C2">
            <w:pPr>
              <w:keepNext/>
              <w:jc w:val="center"/>
              <w:rPr>
                <w:b/>
              </w:rPr>
            </w:pPr>
            <w:r w:rsidRPr="00142E67">
              <w:rPr>
                <w:b/>
              </w:rPr>
              <w:t>Community Development Lending</w:t>
            </w:r>
          </w:p>
          <w:p w14:paraId="22AB18D1" w14:textId="3E5D06D5" w:rsidR="00613B8D" w:rsidRPr="00142E67" w:rsidRDefault="00613B8D" w:rsidP="003320C2">
            <w:pPr>
              <w:keepNext/>
              <w:jc w:val="center"/>
              <w:rPr>
                <w:b/>
              </w:rPr>
            </w:pPr>
            <w:r>
              <w:rPr>
                <w:b/>
              </w:rPr>
              <w:t>Assessment Area: RI-MA Multistate MSA</w:t>
            </w:r>
          </w:p>
        </w:tc>
      </w:tr>
      <w:tr w:rsidR="003320C2" w:rsidRPr="00142E67" w14:paraId="2D8B82E4" w14:textId="77777777" w:rsidTr="003320C2">
        <w:trPr>
          <w:trHeight w:val="288"/>
          <w:jc w:val="center"/>
        </w:trPr>
        <w:tc>
          <w:tcPr>
            <w:tcW w:w="1987" w:type="dxa"/>
            <w:vMerge w:val="restart"/>
          </w:tcPr>
          <w:p w14:paraId="74BD8063" w14:textId="77777777" w:rsidR="003320C2" w:rsidRPr="00142E67" w:rsidRDefault="003320C2" w:rsidP="003320C2">
            <w:pPr>
              <w:keepNext/>
              <w:rPr>
                <w:b/>
              </w:rPr>
            </w:pPr>
            <w:r w:rsidRPr="00142E67">
              <w:rPr>
                <w:b/>
              </w:rPr>
              <w:t>Activity Year</w:t>
            </w:r>
          </w:p>
        </w:tc>
        <w:tc>
          <w:tcPr>
            <w:tcW w:w="1698" w:type="dxa"/>
            <w:gridSpan w:val="2"/>
          </w:tcPr>
          <w:p w14:paraId="24F3538C" w14:textId="77777777" w:rsidR="003320C2" w:rsidRPr="00142E67" w:rsidRDefault="003320C2" w:rsidP="003320C2">
            <w:pPr>
              <w:keepNext/>
              <w:jc w:val="center"/>
              <w:rPr>
                <w:b/>
              </w:rPr>
            </w:pPr>
            <w:r w:rsidRPr="00142E67">
              <w:rPr>
                <w:b/>
              </w:rPr>
              <w:t>Affordable Housing</w:t>
            </w:r>
          </w:p>
        </w:tc>
        <w:tc>
          <w:tcPr>
            <w:tcW w:w="1426" w:type="dxa"/>
            <w:gridSpan w:val="2"/>
          </w:tcPr>
          <w:p w14:paraId="25D8E5D2" w14:textId="77777777" w:rsidR="003320C2" w:rsidRPr="00142E67" w:rsidRDefault="003320C2" w:rsidP="003320C2">
            <w:pPr>
              <w:keepNext/>
              <w:jc w:val="center"/>
              <w:rPr>
                <w:b/>
              </w:rPr>
            </w:pPr>
            <w:r w:rsidRPr="00142E67">
              <w:rPr>
                <w:b/>
              </w:rPr>
              <w:t>Community Services</w:t>
            </w:r>
          </w:p>
        </w:tc>
        <w:tc>
          <w:tcPr>
            <w:tcW w:w="1530" w:type="dxa"/>
            <w:gridSpan w:val="2"/>
          </w:tcPr>
          <w:p w14:paraId="0CF57977" w14:textId="43B13A12" w:rsidR="003320C2" w:rsidRPr="00142E67" w:rsidRDefault="00613B8D" w:rsidP="003320C2">
            <w:pPr>
              <w:keepNext/>
              <w:jc w:val="center"/>
              <w:rPr>
                <w:b/>
              </w:rPr>
            </w:pPr>
            <w:r>
              <w:rPr>
                <w:b/>
              </w:rPr>
              <w:t>Revitalization/ Stabilization</w:t>
            </w:r>
          </w:p>
        </w:tc>
        <w:tc>
          <w:tcPr>
            <w:tcW w:w="1587" w:type="dxa"/>
            <w:gridSpan w:val="2"/>
          </w:tcPr>
          <w:p w14:paraId="40418B58" w14:textId="77777777" w:rsidR="003320C2" w:rsidRPr="00142E67" w:rsidRDefault="003320C2" w:rsidP="003320C2">
            <w:pPr>
              <w:keepNext/>
              <w:jc w:val="center"/>
              <w:rPr>
                <w:b/>
              </w:rPr>
            </w:pPr>
            <w:r w:rsidRPr="00142E67">
              <w:rPr>
                <w:b/>
              </w:rPr>
              <w:t>Totals</w:t>
            </w:r>
          </w:p>
        </w:tc>
      </w:tr>
      <w:tr w:rsidR="003320C2" w:rsidRPr="00142E67" w14:paraId="18CA6D42" w14:textId="77777777" w:rsidTr="003320C2">
        <w:trPr>
          <w:trHeight w:val="288"/>
          <w:jc w:val="center"/>
        </w:trPr>
        <w:tc>
          <w:tcPr>
            <w:tcW w:w="1987" w:type="dxa"/>
            <w:vMerge/>
          </w:tcPr>
          <w:p w14:paraId="5C292916" w14:textId="77777777" w:rsidR="003320C2" w:rsidRPr="00142E67" w:rsidRDefault="003320C2" w:rsidP="003320C2">
            <w:pPr>
              <w:keepNext/>
              <w:rPr>
                <w:highlight w:val="green"/>
              </w:rPr>
            </w:pPr>
          </w:p>
        </w:tc>
        <w:tc>
          <w:tcPr>
            <w:tcW w:w="700" w:type="dxa"/>
          </w:tcPr>
          <w:p w14:paraId="321A1D0A" w14:textId="77777777" w:rsidR="003320C2" w:rsidRPr="00142E67" w:rsidRDefault="003320C2" w:rsidP="003320C2">
            <w:pPr>
              <w:keepNext/>
              <w:jc w:val="center"/>
              <w:rPr>
                <w:b/>
              </w:rPr>
            </w:pPr>
            <w:r w:rsidRPr="00142E67">
              <w:rPr>
                <w:b/>
              </w:rPr>
              <w:t>#</w:t>
            </w:r>
          </w:p>
        </w:tc>
        <w:tc>
          <w:tcPr>
            <w:tcW w:w="998" w:type="dxa"/>
          </w:tcPr>
          <w:p w14:paraId="2ED8DFA0" w14:textId="77777777" w:rsidR="003320C2" w:rsidRPr="00142E67" w:rsidRDefault="003320C2" w:rsidP="003320C2">
            <w:pPr>
              <w:keepNext/>
              <w:jc w:val="center"/>
              <w:rPr>
                <w:b/>
              </w:rPr>
            </w:pPr>
            <w:r w:rsidRPr="00142E67">
              <w:rPr>
                <w:b/>
              </w:rPr>
              <w:t>$(000s)</w:t>
            </w:r>
          </w:p>
        </w:tc>
        <w:tc>
          <w:tcPr>
            <w:tcW w:w="512" w:type="dxa"/>
          </w:tcPr>
          <w:p w14:paraId="5107D28B" w14:textId="77777777" w:rsidR="003320C2" w:rsidRPr="00142E67" w:rsidRDefault="003320C2" w:rsidP="003320C2">
            <w:pPr>
              <w:keepNext/>
              <w:jc w:val="center"/>
              <w:rPr>
                <w:b/>
              </w:rPr>
            </w:pPr>
            <w:r w:rsidRPr="00142E67">
              <w:rPr>
                <w:b/>
              </w:rPr>
              <w:t>#</w:t>
            </w:r>
          </w:p>
        </w:tc>
        <w:tc>
          <w:tcPr>
            <w:tcW w:w="914" w:type="dxa"/>
          </w:tcPr>
          <w:p w14:paraId="3424FB09" w14:textId="77777777" w:rsidR="003320C2" w:rsidRPr="00142E67" w:rsidRDefault="003320C2" w:rsidP="003320C2">
            <w:pPr>
              <w:keepNext/>
              <w:jc w:val="center"/>
              <w:rPr>
                <w:b/>
              </w:rPr>
            </w:pPr>
            <w:r w:rsidRPr="00142E67">
              <w:rPr>
                <w:b/>
              </w:rPr>
              <w:t>$(000s)</w:t>
            </w:r>
          </w:p>
        </w:tc>
        <w:tc>
          <w:tcPr>
            <w:tcW w:w="616" w:type="dxa"/>
          </w:tcPr>
          <w:p w14:paraId="09BF4843" w14:textId="77777777" w:rsidR="003320C2" w:rsidRPr="00142E67" w:rsidRDefault="003320C2" w:rsidP="003320C2">
            <w:pPr>
              <w:keepNext/>
              <w:jc w:val="center"/>
              <w:rPr>
                <w:b/>
              </w:rPr>
            </w:pPr>
            <w:r w:rsidRPr="00142E67">
              <w:rPr>
                <w:b/>
              </w:rPr>
              <w:t>#</w:t>
            </w:r>
          </w:p>
        </w:tc>
        <w:tc>
          <w:tcPr>
            <w:tcW w:w="914" w:type="dxa"/>
          </w:tcPr>
          <w:p w14:paraId="0A43EA77" w14:textId="77777777" w:rsidR="003320C2" w:rsidRPr="00142E67" w:rsidRDefault="003320C2" w:rsidP="003320C2">
            <w:pPr>
              <w:keepNext/>
              <w:jc w:val="center"/>
              <w:rPr>
                <w:b/>
              </w:rPr>
            </w:pPr>
            <w:r w:rsidRPr="00142E67">
              <w:rPr>
                <w:b/>
              </w:rPr>
              <w:t>$(000s)</w:t>
            </w:r>
          </w:p>
        </w:tc>
        <w:tc>
          <w:tcPr>
            <w:tcW w:w="659" w:type="dxa"/>
          </w:tcPr>
          <w:p w14:paraId="6A868C94" w14:textId="77777777" w:rsidR="003320C2" w:rsidRPr="00142E67" w:rsidRDefault="003320C2" w:rsidP="003320C2">
            <w:pPr>
              <w:keepNext/>
              <w:jc w:val="center"/>
              <w:rPr>
                <w:b/>
              </w:rPr>
            </w:pPr>
            <w:r w:rsidRPr="00142E67">
              <w:rPr>
                <w:b/>
              </w:rPr>
              <w:t>#</w:t>
            </w:r>
          </w:p>
        </w:tc>
        <w:tc>
          <w:tcPr>
            <w:tcW w:w="928" w:type="dxa"/>
          </w:tcPr>
          <w:p w14:paraId="46CBF031" w14:textId="77777777" w:rsidR="003320C2" w:rsidRPr="00142E67" w:rsidRDefault="003320C2" w:rsidP="003320C2">
            <w:pPr>
              <w:keepNext/>
              <w:jc w:val="center"/>
              <w:rPr>
                <w:b/>
              </w:rPr>
            </w:pPr>
            <w:r w:rsidRPr="00142E67">
              <w:rPr>
                <w:b/>
              </w:rPr>
              <w:t>$(000s)</w:t>
            </w:r>
          </w:p>
        </w:tc>
      </w:tr>
      <w:tr w:rsidR="003320C2" w:rsidRPr="00142E67" w14:paraId="021150F3" w14:textId="77777777" w:rsidTr="003320C2">
        <w:trPr>
          <w:trHeight w:val="288"/>
          <w:jc w:val="center"/>
        </w:trPr>
        <w:tc>
          <w:tcPr>
            <w:tcW w:w="1987" w:type="dxa"/>
          </w:tcPr>
          <w:p w14:paraId="28CE2E35" w14:textId="77777777" w:rsidR="003320C2" w:rsidRPr="00142E67" w:rsidRDefault="003320C2" w:rsidP="003320C2">
            <w:pPr>
              <w:keepNext/>
            </w:pPr>
            <w:r>
              <w:t>Partial 2017</w:t>
            </w:r>
          </w:p>
        </w:tc>
        <w:tc>
          <w:tcPr>
            <w:tcW w:w="700" w:type="dxa"/>
          </w:tcPr>
          <w:p w14:paraId="08CF67B2" w14:textId="77777777" w:rsidR="003320C2" w:rsidRPr="00142E67" w:rsidRDefault="009F5380" w:rsidP="003320C2">
            <w:pPr>
              <w:keepNext/>
              <w:jc w:val="center"/>
            </w:pPr>
            <w:r>
              <w:t>0</w:t>
            </w:r>
          </w:p>
        </w:tc>
        <w:tc>
          <w:tcPr>
            <w:tcW w:w="998" w:type="dxa"/>
          </w:tcPr>
          <w:p w14:paraId="17C9D33C" w14:textId="77777777" w:rsidR="003320C2" w:rsidRPr="00142E67" w:rsidRDefault="009F5380" w:rsidP="003320C2">
            <w:pPr>
              <w:keepNext/>
              <w:jc w:val="center"/>
            </w:pPr>
            <w:r>
              <w:t>0</w:t>
            </w:r>
          </w:p>
        </w:tc>
        <w:tc>
          <w:tcPr>
            <w:tcW w:w="512" w:type="dxa"/>
          </w:tcPr>
          <w:p w14:paraId="34B967C9" w14:textId="77777777" w:rsidR="003320C2" w:rsidRPr="00142E67" w:rsidRDefault="009F5380" w:rsidP="003320C2">
            <w:pPr>
              <w:keepNext/>
              <w:jc w:val="center"/>
            </w:pPr>
            <w:r>
              <w:t>0</w:t>
            </w:r>
          </w:p>
        </w:tc>
        <w:tc>
          <w:tcPr>
            <w:tcW w:w="914" w:type="dxa"/>
          </w:tcPr>
          <w:p w14:paraId="47CF4C55" w14:textId="77777777" w:rsidR="003320C2" w:rsidRPr="00142E67" w:rsidRDefault="009F5380" w:rsidP="003320C2">
            <w:pPr>
              <w:keepNext/>
              <w:jc w:val="center"/>
            </w:pPr>
            <w:r>
              <w:t>0</w:t>
            </w:r>
          </w:p>
        </w:tc>
        <w:tc>
          <w:tcPr>
            <w:tcW w:w="616" w:type="dxa"/>
          </w:tcPr>
          <w:p w14:paraId="76B02933" w14:textId="77777777" w:rsidR="003320C2" w:rsidRPr="00142E67" w:rsidRDefault="009F5380" w:rsidP="003320C2">
            <w:pPr>
              <w:keepNext/>
              <w:jc w:val="center"/>
            </w:pPr>
            <w:r>
              <w:t>2</w:t>
            </w:r>
          </w:p>
        </w:tc>
        <w:tc>
          <w:tcPr>
            <w:tcW w:w="914" w:type="dxa"/>
          </w:tcPr>
          <w:p w14:paraId="5F297EF0" w14:textId="77777777" w:rsidR="003320C2" w:rsidRPr="00142E67" w:rsidRDefault="00324944" w:rsidP="003320C2">
            <w:pPr>
              <w:keepNext/>
              <w:jc w:val="center"/>
            </w:pPr>
            <w:r>
              <w:t>14,786</w:t>
            </w:r>
          </w:p>
        </w:tc>
        <w:tc>
          <w:tcPr>
            <w:tcW w:w="659" w:type="dxa"/>
          </w:tcPr>
          <w:p w14:paraId="55F7AF4D" w14:textId="77777777" w:rsidR="003320C2" w:rsidRPr="00142E67" w:rsidRDefault="009F5380" w:rsidP="003320C2">
            <w:pPr>
              <w:keepNext/>
              <w:jc w:val="center"/>
              <w:rPr>
                <w:b/>
              </w:rPr>
            </w:pPr>
            <w:r>
              <w:rPr>
                <w:b/>
              </w:rPr>
              <w:t>2</w:t>
            </w:r>
          </w:p>
        </w:tc>
        <w:tc>
          <w:tcPr>
            <w:tcW w:w="928" w:type="dxa"/>
          </w:tcPr>
          <w:p w14:paraId="1A0D0F51" w14:textId="77777777" w:rsidR="003320C2" w:rsidRPr="00142E67" w:rsidRDefault="009F5380" w:rsidP="003320C2">
            <w:pPr>
              <w:keepNext/>
              <w:jc w:val="center"/>
              <w:rPr>
                <w:b/>
              </w:rPr>
            </w:pPr>
            <w:r>
              <w:rPr>
                <w:b/>
              </w:rPr>
              <w:t>14,786</w:t>
            </w:r>
          </w:p>
        </w:tc>
      </w:tr>
      <w:tr w:rsidR="003320C2" w:rsidRPr="00142E67" w14:paraId="09AFED8E" w14:textId="77777777" w:rsidTr="003320C2">
        <w:trPr>
          <w:trHeight w:val="288"/>
          <w:jc w:val="center"/>
        </w:trPr>
        <w:tc>
          <w:tcPr>
            <w:tcW w:w="1987" w:type="dxa"/>
          </w:tcPr>
          <w:p w14:paraId="6D5B286E" w14:textId="77777777" w:rsidR="003320C2" w:rsidRPr="00142E67" w:rsidRDefault="003320C2" w:rsidP="003320C2">
            <w:pPr>
              <w:keepNext/>
            </w:pPr>
            <w:r>
              <w:t>2018</w:t>
            </w:r>
          </w:p>
        </w:tc>
        <w:tc>
          <w:tcPr>
            <w:tcW w:w="700" w:type="dxa"/>
          </w:tcPr>
          <w:p w14:paraId="5D2AFFF8" w14:textId="77777777" w:rsidR="003320C2" w:rsidRPr="00142E67" w:rsidRDefault="00A56B7C" w:rsidP="003320C2">
            <w:pPr>
              <w:keepNext/>
              <w:jc w:val="center"/>
            </w:pPr>
            <w:r>
              <w:t>2</w:t>
            </w:r>
          </w:p>
        </w:tc>
        <w:tc>
          <w:tcPr>
            <w:tcW w:w="998" w:type="dxa"/>
          </w:tcPr>
          <w:p w14:paraId="55AAAF2D" w14:textId="77777777" w:rsidR="003320C2" w:rsidRPr="00142E67" w:rsidRDefault="00A56B7C" w:rsidP="003320C2">
            <w:pPr>
              <w:keepNext/>
              <w:jc w:val="center"/>
            </w:pPr>
            <w:r>
              <w:t>2,927</w:t>
            </w:r>
          </w:p>
        </w:tc>
        <w:tc>
          <w:tcPr>
            <w:tcW w:w="512" w:type="dxa"/>
          </w:tcPr>
          <w:p w14:paraId="100F2246" w14:textId="77777777" w:rsidR="003320C2" w:rsidRPr="00142E67" w:rsidRDefault="00A56B7C" w:rsidP="003320C2">
            <w:pPr>
              <w:keepNext/>
              <w:jc w:val="center"/>
            </w:pPr>
            <w:r>
              <w:t>0</w:t>
            </w:r>
          </w:p>
        </w:tc>
        <w:tc>
          <w:tcPr>
            <w:tcW w:w="914" w:type="dxa"/>
          </w:tcPr>
          <w:p w14:paraId="2FA29180" w14:textId="77777777" w:rsidR="003320C2" w:rsidRPr="00142E67" w:rsidRDefault="00A56B7C" w:rsidP="003320C2">
            <w:pPr>
              <w:keepNext/>
              <w:jc w:val="center"/>
            </w:pPr>
            <w:r>
              <w:t>0</w:t>
            </w:r>
          </w:p>
        </w:tc>
        <w:tc>
          <w:tcPr>
            <w:tcW w:w="616" w:type="dxa"/>
          </w:tcPr>
          <w:p w14:paraId="0AB4AC93" w14:textId="77777777" w:rsidR="003320C2" w:rsidRPr="00142E67" w:rsidRDefault="00A56B7C" w:rsidP="003320C2">
            <w:pPr>
              <w:keepNext/>
              <w:jc w:val="center"/>
            </w:pPr>
            <w:r>
              <w:t>0</w:t>
            </w:r>
          </w:p>
        </w:tc>
        <w:tc>
          <w:tcPr>
            <w:tcW w:w="914" w:type="dxa"/>
          </w:tcPr>
          <w:p w14:paraId="504D4B68" w14:textId="77777777" w:rsidR="003320C2" w:rsidRPr="00142E67" w:rsidRDefault="00A56B7C" w:rsidP="003320C2">
            <w:pPr>
              <w:keepNext/>
              <w:jc w:val="center"/>
            </w:pPr>
            <w:r>
              <w:t>0</w:t>
            </w:r>
          </w:p>
        </w:tc>
        <w:tc>
          <w:tcPr>
            <w:tcW w:w="659" w:type="dxa"/>
          </w:tcPr>
          <w:p w14:paraId="4052C3FA" w14:textId="77777777" w:rsidR="003320C2" w:rsidRPr="00142E67" w:rsidRDefault="00A56B7C" w:rsidP="003320C2">
            <w:pPr>
              <w:keepNext/>
              <w:jc w:val="center"/>
              <w:rPr>
                <w:b/>
              </w:rPr>
            </w:pPr>
            <w:r>
              <w:rPr>
                <w:b/>
              </w:rPr>
              <w:t>2</w:t>
            </w:r>
          </w:p>
        </w:tc>
        <w:tc>
          <w:tcPr>
            <w:tcW w:w="928" w:type="dxa"/>
          </w:tcPr>
          <w:p w14:paraId="42351693" w14:textId="77777777" w:rsidR="003320C2" w:rsidRPr="00142E67" w:rsidRDefault="00A56B7C" w:rsidP="003320C2">
            <w:pPr>
              <w:keepNext/>
              <w:jc w:val="center"/>
              <w:rPr>
                <w:b/>
              </w:rPr>
            </w:pPr>
            <w:r>
              <w:rPr>
                <w:b/>
              </w:rPr>
              <w:t>2,927</w:t>
            </w:r>
          </w:p>
        </w:tc>
      </w:tr>
      <w:tr w:rsidR="003320C2" w:rsidRPr="00142E67" w14:paraId="64D2DD2E" w14:textId="77777777" w:rsidTr="003320C2">
        <w:trPr>
          <w:trHeight w:val="288"/>
          <w:jc w:val="center"/>
        </w:trPr>
        <w:tc>
          <w:tcPr>
            <w:tcW w:w="1987" w:type="dxa"/>
          </w:tcPr>
          <w:p w14:paraId="3D39267F" w14:textId="77777777" w:rsidR="003320C2" w:rsidRPr="00142E67" w:rsidRDefault="003320C2" w:rsidP="003320C2">
            <w:pPr>
              <w:keepNext/>
            </w:pPr>
            <w:r>
              <w:t>2019</w:t>
            </w:r>
          </w:p>
        </w:tc>
        <w:tc>
          <w:tcPr>
            <w:tcW w:w="700" w:type="dxa"/>
          </w:tcPr>
          <w:p w14:paraId="54869BAB" w14:textId="77777777" w:rsidR="003320C2" w:rsidRPr="00142E67" w:rsidRDefault="00EF0F8C" w:rsidP="003320C2">
            <w:pPr>
              <w:keepNext/>
              <w:jc w:val="center"/>
            </w:pPr>
            <w:r>
              <w:t>1</w:t>
            </w:r>
          </w:p>
        </w:tc>
        <w:tc>
          <w:tcPr>
            <w:tcW w:w="998" w:type="dxa"/>
          </w:tcPr>
          <w:p w14:paraId="4B0EDE8A" w14:textId="77777777" w:rsidR="003320C2" w:rsidRPr="00142E67" w:rsidRDefault="00EF0F8C" w:rsidP="003320C2">
            <w:pPr>
              <w:keepNext/>
              <w:jc w:val="center"/>
            </w:pPr>
            <w:r>
              <w:t>375</w:t>
            </w:r>
          </w:p>
        </w:tc>
        <w:tc>
          <w:tcPr>
            <w:tcW w:w="512" w:type="dxa"/>
          </w:tcPr>
          <w:p w14:paraId="147C31CC" w14:textId="77777777" w:rsidR="003320C2" w:rsidRPr="00142E67" w:rsidRDefault="00EF0F8C" w:rsidP="003320C2">
            <w:pPr>
              <w:keepNext/>
              <w:jc w:val="center"/>
            </w:pPr>
            <w:r>
              <w:t>1</w:t>
            </w:r>
          </w:p>
        </w:tc>
        <w:tc>
          <w:tcPr>
            <w:tcW w:w="914" w:type="dxa"/>
          </w:tcPr>
          <w:p w14:paraId="7B8F1488" w14:textId="77777777" w:rsidR="003320C2" w:rsidRPr="00142E67" w:rsidRDefault="00EF0F8C" w:rsidP="003320C2">
            <w:pPr>
              <w:keepNext/>
              <w:jc w:val="center"/>
            </w:pPr>
            <w:r>
              <w:t>500</w:t>
            </w:r>
          </w:p>
        </w:tc>
        <w:tc>
          <w:tcPr>
            <w:tcW w:w="616" w:type="dxa"/>
          </w:tcPr>
          <w:p w14:paraId="3B1392CD" w14:textId="77777777" w:rsidR="003320C2" w:rsidRPr="00142E67" w:rsidRDefault="00EF0F8C" w:rsidP="003320C2">
            <w:pPr>
              <w:keepNext/>
              <w:jc w:val="center"/>
            </w:pPr>
            <w:r>
              <w:t>0</w:t>
            </w:r>
          </w:p>
        </w:tc>
        <w:tc>
          <w:tcPr>
            <w:tcW w:w="914" w:type="dxa"/>
          </w:tcPr>
          <w:p w14:paraId="78F3A3CD" w14:textId="77777777" w:rsidR="003320C2" w:rsidRPr="00142E67" w:rsidRDefault="00EF0F8C" w:rsidP="003320C2">
            <w:pPr>
              <w:keepNext/>
              <w:jc w:val="center"/>
            </w:pPr>
            <w:r>
              <w:t>0</w:t>
            </w:r>
          </w:p>
        </w:tc>
        <w:tc>
          <w:tcPr>
            <w:tcW w:w="659" w:type="dxa"/>
          </w:tcPr>
          <w:p w14:paraId="35DFEDCD" w14:textId="77777777" w:rsidR="003320C2" w:rsidRPr="00142E67" w:rsidRDefault="00EF0F8C" w:rsidP="003320C2">
            <w:pPr>
              <w:keepNext/>
              <w:jc w:val="center"/>
              <w:rPr>
                <w:b/>
              </w:rPr>
            </w:pPr>
            <w:r>
              <w:rPr>
                <w:b/>
              </w:rPr>
              <w:t>2</w:t>
            </w:r>
          </w:p>
        </w:tc>
        <w:tc>
          <w:tcPr>
            <w:tcW w:w="928" w:type="dxa"/>
          </w:tcPr>
          <w:p w14:paraId="6AB2B4E6" w14:textId="77777777" w:rsidR="003320C2" w:rsidRPr="00142E67" w:rsidRDefault="00EF0F8C" w:rsidP="003320C2">
            <w:pPr>
              <w:keepNext/>
              <w:jc w:val="center"/>
              <w:rPr>
                <w:b/>
              </w:rPr>
            </w:pPr>
            <w:r>
              <w:rPr>
                <w:b/>
              </w:rPr>
              <w:t>875</w:t>
            </w:r>
          </w:p>
        </w:tc>
      </w:tr>
      <w:tr w:rsidR="003320C2" w:rsidRPr="00142E67" w14:paraId="65D8E5FA" w14:textId="77777777" w:rsidTr="003320C2">
        <w:trPr>
          <w:trHeight w:val="288"/>
          <w:jc w:val="center"/>
        </w:trPr>
        <w:tc>
          <w:tcPr>
            <w:tcW w:w="1987" w:type="dxa"/>
          </w:tcPr>
          <w:p w14:paraId="087C10B2" w14:textId="77777777" w:rsidR="003320C2" w:rsidRDefault="003320C2" w:rsidP="003320C2">
            <w:pPr>
              <w:keepNext/>
            </w:pPr>
            <w:r>
              <w:t>2020</w:t>
            </w:r>
          </w:p>
        </w:tc>
        <w:tc>
          <w:tcPr>
            <w:tcW w:w="700" w:type="dxa"/>
          </w:tcPr>
          <w:p w14:paraId="1A992E1F" w14:textId="77777777" w:rsidR="003320C2" w:rsidRPr="00142E67" w:rsidRDefault="00084F96" w:rsidP="003320C2">
            <w:pPr>
              <w:keepNext/>
              <w:jc w:val="center"/>
            </w:pPr>
            <w:r>
              <w:t>3</w:t>
            </w:r>
          </w:p>
        </w:tc>
        <w:tc>
          <w:tcPr>
            <w:tcW w:w="998" w:type="dxa"/>
          </w:tcPr>
          <w:p w14:paraId="018B0A3F" w14:textId="77777777" w:rsidR="003320C2" w:rsidRPr="00142E67" w:rsidRDefault="00084F96" w:rsidP="003320C2">
            <w:pPr>
              <w:keepNext/>
              <w:jc w:val="center"/>
            </w:pPr>
            <w:r>
              <w:t>825</w:t>
            </w:r>
          </w:p>
        </w:tc>
        <w:tc>
          <w:tcPr>
            <w:tcW w:w="512" w:type="dxa"/>
          </w:tcPr>
          <w:p w14:paraId="4E14C217" w14:textId="77777777" w:rsidR="003320C2" w:rsidRPr="00142E67" w:rsidRDefault="00084F96" w:rsidP="003320C2">
            <w:pPr>
              <w:keepNext/>
              <w:jc w:val="center"/>
            </w:pPr>
            <w:r>
              <w:t>4</w:t>
            </w:r>
          </w:p>
        </w:tc>
        <w:tc>
          <w:tcPr>
            <w:tcW w:w="914" w:type="dxa"/>
          </w:tcPr>
          <w:p w14:paraId="0D66D6D5" w14:textId="77777777" w:rsidR="003320C2" w:rsidRPr="00142E67" w:rsidRDefault="00084F96" w:rsidP="003320C2">
            <w:pPr>
              <w:keepNext/>
              <w:jc w:val="center"/>
            </w:pPr>
            <w:r>
              <w:t>7,150</w:t>
            </w:r>
          </w:p>
        </w:tc>
        <w:tc>
          <w:tcPr>
            <w:tcW w:w="616" w:type="dxa"/>
          </w:tcPr>
          <w:p w14:paraId="3D4C6C97" w14:textId="77777777" w:rsidR="003320C2" w:rsidRPr="00142E67" w:rsidRDefault="00084F96" w:rsidP="003320C2">
            <w:pPr>
              <w:keepNext/>
              <w:jc w:val="center"/>
            </w:pPr>
            <w:r>
              <w:t>0</w:t>
            </w:r>
          </w:p>
        </w:tc>
        <w:tc>
          <w:tcPr>
            <w:tcW w:w="914" w:type="dxa"/>
          </w:tcPr>
          <w:p w14:paraId="37EEB413" w14:textId="77777777" w:rsidR="003320C2" w:rsidRPr="00142E67" w:rsidRDefault="00084F96" w:rsidP="003320C2">
            <w:pPr>
              <w:keepNext/>
              <w:jc w:val="center"/>
            </w:pPr>
            <w:r>
              <w:t>0</w:t>
            </w:r>
          </w:p>
        </w:tc>
        <w:tc>
          <w:tcPr>
            <w:tcW w:w="659" w:type="dxa"/>
          </w:tcPr>
          <w:p w14:paraId="5B7F00DC" w14:textId="77777777" w:rsidR="003320C2" w:rsidRPr="00142E67" w:rsidRDefault="00084F96" w:rsidP="003320C2">
            <w:pPr>
              <w:keepNext/>
              <w:jc w:val="center"/>
              <w:rPr>
                <w:b/>
              </w:rPr>
            </w:pPr>
            <w:r>
              <w:rPr>
                <w:b/>
              </w:rPr>
              <w:t>7</w:t>
            </w:r>
          </w:p>
        </w:tc>
        <w:tc>
          <w:tcPr>
            <w:tcW w:w="928" w:type="dxa"/>
          </w:tcPr>
          <w:p w14:paraId="3250EE76" w14:textId="77777777" w:rsidR="003320C2" w:rsidRPr="00142E67" w:rsidRDefault="00084F96" w:rsidP="003320C2">
            <w:pPr>
              <w:keepNext/>
              <w:jc w:val="center"/>
              <w:rPr>
                <w:b/>
              </w:rPr>
            </w:pPr>
            <w:r>
              <w:rPr>
                <w:b/>
              </w:rPr>
              <w:t>7,975</w:t>
            </w:r>
          </w:p>
        </w:tc>
      </w:tr>
      <w:tr w:rsidR="003320C2" w:rsidRPr="00142E67" w14:paraId="28DA565C" w14:textId="77777777" w:rsidTr="003320C2">
        <w:trPr>
          <w:trHeight w:val="288"/>
          <w:jc w:val="center"/>
        </w:trPr>
        <w:tc>
          <w:tcPr>
            <w:tcW w:w="1987" w:type="dxa"/>
          </w:tcPr>
          <w:p w14:paraId="4CFBA21A" w14:textId="77777777" w:rsidR="003320C2" w:rsidRPr="00142E67" w:rsidRDefault="003320C2" w:rsidP="003320C2">
            <w:pPr>
              <w:keepNext/>
              <w:rPr>
                <w:b/>
                <w:highlight w:val="green"/>
              </w:rPr>
            </w:pPr>
            <w:r w:rsidRPr="00142E67">
              <w:rPr>
                <w:b/>
              </w:rPr>
              <w:t>Total</w:t>
            </w:r>
          </w:p>
        </w:tc>
        <w:tc>
          <w:tcPr>
            <w:tcW w:w="700" w:type="dxa"/>
          </w:tcPr>
          <w:p w14:paraId="6C86AA11" w14:textId="77777777" w:rsidR="003320C2" w:rsidRPr="00142E67" w:rsidRDefault="00324944" w:rsidP="003320C2">
            <w:pPr>
              <w:keepNext/>
              <w:jc w:val="center"/>
              <w:rPr>
                <w:b/>
              </w:rPr>
            </w:pPr>
            <w:r>
              <w:rPr>
                <w:b/>
              </w:rPr>
              <w:t>6</w:t>
            </w:r>
          </w:p>
        </w:tc>
        <w:tc>
          <w:tcPr>
            <w:tcW w:w="998" w:type="dxa"/>
          </w:tcPr>
          <w:p w14:paraId="05373A3A" w14:textId="77777777" w:rsidR="003320C2" w:rsidRPr="00142E67" w:rsidRDefault="00324944" w:rsidP="003320C2">
            <w:pPr>
              <w:keepNext/>
              <w:jc w:val="center"/>
              <w:rPr>
                <w:b/>
              </w:rPr>
            </w:pPr>
            <w:r>
              <w:rPr>
                <w:b/>
              </w:rPr>
              <w:t>4,127</w:t>
            </w:r>
          </w:p>
        </w:tc>
        <w:tc>
          <w:tcPr>
            <w:tcW w:w="512" w:type="dxa"/>
          </w:tcPr>
          <w:p w14:paraId="32C173DA" w14:textId="77777777" w:rsidR="003320C2" w:rsidRPr="00142E67" w:rsidRDefault="00324944" w:rsidP="003320C2">
            <w:pPr>
              <w:keepNext/>
              <w:jc w:val="center"/>
              <w:rPr>
                <w:b/>
              </w:rPr>
            </w:pPr>
            <w:r>
              <w:rPr>
                <w:b/>
              </w:rPr>
              <w:t>5</w:t>
            </w:r>
          </w:p>
        </w:tc>
        <w:tc>
          <w:tcPr>
            <w:tcW w:w="914" w:type="dxa"/>
          </w:tcPr>
          <w:p w14:paraId="42862F30" w14:textId="77777777" w:rsidR="003320C2" w:rsidRPr="00142E67" w:rsidRDefault="00324944" w:rsidP="003320C2">
            <w:pPr>
              <w:keepNext/>
              <w:jc w:val="center"/>
              <w:rPr>
                <w:b/>
              </w:rPr>
            </w:pPr>
            <w:r>
              <w:rPr>
                <w:b/>
              </w:rPr>
              <w:t>7,650</w:t>
            </w:r>
          </w:p>
        </w:tc>
        <w:tc>
          <w:tcPr>
            <w:tcW w:w="616" w:type="dxa"/>
          </w:tcPr>
          <w:p w14:paraId="30CD18BC" w14:textId="77777777" w:rsidR="003320C2" w:rsidRPr="00142E67" w:rsidRDefault="00324944" w:rsidP="003320C2">
            <w:pPr>
              <w:keepNext/>
              <w:jc w:val="center"/>
              <w:rPr>
                <w:b/>
              </w:rPr>
            </w:pPr>
            <w:r>
              <w:rPr>
                <w:b/>
              </w:rPr>
              <w:t>2</w:t>
            </w:r>
          </w:p>
        </w:tc>
        <w:tc>
          <w:tcPr>
            <w:tcW w:w="914" w:type="dxa"/>
          </w:tcPr>
          <w:p w14:paraId="473AA509" w14:textId="77777777" w:rsidR="003320C2" w:rsidRPr="00142E67" w:rsidRDefault="00324944" w:rsidP="003320C2">
            <w:pPr>
              <w:keepNext/>
              <w:jc w:val="center"/>
              <w:rPr>
                <w:b/>
              </w:rPr>
            </w:pPr>
            <w:r>
              <w:rPr>
                <w:b/>
              </w:rPr>
              <w:t>14,786</w:t>
            </w:r>
          </w:p>
        </w:tc>
        <w:tc>
          <w:tcPr>
            <w:tcW w:w="659" w:type="dxa"/>
          </w:tcPr>
          <w:p w14:paraId="2FDA21B6" w14:textId="77777777" w:rsidR="003320C2" w:rsidRPr="004335FF" w:rsidRDefault="00324944" w:rsidP="003320C2">
            <w:pPr>
              <w:keepNext/>
              <w:jc w:val="center"/>
              <w:rPr>
                <w:b/>
              </w:rPr>
            </w:pPr>
            <w:r>
              <w:rPr>
                <w:b/>
              </w:rPr>
              <w:t>13</w:t>
            </w:r>
          </w:p>
        </w:tc>
        <w:tc>
          <w:tcPr>
            <w:tcW w:w="928" w:type="dxa"/>
          </w:tcPr>
          <w:p w14:paraId="5E4C1BFB" w14:textId="77777777" w:rsidR="003320C2" w:rsidRPr="004335FF" w:rsidRDefault="00324944" w:rsidP="003320C2">
            <w:pPr>
              <w:keepNext/>
              <w:jc w:val="center"/>
              <w:rPr>
                <w:b/>
              </w:rPr>
            </w:pPr>
            <w:r>
              <w:rPr>
                <w:b/>
              </w:rPr>
              <w:t>26,563</w:t>
            </w:r>
          </w:p>
        </w:tc>
      </w:tr>
      <w:tr w:rsidR="003320C2" w:rsidRPr="00142E67" w14:paraId="535821C0" w14:textId="77777777" w:rsidTr="003320C2">
        <w:trPr>
          <w:trHeight w:val="288"/>
          <w:jc w:val="center"/>
        </w:trPr>
        <w:tc>
          <w:tcPr>
            <w:tcW w:w="8228" w:type="dxa"/>
            <w:gridSpan w:val="9"/>
          </w:tcPr>
          <w:p w14:paraId="5B2FC9A8" w14:textId="77777777" w:rsidR="003320C2" w:rsidRPr="00142E67" w:rsidRDefault="003320C2" w:rsidP="003320C2">
            <w:pPr>
              <w:keepNext/>
              <w:rPr>
                <w:b/>
              </w:rPr>
            </w:pPr>
            <w:r w:rsidRPr="00142E67">
              <w:rPr>
                <w:i/>
                <w:sz w:val="16"/>
                <w:szCs w:val="16"/>
              </w:rPr>
              <w:t>Source:</w:t>
            </w:r>
            <w:r>
              <w:rPr>
                <w:i/>
                <w:sz w:val="16"/>
                <w:szCs w:val="16"/>
              </w:rPr>
              <w:t xml:space="preserve"> </w:t>
            </w:r>
            <w:r w:rsidRPr="00142E67">
              <w:rPr>
                <w:i/>
                <w:sz w:val="16"/>
                <w:szCs w:val="16"/>
              </w:rPr>
              <w:t xml:space="preserve"> Bank </w:t>
            </w:r>
            <w:r>
              <w:rPr>
                <w:i/>
                <w:sz w:val="16"/>
                <w:szCs w:val="16"/>
              </w:rPr>
              <w:t>Data</w:t>
            </w:r>
          </w:p>
        </w:tc>
      </w:tr>
    </w:tbl>
    <w:p w14:paraId="771395EB" w14:textId="0F78A6B9" w:rsidR="003320C2" w:rsidRDefault="003320C2" w:rsidP="00E50970">
      <w:pPr>
        <w:spacing w:after="0" w:line="240" w:lineRule="auto"/>
        <w:rPr>
          <w:rFonts w:ascii="Times New Roman" w:eastAsia="Times New Roman" w:hAnsi="Times New Roman" w:cs="Times New Roman"/>
          <w:iCs/>
          <w:color w:val="000000"/>
          <w:sz w:val="24"/>
          <w:szCs w:val="24"/>
        </w:rPr>
      </w:pPr>
    </w:p>
    <w:p w14:paraId="73C94FE9" w14:textId="77777777" w:rsidR="00DA5D41" w:rsidRDefault="00DA5D41" w:rsidP="00DA5D41">
      <w:pPr>
        <w:spacing w:after="0" w:line="240" w:lineRule="auto"/>
        <w:rPr>
          <w:rFonts w:ascii="Times New Roman" w:hAnsi="Times New Roman" w:cs="Times New Roman"/>
          <w:sz w:val="24"/>
          <w:szCs w:val="24"/>
        </w:rPr>
      </w:pPr>
      <w:r w:rsidRPr="00F53A16">
        <w:rPr>
          <w:rFonts w:ascii="Times New Roman" w:hAnsi="Times New Roman" w:cs="Times New Roman"/>
          <w:sz w:val="24"/>
          <w:szCs w:val="24"/>
        </w:rPr>
        <w:t xml:space="preserve">Below are notable examples of the bank’s </w:t>
      </w:r>
      <w:r>
        <w:rPr>
          <w:rFonts w:ascii="Times New Roman" w:hAnsi="Times New Roman" w:cs="Times New Roman"/>
          <w:sz w:val="24"/>
          <w:szCs w:val="24"/>
        </w:rPr>
        <w:t>community development loans.</w:t>
      </w:r>
    </w:p>
    <w:p w14:paraId="32B18865" w14:textId="77777777" w:rsidR="00DA5D41" w:rsidRDefault="00DA5D41" w:rsidP="00E50970">
      <w:pPr>
        <w:spacing w:after="0" w:line="240" w:lineRule="auto"/>
        <w:rPr>
          <w:rFonts w:ascii="Times New Roman" w:eastAsia="Times New Roman" w:hAnsi="Times New Roman" w:cs="Times New Roman"/>
          <w:iCs/>
          <w:color w:val="000000"/>
          <w:sz w:val="24"/>
          <w:szCs w:val="24"/>
        </w:rPr>
      </w:pPr>
    </w:p>
    <w:p w14:paraId="456B4A0A" w14:textId="079E5D9B" w:rsidR="00F80936" w:rsidRPr="00EF5A47" w:rsidRDefault="00F80936" w:rsidP="007C1110">
      <w:pPr>
        <w:pStyle w:val="ListParagraph"/>
        <w:widowControl/>
        <w:numPr>
          <w:ilvl w:val="0"/>
          <w:numId w:val="39"/>
        </w:numPr>
        <w:spacing w:after="200"/>
        <w:contextualSpacing/>
        <w:rPr>
          <w:rFonts w:ascii="Times New Roman" w:hAnsi="Times New Roman" w:cs="Times New Roman"/>
        </w:rPr>
      </w:pPr>
      <w:r w:rsidRPr="00EF5A47">
        <w:rPr>
          <w:rFonts w:ascii="Times New Roman" w:hAnsi="Times New Roman" w:cs="Times New Roman"/>
        </w:rPr>
        <w:t xml:space="preserve">In 2020, the bank made a commercial mortgage loan of $6.6 million to an organization </w:t>
      </w:r>
      <w:r w:rsidR="00EF5A47" w:rsidRPr="00EF5A47">
        <w:rPr>
          <w:rFonts w:ascii="Times New Roman" w:hAnsi="Times New Roman" w:cs="Times New Roman"/>
        </w:rPr>
        <w:t>that assists</w:t>
      </w:r>
      <w:r w:rsidRPr="00EF5A47">
        <w:rPr>
          <w:rFonts w:ascii="Times New Roman" w:hAnsi="Times New Roman" w:cs="Times New Roman"/>
        </w:rPr>
        <w:t xml:space="preserve"> non-profit organizations focused on helping </w:t>
      </w:r>
      <w:r w:rsidR="00EF5A47" w:rsidRPr="00EF5A47">
        <w:rPr>
          <w:rFonts w:ascii="Times New Roman" w:hAnsi="Times New Roman" w:cs="Times New Roman"/>
        </w:rPr>
        <w:t xml:space="preserve">low-income </w:t>
      </w:r>
      <w:r w:rsidRPr="00EF5A47">
        <w:rPr>
          <w:rFonts w:ascii="Times New Roman" w:hAnsi="Times New Roman" w:cs="Times New Roman"/>
        </w:rPr>
        <w:t>individuals affected by disabilities, alcohol and drug dependence, and child abuse.</w:t>
      </w:r>
    </w:p>
    <w:p w14:paraId="40042A3D" w14:textId="793D5E9C" w:rsidR="00F80936" w:rsidRPr="00365144" w:rsidRDefault="00F80936" w:rsidP="00F80936">
      <w:pPr>
        <w:pStyle w:val="ListParagraph"/>
        <w:widowControl/>
        <w:numPr>
          <w:ilvl w:val="0"/>
          <w:numId w:val="39"/>
        </w:numPr>
        <w:spacing w:after="200"/>
        <w:contextualSpacing/>
        <w:rPr>
          <w:rFonts w:ascii="Times New Roman" w:hAnsi="Times New Roman" w:cs="Times New Roman"/>
        </w:rPr>
      </w:pPr>
      <w:r w:rsidRPr="00365144">
        <w:rPr>
          <w:rFonts w:ascii="Times New Roman" w:hAnsi="Times New Roman" w:cs="Times New Roman"/>
        </w:rPr>
        <w:lastRenderedPageBreak/>
        <w:t>In 2019, the bank made a $500</w:t>
      </w:r>
      <w:r w:rsidR="00EF5A47">
        <w:rPr>
          <w:rFonts w:ascii="Times New Roman" w:hAnsi="Times New Roman" w:cs="Times New Roman"/>
        </w:rPr>
        <w:t>,000</w:t>
      </w:r>
      <w:r w:rsidRPr="00365144">
        <w:rPr>
          <w:rFonts w:ascii="Times New Roman" w:hAnsi="Times New Roman" w:cs="Times New Roman"/>
        </w:rPr>
        <w:t xml:space="preserve"> loan to an organization</w:t>
      </w:r>
      <w:r w:rsidR="00EF5A47">
        <w:rPr>
          <w:rFonts w:ascii="Times New Roman" w:hAnsi="Times New Roman" w:cs="Times New Roman"/>
        </w:rPr>
        <w:t xml:space="preserve"> supporting</w:t>
      </w:r>
      <w:r w:rsidRPr="00365144">
        <w:rPr>
          <w:rFonts w:ascii="Times New Roman" w:hAnsi="Times New Roman" w:cs="Times New Roman"/>
        </w:rPr>
        <w:t xml:space="preserve"> low- and moderate-income individuals</w:t>
      </w:r>
      <w:r w:rsidR="00EF5A47">
        <w:rPr>
          <w:rFonts w:ascii="Times New Roman" w:hAnsi="Times New Roman" w:cs="Times New Roman"/>
        </w:rPr>
        <w:t xml:space="preserve"> through</w:t>
      </w:r>
      <w:r w:rsidRPr="00365144">
        <w:rPr>
          <w:rFonts w:ascii="Times New Roman" w:hAnsi="Times New Roman" w:cs="Times New Roman"/>
        </w:rPr>
        <w:t xml:space="preserve"> financial education, credit counseling, and equitable lending to underserved markets in </w:t>
      </w:r>
      <w:r w:rsidR="00EF5A47">
        <w:rPr>
          <w:rFonts w:ascii="Times New Roman" w:hAnsi="Times New Roman" w:cs="Times New Roman"/>
        </w:rPr>
        <w:t>the Providence, RI-MA MSA</w:t>
      </w:r>
      <w:r w:rsidRPr="00365144">
        <w:rPr>
          <w:rFonts w:ascii="Times New Roman" w:hAnsi="Times New Roman" w:cs="Times New Roman"/>
        </w:rPr>
        <w:t>.</w:t>
      </w:r>
    </w:p>
    <w:p w14:paraId="7AD5405F" w14:textId="0EBE2893" w:rsidR="00F80936" w:rsidRDefault="00F80936" w:rsidP="00F80936">
      <w:pPr>
        <w:pStyle w:val="ListParagraph"/>
        <w:widowControl/>
        <w:numPr>
          <w:ilvl w:val="0"/>
          <w:numId w:val="39"/>
        </w:numPr>
        <w:contextualSpacing/>
        <w:rPr>
          <w:rFonts w:ascii="Times New Roman" w:hAnsi="Times New Roman" w:cs="Times New Roman"/>
          <w:bCs/>
        </w:rPr>
      </w:pPr>
      <w:r w:rsidRPr="009F5380">
        <w:rPr>
          <w:rFonts w:ascii="Times New Roman" w:hAnsi="Times New Roman" w:cs="Times New Roman"/>
          <w:bCs/>
        </w:rPr>
        <w:t>In 2017, the bank made two loans tot</w:t>
      </w:r>
      <w:r w:rsidR="00613B8D">
        <w:rPr>
          <w:rFonts w:ascii="Times New Roman" w:hAnsi="Times New Roman" w:cs="Times New Roman"/>
          <w:bCs/>
        </w:rPr>
        <w:t>aling $14.8 million to finance the</w:t>
      </w:r>
      <w:r w:rsidRPr="009F5380">
        <w:rPr>
          <w:rFonts w:ascii="Times New Roman" w:hAnsi="Times New Roman" w:cs="Times New Roman"/>
          <w:bCs/>
        </w:rPr>
        <w:t xml:space="preserve"> construction of a hotel located in </w:t>
      </w:r>
      <w:r w:rsidR="00613B8D">
        <w:rPr>
          <w:rFonts w:ascii="Times New Roman" w:hAnsi="Times New Roman" w:cs="Times New Roman"/>
          <w:bCs/>
        </w:rPr>
        <w:t xml:space="preserve">a </w:t>
      </w:r>
      <w:r w:rsidRPr="009F5380">
        <w:rPr>
          <w:rFonts w:ascii="Times New Roman" w:hAnsi="Times New Roman" w:cs="Times New Roman"/>
          <w:bCs/>
        </w:rPr>
        <w:t xml:space="preserve">moderate-income census tract in </w:t>
      </w:r>
      <w:r w:rsidR="00EF5A47">
        <w:rPr>
          <w:rFonts w:ascii="Times New Roman" w:hAnsi="Times New Roman" w:cs="Times New Roman"/>
          <w:bCs/>
        </w:rPr>
        <w:t xml:space="preserve">Downtown </w:t>
      </w:r>
      <w:r w:rsidRPr="009F5380">
        <w:rPr>
          <w:rFonts w:ascii="Times New Roman" w:hAnsi="Times New Roman" w:cs="Times New Roman"/>
          <w:bCs/>
        </w:rPr>
        <w:t>Providence</w:t>
      </w:r>
      <w:r w:rsidR="00EF5A47">
        <w:rPr>
          <w:rFonts w:ascii="Times New Roman" w:hAnsi="Times New Roman" w:cs="Times New Roman"/>
          <w:bCs/>
        </w:rPr>
        <w:t>.  In addition to</w:t>
      </w:r>
      <w:r w:rsidRPr="009F5380">
        <w:rPr>
          <w:rFonts w:ascii="Times New Roman" w:hAnsi="Times New Roman" w:cs="Times New Roman"/>
          <w:bCs/>
        </w:rPr>
        <w:t xml:space="preserve"> creat</w:t>
      </w:r>
      <w:r w:rsidR="00EF5A47">
        <w:rPr>
          <w:rFonts w:ascii="Times New Roman" w:hAnsi="Times New Roman" w:cs="Times New Roman"/>
          <w:bCs/>
        </w:rPr>
        <w:t>ing</w:t>
      </w:r>
      <w:r w:rsidRPr="009F5380">
        <w:rPr>
          <w:rFonts w:ascii="Times New Roman" w:hAnsi="Times New Roman" w:cs="Times New Roman"/>
          <w:bCs/>
        </w:rPr>
        <w:t xml:space="preserve"> permanent jobs for </w:t>
      </w:r>
      <w:r w:rsidR="00EF5A47">
        <w:rPr>
          <w:rFonts w:ascii="Times New Roman" w:hAnsi="Times New Roman" w:cs="Times New Roman"/>
          <w:bCs/>
        </w:rPr>
        <w:t>low- and moderate-income individuals, the hotel provides a steady influx of patrons for local businesses, helping business creation and retention in this moderate-income area</w:t>
      </w:r>
      <w:r w:rsidRPr="009F5380">
        <w:rPr>
          <w:rFonts w:ascii="Times New Roman" w:hAnsi="Times New Roman" w:cs="Times New Roman"/>
          <w:bCs/>
        </w:rPr>
        <w:t>.</w:t>
      </w:r>
    </w:p>
    <w:p w14:paraId="62137106" w14:textId="77777777" w:rsidR="00DB75C4" w:rsidRDefault="00DB75C4" w:rsidP="00E50970">
      <w:pPr>
        <w:spacing w:after="0" w:line="240" w:lineRule="auto"/>
        <w:rPr>
          <w:rFonts w:ascii="Times New Roman" w:eastAsia="Times New Roman" w:hAnsi="Times New Roman" w:cs="Times New Roman"/>
          <w:iCs/>
          <w:color w:val="000000"/>
          <w:sz w:val="24"/>
          <w:szCs w:val="24"/>
        </w:rPr>
      </w:pPr>
    </w:p>
    <w:p w14:paraId="1EE3DE68" w14:textId="77777777" w:rsidR="00DB75C4" w:rsidRPr="00E50970" w:rsidRDefault="00DB75C4" w:rsidP="00E50970">
      <w:pPr>
        <w:spacing w:after="0" w:line="240" w:lineRule="auto"/>
        <w:rPr>
          <w:rFonts w:ascii="Times New Roman" w:eastAsia="Times New Roman" w:hAnsi="Times New Roman" w:cs="Times New Roman"/>
          <w:iCs/>
          <w:color w:val="000000"/>
          <w:sz w:val="24"/>
          <w:szCs w:val="24"/>
        </w:rPr>
      </w:pPr>
    </w:p>
    <w:p w14:paraId="562FD200" w14:textId="77777777" w:rsidR="004353B3" w:rsidRPr="00E50970" w:rsidRDefault="004353B3" w:rsidP="004353B3">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INVESTMENT TEST</w:t>
      </w:r>
    </w:p>
    <w:p w14:paraId="03982DE2" w14:textId="77777777" w:rsidR="004353B3" w:rsidRPr="00322EF5" w:rsidRDefault="004353B3" w:rsidP="004353B3">
      <w:pPr>
        <w:spacing w:after="0" w:line="240" w:lineRule="auto"/>
        <w:rPr>
          <w:rFonts w:ascii="Times New Roman" w:eastAsia="Times New Roman" w:hAnsi="Times New Roman" w:cs="Times New Roman"/>
          <w:bCs/>
          <w:sz w:val="24"/>
          <w:szCs w:val="24"/>
        </w:rPr>
      </w:pPr>
    </w:p>
    <w:p w14:paraId="0024EF74" w14:textId="2A109AB4" w:rsidR="004353B3" w:rsidRPr="00D56E66" w:rsidRDefault="004353B3" w:rsidP="004353B3">
      <w:pPr>
        <w:spacing w:after="0" w:line="240" w:lineRule="auto"/>
        <w:rPr>
          <w:rFonts w:ascii="Times New Roman" w:eastAsia="Times New Roman" w:hAnsi="Times New Roman" w:cs="Times New Roman"/>
          <w:bCs/>
          <w:sz w:val="24"/>
          <w:szCs w:val="24"/>
        </w:rPr>
      </w:pPr>
      <w:r w:rsidRPr="00D56E66">
        <w:rPr>
          <w:rFonts w:ascii="Times New Roman" w:eastAsia="Times New Roman" w:hAnsi="Times New Roman" w:cs="Times New Roman"/>
          <w:bCs/>
          <w:sz w:val="24"/>
          <w:szCs w:val="24"/>
        </w:rPr>
        <w:t xml:space="preserve">HOB’s Investment Test performance in the </w:t>
      </w:r>
      <w:r w:rsidR="008962DE">
        <w:rPr>
          <w:rFonts w:ascii="Times New Roman" w:eastAsia="Times New Roman" w:hAnsi="Times New Roman" w:cs="Times New Roman"/>
          <w:bCs/>
          <w:sz w:val="24"/>
          <w:szCs w:val="24"/>
        </w:rPr>
        <w:t>Providence, RI-MA MSA</w:t>
      </w:r>
      <w:r w:rsidRPr="00D56E66">
        <w:rPr>
          <w:rFonts w:ascii="Times New Roman" w:eastAsia="Times New Roman" w:hAnsi="Times New Roman" w:cs="Times New Roman"/>
          <w:bCs/>
          <w:sz w:val="24"/>
          <w:szCs w:val="24"/>
        </w:rPr>
        <w:t xml:space="preserve"> is rated High Satisfactory. </w:t>
      </w:r>
      <w:r w:rsidRPr="00D56E66">
        <w:rPr>
          <w:rFonts w:ascii="Times New Roman" w:hAnsi="Times New Roman" w:cs="Times New Roman"/>
          <w:color w:val="141414"/>
          <w:sz w:val="24"/>
          <w:szCs w:val="24"/>
        </w:rPr>
        <w:t xml:space="preserve">The bank has a significant level of qualified investments, particularly those that are not routinely provided by private investors, occasionally in a leadership position. </w:t>
      </w:r>
      <w:r w:rsidR="008962DE">
        <w:rPr>
          <w:rFonts w:ascii="Times New Roman" w:hAnsi="Times New Roman" w:cs="Times New Roman"/>
          <w:color w:val="141414"/>
          <w:sz w:val="24"/>
          <w:szCs w:val="24"/>
        </w:rPr>
        <w:t xml:space="preserve"> </w:t>
      </w:r>
      <w:r w:rsidRPr="00D56E66">
        <w:rPr>
          <w:rFonts w:ascii="Times New Roman" w:hAnsi="Times New Roman" w:cs="Times New Roman"/>
          <w:color w:val="141414"/>
          <w:sz w:val="24"/>
          <w:szCs w:val="24"/>
        </w:rPr>
        <w:t xml:space="preserve">The bank has </w:t>
      </w:r>
      <w:r w:rsidR="00DA5D41">
        <w:rPr>
          <w:rFonts w:ascii="Times New Roman" w:hAnsi="Times New Roman" w:cs="Times New Roman"/>
          <w:color w:val="141414"/>
          <w:sz w:val="24"/>
          <w:szCs w:val="24"/>
        </w:rPr>
        <w:t xml:space="preserve">demonstrated </w:t>
      </w:r>
      <w:r w:rsidRPr="00D56E66">
        <w:rPr>
          <w:rFonts w:ascii="Times New Roman" w:hAnsi="Times New Roman" w:cs="Times New Roman"/>
          <w:color w:val="141414"/>
          <w:sz w:val="24"/>
          <w:szCs w:val="24"/>
        </w:rPr>
        <w:t>a good responsiveness to credit and community development needs.</w:t>
      </w:r>
      <w:r w:rsidR="008962DE">
        <w:rPr>
          <w:rFonts w:ascii="Times New Roman" w:hAnsi="Times New Roman" w:cs="Times New Roman"/>
          <w:color w:val="141414"/>
          <w:sz w:val="24"/>
          <w:szCs w:val="24"/>
        </w:rPr>
        <w:t xml:space="preserve">  </w:t>
      </w:r>
      <w:r w:rsidR="008962DE" w:rsidRPr="00D56E66">
        <w:rPr>
          <w:rFonts w:ascii="Times New Roman" w:hAnsi="Times New Roman" w:cs="Times New Roman"/>
          <w:color w:val="141414"/>
          <w:sz w:val="24"/>
          <w:szCs w:val="24"/>
        </w:rPr>
        <w:t xml:space="preserve">HOB makes </w:t>
      </w:r>
      <w:r w:rsidR="002864D1">
        <w:rPr>
          <w:rFonts w:ascii="Times New Roman" w:hAnsi="Times New Roman" w:cs="Times New Roman"/>
          <w:color w:val="141414"/>
          <w:sz w:val="24"/>
          <w:szCs w:val="24"/>
        </w:rPr>
        <w:t>occasional</w:t>
      </w:r>
      <w:r w:rsidR="008962DE" w:rsidRPr="00D56E66">
        <w:rPr>
          <w:rFonts w:ascii="Times New Roman" w:hAnsi="Times New Roman" w:cs="Times New Roman"/>
          <w:color w:val="141414"/>
          <w:sz w:val="24"/>
          <w:szCs w:val="24"/>
        </w:rPr>
        <w:t xml:space="preserve"> use of innovative or complex qualified investments.</w:t>
      </w:r>
      <w:r w:rsidR="008962DE">
        <w:rPr>
          <w:rFonts w:ascii="Times New Roman" w:hAnsi="Times New Roman" w:cs="Times New Roman"/>
          <w:color w:val="141414"/>
          <w:sz w:val="24"/>
          <w:szCs w:val="24"/>
        </w:rPr>
        <w:t xml:space="preserve"> </w:t>
      </w:r>
      <w:r w:rsidR="008962DE" w:rsidRPr="00D56E66">
        <w:rPr>
          <w:rFonts w:ascii="Times New Roman" w:hAnsi="Times New Roman" w:cs="Times New Roman"/>
          <w:color w:val="141414"/>
          <w:sz w:val="24"/>
          <w:szCs w:val="24"/>
        </w:rPr>
        <w:t xml:space="preserve"> </w:t>
      </w:r>
    </w:p>
    <w:p w14:paraId="2402D909" w14:textId="77777777" w:rsidR="004353B3" w:rsidRPr="00322EF5" w:rsidRDefault="004353B3" w:rsidP="004353B3">
      <w:pPr>
        <w:spacing w:after="0" w:line="240" w:lineRule="auto"/>
        <w:rPr>
          <w:rFonts w:ascii="Times New Roman" w:eastAsia="Times New Roman" w:hAnsi="Times New Roman" w:cs="Times New Roman"/>
          <w:bCs/>
          <w:sz w:val="24"/>
          <w:szCs w:val="24"/>
        </w:rPr>
      </w:pPr>
    </w:p>
    <w:p w14:paraId="1C4CE1F9" w14:textId="417B7C3F" w:rsidR="004353B3" w:rsidRPr="00322EF5" w:rsidRDefault="004353B3" w:rsidP="004353B3">
      <w:pPr>
        <w:spacing w:after="0" w:line="240" w:lineRule="auto"/>
        <w:rPr>
          <w:rFonts w:ascii="Times New Roman" w:eastAsia="Times New Roman" w:hAnsi="Times New Roman" w:cs="Times New Roman"/>
          <w:bCs/>
          <w:sz w:val="24"/>
          <w:szCs w:val="24"/>
        </w:rPr>
      </w:pPr>
      <w:r w:rsidRPr="00322EF5">
        <w:rPr>
          <w:rFonts w:ascii="Times New Roman" w:eastAsia="Times New Roman" w:hAnsi="Times New Roman" w:cs="Times New Roman"/>
          <w:bCs/>
          <w:sz w:val="24"/>
          <w:szCs w:val="24"/>
        </w:rPr>
        <w:t xml:space="preserve">The bank’s level of qualified investments in the </w:t>
      </w:r>
      <w:r>
        <w:rPr>
          <w:rFonts w:ascii="Times New Roman" w:eastAsia="Times New Roman" w:hAnsi="Times New Roman" w:cs="Times New Roman"/>
          <w:bCs/>
          <w:sz w:val="24"/>
          <w:szCs w:val="24"/>
        </w:rPr>
        <w:t>Rhode Island assessment area</w:t>
      </w:r>
      <w:r w:rsidRPr="00322EF5">
        <w:rPr>
          <w:rFonts w:ascii="Times New Roman" w:eastAsia="Times New Roman" w:hAnsi="Times New Roman" w:cs="Times New Roman"/>
          <w:bCs/>
          <w:sz w:val="24"/>
          <w:szCs w:val="24"/>
        </w:rPr>
        <w:t xml:space="preserve"> represents a smaller percentage by dollar amount</w:t>
      </w:r>
      <w:r w:rsidR="008962DE">
        <w:rPr>
          <w:rFonts w:ascii="Times New Roman" w:eastAsia="Times New Roman" w:hAnsi="Times New Roman" w:cs="Times New Roman"/>
          <w:bCs/>
          <w:sz w:val="24"/>
          <w:szCs w:val="24"/>
        </w:rPr>
        <w:t>,</w:t>
      </w:r>
      <w:r w:rsidRPr="00322EF5">
        <w:rPr>
          <w:rFonts w:ascii="Times New Roman" w:eastAsia="Times New Roman" w:hAnsi="Times New Roman" w:cs="Times New Roman"/>
          <w:bCs/>
          <w:sz w:val="24"/>
          <w:szCs w:val="24"/>
        </w:rPr>
        <w:t xml:space="preserve"> totaling $4</w:t>
      </w:r>
      <w:r w:rsidR="008962DE">
        <w:rPr>
          <w:rFonts w:ascii="Times New Roman" w:eastAsia="Times New Roman" w:hAnsi="Times New Roman" w:cs="Times New Roman"/>
          <w:bCs/>
          <w:sz w:val="24"/>
          <w:szCs w:val="24"/>
        </w:rPr>
        <w:t>.0</w:t>
      </w:r>
      <w:r w:rsidRPr="00322EF5">
        <w:rPr>
          <w:rFonts w:ascii="Times New Roman" w:eastAsia="Times New Roman" w:hAnsi="Times New Roman" w:cs="Times New Roman"/>
          <w:bCs/>
          <w:sz w:val="24"/>
          <w:szCs w:val="24"/>
        </w:rPr>
        <w:t xml:space="preserve"> million or 1</w:t>
      </w:r>
      <w:r>
        <w:rPr>
          <w:rFonts w:ascii="Times New Roman" w:eastAsia="Times New Roman" w:hAnsi="Times New Roman" w:cs="Times New Roman"/>
          <w:bCs/>
          <w:sz w:val="24"/>
          <w:szCs w:val="24"/>
        </w:rPr>
        <w:t>2 percent</w:t>
      </w:r>
      <w:r w:rsidR="00DA5D4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of </w:t>
      </w:r>
      <w:r w:rsidR="00DA5D41">
        <w:rPr>
          <w:rFonts w:ascii="Times New Roman" w:eastAsia="Times New Roman" w:hAnsi="Times New Roman" w:cs="Times New Roman"/>
          <w:bCs/>
          <w:sz w:val="24"/>
          <w:szCs w:val="24"/>
        </w:rPr>
        <w:t xml:space="preserve">their </w:t>
      </w:r>
      <w:r>
        <w:rPr>
          <w:rFonts w:ascii="Times New Roman" w:eastAsia="Times New Roman" w:hAnsi="Times New Roman" w:cs="Times New Roman"/>
          <w:bCs/>
          <w:sz w:val="24"/>
          <w:szCs w:val="24"/>
        </w:rPr>
        <w:t>overall investment activity</w:t>
      </w:r>
      <w:r w:rsidRPr="00322E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However, t</w:t>
      </w:r>
      <w:r w:rsidRPr="00322EF5">
        <w:rPr>
          <w:rFonts w:ascii="Times New Roman" w:eastAsia="Times New Roman" w:hAnsi="Times New Roman" w:cs="Times New Roman"/>
          <w:bCs/>
          <w:sz w:val="24"/>
          <w:szCs w:val="24"/>
        </w:rPr>
        <w:t xml:space="preserve">his does not have a negative impact on the </w:t>
      </w:r>
      <w:r w:rsidR="008962DE">
        <w:rPr>
          <w:rFonts w:ascii="Times New Roman" w:eastAsia="Times New Roman" w:hAnsi="Times New Roman" w:cs="Times New Roman"/>
          <w:bCs/>
          <w:sz w:val="24"/>
          <w:szCs w:val="24"/>
        </w:rPr>
        <w:t>Providence, RI-MA MSA</w:t>
      </w:r>
      <w:r>
        <w:rPr>
          <w:rFonts w:ascii="Times New Roman" w:eastAsia="Times New Roman" w:hAnsi="Times New Roman" w:cs="Times New Roman"/>
          <w:bCs/>
          <w:sz w:val="24"/>
          <w:szCs w:val="24"/>
        </w:rPr>
        <w:t xml:space="preserve"> rating or </w:t>
      </w:r>
      <w:r w:rsidRPr="00322EF5">
        <w:rPr>
          <w:rFonts w:ascii="Times New Roman" w:eastAsia="Times New Roman" w:hAnsi="Times New Roman" w:cs="Times New Roman"/>
          <w:bCs/>
          <w:sz w:val="24"/>
          <w:szCs w:val="24"/>
        </w:rPr>
        <w:t xml:space="preserve">overall rating due to </w:t>
      </w:r>
      <w:r>
        <w:rPr>
          <w:rFonts w:ascii="Times New Roman" w:eastAsia="Times New Roman" w:hAnsi="Times New Roman" w:cs="Times New Roman"/>
          <w:bCs/>
          <w:sz w:val="24"/>
          <w:szCs w:val="24"/>
        </w:rPr>
        <w:t>the bank’s</w:t>
      </w:r>
      <w:r w:rsidRPr="00322E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expansion into this area</w:t>
      </w:r>
      <w:r w:rsidR="008962DE">
        <w:rPr>
          <w:rFonts w:ascii="Times New Roman" w:eastAsia="Times New Roman" w:hAnsi="Times New Roman" w:cs="Times New Roman"/>
          <w:bCs/>
          <w:sz w:val="24"/>
          <w:szCs w:val="24"/>
        </w:rPr>
        <w:t xml:space="preserve"> during the evaluation period</w:t>
      </w:r>
      <w:r>
        <w:rPr>
          <w:rFonts w:ascii="Times New Roman" w:eastAsia="Times New Roman" w:hAnsi="Times New Roman" w:cs="Times New Roman"/>
          <w:bCs/>
          <w:sz w:val="24"/>
          <w:szCs w:val="24"/>
        </w:rPr>
        <w:t xml:space="preserve">.  </w:t>
      </w:r>
      <w:r w:rsidRPr="00322EF5">
        <w:rPr>
          <w:rFonts w:ascii="Times New Roman" w:eastAsia="Times New Roman" w:hAnsi="Times New Roman" w:cs="Times New Roman"/>
          <w:bCs/>
          <w:sz w:val="24"/>
          <w:szCs w:val="24"/>
        </w:rPr>
        <w:t xml:space="preserve">While the overall investment dollars and percentage </w:t>
      </w:r>
      <w:r w:rsidR="00DA5D41">
        <w:rPr>
          <w:rFonts w:ascii="Times New Roman" w:eastAsia="Times New Roman" w:hAnsi="Times New Roman" w:cs="Times New Roman"/>
          <w:bCs/>
          <w:sz w:val="24"/>
          <w:szCs w:val="24"/>
        </w:rPr>
        <w:t>are</w:t>
      </w:r>
      <w:r w:rsidRPr="00322EF5">
        <w:rPr>
          <w:rFonts w:ascii="Times New Roman" w:eastAsia="Times New Roman" w:hAnsi="Times New Roman" w:cs="Times New Roman"/>
          <w:bCs/>
          <w:sz w:val="24"/>
          <w:szCs w:val="24"/>
        </w:rPr>
        <w:t xml:space="preserve"> smaller</w:t>
      </w:r>
      <w:r w:rsidR="008962DE">
        <w:rPr>
          <w:rFonts w:ascii="Times New Roman" w:eastAsia="Times New Roman" w:hAnsi="Times New Roman" w:cs="Times New Roman"/>
          <w:bCs/>
          <w:sz w:val="24"/>
          <w:szCs w:val="24"/>
        </w:rPr>
        <w:t>,</w:t>
      </w:r>
      <w:r w:rsidRPr="00322EF5">
        <w:rPr>
          <w:rFonts w:ascii="Times New Roman" w:eastAsia="Times New Roman" w:hAnsi="Times New Roman" w:cs="Times New Roman"/>
          <w:bCs/>
          <w:sz w:val="24"/>
          <w:szCs w:val="24"/>
        </w:rPr>
        <w:t xml:space="preserve"> the bank’s charitable contributions</w:t>
      </w:r>
      <w:r w:rsidR="00AD3BF7">
        <w:rPr>
          <w:rFonts w:ascii="Times New Roman" w:eastAsia="Times New Roman" w:hAnsi="Times New Roman" w:cs="Times New Roman"/>
          <w:bCs/>
          <w:sz w:val="24"/>
          <w:szCs w:val="24"/>
        </w:rPr>
        <w:t>,</w:t>
      </w:r>
      <w:r w:rsidRPr="00322EF5">
        <w:rPr>
          <w:rFonts w:ascii="Times New Roman" w:eastAsia="Times New Roman" w:hAnsi="Times New Roman" w:cs="Times New Roman"/>
          <w:bCs/>
          <w:sz w:val="24"/>
          <w:szCs w:val="24"/>
        </w:rPr>
        <w:t xml:space="preserve"> represent</w:t>
      </w:r>
      <w:r w:rsidR="008962DE">
        <w:rPr>
          <w:rFonts w:ascii="Times New Roman" w:eastAsia="Times New Roman" w:hAnsi="Times New Roman" w:cs="Times New Roman"/>
          <w:bCs/>
          <w:sz w:val="24"/>
          <w:szCs w:val="24"/>
        </w:rPr>
        <w:t xml:space="preserve">ing </w:t>
      </w:r>
      <w:r w:rsidR="008962DE" w:rsidRPr="00662784">
        <w:rPr>
          <w:rFonts w:ascii="Times New Roman" w:eastAsia="Times New Roman" w:hAnsi="Times New Roman" w:cs="Times New Roman"/>
          <w:bCs/>
          <w:sz w:val="24"/>
          <w:szCs w:val="24"/>
        </w:rPr>
        <w:t>$1.</w:t>
      </w:r>
      <w:r w:rsidR="00F456E8" w:rsidRPr="00662784">
        <w:rPr>
          <w:rFonts w:ascii="Times New Roman" w:eastAsia="Times New Roman" w:hAnsi="Times New Roman" w:cs="Times New Roman"/>
          <w:bCs/>
          <w:sz w:val="24"/>
          <w:szCs w:val="24"/>
        </w:rPr>
        <w:t>3</w:t>
      </w:r>
      <w:r w:rsidR="008962DE">
        <w:rPr>
          <w:rFonts w:ascii="Times New Roman" w:eastAsia="Times New Roman" w:hAnsi="Times New Roman" w:cs="Times New Roman"/>
          <w:bCs/>
          <w:sz w:val="24"/>
          <w:szCs w:val="24"/>
        </w:rPr>
        <w:t xml:space="preserve"> million</w:t>
      </w:r>
      <w:r w:rsidR="00AD3BF7">
        <w:rPr>
          <w:rFonts w:ascii="Times New Roman" w:eastAsia="Times New Roman" w:hAnsi="Times New Roman" w:cs="Times New Roman"/>
          <w:bCs/>
          <w:sz w:val="24"/>
          <w:szCs w:val="24"/>
        </w:rPr>
        <w:t>,</w:t>
      </w:r>
      <w:r w:rsidR="008962DE">
        <w:rPr>
          <w:rFonts w:ascii="Times New Roman" w:eastAsia="Times New Roman" w:hAnsi="Times New Roman" w:cs="Times New Roman"/>
          <w:bCs/>
          <w:sz w:val="24"/>
          <w:szCs w:val="24"/>
        </w:rPr>
        <w:t xml:space="preserve"> is </w:t>
      </w:r>
      <w:r w:rsidR="006E49C7">
        <w:rPr>
          <w:rFonts w:ascii="Times New Roman" w:eastAsia="Times New Roman" w:hAnsi="Times New Roman" w:cs="Times New Roman"/>
          <w:bCs/>
          <w:sz w:val="24"/>
          <w:szCs w:val="24"/>
        </w:rPr>
        <w:t xml:space="preserve">similar to the total in the </w:t>
      </w:r>
      <w:r>
        <w:rPr>
          <w:rFonts w:ascii="Times New Roman" w:eastAsia="Times New Roman" w:hAnsi="Times New Roman" w:cs="Times New Roman"/>
          <w:bCs/>
          <w:sz w:val="24"/>
          <w:szCs w:val="24"/>
        </w:rPr>
        <w:t>Massachusetts</w:t>
      </w:r>
      <w:r w:rsidR="006E49C7">
        <w:rPr>
          <w:rFonts w:ascii="Times New Roman" w:eastAsia="Times New Roman" w:hAnsi="Times New Roman" w:cs="Times New Roman"/>
          <w:bCs/>
          <w:sz w:val="24"/>
          <w:szCs w:val="24"/>
        </w:rPr>
        <w:t xml:space="preserve"> rated area</w:t>
      </w:r>
      <w:r w:rsidRPr="00322EF5">
        <w:rPr>
          <w:rFonts w:ascii="Times New Roman" w:eastAsia="Times New Roman" w:hAnsi="Times New Roman" w:cs="Times New Roman"/>
          <w:bCs/>
          <w:sz w:val="24"/>
          <w:szCs w:val="24"/>
        </w:rPr>
        <w:t xml:space="preserve">.  </w:t>
      </w:r>
    </w:p>
    <w:p w14:paraId="4C85DC0E" w14:textId="77777777" w:rsidR="004353B3" w:rsidRDefault="004353B3" w:rsidP="004353B3">
      <w:pPr>
        <w:spacing w:after="0" w:line="240" w:lineRule="auto"/>
        <w:rPr>
          <w:rFonts w:ascii="Times New Roman" w:eastAsia="Times New Roman" w:hAnsi="Times New Roman" w:cs="Times New Roman"/>
          <w:bCs/>
          <w:sz w:val="24"/>
          <w:szCs w:val="24"/>
        </w:rPr>
      </w:pPr>
    </w:p>
    <w:p w14:paraId="4657F3AE" w14:textId="77777777" w:rsidR="004353B3" w:rsidRPr="00E50970" w:rsidRDefault="004353B3" w:rsidP="004353B3">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u w:val="single"/>
        </w:rPr>
        <w:t>Investment and Grant Activity</w:t>
      </w:r>
    </w:p>
    <w:p w14:paraId="372C37F2" w14:textId="77777777" w:rsidR="004353B3" w:rsidRDefault="004353B3" w:rsidP="004353B3">
      <w:pPr>
        <w:spacing w:after="0" w:line="240" w:lineRule="auto"/>
        <w:rPr>
          <w:rFonts w:ascii="Times New Roman" w:eastAsia="Times New Roman" w:hAnsi="Times New Roman" w:cs="Times New Roman"/>
          <w:bCs/>
          <w:sz w:val="24"/>
          <w:szCs w:val="24"/>
        </w:rPr>
      </w:pPr>
    </w:p>
    <w:p w14:paraId="366B21AC" w14:textId="727154D4" w:rsidR="004353B3" w:rsidRDefault="004353B3" w:rsidP="004353B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bank has a significant level of qualified investments.  During the evaluation period, the bank made 378 qualified investments totaling $4</w:t>
      </w:r>
      <w:r w:rsidR="008962DE">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million, of which $2.7 million represents an equi</w:t>
      </w:r>
      <w:r w:rsidR="00662784">
        <w:rPr>
          <w:rFonts w:ascii="Times New Roman" w:eastAsia="Times New Roman" w:hAnsi="Times New Roman" w:cs="Times New Roman"/>
          <w:bCs/>
          <w:sz w:val="24"/>
          <w:szCs w:val="24"/>
        </w:rPr>
        <w:t>ty investment and the remaining</w:t>
      </w:r>
      <w:r w:rsidR="008962DE">
        <w:rPr>
          <w:rFonts w:ascii="Times New Roman" w:eastAsia="Times New Roman" w:hAnsi="Times New Roman" w:cs="Times New Roman"/>
          <w:bCs/>
          <w:sz w:val="24"/>
          <w:szCs w:val="24"/>
        </w:rPr>
        <w:t xml:space="preserve"> </w:t>
      </w:r>
      <w:r w:rsidR="00200A35">
        <w:rPr>
          <w:rFonts w:ascii="Times New Roman" w:eastAsia="Times New Roman" w:hAnsi="Times New Roman" w:cs="Times New Roman"/>
          <w:bCs/>
          <w:sz w:val="24"/>
          <w:szCs w:val="24"/>
        </w:rPr>
        <w:t>$1.3</w:t>
      </w:r>
      <w:r w:rsidR="008962DE">
        <w:rPr>
          <w:rFonts w:ascii="Times New Roman" w:eastAsia="Times New Roman" w:hAnsi="Times New Roman" w:cs="Times New Roman"/>
          <w:bCs/>
          <w:sz w:val="24"/>
          <w:szCs w:val="24"/>
        </w:rPr>
        <w:t xml:space="preserve"> million represents q</w:t>
      </w:r>
      <w:r>
        <w:rPr>
          <w:rFonts w:ascii="Times New Roman" w:eastAsia="Times New Roman" w:hAnsi="Times New Roman" w:cs="Times New Roman"/>
          <w:bCs/>
          <w:sz w:val="24"/>
          <w:szCs w:val="24"/>
        </w:rPr>
        <w:t>ualified community development grants</w:t>
      </w:r>
      <w:r w:rsidR="008962DE">
        <w:rPr>
          <w:rFonts w:ascii="Times New Roman" w:eastAsia="Times New Roman" w:hAnsi="Times New Roman" w:cs="Times New Roman"/>
          <w:bCs/>
          <w:sz w:val="24"/>
          <w:szCs w:val="24"/>
        </w:rPr>
        <w:t xml:space="preserve"> by HOB, HarborOne Foundation MA, or </w:t>
      </w:r>
      <w:r w:rsidR="008962DE" w:rsidRPr="00D4531F">
        <w:rPr>
          <w:rFonts w:ascii="Times New Roman" w:hAnsi="Times New Roman" w:cs="Times New Roman"/>
          <w:sz w:val="24"/>
          <w:szCs w:val="24"/>
        </w:rPr>
        <w:t>HarborOne Foundation RI</w:t>
      </w:r>
      <w:r>
        <w:rPr>
          <w:rFonts w:ascii="Times New Roman" w:eastAsia="Times New Roman" w:hAnsi="Times New Roman" w:cs="Times New Roman"/>
          <w:bCs/>
          <w:sz w:val="24"/>
          <w:szCs w:val="24"/>
        </w:rPr>
        <w:t xml:space="preserve">. </w:t>
      </w:r>
    </w:p>
    <w:p w14:paraId="46F78665" w14:textId="77777777" w:rsidR="004353B3" w:rsidRDefault="004353B3" w:rsidP="004353B3">
      <w:pPr>
        <w:spacing w:after="0" w:line="240" w:lineRule="auto"/>
        <w:rPr>
          <w:rFonts w:ascii="Times New Roman" w:eastAsia="Times New Roman" w:hAnsi="Times New Roman" w:cs="Times New Roman"/>
          <w:bCs/>
          <w:sz w:val="24"/>
          <w:szCs w:val="24"/>
        </w:rPr>
      </w:pP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46"/>
        <w:gridCol w:w="956"/>
        <w:gridCol w:w="949"/>
        <w:gridCol w:w="957"/>
        <w:gridCol w:w="948"/>
        <w:gridCol w:w="958"/>
        <w:gridCol w:w="949"/>
        <w:gridCol w:w="957"/>
      </w:tblGrid>
      <w:tr w:rsidR="004353B3" w:rsidRPr="00B36D6F" w14:paraId="0D27C781" w14:textId="77777777" w:rsidTr="008962DE">
        <w:trPr>
          <w:trHeight w:val="290"/>
          <w:jc w:val="center"/>
        </w:trPr>
        <w:tc>
          <w:tcPr>
            <w:tcW w:w="8659" w:type="dxa"/>
            <w:gridSpan w:val="9"/>
            <w:tcBorders>
              <w:top w:val="single" w:sz="4" w:space="0" w:color="auto"/>
              <w:left w:val="single" w:sz="4" w:space="0" w:color="auto"/>
              <w:bottom w:val="nil"/>
              <w:right w:val="single" w:sz="4" w:space="0" w:color="auto"/>
            </w:tcBorders>
            <w:shd w:val="clear" w:color="auto" w:fill="auto"/>
            <w:vAlign w:val="center"/>
            <w:hideMark/>
          </w:tcPr>
          <w:p w14:paraId="20EBB266"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Qualified Investments</w:t>
            </w:r>
          </w:p>
        </w:tc>
      </w:tr>
      <w:tr w:rsidR="004353B3" w:rsidRPr="00B36D6F" w14:paraId="6066B58C" w14:textId="77777777" w:rsidTr="008962DE">
        <w:trPr>
          <w:trHeight w:val="300"/>
          <w:jc w:val="center"/>
        </w:trPr>
        <w:tc>
          <w:tcPr>
            <w:tcW w:w="8659" w:type="dxa"/>
            <w:gridSpan w:val="9"/>
            <w:tcBorders>
              <w:top w:val="nil"/>
              <w:left w:val="single" w:sz="4" w:space="0" w:color="auto"/>
              <w:bottom w:val="single" w:sz="4" w:space="0" w:color="auto"/>
              <w:right w:val="single" w:sz="4" w:space="0" w:color="auto"/>
            </w:tcBorders>
            <w:shd w:val="clear" w:color="auto" w:fill="auto"/>
            <w:vAlign w:val="center"/>
            <w:hideMark/>
          </w:tcPr>
          <w:p w14:paraId="4A1D482D" w14:textId="1175F89A"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Assessment Area: </w:t>
            </w:r>
            <w:r w:rsidR="00A31502">
              <w:rPr>
                <w:rFonts w:ascii="Times New Roman" w:eastAsia="Times New Roman" w:hAnsi="Times New Roman"/>
                <w:b/>
                <w:color w:val="000000"/>
                <w:sz w:val="20"/>
              </w:rPr>
              <w:t>RI-MA Multistate MSA</w:t>
            </w:r>
          </w:p>
        </w:tc>
      </w:tr>
      <w:tr w:rsidR="004353B3" w:rsidRPr="00B36D6F" w14:paraId="1CFAD644" w14:textId="77777777" w:rsidTr="008962DE">
        <w:trPr>
          <w:trHeight w:val="300"/>
          <w:jc w:val="center"/>
        </w:trPr>
        <w:tc>
          <w:tcPr>
            <w:tcW w:w="1039" w:type="dxa"/>
            <w:vMerge w:val="restart"/>
            <w:tcBorders>
              <w:top w:val="single" w:sz="4" w:space="0" w:color="auto"/>
            </w:tcBorders>
            <w:shd w:val="clear" w:color="auto" w:fill="auto"/>
            <w:vAlign w:val="center"/>
            <w:hideMark/>
          </w:tcPr>
          <w:p w14:paraId="5F4F9579" w14:textId="77777777" w:rsidR="004353B3" w:rsidRPr="00B36D6F" w:rsidRDefault="004353B3" w:rsidP="004353B3">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Activity Year</w:t>
            </w:r>
          </w:p>
        </w:tc>
        <w:tc>
          <w:tcPr>
            <w:tcW w:w="1902" w:type="dxa"/>
            <w:gridSpan w:val="2"/>
            <w:tcBorders>
              <w:top w:val="single" w:sz="4" w:space="0" w:color="auto"/>
            </w:tcBorders>
            <w:shd w:val="clear" w:color="auto" w:fill="auto"/>
            <w:vAlign w:val="center"/>
            <w:hideMark/>
          </w:tcPr>
          <w:p w14:paraId="0B262617"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Affordable Housing</w:t>
            </w:r>
          </w:p>
        </w:tc>
        <w:tc>
          <w:tcPr>
            <w:tcW w:w="1906" w:type="dxa"/>
            <w:gridSpan w:val="2"/>
            <w:tcBorders>
              <w:top w:val="single" w:sz="4" w:space="0" w:color="auto"/>
            </w:tcBorders>
            <w:shd w:val="clear" w:color="auto" w:fill="auto"/>
            <w:vAlign w:val="center"/>
            <w:hideMark/>
          </w:tcPr>
          <w:p w14:paraId="518FFFBE"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Community Services</w:t>
            </w:r>
          </w:p>
        </w:tc>
        <w:tc>
          <w:tcPr>
            <w:tcW w:w="1906" w:type="dxa"/>
            <w:gridSpan w:val="2"/>
            <w:tcBorders>
              <w:top w:val="single" w:sz="4" w:space="0" w:color="auto"/>
            </w:tcBorders>
            <w:shd w:val="clear" w:color="auto" w:fill="auto"/>
            <w:vAlign w:val="center"/>
            <w:hideMark/>
          </w:tcPr>
          <w:p w14:paraId="1C530F7E"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Economic Development</w:t>
            </w:r>
          </w:p>
        </w:tc>
        <w:tc>
          <w:tcPr>
            <w:tcW w:w="1906" w:type="dxa"/>
            <w:gridSpan w:val="2"/>
            <w:tcBorders>
              <w:top w:val="single" w:sz="4" w:space="0" w:color="auto"/>
            </w:tcBorders>
            <w:shd w:val="clear" w:color="auto" w:fill="auto"/>
            <w:vAlign w:val="center"/>
            <w:hideMark/>
          </w:tcPr>
          <w:p w14:paraId="65703700"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Totals</w:t>
            </w:r>
          </w:p>
        </w:tc>
      </w:tr>
      <w:tr w:rsidR="004353B3" w:rsidRPr="00B36D6F" w14:paraId="768AF480" w14:textId="77777777" w:rsidTr="005840EB">
        <w:trPr>
          <w:trHeight w:val="300"/>
          <w:jc w:val="center"/>
        </w:trPr>
        <w:tc>
          <w:tcPr>
            <w:tcW w:w="1039" w:type="dxa"/>
            <w:vMerge/>
            <w:vAlign w:val="center"/>
            <w:hideMark/>
          </w:tcPr>
          <w:p w14:paraId="5DFAAB52" w14:textId="77777777" w:rsidR="004353B3" w:rsidRPr="00B36D6F" w:rsidRDefault="004353B3" w:rsidP="004353B3">
            <w:pPr>
              <w:spacing w:after="0" w:line="240" w:lineRule="auto"/>
              <w:rPr>
                <w:rFonts w:ascii="Times New Roman" w:eastAsia="Times New Roman" w:hAnsi="Times New Roman" w:cs="Times New Roman"/>
                <w:b/>
                <w:bCs/>
                <w:color w:val="000000"/>
                <w:sz w:val="20"/>
                <w:szCs w:val="20"/>
              </w:rPr>
            </w:pPr>
          </w:p>
        </w:tc>
        <w:tc>
          <w:tcPr>
            <w:tcW w:w="946" w:type="dxa"/>
            <w:shd w:val="clear" w:color="auto" w:fill="auto"/>
            <w:vAlign w:val="center"/>
            <w:hideMark/>
          </w:tcPr>
          <w:p w14:paraId="748B409A"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6" w:type="dxa"/>
            <w:shd w:val="clear" w:color="auto" w:fill="auto"/>
            <w:vAlign w:val="center"/>
            <w:hideMark/>
          </w:tcPr>
          <w:p w14:paraId="1D3A4FA8"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9" w:type="dxa"/>
            <w:shd w:val="clear" w:color="auto" w:fill="auto"/>
            <w:vAlign w:val="center"/>
            <w:hideMark/>
          </w:tcPr>
          <w:p w14:paraId="610E8F4F"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7" w:type="dxa"/>
            <w:shd w:val="clear" w:color="auto" w:fill="auto"/>
            <w:vAlign w:val="center"/>
            <w:hideMark/>
          </w:tcPr>
          <w:p w14:paraId="069CBB25"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8" w:type="dxa"/>
            <w:shd w:val="clear" w:color="auto" w:fill="auto"/>
            <w:vAlign w:val="center"/>
            <w:hideMark/>
          </w:tcPr>
          <w:p w14:paraId="45C42E11"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8" w:type="dxa"/>
            <w:shd w:val="clear" w:color="auto" w:fill="auto"/>
            <w:vAlign w:val="center"/>
            <w:hideMark/>
          </w:tcPr>
          <w:p w14:paraId="122821CA"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c>
          <w:tcPr>
            <w:tcW w:w="949" w:type="dxa"/>
            <w:shd w:val="clear" w:color="auto" w:fill="auto"/>
            <w:vAlign w:val="center"/>
            <w:hideMark/>
          </w:tcPr>
          <w:p w14:paraId="4C19074A"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w:t>
            </w:r>
          </w:p>
        </w:tc>
        <w:tc>
          <w:tcPr>
            <w:tcW w:w="957" w:type="dxa"/>
            <w:shd w:val="clear" w:color="auto" w:fill="auto"/>
            <w:vAlign w:val="center"/>
            <w:hideMark/>
          </w:tcPr>
          <w:p w14:paraId="77399160"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$(000s)</w:t>
            </w:r>
          </w:p>
        </w:tc>
      </w:tr>
      <w:tr w:rsidR="004353B3" w:rsidRPr="00B36D6F" w14:paraId="5644A315" w14:textId="77777777" w:rsidTr="005840EB">
        <w:trPr>
          <w:trHeight w:val="530"/>
          <w:jc w:val="center"/>
        </w:trPr>
        <w:tc>
          <w:tcPr>
            <w:tcW w:w="1039" w:type="dxa"/>
            <w:shd w:val="clear" w:color="auto" w:fill="auto"/>
            <w:vAlign w:val="center"/>
            <w:hideMark/>
          </w:tcPr>
          <w:p w14:paraId="4BD2D09B" w14:textId="77777777" w:rsidR="004353B3" w:rsidRPr="00B36D6F" w:rsidRDefault="004353B3" w:rsidP="004353B3">
            <w:pPr>
              <w:spacing w:after="0" w:line="240" w:lineRule="auto"/>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Prior Period</w:t>
            </w:r>
          </w:p>
        </w:tc>
        <w:tc>
          <w:tcPr>
            <w:tcW w:w="946" w:type="dxa"/>
            <w:shd w:val="clear" w:color="auto" w:fill="auto"/>
            <w:vAlign w:val="center"/>
            <w:hideMark/>
          </w:tcPr>
          <w:p w14:paraId="719998C1" w14:textId="12ABB880"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6" w:type="dxa"/>
            <w:shd w:val="clear" w:color="auto" w:fill="auto"/>
            <w:vAlign w:val="center"/>
            <w:hideMark/>
          </w:tcPr>
          <w:p w14:paraId="2C862B23" w14:textId="0E241334" w:rsidR="004353B3" w:rsidRPr="00B36D6F" w:rsidRDefault="005840EB" w:rsidP="005840E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9" w:type="dxa"/>
            <w:shd w:val="clear" w:color="auto" w:fill="auto"/>
            <w:vAlign w:val="center"/>
            <w:hideMark/>
          </w:tcPr>
          <w:p w14:paraId="32319D7B" w14:textId="70D4007A"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7" w:type="dxa"/>
            <w:shd w:val="clear" w:color="auto" w:fill="auto"/>
            <w:vAlign w:val="center"/>
            <w:hideMark/>
          </w:tcPr>
          <w:p w14:paraId="34734144" w14:textId="6B73CB66"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8" w:type="dxa"/>
            <w:shd w:val="clear" w:color="auto" w:fill="auto"/>
            <w:vAlign w:val="center"/>
            <w:hideMark/>
          </w:tcPr>
          <w:p w14:paraId="449B8F6A" w14:textId="77143D64"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8" w:type="dxa"/>
            <w:shd w:val="clear" w:color="auto" w:fill="auto"/>
            <w:vAlign w:val="center"/>
            <w:hideMark/>
          </w:tcPr>
          <w:p w14:paraId="1ED9BAD0" w14:textId="4F19F215"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9" w:type="dxa"/>
            <w:shd w:val="clear" w:color="auto" w:fill="auto"/>
            <w:vAlign w:val="center"/>
            <w:hideMark/>
          </w:tcPr>
          <w:p w14:paraId="2C621F5D" w14:textId="7A02C559"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57" w:type="dxa"/>
            <w:shd w:val="clear" w:color="auto" w:fill="auto"/>
            <w:vAlign w:val="center"/>
            <w:hideMark/>
          </w:tcPr>
          <w:p w14:paraId="4B59FCD0" w14:textId="4BD59A2F"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4353B3" w:rsidRPr="00B36D6F" w14:paraId="3CE89442" w14:textId="77777777" w:rsidTr="005840EB">
        <w:trPr>
          <w:trHeight w:val="300"/>
          <w:jc w:val="center"/>
        </w:trPr>
        <w:tc>
          <w:tcPr>
            <w:tcW w:w="1039" w:type="dxa"/>
            <w:shd w:val="clear" w:color="auto" w:fill="auto"/>
            <w:vAlign w:val="center"/>
            <w:hideMark/>
          </w:tcPr>
          <w:p w14:paraId="22314F92" w14:textId="77777777" w:rsidR="004353B3" w:rsidRPr="00B36D6F" w:rsidRDefault="004353B3" w:rsidP="004353B3">
            <w:pPr>
              <w:spacing w:after="0" w:line="240" w:lineRule="auto"/>
              <w:jc w:val="right"/>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2018</w:t>
            </w:r>
          </w:p>
        </w:tc>
        <w:tc>
          <w:tcPr>
            <w:tcW w:w="946" w:type="dxa"/>
            <w:shd w:val="clear" w:color="auto" w:fill="auto"/>
            <w:vAlign w:val="center"/>
            <w:hideMark/>
          </w:tcPr>
          <w:p w14:paraId="58C65FF1" w14:textId="71E5B1EB"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6" w:type="dxa"/>
            <w:shd w:val="clear" w:color="auto" w:fill="auto"/>
            <w:vAlign w:val="center"/>
            <w:hideMark/>
          </w:tcPr>
          <w:p w14:paraId="4D5B7A77" w14:textId="5581ED9C"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9" w:type="dxa"/>
            <w:shd w:val="clear" w:color="auto" w:fill="auto"/>
            <w:vAlign w:val="center"/>
            <w:hideMark/>
          </w:tcPr>
          <w:p w14:paraId="4975FFDF"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w:t>
            </w:r>
          </w:p>
        </w:tc>
        <w:tc>
          <w:tcPr>
            <w:tcW w:w="957" w:type="dxa"/>
            <w:shd w:val="clear" w:color="auto" w:fill="auto"/>
            <w:vAlign w:val="center"/>
            <w:hideMark/>
          </w:tcPr>
          <w:p w14:paraId="4EE5E348"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2,741</w:t>
            </w:r>
          </w:p>
        </w:tc>
        <w:tc>
          <w:tcPr>
            <w:tcW w:w="948" w:type="dxa"/>
            <w:shd w:val="clear" w:color="auto" w:fill="auto"/>
            <w:vAlign w:val="center"/>
            <w:hideMark/>
          </w:tcPr>
          <w:p w14:paraId="644D0FC1" w14:textId="536C7494"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58" w:type="dxa"/>
            <w:shd w:val="clear" w:color="auto" w:fill="auto"/>
            <w:vAlign w:val="center"/>
            <w:hideMark/>
          </w:tcPr>
          <w:p w14:paraId="7B624DB4" w14:textId="218B632E" w:rsidR="004353B3" w:rsidRPr="00B36D6F" w:rsidRDefault="005840EB" w:rsidP="004353B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49" w:type="dxa"/>
            <w:shd w:val="clear" w:color="auto" w:fill="auto"/>
            <w:vAlign w:val="center"/>
            <w:hideMark/>
          </w:tcPr>
          <w:p w14:paraId="6E48A066"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733E6D00"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2,741</w:t>
            </w:r>
          </w:p>
        </w:tc>
      </w:tr>
      <w:tr w:rsidR="004353B3" w:rsidRPr="00B36D6F" w14:paraId="2BF03EB2" w14:textId="77777777" w:rsidTr="005840EB">
        <w:trPr>
          <w:trHeight w:val="300"/>
          <w:jc w:val="center"/>
        </w:trPr>
        <w:tc>
          <w:tcPr>
            <w:tcW w:w="1039" w:type="dxa"/>
            <w:shd w:val="clear" w:color="auto" w:fill="auto"/>
            <w:vAlign w:val="center"/>
            <w:hideMark/>
          </w:tcPr>
          <w:p w14:paraId="7142442E" w14:textId="77777777" w:rsidR="004353B3" w:rsidRPr="00B36D6F" w:rsidRDefault="004353B3" w:rsidP="004353B3">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Subtotal</w:t>
            </w:r>
          </w:p>
        </w:tc>
        <w:tc>
          <w:tcPr>
            <w:tcW w:w="946" w:type="dxa"/>
            <w:shd w:val="clear" w:color="auto" w:fill="auto"/>
            <w:vAlign w:val="center"/>
            <w:hideMark/>
          </w:tcPr>
          <w:p w14:paraId="163E9385" w14:textId="575103B8" w:rsidR="004353B3" w:rsidRPr="00B36D6F" w:rsidRDefault="005840EB" w:rsidP="005840E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56" w:type="dxa"/>
            <w:shd w:val="clear" w:color="auto" w:fill="auto"/>
            <w:vAlign w:val="center"/>
            <w:hideMark/>
          </w:tcPr>
          <w:p w14:paraId="79AE2410" w14:textId="2F449E7B"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49" w:type="dxa"/>
            <w:shd w:val="clear" w:color="auto" w:fill="auto"/>
            <w:vAlign w:val="center"/>
            <w:hideMark/>
          </w:tcPr>
          <w:p w14:paraId="28AA7658" w14:textId="10263E0F"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2E8AE39D" w14:textId="3B671725"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2,741</w:t>
            </w:r>
          </w:p>
        </w:tc>
        <w:tc>
          <w:tcPr>
            <w:tcW w:w="948" w:type="dxa"/>
            <w:shd w:val="clear" w:color="auto" w:fill="auto"/>
            <w:vAlign w:val="center"/>
            <w:hideMark/>
          </w:tcPr>
          <w:p w14:paraId="214AC91E" w14:textId="308BD0BA"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58" w:type="dxa"/>
            <w:shd w:val="clear" w:color="auto" w:fill="auto"/>
            <w:vAlign w:val="center"/>
            <w:hideMark/>
          </w:tcPr>
          <w:p w14:paraId="4D123786" w14:textId="1C12278A" w:rsidR="004353B3" w:rsidRPr="00B36D6F" w:rsidRDefault="005840EB"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49" w:type="dxa"/>
            <w:shd w:val="clear" w:color="auto" w:fill="auto"/>
            <w:vAlign w:val="center"/>
            <w:hideMark/>
          </w:tcPr>
          <w:p w14:paraId="3D83F0E2"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w:t>
            </w:r>
          </w:p>
        </w:tc>
        <w:tc>
          <w:tcPr>
            <w:tcW w:w="957" w:type="dxa"/>
            <w:shd w:val="clear" w:color="auto" w:fill="auto"/>
            <w:vAlign w:val="center"/>
            <w:hideMark/>
          </w:tcPr>
          <w:p w14:paraId="09BCD2D0"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2,741</w:t>
            </w:r>
          </w:p>
        </w:tc>
      </w:tr>
      <w:tr w:rsidR="004353B3" w:rsidRPr="00B36D6F" w14:paraId="13E6763E" w14:textId="77777777" w:rsidTr="005840EB">
        <w:trPr>
          <w:trHeight w:val="790"/>
          <w:jc w:val="center"/>
        </w:trPr>
        <w:tc>
          <w:tcPr>
            <w:tcW w:w="1039" w:type="dxa"/>
            <w:shd w:val="clear" w:color="auto" w:fill="auto"/>
            <w:vAlign w:val="center"/>
            <w:hideMark/>
          </w:tcPr>
          <w:p w14:paraId="3AA1F0EE" w14:textId="77777777" w:rsidR="004353B3" w:rsidRPr="00B36D6F" w:rsidRDefault="004353B3" w:rsidP="004353B3">
            <w:pPr>
              <w:spacing w:after="0" w:line="240" w:lineRule="auto"/>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Qualified Grants &amp; Donations</w:t>
            </w:r>
          </w:p>
        </w:tc>
        <w:tc>
          <w:tcPr>
            <w:tcW w:w="946" w:type="dxa"/>
            <w:shd w:val="clear" w:color="auto" w:fill="auto"/>
            <w:vAlign w:val="center"/>
            <w:hideMark/>
          </w:tcPr>
          <w:p w14:paraId="71A4B220"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53</w:t>
            </w:r>
          </w:p>
        </w:tc>
        <w:tc>
          <w:tcPr>
            <w:tcW w:w="956" w:type="dxa"/>
            <w:shd w:val="clear" w:color="auto" w:fill="auto"/>
            <w:vAlign w:val="center"/>
            <w:hideMark/>
          </w:tcPr>
          <w:p w14:paraId="56526365"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134</w:t>
            </w:r>
          </w:p>
        </w:tc>
        <w:tc>
          <w:tcPr>
            <w:tcW w:w="949" w:type="dxa"/>
            <w:shd w:val="clear" w:color="auto" w:fill="auto"/>
            <w:vAlign w:val="center"/>
            <w:hideMark/>
          </w:tcPr>
          <w:p w14:paraId="31BBF794"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310</w:t>
            </w:r>
          </w:p>
        </w:tc>
        <w:tc>
          <w:tcPr>
            <w:tcW w:w="957" w:type="dxa"/>
            <w:shd w:val="clear" w:color="auto" w:fill="auto"/>
            <w:vAlign w:val="center"/>
            <w:hideMark/>
          </w:tcPr>
          <w:p w14:paraId="1315B319"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1,104</w:t>
            </w:r>
          </w:p>
        </w:tc>
        <w:tc>
          <w:tcPr>
            <w:tcW w:w="948" w:type="dxa"/>
            <w:shd w:val="clear" w:color="auto" w:fill="auto"/>
            <w:vAlign w:val="center"/>
            <w:hideMark/>
          </w:tcPr>
          <w:p w14:paraId="428480C0"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14</w:t>
            </w:r>
          </w:p>
        </w:tc>
        <w:tc>
          <w:tcPr>
            <w:tcW w:w="958" w:type="dxa"/>
            <w:shd w:val="clear" w:color="auto" w:fill="auto"/>
            <w:vAlign w:val="center"/>
            <w:hideMark/>
          </w:tcPr>
          <w:p w14:paraId="704C2834" w14:textId="77777777" w:rsidR="004353B3" w:rsidRPr="00B36D6F" w:rsidRDefault="004353B3" w:rsidP="004353B3">
            <w:pPr>
              <w:spacing w:after="0" w:line="240" w:lineRule="auto"/>
              <w:jc w:val="center"/>
              <w:rPr>
                <w:rFonts w:ascii="Times New Roman" w:eastAsia="Times New Roman" w:hAnsi="Times New Roman" w:cs="Times New Roman"/>
                <w:color w:val="000000"/>
                <w:sz w:val="20"/>
                <w:szCs w:val="20"/>
              </w:rPr>
            </w:pPr>
            <w:r w:rsidRPr="00B36D6F">
              <w:rPr>
                <w:rFonts w:ascii="Times New Roman" w:eastAsia="Times New Roman" w:hAnsi="Times New Roman" w:cs="Times New Roman"/>
                <w:color w:val="000000"/>
                <w:sz w:val="20"/>
                <w:szCs w:val="20"/>
              </w:rPr>
              <w:t>25</w:t>
            </w:r>
          </w:p>
        </w:tc>
        <w:tc>
          <w:tcPr>
            <w:tcW w:w="949" w:type="dxa"/>
            <w:shd w:val="clear" w:color="auto" w:fill="auto"/>
            <w:vAlign w:val="center"/>
            <w:hideMark/>
          </w:tcPr>
          <w:p w14:paraId="1917B8BE"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377</w:t>
            </w:r>
          </w:p>
        </w:tc>
        <w:tc>
          <w:tcPr>
            <w:tcW w:w="957" w:type="dxa"/>
            <w:shd w:val="clear" w:color="auto" w:fill="auto"/>
            <w:vAlign w:val="center"/>
            <w:hideMark/>
          </w:tcPr>
          <w:p w14:paraId="3E17034D"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1,263</w:t>
            </w:r>
          </w:p>
        </w:tc>
      </w:tr>
      <w:tr w:rsidR="004353B3" w:rsidRPr="00B36D6F" w14:paraId="7A7D35C9" w14:textId="77777777" w:rsidTr="005840EB">
        <w:trPr>
          <w:trHeight w:val="300"/>
          <w:jc w:val="center"/>
        </w:trPr>
        <w:tc>
          <w:tcPr>
            <w:tcW w:w="1039" w:type="dxa"/>
            <w:shd w:val="clear" w:color="auto" w:fill="auto"/>
            <w:vAlign w:val="center"/>
            <w:hideMark/>
          </w:tcPr>
          <w:p w14:paraId="0B52F720" w14:textId="77777777" w:rsidR="004353B3" w:rsidRPr="00B36D6F" w:rsidRDefault="004353B3" w:rsidP="004353B3">
            <w:pPr>
              <w:spacing w:after="0" w:line="240" w:lineRule="auto"/>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Total</w:t>
            </w:r>
          </w:p>
        </w:tc>
        <w:tc>
          <w:tcPr>
            <w:tcW w:w="946" w:type="dxa"/>
            <w:shd w:val="clear" w:color="auto" w:fill="auto"/>
            <w:vAlign w:val="center"/>
            <w:hideMark/>
          </w:tcPr>
          <w:p w14:paraId="08DF4EDC"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53</w:t>
            </w:r>
          </w:p>
        </w:tc>
        <w:tc>
          <w:tcPr>
            <w:tcW w:w="956" w:type="dxa"/>
            <w:shd w:val="clear" w:color="auto" w:fill="auto"/>
            <w:vAlign w:val="center"/>
            <w:hideMark/>
          </w:tcPr>
          <w:p w14:paraId="79E1054A"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134</w:t>
            </w:r>
          </w:p>
        </w:tc>
        <w:tc>
          <w:tcPr>
            <w:tcW w:w="949" w:type="dxa"/>
            <w:shd w:val="clear" w:color="auto" w:fill="auto"/>
            <w:vAlign w:val="center"/>
            <w:hideMark/>
          </w:tcPr>
          <w:p w14:paraId="4894F100" w14:textId="6444E815"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 </w:t>
            </w:r>
            <w:r w:rsidR="008962DE">
              <w:rPr>
                <w:rFonts w:ascii="Times New Roman" w:eastAsia="Times New Roman" w:hAnsi="Times New Roman" w:cs="Times New Roman"/>
                <w:b/>
                <w:bCs/>
                <w:color w:val="000000"/>
                <w:sz w:val="20"/>
                <w:szCs w:val="20"/>
              </w:rPr>
              <w:t>311</w:t>
            </w:r>
          </w:p>
        </w:tc>
        <w:tc>
          <w:tcPr>
            <w:tcW w:w="957" w:type="dxa"/>
            <w:shd w:val="clear" w:color="auto" w:fill="auto"/>
            <w:vAlign w:val="center"/>
            <w:hideMark/>
          </w:tcPr>
          <w:p w14:paraId="14EE766D" w14:textId="4BE52A48" w:rsidR="004353B3" w:rsidRPr="00B36D6F" w:rsidRDefault="008962DE" w:rsidP="004353B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3,845</w:t>
            </w:r>
          </w:p>
        </w:tc>
        <w:tc>
          <w:tcPr>
            <w:tcW w:w="948" w:type="dxa"/>
            <w:shd w:val="clear" w:color="auto" w:fill="auto"/>
            <w:vAlign w:val="center"/>
            <w:hideMark/>
          </w:tcPr>
          <w:p w14:paraId="1B41FCE1"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14</w:t>
            </w:r>
          </w:p>
        </w:tc>
        <w:tc>
          <w:tcPr>
            <w:tcW w:w="958" w:type="dxa"/>
            <w:shd w:val="clear" w:color="auto" w:fill="auto"/>
            <w:vAlign w:val="center"/>
            <w:hideMark/>
          </w:tcPr>
          <w:p w14:paraId="4D8F0FF1"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25</w:t>
            </w:r>
          </w:p>
        </w:tc>
        <w:tc>
          <w:tcPr>
            <w:tcW w:w="949" w:type="dxa"/>
            <w:shd w:val="clear" w:color="auto" w:fill="auto"/>
            <w:vAlign w:val="center"/>
            <w:hideMark/>
          </w:tcPr>
          <w:p w14:paraId="21CF6A97"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378</w:t>
            </w:r>
          </w:p>
        </w:tc>
        <w:tc>
          <w:tcPr>
            <w:tcW w:w="957" w:type="dxa"/>
            <w:shd w:val="clear" w:color="auto" w:fill="auto"/>
            <w:vAlign w:val="center"/>
            <w:hideMark/>
          </w:tcPr>
          <w:p w14:paraId="2D38E385" w14:textId="77777777" w:rsidR="004353B3" w:rsidRPr="00B36D6F" w:rsidRDefault="004353B3" w:rsidP="004353B3">
            <w:pPr>
              <w:spacing w:after="0" w:line="240" w:lineRule="auto"/>
              <w:jc w:val="center"/>
              <w:rPr>
                <w:rFonts w:ascii="Times New Roman" w:eastAsia="Times New Roman" w:hAnsi="Times New Roman" w:cs="Times New Roman"/>
                <w:b/>
                <w:bCs/>
                <w:color w:val="000000"/>
                <w:sz w:val="20"/>
                <w:szCs w:val="20"/>
              </w:rPr>
            </w:pPr>
            <w:r w:rsidRPr="00B36D6F">
              <w:rPr>
                <w:rFonts w:ascii="Times New Roman" w:eastAsia="Times New Roman" w:hAnsi="Times New Roman" w:cs="Times New Roman"/>
                <w:b/>
                <w:bCs/>
                <w:color w:val="000000"/>
                <w:sz w:val="20"/>
                <w:szCs w:val="20"/>
              </w:rPr>
              <w:t>4,004</w:t>
            </w:r>
          </w:p>
        </w:tc>
      </w:tr>
      <w:tr w:rsidR="004353B3" w:rsidRPr="00B36D6F" w14:paraId="0841F707" w14:textId="77777777" w:rsidTr="005840EB">
        <w:trPr>
          <w:trHeight w:val="300"/>
          <w:jc w:val="center"/>
        </w:trPr>
        <w:tc>
          <w:tcPr>
            <w:tcW w:w="8659" w:type="dxa"/>
            <w:gridSpan w:val="9"/>
            <w:shd w:val="clear" w:color="auto" w:fill="auto"/>
            <w:vAlign w:val="center"/>
            <w:hideMark/>
          </w:tcPr>
          <w:p w14:paraId="3085635F" w14:textId="77777777" w:rsidR="004353B3" w:rsidRPr="00B36D6F" w:rsidRDefault="004353B3" w:rsidP="004353B3">
            <w:pPr>
              <w:spacing w:after="0" w:line="240" w:lineRule="auto"/>
              <w:rPr>
                <w:rFonts w:ascii="Times New Roman" w:eastAsia="Times New Roman" w:hAnsi="Times New Roman" w:cs="Times New Roman"/>
                <w:i/>
                <w:iCs/>
                <w:color w:val="000000"/>
                <w:sz w:val="16"/>
                <w:szCs w:val="16"/>
              </w:rPr>
            </w:pPr>
            <w:r w:rsidRPr="00B36D6F">
              <w:rPr>
                <w:rFonts w:ascii="Times New Roman" w:eastAsia="Times New Roman" w:hAnsi="Times New Roman" w:cs="Times New Roman"/>
                <w:i/>
                <w:iCs/>
                <w:color w:val="000000"/>
                <w:sz w:val="16"/>
                <w:szCs w:val="16"/>
              </w:rPr>
              <w:t>Source:  Bank Data</w:t>
            </w:r>
          </w:p>
        </w:tc>
      </w:tr>
    </w:tbl>
    <w:p w14:paraId="4D8E823F" w14:textId="77777777" w:rsidR="00DA5D41" w:rsidRDefault="00DA5D41" w:rsidP="004353B3">
      <w:pPr>
        <w:spacing w:after="0" w:line="240" w:lineRule="auto"/>
        <w:rPr>
          <w:rFonts w:ascii="Times New Roman" w:hAnsi="Times New Roman" w:cs="Times New Roman"/>
          <w:sz w:val="24"/>
          <w:szCs w:val="24"/>
        </w:rPr>
      </w:pPr>
    </w:p>
    <w:p w14:paraId="2A784706" w14:textId="00521197" w:rsidR="004353B3" w:rsidRPr="00D4531F" w:rsidRDefault="00D4531F" w:rsidP="004353B3">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As a result of</w:t>
      </w:r>
      <w:r w:rsidR="004353B3" w:rsidRPr="00D4531F">
        <w:rPr>
          <w:rFonts w:ascii="Times New Roman" w:hAnsi="Times New Roman" w:cs="Times New Roman"/>
          <w:sz w:val="24"/>
          <w:szCs w:val="24"/>
        </w:rPr>
        <w:t xml:space="preserve"> the acquisition of CCB, HOB assumed operations of the Coastway Cares Foundation</w:t>
      </w:r>
      <w:r w:rsidR="00F456E8">
        <w:rPr>
          <w:rFonts w:ascii="Times New Roman" w:hAnsi="Times New Roman" w:cs="Times New Roman"/>
          <w:sz w:val="24"/>
          <w:szCs w:val="24"/>
        </w:rPr>
        <w:t>,</w:t>
      </w:r>
      <w:r w:rsidRPr="00D4531F">
        <w:rPr>
          <w:rFonts w:ascii="Times New Roman" w:hAnsi="Times New Roman" w:cs="Times New Roman"/>
          <w:sz w:val="24"/>
          <w:szCs w:val="24"/>
        </w:rPr>
        <w:t xml:space="preserve"> purchased</w:t>
      </w:r>
      <w:r w:rsidR="004353B3" w:rsidRPr="00D4531F">
        <w:rPr>
          <w:rFonts w:ascii="Times New Roman" w:hAnsi="Times New Roman" w:cs="Times New Roman"/>
          <w:sz w:val="24"/>
          <w:szCs w:val="24"/>
        </w:rPr>
        <w:t xml:space="preserve"> $2.7 million of funds</w:t>
      </w:r>
      <w:r w:rsidR="00F456E8">
        <w:rPr>
          <w:rFonts w:ascii="Times New Roman" w:hAnsi="Times New Roman" w:cs="Times New Roman"/>
          <w:sz w:val="24"/>
          <w:szCs w:val="24"/>
        </w:rPr>
        <w:t>,</w:t>
      </w:r>
      <w:r w:rsidR="004353B3" w:rsidRPr="00D4531F">
        <w:rPr>
          <w:rFonts w:ascii="Times New Roman" w:hAnsi="Times New Roman" w:cs="Times New Roman"/>
          <w:sz w:val="24"/>
          <w:szCs w:val="24"/>
        </w:rPr>
        <w:t xml:space="preserve"> and </w:t>
      </w:r>
      <w:r w:rsidRPr="00D4531F">
        <w:rPr>
          <w:rFonts w:ascii="Times New Roman" w:hAnsi="Times New Roman" w:cs="Times New Roman"/>
          <w:sz w:val="24"/>
          <w:szCs w:val="24"/>
        </w:rPr>
        <w:t>renamed the</w:t>
      </w:r>
      <w:r w:rsidR="004353B3" w:rsidRPr="00D4531F">
        <w:rPr>
          <w:rFonts w:ascii="Times New Roman" w:hAnsi="Times New Roman" w:cs="Times New Roman"/>
          <w:sz w:val="24"/>
          <w:szCs w:val="24"/>
        </w:rPr>
        <w:t xml:space="preserve"> </w:t>
      </w:r>
      <w:r w:rsidRPr="00D4531F">
        <w:rPr>
          <w:rFonts w:ascii="Times New Roman" w:hAnsi="Times New Roman" w:cs="Times New Roman"/>
          <w:sz w:val="24"/>
          <w:szCs w:val="24"/>
        </w:rPr>
        <w:t>foundation</w:t>
      </w:r>
      <w:r w:rsidR="004353B3" w:rsidRPr="00D4531F">
        <w:rPr>
          <w:rFonts w:ascii="Times New Roman" w:hAnsi="Times New Roman" w:cs="Times New Roman"/>
          <w:sz w:val="24"/>
          <w:szCs w:val="24"/>
        </w:rPr>
        <w:t xml:space="preserve"> HarborOne Foundation RI.</w:t>
      </w:r>
      <w:r w:rsidR="008962DE">
        <w:rPr>
          <w:rFonts w:ascii="Times New Roman" w:hAnsi="Times New Roman" w:cs="Times New Roman"/>
          <w:sz w:val="24"/>
          <w:szCs w:val="24"/>
        </w:rPr>
        <w:t xml:space="preserve">  </w:t>
      </w:r>
      <w:r w:rsidR="004353B3" w:rsidRPr="00D4531F">
        <w:rPr>
          <w:rFonts w:ascii="Times New Roman" w:hAnsi="Times New Roman" w:cs="Times New Roman"/>
          <w:sz w:val="24"/>
          <w:szCs w:val="24"/>
        </w:rPr>
        <w:t xml:space="preserve">Throughout the examination period, the </w:t>
      </w:r>
      <w:r w:rsidR="008962DE">
        <w:rPr>
          <w:rFonts w:ascii="Times New Roman" w:hAnsi="Times New Roman" w:cs="Times New Roman"/>
          <w:sz w:val="24"/>
          <w:szCs w:val="24"/>
        </w:rPr>
        <w:t>b</w:t>
      </w:r>
      <w:r w:rsidR="004353B3" w:rsidRPr="00D4531F">
        <w:rPr>
          <w:rFonts w:ascii="Times New Roman" w:hAnsi="Times New Roman" w:cs="Times New Roman"/>
          <w:sz w:val="24"/>
          <w:szCs w:val="24"/>
        </w:rPr>
        <w:t xml:space="preserve">ank made donations directly through the institution and </w:t>
      </w:r>
      <w:r w:rsidR="008962DE">
        <w:rPr>
          <w:rFonts w:ascii="Times New Roman" w:hAnsi="Times New Roman" w:cs="Times New Roman"/>
          <w:sz w:val="24"/>
          <w:szCs w:val="24"/>
        </w:rPr>
        <w:t>through its foundations</w:t>
      </w:r>
      <w:r w:rsidR="004353B3" w:rsidRPr="00D4531F">
        <w:rPr>
          <w:rFonts w:ascii="Times New Roman" w:hAnsi="Times New Roman" w:cs="Times New Roman"/>
          <w:sz w:val="24"/>
          <w:szCs w:val="24"/>
        </w:rPr>
        <w:t xml:space="preserve">.  The following highlights notable examples of qualified grants and donations benefitting the </w:t>
      </w:r>
      <w:r w:rsidR="008962DE">
        <w:rPr>
          <w:rFonts w:ascii="Times New Roman" w:hAnsi="Times New Roman" w:cs="Times New Roman"/>
          <w:sz w:val="24"/>
          <w:szCs w:val="24"/>
        </w:rPr>
        <w:t>Providence, RI-MA MSA</w:t>
      </w:r>
      <w:r w:rsidR="004353B3" w:rsidRPr="00D4531F">
        <w:rPr>
          <w:rFonts w:ascii="Times New Roman" w:hAnsi="Times New Roman" w:cs="Times New Roman"/>
          <w:sz w:val="24"/>
          <w:szCs w:val="24"/>
        </w:rPr>
        <w:t>.</w:t>
      </w:r>
    </w:p>
    <w:p w14:paraId="63497BA9" w14:textId="77777777" w:rsidR="004353B3" w:rsidRPr="00D4531F" w:rsidRDefault="004353B3" w:rsidP="004353B3">
      <w:pPr>
        <w:spacing w:line="240" w:lineRule="auto"/>
        <w:contextualSpacing/>
        <w:rPr>
          <w:rFonts w:ascii="Times New Roman" w:hAnsi="Times New Roman" w:cs="Times New Roman"/>
          <w:i/>
          <w:sz w:val="24"/>
          <w:szCs w:val="24"/>
        </w:rPr>
      </w:pPr>
    </w:p>
    <w:p w14:paraId="1519E202" w14:textId="3A7E2D45" w:rsidR="004353B3" w:rsidRPr="00D4531F" w:rsidRDefault="004353B3" w:rsidP="004353B3">
      <w:pPr>
        <w:spacing w:line="240" w:lineRule="auto"/>
        <w:contextualSpacing/>
        <w:rPr>
          <w:rFonts w:ascii="Times New Roman" w:hAnsi="Times New Roman" w:cs="Times New Roman"/>
          <w:sz w:val="24"/>
          <w:szCs w:val="24"/>
        </w:rPr>
      </w:pPr>
      <w:r w:rsidRPr="00D4531F">
        <w:rPr>
          <w:rFonts w:ascii="Times New Roman" w:hAnsi="Times New Roman" w:cs="Times New Roman"/>
          <w:i/>
          <w:sz w:val="24"/>
          <w:szCs w:val="24"/>
        </w:rPr>
        <w:t>Capitol Good Fund, South Eastern MA and RI</w:t>
      </w:r>
      <w:r w:rsidR="00D4531F">
        <w:rPr>
          <w:rFonts w:ascii="Times New Roman" w:hAnsi="Times New Roman" w:cs="Times New Roman"/>
          <w:sz w:val="24"/>
          <w:szCs w:val="24"/>
        </w:rPr>
        <w:t xml:space="preserve"> –</w:t>
      </w:r>
      <w:r w:rsidRPr="00D4531F">
        <w:rPr>
          <w:rFonts w:ascii="Times New Roman" w:hAnsi="Times New Roman" w:cs="Times New Roman"/>
          <w:sz w:val="24"/>
          <w:szCs w:val="24"/>
        </w:rPr>
        <w:t xml:space="preserve"> Contributions help fund the Crisis Loan Fund that assists families with unexpected financial or health issues during the </w:t>
      </w:r>
      <w:r w:rsidR="00F456E8">
        <w:rPr>
          <w:rFonts w:ascii="Times New Roman" w:hAnsi="Times New Roman" w:cs="Times New Roman"/>
          <w:sz w:val="24"/>
          <w:szCs w:val="24"/>
        </w:rPr>
        <w:t xml:space="preserve">COVID-19 </w:t>
      </w:r>
      <w:r w:rsidRPr="00D4531F">
        <w:rPr>
          <w:rFonts w:ascii="Times New Roman" w:hAnsi="Times New Roman" w:cs="Times New Roman"/>
          <w:sz w:val="24"/>
          <w:szCs w:val="24"/>
        </w:rPr>
        <w:t>pandemic</w:t>
      </w:r>
      <w:r w:rsidR="00F456E8">
        <w:rPr>
          <w:rFonts w:ascii="Times New Roman" w:hAnsi="Times New Roman" w:cs="Times New Roman"/>
          <w:sz w:val="24"/>
          <w:szCs w:val="24"/>
        </w:rPr>
        <w:t>.</w:t>
      </w:r>
      <w:r w:rsidRPr="00D4531F">
        <w:rPr>
          <w:rFonts w:ascii="Times New Roman" w:hAnsi="Times New Roman" w:cs="Times New Roman"/>
          <w:sz w:val="24"/>
          <w:szCs w:val="24"/>
        </w:rPr>
        <w:t xml:space="preserve"> </w:t>
      </w:r>
      <w:r w:rsidR="00F456E8">
        <w:rPr>
          <w:rFonts w:ascii="Times New Roman" w:hAnsi="Times New Roman" w:cs="Times New Roman"/>
          <w:sz w:val="24"/>
          <w:szCs w:val="24"/>
        </w:rPr>
        <w:t>L</w:t>
      </w:r>
      <w:r w:rsidRPr="00D4531F">
        <w:rPr>
          <w:rFonts w:ascii="Times New Roman" w:hAnsi="Times New Roman" w:cs="Times New Roman"/>
          <w:sz w:val="24"/>
          <w:szCs w:val="24"/>
        </w:rPr>
        <w:t>oans rang</w:t>
      </w:r>
      <w:r w:rsidR="00F456E8">
        <w:rPr>
          <w:rFonts w:ascii="Times New Roman" w:hAnsi="Times New Roman" w:cs="Times New Roman"/>
          <w:sz w:val="24"/>
          <w:szCs w:val="24"/>
        </w:rPr>
        <w:t>e</w:t>
      </w:r>
      <w:r w:rsidRPr="00D4531F">
        <w:rPr>
          <w:rFonts w:ascii="Times New Roman" w:hAnsi="Times New Roman" w:cs="Times New Roman"/>
          <w:sz w:val="24"/>
          <w:szCs w:val="24"/>
        </w:rPr>
        <w:t xml:space="preserve"> from $300-$1,500 and include a </w:t>
      </w:r>
      <w:r w:rsidR="002864D1">
        <w:rPr>
          <w:rFonts w:ascii="Times New Roman" w:hAnsi="Times New Roman" w:cs="Times New Roman"/>
          <w:sz w:val="24"/>
          <w:szCs w:val="24"/>
        </w:rPr>
        <w:t>three-</w:t>
      </w:r>
      <w:r w:rsidRPr="00D4531F">
        <w:rPr>
          <w:rFonts w:ascii="Times New Roman" w:hAnsi="Times New Roman" w:cs="Times New Roman"/>
          <w:sz w:val="24"/>
          <w:szCs w:val="24"/>
        </w:rPr>
        <w:t xml:space="preserve">month deferment period with no payment of interest or principal. </w:t>
      </w:r>
    </w:p>
    <w:p w14:paraId="1D001183" w14:textId="77777777" w:rsidR="004353B3" w:rsidRDefault="004353B3" w:rsidP="004353B3">
      <w:pPr>
        <w:spacing w:line="240" w:lineRule="auto"/>
        <w:contextualSpacing/>
        <w:rPr>
          <w:rFonts w:ascii="Times New Roman" w:hAnsi="Times New Roman" w:cs="Times New Roman"/>
          <w:sz w:val="24"/>
          <w:szCs w:val="24"/>
        </w:rPr>
      </w:pPr>
    </w:p>
    <w:p w14:paraId="26AC9D91" w14:textId="1B332B11" w:rsidR="004353B3" w:rsidRPr="001C03B0" w:rsidRDefault="004353B3" w:rsidP="004353B3">
      <w:pPr>
        <w:spacing w:line="240" w:lineRule="auto"/>
        <w:contextualSpacing/>
        <w:rPr>
          <w:rFonts w:ascii="Times New Roman" w:hAnsi="Times New Roman" w:cs="Times New Roman"/>
          <w:sz w:val="24"/>
          <w:szCs w:val="24"/>
        </w:rPr>
      </w:pPr>
      <w:r w:rsidRPr="00BF0C96">
        <w:rPr>
          <w:rFonts w:ascii="Times New Roman" w:hAnsi="Times New Roman" w:cs="Times New Roman"/>
          <w:i/>
          <w:sz w:val="24"/>
          <w:szCs w:val="24"/>
        </w:rPr>
        <w:t>ONE Neighborhood Builders, Providence</w:t>
      </w:r>
      <w:r w:rsidR="00D4531F">
        <w:rPr>
          <w:rFonts w:ascii="Times New Roman" w:hAnsi="Times New Roman" w:cs="Times New Roman"/>
          <w:sz w:val="24"/>
          <w:szCs w:val="24"/>
        </w:rPr>
        <w:t xml:space="preserve"> –</w:t>
      </w:r>
      <w:r>
        <w:rPr>
          <w:rFonts w:ascii="Times New Roman" w:hAnsi="Times New Roman" w:cs="Times New Roman"/>
          <w:sz w:val="24"/>
          <w:szCs w:val="24"/>
        </w:rPr>
        <w:t xml:space="preserve"> Donations support the Neighborhood Builders wireless project to provide reliable internet access to historically disadvantaged neighborhoods of Olneyville, a neighborhood in Providence, RI.  Currently, 40</w:t>
      </w:r>
      <w:r w:rsidR="002864D1">
        <w:rPr>
          <w:rFonts w:ascii="Times New Roman" w:hAnsi="Times New Roman" w:cs="Times New Roman"/>
          <w:sz w:val="24"/>
          <w:szCs w:val="24"/>
        </w:rPr>
        <w:t xml:space="preserve"> percent</w:t>
      </w:r>
      <w:r>
        <w:rPr>
          <w:rFonts w:ascii="Times New Roman" w:hAnsi="Times New Roman" w:cs="Times New Roman"/>
          <w:sz w:val="24"/>
          <w:szCs w:val="24"/>
        </w:rPr>
        <w:t xml:space="preserve"> of residents lack online capability, which substantially limits educational opportunities, socialization, work</w:t>
      </w:r>
      <w:r w:rsidR="00F456E8">
        <w:rPr>
          <w:rFonts w:ascii="Times New Roman" w:hAnsi="Times New Roman" w:cs="Times New Roman"/>
          <w:sz w:val="24"/>
          <w:szCs w:val="24"/>
        </w:rPr>
        <w:t>,</w:t>
      </w:r>
      <w:r>
        <w:rPr>
          <w:rFonts w:ascii="Times New Roman" w:hAnsi="Times New Roman" w:cs="Times New Roman"/>
          <w:sz w:val="24"/>
          <w:szCs w:val="24"/>
        </w:rPr>
        <w:t xml:space="preserve"> and other services. </w:t>
      </w:r>
    </w:p>
    <w:p w14:paraId="47258863" w14:textId="77777777" w:rsidR="004353B3" w:rsidRDefault="004353B3" w:rsidP="004353B3">
      <w:pPr>
        <w:spacing w:line="240" w:lineRule="auto"/>
        <w:contextualSpacing/>
        <w:rPr>
          <w:rFonts w:ascii="Times New Roman" w:hAnsi="Times New Roman" w:cs="Times New Roman"/>
          <w:i/>
          <w:sz w:val="24"/>
          <w:szCs w:val="24"/>
        </w:rPr>
      </w:pPr>
    </w:p>
    <w:p w14:paraId="05EE0719" w14:textId="5962CCD1" w:rsidR="004353B3" w:rsidRPr="001C03B0" w:rsidRDefault="004353B3" w:rsidP="004353B3">
      <w:pPr>
        <w:spacing w:line="240" w:lineRule="auto"/>
        <w:contextualSpacing/>
        <w:rPr>
          <w:rFonts w:ascii="Times New Roman" w:hAnsi="Times New Roman" w:cs="Times New Roman"/>
          <w:sz w:val="24"/>
          <w:szCs w:val="24"/>
        </w:rPr>
      </w:pPr>
      <w:r w:rsidRPr="00BF0C96">
        <w:rPr>
          <w:rFonts w:ascii="Times New Roman" w:hAnsi="Times New Roman" w:cs="Times New Roman"/>
          <w:i/>
          <w:sz w:val="24"/>
          <w:szCs w:val="24"/>
        </w:rPr>
        <w:t>Harvest for Hunger</w:t>
      </w:r>
      <w:r w:rsidR="00D4531F">
        <w:rPr>
          <w:rFonts w:ascii="Times New Roman" w:hAnsi="Times New Roman" w:cs="Times New Roman"/>
          <w:i/>
          <w:sz w:val="24"/>
          <w:szCs w:val="24"/>
        </w:rPr>
        <w:t xml:space="preserve"> </w:t>
      </w:r>
      <w:r w:rsidR="00D4531F">
        <w:rPr>
          <w:rFonts w:ascii="Times New Roman" w:hAnsi="Times New Roman" w:cs="Times New Roman"/>
          <w:sz w:val="24"/>
          <w:szCs w:val="24"/>
        </w:rPr>
        <w:t>–</w:t>
      </w:r>
      <w:r>
        <w:rPr>
          <w:rFonts w:ascii="Times New Roman" w:hAnsi="Times New Roman" w:cs="Times New Roman"/>
          <w:sz w:val="24"/>
          <w:szCs w:val="24"/>
        </w:rPr>
        <w:t xml:space="preserve"> Harvest for Hunger was established by </w:t>
      </w:r>
      <w:r w:rsidR="00D4531F">
        <w:rPr>
          <w:rFonts w:ascii="Times New Roman" w:hAnsi="Times New Roman" w:cs="Times New Roman"/>
          <w:sz w:val="24"/>
          <w:szCs w:val="24"/>
        </w:rPr>
        <w:t>HOB</w:t>
      </w:r>
      <w:r>
        <w:rPr>
          <w:rFonts w:ascii="Times New Roman" w:hAnsi="Times New Roman" w:cs="Times New Roman"/>
          <w:sz w:val="24"/>
          <w:szCs w:val="24"/>
        </w:rPr>
        <w:t xml:space="preserve"> to raise awareness and provide assistance to food insecurity in underserved populations of the region.</w:t>
      </w:r>
      <w:r w:rsidR="002864D1">
        <w:rPr>
          <w:rFonts w:ascii="Times New Roman" w:hAnsi="Times New Roman" w:cs="Times New Roman"/>
          <w:sz w:val="24"/>
          <w:szCs w:val="24"/>
        </w:rPr>
        <w:t xml:space="preserve"> </w:t>
      </w:r>
      <w:r>
        <w:rPr>
          <w:rFonts w:ascii="Times New Roman" w:hAnsi="Times New Roman" w:cs="Times New Roman"/>
          <w:sz w:val="24"/>
          <w:szCs w:val="24"/>
        </w:rPr>
        <w:t xml:space="preserve"> The program provides monetary support to local food pantries throughout the assessment area. </w:t>
      </w:r>
      <w:r w:rsidR="00D4531F">
        <w:rPr>
          <w:rFonts w:ascii="Times New Roman" w:hAnsi="Times New Roman" w:cs="Times New Roman"/>
          <w:sz w:val="24"/>
          <w:szCs w:val="24"/>
        </w:rPr>
        <w:t xml:space="preserve"> </w:t>
      </w:r>
      <w:r>
        <w:rPr>
          <w:rFonts w:ascii="Times New Roman" w:hAnsi="Times New Roman" w:cs="Times New Roman"/>
          <w:sz w:val="24"/>
          <w:szCs w:val="24"/>
        </w:rPr>
        <w:t xml:space="preserve">During the </w:t>
      </w:r>
      <w:r w:rsidR="00D4531F">
        <w:rPr>
          <w:rFonts w:ascii="Times New Roman" w:hAnsi="Times New Roman" w:cs="Times New Roman"/>
          <w:sz w:val="24"/>
          <w:szCs w:val="24"/>
        </w:rPr>
        <w:t>evaluation</w:t>
      </w:r>
      <w:r>
        <w:rPr>
          <w:rFonts w:ascii="Times New Roman" w:hAnsi="Times New Roman" w:cs="Times New Roman"/>
          <w:sz w:val="24"/>
          <w:szCs w:val="24"/>
        </w:rPr>
        <w:t xml:space="preserve"> period, </w:t>
      </w:r>
      <w:r w:rsidR="00D4531F">
        <w:rPr>
          <w:rFonts w:ascii="Times New Roman" w:hAnsi="Times New Roman" w:cs="Times New Roman"/>
          <w:sz w:val="24"/>
          <w:szCs w:val="24"/>
        </w:rPr>
        <w:t>HOB</w:t>
      </w:r>
      <w:r>
        <w:rPr>
          <w:rFonts w:ascii="Times New Roman" w:hAnsi="Times New Roman" w:cs="Times New Roman"/>
          <w:sz w:val="24"/>
          <w:szCs w:val="24"/>
        </w:rPr>
        <w:t xml:space="preserve"> provided contributions directly benefiting Rhode Island Community Food Bank and West Bay Community Action, which serves the Warwick</w:t>
      </w:r>
      <w:r w:rsidR="00F456E8">
        <w:rPr>
          <w:rFonts w:ascii="Times New Roman" w:hAnsi="Times New Roman" w:cs="Times New Roman"/>
          <w:sz w:val="24"/>
          <w:szCs w:val="24"/>
        </w:rPr>
        <w:t>,</w:t>
      </w:r>
      <w:r>
        <w:rPr>
          <w:rFonts w:ascii="Times New Roman" w:hAnsi="Times New Roman" w:cs="Times New Roman"/>
          <w:sz w:val="24"/>
          <w:szCs w:val="24"/>
        </w:rPr>
        <w:t xml:space="preserve"> Rhode Island neighborhoods.  </w:t>
      </w:r>
    </w:p>
    <w:p w14:paraId="1793085A" w14:textId="77777777" w:rsidR="004353B3" w:rsidRPr="001C03B0" w:rsidRDefault="004353B3" w:rsidP="004353B3">
      <w:pPr>
        <w:spacing w:after="0" w:line="240" w:lineRule="auto"/>
        <w:rPr>
          <w:rFonts w:ascii="Times New Roman" w:eastAsia="Times New Roman" w:hAnsi="Times New Roman" w:cs="Times New Roman"/>
          <w:b/>
          <w:bCs/>
          <w:sz w:val="24"/>
          <w:szCs w:val="24"/>
          <w:u w:val="single"/>
        </w:rPr>
      </w:pPr>
    </w:p>
    <w:p w14:paraId="7EB415FF" w14:textId="77777777" w:rsidR="004353B3" w:rsidRPr="00E50970" w:rsidRDefault="004353B3" w:rsidP="004353B3">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u w:val="single"/>
        </w:rPr>
        <w:t>Responsiveness to Credit and Community Development Needs</w:t>
      </w:r>
    </w:p>
    <w:p w14:paraId="5DBCC568" w14:textId="77777777" w:rsidR="004353B3" w:rsidRPr="00E915F5" w:rsidRDefault="004353B3" w:rsidP="004353B3">
      <w:pPr>
        <w:spacing w:line="240" w:lineRule="auto"/>
        <w:contextualSpacing/>
        <w:rPr>
          <w:rFonts w:ascii="Times New Roman" w:hAnsi="Times New Roman" w:cs="Times New Roman"/>
          <w:sz w:val="24"/>
          <w:szCs w:val="24"/>
        </w:rPr>
      </w:pPr>
    </w:p>
    <w:p w14:paraId="2DEE04AB" w14:textId="5ADFBA1C" w:rsidR="004353B3" w:rsidRPr="00322EF5" w:rsidRDefault="004353B3" w:rsidP="004353B3">
      <w:pPr>
        <w:spacing w:line="240" w:lineRule="auto"/>
        <w:contextualSpacing/>
        <w:rPr>
          <w:rFonts w:ascii="Times New Roman" w:hAnsi="Times New Roman" w:cs="Times New Roman"/>
          <w:sz w:val="24"/>
          <w:szCs w:val="24"/>
        </w:rPr>
      </w:pPr>
      <w:r w:rsidRPr="00322EF5">
        <w:rPr>
          <w:rFonts w:ascii="Times New Roman" w:hAnsi="Times New Roman" w:cs="Times New Roman"/>
          <w:color w:val="141414"/>
          <w:sz w:val="24"/>
          <w:szCs w:val="24"/>
        </w:rPr>
        <w:t xml:space="preserve">The bank exhibits </w:t>
      </w:r>
      <w:r>
        <w:rPr>
          <w:rFonts w:ascii="Times New Roman" w:hAnsi="Times New Roman" w:cs="Times New Roman"/>
          <w:color w:val="141414"/>
          <w:sz w:val="24"/>
          <w:szCs w:val="24"/>
        </w:rPr>
        <w:t>good</w:t>
      </w:r>
      <w:r w:rsidRPr="00322EF5">
        <w:rPr>
          <w:rFonts w:ascii="Times New Roman" w:hAnsi="Times New Roman" w:cs="Times New Roman"/>
          <w:color w:val="141414"/>
          <w:sz w:val="24"/>
          <w:szCs w:val="24"/>
        </w:rPr>
        <w:t xml:space="preserve"> responsiveness to credit and community development needs</w:t>
      </w:r>
      <w:r>
        <w:rPr>
          <w:rFonts w:ascii="Times New Roman" w:hAnsi="Times New Roman" w:cs="Times New Roman"/>
          <w:color w:val="141414"/>
          <w:sz w:val="24"/>
          <w:szCs w:val="24"/>
        </w:rPr>
        <w:t xml:space="preserve"> in the Rhode Island assessment area</w:t>
      </w:r>
      <w:r w:rsidRPr="00322EF5">
        <w:rPr>
          <w:rFonts w:ascii="Times New Roman" w:hAnsi="Times New Roman" w:cs="Times New Roman"/>
          <w:color w:val="141414"/>
          <w:sz w:val="24"/>
          <w:szCs w:val="24"/>
        </w:rPr>
        <w:t>.</w:t>
      </w:r>
      <w:r w:rsidR="002864D1">
        <w:rPr>
          <w:rFonts w:ascii="Times New Roman" w:hAnsi="Times New Roman" w:cs="Times New Roman"/>
          <w:color w:val="141414"/>
          <w:sz w:val="24"/>
          <w:szCs w:val="24"/>
        </w:rPr>
        <w:t xml:space="preserve"> </w:t>
      </w:r>
      <w:r w:rsidRPr="00322EF5">
        <w:rPr>
          <w:rFonts w:ascii="Times New Roman" w:hAnsi="Times New Roman" w:cs="Times New Roman"/>
          <w:color w:val="141414"/>
          <w:sz w:val="24"/>
          <w:szCs w:val="24"/>
        </w:rPr>
        <w:t xml:space="preserve"> </w:t>
      </w:r>
      <w:r w:rsidR="002864D1">
        <w:rPr>
          <w:rFonts w:ascii="Times New Roman" w:hAnsi="Times New Roman" w:cs="Times New Roman"/>
          <w:sz w:val="24"/>
          <w:szCs w:val="24"/>
        </w:rPr>
        <w:t>HarborOne Foundation RI</w:t>
      </w:r>
      <w:r w:rsidRPr="00322EF5">
        <w:rPr>
          <w:rFonts w:ascii="Times New Roman" w:hAnsi="Times New Roman" w:cs="Times New Roman"/>
          <w:sz w:val="24"/>
          <w:szCs w:val="24"/>
        </w:rPr>
        <w:t xml:space="preserve"> extend</w:t>
      </w:r>
      <w:r w:rsidR="002864D1">
        <w:rPr>
          <w:rFonts w:ascii="Times New Roman" w:hAnsi="Times New Roman" w:cs="Times New Roman"/>
          <w:sz w:val="24"/>
          <w:szCs w:val="24"/>
        </w:rPr>
        <w:t>s</w:t>
      </w:r>
      <w:r w:rsidRPr="00322EF5">
        <w:rPr>
          <w:rFonts w:ascii="Times New Roman" w:hAnsi="Times New Roman" w:cs="Times New Roman"/>
          <w:sz w:val="24"/>
          <w:szCs w:val="24"/>
        </w:rPr>
        <w:t xml:space="preserve"> </w:t>
      </w:r>
      <w:r>
        <w:rPr>
          <w:rFonts w:ascii="Times New Roman" w:hAnsi="Times New Roman" w:cs="Times New Roman"/>
          <w:sz w:val="24"/>
          <w:szCs w:val="24"/>
        </w:rPr>
        <w:t>HOB’s</w:t>
      </w:r>
      <w:r w:rsidRPr="00322EF5">
        <w:rPr>
          <w:rFonts w:ascii="Times New Roman" w:hAnsi="Times New Roman" w:cs="Times New Roman"/>
          <w:sz w:val="24"/>
          <w:szCs w:val="24"/>
        </w:rPr>
        <w:t xml:space="preserve"> responsiveness and provides grants to organizations within Rhode Island that are focused on providing families and individuals with programs and services that provide for education that fuels economic success, opportunities for safe and affordable housing, and basic human needs. </w:t>
      </w:r>
    </w:p>
    <w:p w14:paraId="1F35DE74" w14:textId="77777777" w:rsidR="004353B3" w:rsidRPr="00E915F5" w:rsidRDefault="004353B3" w:rsidP="004353B3">
      <w:pPr>
        <w:spacing w:after="0" w:line="240" w:lineRule="auto"/>
        <w:rPr>
          <w:rFonts w:ascii="Times New Roman" w:eastAsia="Times New Roman" w:hAnsi="Times New Roman" w:cs="Times New Roman"/>
          <w:bCs/>
          <w:sz w:val="24"/>
          <w:szCs w:val="24"/>
        </w:rPr>
      </w:pPr>
    </w:p>
    <w:p w14:paraId="70A3C2CF" w14:textId="77777777" w:rsidR="004353B3" w:rsidRPr="00E50970" w:rsidRDefault="004353B3" w:rsidP="004353B3">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u w:val="single"/>
        </w:rPr>
        <w:t>Community Development Initiatives</w:t>
      </w:r>
    </w:p>
    <w:p w14:paraId="557561A7" w14:textId="77777777" w:rsidR="004353B3" w:rsidRDefault="004353B3" w:rsidP="004353B3">
      <w:pPr>
        <w:spacing w:after="0" w:line="240" w:lineRule="auto"/>
        <w:rPr>
          <w:rFonts w:ascii="Helvetica" w:hAnsi="Helvetica"/>
          <w:color w:val="141414"/>
          <w:sz w:val="27"/>
          <w:szCs w:val="27"/>
        </w:rPr>
      </w:pPr>
    </w:p>
    <w:p w14:paraId="13303796" w14:textId="45D96493" w:rsidR="004353B3" w:rsidRPr="00322EF5" w:rsidRDefault="004353B3" w:rsidP="004353B3">
      <w:pPr>
        <w:spacing w:after="0" w:line="240" w:lineRule="auto"/>
        <w:rPr>
          <w:rFonts w:ascii="Times New Roman" w:eastAsia="Times New Roman" w:hAnsi="Times New Roman" w:cs="Times New Roman"/>
          <w:iCs/>
          <w:sz w:val="24"/>
          <w:szCs w:val="24"/>
        </w:rPr>
      </w:pPr>
      <w:r w:rsidRPr="00322EF5">
        <w:rPr>
          <w:rFonts w:ascii="Times New Roman" w:hAnsi="Times New Roman" w:cs="Times New Roman"/>
          <w:color w:val="141414"/>
          <w:sz w:val="24"/>
          <w:szCs w:val="24"/>
        </w:rPr>
        <w:t xml:space="preserve">The bank makes </w:t>
      </w:r>
      <w:r w:rsidR="002864D1">
        <w:rPr>
          <w:rFonts w:ascii="Times New Roman" w:hAnsi="Times New Roman" w:cs="Times New Roman"/>
          <w:color w:val="141414"/>
          <w:sz w:val="24"/>
          <w:szCs w:val="24"/>
        </w:rPr>
        <w:t>occasional</w:t>
      </w:r>
      <w:r w:rsidRPr="00322EF5">
        <w:rPr>
          <w:rFonts w:ascii="Times New Roman" w:hAnsi="Times New Roman" w:cs="Times New Roman"/>
          <w:color w:val="141414"/>
          <w:sz w:val="24"/>
          <w:szCs w:val="24"/>
        </w:rPr>
        <w:t xml:space="preserve"> use of innovative or complex qualified investments.  </w:t>
      </w:r>
      <w:r w:rsidRPr="00322EF5">
        <w:rPr>
          <w:rFonts w:ascii="Times New Roman" w:hAnsi="Times New Roman" w:cs="Times New Roman"/>
          <w:sz w:val="24"/>
          <w:szCs w:val="24"/>
        </w:rPr>
        <w:t>H</w:t>
      </w:r>
      <w:r>
        <w:rPr>
          <w:rFonts w:ascii="Times New Roman" w:hAnsi="Times New Roman" w:cs="Times New Roman"/>
          <w:sz w:val="24"/>
          <w:szCs w:val="24"/>
        </w:rPr>
        <w:t xml:space="preserve">OB </w:t>
      </w:r>
      <w:r w:rsidRPr="00322EF5">
        <w:rPr>
          <w:rFonts w:ascii="Times New Roman" w:hAnsi="Times New Roman" w:cs="Times New Roman"/>
          <w:sz w:val="24"/>
          <w:szCs w:val="24"/>
        </w:rPr>
        <w:t xml:space="preserve">focused much of its charitable contributions on low- and moderate-income residents, at-risk youth, </w:t>
      </w:r>
      <w:r w:rsidR="00F456E8">
        <w:rPr>
          <w:rFonts w:ascii="Times New Roman" w:hAnsi="Times New Roman" w:cs="Times New Roman"/>
          <w:sz w:val="24"/>
          <w:szCs w:val="24"/>
        </w:rPr>
        <w:t xml:space="preserve">and </w:t>
      </w:r>
      <w:r w:rsidRPr="00322EF5">
        <w:rPr>
          <w:rFonts w:ascii="Times New Roman" w:hAnsi="Times New Roman" w:cs="Times New Roman"/>
          <w:sz w:val="24"/>
          <w:szCs w:val="24"/>
        </w:rPr>
        <w:t>elderly and veteran populations</w:t>
      </w:r>
      <w:r w:rsidR="00F456E8">
        <w:rPr>
          <w:rFonts w:ascii="Times New Roman" w:hAnsi="Times New Roman" w:cs="Times New Roman"/>
          <w:sz w:val="24"/>
          <w:szCs w:val="24"/>
        </w:rPr>
        <w:t>,</w:t>
      </w:r>
      <w:r w:rsidRPr="00322EF5">
        <w:rPr>
          <w:rFonts w:ascii="Times New Roman" w:hAnsi="Times New Roman" w:cs="Times New Roman"/>
          <w:sz w:val="24"/>
          <w:szCs w:val="24"/>
        </w:rPr>
        <w:t xml:space="preserve"> while creating innovative strategies for stimulating growth of small business and constructive development intended to fuel revitalization of some of the region’s least robust areas.</w:t>
      </w:r>
    </w:p>
    <w:p w14:paraId="3BD128E5" w14:textId="77777777" w:rsidR="004353B3" w:rsidRDefault="004353B3" w:rsidP="004353B3">
      <w:pPr>
        <w:spacing w:after="0" w:line="240" w:lineRule="auto"/>
        <w:rPr>
          <w:rFonts w:ascii="Times New Roman" w:eastAsia="Times New Roman" w:hAnsi="Times New Roman" w:cs="Times New Roman"/>
          <w:iCs/>
          <w:sz w:val="24"/>
          <w:szCs w:val="24"/>
        </w:rPr>
      </w:pPr>
    </w:p>
    <w:p w14:paraId="621AA3E5" w14:textId="77777777" w:rsidR="004353B3" w:rsidRPr="00E50970" w:rsidRDefault="004353B3" w:rsidP="004353B3">
      <w:pPr>
        <w:spacing w:after="0" w:line="240" w:lineRule="auto"/>
        <w:rPr>
          <w:rFonts w:ascii="Times New Roman" w:eastAsia="Times New Roman" w:hAnsi="Times New Roman" w:cs="Times New Roman"/>
          <w:iCs/>
          <w:sz w:val="24"/>
          <w:szCs w:val="24"/>
        </w:rPr>
      </w:pPr>
    </w:p>
    <w:p w14:paraId="330E65B4" w14:textId="77777777" w:rsidR="004353B3" w:rsidRPr="00E50970" w:rsidRDefault="004353B3" w:rsidP="004353B3">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SERVICE TEST</w:t>
      </w:r>
    </w:p>
    <w:p w14:paraId="4A60783E" w14:textId="77777777" w:rsidR="004353B3" w:rsidRPr="00D15DEB" w:rsidRDefault="004353B3" w:rsidP="004353B3">
      <w:pPr>
        <w:spacing w:after="0" w:line="240" w:lineRule="auto"/>
        <w:contextualSpacing/>
        <w:rPr>
          <w:rFonts w:ascii="Times New Roman" w:eastAsia="Times New Roman" w:hAnsi="Times New Roman" w:cs="Times New Roman"/>
          <w:sz w:val="24"/>
          <w:szCs w:val="24"/>
        </w:rPr>
      </w:pPr>
    </w:p>
    <w:p w14:paraId="5684B2A6" w14:textId="159B84AA" w:rsidR="00D26FF7" w:rsidRDefault="004353B3" w:rsidP="004353B3">
      <w:pPr>
        <w:pStyle w:val="CommentText"/>
        <w:rPr>
          <w:color w:val="141414"/>
          <w:sz w:val="24"/>
          <w:szCs w:val="24"/>
        </w:rPr>
      </w:pPr>
      <w:r w:rsidRPr="005E7280">
        <w:rPr>
          <w:sz w:val="24"/>
          <w:szCs w:val="24"/>
        </w:rPr>
        <w:t xml:space="preserve">The bank’s Service Test performance in the </w:t>
      </w:r>
      <w:r w:rsidR="002864D1">
        <w:rPr>
          <w:sz w:val="24"/>
          <w:szCs w:val="24"/>
        </w:rPr>
        <w:t>Providence, RI-MA MSA</w:t>
      </w:r>
      <w:r w:rsidRPr="005E7280">
        <w:rPr>
          <w:sz w:val="24"/>
          <w:szCs w:val="24"/>
        </w:rPr>
        <w:t xml:space="preserve"> is rated </w:t>
      </w:r>
      <w:r w:rsidR="00D26FF7">
        <w:rPr>
          <w:sz w:val="24"/>
          <w:szCs w:val="24"/>
        </w:rPr>
        <w:t>Outstanding</w:t>
      </w:r>
      <w:r w:rsidRPr="005E7280">
        <w:rPr>
          <w:sz w:val="24"/>
          <w:szCs w:val="24"/>
        </w:rPr>
        <w:t>.</w:t>
      </w:r>
      <w:r w:rsidR="002864D1">
        <w:rPr>
          <w:color w:val="141414"/>
          <w:sz w:val="24"/>
          <w:szCs w:val="24"/>
        </w:rPr>
        <w:t xml:space="preserve"> </w:t>
      </w:r>
      <w:r w:rsidR="00C23380">
        <w:rPr>
          <w:color w:val="141414"/>
          <w:sz w:val="24"/>
          <w:szCs w:val="24"/>
        </w:rPr>
        <w:t xml:space="preserve"> </w:t>
      </w:r>
      <w:r w:rsidR="002864D1">
        <w:rPr>
          <w:color w:val="141414"/>
          <w:sz w:val="24"/>
          <w:szCs w:val="24"/>
        </w:rPr>
        <w:t>The b</w:t>
      </w:r>
      <w:r w:rsidRPr="005E7280">
        <w:rPr>
          <w:color w:val="141414"/>
          <w:sz w:val="24"/>
          <w:szCs w:val="24"/>
        </w:rPr>
        <w:t xml:space="preserve">ank’s service delivery systems are accessible to geographies and individuals of different income levels in its assessment area.  To the extent changes have been made, its record of opening and </w:t>
      </w:r>
      <w:r w:rsidRPr="005E7280">
        <w:rPr>
          <w:color w:val="141414"/>
          <w:sz w:val="24"/>
          <w:szCs w:val="24"/>
        </w:rPr>
        <w:lastRenderedPageBreak/>
        <w:t xml:space="preserve">closing branches has improved the accessibility of its delivery systems, particularly in low- and moderate-income geographies and to low- and moderate-income individuals.  Its services (including, where appropriate, business hours) do not vary in a way that inconveniences </w:t>
      </w:r>
      <w:r w:rsidR="002864D1">
        <w:rPr>
          <w:color w:val="141414"/>
          <w:sz w:val="24"/>
          <w:szCs w:val="24"/>
        </w:rPr>
        <w:t xml:space="preserve">certain portions of </w:t>
      </w:r>
      <w:r w:rsidRPr="005E7280">
        <w:rPr>
          <w:color w:val="141414"/>
          <w:sz w:val="24"/>
          <w:szCs w:val="24"/>
        </w:rPr>
        <w:t xml:space="preserve">its assessment area, particularly low- and moderate-income geographies and low- and moderate-income individuals. </w:t>
      </w:r>
      <w:r w:rsidR="002864D1">
        <w:rPr>
          <w:color w:val="141414"/>
          <w:sz w:val="24"/>
          <w:szCs w:val="24"/>
        </w:rPr>
        <w:t xml:space="preserve"> </w:t>
      </w:r>
      <w:r w:rsidRPr="005E7280">
        <w:rPr>
          <w:color w:val="141414"/>
          <w:sz w:val="24"/>
          <w:szCs w:val="24"/>
        </w:rPr>
        <w:t xml:space="preserve">The </w:t>
      </w:r>
      <w:r w:rsidR="00F456E8">
        <w:rPr>
          <w:color w:val="141414"/>
          <w:sz w:val="24"/>
          <w:szCs w:val="24"/>
        </w:rPr>
        <w:t>b</w:t>
      </w:r>
      <w:r w:rsidRPr="005E7280">
        <w:rPr>
          <w:color w:val="141414"/>
          <w:sz w:val="24"/>
          <w:szCs w:val="24"/>
        </w:rPr>
        <w:t>ank is a leader in providing community development service</w:t>
      </w:r>
      <w:r w:rsidR="00D26FF7">
        <w:rPr>
          <w:color w:val="141414"/>
          <w:sz w:val="24"/>
          <w:szCs w:val="24"/>
        </w:rPr>
        <w:t>s</w:t>
      </w:r>
      <w:r w:rsidRPr="005E7280">
        <w:rPr>
          <w:color w:val="141414"/>
          <w:sz w:val="24"/>
          <w:szCs w:val="24"/>
        </w:rPr>
        <w:t xml:space="preserve"> in the </w:t>
      </w:r>
      <w:r w:rsidR="00D26FF7">
        <w:rPr>
          <w:color w:val="141414"/>
          <w:sz w:val="24"/>
          <w:szCs w:val="24"/>
        </w:rPr>
        <w:t>Providence, RI-MA MSA</w:t>
      </w:r>
      <w:r w:rsidRPr="005E7280">
        <w:rPr>
          <w:color w:val="141414"/>
          <w:sz w:val="24"/>
          <w:szCs w:val="24"/>
        </w:rPr>
        <w:t xml:space="preserve">. </w:t>
      </w:r>
      <w:r w:rsidR="00D4531F">
        <w:rPr>
          <w:color w:val="141414"/>
          <w:sz w:val="24"/>
          <w:szCs w:val="24"/>
        </w:rPr>
        <w:t xml:space="preserve"> </w:t>
      </w:r>
    </w:p>
    <w:p w14:paraId="7810A1F9" w14:textId="77777777" w:rsidR="00D26FF7" w:rsidRDefault="00D26FF7" w:rsidP="004353B3">
      <w:pPr>
        <w:pStyle w:val="CommentText"/>
        <w:rPr>
          <w:color w:val="141414"/>
          <w:sz w:val="24"/>
          <w:szCs w:val="24"/>
        </w:rPr>
      </w:pPr>
    </w:p>
    <w:p w14:paraId="27AB1980" w14:textId="6942E974" w:rsidR="004353B3" w:rsidRPr="005E7280" w:rsidRDefault="00D26FF7" w:rsidP="004353B3">
      <w:pPr>
        <w:pStyle w:val="CommentText"/>
        <w:rPr>
          <w:sz w:val="24"/>
          <w:szCs w:val="24"/>
        </w:rPr>
      </w:pPr>
      <w:r>
        <w:rPr>
          <w:color w:val="141414"/>
          <w:sz w:val="24"/>
          <w:szCs w:val="24"/>
        </w:rPr>
        <w:t xml:space="preserve">The bank’s strong performance in providing community development services primarily supports the Outstanding Service Test rating.  </w:t>
      </w:r>
      <w:r w:rsidR="004353B3" w:rsidRPr="005E7280">
        <w:rPr>
          <w:sz w:val="24"/>
          <w:szCs w:val="24"/>
        </w:rPr>
        <w:t xml:space="preserve">Considering the recent expansion and limited time operating in </w:t>
      </w:r>
      <w:r>
        <w:rPr>
          <w:sz w:val="24"/>
          <w:szCs w:val="24"/>
        </w:rPr>
        <w:t>Rhode Island</w:t>
      </w:r>
      <w:r w:rsidR="004353B3" w:rsidRPr="005E7280">
        <w:rPr>
          <w:sz w:val="24"/>
          <w:szCs w:val="24"/>
        </w:rPr>
        <w:t xml:space="preserve">, the bank’s </w:t>
      </w:r>
      <w:r>
        <w:rPr>
          <w:sz w:val="24"/>
          <w:szCs w:val="24"/>
        </w:rPr>
        <w:t>level and responsiveness of community development services is noteworthy</w:t>
      </w:r>
      <w:r w:rsidR="004353B3" w:rsidRPr="005E7280">
        <w:rPr>
          <w:sz w:val="24"/>
          <w:szCs w:val="24"/>
        </w:rPr>
        <w:t>.  The following sections discuss the bank’s pe</w:t>
      </w:r>
      <w:r w:rsidR="00D4531F">
        <w:rPr>
          <w:sz w:val="24"/>
          <w:szCs w:val="24"/>
        </w:rPr>
        <w:t>rformance under each criterion.</w:t>
      </w:r>
    </w:p>
    <w:p w14:paraId="69FDFEEA" w14:textId="77777777" w:rsidR="004353B3" w:rsidRPr="00D15DEB" w:rsidRDefault="004353B3" w:rsidP="004353B3">
      <w:pPr>
        <w:spacing w:after="0" w:line="240" w:lineRule="auto"/>
        <w:contextualSpacing/>
        <w:rPr>
          <w:rFonts w:ascii="Times New Roman" w:eastAsia="Times New Roman" w:hAnsi="Times New Roman" w:cs="Times New Roman"/>
          <w:sz w:val="24"/>
          <w:szCs w:val="24"/>
        </w:rPr>
      </w:pPr>
    </w:p>
    <w:p w14:paraId="502958C8" w14:textId="77777777" w:rsidR="004353B3" w:rsidRDefault="004353B3" w:rsidP="004353B3">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Accessibility of Delivery Systems</w:t>
      </w:r>
    </w:p>
    <w:p w14:paraId="5D3FE192" w14:textId="77777777" w:rsidR="004353B3" w:rsidRPr="00D4531F" w:rsidRDefault="004353B3" w:rsidP="004353B3">
      <w:pPr>
        <w:spacing w:after="0" w:line="240" w:lineRule="auto"/>
        <w:rPr>
          <w:rFonts w:ascii="Times New Roman" w:eastAsia="Times New Roman" w:hAnsi="Times New Roman" w:cs="Times New Roman"/>
          <w:b/>
          <w:bCs/>
          <w:sz w:val="24"/>
          <w:szCs w:val="24"/>
          <w:u w:val="single"/>
        </w:rPr>
      </w:pPr>
    </w:p>
    <w:p w14:paraId="67FFB941" w14:textId="728195DB" w:rsidR="00FC4183" w:rsidRDefault="004353B3" w:rsidP="004353B3">
      <w:pPr>
        <w:spacing w:line="240" w:lineRule="auto"/>
        <w:contextualSpacing/>
        <w:rPr>
          <w:rFonts w:ascii="Times New Roman" w:hAnsi="Times New Roman" w:cs="Times New Roman"/>
          <w:sz w:val="24"/>
          <w:szCs w:val="24"/>
        </w:rPr>
      </w:pPr>
      <w:r w:rsidRPr="00D4531F">
        <w:rPr>
          <w:rFonts w:ascii="Times New Roman" w:eastAsia="Times New Roman" w:hAnsi="Times New Roman" w:cs="Times New Roman"/>
          <w:iCs/>
          <w:sz w:val="24"/>
          <w:szCs w:val="24"/>
        </w:rPr>
        <w:t xml:space="preserve">The bank’s service delivery systems are accessible to </w:t>
      </w:r>
      <w:r w:rsidR="00271AE1">
        <w:rPr>
          <w:rFonts w:ascii="Times New Roman" w:eastAsia="Times New Roman" w:hAnsi="Times New Roman" w:cs="Times New Roman"/>
          <w:iCs/>
          <w:sz w:val="24"/>
          <w:szCs w:val="24"/>
        </w:rPr>
        <w:t xml:space="preserve">essentially </w:t>
      </w:r>
      <w:r w:rsidRPr="00D4531F">
        <w:rPr>
          <w:rFonts w:ascii="Times New Roman" w:eastAsia="Times New Roman" w:hAnsi="Times New Roman" w:cs="Times New Roman"/>
          <w:iCs/>
          <w:sz w:val="24"/>
          <w:szCs w:val="24"/>
        </w:rPr>
        <w:t xml:space="preserve">all portions of the Rhode Island assessment area. </w:t>
      </w:r>
      <w:r w:rsidR="00D4531F" w:rsidRPr="00D4531F">
        <w:rPr>
          <w:rFonts w:ascii="Times New Roman" w:eastAsia="Times New Roman" w:hAnsi="Times New Roman" w:cs="Times New Roman"/>
          <w:iCs/>
          <w:sz w:val="24"/>
          <w:szCs w:val="24"/>
        </w:rPr>
        <w:t xml:space="preserve"> </w:t>
      </w:r>
      <w:r w:rsidRPr="00D4531F">
        <w:rPr>
          <w:rFonts w:ascii="Times New Roman" w:eastAsia="Times New Roman" w:hAnsi="Times New Roman" w:cs="Times New Roman"/>
          <w:iCs/>
          <w:sz w:val="24"/>
          <w:szCs w:val="24"/>
        </w:rPr>
        <w:t>The bank maintains 13 branches and 22 ATMs in Bristol County, Massachusetts and Providence and Kent County, Rhode Island.  Four branches are located in Massachusetts: Attleboro, E</w:t>
      </w:r>
      <w:r w:rsidR="00FC4183">
        <w:rPr>
          <w:rFonts w:ascii="Times New Roman" w:eastAsia="Times New Roman" w:hAnsi="Times New Roman" w:cs="Times New Roman"/>
          <w:iCs/>
          <w:sz w:val="24"/>
          <w:szCs w:val="24"/>
        </w:rPr>
        <w:t>aston, Mansfield, and Raynham, w</w:t>
      </w:r>
      <w:r w:rsidRPr="00D4531F">
        <w:rPr>
          <w:rFonts w:ascii="Times New Roman" w:hAnsi="Times New Roman" w:cs="Times New Roman"/>
          <w:sz w:val="24"/>
          <w:szCs w:val="24"/>
        </w:rPr>
        <w:t>hile the other nine are located in Rhode Island and include Cranston (2), East Greenwich, East Providence, Lincoln, Providence (2), and Warwick (2).</w:t>
      </w:r>
      <w:r w:rsidRPr="00D4531F">
        <w:rPr>
          <w:sz w:val="24"/>
          <w:szCs w:val="24"/>
        </w:rPr>
        <w:t xml:space="preserve"> </w:t>
      </w:r>
      <w:r w:rsidRPr="00D4531F">
        <w:rPr>
          <w:rFonts w:ascii="Times New Roman" w:eastAsia="Times New Roman" w:hAnsi="Times New Roman" w:cs="Times New Roman"/>
          <w:iCs/>
          <w:sz w:val="24"/>
          <w:szCs w:val="24"/>
        </w:rPr>
        <w:t xml:space="preserve"> Al</w:t>
      </w:r>
      <w:r w:rsidR="00FC4183">
        <w:rPr>
          <w:rFonts w:ascii="Times New Roman" w:eastAsia="Times New Roman" w:hAnsi="Times New Roman" w:cs="Times New Roman"/>
          <w:iCs/>
          <w:sz w:val="24"/>
          <w:szCs w:val="24"/>
        </w:rPr>
        <w:t>l branches have at least one 24-</w:t>
      </w:r>
      <w:r w:rsidRPr="00D4531F">
        <w:rPr>
          <w:rFonts w:ascii="Times New Roman" w:eastAsia="Times New Roman" w:hAnsi="Times New Roman" w:cs="Times New Roman"/>
          <w:iCs/>
          <w:sz w:val="24"/>
          <w:szCs w:val="24"/>
        </w:rPr>
        <w:t xml:space="preserve">hour deposit taking ATM and </w:t>
      </w:r>
      <w:r w:rsidR="00F456E8">
        <w:rPr>
          <w:rFonts w:ascii="Times New Roman" w:eastAsia="Times New Roman" w:hAnsi="Times New Roman" w:cs="Times New Roman"/>
          <w:iCs/>
          <w:sz w:val="24"/>
          <w:szCs w:val="24"/>
        </w:rPr>
        <w:t>employ staff who are</w:t>
      </w:r>
      <w:r w:rsidRPr="00D4531F">
        <w:rPr>
          <w:rFonts w:ascii="Times New Roman" w:eastAsia="Times New Roman" w:hAnsi="Times New Roman" w:cs="Times New Roman"/>
          <w:iCs/>
          <w:sz w:val="24"/>
          <w:szCs w:val="24"/>
        </w:rPr>
        <w:t xml:space="preserve"> bi-lingual in English and Spanish.  </w:t>
      </w:r>
      <w:r w:rsidRPr="00D4531F">
        <w:rPr>
          <w:rFonts w:ascii="Times New Roman" w:hAnsi="Times New Roman" w:cs="Times New Roman"/>
          <w:sz w:val="24"/>
          <w:szCs w:val="24"/>
        </w:rPr>
        <w:t xml:space="preserve">There is one standalone ATM at 211 Park Street in Attleboro in a moderate-income area.  </w:t>
      </w:r>
    </w:p>
    <w:p w14:paraId="7CDB9BCD" w14:textId="77777777" w:rsidR="00FC4183" w:rsidRDefault="00FC4183" w:rsidP="004353B3">
      <w:pPr>
        <w:spacing w:line="240" w:lineRule="auto"/>
        <w:contextualSpacing/>
        <w:rPr>
          <w:rFonts w:ascii="Times New Roman" w:hAnsi="Times New Roman" w:cs="Times New Roman"/>
          <w:sz w:val="24"/>
          <w:szCs w:val="24"/>
        </w:rPr>
      </w:pPr>
    </w:p>
    <w:p w14:paraId="64F61104" w14:textId="7CB9EA83" w:rsidR="00FC4183" w:rsidRPr="008753A5" w:rsidRDefault="00FC4183" w:rsidP="00FC4183">
      <w:pPr>
        <w:spacing w:after="0" w:line="240" w:lineRule="auto"/>
        <w:rPr>
          <w:rFonts w:ascii="Times New Roman" w:eastAsia="Times New Roman" w:hAnsi="Times New Roman" w:cs="Times New Roman"/>
          <w:b/>
          <w:bCs/>
          <w:sz w:val="24"/>
          <w:szCs w:val="24"/>
          <w:u w:val="single"/>
        </w:rPr>
      </w:pPr>
      <w:r w:rsidRPr="008753A5">
        <w:rPr>
          <w:rFonts w:ascii="Times New Roman" w:hAnsi="Times New Roman" w:cs="Times New Roman"/>
          <w:sz w:val="24"/>
          <w:szCs w:val="24"/>
        </w:rPr>
        <w:t xml:space="preserve">In addition to its branches and ATMs, </w:t>
      </w:r>
      <w:r>
        <w:rPr>
          <w:rFonts w:ascii="Times New Roman" w:hAnsi="Times New Roman" w:cs="Times New Roman"/>
          <w:sz w:val="24"/>
          <w:szCs w:val="24"/>
        </w:rPr>
        <w:t>HOB</w:t>
      </w:r>
      <w:r w:rsidRPr="008753A5">
        <w:rPr>
          <w:rFonts w:ascii="Times New Roman" w:hAnsi="Times New Roman" w:cs="Times New Roman"/>
          <w:sz w:val="24"/>
          <w:szCs w:val="24"/>
        </w:rPr>
        <w:t xml:space="preserve"> offers alternative delivery systems to expand retail banking service access to all individuals.  The bank offers online, mobile banking and support through its Customer Call center. </w:t>
      </w:r>
      <w:r w:rsidR="007662F3">
        <w:rPr>
          <w:rFonts w:ascii="Times New Roman" w:hAnsi="Times New Roman" w:cs="Times New Roman"/>
          <w:sz w:val="24"/>
          <w:szCs w:val="24"/>
        </w:rPr>
        <w:t xml:space="preserve"> </w:t>
      </w:r>
      <w:r w:rsidRPr="008753A5">
        <w:rPr>
          <w:rFonts w:ascii="Times New Roman" w:hAnsi="Times New Roman" w:cs="Times New Roman"/>
          <w:sz w:val="24"/>
          <w:szCs w:val="24"/>
        </w:rPr>
        <w:t>Businesses and consumers can access their accounts 24 hours a day to perform various transactions.</w:t>
      </w:r>
    </w:p>
    <w:p w14:paraId="427138DD" w14:textId="77777777" w:rsidR="00FC4183" w:rsidRDefault="00FC4183" w:rsidP="004353B3">
      <w:pPr>
        <w:spacing w:line="240" w:lineRule="auto"/>
        <w:contextualSpacing/>
        <w:rPr>
          <w:rFonts w:ascii="Times New Roman" w:hAnsi="Times New Roman" w:cs="Times New Roman"/>
          <w:sz w:val="24"/>
          <w:szCs w:val="24"/>
        </w:rPr>
      </w:pPr>
    </w:p>
    <w:p w14:paraId="76BD93F9" w14:textId="23972091" w:rsidR="004353B3" w:rsidRPr="00D4531F" w:rsidRDefault="004353B3" w:rsidP="004353B3">
      <w:pPr>
        <w:spacing w:line="240" w:lineRule="auto"/>
        <w:contextualSpacing/>
        <w:rPr>
          <w:rFonts w:ascii="Times New Roman" w:eastAsia="Times New Roman" w:hAnsi="Times New Roman" w:cs="Times New Roman"/>
          <w:iCs/>
          <w:sz w:val="24"/>
          <w:szCs w:val="24"/>
        </w:rPr>
      </w:pPr>
      <w:r w:rsidRPr="00D4531F">
        <w:rPr>
          <w:rFonts w:ascii="Times New Roman" w:hAnsi="Times New Roman" w:cs="Times New Roman"/>
          <w:bCs/>
          <w:sz w:val="24"/>
          <w:szCs w:val="24"/>
        </w:rPr>
        <w:t xml:space="preserve">The following table illustrates the distribution of branches and ATMs by </w:t>
      </w:r>
      <w:r w:rsidR="00F456E8">
        <w:rPr>
          <w:rFonts w:ascii="Times New Roman" w:hAnsi="Times New Roman" w:cs="Times New Roman"/>
          <w:bCs/>
          <w:sz w:val="24"/>
          <w:szCs w:val="24"/>
        </w:rPr>
        <w:t xml:space="preserve">census </w:t>
      </w:r>
      <w:r w:rsidRPr="00D4531F">
        <w:rPr>
          <w:rFonts w:ascii="Times New Roman" w:hAnsi="Times New Roman" w:cs="Times New Roman"/>
          <w:bCs/>
          <w:sz w:val="24"/>
          <w:szCs w:val="24"/>
        </w:rPr>
        <w:t xml:space="preserve">tract income level in the </w:t>
      </w:r>
      <w:r w:rsidR="00FC4183">
        <w:rPr>
          <w:rFonts w:ascii="Times New Roman" w:hAnsi="Times New Roman" w:cs="Times New Roman"/>
          <w:bCs/>
          <w:sz w:val="24"/>
          <w:szCs w:val="24"/>
        </w:rPr>
        <w:t>Providence, RI-MA MSA</w:t>
      </w:r>
      <w:r w:rsidRPr="00D4531F">
        <w:rPr>
          <w:rFonts w:ascii="Times New Roman" w:hAnsi="Times New Roman" w:cs="Times New Roman"/>
          <w:bCs/>
          <w:sz w:val="24"/>
          <w:szCs w:val="24"/>
        </w:rPr>
        <w:t>.</w:t>
      </w:r>
    </w:p>
    <w:p w14:paraId="61E2B3E9" w14:textId="77777777" w:rsidR="004353B3" w:rsidRPr="00D4531F" w:rsidRDefault="004353B3" w:rsidP="004353B3">
      <w:pPr>
        <w:spacing w:after="0" w:line="240" w:lineRule="auto"/>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984"/>
        <w:gridCol w:w="984"/>
        <w:gridCol w:w="1016"/>
        <w:gridCol w:w="984"/>
        <w:gridCol w:w="984"/>
        <w:gridCol w:w="984"/>
        <w:gridCol w:w="984"/>
        <w:gridCol w:w="984"/>
      </w:tblGrid>
      <w:tr w:rsidR="004353B3" w:rsidRPr="00B7631E" w14:paraId="74C099A6" w14:textId="77777777" w:rsidTr="004353B3">
        <w:trPr>
          <w:trHeight w:val="360"/>
          <w:jc w:val="center"/>
        </w:trPr>
        <w:tc>
          <w:tcPr>
            <w:tcW w:w="9500" w:type="dxa"/>
            <w:gridSpan w:val="9"/>
            <w:shd w:val="clear" w:color="auto" w:fill="auto"/>
            <w:vAlign w:val="center"/>
          </w:tcPr>
          <w:p w14:paraId="511CE69B" w14:textId="77777777" w:rsidR="004353B3"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Branch and ATM Distribution by Geography Income Level</w:t>
            </w:r>
          </w:p>
          <w:p w14:paraId="5CC7B6E7" w14:textId="3ABF5328"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b/>
                <w:sz w:val="20"/>
                <w:szCs w:val="20"/>
              </w:rPr>
              <w:t>Assessment Area</w:t>
            </w:r>
            <w:r w:rsidR="00D4531F">
              <w:rPr>
                <w:rFonts w:ascii="Times New Roman" w:hAnsi="Times New Roman" w:cs="Times New Roman"/>
                <w:b/>
                <w:sz w:val="20"/>
                <w:szCs w:val="20"/>
              </w:rPr>
              <w:t xml:space="preserve">: </w:t>
            </w:r>
            <w:r w:rsidR="00A31502">
              <w:rPr>
                <w:rFonts w:ascii="Times New Roman" w:eastAsia="Times New Roman" w:hAnsi="Times New Roman"/>
                <w:b/>
                <w:color w:val="000000"/>
                <w:sz w:val="20"/>
              </w:rPr>
              <w:t>RI-MA Multistate MSA</w:t>
            </w:r>
          </w:p>
        </w:tc>
      </w:tr>
      <w:tr w:rsidR="004353B3" w:rsidRPr="00B7631E" w14:paraId="7F91FEF5" w14:textId="77777777" w:rsidTr="004353B3">
        <w:trPr>
          <w:trHeight w:val="288"/>
          <w:jc w:val="center"/>
        </w:trPr>
        <w:tc>
          <w:tcPr>
            <w:tcW w:w="1596" w:type="dxa"/>
            <w:vMerge w:val="restart"/>
            <w:shd w:val="clear" w:color="auto" w:fill="auto"/>
            <w:vAlign w:val="center"/>
          </w:tcPr>
          <w:p w14:paraId="1BD37E6D" w14:textId="77777777" w:rsidR="004353B3" w:rsidRPr="00B7631E" w:rsidRDefault="004353B3" w:rsidP="004353B3">
            <w:pPr>
              <w:keepNext/>
              <w:widowControl w:val="0"/>
              <w:contextualSpacing/>
              <w:rPr>
                <w:rFonts w:ascii="Times New Roman" w:hAnsi="Times New Roman" w:cs="Times New Roman"/>
                <w:b/>
                <w:sz w:val="20"/>
                <w:szCs w:val="20"/>
              </w:rPr>
            </w:pPr>
            <w:r w:rsidRPr="00B7631E">
              <w:rPr>
                <w:rFonts w:ascii="Times New Roman" w:hAnsi="Times New Roman" w:cs="Times New Roman"/>
                <w:b/>
                <w:sz w:val="20"/>
                <w:szCs w:val="20"/>
              </w:rPr>
              <w:t>Tract Income Level</w:t>
            </w:r>
          </w:p>
        </w:tc>
        <w:tc>
          <w:tcPr>
            <w:tcW w:w="1968" w:type="dxa"/>
            <w:gridSpan w:val="2"/>
            <w:shd w:val="clear" w:color="auto" w:fill="auto"/>
            <w:vAlign w:val="center"/>
          </w:tcPr>
          <w:p w14:paraId="1BA5DEA9"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Census Tracts</w:t>
            </w:r>
          </w:p>
        </w:tc>
        <w:tc>
          <w:tcPr>
            <w:tcW w:w="2000" w:type="dxa"/>
            <w:gridSpan w:val="2"/>
            <w:shd w:val="clear" w:color="auto" w:fill="auto"/>
            <w:vAlign w:val="center"/>
          </w:tcPr>
          <w:p w14:paraId="455BC2AD"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Population</w:t>
            </w:r>
          </w:p>
        </w:tc>
        <w:tc>
          <w:tcPr>
            <w:tcW w:w="1968" w:type="dxa"/>
            <w:gridSpan w:val="2"/>
            <w:shd w:val="clear" w:color="auto" w:fill="auto"/>
            <w:vAlign w:val="center"/>
          </w:tcPr>
          <w:p w14:paraId="6C48330C"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Branches</w:t>
            </w:r>
          </w:p>
        </w:tc>
        <w:tc>
          <w:tcPr>
            <w:tcW w:w="1968" w:type="dxa"/>
            <w:gridSpan w:val="2"/>
            <w:shd w:val="clear" w:color="auto" w:fill="auto"/>
            <w:vAlign w:val="center"/>
          </w:tcPr>
          <w:p w14:paraId="28DB4926"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 xml:space="preserve">ATMs  </w:t>
            </w:r>
          </w:p>
        </w:tc>
      </w:tr>
      <w:tr w:rsidR="004353B3" w:rsidRPr="00B7631E" w14:paraId="37B492AA" w14:textId="77777777" w:rsidTr="004353B3">
        <w:trPr>
          <w:trHeight w:val="288"/>
          <w:jc w:val="center"/>
        </w:trPr>
        <w:tc>
          <w:tcPr>
            <w:tcW w:w="1596" w:type="dxa"/>
            <w:vMerge/>
            <w:shd w:val="clear" w:color="auto" w:fill="auto"/>
            <w:vAlign w:val="center"/>
          </w:tcPr>
          <w:p w14:paraId="1EEEFA23" w14:textId="77777777" w:rsidR="004353B3" w:rsidRPr="00B7631E" w:rsidRDefault="004353B3" w:rsidP="004353B3">
            <w:pPr>
              <w:keepNext/>
              <w:widowControl w:val="0"/>
              <w:contextualSpacing/>
              <w:rPr>
                <w:rFonts w:ascii="Times New Roman" w:hAnsi="Times New Roman" w:cs="Times New Roman"/>
                <w:sz w:val="20"/>
                <w:szCs w:val="20"/>
              </w:rPr>
            </w:pPr>
          </w:p>
        </w:tc>
        <w:tc>
          <w:tcPr>
            <w:tcW w:w="984" w:type="dxa"/>
            <w:shd w:val="clear" w:color="auto" w:fill="auto"/>
            <w:vAlign w:val="center"/>
          </w:tcPr>
          <w:p w14:paraId="50FED161" w14:textId="77777777" w:rsidR="004353B3" w:rsidRPr="00B7631E" w:rsidRDefault="004353B3" w:rsidP="004353B3">
            <w:pPr>
              <w:keepNext/>
              <w:widowControl w:val="0"/>
              <w:contextualSpacing/>
              <w:jc w:val="center"/>
              <w:rPr>
                <w:rFonts w:ascii="Times New Roman" w:hAnsi="Times New Roman" w:cs="Times New Roman"/>
                <w:b/>
              </w:rPr>
            </w:pPr>
            <w:r w:rsidRPr="00B7631E">
              <w:rPr>
                <w:rFonts w:ascii="Times New Roman" w:hAnsi="Times New Roman" w:cs="Times New Roman"/>
                <w:b/>
              </w:rPr>
              <w:t>#</w:t>
            </w:r>
          </w:p>
        </w:tc>
        <w:tc>
          <w:tcPr>
            <w:tcW w:w="984" w:type="dxa"/>
            <w:shd w:val="clear" w:color="auto" w:fill="auto"/>
            <w:vAlign w:val="center"/>
          </w:tcPr>
          <w:p w14:paraId="5AB346B6"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1016" w:type="dxa"/>
            <w:shd w:val="clear" w:color="auto" w:fill="auto"/>
            <w:vAlign w:val="center"/>
          </w:tcPr>
          <w:p w14:paraId="2AAC911B"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39477C3F"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067642A6"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01E791E8"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2BD51C37"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w:t>
            </w:r>
          </w:p>
        </w:tc>
        <w:tc>
          <w:tcPr>
            <w:tcW w:w="984" w:type="dxa"/>
            <w:shd w:val="clear" w:color="auto" w:fill="auto"/>
            <w:vAlign w:val="center"/>
          </w:tcPr>
          <w:p w14:paraId="29A846E5" w14:textId="77777777" w:rsidR="004353B3" w:rsidRPr="00B7631E" w:rsidRDefault="004353B3" w:rsidP="004353B3">
            <w:pPr>
              <w:keepNext/>
              <w:widowControl w:val="0"/>
              <w:contextualSpacing/>
              <w:jc w:val="center"/>
              <w:rPr>
                <w:rFonts w:ascii="Times New Roman" w:hAnsi="Times New Roman" w:cs="Times New Roman"/>
                <w:b/>
              </w:rPr>
            </w:pPr>
            <w:r w:rsidRPr="00B7631E">
              <w:rPr>
                <w:rFonts w:ascii="Times New Roman" w:hAnsi="Times New Roman" w:cs="Times New Roman"/>
                <w:b/>
              </w:rPr>
              <w:t>%</w:t>
            </w:r>
          </w:p>
        </w:tc>
      </w:tr>
      <w:tr w:rsidR="004353B3" w:rsidRPr="00B7631E" w14:paraId="4B1976C7" w14:textId="77777777" w:rsidTr="004353B3">
        <w:trPr>
          <w:trHeight w:val="288"/>
          <w:jc w:val="center"/>
        </w:trPr>
        <w:tc>
          <w:tcPr>
            <w:tcW w:w="1596" w:type="dxa"/>
            <w:shd w:val="clear" w:color="auto" w:fill="auto"/>
            <w:vAlign w:val="center"/>
          </w:tcPr>
          <w:p w14:paraId="256B4493" w14:textId="77777777" w:rsidR="004353B3" w:rsidRPr="00B7631E" w:rsidRDefault="004353B3" w:rsidP="004353B3">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Low</w:t>
            </w:r>
          </w:p>
        </w:tc>
        <w:tc>
          <w:tcPr>
            <w:tcW w:w="984" w:type="dxa"/>
            <w:shd w:val="clear" w:color="auto" w:fill="auto"/>
            <w:vAlign w:val="center"/>
          </w:tcPr>
          <w:p w14:paraId="1F327373"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53</w:t>
            </w:r>
          </w:p>
        </w:tc>
        <w:tc>
          <w:tcPr>
            <w:tcW w:w="984" w:type="dxa"/>
            <w:shd w:val="clear" w:color="auto" w:fill="auto"/>
            <w:vAlign w:val="center"/>
          </w:tcPr>
          <w:p w14:paraId="6D83D785"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14.3</w:t>
            </w:r>
          </w:p>
        </w:tc>
        <w:tc>
          <w:tcPr>
            <w:tcW w:w="1016" w:type="dxa"/>
            <w:shd w:val="clear" w:color="auto" w:fill="auto"/>
            <w:vAlign w:val="center"/>
          </w:tcPr>
          <w:p w14:paraId="75EFF3DD"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190,030</w:t>
            </w:r>
          </w:p>
        </w:tc>
        <w:tc>
          <w:tcPr>
            <w:tcW w:w="984" w:type="dxa"/>
            <w:shd w:val="clear" w:color="auto" w:fill="auto"/>
            <w:vAlign w:val="center"/>
          </w:tcPr>
          <w:p w14:paraId="116B4A84"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11.8</w:t>
            </w:r>
          </w:p>
        </w:tc>
        <w:tc>
          <w:tcPr>
            <w:tcW w:w="984" w:type="dxa"/>
            <w:shd w:val="clear" w:color="auto" w:fill="auto"/>
            <w:vAlign w:val="center"/>
          </w:tcPr>
          <w:p w14:paraId="5C166CB6"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84" w:type="dxa"/>
            <w:shd w:val="clear" w:color="auto" w:fill="auto"/>
            <w:vAlign w:val="center"/>
          </w:tcPr>
          <w:p w14:paraId="63557C40"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7.7</w:t>
            </w:r>
          </w:p>
        </w:tc>
        <w:tc>
          <w:tcPr>
            <w:tcW w:w="984" w:type="dxa"/>
            <w:shd w:val="clear" w:color="auto" w:fill="auto"/>
            <w:vAlign w:val="center"/>
          </w:tcPr>
          <w:p w14:paraId="618C7FEF"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84" w:type="dxa"/>
            <w:shd w:val="clear" w:color="auto" w:fill="auto"/>
            <w:vAlign w:val="center"/>
          </w:tcPr>
          <w:p w14:paraId="6614E81C"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4.5</w:t>
            </w:r>
          </w:p>
        </w:tc>
      </w:tr>
      <w:tr w:rsidR="004353B3" w:rsidRPr="00B7631E" w14:paraId="17A60632" w14:textId="77777777" w:rsidTr="004353B3">
        <w:trPr>
          <w:trHeight w:val="288"/>
          <w:jc w:val="center"/>
        </w:trPr>
        <w:tc>
          <w:tcPr>
            <w:tcW w:w="1596" w:type="dxa"/>
            <w:shd w:val="clear" w:color="auto" w:fill="auto"/>
            <w:vAlign w:val="center"/>
          </w:tcPr>
          <w:p w14:paraId="2AEE8CC2" w14:textId="77777777" w:rsidR="004353B3" w:rsidRPr="00B7631E" w:rsidRDefault="004353B3" w:rsidP="004353B3">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Moderate</w:t>
            </w:r>
          </w:p>
        </w:tc>
        <w:tc>
          <w:tcPr>
            <w:tcW w:w="984" w:type="dxa"/>
            <w:shd w:val="clear" w:color="auto" w:fill="auto"/>
            <w:vAlign w:val="center"/>
          </w:tcPr>
          <w:p w14:paraId="1C9AA780"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69</w:t>
            </w:r>
          </w:p>
        </w:tc>
        <w:tc>
          <w:tcPr>
            <w:tcW w:w="984" w:type="dxa"/>
            <w:shd w:val="clear" w:color="auto" w:fill="auto"/>
            <w:vAlign w:val="center"/>
          </w:tcPr>
          <w:p w14:paraId="741895BD"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18.7</w:t>
            </w:r>
          </w:p>
        </w:tc>
        <w:tc>
          <w:tcPr>
            <w:tcW w:w="1016" w:type="dxa"/>
            <w:shd w:val="clear" w:color="auto" w:fill="auto"/>
            <w:vAlign w:val="center"/>
          </w:tcPr>
          <w:p w14:paraId="6E35755C"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270,527</w:t>
            </w:r>
          </w:p>
        </w:tc>
        <w:tc>
          <w:tcPr>
            <w:tcW w:w="984" w:type="dxa"/>
            <w:shd w:val="clear" w:color="auto" w:fill="auto"/>
            <w:vAlign w:val="center"/>
          </w:tcPr>
          <w:p w14:paraId="13E43473"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16.8</w:t>
            </w:r>
          </w:p>
        </w:tc>
        <w:tc>
          <w:tcPr>
            <w:tcW w:w="984" w:type="dxa"/>
            <w:shd w:val="clear" w:color="auto" w:fill="auto"/>
            <w:vAlign w:val="center"/>
          </w:tcPr>
          <w:p w14:paraId="34BCD427"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984" w:type="dxa"/>
            <w:shd w:val="clear" w:color="auto" w:fill="auto"/>
            <w:vAlign w:val="center"/>
          </w:tcPr>
          <w:p w14:paraId="4B23B4BC"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7.7</w:t>
            </w:r>
          </w:p>
        </w:tc>
        <w:tc>
          <w:tcPr>
            <w:tcW w:w="984" w:type="dxa"/>
            <w:shd w:val="clear" w:color="auto" w:fill="auto"/>
            <w:vAlign w:val="center"/>
          </w:tcPr>
          <w:p w14:paraId="33D95E99"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984" w:type="dxa"/>
            <w:shd w:val="clear" w:color="auto" w:fill="auto"/>
            <w:vAlign w:val="center"/>
          </w:tcPr>
          <w:p w14:paraId="350EE64E"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13.6</w:t>
            </w:r>
          </w:p>
        </w:tc>
      </w:tr>
      <w:tr w:rsidR="004353B3" w:rsidRPr="00B7631E" w14:paraId="62B47C09" w14:textId="77777777" w:rsidTr="004353B3">
        <w:trPr>
          <w:trHeight w:val="288"/>
          <w:jc w:val="center"/>
        </w:trPr>
        <w:tc>
          <w:tcPr>
            <w:tcW w:w="1596" w:type="dxa"/>
            <w:shd w:val="clear" w:color="auto" w:fill="auto"/>
            <w:vAlign w:val="center"/>
          </w:tcPr>
          <w:p w14:paraId="5748670E" w14:textId="77777777" w:rsidR="004353B3" w:rsidRPr="00B7631E" w:rsidRDefault="004353B3" w:rsidP="004353B3">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Middle</w:t>
            </w:r>
          </w:p>
        </w:tc>
        <w:tc>
          <w:tcPr>
            <w:tcW w:w="984" w:type="dxa"/>
            <w:shd w:val="clear" w:color="auto" w:fill="auto"/>
            <w:vAlign w:val="center"/>
          </w:tcPr>
          <w:p w14:paraId="0FA67B73"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129</w:t>
            </w:r>
          </w:p>
        </w:tc>
        <w:tc>
          <w:tcPr>
            <w:tcW w:w="984" w:type="dxa"/>
            <w:shd w:val="clear" w:color="auto" w:fill="auto"/>
            <w:vAlign w:val="center"/>
          </w:tcPr>
          <w:p w14:paraId="00DAABD2"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34.9</w:t>
            </w:r>
          </w:p>
        </w:tc>
        <w:tc>
          <w:tcPr>
            <w:tcW w:w="1016" w:type="dxa"/>
            <w:shd w:val="clear" w:color="auto" w:fill="auto"/>
            <w:vAlign w:val="center"/>
          </w:tcPr>
          <w:p w14:paraId="5FFE3DE0"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576,780</w:t>
            </w:r>
          </w:p>
        </w:tc>
        <w:tc>
          <w:tcPr>
            <w:tcW w:w="984" w:type="dxa"/>
            <w:shd w:val="clear" w:color="auto" w:fill="auto"/>
            <w:vAlign w:val="center"/>
          </w:tcPr>
          <w:p w14:paraId="3798A91F"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35.9</w:t>
            </w:r>
          </w:p>
        </w:tc>
        <w:tc>
          <w:tcPr>
            <w:tcW w:w="984" w:type="dxa"/>
            <w:shd w:val="clear" w:color="auto" w:fill="auto"/>
            <w:vAlign w:val="center"/>
          </w:tcPr>
          <w:p w14:paraId="769CDB08"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984" w:type="dxa"/>
            <w:shd w:val="clear" w:color="auto" w:fill="auto"/>
            <w:vAlign w:val="center"/>
          </w:tcPr>
          <w:p w14:paraId="7A8BBAC3"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30.7</w:t>
            </w:r>
          </w:p>
        </w:tc>
        <w:tc>
          <w:tcPr>
            <w:tcW w:w="984" w:type="dxa"/>
            <w:shd w:val="clear" w:color="auto" w:fill="auto"/>
            <w:vAlign w:val="center"/>
          </w:tcPr>
          <w:p w14:paraId="5D88CA97"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984" w:type="dxa"/>
            <w:shd w:val="clear" w:color="auto" w:fill="auto"/>
            <w:vAlign w:val="center"/>
          </w:tcPr>
          <w:p w14:paraId="63D0F784"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31.8</w:t>
            </w:r>
          </w:p>
        </w:tc>
      </w:tr>
      <w:tr w:rsidR="004353B3" w:rsidRPr="00B7631E" w14:paraId="1CDE06A9" w14:textId="77777777" w:rsidTr="004353B3">
        <w:trPr>
          <w:trHeight w:val="288"/>
          <w:jc w:val="center"/>
        </w:trPr>
        <w:tc>
          <w:tcPr>
            <w:tcW w:w="1596" w:type="dxa"/>
            <w:shd w:val="clear" w:color="auto" w:fill="auto"/>
            <w:vAlign w:val="center"/>
          </w:tcPr>
          <w:p w14:paraId="4107537D" w14:textId="77777777" w:rsidR="004353B3" w:rsidRPr="00B7631E" w:rsidRDefault="004353B3" w:rsidP="004353B3">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Upper</w:t>
            </w:r>
          </w:p>
        </w:tc>
        <w:tc>
          <w:tcPr>
            <w:tcW w:w="984" w:type="dxa"/>
            <w:shd w:val="clear" w:color="auto" w:fill="auto"/>
            <w:vAlign w:val="center"/>
          </w:tcPr>
          <w:p w14:paraId="511AC3AB"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112</w:t>
            </w:r>
          </w:p>
        </w:tc>
        <w:tc>
          <w:tcPr>
            <w:tcW w:w="984" w:type="dxa"/>
            <w:shd w:val="clear" w:color="auto" w:fill="auto"/>
            <w:vAlign w:val="center"/>
          </w:tcPr>
          <w:p w14:paraId="0AD1481F"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30.3</w:t>
            </w:r>
          </w:p>
        </w:tc>
        <w:tc>
          <w:tcPr>
            <w:tcW w:w="1016" w:type="dxa"/>
            <w:shd w:val="clear" w:color="auto" w:fill="auto"/>
            <w:vAlign w:val="center"/>
          </w:tcPr>
          <w:p w14:paraId="19C88E4D"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559,205</w:t>
            </w:r>
          </w:p>
        </w:tc>
        <w:tc>
          <w:tcPr>
            <w:tcW w:w="984" w:type="dxa"/>
            <w:shd w:val="clear" w:color="auto" w:fill="auto"/>
            <w:vAlign w:val="center"/>
          </w:tcPr>
          <w:p w14:paraId="3E07ECED"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34.8</w:t>
            </w:r>
          </w:p>
        </w:tc>
        <w:tc>
          <w:tcPr>
            <w:tcW w:w="984" w:type="dxa"/>
            <w:shd w:val="clear" w:color="auto" w:fill="auto"/>
            <w:vAlign w:val="center"/>
          </w:tcPr>
          <w:p w14:paraId="5119087A"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984" w:type="dxa"/>
            <w:shd w:val="clear" w:color="auto" w:fill="auto"/>
            <w:vAlign w:val="center"/>
          </w:tcPr>
          <w:p w14:paraId="48671BFE"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53.9</w:t>
            </w:r>
          </w:p>
        </w:tc>
        <w:tc>
          <w:tcPr>
            <w:tcW w:w="984" w:type="dxa"/>
            <w:shd w:val="clear" w:color="auto" w:fill="auto"/>
            <w:vAlign w:val="center"/>
          </w:tcPr>
          <w:p w14:paraId="36A9B9CA"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984" w:type="dxa"/>
            <w:shd w:val="clear" w:color="auto" w:fill="auto"/>
            <w:vAlign w:val="center"/>
          </w:tcPr>
          <w:p w14:paraId="28493E0B"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50.0</w:t>
            </w:r>
          </w:p>
        </w:tc>
      </w:tr>
      <w:tr w:rsidR="004353B3" w:rsidRPr="00B7631E" w14:paraId="1382A4AE" w14:textId="77777777" w:rsidTr="004353B3">
        <w:trPr>
          <w:trHeight w:val="288"/>
          <w:jc w:val="center"/>
        </w:trPr>
        <w:tc>
          <w:tcPr>
            <w:tcW w:w="1596" w:type="dxa"/>
            <w:shd w:val="clear" w:color="auto" w:fill="auto"/>
            <w:vAlign w:val="center"/>
          </w:tcPr>
          <w:p w14:paraId="0CB252FF" w14:textId="77777777" w:rsidR="004353B3" w:rsidRPr="00B7631E" w:rsidRDefault="004353B3" w:rsidP="004353B3">
            <w:pPr>
              <w:keepNext/>
              <w:widowControl w:val="0"/>
              <w:contextualSpacing/>
              <w:rPr>
                <w:rFonts w:ascii="Times New Roman" w:hAnsi="Times New Roman" w:cs="Times New Roman"/>
                <w:sz w:val="20"/>
                <w:szCs w:val="20"/>
              </w:rPr>
            </w:pPr>
            <w:r w:rsidRPr="00B7631E">
              <w:rPr>
                <w:rFonts w:ascii="Times New Roman" w:hAnsi="Times New Roman" w:cs="Times New Roman"/>
                <w:sz w:val="20"/>
                <w:szCs w:val="20"/>
              </w:rPr>
              <w:t>NA</w:t>
            </w:r>
          </w:p>
        </w:tc>
        <w:tc>
          <w:tcPr>
            <w:tcW w:w="984" w:type="dxa"/>
            <w:shd w:val="clear" w:color="auto" w:fill="auto"/>
            <w:vAlign w:val="center"/>
          </w:tcPr>
          <w:p w14:paraId="3026ACB2"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984" w:type="dxa"/>
            <w:shd w:val="clear" w:color="auto" w:fill="auto"/>
            <w:vAlign w:val="center"/>
          </w:tcPr>
          <w:p w14:paraId="56BBFB02"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1016" w:type="dxa"/>
            <w:shd w:val="clear" w:color="auto" w:fill="auto"/>
            <w:vAlign w:val="center"/>
          </w:tcPr>
          <w:p w14:paraId="04996D79"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9,882</w:t>
            </w:r>
          </w:p>
        </w:tc>
        <w:tc>
          <w:tcPr>
            <w:tcW w:w="984" w:type="dxa"/>
            <w:shd w:val="clear" w:color="auto" w:fill="auto"/>
            <w:vAlign w:val="center"/>
          </w:tcPr>
          <w:p w14:paraId="0D096419"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0.7</w:t>
            </w:r>
          </w:p>
        </w:tc>
        <w:tc>
          <w:tcPr>
            <w:tcW w:w="984" w:type="dxa"/>
            <w:shd w:val="clear" w:color="auto" w:fill="auto"/>
            <w:vAlign w:val="center"/>
          </w:tcPr>
          <w:p w14:paraId="3C51BBD8"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984" w:type="dxa"/>
            <w:shd w:val="clear" w:color="auto" w:fill="auto"/>
            <w:vAlign w:val="center"/>
          </w:tcPr>
          <w:p w14:paraId="26A0201E"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984" w:type="dxa"/>
            <w:shd w:val="clear" w:color="auto" w:fill="auto"/>
            <w:vAlign w:val="center"/>
          </w:tcPr>
          <w:p w14:paraId="67FCDFC9"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984" w:type="dxa"/>
            <w:shd w:val="clear" w:color="auto" w:fill="auto"/>
            <w:vAlign w:val="center"/>
          </w:tcPr>
          <w:p w14:paraId="6B220765" w14:textId="77777777" w:rsidR="004353B3" w:rsidRPr="00B7631E" w:rsidRDefault="004353B3" w:rsidP="004353B3">
            <w:pPr>
              <w:keepNext/>
              <w:widowControl w:val="0"/>
              <w:contextualSpacing/>
              <w:jc w:val="center"/>
              <w:rPr>
                <w:rFonts w:ascii="Times New Roman" w:hAnsi="Times New Roman" w:cs="Times New Roman"/>
                <w:sz w:val="20"/>
                <w:szCs w:val="20"/>
              </w:rPr>
            </w:pPr>
            <w:r>
              <w:rPr>
                <w:rFonts w:ascii="Times New Roman" w:hAnsi="Times New Roman" w:cs="Times New Roman"/>
                <w:sz w:val="20"/>
                <w:szCs w:val="20"/>
              </w:rPr>
              <w:t>0.0</w:t>
            </w:r>
          </w:p>
        </w:tc>
      </w:tr>
      <w:tr w:rsidR="004353B3" w:rsidRPr="00B7631E" w14:paraId="7A784373" w14:textId="77777777" w:rsidTr="004353B3">
        <w:trPr>
          <w:trHeight w:val="288"/>
          <w:jc w:val="center"/>
        </w:trPr>
        <w:tc>
          <w:tcPr>
            <w:tcW w:w="1596" w:type="dxa"/>
            <w:shd w:val="clear" w:color="auto" w:fill="auto"/>
            <w:vAlign w:val="center"/>
          </w:tcPr>
          <w:p w14:paraId="15F46BC6" w14:textId="77777777" w:rsidR="004353B3" w:rsidRPr="00B7631E" w:rsidRDefault="004353B3" w:rsidP="004353B3">
            <w:pPr>
              <w:keepNext/>
              <w:widowControl w:val="0"/>
              <w:contextualSpacing/>
              <w:rPr>
                <w:rFonts w:ascii="Times New Roman" w:hAnsi="Times New Roman" w:cs="Times New Roman"/>
                <w:b/>
                <w:sz w:val="20"/>
                <w:szCs w:val="20"/>
              </w:rPr>
            </w:pPr>
            <w:r w:rsidRPr="00B7631E">
              <w:rPr>
                <w:rFonts w:ascii="Times New Roman" w:hAnsi="Times New Roman" w:cs="Times New Roman"/>
                <w:b/>
                <w:sz w:val="20"/>
                <w:szCs w:val="20"/>
              </w:rPr>
              <w:t>Total</w:t>
            </w:r>
          </w:p>
        </w:tc>
        <w:tc>
          <w:tcPr>
            <w:tcW w:w="984" w:type="dxa"/>
            <w:shd w:val="clear" w:color="auto" w:fill="auto"/>
            <w:vAlign w:val="center"/>
          </w:tcPr>
          <w:p w14:paraId="5CD7461F" w14:textId="77777777" w:rsidR="004353B3" w:rsidRPr="00B7631E" w:rsidRDefault="004353B3" w:rsidP="004353B3">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370</w:t>
            </w:r>
          </w:p>
        </w:tc>
        <w:tc>
          <w:tcPr>
            <w:tcW w:w="984" w:type="dxa"/>
            <w:shd w:val="clear" w:color="auto" w:fill="auto"/>
            <w:vAlign w:val="center"/>
          </w:tcPr>
          <w:p w14:paraId="49AA0022"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1016" w:type="dxa"/>
            <w:shd w:val="clear" w:color="auto" w:fill="auto"/>
            <w:vAlign w:val="center"/>
          </w:tcPr>
          <w:p w14:paraId="19D3EF45" w14:textId="77777777" w:rsidR="004353B3" w:rsidRPr="00B7631E" w:rsidRDefault="004353B3" w:rsidP="004353B3">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1,606,424</w:t>
            </w:r>
          </w:p>
        </w:tc>
        <w:tc>
          <w:tcPr>
            <w:tcW w:w="984" w:type="dxa"/>
            <w:shd w:val="clear" w:color="auto" w:fill="auto"/>
            <w:vAlign w:val="center"/>
          </w:tcPr>
          <w:p w14:paraId="728EF883"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984" w:type="dxa"/>
            <w:shd w:val="clear" w:color="auto" w:fill="auto"/>
            <w:vAlign w:val="center"/>
          </w:tcPr>
          <w:p w14:paraId="71E0C09C" w14:textId="77777777" w:rsidR="004353B3" w:rsidRPr="00B7631E" w:rsidRDefault="004353B3" w:rsidP="004353B3">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13</w:t>
            </w:r>
          </w:p>
        </w:tc>
        <w:tc>
          <w:tcPr>
            <w:tcW w:w="984" w:type="dxa"/>
            <w:shd w:val="clear" w:color="auto" w:fill="auto"/>
            <w:vAlign w:val="center"/>
          </w:tcPr>
          <w:p w14:paraId="564A06CC"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c>
          <w:tcPr>
            <w:tcW w:w="984" w:type="dxa"/>
            <w:shd w:val="clear" w:color="auto" w:fill="auto"/>
            <w:vAlign w:val="center"/>
          </w:tcPr>
          <w:p w14:paraId="70F3B020" w14:textId="77777777" w:rsidR="004353B3" w:rsidRPr="00B7631E" w:rsidRDefault="004353B3" w:rsidP="004353B3">
            <w:pPr>
              <w:keepNext/>
              <w:widowControl w:val="0"/>
              <w:contextualSpacing/>
              <w:jc w:val="center"/>
              <w:rPr>
                <w:rFonts w:ascii="Times New Roman" w:hAnsi="Times New Roman" w:cs="Times New Roman"/>
                <w:b/>
                <w:sz w:val="20"/>
                <w:szCs w:val="20"/>
              </w:rPr>
            </w:pPr>
            <w:r>
              <w:rPr>
                <w:rFonts w:ascii="Times New Roman" w:hAnsi="Times New Roman" w:cs="Times New Roman"/>
                <w:b/>
                <w:sz w:val="20"/>
                <w:szCs w:val="20"/>
              </w:rPr>
              <w:t>22</w:t>
            </w:r>
          </w:p>
        </w:tc>
        <w:tc>
          <w:tcPr>
            <w:tcW w:w="984" w:type="dxa"/>
            <w:shd w:val="clear" w:color="auto" w:fill="auto"/>
            <w:vAlign w:val="center"/>
          </w:tcPr>
          <w:p w14:paraId="4FB8AAAB" w14:textId="77777777" w:rsidR="004353B3" w:rsidRPr="00B7631E" w:rsidRDefault="004353B3" w:rsidP="004353B3">
            <w:pPr>
              <w:keepNext/>
              <w:widowControl w:val="0"/>
              <w:contextualSpacing/>
              <w:jc w:val="center"/>
              <w:rPr>
                <w:rFonts w:ascii="Times New Roman" w:hAnsi="Times New Roman" w:cs="Times New Roman"/>
                <w:b/>
                <w:sz w:val="20"/>
                <w:szCs w:val="20"/>
              </w:rPr>
            </w:pPr>
            <w:r w:rsidRPr="00B7631E">
              <w:rPr>
                <w:rFonts w:ascii="Times New Roman" w:hAnsi="Times New Roman" w:cs="Times New Roman"/>
                <w:b/>
                <w:sz w:val="20"/>
                <w:szCs w:val="20"/>
              </w:rPr>
              <w:t>100.0</w:t>
            </w:r>
          </w:p>
        </w:tc>
      </w:tr>
      <w:tr w:rsidR="004353B3" w:rsidRPr="00B7631E" w14:paraId="608B9C3D" w14:textId="77777777" w:rsidTr="004353B3">
        <w:trPr>
          <w:trHeight w:val="288"/>
          <w:jc w:val="center"/>
        </w:trPr>
        <w:tc>
          <w:tcPr>
            <w:tcW w:w="9500" w:type="dxa"/>
            <w:gridSpan w:val="9"/>
            <w:shd w:val="clear" w:color="auto" w:fill="auto"/>
            <w:vAlign w:val="center"/>
          </w:tcPr>
          <w:p w14:paraId="72C0911B" w14:textId="77777777" w:rsidR="004353B3" w:rsidRPr="00B7631E" w:rsidRDefault="004353B3" w:rsidP="004353B3">
            <w:pPr>
              <w:keepNext/>
              <w:widowControl w:val="0"/>
              <w:contextualSpacing/>
              <w:rPr>
                <w:rFonts w:ascii="Times New Roman" w:hAnsi="Times New Roman" w:cs="Times New Roman"/>
                <w:i/>
                <w:sz w:val="16"/>
                <w:szCs w:val="16"/>
              </w:rPr>
            </w:pPr>
            <w:r w:rsidRPr="00B7631E">
              <w:rPr>
                <w:rFonts w:ascii="Times New Roman" w:hAnsi="Times New Roman" w:cs="Times New Roman"/>
                <w:i/>
                <w:sz w:val="16"/>
                <w:szCs w:val="16"/>
              </w:rPr>
              <w:t xml:space="preserve">Source:  2015 ACS Data; Bank Data </w:t>
            </w:r>
          </w:p>
        </w:tc>
      </w:tr>
    </w:tbl>
    <w:p w14:paraId="66F5AB7F" w14:textId="77777777" w:rsidR="004353B3" w:rsidRPr="008753A5" w:rsidRDefault="004353B3" w:rsidP="004353B3">
      <w:pPr>
        <w:spacing w:after="0" w:line="240" w:lineRule="auto"/>
        <w:rPr>
          <w:rFonts w:ascii="Times New Roman" w:eastAsia="Times New Roman" w:hAnsi="Times New Roman" w:cs="Times New Roman"/>
          <w:bCs/>
          <w:sz w:val="24"/>
          <w:szCs w:val="24"/>
        </w:rPr>
      </w:pPr>
    </w:p>
    <w:p w14:paraId="6D7A4386" w14:textId="7735A606" w:rsidR="00FC4183" w:rsidRPr="008753A5" w:rsidRDefault="004353B3" w:rsidP="00FC4183">
      <w:pPr>
        <w:spacing w:after="0" w:line="240" w:lineRule="auto"/>
        <w:rPr>
          <w:rFonts w:ascii="Times New Roman" w:eastAsia="Times New Roman" w:hAnsi="Times New Roman" w:cs="Times New Roman"/>
          <w:bCs/>
          <w:sz w:val="24"/>
          <w:szCs w:val="24"/>
        </w:rPr>
      </w:pPr>
      <w:r w:rsidRPr="008753A5">
        <w:rPr>
          <w:rFonts w:ascii="Times New Roman" w:eastAsia="Times New Roman" w:hAnsi="Times New Roman" w:cs="Times New Roman"/>
          <w:bCs/>
          <w:sz w:val="24"/>
          <w:szCs w:val="24"/>
        </w:rPr>
        <w:t>The d</w:t>
      </w:r>
      <w:r w:rsidR="00FC4183">
        <w:rPr>
          <w:rFonts w:ascii="Times New Roman" w:eastAsia="Times New Roman" w:hAnsi="Times New Roman" w:cs="Times New Roman"/>
          <w:bCs/>
          <w:sz w:val="24"/>
          <w:szCs w:val="24"/>
        </w:rPr>
        <w:t>istribution of branches and ATMs</w:t>
      </w:r>
      <w:r w:rsidRPr="008753A5">
        <w:rPr>
          <w:rFonts w:ascii="Times New Roman" w:eastAsia="Times New Roman" w:hAnsi="Times New Roman" w:cs="Times New Roman"/>
          <w:bCs/>
          <w:sz w:val="24"/>
          <w:szCs w:val="24"/>
        </w:rPr>
        <w:t xml:space="preserve"> in low</w:t>
      </w:r>
      <w:r w:rsidR="00FC4183">
        <w:rPr>
          <w:rFonts w:ascii="Times New Roman" w:eastAsia="Times New Roman" w:hAnsi="Times New Roman" w:cs="Times New Roman"/>
          <w:bCs/>
          <w:sz w:val="24"/>
          <w:szCs w:val="24"/>
        </w:rPr>
        <w:t>-</w:t>
      </w:r>
      <w:r w:rsidRPr="008753A5">
        <w:rPr>
          <w:rFonts w:ascii="Times New Roman" w:eastAsia="Times New Roman" w:hAnsi="Times New Roman" w:cs="Times New Roman"/>
          <w:bCs/>
          <w:sz w:val="24"/>
          <w:szCs w:val="24"/>
        </w:rPr>
        <w:t xml:space="preserve"> and moderate-income census tracts is less than the percentage of population residing in these tracts</w:t>
      </w:r>
      <w:r w:rsidR="00D4531F">
        <w:rPr>
          <w:rFonts w:ascii="Times New Roman" w:eastAsia="Times New Roman" w:hAnsi="Times New Roman" w:cs="Times New Roman"/>
          <w:bCs/>
          <w:sz w:val="24"/>
          <w:szCs w:val="24"/>
        </w:rPr>
        <w:t>.</w:t>
      </w:r>
      <w:r w:rsidR="00FC4183">
        <w:rPr>
          <w:rFonts w:ascii="Times New Roman" w:eastAsia="Times New Roman" w:hAnsi="Times New Roman" w:cs="Times New Roman"/>
          <w:bCs/>
          <w:sz w:val="24"/>
          <w:szCs w:val="24"/>
        </w:rPr>
        <w:t xml:space="preserve">  </w:t>
      </w:r>
      <w:r w:rsidRPr="008753A5">
        <w:rPr>
          <w:rFonts w:ascii="Times New Roman" w:eastAsia="Times New Roman" w:hAnsi="Times New Roman" w:cs="Times New Roman"/>
          <w:bCs/>
          <w:sz w:val="24"/>
          <w:szCs w:val="24"/>
        </w:rPr>
        <w:t xml:space="preserve">Within </w:t>
      </w:r>
      <w:r w:rsidR="00F456E8">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assessment area</w:t>
      </w:r>
      <w:r w:rsidR="00FC4183">
        <w:rPr>
          <w:rFonts w:ascii="Times New Roman" w:eastAsia="Times New Roman" w:hAnsi="Times New Roman" w:cs="Times New Roman"/>
          <w:bCs/>
          <w:sz w:val="24"/>
          <w:szCs w:val="24"/>
        </w:rPr>
        <w:t>, particularly in s</w:t>
      </w:r>
      <w:r w:rsidRPr="008753A5">
        <w:rPr>
          <w:rFonts w:ascii="Times New Roman" w:eastAsia="Times New Roman" w:hAnsi="Times New Roman" w:cs="Times New Roman"/>
          <w:bCs/>
          <w:sz w:val="24"/>
          <w:szCs w:val="24"/>
        </w:rPr>
        <w:t>outheastern Massachusetts and Rhode Island, there are high concentrations of low</w:t>
      </w:r>
      <w:r w:rsidR="00FC4183">
        <w:rPr>
          <w:rFonts w:ascii="Times New Roman" w:eastAsia="Times New Roman" w:hAnsi="Times New Roman" w:cs="Times New Roman"/>
          <w:bCs/>
          <w:sz w:val="24"/>
          <w:szCs w:val="24"/>
        </w:rPr>
        <w:t>-</w:t>
      </w:r>
      <w:r w:rsidRPr="008753A5">
        <w:rPr>
          <w:rFonts w:ascii="Times New Roman" w:eastAsia="Times New Roman" w:hAnsi="Times New Roman" w:cs="Times New Roman"/>
          <w:bCs/>
          <w:sz w:val="24"/>
          <w:szCs w:val="24"/>
        </w:rPr>
        <w:t xml:space="preserve"> and moderate-</w:t>
      </w:r>
      <w:r w:rsidRPr="008753A5">
        <w:rPr>
          <w:rFonts w:ascii="Times New Roman" w:eastAsia="Times New Roman" w:hAnsi="Times New Roman" w:cs="Times New Roman"/>
          <w:bCs/>
          <w:sz w:val="24"/>
          <w:szCs w:val="24"/>
        </w:rPr>
        <w:lastRenderedPageBreak/>
        <w:t xml:space="preserve">income census tracts. </w:t>
      </w:r>
      <w:r w:rsidR="00D4531F">
        <w:rPr>
          <w:rFonts w:ascii="Times New Roman" w:eastAsia="Times New Roman" w:hAnsi="Times New Roman" w:cs="Times New Roman"/>
          <w:bCs/>
          <w:sz w:val="24"/>
          <w:szCs w:val="24"/>
        </w:rPr>
        <w:t xml:space="preserve"> </w:t>
      </w:r>
      <w:r w:rsidRPr="008753A5">
        <w:rPr>
          <w:rFonts w:ascii="Times New Roman" w:eastAsia="Times New Roman" w:hAnsi="Times New Roman" w:cs="Times New Roman"/>
          <w:bCs/>
          <w:sz w:val="24"/>
          <w:szCs w:val="24"/>
        </w:rPr>
        <w:t xml:space="preserve">Providence, RI contains the highest with 16 low-income and 12 moderate-income census tracts. </w:t>
      </w:r>
      <w:r w:rsidR="00D453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HOB has the capacity to serve c</w:t>
      </w:r>
      <w:r w:rsidRPr="008753A5">
        <w:rPr>
          <w:rFonts w:ascii="Times New Roman" w:eastAsia="Times New Roman" w:hAnsi="Times New Roman" w:cs="Times New Roman"/>
          <w:bCs/>
          <w:sz w:val="24"/>
          <w:szCs w:val="24"/>
        </w:rPr>
        <w:t>ustomers from these census tract</w:t>
      </w:r>
      <w:r>
        <w:rPr>
          <w:rFonts w:ascii="Times New Roman" w:eastAsia="Times New Roman" w:hAnsi="Times New Roman" w:cs="Times New Roman"/>
          <w:bCs/>
          <w:sz w:val="24"/>
          <w:szCs w:val="24"/>
        </w:rPr>
        <w:t>s</w:t>
      </w:r>
      <w:r w:rsidRPr="008753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at </w:t>
      </w:r>
      <w:r w:rsidR="00D4531F">
        <w:rPr>
          <w:rFonts w:ascii="Times New Roman" w:eastAsia="Times New Roman" w:hAnsi="Times New Roman" w:cs="Times New Roman"/>
          <w:bCs/>
          <w:sz w:val="24"/>
          <w:szCs w:val="24"/>
        </w:rPr>
        <w:t>two</w:t>
      </w:r>
      <w:r w:rsidRPr="008753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branch locations</w:t>
      </w:r>
      <w:r w:rsidR="00D4531F">
        <w:rPr>
          <w:rFonts w:ascii="Times New Roman" w:eastAsia="Times New Roman" w:hAnsi="Times New Roman" w:cs="Times New Roman"/>
          <w:bCs/>
          <w:sz w:val="24"/>
          <w:szCs w:val="24"/>
        </w:rPr>
        <w:t xml:space="preserve"> in </w:t>
      </w:r>
      <w:r w:rsidRPr="008753A5">
        <w:rPr>
          <w:rFonts w:ascii="Times New Roman" w:eastAsia="Times New Roman" w:hAnsi="Times New Roman" w:cs="Times New Roman"/>
          <w:bCs/>
          <w:sz w:val="24"/>
          <w:szCs w:val="24"/>
        </w:rPr>
        <w:t>low</w:t>
      </w:r>
      <w:r w:rsidR="00D4531F">
        <w:rPr>
          <w:rFonts w:ascii="Times New Roman" w:eastAsia="Times New Roman" w:hAnsi="Times New Roman" w:cs="Times New Roman"/>
          <w:bCs/>
          <w:sz w:val="24"/>
          <w:szCs w:val="24"/>
        </w:rPr>
        <w:t>- and</w:t>
      </w:r>
      <w:r w:rsidRPr="008753A5">
        <w:rPr>
          <w:rFonts w:ascii="Times New Roman" w:eastAsia="Times New Roman" w:hAnsi="Times New Roman" w:cs="Times New Roman"/>
          <w:bCs/>
          <w:sz w:val="24"/>
          <w:szCs w:val="24"/>
        </w:rPr>
        <w:t xml:space="preserve"> moderate-income area</w:t>
      </w:r>
      <w:r w:rsidR="00D4531F">
        <w:rPr>
          <w:rFonts w:ascii="Times New Roman" w:eastAsia="Times New Roman" w:hAnsi="Times New Roman" w:cs="Times New Roman"/>
          <w:bCs/>
          <w:sz w:val="24"/>
          <w:szCs w:val="24"/>
        </w:rPr>
        <w:t>s</w:t>
      </w:r>
      <w:r w:rsidRPr="008753A5">
        <w:rPr>
          <w:rFonts w:ascii="Times New Roman" w:eastAsia="Times New Roman" w:hAnsi="Times New Roman" w:cs="Times New Roman"/>
          <w:bCs/>
          <w:sz w:val="24"/>
          <w:szCs w:val="24"/>
        </w:rPr>
        <w:t xml:space="preserve"> in Providence, RI.</w:t>
      </w:r>
      <w:r w:rsidR="00D4531F">
        <w:rPr>
          <w:rFonts w:ascii="Times New Roman" w:eastAsia="Times New Roman" w:hAnsi="Times New Roman" w:cs="Times New Roman"/>
          <w:bCs/>
          <w:sz w:val="24"/>
          <w:szCs w:val="24"/>
        </w:rPr>
        <w:t xml:space="preserve"> </w:t>
      </w:r>
      <w:r w:rsidRPr="008753A5">
        <w:rPr>
          <w:rFonts w:ascii="Times New Roman" w:eastAsia="Times New Roman" w:hAnsi="Times New Roman" w:cs="Times New Roman"/>
          <w:bCs/>
          <w:sz w:val="24"/>
          <w:szCs w:val="24"/>
        </w:rPr>
        <w:t xml:space="preserve"> In addition, there is a loan production office in a mode</w:t>
      </w:r>
      <w:r w:rsidR="00D4531F">
        <w:rPr>
          <w:rFonts w:ascii="Times New Roman" w:eastAsia="Times New Roman" w:hAnsi="Times New Roman" w:cs="Times New Roman"/>
          <w:bCs/>
          <w:sz w:val="24"/>
          <w:szCs w:val="24"/>
        </w:rPr>
        <w:t>rate-income area of Providence.</w:t>
      </w:r>
      <w:r w:rsidR="00FC4183">
        <w:rPr>
          <w:rFonts w:ascii="Times New Roman" w:eastAsia="Times New Roman" w:hAnsi="Times New Roman" w:cs="Times New Roman"/>
          <w:bCs/>
          <w:sz w:val="24"/>
          <w:szCs w:val="24"/>
        </w:rPr>
        <w:t xml:space="preserve">  </w:t>
      </w:r>
      <w:r w:rsidR="00FC4183" w:rsidRPr="008753A5">
        <w:rPr>
          <w:rFonts w:ascii="Times New Roman" w:eastAsia="Times New Roman" w:hAnsi="Times New Roman" w:cs="Times New Roman"/>
          <w:bCs/>
          <w:sz w:val="24"/>
          <w:szCs w:val="24"/>
        </w:rPr>
        <w:t>The bank’s 2830 Pawtucket Ave</w:t>
      </w:r>
      <w:r w:rsidR="00FC4183">
        <w:rPr>
          <w:rFonts w:ascii="Times New Roman" w:eastAsia="Times New Roman" w:hAnsi="Times New Roman" w:cs="Times New Roman"/>
          <w:bCs/>
          <w:sz w:val="24"/>
          <w:szCs w:val="24"/>
        </w:rPr>
        <w:t>,</w:t>
      </w:r>
      <w:r w:rsidR="00FC4183" w:rsidRPr="008753A5">
        <w:rPr>
          <w:rFonts w:ascii="Times New Roman" w:eastAsia="Times New Roman" w:hAnsi="Times New Roman" w:cs="Times New Roman"/>
          <w:bCs/>
          <w:sz w:val="24"/>
          <w:szCs w:val="24"/>
        </w:rPr>
        <w:t xml:space="preserve"> </w:t>
      </w:r>
      <w:r w:rsidR="00FC4183">
        <w:rPr>
          <w:rFonts w:ascii="Times New Roman" w:eastAsia="Times New Roman" w:hAnsi="Times New Roman" w:cs="Times New Roman"/>
          <w:bCs/>
          <w:sz w:val="24"/>
          <w:szCs w:val="24"/>
        </w:rPr>
        <w:t>East Providence branch (middle-income), abuts three</w:t>
      </w:r>
      <w:r w:rsidR="00FC4183" w:rsidRPr="008753A5">
        <w:rPr>
          <w:rFonts w:ascii="Times New Roman" w:eastAsia="Times New Roman" w:hAnsi="Times New Roman" w:cs="Times New Roman"/>
          <w:bCs/>
          <w:sz w:val="24"/>
          <w:szCs w:val="24"/>
        </w:rPr>
        <w:t xml:space="preserve"> moderate-income census tracts. </w:t>
      </w:r>
    </w:p>
    <w:p w14:paraId="39E8DAE5" w14:textId="08CA388C" w:rsidR="004353B3" w:rsidRPr="008753A5" w:rsidRDefault="004353B3" w:rsidP="004353B3">
      <w:pPr>
        <w:spacing w:after="0" w:line="240" w:lineRule="auto"/>
        <w:rPr>
          <w:rFonts w:ascii="Times New Roman" w:eastAsia="Times New Roman" w:hAnsi="Times New Roman" w:cs="Times New Roman"/>
          <w:bCs/>
          <w:sz w:val="24"/>
          <w:szCs w:val="24"/>
        </w:rPr>
      </w:pPr>
    </w:p>
    <w:p w14:paraId="35225F6E" w14:textId="129CD812" w:rsidR="004353B3" w:rsidRPr="008753A5" w:rsidRDefault="004353B3" w:rsidP="004353B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Within S</w:t>
      </w:r>
      <w:r w:rsidRPr="008753A5">
        <w:rPr>
          <w:rFonts w:ascii="Times New Roman" w:eastAsia="Times New Roman" w:hAnsi="Times New Roman" w:cs="Times New Roman"/>
          <w:bCs/>
          <w:sz w:val="24"/>
          <w:szCs w:val="24"/>
        </w:rPr>
        <w:t>outheastern Massachusetts, Fall River and New Bedford also have high concentrations of low</w:t>
      </w:r>
      <w:r w:rsidR="00FC4183">
        <w:rPr>
          <w:rFonts w:ascii="Times New Roman" w:eastAsia="Times New Roman" w:hAnsi="Times New Roman" w:cs="Times New Roman"/>
          <w:bCs/>
          <w:sz w:val="24"/>
          <w:szCs w:val="24"/>
        </w:rPr>
        <w:t>-</w:t>
      </w:r>
      <w:r w:rsidRPr="008753A5">
        <w:rPr>
          <w:rFonts w:ascii="Times New Roman" w:eastAsia="Times New Roman" w:hAnsi="Times New Roman" w:cs="Times New Roman"/>
          <w:bCs/>
          <w:sz w:val="24"/>
          <w:szCs w:val="24"/>
        </w:rPr>
        <w:t xml:space="preserve"> and moderate-income census tracts.</w:t>
      </w:r>
      <w:r w:rsidR="00D4531F">
        <w:rPr>
          <w:rFonts w:ascii="Times New Roman" w:eastAsia="Times New Roman" w:hAnsi="Times New Roman" w:cs="Times New Roman"/>
          <w:bCs/>
          <w:sz w:val="24"/>
          <w:szCs w:val="24"/>
        </w:rPr>
        <w:t xml:space="preserve"> </w:t>
      </w:r>
      <w:r w:rsidRPr="008753A5">
        <w:rPr>
          <w:rFonts w:ascii="Times New Roman" w:eastAsia="Times New Roman" w:hAnsi="Times New Roman" w:cs="Times New Roman"/>
          <w:bCs/>
          <w:sz w:val="24"/>
          <w:szCs w:val="24"/>
        </w:rPr>
        <w:t xml:space="preserve"> While the bank does not operate any branches in any of these tracts</w:t>
      </w:r>
      <w:r w:rsidR="00FC4183">
        <w:rPr>
          <w:rFonts w:ascii="Times New Roman" w:eastAsia="Times New Roman" w:hAnsi="Times New Roman" w:cs="Times New Roman"/>
          <w:bCs/>
          <w:sz w:val="24"/>
          <w:szCs w:val="24"/>
        </w:rPr>
        <w:t>, the availability of online and mobile banking and the ability to submit mortgage loan applications online helps make the bank</w:t>
      </w:r>
      <w:r w:rsidR="005A4409">
        <w:rPr>
          <w:rFonts w:ascii="Times New Roman" w:eastAsia="Times New Roman" w:hAnsi="Times New Roman" w:cs="Times New Roman"/>
          <w:bCs/>
          <w:sz w:val="24"/>
          <w:szCs w:val="24"/>
        </w:rPr>
        <w:t>’</w:t>
      </w:r>
      <w:r w:rsidR="00FC4183">
        <w:rPr>
          <w:rFonts w:ascii="Times New Roman" w:eastAsia="Times New Roman" w:hAnsi="Times New Roman" w:cs="Times New Roman"/>
          <w:bCs/>
          <w:sz w:val="24"/>
          <w:szCs w:val="24"/>
        </w:rPr>
        <w:t>s retail services available in these areas</w:t>
      </w:r>
      <w:r w:rsidRPr="008753A5">
        <w:rPr>
          <w:rFonts w:ascii="Times New Roman" w:eastAsia="Times New Roman" w:hAnsi="Times New Roman" w:cs="Times New Roman"/>
          <w:bCs/>
          <w:sz w:val="24"/>
          <w:szCs w:val="24"/>
        </w:rPr>
        <w:t xml:space="preserve">.  </w:t>
      </w:r>
      <w:r w:rsidR="00D4531F">
        <w:rPr>
          <w:rFonts w:ascii="Times New Roman" w:hAnsi="Times New Roman" w:cs="Times New Roman"/>
          <w:sz w:val="24"/>
          <w:szCs w:val="24"/>
        </w:rPr>
        <w:t>HOB</w:t>
      </w:r>
      <w:r w:rsidRPr="008753A5">
        <w:rPr>
          <w:rFonts w:ascii="Times New Roman" w:hAnsi="Times New Roman" w:cs="Times New Roman"/>
          <w:sz w:val="24"/>
          <w:szCs w:val="24"/>
        </w:rPr>
        <w:t xml:space="preserve"> has been actively involved in community outreach within New Bedford and Fall River </w:t>
      </w:r>
      <w:r w:rsidR="00FC4183">
        <w:rPr>
          <w:rFonts w:ascii="Times New Roman" w:hAnsi="Times New Roman" w:cs="Times New Roman"/>
          <w:sz w:val="24"/>
          <w:szCs w:val="24"/>
        </w:rPr>
        <w:t>through</w:t>
      </w:r>
      <w:r w:rsidRPr="008753A5">
        <w:rPr>
          <w:rFonts w:ascii="Times New Roman" w:hAnsi="Times New Roman" w:cs="Times New Roman"/>
          <w:sz w:val="24"/>
          <w:szCs w:val="24"/>
        </w:rPr>
        <w:t xml:space="preserve"> educational programming and small business support</w:t>
      </w:r>
      <w:r w:rsidR="00FC4183">
        <w:rPr>
          <w:rFonts w:ascii="Times New Roman" w:hAnsi="Times New Roman" w:cs="Times New Roman"/>
          <w:sz w:val="24"/>
          <w:szCs w:val="24"/>
        </w:rPr>
        <w:t xml:space="preserve"> since including these communities in its assessment area</w:t>
      </w:r>
      <w:r w:rsidRPr="008753A5">
        <w:rPr>
          <w:rFonts w:ascii="Times New Roman" w:hAnsi="Times New Roman" w:cs="Times New Roman"/>
          <w:sz w:val="24"/>
          <w:szCs w:val="24"/>
        </w:rPr>
        <w:t xml:space="preserve">. </w:t>
      </w:r>
    </w:p>
    <w:p w14:paraId="1DF59F68" w14:textId="19225157" w:rsidR="004353B3" w:rsidRPr="006E5638" w:rsidRDefault="004353B3" w:rsidP="004353B3">
      <w:pPr>
        <w:spacing w:after="0" w:line="240" w:lineRule="auto"/>
        <w:rPr>
          <w:rFonts w:ascii="Times New Roman" w:eastAsia="Times New Roman" w:hAnsi="Times New Roman" w:cs="Times New Roman"/>
          <w:bCs/>
          <w:sz w:val="24"/>
          <w:szCs w:val="24"/>
        </w:rPr>
      </w:pPr>
    </w:p>
    <w:p w14:paraId="72F112D9" w14:textId="77777777" w:rsidR="004353B3" w:rsidRPr="00E50970" w:rsidRDefault="004353B3" w:rsidP="004353B3">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Changes in Branch Locations</w:t>
      </w:r>
    </w:p>
    <w:p w14:paraId="256D0645" w14:textId="77777777" w:rsidR="004353B3" w:rsidRDefault="004353B3" w:rsidP="004353B3">
      <w:pPr>
        <w:spacing w:after="0" w:line="240" w:lineRule="auto"/>
        <w:rPr>
          <w:rFonts w:ascii="Times New Roman" w:eastAsia="Times New Roman" w:hAnsi="Times New Roman" w:cs="Times New Roman"/>
          <w:iCs/>
          <w:sz w:val="24"/>
          <w:szCs w:val="24"/>
        </w:rPr>
      </w:pPr>
    </w:p>
    <w:p w14:paraId="62964D38" w14:textId="4D386527" w:rsidR="004353B3" w:rsidRDefault="004353B3" w:rsidP="004353B3">
      <w:pPr>
        <w:spacing w:after="0" w:line="240" w:lineRule="auto"/>
        <w:rPr>
          <w:rFonts w:ascii="Times New Roman" w:eastAsia="Times New Roman" w:hAnsi="Times New Roman" w:cs="Times New Roman"/>
          <w:bCs/>
          <w:sz w:val="24"/>
          <w:szCs w:val="24"/>
        </w:rPr>
      </w:pPr>
      <w:r w:rsidRPr="00155104">
        <w:rPr>
          <w:rFonts w:ascii="Times New Roman" w:hAnsi="Times New Roman" w:cs="Times New Roman"/>
          <w:color w:val="141414"/>
          <w:sz w:val="24"/>
          <w:szCs w:val="24"/>
        </w:rPr>
        <w:t xml:space="preserve">To the extent changes have been made, </w:t>
      </w:r>
      <w:r>
        <w:rPr>
          <w:rFonts w:ascii="Times New Roman" w:hAnsi="Times New Roman" w:cs="Times New Roman"/>
          <w:color w:val="141414"/>
          <w:sz w:val="24"/>
          <w:szCs w:val="24"/>
        </w:rPr>
        <w:t>HOB’s</w:t>
      </w:r>
      <w:r w:rsidRPr="00155104">
        <w:rPr>
          <w:rFonts w:ascii="Times New Roman" w:hAnsi="Times New Roman" w:cs="Times New Roman"/>
          <w:color w:val="141414"/>
          <w:sz w:val="24"/>
          <w:szCs w:val="24"/>
        </w:rPr>
        <w:t xml:space="preserve"> record of opening and closing branches has improved the accessibility of its delivery systems, particularly to low- and moderate-income </w:t>
      </w:r>
      <w:r>
        <w:rPr>
          <w:rFonts w:ascii="Times New Roman" w:hAnsi="Times New Roman" w:cs="Times New Roman"/>
          <w:color w:val="141414"/>
          <w:sz w:val="24"/>
          <w:szCs w:val="24"/>
        </w:rPr>
        <w:t>individuals</w:t>
      </w:r>
      <w:r w:rsidRPr="00155104">
        <w:rPr>
          <w:rFonts w:ascii="Times New Roman" w:hAnsi="Times New Roman" w:cs="Times New Roman"/>
          <w:color w:val="141414"/>
          <w:sz w:val="24"/>
          <w:szCs w:val="24"/>
        </w:rPr>
        <w:t xml:space="preserve"> </w:t>
      </w:r>
      <w:r w:rsidR="005A4409">
        <w:rPr>
          <w:rFonts w:ascii="Times New Roman" w:hAnsi="Times New Roman" w:cs="Times New Roman"/>
          <w:color w:val="141414"/>
          <w:sz w:val="24"/>
          <w:szCs w:val="24"/>
        </w:rPr>
        <w:t>and</w:t>
      </w:r>
      <w:r w:rsidRPr="00155104">
        <w:rPr>
          <w:rFonts w:ascii="Times New Roman" w:hAnsi="Times New Roman" w:cs="Times New Roman"/>
          <w:color w:val="141414"/>
          <w:sz w:val="24"/>
          <w:szCs w:val="24"/>
        </w:rPr>
        <w:t xml:space="preserve"> in low- and moderate-income geographies</w:t>
      </w:r>
      <w:r>
        <w:rPr>
          <w:rFonts w:ascii="Times New Roman" w:hAnsi="Times New Roman" w:cs="Times New Roman"/>
          <w:color w:val="141414"/>
          <w:sz w:val="24"/>
          <w:szCs w:val="24"/>
        </w:rPr>
        <w:t xml:space="preserve">.  </w:t>
      </w:r>
      <w:r w:rsidR="00D4531F">
        <w:rPr>
          <w:rFonts w:ascii="Times New Roman" w:eastAsia="Times New Roman" w:hAnsi="Times New Roman" w:cs="Times New Roman"/>
          <w:bCs/>
          <w:sz w:val="24"/>
          <w:szCs w:val="24"/>
        </w:rPr>
        <w:t>Due to the acquisition of CCB</w:t>
      </w:r>
      <w:r>
        <w:rPr>
          <w:rFonts w:ascii="Times New Roman" w:eastAsia="Times New Roman" w:hAnsi="Times New Roman" w:cs="Times New Roman"/>
          <w:bCs/>
          <w:sz w:val="24"/>
          <w:szCs w:val="24"/>
        </w:rPr>
        <w:t xml:space="preserve"> in 2018, </w:t>
      </w:r>
      <w:r w:rsidR="00D4531F">
        <w:rPr>
          <w:rFonts w:ascii="Times New Roman" w:eastAsia="Times New Roman" w:hAnsi="Times New Roman" w:cs="Times New Roman"/>
          <w:bCs/>
          <w:sz w:val="24"/>
          <w:szCs w:val="24"/>
        </w:rPr>
        <w:t>HOB</w:t>
      </w:r>
      <w:r>
        <w:rPr>
          <w:rFonts w:ascii="Times New Roman" w:eastAsia="Times New Roman" w:hAnsi="Times New Roman" w:cs="Times New Roman"/>
          <w:bCs/>
          <w:sz w:val="24"/>
          <w:szCs w:val="24"/>
        </w:rPr>
        <w:t xml:space="preserve"> acquired nine branches in Rhode Island.  Of the branches, two are in low</w:t>
      </w:r>
      <w:r w:rsidR="005A44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moderate- income areas in Providence, RI, three </w:t>
      </w:r>
      <w:r w:rsidR="005A4409">
        <w:rPr>
          <w:rFonts w:ascii="Times New Roman" w:eastAsia="Times New Roman" w:hAnsi="Times New Roman" w:cs="Times New Roman"/>
          <w:bCs/>
          <w:sz w:val="24"/>
          <w:szCs w:val="24"/>
        </w:rPr>
        <w:t xml:space="preserve">are </w:t>
      </w:r>
      <w:r>
        <w:rPr>
          <w:rFonts w:ascii="Times New Roman" w:eastAsia="Times New Roman" w:hAnsi="Times New Roman" w:cs="Times New Roman"/>
          <w:bCs/>
          <w:sz w:val="24"/>
          <w:szCs w:val="24"/>
        </w:rPr>
        <w:t>in middle-income areas</w:t>
      </w:r>
      <w:r w:rsidR="005A440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four </w:t>
      </w:r>
      <w:r w:rsidR="005A4409">
        <w:rPr>
          <w:rFonts w:ascii="Times New Roman" w:eastAsia="Times New Roman" w:hAnsi="Times New Roman" w:cs="Times New Roman"/>
          <w:bCs/>
          <w:sz w:val="24"/>
          <w:szCs w:val="24"/>
        </w:rPr>
        <w:t xml:space="preserve">are </w:t>
      </w:r>
      <w:r>
        <w:rPr>
          <w:rFonts w:ascii="Times New Roman" w:eastAsia="Times New Roman" w:hAnsi="Times New Roman" w:cs="Times New Roman"/>
          <w:bCs/>
          <w:sz w:val="24"/>
          <w:szCs w:val="24"/>
        </w:rPr>
        <w:t>in upper-income areas.</w:t>
      </w:r>
    </w:p>
    <w:p w14:paraId="3B1D5A7A" w14:textId="77777777" w:rsidR="004353B3" w:rsidRPr="00D4531F" w:rsidRDefault="004353B3" w:rsidP="004353B3">
      <w:pPr>
        <w:spacing w:after="0" w:line="240" w:lineRule="auto"/>
        <w:rPr>
          <w:rFonts w:ascii="Times New Roman" w:eastAsia="Times New Roman" w:hAnsi="Times New Roman" w:cs="Times New Roman"/>
          <w:bCs/>
          <w:sz w:val="24"/>
          <w:szCs w:val="24"/>
        </w:rPr>
      </w:pPr>
    </w:p>
    <w:p w14:paraId="12009706" w14:textId="694F8294" w:rsidR="004353B3" w:rsidRPr="00D4531F" w:rsidRDefault="004353B3" w:rsidP="004353B3">
      <w:pPr>
        <w:spacing w:after="0" w:line="240" w:lineRule="auto"/>
        <w:rPr>
          <w:rFonts w:ascii="Times New Roman" w:eastAsia="Times New Roman" w:hAnsi="Times New Roman" w:cs="Times New Roman"/>
          <w:bCs/>
          <w:sz w:val="24"/>
          <w:szCs w:val="24"/>
        </w:rPr>
      </w:pPr>
      <w:r w:rsidRPr="00D4531F">
        <w:rPr>
          <w:rFonts w:ascii="Times New Roman" w:eastAsia="Times New Roman" w:hAnsi="Times New Roman" w:cs="Times New Roman"/>
          <w:bCs/>
          <w:sz w:val="24"/>
          <w:szCs w:val="24"/>
        </w:rPr>
        <w:t xml:space="preserve">In December 2018, </w:t>
      </w:r>
      <w:r w:rsidR="00612EDE">
        <w:rPr>
          <w:rFonts w:ascii="Times New Roman" w:eastAsia="Times New Roman" w:hAnsi="Times New Roman" w:cs="Times New Roman"/>
          <w:bCs/>
          <w:sz w:val="24"/>
          <w:szCs w:val="24"/>
        </w:rPr>
        <w:t xml:space="preserve">the bank closed </w:t>
      </w:r>
      <w:r w:rsidR="00DA4F60">
        <w:rPr>
          <w:rFonts w:ascii="Times New Roman" w:eastAsia="Times New Roman" w:hAnsi="Times New Roman" w:cs="Times New Roman"/>
          <w:bCs/>
          <w:sz w:val="24"/>
          <w:szCs w:val="24"/>
        </w:rPr>
        <w:t>a limited-</w:t>
      </w:r>
      <w:r w:rsidRPr="00D4531F">
        <w:rPr>
          <w:rFonts w:ascii="Times New Roman" w:eastAsia="Times New Roman" w:hAnsi="Times New Roman" w:cs="Times New Roman"/>
          <w:bCs/>
          <w:sz w:val="24"/>
          <w:szCs w:val="24"/>
        </w:rPr>
        <w:t xml:space="preserve">service </w:t>
      </w:r>
      <w:r w:rsidR="00FC4183">
        <w:rPr>
          <w:rFonts w:ascii="Times New Roman" w:eastAsia="Times New Roman" w:hAnsi="Times New Roman" w:cs="Times New Roman"/>
          <w:bCs/>
          <w:sz w:val="24"/>
          <w:szCs w:val="24"/>
        </w:rPr>
        <w:t>branch in an upper-income tract</w:t>
      </w:r>
      <w:r w:rsidRPr="00D4531F">
        <w:rPr>
          <w:rFonts w:ascii="Times New Roman" w:eastAsia="Times New Roman" w:hAnsi="Times New Roman" w:cs="Times New Roman"/>
          <w:bCs/>
          <w:sz w:val="24"/>
          <w:szCs w:val="24"/>
        </w:rPr>
        <w:t xml:space="preserve"> located at 529 Pleasant Street in Attleboro. </w:t>
      </w:r>
      <w:r w:rsidR="00D4531F" w:rsidRPr="00D4531F">
        <w:rPr>
          <w:rFonts w:ascii="Times New Roman" w:eastAsia="Times New Roman" w:hAnsi="Times New Roman" w:cs="Times New Roman"/>
          <w:bCs/>
          <w:sz w:val="24"/>
          <w:szCs w:val="24"/>
        </w:rPr>
        <w:t xml:space="preserve"> </w:t>
      </w:r>
      <w:r w:rsidRPr="00D4531F">
        <w:rPr>
          <w:rFonts w:ascii="Times New Roman" w:eastAsia="Times New Roman" w:hAnsi="Times New Roman" w:cs="Times New Roman"/>
          <w:bCs/>
          <w:sz w:val="24"/>
          <w:szCs w:val="24"/>
        </w:rPr>
        <w:t>The office had low transaction volume due</w:t>
      </w:r>
      <w:r w:rsidR="00612EDE">
        <w:rPr>
          <w:rFonts w:ascii="Times New Roman" w:eastAsia="Times New Roman" w:hAnsi="Times New Roman" w:cs="Times New Roman"/>
          <w:bCs/>
          <w:sz w:val="24"/>
          <w:szCs w:val="24"/>
        </w:rPr>
        <w:t xml:space="preserve"> to</w:t>
      </w:r>
      <w:r w:rsidRPr="00D4531F">
        <w:rPr>
          <w:rFonts w:ascii="Times New Roman" w:eastAsia="Times New Roman" w:hAnsi="Times New Roman" w:cs="Times New Roman"/>
          <w:bCs/>
          <w:sz w:val="24"/>
          <w:szCs w:val="24"/>
        </w:rPr>
        <w:t xml:space="preserve"> the branch having limited accessibility to the public</w:t>
      </w:r>
      <w:r w:rsidR="00DA4F60">
        <w:rPr>
          <w:rFonts w:ascii="Times New Roman" w:eastAsia="Times New Roman" w:hAnsi="Times New Roman" w:cs="Times New Roman"/>
          <w:bCs/>
          <w:sz w:val="24"/>
          <w:szCs w:val="24"/>
        </w:rPr>
        <w:t xml:space="preserve"> as it specifically served a business center rather than the general public</w:t>
      </w:r>
      <w:r w:rsidRPr="00D4531F">
        <w:rPr>
          <w:rFonts w:ascii="Times New Roman" w:eastAsia="Times New Roman" w:hAnsi="Times New Roman" w:cs="Times New Roman"/>
          <w:bCs/>
          <w:sz w:val="24"/>
          <w:szCs w:val="24"/>
        </w:rPr>
        <w:t>.</w:t>
      </w:r>
      <w:r w:rsidR="00FC4183">
        <w:rPr>
          <w:rFonts w:ascii="Times New Roman" w:eastAsia="Times New Roman" w:hAnsi="Times New Roman" w:cs="Times New Roman"/>
          <w:bCs/>
          <w:sz w:val="24"/>
          <w:szCs w:val="24"/>
        </w:rPr>
        <w:t xml:space="preserve">  </w:t>
      </w:r>
      <w:r w:rsidR="00FC4183">
        <w:rPr>
          <w:rFonts w:ascii="Times New Roman" w:hAnsi="Times New Roman" w:cs="Times New Roman"/>
          <w:sz w:val="24"/>
          <w:szCs w:val="24"/>
        </w:rPr>
        <w:t>The bank’</w:t>
      </w:r>
      <w:r w:rsidRPr="00D4531F">
        <w:rPr>
          <w:rFonts w:ascii="Times New Roman" w:hAnsi="Times New Roman" w:cs="Times New Roman"/>
          <w:sz w:val="24"/>
          <w:szCs w:val="24"/>
        </w:rPr>
        <w:t xml:space="preserve">s opening and closing of branches in </w:t>
      </w:r>
      <w:r w:rsidR="00DA4F60">
        <w:rPr>
          <w:rFonts w:ascii="Times New Roman" w:hAnsi="Times New Roman" w:cs="Times New Roman"/>
          <w:sz w:val="24"/>
          <w:szCs w:val="24"/>
        </w:rPr>
        <w:t>Providence, RI-MA MSA</w:t>
      </w:r>
      <w:r w:rsidR="00FC4183">
        <w:rPr>
          <w:rFonts w:ascii="Times New Roman" w:hAnsi="Times New Roman" w:cs="Times New Roman"/>
          <w:sz w:val="24"/>
          <w:szCs w:val="24"/>
        </w:rPr>
        <w:t xml:space="preserve"> is consistent with the bank’</w:t>
      </w:r>
      <w:r w:rsidRPr="00D4531F">
        <w:rPr>
          <w:rFonts w:ascii="Times New Roman" w:hAnsi="Times New Roman" w:cs="Times New Roman"/>
          <w:sz w:val="24"/>
          <w:szCs w:val="24"/>
        </w:rPr>
        <w:t xml:space="preserve">s overall </w:t>
      </w:r>
      <w:r w:rsidR="00612EDE">
        <w:rPr>
          <w:rFonts w:ascii="Times New Roman" w:hAnsi="Times New Roman" w:cs="Times New Roman"/>
          <w:sz w:val="24"/>
          <w:szCs w:val="24"/>
        </w:rPr>
        <w:t xml:space="preserve">record of </w:t>
      </w:r>
      <w:r w:rsidRPr="00D4531F">
        <w:rPr>
          <w:rFonts w:ascii="Times New Roman" w:hAnsi="Times New Roman" w:cs="Times New Roman"/>
          <w:sz w:val="24"/>
          <w:szCs w:val="24"/>
        </w:rPr>
        <w:t xml:space="preserve">opening and closing of branches. </w:t>
      </w:r>
    </w:p>
    <w:p w14:paraId="3105A874" w14:textId="7DBAC4AF" w:rsidR="004353B3" w:rsidRPr="00E50970" w:rsidRDefault="004353B3" w:rsidP="004353B3">
      <w:pPr>
        <w:spacing w:after="0" w:line="240" w:lineRule="auto"/>
        <w:rPr>
          <w:rFonts w:ascii="Times New Roman" w:eastAsia="Times New Roman" w:hAnsi="Times New Roman" w:cs="Times New Roman"/>
          <w:iCs/>
          <w:sz w:val="24"/>
          <w:szCs w:val="24"/>
        </w:rPr>
      </w:pPr>
    </w:p>
    <w:p w14:paraId="411C2496" w14:textId="77777777" w:rsidR="004353B3" w:rsidRPr="00E50970" w:rsidRDefault="004353B3" w:rsidP="004353B3">
      <w:pPr>
        <w:spacing w:after="0" w:line="240" w:lineRule="auto"/>
        <w:rPr>
          <w:rFonts w:ascii="Times New Roman" w:eastAsia="Times New Roman" w:hAnsi="Times New Roman" w:cs="Times New Roman"/>
          <w:b/>
          <w:bCs/>
          <w:sz w:val="24"/>
          <w:szCs w:val="24"/>
          <w:u w:val="single"/>
        </w:rPr>
      </w:pPr>
      <w:r w:rsidRPr="00E50970">
        <w:rPr>
          <w:rFonts w:ascii="Times New Roman" w:eastAsia="Times New Roman" w:hAnsi="Times New Roman" w:cs="Times New Roman"/>
          <w:b/>
          <w:bCs/>
          <w:sz w:val="24"/>
          <w:szCs w:val="24"/>
          <w:u w:val="single"/>
        </w:rPr>
        <w:t>Reasonableness of Business Hours and Services</w:t>
      </w:r>
    </w:p>
    <w:p w14:paraId="6FB45C0A" w14:textId="77777777" w:rsidR="004353B3" w:rsidRDefault="004353B3" w:rsidP="004353B3">
      <w:pPr>
        <w:spacing w:after="0" w:line="240" w:lineRule="auto"/>
        <w:rPr>
          <w:rFonts w:ascii="Times New Roman" w:eastAsia="Times New Roman" w:hAnsi="Times New Roman" w:cs="Times New Roman"/>
          <w:iCs/>
          <w:color w:val="000000"/>
          <w:sz w:val="24"/>
          <w:szCs w:val="24"/>
        </w:rPr>
      </w:pPr>
    </w:p>
    <w:p w14:paraId="753BEBC2" w14:textId="64BCA87E" w:rsidR="004353B3" w:rsidRDefault="00FC4183" w:rsidP="004353B3">
      <w:pPr>
        <w:spacing w:after="0" w:line="240" w:lineRule="auto"/>
        <w:rPr>
          <w:rFonts w:ascii="Times New Roman" w:hAnsi="Times New Roman" w:cs="Times New Roman"/>
          <w:color w:val="141414"/>
          <w:sz w:val="24"/>
          <w:szCs w:val="24"/>
        </w:rPr>
      </w:pPr>
      <w:r>
        <w:rPr>
          <w:rFonts w:ascii="Times New Roman" w:hAnsi="Times New Roman" w:cs="Times New Roman"/>
          <w:color w:val="141414"/>
          <w:sz w:val="24"/>
          <w:szCs w:val="24"/>
        </w:rPr>
        <w:t>S</w:t>
      </w:r>
      <w:r w:rsidR="004353B3" w:rsidRPr="00F77D80">
        <w:rPr>
          <w:rFonts w:ascii="Times New Roman" w:hAnsi="Times New Roman" w:cs="Times New Roman"/>
          <w:color w:val="141414"/>
          <w:sz w:val="24"/>
          <w:szCs w:val="24"/>
        </w:rPr>
        <w:t xml:space="preserve">ervices (including, where appropriate, business hours) do not vary in a way that inconveniences </w:t>
      </w:r>
      <w:r>
        <w:rPr>
          <w:rFonts w:ascii="Times New Roman" w:hAnsi="Times New Roman" w:cs="Times New Roman"/>
          <w:color w:val="141414"/>
          <w:sz w:val="24"/>
          <w:szCs w:val="24"/>
        </w:rPr>
        <w:t xml:space="preserve">certain portions of </w:t>
      </w:r>
      <w:r w:rsidR="00BD4EBD">
        <w:rPr>
          <w:rFonts w:ascii="Times New Roman" w:hAnsi="Times New Roman" w:cs="Times New Roman"/>
          <w:color w:val="141414"/>
          <w:sz w:val="24"/>
          <w:szCs w:val="24"/>
        </w:rPr>
        <w:t>the</w:t>
      </w:r>
      <w:r w:rsidR="004353B3" w:rsidRPr="00F77D80">
        <w:rPr>
          <w:rFonts w:ascii="Times New Roman" w:hAnsi="Times New Roman" w:cs="Times New Roman"/>
          <w:color w:val="141414"/>
          <w:sz w:val="24"/>
          <w:szCs w:val="24"/>
        </w:rPr>
        <w:t xml:space="preserve"> assessment area, particularly low- and moderate-income geographies and low- a</w:t>
      </w:r>
      <w:r w:rsidR="00D4531F">
        <w:rPr>
          <w:rFonts w:ascii="Times New Roman" w:hAnsi="Times New Roman" w:cs="Times New Roman"/>
          <w:color w:val="141414"/>
          <w:sz w:val="24"/>
          <w:szCs w:val="24"/>
        </w:rPr>
        <w:t>nd moderate-income individuals.</w:t>
      </w:r>
    </w:p>
    <w:p w14:paraId="16D062B2" w14:textId="77777777" w:rsidR="004353B3" w:rsidRPr="00F77D80" w:rsidRDefault="004353B3" w:rsidP="004353B3">
      <w:pPr>
        <w:spacing w:after="0" w:line="240" w:lineRule="auto"/>
        <w:rPr>
          <w:rFonts w:ascii="Times New Roman" w:hAnsi="Times New Roman" w:cs="Times New Roman"/>
          <w:sz w:val="24"/>
          <w:szCs w:val="24"/>
        </w:rPr>
      </w:pPr>
    </w:p>
    <w:p w14:paraId="53670BD2" w14:textId="38744227" w:rsidR="004353B3" w:rsidRPr="008753A5" w:rsidRDefault="004353B3" w:rsidP="004353B3">
      <w:pPr>
        <w:spacing w:after="0" w:line="240" w:lineRule="auto"/>
        <w:rPr>
          <w:rFonts w:ascii="Times New Roman" w:eastAsia="Times New Roman" w:hAnsi="Times New Roman" w:cs="Times New Roman"/>
          <w:iCs/>
          <w:color w:val="000000"/>
          <w:sz w:val="24"/>
          <w:szCs w:val="24"/>
        </w:rPr>
      </w:pPr>
      <w:r w:rsidRPr="008753A5">
        <w:rPr>
          <w:rFonts w:ascii="Times New Roman" w:hAnsi="Times New Roman" w:cs="Times New Roman"/>
          <w:sz w:val="24"/>
          <w:szCs w:val="24"/>
        </w:rPr>
        <w:t>All branches offer the same loan and deposit products and se</w:t>
      </w:r>
      <w:r w:rsidR="00BD4EBD">
        <w:rPr>
          <w:rFonts w:ascii="Times New Roman" w:hAnsi="Times New Roman" w:cs="Times New Roman"/>
          <w:sz w:val="24"/>
          <w:szCs w:val="24"/>
        </w:rPr>
        <w:t>rvices and have at least one 24-</w:t>
      </w:r>
      <w:r w:rsidRPr="008753A5">
        <w:rPr>
          <w:rFonts w:ascii="Times New Roman" w:hAnsi="Times New Roman" w:cs="Times New Roman"/>
          <w:sz w:val="24"/>
          <w:szCs w:val="24"/>
        </w:rPr>
        <w:t>hour deposit</w:t>
      </w:r>
      <w:r w:rsidR="00BD4EBD">
        <w:rPr>
          <w:rFonts w:ascii="Times New Roman" w:hAnsi="Times New Roman" w:cs="Times New Roman"/>
          <w:sz w:val="24"/>
          <w:szCs w:val="24"/>
        </w:rPr>
        <w:t>-</w:t>
      </w:r>
      <w:r w:rsidRPr="008753A5">
        <w:rPr>
          <w:rFonts w:ascii="Times New Roman" w:hAnsi="Times New Roman" w:cs="Times New Roman"/>
          <w:sz w:val="24"/>
          <w:szCs w:val="24"/>
        </w:rPr>
        <w:t>taking ATM</w:t>
      </w:r>
      <w:r w:rsidR="00612EDE">
        <w:rPr>
          <w:rFonts w:ascii="Times New Roman" w:hAnsi="Times New Roman" w:cs="Times New Roman"/>
          <w:sz w:val="24"/>
          <w:szCs w:val="24"/>
        </w:rPr>
        <w:t>,</w:t>
      </w:r>
      <w:r w:rsidRPr="008753A5">
        <w:rPr>
          <w:rFonts w:ascii="Times New Roman" w:hAnsi="Times New Roman" w:cs="Times New Roman"/>
          <w:sz w:val="24"/>
          <w:szCs w:val="24"/>
        </w:rPr>
        <w:t xml:space="preserve"> with some branches having multiple ATMs. </w:t>
      </w:r>
      <w:r w:rsidR="00D4531F">
        <w:rPr>
          <w:rFonts w:ascii="Times New Roman" w:hAnsi="Times New Roman" w:cs="Times New Roman"/>
          <w:sz w:val="24"/>
          <w:szCs w:val="24"/>
        </w:rPr>
        <w:t xml:space="preserve"> </w:t>
      </w:r>
      <w:r w:rsidRPr="008753A5">
        <w:rPr>
          <w:rFonts w:ascii="Times New Roman" w:hAnsi="Times New Roman" w:cs="Times New Roman"/>
          <w:sz w:val="24"/>
          <w:szCs w:val="24"/>
        </w:rPr>
        <w:t xml:space="preserve">Although branch hours vary from location to location, no hours vary </w:t>
      </w:r>
      <w:r w:rsidR="00612EDE">
        <w:rPr>
          <w:rFonts w:ascii="Times New Roman" w:hAnsi="Times New Roman" w:cs="Times New Roman"/>
          <w:sz w:val="24"/>
          <w:szCs w:val="24"/>
        </w:rPr>
        <w:t xml:space="preserve">in a way that </w:t>
      </w:r>
      <w:r w:rsidRPr="008753A5">
        <w:rPr>
          <w:rFonts w:ascii="Times New Roman" w:hAnsi="Times New Roman" w:cs="Times New Roman"/>
          <w:sz w:val="24"/>
          <w:szCs w:val="24"/>
        </w:rPr>
        <w:t>inconvenience</w:t>
      </w:r>
      <w:r w:rsidR="00612EDE">
        <w:rPr>
          <w:rFonts w:ascii="Times New Roman" w:hAnsi="Times New Roman" w:cs="Times New Roman"/>
          <w:sz w:val="24"/>
          <w:szCs w:val="24"/>
        </w:rPr>
        <w:t>s</w:t>
      </w:r>
      <w:r w:rsidRPr="008753A5">
        <w:rPr>
          <w:rFonts w:ascii="Times New Roman" w:hAnsi="Times New Roman" w:cs="Times New Roman"/>
          <w:sz w:val="24"/>
          <w:szCs w:val="24"/>
        </w:rPr>
        <w:t xml:space="preserve"> a specific geography</w:t>
      </w:r>
      <w:r w:rsidR="00BD4EBD">
        <w:rPr>
          <w:rFonts w:ascii="Times New Roman" w:hAnsi="Times New Roman" w:cs="Times New Roman"/>
          <w:sz w:val="24"/>
          <w:szCs w:val="24"/>
        </w:rPr>
        <w:t>, including low- or moderate-income census tracts</w:t>
      </w:r>
      <w:r w:rsidRPr="008753A5">
        <w:rPr>
          <w:rFonts w:ascii="Times New Roman" w:hAnsi="Times New Roman" w:cs="Times New Roman"/>
          <w:sz w:val="24"/>
          <w:szCs w:val="24"/>
        </w:rPr>
        <w:t xml:space="preserve">. </w:t>
      </w:r>
      <w:r w:rsidR="00D4531F">
        <w:rPr>
          <w:rFonts w:ascii="Times New Roman" w:hAnsi="Times New Roman" w:cs="Times New Roman"/>
          <w:sz w:val="24"/>
          <w:szCs w:val="24"/>
        </w:rPr>
        <w:t xml:space="preserve"> </w:t>
      </w:r>
      <w:r w:rsidRPr="008753A5">
        <w:rPr>
          <w:rFonts w:ascii="Times New Roman" w:hAnsi="Times New Roman" w:cs="Times New Roman"/>
          <w:sz w:val="24"/>
          <w:szCs w:val="24"/>
        </w:rPr>
        <w:t xml:space="preserve">Branch hours are reasonable and comparable to other institutions. </w:t>
      </w:r>
    </w:p>
    <w:p w14:paraId="333D6A3B" w14:textId="77777777" w:rsidR="004353B3" w:rsidRPr="008753A5" w:rsidRDefault="004353B3" w:rsidP="004353B3">
      <w:pPr>
        <w:spacing w:after="0" w:line="240" w:lineRule="auto"/>
        <w:rPr>
          <w:rFonts w:ascii="Times New Roman" w:eastAsia="Times New Roman" w:hAnsi="Times New Roman" w:cs="Times New Roman"/>
          <w:bCs/>
          <w:sz w:val="24"/>
          <w:szCs w:val="24"/>
        </w:rPr>
      </w:pPr>
    </w:p>
    <w:p w14:paraId="7FE81726" w14:textId="5F1A912E" w:rsidR="00BD4EBD" w:rsidRDefault="004353B3" w:rsidP="004353B3">
      <w:pPr>
        <w:widowControl w:val="0"/>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bank extends their financial services beyond the branch network through the </w:t>
      </w:r>
      <w:r w:rsidRPr="00B26780">
        <w:rPr>
          <w:rFonts w:ascii="Times New Roman" w:eastAsia="Times New Roman" w:hAnsi="Times New Roman" w:cs="Times New Roman"/>
          <w:iCs/>
          <w:color w:val="000000"/>
          <w:sz w:val="24"/>
          <w:szCs w:val="24"/>
        </w:rPr>
        <w:t>HarborOne U</w:t>
      </w:r>
      <w:r>
        <w:rPr>
          <w:rFonts w:ascii="Times New Roman" w:eastAsia="Times New Roman" w:hAnsi="Times New Roman" w:cs="Times New Roman"/>
          <w:iCs/>
          <w:color w:val="000000"/>
          <w:sz w:val="24"/>
          <w:szCs w:val="24"/>
        </w:rPr>
        <w:t xml:space="preserve"> Mansfield campus, which</w:t>
      </w:r>
      <w:r w:rsidRPr="00B26780">
        <w:rPr>
          <w:rFonts w:ascii="Times New Roman" w:eastAsia="Times New Roman" w:hAnsi="Times New Roman" w:cs="Times New Roman"/>
          <w:iCs/>
          <w:color w:val="000000"/>
          <w:sz w:val="24"/>
          <w:szCs w:val="24"/>
        </w:rPr>
        <w:t xml:space="preserve"> was established inside the Mansfield Branch in 2010</w:t>
      </w:r>
      <w:r w:rsidR="00BD4EBD">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The campus</w:t>
      </w:r>
      <w:r w:rsidRPr="00B26780">
        <w:rPr>
          <w:rFonts w:ascii="Times New Roman" w:eastAsia="Times New Roman" w:hAnsi="Times New Roman" w:cs="Times New Roman"/>
          <w:iCs/>
          <w:color w:val="000000"/>
          <w:sz w:val="24"/>
          <w:szCs w:val="24"/>
        </w:rPr>
        <w:t xml:space="preserve"> offer</w:t>
      </w:r>
      <w:r>
        <w:rPr>
          <w:rFonts w:ascii="Times New Roman" w:eastAsia="Times New Roman" w:hAnsi="Times New Roman" w:cs="Times New Roman"/>
          <w:iCs/>
          <w:color w:val="000000"/>
          <w:sz w:val="24"/>
          <w:szCs w:val="24"/>
        </w:rPr>
        <w:t xml:space="preserve">s a wide range of </w:t>
      </w:r>
      <w:r w:rsidRPr="00B26780">
        <w:rPr>
          <w:rFonts w:ascii="Times New Roman" w:eastAsia="Times New Roman" w:hAnsi="Times New Roman" w:cs="Times New Roman"/>
          <w:iCs/>
          <w:color w:val="000000"/>
          <w:sz w:val="24"/>
          <w:szCs w:val="24"/>
        </w:rPr>
        <w:t>financial education seminars and financial counseling</w:t>
      </w:r>
      <w:r>
        <w:rPr>
          <w:rFonts w:ascii="Times New Roman" w:eastAsia="Times New Roman" w:hAnsi="Times New Roman" w:cs="Times New Roman"/>
          <w:iCs/>
          <w:color w:val="000000"/>
          <w:sz w:val="24"/>
          <w:szCs w:val="24"/>
        </w:rPr>
        <w:t xml:space="preserve"> tailored to help youth, adults</w:t>
      </w:r>
      <w:r w:rsidR="00612EDE">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and business owners better understand and manage their finances</w:t>
      </w:r>
      <w:r w:rsidRPr="00B26780">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Pr="00B26780">
        <w:rPr>
          <w:rFonts w:ascii="Times New Roman" w:eastAsia="Times New Roman" w:hAnsi="Times New Roman" w:cs="Times New Roman"/>
          <w:iCs/>
          <w:color w:val="000000"/>
          <w:sz w:val="24"/>
          <w:szCs w:val="24"/>
        </w:rPr>
        <w:t>The Man</w:t>
      </w:r>
      <w:r>
        <w:rPr>
          <w:rFonts w:ascii="Times New Roman" w:eastAsia="Times New Roman" w:hAnsi="Times New Roman" w:cs="Times New Roman"/>
          <w:iCs/>
          <w:color w:val="000000"/>
          <w:sz w:val="24"/>
          <w:szCs w:val="24"/>
        </w:rPr>
        <w:t>s</w:t>
      </w:r>
      <w:r w:rsidRPr="00B26780">
        <w:rPr>
          <w:rFonts w:ascii="Times New Roman" w:eastAsia="Times New Roman" w:hAnsi="Times New Roman" w:cs="Times New Roman"/>
          <w:iCs/>
          <w:color w:val="000000"/>
          <w:sz w:val="24"/>
          <w:szCs w:val="24"/>
        </w:rPr>
        <w:t>field campus also hou</w:t>
      </w:r>
      <w:r>
        <w:rPr>
          <w:rFonts w:ascii="Times New Roman" w:eastAsia="Times New Roman" w:hAnsi="Times New Roman" w:cs="Times New Roman"/>
          <w:iCs/>
          <w:color w:val="000000"/>
          <w:sz w:val="24"/>
          <w:szCs w:val="24"/>
        </w:rPr>
        <w:t>ses a s</w:t>
      </w:r>
      <w:r w:rsidRPr="00B26780">
        <w:rPr>
          <w:rFonts w:ascii="Times New Roman" w:eastAsia="Times New Roman" w:hAnsi="Times New Roman" w:cs="Times New Roman"/>
          <w:iCs/>
          <w:color w:val="000000"/>
          <w:sz w:val="24"/>
          <w:szCs w:val="24"/>
        </w:rPr>
        <w:t>mall business information center</w:t>
      </w:r>
      <w:r w:rsidR="00612EDE">
        <w:rPr>
          <w:rFonts w:ascii="Times New Roman" w:eastAsia="Times New Roman" w:hAnsi="Times New Roman" w:cs="Times New Roman"/>
          <w:iCs/>
          <w:color w:val="000000"/>
          <w:sz w:val="24"/>
          <w:szCs w:val="24"/>
        </w:rPr>
        <w:t>,</w:t>
      </w:r>
      <w:r w:rsidRPr="00B26780">
        <w:rPr>
          <w:rFonts w:ascii="Times New Roman" w:eastAsia="Times New Roman" w:hAnsi="Times New Roman" w:cs="Times New Roman"/>
          <w:iCs/>
          <w:color w:val="000000"/>
          <w:sz w:val="24"/>
          <w:szCs w:val="24"/>
        </w:rPr>
        <w:t xml:space="preserve"> which offers free workspace, internet access</w:t>
      </w:r>
      <w:r w:rsidR="00612EDE">
        <w:rPr>
          <w:rFonts w:ascii="Times New Roman" w:eastAsia="Times New Roman" w:hAnsi="Times New Roman" w:cs="Times New Roman"/>
          <w:iCs/>
          <w:color w:val="000000"/>
          <w:sz w:val="24"/>
          <w:szCs w:val="24"/>
        </w:rPr>
        <w:t>,</w:t>
      </w:r>
      <w:r w:rsidRPr="00B26780">
        <w:rPr>
          <w:rFonts w:ascii="Times New Roman" w:eastAsia="Times New Roman" w:hAnsi="Times New Roman" w:cs="Times New Roman"/>
          <w:iCs/>
          <w:color w:val="000000"/>
          <w:sz w:val="24"/>
          <w:szCs w:val="24"/>
        </w:rPr>
        <w:t xml:space="preserve"> and a resource library. </w:t>
      </w:r>
      <w:r>
        <w:rPr>
          <w:rFonts w:ascii="Times New Roman" w:eastAsia="Times New Roman" w:hAnsi="Times New Roman" w:cs="Times New Roman"/>
          <w:iCs/>
          <w:color w:val="000000"/>
          <w:sz w:val="24"/>
          <w:szCs w:val="24"/>
        </w:rPr>
        <w:t xml:space="preserve"> </w:t>
      </w:r>
    </w:p>
    <w:p w14:paraId="73CAAB99" w14:textId="77777777" w:rsidR="00BD4EBD" w:rsidRDefault="00BD4EBD" w:rsidP="004353B3">
      <w:pPr>
        <w:widowControl w:val="0"/>
        <w:spacing w:after="0" w:line="240" w:lineRule="auto"/>
        <w:rPr>
          <w:rFonts w:ascii="Times New Roman" w:eastAsia="Times New Roman" w:hAnsi="Times New Roman" w:cs="Times New Roman"/>
          <w:iCs/>
          <w:color w:val="000000"/>
          <w:sz w:val="24"/>
          <w:szCs w:val="24"/>
        </w:rPr>
      </w:pPr>
    </w:p>
    <w:p w14:paraId="50A22E28" w14:textId="34397B90" w:rsidR="004353B3" w:rsidRDefault="004353B3" w:rsidP="004353B3">
      <w:pPr>
        <w:widowControl w:val="0"/>
        <w:spacing w:after="0" w:line="240" w:lineRule="auto"/>
        <w:rPr>
          <w:rFonts w:ascii="Times New Roman" w:eastAsia="Times New Roman" w:hAnsi="Times New Roman" w:cs="Times New Roman"/>
          <w:b/>
          <w:snapToGrid w:val="0"/>
          <w:color w:val="000000"/>
          <w:sz w:val="24"/>
          <w:szCs w:val="24"/>
          <w:u w:val="single"/>
          <w:lang w:eastAsia="x-none"/>
        </w:rPr>
      </w:pPr>
      <w:r w:rsidRPr="006C4F21">
        <w:rPr>
          <w:rFonts w:ascii="Times New Roman" w:eastAsia="Times New Roman" w:hAnsi="Times New Roman" w:cs="Times New Roman"/>
          <w:iCs/>
          <w:color w:val="000000"/>
          <w:sz w:val="24"/>
          <w:szCs w:val="24"/>
        </w:rPr>
        <w:t xml:space="preserve">After the acquisition of </w:t>
      </w:r>
      <w:r w:rsidR="00D4531F">
        <w:rPr>
          <w:rFonts w:ascii="Times New Roman" w:eastAsia="Times New Roman" w:hAnsi="Times New Roman" w:cs="Times New Roman"/>
          <w:iCs/>
          <w:color w:val="000000"/>
          <w:sz w:val="24"/>
          <w:szCs w:val="24"/>
        </w:rPr>
        <w:t>CCB</w:t>
      </w:r>
      <w:r w:rsidRPr="006C4F21">
        <w:rPr>
          <w:rFonts w:ascii="Times New Roman" w:eastAsia="Times New Roman" w:hAnsi="Times New Roman" w:cs="Times New Roman"/>
          <w:iCs/>
          <w:color w:val="000000"/>
          <w:sz w:val="24"/>
          <w:szCs w:val="24"/>
        </w:rPr>
        <w:t xml:space="preserve">, </w:t>
      </w:r>
      <w:r w:rsidR="00D4531F">
        <w:rPr>
          <w:rFonts w:ascii="Times New Roman" w:eastAsia="Times New Roman" w:hAnsi="Times New Roman" w:cs="Times New Roman"/>
          <w:iCs/>
          <w:color w:val="000000"/>
          <w:sz w:val="24"/>
          <w:szCs w:val="24"/>
        </w:rPr>
        <w:t>HOB</w:t>
      </w:r>
      <w:r>
        <w:rPr>
          <w:rFonts w:ascii="Times New Roman" w:eastAsia="Times New Roman" w:hAnsi="Times New Roman" w:cs="Times New Roman"/>
          <w:iCs/>
          <w:color w:val="000000"/>
          <w:sz w:val="24"/>
          <w:szCs w:val="24"/>
        </w:rPr>
        <w:t xml:space="preserve"> </w:t>
      </w:r>
      <w:r w:rsidRPr="006C4F21">
        <w:rPr>
          <w:rFonts w:ascii="Times New Roman" w:eastAsia="Times New Roman" w:hAnsi="Times New Roman" w:cs="Times New Roman"/>
          <w:iCs/>
          <w:color w:val="000000"/>
          <w:sz w:val="24"/>
          <w:szCs w:val="24"/>
        </w:rPr>
        <w:t xml:space="preserve">expanded </w:t>
      </w:r>
      <w:r>
        <w:rPr>
          <w:rFonts w:ascii="Times New Roman" w:eastAsia="Times New Roman" w:hAnsi="Times New Roman" w:cs="Times New Roman"/>
          <w:iCs/>
          <w:color w:val="000000"/>
          <w:sz w:val="24"/>
          <w:szCs w:val="24"/>
        </w:rPr>
        <w:t xml:space="preserve">financial literacy </w:t>
      </w:r>
      <w:r w:rsidRPr="006C4F21">
        <w:rPr>
          <w:rFonts w:ascii="Times New Roman" w:eastAsia="Times New Roman" w:hAnsi="Times New Roman" w:cs="Times New Roman"/>
          <w:iCs/>
          <w:color w:val="000000"/>
          <w:sz w:val="24"/>
          <w:szCs w:val="24"/>
        </w:rPr>
        <w:t xml:space="preserve">services into Rhode Island. </w:t>
      </w:r>
      <w:r>
        <w:rPr>
          <w:rFonts w:ascii="Times New Roman" w:eastAsia="Times New Roman" w:hAnsi="Times New Roman" w:cs="Times New Roman"/>
          <w:iCs/>
          <w:color w:val="000000"/>
          <w:sz w:val="24"/>
          <w:szCs w:val="24"/>
        </w:rPr>
        <w:t xml:space="preserve"> </w:t>
      </w:r>
      <w:r w:rsidR="00BD4EBD">
        <w:rPr>
          <w:rFonts w:ascii="Times New Roman" w:hAnsi="Times New Roman" w:cs="Times New Roman"/>
          <w:color w:val="000000"/>
          <w:sz w:val="24"/>
          <w:szCs w:val="24"/>
        </w:rPr>
        <w:t>HOB</w:t>
      </w:r>
      <w:r w:rsidRPr="006C4F21">
        <w:rPr>
          <w:rFonts w:ascii="Times New Roman" w:hAnsi="Times New Roman" w:cs="Times New Roman"/>
          <w:color w:val="000000"/>
          <w:sz w:val="24"/>
          <w:szCs w:val="24"/>
        </w:rPr>
        <w:t xml:space="preserve"> employees offered personalized customer</w:t>
      </w:r>
      <w:r w:rsidRPr="006C4F21">
        <w:rPr>
          <w:rFonts w:ascii="Times New Roman" w:eastAsia="Calibri" w:hAnsi="Times New Roman" w:cs="Times New Roman"/>
          <w:color w:val="141414"/>
          <w:sz w:val="24"/>
          <w:szCs w:val="24"/>
        </w:rPr>
        <w:t xml:space="preserve"> service</w:t>
      </w:r>
      <w:r w:rsidR="00C23380">
        <w:rPr>
          <w:rFonts w:ascii="Times New Roman" w:eastAsia="Calibri" w:hAnsi="Times New Roman" w:cs="Times New Roman"/>
          <w:color w:val="141414"/>
          <w:sz w:val="24"/>
          <w:szCs w:val="24"/>
        </w:rPr>
        <w:t xml:space="preserve"> in multiple languages</w:t>
      </w:r>
      <w:r w:rsidRPr="006C4F21">
        <w:rPr>
          <w:rFonts w:ascii="Times New Roman" w:eastAsia="Calibri" w:hAnsi="Times New Roman" w:cs="Times New Roman"/>
          <w:color w:val="141414"/>
          <w:sz w:val="24"/>
          <w:szCs w:val="24"/>
        </w:rPr>
        <w:t xml:space="preserve"> to reach low- and moderate-income individuals, through non-profit and community-based organizations in Rhode Island</w:t>
      </w:r>
      <w:r w:rsidRPr="006C4F21">
        <w:rPr>
          <w:rFonts w:ascii="Times New Roman" w:eastAsia="Calibri" w:hAnsi="Times New Roman" w:cs="Times New Roman"/>
          <w:sz w:val="24"/>
          <w:szCs w:val="24"/>
        </w:rPr>
        <w:t xml:space="preserve">.  </w:t>
      </w:r>
    </w:p>
    <w:p w14:paraId="78D18D2B" w14:textId="77777777" w:rsidR="004353B3" w:rsidRDefault="004353B3" w:rsidP="004353B3">
      <w:pPr>
        <w:widowControl w:val="0"/>
        <w:spacing w:after="0" w:line="240" w:lineRule="auto"/>
        <w:rPr>
          <w:rFonts w:ascii="Times New Roman" w:eastAsia="Times New Roman" w:hAnsi="Times New Roman" w:cs="Times New Roman"/>
          <w:b/>
          <w:snapToGrid w:val="0"/>
          <w:color w:val="000000"/>
          <w:sz w:val="24"/>
          <w:szCs w:val="24"/>
          <w:u w:val="single"/>
          <w:lang w:eastAsia="x-none"/>
        </w:rPr>
      </w:pPr>
    </w:p>
    <w:p w14:paraId="1A21A641" w14:textId="77777777" w:rsidR="004353B3" w:rsidRPr="00E50970" w:rsidRDefault="004353B3" w:rsidP="004353B3">
      <w:pPr>
        <w:widowControl w:val="0"/>
        <w:spacing w:after="0" w:line="240" w:lineRule="auto"/>
        <w:rPr>
          <w:rFonts w:ascii="Times New Roman" w:eastAsia="Times New Roman" w:hAnsi="Times New Roman" w:cs="Times New Roman"/>
          <w:b/>
          <w:snapToGrid w:val="0"/>
          <w:color w:val="000000"/>
          <w:sz w:val="24"/>
          <w:szCs w:val="24"/>
          <w:u w:val="single"/>
          <w:lang w:eastAsia="x-none"/>
        </w:rPr>
      </w:pPr>
      <w:r w:rsidRPr="00E50970">
        <w:rPr>
          <w:rFonts w:ascii="Times New Roman" w:eastAsia="Times New Roman" w:hAnsi="Times New Roman" w:cs="Times New Roman"/>
          <w:b/>
          <w:snapToGrid w:val="0"/>
          <w:color w:val="000000"/>
          <w:sz w:val="24"/>
          <w:szCs w:val="24"/>
          <w:u w:val="single"/>
          <w:lang w:eastAsia="x-none"/>
        </w:rPr>
        <w:t>Community Development Services</w:t>
      </w:r>
    </w:p>
    <w:p w14:paraId="17F3DA5E" w14:textId="77777777" w:rsidR="004353B3" w:rsidRDefault="004353B3" w:rsidP="004353B3">
      <w:pPr>
        <w:spacing w:after="0" w:line="240" w:lineRule="auto"/>
        <w:rPr>
          <w:rFonts w:ascii="Times New Roman" w:eastAsia="Times New Roman" w:hAnsi="Times New Roman" w:cs="Times New Roman"/>
          <w:iCs/>
          <w:sz w:val="24"/>
          <w:szCs w:val="24"/>
        </w:rPr>
      </w:pPr>
    </w:p>
    <w:p w14:paraId="010CF7F5" w14:textId="2D910C10" w:rsidR="004353B3" w:rsidRPr="00345458" w:rsidRDefault="004353B3" w:rsidP="004353B3">
      <w:pPr>
        <w:widowControl w:val="0"/>
        <w:spacing w:after="0" w:line="240" w:lineRule="auto"/>
        <w:rPr>
          <w:rFonts w:ascii="Times New Roman" w:hAnsi="Times New Roman" w:cs="Times New Roman"/>
          <w:sz w:val="24"/>
          <w:szCs w:val="24"/>
        </w:rPr>
      </w:pPr>
      <w:r w:rsidRPr="00345458">
        <w:rPr>
          <w:rFonts w:ascii="Times New Roman" w:hAnsi="Times New Roman" w:cs="Times New Roman"/>
          <w:sz w:val="24"/>
          <w:szCs w:val="24"/>
        </w:rPr>
        <w:t>H</w:t>
      </w:r>
      <w:r>
        <w:rPr>
          <w:rFonts w:ascii="Times New Roman" w:hAnsi="Times New Roman" w:cs="Times New Roman"/>
          <w:sz w:val="24"/>
          <w:szCs w:val="24"/>
        </w:rPr>
        <w:t>OB</w:t>
      </w:r>
      <w:r w:rsidRPr="00345458">
        <w:rPr>
          <w:rFonts w:ascii="Times New Roman" w:hAnsi="Times New Roman" w:cs="Times New Roman"/>
          <w:sz w:val="24"/>
          <w:szCs w:val="24"/>
        </w:rPr>
        <w:t xml:space="preserve"> is a leader in providing community development services</w:t>
      </w:r>
      <w:r w:rsidR="00BD4EBD">
        <w:rPr>
          <w:rFonts w:ascii="Times New Roman" w:hAnsi="Times New Roman" w:cs="Times New Roman"/>
          <w:sz w:val="24"/>
          <w:szCs w:val="24"/>
        </w:rPr>
        <w:t>.  As previously noted within the Massachusetts</w:t>
      </w:r>
      <w:r w:rsidR="00612EDE">
        <w:rPr>
          <w:rFonts w:ascii="Times New Roman" w:hAnsi="Times New Roman" w:cs="Times New Roman"/>
          <w:sz w:val="24"/>
          <w:szCs w:val="24"/>
        </w:rPr>
        <w:t xml:space="preserve"> section of this</w:t>
      </w:r>
      <w:r w:rsidR="00BD4EBD">
        <w:rPr>
          <w:rFonts w:ascii="Times New Roman" w:hAnsi="Times New Roman" w:cs="Times New Roman"/>
          <w:sz w:val="24"/>
          <w:szCs w:val="24"/>
        </w:rPr>
        <w:t xml:space="preserve"> evaluation, HOB is a community leader and uniquely active </w:t>
      </w:r>
      <w:r w:rsidRPr="00345458">
        <w:rPr>
          <w:rFonts w:ascii="Times New Roman" w:hAnsi="Times New Roman" w:cs="Times New Roman"/>
          <w:sz w:val="24"/>
          <w:szCs w:val="24"/>
        </w:rPr>
        <w:t>in providing free financial education to low</w:t>
      </w:r>
      <w:r w:rsidR="00BD4EBD">
        <w:rPr>
          <w:rFonts w:ascii="Times New Roman" w:hAnsi="Times New Roman" w:cs="Times New Roman"/>
          <w:sz w:val="24"/>
          <w:szCs w:val="24"/>
        </w:rPr>
        <w:t>-</w:t>
      </w:r>
      <w:r w:rsidRPr="00345458">
        <w:rPr>
          <w:rFonts w:ascii="Times New Roman" w:hAnsi="Times New Roman" w:cs="Times New Roman"/>
          <w:sz w:val="24"/>
          <w:szCs w:val="24"/>
        </w:rPr>
        <w:t xml:space="preserve"> and moderate-income individuals and small businesses.</w:t>
      </w:r>
      <w:r w:rsidR="00BD4EBD">
        <w:rPr>
          <w:rFonts w:ascii="Times New Roman" w:hAnsi="Times New Roman" w:cs="Times New Roman"/>
          <w:sz w:val="24"/>
          <w:szCs w:val="24"/>
        </w:rPr>
        <w:t xml:space="preserve"> </w:t>
      </w:r>
      <w:r w:rsidRPr="00345458">
        <w:rPr>
          <w:rFonts w:ascii="Times New Roman" w:hAnsi="Times New Roman" w:cs="Times New Roman"/>
          <w:sz w:val="24"/>
          <w:szCs w:val="24"/>
        </w:rPr>
        <w:t xml:space="preserve"> </w:t>
      </w:r>
      <w:r>
        <w:rPr>
          <w:rFonts w:ascii="Times New Roman" w:hAnsi="Times New Roman" w:cs="Times New Roman"/>
          <w:sz w:val="24"/>
          <w:szCs w:val="24"/>
        </w:rPr>
        <w:t xml:space="preserve">Prior to the acquisition of </w:t>
      </w:r>
      <w:r w:rsidR="00D4531F">
        <w:rPr>
          <w:rFonts w:ascii="Times New Roman" w:hAnsi="Times New Roman" w:cs="Times New Roman"/>
          <w:sz w:val="24"/>
          <w:szCs w:val="24"/>
        </w:rPr>
        <w:t>CCB</w:t>
      </w:r>
      <w:r>
        <w:rPr>
          <w:rFonts w:ascii="Times New Roman" w:hAnsi="Times New Roman" w:cs="Times New Roman"/>
          <w:sz w:val="24"/>
          <w:szCs w:val="24"/>
        </w:rPr>
        <w:t>, HOB was not strategically involved in this portion of the assessment area.</w:t>
      </w:r>
      <w:r w:rsidR="00D453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A352A">
        <w:rPr>
          <w:rFonts w:ascii="Times New Roman" w:hAnsi="Times New Roman" w:cs="Times New Roman"/>
          <w:sz w:val="24"/>
          <w:szCs w:val="24"/>
        </w:rPr>
        <w:t>Nonetheless</w:t>
      </w:r>
      <w:r>
        <w:rPr>
          <w:rFonts w:ascii="Times New Roman" w:hAnsi="Times New Roman" w:cs="Times New Roman"/>
          <w:sz w:val="24"/>
          <w:szCs w:val="24"/>
        </w:rPr>
        <w:t>, t</w:t>
      </w:r>
      <w:r w:rsidRPr="00345458">
        <w:rPr>
          <w:rFonts w:ascii="Times New Roman" w:hAnsi="Times New Roman" w:cs="Times New Roman"/>
          <w:sz w:val="24"/>
          <w:szCs w:val="24"/>
        </w:rPr>
        <w:t>he bank’s efforts in providing innovative qualified</w:t>
      </w:r>
      <w:r w:rsidR="00BD4EBD">
        <w:rPr>
          <w:rFonts w:ascii="Times New Roman" w:hAnsi="Times New Roman" w:cs="Times New Roman"/>
          <w:sz w:val="24"/>
          <w:szCs w:val="24"/>
        </w:rPr>
        <w:t xml:space="preserve"> community development services</w:t>
      </w:r>
      <w:r w:rsidRPr="00345458">
        <w:rPr>
          <w:rFonts w:ascii="Times New Roman" w:hAnsi="Times New Roman" w:cs="Times New Roman"/>
          <w:sz w:val="24"/>
          <w:szCs w:val="24"/>
        </w:rPr>
        <w:t xml:space="preserve"> reflects excellent responsiveness to community development needs.</w:t>
      </w:r>
    </w:p>
    <w:p w14:paraId="69912122" w14:textId="77777777" w:rsidR="004353B3" w:rsidRDefault="004353B3" w:rsidP="004353B3">
      <w:pPr>
        <w:spacing w:after="0" w:line="240" w:lineRule="auto"/>
        <w:rPr>
          <w:rFonts w:ascii="Times New Roman" w:eastAsia="Times New Roman" w:hAnsi="Times New Roman" w:cs="Times New Roman"/>
          <w:iCs/>
          <w:sz w:val="24"/>
          <w:szCs w:val="24"/>
        </w:rPr>
      </w:pPr>
    </w:p>
    <w:p w14:paraId="7FB0F8DB" w14:textId="77777777" w:rsidR="004353B3" w:rsidRPr="00101245" w:rsidRDefault="004353B3" w:rsidP="004353B3">
      <w:pPr>
        <w:spacing w:after="0" w:line="240" w:lineRule="auto"/>
        <w:rPr>
          <w:rFonts w:ascii="Times New Roman" w:eastAsia="Times New Roman" w:hAnsi="Times New Roman" w:cs="Times New Roman"/>
          <w:b/>
          <w:iCs/>
          <w:sz w:val="24"/>
          <w:szCs w:val="24"/>
        </w:rPr>
      </w:pPr>
      <w:r w:rsidRPr="00101245">
        <w:rPr>
          <w:rFonts w:ascii="Times New Roman" w:eastAsia="Times New Roman" w:hAnsi="Times New Roman" w:cs="Times New Roman"/>
          <w:b/>
          <w:iCs/>
          <w:sz w:val="24"/>
          <w:szCs w:val="24"/>
        </w:rPr>
        <w:t xml:space="preserve">Financial Education </w:t>
      </w:r>
    </w:p>
    <w:p w14:paraId="4347D741" w14:textId="77777777" w:rsidR="004353B3" w:rsidRPr="00345458" w:rsidRDefault="004353B3" w:rsidP="004353B3">
      <w:pPr>
        <w:spacing w:after="0" w:line="240" w:lineRule="auto"/>
        <w:rPr>
          <w:rFonts w:ascii="Times New Roman" w:eastAsia="Times New Roman" w:hAnsi="Times New Roman" w:cs="Times New Roman"/>
          <w:iCs/>
          <w:sz w:val="24"/>
          <w:szCs w:val="24"/>
        </w:rPr>
      </w:pPr>
    </w:p>
    <w:p w14:paraId="3619AF75" w14:textId="7FA03B6C" w:rsidR="004353B3" w:rsidRPr="00345458" w:rsidRDefault="004353B3" w:rsidP="004353B3">
      <w:pPr>
        <w:spacing w:after="0" w:line="240" w:lineRule="auto"/>
        <w:rPr>
          <w:rFonts w:ascii="Times New Roman" w:eastAsia="Times New Roman" w:hAnsi="Times New Roman" w:cs="Times New Roman"/>
          <w:iCs/>
          <w:color w:val="000000"/>
          <w:sz w:val="24"/>
          <w:szCs w:val="24"/>
        </w:rPr>
      </w:pPr>
      <w:r w:rsidRPr="00345458">
        <w:rPr>
          <w:rFonts w:ascii="Times New Roman" w:eastAsia="Times New Roman" w:hAnsi="Times New Roman" w:cs="Times New Roman"/>
          <w:iCs/>
          <w:sz w:val="24"/>
          <w:szCs w:val="24"/>
        </w:rPr>
        <w:t xml:space="preserve">HarborOne U conducted 144 classes in the </w:t>
      </w:r>
      <w:r w:rsidR="00BD4EBD">
        <w:rPr>
          <w:rFonts w:ascii="Times New Roman" w:eastAsia="Times New Roman" w:hAnsi="Times New Roman" w:cs="Times New Roman"/>
          <w:iCs/>
          <w:sz w:val="24"/>
          <w:szCs w:val="24"/>
        </w:rPr>
        <w:t>Providence, RI-MA</w:t>
      </w:r>
      <w:r w:rsidR="00CA352A">
        <w:rPr>
          <w:rFonts w:ascii="Times New Roman" w:eastAsia="Times New Roman" w:hAnsi="Times New Roman" w:cs="Times New Roman"/>
          <w:iCs/>
          <w:sz w:val="24"/>
          <w:szCs w:val="24"/>
        </w:rPr>
        <w:t xml:space="preserve"> MSA at its Mansfield campus</w:t>
      </w:r>
      <w:r w:rsidR="00BD4EBD">
        <w:rPr>
          <w:rFonts w:ascii="Times New Roman" w:eastAsia="Times New Roman" w:hAnsi="Times New Roman" w:cs="Times New Roman"/>
          <w:iCs/>
          <w:sz w:val="24"/>
          <w:szCs w:val="24"/>
        </w:rPr>
        <w:t>,</w:t>
      </w:r>
      <w:r w:rsidRPr="00345458">
        <w:rPr>
          <w:rFonts w:ascii="Times New Roman" w:eastAsia="Times New Roman" w:hAnsi="Times New Roman" w:cs="Times New Roman"/>
          <w:iCs/>
          <w:sz w:val="24"/>
          <w:szCs w:val="24"/>
        </w:rPr>
        <w:t xml:space="preserve"> which accounts for </w:t>
      </w:r>
      <w:r w:rsidR="00CA352A">
        <w:rPr>
          <w:rFonts w:ascii="Times New Roman" w:eastAsia="Times New Roman" w:hAnsi="Times New Roman" w:cs="Times New Roman"/>
          <w:iCs/>
          <w:sz w:val="24"/>
          <w:szCs w:val="24"/>
        </w:rPr>
        <w:t xml:space="preserve">a majority of </w:t>
      </w:r>
      <w:r w:rsidR="00612EDE">
        <w:rPr>
          <w:rFonts w:ascii="Times New Roman" w:eastAsia="Times New Roman" w:hAnsi="Times New Roman" w:cs="Times New Roman"/>
          <w:iCs/>
          <w:sz w:val="24"/>
          <w:szCs w:val="24"/>
        </w:rPr>
        <w:t xml:space="preserve">the bank’s total </w:t>
      </w:r>
      <w:r w:rsidRPr="00345458">
        <w:rPr>
          <w:rFonts w:ascii="Times New Roman" w:eastAsia="Times New Roman" w:hAnsi="Times New Roman" w:cs="Times New Roman"/>
          <w:iCs/>
          <w:sz w:val="24"/>
          <w:szCs w:val="24"/>
        </w:rPr>
        <w:t>financial literacy classes</w:t>
      </w:r>
      <w:r w:rsidR="00CA352A">
        <w:rPr>
          <w:rFonts w:ascii="Times New Roman" w:eastAsia="Times New Roman" w:hAnsi="Times New Roman" w:cs="Times New Roman"/>
          <w:iCs/>
          <w:sz w:val="24"/>
          <w:szCs w:val="24"/>
        </w:rPr>
        <w:t xml:space="preserve"> delivered</w:t>
      </w:r>
      <w:r w:rsidRPr="00345458">
        <w:rPr>
          <w:rFonts w:ascii="Times New Roman" w:eastAsia="Times New Roman" w:hAnsi="Times New Roman" w:cs="Times New Roman"/>
          <w:iCs/>
          <w:sz w:val="24"/>
          <w:szCs w:val="24"/>
        </w:rPr>
        <w:t xml:space="preserve"> to low</w:t>
      </w:r>
      <w:r w:rsidR="00BD4EBD">
        <w:rPr>
          <w:rFonts w:ascii="Times New Roman" w:eastAsia="Times New Roman" w:hAnsi="Times New Roman" w:cs="Times New Roman"/>
          <w:iCs/>
          <w:sz w:val="24"/>
          <w:szCs w:val="24"/>
        </w:rPr>
        <w:t>-</w:t>
      </w:r>
      <w:r w:rsidRPr="00345458">
        <w:rPr>
          <w:rFonts w:ascii="Times New Roman" w:eastAsia="Times New Roman" w:hAnsi="Times New Roman" w:cs="Times New Roman"/>
          <w:iCs/>
          <w:sz w:val="24"/>
          <w:szCs w:val="24"/>
        </w:rPr>
        <w:t xml:space="preserve"> and moderate-income youths and adults.  Financial education classes are available in partnership with non-profit organization</w:t>
      </w:r>
      <w:r w:rsidR="00BD4EBD">
        <w:rPr>
          <w:rFonts w:ascii="Times New Roman" w:eastAsia="Times New Roman" w:hAnsi="Times New Roman" w:cs="Times New Roman"/>
          <w:iCs/>
          <w:sz w:val="24"/>
          <w:szCs w:val="24"/>
        </w:rPr>
        <w:t>s</w:t>
      </w:r>
      <w:r w:rsidRPr="00345458">
        <w:rPr>
          <w:rFonts w:ascii="Times New Roman" w:eastAsia="Times New Roman" w:hAnsi="Times New Roman" w:cs="Times New Roman"/>
          <w:iCs/>
          <w:sz w:val="24"/>
          <w:szCs w:val="24"/>
        </w:rPr>
        <w:t xml:space="preserve"> and </w:t>
      </w:r>
      <w:r>
        <w:rPr>
          <w:rFonts w:ascii="Times New Roman" w:eastAsia="Times New Roman" w:hAnsi="Times New Roman" w:cs="Times New Roman"/>
          <w:iCs/>
          <w:sz w:val="24"/>
          <w:szCs w:val="24"/>
        </w:rPr>
        <w:t xml:space="preserve">are located </w:t>
      </w:r>
      <w:r w:rsidRPr="00345458">
        <w:rPr>
          <w:rFonts w:ascii="Times New Roman" w:eastAsia="Times New Roman" w:hAnsi="Times New Roman" w:cs="Times New Roman"/>
          <w:iCs/>
          <w:color w:val="000000"/>
          <w:sz w:val="24"/>
          <w:szCs w:val="24"/>
        </w:rPr>
        <w:t>within the Mansfield campus of HarborOne U.</w:t>
      </w:r>
      <w:r w:rsidR="00CA352A">
        <w:rPr>
          <w:rFonts w:ascii="Times New Roman" w:eastAsia="Times New Roman" w:hAnsi="Times New Roman" w:cs="Times New Roman"/>
          <w:iCs/>
          <w:color w:val="000000"/>
          <w:sz w:val="24"/>
          <w:szCs w:val="24"/>
        </w:rPr>
        <w:t xml:space="preserve">  </w:t>
      </w:r>
      <w:r w:rsidR="00CA352A" w:rsidRPr="000D33B8">
        <w:rPr>
          <w:rFonts w:ascii="Times New Roman" w:eastAsia="Times New Roman" w:hAnsi="Times New Roman" w:cs="Times New Roman"/>
          <w:iCs/>
          <w:sz w:val="24"/>
          <w:szCs w:val="24"/>
        </w:rPr>
        <w:t xml:space="preserve">Furthermore, in 2020, all the HarborOne U courses became available online in both live and pre-recorded sessions.  </w:t>
      </w:r>
    </w:p>
    <w:p w14:paraId="126CE2FD" w14:textId="77777777" w:rsidR="004353B3" w:rsidRPr="00345458" w:rsidRDefault="004353B3" w:rsidP="004353B3">
      <w:pPr>
        <w:spacing w:after="0" w:line="240" w:lineRule="auto"/>
        <w:rPr>
          <w:rFonts w:ascii="Times New Roman" w:eastAsia="Times New Roman" w:hAnsi="Times New Roman" w:cs="Times New Roman"/>
          <w:iCs/>
          <w:color w:val="000000"/>
          <w:sz w:val="24"/>
          <w:szCs w:val="24"/>
        </w:rPr>
      </w:pPr>
    </w:p>
    <w:p w14:paraId="7087D0AF" w14:textId="77777777" w:rsidR="00CA352A" w:rsidRDefault="004353B3" w:rsidP="004353B3">
      <w:pPr>
        <w:spacing w:after="0" w:line="240" w:lineRule="auto"/>
        <w:rPr>
          <w:rFonts w:ascii="Times New Roman" w:hAnsi="Times New Roman" w:cs="Times New Roman"/>
          <w:sz w:val="24"/>
          <w:szCs w:val="24"/>
        </w:rPr>
      </w:pPr>
      <w:r w:rsidRPr="00345458">
        <w:rPr>
          <w:rFonts w:ascii="Times New Roman" w:hAnsi="Times New Roman" w:cs="Times New Roman"/>
          <w:sz w:val="24"/>
          <w:szCs w:val="24"/>
        </w:rPr>
        <w:t xml:space="preserve">In an effort to bring financial literacy into Rhode Island, </w:t>
      </w:r>
      <w:r>
        <w:rPr>
          <w:rFonts w:ascii="Times New Roman" w:hAnsi="Times New Roman" w:cs="Times New Roman"/>
          <w:sz w:val="24"/>
          <w:szCs w:val="24"/>
        </w:rPr>
        <w:t>HOB</w:t>
      </w:r>
      <w:r w:rsidRPr="00345458">
        <w:rPr>
          <w:rFonts w:ascii="Times New Roman" w:hAnsi="Times New Roman" w:cs="Times New Roman"/>
          <w:sz w:val="24"/>
          <w:szCs w:val="24"/>
        </w:rPr>
        <w:t xml:space="preserve"> collaborates with the Center for Women and Enterprise to bring classes to entrepreneurs around the state. </w:t>
      </w:r>
      <w:r w:rsidR="00D4531F">
        <w:rPr>
          <w:rFonts w:ascii="Times New Roman" w:hAnsi="Times New Roman" w:cs="Times New Roman"/>
          <w:sz w:val="24"/>
          <w:szCs w:val="24"/>
        </w:rPr>
        <w:t xml:space="preserve"> </w:t>
      </w:r>
      <w:r w:rsidRPr="00345458">
        <w:rPr>
          <w:rFonts w:ascii="Times New Roman" w:hAnsi="Times New Roman" w:cs="Times New Roman"/>
          <w:sz w:val="24"/>
          <w:szCs w:val="24"/>
        </w:rPr>
        <w:t xml:space="preserve">In 2019, </w:t>
      </w:r>
      <w:r w:rsidR="00BD4EBD">
        <w:rPr>
          <w:rFonts w:ascii="Times New Roman" w:hAnsi="Times New Roman" w:cs="Times New Roman"/>
          <w:sz w:val="24"/>
          <w:szCs w:val="24"/>
        </w:rPr>
        <w:t>HOB</w:t>
      </w:r>
      <w:r w:rsidRPr="00345458">
        <w:rPr>
          <w:rFonts w:ascii="Times New Roman" w:hAnsi="Times New Roman" w:cs="Times New Roman"/>
          <w:sz w:val="24"/>
          <w:szCs w:val="24"/>
        </w:rPr>
        <w:t xml:space="preserve"> delivered its </w:t>
      </w:r>
      <w:r w:rsidRPr="00345458">
        <w:rPr>
          <w:rFonts w:ascii="Times New Roman" w:hAnsi="Times New Roman" w:cs="Times New Roman"/>
          <w:bCs/>
          <w:sz w:val="24"/>
          <w:szCs w:val="24"/>
        </w:rPr>
        <w:t>Success for Small Business</w:t>
      </w:r>
      <w:r w:rsidRPr="00345458">
        <w:rPr>
          <w:rFonts w:ascii="Times New Roman" w:hAnsi="Times New Roman" w:cs="Times New Roman"/>
          <w:b/>
          <w:bCs/>
          <w:sz w:val="24"/>
          <w:szCs w:val="24"/>
        </w:rPr>
        <w:t xml:space="preserve"> </w:t>
      </w:r>
      <w:r w:rsidRPr="00345458">
        <w:rPr>
          <w:rFonts w:ascii="Times New Roman" w:hAnsi="Times New Roman" w:cs="Times New Roman"/>
          <w:sz w:val="24"/>
          <w:szCs w:val="24"/>
        </w:rPr>
        <w:t>series multiple times in English and Spanish in Providence, Newport and Woonsocket.</w:t>
      </w:r>
      <w:r>
        <w:rPr>
          <w:rFonts w:ascii="Times New Roman" w:eastAsia="Times New Roman" w:hAnsi="Times New Roman" w:cs="Times New Roman"/>
          <w:iCs/>
          <w:color w:val="000000"/>
          <w:sz w:val="24"/>
          <w:szCs w:val="24"/>
        </w:rPr>
        <w:t xml:space="preserve">  </w:t>
      </w:r>
      <w:r w:rsidRPr="00345458">
        <w:rPr>
          <w:rFonts w:ascii="Times New Roman" w:hAnsi="Times New Roman" w:cs="Times New Roman"/>
          <w:sz w:val="24"/>
          <w:szCs w:val="24"/>
        </w:rPr>
        <w:t xml:space="preserve">Another noteworthy partnership involves </w:t>
      </w:r>
      <w:r>
        <w:rPr>
          <w:rFonts w:ascii="Times New Roman" w:hAnsi="Times New Roman" w:cs="Times New Roman"/>
          <w:sz w:val="24"/>
          <w:szCs w:val="24"/>
        </w:rPr>
        <w:t xml:space="preserve">the </w:t>
      </w:r>
      <w:r w:rsidRPr="00345458">
        <w:rPr>
          <w:rFonts w:ascii="Times New Roman" w:hAnsi="Times New Roman" w:cs="Times New Roman"/>
          <w:sz w:val="24"/>
          <w:szCs w:val="24"/>
        </w:rPr>
        <w:t xml:space="preserve">Comprehensive Community Action Program. </w:t>
      </w:r>
      <w:r w:rsidR="00D4531F">
        <w:rPr>
          <w:rFonts w:ascii="Times New Roman" w:hAnsi="Times New Roman" w:cs="Times New Roman"/>
          <w:sz w:val="24"/>
          <w:szCs w:val="24"/>
        </w:rPr>
        <w:t xml:space="preserve"> </w:t>
      </w:r>
      <w:r w:rsidRPr="00345458">
        <w:rPr>
          <w:rFonts w:ascii="Times New Roman" w:hAnsi="Times New Roman" w:cs="Times New Roman"/>
          <w:sz w:val="24"/>
          <w:szCs w:val="24"/>
        </w:rPr>
        <w:t>The organization offers an array of services to low</w:t>
      </w:r>
      <w:r w:rsidR="00BD4EBD">
        <w:rPr>
          <w:rFonts w:ascii="Times New Roman" w:hAnsi="Times New Roman" w:cs="Times New Roman"/>
          <w:sz w:val="24"/>
          <w:szCs w:val="24"/>
        </w:rPr>
        <w:t>-</w:t>
      </w:r>
      <w:r w:rsidRPr="00345458">
        <w:rPr>
          <w:rFonts w:ascii="Times New Roman" w:hAnsi="Times New Roman" w:cs="Times New Roman"/>
          <w:sz w:val="24"/>
          <w:szCs w:val="24"/>
        </w:rPr>
        <w:t xml:space="preserve"> and moderate-income individuals. </w:t>
      </w:r>
    </w:p>
    <w:p w14:paraId="1DD95EE2" w14:textId="77777777" w:rsidR="00CA352A" w:rsidRDefault="00CA352A" w:rsidP="004353B3">
      <w:pPr>
        <w:spacing w:after="0" w:line="240" w:lineRule="auto"/>
        <w:rPr>
          <w:rFonts w:ascii="Times New Roman" w:hAnsi="Times New Roman" w:cs="Times New Roman"/>
          <w:sz w:val="24"/>
          <w:szCs w:val="24"/>
        </w:rPr>
      </w:pPr>
    </w:p>
    <w:p w14:paraId="017A04A5" w14:textId="4209B915" w:rsidR="004353B3" w:rsidRPr="000D33B8" w:rsidRDefault="00CA352A" w:rsidP="004353B3">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Additionally</w:t>
      </w:r>
      <w:r w:rsidR="004353B3" w:rsidRPr="00345458">
        <w:rPr>
          <w:rFonts w:ascii="Times New Roman" w:hAnsi="Times New Roman" w:cs="Times New Roman"/>
          <w:sz w:val="24"/>
          <w:szCs w:val="24"/>
        </w:rPr>
        <w:t xml:space="preserve">, the Community Development Manager and Assistant </w:t>
      </w:r>
      <w:r w:rsidR="004353B3" w:rsidRPr="000D33B8">
        <w:rPr>
          <w:rFonts w:ascii="Times New Roman" w:hAnsi="Times New Roman" w:cs="Times New Roman"/>
          <w:sz w:val="24"/>
          <w:szCs w:val="24"/>
        </w:rPr>
        <w:t>Ma</w:t>
      </w:r>
      <w:r w:rsidR="00BD4EBD">
        <w:rPr>
          <w:rFonts w:ascii="Times New Roman" w:hAnsi="Times New Roman" w:cs="Times New Roman"/>
          <w:sz w:val="24"/>
          <w:szCs w:val="24"/>
        </w:rPr>
        <w:t>nager of HarborOne U delivered 17</w:t>
      </w:r>
      <w:r w:rsidR="004353B3" w:rsidRPr="000D33B8">
        <w:rPr>
          <w:rFonts w:ascii="Times New Roman" w:hAnsi="Times New Roman" w:cs="Times New Roman"/>
          <w:sz w:val="24"/>
          <w:szCs w:val="24"/>
        </w:rPr>
        <w:t xml:space="preserve"> financial education presentations to more than 250 low</w:t>
      </w:r>
      <w:r w:rsidR="00BD4EBD">
        <w:rPr>
          <w:rFonts w:ascii="Times New Roman" w:hAnsi="Times New Roman" w:cs="Times New Roman"/>
          <w:sz w:val="24"/>
          <w:szCs w:val="24"/>
        </w:rPr>
        <w:t>-</w:t>
      </w:r>
      <w:r w:rsidR="004353B3" w:rsidRPr="000D33B8">
        <w:rPr>
          <w:rFonts w:ascii="Times New Roman" w:hAnsi="Times New Roman" w:cs="Times New Roman"/>
          <w:sz w:val="24"/>
          <w:szCs w:val="24"/>
        </w:rPr>
        <w:t xml:space="preserve"> and moderate-income youth</w:t>
      </w:r>
      <w:r w:rsidR="00E60379">
        <w:rPr>
          <w:rFonts w:ascii="Times New Roman" w:hAnsi="Times New Roman" w:cs="Times New Roman"/>
          <w:sz w:val="24"/>
          <w:szCs w:val="24"/>
        </w:rPr>
        <w:t xml:space="preserve"> </w:t>
      </w:r>
      <w:r>
        <w:rPr>
          <w:rFonts w:ascii="Times New Roman" w:hAnsi="Times New Roman" w:cs="Times New Roman"/>
          <w:sz w:val="24"/>
          <w:szCs w:val="24"/>
        </w:rPr>
        <w:t xml:space="preserve">at schools or youth centers in </w:t>
      </w:r>
      <w:r w:rsidR="00E60379">
        <w:rPr>
          <w:rFonts w:ascii="Times New Roman" w:hAnsi="Times New Roman" w:cs="Times New Roman"/>
          <w:sz w:val="24"/>
          <w:szCs w:val="24"/>
        </w:rPr>
        <w:t>Rhode Island</w:t>
      </w:r>
      <w:r w:rsidR="004353B3" w:rsidRPr="000D33B8">
        <w:rPr>
          <w:rFonts w:ascii="Times New Roman" w:hAnsi="Times New Roman" w:cs="Times New Roman"/>
          <w:sz w:val="24"/>
          <w:szCs w:val="24"/>
        </w:rPr>
        <w:t>.</w:t>
      </w:r>
      <w:r w:rsidR="00BD4EBD">
        <w:rPr>
          <w:rFonts w:ascii="Times New Roman" w:hAnsi="Times New Roman" w:cs="Times New Roman"/>
          <w:sz w:val="24"/>
          <w:szCs w:val="24"/>
        </w:rPr>
        <w:t xml:space="preserve">  </w:t>
      </w:r>
      <w:r w:rsidR="004353B3" w:rsidRPr="000D33B8">
        <w:rPr>
          <w:rFonts w:ascii="Times New Roman" w:eastAsia="Times New Roman" w:hAnsi="Times New Roman" w:cs="Times New Roman"/>
          <w:iCs/>
          <w:sz w:val="24"/>
          <w:szCs w:val="24"/>
        </w:rPr>
        <w:t xml:space="preserve">Financial education classes are offered in multiple languages. </w:t>
      </w:r>
      <w:r w:rsidR="00D4531F">
        <w:rPr>
          <w:rFonts w:ascii="Times New Roman" w:eastAsia="Times New Roman" w:hAnsi="Times New Roman" w:cs="Times New Roman"/>
          <w:iCs/>
          <w:sz w:val="24"/>
          <w:szCs w:val="24"/>
        </w:rPr>
        <w:t xml:space="preserve"> </w:t>
      </w:r>
    </w:p>
    <w:p w14:paraId="4110E636" w14:textId="77777777" w:rsidR="004353B3" w:rsidRDefault="004353B3" w:rsidP="004353B3">
      <w:pPr>
        <w:spacing w:after="0" w:line="240" w:lineRule="auto"/>
        <w:rPr>
          <w:rFonts w:ascii="Times New Roman" w:eastAsia="Times New Roman" w:hAnsi="Times New Roman" w:cs="Times New Roman"/>
          <w:iCs/>
          <w:sz w:val="24"/>
          <w:szCs w:val="24"/>
        </w:rPr>
      </w:pPr>
    </w:p>
    <w:p w14:paraId="405C8F44" w14:textId="77777777" w:rsidR="004353B3" w:rsidRPr="00101245" w:rsidRDefault="004353B3" w:rsidP="004353B3">
      <w:pPr>
        <w:widowControl w:val="0"/>
        <w:spacing w:after="0" w:line="240" w:lineRule="auto"/>
        <w:contextualSpacing/>
        <w:rPr>
          <w:rFonts w:ascii="Times New Roman" w:eastAsia="Times New Roman" w:hAnsi="Times New Roman" w:cs="Times New Roman"/>
          <w:b/>
          <w:snapToGrid w:val="0"/>
          <w:color w:val="000000"/>
          <w:sz w:val="24"/>
          <w:szCs w:val="24"/>
          <w:lang w:eastAsia="x-none"/>
        </w:rPr>
      </w:pPr>
      <w:r w:rsidRPr="00D70E5C">
        <w:rPr>
          <w:rFonts w:ascii="Times New Roman" w:eastAsia="Times New Roman" w:hAnsi="Times New Roman" w:cs="Times New Roman"/>
          <w:b/>
          <w:snapToGrid w:val="0"/>
          <w:color w:val="000000"/>
          <w:sz w:val="24"/>
          <w:szCs w:val="24"/>
          <w:lang w:eastAsia="x-none"/>
        </w:rPr>
        <w:t>Board Involvement and Technical Expertise</w:t>
      </w:r>
    </w:p>
    <w:p w14:paraId="39F10D5A" w14:textId="77777777" w:rsidR="004353B3" w:rsidRDefault="004353B3" w:rsidP="004353B3">
      <w:pPr>
        <w:spacing w:after="0" w:line="240" w:lineRule="auto"/>
        <w:rPr>
          <w:rFonts w:ascii="Times New Roman" w:hAnsi="Times New Roman" w:cs="Times New Roman"/>
          <w:sz w:val="24"/>
          <w:szCs w:val="24"/>
        </w:rPr>
      </w:pPr>
    </w:p>
    <w:p w14:paraId="736DE219" w14:textId="3A2653DB" w:rsidR="004353B3" w:rsidRPr="000D33B8" w:rsidRDefault="004353B3" w:rsidP="00CA352A">
      <w:pPr>
        <w:spacing w:after="0" w:line="240" w:lineRule="auto"/>
        <w:rPr>
          <w:rFonts w:ascii="Times New Roman" w:hAnsi="Times New Roman" w:cs="Times New Roman"/>
          <w:color w:val="000000"/>
          <w:sz w:val="24"/>
          <w:szCs w:val="24"/>
        </w:rPr>
      </w:pPr>
      <w:r w:rsidRPr="000D33B8">
        <w:rPr>
          <w:rFonts w:ascii="Times New Roman" w:hAnsi="Times New Roman" w:cs="Times New Roman"/>
          <w:sz w:val="24"/>
          <w:szCs w:val="24"/>
        </w:rPr>
        <w:t xml:space="preserve">In addition to financial education, bank officers and staff participated in 1,452 hours of qualified community development services in </w:t>
      </w:r>
      <w:r>
        <w:rPr>
          <w:rFonts w:ascii="Times New Roman" w:hAnsi="Times New Roman" w:cs="Times New Roman"/>
          <w:sz w:val="24"/>
          <w:szCs w:val="24"/>
        </w:rPr>
        <w:t xml:space="preserve">the </w:t>
      </w:r>
      <w:r w:rsidR="00E60379">
        <w:rPr>
          <w:rFonts w:ascii="Times New Roman" w:hAnsi="Times New Roman" w:cs="Times New Roman"/>
          <w:sz w:val="24"/>
          <w:szCs w:val="24"/>
        </w:rPr>
        <w:t>Providence, RI-MA MSA</w:t>
      </w:r>
      <w:r w:rsidRPr="000D33B8">
        <w:rPr>
          <w:rFonts w:ascii="Times New Roman" w:hAnsi="Times New Roman" w:cs="Times New Roman"/>
          <w:sz w:val="24"/>
          <w:szCs w:val="24"/>
        </w:rPr>
        <w:t xml:space="preserve">. </w:t>
      </w:r>
      <w:r w:rsidR="00D4531F">
        <w:rPr>
          <w:rFonts w:ascii="Times New Roman" w:hAnsi="Times New Roman" w:cs="Times New Roman"/>
          <w:sz w:val="24"/>
          <w:szCs w:val="24"/>
        </w:rPr>
        <w:t xml:space="preserve"> </w:t>
      </w:r>
      <w:r w:rsidRPr="000D33B8">
        <w:rPr>
          <w:rFonts w:ascii="Times New Roman" w:hAnsi="Times New Roman" w:cs="Times New Roman"/>
          <w:color w:val="000000"/>
          <w:sz w:val="24"/>
          <w:szCs w:val="24"/>
        </w:rPr>
        <w:t>Bank officers and staff serve on boards and committees of leading nonprofits</w:t>
      </w:r>
      <w:r w:rsidR="001D7AC6">
        <w:rPr>
          <w:rFonts w:ascii="Times New Roman" w:hAnsi="Times New Roman" w:cs="Times New Roman"/>
          <w:color w:val="000000"/>
          <w:sz w:val="24"/>
          <w:szCs w:val="24"/>
        </w:rPr>
        <w:t>,</w:t>
      </w:r>
      <w:r w:rsidRPr="000D33B8">
        <w:rPr>
          <w:rFonts w:ascii="Times New Roman" w:hAnsi="Times New Roman" w:cs="Times New Roman"/>
          <w:color w:val="000000"/>
          <w:sz w:val="24"/>
          <w:szCs w:val="24"/>
        </w:rPr>
        <w:t xml:space="preserve"> including but not limited to: Family Services of Rhode Island, Mentor Rhode Island, City of Cranston Revolving Loan Fund, and South Kingstown Affordable Housing Committee.  All of these organizations serve low- and moderate-income individuals in </w:t>
      </w:r>
      <w:r>
        <w:rPr>
          <w:rFonts w:ascii="Times New Roman" w:hAnsi="Times New Roman" w:cs="Times New Roman"/>
          <w:color w:val="000000"/>
          <w:sz w:val="24"/>
          <w:szCs w:val="24"/>
        </w:rPr>
        <w:t>Rhode Island</w:t>
      </w:r>
      <w:r w:rsidRPr="000D33B8">
        <w:rPr>
          <w:rFonts w:ascii="Times New Roman" w:hAnsi="Times New Roman" w:cs="Times New Roman"/>
          <w:color w:val="000000"/>
          <w:sz w:val="24"/>
          <w:szCs w:val="24"/>
        </w:rPr>
        <w:t xml:space="preserve">. </w:t>
      </w:r>
    </w:p>
    <w:p w14:paraId="5987BD09" w14:textId="77777777" w:rsidR="004353B3" w:rsidRPr="000D33B8" w:rsidRDefault="004353B3" w:rsidP="004353B3">
      <w:pPr>
        <w:spacing w:after="0" w:line="240" w:lineRule="auto"/>
        <w:rPr>
          <w:rFonts w:ascii="Times New Roman" w:eastAsia="Times New Roman" w:hAnsi="Times New Roman" w:cs="Times New Roman"/>
          <w:iCs/>
          <w:sz w:val="24"/>
          <w:szCs w:val="24"/>
        </w:rPr>
      </w:pPr>
    </w:p>
    <w:p w14:paraId="476BE819" w14:textId="2CF8D5A6" w:rsidR="004353B3" w:rsidRPr="000D33B8" w:rsidRDefault="004353B3" w:rsidP="004353B3">
      <w:pPr>
        <w:widowControl w:val="0"/>
        <w:spacing w:after="0" w:line="240" w:lineRule="auto"/>
        <w:rPr>
          <w:rFonts w:ascii="Times New Roman" w:hAnsi="Times New Roman" w:cs="Times New Roman"/>
          <w:sz w:val="24"/>
          <w:szCs w:val="24"/>
        </w:rPr>
      </w:pPr>
      <w:r w:rsidRPr="000D33B8">
        <w:rPr>
          <w:rFonts w:ascii="Times New Roman" w:hAnsi="Times New Roman" w:cs="Times New Roman"/>
          <w:sz w:val="24"/>
          <w:szCs w:val="24"/>
        </w:rPr>
        <w:t xml:space="preserve">A substantial majority of these qualified community development services </w:t>
      </w:r>
      <w:r w:rsidR="00BD4EBD">
        <w:rPr>
          <w:rFonts w:ascii="Times New Roman" w:hAnsi="Times New Roman" w:cs="Times New Roman"/>
          <w:sz w:val="24"/>
          <w:szCs w:val="24"/>
        </w:rPr>
        <w:t>provided</w:t>
      </w:r>
      <w:r w:rsidRPr="000D33B8">
        <w:rPr>
          <w:rFonts w:ascii="Times New Roman" w:hAnsi="Times New Roman" w:cs="Times New Roman"/>
          <w:sz w:val="24"/>
          <w:szCs w:val="24"/>
        </w:rPr>
        <w:t xml:space="preserve"> community service</w:t>
      </w:r>
      <w:r w:rsidR="00BD4EBD">
        <w:rPr>
          <w:rFonts w:ascii="Times New Roman" w:hAnsi="Times New Roman" w:cs="Times New Roman"/>
          <w:sz w:val="24"/>
          <w:szCs w:val="24"/>
        </w:rPr>
        <w:t>s to low- and moderate-income individuals</w:t>
      </w:r>
      <w:r w:rsidRPr="000D33B8">
        <w:rPr>
          <w:rFonts w:ascii="Times New Roman" w:hAnsi="Times New Roman" w:cs="Times New Roman"/>
          <w:sz w:val="24"/>
          <w:szCs w:val="24"/>
        </w:rPr>
        <w:t>.</w:t>
      </w:r>
      <w:r w:rsidR="00D4531F">
        <w:rPr>
          <w:rFonts w:ascii="Times New Roman" w:hAnsi="Times New Roman" w:cs="Times New Roman"/>
          <w:sz w:val="24"/>
          <w:szCs w:val="24"/>
        </w:rPr>
        <w:t xml:space="preserve"> </w:t>
      </w:r>
      <w:r w:rsidRPr="000D33B8">
        <w:rPr>
          <w:rFonts w:ascii="Times New Roman" w:hAnsi="Times New Roman" w:cs="Times New Roman"/>
          <w:sz w:val="24"/>
          <w:szCs w:val="24"/>
        </w:rPr>
        <w:t xml:space="preserve"> The following table shows the number of hours devoted to qualified community development services by </w:t>
      </w:r>
      <w:r>
        <w:rPr>
          <w:rFonts w:ascii="Times New Roman" w:hAnsi="Times New Roman" w:cs="Times New Roman"/>
          <w:sz w:val="24"/>
          <w:szCs w:val="24"/>
        </w:rPr>
        <w:t>year and purpose</w:t>
      </w:r>
      <w:r w:rsidR="00D4531F">
        <w:rPr>
          <w:rFonts w:ascii="Times New Roman" w:hAnsi="Times New Roman" w:cs="Times New Roman"/>
          <w:sz w:val="24"/>
          <w:szCs w:val="24"/>
        </w:rPr>
        <w:t>.</w:t>
      </w:r>
    </w:p>
    <w:p w14:paraId="11B3DB28" w14:textId="77777777" w:rsidR="004353B3" w:rsidRPr="000D33B8" w:rsidRDefault="004353B3" w:rsidP="004353B3">
      <w:pPr>
        <w:spacing w:after="0" w:line="240" w:lineRule="auto"/>
        <w:rPr>
          <w:rFonts w:ascii="Times New Roman" w:eastAsia="Times New Roman" w:hAnsi="Times New Roman" w:cs="Times New Roman"/>
          <w:iCs/>
          <w:sz w:val="24"/>
          <w:szCs w:val="24"/>
        </w:rPr>
      </w:pPr>
    </w:p>
    <w:tbl>
      <w:tblPr>
        <w:tblStyle w:val="TableGrid3"/>
        <w:tblW w:w="9180" w:type="dxa"/>
        <w:tblLayout w:type="fixed"/>
        <w:tblLook w:val="01E0" w:firstRow="1" w:lastRow="1" w:firstColumn="1" w:lastColumn="1" w:noHBand="0" w:noVBand="0"/>
        <w:tblCaption w:val="Community Development: Services"/>
      </w:tblPr>
      <w:tblGrid>
        <w:gridCol w:w="2970"/>
        <w:gridCol w:w="1170"/>
        <w:gridCol w:w="1260"/>
        <w:gridCol w:w="1350"/>
        <w:gridCol w:w="1260"/>
        <w:gridCol w:w="1170"/>
      </w:tblGrid>
      <w:tr w:rsidR="004353B3" w:rsidRPr="00887ABC" w14:paraId="2AF8E099" w14:textId="77777777" w:rsidTr="004353B3">
        <w:trPr>
          <w:trHeight w:val="360"/>
          <w:tblHeader/>
        </w:trPr>
        <w:tc>
          <w:tcPr>
            <w:tcW w:w="9180" w:type="dxa"/>
            <w:gridSpan w:val="6"/>
            <w:vAlign w:val="center"/>
          </w:tcPr>
          <w:p w14:paraId="3BEB395D" w14:textId="77777777" w:rsidR="004353B3" w:rsidRDefault="004353B3" w:rsidP="004353B3">
            <w:pPr>
              <w:keepNext/>
              <w:jc w:val="center"/>
              <w:rPr>
                <w:b/>
                <w:color w:val="000000"/>
              </w:rPr>
            </w:pPr>
            <w:r w:rsidRPr="00887ABC">
              <w:rPr>
                <w:b/>
                <w:color w:val="000000"/>
              </w:rPr>
              <w:t>Community Development Services</w:t>
            </w:r>
          </w:p>
          <w:p w14:paraId="4A048897" w14:textId="53A4AE45" w:rsidR="004353B3" w:rsidRPr="00887ABC" w:rsidRDefault="004353B3" w:rsidP="004353B3">
            <w:pPr>
              <w:keepNext/>
              <w:jc w:val="center"/>
              <w:rPr>
                <w:b/>
              </w:rPr>
            </w:pPr>
            <w:r>
              <w:rPr>
                <w:b/>
                <w:color w:val="000000"/>
              </w:rPr>
              <w:t>Assessment Area</w:t>
            </w:r>
            <w:r w:rsidR="00D4531F">
              <w:rPr>
                <w:b/>
                <w:color w:val="000000"/>
              </w:rPr>
              <w:t xml:space="preserve">: </w:t>
            </w:r>
            <w:r w:rsidR="00A31502">
              <w:rPr>
                <w:b/>
                <w:color w:val="000000"/>
              </w:rPr>
              <w:t>RI-MA Multistate MSA</w:t>
            </w:r>
          </w:p>
        </w:tc>
      </w:tr>
      <w:tr w:rsidR="004353B3" w:rsidRPr="00887ABC" w14:paraId="41E213EC" w14:textId="77777777" w:rsidTr="004353B3">
        <w:trPr>
          <w:trHeight w:val="288"/>
        </w:trPr>
        <w:tc>
          <w:tcPr>
            <w:tcW w:w="2970" w:type="dxa"/>
            <w:vMerge w:val="restart"/>
            <w:vAlign w:val="center"/>
          </w:tcPr>
          <w:p w14:paraId="28CD1BF5" w14:textId="77777777" w:rsidR="004353B3" w:rsidRPr="00887ABC" w:rsidRDefault="004353B3" w:rsidP="004353B3">
            <w:pPr>
              <w:keepNext/>
              <w:rPr>
                <w:b/>
              </w:rPr>
            </w:pPr>
            <w:r w:rsidRPr="00887ABC">
              <w:rPr>
                <w:b/>
              </w:rPr>
              <w:t>Activity Year</w:t>
            </w:r>
          </w:p>
        </w:tc>
        <w:tc>
          <w:tcPr>
            <w:tcW w:w="1170" w:type="dxa"/>
            <w:vAlign w:val="center"/>
          </w:tcPr>
          <w:p w14:paraId="5FB65FB1" w14:textId="77777777" w:rsidR="004353B3" w:rsidRPr="00887ABC" w:rsidRDefault="004353B3" w:rsidP="004353B3">
            <w:pPr>
              <w:keepNext/>
              <w:jc w:val="center"/>
            </w:pPr>
            <w:r w:rsidRPr="00887ABC">
              <w:rPr>
                <w:b/>
              </w:rPr>
              <w:t>Affordable Housing</w:t>
            </w:r>
          </w:p>
        </w:tc>
        <w:tc>
          <w:tcPr>
            <w:tcW w:w="1260" w:type="dxa"/>
            <w:vAlign w:val="center"/>
          </w:tcPr>
          <w:p w14:paraId="7281F365" w14:textId="77777777" w:rsidR="004353B3" w:rsidRPr="00887ABC" w:rsidRDefault="004353B3" w:rsidP="004353B3">
            <w:pPr>
              <w:keepNext/>
              <w:jc w:val="center"/>
              <w:rPr>
                <w:b/>
              </w:rPr>
            </w:pPr>
            <w:r w:rsidRPr="00887ABC">
              <w:rPr>
                <w:b/>
              </w:rPr>
              <w:t>Community Services</w:t>
            </w:r>
          </w:p>
        </w:tc>
        <w:tc>
          <w:tcPr>
            <w:tcW w:w="1350" w:type="dxa"/>
            <w:vAlign w:val="center"/>
          </w:tcPr>
          <w:p w14:paraId="7E6371AF" w14:textId="77777777" w:rsidR="004353B3" w:rsidRPr="00887ABC" w:rsidRDefault="004353B3" w:rsidP="004353B3">
            <w:pPr>
              <w:keepNext/>
              <w:jc w:val="center"/>
              <w:rPr>
                <w:b/>
              </w:rPr>
            </w:pPr>
            <w:r w:rsidRPr="00887ABC">
              <w:rPr>
                <w:b/>
              </w:rPr>
              <w:t>Economic Development</w:t>
            </w:r>
          </w:p>
        </w:tc>
        <w:tc>
          <w:tcPr>
            <w:tcW w:w="1260" w:type="dxa"/>
            <w:vAlign w:val="center"/>
          </w:tcPr>
          <w:p w14:paraId="480D3A7D" w14:textId="77777777" w:rsidR="004353B3" w:rsidRPr="00887ABC" w:rsidRDefault="004353B3" w:rsidP="004353B3">
            <w:pPr>
              <w:keepNext/>
              <w:jc w:val="center"/>
              <w:rPr>
                <w:b/>
              </w:rPr>
            </w:pPr>
            <w:r w:rsidRPr="00887ABC">
              <w:rPr>
                <w:b/>
              </w:rPr>
              <w:t>Revitalize or Stabilize</w:t>
            </w:r>
          </w:p>
        </w:tc>
        <w:tc>
          <w:tcPr>
            <w:tcW w:w="1170" w:type="dxa"/>
            <w:vAlign w:val="center"/>
          </w:tcPr>
          <w:p w14:paraId="3E89A740" w14:textId="77777777" w:rsidR="004353B3" w:rsidRPr="00887ABC" w:rsidRDefault="004353B3" w:rsidP="004353B3">
            <w:pPr>
              <w:keepNext/>
              <w:jc w:val="center"/>
              <w:rPr>
                <w:b/>
              </w:rPr>
            </w:pPr>
            <w:r w:rsidRPr="00887ABC">
              <w:rPr>
                <w:b/>
              </w:rPr>
              <w:t>Totals</w:t>
            </w:r>
          </w:p>
        </w:tc>
      </w:tr>
      <w:tr w:rsidR="004353B3" w:rsidRPr="00887ABC" w14:paraId="504743E0" w14:textId="77777777" w:rsidTr="004353B3">
        <w:trPr>
          <w:trHeight w:val="288"/>
        </w:trPr>
        <w:tc>
          <w:tcPr>
            <w:tcW w:w="2970" w:type="dxa"/>
            <w:vMerge/>
            <w:vAlign w:val="center"/>
          </w:tcPr>
          <w:p w14:paraId="19231E20" w14:textId="77777777" w:rsidR="004353B3" w:rsidRPr="00887ABC" w:rsidRDefault="004353B3" w:rsidP="004353B3">
            <w:pPr>
              <w:keepNext/>
            </w:pPr>
          </w:p>
        </w:tc>
        <w:tc>
          <w:tcPr>
            <w:tcW w:w="1170" w:type="dxa"/>
            <w:tcBorders>
              <w:bottom w:val="single" w:sz="4" w:space="0" w:color="auto"/>
            </w:tcBorders>
            <w:vAlign w:val="center"/>
          </w:tcPr>
          <w:p w14:paraId="73477FD9" w14:textId="77777777" w:rsidR="004353B3" w:rsidRPr="00887ABC" w:rsidRDefault="004353B3" w:rsidP="004353B3">
            <w:pPr>
              <w:keepNext/>
              <w:jc w:val="center"/>
              <w:rPr>
                <w:b/>
              </w:rPr>
            </w:pPr>
            <w:r w:rsidRPr="00887ABC">
              <w:rPr>
                <w:b/>
              </w:rPr>
              <w:t>#</w:t>
            </w:r>
          </w:p>
        </w:tc>
        <w:tc>
          <w:tcPr>
            <w:tcW w:w="1260" w:type="dxa"/>
            <w:tcBorders>
              <w:bottom w:val="single" w:sz="4" w:space="0" w:color="auto"/>
            </w:tcBorders>
            <w:vAlign w:val="center"/>
          </w:tcPr>
          <w:p w14:paraId="190099F3" w14:textId="77777777" w:rsidR="004353B3" w:rsidRPr="00887ABC" w:rsidRDefault="004353B3" w:rsidP="004353B3">
            <w:pPr>
              <w:keepNext/>
              <w:jc w:val="center"/>
              <w:rPr>
                <w:b/>
              </w:rPr>
            </w:pPr>
            <w:r w:rsidRPr="00887ABC">
              <w:rPr>
                <w:b/>
              </w:rPr>
              <w:t>#</w:t>
            </w:r>
          </w:p>
        </w:tc>
        <w:tc>
          <w:tcPr>
            <w:tcW w:w="1350" w:type="dxa"/>
            <w:tcBorders>
              <w:bottom w:val="single" w:sz="4" w:space="0" w:color="auto"/>
            </w:tcBorders>
            <w:vAlign w:val="center"/>
          </w:tcPr>
          <w:p w14:paraId="471ECB54" w14:textId="77777777" w:rsidR="004353B3" w:rsidRPr="00887ABC" w:rsidRDefault="004353B3" w:rsidP="004353B3">
            <w:pPr>
              <w:keepNext/>
              <w:jc w:val="center"/>
              <w:rPr>
                <w:b/>
              </w:rPr>
            </w:pPr>
            <w:r w:rsidRPr="00887ABC">
              <w:rPr>
                <w:b/>
              </w:rPr>
              <w:t>#</w:t>
            </w:r>
          </w:p>
        </w:tc>
        <w:tc>
          <w:tcPr>
            <w:tcW w:w="1260" w:type="dxa"/>
            <w:tcBorders>
              <w:bottom w:val="single" w:sz="4" w:space="0" w:color="auto"/>
            </w:tcBorders>
            <w:vAlign w:val="center"/>
          </w:tcPr>
          <w:p w14:paraId="036B3D5F" w14:textId="77777777" w:rsidR="004353B3" w:rsidRPr="00887ABC" w:rsidRDefault="004353B3" w:rsidP="004353B3">
            <w:pPr>
              <w:keepNext/>
              <w:jc w:val="center"/>
              <w:rPr>
                <w:b/>
              </w:rPr>
            </w:pPr>
            <w:r w:rsidRPr="00887ABC">
              <w:rPr>
                <w:b/>
              </w:rPr>
              <w:t>#</w:t>
            </w:r>
          </w:p>
        </w:tc>
        <w:tc>
          <w:tcPr>
            <w:tcW w:w="1170" w:type="dxa"/>
            <w:tcBorders>
              <w:bottom w:val="single" w:sz="4" w:space="0" w:color="auto"/>
            </w:tcBorders>
            <w:vAlign w:val="center"/>
          </w:tcPr>
          <w:p w14:paraId="441E0F8C" w14:textId="77777777" w:rsidR="004353B3" w:rsidRPr="00887ABC" w:rsidRDefault="004353B3" w:rsidP="004353B3">
            <w:pPr>
              <w:keepNext/>
              <w:jc w:val="center"/>
              <w:rPr>
                <w:b/>
              </w:rPr>
            </w:pPr>
            <w:r w:rsidRPr="00887ABC">
              <w:rPr>
                <w:b/>
              </w:rPr>
              <w:t>#</w:t>
            </w:r>
          </w:p>
        </w:tc>
      </w:tr>
      <w:tr w:rsidR="004353B3" w:rsidRPr="00887ABC" w14:paraId="2C013F56" w14:textId="77777777" w:rsidTr="004353B3">
        <w:trPr>
          <w:trHeight w:val="288"/>
        </w:trPr>
        <w:tc>
          <w:tcPr>
            <w:tcW w:w="2970" w:type="dxa"/>
            <w:tcBorders>
              <w:right w:val="single" w:sz="4" w:space="0" w:color="auto"/>
            </w:tcBorders>
            <w:vAlign w:val="center"/>
          </w:tcPr>
          <w:p w14:paraId="5903D64B" w14:textId="77777777" w:rsidR="004353B3" w:rsidRPr="00887ABC" w:rsidRDefault="004353B3" w:rsidP="004353B3">
            <w:pPr>
              <w:keepNext/>
            </w:pPr>
            <w: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40E6FF" w14:textId="77777777" w:rsidR="004353B3" w:rsidRPr="002B5CEF" w:rsidRDefault="004353B3" w:rsidP="004353B3">
            <w:pPr>
              <w:keepNext/>
              <w:jc w:val="center"/>
            </w:pPr>
            <w: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EA7FC1" w14:textId="77777777" w:rsidR="004353B3" w:rsidRPr="002B5CEF" w:rsidRDefault="004353B3" w:rsidP="004353B3">
            <w:pPr>
              <w:keepNext/>
              <w:jc w:val="center"/>
            </w:pPr>
            <w:r>
              <w:t>40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33F505" w14:textId="77777777" w:rsidR="004353B3" w:rsidRPr="002B5CEF" w:rsidRDefault="004353B3" w:rsidP="004353B3">
            <w:pPr>
              <w:keepNext/>
              <w:jc w:val="center"/>
            </w:pPr>
            <w:r>
              <w:t>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4B8C92" w14:textId="77777777" w:rsidR="004353B3" w:rsidRPr="002B5CEF" w:rsidRDefault="004353B3" w:rsidP="004353B3">
            <w:pPr>
              <w:keepNext/>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5C8904" w14:textId="77777777" w:rsidR="004353B3" w:rsidRPr="002B5CEF" w:rsidRDefault="004353B3" w:rsidP="004353B3">
            <w:pPr>
              <w:keepNext/>
              <w:jc w:val="center"/>
              <w:rPr>
                <w:b/>
              </w:rPr>
            </w:pPr>
            <w:r>
              <w:rPr>
                <w:b/>
              </w:rPr>
              <w:t>110</w:t>
            </w:r>
          </w:p>
        </w:tc>
      </w:tr>
      <w:tr w:rsidR="004353B3" w:rsidRPr="00887ABC" w14:paraId="0EAA6F55" w14:textId="77777777" w:rsidTr="004353B3">
        <w:trPr>
          <w:trHeight w:val="288"/>
        </w:trPr>
        <w:tc>
          <w:tcPr>
            <w:tcW w:w="2970" w:type="dxa"/>
            <w:tcBorders>
              <w:right w:val="single" w:sz="4" w:space="0" w:color="auto"/>
            </w:tcBorders>
            <w:vAlign w:val="center"/>
          </w:tcPr>
          <w:p w14:paraId="46E79AC3" w14:textId="77777777" w:rsidR="004353B3" w:rsidRPr="00887ABC" w:rsidRDefault="004353B3" w:rsidP="004353B3">
            <w:pPr>
              <w:keepNext/>
            </w:pPr>
            <w:r>
              <w:t>2019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29007C" w14:textId="77777777" w:rsidR="004353B3" w:rsidRPr="002B5CEF" w:rsidRDefault="004353B3" w:rsidP="004353B3">
            <w:pPr>
              <w:keepNext/>
              <w:jc w:val="center"/>
            </w:pPr>
            <w:r>
              <w:t>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046020" w14:textId="7481E0A7" w:rsidR="004353B3" w:rsidRPr="002B5CEF" w:rsidRDefault="00BD4EBD" w:rsidP="004353B3">
            <w:pPr>
              <w:keepNext/>
              <w:jc w:val="center"/>
            </w:pPr>
            <w:r>
              <w:t>672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E8859D" w14:textId="77777777" w:rsidR="004353B3" w:rsidRPr="002B5CEF" w:rsidRDefault="004353B3" w:rsidP="004353B3">
            <w:pPr>
              <w:keepNext/>
              <w:jc w:val="center"/>
            </w:pPr>
            <w: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AB7A4" w14:textId="77777777" w:rsidR="004353B3" w:rsidRPr="002B5CEF" w:rsidRDefault="004353B3" w:rsidP="004353B3">
            <w:pPr>
              <w:keepNext/>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440617" w14:textId="6EBF71E1" w:rsidR="004353B3" w:rsidRPr="002B5CEF" w:rsidRDefault="00BD4EBD" w:rsidP="004353B3">
            <w:pPr>
              <w:keepNext/>
              <w:jc w:val="center"/>
              <w:rPr>
                <w:b/>
              </w:rPr>
            </w:pPr>
            <w:r>
              <w:rPr>
                <w:b/>
              </w:rPr>
              <w:t>720</w:t>
            </w:r>
          </w:p>
        </w:tc>
      </w:tr>
      <w:tr w:rsidR="004353B3" w:rsidRPr="00887ABC" w14:paraId="1D506350" w14:textId="77777777" w:rsidTr="004353B3">
        <w:trPr>
          <w:trHeight w:val="288"/>
        </w:trPr>
        <w:tc>
          <w:tcPr>
            <w:tcW w:w="2970" w:type="dxa"/>
            <w:tcBorders>
              <w:right w:val="single" w:sz="4" w:space="0" w:color="auto"/>
            </w:tcBorders>
            <w:vAlign w:val="center"/>
          </w:tcPr>
          <w:p w14:paraId="3B7DD497" w14:textId="77777777" w:rsidR="004353B3" w:rsidRPr="00887ABC" w:rsidRDefault="004353B3" w:rsidP="004353B3">
            <w:pPr>
              <w:keepNext/>
            </w:pPr>
            <w:r>
              <w:t>2020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6DFC" w14:textId="77777777" w:rsidR="004353B3" w:rsidRPr="002B5CEF" w:rsidRDefault="004353B3" w:rsidP="004353B3">
            <w:pPr>
              <w:keepNext/>
              <w:jc w:val="center"/>
            </w:pPr>
            <w:r>
              <w:t>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5412C" w14:textId="77777777" w:rsidR="004353B3" w:rsidRPr="002B5CEF" w:rsidRDefault="004353B3" w:rsidP="004353B3">
            <w:pPr>
              <w:keepNext/>
              <w:jc w:val="center"/>
            </w:pPr>
            <w:r>
              <w:t>494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D23303" w14:textId="77777777" w:rsidR="004353B3" w:rsidRPr="002B5CEF" w:rsidRDefault="004353B3" w:rsidP="004353B3">
            <w:pPr>
              <w:keepNext/>
              <w:jc w:val="center"/>
            </w:pPr>
            <w:r>
              <w:t>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BE802" w14:textId="77777777" w:rsidR="004353B3" w:rsidRPr="002B5CEF" w:rsidRDefault="004353B3" w:rsidP="004353B3">
            <w:pPr>
              <w:keepNext/>
              <w:jc w:val="center"/>
            </w:pPr>
            <w: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00808D" w14:textId="77777777" w:rsidR="004353B3" w:rsidRPr="002B5CEF" w:rsidRDefault="004353B3" w:rsidP="004353B3">
            <w:pPr>
              <w:keepNext/>
              <w:jc w:val="center"/>
              <w:rPr>
                <w:b/>
              </w:rPr>
            </w:pPr>
            <w:r>
              <w:rPr>
                <w:b/>
              </w:rPr>
              <w:t>623</w:t>
            </w:r>
          </w:p>
        </w:tc>
      </w:tr>
      <w:tr w:rsidR="004353B3" w:rsidRPr="00887ABC" w14:paraId="3D1B1518" w14:textId="77777777" w:rsidTr="004353B3">
        <w:trPr>
          <w:trHeight w:val="288"/>
        </w:trPr>
        <w:tc>
          <w:tcPr>
            <w:tcW w:w="2970" w:type="dxa"/>
            <w:tcBorders>
              <w:right w:val="single" w:sz="4" w:space="0" w:color="auto"/>
            </w:tcBorders>
            <w:vAlign w:val="center"/>
          </w:tcPr>
          <w:p w14:paraId="2FFEAF7B" w14:textId="77777777" w:rsidR="004353B3" w:rsidRPr="00887ABC" w:rsidRDefault="004353B3" w:rsidP="004353B3">
            <w:pPr>
              <w:keepNext/>
              <w:rPr>
                <w:b/>
                <w:highlight w:val="green"/>
              </w:rPr>
            </w:pPr>
            <w:r w:rsidRPr="00887ABC">
              <w:rPr>
                <w:b/>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DD18" w14:textId="77777777" w:rsidR="004353B3" w:rsidRPr="002B5CEF" w:rsidRDefault="004353B3" w:rsidP="004353B3">
            <w:pPr>
              <w:keepNext/>
              <w:jc w:val="center"/>
              <w:rPr>
                <w:b/>
              </w:rPr>
            </w:pPr>
            <w:r>
              <w:rPr>
                <w:b/>
              </w:rPr>
              <w:t>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4D2A2" w14:textId="1ABCB2D2" w:rsidR="004353B3" w:rsidRPr="002B5CEF" w:rsidRDefault="00BD4EBD" w:rsidP="004353B3">
            <w:pPr>
              <w:keepNext/>
              <w:jc w:val="center"/>
              <w:rPr>
                <w:b/>
              </w:rPr>
            </w:pPr>
            <w:r>
              <w:rPr>
                <w:b/>
              </w:rPr>
              <w:t>1,206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6186CA" w14:textId="77777777" w:rsidR="004353B3" w:rsidRPr="002B5CEF" w:rsidRDefault="004353B3" w:rsidP="004353B3">
            <w:pPr>
              <w:keepNext/>
              <w:jc w:val="center"/>
              <w:rPr>
                <w:b/>
              </w:rPr>
            </w:pPr>
            <w:r>
              <w:rPr>
                <w:b/>
              </w:rPr>
              <w:t>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C97A" w14:textId="77777777" w:rsidR="004353B3" w:rsidRPr="002B5CEF" w:rsidRDefault="004353B3" w:rsidP="004353B3">
            <w:pPr>
              <w:keepNext/>
              <w:jc w:val="center"/>
              <w:rPr>
                <w:b/>
              </w:rPr>
            </w:pPr>
            <w:r>
              <w:rPr>
                <w:b/>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4A1BD9" w14:textId="76FCEA8D" w:rsidR="004353B3" w:rsidRPr="002B5CEF" w:rsidRDefault="004353B3" w:rsidP="004353B3">
            <w:pPr>
              <w:keepNext/>
              <w:jc w:val="center"/>
              <w:rPr>
                <w:b/>
              </w:rPr>
            </w:pPr>
            <w:r>
              <w:rPr>
                <w:b/>
              </w:rPr>
              <w:t>1</w:t>
            </w:r>
            <w:r w:rsidR="00BD4EBD">
              <w:rPr>
                <w:b/>
              </w:rPr>
              <w:t>,453</w:t>
            </w:r>
          </w:p>
        </w:tc>
      </w:tr>
      <w:tr w:rsidR="004353B3" w:rsidRPr="00887ABC" w14:paraId="05FFB8C9" w14:textId="77777777" w:rsidTr="004353B3">
        <w:trPr>
          <w:trHeight w:val="288"/>
        </w:trPr>
        <w:tc>
          <w:tcPr>
            <w:tcW w:w="9180" w:type="dxa"/>
            <w:gridSpan w:val="6"/>
            <w:vAlign w:val="center"/>
          </w:tcPr>
          <w:p w14:paraId="53051B93" w14:textId="77777777" w:rsidR="004353B3" w:rsidRPr="00887ABC" w:rsidRDefault="004353B3" w:rsidP="004353B3">
            <w:pPr>
              <w:keepNext/>
              <w:rPr>
                <w:b/>
              </w:rPr>
            </w:pPr>
            <w:r w:rsidRPr="00887ABC">
              <w:rPr>
                <w:i/>
                <w:sz w:val="16"/>
                <w:szCs w:val="16"/>
              </w:rPr>
              <w:t>Source:  Bank Data</w:t>
            </w:r>
          </w:p>
        </w:tc>
      </w:tr>
    </w:tbl>
    <w:p w14:paraId="3E60BD74" w14:textId="77777777" w:rsidR="004353B3" w:rsidRDefault="004353B3" w:rsidP="004353B3">
      <w:pPr>
        <w:spacing w:after="0" w:line="240" w:lineRule="auto"/>
        <w:rPr>
          <w:rFonts w:ascii="Times New Roman" w:eastAsia="Times New Roman" w:hAnsi="Times New Roman" w:cs="Times New Roman"/>
          <w:iCs/>
          <w:sz w:val="24"/>
          <w:szCs w:val="24"/>
        </w:rPr>
      </w:pPr>
    </w:p>
    <w:p w14:paraId="2050DB17" w14:textId="6DF65527" w:rsidR="004353B3" w:rsidRDefault="004353B3" w:rsidP="004353B3">
      <w:pPr>
        <w:spacing w:after="0" w:line="240" w:lineRule="auto"/>
        <w:rPr>
          <w:rFonts w:ascii="Times New Roman" w:eastAsia="Times New Roman" w:hAnsi="Times New Roman" w:cs="Times New Roman"/>
          <w:iCs/>
          <w:sz w:val="24"/>
          <w:szCs w:val="24"/>
        </w:rPr>
      </w:pPr>
    </w:p>
    <w:p w14:paraId="1E2DB34E" w14:textId="6177EA22" w:rsidR="008C1AF1" w:rsidRDefault="008C1AF1" w:rsidP="004353B3">
      <w:pPr>
        <w:spacing w:after="0" w:line="240" w:lineRule="auto"/>
        <w:rPr>
          <w:rFonts w:ascii="Times New Roman" w:eastAsia="Times New Roman" w:hAnsi="Times New Roman" w:cs="Times New Roman"/>
          <w:iCs/>
          <w:sz w:val="24"/>
          <w:szCs w:val="24"/>
        </w:rPr>
      </w:pPr>
    </w:p>
    <w:p w14:paraId="505E10E3" w14:textId="77777777" w:rsidR="008C1AF1" w:rsidRDefault="008C1AF1" w:rsidP="004353B3">
      <w:pPr>
        <w:spacing w:after="0" w:line="240" w:lineRule="auto"/>
        <w:rPr>
          <w:rFonts w:ascii="Times New Roman" w:eastAsia="Times New Roman" w:hAnsi="Times New Roman" w:cs="Times New Roman"/>
          <w:iCs/>
          <w:sz w:val="24"/>
          <w:szCs w:val="24"/>
        </w:rPr>
      </w:pPr>
    </w:p>
    <w:p w14:paraId="58F1D3ED" w14:textId="77777777" w:rsidR="004353B3" w:rsidRDefault="004353B3" w:rsidP="004353B3">
      <w:pPr>
        <w:spacing w:after="0" w:line="240" w:lineRule="auto"/>
        <w:rPr>
          <w:rFonts w:ascii="Times New Roman" w:eastAsia="Times New Roman" w:hAnsi="Times New Roman" w:cs="Times New Roman"/>
          <w:iCs/>
          <w:sz w:val="24"/>
          <w:szCs w:val="24"/>
        </w:rPr>
      </w:pPr>
    </w:p>
    <w:p w14:paraId="505C0B61" w14:textId="77777777" w:rsidR="004353B3" w:rsidRDefault="004353B3" w:rsidP="004353B3">
      <w:pPr>
        <w:spacing w:after="0" w:line="240" w:lineRule="auto"/>
        <w:rPr>
          <w:rFonts w:ascii="Times New Roman" w:eastAsia="Times New Roman" w:hAnsi="Times New Roman" w:cs="Times New Roman"/>
          <w:iCs/>
          <w:sz w:val="24"/>
          <w:szCs w:val="24"/>
        </w:rPr>
      </w:pPr>
    </w:p>
    <w:p w14:paraId="762D71BC" w14:textId="77777777" w:rsidR="004353B3" w:rsidRDefault="004353B3" w:rsidP="004353B3">
      <w:pPr>
        <w:spacing w:after="0" w:line="240" w:lineRule="auto"/>
        <w:rPr>
          <w:rFonts w:ascii="Times New Roman" w:eastAsia="Times New Roman" w:hAnsi="Times New Roman" w:cs="Times New Roman"/>
          <w:iCs/>
          <w:sz w:val="24"/>
          <w:szCs w:val="24"/>
        </w:rPr>
      </w:pPr>
    </w:p>
    <w:p w14:paraId="48712FE8" w14:textId="77777777" w:rsidR="004353B3" w:rsidRDefault="004353B3" w:rsidP="004353B3">
      <w:pPr>
        <w:spacing w:after="0" w:line="240" w:lineRule="auto"/>
        <w:rPr>
          <w:rFonts w:ascii="Times New Roman" w:eastAsia="Times New Roman" w:hAnsi="Times New Roman" w:cs="Times New Roman"/>
          <w:iCs/>
          <w:sz w:val="24"/>
          <w:szCs w:val="24"/>
        </w:rPr>
      </w:pPr>
    </w:p>
    <w:p w14:paraId="3947C5CD" w14:textId="77777777" w:rsidR="004353B3" w:rsidRDefault="004353B3" w:rsidP="004353B3">
      <w:pPr>
        <w:spacing w:after="0" w:line="240" w:lineRule="auto"/>
        <w:rPr>
          <w:rFonts w:ascii="Times New Roman" w:eastAsia="Times New Roman" w:hAnsi="Times New Roman" w:cs="Times New Roman"/>
          <w:iCs/>
          <w:sz w:val="24"/>
          <w:szCs w:val="24"/>
        </w:rPr>
      </w:pPr>
    </w:p>
    <w:p w14:paraId="117C203E" w14:textId="77777777" w:rsidR="004353B3" w:rsidRDefault="004353B3" w:rsidP="004353B3">
      <w:pPr>
        <w:spacing w:after="0" w:line="240" w:lineRule="auto"/>
        <w:rPr>
          <w:rFonts w:ascii="Times New Roman" w:eastAsia="Times New Roman" w:hAnsi="Times New Roman" w:cs="Times New Roman"/>
          <w:iCs/>
          <w:sz w:val="24"/>
          <w:szCs w:val="24"/>
        </w:rPr>
      </w:pPr>
    </w:p>
    <w:p w14:paraId="61EDAB09" w14:textId="77777777" w:rsidR="004353B3" w:rsidRDefault="004353B3" w:rsidP="004353B3">
      <w:pPr>
        <w:spacing w:after="0" w:line="240" w:lineRule="auto"/>
        <w:rPr>
          <w:rFonts w:ascii="Times New Roman" w:eastAsia="Times New Roman" w:hAnsi="Times New Roman" w:cs="Times New Roman"/>
          <w:iCs/>
          <w:sz w:val="24"/>
          <w:szCs w:val="24"/>
        </w:rPr>
      </w:pPr>
    </w:p>
    <w:p w14:paraId="09FDEB04" w14:textId="3DEB4E5E" w:rsidR="00A521ED" w:rsidRDefault="00A521ED" w:rsidP="00A521ED">
      <w:pPr>
        <w:spacing w:after="0" w:line="240" w:lineRule="auto"/>
        <w:rPr>
          <w:rFonts w:ascii="Times New Roman" w:eastAsia="Times New Roman" w:hAnsi="Times New Roman" w:cs="Times New Roman"/>
          <w:iCs/>
          <w:sz w:val="24"/>
          <w:szCs w:val="24"/>
        </w:rPr>
      </w:pPr>
    </w:p>
    <w:p w14:paraId="072A4B03" w14:textId="249B4002" w:rsidR="0024113C" w:rsidRDefault="0024113C" w:rsidP="00A521ED">
      <w:pPr>
        <w:spacing w:after="0" w:line="240" w:lineRule="auto"/>
        <w:rPr>
          <w:rFonts w:ascii="Times New Roman" w:eastAsia="Times New Roman" w:hAnsi="Times New Roman" w:cs="Times New Roman"/>
          <w:iCs/>
          <w:sz w:val="24"/>
          <w:szCs w:val="24"/>
        </w:rPr>
      </w:pPr>
    </w:p>
    <w:p w14:paraId="72F364FD" w14:textId="4A473884" w:rsidR="0024113C" w:rsidRDefault="0024113C" w:rsidP="00A521ED">
      <w:pPr>
        <w:spacing w:after="0" w:line="240" w:lineRule="auto"/>
        <w:rPr>
          <w:rFonts w:ascii="Times New Roman" w:eastAsia="Times New Roman" w:hAnsi="Times New Roman" w:cs="Times New Roman"/>
          <w:iCs/>
          <w:sz w:val="24"/>
          <w:szCs w:val="24"/>
        </w:rPr>
      </w:pPr>
    </w:p>
    <w:p w14:paraId="294FF00E" w14:textId="4189437A" w:rsidR="0024113C" w:rsidRDefault="0024113C" w:rsidP="00A521ED">
      <w:pPr>
        <w:spacing w:after="0" w:line="240" w:lineRule="auto"/>
        <w:rPr>
          <w:rFonts w:ascii="Times New Roman" w:eastAsia="Times New Roman" w:hAnsi="Times New Roman" w:cs="Times New Roman"/>
          <w:iCs/>
          <w:sz w:val="24"/>
          <w:szCs w:val="24"/>
        </w:rPr>
      </w:pPr>
    </w:p>
    <w:p w14:paraId="49EE7B7B" w14:textId="775F35EE" w:rsidR="0024113C" w:rsidRDefault="0024113C" w:rsidP="00A521ED">
      <w:pPr>
        <w:spacing w:after="0" w:line="240" w:lineRule="auto"/>
        <w:rPr>
          <w:rFonts w:ascii="Times New Roman" w:eastAsia="Times New Roman" w:hAnsi="Times New Roman" w:cs="Times New Roman"/>
          <w:iCs/>
          <w:sz w:val="24"/>
          <w:szCs w:val="24"/>
        </w:rPr>
      </w:pPr>
    </w:p>
    <w:p w14:paraId="1AA4DBEE" w14:textId="04726085" w:rsidR="0024113C" w:rsidRDefault="0024113C" w:rsidP="00A521ED">
      <w:pPr>
        <w:spacing w:after="0" w:line="240" w:lineRule="auto"/>
        <w:rPr>
          <w:rFonts w:ascii="Times New Roman" w:eastAsia="Times New Roman" w:hAnsi="Times New Roman" w:cs="Times New Roman"/>
          <w:iCs/>
          <w:sz w:val="24"/>
          <w:szCs w:val="24"/>
        </w:rPr>
      </w:pPr>
    </w:p>
    <w:p w14:paraId="32ED84A4" w14:textId="710700C0" w:rsidR="0024113C" w:rsidRDefault="0024113C" w:rsidP="00A521ED">
      <w:pPr>
        <w:spacing w:after="0" w:line="240" w:lineRule="auto"/>
        <w:rPr>
          <w:rFonts w:ascii="Times New Roman" w:eastAsia="Times New Roman" w:hAnsi="Times New Roman" w:cs="Times New Roman"/>
          <w:iCs/>
          <w:sz w:val="24"/>
          <w:szCs w:val="24"/>
        </w:rPr>
      </w:pPr>
    </w:p>
    <w:p w14:paraId="34B4BE89" w14:textId="76CE0CA8" w:rsidR="0024113C" w:rsidRDefault="0024113C" w:rsidP="00A521ED">
      <w:pPr>
        <w:spacing w:after="0" w:line="240" w:lineRule="auto"/>
        <w:rPr>
          <w:rFonts w:ascii="Times New Roman" w:eastAsia="Times New Roman" w:hAnsi="Times New Roman" w:cs="Times New Roman"/>
          <w:iCs/>
          <w:sz w:val="24"/>
          <w:szCs w:val="24"/>
        </w:rPr>
      </w:pPr>
    </w:p>
    <w:p w14:paraId="59C87A1E" w14:textId="40167004" w:rsidR="0024113C" w:rsidRDefault="0024113C" w:rsidP="00A521ED">
      <w:pPr>
        <w:spacing w:after="0" w:line="240" w:lineRule="auto"/>
        <w:rPr>
          <w:rFonts w:ascii="Times New Roman" w:eastAsia="Times New Roman" w:hAnsi="Times New Roman" w:cs="Times New Roman"/>
          <w:iCs/>
          <w:sz w:val="24"/>
          <w:szCs w:val="24"/>
        </w:rPr>
      </w:pPr>
    </w:p>
    <w:p w14:paraId="37D4125C" w14:textId="49E48F03" w:rsidR="0024113C" w:rsidRDefault="0024113C" w:rsidP="00A521ED">
      <w:pPr>
        <w:spacing w:after="0" w:line="240" w:lineRule="auto"/>
        <w:rPr>
          <w:rFonts w:ascii="Times New Roman" w:eastAsia="Times New Roman" w:hAnsi="Times New Roman" w:cs="Times New Roman"/>
          <w:iCs/>
          <w:sz w:val="24"/>
          <w:szCs w:val="24"/>
        </w:rPr>
      </w:pPr>
    </w:p>
    <w:p w14:paraId="604F403A" w14:textId="7669A89F" w:rsidR="0024113C" w:rsidRDefault="0024113C" w:rsidP="00A521ED">
      <w:pPr>
        <w:spacing w:after="0" w:line="240" w:lineRule="auto"/>
        <w:rPr>
          <w:rFonts w:ascii="Times New Roman" w:eastAsia="Times New Roman" w:hAnsi="Times New Roman" w:cs="Times New Roman"/>
          <w:iCs/>
          <w:sz w:val="24"/>
          <w:szCs w:val="24"/>
        </w:rPr>
      </w:pPr>
    </w:p>
    <w:p w14:paraId="4E76D897" w14:textId="63103A14" w:rsidR="0024113C" w:rsidRDefault="0024113C" w:rsidP="00A521ED">
      <w:pPr>
        <w:spacing w:after="0" w:line="240" w:lineRule="auto"/>
        <w:rPr>
          <w:rFonts w:ascii="Times New Roman" w:eastAsia="Times New Roman" w:hAnsi="Times New Roman" w:cs="Times New Roman"/>
          <w:iCs/>
          <w:sz w:val="24"/>
          <w:szCs w:val="24"/>
        </w:rPr>
      </w:pPr>
    </w:p>
    <w:p w14:paraId="00910928" w14:textId="3D60D0F2" w:rsidR="0024113C" w:rsidRDefault="0024113C" w:rsidP="00A521ED">
      <w:pPr>
        <w:spacing w:after="0" w:line="240" w:lineRule="auto"/>
        <w:rPr>
          <w:rFonts w:ascii="Times New Roman" w:eastAsia="Times New Roman" w:hAnsi="Times New Roman" w:cs="Times New Roman"/>
          <w:iCs/>
          <w:sz w:val="24"/>
          <w:szCs w:val="24"/>
        </w:rPr>
      </w:pPr>
    </w:p>
    <w:p w14:paraId="463C9EEB" w14:textId="52286039" w:rsidR="0024113C" w:rsidRDefault="0024113C" w:rsidP="00A521ED">
      <w:pPr>
        <w:spacing w:after="0" w:line="240" w:lineRule="auto"/>
        <w:rPr>
          <w:rFonts w:ascii="Times New Roman" w:eastAsia="Times New Roman" w:hAnsi="Times New Roman" w:cs="Times New Roman"/>
          <w:iCs/>
          <w:sz w:val="24"/>
          <w:szCs w:val="24"/>
        </w:rPr>
      </w:pPr>
    </w:p>
    <w:p w14:paraId="72003D33" w14:textId="4DD2A672" w:rsidR="0024113C" w:rsidRDefault="0024113C" w:rsidP="00A521ED">
      <w:pPr>
        <w:spacing w:after="0" w:line="240" w:lineRule="auto"/>
        <w:rPr>
          <w:rFonts w:ascii="Times New Roman" w:eastAsia="Times New Roman" w:hAnsi="Times New Roman" w:cs="Times New Roman"/>
          <w:iCs/>
          <w:sz w:val="24"/>
          <w:szCs w:val="24"/>
        </w:rPr>
      </w:pPr>
    </w:p>
    <w:p w14:paraId="254839A9" w14:textId="075DE87D" w:rsidR="0024113C" w:rsidRDefault="0024113C" w:rsidP="00A521ED">
      <w:pPr>
        <w:spacing w:after="0" w:line="240" w:lineRule="auto"/>
        <w:rPr>
          <w:rFonts w:ascii="Times New Roman" w:eastAsia="Times New Roman" w:hAnsi="Times New Roman" w:cs="Times New Roman"/>
          <w:iCs/>
          <w:sz w:val="24"/>
          <w:szCs w:val="24"/>
        </w:rPr>
      </w:pPr>
    </w:p>
    <w:p w14:paraId="38ACBD7B" w14:textId="4DAD7B6D" w:rsidR="0024113C" w:rsidRDefault="0024113C" w:rsidP="00A521ED">
      <w:pPr>
        <w:spacing w:after="0" w:line="240" w:lineRule="auto"/>
        <w:rPr>
          <w:rFonts w:ascii="Times New Roman" w:eastAsia="Times New Roman" w:hAnsi="Times New Roman" w:cs="Times New Roman"/>
          <w:iCs/>
          <w:sz w:val="24"/>
          <w:szCs w:val="24"/>
        </w:rPr>
      </w:pPr>
    </w:p>
    <w:p w14:paraId="1364E542" w14:textId="475D963D" w:rsidR="0024113C" w:rsidRDefault="0024113C" w:rsidP="00A521ED">
      <w:pPr>
        <w:spacing w:after="0" w:line="240" w:lineRule="auto"/>
        <w:rPr>
          <w:rFonts w:ascii="Times New Roman" w:eastAsia="Times New Roman" w:hAnsi="Times New Roman" w:cs="Times New Roman"/>
          <w:iCs/>
          <w:sz w:val="24"/>
          <w:szCs w:val="24"/>
        </w:rPr>
      </w:pPr>
    </w:p>
    <w:p w14:paraId="6C5986B6" w14:textId="5E46C595" w:rsidR="0024113C" w:rsidRDefault="0024113C" w:rsidP="00A521ED">
      <w:pPr>
        <w:spacing w:after="0" w:line="240" w:lineRule="auto"/>
        <w:rPr>
          <w:rFonts w:ascii="Times New Roman" w:eastAsia="Times New Roman" w:hAnsi="Times New Roman" w:cs="Times New Roman"/>
          <w:iCs/>
          <w:sz w:val="24"/>
          <w:szCs w:val="24"/>
        </w:rPr>
      </w:pPr>
    </w:p>
    <w:p w14:paraId="5C16C483" w14:textId="17756933" w:rsidR="0024113C" w:rsidRDefault="0024113C" w:rsidP="00A521ED">
      <w:pPr>
        <w:spacing w:after="0" w:line="240" w:lineRule="auto"/>
        <w:rPr>
          <w:rFonts w:ascii="Times New Roman" w:eastAsia="Times New Roman" w:hAnsi="Times New Roman" w:cs="Times New Roman"/>
          <w:iCs/>
          <w:sz w:val="24"/>
          <w:szCs w:val="24"/>
        </w:rPr>
      </w:pPr>
    </w:p>
    <w:p w14:paraId="0E519582" w14:textId="7CAF675D" w:rsidR="0024113C" w:rsidRDefault="0024113C" w:rsidP="00A521ED">
      <w:pPr>
        <w:spacing w:after="0" w:line="240" w:lineRule="auto"/>
        <w:rPr>
          <w:rFonts w:ascii="Times New Roman" w:eastAsia="Times New Roman" w:hAnsi="Times New Roman" w:cs="Times New Roman"/>
          <w:iCs/>
          <w:sz w:val="24"/>
          <w:szCs w:val="24"/>
        </w:rPr>
      </w:pPr>
    </w:p>
    <w:p w14:paraId="701D51B2" w14:textId="1C69484A" w:rsidR="0024113C" w:rsidRDefault="0024113C" w:rsidP="00A521ED">
      <w:pPr>
        <w:spacing w:after="0" w:line="240" w:lineRule="auto"/>
        <w:rPr>
          <w:rFonts w:ascii="Times New Roman" w:eastAsia="Times New Roman" w:hAnsi="Times New Roman" w:cs="Times New Roman"/>
          <w:iCs/>
          <w:sz w:val="24"/>
          <w:szCs w:val="24"/>
        </w:rPr>
      </w:pPr>
    </w:p>
    <w:p w14:paraId="0E070252" w14:textId="77777777" w:rsidR="0024113C" w:rsidRDefault="0024113C" w:rsidP="00A521ED">
      <w:pPr>
        <w:spacing w:after="0" w:line="240" w:lineRule="auto"/>
        <w:rPr>
          <w:rFonts w:ascii="Times New Roman" w:eastAsia="Times New Roman" w:hAnsi="Times New Roman" w:cs="Times New Roman"/>
          <w:iCs/>
          <w:sz w:val="24"/>
          <w:szCs w:val="24"/>
        </w:rPr>
      </w:pPr>
    </w:p>
    <w:p w14:paraId="6D2DAE19" w14:textId="77777777" w:rsidR="00A521ED" w:rsidRDefault="00A521ED" w:rsidP="00A521ED">
      <w:pPr>
        <w:spacing w:after="0" w:line="240" w:lineRule="auto"/>
        <w:rPr>
          <w:rFonts w:ascii="Times New Roman" w:eastAsia="Times New Roman" w:hAnsi="Times New Roman" w:cs="Times New Roman"/>
          <w:iCs/>
          <w:sz w:val="24"/>
          <w:szCs w:val="24"/>
        </w:rPr>
      </w:pPr>
    </w:p>
    <w:p w14:paraId="0C7CF763" w14:textId="77777777" w:rsidR="00E50970" w:rsidRPr="00E50970" w:rsidRDefault="00722825" w:rsidP="00EE1456">
      <w:pPr>
        <w:keepNext/>
        <w:keepLines/>
        <w:spacing w:after="0" w:line="240" w:lineRule="auto"/>
        <w:jc w:val="center"/>
        <w:outlineLvl w:val="2"/>
        <w:rPr>
          <w:rFonts w:ascii="Times New Roman" w:eastAsia="Times New Roman" w:hAnsi="Times New Roman" w:cs="Times New Roman"/>
          <w:b/>
          <w:bCs/>
          <w:spacing w:val="-3"/>
          <w:sz w:val="28"/>
          <w:szCs w:val="20"/>
        </w:rPr>
      </w:pPr>
      <w:r w:rsidRPr="00E50970">
        <w:rPr>
          <w:rFonts w:ascii="Times New Roman" w:eastAsiaTheme="majorEastAsia" w:hAnsi="Times New Roman" w:cstheme="majorBidi"/>
          <w:b/>
          <w:bCs/>
          <w:sz w:val="28"/>
          <w:szCs w:val="24"/>
        </w:rPr>
        <w:lastRenderedPageBreak/>
        <w:t xml:space="preserve"> </w:t>
      </w:r>
      <w:bookmarkStart w:id="21" w:name="_Toc70419332"/>
      <w:r w:rsidR="00E50970" w:rsidRPr="00E50970">
        <w:rPr>
          <w:rFonts w:ascii="Times New Roman" w:eastAsia="Times New Roman" w:hAnsi="Times New Roman" w:cs="Times New Roman"/>
          <w:b/>
          <w:bCs/>
          <w:spacing w:val="-3"/>
          <w:sz w:val="28"/>
          <w:szCs w:val="20"/>
        </w:rPr>
        <w:t>APPENDICES</w:t>
      </w:r>
      <w:bookmarkEnd w:id="21"/>
    </w:p>
    <w:p w14:paraId="312B3FA5"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63357CFF" w14:textId="77777777" w:rsidR="00E50970" w:rsidRPr="00E50970" w:rsidRDefault="00E50970" w:rsidP="00E5097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sz w:val="28"/>
          <w:szCs w:val="20"/>
          <w:highlight w:val="yellow"/>
        </w:rPr>
      </w:pPr>
      <w:bookmarkStart w:id="22" w:name="_Toc70419333"/>
      <w:r w:rsidRPr="00E50970">
        <w:rPr>
          <w:rFonts w:ascii="Times New Roman" w:eastAsia="Times New Roman" w:hAnsi="Times New Roman" w:cs="Times New Roman"/>
          <w:b/>
          <w:bCs/>
          <w:sz w:val="28"/>
          <w:szCs w:val="20"/>
        </w:rPr>
        <w:t>LARGE BANK PERFORMANCE CRITERIA</w:t>
      </w:r>
      <w:bookmarkEnd w:id="22"/>
    </w:p>
    <w:p w14:paraId="16093D99" w14:textId="77777777" w:rsidR="00E50970" w:rsidRPr="00E50970" w:rsidRDefault="00E50970" w:rsidP="00E50970">
      <w:pPr>
        <w:spacing w:after="0" w:line="240" w:lineRule="auto"/>
        <w:rPr>
          <w:rFonts w:ascii="Times New Roman" w:eastAsia="Times New Roman" w:hAnsi="Times New Roman" w:cs="Times New Roman"/>
          <w:sz w:val="24"/>
          <w:szCs w:val="24"/>
          <w:highlight w:val="yellow"/>
        </w:rPr>
      </w:pPr>
    </w:p>
    <w:p w14:paraId="7B8CCCD4" w14:textId="77777777" w:rsidR="00E50970" w:rsidRPr="00E50970" w:rsidRDefault="00E50970" w:rsidP="00E50970">
      <w:pPr>
        <w:spacing w:after="0" w:line="240" w:lineRule="auto"/>
        <w:rPr>
          <w:rFonts w:ascii="Times New Roman" w:eastAsia="Times New Roman" w:hAnsi="Times New Roman" w:cs="Times New Roman"/>
          <w:b/>
          <w:sz w:val="24"/>
          <w:szCs w:val="24"/>
          <w:u w:val="single"/>
        </w:rPr>
      </w:pPr>
      <w:r w:rsidRPr="00E50970">
        <w:rPr>
          <w:rFonts w:ascii="Times New Roman" w:eastAsia="Times New Roman" w:hAnsi="Times New Roman" w:cs="Times New Roman"/>
          <w:b/>
          <w:sz w:val="24"/>
          <w:szCs w:val="24"/>
          <w:u w:val="single"/>
        </w:rPr>
        <w:t>Lending Test</w:t>
      </w:r>
    </w:p>
    <w:p w14:paraId="639ACE56" w14:textId="77777777" w:rsidR="00E50970" w:rsidRPr="00E50970" w:rsidRDefault="00E50970" w:rsidP="00E50970">
      <w:pPr>
        <w:spacing w:after="0" w:line="240" w:lineRule="auto"/>
        <w:rPr>
          <w:rFonts w:ascii="Times New Roman" w:eastAsia="Times New Roman" w:hAnsi="Times New Roman" w:cs="Times New Roman"/>
          <w:b/>
          <w:sz w:val="24"/>
          <w:szCs w:val="24"/>
          <w:u w:val="single"/>
        </w:rPr>
      </w:pPr>
    </w:p>
    <w:p w14:paraId="44EA93AE" w14:textId="77777777" w:rsidR="00876556" w:rsidRDefault="00E50970" w:rsidP="00876556">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The Lending Test evaluates the </w:t>
      </w:r>
      <w:r w:rsidR="00A63B27">
        <w:rPr>
          <w:rFonts w:ascii="Times New Roman" w:eastAsia="Times New Roman" w:hAnsi="Times New Roman" w:cs="Times New Roman"/>
          <w:sz w:val="24"/>
          <w:szCs w:val="24"/>
        </w:rPr>
        <w:t>bank’s</w:t>
      </w:r>
      <w:r w:rsidRPr="00E50970">
        <w:rPr>
          <w:rFonts w:ascii="Times New Roman" w:eastAsia="Times New Roman" w:hAnsi="Times New Roman" w:cs="Times New Roman"/>
          <w:sz w:val="24"/>
          <w:szCs w:val="24"/>
        </w:rPr>
        <w:t xml:space="preserve"> record of helping to meet the credit needs of its assessment area(s) </w:t>
      </w:r>
      <w:r w:rsidR="00A63B27">
        <w:rPr>
          <w:rFonts w:ascii="Times New Roman" w:eastAsia="Times New Roman" w:hAnsi="Times New Roman" w:cs="Times New Roman"/>
          <w:sz w:val="24"/>
          <w:szCs w:val="24"/>
        </w:rPr>
        <w:t>th</w:t>
      </w:r>
      <w:r w:rsidR="00804EE2">
        <w:rPr>
          <w:rFonts w:ascii="Times New Roman" w:eastAsia="Times New Roman" w:hAnsi="Times New Roman" w:cs="Times New Roman"/>
          <w:sz w:val="24"/>
          <w:szCs w:val="24"/>
        </w:rPr>
        <w:t>r</w:t>
      </w:r>
      <w:r w:rsidR="00A63B27">
        <w:rPr>
          <w:rFonts w:ascii="Times New Roman" w:eastAsia="Times New Roman" w:hAnsi="Times New Roman" w:cs="Times New Roman"/>
          <w:sz w:val="24"/>
          <w:szCs w:val="24"/>
        </w:rPr>
        <w:t xml:space="preserve">ough its lending activities by considering a bank’s </w:t>
      </w:r>
      <w:r w:rsidRPr="00E50970">
        <w:rPr>
          <w:rFonts w:ascii="Times New Roman" w:eastAsia="Times New Roman" w:hAnsi="Times New Roman" w:cs="Times New Roman"/>
          <w:sz w:val="24"/>
          <w:szCs w:val="24"/>
        </w:rPr>
        <w:t xml:space="preserve">home mortgage, small business, small farm, and community development lending.  </w:t>
      </w:r>
      <w:r w:rsidR="003874CE">
        <w:rPr>
          <w:rFonts w:ascii="Times New Roman" w:eastAsia="Times New Roman" w:hAnsi="Times New Roman" w:cs="Times New Roman"/>
          <w:sz w:val="24"/>
          <w:szCs w:val="24"/>
        </w:rPr>
        <w:t xml:space="preserve">If consumer lending constitutes a substantial majority of a bank’s business, the FDIC will evaluate the bank’s consumer lending in one or more of the following categories:  motor vehicle, credit card, other secured, and other unsecured.  </w:t>
      </w:r>
      <w:r w:rsidRPr="00E50970">
        <w:rPr>
          <w:rFonts w:ascii="Times New Roman" w:eastAsia="Times New Roman" w:hAnsi="Times New Roman" w:cs="Times New Roman"/>
          <w:sz w:val="24"/>
          <w:szCs w:val="24"/>
        </w:rPr>
        <w:t xml:space="preserve">The </w:t>
      </w:r>
      <w:r w:rsidR="003874CE">
        <w:rPr>
          <w:rFonts w:ascii="Times New Roman" w:eastAsia="Times New Roman" w:hAnsi="Times New Roman" w:cs="Times New Roman"/>
          <w:sz w:val="24"/>
          <w:szCs w:val="24"/>
        </w:rPr>
        <w:t xml:space="preserve">bank’s </w:t>
      </w:r>
      <w:r w:rsidRPr="00E50970">
        <w:rPr>
          <w:rFonts w:ascii="Times New Roman" w:eastAsia="Times New Roman" w:hAnsi="Times New Roman" w:cs="Times New Roman"/>
          <w:sz w:val="24"/>
          <w:szCs w:val="24"/>
        </w:rPr>
        <w:t>lending performance is evaluated pursu</w:t>
      </w:r>
      <w:r w:rsidR="00876556">
        <w:rPr>
          <w:rFonts w:ascii="Times New Roman" w:eastAsia="Times New Roman" w:hAnsi="Times New Roman" w:cs="Times New Roman"/>
          <w:sz w:val="24"/>
          <w:szCs w:val="24"/>
        </w:rPr>
        <w:t xml:space="preserve">ant to the following criteria: </w:t>
      </w:r>
    </w:p>
    <w:p w14:paraId="76305D43" w14:textId="77777777" w:rsidR="00876556" w:rsidRDefault="00E50970" w:rsidP="00876556">
      <w:pPr>
        <w:pStyle w:val="ListParagraph"/>
        <w:numPr>
          <w:ilvl w:val="0"/>
          <w:numId w:val="29"/>
        </w:numPr>
        <w:rPr>
          <w:rFonts w:ascii="Times New Roman" w:hAnsi="Times New Roman" w:cs="Times New Roman"/>
        </w:rPr>
      </w:pPr>
      <w:r w:rsidRPr="00876556">
        <w:rPr>
          <w:rFonts w:ascii="Times New Roman" w:hAnsi="Times New Roman" w:cs="Times New Roman"/>
        </w:rPr>
        <w:t xml:space="preserve">The </w:t>
      </w:r>
      <w:r w:rsidR="00A63B27" w:rsidRPr="00876556">
        <w:rPr>
          <w:rFonts w:ascii="Times New Roman" w:hAnsi="Times New Roman" w:cs="Times New Roman"/>
        </w:rPr>
        <w:t>number and amount of the bank’s home mortgage, small business, small farm, and consumer loans, if applicable, in the bank’s assessment area</w:t>
      </w:r>
      <w:r w:rsidRPr="00876556">
        <w:rPr>
          <w:rFonts w:ascii="Times New Roman" w:hAnsi="Times New Roman" w:cs="Times New Roman"/>
        </w:rPr>
        <w:t xml:space="preserve">; </w:t>
      </w:r>
    </w:p>
    <w:p w14:paraId="3876D87D" w14:textId="77777777" w:rsidR="00876556" w:rsidRDefault="00E50970" w:rsidP="00876556">
      <w:pPr>
        <w:pStyle w:val="ListParagraph"/>
        <w:numPr>
          <w:ilvl w:val="0"/>
          <w:numId w:val="29"/>
        </w:numPr>
        <w:rPr>
          <w:rFonts w:ascii="Times New Roman" w:hAnsi="Times New Roman" w:cs="Times New Roman"/>
        </w:rPr>
      </w:pPr>
      <w:r w:rsidRPr="00876556">
        <w:rPr>
          <w:rFonts w:ascii="Times New Roman" w:hAnsi="Times New Roman" w:cs="Times New Roman"/>
        </w:rPr>
        <w:t xml:space="preserve">The </w:t>
      </w:r>
      <w:r w:rsidR="00A63B27" w:rsidRPr="00876556">
        <w:rPr>
          <w:rFonts w:ascii="Times New Roman" w:hAnsi="Times New Roman" w:cs="Times New Roman"/>
        </w:rPr>
        <w:t xml:space="preserve">geographic distribution of the bank’s </w:t>
      </w:r>
      <w:r w:rsidR="00876556" w:rsidRPr="00876556">
        <w:rPr>
          <w:rFonts w:ascii="Times New Roman" w:hAnsi="Times New Roman" w:cs="Times New Roman"/>
        </w:rPr>
        <w:t>home mortgage, small business, small farm, and consumer loans, if applicable, based on the loan location, including:</w:t>
      </w:r>
    </w:p>
    <w:p w14:paraId="425C04B5" w14:textId="77777777" w:rsidR="00876556" w:rsidRDefault="00876556" w:rsidP="00876556">
      <w:pPr>
        <w:pStyle w:val="ListParagraph"/>
        <w:numPr>
          <w:ilvl w:val="1"/>
          <w:numId w:val="29"/>
        </w:numPr>
        <w:rPr>
          <w:rFonts w:ascii="Times New Roman" w:hAnsi="Times New Roman" w:cs="Times New Roman"/>
        </w:rPr>
      </w:pPr>
      <w:r>
        <w:rPr>
          <w:rFonts w:ascii="Times New Roman" w:hAnsi="Times New Roman" w:cs="Times New Roman"/>
        </w:rPr>
        <w:t>The proportion of the bank’s lending in the bank’s assessment area(s);</w:t>
      </w:r>
    </w:p>
    <w:p w14:paraId="5F2D70AA" w14:textId="77777777" w:rsidR="00876556" w:rsidRDefault="00876556" w:rsidP="00876556">
      <w:pPr>
        <w:pStyle w:val="ListParagraph"/>
        <w:numPr>
          <w:ilvl w:val="1"/>
          <w:numId w:val="29"/>
        </w:numPr>
        <w:rPr>
          <w:rFonts w:ascii="Times New Roman" w:hAnsi="Times New Roman" w:cs="Times New Roman"/>
        </w:rPr>
      </w:pPr>
      <w:r>
        <w:rPr>
          <w:rFonts w:ascii="Times New Roman" w:hAnsi="Times New Roman" w:cs="Times New Roman"/>
        </w:rPr>
        <w:t xml:space="preserve">The </w:t>
      </w:r>
      <w:r w:rsidR="00E50970" w:rsidRPr="00876556">
        <w:rPr>
          <w:rFonts w:ascii="Times New Roman" w:hAnsi="Times New Roman" w:cs="Times New Roman"/>
        </w:rPr>
        <w:t xml:space="preserve">dispersion of </w:t>
      </w:r>
      <w:r>
        <w:rPr>
          <w:rFonts w:ascii="Times New Roman" w:hAnsi="Times New Roman" w:cs="Times New Roman"/>
        </w:rPr>
        <w:t>lending in the bank’s assessment areas(s); and</w:t>
      </w:r>
    </w:p>
    <w:p w14:paraId="6D480C96" w14:textId="77777777" w:rsidR="00876556" w:rsidRDefault="00876556" w:rsidP="00876556">
      <w:pPr>
        <w:pStyle w:val="ListParagraph"/>
        <w:numPr>
          <w:ilvl w:val="1"/>
          <w:numId w:val="29"/>
        </w:numPr>
        <w:rPr>
          <w:rFonts w:ascii="Times New Roman" w:hAnsi="Times New Roman" w:cs="Times New Roman"/>
        </w:rPr>
      </w:pPr>
      <w:r>
        <w:rPr>
          <w:rFonts w:ascii="Times New Roman" w:hAnsi="Times New Roman" w:cs="Times New Roman"/>
        </w:rPr>
        <w:t xml:space="preserve">The number </w:t>
      </w:r>
      <w:r w:rsidR="00E50970" w:rsidRPr="00876556">
        <w:rPr>
          <w:rFonts w:ascii="Times New Roman" w:hAnsi="Times New Roman" w:cs="Times New Roman"/>
        </w:rPr>
        <w:t xml:space="preserve">and amount of loans in low-, moderate-, middle- and upper-income geographies in the </w:t>
      </w:r>
      <w:r>
        <w:rPr>
          <w:rFonts w:ascii="Times New Roman" w:hAnsi="Times New Roman" w:cs="Times New Roman"/>
        </w:rPr>
        <w:t xml:space="preserve">bank’s </w:t>
      </w:r>
      <w:r w:rsidR="00E50970" w:rsidRPr="00876556">
        <w:rPr>
          <w:rFonts w:ascii="Times New Roman" w:hAnsi="Times New Roman" w:cs="Times New Roman"/>
        </w:rPr>
        <w:t xml:space="preserve">assessment area(s); </w:t>
      </w:r>
    </w:p>
    <w:p w14:paraId="0017C6BD" w14:textId="77777777" w:rsidR="00876556" w:rsidRDefault="00876556" w:rsidP="00876556">
      <w:pPr>
        <w:pStyle w:val="ListParagraph"/>
        <w:numPr>
          <w:ilvl w:val="0"/>
          <w:numId w:val="29"/>
        </w:numPr>
        <w:rPr>
          <w:rFonts w:ascii="Times New Roman" w:hAnsi="Times New Roman" w:cs="Times New Roman"/>
        </w:rPr>
      </w:pPr>
      <w:r w:rsidRPr="00876556">
        <w:rPr>
          <w:rFonts w:ascii="Times New Roman" w:hAnsi="Times New Roman" w:cs="Times New Roman"/>
        </w:rPr>
        <w:t>The distribution</w:t>
      </w:r>
      <w:r>
        <w:rPr>
          <w:rFonts w:ascii="Times New Roman" w:hAnsi="Times New Roman" w:cs="Times New Roman"/>
        </w:rPr>
        <w:t>, particularly in the bank’s assessment area(s), of the bank’s home mortgage, small business, small farm, and consumer loans, if applicable, based on borrower characteristics, including the number and amount of:</w:t>
      </w:r>
      <w:r w:rsidRPr="00876556">
        <w:rPr>
          <w:rFonts w:ascii="Times New Roman" w:hAnsi="Times New Roman" w:cs="Times New Roman"/>
        </w:rPr>
        <w:t xml:space="preserve"> </w:t>
      </w:r>
    </w:p>
    <w:p w14:paraId="2B2FF809" w14:textId="77777777" w:rsidR="00876556" w:rsidRDefault="00876556" w:rsidP="00876556">
      <w:pPr>
        <w:pStyle w:val="ListParagraph"/>
        <w:numPr>
          <w:ilvl w:val="0"/>
          <w:numId w:val="30"/>
        </w:numPr>
        <w:ind w:left="1440"/>
        <w:rPr>
          <w:rFonts w:ascii="Times New Roman" w:hAnsi="Times New Roman" w:cs="Times New Roman"/>
        </w:rPr>
      </w:pPr>
      <w:r>
        <w:rPr>
          <w:rFonts w:ascii="Times New Roman" w:hAnsi="Times New Roman" w:cs="Times New Roman"/>
        </w:rPr>
        <w:t xml:space="preserve">Home mortgage loans </w:t>
      </w:r>
      <w:r w:rsidRPr="00876556">
        <w:rPr>
          <w:rFonts w:ascii="Times New Roman" w:hAnsi="Times New Roman" w:cs="Times New Roman"/>
        </w:rPr>
        <w:t xml:space="preserve">low-, moderate-, middle- and upper-income </w:t>
      </w:r>
      <w:r>
        <w:rPr>
          <w:rFonts w:ascii="Times New Roman" w:hAnsi="Times New Roman" w:cs="Times New Roman"/>
        </w:rPr>
        <w:t>individuals</w:t>
      </w:r>
    </w:p>
    <w:p w14:paraId="6A4B2DA9" w14:textId="77777777" w:rsidR="00876556" w:rsidRDefault="00876556" w:rsidP="00876556">
      <w:pPr>
        <w:pStyle w:val="ListParagraph"/>
        <w:numPr>
          <w:ilvl w:val="0"/>
          <w:numId w:val="30"/>
        </w:numPr>
        <w:ind w:left="1440"/>
        <w:rPr>
          <w:rFonts w:ascii="Times New Roman" w:hAnsi="Times New Roman" w:cs="Times New Roman"/>
        </w:rPr>
      </w:pPr>
      <w:r>
        <w:rPr>
          <w:rFonts w:ascii="Times New Roman" w:hAnsi="Times New Roman" w:cs="Times New Roman"/>
        </w:rPr>
        <w:t>Small business and small farm loans to businesses and farms with gross annual revenues of $1 million or less;</w:t>
      </w:r>
    </w:p>
    <w:p w14:paraId="6123A34E" w14:textId="77777777" w:rsidR="00876556" w:rsidRDefault="00876556" w:rsidP="00876556">
      <w:pPr>
        <w:pStyle w:val="ListParagraph"/>
        <w:numPr>
          <w:ilvl w:val="0"/>
          <w:numId w:val="30"/>
        </w:numPr>
        <w:ind w:left="1440"/>
        <w:rPr>
          <w:rFonts w:ascii="Times New Roman" w:hAnsi="Times New Roman" w:cs="Times New Roman"/>
        </w:rPr>
      </w:pPr>
      <w:r>
        <w:rPr>
          <w:rFonts w:ascii="Times New Roman" w:hAnsi="Times New Roman" w:cs="Times New Roman"/>
        </w:rPr>
        <w:t>Small business and small farm loans by loan amount at origination; and</w:t>
      </w:r>
    </w:p>
    <w:p w14:paraId="2F3CCB4B" w14:textId="77777777" w:rsidR="00876556" w:rsidRPr="00876556" w:rsidRDefault="00876556" w:rsidP="00876556">
      <w:pPr>
        <w:pStyle w:val="ListParagraph"/>
        <w:numPr>
          <w:ilvl w:val="0"/>
          <w:numId w:val="30"/>
        </w:numPr>
        <w:ind w:left="1440"/>
        <w:rPr>
          <w:rFonts w:ascii="Times New Roman" w:hAnsi="Times New Roman" w:cs="Times New Roman"/>
        </w:rPr>
      </w:pPr>
      <w:r>
        <w:rPr>
          <w:rFonts w:ascii="Times New Roman" w:hAnsi="Times New Roman" w:cs="Times New Roman"/>
        </w:rPr>
        <w:t xml:space="preserve">Consumer loans, if applicable, to </w:t>
      </w:r>
      <w:r w:rsidRPr="00876556">
        <w:rPr>
          <w:rFonts w:ascii="Times New Roman" w:hAnsi="Times New Roman" w:cs="Times New Roman"/>
        </w:rPr>
        <w:t xml:space="preserve">low-, moderate-, middle- and upper-income </w:t>
      </w:r>
      <w:r>
        <w:rPr>
          <w:rFonts w:ascii="Times New Roman" w:hAnsi="Times New Roman" w:cs="Times New Roman"/>
        </w:rPr>
        <w:t>individuals;</w:t>
      </w:r>
    </w:p>
    <w:p w14:paraId="4A4FBB8F" w14:textId="77777777" w:rsidR="00876556" w:rsidRPr="00876556" w:rsidRDefault="00876556" w:rsidP="00876556">
      <w:pPr>
        <w:pStyle w:val="ListParagraph"/>
        <w:numPr>
          <w:ilvl w:val="0"/>
          <w:numId w:val="29"/>
        </w:numPr>
        <w:tabs>
          <w:tab w:val="left" w:pos="540"/>
        </w:tabs>
        <w:rPr>
          <w:rFonts w:ascii="Times New Roman" w:hAnsi="Times New Roman" w:cs="Times New Roman"/>
        </w:rPr>
      </w:pPr>
      <w:r w:rsidRPr="00876556">
        <w:rPr>
          <w:rFonts w:ascii="Times New Roman" w:hAnsi="Times New Roman" w:cs="Times New Roman"/>
        </w:rPr>
        <w:t xml:space="preserve">The </w:t>
      </w:r>
      <w:r>
        <w:rPr>
          <w:rFonts w:ascii="Times New Roman" w:hAnsi="Times New Roman" w:cs="Times New Roman"/>
        </w:rPr>
        <w:t xml:space="preserve">bank’s </w:t>
      </w:r>
      <w:r w:rsidRPr="00876556">
        <w:rPr>
          <w:rFonts w:ascii="Times New Roman" w:hAnsi="Times New Roman" w:cs="Times New Roman"/>
        </w:rPr>
        <w:t>community development lending</w:t>
      </w:r>
      <w:r>
        <w:rPr>
          <w:rFonts w:ascii="Times New Roman" w:hAnsi="Times New Roman" w:cs="Times New Roman"/>
        </w:rPr>
        <w:t>, including the number and amount of community development loans, and their complexity and innovativeness</w:t>
      </w:r>
      <w:r w:rsidRPr="00876556">
        <w:rPr>
          <w:rFonts w:ascii="Times New Roman" w:hAnsi="Times New Roman" w:cs="Times New Roman"/>
        </w:rPr>
        <w:t xml:space="preserve">; and </w:t>
      </w:r>
    </w:p>
    <w:p w14:paraId="6FDB4971" w14:textId="77777777" w:rsidR="00876556" w:rsidRPr="00876556" w:rsidRDefault="00876556" w:rsidP="00876556">
      <w:pPr>
        <w:pStyle w:val="ListParagraph"/>
        <w:numPr>
          <w:ilvl w:val="0"/>
          <w:numId w:val="29"/>
        </w:numPr>
        <w:tabs>
          <w:tab w:val="left" w:pos="540"/>
        </w:tabs>
        <w:rPr>
          <w:rFonts w:ascii="Times New Roman" w:hAnsi="Times New Roman" w:cs="Times New Roman"/>
        </w:rPr>
      </w:pPr>
      <w:r w:rsidRPr="00876556">
        <w:rPr>
          <w:rFonts w:ascii="Times New Roman" w:hAnsi="Times New Roman" w:cs="Times New Roman"/>
        </w:rPr>
        <w:t xml:space="preserve">The </w:t>
      </w:r>
      <w:r>
        <w:rPr>
          <w:rFonts w:ascii="Times New Roman" w:hAnsi="Times New Roman" w:cs="Times New Roman"/>
        </w:rPr>
        <w:t xml:space="preserve">bank’s </w:t>
      </w:r>
      <w:r w:rsidRPr="00876556">
        <w:rPr>
          <w:rFonts w:ascii="Times New Roman" w:hAnsi="Times New Roman" w:cs="Times New Roman"/>
        </w:rPr>
        <w:t>use of innovative or flexible lending practices</w:t>
      </w:r>
      <w:r w:rsidR="009D79DC">
        <w:rPr>
          <w:rFonts w:ascii="Times New Roman" w:hAnsi="Times New Roman" w:cs="Times New Roman"/>
        </w:rPr>
        <w:t xml:space="preserve"> in a safe and sound manner to address the credit needs of low- and moderate-income individuals or geographies</w:t>
      </w:r>
      <w:r w:rsidRPr="00876556">
        <w:rPr>
          <w:rFonts w:ascii="Times New Roman" w:hAnsi="Times New Roman" w:cs="Times New Roman"/>
        </w:rPr>
        <w:t xml:space="preserve">.  </w:t>
      </w:r>
    </w:p>
    <w:p w14:paraId="4A9D74DA" w14:textId="77777777" w:rsidR="00876556" w:rsidRDefault="00876556" w:rsidP="00876556">
      <w:pPr>
        <w:pStyle w:val="ListParagraph"/>
        <w:ind w:left="360"/>
        <w:rPr>
          <w:rFonts w:ascii="Times New Roman" w:hAnsi="Times New Roman" w:cs="Times New Roman"/>
        </w:rPr>
      </w:pPr>
    </w:p>
    <w:p w14:paraId="1598B254"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sz w:val="24"/>
          <w:szCs w:val="24"/>
          <w:u w:val="single"/>
        </w:rPr>
        <w:t>Investment Test</w:t>
      </w:r>
    </w:p>
    <w:p w14:paraId="1DFDFFE8"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344F3462" w14:textId="77777777" w:rsidR="00464474" w:rsidRDefault="00E50970" w:rsidP="00464474">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The Investment Test evaluates the institution’s record of helping to meet the credit needs of its assessment area(s) through qualified investments that benefit </w:t>
      </w:r>
      <w:r w:rsidR="00464474">
        <w:rPr>
          <w:rFonts w:ascii="Times New Roman" w:eastAsia="Times New Roman" w:hAnsi="Times New Roman" w:cs="Times New Roman"/>
          <w:sz w:val="24"/>
          <w:szCs w:val="24"/>
        </w:rPr>
        <w:t>its</w:t>
      </w:r>
      <w:r w:rsidRPr="00E50970">
        <w:rPr>
          <w:rFonts w:ascii="Times New Roman" w:eastAsia="Times New Roman" w:hAnsi="Times New Roman" w:cs="Times New Roman"/>
          <w:sz w:val="24"/>
          <w:szCs w:val="24"/>
        </w:rPr>
        <w:t xml:space="preserve"> assessment area(s) or a broader statewide or regional area that includes the </w:t>
      </w:r>
      <w:r w:rsidR="00464474">
        <w:rPr>
          <w:rFonts w:ascii="Times New Roman" w:eastAsia="Times New Roman" w:hAnsi="Times New Roman" w:cs="Times New Roman"/>
          <w:sz w:val="24"/>
          <w:szCs w:val="24"/>
        </w:rPr>
        <w:t>bank</w:t>
      </w:r>
      <w:r w:rsidRPr="00E50970">
        <w:rPr>
          <w:rFonts w:ascii="Times New Roman" w:eastAsia="Times New Roman" w:hAnsi="Times New Roman" w:cs="Times New Roman"/>
          <w:sz w:val="24"/>
          <w:szCs w:val="24"/>
        </w:rPr>
        <w:t xml:space="preserve">’s assessment area(s).  Activities considered under the Lending or Service Test may not be considered under the investment test.  The </w:t>
      </w:r>
      <w:r w:rsidR="00464474">
        <w:rPr>
          <w:rFonts w:ascii="Times New Roman" w:eastAsia="Times New Roman" w:hAnsi="Times New Roman" w:cs="Times New Roman"/>
          <w:sz w:val="24"/>
          <w:szCs w:val="24"/>
        </w:rPr>
        <w:t>bank’s</w:t>
      </w:r>
      <w:r w:rsidRPr="00E50970">
        <w:rPr>
          <w:rFonts w:ascii="Times New Roman" w:eastAsia="Times New Roman" w:hAnsi="Times New Roman" w:cs="Times New Roman"/>
          <w:sz w:val="24"/>
          <w:szCs w:val="24"/>
        </w:rPr>
        <w:t xml:space="preserve"> investment performance is evaluated pursu</w:t>
      </w:r>
      <w:r w:rsidR="00464474">
        <w:rPr>
          <w:rFonts w:ascii="Times New Roman" w:eastAsia="Times New Roman" w:hAnsi="Times New Roman" w:cs="Times New Roman"/>
          <w:sz w:val="24"/>
          <w:szCs w:val="24"/>
        </w:rPr>
        <w:t xml:space="preserve">ant to the following criteria: </w:t>
      </w:r>
    </w:p>
    <w:p w14:paraId="5D9969EB" w14:textId="77777777" w:rsidR="00464474" w:rsidRDefault="00E50970" w:rsidP="00464474">
      <w:pPr>
        <w:pStyle w:val="ListParagraph"/>
        <w:numPr>
          <w:ilvl w:val="0"/>
          <w:numId w:val="31"/>
        </w:numPr>
        <w:rPr>
          <w:rFonts w:ascii="Times New Roman" w:hAnsi="Times New Roman" w:cs="Times New Roman"/>
        </w:rPr>
      </w:pPr>
      <w:r w:rsidRPr="00464474">
        <w:rPr>
          <w:rFonts w:ascii="Times New Roman" w:hAnsi="Times New Roman" w:cs="Times New Roman"/>
        </w:rPr>
        <w:t xml:space="preserve">The dollar amount of qualified investments; </w:t>
      </w:r>
    </w:p>
    <w:p w14:paraId="61813FCD" w14:textId="77777777" w:rsidR="00464474" w:rsidRDefault="00E50970" w:rsidP="00464474">
      <w:pPr>
        <w:pStyle w:val="ListParagraph"/>
        <w:numPr>
          <w:ilvl w:val="0"/>
          <w:numId w:val="31"/>
        </w:numPr>
        <w:rPr>
          <w:rFonts w:ascii="Times New Roman" w:hAnsi="Times New Roman" w:cs="Times New Roman"/>
        </w:rPr>
      </w:pPr>
      <w:r w:rsidRPr="00464474">
        <w:rPr>
          <w:rFonts w:ascii="Times New Roman" w:hAnsi="Times New Roman" w:cs="Times New Roman"/>
        </w:rPr>
        <w:t xml:space="preserve">The innovativeness </w:t>
      </w:r>
      <w:r w:rsidR="00464474" w:rsidRPr="00464474">
        <w:rPr>
          <w:rFonts w:ascii="Times New Roman" w:hAnsi="Times New Roman" w:cs="Times New Roman"/>
        </w:rPr>
        <w:t>or</w:t>
      </w:r>
      <w:r w:rsidRPr="00464474">
        <w:rPr>
          <w:rFonts w:ascii="Times New Roman" w:hAnsi="Times New Roman" w:cs="Times New Roman"/>
        </w:rPr>
        <w:t xml:space="preserve"> complexity of qualified investments; </w:t>
      </w:r>
    </w:p>
    <w:p w14:paraId="367976BC" w14:textId="77777777" w:rsidR="00464474" w:rsidRDefault="00E50970" w:rsidP="00464474">
      <w:pPr>
        <w:pStyle w:val="ListParagraph"/>
        <w:numPr>
          <w:ilvl w:val="0"/>
          <w:numId w:val="31"/>
        </w:numPr>
        <w:tabs>
          <w:tab w:val="left" w:pos="540"/>
        </w:tabs>
        <w:rPr>
          <w:rFonts w:ascii="Times New Roman" w:hAnsi="Times New Roman" w:cs="Times New Roman"/>
        </w:rPr>
      </w:pPr>
      <w:r w:rsidRPr="00464474">
        <w:rPr>
          <w:rFonts w:ascii="Times New Roman" w:hAnsi="Times New Roman" w:cs="Times New Roman"/>
        </w:rPr>
        <w:t>The responsiveness of qualified investments to available opportunities</w:t>
      </w:r>
      <w:r w:rsidR="00464474" w:rsidRPr="00464474">
        <w:rPr>
          <w:rFonts w:ascii="Times New Roman" w:hAnsi="Times New Roman" w:cs="Times New Roman"/>
        </w:rPr>
        <w:t xml:space="preserve">; and </w:t>
      </w:r>
    </w:p>
    <w:p w14:paraId="6CCCED46" w14:textId="77777777" w:rsidR="00464474" w:rsidRPr="00464474" w:rsidRDefault="00464474" w:rsidP="00464474">
      <w:pPr>
        <w:pStyle w:val="ListParagraph"/>
        <w:numPr>
          <w:ilvl w:val="0"/>
          <w:numId w:val="31"/>
        </w:numPr>
        <w:tabs>
          <w:tab w:val="left" w:pos="540"/>
        </w:tabs>
        <w:rPr>
          <w:rFonts w:ascii="Times New Roman" w:hAnsi="Times New Roman" w:cs="Times New Roman"/>
        </w:rPr>
      </w:pPr>
      <w:r w:rsidRPr="00464474">
        <w:rPr>
          <w:rFonts w:ascii="Times New Roman" w:hAnsi="Times New Roman" w:cs="Times New Roman"/>
        </w:rPr>
        <w:t xml:space="preserve">The degree to which qualified investments are not routinely provided by private investors.  </w:t>
      </w:r>
    </w:p>
    <w:p w14:paraId="0CB7949D"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79CCFA03" w14:textId="77777777" w:rsidR="00E50970" w:rsidRPr="00E50970" w:rsidRDefault="00E50970" w:rsidP="00E50970">
      <w:pPr>
        <w:spacing w:after="0" w:line="240" w:lineRule="auto"/>
        <w:rPr>
          <w:rFonts w:ascii="Times New Roman" w:eastAsia="Times New Roman" w:hAnsi="Times New Roman" w:cs="Times New Roman"/>
          <w:b/>
          <w:sz w:val="24"/>
          <w:szCs w:val="24"/>
          <w:u w:val="single"/>
        </w:rPr>
      </w:pPr>
      <w:r w:rsidRPr="00E50970">
        <w:rPr>
          <w:rFonts w:ascii="Times New Roman" w:eastAsia="Times New Roman" w:hAnsi="Times New Roman" w:cs="Times New Roman"/>
          <w:b/>
          <w:sz w:val="24"/>
          <w:szCs w:val="24"/>
          <w:u w:val="single"/>
        </w:rPr>
        <w:lastRenderedPageBreak/>
        <w:t>Service Test</w:t>
      </w:r>
    </w:p>
    <w:p w14:paraId="47A04105" w14:textId="77777777" w:rsidR="00E50970" w:rsidRPr="00E50970" w:rsidRDefault="00E50970" w:rsidP="00E50970">
      <w:pPr>
        <w:spacing w:after="0" w:line="240" w:lineRule="auto"/>
        <w:rPr>
          <w:rFonts w:ascii="Times New Roman" w:eastAsia="Times New Roman" w:hAnsi="Times New Roman" w:cs="Times New Roman"/>
          <w:b/>
          <w:sz w:val="24"/>
          <w:szCs w:val="24"/>
          <w:u w:val="single"/>
        </w:rPr>
      </w:pPr>
    </w:p>
    <w:p w14:paraId="69EB4770" w14:textId="77777777" w:rsidR="00E166B0" w:rsidRDefault="00E50970" w:rsidP="00E166B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The Service Test evaluates the </w:t>
      </w:r>
      <w:r w:rsidR="00464474">
        <w:rPr>
          <w:rFonts w:ascii="Times New Roman" w:eastAsia="Times New Roman" w:hAnsi="Times New Roman" w:cs="Times New Roman"/>
          <w:sz w:val="24"/>
          <w:szCs w:val="24"/>
        </w:rPr>
        <w:t>bank’s</w:t>
      </w:r>
      <w:r w:rsidRPr="00E50970">
        <w:rPr>
          <w:rFonts w:ascii="Times New Roman" w:eastAsia="Times New Roman" w:hAnsi="Times New Roman" w:cs="Times New Roman"/>
          <w:sz w:val="24"/>
          <w:szCs w:val="24"/>
        </w:rPr>
        <w:t xml:space="preserve"> record of helping to meet the credit needs of its assessment area(s) by analyzing both the availability and effectiveness of the </w:t>
      </w:r>
      <w:r w:rsidR="00464474">
        <w:rPr>
          <w:rFonts w:ascii="Times New Roman" w:eastAsia="Times New Roman" w:hAnsi="Times New Roman" w:cs="Times New Roman"/>
          <w:sz w:val="24"/>
          <w:szCs w:val="24"/>
        </w:rPr>
        <w:t>bank’s</w:t>
      </w:r>
      <w:r w:rsidRPr="00E50970">
        <w:rPr>
          <w:rFonts w:ascii="Times New Roman" w:eastAsia="Times New Roman" w:hAnsi="Times New Roman" w:cs="Times New Roman"/>
          <w:sz w:val="24"/>
          <w:szCs w:val="24"/>
        </w:rPr>
        <w:t xml:space="preserve"> systems for delivering retail banking services and the extent and innovativeness of its community development services.  </w:t>
      </w:r>
    </w:p>
    <w:p w14:paraId="02207FBD" w14:textId="77777777" w:rsidR="00E166B0" w:rsidRDefault="00E166B0" w:rsidP="00E166B0">
      <w:pPr>
        <w:spacing w:after="0" w:line="240" w:lineRule="auto"/>
        <w:rPr>
          <w:rFonts w:ascii="Times New Roman" w:eastAsia="Times New Roman" w:hAnsi="Times New Roman" w:cs="Times New Roman"/>
          <w:sz w:val="24"/>
          <w:szCs w:val="24"/>
        </w:rPr>
      </w:pPr>
    </w:p>
    <w:p w14:paraId="33D1264A" w14:textId="77777777" w:rsidR="00E166B0" w:rsidRDefault="00E50970" w:rsidP="00E166B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The </w:t>
      </w:r>
      <w:r w:rsidR="00E5054E">
        <w:rPr>
          <w:rFonts w:ascii="Times New Roman" w:eastAsia="Times New Roman" w:hAnsi="Times New Roman" w:cs="Times New Roman"/>
          <w:sz w:val="24"/>
          <w:szCs w:val="24"/>
        </w:rPr>
        <w:t>bank’s</w:t>
      </w:r>
      <w:r w:rsidRPr="00E50970">
        <w:rPr>
          <w:rFonts w:ascii="Times New Roman" w:eastAsia="Times New Roman" w:hAnsi="Times New Roman" w:cs="Times New Roman"/>
          <w:sz w:val="24"/>
          <w:szCs w:val="24"/>
        </w:rPr>
        <w:t xml:space="preserve"> retail banking services are evaluated pursuant to the following criteria: </w:t>
      </w:r>
    </w:p>
    <w:p w14:paraId="79B6BA4D" w14:textId="77777777" w:rsidR="00E166B0" w:rsidRPr="00E166B0" w:rsidRDefault="00E166B0" w:rsidP="00E166B0">
      <w:pPr>
        <w:pStyle w:val="ListParagraph"/>
        <w:numPr>
          <w:ilvl w:val="0"/>
          <w:numId w:val="32"/>
        </w:numPr>
        <w:rPr>
          <w:rFonts w:ascii="Times New Roman" w:hAnsi="Times New Roman" w:cs="Times New Roman"/>
        </w:rPr>
      </w:pPr>
      <w:r w:rsidRPr="00E166B0">
        <w:rPr>
          <w:rFonts w:ascii="Times New Roman" w:hAnsi="Times New Roman" w:cs="Times New Roman"/>
          <w:color w:val="000000"/>
        </w:rPr>
        <w:t>The c</w:t>
      </w:r>
      <w:r>
        <w:rPr>
          <w:rFonts w:ascii="Times New Roman" w:hAnsi="Times New Roman" w:cs="Times New Roman"/>
          <w:color w:val="000000"/>
        </w:rPr>
        <w:t>urrent distribution of the bank’</w:t>
      </w:r>
      <w:r w:rsidRPr="00E166B0">
        <w:rPr>
          <w:rFonts w:ascii="Times New Roman" w:hAnsi="Times New Roman" w:cs="Times New Roman"/>
          <w:color w:val="000000"/>
        </w:rPr>
        <w:t>s branches among low-,</w:t>
      </w:r>
      <w:r>
        <w:rPr>
          <w:rFonts w:ascii="Times New Roman" w:hAnsi="Times New Roman" w:cs="Times New Roman"/>
        </w:rPr>
        <w:t xml:space="preserve"> </w:t>
      </w:r>
      <w:r w:rsidRPr="00E166B0">
        <w:rPr>
          <w:rFonts w:ascii="Times New Roman" w:hAnsi="Times New Roman" w:cs="Times New Roman"/>
          <w:color w:val="000000"/>
        </w:rPr>
        <w:t>moderate-, middle-, and upper-income geographies;</w:t>
      </w:r>
    </w:p>
    <w:p w14:paraId="72160F82" w14:textId="77777777" w:rsidR="00E166B0" w:rsidRPr="00E166B0" w:rsidRDefault="00E166B0" w:rsidP="00E166B0">
      <w:pPr>
        <w:pStyle w:val="ListParagraph"/>
        <w:numPr>
          <w:ilvl w:val="0"/>
          <w:numId w:val="32"/>
        </w:numPr>
        <w:rPr>
          <w:rFonts w:ascii="Times New Roman" w:hAnsi="Times New Roman" w:cs="Times New Roman"/>
        </w:rPr>
      </w:pPr>
      <w:r w:rsidRPr="00E166B0">
        <w:rPr>
          <w:rFonts w:ascii="Times New Roman" w:hAnsi="Times New Roman" w:cs="Times New Roman"/>
          <w:color w:val="000000"/>
        </w:rPr>
        <w:t>In the context of its current distribution of the bank’s branches, the bank’s record of opening and closing branches, particularly branches located in low- or moderate-income geographies or primarily serving low- or moderate-income individuals;</w:t>
      </w:r>
    </w:p>
    <w:p w14:paraId="535DF206" w14:textId="77777777" w:rsidR="00E166B0" w:rsidRPr="00E166B0" w:rsidRDefault="00E166B0" w:rsidP="00E166B0">
      <w:pPr>
        <w:pStyle w:val="ListParagraph"/>
        <w:numPr>
          <w:ilvl w:val="0"/>
          <w:numId w:val="32"/>
        </w:numPr>
        <w:rPr>
          <w:rFonts w:ascii="Times New Roman" w:hAnsi="Times New Roman" w:cs="Times New Roman"/>
        </w:rPr>
      </w:pPr>
      <w:r w:rsidRPr="00E166B0">
        <w:rPr>
          <w:rFonts w:ascii="Times New Roman" w:hAnsi="Times New Roman" w:cs="Times New Roman"/>
          <w:color w:val="000000"/>
        </w:rPr>
        <w:t>The availability and effectiveness of alternative systems for delivering retail banking services (</w:t>
      </w:r>
      <w:r w:rsidRPr="00E166B0">
        <w:rPr>
          <w:rFonts w:ascii="Times New Roman" w:hAnsi="Times New Roman" w:cs="Times New Roman"/>
          <w:i/>
          <w:iCs/>
          <w:color w:val="000000"/>
        </w:rPr>
        <w:t>e.g.,</w:t>
      </w:r>
      <w:r w:rsidRPr="00E166B0">
        <w:rPr>
          <w:rFonts w:ascii="Times New Roman" w:hAnsi="Times New Roman" w:cs="Times New Roman"/>
          <w:color w:val="000000"/>
        </w:rPr>
        <w:t> RSFs, RSFs not owned or operated by or exclusively for the bank, banking by telephone or computer, loan production offices, and bank-at-work or bank-by-mail programs) in low- and moderate-income geographies and to low- and moderate-income individuals; and</w:t>
      </w:r>
    </w:p>
    <w:p w14:paraId="561ABD80" w14:textId="77777777" w:rsidR="00E166B0" w:rsidRPr="00E166B0" w:rsidRDefault="00E166B0" w:rsidP="00E166B0">
      <w:pPr>
        <w:pStyle w:val="ListParagraph"/>
        <w:numPr>
          <w:ilvl w:val="0"/>
          <w:numId w:val="32"/>
        </w:numPr>
        <w:rPr>
          <w:rFonts w:ascii="Times New Roman" w:hAnsi="Times New Roman" w:cs="Times New Roman"/>
        </w:rPr>
      </w:pPr>
      <w:r w:rsidRPr="00E166B0">
        <w:rPr>
          <w:rFonts w:ascii="Times New Roman" w:hAnsi="Times New Roman" w:cs="Times New Roman"/>
          <w:color w:val="000000"/>
        </w:rPr>
        <w:t>The range of services provided in low-, moderate-, middle-, and upper-income geographies and the degree to which the services are tailored to meet the needs of those geographies.</w:t>
      </w:r>
    </w:p>
    <w:p w14:paraId="5AE4B1DD" w14:textId="77777777" w:rsidR="00E166B0" w:rsidRDefault="00E166B0" w:rsidP="00E166B0">
      <w:pPr>
        <w:pStyle w:val="ListParagraph"/>
        <w:rPr>
          <w:rFonts w:ascii="Times New Roman" w:hAnsi="Times New Roman" w:cs="Times New Roman"/>
        </w:rPr>
      </w:pPr>
    </w:p>
    <w:p w14:paraId="12884760" w14:textId="77777777" w:rsidR="00E166B0" w:rsidRDefault="00E166B0" w:rsidP="00E166B0">
      <w:pPr>
        <w:pStyle w:val="ListParagraph"/>
        <w:ind w:left="0"/>
        <w:rPr>
          <w:rFonts w:ascii="Times New Roman" w:hAnsi="Times New Roman" w:cs="Times New Roman"/>
          <w:color w:val="000000"/>
        </w:rPr>
      </w:pPr>
      <w:r w:rsidRPr="00E166B0">
        <w:rPr>
          <w:rFonts w:ascii="Times New Roman" w:hAnsi="Times New Roman" w:cs="Times New Roman"/>
          <w:color w:val="000000"/>
        </w:rPr>
        <w:t xml:space="preserve">The </w:t>
      </w:r>
      <w:r w:rsidR="00E5054E">
        <w:rPr>
          <w:rFonts w:ascii="Times New Roman" w:hAnsi="Times New Roman" w:cs="Times New Roman"/>
          <w:color w:val="000000"/>
        </w:rPr>
        <w:t xml:space="preserve">bank’s </w:t>
      </w:r>
      <w:r w:rsidRPr="00E166B0">
        <w:rPr>
          <w:rFonts w:ascii="Times New Roman" w:hAnsi="Times New Roman" w:cs="Times New Roman"/>
          <w:color w:val="000000"/>
        </w:rPr>
        <w:t xml:space="preserve">community development services </w:t>
      </w:r>
      <w:r w:rsidR="00E5054E">
        <w:rPr>
          <w:rFonts w:ascii="Times New Roman" w:hAnsi="Times New Roman" w:cs="Times New Roman"/>
          <w:color w:val="000000"/>
        </w:rPr>
        <w:t xml:space="preserve">are evaluated </w:t>
      </w:r>
      <w:r w:rsidRPr="00E166B0">
        <w:rPr>
          <w:rFonts w:ascii="Times New Roman" w:hAnsi="Times New Roman" w:cs="Times New Roman"/>
          <w:color w:val="000000"/>
        </w:rPr>
        <w:t>pursuant to the following criteria:</w:t>
      </w:r>
    </w:p>
    <w:p w14:paraId="1126EA6C" w14:textId="77777777" w:rsidR="00E166B0" w:rsidRPr="00E166B0" w:rsidRDefault="00E166B0" w:rsidP="00E166B0">
      <w:pPr>
        <w:pStyle w:val="ListParagraph"/>
        <w:numPr>
          <w:ilvl w:val="0"/>
          <w:numId w:val="33"/>
        </w:numPr>
        <w:rPr>
          <w:rFonts w:ascii="Times New Roman" w:hAnsi="Times New Roman" w:cs="Times New Roman"/>
        </w:rPr>
      </w:pPr>
      <w:r w:rsidRPr="00E166B0">
        <w:rPr>
          <w:rFonts w:ascii="Times New Roman" w:hAnsi="Times New Roman" w:cs="Times New Roman"/>
          <w:color w:val="000000"/>
        </w:rPr>
        <w:t>The extent to which the bank provides community development services; and</w:t>
      </w:r>
    </w:p>
    <w:p w14:paraId="1CFBDBB9" w14:textId="77777777" w:rsidR="00E166B0" w:rsidRPr="00E166B0" w:rsidRDefault="00E166B0" w:rsidP="00E166B0">
      <w:pPr>
        <w:pStyle w:val="ListParagraph"/>
        <w:numPr>
          <w:ilvl w:val="0"/>
          <w:numId w:val="33"/>
        </w:numPr>
        <w:rPr>
          <w:rFonts w:ascii="Times New Roman" w:hAnsi="Times New Roman" w:cs="Times New Roman"/>
        </w:rPr>
      </w:pPr>
      <w:r w:rsidRPr="00E166B0">
        <w:rPr>
          <w:rFonts w:ascii="Times New Roman" w:hAnsi="Times New Roman" w:cs="Times New Roman"/>
          <w:color w:val="000000"/>
        </w:rPr>
        <w:t>The innovativeness and responsiveness of community development services.</w:t>
      </w:r>
    </w:p>
    <w:p w14:paraId="0528FB50" w14:textId="77777777" w:rsidR="00E166B0" w:rsidRDefault="00E166B0">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103DDAE5" w14:textId="77777777" w:rsidR="00E50970" w:rsidRPr="00E50970" w:rsidRDefault="00E50970" w:rsidP="00E5097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sz w:val="28"/>
          <w:szCs w:val="20"/>
        </w:rPr>
      </w:pPr>
      <w:bookmarkStart w:id="23" w:name="_Toc70419334"/>
      <w:r w:rsidRPr="00E50970">
        <w:rPr>
          <w:rFonts w:ascii="Times New Roman" w:eastAsia="Times New Roman" w:hAnsi="Times New Roman" w:cs="Times New Roman"/>
          <w:b/>
          <w:bCs/>
          <w:sz w:val="28"/>
          <w:szCs w:val="20"/>
        </w:rPr>
        <w:lastRenderedPageBreak/>
        <w:t>SCOPE OF EVALUATION</w:t>
      </w:r>
      <w:bookmarkEnd w:id="23"/>
    </w:p>
    <w:p w14:paraId="30034AD3" w14:textId="77777777" w:rsidR="00E50970" w:rsidRPr="00E50970" w:rsidRDefault="00E50970" w:rsidP="00E50970">
      <w:pPr>
        <w:keepLines/>
        <w:spacing w:after="0" w:line="240" w:lineRule="auto"/>
        <w:ind w:left="-144" w:right="-144"/>
        <w:rPr>
          <w:rFonts w:ascii="Times New Roman" w:eastAsia="Times New Roman" w:hAnsi="Times New Roman" w:cs="Times New Roman"/>
          <w:sz w:val="28"/>
          <w:szCs w:val="28"/>
        </w:rPr>
      </w:pPr>
    </w:p>
    <w:tbl>
      <w:tblPr>
        <w:tblW w:w="0" w:type="auto"/>
        <w:jc w:val="center"/>
        <w:tblLayout w:type="fixed"/>
        <w:tblCellMar>
          <w:left w:w="141" w:type="dxa"/>
          <w:right w:w="141" w:type="dxa"/>
        </w:tblCellMar>
        <w:tblLook w:val="04A0" w:firstRow="1" w:lastRow="0" w:firstColumn="1" w:lastColumn="0" w:noHBand="0" w:noVBand="1"/>
      </w:tblPr>
      <w:tblGrid>
        <w:gridCol w:w="2430"/>
        <w:gridCol w:w="1845"/>
        <w:gridCol w:w="2115"/>
      </w:tblGrid>
      <w:tr w:rsidR="00EE1456" w:rsidRPr="004678CD" w14:paraId="6848FCB9" w14:textId="77777777" w:rsidTr="003A6FA8">
        <w:trPr>
          <w:trHeight w:val="393"/>
          <w:jc w:val="center"/>
        </w:trPr>
        <w:tc>
          <w:tcPr>
            <w:tcW w:w="6390" w:type="dxa"/>
            <w:gridSpan w:val="3"/>
            <w:tcBorders>
              <w:top w:val="single" w:sz="12" w:space="0" w:color="000000"/>
              <w:left w:val="single" w:sz="12" w:space="0" w:color="000000"/>
              <w:bottom w:val="single" w:sz="8" w:space="0" w:color="000000"/>
              <w:right w:val="single" w:sz="12" w:space="0" w:color="000000"/>
            </w:tcBorders>
            <w:shd w:val="clear" w:color="auto" w:fill="auto"/>
            <w:vAlign w:val="center"/>
          </w:tcPr>
          <w:p w14:paraId="095A4D02" w14:textId="77777777" w:rsidR="00EE1456" w:rsidRPr="004678CD" w:rsidRDefault="00EE1456" w:rsidP="003A6FA8">
            <w:pPr>
              <w:spacing w:line="240" w:lineRule="auto"/>
              <w:jc w:val="center"/>
              <w:rPr>
                <w:rFonts w:ascii="Times New Roman" w:hAnsi="Times New Roman" w:cs="Times New Roman"/>
                <w:sz w:val="16"/>
              </w:rPr>
            </w:pPr>
            <w:r w:rsidRPr="004678CD">
              <w:rPr>
                <w:rFonts w:ascii="Times New Roman" w:hAnsi="Times New Roman" w:cs="Times New Roman"/>
                <w:b/>
                <w:sz w:val="16"/>
              </w:rPr>
              <w:t>SCOPE OF EVALUATION</w:t>
            </w:r>
          </w:p>
        </w:tc>
      </w:tr>
      <w:tr w:rsidR="00EE1456" w:rsidRPr="004678CD" w14:paraId="600B22BF" w14:textId="77777777" w:rsidTr="003A6FA8">
        <w:trPr>
          <w:trHeight w:val="511"/>
          <w:jc w:val="center"/>
        </w:trPr>
        <w:tc>
          <w:tcPr>
            <w:tcW w:w="2430" w:type="dxa"/>
            <w:tcBorders>
              <w:top w:val="single" w:sz="8" w:space="0" w:color="000000"/>
              <w:left w:val="single" w:sz="12" w:space="0" w:color="000000"/>
              <w:bottom w:val="single" w:sz="8" w:space="0" w:color="000000"/>
              <w:right w:val="single" w:sz="6" w:space="0" w:color="FFFFFF"/>
            </w:tcBorders>
            <w:shd w:val="clear" w:color="auto" w:fill="auto"/>
          </w:tcPr>
          <w:p w14:paraId="53142B7C" w14:textId="77777777" w:rsidR="00EE1456" w:rsidRPr="004678CD" w:rsidRDefault="00EE1456" w:rsidP="003A6FA8">
            <w:pPr>
              <w:spacing w:line="240" w:lineRule="auto"/>
              <w:rPr>
                <w:rFonts w:ascii="Times New Roman" w:hAnsi="Times New Roman" w:cs="Times New Roman"/>
                <w:sz w:val="16"/>
              </w:rPr>
            </w:pPr>
          </w:p>
          <w:p w14:paraId="47D50B90" w14:textId="77777777" w:rsidR="00EE1456" w:rsidRPr="004678CD" w:rsidRDefault="00EE1456" w:rsidP="003A6FA8">
            <w:pPr>
              <w:spacing w:line="240" w:lineRule="auto"/>
              <w:rPr>
                <w:rFonts w:ascii="Times New Roman" w:hAnsi="Times New Roman" w:cs="Times New Roman"/>
                <w:sz w:val="16"/>
              </w:rPr>
            </w:pPr>
            <w:r w:rsidRPr="004678CD">
              <w:rPr>
                <w:rFonts w:ascii="Times New Roman" w:hAnsi="Times New Roman" w:cs="Times New Roman"/>
                <w:b/>
                <w:sz w:val="16"/>
              </w:rPr>
              <w:t>TIME PERIOD REVIEWED</w:t>
            </w:r>
          </w:p>
        </w:tc>
        <w:tc>
          <w:tcPr>
            <w:tcW w:w="3960" w:type="dxa"/>
            <w:gridSpan w:val="2"/>
            <w:tcBorders>
              <w:top w:val="single" w:sz="8" w:space="0" w:color="000000"/>
              <w:left w:val="single" w:sz="6" w:space="0" w:color="000000"/>
              <w:bottom w:val="single" w:sz="8" w:space="0" w:color="000000"/>
              <w:right w:val="single" w:sz="12" w:space="0" w:color="000000"/>
            </w:tcBorders>
            <w:shd w:val="clear" w:color="auto" w:fill="auto"/>
          </w:tcPr>
          <w:p w14:paraId="53297325" w14:textId="77777777" w:rsidR="00EE1456" w:rsidRDefault="00EE1456" w:rsidP="003A6FA8">
            <w:pPr>
              <w:spacing w:line="240" w:lineRule="auto"/>
              <w:jc w:val="center"/>
              <w:rPr>
                <w:rFonts w:ascii="Times New Roman" w:eastAsia="Times New Roman" w:hAnsi="Times New Roman" w:cs="Times New Roman"/>
                <w:bCs/>
                <w:iCs/>
                <w:sz w:val="16"/>
                <w:szCs w:val="16"/>
              </w:rPr>
            </w:pPr>
          </w:p>
          <w:p w14:paraId="7833387E" w14:textId="77777777" w:rsidR="00EE1456" w:rsidRPr="003F7781" w:rsidRDefault="00EE1456" w:rsidP="003A6FA8">
            <w:pPr>
              <w:spacing w:line="240" w:lineRule="auto"/>
              <w:rPr>
                <w:rFonts w:ascii="Times New Roman" w:hAnsi="Times New Roman" w:cs="Times New Roman"/>
                <w:sz w:val="16"/>
                <w:szCs w:val="16"/>
              </w:rPr>
            </w:pPr>
            <w:r w:rsidRPr="003F7781">
              <w:rPr>
                <w:rFonts w:ascii="Times New Roman" w:eastAsia="Times New Roman" w:hAnsi="Times New Roman" w:cs="Times New Roman"/>
                <w:bCs/>
                <w:iCs/>
                <w:sz w:val="16"/>
                <w:szCs w:val="16"/>
              </w:rPr>
              <w:t>December 18, 2017</w:t>
            </w:r>
            <w:r>
              <w:rPr>
                <w:rFonts w:ascii="Times New Roman" w:eastAsia="Times New Roman" w:hAnsi="Times New Roman" w:cs="Times New Roman"/>
                <w:bCs/>
                <w:iCs/>
                <w:sz w:val="16"/>
                <w:szCs w:val="16"/>
              </w:rPr>
              <w:t xml:space="preserve"> through</w:t>
            </w:r>
            <w:r w:rsidRPr="003F7781">
              <w:rPr>
                <w:rFonts w:ascii="Times New Roman" w:eastAsia="Times New Roman" w:hAnsi="Times New Roman" w:cs="Times New Roman"/>
                <w:bCs/>
                <w:iCs/>
                <w:sz w:val="16"/>
                <w:szCs w:val="16"/>
              </w:rPr>
              <w:t xml:space="preserve"> January 26, 2021</w:t>
            </w:r>
          </w:p>
        </w:tc>
      </w:tr>
      <w:tr w:rsidR="00EE1456" w:rsidRPr="004678CD" w14:paraId="430C0BF9" w14:textId="77777777" w:rsidTr="003A6FA8">
        <w:trPr>
          <w:trHeight w:val="592"/>
          <w:jc w:val="center"/>
        </w:trPr>
        <w:tc>
          <w:tcPr>
            <w:tcW w:w="2430" w:type="dxa"/>
            <w:tcBorders>
              <w:top w:val="single" w:sz="8" w:space="0" w:color="000000"/>
              <w:left w:val="single" w:sz="12" w:space="0" w:color="000000"/>
              <w:bottom w:val="single" w:sz="8" w:space="0" w:color="000000"/>
              <w:right w:val="single" w:sz="8" w:space="0" w:color="000000"/>
            </w:tcBorders>
            <w:shd w:val="clear" w:color="auto" w:fill="auto"/>
          </w:tcPr>
          <w:p w14:paraId="2640E5A9" w14:textId="77777777" w:rsidR="00EE1456" w:rsidRPr="004678CD" w:rsidRDefault="00EE1456" w:rsidP="003A6FA8">
            <w:pPr>
              <w:spacing w:line="240" w:lineRule="auto"/>
              <w:rPr>
                <w:rFonts w:ascii="Times New Roman" w:hAnsi="Times New Roman" w:cs="Times New Roman"/>
                <w:b/>
                <w:sz w:val="16"/>
              </w:rPr>
            </w:pPr>
          </w:p>
          <w:p w14:paraId="22B749EE" w14:textId="77777777" w:rsidR="00EE1456" w:rsidRPr="004678CD" w:rsidRDefault="00EE1456" w:rsidP="003A6FA8">
            <w:pPr>
              <w:spacing w:line="240" w:lineRule="auto"/>
              <w:rPr>
                <w:rFonts w:ascii="Times New Roman" w:hAnsi="Times New Roman" w:cs="Times New Roman"/>
                <w:b/>
                <w:sz w:val="16"/>
              </w:rPr>
            </w:pPr>
            <w:r w:rsidRPr="004678CD">
              <w:rPr>
                <w:rFonts w:ascii="Times New Roman" w:hAnsi="Times New Roman" w:cs="Times New Roman"/>
                <w:b/>
                <w:sz w:val="16"/>
              </w:rPr>
              <w:t xml:space="preserve">FINANCIAL INSTITUTION </w:t>
            </w:r>
          </w:p>
        </w:tc>
        <w:tc>
          <w:tcPr>
            <w:tcW w:w="3960" w:type="dxa"/>
            <w:gridSpan w:val="2"/>
            <w:tcBorders>
              <w:top w:val="single" w:sz="8" w:space="0" w:color="000000"/>
              <w:left w:val="single" w:sz="8" w:space="0" w:color="000000"/>
              <w:bottom w:val="single" w:sz="8" w:space="0" w:color="000000"/>
              <w:right w:val="single" w:sz="12" w:space="0" w:color="000000"/>
            </w:tcBorders>
            <w:shd w:val="clear" w:color="auto" w:fill="auto"/>
          </w:tcPr>
          <w:p w14:paraId="6C9BF883" w14:textId="77777777" w:rsidR="00EE1456" w:rsidRPr="004678CD" w:rsidRDefault="00EE1456" w:rsidP="003A6FA8">
            <w:pPr>
              <w:spacing w:line="240" w:lineRule="auto"/>
              <w:rPr>
                <w:rFonts w:ascii="Times New Roman" w:hAnsi="Times New Roman" w:cs="Times New Roman"/>
                <w:b/>
                <w:sz w:val="16"/>
              </w:rPr>
            </w:pPr>
          </w:p>
          <w:p w14:paraId="3699BD9D"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PRODUCTS REVIEWED</w:t>
            </w:r>
          </w:p>
        </w:tc>
      </w:tr>
      <w:tr w:rsidR="00EE1456" w:rsidRPr="004678CD" w14:paraId="1AB90CE8" w14:textId="77777777" w:rsidTr="003A6FA8">
        <w:trPr>
          <w:trHeight w:val="484"/>
          <w:jc w:val="center"/>
        </w:trPr>
        <w:tc>
          <w:tcPr>
            <w:tcW w:w="2430" w:type="dxa"/>
            <w:tcBorders>
              <w:top w:val="single" w:sz="8" w:space="0" w:color="000000"/>
              <w:left w:val="single" w:sz="12" w:space="0" w:color="000000"/>
              <w:bottom w:val="single" w:sz="8" w:space="0" w:color="000000"/>
              <w:right w:val="single" w:sz="8" w:space="0" w:color="000000"/>
            </w:tcBorders>
            <w:shd w:val="clear" w:color="auto" w:fill="auto"/>
          </w:tcPr>
          <w:p w14:paraId="4034246D" w14:textId="77777777" w:rsidR="00EE1456" w:rsidRPr="004678CD" w:rsidRDefault="00EE1456" w:rsidP="003A6FA8">
            <w:pPr>
              <w:spacing w:line="240" w:lineRule="auto"/>
              <w:rPr>
                <w:rFonts w:ascii="Times New Roman" w:hAnsi="Times New Roman" w:cs="Times New Roman"/>
                <w:sz w:val="16"/>
              </w:rPr>
            </w:pPr>
            <w:r>
              <w:rPr>
                <w:rFonts w:ascii="Times New Roman" w:hAnsi="Times New Roman" w:cs="Times New Roman"/>
                <w:sz w:val="16"/>
              </w:rPr>
              <w:t>HarborOne Bank</w:t>
            </w:r>
          </w:p>
        </w:tc>
        <w:tc>
          <w:tcPr>
            <w:tcW w:w="1845" w:type="dxa"/>
            <w:tcBorders>
              <w:top w:val="single" w:sz="8" w:space="0" w:color="000000"/>
              <w:left w:val="single" w:sz="8" w:space="0" w:color="000000"/>
              <w:bottom w:val="single" w:sz="8" w:space="0" w:color="000000"/>
              <w:right w:val="single" w:sz="8" w:space="0" w:color="000000"/>
            </w:tcBorders>
            <w:shd w:val="clear" w:color="auto" w:fill="auto"/>
          </w:tcPr>
          <w:p w14:paraId="2B6642B0" w14:textId="77777777" w:rsidR="00EE1456" w:rsidRPr="004678CD" w:rsidRDefault="00EE1456" w:rsidP="003A6FA8">
            <w:pPr>
              <w:spacing w:line="240" w:lineRule="auto"/>
              <w:rPr>
                <w:rFonts w:ascii="Times New Roman" w:hAnsi="Times New Roman" w:cs="Times New Roman"/>
                <w:sz w:val="16"/>
              </w:rPr>
            </w:pPr>
            <w:r w:rsidRPr="004678CD">
              <w:rPr>
                <w:rFonts w:ascii="Times New Roman" w:hAnsi="Times New Roman" w:cs="Times New Roman"/>
                <w:sz w:val="16"/>
              </w:rPr>
              <w:t>Home Mortgage Loans</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0D1932A8" w14:textId="77777777" w:rsidR="00EE1456" w:rsidRPr="004678CD" w:rsidRDefault="00EE1456" w:rsidP="003A6FA8">
            <w:pPr>
              <w:spacing w:line="240" w:lineRule="auto"/>
              <w:rPr>
                <w:rFonts w:ascii="Times New Roman" w:hAnsi="Times New Roman" w:cs="Times New Roman"/>
                <w:sz w:val="16"/>
              </w:rPr>
            </w:pPr>
            <w:r w:rsidRPr="004678CD">
              <w:rPr>
                <w:rFonts w:ascii="Times New Roman" w:hAnsi="Times New Roman" w:cs="Times New Roman"/>
                <w:sz w:val="16"/>
              </w:rPr>
              <w:t>Small Business Loans</w:t>
            </w:r>
          </w:p>
        </w:tc>
      </w:tr>
      <w:tr w:rsidR="00EE1456" w:rsidRPr="004678CD" w14:paraId="1090B409" w14:textId="77777777" w:rsidTr="003A6FA8">
        <w:trPr>
          <w:trHeight w:val="610"/>
          <w:jc w:val="center"/>
        </w:trPr>
        <w:tc>
          <w:tcPr>
            <w:tcW w:w="2430" w:type="dxa"/>
            <w:tcBorders>
              <w:top w:val="single" w:sz="8" w:space="0" w:color="000000"/>
              <w:left w:val="single" w:sz="12" w:space="0" w:color="000000"/>
              <w:bottom w:val="single" w:sz="8" w:space="0" w:color="000000"/>
              <w:right w:val="single" w:sz="8" w:space="0" w:color="000000"/>
            </w:tcBorders>
            <w:shd w:val="clear" w:color="auto" w:fill="auto"/>
          </w:tcPr>
          <w:p w14:paraId="4830EAC3" w14:textId="77777777" w:rsidR="00EE1456" w:rsidRPr="004678CD" w:rsidRDefault="00EE1456" w:rsidP="003A6FA8">
            <w:pPr>
              <w:spacing w:line="240" w:lineRule="auto"/>
              <w:rPr>
                <w:rFonts w:ascii="Times New Roman" w:hAnsi="Times New Roman" w:cs="Times New Roman"/>
                <w:b/>
                <w:sz w:val="16"/>
              </w:rPr>
            </w:pPr>
          </w:p>
          <w:p w14:paraId="17AB0373" w14:textId="77777777" w:rsidR="00EE1456" w:rsidRPr="004678CD" w:rsidRDefault="00EE1456" w:rsidP="003A6FA8">
            <w:pPr>
              <w:spacing w:line="240" w:lineRule="auto"/>
              <w:rPr>
                <w:rFonts w:ascii="Times New Roman" w:hAnsi="Times New Roman" w:cs="Times New Roman"/>
                <w:b/>
                <w:sz w:val="16"/>
              </w:rPr>
            </w:pPr>
            <w:r w:rsidRPr="004678CD">
              <w:rPr>
                <w:rFonts w:ascii="Times New Roman" w:hAnsi="Times New Roman" w:cs="Times New Roman"/>
                <w:b/>
                <w:sz w:val="16"/>
              </w:rPr>
              <w:t>AFFILIATE(S)</w:t>
            </w:r>
          </w:p>
        </w:tc>
        <w:tc>
          <w:tcPr>
            <w:tcW w:w="1845" w:type="dxa"/>
            <w:tcBorders>
              <w:top w:val="single" w:sz="8" w:space="0" w:color="000000"/>
              <w:left w:val="single" w:sz="8" w:space="0" w:color="000000"/>
              <w:bottom w:val="single" w:sz="8" w:space="0" w:color="000000"/>
              <w:right w:val="single" w:sz="8" w:space="0" w:color="000000"/>
            </w:tcBorders>
            <w:shd w:val="clear" w:color="auto" w:fill="auto"/>
          </w:tcPr>
          <w:p w14:paraId="16B006A1" w14:textId="77777777" w:rsidR="00EE1456" w:rsidRPr="004678CD" w:rsidRDefault="00EE1456" w:rsidP="003A6FA8">
            <w:pPr>
              <w:spacing w:line="240" w:lineRule="auto"/>
              <w:rPr>
                <w:rFonts w:ascii="Times New Roman" w:hAnsi="Times New Roman" w:cs="Times New Roman"/>
                <w:b/>
                <w:sz w:val="16"/>
              </w:rPr>
            </w:pPr>
            <w:r w:rsidRPr="004678CD">
              <w:rPr>
                <w:rFonts w:ascii="Times New Roman" w:hAnsi="Times New Roman" w:cs="Times New Roman"/>
                <w:b/>
                <w:sz w:val="16"/>
              </w:rPr>
              <w:t>AFFILIATE RELATIONSHIP</w:t>
            </w:r>
          </w:p>
        </w:tc>
        <w:tc>
          <w:tcPr>
            <w:tcW w:w="2115" w:type="dxa"/>
            <w:tcBorders>
              <w:top w:val="single" w:sz="8" w:space="0" w:color="000000"/>
              <w:left w:val="single" w:sz="8" w:space="0" w:color="000000"/>
              <w:bottom w:val="single" w:sz="8" w:space="0" w:color="000000"/>
              <w:right w:val="single" w:sz="12" w:space="0" w:color="000000"/>
            </w:tcBorders>
            <w:shd w:val="clear" w:color="auto" w:fill="auto"/>
          </w:tcPr>
          <w:p w14:paraId="79FB1CA3" w14:textId="77777777" w:rsidR="00EE1456" w:rsidRPr="004678CD" w:rsidRDefault="00EE1456" w:rsidP="003A6FA8">
            <w:pPr>
              <w:spacing w:line="240" w:lineRule="auto"/>
              <w:jc w:val="center"/>
              <w:rPr>
                <w:rFonts w:ascii="Times New Roman" w:hAnsi="Times New Roman" w:cs="Times New Roman"/>
                <w:b/>
                <w:sz w:val="16"/>
              </w:rPr>
            </w:pPr>
          </w:p>
          <w:p w14:paraId="3186845D"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PRODUCTS REVIEWED</w:t>
            </w:r>
          </w:p>
        </w:tc>
      </w:tr>
      <w:tr w:rsidR="00EE1456" w:rsidRPr="004678CD" w14:paraId="165ECF18" w14:textId="77777777" w:rsidTr="003A6FA8">
        <w:trPr>
          <w:trHeight w:val="358"/>
          <w:jc w:val="center"/>
        </w:trPr>
        <w:tc>
          <w:tcPr>
            <w:tcW w:w="2430" w:type="dxa"/>
            <w:tcBorders>
              <w:top w:val="single" w:sz="8" w:space="0" w:color="000000"/>
              <w:left w:val="single" w:sz="12" w:space="0" w:color="000000"/>
              <w:bottom w:val="single" w:sz="8" w:space="0" w:color="000000"/>
              <w:right w:val="single" w:sz="8" w:space="0" w:color="000000"/>
            </w:tcBorders>
            <w:shd w:val="clear" w:color="auto" w:fill="auto"/>
          </w:tcPr>
          <w:p w14:paraId="1A57855A" w14:textId="77777777" w:rsidR="00EE1456" w:rsidRPr="004678CD" w:rsidRDefault="00EE1456" w:rsidP="003A6FA8">
            <w:pPr>
              <w:tabs>
                <w:tab w:val="right" w:pos="2598"/>
              </w:tabs>
              <w:spacing w:line="240" w:lineRule="auto"/>
              <w:rPr>
                <w:rFonts w:ascii="Times New Roman" w:hAnsi="Times New Roman" w:cs="Times New Roman"/>
                <w:sz w:val="16"/>
              </w:rPr>
            </w:pPr>
            <w:r>
              <w:rPr>
                <w:rFonts w:ascii="Times New Roman" w:hAnsi="Times New Roman" w:cs="Times New Roman"/>
                <w:sz w:val="16"/>
              </w:rPr>
              <w:t>HarborOne Mortgage, LLC.</w:t>
            </w:r>
          </w:p>
        </w:tc>
        <w:tc>
          <w:tcPr>
            <w:tcW w:w="1845" w:type="dxa"/>
            <w:tcBorders>
              <w:top w:val="single" w:sz="8" w:space="0" w:color="000000"/>
              <w:left w:val="single" w:sz="8" w:space="0" w:color="000000"/>
              <w:bottom w:val="single" w:sz="8" w:space="0" w:color="000000"/>
              <w:right w:val="single" w:sz="8" w:space="0" w:color="000000"/>
            </w:tcBorders>
            <w:shd w:val="clear" w:color="auto" w:fill="auto"/>
          </w:tcPr>
          <w:p w14:paraId="2AA39D7F" w14:textId="77777777" w:rsidR="00EE1456" w:rsidRPr="004678CD" w:rsidRDefault="00EE1456" w:rsidP="003A6FA8">
            <w:pPr>
              <w:spacing w:line="240" w:lineRule="auto"/>
              <w:rPr>
                <w:rFonts w:ascii="Times New Roman" w:hAnsi="Times New Roman" w:cs="Times New Roman"/>
                <w:sz w:val="16"/>
              </w:rPr>
            </w:pPr>
            <w:r>
              <w:rPr>
                <w:rFonts w:ascii="Times New Roman" w:hAnsi="Times New Roman" w:cs="Times New Roman"/>
                <w:sz w:val="16"/>
              </w:rPr>
              <w:t>Wholly-owned subsidiary</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61DDD5C5" w14:textId="77777777" w:rsidR="00EE1456" w:rsidRPr="004678CD" w:rsidRDefault="00EE1456" w:rsidP="003A6FA8">
            <w:pPr>
              <w:spacing w:line="240" w:lineRule="auto"/>
              <w:rPr>
                <w:rFonts w:ascii="Times New Roman" w:hAnsi="Times New Roman" w:cs="Times New Roman"/>
                <w:sz w:val="16"/>
              </w:rPr>
            </w:pPr>
            <w:r>
              <w:rPr>
                <w:rFonts w:ascii="Times New Roman" w:hAnsi="Times New Roman" w:cs="Times New Roman"/>
                <w:sz w:val="16"/>
              </w:rPr>
              <w:t>Home Mortgage Loans</w:t>
            </w:r>
          </w:p>
        </w:tc>
      </w:tr>
    </w:tbl>
    <w:p w14:paraId="4E3B8E1B" w14:textId="77777777" w:rsidR="00DB75C4" w:rsidRDefault="00DB75C4">
      <w:pPr>
        <w:rPr>
          <w:rFonts w:ascii="Times New Roman" w:eastAsia="Times New Roman" w:hAnsi="Times New Roman" w:cs="Times New Roman"/>
          <w:sz w:val="24"/>
          <w:szCs w:val="24"/>
        </w:rPr>
      </w:pPr>
    </w:p>
    <w:tbl>
      <w:tblPr>
        <w:tblW w:w="0" w:type="auto"/>
        <w:jc w:val="center"/>
        <w:tblLayout w:type="fixed"/>
        <w:tblCellMar>
          <w:left w:w="141" w:type="dxa"/>
          <w:right w:w="141" w:type="dxa"/>
        </w:tblCellMar>
        <w:tblLook w:val="04A0" w:firstRow="1" w:lastRow="0" w:firstColumn="1" w:lastColumn="0" w:noHBand="0" w:noVBand="1"/>
      </w:tblPr>
      <w:tblGrid>
        <w:gridCol w:w="2876"/>
        <w:gridCol w:w="1582"/>
        <w:gridCol w:w="1438"/>
        <w:gridCol w:w="1656"/>
      </w:tblGrid>
      <w:tr w:rsidR="00EE1456" w:rsidRPr="004678CD" w14:paraId="487DA560" w14:textId="77777777" w:rsidTr="003A6FA8">
        <w:trPr>
          <w:trHeight w:val="309"/>
          <w:jc w:val="center"/>
        </w:trPr>
        <w:tc>
          <w:tcPr>
            <w:tcW w:w="7552" w:type="dxa"/>
            <w:gridSpan w:val="4"/>
            <w:tcBorders>
              <w:top w:val="single" w:sz="12" w:space="0" w:color="000000"/>
              <w:left w:val="single" w:sz="12" w:space="0" w:color="000000"/>
              <w:bottom w:val="single" w:sz="8" w:space="0" w:color="000000"/>
              <w:right w:val="single" w:sz="12" w:space="0" w:color="000000"/>
            </w:tcBorders>
            <w:vAlign w:val="center"/>
          </w:tcPr>
          <w:p w14:paraId="5DC77919" w14:textId="77777777" w:rsidR="00EE1456" w:rsidRPr="004678CD" w:rsidRDefault="00E50970" w:rsidP="003A6FA8">
            <w:pPr>
              <w:spacing w:line="240" w:lineRule="auto"/>
              <w:jc w:val="center"/>
              <w:rPr>
                <w:rFonts w:ascii="Times New Roman" w:hAnsi="Times New Roman" w:cs="Times New Roman"/>
                <w:b/>
                <w:sz w:val="16"/>
              </w:rPr>
            </w:pPr>
            <w:r>
              <w:rPr>
                <w:rFonts w:ascii="Times New Roman" w:eastAsia="Times New Roman" w:hAnsi="Times New Roman" w:cs="Times New Roman"/>
                <w:color w:val="000000"/>
                <w:sz w:val="24"/>
                <w:szCs w:val="24"/>
              </w:rPr>
              <w:br w:type="page"/>
            </w:r>
            <w:r w:rsidR="00EE1456" w:rsidRPr="004678CD">
              <w:rPr>
                <w:rFonts w:ascii="Times New Roman" w:hAnsi="Times New Roman" w:cs="Times New Roman"/>
                <w:b/>
                <w:sz w:val="16"/>
              </w:rPr>
              <w:t>LIST OF ASSESSMENT AREAS AND TYPE OF EVALUATION</w:t>
            </w:r>
          </w:p>
        </w:tc>
      </w:tr>
      <w:tr w:rsidR="00EE1456" w:rsidRPr="004678CD" w14:paraId="0B6094A4" w14:textId="77777777" w:rsidTr="003A6FA8">
        <w:trPr>
          <w:trHeight w:val="364"/>
          <w:jc w:val="center"/>
        </w:trPr>
        <w:tc>
          <w:tcPr>
            <w:tcW w:w="2876" w:type="dxa"/>
            <w:tcBorders>
              <w:top w:val="single" w:sz="8" w:space="0" w:color="000000"/>
              <w:left w:val="single" w:sz="12" w:space="0" w:color="000000"/>
              <w:bottom w:val="single" w:sz="8" w:space="0" w:color="000000"/>
              <w:right w:val="single" w:sz="6" w:space="0" w:color="FFFFFF"/>
            </w:tcBorders>
            <w:vAlign w:val="center"/>
          </w:tcPr>
          <w:p w14:paraId="173E1FEE" w14:textId="77777777" w:rsidR="00EE1456" w:rsidRPr="004678CD" w:rsidRDefault="00EE1456" w:rsidP="003A6FA8">
            <w:pPr>
              <w:spacing w:line="240" w:lineRule="auto"/>
              <w:rPr>
                <w:rFonts w:ascii="Times New Roman" w:hAnsi="Times New Roman" w:cs="Times New Roman"/>
                <w:b/>
                <w:sz w:val="16"/>
              </w:rPr>
            </w:pPr>
            <w:r w:rsidRPr="004678CD">
              <w:rPr>
                <w:rFonts w:ascii="Times New Roman" w:hAnsi="Times New Roman" w:cs="Times New Roman"/>
                <w:b/>
                <w:sz w:val="16"/>
              </w:rPr>
              <w:t>ASSESSMENT AREA</w:t>
            </w:r>
          </w:p>
        </w:tc>
        <w:tc>
          <w:tcPr>
            <w:tcW w:w="1582" w:type="dxa"/>
            <w:tcBorders>
              <w:top w:val="single" w:sz="8" w:space="0" w:color="000000"/>
              <w:left w:val="single" w:sz="6" w:space="0" w:color="000000"/>
              <w:bottom w:val="single" w:sz="8" w:space="0" w:color="000000"/>
              <w:right w:val="single" w:sz="6" w:space="0" w:color="FFFFFF"/>
            </w:tcBorders>
            <w:vAlign w:val="center"/>
          </w:tcPr>
          <w:p w14:paraId="455BAEF3"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TYPE OF EXAMINATION</w:t>
            </w:r>
          </w:p>
        </w:tc>
        <w:tc>
          <w:tcPr>
            <w:tcW w:w="1438" w:type="dxa"/>
            <w:tcBorders>
              <w:top w:val="single" w:sz="8" w:space="0" w:color="000000"/>
              <w:left w:val="single" w:sz="6" w:space="0" w:color="000000"/>
              <w:bottom w:val="single" w:sz="8" w:space="0" w:color="000000"/>
              <w:right w:val="single" w:sz="8" w:space="0" w:color="000000"/>
            </w:tcBorders>
            <w:vAlign w:val="center"/>
          </w:tcPr>
          <w:p w14:paraId="695370AC"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BRANCHES</w:t>
            </w:r>
          </w:p>
          <w:p w14:paraId="411672DE"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VISITED</w:t>
            </w:r>
          </w:p>
        </w:tc>
        <w:tc>
          <w:tcPr>
            <w:tcW w:w="1656" w:type="dxa"/>
            <w:tcBorders>
              <w:top w:val="single" w:sz="8" w:space="0" w:color="000000"/>
              <w:left w:val="single" w:sz="8" w:space="0" w:color="000000"/>
              <w:bottom w:val="single" w:sz="8" w:space="0" w:color="000000"/>
              <w:right w:val="single" w:sz="12" w:space="0" w:color="000000"/>
            </w:tcBorders>
            <w:vAlign w:val="center"/>
          </w:tcPr>
          <w:p w14:paraId="15417635" w14:textId="77777777" w:rsidR="00EE1456" w:rsidRPr="004678CD" w:rsidRDefault="00EE1456" w:rsidP="003A6FA8">
            <w:pPr>
              <w:spacing w:line="240" w:lineRule="auto"/>
              <w:jc w:val="center"/>
              <w:rPr>
                <w:rFonts w:ascii="Times New Roman" w:hAnsi="Times New Roman" w:cs="Times New Roman"/>
                <w:b/>
                <w:sz w:val="16"/>
              </w:rPr>
            </w:pPr>
            <w:r w:rsidRPr="004678CD">
              <w:rPr>
                <w:rFonts w:ascii="Times New Roman" w:hAnsi="Times New Roman" w:cs="Times New Roman"/>
                <w:b/>
                <w:sz w:val="16"/>
              </w:rPr>
              <w:t>OTHER INFORMATION</w:t>
            </w:r>
          </w:p>
        </w:tc>
      </w:tr>
      <w:tr w:rsidR="00EE1456" w:rsidRPr="004678CD" w14:paraId="3348C6C4" w14:textId="77777777" w:rsidTr="003A6FA8">
        <w:trPr>
          <w:trHeight w:val="140"/>
          <w:jc w:val="center"/>
        </w:trPr>
        <w:tc>
          <w:tcPr>
            <w:tcW w:w="2876" w:type="dxa"/>
            <w:tcBorders>
              <w:top w:val="single" w:sz="8" w:space="0" w:color="000000"/>
              <w:left w:val="single" w:sz="12" w:space="0" w:color="000000"/>
              <w:bottom w:val="single" w:sz="8" w:space="0" w:color="000000"/>
              <w:right w:val="single" w:sz="6" w:space="0" w:color="FFFFFF"/>
            </w:tcBorders>
          </w:tcPr>
          <w:p w14:paraId="133312B3" w14:textId="77777777" w:rsidR="00EE1456" w:rsidRPr="004678CD" w:rsidRDefault="00EE1456" w:rsidP="003A6FA8">
            <w:pPr>
              <w:spacing w:after="348" w:line="240" w:lineRule="auto"/>
              <w:rPr>
                <w:rFonts w:ascii="Times New Roman" w:hAnsi="Times New Roman" w:cs="Times New Roman"/>
                <w:sz w:val="16"/>
              </w:rPr>
            </w:pPr>
            <w:r>
              <w:rPr>
                <w:rFonts w:ascii="Times New Roman" w:hAnsi="Times New Roman" w:cs="Times New Roman"/>
                <w:sz w:val="16"/>
              </w:rPr>
              <w:t>Boston, MA MD</w:t>
            </w:r>
          </w:p>
        </w:tc>
        <w:tc>
          <w:tcPr>
            <w:tcW w:w="1582" w:type="dxa"/>
            <w:tcBorders>
              <w:top w:val="single" w:sz="8" w:space="0" w:color="000000"/>
              <w:left w:val="single" w:sz="6" w:space="0" w:color="000000"/>
              <w:bottom w:val="single" w:sz="8" w:space="0" w:color="000000"/>
              <w:right w:val="single" w:sz="6" w:space="0" w:color="FFFFFF"/>
            </w:tcBorders>
          </w:tcPr>
          <w:p w14:paraId="29611C91" w14:textId="77777777" w:rsidR="00EE1456" w:rsidRPr="004678CD" w:rsidRDefault="00EE1456" w:rsidP="003A6FA8">
            <w:pPr>
              <w:spacing w:after="348" w:line="240" w:lineRule="auto"/>
              <w:rPr>
                <w:rFonts w:ascii="Times New Roman" w:hAnsi="Times New Roman" w:cs="Times New Roman"/>
                <w:sz w:val="16"/>
              </w:rPr>
            </w:pPr>
            <w:r>
              <w:rPr>
                <w:rFonts w:ascii="Times New Roman" w:hAnsi="Times New Roman" w:cs="Times New Roman"/>
                <w:sz w:val="16"/>
              </w:rPr>
              <w:t>Full-Scope</w:t>
            </w:r>
          </w:p>
        </w:tc>
        <w:tc>
          <w:tcPr>
            <w:tcW w:w="1438" w:type="dxa"/>
            <w:tcBorders>
              <w:top w:val="single" w:sz="8" w:space="0" w:color="000000"/>
              <w:left w:val="single" w:sz="6" w:space="0" w:color="000000"/>
              <w:bottom w:val="single" w:sz="8" w:space="0" w:color="000000"/>
              <w:right w:val="single" w:sz="8" w:space="0" w:color="000000"/>
            </w:tcBorders>
          </w:tcPr>
          <w:p w14:paraId="0D91C1B8" w14:textId="77777777" w:rsidR="00EE1456" w:rsidRPr="004678CD" w:rsidRDefault="00EE1456" w:rsidP="003A6FA8">
            <w:pPr>
              <w:spacing w:after="348" w:line="240" w:lineRule="auto"/>
              <w:rPr>
                <w:rFonts w:ascii="Times New Roman" w:hAnsi="Times New Roman" w:cs="Times New Roman"/>
                <w:sz w:val="16"/>
              </w:rPr>
            </w:pPr>
            <w:r>
              <w:rPr>
                <w:rFonts w:ascii="Times New Roman" w:hAnsi="Times New Roman" w:cs="Times New Roman"/>
                <w:sz w:val="16"/>
              </w:rPr>
              <w:t>0</w:t>
            </w:r>
          </w:p>
        </w:tc>
        <w:tc>
          <w:tcPr>
            <w:tcW w:w="1656" w:type="dxa"/>
            <w:tcBorders>
              <w:top w:val="single" w:sz="8" w:space="0" w:color="000000"/>
              <w:left w:val="single" w:sz="8" w:space="0" w:color="000000"/>
              <w:bottom w:val="single" w:sz="8" w:space="0" w:color="000000"/>
              <w:right w:val="single" w:sz="12" w:space="0" w:color="000000"/>
            </w:tcBorders>
          </w:tcPr>
          <w:p w14:paraId="2BC1578F" w14:textId="77777777" w:rsidR="00EE1456" w:rsidRPr="004678CD" w:rsidRDefault="00EE1456" w:rsidP="003A6FA8">
            <w:pPr>
              <w:spacing w:after="348" w:line="240" w:lineRule="auto"/>
              <w:rPr>
                <w:rFonts w:ascii="Times New Roman" w:hAnsi="Times New Roman" w:cs="Times New Roman"/>
                <w:sz w:val="16"/>
              </w:rPr>
            </w:pPr>
            <w:r>
              <w:rPr>
                <w:rFonts w:ascii="Times New Roman" w:hAnsi="Times New Roman" w:cs="Times New Roman"/>
                <w:sz w:val="16"/>
              </w:rPr>
              <w:t>N/A</w:t>
            </w:r>
          </w:p>
        </w:tc>
      </w:tr>
      <w:tr w:rsidR="00EE1456" w:rsidRPr="004678CD" w14:paraId="084E42C0" w14:textId="77777777" w:rsidTr="003A6FA8">
        <w:trPr>
          <w:trHeight w:val="140"/>
          <w:jc w:val="center"/>
        </w:trPr>
        <w:tc>
          <w:tcPr>
            <w:tcW w:w="2876" w:type="dxa"/>
            <w:tcBorders>
              <w:top w:val="single" w:sz="8" w:space="0" w:color="000000"/>
              <w:left w:val="single" w:sz="12" w:space="0" w:color="000000"/>
              <w:bottom w:val="single" w:sz="8" w:space="0" w:color="000000"/>
              <w:right w:val="single" w:sz="6" w:space="0" w:color="FFFFFF"/>
            </w:tcBorders>
          </w:tcPr>
          <w:p w14:paraId="09FE216D" w14:textId="77777777" w:rsidR="00EE1456" w:rsidRDefault="00EE1456" w:rsidP="003A6FA8">
            <w:pPr>
              <w:spacing w:after="348" w:line="240" w:lineRule="auto"/>
              <w:rPr>
                <w:rFonts w:ascii="Times New Roman" w:hAnsi="Times New Roman" w:cs="Times New Roman"/>
                <w:sz w:val="16"/>
              </w:rPr>
            </w:pPr>
            <w:r>
              <w:rPr>
                <w:rFonts w:ascii="Times New Roman" w:hAnsi="Times New Roman" w:cs="Times New Roman"/>
                <w:sz w:val="16"/>
              </w:rPr>
              <w:t>Providence-Warwick, RI-MA MSA</w:t>
            </w:r>
          </w:p>
        </w:tc>
        <w:tc>
          <w:tcPr>
            <w:tcW w:w="1582" w:type="dxa"/>
            <w:tcBorders>
              <w:top w:val="single" w:sz="8" w:space="0" w:color="000000"/>
              <w:left w:val="single" w:sz="6" w:space="0" w:color="000000"/>
              <w:bottom w:val="single" w:sz="8" w:space="0" w:color="000000"/>
              <w:right w:val="single" w:sz="6" w:space="0" w:color="FFFFFF"/>
            </w:tcBorders>
          </w:tcPr>
          <w:p w14:paraId="75550C5D" w14:textId="77777777" w:rsidR="00EE1456" w:rsidRDefault="00EE1456" w:rsidP="003A6FA8">
            <w:pPr>
              <w:spacing w:after="348" w:line="240" w:lineRule="auto"/>
              <w:rPr>
                <w:rFonts w:ascii="Times New Roman" w:hAnsi="Times New Roman" w:cs="Times New Roman"/>
                <w:sz w:val="16"/>
              </w:rPr>
            </w:pPr>
            <w:r>
              <w:rPr>
                <w:rFonts w:ascii="Times New Roman" w:hAnsi="Times New Roman" w:cs="Times New Roman"/>
                <w:sz w:val="16"/>
              </w:rPr>
              <w:t>Full-Scope</w:t>
            </w:r>
          </w:p>
        </w:tc>
        <w:tc>
          <w:tcPr>
            <w:tcW w:w="1438" w:type="dxa"/>
            <w:tcBorders>
              <w:top w:val="single" w:sz="8" w:space="0" w:color="000000"/>
              <w:left w:val="single" w:sz="6" w:space="0" w:color="000000"/>
              <w:bottom w:val="single" w:sz="8" w:space="0" w:color="000000"/>
              <w:right w:val="single" w:sz="8" w:space="0" w:color="000000"/>
            </w:tcBorders>
          </w:tcPr>
          <w:p w14:paraId="5AC84DB6" w14:textId="77777777" w:rsidR="00EE1456" w:rsidRDefault="00EE1456" w:rsidP="00EE1456">
            <w:pPr>
              <w:spacing w:after="348" w:line="240" w:lineRule="auto"/>
              <w:rPr>
                <w:rFonts w:ascii="Times New Roman" w:hAnsi="Times New Roman" w:cs="Times New Roman"/>
                <w:sz w:val="16"/>
              </w:rPr>
            </w:pPr>
            <w:r>
              <w:rPr>
                <w:rFonts w:ascii="Times New Roman" w:hAnsi="Times New Roman" w:cs="Times New Roman"/>
                <w:sz w:val="16"/>
              </w:rPr>
              <w:t>0</w:t>
            </w:r>
          </w:p>
        </w:tc>
        <w:tc>
          <w:tcPr>
            <w:tcW w:w="1656" w:type="dxa"/>
            <w:tcBorders>
              <w:top w:val="single" w:sz="8" w:space="0" w:color="000000"/>
              <w:left w:val="single" w:sz="8" w:space="0" w:color="000000"/>
              <w:bottom w:val="single" w:sz="8" w:space="0" w:color="000000"/>
              <w:right w:val="single" w:sz="12" w:space="0" w:color="000000"/>
            </w:tcBorders>
          </w:tcPr>
          <w:p w14:paraId="515A17C2" w14:textId="77777777" w:rsidR="00EE1456" w:rsidRDefault="00EE1456" w:rsidP="003A6FA8">
            <w:pPr>
              <w:spacing w:after="348" w:line="240" w:lineRule="auto"/>
              <w:rPr>
                <w:rFonts w:ascii="Times New Roman" w:hAnsi="Times New Roman" w:cs="Times New Roman"/>
                <w:sz w:val="16"/>
              </w:rPr>
            </w:pPr>
            <w:r>
              <w:rPr>
                <w:rFonts w:ascii="Times New Roman" w:hAnsi="Times New Roman" w:cs="Times New Roman"/>
                <w:sz w:val="16"/>
              </w:rPr>
              <w:t>N/A</w:t>
            </w:r>
          </w:p>
        </w:tc>
      </w:tr>
    </w:tbl>
    <w:p w14:paraId="3D6367FD" w14:textId="77777777" w:rsidR="00E50970" w:rsidRDefault="00E50970">
      <w:pPr>
        <w:rPr>
          <w:rFonts w:ascii="Times New Roman" w:eastAsia="Times New Roman" w:hAnsi="Times New Roman" w:cs="Times New Roman"/>
          <w:color w:val="000000"/>
          <w:sz w:val="24"/>
          <w:szCs w:val="24"/>
        </w:rPr>
      </w:pPr>
    </w:p>
    <w:p w14:paraId="29991D25" w14:textId="77777777" w:rsidR="00E50970" w:rsidRPr="00E50970" w:rsidRDefault="00E50970" w:rsidP="00E5097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bCs/>
          <w:sz w:val="28"/>
          <w:szCs w:val="20"/>
        </w:rPr>
      </w:pPr>
      <w:bookmarkStart w:id="24" w:name="_Toc70419335"/>
      <w:r w:rsidRPr="00E50970">
        <w:rPr>
          <w:rFonts w:ascii="Times New Roman" w:eastAsia="Times New Roman" w:hAnsi="Times New Roman" w:cs="Times New Roman"/>
          <w:b/>
          <w:bCs/>
          <w:sz w:val="28"/>
          <w:szCs w:val="20"/>
        </w:rPr>
        <w:t>SUMMARY OF RATINGS FOR RATED AREAS</w:t>
      </w:r>
      <w:bookmarkEnd w:id="24"/>
    </w:p>
    <w:p w14:paraId="71FFCBD0" w14:textId="77777777" w:rsidR="00E50970" w:rsidRPr="00E50970" w:rsidRDefault="00E50970" w:rsidP="00E50970">
      <w:pPr>
        <w:spacing w:after="0" w:line="240" w:lineRule="auto"/>
        <w:rPr>
          <w:rFonts w:ascii="Times New Roman" w:eastAsia="Times New Roman" w:hAnsi="Times New Roman" w:cs="Times New Roman"/>
          <w:b/>
          <w:iCs/>
          <w:sz w:val="24"/>
          <w:szCs w:val="24"/>
        </w:rPr>
      </w:pPr>
    </w:p>
    <w:tbl>
      <w:tblPr>
        <w:tblStyle w:val="TableGrid2"/>
        <w:tblW w:w="0" w:type="auto"/>
        <w:tblLayout w:type="fixed"/>
        <w:tblLook w:val="04A0" w:firstRow="1" w:lastRow="0" w:firstColumn="1" w:lastColumn="0" w:noHBand="0" w:noVBand="1"/>
        <w:tblCaption w:val="Summary Of Ratings For Rated Areas"/>
      </w:tblPr>
      <w:tblGrid>
        <w:gridCol w:w="1872"/>
        <w:gridCol w:w="1872"/>
        <w:gridCol w:w="1872"/>
        <w:gridCol w:w="1872"/>
        <w:gridCol w:w="1872"/>
      </w:tblGrid>
      <w:tr w:rsidR="00E50970" w:rsidRPr="00E50970" w14:paraId="5218852B" w14:textId="77777777" w:rsidTr="000B0BD3">
        <w:trPr>
          <w:trHeight w:val="332"/>
          <w:tblHeader/>
        </w:trPr>
        <w:tc>
          <w:tcPr>
            <w:tcW w:w="1872" w:type="dxa"/>
            <w:hideMark/>
          </w:tcPr>
          <w:p w14:paraId="7D3ACD51" w14:textId="77777777" w:rsidR="00E50970" w:rsidRPr="00E50970" w:rsidRDefault="00E50970" w:rsidP="00E50970">
            <w:pPr>
              <w:spacing w:before="40"/>
              <w:jc w:val="both"/>
              <w:rPr>
                <w:b/>
              </w:rPr>
            </w:pPr>
            <w:r w:rsidRPr="00E50970">
              <w:rPr>
                <w:b/>
              </w:rPr>
              <w:t>Rated Area</w:t>
            </w:r>
          </w:p>
        </w:tc>
        <w:tc>
          <w:tcPr>
            <w:tcW w:w="1872" w:type="dxa"/>
          </w:tcPr>
          <w:p w14:paraId="53E385D9" w14:textId="77777777" w:rsidR="00E50970" w:rsidRPr="00E50970" w:rsidRDefault="00E50970" w:rsidP="00E50970">
            <w:pPr>
              <w:spacing w:before="40"/>
              <w:jc w:val="both"/>
              <w:rPr>
                <w:b/>
              </w:rPr>
            </w:pPr>
            <w:r w:rsidRPr="00E50970">
              <w:rPr>
                <w:b/>
              </w:rPr>
              <w:t>Lending Test</w:t>
            </w:r>
          </w:p>
        </w:tc>
        <w:tc>
          <w:tcPr>
            <w:tcW w:w="1872" w:type="dxa"/>
          </w:tcPr>
          <w:p w14:paraId="5A92C58C" w14:textId="77777777" w:rsidR="00E50970" w:rsidRPr="00E50970" w:rsidRDefault="00E50970" w:rsidP="00E50970">
            <w:pPr>
              <w:spacing w:before="40"/>
              <w:jc w:val="both"/>
              <w:rPr>
                <w:b/>
              </w:rPr>
            </w:pPr>
            <w:r w:rsidRPr="00E50970">
              <w:rPr>
                <w:b/>
              </w:rPr>
              <w:t>Investment Test</w:t>
            </w:r>
          </w:p>
        </w:tc>
        <w:tc>
          <w:tcPr>
            <w:tcW w:w="1872" w:type="dxa"/>
            <w:hideMark/>
          </w:tcPr>
          <w:p w14:paraId="4BB18565" w14:textId="77777777" w:rsidR="00E50970" w:rsidRPr="00E50970" w:rsidRDefault="00E50970" w:rsidP="00E50970">
            <w:pPr>
              <w:spacing w:before="40"/>
              <w:jc w:val="both"/>
              <w:rPr>
                <w:b/>
              </w:rPr>
            </w:pPr>
            <w:r w:rsidRPr="00E50970">
              <w:rPr>
                <w:b/>
              </w:rPr>
              <w:t>Service Test</w:t>
            </w:r>
          </w:p>
        </w:tc>
        <w:tc>
          <w:tcPr>
            <w:tcW w:w="1872" w:type="dxa"/>
            <w:hideMark/>
          </w:tcPr>
          <w:p w14:paraId="74573EFE" w14:textId="77777777" w:rsidR="00E50970" w:rsidRPr="00E50970" w:rsidRDefault="00E50970" w:rsidP="00E50970">
            <w:pPr>
              <w:spacing w:before="40"/>
              <w:jc w:val="both"/>
              <w:rPr>
                <w:b/>
              </w:rPr>
            </w:pPr>
            <w:r w:rsidRPr="00E50970">
              <w:rPr>
                <w:b/>
              </w:rPr>
              <w:t>Rating</w:t>
            </w:r>
          </w:p>
        </w:tc>
      </w:tr>
      <w:tr w:rsidR="00E50970" w:rsidRPr="00E50970" w14:paraId="0025767C" w14:textId="77777777" w:rsidTr="00FD3B7D">
        <w:tc>
          <w:tcPr>
            <w:tcW w:w="1872" w:type="dxa"/>
            <w:hideMark/>
          </w:tcPr>
          <w:p w14:paraId="11B995DF" w14:textId="77777777" w:rsidR="00E50970" w:rsidRPr="00E50970" w:rsidRDefault="00EE1456" w:rsidP="00E50970">
            <w:pPr>
              <w:spacing w:before="40"/>
            </w:pPr>
            <w:r>
              <w:rPr>
                <w:sz w:val="16"/>
              </w:rPr>
              <w:t>Boston, MA MD</w:t>
            </w:r>
          </w:p>
        </w:tc>
        <w:tc>
          <w:tcPr>
            <w:tcW w:w="1872" w:type="dxa"/>
            <w:hideMark/>
          </w:tcPr>
          <w:p w14:paraId="17B737EC" w14:textId="77777777" w:rsidR="00E50970" w:rsidRPr="00E50970" w:rsidRDefault="008A1AD2" w:rsidP="00E50970">
            <w:pPr>
              <w:spacing w:before="40"/>
            </w:pPr>
            <w:r>
              <w:t>Outstanding</w:t>
            </w:r>
          </w:p>
        </w:tc>
        <w:tc>
          <w:tcPr>
            <w:tcW w:w="1872" w:type="dxa"/>
            <w:hideMark/>
          </w:tcPr>
          <w:p w14:paraId="6AE91D24" w14:textId="77777777" w:rsidR="00E50970" w:rsidRPr="00E50970" w:rsidRDefault="008A1AD2" w:rsidP="00E50970">
            <w:pPr>
              <w:spacing w:before="40"/>
            </w:pPr>
            <w:r>
              <w:t>Outstanding</w:t>
            </w:r>
          </w:p>
        </w:tc>
        <w:tc>
          <w:tcPr>
            <w:tcW w:w="1872" w:type="dxa"/>
            <w:hideMark/>
          </w:tcPr>
          <w:p w14:paraId="0C0FE811" w14:textId="77777777" w:rsidR="00E50970" w:rsidRPr="00E50970" w:rsidRDefault="008A1AD2" w:rsidP="00E50970">
            <w:pPr>
              <w:spacing w:before="40"/>
            </w:pPr>
            <w:r>
              <w:t>Outstanding</w:t>
            </w:r>
          </w:p>
        </w:tc>
        <w:tc>
          <w:tcPr>
            <w:tcW w:w="1872" w:type="dxa"/>
            <w:hideMark/>
          </w:tcPr>
          <w:p w14:paraId="59467C90" w14:textId="77777777" w:rsidR="00E50970" w:rsidRPr="00E50970" w:rsidRDefault="008A1AD2" w:rsidP="00E50970">
            <w:pPr>
              <w:spacing w:before="40"/>
            </w:pPr>
            <w:r>
              <w:t>Outstanding</w:t>
            </w:r>
          </w:p>
        </w:tc>
      </w:tr>
      <w:tr w:rsidR="00E50970" w:rsidRPr="00E50970" w14:paraId="1747C529" w14:textId="77777777" w:rsidTr="00FD3B7D">
        <w:tc>
          <w:tcPr>
            <w:tcW w:w="1872" w:type="dxa"/>
            <w:hideMark/>
          </w:tcPr>
          <w:p w14:paraId="383F222D" w14:textId="77777777" w:rsidR="00E50970" w:rsidRPr="00E50970" w:rsidRDefault="00EE1456" w:rsidP="00E50970">
            <w:pPr>
              <w:spacing w:before="40"/>
            </w:pPr>
            <w:r>
              <w:rPr>
                <w:sz w:val="16"/>
              </w:rPr>
              <w:t>Providence-Warwick, RI-MA MSA</w:t>
            </w:r>
          </w:p>
        </w:tc>
        <w:tc>
          <w:tcPr>
            <w:tcW w:w="1872" w:type="dxa"/>
            <w:hideMark/>
          </w:tcPr>
          <w:p w14:paraId="690EFBDA" w14:textId="77777777" w:rsidR="00E50970" w:rsidRPr="00E50970" w:rsidRDefault="00186E33" w:rsidP="00E50970">
            <w:pPr>
              <w:spacing w:before="40"/>
            </w:pPr>
            <w:r>
              <w:t>Outstanding</w:t>
            </w:r>
          </w:p>
        </w:tc>
        <w:tc>
          <w:tcPr>
            <w:tcW w:w="1872" w:type="dxa"/>
            <w:hideMark/>
          </w:tcPr>
          <w:p w14:paraId="7EE0CACF" w14:textId="1F69D69D" w:rsidR="00E50970" w:rsidRPr="00E50970" w:rsidRDefault="00B3497E" w:rsidP="00E50970">
            <w:pPr>
              <w:spacing w:before="40"/>
            </w:pPr>
            <w:r>
              <w:t>High Satisfactory</w:t>
            </w:r>
          </w:p>
        </w:tc>
        <w:tc>
          <w:tcPr>
            <w:tcW w:w="1872" w:type="dxa"/>
            <w:hideMark/>
          </w:tcPr>
          <w:p w14:paraId="10D167A1" w14:textId="3DEDCD51" w:rsidR="00E50970" w:rsidRPr="00E50970" w:rsidRDefault="0024113C" w:rsidP="00E50970">
            <w:pPr>
              <w:spacing w:before="40"/>
            </w:pPr>
            <w:r>
              <w:t>Outstanding</w:t>
            </w:r>
          </w:p>
        </w:tc>
        <w:tc>
          <w:tcPr>
            <w:tcW w:w="1872" w:type="dxa"/>
            <w:hideMark/>
          </w:tcPr>
          <w:p w14:paraId="4C814BDA" w14:textId="47D649D0" w:rsidR="00E50970" w:rsidRPr="00E50970" w:rsidRDefault="00B3497E" w:rsidP="00E50970">
            <w:pPr>
              <w:spacing w:before="40"/>
            </w:pPr>
            <w:r>
              <w:t>Outstanding</w:t>
            </w:r>
          </w:p>
        </w:tc>
      </w:tr>
    </w:tbl>
    <w:p w14:paraId="37637D01" w14:textId="77777777" w:rsidR="00E50970" w:rsidRPr="00E50970" w:rsidRDefault="00E50970" w:rsidP="00E50970">
      <w:pPr>
        <w:spacing w:after="0" w:line="240" w:lineRule="auto"/>
        <w:rPr>
          <w:rFonts w:ascii="Times New Roman" w:eastAsia="Times New Roman" w:hAnsi="Times New Roman" w:cs="Times New Roman"/>
          <w:b/>
          <w:iCs/>
          <w:sz w:val="24"/>
          <w:szCs w:val="24"/>
        </w:rPr>
      </w:pPr>
    </w:p>
    <w:p w14:paraId="0C9ECAD2" w14:textId="006E38F7" w:rsidR="00A521ED" w:rsidRDefault="00A521ED">
      <w:pPr>
        <w:rPr>
          <w:rFonts w:ascii="Times New Roman" w:eastAsia="Times New Roman" w:hAnsi="Times New Roman" w:cs="Times New Roman"/>
          <w:color w:val="000000"/>
          <w:sz w:val="24"/>
          <w:szCs w:val="24"/>
        </w:rPr>
      </w:pPr>
    </w:p>
    <w:p w14:paraId="1F8C0338" w14:textId="444637BC" w:rsidR="005A2488" w:rsidRDefault="005A2488">
      <w:pPr>
        <w:rPr>
          <w:rFonts w:ascii="Times New Roman" w:eastAsia="Times New Roman" w:hAnsi="Times New Roman" w:cs="Times New Roman"/>
          <w:color w:val="000000"/>
          <w:sz w:val="24"/>
          <w:szCs w:val="24"/>
        </w:rPr>
      </w:pPr>
    </w:p>
    <w:p w14:paraId="54D4F6DF" w14:textId="3DABD200" w:rsidR="005A2488" w:rsidRDefault="005A2488">
      <w:pPr>
        <w:rPr>
          <w:rFonts w:ascii="Times New Roman" w:eastAsia="Times New Roman" w:hAnsi="Times New Roman" w:cs="Times New Roman"/>
          <w:color w:val="000000"/>
          <w:sz w:val="24"/>
          <w:szCs w:val="24"/>
        </w:rPr>
      </w:pPr>
    </w:p>
    <w:p w14:paraId="03A41023" w14:textId="75BAADE1" w:rsidR="005A2488" w:rsidRDefault="005A2488">
      <w:pPr>
        <w:rPr>
          <w:rFonts w:ascii="Times New Roman" w:eastAsia="Times New Roman" w:hAnsi="Times New Roman" w:cs="Times New Roman"/>
          <w:color w:val="000000"/>
          <w:sz w:val="24"/>
          <w:szCs w:val="24"/>
        </w:rPr>
      </w:pPr>
    </w:p>
    <w:p w14:paraId="15AD84A8" w14:textId="77777777" w:rsidR="005A2488" w:rsidRDefault="005A2488">
      <w:pPr>
        <w:rPr>
          <w:rFonts w:ascii="Times New Roman" w:eastAsia="Times New Roman" w:hAnsi="Times New Roman" w:cs="Times New Roman"/>
          <w:color w:val="000000"/>
          <w:sz w:val="24"/>
          <w:szCs w:val="24"/>
        </w:rPr>
      </w:pPr>
    </w:p>
    <w:p w14:paraId="42D797A8" w14:textId="77777777" w:rsidR="00A521ED" w:rsidRDefault="00A521ED" w:rsidP="00A521ED">
      <w:pPr>
        <w:spacing w:after="0" w:line="240" w:lineRule="auto"/>
        <w:rPr>
          <w:rFonts w:ascii="Times New Roman" w:eastAsia="Times New Roman" w:hAnsi="Times New Roman" w:cs="Times New Roman"/>
          <w:b/>
          <w:iCs/>
          <w:sz w:val="24"/>
          <w:szCs w:val="24"/>
        </w:rPr>
      </w:pPr>
    </w:p>
    <w:p w14:paraId="6B5BBF58" w14:textId="77777777" w:rsidR="005A2488" w:rsidRPr="005A2488" w:rsidRDefault="005A2488" w:rsidP="005A2488">
      <w:pPr>
        <w:keepNext/>
        <w:keepLines/>
        <w:spacing w:after="0" w:line="240" w:lineRule="auto"/>
        <w:jc w:val="center"/>
        <w:outlineLvl w:val="1"/>
        <w:rPr>
          <w:rFonts w:ascii="Times New Roman" w:eastAsia="Times New Roman" w:hAnsi="Times New Roman" w:cstheme="majorBidi"/>
          <w:b/>
          <w:bCs/>
          <w:sz w:val="28"/>
          <w:szCs w:val="28"/>
        </w:rPr>
      </w:pPr>
      <w:bookmarkStart w:id="25" w:name="_Toc38011769"/>
      <w:bookmarkStart w:id="26" w:name="_Toc54947566"/>
      <w:bookmarkStart w:id="27" w:name="_Toc70419336"/>
      <w:r w:rsidRPr="005A2488">
        <w:rPr>
          <w:rFonts w:ascii="Times New Roman" w:eastAsia="Times New Roman" w:hAnsi="Times New Roman" w:cstheme="majorBidi"/>
          <w:b/>
          <w:bCs/>
          <w:sz w:val="28"/>
          <w:szCs w:val="28"/>
        </w:rPr>
        <w:lastRenderedPageBreak/>
        <w:t>DIVISON OF BANKS FAIR LENDING POLICIES AND PROCEDURES</w:t>
      </w:r>
      <w:bookmarkEnd w:id="25"/>
      <w:bookmarkEnd w:id="26"/>
      <w:bookmarkEnd w:id="27"/>
    </w:p>
    <w:p w14:paraId="39C8720E" w14:textId="77777777" w:rsidR="005A2488" w:rsidRPr="00BA7646" w:rsidRDefault="005A2488" w:rsidP="005A2488">
      <w:pPr>
        <w:spacing w:after="0" w:line="240" w:lineRule="auto"/>
        <w:rPr>
          <w:rFonts w:ascii="Times New Roman" w:eastAsia="Times New Roman" w:hAnsi="Times New Roman" w:cs="Times New Roman"/>
          <w:sz w:val="24"/>
          <w:szCs w:val="24"/>
        </w:rPr>
      </w:pPr>
    </w:p>
    <w:p w14:paraId="59CC49E4" w14:textId="77777777" w:rsidR="005A2488" w:rsidRPr="00BA7646" w:rsidRDefault="005A2488" w:rsidP="005A2488">
      <w:pPr>
        <w:tabs>
          <w:tab w:val="center" w:pos="4680"/>
        </w:tabs>
        <w:spacing w:after="0" w:line="240" w:lineRule="auto"/>
        <w:jc w:val="both"/>
        <w:rPr>
          <w:rFonts w:ascii="Times New Roman" w:eastAsia="Times New Roman" w:hAnsi="Times New Roman" w:cs="Times New Roman"/>
          <w:spacing w:val="-4"/>
          <w:sz w:val="24"/>
          <w:szCs w:val="24"/>
        </w:rPr>
      </w:pPr>
      <w:r w:rsidRPr="00BA7646">
        <w:rPr>
          <w:rFonts w:ascii="Times New Roman" w:eastAsia="Times New Roman" w:hAnsi="Times New Roman" w:cs="Times New Roman"/>
          <w:spacing w:val="-4"/>
          <w:sz w:val="24"/>
          <w:szCs w:val="24"/>
        </w:rPr>
        <w:t>Please note any comments regarding the institution’s fair lending policies and procedures in narrative form (Regulatory Bulletin 1.3-106).</w:t>
      </w:r>
    </w:p>
    <w:p w14:paraId="0D3BA29F" w14:textId="77777777" w:rsidR="005A2488" w:rsidRPr="00BA7646" w:rsidRDefault="005A2488" w:rsidP="005A2488">
      <w:pPr>
        <w:tabs>
          <w:tab w:val="center" w:pos="4680"/>
        </w:tabs>
        <w:spacing w:after="0" w:line="240" w:lineRule="auto"/>
        <w:jc w:val="both"/>
        <w:rPr>
          <w:rFonts w:ascii="Times New Roman" w:eastAsia="Times New Roman" w:hAnsi="Times New Roman" w:cs="Times New Roman"/>
          <w:spacing w:val="-4"/>
          <w:sz w:val="24"/>
          <w:szCs w:val="24"/>
        </w:rPr>
      </w:pPr>
    </w:p>
    <w:p w14:paraId="43DA6BBA" w14:textId="77777777" w:rsidR="005A2488" w:rsidRPr="00BA7646" w:rsidRDefault="005A2488" w:rsidP="005A2488">
      <w:pPr>
        <w:spacing w:after="0" w:line="240" w:lineRule="auto"/>
        <w:rPr>
          <w:rFonts w:ascii="Times New Roman" w:eastAsia="Times New Roman" w:hAnsi="Times New Roman" w:cs="Times New Roman"/>
          <w:sz w:val="24"/>
          <w:szCs w:val="24"/>
        </w:rPr>
      </w:pPr>
      <w:r w:rsidRPr="00BA7646">
        <w:rPr>
          <w:rFonts w:ascii="Times New Roman" w:eastAsia="Times New Roman" w:hAnsi="Times New Roman" w:cs="Times New Roman"/>
          <w:sz w:val="24"/>
          <w:szCs w:val="24"/>
        </w:rPr>
        <w:t>The Division of Banks provides comments regarding the institution’s fair lending policies and procedures pursuant to Regulatory Bulletin 1.3-106.  A review of the bank’s public comment file indicated the bank received no complaints pertaining to the institution’s CRA performance since the previous examination.  The fair lending review was conducted in accordance with the Federal Financial Institutions Examination Council (FFIEC) Interagency Fair Lending Examination Procedures.  Based on these procedures, examiners did not note any evidence of disparate treatment.</w:t>
      </w:r>
    </w:p>
    <w:p w14:paraId="2D63A0BA" w14:textId="77777777" w:rsidR="005A2488" w:rsidRPr="00BA7646" w:rsidRDefault="005A2488" w:rsidP="005A2488">
      <w:pPr>
        <w:tabs>
          <w:tab w:val="center" w:pos="4680"/>
        </w:tabs>
        <w:spacing w:after="0" w:line="240" w:lineRule="auto"/>
        <w:jc w:val="both"/>
        <w:rPr>
          <w:rFonts w:ascii="Times New Roman" w:eastAsia="Times New Roman" w:hAnsi="Times New Roman" w:cs="Times New Roman"/>
          <w:spacing w:val="-4"/>
          <w:sz w:val="24"/>
          <w:szCs w:val="24"/>
          <w:highlight w:val="yellow"/>
        </w:rPr>
      </w:pPr>
    </w:p>
    <w:p w14:paraId="6219D776" w14:textId="77777777" w:rsidR="005A2488" w:rsidRPr="005A2488" w:rsidRDefault="005A2488" w:rsidP="005A2488">
      <w:pPr>
        <w:tabs>
          <w:tab w:val="center" w:pos="4680"/>
        </w:tabs>
        <w:spacing w:after="0" w:line="240" w:lineRule="auto"/>
        <w:jc w:val="center"/>
        <w:rPr>
          <w:rFonts w:ascii="Times New Roman" w:eastAsia="Times New Roman" w:hAnsi="Times New Roman" w:cs="Times New Roman"/>
          <w:b/>
          <w:spacing w:val="-4"/>
          <w:sz w:val="28"/>
          <w:szCs w:val="28"/>
        </w:rPr>
      </w:pPr>
      <w:r w:rsidRPr="005A2488">
        <w:rPr>
          <w:rFonts w:ascii="Times New Roman" w:eastAsia="Times New Roman" w:hAnsi="Times New Roman" w:cs="Times New Roman"/>
          <w:b/>
          <w:spacing w:val="-4"/>
          <w:sz w:val="28"/>
          <w:szCs w:val="28"/>
        </w:rPr>
        <w:t>MINORITY APPLICATION FLOW</w:t>
      </w:r>
    </w:p>
    <w:p w14:paraId="146BA62F" w14:textId="77777777" w:rsidR="005A2488" w:rsidRPr="00BA7646" w:rsidRDefault="005A2488" w:rsidP="005A2488">
      <w:pPr>
        <w:tabs>
          <w:tab w:val="center" w:pos="4680"/>
        </w:tabs>
        <w:spacing w:after="0" w:line="240" w:lineRule="auto"/>
        <w:jc w:val="both"/>
        <w:rPr>
          <w:rFonts w:ascii="Times New Roman" w:eastAsia="Times New Roman" w:hAnsi="Times New Roman" w:cs="Times New Roman"/>
          <w:b/>
          <w:spacing w:val="-4"/>
          <w:sz w:val="24"/>
          <w:szCs w:val="24"/>
        </w:rPr>
      </w:pPr>
    </w:p>
    <w:p w14:paraId="00D3042A"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r w:rsidRPr="00BA7646">
        <w:rPr>
          <w:rFonts w:ascii="Times New Roman" w:eastAsia="Times New Roman" w:hAnsi="Times New Roman" w:cs="Times New Roman"/>
          <w:color w:val="000000"/>
          <w:sz w:val="24"/>
          <w:szCs w:val="24"/>
        </w:rPr>
        <w:t>Division of Banks examiners reviewed the bank’s HMDA LARs for 2018 and 2019 to determine if the application flow from the different racial groups within the bank’s assessment area was reflective of the assessment area’s demographics.</w:t>
      </w:r>
    </w:p>
    <w:p w14:paraId="3A535D61"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2B322CD4"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r w:rsidRPr="00BA7646">
        <w:rPr>
          <w:rFonts w:ascii="Times New Roman" w:eastAsia="Times New Roman" w:hAnsi="Times New Roman" w:cs="Times New Roman"/>
          <w:color w:val="000000"/>
          <w:sz w:val="24"/>
          <w:szCs w:val="24"/>
        </w:rPr>
        <w:t xml:space="preserve">According to the 2015 ACS Census Data, the Bank’s assessment area contained a total population of 3.4 million individuals of which 27.5 percent are minorities.  The minority population represented is 8.9 percent Black/African American, 5.2 percent Asian, 0.2 percent American Indian, 10.1 percent Hispanic or Latino, and 3.1 percent other.  </w:t>
      </w:r>
    </w:p>
    <w:p w14:paraId="3EEE971C"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6227DBB2"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r w:rsidRPr="00BA7646">
        <w:rPr>
          <w:rFonts w:ascii="Times New Roman" w:eastAsia="Times New Roman" w:hAnsi="Times New Roman" w:cs="Times New Roman"/>
          <w:color w:val="000000"/>
          <w:sz w:val="24"/>
          <w:szCs w:val="24"/>
        </w:rPr>
        <w:t>Examiners compared the bank’s application activity with that of the aggregate for 2018 and 2019. The comparison of this data assists in deriving reasonable expectations for the rate of applications the bank received from minority home mortgage loan applicants.  Refer to the table below for information on the bank’s minority application flow as well as the aggregate lenders in the bank’s assessment area.</w:t>
      </w:r>
    </w:p>
    <w:p w14:paraId="2E24234B"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3B6AAFBD"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06E4C80B"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11DB146F"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1CAB8FE9"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7CBCB036"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6DC10E43"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224D09EA"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00822D4E"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1D10ADE7"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23EC42F9"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39D21772"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4BDA4F76"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11273856"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28A9063F"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p>
    <w:p w14:paraId="776171E7" w14:textId="0F8444E8" w:rsidR="005A2488"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605440BC" w14:textId="77777777" w:rsidR="00007F96" w:rsidRPr="00BA7646" w:rsidRDefault="00007F96"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0996DDB0" w14:textId="77777777" w:rsidR="008E16F6" w:rsidRDefault="005A2488" w:rsidP="005A2488">
      <w:pPr>
        <w:autoSpaceDE w:val="0"/>
        <w:autoSpaceDN w:val="0"/>
        <w:adjustRightInd w:val="0"/>
        <w:spacing w:after="0" w:line="240" w:lineRule="auto"/>
      </w:pPr>
      <w:r w:rsidRPr="00BA7646">
        <w:fldChar w:fldCharType="begin"/>
      </w:r>
      <w:r w:rsidRPr="00BA7646">
        <w:instrText xml:space="preserve"> LINK Excel.Sheet.12 "Book1" "Sheet1!R5C5:R25C11" \a \f 4 \h  \* MERGEFORMAT </w:instrText>
      </w:r>
      <w:r w:rsidR="008E16F6" w:rsidRPr="00BA7646">
        <w:fldChar w:fldCharType="separate"/>
      </w:r>
    </w:p>
    <w:tbl>
      <w:tblPr>
        <w:tblW w:w="9462" w:type="dxa"/>
        <w:jc w:val="center"/>
        <w:tblLook w:val="04A0" w:firstRow="1" w:lastRow="0" w:firstColumn="1" w:lastColumn="0" w:noHBand="0" w:noVBand="1"/>
      </w:tblPr>
      <w:tblGrid>
        <w:gridCol w:w="951"/>
        <w:gridCol w:w="565"/>
        <w:gridCol w:w="571"/>
        <w:gridCol w:w="647"/>
        <w:gridCol w:w="622"/>
        <w:gridCol w:w="413"/>
        <w:gridCol w:w="647"/>
        <w:gridCol w:w="488"/>
        <w:gridCol w:w="488"/>
        <w:gridCol w:w="488"/>
        <w:gridCol w:w="488"/>
        <w:gridCol w:w="1241"/>
        <w:gridCol w:w="488"/>
        <w:gridCol w:w="1053"/>
        <w:gridCol w:w="488"/>
      </w:tblGrid>
      <w:tr w:rsidR="008E16F6" w:rsidRPr="008E16F6" w14:paraId="2E8E8444" w14:textId="77777777" w:rsidTr="008E16F6">
        <w:trPr>
          <w:divId w:val="694573351"/>
          <w:trHeight w:val="301"/>
          <w:jc w:val="center"/>
        </w:trPr>
        <w:tc>
          <w:tcPr>
            <w:tcW w:w="946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8811618" w14:textId="2F91DB4D"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14:paraId="1B397761"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A583DB"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C02434"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39A8D8"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6860" w:type="dxa"/>
            <w:gridSpan w:val="3"/>
            <w:tcBorders>
              <w:top w:val="nil"/>
              <w:left w:val="nil"/>
              <w:bottom w:val="nil"/>
              <w:right w:val="nil"/>
            </w:tcBorders>
            <w:shd w:val="clear" w:color="auto" w:fill="auto"/>
            <w:noWrap/>
            <w:vAlign w:val="bottom"/>
            <w:hideMark/>
          </w:tcPr>
          <w:p w14:paraId="130F4B07"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BDF5E1" w14:textId="77777777" w:rsidR="008E16F6" w:rsidRPr="008E16F6" w:rsidRDefault="008E16F6" w:rsidP="008E16F6">
            <w:pPr>
              <w:spacing w:after="0" w:line="240" w:lineRule="auto"/>
              <w:rPr>
                <w:rFonts w:ascii="Times New Roman" w:eastAsia="Times New Roman" w:hAnsi="Times New Roman" w:cs="Times New Roman"/>
                <w:sz w:val="20"/>
                <w:szCs w:val="20"/>
              </w:rPr>
            </w:pPr>
          </w:p>
        </w:tc>
      </w:tr>
      <w:tr w:rsidR="008E16F6" w:rsidRPr="008E16F6" w14:paraId="3586601E" w14:textId="77777777" w:rsidTr="008E16F6">
        <w:trPr>
          <w:gridAfter w:val="2"/>
          <w:divId w:val="694573351"/>
          <w:wAfter w:w="3840" w:type="dxa"/>
          <w:trHeight w:val="301"/>
          <w:jc w:val="center"/>
        </w:trPr>
        <w:tc>
          <w:tcPr>
            <w:tcW w:w="2229" w:type="dxa"/>
            <w:tcBorders>
              <w:top w:val="nil"/>
              <w:left w:val="single" w:sz="8" w:space="0" w:color="auto"/>
              <w:bottom w:val="single" w:sz="8" w:space="0" w:color="000000"/>
              <w:right w:val="single" w:sz="8" w:space="0" w:color="auto"/>
            </w:tcBorders>
            <w:shd w:val="clear" w:color="auto" w:fill="auto"/>
            <w:vAlign w:val="center"/>
            <w:hideMark/>
          </w:tcPr>
          <w:p w14:paraId="2C750224"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2360" w:type="dxa"/>
            <w:gridSpan w:val="2"/>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FDFE5F6"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nil"/>
              <w:left w:val="single" w:sz="8" w:space="0" w:color="000000"/>
              <w:bottom w:val="single" w:sz="8" w:space="0" w:color="000000"/>
              <w:right w:val="single" w:sz="8" w:space="0" w:color="auto"/>
            </w:tcBorders>
            <w:shd w:val="clear" w:color="000000" w:fill="D9D9D9"/>
            <w:noWrap/>
            <w:vAlign w:val="bottom"/>
            <w:hideMark/>
          </w:tcPr>
          <w:p w14:paraId="6B85E1C3"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2082" w:type="dxa"/>
            <w:gridSpan w:val="2"/>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A32D60D"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nil"/>
              <w:left w:val="single" w:sz="8" w:space="0" w:color="000000"/>
              <w:bottom w:val="single" w:sz="8" w:space="0" w:color="000000"/>
              <w:right w:val="single" w:sz="8" w:space="0" w:color="auto"/>
            </w:tcBorders>
            <w:shd w:val="clear" w:color="000000" w:fill="D9D9D9"/>
            <w:noWrap/>
            <w:vAlign w:val="bottom"/>
            <w:hideMark/>
          </w:tcPr>
          <w:p w14:paraId="5B4A6CE4"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6860" w:type="dxa"/>
            <w:gridSpan w:val="5"/>
            <w:tcBorders>
              <w:top w:val="nil"/>
              <w:left w:val="nil"/>
              <w:bottom w:val="nil"/>
              <w:right w:val="nil"/>
            </w:tcBorders>
            <w:shd w:val="clear" w:color="auto" w:fill="auto"/>
            <w:noWrap/>
            <w:vAlign w:val="bottom"/>
            <w:hideMark/>
          </w:tcPr>
          <w:p w14:paraId="51403B32"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2BDB3C" w14:textId="77777777" w:rsidR="008E16F6" w:rsidRPr="008E16F6" w:rsidRDefault="008E16F6" w:rsidP="008E16F6">
            <w:pPr>
              <w:spacing w:after="0" w:line="240" w:lineRule="auto"/>
              <w:rPr>
                <w:rFonts w:ascii="Times New Roman" w:eastAsia="Times New Roman" w:hAnsi="Times New Roman" w:cs="Times New Roman"/>
                <w:sz w:val="20"/>
                <w:szCs w:val="20"/>
              </w:rPr>
            </w:pPr>
          </w:p>
        </w:tc>
      </w:tr>
      <w:tr w:rsidR="008E16F6" w:rsidRPr="008E16F6" w14:paraId="39A8E6BF" w14:textId="77777777" w:rsidTr="008E16F6">
        <w:trPr>
          <w:gridAfter w:val="2"/>
          <w:divId w:val="694573351"/>
          <w:wAfter w:w="3840" w:type="dxa"/>
          <w:trHeight w:val="509"/>
          <w:jc w:val="center"/>
        </w:trPr>
        <w:tc>
          <w:tcPr>
            <w:tcW w:w="2229" w:type="dxa"/>
            <w:tcBorders>
              <w:top w:val="nil"/>
              <w:left w:val="single" w:sz="8" w:space="0" w:color="auto"/>
              <w:bottom w:val="single" w:sz="8" w:space="0" w:color="000000"/>
              <w:right w:val="single" w:sz="8" w:space="0" w:color="auto"/>
            </w:tcBorders>
            <w:vAlign w:val="center"/>
            <w:hideMark/>
          </w:tcPr>
          <w:p w14:paraId="7F223822"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2360" w:type="dxa"/>
            <w:gridSpan w:val="2"/>
            <w:tcBorders>
              <w:top w:val="single" w:sz="8" w:space="0" w:color="auto"/>
              <w:left w:val="single" w:sz="8" w:space="0" w:color="auto"/>
              <w:bottom w:val="single" w:sz="8" w:space="0" w:color="000000"/>
              <w:right w:val="single" w:sz="8" w:space="0" w:color="000000"/>
            </w:tcBorders>
            <w:noWrap/>
            <w:vAlign w:val="bottom"/>
            <w:hideMark/>
          </w:tcPr>
          <w:p w14:paraId="5ED07D5D"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1395" w:type="dxa"/>
            <w:tcBorders>
              <w:top w:val="nil"/>
              <w:left w:val="single" w:sz="8" w:space="0" w:color="000000"/>
              <w:bottom w:val="single" w:sz="8" w:space="0" w:color="000000"/>
              <w:right w:val="single" w:sz="8" w:space="0" w:color="auto"/>
            </w:tcBorders>
            <w:noWrap/>
            <w:vAlign w:val="bottom"/>
            <w:hideMark/>
          </w:tcPr>
          <w:p w14:paraId="7F66534A"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2082" w:type="dxa"/>
            <w:gridSpan w:val="2"/>
            <w:tcBorders>
              <w:top w:val="single" w:sz="8" w:space="0" w:color="auto"/>
              <w:left w:val="single" w:sz="8" w:space="0" w:color="auto"/>
              <w:bottom w:val="single" w:sz="8" w:space="0" w:color="000000"/>
              <w:right w:val="single" w:sz="8" w:space="0" w:color="000000"/>
            </w:tcBorders>
            <w:noWrap/>
            <w:vAlign w:val="bottom"/>
            <w:hideMark/>
          </w:tcPr>
          <w:p w14:paraId="13963D6A"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1395" w:type="dxa"/>
            <w:tcBorders>
              <w:top w:val="nil"/>
              <w:left w:val="single" w:sz="8" w:space="0" w:color="000000"/>
              <w:bottom w:val="single" w:sz="8" w:space="0" w:color="000000"/>
              <w:right w:val="single" w:sz="8" w:space="0" w:color="auto"/>
            </w:tcBorders>
            <w:noWrap/>
            <w:vAlign w:val="bottom"/>
            <w:hideMark/>
          </w:tcPr>
          <w:p w14:paraId="05BEC4FB"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6860" w:type="dxa"/>
            <w:gridSpan w:val="5"/>
            <w:tcBorders>
              <w:top w:val="nil"/>
              <w:left w:val="nil"/>
              <w:bottom w:val="nil"/>
              <w:right w:val="nil"/>
            </w:tcBorders>
            <w:shd w:val="clear" w:color="auto" w:fill="auto"/>
            <w:noWrap/>
            <w:vAlign w:val="bottom"/>
            <w:hideMark/>
          </w:tcPr>
          <w:p w14:paraId="029790E0" w14:textId="77777777" w:rsidR="008E16F6" w:rsidRPr="008E16F6" w:rsidRDefault="008E16F6" w:rsidP="008E16F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9DA3FD" w14:textId="77777777" w:rsidR="008E16F6" w:rsidRPr="008E16F6" w:rsidRDefault="008E16F6" w:rsidP="008E16F6">
            <w:pPr>
              <w:spacing w:after="0" w:line="240" w:lineRule="auto"/>
              <w:rPr>
                <w:rFonts w:ascii="Times New Roman" w:eastAsia="Times New Roman" w:hAnsi="Times New Roman" w:cs="Times New Roman"/>
                <w:sz w:val="20"/>
                <w:szCs w:val="20"/>
              </w:rPr>
            </w:pPr>
          </w:p>
        </w:tc>
      </w:tr>
      <w:tr w:rsidR="008E16F6" w:rsidRPr="008E16F6" w14:paraId="418E40A8" w14:textId="77777777" w:rsidTr="008E16F6">
        <w:trPr>
          <w:gridAfter w:val="8"/>
          <w:divId w:val="694573351"/>
          <w:wAfter w:w="11660" w:type="dxa"/>
          <w:trHeight w:val="301"/>
          <w:jc w:val="center"/>
        </w:trPr>
        <w:tc>
          <w:tcPr>
            <w:tcW w:w="2229" w:type="dxa"/>
            <w:tcBorders>
              <w:top w:val="nil"/>
              <w:left w:val="single" w:sz="8" w:space="0" w:color="auto"/>
              <w:bottom w:val="single" w:sz="8" w:space="0" w:color="000000"/>
              <w:right w:val="single" w:sz="8" w:space="0" w:color="auto"/>
            </w:tcBorders>
            <w:vAlign w:val="center"/>
            <w:hideMark/>
          </w:tcPr>
          <w:p w14:paraId="1FA902F3"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31E2D91A"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66AF9675"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792BE270"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239ADE06"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07443F0F"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6033E2B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6ED7BE6A" w14:textId="77777777" w:rsidTr="008E16F6">
        <w:trPr>
          <w:gridAfter w:val="12"/>
          <w:divId w:val="694573351"/>
          <w:wAfter w:w="16533" w:type="dxa"/>
          <w:trHeight w:val="479"/>
          <w:jc w:val="center"/>
        </w:trPr>
        <w:tc>
          <w:tcPr>
            <w:tcW w:w="2229" w:type="dxa"/>
            <w:tcBorders>
              <w:top w:val="nil"/>
              <w:left w:val="single" w:sz="8" w:space="0" w:color="auto"/>
              <w:bottom w:val="single" w:sz="8" w:space="0" w:color="auto"/>
              <w:right w:val="single" w:sz="8" w:space="0" w:color="auto"/>
            </w:tcBorders>
            <w:shd w:val="clear" w:color="auto" w:fill="auto"/>
            <w:vAlign w:val="center"/>
            <w:hideMark/>
          </w:tcPr>
          <w:p w14:paraId="09533843"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14:paraId="58A223E7"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5F482C48"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36A0FDB7"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vAlign w:val="center"/>
            <w:hideMark/>
          </w:tcPr>
          <w:p w14:paraId="65B0D6CD"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14:paraId="4C2D5EB3"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0396C5E8"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4A3316B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24FA741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374496D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5D5C3D1A"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6AA5DB40"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vAlign w:val="center"/>
            <w:hideMark/>
          </w:tcPr>
          <w:p w14:paraId="59322534"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vAlign w:val="center"/>
            <w:hideMark/>
          </w:tcPr>
          <w:p w14:paraId="73CA1FEB"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2C376705"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6477ECFA"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67CB1B9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75ED8754"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346D92CF"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7D1DDBE4"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77D90E19"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r w:rsidRPr="008E16F6">
              <w:rPr>
                <w:rFonts w:ascii="Times New Roman" w:eastAsia="Times New Roman" w:hAnsi="Times New Roman" w:cs="Times New Roman"/>
                <w:color w:val="000000"/>
                <w:sz w:val="20"/>
                <w:szCs w:val="20"/>
              </w:rPr>
              <w:t> </w:t>
            </w:r>
          </w:p>
        </w:tc>
        <w:tc>
          <w:tcPr>
            <w:tcW w:w="1174" w:type="dxa"/>
            <w:tcBorders>
              <w:top w:val="nil"/>
              <w:left w:val="nil"/>
              <w:bottom w:val="single" w:sz="8" w:space="0" w:color="auto"/>
              <w:right w:val="single" w:sz="8" w:space="0" w:color="auto"/>
            </w:tcBorders>
            <w:shd w:val="clear" w:color="auto" w:fill="auto"/>
            <w:vAlign w:val="center"/>
            <w:hideMark/>
          </w:tcPr>
          <w:p w14:paraId="5CFECBD8"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35DEF390"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4532A9D6"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43AA5E5E"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79F31E00"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7ED2EEBE"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11CC570D"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7D89B72E"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27455B9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2AD6AD4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08C17FD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0251294E"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7EAA478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6587476F"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7C1742FA"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67344C83"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nil"/>
              <w:right w:val="single" w:sz="8" w:space="0" w:color="auto"/>
            </w:tcBorders>
            <w:shd w:val="clear" w:color="auto" w:fill="auto"/>
            <w:noWrap/>
            <w:vAlign w:val="bottom"/>
            <w:hideMark/>
          </w:tcPr>
          <w:p w14:paraId="5C681FAB"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nil"/>
              <w:right w:val="single" w:sz="8" w:space="0" w:color="auto"/>
            </w:tcBorders>
            <w:shd w:val="clear" w:color="auto" w:fill="auto"/>
            <w:noWrap/>
            <w:vAlign w:val="bottom"/>
            <w:hideMark/>
          </w:tcPr>
          <w:p w14:paraId="2193DA6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402EA837"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nil"/>
              <w:right w:val="single" w:sz="8" w:space="0" w:color="auto"/>
            </w:tcBorders>
            <w:shd w:val="clear" w:color="auto" w:fill="auto"/>
            <w:noWrap/>
            <w:vAlign w:val="bottom"/>
            <w:hideMark/>
          </w:tcPr>
          <w:p w14:paraId="58F8170D"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nil"/>
              <w:right w:val="single" w:sz="8" w:space="0" w:color="auto"/>
            </w:tcBorders>
            <w:shd w:val="clear" w:color="auto" w:fill="auto"/>
            <w:noWrap/>
            <w:vAlign w:val="bottom"/>
            <w:hideMark/>
          </w:tcPr>
          <w:p w14:paraId="40993C18"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51A32D8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14A0F8E5"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237158F9"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74" w:type="dxa"/>
            <w:tcBorders>
              <w:top w:val="single" w:sz="8" w:space="0" w:color="auto"/>
              <w:left w:val="nil"/>
              <w:bottom w:val="single" w:sz="8" w:space="0" w:color="auto"/>
              <w:right w:val="single" w:sz="8" w:space="0" w:color="auto"/>
            </w:tcBorders>
            <w:shd w:val="clear" w:color="auto" w:fill="auto"/>
            <w:noWrap/>
            <w:vAlign w:val="bottom"/>
            <w:hideMark/>
          </w:tcPr>
          <w:p w14:paraId="4E6F0E84"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14:paraId="158CB16D"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517F6369"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26" w:type="dxa"/>
            <w:tcBorders>
              <w:top w:val="single" w:sz="8" w:space="0" w:color="auto"/>
              <w:left w:val="nil"/>
              <w:bottom w:val="single" w:sz="8" w:space="0" w:color="auto"/>
              <w:right w:val="single" w:sz="8" w:space="0" w:color="auto"/>
            </w:tcBorders>
            <w:shd w:val="clear" w:color="auto" w:fill="auto"/>
            <w:noWrap/>
            <w:vAlign w:val="bottom"/>
            <w:hideMark/>
          </w:tcPr>
          <w:p w14:paraId="1F15918E"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14:paraId="197DC955"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09A18611"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r>
      <w:tr w:rsidR="008E16F6" w:rsidRPr="008E16F6" w14:paraId="16A90B09"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7E791DF0"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077E7B9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1A58565B"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49F5964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6D923A77"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1DD9D4EE"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48CA5EF0"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620EB3EC" w14:textId="77777777" w:rsidTr="008E16F6">
        <w:trPr>
          <w:gridAfter w:val="8"/>
          <w:divId w:val="694573351"/>
          <w:wAfter w:w="11660" w:type="dxa"/>
          <w:trHeight w:val="479"/>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6E1916AF"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nil"/>
              <w:right w:val="single" w:sz="8" w:space="0" w:color="auto"/>
            </w:tcBorders>
            <w:shd w:val="clear" w:color="auto" w:fill="auto"/>
            <w:noWrap/>
            <w:vAlign w:val="bottom"/>
            <w:hideMark/>
          </w:tcPr>
          <w:p w14:paraId="53881D2D"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nil"/>
              <w:right w:val="single" w:sz="8" w:space="0" w:color="auto"/>
            </w:tcBorders>
            <w:shd w:val="clear" w:color="auto" w:fill="auto"/>
            <w:noWrap/>
            <w:vAlign w:val="bottom"/>
            <w:hideMark/>
          </w:tcPr>
          <w:p w14:paraId="27D42CE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11CA6BF0"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nil"/>
              <w:right w:val="single" w:sz="8" w:space="0" w:color="auto"/>
            </w:tcBorders>
            <w:shd w:val="clear" w:color="auto" w:fill="auto"/>
            <w:noWrap/>
            <w:vAlign w:val="bottom"/>
            <w:hideMark/>
          </w:tcPr>
          <w:p w14:paraId="1D9B928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nil"/>
              <w:right w:val="single" w:sz="8" w:space="0" w:color="auto"/>
            </w:tcBorders>
            <w:shd w:val="clear" w:color="auto" w:fill="auto"/>
            <w:noWrap/>
            <w:vAlign w:val="bottom"/>
            <w:hideMark/>
          </w:tcPr>
          <w:p w14:paraId="7450412B"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45E0F473"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50D16BF1" w14:textId="77777777" w:rsidTr="008E16F6">
        <w:trPr>
          <w:gridAfter w:val="8"/>
          <w:divId w:val="694573351"/>
          <w:wAfter w:w="11660" w:type="dxa"/>
          <w:trHeight w:val="301"/>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69193DE6"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74" w:type="dxa"/>
            <w:tcBorders>
              <w:top w:val="single" w:sz="8" w:space="0" w:color="auto"/>
              <w:left w:val="nil"/>
              <w:bottom w:val="single" w:sz="8" w:space="0" w:color="auto"/>
              <w:right w:val="single" w:sz="8" w:space="0" w:color="auto"/>
            </w:tcBorders>
            <w:shd w:val="clear" w:color="auto" w:fill="auto"/>
            <w:noWrap/>
            <w:vAlign w:val="bottom"/>
            <w:hideMark/>
          </w:tcPr>
          <w:p w14:paraId="0868803E"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14:paraId="2C0C7C47"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76087AA5"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26" w:type="dxa"/>
            <w:tcBorders>
              <w:top w:val="single" w:sz="8" w:space="0" w:color="auto"/>
              <w:left w:val="nil"/>
              <w:bottom w:val="single" w:sz="8" w:space="0" w:color="auto"/>
              <w:right w:val="single" w:sz="8" w:space="0" w:color="auto"/>
            </w:tcBorders>
            <w:shd w:val="clear" w:color="auto" w:fill="auto"/>
            <w:noWrap/>
            <w:vAlign w:val="bottom"/>
            <w:hideMark/>
          </w:tcPr>
          <w:p w14:paraId="3E55F764"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14:paraId="03007D17"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44CB92F4"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r>
      <w:tr w:rsidR="008E16F6" w:rsidRPr="008E16F6" w14:paraId="0A3DD839" w14:textId="77777777" w:rsidTr="008E16F6">
        <w:trPr>
          <w:gridAfter w:val="8"/>
          <w:divId w:val="694573351"/>
          <w:wAfter w:w="11660" w:type="dxa"/>
          <w:trHeight w:val="301"/>
          <w:jc w:val="center"/>
        </w:trPr>
        <w:tc>
          <w:tcPr>
            <w:tcW w:w="2229" w:type="dxa"/>
            <w:tcBorders>
              <w:top w:val="nil"/>
              <w:left w:val="single" w:sz="8" w:space="0" w:color="auto"/>
              <w:bottom w:val="single" w:sz="8" w:space="0" w:color="auto"/>
              <w:right w:val="nil"/>
            </w:tcBorders>
            <w:shd w:val="clear" w:color="auto" w:fill="auto"/>
            <w:noWrap/>
            <w:vAlign w:val="bottom"/>
            <w:hideMark/>
          </w:tcPr>
          <w:p w14:paraId="0D26CA1B"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74" w:type="dxa"/>
            <w:tcBorders>
              <w:top w:val="nil"/>
              <w:left w:val="single" w:sz="8" w:space="0" w:color="auto"/>
              <w:bottom w:val="single" w:sz="8" w:space="0" w:color="auto"/>
              <w:right w:val="nil"/>
            </w:tcBorders>
            <w:shd w:val="clear" w:color="auto" w:fill="auto"/>
            <w:noWrap/>
            <w:vAlign w:val="bottom"/>
            <w:hideMark/>
          </w:tcPr>
          <w:p w14:paraId="24242136"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nil"/>
              <w:left w:val="nil"/>
              <w:bottom w:val="single" w:sz="8" w:space="0" w:color="auto"/>
              <w:right w:val="nil"/>
            </w:tcBorders>
            <w:shd w:val="clear" w:color="auto" w:fill="auto"/>
            <w:noWrap/>
            <w:vAlign w:val="bottom"/>
            <w:hideMark/>
          </w:tcPr>
          <w:p w14:paraId="191ADF53"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nil"/>
              <w:left w:val="nil"/>
              <w:bottom w:val="single" w:sz="8" w:space="0" w:color="auto"/>
              <w:right w:val="nil"/>
            </w:tcBorders>
            <w:shd w:val="clear" w:color="auto" w:fill="auto"/>
            <w:noWrap/>
            <w:vAlign w:val="bottom"/>
            <w:hideMark/>
          </w:tcPr>
          <w:p w14:paraId="36F62A4D"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nil"/>
            </w:tcBorders>
            <w:shd w:val="clear" w:color="auto" w:fill="auto"/>
            <w:noWrap/>
            <w:vAlign w:val="bottom"/>
            <w:hideMark/>
          </w:tcPr>
          <w:p w14:paraId="1CC199D3"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756" w:type="dxa"/>
            <w:tcBorders>
              <w:top w:val="nil"/>
              <w:left w:val="nil"/>
              <w:bottom w:val="single" w:sz="8" w:space="0" w:color="auto"/>
              <w:right w:val="nil"/>
            </w:tcBorders>
            <w:shd w:val="clear" w:color="auto" w:fill="auto"/>
            <w:noWrap/>
            <w:vAlign w:val="bottom"/>
            <w:hideMark/>
          </w:tcPr>
          <w:p w14:paraId="4A3702ED"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auto" w:fill="auto"/>
            <w:noWrap/>
            <w:vAlign w:val="bottom"/>
            <w:hideMark/>
          </w:tcPr>
          <w:p w14:paraId="3B781EAE" w14:textId="77777777" w:rsidR="008E16F6" w:rsidRPr="008E16F6" w:rsidRDefault="008E16F6" w:rsidP="008E16F6">
            <w:pPr>
              <w:spacing w:after="0" w:line="240" w:lineRule="auto"/>
              <w:rPr>
                <w:rFonts w:ascii="Calibri" w:eastAsia="Times New Roman" w:hAnsi="Calibri" w:cs="Calibri"/>
                <w:color w:val="000000"/>
              </w:rPr>
            </w:pPr>
          </w:p>
        </w:tc>
      </w:tr>
      <w:tr w:rsidR="008E16F6" w:rsidRPr="008E16F6" w14:paraId="0FF0CDD9" w14:textId="77777777" w:rsidTr="008E16F6">
        <w:trPr>
          <w:gridAfter w:val="8"/>
          <w:divId w:val="694573351"/>
          <w:wAfter w:w="11660" w:type="dxa"/>
          <w:trHeight w:val="575"/>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019CC27A"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75DD658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498D20D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4631EF63"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04B9788B"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5A521C3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1B11AB99"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2F7C60A9" w14:textId="77777777" w:rsidTr="008E16F6">
        <w:trPr>
          <w:gridAfter w:val="8"/>
          <w:divId w:val="694573351"/>
          <w:wAfter w:w="11660" w:type="dxa"/>
          <w:trHeight w:val="575"/>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2415B954"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70738788"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1B235934"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3621EFD7"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4EFADDAD"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0917162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55B8D97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46BF906C" w14:textId="77777777" w:rsidTr="008E16F6">
        <w:trPr>
          <w:gridAfter w:val="8"/>
          <w:divId w:val="694573351"/>
          <w:wAfter w:w="11660" w:type="dxa"/>
          <w:trHeight w:val="575"/>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5194FB7A" w14:textId="77777777" w:rsidR="008E16F6" w:rsidRPr="008E16F6" w:rsidRDefault="008E16F6" w:rsidP="008E16F6">
            <w:pPr>
              <w:spacing w:after="0" w:line="240" w:lineRule="auto"/>
              <w:rPr>
                <w:rFonts w:ascii="Times New Roman" w:eastAsia="Times New Roman" w:hAnsi="Times New Roman" w:cs="Times New Roman"/>
                <w:b/>
                <w:bCs/>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5B80471E"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633534E5"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0B3B1DB8"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75EFDE3A"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0E2D54BA"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7C182E92"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r>
      <w:tr w:rsidR="008E16F6" w:rsidRPr="008E16F6" w14:paraId="6FF3ECDA" w14:textId="77777777" w:rsidTr="008E16F6">
        <w:trPr>
          <w:gridAfter w:val="8"/>
          <w:divId w:val="694573351"/>
          <w:wAfter w:w="11660" w:type="dxa"/>
          <w:trHeight w:val="575"/>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3E1462F7"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single" w:sz="8" w:space="0" w:color="auto"/>
              <w:right w:val="single" w:sz="8" w:space="0" w:color="auto"/>
            </w:tcBorders>
            <w:shd w:val="clear" w:color="auto" w:fill="auto"/>
            <w:noWrap/>
            <w:vAlign w:val="bottom"/>
            <w:hideMark/>
          </w:tcPr>
          <w:p w14:paraId="2F256E8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single" w:sz="8" w:space="0" w:color="auto"/>
              <w:right w:val="single" w:sz="8" w:space="0" w:color="auto"/>
            </w:tcBorders>
            <w:shd w:val="clear" w:color="auto" w:fill="auto"/>
            <w:noWrap/>
            <w:vAlign w:val="bottom"/>
            <w:hideMark/>
          </w:tcPr>
          <w:p w14:paraId="4A0D1D5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742C2BBC"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single" w:sz="8" w:space="0" w:color="auto"/>
              <w:right w:val="single" w:sz="8" w:space="0" w:color="auto"/>
            </w:tcBorders>
            <w:shd w:val="clear" w:color="auto" w:fill="auto"/>
            <w:noWrap/>
            <w:vAlign w:val="bottom"/>
            <w:hideMark/>
          </w:tcPr>
          <w:p w14:paraId="5D96B8EA"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single" w:sz="8" w:space="0" w:color="auto"/>
              <w:right w:val="single" w:sz="8" w:space="0" w:color="auto"/>
            </w:tcBorders>
            <w:shd w:val="clear" w:color="auto" w:fill="auto"/>
            <w:noWrap/>
            <w:vAlign w:val="bottom"/>
            <w:hideMark/>
          </w:tcPr>
          <w:p w14:paraId="7A40DF51"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single" w:sz="8" w:space="0" w:color="auto"/>
              <w:right w:val="single" w:sz="8" w:space="0" w:color="auto"/>
            </w:tcBorders>
            <w:shd w:val="clear" w:color="000000" w:fill="D9D9D9"/>
            <w:noWrap/>
            <w:vAlign w:val="bottom"/>
            <w:hideMark/>
          </w:tcPr>
          <w:p w14:paraId="25C41F5D"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57CA27BF" w14:textId="77777777" w:rsidTr="008E16F6">
        <w:trPr>
          <w:gridAfter w:val="8"/>
          <w:divId w:val="694573351"/>
          <w:wAfter w:w="11660" w:type="dxa"/>
          <w:trHeight w:val="575"/>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7BD25EA1" w14:textId="77777777" w:rsidR="008E16F6" w:rsidRPr="008E16F6" w:rsidRDefault="008E16F6" w:rsidP="008E16F6">
            <w:pPr>
              <w:spacing w:after="0" w:line="240" w:lineRule="auto"/>
              <w:rPr>
                <w:rFonts w:ascii="Times New Roman" w:eastAsia="Times New Roman" w:hAnsi="Times New Roman" w:cs="Times New Roman"/>
                <w:color w:val="000000"/>
                <w:sz w:val="20"/>
                <w:szCs w:val="20"/>
              </w:rPr>
            </w:pPr>
          </w:p>
        </w:tc>
        <w:tc>
          <w:tcPr>
            <w:tcW w:w="1174" w:type="dxa"/>
            <w:tcBorders>
              <w:top w:val="nil"/>
              <w:left w:val="nil"/>
              <w:bottom w:val="nil"/>
              <w:right w:val="single" w:sz="8" w:space="0" w:color="auto"/>
            </w:tcBorders>
            <w:shd w:val="clear" w:color="auto" w:fill="auto"/>
            <w:noWrap/>
            <w:vAlign w:val="bottom"/>
            <w:hideMark/>
          </w:tcPr>
          <w:p w14:paraId="5085350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185" w:type="dxa"/>
            <w:tcBorders>
              <w:top w:val="nil"/>
              <w:left w:val="nil"/>
              <w:bottom w:val="nil"/>
              <w:right w:val="single" w:sz="8" w:space="0" w:color="auto"/>
            </w:tcBorders>
            <w:shd w:val="clear" w:color="auto" w:fill="auto"/>
            <w:noWrap/>
            <w:vAlign w:val="bottom"/>
            <w:hideMark/>
          </w:tcPr>
          <w:p w14:paraId="214F6492"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7DD1FC84"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26" w:type="dxa"/>
            <w:tcBorders>
              <w:top w:val="nil"/>
              <w:left w:val="nil"/>
              <w:bottom w:val="nil"/>
              <w:right w:val="single" w:sz="8" w:space="0" w:color="auto"/>
            </w:tcBorders>
            <w:shd w:val="clear" w:color="auto" w:fill="auto"/>
            <w:noWrap/>
            <w:vAlign w:val="bottom"/>
            <w:hideMark/>
          </w:tcPr>
          <w:p w14:paraId="7BD15F17"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756" w:type="dxa"/>
            <w:tcBorders>
              <w:top w:val="nil"/>
              <w:left w:val="nil"/>
              <w:bottom w:val="nil"/>
              <w:right w:val="single" w:sz="8" w:space="0" w:color="auto"/>
            </w:tcBorders>
            <w:shd w:val="clear" w:color="auto" w:fill="auto"/>
            <w:noWrap/>
            <w:vAlign w:val="bottom"/>
            <w:hideMark/>
          </w:tcPr>
          <w:p w14:paraId="2A3A0166"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c>
          <w:tcPr>
            <w:tcW w:w="1395" w:type="dxa"/>
            <w:tcBorders>
              <w:top w:val="nil"/>
              <w:left w:val="nil"/>
              <w:bottom w:val="nil"/>
              <w:right w:val="single" w:sz="8" w:space="0" w:color="auto"/>
            </w:tcBorders>
            <w:shd w:val="clear" w:color="000000" w:fill="D9D9D9"/>
            <w:noWrap/>
            <w:vAlign w:val="bottom"/>
            <w:hideMark/>
          </w:tcPr>
          <w:p w14:paraId="0E546C44" w14:textId="77777777" w:rsidR="008E16F6" w:rsidRPr="008E16F6" w:rsidRDefault="008E16F6" w:rsidP="008E16F6">
            <w:pPr>
              <w:spacing w:after="0" w:line="240" w:lineRule="auto"/>
              <w:jc w:val="center"/>
              <w:rPr>
                <w:rFonts w:ascii="Times New Roman" w:eastAsia="Times New Roman" w:hAnsi="Times New Roman" w:cs="Times New Roman"/>
                <w:color w:val="000000"/>
                <w:sz w:val="20"/>
                <w:szCs w:val="20"/>
              </w:rPr>
            </w:pPr>
          </w:p>
        </w:tc>
      </w:tr>
      <w:tr w:rsidR="008E16F6" w:rsidRPr="008E16F6" w14:paraId="07618299" w14:textId="77777777" w:rsidTr="008E16F6">
        <w:trPr>
          <w:gridAfter w:val="8"/>
          <w:divId w:val="694573351"/>
          <w:wAfter w:w="11660" w:type="dxa"/>
          <w:trHeight w:val="301"/>
          <w:jc w:val="center"/>
        </w:trPr>
        <w:tc>
          <w:tcPr>
            <w:tcW w:w="2229" w:type="dxa"/>
            <w:tcBorders>
              <w:top w:val="nil"/>
              <w:left w:val="single" w:sz="8" w:space="0" w:color="auto"/>
              <w:bottom w:val="single" w:sz="8" w:space="0" w:color="auto"/>
              <w:right w:val="single" w:sz="8" w:space="0" w:color="auto"/>
            </w:tcBorders>
            <w:shd w:val="clear" w:color="auto" w:fill="auto"/>
            <w:noWrap/>
            <w:vAlign w:val="bottom"/>
            <w:hideMark/>
          </w:tcPr>
          <w:p w14:paraId="0163A953"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74" w:type="dxa"/>
            <w:tcBorders>
              <w:top w:val="single" w:sz="8" w:space="0" w:color="auto"/>
              <w:left w:val="nil"/>
              <w:bottom w:val="single" w:sz="8" w:space="0" w:color="auto"/>
              <w:right w:val="single" w:sz="8" w:space="0" w:color="auto"/>
            </w:tcBorders>
            <w:shd w:val="clear" w:color="auto" w:fill="auto"/>
            <w:noWrap/>
            <w:vAlign w:val="bottom"/>
            <w:hideMark/>
          </w:tcPr>
          <w:p w14:paraId="67638DF2"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14:paraId="714970FA"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298019FD"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26" w:type="dxa"/>
            <w:tcBorders>
              <w:top w:val="single" w:sz="8" w:space="0" w:color="auto"/>
              <w:left w:val="nil"/>
              <w:bottom w:val="single" w:sz="8" w:space="0" w:color="auto"/>
              <w:right w:val="single" w:sz="8" w:space="0" w:color="auto"/>
            </w:tcBorders>
            <w:shd w:val="clear" w:color="auto" w:fill="auto"/>
            <w:noWrap/>
            <w:vAlign w:val="bottom"/>
            <w:hideMark/>
          </w:tcPr>
          <w:p w14:paraId="3271B96E"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14:paraId="4FE3857B"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c>
          <w:tcPr>
            <w:tcW w:w="1395" w:type="dxa"/>
            <w:tcBorders>
              <w:top w:val="single" w:sz="8" w:space="0" w:color="auto"/>
              <w:left w:val="nil"/>
              <w:bottom w:val="single" w:sz="8" w:space="0" w:color="auto"/>
              <w:right w:val="single" w:sz="8" w:space="0" w:color="auto"/>
            </w:tcBorders>
            <w:shd w:val="clear" w:color="000000" w:fill="D9D9D9"/>
            <w:noWrap/>
            <w:vAlign w:val="bottom"/>
            <w:hideMark/>
          </w:tcPr>
          <w:p w14:paraId="66849553" w14:textId="77777777" w:rsidR="008E16F6" w:rsidRPr="008E16F6" w:rsidRDefault="008E16F6" w:rsidP="008E16F6">
            <w:pPr>
              <w:spacing w:after="0" w:line="240" w:lineRule="auto"/>
              <w:jc w:val="center"/>
              <w:rPr>
                <w:rFonts w:ascii="Times New Roman" w:eastAsia="Times New Roman" w:hAnsi="Times New Roman" w:cs="Times New Roman"/>
                <w:b/>
                <w:bCs/>
                <w:color w:val="000000"/>
                <w:sz w:val="20"/>
                <w:szCs w:val="20"/>
              </w:rPr>
            </w:pPr>
          </w:p>
        </w:tc>
      </w:tr>
    </w:tbl>
    <w:p w14:paraId="73232A2E"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rPr>
      </w:pPr>
      <w:r w:rsidRPr="00BA7646">
        <w:rPr>
          <w:rFonts w:ascii="Times New Roman" w:eastAsia="Times New Roman" w:hAnsi="Times New Roman" w:cs="Times New Roman"/>
          <w:color w:val="000000"/>
          <w:sz w:val="24"/>
          <w:szCs w:val="24"/>
        </w:rPr>
        <w:fldChar w:fldCharType="end"/>
      </w:r>
      <w:r w:rsidRPr="00BA7646">
        <w:rPr>
          <w:rFonts w:ascii="Times New Roman" w:eastAsia="Times New Roman" w:hAnsi="Times New Roman" w:cs="Times New Roman"/>
          <w:i/>
          <w:spacing w:val="-4"/>
          <w:sz w:val="16"/>
          <w:szCs w:val="16"/>
        </w:rPr>
        <w:t xml:space="preserve">Source: ACS Census 2015, HMDA Aggregate Data 2018 and 2019, HMDA LAR Data 2018 and 2019   </w:t>
      </w:r>
    </w:p>
    <w:p w14:paraId="27162471"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1780D51A"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r w:rsidRPr="00BA7646">
        <w:rPr>
          <w:rFonts w:ascii="Times New Roman" w:eastAsia="Times New Roman" w:hAnsi="Times New Roman" w:cs="Times New Roman"/>
          <w:color w:val="000000"/>
          <w:sz w:val="24"/>
          <w:szCs w:val="24"/>
        </w:rPr>
        <w:t>In 2018, the bank received 1,152 HMDA reportable loan applications within its assessment area.  Of these applications, 201 or 17.4 percent were received from minority applicants, 49.3 percent of which resulted in originations.  The aggregate received 12.8 percent of its applications from minority consumers, of which 52.3 percent of which were originated.  For the same time period, the bank received 71 or 6.2 percent of all applications from ethnic groups of Hispanic origin within its assessment area all of which 69.0 were originated, compared to an aggregate ethnic minority application rate of 6.2 percent with a 50.4 percent origination rate.</w:t>
      </w:r>
    </w:p>
    <w:p w14:paraId="447BF5F3"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p>
    <w:p w14:paraId="62974B42" w14:textId="77777777" w:rsidR="005A2488" w:rsidRPr="00BA7646" w:rsidRDefault="005A2488" w:rsidP="005A2488">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r w:rsidRPr="00BA7646">
        <w:rPr>
          <w:rFonts w:ascii="Times New Roman" w:eastAsia="Times New Roman" w:hAnsi="Times New Roman" w:cs="Times New Roman"/>
          <w:color w:val="000000"/>
          <w:sz w:val="24"/>
          <w:szCs w:val="24"/>
        </w:rPr>
        <w:lastRenderedPageBreak/>
        <w:t>In 2019, the bank received 1,881 HMDA reportable loan applications within its assessment area.  Of these applications, 271 or 14.4 percent were received from minority applicants, 64.9 percent of which resulted in originations.  The aggregate received 11.7 percent of its applications from minority consumers, of which 54.1 percent of which were originated.  For the same time period, the bank received 117 or 6.2 percent of all applications from ethnic groups of Hispanic origin within its assessment area all of which 57.3 percent were originated, compared to an aggregate ethnic minority application rate of 6.1 percent with a 52.1 percent origination rate.</w:t>
      </w:r>
    </w:p>
    <w:p w14:paraId="612F16F7" w14:textId="77777777" w:rsidR="005A2488" w:rsidRPr="00BA7646" w:rsidRDefault="005A2488" w:rsidP="005A2488">
      <w:pPr>
        <w:tabs>
          <w:tab w:val="center" w:pos="4680"/>
        </w:tabs>
        <w:spacing w:after="0" w:line="240" w:lineRule="auto"/>
        <w:rPr>
          <w:rFonts w:ascii="Times New Roman" w:eastAsia="Times New Roman" w:hAnsi="Times New Roman" w:cs="Times New Roman"/>
          <w:color w:val="000000"/>
          <w:sz w:val="24"/>
          <w:szCs w:val="24"/>
        </w:rPr>
      </w:pPr>
    </w:p>
    <w:p w14:paraId="6690E276" w14:textId="77777777" w:rsidR="005A2488" w:rsidRPr="00BA7646" w:rsidRDefault="005A2488" w:rsidP="005A2488">
      <w:pPr>
        <w:tabs>
          <w:tab w:val="center" w:pos="4680"/>
        </w:tabs>
        <w:spacing w:after="0" w:line="240" w:lineRule="auto"/>
        <w:rPr>
          <w:rFonts w:ascii="Times New Roman" w:eastAsia="Times New Roman" w:hAnsi="Times New Roman" w:cs="Times New Roman"/>
          <w:color w:val="000000"/>
          <w:sz w:val="24"/>
          <w:szCs w:val="24"/>
        </w:rPr>
      </w:pPr>
      <w:r w:rsidRPr="00BA7646">
        <w:rPr>
          <w:rFonts w:ascii="Times New Roman" w:eastAsia="Times New Roman" w:hAnsi="Times New Roman" w:cs="Times New Roman"/>
          <w:color w:val="000000"/>
          <w:sz w:val="24"/>
          <w:szCs w:val="24"/>
        </w:rPr>
        <w:t>The bank’s lending in 2018 and 2019 reflect a reasonable racial minority application flow.  Considering the demographic composition of the assessment area and comparisons to aggregate data in 2019, the bank’s minority application flow is reasonable.</w:t>
      </w:r>
    </w:p>
    <w:p w14:paraId="5F4CB5D0" w14:textId="77777777" w:rsidR="005A2488" w:rsidRDefault="005A2488" w:rsidP="005A2488">
      <w:pPr>
        <w:rPr>
          <w:rFonts w:ascii="Times New Roman" w:eastAsia="Times New Roman" w:hAnsi="Times New Roman" w:cs="Times New Roman"/>
          <w:color w:val="000000"/>
          <w:sz w:val="24"/>
          <w:szCs w:val="24"/>
        </w:rPr>
      </w:pPr>
    </w:p>
    <w:p w14:paraId="1CE7CA73" w14:textId="77777777" w:rsidR="005A2488" w:rsidRDefault="005A2488" w:rsidP="005A2488">
      <w:pPr>
        <w:rPr>
          <w:rFonts w:ascii="Times New Roman" w:eastAsia="Times New Roman" w:hAnsi="Times New Roman" w:cs="Times New Roman"/>
          <w:color w:val="000000"/>
          <w:sz w:val="24"/>
          <w:szCs w:val="24"/>
        </w:rPr>
      </w:pPr>
    </w:p>
    <w:p w14:paraId="6D78C9CB" w14:textId="5F359578" w:rsidR="00A521ED" w:rsidRDefault="00A521ED">
      <w:pPr>
        <w:rPr>
          <w:rFonts w:ascii="Times New Roman" w:eastAsia="Times New Roman" w:hAnsi="Times New Roman" w:cs="Times New Roman"/>
          <w:color w:val="000000"/>
          <w:sz w:val="24"/>
          <w:szCs w:val="24"/>
        </w:rPr>
      </w:pPr>
    </w:p>
    <w:p w14:paraId="25B402CC" w14:textId="6DFC7913" w:rsidR="005A2488" w:rsidRDefault="005A2488">
      <w:pPr>
        <w:rPr>
          <w:rFonts w:ascii="Times New Roman" w:eastAsia="Times New Roman" w:hAnsi="Times New Roman" w:cs="Times New Roman"/>
          <w:color w:val="000000"/>
          <w:sz w:val="24"/>
          <w:szCs w:val="24"/>
        </w:rPr>
      </w:pPr>
    </w:p>
    <w:p w14:paraId="09BDB6CE" w14:textId="2B311AC7" w:rsidR="005A2488" w:rsidRDefault="005A2488">
      <w:pPr>
        <w:rPr>
          <w:rFonts w:ascii="Times New Roman" w:eastAsia="Times New Roman" w:hAnsi="Times New Roman" w:cs="Times New Roman"/>
          <w:color w:val="000000"/>
          <w:sz w:val="24"/>
          <w:szCs w:val="24"/>
        </w:rPr>
      </w:pPr>
    </w:p>
    <w:p w14:paraId="15DD2122" w14:textId="3ADE8E07" w:rsidR="005A2488" w:rsidRDefault="005A2488">
      <w:pPr>
        <w:rPr>
          <w:rFonts w:ascii="Times New Roman" w:eastAsia="Times New Roman" w:hAnsi="Times New Roman" w:cs="Times New Roman"/>
          <w:color w:val="000000"/>
          <w:sz w:val="24"/>
          <w:szCs w:val="24"/>
        </w:rPr>
      </w:pPr>
    </w:p>
    <w:p w14:paraId="06FB7DF6" w14:textId="77777777" w:rsidR="005A2488" w:rsidRDefault="005A2488">
      <w:pPr>
        <w:rPr>
          <w:rFonts w:ascii="Times New Roman" w:eastAsia="Times New Roman" w:hAnsi="Times New Roman" w:cs="Times New Roman"/>
          <w:color w:val="000000"/>
          <w:sz w:val="24"/>
          <w:szCs w:val="24"/>
        </w:rPr>
      </w:pPr>
    </w:p>
    <w:p w14:paraId="4DE25E5E" w14:textId="77777777" w:rsidR="00A521ED" w:rsidRDefault="00A521ED">
      <w:pPr>
        <w:rPr>
          <w:rFonts w:ascii="Times New Roman" w:eastAsia="Times New Roman" w:hAnsi="Times New Roman" w:cs="Times New Roman"/>
          <w:color w:val="000000"/>
          <w:sz w:val="24"/>
          <w:szCs w:val="24"/>
        </w:rPr>
      </w:pPr>
    </w:p>
    <w:p w14:paraId="004B0C1A" w14:textId="77777777" w:rsidR="00A521ED" w:rsidRDefault="00A521ED">
      <w:pPr>
        <w:rPr>
          <w:rFonts w:ascii="Times New Roman" w:eastAsia="Times New Roman" w:hAnsi="Times New Roman" w:cs="Times New Roman"/>
          <w:color w:val="000000"/>
          <w:sz w:val="24"/>
          <w:szCs w:val="24"/>
        </w:rPr>
      </w:pPr>
    </w:p>
    <w:p w14:paraId="5A1BEDA7" w14:textId="77777777" w:rsidR="00A521ED" w:rsidRDefault="00A521ED">
      <w:pPr>
        <w:rPr>
          <w:rFonts w:ascii="Times New Roman" w:eastAsia="Times New Roman" w:hAnsi="Times New Roman" w:cs="Times New Roman"/>
          <w:color w:val="000000"/>
          <w:sz w:val="24"/>
          <w:szCs w:val="24"/>
        </w:rPr>
      </w:pPr>
    </w:p>
    <w:p w14:paraId="7C78FFF3" w14:textId="77777777" w:rsidR="00A521ED" w:rsidRDefault="00A521ED">
      <w:pPr>
        <w:rPr>
          <w:rFonts w:ascii="Times New Roman" w:eastAsia="Times New Roman" w:hAnsi="Times New Roman" w:cs="Times New Roman"/>
          <w:color w:val="000000"/>
          <w:sz w:val="24"/>
          <w:szCs w:val="24"/>
        </w:rPr>
      </w:pPr>
    </w:p>
    <w:p w14:paraId="4900052A" w14:textId="77777777" w:rsidR="00A521ED" w:rsidRDefault="00A521ED">
      <w:pPr>
        <w:rPr>
          <w:rFonts w:ascii="Times New Roman" w:eastAsia="Times New Roman" w:hAnsi="Times New Roman" w:cs="Times New Roman"/>
          <w:color w:val="000000"/>
          <w:sz w:val="24"/>
          <w:szCs w:val="24"/>
        </w:rPr>
      </w:pPr>
    </w:p>
    <w:p w14:paraId="20D2E7B6" w14:textId="77777777" w:rsidR="00A521ED" w:rsidRDefault="00A521ED">
      <w:pPr>
        <w:rPr>
          <w:rFonts w:ascii="Times New Roman" w:eastAsia="Times New Roman" w:hAnsi="Times New Roman" w:cs="Times New Roman"/>
          <w:color w:val="000000"/>
          <w:sz w:val="24"/>
          <w:szCs w:val="24"/>
        </w:rPr>
      </w:pPr>
    </w:p>
    <w:p w14:paraId="56100795" w14:textId="77777777" w:rsidR="00A521ED" w:rsidRDefault="00A521ED">
      <w:pPr>
        <w:rPr>
          <w:rFonts w:ascii="Times New Roman" w:eastAsia="Times New Roman" w:hAnsi="Times New Roman" w:cs="Times New Roman"/>
          <w:color w:val="000000"/>
          <w:sz w:val="24"/>
          <w:szCs w:val="24"/>
        </w:rPr>
      </w:pPr>
    </w:p>
    <w:p w14:paraId="3FFFD07F" w14:textId="77777777" w:rsidR="00A521ED" w:rsidRDefault="00A521ED">
      <w:pPr>
        <w:rPr>
          <w:rFonts w:ascii="Times New Roman" w:eastAsia="Times New Roman" w:hAnsi="Times New Roman" w:cs="Times New Roman"/>
          <w:color w:val="000000"/>
          <w:sz w:val="24"/>
          <w:szCs w:val="24"/>
        </w:rPr>
      </w:pPr>
    </w:p>
    <w:p w14:paraId="53EE6B28" w14:textId="77777777" w:rsidR="00A521ED" w:rsidRDefault="00A521ED">
      <w:pPr>
        <w:rPr>
          <w:rFonts w:ascii="Times New Roman" w:eastAsia="Times New Roman" w:hAnsi="Times New Roman" w:cs="Times New Roman"/>
          <w:color w:val="000000"/>
          <w:sz w:val="24"/>
          <w:szCs w:val="24"/>
        </w:rPr>
      </w:pPr>
    </w:p>
    <w:p w14:paraId="7C91C142" w14:textId="77777777" w:rsidR="00A521ED" w:rsidRDefault="00A521ED">
      <w:pPr>
        <w:rPr>
          <w:rFonts w:ascii="Times New Roman" w:eastAsia="Times New Roman" w:hAnsi="Times New Roman" w:cs="Times New Roman"/>
          <w:color w:val="000000"/>
          <w:sz w:val="24"/>
          <w:szCs w:val="24"/>
        </w:rPr>
      </w:pPr>
    </w:p>
    <w:p w14:paraId="7EAFF81C" w14:textId="77777777" w:rsidR="00A521ED" w:rsidRDefault="00A521ED">
      <w:pPr>
        <w:rPr>
          <w:rFonts w:ascii="Times New Roman" w:eastAsia="Times New Roman" w:hAnsi="Times New Roman" w:cs="Times New Roman"/>
          <w:color w:val="000000"/>
          <w:sz w:val="24"/>
          <w:szCs w:val="24"/>
        </w:rPr>
      </w:pPr>
    </w:p>
    <w:p w14:paraId="3FCE432E" w14:textId="77777777" w:rsidR="00A521ED" w:rsidRDefault="00A521ED">
      <w:pPr>
        <w:rPr>
          <w:rFonts w:ascii="Times New Roman" w:eastAsia="Times New Roman" w:hAnsi="Times New Roman" w:cs="Times New Roman"/>
          <w:color w:val="000000"/>
          <w:sz w:val="24"/>
          <w:szCs w:val="24"/>
        </w:rPr>
      </w:pPr>
    </w:p>
    <w:p w14:paraId="66F42309" w14:textId="77777777" w:rsidR="00E50970" w:rsidRPr="00E50970" w:rsidRDefault="00E50970" w:rsidP="00E50970">
      <w:pPr>
        <w:pStyle w:val="Heading2"/>
      </w:pPr>
      <w:bookmarkStart w:id="28" w:name="_Toc70419337"/>
      <w:r w:rsidRPr="00E50970">
        <w:lastRenderedPageBreak/>
        <w:t>GLOSSARY</w:t>
      </w:r>
      <w:bookmarkEnd w:id="28"/>
    </w:p>
    <w:p w14:paraId="3EF0FC9E"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3E1805E7"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Aggregate Lending:</w:t>
      </w:r>
      <w:r w:rsidRPr="00E50970">
        <w:rPr>
          <w:rFonts w:ascii="Times New Roman" w:eastAsia="Times New Roman" w:hAnsi="Times New Roman" w:cs="Times New Roman"/>
          <w:sz w:val="24"/>
          <w:szCs w:val="24"/>
        </w:rPr>
        <w:t xml:space="preserve">  The number of loans originated and purchased by all reporting lenders in specified income categories as a percentage of the aggregate number of loans originated and purchased by all reporting lenders in the metropolitan area/assessment area.</w:t>
      </w:r>
    </w:p>
    <w:p w14:paraId="3AA733DA"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3B7D103B" w14:textId="77777777" w:rsidR="00E50970" w:rsidRPr="00E50970" w:rsidRDefault="00E50970" w:rsidP="00E50970">
      <w:pPr>
        <w:spacing w:after="0" w:line="240" w:lineRule="auto"/>
        <w:rPr>
          <w:rFonts w:ascii="Times New Roman" w:eastAsia="Times New Roman" w:hAnsi="Times New Roman" w:cs="Times New Roman"/>
          <w:i/>
          <w:iCs/>
          <w:sz w:val="24"/>
          <w:szCs w:val="24"/>
        </w:rPr>
      </w:pPr>
      <w:r w:rsidRPr="00E50970">
        <w:rPr>
          <w:rFonts w:ascii="Times New Roman" w:eastAsia="Times New Roman" w:hAnsi="Times New Roman" w:cs="Times New Roman"/>
          <w:b/>
          <w:bCs/>
          <w:sz w:val="24"/>
          <w:szCs w:val="24"/>
        </w:rPr>
        <w:t xml:space="preserve">Area Median Income:  </w:t>
      </w:r>
      <w:r w:rsidRPr="00E50970">
        <w:rPr>
          <w:rFonts w:ascii="Times New Roman" w:eastAsia="Times New Roman" w:hAnsi="Times New Roman" w:cs="Times New Roman"/>
          <w:sz w:val="24"/>
          <w:szCs w:val="24"/>
        </w:rPr>
        <w:t>The median family income for the MSA, if a person or geography is located in an MSA; or the statewide nonmetropolitan median family income, if a person or geography is located outside an MSA</w:t>
      </w:r>
      <w:r w:rsidRPr="00E50970">
        <w:rPr>
          <w:rFonts w:ascii="Times New Roman" w:eastAsia="Times New Roman" w:hAnsi="Times New Roman" w:cs="Times New Roman"/>
          <w:i/>
          <w:iCs/>
          <w:sz w:val="24"/>
          <w:szCs w:val="24"/>
        </w:rPr>
        <w:t>.</w:t>
      </w:r>
    </w:p>
    <w:p w14:paraId="47E47FB3"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2403CED2"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Assessment Area:</w:t>
      </w:r>
      <w:r w:rsidRPr="00E50970">
        <w:rPr>
          <w:rFonts w:ascii="Times New Roman" w:eastAsia="Times New Roman" w:hAnsi="Times New Roman" w:cs="Times New Roman"/>
          <w:sz w:val="24"/>
          <w:szCs w:val="24"/>
        </w:rPr>
        <w:t xml:space="preserve">  A geographic area delineated by the bank under the requirements of the Community Reinvestment Act.</w:t>
      </w:r>
    </w:p>
    <w:p w14:paraId="41220B22"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5211DDB5"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Census Tract:  </w:t>
      </w:r>
      <w:r w:rsidRPr="00E50970">
        <w:rPr>
          <w:rFonts w:ascii="Times New Roman" w:eastAsia="Times New Roman" w:hAnsi="Times New Roman" w:cs="Times New Roman"/>
          <w:sz w:val="24"/>
          <w:szCs w:val="24"/>
        </w:rPr>
        <w:t xml:space="preserve">A small, relatively permanent statistical subdivision of a county or equivalent entity.  The primary purpose of census tracts is to provide a stable set of geographic units for the presentation of statistical data.  Census tracts generally have a population size between 1,200 and 8,000 people, with an optimum size of 4,000 people.  Census tract boundaries generally follow visible and identifiable features, but they may follow nonvisible legal boundaries in some instances.  State and county boundaries always are census tract boundaries.  </w:t>
      </w:r>
    </w:p>
    <w:p w14:paraId="1273581A"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6E078DC6" w14:textId="77777777" w:rsidR="00E50970" w:rsidRPr="00E50970" w:rsidRDefault="00E50970" w:rsidP="00E50970">
      <w:pPr>
        <w:widowControl w:val="0"/>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Combined Statistical Area (CSA):  </w:t>
      </w:r>
      <w:r w:rsidRPr="00E50970">
        <w:rPr>
          <w:rFonts w:ascii="Times New Roman" w:eastAsia="Times New Roman" w:hAnsi="Times New Roman" w:cs="Times New Roman"/>
          <w:sz w:val="24"/>
          <w:szCs w:val="24"/>
        </w:rPr>
        <w:t xml:space="preserve">A combination of several adjacent metropolitan statistical areas or micropolitan statistical areas or a mix of the two, which are linked by economic ties.  </w:t>
      </w:r>
    </w:p>
    <w:p w14:paraId="32D6C4D7"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744A32C3" w14:textId="77777777" w:rsidR="005E1A36" w:rsidRPr="005E1A36" w:rsidRDefault="005E1A36" w:rsidP="005E1A36">
      <w:pPr>
        <w:spacing w:after="0" w:line="240" w:lineRule="auto"/>
        <w:rPr>
          <w:rFonts w:ascii="Times New Roman" w:eastAsia="Times New Roman" w:hAnsi="Times New Roman" w:cs="Times New Roman"/>
          <w:sz w:val="24"/>
          <w:szCs w:val="24"/>
        </w:rPr>
      </w:pPr>
      <w:r w:rsidRPr="005E1A36">
        <w:rPr>
          <w:rFonts w:ascii="Times New Roman" w:eastAsia="Times New Roman" w:hAnsi="Times New Roman" w:cs="Times New Roman"/>
          <w:b/>
          <w:bCs/>
          <w:sz w:val="24"/>
          <w:szCs w:val="24"/>
        </w:rPr>
        <w:t xml:space="preserve">Community Development:  </w:t>
      </w:r>
      <w:r w:rsidRPr="005E1A36">
        <w:rPr>
          <w:rFonts w:ascii="Times New Roman" w:eastAsia="Times New Roman" w:hAnsi="Times New Roman" w:cs="Times New Roman"/>
          <w:sz w:val="24"/>
          <w:szCs w:val="24"/>
        </w:rPr>
        <w:t>For loans, investments, and services to qualify as community development activities, their primary purpose must:</w:t>
      </w:r>
    </w:p>
    <w:p w14:paraId="5D8A47B1" w14:textId="77777777" w:rsidR="005E1A36" w:rsidRPr="005E1A36" w:rsidRDefault="005E1A36" w:rsidP="005E1A36">
      <w:pPr>
        <w:tabs>
          <w:tab w:val="left" w:pos="720"/>
        </w:tabs>
        <w:spacing w:after="0" w:line="240" w:lineRule="auto"/>
        <w:ind w:left="720" w:hanging="360"/>
        <w:rPr>
          <w:rFonts w:ascii="Times New Roman" w:eastAsia="Times New Roman" w:hAnsi="Times New Roman" w:cs="Times New Roman"/>
          <w:sz w:val="24"/>
          <w:szCs w:val="24"/>
        </w:rPr>
      </w:pPr>
      <w:r w:rsidRPr="005E1A36">
        <w:rPr>
          <w:rFonts w:ascii="Times New Roman" w:eastAsia="Times New Roman" w:hAnsi="Times New Roman" w:cs="Times New Roman"/>
          <w:sz w:val="24"/>
          <w:szCs w:val="24"/>
        </w:rPr>
        <w:t>(1)</w:t>
      </w:r>
      <w:r w:rsidRPr="005E1A36">
        <w:rPr>
          <w:rFonts w:ascii="Times New Roman" w:eastAsia="Times New Roman" w:hAnsi="Times New Roman" w:cs="Times New Roman"/>
          <w:sz w:val="24"/>
          <w:szCs w:val="24"/>
        </w:rPr>
        <w:tab/>
        <w:t xml:space="preserve">Support affordable housing for low- and moderate-income individuals; </w:t>
      </w:r>
    </w:p>
    <w:p w14:paraId="1CED3E06" w14:textId="77777777" w:rsidR="005E1A36" w:rsidRPr="005E1A36" w:rsidRDefault="005E1A36" w:rsidP="005E1A36">
      <w:pPr>
        <w:tabs>
          <w:tab w:val="left" w:pos="720"/>
        </w:tabs>
        <w:spacing w:after="0" w:line="240" w:lineRule="auto"/>
        <w:ind w:left="720" w:hanging="360"/>
        <w:rPr>
          <w:rFonts w:ascii="Times New Roman" w:eastAsia="Times New Roman" w:hAnsi="Times New Roman" w:cs="Times New Roman"/>
          <w:sz w:val="24"/>
          <w:szCs w:val="24"/>
        </w:rPr>
      </w:pPr>
      <w:r w:rsidRPr="005E1A36">
        <w:rPr>
          <w:rFonts w:ascii="Times New Roman" w:eastAsia="Times New Roman" w:hAnsi="Times New Roman" w:cs="Times New Roman"/>
          <w:sz w:val="24"/>
          <w:szCs w:val="24"/>
        </w:rPr>
        <w:t>(2)</w:t>
      </w:r>
      <w:r w:rsidRPr="005E1A36">
        <w:rPr>
          <w:rFonts w:ascii="Times New Roman" w:eastAsia="Times New Roman" w:hAnsi="Times New Roman" w:cs="Times New Roman"/>
          <w:sz w:val="24"/>
          <w:szCs w:val="24"/>
        </w:rPr>
        <w:tab/>
        <w:t xml:space="preserve">Target community services toward low- and moderate-income individuals; </w:t>
      </w:r>
    </w:p>
    <w:p w14:paraId="54713529" w14:textId="77777777" w:rsidR="005E1A36" w:rsidRPr="005E1A36" w:rsidRDefault="005E1A36" w:rsidP="005E1A36">
      <w:pPr>
        <w:tabs>
          <w:tab w:val="left" w:pos="720"/>
        </w:tabs>
        <w:spacing w:after="0" w:line="240" w:lineRule="auto"/>
        <w:ind w:left="720" w:hanging="360"/>
        <w:rPr>
          <w:rFonts w:ascii="Times New Roman" w:eastAsia="Times New Roman" w:hAnsi="Times New Roman" w:cs="Times New Roman"/>
          <w:sz w:val="24"/>
          <w:szCs w:val="24"/>
        </w:rPr>
      </w:pPr>
      <w:r w:rsidRPr="005E1A36">
        <w:rPr>
          <w:rFonts w:ascii="Times New Roman" w:eastAsia="Times New Roman" w:hAnsi="Times New Roman" w:cs="Times New Roman"/>
          <w:sz w:val="24"/>
          <w:szCs w:val="24"/>
        </w:rPr>
        <w:t>(3)</w:t>
      </w:r>
      <w:r w:rsidRPr="005E1A36">
        <w:rPr>
          <w:rFonts w:ascii="Times New Roman" w:eastAsia="Times New Roman" w:hAnsi="Times New Roman" w:cs="Times New Roman"/>
          <w:sz w:val="24"/>
          <w:szCs w:val="24"/>
        </w:rPr>
        <w:tab/>
        <w:t>Promote economic development by financing small businesses or farms; or</w:t>
      </w:r>
    </w:p>
    <w:p w14:paraId="16113C97" w14:textId="77777777" w:rsidR="005E1A36" w:rsidRPr="005E1A36" w:rsidRDefault="005E1A36" w:rsidP="005E1A36">
      <w:pPr>
        <w:tabs>
          <w:tab w:val="left" w:pos="720"/>
        </w:tabs>
        <w:spacing w:after="0" w:line="240" w:lineRule="auto"/>
        <w:ind w:left="720" w:hanging="360"/>
        <w:rPr>
          <w:rFonts w:ascii="Times New Roman" w:eastAsia="Times New Roman" w:hAnsi="Times New Roman" w:cs="Times New Roman"/>
          <w:sz w:val="24"/>
          <w:szCs w:val="24"/>
        </w:rPr>
      </w:pPr>
      <w:r w:rsidRPr="005E1A36">
        <w:rPr>
          <w:rFonts w:ascii="Times New Roman" w:eastAsia="Times New Roman" w:hAnsi="Times New Roman" w:cs="Times New Roman"/>
          <w:sz w:val="24"/>
          <w:szCs w:val="24"/>
        </w:rPr>
        <w:t>(4)</w:t>
      </w:r>
      <w:r w:rsidRPr="005E1A36">
        <w:rPr>
          <w:rFonts w:ascii="Times New Roman" w:eastAsia="Times New Roman" w:hAnsi="Times New Roman" w:cs="Times New Roman"/>
          <w:sz w:val="24"/>
          <w:szCs w:val="24"/>
        </w:rPr>
        <w:tab/>
        <w:t>Provide activities that revitalize or stabilize low- and moderate-income geographies, designated disaster areas, or distressed or underserved nonmetropolitan middle-income geographies.</w:t>
      </w:r>
    </w:p>
    <w:p w14:paraId="2E4E2667"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07240414"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Community Development Corporation (CDC):  </w:t>
      </w:r>
      <w:r w:rsidRPr="00E50970">
        <w:rPr>
          <w:rFonts w:ascii="Times New Roman" w:eastAsia="Times New Roman" w:hAnsi="Times New Roman" w:cs="Times New Roman"/>
          <w:sz w:val="24"/>
          <w:szCs w:val="24"/>
        </w:rPr>
        <w:t xml:space="preserve">A CDC allows banks and holding companies to make equity type of investments in community development projects.  Bank CDCs can develop innovative debt instruments or provide near-equity investments tailored to the development needs of the community.  Bank CDCs are also tailored to their financial and marketing needs.  A CDC may purchase, own, rehabilitate, construct, manage,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0BBD31C2"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742AA5AE"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Community Development Financial Institutions (CDFIs):</w:t>
      </w:r>
      <w:r w:rsidRPr="00E50970">
        <w:rPr>
          <w:rFonts w:ascii="Times New Roman" w:eastAsia="Times New Roman" w:hAnsi="Times New Roman" w:cs="Times New Roman"/>
          <w:sz w:val="24"/>
          <w:szCs w:val="24"/>
        </w:rPr>
        <w:t xml:space="preserve">  CDFIs are private intermediaries (either for profit or nonprofit)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w:t>
      </w:r>
      <w:r w:rsidRPr="00E50970">
        <w:rPr>
          <w:rFonts w:ascii="Times New Roman" w:eastAsia="Times New Roman" w:hAnsi="Times New Roman" w:cs="Times New Roman"/>
          <w:sz w:val="24"/>
          <w:szCs w:val="24"/>
        </w:rPr>
        <w:lastRenderedPageBreak/>
        <w:t xml:space="preserve">funds, community development credit unions, micro enterprise funds, and community development venture capital funds.  </w:t>
      </w:r>
    </w:p>
    <w:p w14:paraId="23230BFC"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28F7B1F"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A certified CDFI must meet eligibility requirements.  These requirements include the following:</w:t>
      </w:r>
    </w:p>
    <w:p w14:paraId="25730D0F" w14:textId="77777777" w:rsidR="00E50970" w:rsidRPr="00E50970" w:rsidRDefault="00E50970" w:rsidP="00E5097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Having a primary mission of promoting community development; </w:t>
      </w:r>
    </w:p>
    <w:p w14:paraId="49C8C626" w14:textId="77777777" w:rsidR="00E50970" w:rsidRPr="00E50970" w:rsidRDefault="00E50970" w:rsidP="00E5097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Serving an investment area or target population; </w:t>
      </w:r>
    </w:p>
    <w:p w14:paraId="36668782" w14:textId="77777777" w:rsidR="00E50970" w:rsidRPr="00E50970" w:rsidRDefault="00E50970" w:rsidP="00E5097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Providing development services; </w:t>
      </w:r>
    </w:p>
    <w:p w14:paraId="166948B1" w14:textId="77777777" w:rsidR="00E50970" w:rsidRPr="00E50970" w:rsidRDefault="00E50970" w:rsidP="00E5097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Maintaining accountability to residents of its investment area or targeted population through representation on its governing board of directors, or by other means; </w:t>
      </w:r>
    </w:p>
    <w:p w14:paraId="60166632" w14:textId="77777777" w:rsidR="00E50970" w:rsidRPr="00E50970" w:rsidRDefault="00E50970" w:rsidP="00E5097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Not constituting an agency or instrumentality of the United States, of any state or political subdivision of a state.</w:t>
      </w:r>
    </w:p>
    <w:p w14:paraId="565B7955"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0E4AA4AC"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Community Development Loan:</w:t>
      </w:r>
      <w:r w:rsidRPr="00E50970">
        <w:rPr>
          <w:rFonts w:ascii="Times New Roman" w:eastAsia="Times New Roman" w:hAnsi="Times New Roman" w:cs="Times New Roman"/>
          <w:sz w:val="24"/>
          <w:szCs w:val="24"/>
        </w:rPr>
        <w:t xml:space="preserve">  A loan that</w:t>
      </w:r>
      <w:r w:rsidR="005E1A36">
        <w:rPr>
          <w:rFonts w:ascii="Times New Roman" w:eastAsia="Times New Roman" w:hAnsi="Times New Roman" w:cs="Times New Roman"/>
          <w:sz w:val="24"/>
          <w:szCs w:val="24"/>
        </w:rPr>
        <w:t>:</w:t>
      </w:r>
      <w:r w:rsidRPr="00E50970">
        <w:rPr>
          <w:rFonts w:ascii="Times New Roman" w:eastAsia="Times New Roman" w:hAnsi="Times New Roman" w:cs="Times New Roman"/>
          <w:sz w:val="24"/>
          <w:szCs w:val="24"/>
        </w:rPr>
        <w:t xml:space="preserve"> </w:t>
      </w:r>
    </w:p>
    <w:p w14:paraId="609C1873"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(1) Has as its primary purpose community development; and </w:t>
      </w:r>
    </w:p>
    <w:p w14:paraId="5F62D5EF"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(2) Except in the case of a wholesale or limited purpose bank:  </w:t>
      </w:r>
    </w:p>
    <w:p w14:paraId="6DB609B6"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(i) Has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7B9F8DCA"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(ii) Benefits the bank’s assessment area(s) or a broader statewide or regional area including the bank’s assessment area(s).   </w:t>
      </w:r>
    </w:p>
    <w:p w14:paraId="330F7632"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733620B8"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Community Development Service:</w:t>
      </w:r>
      <w:r w:rsidRPr="00E50970">
        <w:rPr>
          <w:rFonts w:ascii="Times New Roman" w:eastAsia="Times New Roman" w:hAnsi="Times New Roman" w:cs="Times New Roman"/>
          <w:sz w:val="24"/>
          <w:szCs w:val="24"/>
        </w:rPr>
        <w:t xml:space="preserve">  A service that</w:t>
      </w:r>
      <w:r w:rsidR="005E1A36">
        <w:rPr>
          <w:rFonts w:ascii="Times New Roman" w:eastAsia="Times New Roman" w:hAnsi="Times New Roman" w:cs="Times New Roman"/>
          <w:sz w:val="24"/>
          <w:szCs w:val="24"/>
        </w:rPr>
        <w:t>:</w:t>
      </w:r>
      <w:r w:rsidRPr="00E50970">
        <w:rPr>
          <w:rFonts w:ascii="Times New Roman" w:eastAsia="Times New Roman" w:hAnsi="Times New Roman" w:cs="Times New Roman"/>
          <w:sz w:val="24"/>
          <w:szCs w:val="24"/>
        </w:rPr>
        <w:t xml:space="preserve"> </w:t>
      </w:r>
    </w:p>
    <w:p w14:paraId="7E923AC3"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(1) </w:t>
      </w:r>
      <w:proofErr w:type="gramStart"/>
      <w:r w:rsidRPr="00E50970">
        <w:rPr>
          <w:rFonts w:ascii="Times New Roman" w:eastAsia="Times New Roman" w:hAnsi="Times New Roman" w:cs="Times New Roman"/>
          <w:sz w:val="24"/>
          <w:szCs w:val="24"/>
        </w:rPr>
        <w:t>Has</w:t>
      </w:r>
      <w:proofErr w:type="gramEnd"/>
      <w:r w:rsidRPr="00E50970">
        <w:rPr>
          <w:rFonts w:ascii="Times New Roman" w:eastAsia="Times New Roman" w:hAnsi="Times New Roman" w:cs="Times New Roman"/>
          <w:sz w:val="24"/>
          <w:szCs w:val="24"/>
        </w:rPr>
        <w:t xml:space="preserve"> as its primary purpose community development; </w:t>
      </w:r>
    </w:p>
    <w:p w14:paraId="4AE537DC"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(2) Is related to the provision of </w:t>
      </w:r>
      <w:r w:rsidRPr="00E50970">
        <w:rPr>
          <w:rFonts w:ascii="Times New Roman" w:eastAsia="Times New Roman" w:hAnsi="Times New Roman" w:cs="Times New Roman"/>
          <w:sz w:val="24"/>
          <w:szCs w:val="24"/>
          <w:u w:val="single"/>
        </w:rPr>
        <w:t>financial</w:t>
      </w:r>
      <w:r w:rsidRPr="00E50970">
        <w:rPr>
          <w:rFonts w:ascii="Times New Roman" w:eastAsia="Times New Roman" w:hAnsi="Times New Roman" w:cs="Times New Roman"/>
          <w:sz w:val="24"/>
          <w:szCs w:val="24"/>
        </w:rPr>
        <w:t xml:space="preserve"> services; and </w:t>
      </w:r>
    </w:p>
    <w:p w14:paraId="569CD7D9"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(3) Has not been considered in the evaluation of the bank’s retail banking services under § 345.24(d).  </w:t>
      </w:r>
    </w:p>
    <w:p w14:paraId="5A11935F"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6F4F80CB" w14:textId="77777777" w:rsidR="00E50970" w:rsidRPr="00E50970" w:rsidRDefault="00E50970" w:rsidP="00E50970">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 xml:space="preserve">Consumer Loan(s):  </w:t>
      </w:r>
      <w:r w:rsidRPr="00E50970">
        <w:rPr>
          <w:rFonts w:ascii="Times New Roman" w:eastAsia="Times New Roman" w:hAnsi="Times New Roman" w:cs="Times New Roman"/>
          <w:sz w:val="24"/>
          <w:szCs w:val="24"/>
        </w:rPr>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580CF16B"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03967183"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Core Based Statistical Area (CBSA):  </w:t>
      </w:r>
      <w:r w:rsidRPr="00E50970">
        <w:rPr>
          <w:rFonts w:ascii="Times New Roman" w:eastAsia="Times New Roman" w:hAnsi="Times New Roman" w:cs="Times New Roman"/>
          <w:sz w:val="24"/>
          <w:szCs w:val="24"/>
        </w:rP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3D8D67B0"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4CF8E25" w14:textId="77777777" w:rsidR="00E50970" w:rsidRPr="00E50970" w:rsidRDefault="00E50970" w:rsidP="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Distressed Middle-Income Nonmetropolitan Geographies</w:t>
      </w:r>
      <w:r w:rsidRPr="00E50970">
        <w:rPr>
          <w:rFonts w:ascii="Times New Roman" w:eastAsia="Times New Roman" w:hAnsi="Times New Roman" w:cs="Times New Roman"/>
          <w:sz w:val="24"/>
          <w:szCs w:val="24"/>
        </w:rPr>
        <w:t xml:space="preserve">:  A nonmetropolitan middle-income geography will be designated as distressed if it is in a county that meets one or more of the following triggers:  </w:t>
      </w:r>
    </w:p>
    <w:p w14:paraId="598D1F05" w14:textId="77777777" w:rsidR="00E50970" w:rsidRPr="00E50970" w:rsidRDefault="00E50970" w:rsidP="00E50970">
      <w:pPr>
        <w:numPr>
          <w:ilvl w:val="0"/>
          <w:numId w:val="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An unemployment rate of at least 1.5 times the national average; </w:t>
      </w:r>
    </w:p>
    <w:p w14:paraId="15EBED24" w14:textId="77777777" w:rsidR="00E50970" w:rsidRPr="00E50970" w:rsidRDefault="00E50970" w:rsidP="00E50970">
      <w:pPr>
        <w:numPr>
          <w:ilvl w:val="0"/>
          <w:numId w:val="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A poverty rate of 20 percent or more; or</w:t>
      </w:r>
    </w:p>
    <w:p w14:paraId="16F54E41" w14:textId="77777777" w:rsidR="00E50970" w:rsidRPr="00E50970" w:rsidRDefault="00E50970" w:rsidP="00E50970">
      <w:pPr>
        <w:numPr>
          <w:ilvl w:val="0"/>
          <w:numId w:val="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sz w:val="24"/>
          <w:szCs w:val="24"/>
        </w:rPr>
        <w:lastRenderedPageBreak/>
        <w:t xml:space="preserve">A population loss of 10 percent or more between the previous and most recent decennial census or a net migration loss of 5 percent or more over the 5-year period preceding the most recent census.  </w:t>
      </w:r>
    </w:p>
    <w:p w14:paraId="5BC7D4B9"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1C38B77E"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Family:</w:t>
      </w:r>
      <w:r w:rsidRPr="00E50970">
        <w:rPr>
          <w:rFonts w:ascii="Times New Roman" w:eastAsia="Times New Roman" w:hAnsi="Times New Roman" w:cs="Times New Roman"/>
          <w:sz w:val="24"/>
          <w:szCs w:val="24"/>
        </w:rPr>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  Other family is further classified into “male householder” (a family with a male householder and no wife present) or “female householder” (a family with a female householder and no husband present).</w:t>
      </w:r>
    </w:p>
    <w:p w14:paraId="46E42108"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38D41BF4"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FFIEC-Estimated Income Data:  </w:t>
      </w:r>
      <w:r w:rsidRPr="00E50970">
        <w:rPr>
          <w:rFonts w:ascii="Times New Roman" w:eastAsia="Times New Roman" w:hAnsi="Times New Roman" w:cs="Times New Roman"/>
          <w:sz w:val="24"/>
          <w:szCs w:val="24"/>
        </w:rPr>
        <w:t>The Federal Financial Institutions Examination Council (FFIEC) issues annual estimates which update median family income from the metropolitan and nonmetropolitan areas.  The FFIEC uses American Community Survey data and factors in information from other sources to arrive at an annual estimate that more closely reflects current economic conditions.</w:t>
      </w:r>
    </w:p>
    <w:p w14:paraId="3C4136A2"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2CD9BA45"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Full-Scope Review:  </w:t>
      </w:r>
      <w:r w:rsidRPr="00E50970">
        <w:rPr>
          <w:rFonts w:ascii="Times New Roman" w:eastAsia="Times New Roman" w:hAnsi="Times New Roman" w:cs="Times New Roman"/>
          <w:sz w:val="24"/>
          <w:szCs w:val="24"/>
        </w:rPr>
        <w:t>A full-scope review is accomplished when examiners complete all applicable interagency examination procedures for an assessment area.  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14:paraId="37CBC59B"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1F688B4D" w14:textId="77777777" w:rsidR="00E50970" w:rsidRPr="00E50970" w:rsidRDefault="00E50970" w:rsidP="00E50970">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 xml:space="preserve">Geography:  </w:t>
      </w:r>
      <w:r w:rsidRPr="00E50970">
        <w:rPr>
          <w:rFonts w:ascii="Times New Roman" w:eastAsia="Times New Roman" w:hAnsi="Times New Roman" w:cs="Times New Roman"/>
          <w:sz w:val="24"/>
          <w:szCs w:val="24"/>
        </w:rPr>
        <w:t xml:space="preserve">A census tract delineated by the United States Bureau of the Census in the most recent decennial census.  </w:t>
      </w:r>
      <w:r w:rsidRPr="00E50970">
        <w:rPr>
          <w:rFonts w:ascii="Times New Roman" w:eastAsia="Times New Roman" w:hAnsi="Times New Roman" w:cs="Times New Roman"/>
          <w:sz w:val="24"/>
          <w:szCs w:val="24"/>
        </w:rPr>
        <w:br/>
      </w:r>
    </w:p>
    <w:p w14:paraId="08B4C119" w14:textId="77777777" w:rsidR="00E50970" w:rsidRPr="00643F71" w:rsidRDefault="00E50970" w:rsidP="00E50970">
      <w:pPr>
        <w:spacing w:after="0" w:line="240" w:lineRule="auto"/>
        <w:rPr>
          <w:rFonts w:ascii="Times New Roman" w:eastAsia="Times New Roman" w:hAnsi="Times New Roman" w:cs="Times New Roman"/>
          <w:sz w:val="24"/>
          <w:szCs w:val="24"/>
        </w:rPr>
      </w:pPr>
      <w:r w:rsidRPr="00643F71">
        <w:rPr>
          <w:rFonts w:ascii="Times New Roman" w:eastAsia="Times New Roman" w:hAnsi="Times New Roman" w:cs="Times New Roman"/>
          <w:b/>
          <w:bCs/>
          <w:sz w:val="24"/>
          <w:szCs w:val="24"/>
        </w:rPr>
        <w:t xml:space="preserve">Home Mortgage Disclosure Act (HMDA):  </w:t>
      </w:r>
      <w:r w:rsidRPr="00643F71">
        <w:rPr>
          <w:rFonts w:ascii="Times New Roman" w:eastAsia="Times New Roman" w:hAnsi="Times New Roman" w:cs="Times New Roman"/>
          <w:sz w:val="24"/>
          <w:szCs w:val="24"/>
        </w:rPr>
        <w:t>The statute that requires certain mortgage lenders that do business or have banking offices in a metropolitan statistical area to file annual summary reports of their mortgage lending activity.  The reports include such data as the race, gender, and the income of applicants; the amount of loan requested; and the disposition of the application (approved, denied, and withdrawn).</w:t>
      </w:r>
    </w:p>
    <w:p w14:paraId="1960916F" w14:textId="77777777" w:rsidR="00EC60BA" w:rsidRDefault="00EC60BA" w:rsidP="00EC60BA">
      <w:pPr>
        <w:spacing w:after="0"/>
        <w:rPr>
          <w:rFonts w:ascii="Times New Roman" w:eastAsia="Times New Roman" w:hAnsi="Times New Roman" w:cs="Times New Roman"/>
          <w:b/>
          <w:sz w:val="24"/>
          <w:szCs w:val="24"/>
        </w:rPr>
      </w:pPr>
    </w:p>
    <w:p w14:paraId="28B80F64" w14:textId="77777777" w:rsidR="00EC60BA" w:rsidRPr="00EC60BA" w:rsidRDefault="00E50970" w:rsidP="00EC60BA">
      <w:pPr>
        <w:spacing w:after="0"/>
        <w:rPr>
          <w:rFonts w:ascii="Times New Roman" w:hAnsi="Times New Roman" w:cs="Times New Roman"/>
          <w:sz w:val="24"/>
          <w:szCs w:val="24"/>
        </w:rPr>
      </w:pPr>
      <w:r w:rsidRPr="00EC60BA">
        <w:rPr>
          <w:rFonts w:ascii="Times New Roman" w:eastAsia="Times New Roman" w:hAnsi="Times New Roman" w:cs="Times New Roman"/>
          <w:b/>
          <w:sz w:val="24"/>
          <w:szCs w:val="24"/>
        </w:rPr>
        <w:t>Home Mortgage Loans:</w:t>
      </w:r>
      <w:r w:rsidRPr="00EC60BA">
        <w:rPr>
          <w:rFonts w:ascii="Times New Roman" w:eastAsia="Times New Roman" w:hAnsi="Times New Roman" w:cs="Times New Roman"/>
          <w:sz w:val="24"/>
          <w:szCs w:val="24"/>
        </w:rPr>
        <w:t xml:space="preserve">  </w:t>
      </w:r>
      <w:r w:rsidR="00EC60BA" w:rsidRPr="00EC60BA">
        <w:rPr>
          <w:rFonts w:ascii="Times New Roman" w:hAnsi="Times New Roman" w:cs="Times New Roman"/>
          <w:sz w:val="24"/>
          <w:szCs w:val="24"/>
        </w:rPr>
        <w:t>Includes closed-end mortgage loans or open-end line of credits as defined in the HMDA regulation that are not an excluded transaction per the HMDA regulation.</w:t>
      </w:r>
    </w:p>
    <w:p w14:paraId="38332E6B" w14:textId="77777777" w:rsidR="00E50970" w:rsidRPr="00E50970" w:rsidRDefault="00E50970" w:rsidP="00E50970">
      <w:pPr>
        <w:widowControl w:val="0"/>
        <w:spacing w:after="0" w:line="240" w:lineRule="auto"/>
        <w:rPr>
          <w:rFonts w:ascii="Times New Roman" w:eastAsia="Times New Roman" w:hAnsi="Times New Roman" w:cs="Times New Roman"/>
          <w:sz w:val="20"/>
          <w:szCs w:val="20"/>
        </w:rPr>
      </w:pPr>
    </w:p>
    <w:p w14:paraId="1E889677"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Housing Unit:  </w:t>
      </w:r>
      <w:r w:rsidRPr="00E50970">
        <w:rPr>
          <w:rFonts w:ascii="Times New Roman" w:eastAsia="Times New Roman" w:hAnsi="Times New Roman" w:cs="Times New Roman"/>
          <w:sz w:val="24"/>
          <w:szCs w:val="24"/>
        </w:rPr>
        <w:t>Includes a house, an apartment, a mobile home, a group of rooms, or a single room that is occupied as separate living quarters.</w:t>
      </w:r>
    </w:p>
    <w:p w14:paraId="790113AA"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395C690E"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Limited-Scope Review:  </w:t>
      </w:r>
      <w:r w:rsidRPr="00E50970">
        <w:rPr>
          <w:rFonts w:ascii="Times New Roman" w:eastAsia="Times New Roman" w:hAnsi="Times New Roman" w:cs="Times New Roman"/>
          <w:sz w:val="24"/>
          <w:szCs w:val="24"/>
        </w:rPr>
        <w:t xml:space="preserve">A limited scope review is accomplished when examiners do not complete all applicable interagency examination procedures for an assessment area.  </w:t>
      </w:r>
    </w:p>
    <w:p w14:paraId="29370126"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Performance under applicable tests is often analyzed using only quantitative factors (for example, geographic distribution, borrower profile, total number and dollar amount of investments, and branch distribution).</w:t>
      </w:r>
    </w:p>
    <w:p w14:paraId="3E33D816" w14:textId="77777777" w:rsidR="00EC60BA" w:rsidRDefault="00EC60BA" w:rsidP="00E50970">
      <w:pPr>
        <w:spacing w:after="0" w:line="240" w:lineRule="auto"/>
        <w:rPr>
          <w:rFonts w:ascii="Times New Roman" w:eastAsia="Times New Roman" w:hAnsi="Times New Roman" w:cs="Times New Roman"/>
          <w:b/>
          <w:bCs/>
          <w:sz w:val="24"/>
          <w:szCs w:val="24"/>
        </w:rPr>
      </w:pPr>
    </w:p>
    <w:p w14:paraId="65F59031"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lastRenderedPageBreak/>
        <w:t xml:space="preserve">Low-Income:  </w:t>
      </w:r>
      <w:r w:rsidRPr="00E50970">
        <w:rPr>
          <w:rFonts w:ascii="Times New Roman" w:eastAsia="Times New Roman" w:hAnsi="Times New Roman" w:cs="Times New Roman"/>
          <w:sz w:val="24"/>
          <w:szCs w:val="24"/>
        </w:rPr>
        <w:t xml:space="preserve">Individual income that is less than 50 percent of the area median income, or a median family income that is less than 50 percent in the case of a geography. </w:t>
      </w:r>
    </w:p>
    <w:p w14:paraId="18A99D97"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3E0F7203"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Low Income Housing Tax Credit:</w:t>
      </w:r>
      <w:r w:rsidRPr="00E50970">
        <w:rPr>
          <w:rFonts w:ascii="Times New Roman" w:eastAsia="Times New Roman" w:hAnsi="Times New Roman" w:cs="Times New Roman"/>
          <w:sz w:val="24"/>
          <w:szCs w:val="24"/>
        </w:rPr>
        <w:t xml:space="preserve">  The Low-Income Housing Tax Credit Program is a housing program contained within the Internal Revenue Code of 1986, as amended.  It is administered by the U.S. Department of the Treasury and the Internal Revenue Service.  The U.S. Treasury Department distributes low-income housing tax credits to housing credit agencies through the Internal Revenue Service.  The housing agencies allocate tax credits on a competitive basis.</w:t>
      </w:r>
    </w:p>
    <w:p w14:paraId="7195B3DB"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 xml:space="preserve">  </w:t>
      </w:r>
    </w:p>
    <w:p w14:paraId="1721BF70" w14:textId="77777777" w:rsidR="00E50970" w:rsidRPr="00E50970" w:rsidRDefault="00E50970" w:rsidP="00E50970">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sz w:val="24"/>
          <w:szCs w:val="24"/>
        </w:rPr>
        <w:t xml:space="preserve">Developers who acquire, rehabilitate, or construct low-income rental housing may keep their tax credits.  Or, they may 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04B9EE4D"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6BF7C5CE"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Market Share:  </w:t>
      </w:r>
      <w:r w:rsidRPr="00E50970">
        <w:rPr>
          <w:rFonts w:ascii="Times New Roman" w:eastAsia="Times New Roman" w:hAnsi="Times New Roman" w:cs="Times New Roman"/>
          <w:sz w:val="24"/>
          <w:szCs w:val="24"/>
        </w:rPr>
        <w:t>The number of loans originated and purchased by the institution as a percentage of the aggregate number of loans originated and purchased by all reporting lenders in the metropolitan area/assessment area.</w:t>
      </w:r>
    </w:p>
    <w:p w14:paraId="1B6C54C4"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25FCB075"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Median Income:  </w:t>
      </w:r>
      <w:r w:rsidRPr="00E50970">
        <w:rPr>
          <w:rFonts w:ascii="Times New Roman" w:eastAsia="Times New Roman" w:hAnsi="Times New Roman" w:cs="Times New Roman"/>
          <w:sz w:val="24"/>
          <w:szCs w:val="24"/>
        </w:rPr>
        <w:t>The median income divides the income distribution into two equal parts, one having incomes above the median and other having incomes below the median.</w:t>
      </w:r>
    </w:p>
    <w:p w14:paraId="6A0A3664"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24D59BE2"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Metropolitan Division (MD):  </w:t>
      </w:r>
      <w:r w:rsidRPr="00E50970">
        <w:rPr>
          <w:rFonts w:ascii="Times New Roman" w:eastAsia="Times New Roman" w:hAnsi="Times New Roman" w:cs="Times New Roman"/>
          <w:sz w:val="24"/>
          <w:szCs w:val="24"/>
        </w:rPr>
        <w:t xml:space="preserve">A county or group of counties within a CBSA that contain(s) an urbanized area with a population of at least 2.5 million.  A MD is one or more main/secondary counties representing an employment center or centers, plus adjacent counties associated with the main/secondary county or counties through commuting ties.  </w:t>
      </w:r>
    </w:p>
    <w:p w14:paraId="31C9E2C0"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290CBBB0"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Metropolitan Statistical Area (MSA):  </w:t>
      </w:r>
      <w:r w:rsidRPr="00E50970">
        <w:rPr>
          <w:rFonts w:ascii="Times New Roman" w:eastAsia="Times New Roman" w:hAnsi="Times New Roman" w:cs="Times New Roman"/>
          <w:sz w:val="24"/>
          <w:szCs w:val="24"/>
        </w:rPr>
        <w:t xml:space="preserve">CBSA associated with at least one urbanized area having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688923E7"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7033545E"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Micropolitan Statistical Area:  </w:t>
      </w:r>
      <w:r w:rsidRPr="00E50970">
        <w:rPr>
          <w:rFonts w:ascii="Times New Roman" w:eastAsia="Times New Roman" w:hAnsi="Times New Roman" w:cs="Times New Roman"/>
          <w:sz w:val="24"/>
          <w:szCs w:val="24"/>
        </w:rPr>
        <w:t>CBSA associated with at least one urbanized area having a population of at least 10,000, but less than 50,000.</w:t>
      </w:r>
    </w:p>
    <w:p w14:paraId="7C389939"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225B224F"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Middle-Income:  </w:t>
      </w:r>
      <w:r w:rsidRPr="00E50970">
        <w:rPr>
          <w:rFonts w:ascii="Times New Roman" w:eastAsia="Times New Roman" w:hAnsi="Times New Roman" w:cs="Times New Roman"/>
          <w:sz w:val="24"/>
          <w:szCs w:val="24"/>
        </w:rPr>
        <w:t>Individual income that is at least 80 percent and less than 120 percent of the area median income, or a median family income that is at least 80 and less than 120 percent in the case of a geography.</w:t>
      </w:r>
    </w:p>
    <w:p w14:paraId="1D3FFB41"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3A96BC30" w14:textId="77777777" w:rsidR="00E50970" w:rsidRPr="00E50970" w:rsidRDefault="00E50970" w:rsidP="00E50970">
      <w:pPr>
        <w:spacing w:after="0" w:line="240" w:lineRule="auto"/>
        <w:rPr>
          <w:rFonts w:ascii="Times New Roman" w:eastAsia="Times New Roman" w:hAnsi="Times New Roman" w:cs="Times New Roman"/>
          <w:b/>
          <w:bCs/>
          <w:sz w:val="24"/>
          <w:szCs w:val="24"/>
        </w:rPr>
      </w:pPr>
      <w:r w:rsidRPr="00E50970">
        <w:rPr>
          <w:rFonts w:ascii="Times New Roman" w:eastAsia="Times New Roman" w:hAnsi="Times New Roman" w:cs="Times New Roman"/>
          <w:b/>
          <w:bCs/>
          <w:sz w:val="24"/>
          <w:szCs w:val="24"/>
        </w:rPr>
        <w:t>Moderate-Income:</w:t>
      </w:r>
      <w:r w:rsidRPr="00E50970">
        <w:rPr>
          <w:rFonts w:ascii="Times New Roman" w:eastAsia="Times New Roman" w:hAnsi="Times New Roman" w:cs="Times New Roman"/>
          <w:sz w:val="24"/>
          <w:szCs w:val="24"/>
        </w:rPr>
        <w:t xml:space="preserve">  Individual income that is at least 50 percent and less than 80 percent of the area median income, or a median family income that is at least 50 and less than 80 percent in the case of a geography.</w:t>
      </w:r>
    </w:p>
    <w:p w14:paraId="43BE5388"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779756EE"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Multi-family:  </w:t>
      </w:r>
      <w:r w:rsidRPr="00E50970">
        <w:rPr>
          <w:rFonts w:ascii="Times New Roman" w:eastAsia="Times New Roman" w:hAnsi="Times New Roman" w:cs="Times New Roman"/>
          <w:sz w:val="24"/>
          <w:szCs w:val="24"/>
        </w:rPr>
        <w:t>Refers to</w:t>
      </w:r>
      <w:r w:rsidRPr="00E50970">
        <w:rPr>
          <w:rFonts w:ascii="Times New Roman" w:eastAsia="Times New Roman" w:hAnsi="Times New Roman" w:cs="Times New Roman"/>
          <w:b/>
          <w:bCs/>
          <w:sz w:val="24"/>
          <w:szCs w:val="24"/>
        </w:rPr>
        <w:t xml:space="preserve"> </w:t>
      </w:r>
      <w:r w:rsidRPr="00E50970">
        <w:rPr>
          <w:rFonts w:ascii="Times New Roman" w:eastAsia="Times New Roman" w:hAnsi="Times New Roman" w:cs="Times New Roman"/>
          <w:sz w:val="24"/>
          <w:szCs w:val="24"/>
        </w:rPr>
        <w:t>a residential structure that contains five or more units.</w:t>
      </w:r>
    </w:p>
    <w:p w14:paraId="03EED017" w14:textId="77777777" w:rsidR="00EC60BA" w:rsidRDefault="00EC60BA" w:rsidP="00E50970">
      <w:pPr>
        <w:spacing w:after="0" w:line="240" w:lineRule="auto"/>
        <w:rPr>
          <w:rFonts w:ascii="Times New Roman" w:eastAsia="Times New Roman" w:hAnsi="Times New Roman" w:cs="Times New Roman"/>
          <w:b/>
          <w:bCs/>
          <w:sz w:val="24"/>
          <w:szCs w:val="24"/>
        </w:rPr>
      </w:pPr>
    </w:p>
    <w:p w14:paraId="7BB1BDEC"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lastRenderedPageBreak/>
        <w:t>Nonmetropolitan Area (</w:t>
      </w:r>
      <w:r w:rsidRPr="00E50970">
        <w:rPr>
          <w:rFonts w:ascii="Times New Roman" w:eastAsia="Times New Roman" w:hAnsi="Times New Roman" w:cs="Times New Roman"/>
          <w:bCs/>
          <w:sz w:val="24"/>
          <w:szCs w:val="24"/>
        </w:rPr>
        <w:t xml:space="preserve">also known as </w:t>
      </w:r>
      <w:r w:rsidRPr="00E50970">
        <w:rPr>
          <w:rFonts w:ascii="Times New Roman" w:eastAsia="Times New Roman" w:hAnsi="Times New Roman" w:cs="Times New Roman"/>
          <w:b/>
          <w:bCs/>
          <w:sz w:val="24"/>
          <w:szCs w:val="24"/>
        </w:rPr>
        <w:t>non-MSA):</w:t>
      </w:r>
      <w:r w:rsidRPr="00E50970">
        <w:rPr>
          <w:rFonts w:ascii="Times New Roman" w:eastAsia="Times New Roman" w:hAnsi="Times New Roman" w:cs="Times New Roman"/>
          <w:sz w:val="24"/>
          <w:szCs w:val="24"/>
        </w:rPr>
        <w:t xml:space="preserve">  All areas outside of metropolitan areas.  The definition of nonmetropolitan area is not consistent with the definition of rural areas.  Urban and rural classifications cut across the other hierarchies.  For example, there is generally urban and rural territory within metropolitan and nonmetropolitan areas.</w:t>
      </w:r>
    </w:p>
    <w:p w14:paraId="6CCFF015"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003A3E75"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Owner-Occupied Units:</w:t>
      </w:r>
      <w:r w:rsidRPr="00E50970">
        <w:rPr>
          <w:rFonts w:ascii="Times New Roman" w:eastAsia="Times New Roman" w:hAnsi="Times New Roman" w:cs="Times New Roman"/>
          <w:sz w:val="24"/>
          <w:szCs w:val="24"/>
        </w:rPr>
        <w:t xml:space="preserve">  Includes units occupied by the owner or co-owner, even if the unit has not been fully paid for or is mortgaged.</w:t>
      </w:r>
    </w:p>
    <w:p w14:paraId="557AC679"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621D0418" w14:textId="77777777" w:rsidR="00E50970" w:rsidRPr="00E50970" w:rsidRDefault="00E50970" w:rsidP="00E50970">
      <w:pPr>
        <w:spacing w:after="0" w:line="240" w:lineRule="auto"/>
        <w:rPr>
          <w:rFonts w:ascii="Times New Roman" w:eastAsia="Times New Roman" w:hAnsi="Times New Roman" w:cs="Times New Roman"/>
          <w:bCs/>
          <w:sz w:val="24"/>
          <w:szCs w:val="24"/>
        </w:rPr>
      </w:pPr>
      <w:r w:rsidRPr="00E50970">
        <w:rPr>
          <w:rFonts w:ascii="Times New Roman" w:eastAsia="Times New Roman" w:hAnsi="Times New Roman" w:cs="Times New Roman"/>
          <w:b/>
          <w:bCs/>
          <w:sz w:val="24"/>
          <w:szCs w:val="24"/>
        </w:rPr>
        <w:t xml:space="preserve">Qualified Investment:  </w:t>
      </w:r>
      <w:r w:rsidRPr="00E50970">
        <w:rPr>
          <w:rFonts w:ascii="Times New Roman" w:eastAsia="Times New Roman" w:hAnsi="Times New Roman" w:cs="Times New Roman"/>
          <w:bCs/>
          <w:sz w:val="24"/>
          <w:szCs w:val="24"/>
        </w:rPr>
        <w:t>A lawful investment, deposit, membership share, or grant that has as its primary purpose community development.</w:t>
      </w:r>
    </w:p>
    <w:p w14:paraId="0E3309C7"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570AD0D6" w14:textId="77777777" w:rsidR="00E50970" w:rsidRPr="00E50970" w:rsidRDefault="00E50970" w:rsidP="00E50970">
      <w:pPr>
        <w:spacing w:after="0" w:line="240" w:lineRule="auto"/>
        <w:rPr>
          <w:rFonts w:ascii="Times New Roman" w:eastAsia="Times New Roman" w:hAnsi="Times New Roman" w:cs="Times New Roman"/>
          <w:snapToGrid w:val="0"/>
          <w:sz w:val="24"/>
          <w:szCs w:val="24"/>
        </w:rPr>
      </w:pPr>
      <w:r w:rsidRPr="00E50970">
        <w:rPr>
          <w:rFonts w:ascii="Times New Roman" w:eastAsia="Times New Roman" w:hAnsi="Times New Roman" w:cs="Times New Roman"/>
          <w:b/>
          <w:bCs/>
          <w:sz w:val="24"/>
          <w:szCs w:val="24"/>
        </w:rPr>
        <w:t>Rated Area:</w:t>
      </w:r>
      <w:r w:rsidRPr="00E50970">
        <w:rPr>
          <w:rFonts w:ascii="Times New Roman" w:eastAsia="Times New Roman" w:hAnsi="Times New Roman" w:cs="Times New Roman"/>
          <w:sz w:val="24"/>
          <w:szCs w:val="24"/>
        </w:rPr>
        <w:t xml:space="preserve">  </w:t>
      </w:r>
      <w:r w:rsidRPr="00E50970">
        <w:rPr>
          <w:rFonts w:ascii="Times New Roman" w:eastAsia="Times New Roman" w:hAnsi="Times New Roman" w:cs="Times New Roman"/>
          <w:snapToGrid w:val="0"/>
          <w:sz w:val="24"/>
          <w:szCs w:val="24"/>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54FA8EC3"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p>
    <w:p w14:paraId="2B43B3B2"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Rural Area:</w:t>
      </w:r>
      <w:r w:rsidRPr="00E50970">
        <w:rPr>
          <w:rFonts w:ascii="Times New Roman" w:eastAsia="Times New Roman" w:hAnsi="Times New Roman" w:cs="Times New Roman"/>
          <w:sz w:val="24"/>
          <w:szCs w:val="24"/>
        </w:rPr>
        <w:t xml:space="preserve">  Territories, populations, and housing units that are not classified as urban.</w:t>
      </w:r>
    </w:p>
    <w:p w14:paraId="5F5179DF"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53BD416B" w14:textId="77777777" w:rsidR="00E50970" w:rsidRPr="00E50970" w:rsidRDefault="00E50970" w:rsidP="00E50970">
      <w:pPr>
        <w:spacing w:after="0" w:line="240" w:lineRule="auto"/>
        <w:rPr>
          <w:rFonts w:ascii="Times New Roman" w:eastAsia="Times New Roman" w:hAnsi="Times New Roman" w:cs="Times New Roman"/>
          <w:color w:val="000000"/>
          <w:sz w:val="24"/>
          <w:szCs w:val="24"/>
        </w:rPr>
      </w:pPr>
      <w:r w:rsidRPr="00E50970">
        <w:rPr>
          <w:rFonts w:ascii="Times New Roman" w:eastAsia="Times New Roman" w:hAnsi="Times New Roman" w:cs="Times New Roman"/>
          <w:b/>
          <w:bCs/>
          <w:color w:val="000000"/>
          <w:sz w:val="24"/>
          <w:szCs w:val="24"/>
        </w:rPr>
        <w:t xml:space="preserve">Small Business Investment Company (SBIC):  </w:t>
      </w:r>
      <w:r w:rsidRPr="00E50970">
        <w:rPr>
          <w:rFonts w:ascii="Times New Roman" w:eastAsia="Times New Roman" w:hAnsi="Times New Roman" w:cs="Times New Roman"/>
          <w:color w:val="000000"/>
          <w:sz w:val="24"/>
          <w:szCs w:val="24"/>
        </w:rPr>
        <w:t xml:space="preserve">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  These SBIC debentures are then sold to private investors.  An SBIC’s success is linked to the growth and profitability of the companies that it finances.  Therefore, some SBICs primarily assist businesses with significant growth potential, such as new firms in innovative industries.  SBICs finance small firms by providing straight loans and/or equity-type investments.  This kind of financing gives them partial ownership of those businesses and the possibility of sharing in the companies’ profits as they grow and prosper.  </w:t>
      </w:r>
    </w:p>
    <w:p w14:paraId="1E8384CF"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368AB1FF"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Small Business Loan:</w:t>
      </w:r>
      <w:r w:rsidRPr="00E50970">
        <w:rPr>
          <w:rFonts w:ascii="Times New Roman" w:eastAsia="Times New Roman" w:hAnsi="Times New Roman" w:cs="Times New Roman"/>
          <w:sz w:val="24"/>
          <w:szCs w:val="24"/>
        </w:rPr>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01DB5157"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55CC37F1"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 xml:space="preserve">Small Farm Loan:  </w:t>
      </w:r>
      <w:r w:rsidRPr="00E50970">
        <w:rPr>
          <w:rFonts w:ascii="Times New Roman" w:eastAsia="Times New Roman" w:hAnsi="Times New Roman" w:cs="Times New Roman"/>
          <w:sz w:val="24"/>
          <w:szCs w:val="24"/>
        </w:rPr>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168B0161" w14:textId="77777777" w:rsidR="00EC60BA" w:rsidRDefault="00EC60BA" w:rsidP="00E50970">
      <w:pPr>
        <w:spacing w:after="0" w:line="240" w:lineRule="auto"/>
        <w:rPr>
          <w:rFonts w:ascii="Times New Roman" w:eastAsia="Times New Roman" w:hAnsi="Times New Roman" w:cs="Times New Roman"/>
          <w:b/>
          <w:bCs/>
          <w:sz w:val="24"/>
          <w:szCs w:val="24"/>
        </w:rPr>
      </w:pPr>
    </w:p>
    <w:p w14:paraId="6DC0B523"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lastRenderedPageBreak/>
        <w:t>Underserved Middle-Income Nonmetropolitan Geographies:</w:t>
      </w:r>
      <w:r w:rsidRPr="00E50970">
        <w:rPr>
          <w:rFonts w:ascii="Times New Roman" w:eastAsia="Times New Roman" w:hAnsi="Times New Roman" w:cs="Times New Roman"/>
          <w:sz w:val="24"/>
          <w:szCs w:val="24"/>
        </w:rPr>
        <w:t xml:space="preserve">  A nonmetropolitan middle-income geography will be designated as underserved if it meets criteria for population size, density, and dispersion indicating the area’s population is sufficiently small, thin, and distant from a population center that the tract is likely to have difficulty financing the fixed costs of meeting essential community needs. </w:t>
      </w:r>
    </w:p>
    <w:p w14:paraId="14F1E3D2"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1EBDBC8B"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Upper-Income:</w:t>
      </w:r>
      <w:r w:rsidRPr="00E50970">
        <w:rPr>
          <w:rFonts w:ascii="Times New Roman" w:eastAsia="Times New Roman" w:hAnsi="Times New Roman" w:cs="Times New Roman"/>
          <w:sz w:val="24"/>
          <w:szCs w:val="24"/>
        </w:rPr>
        <w:t xml:space="preserve">  Individual income that is 120 percent or more of the area median income, or a median family income that is 120 percent or more in the case of a geography. </w:t>
      </w:r>
    </w:p>
    <w:p w14:paraId="6FF6DE62" w14:textId="77777777" w:rsidR="00E50970" w:rsidRPr="00E50970" w:rsidRDefault="00E50970" w:rsidP="00E50970">
      <w:pPr>
        <w:spacing w:after="0" w:line="240" w:lineRule="auto"/>
        <w:rPr>
          <w:rFonts w:ascii="Times New Roman" w:eastAsia="Times New Roman" w:hAnsi="Times New Roman" w:cs="Times New Roman"/>
          <w:b/>
          <w:bCs/>
          <w:sz w:val="24"/>
          <w:szCs w:val="24"/>
        </w:rPr>
      </w:pPr>
    </w:p>
    <w:p w14:paraId="6CBE5726"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b/>
          <w:bCs/>
          <w:sz w:val="24"/>
          <w:szCs w:val="24"/>
        </w:rPr>
        <w:t>Urban</w:t>
      </w:r>
      <w:r w:rsidRPr="00E50970">
        <w:rPr>
          <w:rFonts w:ascii="Times New Roman" w:eastAsia="Times New Roman" w:hAnsi="Times New Roman" w:cs="Times New Roman"/>
          <w:sz w:val="24"/>
          <w:szCs w:val="24"/>
        </w:rPr>
        <w:t xml:space="preserve"> </w:t>
      </w:r>
      <w:r w:rsidRPr="00E50970">
        <w:rPr>
          <w:rFonts w:ascii="Times New Roman" w:eastAsia="Times New Roman" w:hAnsi="Times New Roman" w:cs="Times New Roman"/>
          <w:b/>
          <w:bCs/>
          <w:sz w:val="24"/>
          <w:szCs w:val="24"/>
        </w:rPr>
        <w:t xml:space="preserve">Area:  </w:t>
      </w:r>
      <w:r w:rsidRPr="00E50970">
        <w:rPr>
          <w:rFonts w:ascii="Times New Roman" w:eastAsia="Times New Roman" w:hAnsi="Times New Roman" w:cs="Times New Roman"/>
          <w:sz w:val="24"/>
          <w:szCs w:val="24"/>
        </w:rPr>
        <w:t xml:space="preserve">All territories, populations, and housing units in urbanized areas and in places of 2,500 or more persons outside urbanized areas.  More specifically, “urban” consists of territory, persons, and housing units in places of 2,500 or more persons incorporated as cities, villages, boroughs (except in Alaska and New York), and towns (except in the New England states, New York, and Wisconsin).  </w:t>
      </w:r>
    </w:p>
    <w:p w14:paraId="5D224F41" w14:textId="77777777" w:rsidR="00E50970" w:rsidRPr="00E50970" w:rsidRDefault="00E50970" w:rsidP="00E50970">
      <w:pPr>
        <w:spacing w:after="0" w:line="240" w:lineRule="auto"/>
        <w:rPr>
          <w:rFonts w:ascii="Times New Roman" w:eastAsia="Times New Roman" w:hAnsi="Times New Roman" w:cs="Times New Roman"/>
          <w:sz w:val="24"/>
          <w:szCs w:val="24"/>
        </w:rPr>
      </w:pPr>
    </w:p>
    <w:p w14:paraId="08475399" w14:textId="77777777" w:rsidR="00E50970" w:rsidRPr="00E50970" w:rsidRDefault="00E50970" w:rsidP="00E50970">
      <w:pPr>
        <w:spacing w:after="0" w:line="240" w:lineRule="auto"/>
        <w:rPr>
          <w:rFonts w:ascii="Times New Roman" w:eastAsia="Times New Roman" w:hAnsi="Times New Roman" w:cs="Times New Roman"/>
          <w:sz w:val="24"/>
          <w:szCs w:val="24"/>
        </w:rPr>
      </w:pPr>
      <w:r w:rsidRPr="00E50970">
        <w:rPr>
          <w:rFonts w:ascii="Times New Roman" w:eastAsia="Times New Roman" w:hAnsi="Times New Roman" w:cs="Times New Roman"/>
          <w:sz w:val="24"/>
          <w:szCs w:val="24"/>
        </w:rPr>
        <w:t>“Urban” excludes the rural portions of “extended cities”; census designated place of 2,500 or more persons; and other territory, incorporated or unincorporated, including in urbanized areas.</w:t>
      </w:r>
    </w:p>
    <w:p w14:paraId="335EC609" w14:textId="77777777" w:rsidR="00E50970" w:rsidRPr="00E50970" w:rsidRDefault="00E50970" w:rsidP="00E50970">
      <w:pPr>
        <w:rPr>
          <w:rFonts w:ascii="Times New Roman" w:eastAsia="Times New Roman" w:hAnsi="Times New Roman" w:cs="Times New Roman"/>
          <w:bCs/>
          <w:sz w:val="24"/>
          <w:szCs w:val="24"/>
        </w:rPr>
      </w:pPr>
    </w:p>
    <w:sectPr w:rsidR="00E50970" w:rsidRPr="00E50970" w:rsidSect="00650A7C">
      <w:footerReference w:type="default" r:id="rId1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630E" w14:textId="77777777" w:rsidR="00A75A6B" w:rsidRDefault="00A75A6B" w:rsidP="00C95A2A">
      <w:pPr>
        <w:spacing w:after="0" w:line="240" w:lineRule="auto"/>
      </w:pPr>
      <w:r>
        <w:separator/>
      </w:r>
    </w:p>
  </w:endnote>
  <w:endnote w:type="continuationSeparator" w:id="0">
    <w:p w14:paraId="7EB9284A" w14:textId="77777777" w:rsidR="00A75A6B" w:rsidRDefault="00A75A6B" w:rsidP="00C9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A4BD" w14:textId="77777777" w:rsidR="009C5022" w:rsidRDefault="009C5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3B76" w14:textId="77777777" w:rsidR="009C5022" w:rsidRDefault="009C5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063F" w14:textId="77777777" w:rsidR="009C5022" w:rsidRDefault="009C50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33449"/>
      <w:docPartObj>
        <w:docPartGallery w:val="Page Numbers (Bottom of Page)"/>
        <w:docPartUnique/>
      </w:docPartObj>
    </w:sdtPr>
    <w:sdtEndPr>
      <w:rPr>
        <w:rFonts w:ascii="Times New Roman" w:hAnsi="Times New Roman" w:cs="Times New Roman"/>
        <w:noProof/>
        <w:sz w:val="24"/>
        <w:szCs w:val="24"/>
      </w:rPr>
    </w:sdtEndPr>
    <w:sdtContent>
      <w:p w14:paraId="611C43C0" w14:textId="19F9E624" w:rsidR="009C5022" w:rsidRPr="007A55D6" w:rsidRDefault="009C5022">
        <w:pPr>
          <w:pStyle w:val="Footer"/>
          <w:jc w:val="center"/>
          <w:rPr>
            <w:rFonts w:ascii="Times New Roman" w:hAnsi="Times New Roman" w:cs="Times New Roman"/>
            <w:sz w:val="24"/>
            <w:szCs w:val="24"/>
          </w:rPr>
        </w:pPr>
        <w:r w:rsidRPr="007A55D6">
          <w:rPr>
            <w:rFonts w:ascii="Times New Roman" w:hAnsi="Times New Roman" w:cs="Times New Roman"/>
            <w:sz w:val="24"/>
            <w:szCs w:val="24"/>
          </w:rPr>
          <w:fldChar w:fldCharType="begin"/>
        </w:r>
        <w:r w:rsidRPr="007A55D6">
          <w:rPr>
            <w:rFonts w:ascii="Times New Roman" w:hAnsi="Times New Roman" w:cs="Times New Roman"/>
            <w:sz w:val="24"/>
            <w:szCs w:val="24"/>
          </w:rPr>
          <w:instrText xml:space="preserve"> PAGE   \* MERGEFORMAT </w:instrText>
        </w:r>
        <w:r w:rsidRPr="007A55D6">
          <w:rPr>
            <w:rFonts w:ascii="Times New Roman" w:hAnsi="Times New Roman" w:cs="Times New Roman"/>
            <w:sz w:val="24"/>
            <w:szCs w:val="24"/>
          </w:rPr>
          <w:fldChar w:fldCharType="separate"/>
        </w:r>
        <w:r w:rsidR="008E16F6">
          <w:rPr>
            <w:rFonts w:ascii="Times New Roman" w:hAnsi="Times New Roman" w:cs="Times New Roman"/>
            <w:noProof/>
            <w:sz w:val="24"/>
            <w:szCs w:val="24"/>
          </w:rPr>
          <w:t>2</w:t>
        </w:r>
        <w:r w:rsidRPr="007A55D6">
          <w:rPr>
            <w:rFonts w:ascii="Times New Roman" w:hAnsi="Times New Roman" w:cs="Times New Roman"/>
            <w:noProof/>
            <w:sz w:val="24"/>
            <w:szCs w:val="24"/>
          </w:rPr>
          <w:fldChar w:fldCharType="end"/>
        </w:r>
      </w:p>
    </w:sdtContent>
  </w:sdt>
  <w:p w14:paraId="523921B3" w14:textId="77777777" w:rsidR="009C5022" w:rsidRDefault="009C50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8685"/>
      <w:docPartObj>
        <w:docPartGallery w:val="Page Numbers (Bottom of Page)"/>
        <w:docPartUnique/>
      </w:docPartObj>
    </w:sdtPr>
    <w:sdtEndPr>
      <w:rPr>
        <w:noProof/>
      </w:rPr>
    </w:sdtEndPr>
    <w:sdtContent>
      <w:p w14:paraId="515AA368" w14:textId="301BF68C" w:rsidR="009C5022" w:rsidRDefault="009C5022">
        <w:pPr>
          <w:pStyle w:val="Footer"/>
          <w:jc w:val="center"/>
        </w:pPr>
        <w:r w:rsidRPr="005B6B42">
          <w:rPr>
            <w:rFonts w:ascii="Times New Roman" w:hAnsi="Times New Roman" w:cs="Times New Roman"/>
            <w:sz w:val="24"/>
          </w:rPr>
          <w:fldChar w:fldCharType="begin"/>
        </w:r>
        <w:r w:rsidRPr="005B6B42">
          <w:rPr>
            <w:rFonts w:ascii="Times New Roman" w:hAnsi="Times New Roman" w:cs="Times New Roman"/>
            <w:sz w:val="24"/>
          </w:rPr>
          <w:instrText xml:space="preserve"> PAGE   \* MERGEFORMAT </w:instrText>
        </w:r>
        <w:r w:rsidRPr="005B6B42">
          <w:rPr>
            <w:rFonts w:ascii="Times New Roman" w:hAnsi="Times New Roman" w:cs="Times New Roman"/>
            <w:sz w:val="24"/>
          </w:rPr>
          <w:fldChar w:fldCharType="separate"/>
        </w:r>
        <w:r w:rsidR="008E16F6">
          <w:rPr>
            <w:rFonts w:ascii="Times New Roman" w:hAnsi="Times New Roman" w:cs="Times New Roman"/>
            <w:noProof/>
            <w:sz w:val="24"/>
          </w:rPr>
          <w:t>20</w:t>
        </w:r>
        <w:r w:rsidRPr="005B6B42">
          <w:rPr>
            <w:rFonts w:ascii="Times New Roman" w:hAnsi="Times New Roman" w:cs="Times New Roman"/>
            <w:noProof/>
            <w:sz w:val="24"/>
          </w:rPr>
          <w:fldChar w:fldCharType="end"/>
        </w:r>
      </w:p>
    </w:sdtContent>
  </w:sdt>
  <w:p w14:paraId="1D3BBD67" w14:textId="77777777" w:rsidR="009C5022" w:rsidRDefault="009C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5803" w14:textId="77777777" w:rsidR="00A75A6B" w:rsidRDefault="00A75A6B" w:rsidP="00C95A2A">
      <w:pPr>
        <w:spacing w:after="0" w:line="240" w:lineRule="auto"/>
      </w:pPr>
      <w:r>
        <w:separator/>
      </w:r>
    </w:p>
  </w:footnote>
  <w:footnote w:type="continuationSeparator" w:id="0">
    <w:p w14:paraId="6DE1586C" w14:textId="77777777" w:rsidR="00A75A6B" w:rsidRDefault="00A75A6B" w:rsidP="00C9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55E9" w14:textId="77777777" w:rsidR="009C5022" w:rsidRDefault="009C5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20A8" w14:textId="77777777" w:rsidR="009C5022" w:rsidRDefault="009C5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E351" w14:textId="77777777" w:rsidR="009C5022" w:rsidRDefault="009C50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5F9F" w14:textId="77777777" w:rsidR="009C5022" w:rsidRDefault="009C5022" w:rsidP="00D73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AE2"/>
    <w:multiLevelType w:val="hybridMultilevel"/>
    <w:tmpl w:val="F7CC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4563E"/>
    <w:multiLevelType w:val="hybridMultilevel"/>
    <w:tmpl w:val="C4E6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F5962"/>
    <w:multiLevelType w:val="hybridMultilevel"/>
    <w:tmpl w:val="9FDC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344"/>
    <w:multiLevelType w:val="hybridMultilevel"/>
    <w:tmpl w:val="942A72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067035F"/>
    <w:multiLevelType w:val="hybridMultilevel"/>
    <w:tmpl w:val="EECC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5485"/>
    <w:multiLevelType w:val="hybridMultilevel"/>
    <w:tmpl w:val="6928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529DF"/>
    <w:multiLevelType w:val="hybridMultilevel"/>
    <w:tmpl w:val="0D5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70B3D"/>
    <w:multiLevelType w:val="hybridMultilevel"/>
    <w:tmpl w:val="B35E98A4"/>
    <w:lvl w:ilvl="0" w:tplc="10B44EF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831D2B"/>
    <w:multiLevelType w:val="hybridMultilevel"/>
    <w:tmpl w:val="7AC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524FE"/>
    <w:multiLevelType w:val="hybridMultilevel"/>
    <w:tmpl w:val="977E58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8E54275"/>
    <w:multiLevelType w:val="hybridMultilevel"/>
    <w:tmpl w:val="8ACC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65860"/>
    <w:multiLevelType w:val="multilevel"/>
    <w:tmpl w:val="676E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C0A1B"/>
    <w:multiLevelType w:val="hybridMultilevel"/>
    <w:tmpl w:val="579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6039F"/>
    <w:multiLevelType w:val="hybridMultilevel"/>
    <w:tmpl w:val="2E909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C21A6"/>
    <w:multiLevelType w:val="hybridMultilevel"/>
    <w:tmpl w:val="0896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0643B"/>
    <w:multiLevelType w:val="hybridMultilevel"/>
    <w:tmpl w:val="C99E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9141C"/>
    <w:multiLevelType w:val="hybridMultilevel"/>
    <w:tmpl w:val="D4C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A0168"/>
    <w:multiLevelType w:val="hybridMultilevel"/>
    <w:tmpl w:val="5228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2290"/>
    <w:multiLevelType w:val="hybridMultilevel"/>
    <w:tmpl w:val="6D60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17BAF"/>
    <w:multiLevelType w:val="hybridMultilevel"/>
    <w:tmpl w:val="84D6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20B77"/>
    <w:multiLevelType w:val="hybridMultilevel"/>
    <w:tmpl w:val="E97E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71676"/>
    <w:multiLevelType w:val="hybridMultilevel"/>
    <w:tmpl w:val="B6FA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D06E2"/>
    <w:multiLevelType w:val="hybridMultilevel"/>
    <w:tmpl w:val="DEF27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96E50"/>
    <w:multiLevelType w:val="hybridMultilevel"/>
    <w:tmpl w:val="A48AD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782C42"/>
    <w:multiLevelType w:val="hybridMultilevel"/>
    <w:tmpl w:val="1F8473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5A54F8"/>
    <w:multiLevelType w:val="hybridMultilevel"/>
    <w:tmpl w:val="D1E4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E268C"/>
    <w:multiLevelType w:val="hybridMultilevel"/>
    <w:tmpl w:val="0A9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0283E"/>
    <w:multiLevelType w:val="hybridMultilevel"/>
    <w:tmpl w:val="51DE465C"/>
    <w:lvl w:ilvl="0" w:tplc="6372A21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0A01C64"/>
    <w:multiLevelType w:val="hybridMultilevel"/>
    <w:tmpl w:val="AB4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412B4"/>
    <w:multiLevelType w:val="hybridMultilevel"/>
    <w:tmpl w:val="6618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3212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52166B0"/>
    <w:multiLevelType w:val="hybridMultilevel"/>
    <w:tmpl w:val="0940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20461"/>
    <w:multiLevelType w:val="hybridMultilevel"/>
    <w:tmpl w:val="64A6B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80E93"/>
    <w:multiLevelType w:val="hybridMultilevel"/>
    <w:tmpl w:val="A162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31B27"/>
    <w:multiLevelType w:val="hybridMultilevel"/>
    <w:tmpl w:val="D2F4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B3397"/>
    <w:multiLevelType w:val="hybridMultilevel"/>
    <w:tmpl w:val="A07E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24BC"/>
    <w:multiLevelType w:val="hybridMultilevel"/>
    <w:tmpl w:val="14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15957"/>
    <w:multiLevelType w:val="hybridMultilevel"/>
    <w:tmpl w:val="6FF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360E"/>
    <w:multiLevelType w:val="hybridMultilevel"/>
    <w:tmpl w:val="3554549C"/>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64C09"/>
    <w:multiLevelType w:val="hybridMultilevel"/>
    <w:tmpl w:val="904E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C0387"/>
    <w:multiLevelType w:val="hybridMultilevel"/>
    <w:tmpl w:val="70F0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80100"/>
    <w:multiLevelType w:val="hybridMultilevel"/>
    <w:tmpl w:val="8902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27"/>
  </w:num>
  <w:num w:numId="4">
    <w:abstractNumId w:val="9"/>
  </w:num>
  <w:num w:numId="5">
    <w:abstractNumId w:val="31"/>
  </w:num>
  <w:num w:numId="6">
    <w:abstractNumId w:val="2"/>
  </w:num>
  <w:num w:numId="7">
    <w:abstractNumId w:val="8"/>
  </w:num>
  <w:num w:numId="8">
    <w:abstractNumId w:val="28"/>
  </w:num>
  <w:num w:numId="9">
    <w:abstractNumId w:val="38"/>
  </w:num>
  <w:num w:numId="10">
    <w:abstractNumId w:val="36"/>
  </w:num>
  <w:num w:numId="11">
    <w:abstractNumId w:val="12"/>
  </w:num>
  <w:num w:numId="12">
    <w:abstractNumId w:val="42"/>
  </w:num>
  <w:num w:numId="13">
    <w:abstractNumId w:val="35"/>
  </w:num>
  <w:num w:numId="14">
    <w:abstractNumId w:val="41"/>
  </w:num>
  <w:num w:numId="15">
    <w:abstractNumId w:val="6"/>
  </w:num>
  <w:num w:numId="16">
    <w:abstractNumId w:val="21"/>
  </w:num>
  <w:num w:numId="17">
    <w:abstractNumId w:val="30"/>
  </w:num>
  <w:num w:numId="18">
    <w:abstractNumId w:val="15"/>
  </w:num>
  <w:num w:numId="19">
    <w:abstractNumId w:val="18"/>
  </w:num>
  <w:num w:numId="20">
    <w:abstractNumId w:val="29"/>
  </w:num>
  <w:num w:numId="21">
    <w:abstractNumId w:val="24"/>
  </w:num>
  <w:num w:numId="22">
    <w:abstractNumId w:val="17"/>
  </w:num>
  <w:num w:numId="23">
    <w:abstractNumId w:val="25"/>
  </w:num>
  <w:num w:numId="24">
    <w:abstractNumId w:val="32"/>
  </w:num>
  <w:num w:numId="25">
    <w:abstractNumId w:val="26"/>
  </w:num>
  <w:num w:numId="26">
    <w:abstractNumId w:val="3"/>
  </w:num>
  <w:num w:numId="27">
    <w:abstractNumId w:val="34"/>
  </w:num>
  <w:num w:numId="28">
    <w:abstractNumId w:val="1"/>
  </w:num>
  <w:num w:numId="29">
    <w:abstractNumId w:val="39"/>
  </w:num>
  <w:num w:numId="30">
    <w:abstractNumId w:val="10"/>
  </w:num>
  <w:num w:numId="31">
    <w:abstractNumId w:val="23"/>
  </w:num>
  <w:num w:numId="32">
    <w:abstractNumId w:val="33"/>
  </w:num>
  <w:num w:numId="33">
    <w:abstractNumId w:val="14"/>
  </w:num>
  <w:num w:numId="34">
    <w:abstractNumId w:val="40"/>
  </w:num>
  <w:num w:numId="35">
    <w:abstractNumId w:val="13"/>
  </w:num>
  <w:num w:numId="36">
    <w:abstractNumId w:val="5"/>
  </w:num>
  <w:num w:numId="37">
    <w:abstractNumId w:val="16"/>
  </w:num>
  <w:num w:numId="38">
    <w:abstractNumId w:val="0"/>
  </w:num>
  <w:num w:numId="39">
    <w:abstractNumId w:val="22"/>
  </w:num>
  <w:num w:numId="40">
    <w:abstractNumId w:val="20"/>
  </w:num>
  <w:num w:numId="41">
    <w:abstractNumId w:val="4"/>
  </w:num>
  <w:num w:numId="42">
    <w:abstractNumId w:val="1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79"/>
    <w:rsid w:val="00000D6F"/>
    <w:rsid w:val="000061C4"/>
    <w:rsid w:val="00007F96"/>
    <w:rsid w:val="00017670"/>
    <w:rsid w:val="000178D6"/>
    <w:rsid w:val="0003665C"/>
    <w:rsid w:val="00037CF4"/>
    <w:rsid w:val="00045C85"/>
    <w:rsid w:val="00046004"/>
    <w:rsid w:val="00046244"/>
    <w:rsid w:val="00051EB0"/>
    <w:rsid w:val="000525ED"/>
    <w:rsid w:val="000546F7"/>
    <w:rsid w:val="000573CB"/>
    <w:rsid w:val="00066945"/>
    <w:rsid w:val="00072D6A"/>
    <w:rsid w:val="00073D4E"/>
    <w:rsid w:val="000759C9"/>
    <w:rsid w:val="00081377"/>
    <w:rsid w:val="00082BDF"/>
    <w:rsid w:val="00082F93"/>
    <w:rsid w:val="00083291"/>
    <w:rsid w:val="00084F96"/>
    <w:rsid w:val="0008541A"/>
    <w:rsid w:val="000913A8"/>
    <w:rsid w:val="0009487A"/>
    <w:rsid w:val="00095733"/>
    <w:rsid w:val="000A06A2"/>
    <w:rsid w:val="000A4AB4"/>
    <w:rsid w:val="000B0BD3"/>
    <w:rsid w:val="000B2A2D"/>
    <w:rsid w:val="000B5B91"/>
    <w:rsid w:val="000C5B57"/>
    <w:rsid w:val="000D18D9"/>
    <w:rsid w:val="000D651A"/>
    <w:rsid w:val="000D7FEE"/>
    <w:rsid w:val="000E4D8E"/>
    <w:rsid w:val="000F1C6B"/>
    <w:rsid w:val="00100035"/>
    <w:rsid w:val="001002E7"/>
    <w:rsid w:val="00104E1C"/>
    <w:rsid w:val="0012798A"/>
    <w:rsid w:val="001360A4"/>
    <w:rsid w:val="00137199"/>
    <w:rsid w:val="001412F6"/>
    <w:rsid w:val="00141C01"/>
    <w:rsid w:val="00167AA3"/>
    <w:rsid w:val="00181F85"/>
    <w:rsid w:val="00182178"/>
    <w:rsid w:val="0018457B"/>
    <w:rsid w:val="00186E33"/>
    <w:rsid w:val="00191ADD"/>
    <w:rsid w:val="00196F63"/>
    <w:rsid w:val="001A23A4"/>
    <w:rsid w:val="001B0328"/>
    <w:rsid w:val="001B1F3A"/>
    <w:rsid w:val="001B63C6"/>
    <w:rsid w:val="001D3E11"/>
    <w:rsid w:val="001D4529"/>
    <w:rsid w:val="001D7AC6"/>
    <w:rsid w:val="001E372E"/>
    <w:rsid w:val="001E63E8"/>
    <w:rsid w:val="001F3583"/>
    <w:rsid w:val="001F4EB5"/>
    <w:rsid w:val="001F6619"/>
    <w:rsid w:val="001F6BD0"/>
    <w:rsid w:val="00200A35"/>
    <w:rsid w:val="00201DD9"/>
    <w:rsid w:val="00212F9B"/>
    <w:rsid w:val="002167FD"/>
    <w:rsid w:val="00220CFB"/>
    <w:rsid w:val="00225EB7"/>
    <w:rsid w:val="00231835"/>
    <w:rsid w:val="0023625E"/>
    <w:rsid w:val="0024113C"/>
    <w:rsid w:val="0024791A"/>
    <w:rsid w:val="002563CA"/>
    <w:rsid w:val="00260208"/>
    <w:rsid w:val="002647BF"/>
    <w:rsid w:val="00267D9D"/>
    <w:rsid w:val="00271AE1"/>
    <w:rsid w:val="00272341"/>
    <w:rsid w:val="00272E5D"/>
    <w:rsid w:val="00282584"/>
    <w:rsid w:val="002864D1"/>
    <w:rsid w:val="00293F0B"/>
    <w:rsid w:val="002A7EDF"/>
    <w:rsid w:val="002B1F2A"/>
    <w:rsid w:val="002B4988"/>
    <w:rsid w:val="002D55E4"/>
    <w:rsid w:val="002E36B9"/>
    <w:rsid w:val="002F54B0"/>
    <w:rsid w:val="002F72FF"/>
    <w:rsid w:val="00303A83"/>
    <w:rsid w:val="0032012E"/>
    <w:rsid w:val="00324944"/>
    <w:rsid w:val="003320C2"/>
    <w:rsid w:val="00337CAF"/>
    <w:rsid w:val="00340B6C"/>
    <w:rsid w:val="00342D41"/>
    <w:rsid w:val="003436EE"/>
    <w:rsid w:val="00345E67"/>
    <w:rsid w:val="00346F6C"/>
    <w:rsid w:val="003500CB"/>
    <w:rsid w:val="00354686"/>
    <w:rsid w:val="003562C8"/>
    <w:rsid w:val="00356E52"/>
    <w:rsid w:val="003604BC"/>
    <w:rsid w:val="00363F08"/>
    <w:rsid w:val="00364479"/>
    <w:rsid w:val="00365144"/>
    <w:rsid w:val="00365C05"/>
    <w:rsid w:val="003678A4"/>
    <w:rsid w:val="0037554D"/>
    <w:rsid w:val="0037596A"/>
    <w:rsid w:val="00376945"/>
    <w:rsid w:val="00376947"/>
    <w:rsid w:val="003874CE"/>
    <w:rsid w:val="00391D41"/>
    <w:rsid w:val="0039716F"/>
    <w:rsid w:val="003A16BB"/>
    <w:rsid w:val="003A6FA8"/>
    <w:rsid w:val="003B4D63"/>
    <w:rsid w:val="003B6E5D"/>
    <w:rsid w:val="003B7F30"/>
    <w:rsid w:val="003C2504"/>
    <w:rsid w:val="003C263A"/>
    <w:rsid w:val="003C6C61"/>
    <w:rsid w:val="003E5561"/>
    <w:rsid w:val="003F1C98"/>
    <w:rsid w:val="003F3AE7"/>
    <w:rsid w:val="003F6C8F"/>
    <w:rsid w:val="00411D29"/>
    <w:rsid w:val="004201BD"/>
    <w:rsid w:val="00420EA2"/>
    <w:rsid w:val="0043347A"/>
    <w:rsid w:val="004353B3"/>
    <w:rsid w:val="00456819"/>
    <w:rsid w:val="00461BF3"/>
    <w:rsid w:val="00464474"/>
    <w:rsid w:val="00466766"/>
    <w:rsid w:val="00474184"/>
    <w:rsid w:val="00481F9C"/>
    <w:rsid w:val="0049232A"/>
    <w:rsid w:val="0049235D"/>
    <w:rsid w:val="004966F9"/>
    <w:rsid w:val="004A0019"/>
    <w:rsid w:val="004A1B96"/>
    <w:rsid w:val="004A229A"/>
    <w:rsid w:val="004C2EDD"/>
    <w:rsid w:val="004C68BB"/>
    <w:rsid w:val="004D012B"/>
    <w:rsid w:val="004D070D"/>
    <w:rsid w:val="004D3745"/>
    <w:rsid w:val="004D48F7"/>
    <w:rsid w:val="004D72A2"/>
    <w:rsid w:val="004F4D69"/>
    <w:rsid w:val="004F68C6"/>
    <w:rsid w:val="00504AE4"/>
    <w:rsid w:val="00507B78"/>
    <w:rsid w:val="005112AF"/>
    <w:rsid w:val="00511B2D"/>
    <w:rsid w:val="0051488C"/>
    <w:rsid w:val="00517F03"/>
    <w:rsid w:val="0052685F"/>
    <w:rsid w:val="00530B36"/>
    <w:rsid w:val="0053186A"/>
    <w:rsid w:val="00534621"/>
    <w:rsid w:val="00542F10"/>
    <w:rsid w:val="00555375"/>
    <w:rsid w:val="005579A7"/>
    <w:rsid w:val="00564408"/>
    <w:rsid w:val="00564C10"/>
    <w:rsid w:val="00566607"/>
    <w:rsid w:val="0057472D"/>
    <w:rsid w:val="00574891"/>
    <w:rsid w:val="005840EB"/>
    <w:rsid w:val="00585313"/>
    <w:rsid w:val="005A2488"/>
    <w:rsid w:val="005A27E3"/>
    <w:rsid w:val="005A4409"/>
    <w:rsid w:val="005A6F83"/>
    <w:rsid w:val="005A7861"/>
    <w:rsid w:val="005B2962"/>
    <w:rsid w:val="005B4DFD"/>
    <w:rsid w:val="005B6719"/>
    <w:rsid w:val="005B6B42"/>
    <w:rsid w:val="005C0501"/>
    <w:rsid w:val="005C5CEB"/>
    <w:rsid w:val="005D2879"/>
    <w:rsid w:val="005E082A"/>
    <w:rsid w:val="005E1A36"/>
    <w:rsid w:val="00600EC0"/>
    <w:rsid w:val="00601CC2"/>
    <w:rsid w:val="00602D06"/>
    <w:rsid w:val="00607C22"/>
    <w:rsid w:val="00610D5A"/>
    <w:rsid w:val="00612EDE"/>
    <w:rsid w:val="00613B8D"/>
    <w:rsid w:val="00616D88"/>
    <w:rsid w:val="00617C63"/>
    <w:rsid w:val="0063398C"/>
    <w:rsid w:val="00636776"/>
    <w:rsid w:val="00641986"/>
    <w:rsid w:val="00643F71"/>
    <w:rsid w:val="00647F37"/>
    <w:rsid w:val="00650A7C"/>
    <w:rsid w:val="00651BA3"/>
    <w:rsid w:val="006554A0"/>
    <w:rsid w:val="00657ECC"/>
    <w:rsid w:val="00661E31"/>
    <w:rsid w:val="00662784"/>
    <w:rsid w:val="00666E32"/>
    <w:rsid w:val="00670A26"/>
    <w:rsid w:val="0067682D"/>
    <w:rsid w:val="00676BBB"/>
    <w:rsid w:val="00677D92"/>
    <w:rsid w:val="00683B79"/>
    <w:rsid w:val="006854F2"/>
    <w:rsid w:val="00690057"/>
    <w:rsid w:val="00693249"/>
    <w:rsid w:val="006A0BB4"/>
    <w:rsid w:val="006C14EA"/>
    <w:rsid w:val="006C6D95"/>
    <w:rsid w:val="006D22FB"/>
    <w:rsid w:val="006D2AD2"/>
    <w:rsid w:val="006D3DBD"/>
    <w:rsid w:val="006D4741"/>
    <w:rsid w:val="006D5CB5"/>
    <w:rsid w:val="006E49C7"/>
    <w:rsid w:val="006E6F0A"/>
    <w:rsid w:val="006F00A8"/>
    <w:rsid w:val="006F50C8"/>
    <w:rsid w:val="006F55FC"/>
    <w:rsid w:val="007012F7"/>
    <w:rsid w:val="0070172B"/>
    <w:rsid w:val="00707271"/>
    <w:rsid w:val="00707470"/>
    <w:rsid w:val="00710536"/>
    <w:rsid w:val="00712164"/>
    <w:rsid w:val="00712F53"/>
    <w:rsid w:val="00714149"/>
    <w:rsid w:val="00720DC3"/>
    <w:rsid w:val="00722825"/>
    <w:rsid w:val="00725496"/>
    <w:rsid w:val="00725545"/>
    <w:rsid w:val="00725EF0"/>
    <w:rsid w:val="007365C7"/>
    <w:rsid w:val="00757915"/>
    <w:rsid w:val="007662F3"/>
    <w:rsid w:val="007742FD"/>
    <w:rsid w:val="00777563"/>
    <w:rsid w:val="00786783"/>
    <w:rsid w:val="00786AB6"/>
    <w:rsid w:val="007A4BEE"/>
    <w:rsid w:val="007A55D6"/>
    <w:rsid w:val="007C084C"/>
    <w:rsid w:val="007C1110"/>
    <w:rsid w:val="007C1793"/>
    <w:rsid w:val="007C3405"/>
    <w:rsid w:val="007C7CB8"/>
    <w:rsid w:val="007D2AC9"/>
    <w:rsid w:val="007D67CF"/>
    <w:rsid w:val="007E2A11"/>
    <w:rsid w:val="00802910"/>
    <w:rsid w:val="00804EE2"/>
    <w:rsid w:val="00805857"/>
    <w:rsid w:val="00806DAB"/>
    <w:rsid w:val="00812AEB"/>
    <w:rsid w:val="008159F7"/>
    <w:rsid w:val="00816F69"/>
    <w:rsid w:val="00817DAD"/>
    <w:rsid w:val="008237F6"/>
    <w:rsid w:val="00825A17"/>
    <w:rsid w:val="00831F06"/>
    <w:rsid w:val="00835408"/>
    <w:rsid w:val="00840DD8"/>
    <w:rsid w:val="00842E36"/>
    <w:rsid w:val="008515F8"/>
    <w:rsid w:val="00860F82"/>
    <w:rsid w:val="0086116A"/>
    <w:rsid w:val="00863FA4"/>
    <w:rsid w:val="008710E6"/>
    <w:rsid w:val="0087325F"/>
    <w:rsid w:val="00875E9C"/>
    <w:rsid w:val="00876556"/>
    <w:rsid w:val="008849A9"/>
    <w:rsid w:val="00885105"/>
    <w:rsid w:val="0089005E"/>
    <w:rsid w:val="008962DE"/>
    <w:rsid w:val="008A1AD2"/>
    <w:rsid w:val="008B1306"/>
    <w:rsid w:val="008B3AB5"/>
    <w:rsid w:val="008C1AF1"/>
    <w:rsid w:val="008C1DC5"/>
    <w:rsid w:val="008D420F"/>
    <w:rsid w:val="008D67B2"/>
    <w:rsid w:val="008E08D9"/>
    <w:rsid w:val="008E16F6"/>
    <w:rsid w:val="008E3920"/>
    <w:rsid w:val="008E77F2"/>
    <w:rsid w:val="008F2584"/>
    <w:rsid w:val="009060D0"/>
    <w:rsid w:val="00916519"/>
    <w:rsid w:val="0092219C"/>
    <w:rsid w:val="00923F9D"/>
    <w:rsid w:val="00924A54"/>
    <w:rsid w:val="00925BD7"/>
    <w:rsid w:val="009341FF"/>
    <w:rsid w:val="00940133"/>
    <w:rsid w:val="00943C26"/>
    <w:rsid w:val="00944081"/>
    <w:rsid w:val="00957C25"/>
    <w:rsid w:val="00966DE1"/>
    <w:rsid w:val="00985D0B"/>
    <w:rsid w:val="00985DAD"/>
    <w:rsid w:val="0099189C"/>
    <w:rsid w:val="00996CB4"/>
    <w:rsid w:val="009A198C"/>
    <w:rsid w:val="009B2CC0"/>
    <w:rsid w:val="009B643D"/>
    <w:rsid w:val="009B793F"/>
    <w:rsid w:val="009C4735"/>
    <w:rsid w:val="009C5022"/>
    <w:rsid w:val="009D3304"/>
    <w:rsid w:val="009D79DC"/>
    <w:rsid w:val="009D7C1E"/>
    <w:rsid w:val="009E0591"/>
    <w:rsid w:val="009E4AD5"/>
    <w:rsid w:val="009F13C5"/>
    <w:rsid w:val="009F5380"/>
    <w:rsid w:val="009F6A14"/>
    <w:rsid w:val="00A0081E"/>
    <w:rsid w:val="00A0183A"/>
    <w:rsid w:val="00A01B8F"/>
    <w:rsid w:val="00A06DB8"/>
    <w:rsid w:val="00A11505"/>
    <w:rsid w:val="00A11B5E"/>
    <w:rsid w:val="00A1269C"/>
    <w:rsid w:val="00A13533"/>
    <w:rsid w:val="00A1546A"/>
    <w:rsid w:val="00A20553"/>
    <w:rsid w:val="00A2078D"/>
    <w:rsid w:val="00A22187"/>
    <w:rsid w:val="00A252BD"/>
    <w:rsid w:val="00A31502"/>
    <w:rsid w:val="00A3295E"/>
    <w:rsid w:val="00A33DF0"/>
    <w:rsid w:val="00A36D17"/>
    <w:rsid w:val="00A521ED"/>
    <w:rsid w:val="00A56B7C"/>
    <w:rsid w:val="00A6166D"/>
    <w:rsid w:val="00A63B27"/>
    <w:rsid w:val="00A654FC"/>
    <w:rsid w:val="00A657F1"/>
    <w:rsid w:val="00A67CCF"/>
    <w:rsid w:val="00A75A6B"/>
    <w:rsid w:val="00A76F3D"/>
    <w:rsid w:val="00A92807"/>
    <w:rsid w:val="00A9422E"/>
    <w:rsid w:val="00AA258E"/>
    <w:rsid w:val="00AA67C3"/>
    <w:rsid w:val="00AA742D"/>
    <w:rsid w:val="00AB45EB"/>
    <w:rsid w:val="00AB6EE6"/>
    <w:rsid w:val="00AC014A"/>
    <w:rsid w:val="00AC05FA"/>
    <w:rsid w:val="00AC13E0"/>
    <w:rsid w:val="00AC3896"/>
    <w:rsid w:val="00AC7A9D"/>
    <w:rsid w:val="00AD3BF7"/>
    <w:rsid w:val="00AD7C36"/>
    <w:rsid w:val="00AE43CA"/>
    <w:rsid w:val="00AE595E"/>
    <w:rsid w:val="00AE65DA"/>
    <w:rsid w:val="00AF2C89"/>
    <w:rsid w:val="00AF58C7"/>
    <w:rsid w:val="00B03FCB"/>
    <w:rsid w:val="00B04150"/>
    <w:rsid w:val="00B04440"/>
    <w:rsid w:val="00B12DE2"/>
    <w:rsid w:val="00B14AC4"/>
    <w:rsid w:val="00B21C61"/>
    <w:rsid w:val="00B2355E"/>
    <w:rsid w:val="00B260DF"/>
    <w:rsid w:val="00B26F75"/>
    <w:rsid w:val="00B3235A"/>
    <w:rsid w:val="00B32954"/>
    <w:rsid w:val="00B33E9F"/>
    <w:rsid w:val="00B3497E"/>
    <w:rsid w:val="00B34F60"/>
    <w:rsid w:val="00B43B5F"/>
    <w:rsid w:val="00B45024"/>
    <w:rsid w:val="00B458D5"/>
    <w:rsid w:val="00B46E24"/>
    <w:rsid w:val="00B51B83"/>
    <w:rsid w:val="00B56133"/>
    <w:rsid w:val="00B60F71"/>
    <w:rsid w:val="00B659A1"/>
    <w:rsid w:val="00B66386"/>
    <w:rsid w:val="00B87CFE"/>
    <w:rsid w:val="00B93813"/>
    <w:rsid w:val="00BA588D"/>
    <w:rsid w:val="00BA7261"/>
    <w:rsid w:val="00BA7C57"/>
    <w:rsid w:val="00BB6702"/>
    <w:rsid w:val="00BC5896"/>
    <w:rsid w:val="00BC7927"/>
    <w:rsid w:val="00BC793B"/>
    <w:rsid w:val="00BD2AFD"/>
    <w:rsid w:val="00BD4EBD"/>
    <w:rsid w:val="00BD6E13"/>
    <w:rsid w:val="00BE0C70"/>
    <w:rsid w:val="00BE1C20"/>
    <w:rsid w:val="00C14138"/>
    <w:rsid w:val="00C16A69"/>
    <w:rsid w:val="00C176ED"/>
    <w:rsid w:val="00C21573"/>
    <w:rsid w:val="00C23380"/>
    <w:rsid w:val="00C26200"/>
    <w:rsid w:val="00C34623"/>
    <w:rsid w:val="00C34BAE"/>
    <w:rsid w:val="00C516DF"/>
    <w:rsid w:val="00C536E5"/>
    <w:rsid w:val="00C56A00"/>
    <w:rsid w:val="00C60614"/>
    <w:rsid w:val="00C62AA2"/>
    <w:rsid w:val="00C7777D"/>
    <w:rsid w:val="00C840E0"/>
    <w:rsid w:val="00C94F6E"/>
    <w:rsid w:val="00C95A2A"/>
    <w:rsid w:val="00C965D2"/>
    <w:rsid w:val="00C96AA5"/>
    <w:rsid w:val="00CA352A"/>
    <w:rsid w:val="00CA4858"/>
    <w:rsid w:val="00CA69EB"/>
    <w:rsid w:val="00CA6A2B"/>
    <w:rsid w:val="00CB271A"/>
    <w:rsid w:val="00CB4E45"/>
    <w:rsid w:val="00CB6D9F"/>
    <w:rsid w:val="00CC5CF2"/>
    <w:rsid w:val="00CE1FB2"/>
    <w:rsid w:val="00CE3282"/>
    <w:rsid w:val="00CE5697"/>
    <w:rsid w:val="00D2257C"/>
    <w:rsid w:val="00D26686"/>
    <w:rsid w:val="00D26FF7"/>
    <w:rsid w:val="00D42470"/>
    <w:rsid w:val="00D4531F"/>
    <w:rsid w:val="00D61F89"/>
    <w:rsid w:val="00D66AD3"/>
    <w:rsid w:val="00D66F98"/>
    <w:rsid w:val="00D7363C"/>
    <w:rsid w:val="00D74364"/>
    <w:rsid w:val="00D874BE"/>
    <w:rsid w:val="00D94171"/>
    <w:rsid w:val="00DA4F60"/>
    <w:rsid w:val="00DA57E0"/>
    <w:rsid w:val="00DA5D41"/>
    <w:rsid w:val="00DB627A"/>
    <w:rsid w:val="00DB75C4"/>
    <w:rsid w:val="00DC17DF"/>
    <w:rsid w:val="00DC2332"/>
    <w:rsid w:val="00DC233A"/>
    <w:rsid w:val="00DC51BD"/>
    <w:rsid w:val="00DD4FD8"/>
    <w:rsid w:val="00DE1877"/>
    <w:rsid w:val="00DE23B6"/>
    <w:rsid w:val="00DE3115"/>
    <w:rsid w:val="00DE3EF8"/>
    <w:rsid w:val="00DE66E1"/>
    <w:rsid w:val="00DF5DE8"/>
    <w:rsid w:val="00E005CB"/>
    <w:rsid w:val="00E018A9"/>
    <w:rsid w:val="00E07E08"/>
    <w:rsid w:val="00E129C2"/>
    <w:rsid w:val="00E131A5"/>
    <w:rsid w:val="00E140D7"/>
    <w:rsid w:val="00E166B0"/>
    <w:rsid w:val="00E22302"/>
    <w:rsid w:val="00E42777"/>
    <w:rsid w:val="00E452FE"/>
    <w:rsid w:val="00E5023E"/>
    <w:rsid w:val="00E5054E"/>
    <w:rsid w:val="00E50970"/>
    <w:rsid w:val="00E54E71"/>
    <w:rsid w:val="00E60379"/>
    <w:rsid w:val="00E622D1"/>
    <w:rsid w:val="00E6288B"/>
    <w:rsid w:val="00E7008B"/>
    <w:rsid w:val="00E7209E"/>
    <w:rsid w:val="00E87225"/>
    <w:rsid w:val="00E87258"/>
    <w:rsid w:val="00E96D60"/>
    <w:rsid w:val="00EA0023"/>
    <w:rsid w:val="00EA0B40"/>
    <w:rsid w:val="00EA303B"/>
    <w:rsid w:val="00EC2080"/>
    <w:rsid w:val="00EC5BA9"/>
    <w:rsid w:val="00EC60BA"/>
    <w:rsid w:val="00EC6228"/>
    <w:rsid w:val="00EC74FB"/>
    <w:rsid w:val="00EC76CE"/>
    <w:rsid w:val="00EE0E5B"/>
    <w:rsid w:val="00EE1456"/>
    <w:rsid w:val="00EE21E2"/>
    <w:rsid w:val="00EE323C"/>
    <w:rsid w:val="00EE6D83"/>
    <w:rsid w:val="00EF0F8C"/>
    <w:rsid w:val="00EF5A47"/>
    <w:rsid w:val="00EF6435"/>
    <w:rsid w:val="00F02AD5"/>
    <w:rsid w:val="00F055AA"/>
    <w:rsid w:val="00F06101"/>
    <w:rsid w:val="00F1001F"/>
    <w:rsid w:val="00F103AF"/>
    <w:rsid w:val="00F15B3D"/>
    <w:rsid w:val="00F16015"/>
    <w:rsid w:val="00F26964"/>
    <w:rsid w:val="00F3537B"/>
    <w:rsid w:val="00F44C70"/>
    <w:rsid w:val="00F44DBE"/>
    <w:rsid w:val="00F456E8"/>
    <w:rsid w:val="00F528CE"/>
    <w:rsid w:val="00F54964"/>
    <w:rsid w:val="00F55FC2"/>
    <w:rsid w:val="00F60AA4"/>
    <w:rsid w:val="00F639C9"/>
    <w:rsid w:val="00F71C43"/>
    <w:rsid w:val="00F771CF"/>
    <w:rsid w:val="00F80936"/>
    <w:rsid w:val="00F85256"/>
    <w:rsid w:val="00F8659C"/>
    <w:rsid w:val="00F932DA"/>
    <w:rsid w:val="00F95E0B"/>
    <w:rsid w:val="00F97166"/>
    <w:rsid w:val="00F971F4"/>
    <w:rsid w:val="00FA3F23"/>
    <w:rsid w:val="00FA42AA"/>
    <w:rsid w:val="00FA71FA"/>
    <w:rsid w:val="00FC410D"/>
    <w:rsid w:val="00FC4183"/>
    <w:rsid w:val="00FD3B7D"/>
    <w:rsid w:val="00FD66AE"/>
    <w:rsid w:val="00FE3424"/>
    <w:rsid w:val="00FE6A83"/>
    <w:rsid w:val="00FF01E1"/>
    <w:rsid w:val="00FF0AF8"/>
    <w:rsid w:val="00FF3CDB"/>
    <w:rsid w:val="00FF4C53"/>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27E14"/>
  <w15:docId w15:val="{CD89391D-EE30-4FA4-9FD6-3FEACDBF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95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50970"/>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pPr>
    <w:rPr>
      <w:rFonts w:ascii="Times New Roman" w:eastAsia="Times New Roman" w:hAnsi="Times New Roman" w:cs="Times New Roman"/>
      <w:b/>
      <w:bCs/>
      <w:sz w:val="28"/>
      <w:szCs w:val="20"/>
    </w:rPr>
  </w:style>
  <w:style w:type="paragraph" w:styleId="Heading3">
    <w:name w:val="heading 3"/>
    <w:basedOn w:val="Normal"/>
    <w:next w:val="Normal"/>
    <w:link w:val="Heading3Char"/>
    <w:unhideWhenUsed/>
    <w:qFormat/>
    <w:rsid w:val="00E50970"/>
    <w:pPr>
      <w:keepNext/>
      <w:keepLines/>
      <w:spacing w:after="0" w:line="240" w:lineRule="auto"/>
      <w:jc w:val="center"/>
      <w:outlineLvl w:val="2"/>
    </w:pPr>
    <w:rPr>
      <w:rFonts w:ascii="Times New Roman" w:eastAsiaTheme="majorEastAsia" w:hAnsi="Times New Roman" w:cstheme="majorBidi"/>
      <w:b/>
      <w:bCs/>
      <w:sz w:val="28"/>
      <w:szCs w:val="24"/>
    </w:rPr>
  </w:style>
  <w:style w:type="paragraph" w:styleId="Heading4">
    <w:name w:val="heading 4"/>
    <w:basedOn w:val="Normal"/>
    <w:next w:val="Normal"/>
    <w:link w:val="Heading4Char"/>
    <w:unhideWhenUsed/>
    <w:qFormat/>
    <w:rsid w:val="00E50970"/>
    <w:pPr>
      <w:keepNext/>
      <w:keepLines/>
      <w:spacing w:after="0" w:line="240" w:lineRule="auto"/>
      <w:jc w:val="center"/>
      <w:outlineLvl w:val="3"/>
    </w:pPr>
    <w:rPr>
      <w:rFonts w:ascii="Times New Roman" w:eastAsiaTheme="majorEastAsia" w:hAnsi="Times New Roman" w:cstheme="majorBidi"/>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25BD7"/>
    <w:pPr>
      <w:spacing w:after="100"/>
    </w:pPr>
    <w:rPr>
      <w:rFonts w:ascii="Times New Roman" w:eastAsiaTheme="minorEastAsia" w:hAnsi="Times New Roman"/>
      <w:sz w:val="24"/>
      <w:lang w:eastAsia="ja-JP"/>
    </w:rPr>
  </w:style>
  <w:style w:type="table" w:styleId="TableGrid">
    <w:name w:val="Table Grid"/>
    <w:basedOn w:val="TableNormal"/>
    <w:rsid w:val="0045681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082BDF"/>
    <w:rPr>
      <w:rFonts w:ascii="Times New Roman" w:hAnsi="Times New Roman"/>
      <w:sz w:val="24"/>
    </w:rPr>
  </w:style>
  <w:style w:type="character" w:customStyle="1" w:styleId="Style3">
    <w:name w:val="Style3"/>
    <w:basedOn w:val="DefaultParagraphFont"/>
    <w:uiPriority w:val="1"/>
    <w:rsid w:val="00C34623"/>
    <w:rPr>
      <w:rFonts w:ascii="Times New Roman" w:hAnsi="Times New Roman"/>
      <w:sz w:val="24"/>
    </w:rPr>
  </w:style>
  <w:style w:type="character" w:customStyle="1" w:styleId="Heading1Char">
    <w:name w:val="Heading 1 Char"/>
    <w:basedOn w:val="DefaultParagraphFont"/>
    <w:link w:val="Heading1"/>
    <w:uiPriority w:val="99"/>
    <w:rsid w:val="00C95A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95A2A"/>
    <w:pPr>
      <w:outlineLvl w:val="9"/>
    </w:pPr>
  </w:style>
  <w:style w:type="paragraph" w:styleId="BalloonText">
    <w:name w:val="Balloon Text"/>
    <w:basedOn w:val="Normal"/>
    <w:link w:val="BalloonTextChar"/>
    <w:uiPriority w:val="99"/>
    <w:semiHidden/>
    <w:unhideWhenUsed/>
    <w:rsid w:val="00C95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A2A"/>
    <w:rPr>
      <w:rFonts w:ascii="Tahoma" w:hAnsi="Tahoma" w:cs="Tahoma"/>
      <w:sz w:val="16"/>
      <w:szCs w:val="16"/>
    </w:rPr>
  </w:style>
  <w:style w:type="paragraph" w:customStyle="1" w:styleId="BodyTXT">
    <w:name w:val="BodyTXT"/>
    <w:basedOn w:val="Normal"/>
    <w:qFormat/>
    <w:rsid w:val="00C95A2A"/>
    <w:pPr>
      <w:spacing w:after="0" w:line="240" w:lineRule="auto"/>
    </w:pPr>
    <w:rPr>
      <w:rFonts w:eastAsia="Times New Roman" w:cs="Arial"/>
    </w:rPr>
  </w:style>
  <w:style w:type="paragraph" w:styleId="Header">
    <w:name w:val="header"/>
    <w:basedOn w:val="Normal"/>
    <w:link w:val="HeaderChar"/>
    <w:uiPriority w:val="99"/>
    <w:unhideWhenUsed/>
    <w:rsid w:val="00C9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2A"/>
  </w:style>
  <w:style w:type="paragraph" w:styleId="Footer">
    <w:name w:val="footer"/>
    <w:basedOn w:val="Normal"/>
    <w:link w:val="FooterChar"/>
    <w:uiPriority w:val="99"/>
    <w:unhideWhenUsed/>
    <w:rsid w:val="00C9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2A"/>
  </w:style>
  <w:style w:type="character" w:customStyle="1" w:styleId="Heading2Char">
    <w:name w:val="Heading 2 Char"/>
    <w:basedOn w:val="DefaultParagraphFont"/>
    <w:link w:val="Heading2"/>
    <w:uiPriority w:val="99"/>
    <w:rsid w:val="00E50970"/>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rsid w:val="00E50970"/>
    <w:rPr>
      <w:rFonts w:ascii="Times New Roman" w:eastAsiaTheme="majorEastAsia" w:hAnsi="Times New Roman" w:cstheme="majorBidi"/>
      <w:b/>
      <w:bCs/>
      <w:sz w:val="28"/>
      <w:szCs w:val="24"/>
    </w:rPr>
  </w:style>
  <w:style w:type="character" w:customStyle="1" w:styleId="Heading4Char">
    <w:name w:val="Heading 4 Char"/>
    <w:basedOn w:val="DefaultParagraphFont"/>
    <w:link w:val="Heading4"/>
    <w:rsid w:val="00E50970"/>
    <w:rPr>
      <w:rFonts w:ascii="Times New Roman" w:eastAsiaTheme="majorEastAsia" w:hAnsi="Times New Roman" w:cstheme="majorBidi"/>
      <w:b/>
      <w:bCs/>
      <w:iCs/>
      <w:sz w:val="28"/>
      <w:szCs w:val="24"/>
    </w:rPr>
  </w:style>
  <w:style w:type="numbering" w:customStyle="1" w:styleId="NoList1">
    <w:name w:val="No List1"/>
    <w:next w:val="NoList"/>
    <w:uiPriority w:val="99"/>
    <w:semiHidden/>
    <w:unhideWhenUsed/>
    <w:rsid w:val="00E50970"/>
  </w:style>
  <w:style w:type="paragraph" w:styleId="PlainText">
    <w:name w:val="Plain Text"/>
    <w:basedOn w:val="Normal"/>
    <w:link w:val="PlainTextChar"/>
    <w:uiPriority w:val="99"/>
    <w:rsid w:val="00E5097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50970"/>
    <w:rPr>
      <w:rFonts w:ascii="Courier New" w:eastAsia="Times New Roman" w:hAnsi="Courier New" w:cs="Times New Roman"/>
      <w:sz w:val="20"/>
      <w:szCs w:val="20"/>
    </w:rPr>
  </w:style>
  <w:style w:type="paragraph" w:styleId="FootnoteText">
    <w:name w:val="footnote text"/>
    <w:basedOn w:val="Normal"/>
    <w:link w:val="FootnoteTextChar"/>
    <w:uiPriority w:val="99"/>
    <w:semiHidden/>
    <w:rsid w:val="00E50970"/>
    <w:pPr>
      <w:spacing w:after="0" w:line="240" w:lineRule="auto"/>
    </w:pPr>
    <w:rPr>
      <w:rFonts w:ascii="Univers Condensed" w:eastAsia="Times New Roman" w:hAnsi="Univers Condensed" w:cs="Times New Roman"/>
      <w:sz w:val="20"/>
      <w:szCs w:val="20"/>
    </w:rPr>
  </w:style>
  <w:style w:type="character" w:customStyle="1" w:styleId="FootnoteTextChar">
    <w:name w:val="Footnote Text Char"/>
    <w:basedOn w:val="DefaultParagraphFont"/>
    <w:link w:val="FootnoteText"/>
    <w:uiPriority w:val="99"/>
    <w:semiHidden/>
    <w:rsid w:val="00E50970"/>
    <w:rPr>
      <w:rFonts w:ascii="Univers Condensed" w:eastAsia="Times New Roman" w:hAnsi="Univers Condensed" w:cs="Times New Roman"/>
      <w:sz w:val="20"/>
      <w:szCs w:val="20"/>
    </w:rPr>
  </w:style>
  <w:style w:type="paragraph" w:customStyle="1" w:styleId="QuickFormat1">
    <w:name w:val="QuickFormat1"/>
    <w:basedOn w:val="Normal"/>
    <w:link w:val="QuickFormat1Char"/>
    <w:uiPriority w:val="99"/>
    <w:rsid w:val="00E50970"/>
    <w:pPr>
      <w:widowControl w:val="0"/>
      <w:spacing w:after="0" w:line="240" w:lineRule="auto"/>
      <w:jc w:val="center"/>
    </w:pPr>
    <w:rPr>
      <w:rFonts w:ascii="Times New Roman" w:eastAsia="Times New Roman" w:hAnsi="Times New Roman" w:cs="Times New Roman"/>
      <w:b/>
      <w:snapToGrid w:val="0"/>
      <w:color w:val="000000"/>
      <w:sz w:val="20"/>
      <w:szCs w:val="20"/>
      <w:lang w:val="x-none" w:eastAsia="x-none"/>
    </w:rPr>
  </w:style>
  <w:style w:type="character" w:customStyle="1" w:styleId="QuickFormat1Char">
    <w:name w:val="QuickFormat1 Char"/>
    <w:link w:val="QuickFormat1"/>
    <w:uiPriority w:val="99"/>
    <w:locked/>
    <w:rsid w:val="00E50970"/>
    <w:rPr>
      <w:rFonts w:ascii="Times New Roman" w:eastAsia="Times New Roman" w:hAnsi="Times New Roman" w:cs="Times New Roman"/>
      <w:b/>
      <w:snapToGrid w:val="0"/>
      <w:color w:val="000000"/>
      <w:sz w:val="20"/>
      <w:szCs w:val="20"/>
      <w:lang w:val="x-none" w:eastAsia="x-none"/>
    </w:rPr>
  </w:style>
  <w:style w:type="character" w:styleId="CommentReference">
    <w:name w:val="annotation reference"/>
    <w:semiHidden/>
    <w:rsid w:val="00E50970"/>
    <w:rPr>
      <w:sz w:val="16"/>
    </w:rPr>
  </w:style>
  <w:style w:type="paragraph" w:styleId="HTMLPreformatted">
    <w:name w:val="HTML Preformatted"/>
    <w:basedOn w:val="Normal"/>
    <w:link w:val="HTMLPreformattedChar"/>
    <w:uiPriority w:val="99"/>
    <w:rsid w:val="00E5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E50970"/>
    <w:rPr>
      <w:rFonts w:ascii="Courier New" w:eastAsia="Times New Roman" w:hAnsi="Courier New" w:cs="Times New Roman"/>
      <w:sz w:val="20"/>
      <w:szCs w:val="20"/>
    </w:rPr>
  </w:style>
  <w:style w:type="paragraph" w:styleId="BodyText">
    <w:name w:val="Body Text"/>
    <w:basedOn w:val="Normal"/>
    <w:link w:val="BodyTextChar"/>
    <w:uiPriority w:val="99"/>
    <w:rsid w:val="00E50970"/>
    <w:pPr>
      <w:widowControl w:val="0"/>
      <w:spacing w:after="120" w:line="240" w:lineRule="auto"/>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E50970"/>
    <w:rPr>
      <w:rFonts w:ascii="Courier" w:eastAsia="Times New Roman" w:hAnsi="Courier" w:cs="Times New Roman"/>
      <w:sz w:val="20"/>
      <w:szCs w:val="20"/>
    </w:rPr>
  </w:style>
  <w:style w:type="paragraph" w:styleId="ListParagraph">
    <w:name w:val="List Paragraph"/>
    <w:basedOn w:val="Normal"/>
    <w:uiPriority w:val="34"/>
    <w:qFormat/>
    <w:rsid w:val="00E50970"/>
    <w:pPr>
      <w:widowControl w:val="0"/>
      <w:spacing w:after="0" w:line="240" w:lineRule="auto"/>
      <w:ind w:left="720"/>
    </w:pPr>
    <w:rPr>
      <w:rFonts w:ascii="Courier" w:eastAsia="Times New Roman" w:hAnsi="Courier" w:cs="Courier"/>
      <w:sz w:val="24"/>
      <w:szCs w:val="24"/>
    </w:rPr>
  </w:style>
  <w:style w:type="table" w:customStyle="1" w:styleId="TableGrid1">
    <w:name w:val="Table Grid1"/>
    <w:basedOn w:val="TableNormal"/>
    <w:next w:val="TableGrid"/>
    <w:rsid w:val="00E50970"/>
    <w:pPr>
      <w:widowControl w:val="0"/>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CommentText">
    <w:name w:val="annotation text"/>
    <w:basedOn w:val="Normal"/>
    <w:link w:val="CommentTextChar"/>
    <w:semiHidden/>
    <w:rsid w:val="00E509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509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50970"/>
    <w:rPr>
      <w:b/>
      <w:bCs/>
    </w:rPr>
  </w:style>
  <w:style w:type="character" w:customStyle="1" w:styleId="CommentSubjectChar">
    <w:name w:val="Comment Subject Char"/>
    <w:basedOn w:val="CommentTextChar"/>
    <w:link w:val="CommentSubject"/>
    <w:uiPriority w:val="99"/>
    <w:semiHidden/>
    <w:rsid w:val="00E50970"/>
    <w:rPr>
      <w:rFonts w:ascii="Times New Roman" w:eastAsia="Times New Roman" w:hAnsi="Times New Roman" w:cs="Times New Roman"/>
      <w:b/>
      <w:bCs/>
      <w:sz w:val="20"/>
      <w:szCs w:val="20"/>
    </w:rPr>
  </w:style>
  <w:style w:type="paragraph" w:styleId="Revision">
    <w:name w:val="Revision"/>
    <w:hidden/>
    <w:uiPriority w:val="99"/>
    <w:semiHidden/>
    <w:rsid w:val="00E5097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509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E50970"/>
    <w:rPr>
      <w:color w:val="0000FF"/>
      <w:u w:val="single"/>
    </w:rPr>
  </w:style>
  <w:style w:type="character" w:styleId="FollowedHyperlink">
    <w:name w:val="FollowedHyperlink"/>
    <w:basedOn w:val="DefaultParagraphFont"/>
    <w:uiPriority w:val="99"/>
    <w:semiHidden/>
    <w:unhideWhenUsed/>
    <w:rsid w:val="00E50970"/>
    <w:rPr>
      <w:color w:val="800080" w:themeColor="followedHyperlink"/>
      <w:u w:val="single"/>
    </w:rPr>
  </w:style>
  <w:style w:type="character" w:styleId="FootnoteReference">
    <w:name w:val="footnote reference"/>
    <w:basedOn w:val="DefaultParagraphFont"/>
    <w:uiPriority w:val="99"/>
    <w:semiHidden/>
    <w:unhideWhenUsed/>
    <w:rsid w:val="00E50970"/>
    <w:rPr>
      <w:vertAlign w:val="superscript"/>
    </w:rPr>
  </w:style>
  <w:style w:type="paragraph" w:styleId="TOC2">
    <w:name w:val="toc 2"/>
    <w:basedOn w:val="Normal"/>
    <w:next w:val="Normal"/>
    <w:autoRedefine/>
    <w:uiPriority w:val="39"/>
    <w:qFormat/>
    <w:rsid w:val="00E50970"/>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E50970"/>
    <w:pPr>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rsid w:val="00E50970"/>
    <w:pPr>
      <w:spacing w:after="100" w:line="240" w:lineRule="auto"/>
      <w:ind w:left="720"/>
    </w:pPr>
    <w:rPr>
      <w:rFonts w:ascii="Times New Roman" w:eastAsia="Times New Roman" w:hAnsi="Times New Roman" w:cs="Times New Roman"/>
      <w:sz w:val="24"/>
      <w:szCs w:val="24"/>
    </w:rPr>
  </w:style>
  <w:style w:type="character" w:customStyle="1" w:styleId="Style1">
    <w:name w:val="Style1"/>
    <w:basedOn w:val="DefaultParagraphFont"/>
    <w:uiPriority w:val="1"/>
    <w:rsid w:val="00E50970"/>
    <w:rPr>
      <w:rFonts w:ascii="Times New Roman" w:hAnsi="Times New Roman"/>
      <w:b/>
      <w:sz w:val="24"/>
      <w:u w:val="single"/>
    </w:rPr>
  </w:style>
  <w:style w:type="table" w:customStyle="1" w:styleId="TableGrid2">
    <w:name w:val="Table Grid2"/>
    <w:basedOn w:val="TableNormal"/>
    <w:next w:val="TableGrid"/>
    <w:rsid w:val="00E50970"/>
    <w:pPr>
      <w:widowControl w:val="0"/>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fp">
    <w:name w:val="fp"/>
    <w:basedOn w:val="Normal"/>
    <w:rsid w:val="00E16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53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mptyLayoutCell">
    <w:name w:val="EmptyLayoutCell"/>
    <w:basedOn w:val="Normal"/>
    <w:rsid w:val="00607C22"/>
    <w:pPr>
      <w:spacing w:after="0" w:line="240" w:lineRule="auto"/>
    </w:pPr>
    <w:rPr>
      <w:rFonts w:ascii="Times New Roman" w:eastAsia="Times New Roman" w:hAnsi="Times New Roman" w:cs="Times New Roman"/>
      <w:sz w:val="2"/>
      <w:szCs w:val="20"/>
    </w:rPr>
  </w:style>
  <w:style w:type="table" w:customStyle="1" w:styleId="TableGrid3">
    <w:name w:val="Table Grid3"/>
    <w:basedOn w:val="TableNormal"/>
    <w:next w:val="TableGrid"/>
    <w:rsid w:val="00411D29"/>
    <w:pPr>
      <w:widowControl w:val="0"/>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956">
      <w:bodyDiv w:val="1"/>
      <w:marLeft w:val="0"/>
      <w:marRight w:val="0"/>
      <w:marTop w:val="0"/>
      <w:marBottom w:val="0"/>
      <w:divBdr>
        <w:top w:val="none" w:sz="0" w:space="0" w:color="auto"/>
        <w:left w:val="none" w:sz="0" w:space="0" w:color="auto"/>
        <w:bottom w:val="none" w:sz="0" w:space="0" w:color="auto"/>
        <w:right w:val="none" w:sz="0" w:space="0" w:color="auto"/>
      </w:divBdr>
    </w:div>
    <w:div w:id="468255487">
      <w:bodyDiv w:val="1"/>
      <w:marLeft w:val="0"/>
      <w:marRight w:val="0"/>
      <w:marTop w:val="0"/>
      <w:marBottom w:val="0"/>
      <w:divBdr>
        <w:top w:val="none" w:sz="0" w:space="0" w:color="auto"/>
        <w:left w:val="none" w:sz="0" w:space="0" w:color="auto"/>
        <w:bottom w:val="none" w:sz="0" w:space="0" w:color="auto"/>
        <w:right w:val="none" w:sz="0" w:space="0" w:color="auto"/>
      </w:divBdr>
    </w:div>
    <w:div w:id="515463417">
      <w:bodyDiv w:val="1"/>
      <w:marLeft w:val="0"/>
      <w:marRight w:val="0"/>
      <w:marTop w:val="0"/>
      <w:marBottom w:val="0"/>
      <w:divBdr>
        <w:top w:val="none" w:sz="0" w:space="0" w:color="auto"/>
        <w:left w:val="none" w:sz="0" w:space="0" w:color="auto"/>
        <w:bottom w:val="none" w:sz="0" w:space="0" w:color="auto"/>
        <w:right w:val="none" w:sz="0" w:space="0" w:color="auto"/>
      </w:divBdr>
    </w:div>
    <w:div w:id="539510220">
      <w:bodyDiv w:val="1"/>
      <w:marLeft w:val="0"/>
      <w:marRight w:val="0"/>
      <w:marTop w:val="0"/>
      <w:marBottom w:val="0"/>
      <w:divBdr>
        <w:top w:val="none" w:sz="0" w:space="0" w:color="auto"/>
        <w:left w:val="none" w:sz="0" w:space="0" w:color="auto"/>
        <w:bottom w:val="none" w:sz="0" w:space="0" w:color="auto"/>
        <w:right w:val="none" w:sz="0" w:space="0" w:color="auto"/>
      </w:divBdr>
      <w:divsChild>
        <w:div w:id="1805852491">
          <w:marLeft w:val="0"/>
          <w:marRight w:val="0"/>
          <w:marTop w:val="0"/>
          <w:marBottom w:val="0"/>
          <w:divBdr>
            <w:top w:val="none" w:sz="0" w:space="0" w:color="auto"/>
            <w:left w:val="none" w:sz="0" w:space="0" w:color="auto"/>
            <w:bottom w:val="none" w:sz="0" w:space="0" w:color="auto"/>
            <w:right w:val="none" w:sz="0" w:space="0" w:color="auto"/>
          </w:divBdr>
          <w:divsChild>
            <w:div w:id="630987154">
              <w:marLeft w:val="0"/>
              <w:marRight w:val="0"/>
              <w:marTop w:val="0"/>
              <w:marBottom w:val="0"/>
              <w:divBdr>
                <w:top w:val="none" w:sz="0" w:space="0" w:color="auto"/>
                <w:left w:val="none" w:sz="0" w:space="0" w:color="auto"/>
                <w:bottom w:val="none" w:sz="0" w:space="0" w:color="auto"/>
                <w:right w:val="none" w:sz="0" w:space="0" w:color="auto"/>
              </w:divBdr>
            </w:div>
            <w:div w:id="1974289685">
              <w:marLeft w:val="0"/>
              <w:marRight w:val="0"/>
              <w:marTop w:val="0"/>
              <w:marBottom w:val="0"/>
              <w:divBdr>
                <w:top w:val="none" w:sz="0" w:space="0" w:color="auto"/>
                <w:left w:val="none" w:sz="0" w:space="0" w:color="auto"/>
                <w:bottom w:val="none" w:sz="0" w:space="0" w:color="auto"/>
                <w:right w:val="none" w:sz="0" w:space="0" w:color="auto"/>
              </w:divBdr>
            </w:div>
            <w:div w:id="1331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351">
      <w:bodyDiv w:val="1"/>
      <w:marLeft w:val="0"/>
      <w:marRight w:val="0"/>
      <w:marTop w:val="0"/>
      <w:marBottom w:val="0"/>
      <w:divBdr>
        <w:top w:val="none" w:sz="0" w:space="0" w:color="auto"/>
        <w:left w:val="none" w:sz="0" w:space="0" w:color="auto"/>
        <w:bottom w:val="none" w:sz="0" w:space="0" w:color="auto"/>
        <w:right w:val="none" w:sz="0" w:space="0" w:color="auto"/>
      </w:divBdr>
    </w:div>
    <w:div w:id="760761743">
      <w:bodyDiv w:val="1"/>
      <w:marLeft w:val="0"/>
      <w:marRight w:val="0"/>
      <w:marTop w:val="0"/>
      <w:marBottom w:val="0"/>
      <w:divBdr>
        <w:top w:val="none" w:sz="0" w:space="0" w:color="auto"/>
        <w:left w:val="none" w:sz="0" w:space="0" w:color="auto"/>
        <w:bottom w:val="none" w:sz="0" w:space="0" w:color="auto"/>
        <w:right w:val="none" w:sz="0" w:space="0" w:color="auto"/>
      </w:divBdr>
    </w:div>
    <w:div w:id="911156015">
      <w:bodyDiv w:val="1"/>
      <w:marLeft w:val="0"/>
      <w:marRight w:val="0"/>
      <w:marTop w:val="0"/>
      <w:marBottom w:val="0"/>
      <w:divBdr>
        <w:top w:val="none" w:sz="0" w:space="0" w:color="auto"/>
        <w:left w:val="none" w:sz="0" w:space="0" w:color="auto"/>
        <w:bottom w:val="none" w:sz="0" w:space="0" w:color="auto"/>
        <w:right w:val="none" w:sz="0" w:space="0" w:color="auto"/>
      </w:divBdr>
    </w:div>
    <w:div w:id="1106579932">
      <w:bodyDiv w:val="1"/>
      <w:marLeft w:val="0"/>
      <w:marRight w:val="0"/>
      <w:marTop w:val="0"/>
      <w:marBottom w:val="0"/>
      <w:divBdr>
        <w:top w:val="none" w:sz="0" w:space="0" w:color="auto"/>
        <w:left w:val="none" w:sz="0" w:space="0" w:color="auto"/>
        <w:bottom w:val="none" w:sz="0" w:space="0" w:color="auto"/>
        <w:right w:val="none" w:sz="0" w:space="0" w:color="auto"/>
      </w:divBdr>
    </w:div>
    <w:div w:id="1511988114">
      <w:bodyDiv w:val="1"/>
      <w:marLeft w:val="0"/>
      <w:marRight w:val="0"/>
      <w:marTop w:val="0"/>
      <w:marBottom w:val="0"/>
      <w:divBdr>
        <w:top w:val="none" w:sz="0" w:space="0" w:color="auto"/>
        <w:left w:val="none" w:sz="0" w:space="0" w:color="auto"/>
        <w:bottom w:val="none" w:sz="0" w:space="0" w:color="auto"/>
        <w:right w:val="none" w:sz="0" w:space="0" w:color="auto"/>
      </w:divBdr>
    </w:div>
    <w:div w:id="1576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9066-6453-47D6-AE2C-5938E67E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21715</Words>
  <Characters>123782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Large Bank Multi-Rated Area Template</vt:lpstr>
    </vt:vector>
  </TitlesOfParts>
  <Company>FDIC</Company>
  <LinksUpToDate>false</LinksUpToDate>
  <CharactersWithSpaces>145207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Bank Multi-Rated Area Template</dc:title>
  <dc:subject/>
  <dc:creator>Bertrand, Karen A.</dc:creator>
  <cp:keywords/>
  <dc:description/>
  <cp:lastModifiedBy>Weydt, Irene (DOB)</cp:lastModifiedBy>
  <cp:revision>9</cp:revision>
  <cp:lastPrinted>2021-05-25T20:13:00Z</cp:lastPrinted>
  <dcterms:created xsi:type="dcterms:W3CDTF">2021-05-18T18:18:00Z</dcterms:created>
  <dcterms:modified xsi:type="dcterms:W3CDTF">2021-05-25T20:17:00Z</dcterms:modified>
</cp:coreProperties>
</file>