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7444E2" w:rsidRDefault="00790BE1" w:rsidP="00790BE1">
      <w:pPr>
        <w:jc w:val="center"/>
        <w:rPr>
          <w:szCs w:val="24"/>
        </w:rPr>
      </w:pPr>
      <w:r w:rsidRPr="007444E2">
        <w:rPr>
          <w:szCs w:val="24"/>
        </w:rPr>
        <w:t>COMMONWEALTH OF MASSACHUSETTS</w:t>
      </w:r>
    </w:p>
    <w:p w:rsidR="00790BE1" w:rsidRPr="007444E2" w:rsidRDefault="00790BE1" w:rsidP="00790BE1">
      <w:pPr>
        <w:spacing w:line="240" w:lineRule="auto"/>
        <w:ind w:left="4680"/>
        <w:rPr>
          <w:b/>
          <w:szCs w:val="24"/>
        </w:rPr>
      </w:pPr>
      <w:r w:rsidRPr="007444E2">
        <w:rPr>
          <w:b/>
          <w:szCs w:val="24"/>
        </w:rPr>
        <w:t>Division of Administrative Law Appeals</w:t>
      </w:r>
    </w:p>
    <w:p w:rsidR="00790BE1" w:rsidRPr="007444E2" w:rsidRDefault="00790BE1" w:rsidP="00790BE1">
      <w:pPr>
        <w:spacing w:line="240" w:lineRule="auto"/>
        <w:ind w:left="4680"/>
        <w:rPr>
          <w:b/>
          <w:szCs w:val="24"/>
        </w:rPr>
      </w:pPr>
      <w:r w:rsidRPr="007444E2">
        <w:rPr>
          <w:b/>
          <w:szCs w:val="24"/>
        </w:rPr>
        <w:t>1 Congress Street, 11th Floor</w:t>
      </w:r>
    </w:p>
    <w:p w:rsidR="00790BE1" w:rsidRPr="007444E2" w:rsidRDefault="00790BE1" w:rsidP="00790BE1">
      <w:pPr>
        <w:spacing w:line="240" w:lineRule="auto"/>
        <w:ind w:left="4680"/>
        <w:rPr>
          <w:b/>
          <w:szCs w:val="24"/>
        </w:rPr>
      </w:pPr>
      <w:r w:rsidRPr="007444E2">
        <w:rPr>
          <w:b/>
          <w:szCs w:val="24"/>
        </w:rPr>
        <w:t>Boston, MA 02114</w:t>
      </w:r>
    </w:p>
    <w:p w:rsidR="00790BE1" w:rsidRPr="007444E2" w:rsidRDefault="00790BE1" w:rsidP="00790BE1">
      <w:pPr>
        <w:spacing w:line="240" w:lineRule="auto"/>
        <w:ind w:left="4680"/>
        <w:rPr>
          <w:b/>
          <w:szCs w:val="24"/>
        </w:rPr>
      </w:pPr>
      <w:r w:rsidRPr="007444E2">
        <w:rPr>
          <w:b/>
          <w:szCs w:val="24"/>
        </w:rPr>
        <w:t>www.mass.gov/dala</w:t>
      </w:r>
    </w:p>
    <w:p w:rsidR="00790BE1" w:rsidRPr="007444E2" w:rsidRDefault="00790BE1" w:rsidP="00790BE1">
      <w:pPr>
        <w:spacing w:line="240" w:lineRule="auto"/>
        <w:rPr>
          <w:szCs w:val="24"/>
        </w:rPr>
      </w:pPr>
    </w:p>
    <w:p w:rsidR="00790BE1" w:rsidRPr="007444E2" w:rsidRDefault="00927F2C" w:rsidP="00790BE1">
      <w:pPr>
        <w:spacing w:line="240" w:lineRule="auto"/>
        <w:rPr>
          <w:szCs w:val="24"/>
        </w:rPr>
      </w:pPr>
      <w:r w:rsidRPr="007444E2">
        <w:rPr>
          <w:b/>
          <w:szCs w:val="24"/>
        </w:rPr>
        <w:t>Susan Hartnett</w:t>
      </w:r>
      <w:r w:rsidR="00790BE1" w:rsidRPr="007444E2">
        <w:rPr>
          <w:szCs w:val="24"/>
        </w:rPr>
        <w:t>,</w:t>
      </w:r>
    </w:p>
    <w:p w:rsidR="00790BE1" w:rsidRPr="007444E2" w:rsidRDefault="00790BE1" w:rsidP="00790BE1">
      <w:pPr>
        <w:spacing w:line="240" w:lineRule="auto"/>
        <w:rPr>
          <w:szCs w:val="24"/>
        </w:rPr>
      </w:pPr>
      <w:r w:rsidRPr="007444E2">
        <w:rPr>
          <w:szCs w:val="24"/>
        </w:rPr>
        <w:t>Petitioner</w:t>
      </w:r>
    </w:p>
    <w:p w:rsidR="00790BE1" w:rsidRPr="007444E2" w:rsidRDefault="00790BE1" w:rsidP="00790BE1">
      <w:pPr>
        <w:spacing w:line="240" w:lineRule="auto"/>
        <w:rPr>
          <w:szCs w:val="24"/>
        </w:rPr>
      </w:pPr>
    </w:p>
    <w:p w:rsidR="00790BE1" w:rsidRPr="007444E2" w:rsidRDefault="00790BE1" w:rsidP="00790BE1">
      <w:pPr>
        <w:spacing w:line="240" w:lineRule="auto"/>
        <w:rPr>
          <w:szCs w:val="24"/>
        </w:rPr>
      </w:pPr>
      <w:r w:rsidRPr="007444E2">
        <w:rPr>
          <w:szCs w:val="24"/>
        </w:rPr>
        <w:t xml:space="preserve">v.                                                                           Docket No. </w:t>
      </w:r>
      <w:r w:rsidR="00927F2C" w:rsidRPr="007444E2">
        <w:rPr>
          <w:szCs w:val="24"/>
        </w:rPr>
        <w:t>CR-17-218</w:t>
      </w:r>
    </w:p>
    <w:p w:rsidR="00790BE1" w:rsidRPr="007444E2" w:rsidRDefault="00790BE1" w:rsidP="00790BE1">
      <w:pPr>
        <w:spacing w:line="240" w:lineRule="auto"/>
        <w:rPr>
          <w:szCs w:val="24"/>
        </w:rPr>
      </w:pPr>
    </w:p>
    <w:p w:rsidR="00927F2C" w:rsidRPr="007444E2" w:rsidRDefault="00927F2C" w:rsidP="00790BE1">
      <w:pPr>
        <w:spacing w:line="240" w:lineRule="auto"/>
        <w:rPr>
          <w:b/>
          <w:szCs w:val="24"/>
        </w:rPr>
      </w:pPr>
      <w:r w:rsidRPr="007444E2">
        <w:rPr>
          <w:b/>
          <w:szCs w:val="24"/>
        </w:rPr>
        <w:t xml:space="preserve">Boston Retirement System and </w:t>
      </w:r>
    </w:p>
    <w:p w:rsidR="00790BE1" w:rsidRPr="007444E2" w:rsidRDefault="00927F2C" w:rsidP="00790BE1">
      <w:pPr>
        <w:spacing w:line="240" w:lineRule="auto"/>
        <w:rPr>
          <w:szCs w:val="24"/>
        </w:rPr>
      </w:pPr>
      <w:r w:rsidRPr="007444E2">
        <w:rPr>
          <w:b/>
          <w:szCs w:val="24"/>
        </w:rPr>
        <w:t>Public Employee Retirement Administration Commission</w:t>
      </w:r>
      <w:r w:rsidR="00790BE1" w:rsidRPr="007444E2">
        <w:rPr>
          <w:szCs w:val="24"/>
        </w:rPr>
        <w:t>,</w:t>
      </w:r>
    </w:p>
    <w:p w:rsidR="00790BE1" w:rsidRPr="007444E2" w:rsidRDefault="00790BE1" w:rsidP="00790BE1">
      <w:pPr>
        <w:spacing w:line="240" w:lineRule="auto"/>
        <w:rPr>
          <w:szCs w:val="24"/>
        </w:rPr>
      </w:pPr>
      <w:r w:rsidRPr="007444E2">
        <w:rPr>
          <w:szCs w:val="24"/>
        </w:rPr>
        <w:t>Respondent</w:t>
      </w:r>
      <w:r w:rsidR="00927F2C" w:rsidRPr="007444E2">
        <w:rPr>
          <w:szCs w:val="24"/>
        </w:rPr>
        <w:t>s</w:t>
      </w:r>
      <w:r w:rsidRPr="007444E2">
        <w:rPr>
          <w:szCs w:val="24"/>
        </w:rPr>
        <w:t xml:space="preserve">         </w:t>
      </w:r>
    </w:p>
    <w:p w:rsidR="00790BE1" w:rsidRPr="007444E2" w:rsidRDefault="00790BE1" w:rsidP="00790BE1">
      <w:pPr>
        <w:spacing w:line="240" w:lineRule="auto"/>
        <w:rPr>
          <w:szCs w:val="24"/>
        </w:rPr>
      </w:pPr>
    </w:p>
    <w:p w:rsidR="00790BE1" w:rsidRPr="007444E2" w:rsidRDefault="00790BE1" w:rsidP="00790BE1">
      <w:pPr>
        <w:spacing w:line="240" w:lineRule="auto"/>
        <w:rPr>
          <w:szCs w:val="24"/>
        </w:rPr>
      </w:pPr>
      <w:r w:rsidRPr="007444E2">
        <w:rPr>
          <w:b/>
          <w:szCs w:val="24"/>
        </w:rPr>
        <w:t>Appearance for Petitioner</w:t>
      </w:r>
      <w:r w:rsidRPr="007444E2">
        <w:rPr>
          <w:szCs w:val="24"/>
        </w:rPr>
        <w:t>:</w:t>
      </w:r>
      <w:r w:rsidRPr="007444E2">
        <w:rPr>
          <w:szCs w:val="24"/>
        </w:rPr>
        <w:tab/>
      </w:r>
      <w:r w:rsidRPr="007444E2">
        <w:rPr>
          <w:szCs w:val="24"/>
        </w:rPr>
        <w:tab/>
      </w:r>
      <w:r w:rsidRPr="007444E2">
        <w:rPr>
          <w:szCs w:val="24"/>
        </w:rPr>
        <w:tab/>
      </w:r>
    </w:p>
    <w:p w:rsidR="00790BE1" w:rsidRPr="007444E2" w:rsidRDefault="00790BE1" w:rsidP="00790BE1">
      <w:pPr>
        <w:spacing w:line="240" w:lineRule="auto"/>
        <w:rPr>
          <w:szCs w:val="24"/>
          <w:highlight w:val="lightGray"/>
        </w:rPr>
      </w:pPr>
    </w:p>
    <w:p w:rsidR="00790BE1" w:rsidRPr="007444E2" w:rsidRDefault="0050746D" w:rsidP="00790BE1">
      <w:pPr>
        <w:spacing w:line="240" w:lineRule="auto"/>
        <w:ind w:left="720"/>
        <w:rPr>
          <w:szCs w:val="24"/>
        </w:rPr>
      </w:pPr>
      <w:r w:rsidRPr="007444E2">
        <w:rPr>
          <w:szCs w:val="24"/>
        </w:rPr>
        <w:t>Gerald McDonough, Esq.</w:t>
      </w:r>
    </w:p>
    <w:p w:rsidR="0050746D" w:rsidRPr="007444E2" w:rsidRDefault="0050746D" w:rsidP="00790BE1">
      <w:pPr>
        <w:spacing w:line="240" w:lineRule="auto"/>
        <w:ind w:left="720"/>
        <w:rPr>
          <w:szCs w:val="24"/>
        </w:rPr>
      </w:pPr>
      <w:r w:rsidRPr="007444E2">
        <w:rPr>
          <w:szCs w:val="24"/>
        </w:rPr>
        <w:t>125 Cambridge Park Drive, Suite 301</w:t>
      </w:r>
    </w:p>
    <w:p w:rsidR="0050746D" w:rsidRPr="007444E2" w:rsidRDefault="0050746D" w:rsidP="00790BE1">
      <w:pPr>
        <w:spacing w:line="240" w:lineRule="auto"/>
        <w:ind w:left="720"/>
        <w:rPr>
          <w:szCs w:val="24"/>
        </w:rPr>
      </w:pPr>
      <w:r w:rsidRPr="007444E2">
        <w:rPr>
          <w:szCs w:val="24"/>
        </w:rPr>
        <w:t>Cambridge, MA 02140</w:t>
      </w:r>
    </w:p>
    <w:p w:rsidR="00790BE1" w:rsidRPr="007444E2" w:rsidRDefault="00790BE1" w:rsidP="00790BE1">
      <w:pPr>
        <w:spacing w:line="240" w:lineRule="auto"/>
        <w:rPr>
          <w:szCs w:val="24"/>
          <w:highlight w:val="lightGray"/>
        </w:rPr>
      </w:pPr>
    </w:p>
    <w:p w:rsidR="00790BE1" w:rsidRPr="007444E2" w:rsidRDefault="00790BE1" w:rsidP="00790BE1">
      <w:pPr>
        <w:spacing w:line="240" w:lineRule="auto"/>
        <w:rPr>
          <w:szCs w:val="24"/>
        </w:rPr>
      </w:pPr>
      <w:r w:rsidRPr="007444E2">
        <w:rPr>
          <w:b/>
          <w:szCs w:val="24"/>
        </w:rPr>
        <w:t>Appearance for Respondent</w:t>
      </w:r>
      <w:r w:rsidR="008C67DE" w:rsidRPr="007444E2">
        <w:rPr>
          <w:b/>
          <w:szCs w:val="24"/>
        </w:rPr>
        <w:t>s</w:t>
      </w:r>
      <w:r w:rsidRPr="007444E2">
        <w:rPr>
          <w:szCs w:val="24"/>
        </w:rPr>
        <w:t>:</w:t>
      </w:r>
      <w:r w:rsidRPr="007444E2">
        <w:rPr>
          <w:szCs w:val="24"/>
        </w:rPr>
        <w:tab/>
      </w:r>
      <w:r w:rsidRPr="007444E2">
        <w:rPr>
          <w:szCs w:val="24"/>
        </w:rPr>
        <w:tab/>
      </w:r>
      <w:r w:rsidRPr="007444E2">
        <w:rPr>
          <w:szCs w:val="24"/>
        </w:rPr>
        <w:tab/>
      </w:r>
    </w:p>
    <w:p w:rsidR="00790BE1" w:rsidRPr="007444E2" w:rsidRDefault="00790BE1" w:rsidP="00790BE1">
      <w:pPr>
        <w:spacing w:line="240" w:lineRule="auto"/>
        <w:rPr>
          <w:szCs w:val="24"/>
        </w:rPr>
      </w:pPr>
    </w:p>
    <w:p w:rsidR="00AD0FC1" w:rsidRPr="007444E2" w:rsidRDefault="00AD0FC1" w:rsidP="00790BE1">
      <w:pPr>
        <w:spacing w:line="240" w:lineRule="auto"/>
        <w:ind w:firstLine="720"/>
        <w:rPr>
          <w:szCs w:val="24"/>
        </w:rPr>
      </w:pPr>
      <w:r w:rsidRPr="007444E2">
        <w:rPr>
          <w:szCs w:val="24"/>
        </w:rPr>
        <w:t>Natacha Thomas, Esq.</w:t>
      </w:r>
    </w:p>
    <w:p w:rsidR="00AD0FC1" w:rsidRPr="007444E2" w:rsidRDefault="00AD0FC1" w:rsidP="00790BE1">
      <w:pPr>
        <w:spacing w:line="240" w:lineRule="auto"/>
        <w:ind w:firstLine="720"/>
        <w:rPr>
          <w:szCs w:val="24"/>
        </w:rPr>
      </w:pPr>
      <w:r w:rsidRPr="007444E2">
        <w:rPr>
          <w:szCs w:val="24"/>
        </w:rPr>
        <w:t>Associate General Counsel</w:t>
      </w:r>
    </w:p>
    <w:p w:rsidR="00AD0FC1" w:rsidRPr="007444E2" w:rsidRDefault="00AD0FC1" w:rsidP="00790BE1">
      <w:pPr>
        <w:spacing w:line="240" w:lineRule="auto"/>
        <w:ind w:firstLine="720"/>
        <w:rPr>
          <w:szCs w:val="24"/>
        </w:rPr>
      </w:pPr>
      <w:r w:rsidRPr="007444E2">
        <w:rPr>
          <w:szCs w:val="24"/>
        </w:rPr>
        <w:t>Boston Retirement System</w:t>
      </w:r>
    </w:p>
    <w:p w:rsidR="00AD0FC1" w:rsidRPr="007444E2" w:rsidRDefault="00AD0FC1" w:rsidP="00790BE1">
      <w:pPr>
        <w:spacing w:line="240" w:lineRule="auto"/>
        <w:ind w:firstLine="720"/>
        <w:rPr>
          <w:szCs w:val="24"/>
        </w:rPr>
      </w:pPr>
      <w:r w:rsidRPr="007444E2">
        <w:rPr>
          <w:szCs w:val="24"/>
        </w:rPr>
        <w:t>One City Hall Square, Room 816</w:t>
      </w:r>
    </w:p>
    <w:p w:rsidR="00AD0FC1" w:rsidRPr="007444E2" w:rsidRDefault="00AD0FC1" w:rsidP="00790BE1">
      <w:pPr>
        <w:spacing w:line="240" w:lineRule="auto"/>
        <w:ind w:firstLine="720"/>
        <w:rPr>
          <w:szCs w:val="24"/>
        </w:rPr>
      </w:pPr>
      <w:r w:rsidRPr="007444E2">
        <w:rPr>
          <w:szCs w:val="24"/>
        </w:rPr>
        <w:t>Boston, MA 02201</w:t>
      </w:r>
    </w:p>
    <w:p w:rsidR="00AD0FC1" w:rsidRPr="007444E2" w:rsidRDefault="00AD0FC1" w:rsidP="00790BE1">
      <w:pPr>
        <w:spacing w:line="240" w:lineRule="auto"/>
        <w:ind w:firstLine="720"/>
        <w:rPr>
          <w:szCs w:val="24"/>
        </w:rPr>
      </w:pPr>
    </w:p>
    <w:p w:rsidR="00790BE1" w:rsidRPr="007444E2" w:rsidRDefault="008C67DE" w:rsidP="00790BE1">
      <w:pPr>
        <w:spacing w:line="240" w:lineRule="auto"/>
        <w:ind w:firstLine="720"/>
        <w:rPr>
          <w:szCs w:val="24"/>
        </w:rPr>
      </w:pPr>
      <w:r w:rsidRPr="007444E2">
        <w:rPr>
          <w:szCs w:val="24"/>
        </w:rPr>
        <w:t>Kenneth J. Hill, Esq.</w:t>
      </w:r>
    </w:p>
    <w:p w:rsidR="008C67DE" w:rsidRPr="007444E2" w:rsidRDefault="008C67DE" w:rsidP="00790BE1">
      <w:pPr>
        <w:spacing w:line="240" w:lineRule="auto"/>
        <w:ind w:firstLine="720"/>
        <w:rPr>
          <w:szCs w:val="24"/>
        </w:rPr>
      </w:pPr>
      <w:r w:rsidRPr="007444E2">
        <w:rPr>
          <w:szCs w:val="24"/>
        </w:rPr>
        <w:t>Senior Associate General Counsel</w:t>
      </w:r>
    </w:p>
    <w:p w:rsidR="008C67DE" w:rsidRPr="007444E2" w:rsidRDefault="008C67DE" w:rsidP="00790BE1">
      <w:pPr>
        <w:spacing w:line="240" w:lineRule="auto"/>
        <w:ind w:firstLine="720"/>
        <w:rPr>
          <w:szCs w:val="24"/>
        </w:rPr>
      </w:pPr>
      <w:r w:rsidRPr="007444E2">
        <w:rPr>
          <w:szCs w:val="24"/>
        </w:rPr>
        <w:t>Public Employee Retirement Administration Commission</w:t>
      </w:r>
    </w:p>
    <w:p w:rsidR="008C67DE" w:rsidRPr="007444E2" w:rsidRDefault="008C67DE" w:rsidP="00790BE1">
      <w:pPr>
        <w:spacing w:line="240" w:lineRule="auto"/>
        <w:ind w:firstLine="720"/>
        <w:rPr>
          <w:szCs w:val="24"/>
        </w:rPr>
      </w:pPr>
      <w:r w:rsidRPr="007444E2">
        <w:rPr>
          <w:szCs w:val="24"/>
        </w:rPr>
        <w:t>5 Middlesex Avenue, Suite 304</w:t>
      </w:r>
    </w:p>
    <w:p w:rsidR="008C67DE" w:rsidRPr="007444E2" w:rsidRDefault="008C67DE" w:rsidP="00790BE1">
      <w:pPr>
        <w:spacing w:line="240" w:lineRule="auto"/>
        <w:ind w:firstLine="720"/>
        <w:rPr>
          <w:szCs w:val="24"/>
        </w:rPr>
      </w:pPr>
      <w:r w:rsidRPr="007444E2">
        <w:rPr>
          <w:szCs w:val="24"/>
        </w:rPr>
        <w:t>Somerville, MA 02145</w:t>
      </w:r>
    </w:p>
    <w:p w:rsidR="00790BE1" w:rsidRPr="007444E2" w:rsidRDefault="00790BE1" w:rsidP="00790BE1">
      <w:pPr>
        <w:spacing w:line="240" w:lineRule="auto"/>
        <w:rPr>
          <w:szCs w:val="24"/>
        </w:rPr>
      </w:pPr>
    </w:p>
    <w:p w:rsidR="00790BE1" w:rsidRPr="007444E2" w:rsidRDefault="00790BE1" w:rsidP="00790BE1">
      <w:pPr>
        <w:spacing w:line="240" w:lineRule="auto"/>
        <w:rPr>
          <w:szCs w:val="24"/>
        </w:rPr>
      </w:pPr>
      <w:r w:rsidRPr="007444E2">
        <w:rPr>
          <w:b/>
          <w:szCs w:val="24"/>
        </w:rPr>
        <w:t>Administrative Magistrate</w:t>
      </w:r>
      <w:r w:rsidRPr="007444E2">
        <w:rPr>
          <w:szCs w:val="24"/>
        </w:rPr>
        <w:t>:</w:t>
      </w:r>
      <w:r w:rsidRPr="007444E2">
        <w:rPr>
          <w:szCs w:val="24"/>
        </w:rPr>
        <w:tab/>
      </w:r>
      <w:r w:rsidRPr="007444E2">
        <w:rPr>
          <w:szCs w:val="24"/>
        </w:rPr>
        <w:tab/>
      </w:r>
      <w:r w:rsidRPr="007444E2">
        <w:rPr>
          <w:szCs w:val="24"/>
        </w:rPr>
        <w:tab/>
      </w:r>
    </w:p>
    <w:p w:rsidR="00790BE1" w:rsidRPr="007444E2" w:rsidRDefault="00790BE1" w:rsidP="00790BE1">
      <w:pPr>
        <w:spacing w:line="240" w:lineRule="auto"/>
        <w:rPr>
          <w:szCs w:val="24"/>
        </w:rPr>
      </w:pPr>
    </w:p>
    <w:p w:rsidR="00790BE1" w:rsidRPr="007444E2" w:rsidRDefault="00790BE1" w:rsidP="00790BE1">
      <w:pPr>
        <w:ind w:firstLine="720"/>
        <w:rPr>
          <w:szCs w:val="24"/>
        </w:rPr>
      </w:pPr>
      <w:r w:rsidRPr="007444E2">
        <w:rPr>
          <w:szCs w:val="24"/>
        </w:rPr>
        <w:t xml:space="preserve">Kenneth </w:t>
      </w:r>
      <w:proofErr w:type="spellStart"/>
      <w:r w:rsidRPr="007444E2">
        <w:rPr>
          <w:szCs w:val="24"/>
        </w:rPr>
        <w:t>Bresler</w:t>
      </w:r>
      <w:proofErr w:type="spellEnd"/>
      <w:r w:rsidRPr="007444E2">
        <w:rPr>
          <w:szCs w:val="24"/>
        </w:rPr>
        <w:t xml:space="preserve">                                          </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7444E2">
        <w:rPr>
          <w:b/>
          <w:szCs w:val="24"/>
        </w:rPr>
        <w:t>SUMMARY OF DECISION</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p>
    <w:p w:rsidR="00790BE1" w:rsidRDefault="009933D5" w:rsidP="009933D5">
      <w:pPr>
        <w:widowControl w:val="0"/>
        <w:spacing w:line="240" w:lineRule="auto"/>
        <w:ind w:firstLine="720"/>
        <w:rPr>
          <w:szCs w:val="24"/>
        </w:rPr>
      </w:pPr>
      <w:r>
        <w:rPr>
          <w:szCs w:val="24"/>
        </w:rPr>
        <w:t xml:space="preserve">From </w:t>
      </w:r>
      <w:r w:rsidRPr="007444E2">
        <w:rPr>
          <w:szCs w:val="24"/>
        </w:rPr>
        <w:t xml:space="preserve">1978 to 1990, </w:t>
      </w:r>
      <w:r>
        <w:rPr>
          <w:szCs w:val="24"/>
        </w:rPr>
        <w:t>petitioner belong</w:t>
      </w:r>
      <w:bookmarkStart w:id="0" w:name="_GoBack"/>
      <w:bookmarkEnd w:id="0"/>
      <w:r>
        <w:rPr>
          <w:szCs w:val="24"/>
        </w:rPr>
        <w:t xml:space="preserve">ed to the State Retirement System. Her salary </w:t>
      </w:r>
      <w:proofErr w:type="gramStart"/>
      <w:r>
        <w:rPr>
          <w:szCs w:val="24"/>
        </w:rPr>
        <w:t>was  in</w:t>
      </w:r>
      <w:proofErr w:type="gramEnd"/>
      <w:r>
        <w:rPr>
          <w:szCs w:val="24"/>
        </w:rPr>
        <w:t xml:space="preserve"> the low $30,000</w:t>
      </w:r>
      <w:r w:rsidR="00B81B6B">
        <w:rPr>
          <w:szCs w:val="24"/>
        </w:rPr>
        <w:t>s</w:t>
      </w:r>
      <w:r>
        <w:rPr>
          <w:szCs w:val="24"/>
        </w:rPr>
        <w:t xml:space="preserve">. From </w:t>
      </w:r>
      <w:r w:rsidRPr="007444E2">
        <w:rPr>
          <w:szCs w:val="24"/>
        </w:rPr>
        <w:t xml:space="preserve">2002 to 2006, Ms. Hartnett </w:t>
      </w:r>
      <w:r>
        <w:rPr>
          <w:szCs w:val="24"/>
        </w:rPr>
        <w:t xml:space="preserve">belonged </w:t>
      </w:r>
      <w:r w:rsidR="002F7919">
        <w:rPr>
          <w:szCs w:val="24"/>
        </w:rPr>
        <w:t xml:space="preserve">to </w:t>
      </w:r>
      <w:r>
        <w:rPr>
          <w:szCs w:val="24"/>
        </w:rPr>
        <w:t xml:space="preserve">the Boston Retirement System. </w:t>
      </w:r>
      <w:r w:rsidRPr="007444E2">
        <w:rPr>
          <w:szCs w:val="24"/>
        </w:rPr>
        <w:t xml:space="preserve">Her salary ranged between $94,000 and $103,771. </w:t>
      </w:r>
      <w:r>
        <w:rPr>
          <w:szCs w:val="24"/>
        </w:rPr>
        <w:t>In calculating her pension, Boston Retirement System applied an anti-spiking provision to the petitioner. Decision affirmed.</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7444E2">
        <w:rPr>
          <w:b/>
          <w:szCs w:val="24"/>
        </w:rPr>
        <w:lastRenderedPageBreak/>
        <w:t>DECISION</w:t>
      </w:r>
    </w:p>
    <w:p w:rsidR="00790BE1" w:rsidRPr="007444E2" w:rsidRDefault="00790BE1" w:rsidP="00790BE1">
      <w:pPr>
        <w:rPr>
          <w:szCs w:val="24"/>
        </w:rPr>
      </w:pPr>
      <w:r w:rsidRPr="007444E2">
        <w:rPr>
          <w:szCs w:val="24"/>
        </w:rPr>
        <w:tab/>
        <w:t xml:space="preserve">The petitioner, </w:t>
      </w:r>
      <w:r w:rsidR="0061399D">
        <w:rPr>
          <w:szCs w:val="24"/>
        </w:rPr>
        <w:t>Susan Hartnett</w:t>
      </w:r>
      <w:r w:rsidRPr="007444E2">
        <w:rPr>
          <w:szCs w:val="24"/>
        </w:rPr>
        <w:t xml:space="preserve">, </w:t>
      </w:r>
      <w:r w:rsidR="0061399D">
        <w:rPr>
          <w:szCs w:val="24"/>
        </w:rPr>
        <w:t>appeals the Boston Retirement System’s decision that an anti-spiking legislative provision applies to her.</w:t>
      </w:r>
    </w:p>
    <w:p w:rsidR="00751071" w:rsidRPr="007444E2" w:rsidRDefault="00751071" w:rsidP="00751071">
      <w:pPr>
        <w:rPr>
          <w:szCs w:val="24"/>
        </w:rPr>
      </w:pPr>
      <w:r w:rsidRPr="007444E2">
        <w:rPr>
          <w:szCs w:val="24"/>
        </w:rPr>
        <w:tab/>
        <w:t xml:space="preserve">On June 21, 2017, Ms. Hartnett moved to join the Public Employee Retirement Administration Commission (PERAC) as a party respondent. On June 28, 2017, the Division of Administrative Law Appeals granted the motion. </w:t>
      </w:r>
    </w:p>
    <w:p w:rsidR="008E2A41" w:rsidRPr="007444E2" w:rsidRDefault="008E2A41" w:rsidP="00790BE1">
      <w:pPr>
        <w:ind w:firstLine="720"/>
        <w:rPr>
          <w:szCs w:val="24"/>
        </w:rPr>
      </w:pPr>
      <w:r w:rsidRPr="007444E2">
        <w:rPr>
          <w:szCs w:val="24"/>
        </w:rPr>
        <w:t xml:space="preserve">At some time before June 28, 2017, Ms. Hartnett agreed to waive a hearing </w:t>
      </w:r>
      <w:r w:rsidR="000706B1" w:rsidRPr="007444E2">
        <w:rPr>
          <w:szCs w:val="24"/>
        </w:rPr>
        <w:t>and rely on written submissions under</w:t>
      </w:r>
      <w:r w:rsidRPr="007444E2">
        <w:rPr>
          <w:szCs w:val="24"/>
        </w:rPr>
        <w:t xml:space="preserve"> 801 CMR 1.01(10</w:t>
      </w:r>
      <w:proofErr w:type="gramStart"/>
      <w:r w:rsidRPr="007444E2">
        <w:rPr>
          <w:szCs w:val="24"/>
        </w:rPr>
        <w:t>)(</w:t>
      </w:r>
      <w:proofErr w:type="gramEnd"/>
      <w:r w:rsidRPr="007444E2">
        <w:rPr>
          <w:szCs w:val="24"/>
        </w:rPr>
        <w:t>c).</w:t>
      </w:r>
      <w:r w:rsidR="000706B1" w:rsidRPr="007444E2">
        <w:rPr>
          <w:szCs w:val="24"/>
        </w:rPr>
        <w:t xml:space="preserve"> (DALA Scheduling Order dated June 28, 2017.)</w:t>
      </w:r>
      <w:r w:rsidR="00987C0D" w:rsidRPr="007444E2">
        <w:rPr>
          <w:szCs w:val="24"/>
        </w:rPr>
        <w:t xml:space="preserve"> </w:t>
      </w:r>
    </w:p>
    <w:p w:rsidR="00790BE1" w:rsidRPr="007444E2" w:rsidRDefault="00790BE1" w:rsidP="00790BE1">
      <w:pPr>
        <w:rPr>
          <w:szCs w:val="24"/>
        </w:rPr>
      </w:pPr>
      <w:r w:rsidRPr="007444E2">
        <w:rPr>
          <w:szCs w:val="24"/>
        </w:rPr>
        <w:tab/>
        <w:t xml:space="preserve">I accepted into evidence </w:t>
      </w:r>
      <w:r w:rsidR="00F34AB5" w:rsidRPr="007444E2">
        <w:rPr>
          <w:szCs w:val="24"/>
        </w:rPr>
        <w:t>seven</w:t>
      </w:r>
      <w:r w:rsidRPr="007444E2">
        <w:rPr>
          <w:szCs w:val="24"/>
        </w:rPr>
        <w:t xml:space="preserve"> exhibits.</w:t>
      </w:r>
    </w:p>
    <w:p w:rsidR="00726C38" w:rsidRPr="007444E2" w:rsidRDefault="00726C38" w:rsidP="00790BE1">
      <w:pPr>
        <w:rPr>
          <w:szCs w:val="24"/>
        </w:rPr>
      </w:pPr>
      <w:r w:rsidRPr="007444E2">
        <w:rPr>
          <w:szCs w:val="24"/>
        </w:rPr>
        <w:tab/>
        <w:t>1. BRS letter to Ms. Hartnett, April 20, 2017</w:t>
      </w:r>
      <w:r w:rsidR="00B81B6B">
        <w:rPr>
          <w:szCs w:val="24"/>
        </w:rPr>
        <w:t>.</w:t>
      </w:r>
    </w:p>
    <w:p w:rsidR="00006FA0" w:rsidRPr="007444E2" w:rsidRDefault="00726C38" w:rsidP="00790BE1">
      <w:pPr>
        <w:rPr>
          <w:szCs w:val="24"/>
        </w:rPr>
      </w:pPr>
      <w:r w:rsidRPr="007444E2">
        <w:rPr>
          <w:szCs w:val="24"/>
        </w:rPr>
        <w:tab/>
      </w:r>
      <w:proofErr w:type="gramStart"/>
      <w:r w:rsidRPr="007444E2">
        <w:rPr>
          <w:szCs w:val="24"/>
        </w:rPr>
        <w:t xml:space="preserve">2. </w:t>
      </w:r>
      <w:r w:rsidR="00006FA0" w:rsidRPr="007444E2">
        <w:rPr>
          <w:szCs w:val="24"/>
        </w:rPr>
        <w:t>Ms. Hartnett</w:t>
      </w:r>
      <w:r w:rsidR="000F3552" w:rsidRPr="007444E2">
        <w:rPr>
          <w:szCs w:val="24"/>
        </w:rPr>
        <w:t>’</w:t>
      </w:r>
      <w:r w:rsidR="00006FA0" w:rsidRPr="007444E2">
        <w:rPr>
          <w:szCs w:val="24"/>
        </w:rPr>
        <w:t>s appeal</w:t>
      </w:r>
      <w:r w:rsidRPr="007444E2">
        <w:rPr>
          <w:szCs w:val="24"/>
        </w:rPr>
        <w:t>, May 1, 2017</w:t>
      </w:r>
      <w:r w:rsidR="00B81B6B">
        <w:rPr>
          <w:szCs w:val="24"/>
        </w:rPr>
        <w:t>.</w:t>
      </w:r>
      <w:proofErr w:type="gramEnd"/>
    </w:p>
    <w:p w:rsidR="00491410" w:rsidRPr="007444E2" w:rsidRDefault="00491410" w:rsidP="00790BE1">
      <w:pPr>
        <w:rPr>
          <w:szCs w:val="24"/>
        </w:rPr>
      </w:pPr>
      <w:r w:rsidRPr="007444E2">
        <w:rPr>
          <w:szCs w:val="24"/>
        </w:rPr>
        <w:tab/>
        <w:t>3. PERAC Memorandum #38, 2012</w:t>
      </w:r>
      <w:r w:rsidR="00B81B6B">
        <w:rPr>
          <w:szCs w:val="24"/>
        </w:rPr>
        <w:t>.</w:t>
      </w:r>
    </w:p>
    <w:p w:rsidR="00491410" w:rsidRPr="007444E2" w:rsidRDefault="00491410" w:rsidP="00790BE1">
      <w:pPr>
        <w:rPr>
          <w:rFonts w:cs="Times New Roman"/>
          <w:szCs w:val="24"/>
        </w:rPr>
      </w:pPr>
      <w:r w:rsidRPr="007444E2">
        <w:rPr>
          <w:szCs w:val="24"/>
        </w:rPr>
        <w:tab/>
        <w:t xml:space="preserve">4. </w:t>
      </w:r>
      <w:r w:rsidRPr="007444E2">
        <w:rPr>
          <w:i/>
          <w:szCs w:val="24"/>
        </w:rPr>
        <w:t>Ahern v. Watertown Retirement Board</w:t>
      </w:r>
      <w:r w:rsidRPr="007444E2">
        <w:rPr>
          <w:szCs w:val="24"/>
        </w:rPr>
        <w:t xml:space="preserve">, </w:t>
      </w:r>
      <w:r w:rsidR="00845489" w:rsidRPr="007444E2">
        <w:rPr>
          <w:rFonts w:cs="Times New Roman"/>
          <w:szCs w:val="24"/>
        </w:rPr>
        <w:t>85 Mass.</w:t>
      </w:r>
      <w:r w:rsidR="00490CFF" w:rsidRPr="007444E2">
        <w:rPr>
          <w:rFonts w:cs="Times New Roman"/>
          <w:szCs w:val="24"/>
        </w:rPr>
        <w:t xml:space="preserve"> </w:t>
      </w:r>
      <w:r w:rsidR="00845489" w:rsidRPr="007444E2">
        <w:rPr>
          <w:rFonts w:cs="Times New Roman"/>
          <w:szCs w:val="24"/>
        </w:rPr>
        <w:t>App.</w:t>
      </w:r>
      <w:r w:rsidR="00490CFF" w:rsidRPr="007444E2">
        <w:rPr>
          <w:rFonts w:cs="Times New Roman"/>
          <w:szCs w:val="24"/>
        </w:rPr>
        <w:t xml:space="preserve"> </w:t>
      </w:r>
      <w:r w:rsidR="00845489" w:rsidRPr="007444E2">
        <w:rPr>
          <w:rFonts w:cs="Times New Roman"/>
          <w:szCs w:val="24"/>
        </w:rPr>
        <w:t>Ct. 1115 (2014)</w:t>
      </w:r>
      <w:r w:rsidR="00B81B6B">
        <w:rPr>
          <w:rFonts w:cs="Times New Roman"/>
          <w:szCs w:val="24"/>
        </w:rPr>
        <w:t>.</w:t>
      </w:r>
    </w:p>
    <w:p w:rsidR="00490CFF" w:rsidRPr="007444E2" w:rsidRDefault="00490CFF" w:rsidP="00790BE1">
      <w:pPr>
        <w:rPr>
          <w:rFonts w:cs="Times New Roman"/>
          <w:szCs w:val="24"/>
        </w:rPr>
      </w:pPr>
      <w:r w:rsidRPr="007444E2">
        <w:rPr>
          <w:rFonts w:cs="Times New Roman"/>
          <w:szCs w:val="24"/>
        </w:rPr>
        <w:tab/>
        <w:t xml:space="preserve">5. </w:t>
      </w:r>
      <w:r w:rsidR="00F34AB5" w:rsidRPr="007444E2">
        <w:rPr>
          <w:rFonts w:cs="Times New Roman"/>
          <w:szCs w:val="24"/>
        </w:rPr>
        <w:t xml:space="preserve">Excerpt from </w:t>
      </w:r>
      <w:r w:rsidRPr="007444E2">
        <w:rPr>
          <w:rFonts w:cs="Times New Roman"/>
          <w:szCs w:val="24"/>
        </w:rPr>
        <w:t>Final Report of the Special Commission to Study the Massachusetts Contributory Retirement Systems</w:t>
      </w:r>
      <w:r w:rsidR="00895EC3" w:rsidRPr="007444E2">
        <w:rPr>
          <w:rFonts w:cs="Times New Roman"/>
          <w:szCs w:val="24"/>
        </w:rPr>
        <w:t>.</w:t>
      </w:r>
    </w:p>
    <w:p w:rsidR="00895EC3" w:rsidRPr="007444E2" w:rsidRDefault="00895EC3" w:rsidP="00F34AB5">
      <w:pPr>
        <w:rPr>
          <w:rFonts w:cs="Times New Roman"/>
          <w:szCs w:val="24"/>
        </w:rPr>
      </w:pPr>
      <w:r w:rsidRPr="007444E2">
        <w:rPr>
          <w:rFonts w:cs="Times New Roman"/>
          <w:szCs w:val="24"/>
        </w:rPr>
        <w:tab/>
      </w:r>
      <w:r w:rsidR="00F34AB5" w:rsidRPr="007444E2">
        <w:rPr>
          <w:rFonts w:cs="Times New Roman"/>
          <w:szCs w:val="24"/>
        </w:rPr>
        <w:t xml:space="preserve">6. Article, </w:t>
      </w:r>
      <w:r w:rsidR="00F34AB5" w:rsidRPr="007444E2">
        <w:rPr>
          <w:rFonts w:cs="Times New Roman"/>
          <w:i/>
          <w:szCs w:val="24"/>
        </w:rPr>
        <w:t>Boston Globe</w:t>
      </w:r>
      <w:r w:rsidR="00F34AB5" w:rsidRPr="007444E2">
        <w:rPr>
          <w:rFonts w:cs="Times New Roman"/>
          <w:szCs w:val="24"/>
        </w:rPr>
        <w:t>, Jan. 19, 2011</w:t>
      </w:r>
      <w:r w:rsidR="006D7BE5" w:rsidRPr="007444E2">
        <w:rPr>
          <w:rFonts w:cs="Times New Roman"/>
          <w:szCs w:val="24"/>
        </w:rPr>
        <w:t>.</w:t>
      </w:r>
    </w:p>
    <w:p w:rsidR="00742DFA" w:rsidRPr="007444E2" w:rsidRDefault="00742DFA" w:rsidP="00F34AB5">
      <w:pPr>
        <w:rPr>
          <w:rFonts w:cs="Times New Roman"/>
          <w:szCs w:val="24"/>
        </w:rPr>
      </w:pPr>
      <w:r w:rsidRPr="007444E2">
        <w:rPr>
          <w:rFonts w:cs="Times New Roman"/>
          <w:szCs w:val="24"/>
        </w:rPr>
        <w:tab/>
        <w:t>7. Article, unidentified source, July 2011.</w:t>
      </w:r>
    </w:p>
    <w:p w:rsidR="00A97585" w:rsidRPr="007444E2" w:rsidRDefault="00790BE1" w:rsidP="00A97585">
      <w:pPr>
        <w:rPr>
          <w:b/>
          <w:szCs w:val="24"/>
        </w:rPr>
      </w:pPr>
      <w:r w:rsidRPr="007444E2">
        <w:rPr>
          <w:szCs w:val="24"/>
        </w:rPr>
        <w:tab/>
      </w:r>
      <w:r w:rsidR="00A97585" w:rsidRPr="007444E2">
        <w:rPr>
          <w:szCs w:val="24"/>
        </w:rPr>
        <w:t>Ms. Hartnett and PERAC submitted memoranda in support of their positions. BRS relied on PERAC</w:t>
      </w:r>
      <w:r w:rsidR="000F3552" w:rsidRPr="007444E2">
        <w:rPr>
          <w:szCs w:val="24"/>
        </w:rPr>
        <w:t>’</w:t>
      </w:r>
      <w:r w:rsidR="00A97585" w:rsidRPr="007444E2">
        <w:rPr>
          <w:szCs w:val="24"/>
        </w:rPr>
        <w:t>s memorandum</w:t>
      </w:r>
      <w:r w:rsidR="00A97585" w:rsidRPr="007444E2">
        <w:rPr>
          <w:b/>
          <w:szCs w:val="24"/>
        </w:rPr>
        <w:t>.</w:t>
      </w:r>
    </w:p>
    <w:p w:rsidR="00790BE1" w:rsidRPr="007444E2" w:rsidRDefault="00790BE1" w:rsidP="0061399D">
      <w:pPr>
        <w:widowControl w:val="0"/>
        <w:jc w:val="center"/>
        <w:rPr>
          <w:b/>
          <w:szCs w:val="24"/>
        </w:rPr>
      </w:pPr>
      <w:r w:rsidRPr="007444E2">
        <w:rPr>
          <w:b/>
          <w:szCs w:val="24"/>
        </w:rPr>
        <w:t>Findings of Fact</w:t>
      </w:r>
    </w:p>
    <w:p w:rsidR="00907C18" w:rsidRPr="007444E2" w:rsidRDefault="00907C18" w:rsidP="0061399D">
      <w:pPr>
        <w:widowControl w:val="0"/>
        <w:rPr>
          <w:szCs w:val="24"/>
        </w:rPr>
      </w:pPr>
      <w:r w:rsidRPr="007444E2">
        <w:rPr>
          <w:szCs w:val="24"/>
        </w:rPr>
        <w:tab/>
      </w:r>
      <w:r w:rsidR="0085057D">
        <w:rPr>
          <w:szCs w:val="24"/>
        </w:rPr>
        <w:t>1</w:t>
      </w:r>
      <w:r w:rsidR="00226B6A" w:rsidRPr="007444E2">
        <w:rPr>
          <w:szCs w:val="24"/>
        </w:rPr>
        <w:t xml:space="preserve">. From </w:t>
      </w:r>
      <w:r w:rsidR="008802BF" w:rsidRPr="007444E2">
        <w:rPr>
          <w:szCs w:val="24"/>
        </w:rPr>
        <w:t>197</w:t>
      </w:r>
      <w:r w:rsidR="00226B6A" w:rsidRPr="007444E2">
        <w:rPr>
          <w:szCs w:val="24"/>
        </w:rPr>
        <w:t xml:space="preserve">8 to </w:t>
      </w:r>
      <w:r w:rsidR="008802BF" w:rsidRPr="007444E2">
        <w:rPr>
          <w:szCs w:val="24"/>
        </w:rPr>
        <w:t>1990</w:t>
      </w:r>
      <w:r w:rsidR="00226B6A" w:rsidRPr="007444E2">
        <w:rPr>
          <w:szCs w:val="24"/>
        </w:rPr>
        <w:t>, Ms. Har</w:t>
      </w:r>
      <w:r w:rsidR="009933D5">
        <w:rPr>
          <w:szCs w:val="24"/>
        </w:rPr>
        <w:t>t</w:t>
      </w:r>
      <w:r w:rsidR="00226B6A" w:rsidRPr="007444E2">
        <w:rPr>
          <w:szCs w:val="24"/>
        </w:rPr>
        <w:t xml:space="preserve">nett was a member in service of the State Board of </w:t>
      </w:r>
      <w:r w:rsidR="00226B6A" w:rsidRPr="007444E2">
        <w:rPr>
          <w:szCs w:val="24"/>
        </w:rPr>
        <w:lastRenderedPageBreak/>
        <w:t xml:space="preserve">Retirement. Her salary ranged between $33,360 and $34,068. </w:t>
      </w:r>
      <w:proofErr w:type="gramStart"/>
      <w:r w:rsidR="00226B6A" w:rsidRPr="007444E2">
        <w:rPr>
          <w:szCs w:val="24"/>
        </w:rPr>
        <w:t>(Stipulation.)</w:t>
      </w:r>
      <w:proofErr w:type="gramEnd"/>
      <w:r w:rsidR="004912F8" w:rsidRPr="007444E2">
        <w:rPr>
          <w:rStyle w:val="FootnoteReference"/>
          <w:szCs w:val="24"/>
        </w:rPr>
        <w:footnoteReference w:id="1"/>
      </w:r>
    </w:p>
    <w:p w:rsidR="00226EB5" w:rsidRPr="007444E2" w:rsidRDefault="00226EB5" w:rsidP="00790BE1">
      <w:pPr>
        <w:rPr>
          <w:szCs w:val="24"/>
        </w:rPr>
      </w:pPr>
      <w:r w:rsidRPr="007444E2">
        <w:rPr>
          <w:szCs w:val="24"/>
        </w:rPr>
        <w:tab/>
      </w:r>
      <w:r w:rsidR="0085057D">
        <w:rPr>
          <w:szCs w:val="24"/>
        </w:rPr>
        <w:t>2</w:t>
      </w:r>
      <w:r w:rsidRPr="007444E2">
        <w:rPr>
          <w:szCs w:val="24"/>
        </w:rPr>
        <w:t xml:space="preserve">. </w:t>
      </w:r>
      <w:r w:rsidR="00541A3A" w:rsidRPr="007444E2">
        <w:rPr>
          <w:szCs w:val="24"/>
        </w:rPr>
        <w:t xml:space="preserve">From </w:t>
      </w:r>
      <w:r w:rsidR="00FF4486" w:rsidRPr="007444E2">
        <w:rPr>
          <w:szCs w:val="24"/>
        </w:rPr>
        <w:t>July 15, 2002</w:t>
      </w:r>
      <w:r w:rsidR="008802BF" w:rsidRPr="007444E2">
        <w:rPr>
          <w:szCs w:val="24"/>
        </w:rPr>
        <w:t xml:space="preserve"> to April 1, 2006</w:t>
      </w:r>
      <w:r w:rsidR="00541A3A" w:rsidRPr="007444E2">
        <w:rPr>
          <w:szCs w:val="24"/>
        </w:rPr>
        <w:t>, Ms. Hartnett was a member in service of</w:t>
      </w:r>
      <w:r w:rsidR="0085057D">
        <w:rPr>
          <w:szCs w:val="24"/>
        </w:rPr>
        <w:t xml:space="preserve"> the Boston Retirement System</w:t>
      </w:r>
      <w:r w:rsidR="00541A3A" w:rsidRPr="007444E2">
        <w:rPr>
          <w:szCs w:val="24"/>
        </w:rPr>
        <w:t xml:space="preserve"> </w:t>
      </w:r>
      <w:r w:rsidR="0085057D">
        <w:rPr>
          <w:szCs w:val="24"/>
        </w:rPr>
        <w:t>(</w:t>
      </w:r>
      <w:r w:rsidR="00541A3A" w:rsidRPr="007444E2">
        <w:rPr>
          <w:szCs w:val="24"/>
        </w:rPr>
        <w:t>BRS</w:t>
      </w:r>
      <w:r w:rsidR="0085057D">
        <w:rPr>
          <w:szCs w:val="24"/>
        </w:rPr>
        <w:t>)</w:t>
      </w:r>
      <w:r w:rsidR="00541A3A" w:rsidRPr="007444E2">
        <w:rPr>
          <w:szCs w:val="24"/>
        </w:rPr>
        <w:t xml:space="preserve">. Her salary ranged between $94,000 and $103,771. </w:t>
      </w:r>
      <w:proofErr w:type="gramStart"/>
      <w:r w:rsidR="00541A3A" w:rsidRPr="007444E2">
        <w:rPr>
          <w:szCs w:val="24"/>
        </w:rPr>
        <w:t>(Stipulation.)</w:t>
      </w:r>
      <w:proofErr w:type="gramEnd"/>
    </w:p>
    <w:p w:rsidR="000F5862" w:rsidRDefault="000F5862" w:rsidP="00790BE1">
      <w:pPr>
        <w:rPr>
          <w:szCs w:val="24"/>
        </w:rPr>
      </w:pPr>
      <w:r w:rsidRPr="007444E2">
        <w:rPr>
          <w:szCs w:val="24"/>
        </w:rPr>
        <w:tab/>
      </w:r>
      <w:r w:rsidR="0085057D">
        <w:rPr>
          <w:szCs w:val="24"/>
        </w:rPr>
        <w:t>3</w:t>
      </w:r>
      <w:r w:rsidRPr="007444E2">
        <w:rPr>
          <w:szCs w:val="24"/>
        </w:rPr>
        <w:t xml:space="preserve">. </w:t>
      </w:r>
      <w:r w:rsidR="007252C6" w:rsidRPr="007444E2">
        <w:rPr>
          <w:szCs w:val="24"/>
        </w:rPr>
        <w:t>Ms. Hartnett</w:t>
      </w:r>
      <w:r w:rsidR="000F3552" w:rsidRPr="007444E2">
        <w:rPr>
          <w:szCs w:val="24"/>
        </w:rPr>
        <w:t>’</w:t>
      </w:r>
      <w:r w:rsidR="007252C6" w:rsidRPr="007444E2">
        <w:rPr>
          <w:szCs w:val="24"/>
        </w:rPr>
        <w:t>s service with the City of Boston lasted approximately three years and eight months. To calculate Ms. Hart</w:t>
      </w:r>
      <w:r w:rsidR="002F7919">
        <w:rPr>
          <w:szCs w:val="24"/>
        </w:rPr>
        <w:t>n</w:t>
      </w:r>
      <w:r w:rsidR="007252C6" w:rsidRPr="007444E2">
        <w:rPr>
          <w:szCs w:val="24"/>
        </w:rPr>
        <w:t>ett</w:t>
      </w:r>
      <w:r w:rsidR="000F3552" w:rsidRPr="007444E2">
        <w:rPr>
          <w:szCs w:val="24"/>
        </w:rPr>
        <w:t>’</w:t>
      </w:r>
      <w:r w:rsidR="007252C6" w:rsidRPr="007444E2">
        <w:rPr>
          <w:szCs w:val="24"/>
        </w:rPr>
        <w:t xml:space="preserve">s last </w:t>
      </w:r>
      <w:r w:rsidR="00D96C61" w:rsidRPr="007444E2">
        <w:rPr>
          <w:szCs w:val="24"/>
        </w:rPr>
        <w:t xml:space="preserve">five </w:t>
      </w:r>
      <w:r w:rsidR="007252C6" w:rsidRPr="007444E2">
        <w:rPr>
          <w:szCs w:val="24"/>
        </w:rPr>
        <w:t>years of service, BRS</w:t>
      </w:r>
      <w:r w:rsidR="00D96C61" w:rsidRPr="007444E2">
        <w:rPr>
          <w:szCs w:val="24"/>
        </w:rPr>
        <w:t xml:space="preserve"> added approximately one year and four months of her state service</w:t>
      </w:r>
      <w:r w:rsidR="00FA463E" w:rsidRPr="007444E2">
        <w:rPr>
          <w:szCs w:val="24"/>
        </w:rPr>
        <w:t>, namely from November 16, 1988 to January 28, 1989, and from February 19, 1989 to April 7, 1990.</w:t>
      </w:r>
      <w:r w:rsidR="007252C6" w:rsidRPr="007444E2">
        <w:rPr>
          <w:szCs w:val="24"/>
        </w:rPr>
        <w:t xml:space="preserve"> </w:t>
      </w:r>
      <w:proofErr w:type="gramStart"/>
      <w:r w:rsidR="007252C6" w:rsidRPr="007444E2">
        <w:rPr>
          <w:szCs w:val="24"/>
        </w:rPr>
        <w:t>(Stipulation.)</w:t>
      </w:r>
      <w:proofErr w:type="gramEnd"/>
    </w:p>
    <w:p w:rsidR="00B81B6B" w:rsidRPr="007444E2" w:rsidRDefault="00B81B6B" w:rsidP="00790BE1">
      <w:pPr>
        <w:rPr>
          <w:szCs w:val="24"/>
        </w:rPr>
      </w:pPr>
      <w:r>
        <w:rPr>
          <w:szCs w:val="24"/>
        </w:rPr>
        <w:tab/>
      </w:r>
      <w:r w:rsidR="00853C6B">
        <w:rPr>
          <w:szCs w:val="24"/>
        </w:rPr>
        <w:t xml:space="preserve">4. Ms. Hartnett retired in October 2016. </w:t>
      </w:r>
      <w:proofErr w:type="gramStart"/>
      <w:r w:rsidR="00853C6B">
        <w:rPr>
          <w:szCs w:val="24"/>
        </w:rPr>
        <w:t>(Stipulation.)</w:t>
      </w:r>
      <w:proofErr w:type="gramEnd"/>
    </w:p>
    <w:p w:rsidR="005E0D3A" w:rsidRPr="007444E2" w:rsidRDefault="005E0D3A" w:rsidP="00790BE1">
      <w:pPr>
        <w:rPr>
          <w:szCs w:val="24"/>
        </w:rPr>
      </w:pPr>
      <w:r w:rsidRPr="007444E2">
        <w:rPr>
          <w:szCs w:val="24"/>
        </w:rPr>
        <w:tab/>
      </w:r>
      <w:r w:rsidR="00853C6B">
        <w:rPr>
          <w:szCs w:val="24"/>
        </w:rPr>
        <w:t>5</w:t>
      </w:r>
      <w:r w:rsidRPr="007444E2">
        <w:rPr>
          <w:szCs w:val="24"/>
        </w:rPr>
        <w:t>. On April 20, 2017, BRS w</w:t>
      </w:r>
      <w:r w:rsidR="00282FCB" w:rsidRPr="007444E2">
        <w:rPr>
          <w:szCs w:val="24"/>
        </w:rPr>
        <w:t>rote a letter to Ms. Hartnett, stating in part:</w:t>
      </w:r>
    </w:p>
    <w:p w:rsidR="00282FCB" w:rsidRPr="007444E2" w:rsidRDefault="00282FCB" w:rsidP="00EB625F">
      <w:pPr>
        <w:spacing w:line="240" w:lineRule="auto"/>
        <w:ind w:left="720" w:right="720"/>
        <w:rPr>
          <w:szCs w:val="24"/>
        </w:rPr>
      </w:pPr>
      <w:r w:rsidRPr="007444E2">
        <w:rPr>
          <w:szCs w:val="24"/>
        </w:rPr>
        <w:tab/>
        <w:t>We regret to inform you that a recent audit of your case identified a need for recalculation to a lower monthly benefit due to the application of Massachusetts</w:t>
      </w:r>
      <w:r w:rsidR="000F3552" w:rsidRPr="007444E2">
        <w:rPr>
          <w:szCs w:val="24"/>
        </w:rPr>
        <w:t>’</w:t>
      </w:r>
      <w:r w:rsidRPr="007444E2">
        <w:rPr>
          <w:szCs w:val="24"/>
        </w:rPr>
        <w:t xml:space="preserve"> anti-spiking provision of pension reform law. We want to reassure you that we have made numerous attempts at the best possib</w:t>
      </w:r>
      <w:r w:rsidR="003A1C9D" w:rsidRPr="007444E2">
        <w:rPr>
          <w:szCs w:val="24"/>
        </w:rPr>
        <w:t>le recalculation of your case, which results in the following:</w:t>
      </w:r>
    </w:p>
    <w:p w:rsidR="003A1C9D" w:rsidRPr="007444E2" w:rsidRDefault="003A1C9D" w:rsidP="00EB625F">
      <w:pPr>
        <w:spacing w:line="240" w:lineRule="auto"/>
        <w:ind w:left="720" w:right="720"/>
        <w:rPr>
          <w:szCs w:val="24"/>
        </w:rPr>
      </w:pPr>
    </w:p>
    <w:p w:rsidR="003A1C9D" w:rsidRPr="007444E2" w:rsidRDefault="003A1C9D" w:rsidP="00EB625F">
      <w:pPr>
        <w:spacing w:line="240" w:lineRule="auto"/>
        <w:ind w:left="720" w:right="720"/>
        <w:rPr>
          <w:szCs w:val="24"/>
        </w:rPr>
      </w:pPr>
      <w:r w:rsidRPr="007444E2">
        <w:rPr>
          <w:szCs w:val="24"/>
        </w:rPr>
        <w:tab/>
        <w:t>Original Monthly Benefit:</w:t>
      </w:r>
      <w:r w:rsidRPr="007444E2">
        <w:rPr>
          <w:szCs w:val="24"/>
        </w:rPr>
        <w:tab/>
      </w:r>
      <w:r w:rsidRPr="007444E2">
        <w:rPr>
          <w:szCs w:val="24"/>
        </w:rPr>
        <w:tab/>
        <w:t>$2,651.63</w:t>
      </w:r>
    </w:p>
    <w:p w:rsidR="003A1C9D" w:rsidRPr="007444E2" w:rsidRDefault="003A1C9D" w:rsidP="00EB625F">
      <w:pPr>
        <w:spacing w:line="240" w:lineRule="auto"/>
        <w:ind w:left="720" w:right="720"/>
        <w:rPr>
          <w:szCs w:val="24"/>
        </w:rPr>
      </w:pPr>
      <w:r w:rsidRPr="007444E2">
        <w:rPr>
          <w:szCs w:val="24"/>
        </w:rPr>
        <w:tab/>
        <w:t>Corrected Monthly Benefit</w:t>
      </w:r>
      <w:r w:rsidRPr="007444E2">
        <w:rPr>
          <w:szCs w:val="24"/>
        </w:rPr>
        <w:tab/>
      </w:r>
      <w:r w:rsidRPr="007444E2">
        <w:rPr>
          <w:szCs w:val="24"/>
        </w:rPr>
        <w:tab/>
        <w:t>$2,163.63</w:t>
      </w:r>
    </w:p>
    <w:p w:rsidR="003A1C9D" w:rsidRPr="007444E2" w:rsidRDefault="003A1C9D" w:rsidP="00EB625F">
      <w:pPr>
        <w:spacing w:line="240" w:lineRule="auto"/>
        <w:ind w:left="720" w:right="720"/>
        <w:rPr>
          <w:szCs w:val="24"/>
        </w:rPr>
      </w:pPr>
      <w:r w:rsidRPr="007444E2">
        <w:rPr>
          <w:szCs w:val="24"/>
        </w:rPr>
        <w:tab/>
        <w:t>Reduction:</w:t>
      </w:r>
      <w:r w:rsidRPr="007444E2">
        <w:rPr>
          <w:szCs w:val="24"/>
        </w:rPr>
        <w:tab/>
      </w:r>
      <w:r w:rsidRPr="007444E2">
        <w:rPr>
          <w:szCs w:val="24"/>
        </w:rPr>
        <w:tab/>
      </w:r>
      <w:r w:rsidRPr="007444E2">
        <w:rPr>
          <w:szCs w:val="24"/>
        </w:rPr>
        <w:tab/>
      </w:r>
      <w:r w:rsidRPr="007444E2">
        <w:rPr>
          <w:szCs w:val="24"/>
        </w:rPr>
        <w:tab/>
        <w:t>$488.00</w:t>
      </w:r>
    </w:p>
    <w:p w:rsidR="003A1C9D" w:rsidRPr="007444E2" w:rsidRDefault="003A1C9D" w:rsidP="00EB625F">
      <w:pPr>
        <w:spacing w:line="240" w:lineRule="auto"/>
        <w:ind w:left="720" w:right="720"/>
        <w:rPr>
          <w:szCs w:val="24"/>
        </w:rPr>
      </w:pPr>
    </w:p>
    <w:p w:rsidR="003A1C9D" w:rsidRPr="007444E2" w:rsidRDefault="003A1C9D" w:rsidP="00EB625F">
      <w:pPr>
        <w:spacing w:line="240" w:lineRule="auto"/>
        <w:ind w:left="720" w:right="720"/>
        <w:rPr>
          <w:szCs w:val="24"/>
        </w:rPr>
      </w:pPr>
      <w:r w:rsidRPr="007444E2">
        <w:rPr>
          <w:szCs w:val="24"/>
        </w:rPr>
        <w:tab/>
        <w:t>October 2016 to March 2017</w:t>
      </w:r>
    </w:p>
    <w:p w:rsidR="003A1C9D" w:rsidRPr="007444E2" w:rsidRDefault="003A1C9D" w:rsidP="00EB625F">
      <w:pPr>
        <w:spacing w:line="240" w:lineRule="auto"/>
        <w:ind w:left="720" w:right="720"/>
        <w:rPr>
          <w:szCs w:val="24"/>
        </w:rPr>
      </w:pPr>
      <w:r w:rsidRPr="007444E2">
        <w:rPr>
          <w:szCs w:val="24"/>
        </w:rPr>
        <w:tab/>
      </w:r>
      <w:proofErr w:type="gramStart"/>
      <w:r w:rsidRPr="007444E2">
        <w:rPr>
          <w:szCs w:val="24"/>
        </w:rPr>
        <w:t>overpayment</w:t>
      </w:r>
      <w:proofErr w:type="gramEnd"/>
      <w:r w:rsidRPr="007444E2">
        <w:rPr>
          <w:szCs w:val="24"/>
        </w:rPr>
        <w:t>:</w:t>
      </w:r>
      <w:r w:rsidRPr="007444E2">
        <w:rPr>
          <w:szCs w:val="24"/>
        </w:rPr>
        <w:tab/>
      </w:r>
      <w:r w:rsidRPr="007444E2">
        <w:rPr>
          <w:szCs w:val="24"/>
        </w:rPr>
        <w:tab/>
      </w:r>
      <w:r w:rsidRPr="007444E2">
        <w:rPr>
          <w:szCs w:val="24"/>
        </w:rPr>
        <w:tab/>
      </w:r>
      <w:r w:rsidRPr="007444E2">
        <w:rPr>
          <w:szCs w:val="24"/>
        </w:rPr>
        <w:tab/>
        <w:t>$2,928.00</w:t>
      </w:r>
    </w:p>
    <w:p w:rsidR="003A1C9D" w:rsidRPr="007444E2" w:rsidRDefault="003A1C9D" w:rsidP="00EB625F">
      <w:pPr>
        <w:spacing w:line="240" w:lineRule="auto"/>
        <w:ind w:left="720" w:right="720"/>
        <w:rPr>
          <w:szCs w:val="24"/>
        </w:rPr>
      </w:pPr>
    </w:p>
    <w:p w:rsidR="003A1C9D" w:rsidRPr="007444E2" w:rsidRDefault="003A1C9D" w:rsidP="00EB625F">
      <w:pPr>
        <w:spacing w:line="240" w:lineRule="auto"/>
        <w:ind w:left="720" w:right="720"/>
        <w:rPr>
          <w:szCs w:val="24"/>
        </w:rPr>
      </w:pPr>
      <w:r w:rsidRPr="007444E2">
        <w:rPr>
          <w:szCs w:val="24"/>
        </w:rPr>
        <w:tab/>
        <w:t>Monthly recoupment</w:t>
      </w:r>
    </w:p>
    <w:p w:rsidR="003A1C9D" w:rsidRPr="007444E2" w:rsidRDefault="003A1C9D" w:rsidP="00EB625F">
      <w:pPr>
        <w:spacing w:line="240" w:lineRule="auto"/>
        <w:ind w:left="720" w:right="720"/>
        <w:rPr>
          <w:szCs w:val="24"/>
        </w:rPr>
      </w:pPr>
      <w:r w:rsidRPr="007444E2">
        <w:rPr>
          <w:szCs w:val="24"/>
        </w:rPr>
        <w:tab/>
        <w:t>(</w:t>
      </w:r>
      <w:proofErr w:type="gramStart"/>
      <w:r w:rsidRPr="007444E2">
        <w:rPr>
          <w:szCs w:val="24"/>
        </w:rPr>
        <w:t>spread</w:t>
      </w:r>
      <w:proofErr w:type="gramEnd"/>
      <w:r w:rsidRPr="007444E2">
        <w:rPr>
          <w:szCs w:val="24"/>
        </w:rPr>
        <w:t xml:space="preserve"> over 60 months):</w:t>
      </w:r>
      <w:r w:rsidRPr="007444E2">
        <w:rPr>
          <w:szCs w:val="24"/>
        </w:rPr>
        <w:tab/>
      </w:r>
      <w:r w:rsidRPr="007444E2">
        <w:rPr>
          <w:szCs w:val="24"/>
        </w:rPr>
        <w:tab/>
        <w:t>$48.80</w:t>
      </w:r>
    </w:p>
    <w:p w:rsidR="003A1C9D" w:rsidRPr="007444E2" w:rsidRDefault="003A1C9D" w:rsidP="00EB625F">
      <w:pPr>
        <w:spacing w:line="240" w:lineRule="auto"/>
        <w:ind w:left="720" w:right="720"/>
        <w:rPr>
          <w:szCs w:val="24"/>
        </w:rPr>
      </w:pPr>
      <w:r w:rsidRPr="007444E2">
        <w:rPr>
          <w:szCs w:val="24"/>
        </w:rPr>
        <w:tab/>
        <w:t>Net Monthly Benefit:</w:t>
      </w:r>
      <w:r w:rsidRPr="007444E2">
        <w:rPr>
          <w:szCs w:val="24"/>
        </w:rPr>
        <w:tab/>
      </w:r>
      <w:r w:rsidRPr="007444E2">
        <w:rPr>
          <w:szCs w:val="24"/>
        </w:rPr>
        <w:tab/>
      </w:r>
      <w:r w:rsidR="00907C18" w:rsidRPr="007444E2">
        <w:rPr>
          <w:szCs w:val="24"/>
        </w:rPr>
        <w:tab/>
      </w:r>
      <w:r w:rsidRPr="007444E2">
        <w:rPr>
          <w:szCs w:val="24"/>
        </w:rPr>
        <w:t>$2,114.83</w:t>
      </w:r>
    </w:p>
    <w:p w:rsidR="003A1C9D" w:rsidRPr="007444E2" w:rsidRDefault="003A1C9D" w:rsidP="00EB625F">
      <w:pPr>
        <w:spacing w:line="240" w:lineRule="auto"/>
        <w:ind w:left="720" w:right="720"/>
        <w:rPr>
          <w:szCs w:val="24"/>
        </w:rPr>
      </w:pPr>
    </w:p>
    <w:p w:rsidR="003A1C9D" w:rsidRPr="007444E2" w:rsidRDefault="003A1C9D" w:rsidP="00EB625F">
      <w:pPr>
        <w:spacing w:line="240" w:lineRule="auto"/>
        <w:ind w:left="720" w:right="720"/>
        <w:rPr>
          <w:szCs w:val="24"/>
        </w:rPr>
      </w:pPr>
      <w:r w:rsidRPr="007444E2">
        <w:rPr>
          <w:szCs w:val="24"/>
        </w:rPr>
        <w:tab/>
        <w:t xml:space="preserve">Please know that we are forced to recover the overpayment, but will do so over the longest possible period of 5 years to minimize the impact to the monthly </w:t>
      </w:r>
      <w:r w:rsidRPr="007444E2">
        <w:rPr>
          <w:szCs w:val="24"/>
        </w:rPr>
        <w:lastRenderedPageBreak/>
        <w:t>benefit. Your situation is rather unique in that your career was composed of two parts: (1) 1978 to 1990 service under the State Retirement Board and (2) 2002 to 2006 with the Boston Retirement Board. We have used State Retirement Board deduction records to verify that you were paid significantly less during the 1978 to 1990 period</w:t>
      </w:r>
      <w:r w:rsidR="00D22D68" w:rsidRPr="007444E2">
        <w:rPr>
          <w:szCs w:val="24"/>
        </w:rPr>
        <w:t xml:space="preserve"> [than during 2002 to 2006]</w:t>
      </w:r>
      <w:r w:rsidR="007E0B15" w:rsidRPr="007444E2">
        <w:rPr>
          <w:szCs w:val="24"/>
        </w:rPr>
        <w:t>.</w:t>
      </w:r>
    </w:p>
    <w:p w:rsidR="00FE5760" w:rsidRPr="007444E2" w:rsidRDefault="00FE5760" w:rsidP="00EB625F">
      <w:pPr>
        <w:spacing w:line="240" w:lineRule="auto"/>
        <w:ind w:left="720" w:right="720"/>
        <w:rPr>
          <w:szCs w:val="24"/>
        </w:rPr>
      </w:pPr>
    </w:p>
    <w:p w:rsidR="005E3F08" w:rsidRPr="007444E2" w:rsidRDefault="005E3F08" w:rsidP="008075E5">
      <w:pPr>
        <w:ind w:right="720"/>
        <w:rPr>
          <w:szCs w:val="24"/>
        </w:rPr>
      </w:pPr>
      <w:proofErr w:type="gramStart"/>
      <w:r w:rsidRPr="007444E2">
        <w:rPr>
          <w:szCs w:val="24"/>
        </w:rPr>
        <w:t>(Ex. 1.)</w:t>
      </w:r>
      <w:proofErr w:type="gramEnd"/>
    </w:p>
    <w:p w:rsidR="0096588A" w:rsidRPr="007444E2" w:rsidRDefault="008075E5" w:rsidP="008075E5">
      <w:pPr>
        <w:ind w:right="720"/>
        <w:rPr>
          <w:szCs w:val="24"/>
        </w:rPr>
      </w:pPr>
      <w:r w:rsidRPr="007444E2">
        <w:rPr>
          <w:szCs w:val="24"/>
        </w:rPr>
        <w:tab/>
      </w:r>
      <w:r w:rsidR="00853C6B">
        <w:rPr>
          <w:szCs w:val="24"/>
        </w:rPr>
        <w:t>6</w:t>
      </w:r>
      <w:r w:rsidR="00EB625F" w:rsidRPr="007444E2">
        <w:rPr>
          <w:szCs w:val="24"/>
        </w:rPr>
        <w:t xml:space="preserve">. </w:t>
      </w:r>
      <w:r w:rsidR="007E0B15" w:rsidRPr="007444E2">
        <w:rPr>
          <w:szCs w:val="24"/>
        </w:rPr>
        <w:t xml:space="preserve">The letter invoked St. 2011, c. 176, </w:t>
      </w:r>
      <w:r w:rsidR="007E0B15" w:rsidRPr="007444E2">
        <w:rPr>
          <w:rFonts w:cs="Times New Roman"/>
          <w:szCs w:val="24"/>
        </w:rPr>
        <w:t>§§</w:t>
      </w:r>
      <w:r w:rsidR="007E0B15" w:rsidRPr="007444E2">
        <w:rPr>
          <w:szCs w:val="24"/>
        </w:rPr>
        <w:t xml:space="preserve"> 14 and 18.</w:t>
      </w:r>
      <w:r w:rsidR="00902BA0" w:rsidRPr="007444E2">
        <w:rPr>
          <w:rStyle w:val="FootnoteReference"/>
          <w:szCs w:val="24"/>
        </w:rPr>
        <w:footnoteReference w:id="2"/>
      </w:r>
      <w:r w:rsidR="007E0B15" w:rsidRPr="007444E2">
        <w:rPr>
          <w:szCs w:val="24"/>
        </w:rPr>
        <w:t xml:space="preserve"> </w:t>
      </w:r>
      <w:r w:rsidRPr="007444E2">
        <w:rPr>
          <w:rFonts w:cs="Times New Roman"/>
          <w:szCs w:val="24"/>
        </w:rPr>
        <w:t>The letter continued:</w:t>
      </w:r>
    </w:p>
    <w:p w:rsidR="0096588A" w:rsidRPr="007444E2" w:rsidRDefault="0096588A" w:rsidP="00FE5760">
      <w:pPr>
        <w:spacing w:line="240" w:lineRule="auto"/>
        <w:ind w:left="720" w:right="720"/>
        <w:rPr>
          <w:szCs w:val="24"/>
        </w:rPr>
      </w:pPr>
      <w:r w:rsidRPr="007444E2">
        <w:rPr>
          <w:szCs w:val="24"/>
        </w:rPr>
        <w:tab/>
        <w:t>When reading these two provisions together, the net impact of the recalculation is to reduce your Final Average Salary to $81,969.27, resulting in the reduced monthly benefit.</w:t>
      </w:r>
    </w:p>
    <w:p w:rsidR="00EB625F" w:rsidRPr="007444E2" w:rsidRDefault="00EB625F" w:rsidP="00EB625F">
      <w:pPr>
        <w:spacing w:line="240" w:lineRule="auto"/>
        <w:ind w:left="720" w:right="720"/>
        <w:rPr>
          <w:szCs w:val="24"/>
        </w:rPr>
      </w:pPr>
    </w:p>
    <w:p w:rsidR="000F5862" w:rsidRPr="007444E2" w:rsidRDefault="00241482" w:rsidP="00790BE1">
      <w:pPr>
        <w:rPr>
          <w:szCs w:val="24"/>
        </w:rPr>
      </w:pPr>
      <w:proofErr w:type="gramStart"/>
      <w:r w:rsidRPr="007444E2">
        <w:rPr>
          <w:szCs w:val="24"/>
        </w:rPr>
        <w:t>(Ex. 2.)</w:t>
      </w:r>
      <w:proofErr w:type="gramEnd"/>
    </w:p>
    <w:p w:rsidR="00C26344" w:rsidRPr="007444E2" w:rsidRDefault="00C26344" w:rsidP="00C26344">
      <w:pPr>
        <w:rPr>
          <w:szCs w:val="24"/>
        </w:rPr>
      </w:pPr>
      <w:r w:rsidRPr="007444E2">
        <w:rPr>
          <w:szCs w:val="24"/>
        </w:rPr>
        <w:tab/>
      </w:r>
      <w:r w:rsidR="00853C6B">
        <w:rPr>
          <w:szCs w:val="24"/>
        </w:rPr>
        <w:t>7</w:t>
      </w:r>
      <w:r w:rsidRPr="007444E2">
        <w:rPr>
          <w:szCs w:val="24"/>
        </w:rPr>
        <w:t>. The letter enclosed PERAC</w:t>
      </w:r>
      <w:r w:rsidR="000F3552" w:rsidRPr="007444E2">
        <w:rPr>
          <w:szCs w:val="24"/>
        </w:rPr>
        <w:t>’</w:t>
      </w:r>
      <w:r w:rsidRPr="007444E2">
        <w:rPr>
          <w:szCs w:val="24"/>
        </w:rPr>
        <w:t xml:space="preserve">s Memorandum #38, 2012, </w:t>
      </w:r>
      <w:r w:rsidR="00762E9E" w:rsidRPr="007444E2">
        <w:rPr>
          <w:szCs w:val="24"/>
        </w:rPr>
        <w:t>“</w:t>
      </w:r>
      <w:r w:rsidRPr="007444E2">
        <w:rPr>
          <w:szCs w:val="24"/>
        </w:rPr>
        <w:t>Re: Anti-Spiking Provisions of Chapter 176 of the Acts of 2011.</w:t>
      </w:r>
      <w:r w:rsidR="00762E9E" w:rsidRPr="007444E2">
        <w:rPr>
          <w:szCs w:val="24"/>
        </w:rPr>
        <w:t>”</w:t>
      </w:r>
      <w:r w:rsidRPr="007444E2">
        <w:rPr>
          <w:szCs w:val="24"/>
        </w:rPr>
        <w:t xml:space="preserve"> </w:t>
      </w:r>
      <w:proofErr w:type="gramStart"/>
      <w:r w:rsidRPr="007444E2">
        <w:rPr>
          <w:szCs w:val="24"/>
        </w:rPr>
        <w:t>(Ex. 3.)</w:t>
      </w:r>
      <w:proofErr w:type="gramEnd"/>
    </w:p>
    <w:p w:rsidR="00E124F5" w:rsidRPr="007444E2" w:rsidRDefault="00E124F5" w:rsidP="00790BE1">
      <w:pPr>
        <w:rPr>
          <w:szCs w:val="24"/>
        </w:rPr>
      </w:pPr>
      <w:r w:rsidRPr="007444E2">
        <w:rPr>
          <w:szCs w:val="24"/>
        </w:rPr>
        <w:tab/>
      </w:r>
      <w:r w:rsidR="00853C6B">
        <w:rPr>
          <w:szCs w:val="24"/>
        </w:rPr>
        <w:t>8</w:t>
      </w:r>
      <w:r w:rsidRPr="007444E2">
        <w:rPr>
          <w:szCs w:val="24"/>
        </w:rPr>
        <w:t xml:space="preserve">. </w:t>
      </w:r>
      <w:r w:rsidR="001138EF" w:rsidRPr="007444E2">
        <w:rPr>
          <w:szCs w:val="24"/>
        </w:rPr>
        <w:t xml:space="preserve">On May 2, 2017, </w:t>
      </w:r>
      <w:r w:rsidRPr="007444E2">
        <w:rPr>
          <w:szCs w:val="24"/>
        </w:rPr>
        <w:t xml:space="preserve">Ms. Hartnett </w:t>
      </w:r>
      <w:r w:rsidR="001138EF" w:rsidRPr="007444E2">
        <w:rPr>
          <w:szCs w:val="24"/>
        </w:rPr>
        <w:t xml:space="preserve">timely </w:t>
      </w:r>
      <w:r w:rsidRPr="007444E2">
        <w:rPr>
          <w:szCs w:val="24"/>
        </w:rPr>
        <w:t>appealed</w:t>
      </w:r>
      <w:r w:rsidR="001138EF" w:rsidRPr="007444E2">
        <w:rPr>
          <w:szCs w:val="24"/>
        </w:rPr>
        <w:t>.</w:t>
      </w:r>
      <w:r w:rsidR="00241482" w:rsidRPr="007444E2">
        <w:rPr>
          <w:szCs w:val="24"/>
        </w:rPr>
        <w:t xml:space="preserve"> </w:t>
      </w:r>
      <w:proofErr w:type="gramStart"/>
      <w:r w:rsidR="00241482" w:rsidRPr="007444E2">
        <w:rPr>
          <w:szCs w:val="24"/>
        </w:rPr>
        <w:t>(Ex. 2.)</w:t>
      </w:r>
      <w:proofErr w:type="gramEnd"/>
    </w:p>
    <w:p w:rsidR="00790BE1" w:rsidRPr="007444E2" w:rsidRDefault="00790BE1" w:rsidP="00790BE1">
      <w:pPr>
        <w:jc w:val="center"/>
        <w:rPr>
          <w:rFonts w:cs="Times New Roman"/>
          <w:b/>
          <w:szCs w:val="24"/>
        </w:rPr>
      </w:pPr>
      <w:r w:rsidRPr="007444E2">
        <w:rPr>
          <w:rFonts w:cs="Times New Roman"/>
          <w:b/>
          <w:szCs w:val="24"/>
        </w:rPr>
        <w:t>Discussion</w:t>
      </w:r>
    </w:p>
    <w:p w:rsidR="0065039D" w:rsidRPr="007444E2" w:rsidRDefault="00C827E7" w:rsidP="00AF3D6E">
      <w:pPr>
        <w:rPr>
          <w:rFonts w:cs="Times New Roman"/>
          <w:szCs w:val="24"/>
        </w:rPr>
      </w:pPr>
      <w:r w:rsidRPr="007444E2">
        <w:rPr>
          <w:rFonts w:cs="Times New Roman"/>
          <w:szCs w:val="24"/>
        </w:rPr>
        <w:tab/>
      </w:r>
      <w:r w:rsidR="00C516D6" w:rsidRPr="007444E2">
        <w:rPr>
          <w:rFonts w:cs="Times New Roman"/>
          <w:szCs w:val="24"/>
        </w:rPr>
        <w:t xml:space="preserve">For purposes of this appeal, </w:t>
      </w:r>
      <w:r w:rsidR="00C516D6" w:rsidRPr="007444E2">
        <w:rPr>
          <w:szCs w:val="24"/>
        </w:rPr>
        <w:t xml:space="preserve">G.L. c. 32, </w:t>
      </w:r>
      <w:r w:rsidR="00C516D6" w:rsidRPr="007444E2">
        <w:rPr>
          <w:rFonts w:cs="Times New Roman"/>
          <w:szCs w:val="24"/>
        </w:rPr>
        <w:t>§</w:t>
      </w:r>
      <w:r w:rsidR="00C516D6" w:rsidRPr="007444E2">
        <w:rPr>
          <w:szCs w:val="24"/>
        </w:rPr>
        <w:t xml:space="preserve"> 5(2</w:t>
      </w:r>
      <w:proofErr w:type="gramStart"/>
      <w:r w:rsidR="00C516D6" w:rsidRPr="007444E2">
        <w:rPr>
          <w:szCs w:val="24"/>
        </w:rPr>
        <w:t>)(</w:t>
      </w:r>
      <w:proofErr w:type="gramEnd"/>
      <w:r w:rsidR="00C516D6" w:rsidRPr="007444E2">
        <w:rPr>
          <w:szCs w:val="24"/>
        </w:rPr>
        <w:t xml:space="preserve">a) </w:t>
      </w:r>
      <w:r w:rsidR="00401D40" w:rsidRPr="007444E2">
        <w:rPr>
          <w:rFonts w:cs="Times New Roman"/>
          <w:szCs w:val="24"/>
        </w:rPr>
        <w:t>in general has three provisions</w:t>
      </w:r>
      <w:r w:rsidR="0065039D" w:rsidRPr="007444E2">
        <w:rPr>
          <w:rFonts w:cs="Times New Roman"/>
          <w:szCs w:val="24"/>
        </w:rPr>
        <w:t xml:space="preserve">: </w:t>
      </w:r>
    </w:p>
    <w:p w:rsidR="00C516D6" w:rsidRPr="007444E2" w:rsidRDefault="00C516D6" w:rsidP="008355FB">
      <w:pPr>
        <w:widowControl w:val="0"/>
        <w:rPr>
          <w:rFonts w:cs="Times New Roman"/>
          <w:szCs w:val="24"/>
        </w:rPr>
      </w:pPr>
      <w:r w:rsidRPr="007444E2">
        <w:rPr>
          <w:rFonts w:cs="Times New Roman"/>
          <w:szCs w:val="24"/>
        </w:rPr>
        <w:tab/>
        <w:t xml:space="preserve">1. For </w:t>
      </w:r>
      <w:r w:rsidR="00563EF7" w:rsidRPr="007444E2">
        <w:rPr>
          <w:rFonts w:cs="Times New Roman"/>
          <w:szCs w:val="24"/>
        </w:rPr>
        <w:t xml:space="preserve">a retiree </w:t>
      </w:r>
      <w:r w:rsidRPr="007444E2">
        <w:rPr>
          <w:rFonts w:cs="Times New Roman"/>
          <w:szCs w:val="24"/>
        </w:rPr>
        <w:t xml:space="preserve">who joined a retirement system </w:t>
      </w:r>
      <w:r w:rsidR="006E60BA" w:rsidRPr="007444E2">
        <w:rPr>
          <w:rFonts w:cs="Times New Roman"/>
          <w:szCs w:val="24"/>
        </w:rPr>
        <w:t xml:space="preserve">on or </w:t>
      </w:r>
      <w:r w:rsidRPr="007444E2">
        <w:rPr>
          <w:rFonts w:cs="Times New Roman"/>
          <w:szCs w:val="24"/>
        </w:rPr>
        <w:t xml:space="preserve">before April 1, 2012, </w:t>
      </w:r>
      <w:r w:rsidR="00563EF7" w:rsidRPr="007444E2">
        <w:rPr>
          <w:rFonts w:cs="Times New Roman"/>
          <w:szCs w:val="24"/>
        </w:rPr>
        <w:t>his or her</w:t>
      </w:r>
      <w:r w:rsidRPr="007444E2">
        <w:rPr>
          <w:rFonts w:cs="Times New Roman"/>
          <w:szCs w:val="24"/>
        </w:rPr>
        <w:t xml:space="preserve"> pension is based on whichever is higher:</w:t>
      </w:r>
    </w:p>
    <w:p w:rsidR="00401D40" w:rsidRPr="007444E2" w:rsidRDefault="00C516D6" w:rsidP="008355FB">
      <w:pPr>
        <w:rPr>
          <w:rFonts w:cs="Times New Roman"/>
          <w:szCs w:val="24"/>
        </w:rPr>
      </w:pPr>
      <w:r w:rsidRPr="007444E2">
        <w:rPr>
          <w:rFonts w:cs="Times New Roman"/>
          <w:szCs w:val="24"/>
        </w:rPr>
        <w:tab/>
      </w:r>
      <w:r w:rsidRPr="007444E2">
        <w:rPr>
          <w:rFonts w:cs="Times New Roman"/>
          <w:szCs w:val="24"/>
        </w:rPr>
        <w:tab/>
        <w:t xml:space="preserve">A. </w:t>
      </w:r>
      <w:r w:rsidR="00563EF7" w:rsidRPr="007444E2">
        <w:rPr>
          <w:rFonts w:cs="Times New Roman"/>
          <w:szCs w:val="24"/>
        </w:rPr>
        <w:t xml:space="preserve">the average of </w:t>
      </w:r>
      <w:r w:rsidR="0065039D" w:rsidRPr="007444E2">
        <w:rPr>
          <w:rFonts w:cs="Times New Roman"/>
          <w:szCs w:val="24"/>
        </w:rPr>
        <w:t>his or her</w:t>
      </w:r>
      <w:r w:rsidR="006F3040" w:rsidRPr="007444E2">
        <w:rPr>
          <w:rFonts w:cs="Times New Roman"/>
          <w:szCs w:val="24"/>
        </w:rPr>
        <w:t xml:space="preserve"> </w:t>
      </w:r>
      <w:r w:rsidR="00563EF7" w:rsidRPr="007444E2">
        <w:rPr>
          <w:rFonts w:cs="Times New Roman"/>
          <w:i/>
          <w:szCs w:val="24"/>
        </w:rPr>
        <w:t>three</w:t>
      </w:r>
      <w:r w:rsidR="00563EF7" w:rsidRPr="007444E2">
        <w:rPr>
          <w:rFonts w:cs="Times New Roman"/>
          <w:szCs w:val="24"/>
        </w:rPr>
        <w:t xml:space="preserve"> </w:t>
      </w:r>
      <w:r w:rsidR="006F3040" w:rsidRPr="007444E2">
        <w:rPr>
          <w:rFonts w:cs="Times New Roman"/>
          <w:szCs w:val="24"/>
        </w:rPr>
        <w:t xml:space="preserve">highest paid </w:t>
      </w:r>
      <w:r w:rsidR="00563EF7" w:rsidRPr="007444E2">
        <w:rPr>
          <w:rFonts w:cs="Times New Roman"/>
          <w:szCs w:val="24"/>
        </w:rPr>
        <w:t>consecutive years; or</w:t>
      </w:r>
    </w:p>
    <w:p w:rsidR="00563EF7" w:rsidRDefault="00563EF7" w:rsidP="008355FB">
      <w:pPr>
        <w:rPr>
          <w:rFonts w:cs="Times New Roman"/>
          <w:szCs w:val="24"/>
        </w:rPr>
      </w:pPr>
      <w:r w:rsidRPr="007444E2">
        <w:rPr>
          <w:rFonts w:cs="Times New Roman"/>
          <w:szCs w:val="24"/>
        </w:rPr>
        <w:tab/>
      </w:r>
      <w:r w:rsidRPr="007444E2">
        <w:rPr>
          <w:rFonts w:cs="Times New Roman"/>
          <w:szCs w:val="24"/>
        </w:rPr>
        <w:tab/>
        <w:t xml:space="preserve">B. </w:t>
      </w:r>
      <w:r w:rsidR="00BD4C97" w:rsidRPr="007444E2">
        <w:rPr>
          <w:rFonts w:cs="Times New Roman"/>
          <w:szCs w:val="24"/>
        </w:rPr>
        <w:t>the average</w:t>
      </w:r>
      <w:r w:rsidR="009414D1" w:rsidRPr="007444E2">
        <w:rPr>
          <w:rFonts w:cs="Times New Roman"/>
          <w:szCs w:val="24"/>
        </w:rPr>
        <w:t xml:space="preserve"> compensation</w:t>
      </w:r>
      <w:r w:rsidR="00BD4C97" w:rsidRPr="007444E2">
        <w:rPr>
          <w:rFonts w:cs="Times New Roman"/>
          <w:szCs w:val="24"/>
        </w:rPr>
        <w:t xml:space="preserve"> of his or her last </w:t>
      </w:r>
      <w:r w:rsidR="00BD4C97" w:rsidRPr="007444E2">
        <w:rPr>
          <w:rFonts w:cs="Times New Roman"/>
          <w:i/>
          <w:szCs w:val="24"/>
        </w:rPr>
        <w:t>three</w:t>
      </w:r>
      <w:r w:rsidR="00BD4C97" w:rsidRPr="007444E2">
        <w:rPr>
          <w:rFonts w:cs="Times New Roman"/>
          <w:szCs w:val="24"/>
        </w:rPr>
        <w:t xml:space="preserve"> years of </w:t>
      </w:r>
      <w:proofErr w:type="gramStart"/>
      <w:r w:rsidR="00BD4C97" w:rsidRPr="007444E2">
        <w:rPr>
          <w:rFonts w:cs="Times New Roman"/>
          <w:szCs w:val="24"/>
        </w:rPr>
        <w:t>working,</w:t>
      </w:r>
      <w:proofErr w:type="gramEnd"/>
      <w:r w:rsidR="00BD4C97" w:rsidRPr="007444E2">
        <w:rPr>
          <w:rFonts w:cs="Times New Roman"/>
          <w:szCs w:val="24"/>
        </w:rPr>
        <w:t xml:space="preserve"> whether or not those years </w:t>
      </w:r>
      <w:r w:rsidR="008F62C4" w:rsidRPr="007444E2">
        <w:rPr>
          <w:rFonts w:cs="Times New Roman"/>
          <w:szCs w:val="24"/>
        </w:rPr>
        <w:t>we</w:t>
      </w:r>
      <w:r w:rsidR="00BD4C97" w:rsidRPr="007444E2">
        <w:rPr>
          <w:rFonts w:cs="Times New Roman"/>
          <w:szCs w:val="24"/>
        </w:rPr>
        <w:t>re consecutive.</w:t>
      </w:r>
    </w:p>
    <w:p w:rsidR="00AF3D6E" w:rsidRPr="007444E2" w:rsidRDefault="00AF3D6E" w:rsidP="008355FB">
      <w:pPr>
        <w:rPr>
          <w:rFonts w:cs="Times New Roman"/>
          <w:szCs w:val="24"/>
        </w:rPr>
      </w:pPr>
      <w:r>
        <w:rPr>
          <w:rFonts w:cs="Times New Roman"/>
          <w:szCs w:val="24"/>
        </w:rPr>
        <w:tab/>
        <w:t>(The substance of this provision is not at issue. What is at issue is the meaning of “consecutive.”)</w:t>
      </w:r>
    </w:p>
    <w:p w:rsidR="006E60BA" w:rsidRPr="007444E2" w:rsidRDefault="007E638E" w:rsidP="008355FB">
      <w:pPr>
        <w:rPr>
          <w:rFonts w:cs="Times New Roman"/>
          <w:szCs w:val="24"/>
        </w:rPr>
      </w:pPr>
      <w:r w:rsidRPr="007444E2">
        <w:rPr>
          <w:rFonts w:cs="Times New Roman"/>
          <w:szCs w:val="24"/>
        </w:rPr>
        <w:lastRenderedPageBreak/>
        <w:tab/>
        <w:t xml:space="preserve">2. </w:t>
      </w:r>
      <w:r w:rsidR="006E60BA" w:rsidRPr="007444E2">
        <w:rPr>
          <w:rFonts w:cs="Times New Roman"/>
          <w:szCs w:val="24"/>
        </w:rPr>
        <w:t>For a retiree who joined a retirement system after April 1, 2012, his or her pension is based on whichever is higher:</w:t>
      </w:r>
    </w:p>
    <w:p w:rsidR="006E60BA" w:rsidRPr="007444E2" w:rsidRDefault="006E60BA" w:rsidP="0085057D">
      <w:pPr>
        <w:widowControl w:val="0"/>
        <w:rPr>
          <w:rFonts w:cs="Times New Roman"/>
          <w:szCs w:val="24"/>
        </w:rPr>
      </w:pPr>
      <w:r w:rsidRPr="007444E2">
        <w:rPr>
          <w:rFonts w:cs="Times New Roman"/>
          <w:szCs w:val="24"/>
        </w:rPr>
        <w:tab/>
      </w:r>
      <w:r w:rsidRPr="007444E2">
        <w:rPr>
          <w:rFonts w:cs="Times New Roman"/>
          <w:szCs w:val="24"/>
        </w:rPr>
        <w:tab/>
        <w:t xml:space="preserve">A. the average of his or her </w:t>
      </w:r>
      <w:r w:rsidRPr="007444E2">
        <w:rPr>
          <w:rFonts w:cs="Times New Roman"/>
          <w:i/>
          <w:szCs w:val="24"/>
        </w:rPr>
        <w:t>five</w:t>
      </w:r>
      <w:r w:rsidRPr="007444E2">
        <w:rPr>
          <w:rFonts w:cs="Times New Roman"/>
          <w:szCs w:val="24"/>
        </w:rPr>
        <w:t xml:space="preserve"> highest paid consecutive years; or</w:t>
      </w:r>
    </w:p>
    <w:p w:rsidR="006E60BA" w:rsidRDefault="006E60BA" w:rsidP="0085057D">
      <w:pPr>
        <w:widowControl w:val="0"/>
        <w:rPr>
          <w:rFonts w:cs="Times New Roman"/>
          <w:szCs w:val="24"/>
        </w:rPr>
      </w:pPr>
      <w:r w:rsidRPr="007444E2">
        <w:rPr>
          <w:rFonts w:cs="Times New Roman"/>
          <w:szCs w:val="24"/>
        </w:rPr>
        <w:tab/>
      </w:r>
      <w:r w:rsidRPr="007444E2">
        <w:rPr>
          <w:rFonts w:cs="Times New Roman"/>
          <w:szCs w:val="24"/>
        </w:rPr>
        <w:tab/>
        <w:t xml:space="preserve">B. the average </w:t>
      </w:r>
      <w:r w:rsidR="00C63136" w:rsidRPr="007444E2">
        <w:rPr>
          <w:rFonts w:cs="Times New Roman"/>
          <w:szCs w:val="24"/>
        </w:rPr>
        <w:t xml:space="preserve">compensation </w:t>
      </w:r>
      <w:r w:rsidRPr="007444E2">
        <w:rPr>
          <w:rFonts w:cs="Times New Roman"/>
          <w:szCs w:val="24"/>
        </w:rPr>
        <w:t xml:space="preserve">of his or her last </w:t>
      </w:r>
      <w:r w:rsidRPr="007444E2">
        <w:rPr>
          <w:rFonts w:cs="Times New Roman"/>
          <w:i/>
          <w:szCs w:val="24"/>
        </w:rPr>
        <w:t xml:space="preserve">five </w:t>
      </w:r>
      <w:r w:rsidRPr="007444E2">
        <w:rPr>
          <w:rFonts w:cs="Times New Roman"/>
          <w:szCs w:val="24"/>
        </w:rPr>
        <w:t xml:space="preserve">years of </w:t>
      </w:r>
      <w:proofErr w:type="gramStart"/>
      <w:r w:rsidRPr="007444E2">
        <w:rPr>
          <w:rFonts w:cs="Times New Roman"/>
          <w:szCs w:val="24"/>
        </w:rPr>
        <w:t>working,</w:t>
      </w:r>
      <w:proofErr w:type="gramEnd"/>
      <w:r w:rsidRPr="007444E2">
        <w:rPr>
          <w:rFonts w:cs="Times New Roman"/>
          <w:szCs w:val="24"/>
        </w:rPr>
        <w:t xml:space="preserve"> whether or not those years are consecutive.</w:t>
      </w:r>
    </w:p>
    <w:p w:rsidR="00AF3D6E" w:rsidRPr="007444E2" w:rsidRDefault="00AF3D6E" w:rsidP="00AF3D6E">
      <w:pPr>
        <w:widowControl w:val="0"/>
        <w:ind w:firstLine="720"/>
        <w:rPr>
          <w:rFonts w:cs="Times New Roman"/>
          <w:szCs w:val="24"/>
        </w:rPr>
      </w:pPr>
      <w:r>
        <w:rPr>
          <w:rFonts w:cs="Times New Roman"/>
          <w:szCs w:val="24"/>
        </w:rPr>
        <w:t>(The substance of this provision is also not at issue. What is at issue, as with the previous provision, is the meaning of “consecutive.”</w:t>
      </w:r>
      <w:proofErr w:type="gramStart"/>
      <w:r>
        <w:rPr>
          <w:rFonts w:cs="Times New Roman"/>
          <w:szCs w:val="24"/>
        </w:rPr>
        <w:t>)</w:t>
      </w:r>
      <w:proofErr w:type="gramEnd"/>
    </w:p>
    <w:p w:rsidR="006E60BA" w:rsidRPr="007444E2" w:rsidRDefault="006E60BA" w:rsidP="008355FB">
      <w:pPr>
        <w:rPr>
          <w:rFonts w:cs="Times New Roman"/>
          <w:szCs w:val="24"/>
        </w:rPr>
      </w:pPr>
      <w:r w:rsidRPr="007444E2">
        <w:rPr>
          <w:rFonts w:cs="Times New Roman"/>
          <w:szCs w:val="24"/>
        </w:rPr>
        <w:tab/>
        <w:t xml:space="preserve">3. </w:t>
      </w:r>
      <w:r w:rsidR="00265573" w:rsidRPr="007444E2">
        <w:rPr>
          <w:rFonts w:cs="Times New Roman"/>
          <w:szCs w:val="24"/>
        </w:rPr>
        <w:t>No matter when a retiree joined a retirement system, if</w:t>
      </w:r>
    </w:p>
    <w:p w:rsidR="00265573" w:rsidRPr="007444E2" w:rsidRDefault="00265573" w:rsidP="007444E2">
      <w:pPr>
        <w:widowControl w:val="0"/>
        <w:rPr>
          <w:rFonts w:cs="Times New Roman"/>
          <w:szCs w:val="24"/>
        </w:rPr>
      </w:pPr>
      <w:r w:rsidRPr="007444E2">
        <w:rPr>
          <w:rFonts w:cs="Times New Roman"/>
          <w:szCs w:val="24"/>
        </w:rPr>
        <w:tab/>
      </w:r>
      <w:r w:rsidRPr="007444E2">
        <w:rPr>
          <w:rFonts w:cs="Times New Roman"/>
          <w:szCs w:val="24"/>
        </w:rPr>
        <w:tab/>
        <w:t>A. in his</w:t>
      </w:r>
      <w:r w:rsidR="00C355B8" w:rsidRPr="007444E2">
        <w:rPr>
          <w:rFonts w:cs="Times New Roman"/>
          <w:szCs w:val="24"/>
        </w:rPr>
        <w:t xml:space="preserve"> or her</w:t>
      </w:r>
      <w:r w:rsidRPr="007444E2">
        <w:rPr>
          <w:rFonts w:cs="Times New Roman"/>
          <w:szCs w:val="24"/>
        </w:rPr>
        <w:t xml:space="preserve"> last five years of working,</w:t>
      </w:r>
    </w:p>
    <w:p w:rsidR="00265573" w:rsidRPr="007444E2" w:rsidRDefault="00265573" w:rsidP="007444E2">
      <w:pPr>
        <w:widowControl w:val="0"/>
        <w:rPr>
          <w:rFonts w:cs="Times New Roman"/>
          <w:szCs w:val="24"/>
        </w:rPr>
      </w:pPr>
      <w:r w:rsidRPr="007444E2">
        <w:rPr>
          <w:rFonts w:cs="Times New Roman"/>
          <w:szCs w:val="24"/>
        </w:rPr>
        <w:tab/>
      </w:r>
      <w:r w:rsidRPr="007444E2">
        <w:rPr>
          <w:rFonts w:cs="Times New Roman"/>
          <w:szCs w:val="24"/>
        </w:rPr>
        <w:tab/>
        <w:t xml:space="preserve">B. </w:t>
      </w:r>
      <w:r w:rsidR="008F62C4" w:rsidRPr="007444E2">
        <w:rPr>
          <w:rFonts w:cs="Times New Roman"/>
          <w:szCs w:val="24"/>
        </w:rPr>
        <w:t xml:space="preserve">his or her regular compensation </w:t>
      </w:r>
      <w:r w:rsidR="001E0227" w:rsidRPr="007444E2">
        <w:rPr>
          <w:rFonts w:cs="Times New Roman"/>
          <w:szCs w:val="24"/>
        </w:rPr>
        <w:t xml:space="preserve">increased from one year to the next year by more than 100%, </w:t>
      </w:r>
    </w:p>
    <w:p w:rsidR="00C355B8" w:rsidRPr="007444E2" w:rsidRDefault="001E0227" w:rsidP="008355FB">
      <w:pPr>
        <w:rPr>
          <w:rFonts w:cs="Times New Roman"/>
          <w:szCs w:val="24"/>
        </w:rPr>
      </w:pPr>
      <w:r w:rsidRPr="007444E2">
        <w:rPr>
          <w:rFonts w:cs="Times New Roman"/>
          <w:szCs w:val="24"/>
        </w:rPr>
        <w:tab/>
      </w:r>
      <w:proofErr w:type="gramStart"/>
      <w:r w:rsidR="00C355B8" w:rsidRPr="007444E2">
        <w:rPr>
          <w:rFonts w:cs="Times New Roman"/>
          <w:szCs w:val="24"/>
        </w:rPr>
        <w:t>then</w:t>
      </w:r>
      <w:proofErr w:type="gramEnd"/>
      <w:r w:rsidR="00C355B8" w:rsidRPr="007444E2">
        <w:rPr>
          <w:rFonts w:cs="Times New Roman"/>
          <w:szCs w:val="24"/>
        </w:rPr>
        <w:t xml:space="preserve"> his or her pension is based </w:t>
      </w:r>
      <w:r w:rsidR="00D3268B" w:rsidRPr="007444E2">
        <w:rPr>
          <w:rFonts w:cs="Times New Roman"/>
          <w:szCs w:val="24"/>
        </w:rPr>
        <w:t xml:space="preserve">on </w:t>
      </w:r>
      <w:r w:rsidR="00C355B8" w:rsidRPr="007444E2">
        <w:rPr>
          <w:rFonts w:cs="Times New Roman"/>
          <w:szCs w:val="24"/>
        </w:rPr>
        <w:t>the average compensation of his or her last five years of working.</w:t>
      </w:r>
    </w:p>
    <w:p w:rsidR="00A7025A" w:rsidRDefault="00E268DC" w:rsidP="008355FB">
      <w:pPr>
        <w:rPr>
          <w:rFonts w:cs="Times New Roman"/>
          <w:szCs w:val="24"/>
        </w:rPr>
      </w:pPr>
      <w:r w:rsidRPr="007444E2">
        <w:rPr>
          <w:rFonts w:cs="Times New Roman"/>
          <w:szCs w:val="24"/>
        </w:rPr>
        <w:tab/>
        <w:t xml:space="preserve">The third provision is called </w:t>
      </w:r>
      <w:r w:rsidR="00D3268B" w:rsidRPr="007444E2">
        <w:rPr>
          <w:rFonts w:cs="Times New Roman"/>
          <w:szCs w:val="24"/>
        </w:rPr>
        <w:t>one of the anti-spiking provisions.</w:t>
      </w:r>
      <w:r w:rsidR="009C404F" w:rsidRPr="007444E2">
        <w:rPr>
          <w:rFonts w:cs="Times New Roman"/>
          <w:szCs w:val="24"/>
        </w:rPr>
        <w:t xml:space="preserve"> </w:t>
      </w:r>
      <w:proofErr w:type="gramStart"/>
      <w:r w:rsidR="00A41CB6" w:rsidRPr="007444E2">
        <w:rPr>
          <w:rFonts w:cs="Times New Roman"/>
          <w:i/>
          <w:szCs w:val="24"/>
        </w:rPr>
        <w:t>E.g.</w:t>
      </w:r>
      <w:r w:rsidR="00A41CB6" w:rsidRPr="007444E2">
        <w:rPr>
          <w:rFonts w:cs="Times New Roman"/>
          <w:szCs w:val="24"/>
        </w:rPr>
        <w:t xml:space="preserve">, </w:t>
      </w:r>
      <w:r w:rsidR="00A41CB6" w:rsidRPr="007444E2">
        <w:rPr>
          <w:rFonts w:eastAsia="Times New Roman" w:cs="Times New Roman"/>
          <w:bCs/>
          <w:i/>
          <w:szCs w:val="24"/>
          <w:lang w:val="en"/>
        </w:rPr>
        <w:t>Frances Phillips v. Public Employee Retirement Administration Commission</w:t>
      </w:r>
      <w:r w:rsidR="00A41CB6" w:rsidRPr="007444E2">
        <w:rPr>
          <w:rFonts w:eastAsia="Times New Roman" w:cs="Times New Roman"/>
          <w:bCs/>
          <w:szCs w:val="24"/>
          <w:lang w:val="en"/>
        </w:rPr>
        <w:t>, CR-12-865 (DALA 2015).</w:t>
      </w:r>
      <w:proofErr w:type="gramEnd"/>
      <w:r w:rsidR="006D7BE5" w:rsidRPr="007444E2">
        <w:rPr>
          <w:rFonts w:eastAsia="Times New Roman" w:cs="Times New Roman"/>
          <w:bCs/>
          <w:szCs w:val="24"/>
          <w:lang w:val="en"/>
        </w:rPr>
        <w:t xml:space="preserve"> </w:t>
      </w:r>
      <w:r w:rsidR="009C404F" w:rsidRPr="007444E2">
        <w:rPr>
          <w:rFonts w:cs="Times New Roman"/>
          <w:szCs w:val="24"/>
        </w:rPr>
        <w:t xml:space="preserve">This decision will call it </w:t>
      </w:r>
      <w:r w:rsidR="00762E9E" w:rsidRPr="007444E2">
        <w:rPr>
          <w:rFonts w:cs="Times New Roman"/>
          <w:szCs w:val="24"/>
        </w:rPr>
        <w:t>“</w:t>
      </w:r>
      <w:r w:rsidR="009C404F" w:rsidRPr="007444E2">
        <w:rPr>
          <w:rFonts w:cs="Times New Roman"/>
          <w:szCs w:val="24"/>
        </w:rPr>
        <w:t>the anti-spiking provision,</w:t>
      </w:r>
      <w:r w:rsidR="00762E9E" w:rsidRPr="007444E2">
        <w:rPr>
          <w:rFonts w:cs="Times New Roman"/>
          <w:szCs w:val="24"/>
        </w:rPr>
        <w:t>”</w:t>
      </w:r>
      <w:r w:rsidR="009C404F" w:rsidRPr="007444E2">
        <w:rPr>
          <w:rFonts w:cs="Times New Roman"/>
          <w:szCs w:val="24"/>
        </w:rPr>
        <w:t xml:space="preserve"> because the other such provision, </w:t>
      </w:r>
      <w:r w:rsidR="00F4643A" w:rsidRPr="007444E2">
        <w:rPr>
          <w:szCs w:val="24"/>
        </w:rPr>
        <w:t xml:space="preserve">G.L. c. 32, </w:t>
      </w:r>
      <w:r w:rsidR="00F4643A" w:rsidRPr="007444E2">
        <w:rPr>
          <w:rFonts w:cs="Times New Roman"/>
          <w:szCs w:val="24"/>
        </w:rPr>
        <w:t>§ 5(f), is not at issue here.</w:t>
      </w:r>
      <w:r w:rsidR="00A7025A">
        <w:rPr>
          <w:rFonts w:cs="Times New Roman"/>
          <w:szCs w:val="24"/>
        </w:rPr>
        <w:t xml:space="preserve"> </w:t>
      </w:r>
    </w:p>
    <w:p w:rsidR="00651D65" w:rsidRPr="007444E2" w:rsidRDefault="00651D65" w:rsidP="00790BE1">
      <w:pPr>
        <w:rPr>
          <w:rFonts w:cs="Times New Roman"/>
          <w:szCs w:val="24"/>
        </w:rPr>
      </w:pPr>
      <w:r w:rsidRPr="007444E2">
        <w:rPr>
          <w:rFonts w:cs="Times New Roman"/>
          <w:szCs w:val="24"/>
        </w:rPr>
        <w:tab/>
      </w:r>
      <w:r w:rsidR="00D154FD" w:rsidRPr="007444E2">
        <w:rPr>
          <w:rFonts w:cs="Times New Roman"/>
          <w:szCs w:val="24"/>
        </w:rPr>
        <w:t xml:space="preserve">Now to examine the actual wording of </w:t>
      </w:r>
      <w:r w:rsidRPr="007444E2">
        <w:rPr>
          <w:szCs w:val="24"/>
        </w:rPr>
        <w:t xml:space="preserve">G.L. c. 32, </w:t>
      </w:r>
      <w:r w:rsidRPr="007444E2">
        <w:rPr>
          <w:rFonts w:cs="Times New Roman"/>
          <w:szCs w:val="24"/>
        </w:rPr>
        <w:t>§</w:t>
      </w:r>
      <w:r w:rsidRPr="007444E2">
        <w:rPr>
          <w:szCs w:val="24"/>
        </w:rPr>
        <w:t xml:space="preserve"> 5(2</w:t>
      </w:r>
      <w:proofErr w:type="gramStart"/>
      <w:r w:rsidRPr="007444E2">
        <w:rPr>
          <w:szCs w:val="24"/>
        </w:rPr>
        <w:t>)(</w:t>
      </w:r>
      <w:proofErr w:type="gramEnd"/>
      <w:r w:rsidRPr="007444E2">
        <w:rPr>
          <w:szCs w:val="24"/>
        </w:rPr>
        <w:t>a)</w:t>
      </w:r>
      <w:r w:rsidR="00D154FD" w:rsidRPr="007444E2">
        <w:rPr>
          <w:szCs w:val="24"/>
        </w:rPr>
        <w:t>. It</w:t>
      </w:r>
      <w:r w:rsidRPr="007444E2">
        <w:rPr>
          <w:szCs w:val="24"/>
        </w:rPr>
        <w:t xml:space="preserve"> reads in part:</w:t>
      </w:r>
    </w:p>
    <w:p w:rsidR="00651D65" w:rsidRPr="007444E2" w:rsidRDefault="00651D65" w:rsidP="00173005">
      <w:pPr>
        <w:spacing w:line="240" w:lineRule="auto"/>
        <w:ind w:left="720" w:right="720"/>
        <w:rPr>
          <w:rFonts w:cs="Times New Roman"/>
          <w:szCs w:val="24"/>
        </w:rPr>
      </w:pPr>
      <w:r w:rsidRPr="007444E2">
        <w:rPr>
          <w:rFonts w:cs="Times New Roman"/>
          <w:szCs w:val="24"/>
        </w:rPr>
        <w:t>The normal yearly amo</w:t>
      </w:r>
      <w:r w:rsidR="002B3264" w:rsidRPr="007444E2">
        <w:rPr>
          <w:rFonts w:cs="Times New Roman"/>
          <w:szCs w:val="24"/>
        </w:rPr>
        <w:t>unt of the retirement allowance…</w:t>
      </w:r>
      <w:r w:rsidRPr="007444E2">
        <w:rPr>
          <w:rFonts w:cs="Times New Roman"/>
          <w:szCs w:val="24"/>
        </w:rPr>
        <w:t>shall</w:t>
      </w:r>
      <w:r w:rsidR="002B3264" w:rsidRPr="007444E2">
        <w:rPr>
          <w:rFonts w:cs="Times New Roman"/>
          <w:szCs w:val="24"/>
        </w:rPr>
        <w:t>…</w:t>
      </w:r>
      <w:r w:rsidRPr="007444E2">
        <w:rPr>
          <w:rFonts w:cs="Times New Roman"/>
          <w:szCs w:val="24"/>
        </w:rPr>
        <w:t>be based on the average annual rate of regular compensation received by such member during any period of</w:t>
      </w:r>
      <w:r w:rsidRPr="007444E2">
        <w:rPr>
          <w:rFonts w:cs="Times New Roman"/>
          <w:i/>
          <w:szCs w:val="24"/>
        </w:rPr>
        <w:t xml:space="preserve"> three consecutive years of creditable service</w:t>
      </w:r>
      <w:r w:rsidRPr="007444E2">
        <w:rPr>
          <w:rFonts w:cs="Times New Roman"/>
          <w:szCs w:val="24"/>
        </w:rPr>
        <w:t xml:space="preserve"> for which such rate of compensation was the highest, or on the average annual rate of regular compensation received by such member </w:t>
      </w:r>
      <w:r w:rsidRPr="007444E2">
        <w:rPr>
          <w:rFonts w:cs="Times New Roman"/>
          <w:i/>
          <w:szCs w:val="24"/>
        </w:rPr>
        <w:t>during the period or periods, whether consecutive or not, constituting his last three years of creditable service preceding retirement</w:t>
      </w:r>
      <w:r w:rsidR="00DE66C0" w:rsidRPr="007444E2">
        <w:rPr>
          <w:rFonts w:cs="Times New Roman"/>
          <w:szCs w:val="24"/>
        </w:rPr>
        <w:t>, whichever is the greater</w:t>
      </w:r>
      <w:r w:rsidR="002B3264" w:rsidRPr="007444E2">
        <w:rPr>
          <w:rFonts w:cs="Times New Roman"/>
          <w:szCs w:val="24"/>
        </w:rPr>
        <w:t>…</w:t>
      </w:r>
      <w:r w:rsidRPr="007444E2">
        <w:rPr>
          <w:rFonts w:cs="Times New Roman"/>
          <w:szCs w:val="24"/>
        </w:rPr>
        <w:t xml:space="preserve">; provided, however that for a member who became a member on or after April 2, 2012, the total amount of regular compensation shall be based on the average annual rate of regular compensation received by such member during any period of </w:t>
      </w:r>
      <w:r w:rsidRPr="007444E2">
        <w:rPr>
          <w:rFonts w:cs="Times New Roman"/>
          <w:i/>
          <w:szCs w:val="24"/>
        </w:rPr>
        <w:t xml:space="preserve">5 consecutive years </w:t>
      </w:r>
      <w:r w:rsidRPr="007444E2">
        <w:rPr>
          <w:rFonts w:cs="Times New Roman"/>
          <w:i/>
          <w:szCs w:val="24"/>
        </w:rPr>
        <w:lastRenderedPageBreak/>
        <w:t>of creditable service</w:t>
      </w:r>
      <w:r w:rsidRPr="007444E2">
        <w:rPr>
          <w:rFonts w:cs="Times New Roman"/>
          <w:szCs w:val="24"/>
        </w:rPr>
        <w:t xml:space="preserve"> for which such rate of compensation was the highest, or on the average annual rate of regular compensation received by such member during </w:t>
      </w:r>
      <w:r w:rsidRPr="007444E2">
        <w:rPr>
          <w:rFonts w:cs="Times New Roman"/>
          <w:i/>
          <w:szCs w:val="24"/>
        </w:rPr>
        <w:t>the period or periods, whether consecutive or not, constituting the member</w:t>
      </w:r>
      <w:r w:rsidR="000F3552" w:rsidRPr="007444E2">
        <w:rPr>
          <w:rFonts w:cs="Times New Roman"/>
          <w:i/>
          <w:szCs w:val="24"/>
        </w:rPr>
        <w:t>’</w:t>
      </w:r>
      <w:r w:rsidRPr="007444E2">
        <w:rPr>
          <w:rFonts w:cs="Times New Roman"/>
          <w:i/>
          <w:szCs w:val="24"/>
        </w:rPr>
        <w:t>s last 5 years of creditable service preceding retirement</w:t>
      </w:r>
      <w:r w:rsidRPr="007444E2">
        <w:rPr>
          <w:rFonts w:cs="Times New Roman"/>
          <w:szCs w:val="24"/>
        </w:rPr>
        <w:t xml:space="preserve">, whichever is the greater. </w:t>
      </w:r>
      <w:r w:rsidRPr="007444E2">
        <w:rPr>
          <w:rFonts w:cs="Times New Roman"/>
          <w:b/>
          <w:szCs w:val="24"/>
        </w:rPr>
        <w:t xml:space="preserve">Notwithstanding the previous sentence, if in the </w:t>
      </w:r>
      <w:r w:rsidRPr="007444E2">
        <w:rPr>
          <w:rFonts w:cs="Times New Roman"/>
          <w:b/>
          <w:i/>
          <w:szCs w:val="24"/>
        </w:rPr>
        <w:t>5 years of creditable service immediately preceding retirement</w:t>
      </w:r>
      <w:r w:rsidRPr="007444E2">
        <w:rPr>
          <w:rFonts w:cs="Times New Roman"/>
          <w:b/>
          <w:szCs w:val="24"/>
        </w:rPr>
        <w:t xml:space="preserve">, the difference in the annual rate of regular compensation between any </w:t>
      </w:r>
      <w:r w:rsidRPr="007444E2">
        <w:rPr>
          <w:rFonts w:cs="Times New Roman"/>
          <w:b/>
          <w:i/>
          <w:szCs w:val="24"/>
        </w:rPr>
        <w:t>2 consecutive years</w:t>
      </w:r>
      <w:r w:rsidRPr="007444E2">
        <w:rPr>
          <w:rFonts w:cs="Times New Roman"/>
          <w:b/>
          <w:szCs w:val="24"/>
        </w:rPr>
        <w:t xml:space="preserve"> exceeds 100 per cent, the normal yearly amount of the retirement allowance shall be based on the average annual rate of regular compensation received by the member during the period of </w:t>
      </w:r>
      <w:r w:rsidRPr="007444E2">
        <w:rPr>
          <w:rFonts w:cs="Times New Roman"/>
          <w:b/>
          <w:i/>
          <w:szCs w:val="24"/>
        </w:rPr>
        <w:t>5 consecu</w:t>
      </w:r>
      <w:r w:rsidR="00173005" w:rsidRPr="007444E2">
        <w:rPr>
          <w:rFonts w:cs="Times New Roman"/>
          <w:b/>
          <w:i/>
          <w:szCs w:val="24"/>
        </w:rPr>
        <w:t>tive years preceding retirement</w:t>
      </w:r>
      <w:r w:rsidR="00173005" w:rsidRPr="007444E2">
        <w:rPr>
          <w:rFonts w:cs="Times New Roman"/>
          <w:szCs w:val="24"/>
        </w:rPr>
        <w:t>….</w:t>
      </w:r>
    </w:p>
    <w:p w:rsidR="00173005" w:rsidRPr="007444E2" w:rsidRDefault="00173005" w:rsidP="00173005">
      <w:pPr>
        <w:spacing w:line="240" w:lineRule="auto"/>
        <w:ind w:left="720" w:right="720"/>
        <w:rPr>
          <w:rFonts w:cs="Times New Roman"/>
          <w:szCs w:val="24"/>
        </w:rPr>
      </w:pPr>
    </w:p>
    <w:p w:rsidR="00017D35" w:rsidRPr="007444E2" w:rsidRDefault="00560919" w:rsidP="00306B90">
      <w:pPr>
        <w:pStyle w:val="Default"/>
        <w:spacing w:line="480" w:lineRule="auto"/>
        <w:rPr>
          <w:color w:val="auto"/>
        </w:rPr>
      </w:pPr>
      <w:r w:rsidRPr="007444E2">
        <w:rPr>
          <w:color w:val="auto"/>
        </w:rPr>
        <w:t xml:space="preserve">(Emphasis added.) The bolded excerpt </w:t>
      </w:r>
      <w:r w:rsidR="004E5CD2" w:rsidRPr="007444E2">
        <w:rPr>
          <w:color w:val="auto"/>
        </w:rPr>
        <w:t xml:space="preserve">marks </w:t>
      </w:r>
      <w:r w:rsidRPr="007444E2">
        <w:rPr>
          <w:color w:val="auto"/>
        </w:rPr>
        <w:t xml:space="preserve">the </w:t>
      </w:r>
      <w:r w:rsidR="004E5CD2" w:rsidRPr="007444E2">
        <w:rPr>
          <w:color w:val="auto"/>
        </w:rPr>
        <w:t xml:space="preserve">anti-spiking </w:t>
      </w:r>
      <w:r w:rsidRPr="007444E2">
        <w:rPr>
          <w:color w:val="auto"/>
        </w:rPr>
        <w:t>provision. The italicized excerpts highlight the c</w:t>
      </w:r>
      <w:r w:rsidR="004E5CD2" w:rsidRPr="007444E2">
        <w:rPr>
          <w:color w:val="auto"/>
        </w:rPr>
        <w:t xml:space="preserve">ontext of the word </w:t>
      </w:r>
      <w:r w:rsidR="00762E9E" w:rsidRPr="007444E2">
        <w:rPr>
          <w:color w:val="auto"/>
        </w:rPr>
        <w:t>“</w:t>
      </w:r>
      <w:r w:rsidR="004E5CD2" w:rsidRPr="007444E2">
        <w:rPr>
          <w:color w:val="auto"/>
        </w:rPr>
        <w:t>consecutive,</w:t>
      </w:r>
      <w:r w:rsidR="00762E9E" w:rsidRPr="007444E2">
        <w:rPr>
          <w:color w:val="auto"/>
        </w:rPr>
        <w:t>”</w:t>
      </w:r>
      <w:r w:rsidR="004E5CD2" w:rsidRPr="007444E2">
        <w:rPr>
          <w:color w:val="auto"/>
        </w:rPr>
        <w:t xml:space="preserve"> which is a key word in this appeal.</w:t>
      </w:r>
      <w:r w:rsidRPr="007444E2">
        <w:rPr>
          <w:color w:val="auto"/>
        </w:rPr>
        <w:t xml:space="preserve"> </w:t>
      </w:r>
    </w:p>
    <w:p w:rsidR="00466032" w:rsidRDefault="00017D35" w:rsidP="00466032">
      <w:pPr>
        <w:pStyle w:val="Default"/>
        <w:spacing w:line="480" w:lineRule="auto"/>
        <w:ind w:firstLine="720"/>
      </w:pPr>
      <w:r w:rsidRPr="007444E2">
        <w:rPr>
          <w:color w:val="auto"/>
        </w:rPr>
        <w:t>It is not enough to</w:t>
      </w:r>
      <w:r w:rsidR="00B66AE4" w:rsidRPr="007444E2">
        <w:rPr>
          <w:color w:val="auto"/>
        </w:rPr>
        <w:t xml:space="preserve"> focus on the word </w:t>
      </w:r>
      <w:r w:rsidR="00762E9E" w:rsidRPr="007444E2">
        <w:rPr>
          <w:color w:val="auto"/>
        </w:rPr>
        <w:t>“</w:t>
      </w:r>
      <w:r w:rsidR="00AF3D6E">
        <w:rPr>
          <w:color w:val="auto"/>
        </w:rPr>
        <w:t>consecutive</w:t>
      </w:r>
      <w:r w:rsidR="00762E9E" w:rsidRPr="007444E2">
        <w:rPr>
          <w:color w:val="auto"/>
        </w:rPr>
        <w:t>”</w:t>
      </w:r>
      <w:r w:rsidR="00AF3D6E">
        <w:rPr>
          <w:color w:val="auto"/>
        </w:rPr>
        <w:t xml:space="preserve"> and argue, as Ms. Hartnett does, that “consecutive” must mean the same thing throughout</w:t>
      </w:r>
      <w:r w:rsidR="00466032">
        <w:rPr>
          <w:color w:val="auto"/>
        </w:rPr>
        <w:t xml:space="preserve"> </w:t>
      </w:r>
      <w:r w:rsidR="00466032" w:rsidRPr="007444E2">
        <w:t>G.L. c. 32, § 5(2)(a)</w:t>
      </w:r>
      <w:r w:rsidR="00466032">
        <w:t xml:space="preserve">. It is not enough </w:t>
      </w:r>
      <w:r w:rsidR="00306B90">
        <w:t>because “t</w:t>
      </w:r>
      <w:r w:rsidR="00466032" w:rsidRPr="00AF3D6E">
        <w:rPr>
          <w:rFonts w:eastAsia="Times New Roman"/>
        </w:rPr>
        <w:t xml:space="preserve">he same words in different parts of a statute </w:t>
      </w:r>
      <w:r w:rsidR="00466032" w:rsidRPr="00AF3D6E">
        <w:rPr>
          <w:rFonts w:eastAsia="Times New Roman"/>
          <w:i/>
        </w:rPr>
        <w:t>enacted at the same time</w:t>
      </w:r>
      <w:r w:rsidR="00466032">
        <w:rPr>
          <w:rFonts w:eastAsia="Times New Roman"/>
        </w:rPr>
        <w:t>...</w:t>
      </w:r>
      <w:r w:rsidR="00466032" w:rsidRPr="00AF3D6E">
        <w:rPr>
          <w:rFonts w:eastAsia="Times New Roman"/>
        </w:rPr>
        <w:t>should receive the same meaning.”</w:t>
      </w:r>
      <w:r w:rsidR="00466032">
        <w:rPr>
          <w:rFonts w:eastAsia="Times New Roman"/>
        </w:rPr>
        <w:t xml:space="preserve"> </w:t>
      </w:r>
      <w:r w:rsidR="00466032" w:rsidRPr="00AF3D6E">
        <w:rPr>
          <w:rFonts w:eastAsia="Times New Roman"/>
          <w:i/>
        </w:rPr>
        <w:t>Commonwealth v. Wynton W.</w:t>
      </w:r>
      <w:r w:rsidR="00466032">
        <w:rPr>
          <w:rFonts w:eastAsia="Times New Roman"/>
        </w:rPr>
        <w:t>, 459 Mass. 745, 751-</w:t>
      </w:r>
      <w:r w:rsidR="00466032" w:rsidRPr="00AF3D6E">
        <w:rPr>
          <w:rFonts w:eastAsia="Times New Roman"/>
        </w:rPr>
        <w:t>52 (2011)</w:t>
      </w:r>
      <w:r w:rsidR="00466032">
        <w:rPr>
          <w:rFonts w:eastAsia="Times New Roman"/>
        </w:rPr>
        <w:t xml:space="preserve"> </w:t>
      </w:r>
      <w:r w:rsidR="00466032" w:rsidRPr="00AF3D6E">
        <w:rPr>
          <w:rFonts w:eastAsia="Times New Roman"/>
        </w:rPr>
        <w:t>(emphasis added</w:t>
      </w:r>
      <w:proofErr w:type="gramStart"/>
      <w:r w:rsidR="00466032" w:rsidRPr="00AF3D6E">
        <w:rPr>
          <w:rFonts w:eastAsia="Times New Roman"/>
        </w:rPr>
        <w:t>)(</w:t>
      </w:r>
      <w:proofErr w:type="gramEnd"/>
      <w:r w:rsidR="00466032" w:rsidRPr="00AF3D6E">
        <w:rPr>
          <w:rFonts w:eastAsia="Times New Roman"/>
        </w:rPr>
        <w:t>citation and internal quotation marks omitted).</w:t>
      </w:r>
      <w:r w:rsidR="00466032">
        <w:rPr>
          <w:rFonts w:eastAsia="Times New Roman"/>
        </w:rPr>
        <w:t xml:space="preserve"> </w:t>
      </w:r>
      <w:r w:rsidR="00435422">
        <w:rPr>
          <w:rFonts w:eastAsia="Times New Roman"/>
        </w:rPr>
        <w:t>However, t</w:t>
      </w:r>
      <w:r w:rsidR="00466032">
        <w:rPr>
          <w:rFonts w:eastAsia="Times New Roman"/>
        </w:rPr>
        <w:t xml:space="preserve">he anti-spiking provision was not enacted at the same time as the </w:t>
      </w:r>
      <w:r w:rsidR="00496D95">
        <w:rPr>
          <w:rFonts w:eastAsia="Times New Roman"/>
        </w:rPr>
        <w:t>first provision in</w:t>
      </w:r>
      <w:r w:rsidR="00466032">
        <w:rPr>
          <w:rFonts w:eastAsia="Times New Roman"/>
        </w:rPr>
        <w:t xml:space="preserve"> </w:t>
      </w:r>
      <w:r w:rsidR="00466032" w:rsidRPr="007444E2">
        <w:t>G.L. c. 32, § 5(2</w:t>
      </w:r>
      <w:proofErr w:type="gramStart"/>
      <w:r w:rsidR="00466032" w:rsidRPr="007444E2">
        <w:t>)(</w:t>
      </w:r>
      <w:proofErr w:type="gramEnd"/>
      <w:r w:rsidR="00466032" w:rsidRPr="007444E2">
        <w:t>a)</w:t>
      </w:r>
      <w:r w:rsidR="00466032">
        <w:t>.</w:t>
      </w:r>
      <w:r w:rsidR="00E66577">
        <w:t xml:space="preserve"> </w:t>
      </w:r>
      <w:r w:rsidR="00496D95">
        <w:t xml:space="preserve">(The anti-spiking provision was enacted at the same time as the second provision, but the second provision’s wording parallels that of the first.) </w:t>
      </w:r>
      <w:r w:rsidR="00E66577">
        <w:t xml:space="preserve">In addition, subtle indications exist that the word “consecutive” does not mean the same thing </w:t>
      </w:r>
      <w:r w:rsidR="00E66577">
        <w:rPr>
          <w:color w:val="auto"/>
        </w:rPr>
        <w:t xml:space="preserve">throughout </w:t>
      </w:r>
      <w:r w:rsidR="00E66577" w:rsidRPr="007444E2">
        <w:t>§ 5(2</w:t>
      </w:r>
      <w:proofErr w:type="gramStart"/>
      <w:r w:rsidR="00E66577" w:rsidRPr="007444E2">
        <w:t>)(</w:t>
      </w:r>
      <w:proofErr w:type="gramEnd"/>
      <w:r w:rsidR="00E66577" w:rsidRPr="007444E2">
        <w:t>a)</w:t>
      </w:r>
      <w:r w:rsidR="00E66577">
        <w:t>.</w:t>
      </w:r>
    </w:p>
    <w:p w:rsidR="004C4C99" w:rsidRDefault="004C4C99" w:rsidP="00E66577">
      <w:pPr>
        <w:pStyle w:val="Default"/>
        <w:widowControl w:val="0"/>
        <w:spacing w:line="480" w:lineRule="auto"/>
        <w:ind w:firstLine="720"/>
      </w:pPr>
      <w:r>
        <w:t xml:space="preserve">The first provision of </w:t>
      </w:r>
      <w:r w:rsidRPr="007444E2">
        <w:t>§ 5(2</w:t>
      </w:r>
      <w:proofErr w:type="gramStart"/>
      <w:r w:rsidRPr="007444E2">
        <w:t>)(</w:t>
      </w:r>
      <w:proofErr w:type="gramEnd"/>
      <w:r w:rsidRPr="007444E2">
        <w:t>a)</w:t>
      </w:r>
      <w:r>
        <w:t xml:space="preserve"> refers to “</w:t>
      </w:r>
      <w:r w:rsidRPr="00306B90">
        <w:t>three consecutive years of creditable service</w:t>
      </w:r>
      <w:r>
        <w:t>” and “</w:t>
      </w:r>
      <w:r w:rsidRPr="00306B90">
        <w:t xml:space="preserve">the period or periods, </w:t>
      </w:r>
      <w:r w:rsidRPr="00306B90">
        <w:rPr>
          <w:i/>
        </w:rPr>
        <w:t>whether consecutive or not</w:t>
      </w:r>
      <w:r w:rsidRPr="00306B90">
        <w:t>, constituting his last three years of creditable service.”</w:t>
      </w:r>
      <w:r>
        <w:t xml:space="preserve"> (Emphasis added.) The phrase “whether consecutive or not” indicates that the earlier phrase “three consecutive years” should be interpreted strictly as “three years that run continuously and without interruption” or “a sequence of 1,095 days that follow each other (1,096 days if Leap Day is relevant).”</w:t>
      </w:r>
      <w:r w:rsidR="0015771A">
        <w:t xml:space="preserve"> (The definitions in quotation marks are mine.)</w:t>
      </w:r>
    </w:p>
    <w:p w:rsidR="004C4C99" w:rsidRPr="00306B90" w:rsidRDefault="004C4C99" w:rsidP="00E66577">
      <w:pPr>
        <w:pStyle w:val="Default"/>
        <w:widowControl w:val="0"/>
        <w:spacing w:line="480" w:lineRule="auto"/>
        <w:ind w:firstLine="720"/>
        <w:rPr>
          <w:color w:val="auto"/>
        </w:rPr>
      </w:pPr>
      <w:r>
        <w:t xml:space="preserve">The second provision is similar to the first, except that it refers to five years, rather than </w:t>
      </w:r>
      <w:r>
        <w:lastRenderedPageBreak/>
        <w:t>three. In it, the phrase “five consecutive years” should also be interpreted strictly.</w:t>
      </w:r>
      <w:r w:rsidR="005600FB">
        <w:t xml:space="preserve"> In contrast, the anti-spiking provision has no similar indication that “2 consecutive years” should be interpreted as strictly.</w:t>
      </w:r>
    </w:p>
    <w:p w:rsidR="004C4C99" w:rsidRDefault="004C4C99" w:rsidP="00466032">
      <w:pPr>
        <w:pStyle w:val="Default"/>
        <w:spacing w:line="480" w:lineRule="auto"/>
        <w:ind w:firstLine="720"/>
      </w:pPr>
      <w:r w:rsidRPr="004C4C99">
        <w:t>The anti-spiking provision begins by referring to “</w:t>
      </w:r>
      <w:r w:rsidR="002102B2">
        <w:t xml:space="preserve">the </w:t>
      </w:r>
      <w:r w:rsidRPr="004C4C99">
        <w:t>5 years of creditable service immediately preceding retirement</w:t>
      </w:r>
      <w:r>
        <w:t>.</w:t>
      </w:r>
      <w:r w:rsidRPr="004C4C99">
        <w:t>”</w:t>
      </w:r>
      <w:r>
        <w:t xml:space="preserve"> It does not use the word “</w:t>
      </w:r>
      <w:r w:rsidR="00287B9C">
        <w:t>consecutive</w:t>
      </w:r>
      <w:r>
        <w:t>”</w:t>
      </w:r>
      <w:r w:rsidR="00287B9C">
        <w:t xml:space="preserve"> or the phrase “whether consecutive or not.”</w:t>
      </w:r>
      <w:r w:rsidR="005600FB">
        <w:t xml:space="preserve"> </w:t>
      </w:r>
      <w:r w:rsidR="002102B2">
        <w:t xml:space="preserve">It does not refer to “the 5 years immediately preceding retirement,” which would imply calendar years. </w:t>
      </w:r>
      <w:r w:rsidR="005600FB">
        <w:t xml:space="preserve">The provision applies to </w:t>
      </w:r>
      <w:r>
        <w:t xml:space="preserve">five years </w:t>
      </w:r>
      <w:r w:rsidR="002102B2">
        <w:t xml:space="preserve">of creditable service </w:t>
      </w:r>
      <w:r w:rsidR="005600FB">
        <w:t>that may</w:t>
      </w:r>
      <w:r>
        <w:t xml:space="preserve"> be interrupted. If a state employee retired in 2011, his or her five years of creditable service could </w:t>
      </w:r>
      <w:r w:rsidR="00287B9C">
        <w:t>comprise</w:t>
      </w:r>
      <w:r w:rsidR="00520266">
        <w:t xml:space="preserve"> 2004, 2006, 2008-0</w:t>
      </w:r>
      <w:r>
        <w:t>9, and 2011.</w:t>
      </w:r>
    </w:p>
    <w:p w:rsidR="00287B9C" w:rsidRDefault="004C4C99" w:rsidP="00466032">
      <w:pPr>
        <w:pStyle w:val="Default"/>
        <w:spacing w:line="480" w:lineRule="auto"/>
        <w:ind w:firstLine="720"/>
      </w:pPr>
      <w:proofErr w:type="gramStart"/>
      <w:r>
        <w:t xml:space="preserve">Now to examine the </w:t>
      </w:r>
      <w:r w:rsidR="00287B9C">
        <w:t xml:space="preserve">key </w:t>
      </w:r>
      <w:r>
        <w:t>phrase</w:t>
      </w:r>
      <w:r w:rsidR="00287B9C">
        <w:t xml:space="preserve"> “</w:t>
      </w:r>
      <w:r w:rsidR="00287B9C" w:rsidRPr="00287B9C">
        <w:t>2 consecutive years</w:t>
      </w:r>
      <w:r w:rsidR="00287B9C">
        <w:t>.”</w:t>
      </w:r>
      <w:proofErr w:type="gramEnd"/>
      <w:r w:rsidR="00287B9C">
        <w:t xml:space="preserve"> It means </w:t>
      </w:r>
      <w:r w:rsidR="000516B8">
        <w:t xml:space="preserve">“two years of creditable service that immediately follow each other without another intervening year of creditable service,” </w:t>
      </w:r>
      <w:r w:rsidR="00287B9C">
        <w:t xml:space="preserve">not “two years that follow each other </w:t>
      </w:r>
      <w:r w:rsidR="00287B9C" w:rsidRPr="002470B7">
        <w:t>without interruption.”</w:t>
      </w:r>
    </w:p>
    <w:p w:rsidR="00354ACA" w:rsidRPr="00354ACA" w:rsidRDefault="00710CF0" w:rsidP="00710CF0">
      <w:pPr>
        <w:widowControl w:val="0"/>
        <w:shd w:val="clear" w:color="auto" w:fill="FFFFFF"/>
        <w:rPr>
          <w:rFonts w:eastAsia="Times New Roman" w:cs="Times New Roman"/>
          <w:color w:val="000000"/>
          <w:szCs w:val="24"/>
        </w:rPr>
      </w:pPr>
      <w:r>
        <w:tab/>
      </w:r>
      <w:r w:rsidR="00287B9C">
        <w:t>If the phrase “consecutive years” is interpreted to mean only years that run without interruption</w:t>
      </w:r>
      <w:r w:rsidR="00435422">
        <w:t xml:space="preserve"> –</w:t>
      </w:r>
      <w:r w:rsidR="00287B9C">
        <w:t xml:space="preserve"> years that “abut”</w:t>
      </w:r>
      <w:r w:rsidR="00435422">
        <w:t xml:space="preserve"> each other –</w:t>
      </w:r>
      <w:r w:rsidR="00287B9C">
        <w:t xml:space="preserve"> then the anti-spiking provision in the case of the hypothetical state employee potenti</w:t>
      </w:r>
      <w:r w:rsidR="003022F6">
        <w:t>ally applies only to 2008-</w:t>
      </w:r>
      <w:r w:rsidR="00287B9C">
        <w:t xml:space="preserve">09. It </w:t>
      </w:r>
      <w:r w:rsidR="00354ACA">
        <w:t xml:space="preserve">does not apply to 2004 and 2006; 2006 and 2008; </w:t>
      </w:r>
      <w:r w:rsidR="00287B9C">
        <w:t>and 2009 and 2011.</w:t>
      </w:r>
      <w:r w:rsidR="005600FB">
        <w:t xml:space="preserve"> </w:t>
      </w:r>
      <w:r w:rsidR="008E2E74">
        <w:t>However, t</w:t>
      </w:r>
      <w:r w:rsidR="005600FB">
        <w:t xml:space="preserve">hat </w:t>
      </w:r>
      <w:r w:rsidR="008E2E74">
        <w:t xml:space="preserve">interpretation </w:t>
      </w:r>
      <w:r w:rsidR="005600FB">
        <w:t>would be an anomaly</w:t>
      </w:r>
      <w:r w:rsidR="00435422">
        <w:t xml:space="preserve"> – </w:t>
      </w:r>
      <w:r w:rsidR="00234E47">
        <w:t>making the provision apply</w:t>
      </w:r>
      <w:r w:rsidR="00435422">
        <w:t xml:space="preserve"> to two years that follow each other </w:t>
      </w:r>
      <w:r w:rsidR="00435422" w:rsidRPr="008E2E74">
        <w:rPr>
          <w:i/>
        </w:rPr>
        <w:t>without</w:t>
      </w:r>
      <w:r w:rsidR="00435422">
        <w:t xml:space="preserve"> interruption, but not two years that follow each other </w:t>
      </w:r>
      <w:r w:rsidR="00435422" w:rsidRPr="008E2E74">
        <w:rPr>
          <w:i/>
        </w:rPr>
        <w:t>with</w:t>
      </w:r>
      <w:r w:rsidR="00435422">
        <w:t xml:space="preserve"> interruption</w:t>
      </w:r>
      <w:r w:rsidR="005600FB">
        <w:t>.</w:t>
      </w:r>
      <w:r w:rsidR="00435422">
        <w:t xml:space="preserve"> And to what end? No indication exists that the Legislature intended the an</w:t>
      </w:r>
      <w:r w:rsidR="00234E47">
        <w:t xml:space="preserve">ti-spiking provision to </w:t>
      </w:r>
      <w:r w:rsidR="002470B7">
        <w:t xml:space="preserve">govern </w:t>
      </w:r>
      <w:r w:rsidR="00234E47">
        <w:t>more than a</w:t>
      </w:r>
      <w:r w:rsidR="00435422">
        <w:t xml:space="preserve"> doubling of compensation in years that follow each other without interruption, but not</w:t>
      </w:r>
      <w:r w:rsidR="003022F6">
        <w:t xml:space="preserve"> </w:t>
      </w:r>
      <w:r w:rsidR="00234E47">
        <w:t xml:space="preserve">more than </w:t>
      </w:r>
      <w:r w:rsidR="003022F6">
        <w:t>a doubling of compensation in</w:t>
      </w:r>
      <w:r w:rsidR="00435422">
        <w:t xml:space="preserve"> two years that follow each other with an interruption of a year, a month, or a day.</w:t>
      </w:r>
      <w:r w:rsidR="00354ACA">
        <w:t xml:space="preserve"> </w:t>
      </w:r>
      <w:r w:rsidR="00354ACA">
        <w:rPr>
          <w:i/>
        </w:rPr>
        <w:t>Se</w:t>
      </w:r>
      <w:r w:rsidR="00354ACA" w:rsidRPr="005B3BFE">
        <w:rPr>
          <w:rFonts w:cs="Times New Roman"/>
          <w:i/>
        </w:rPr>
        <w:t xml:space="preserve">e </w:t>
      </w:r>
      <w:r w:rsidR="005B3BFE">
        <w:rPr>
          <w:rFonts w:eastAsia="Times New Roman" w:cs="Times New Roman"/>
          <w:i/>
          <w:color w:val="000000"/>
          <w:szCs w:val="24"/>
        </w:rPr>
        <w:t>Boston Police Patrolmen's Association, Inc. v. Police Departmen</w:t>
      </w:r>
      <w:r w:rsidR="00354ACA" w:rsidRPr="00354ACA">
        <w:rPr>
          <w:rFonts w:eastAsia="Times New Roman" w:cs="Times New Roman"/>
          <w:i/>
          <w:color w:val="000000"/>
          <w:szCs w:val="24"/>
        </w:rPr>
        <w:t>t of Boston</w:t>
      </w:r>
      <w:r w:rsidR="00354ACA" w:rsidRPr="00354ACA">
        <w:rPr>
          <w:rFonts w:eastAsia="Times New Roman" w:cs="Times New Roman"/>
          <w:color w:val="000000"/>
          <w:szCs w:val="24"/>
        </w:rPr>
        <w:t>, 446 Mass. 46, 50 (2006</w:t>
      </w:r>
      <w:proofErr w:type="gramStart"/>
      <w:r w:rsidR="00354ACA" w:rsidRPr="00354ACA">
        <w:rPr>
          <w:rFonts w:eastAsia="Times New Roman" w:cs="Times New Roman"/>
          <w:color w:val="000000"/>
          <w:szCs w:val="24"/>
        </w:rPr>
        <w:t>)</w:t>
      </w:r>
      <w:r w:rsidR="005B3BFE">
        <w:rPr>
          <w:rFonts w:eastAsia="Times New Roman" w:cs="Times New Roman"/>
          <w:color w:val="000000"/>
          <w:szCs w:val="24"/>
        </w:rPr>
        <w:t>(</w:t>
      </w:r>
      <w:proofErr w:type="gramEnd"/>
      <w:r w:rsidR="005B3BFE">
        <w:rPr>
          <w:rFonts w:eastAsia="Times New Roman" w:cs="Times New Roman"/>
          <w:color w:val="000000"/>
          <w:szCs w:val="24"/>
        </w:rPr>
        <w:t>legislation must be interpreted to harmonize with “common sense”).</w:t>
      </w:r>
    </w:p>
    <w:p w:rsidR="005600FB" w:rsidRPr="005600FB" w:rsidRDefault="005600FB" w:rsidP="00710CF0">
      <w:pPr>
        <w:pStyle w:val="Default"/>
        <w:widowControl w:val="0"/>
        <w:spacing w:line="480" w:lineRule="auto"/>
      </w:pPr>
      <w:r>
        <w:lastRenderedPageBreak/>
        <w:tab/>
        <w:t xml:space="preserve">Furthermore, the phrase “2 consecutive years” occurs in the context of </w:t>
      </w:r>
      <w:r w:rsidRPr="004C4C99">
        <w:t>“5 years of creditable service immediately preceding retirement</w:t>
      </w:r>
      <w:r>
        <w:t xml:space="preserve">” – five years </w:t>
      </w:r>
      <w:r w:rsidR="002102B2">
        <w:t>of creditable</w:t>
      </w:r>
      <w:r w:rsidR="007A316E">
        <w:t xml:space="preserve"> service</w:t>
      </w:r>
      <w:r w:rsidR="002102B2">
        <w:t xml:space="preserve"> </w:t>
      </w:r>
      <w:r>
        <w:t xml:space="preserve">that may be interrupted, five years </w:t>
      </w:r>
      <w:r w:rsidR="002102B2">
        <w:t xml:space="preserve">of creditable service </w:t>
      </w:r>
      <w:r>
        <w:t xml:space="preserve">that do not have to run continuously. And in that context, “2 consecutive years” means “2 consecutive years </w:t>
      </w:r>
      <w:r>
        <w:rPr>
          <w:i/>
        </w:rPr>
        <w:t>of creditable service</w:t>
      </w:r>
      <w:r>
        <w:t xml:space="preserve">,” not “2 consecutive </w:t>
      </w:r>
      <w:r>
        <w:rPr>
          <w:i/>
        </w:rPr>
        <w:t>calendar</w:t>
      </w:r>
      <w:r w:rsidR="00E668DD">
        <w:t xml:space="preserve"> years</w:t>
      </w:r>
      <w:r w:rsidR="002102B2">
        <w:t>”</w:t>
      </w:r>
      <w:r w:rsidR="00E668DD">
        <w:t xml:space="preserve"> or “</w:t>
      </w:r>
      <w:r w:rsidR="00E27A75">
        <w:t>730</w:t>
      </w:r>
      <w:r w:rsidR="00E668DD">
        <w:t xml:space="preserve"> or </w:t>
      </w:r>
      <w:r w:rsidR="00E27A75">
        <w:t xml:space="preserve">731 </w:t>
      </w:r>
      <w:r w:rsidR="00E668DD">
        <w:t>days in a row.”</w:t>
      </w:r>
      <w:r w:rsidR="002102B2">
        <w:t xml:space="preserve"> </w:t>
      </w:r>
      <w:r w:rsidR="002102B2">
        <w:rPr>
          <w:i/>
          <w:color w:val="auto"/>
        </w:rPr>
        <w:t xml:space="preserve">See </w:t>
      </w:r>
      <w:r w:rsidR="002102B2" w:rsidRPr="00EE4A61">
        <w:rPr>
          <w:rFonts w:eastAsia="Times New Roman"/>
          <w:bCs/>
          <w:i/>
          <w:color w:val="222222"/>
        </w:rPr>
        <w:t>Mile Road Corp. v. City Of Boston</w:t>
      </w:r>
      <w:r w:rsidR="002102B2">
        <w:rPr>
          <w:rFonts w:eastAsia="Times New Roman"/>
          <w:bCs/>
          <w:color w:val="222222"/>
        </w:rPr>
        <w:t xml:space="preserve">, </w:t>
      </w:r>
      <w:r w:rsidR="002102B2" w:rsidRPr="00EE4A61">
        <w:rPr>
          <w:rFonts w:eastAsia="Times New Roman"/>
          <w:bCs/>
          <w:color w:val="222222"/>
        </w:rPr>
        <w:t>345 Mass. 379</w:t>
      </w:r>
      <w:r w:rsidR="002102B2">
        <w:rPr>
          <w:rFonts w:eastAsia="Times New Roman"/>
          <w:bCs/>
          <w:color w:val="222222"/>
        </w:rPr>
        <w:t>, 382-83</w:t>
      </w:r>
      <w:r w:rsidR="002102B2" w:rsidRPr="00EE4A61">
        <w:rPr>
          <w:rFonts w:eastAsia="Times New Roman"/>
          <w:bCs/>
          <w:color w:val="222222"/>
        </w:rPr>
        <w:t xml:space="preserve"> (1963</w:t>
      </w:r>
      <w:proofErr w:type="gramStart"/>
      <w:r w:rsidR="002102B2" w:rsidRPr="00EE4A61">
        <w:rPr>
          <w:rFonts w:eastAsia="Times New Roman"/>
          <w:bCs/>
          <w:color w:val="222222"/>
        </w:rPr>
        <w:t>)</w:t>
      </w:r>
      <w:r w:rsidR="002102B2">
        <w:rPr>
          <w:rFonts w:eastAsia="Times New Roman"/>
          <w:bCs/>
          <w:color w:val="222222"/>
        </w:rPr>
        <w:t>(</w:t>
      </w:r>
      <w:proofErr w:type="gramEnd"/>
      <w:r w:rsidR="002102B2">
        <w:rPr>
          <w:rFonts w:eastAsia="Times New Roman"/>
          <w:bCs/>
          <w:color w:val="222222"/>
        </w:rPr>
        <w:t>“</w:t>
      </w:r>
      <w:r w:rsidR="002102B2">
        <w:rPr>
          <w:color w:val="222222"/>
          <w:sz w:val="23"/>
          <w:szCs w:val="23"/>
        </w:rPr>
        <w:t>A general term in a statute or ordinance takes meaning from the setting in which it is employed”)(citation and internal quotation marks deleted).</w:t>
      </w:r>
    </w:p>
    <w:p w:rsidR="00E66577" w:rsidRDefault="00E66577" w:rsidP="0061399D">
      <w:pPr>
        <w:pStyle w:val="Default"/>
        <w:spacing w:line="480" w:lineRule="auto"/>
        <w:ind w:firstLine="720"/>
        <w:rPr>
          <w:color w:val="auto"/>
        </w:rPr>
      </w:pPr>
      <w:r>
        <w:rPr>
          <w:color w:val="auto"/>
        </w:rPr>
        <w:t xml:space="preserve">Another indication exists that “2 consecutive years” does not mean </w:t>
      </w:r>
      <w:r w:rsidR="00CF3348">
        <w:rPr>
          <w:color w:val="auto"/>
        </w:rPr>
        <w:t>“two years running continuously</w:t>
      </w:r>
      <w:r>
        <w:rPr>
          <w:color w:val="auto"/>
        </w:rPr>
        <w:t>”</w:t>
      </w:r>
      <w:r w:rsidR="00CF3348">
        <w:rPr>
          <w:color w:val="auto"/>
        </w:rPr>
        <w:t xml:space="preserve"> or </w:t>
      </w:r>
      <w:r w:rsidR="00E27A75">
        <w:t xml:space="preserve">“730 or 731 days </w:t>
      </w:r>
      <w:proofErr w:type="spellStart"/>
      <w:r w:rsidR="00CF3348">
        <w:t>days</w:t>
      </w:r>
      <w:proofErr w:type="spellEnd"/>
      <w:r w:rsidR="00CF3348">
        <w:t xml:space="preserve"> in a row.”</w:t>
      </w:r>
      <w:r>
        <w:rPr>
          <w:color w:val="auto"/>
        </w:rPr>
        <w:t xml:space="preserve"> </w:t>
      </w:r>
      <w:r w:rsidR="008E2E74">
        <w:rPr>
          <w:color w:val="auto"/>
        </w:rPr>
        <w:t xml:space="preserve">The indication takes some explanation. </w:t>
      </w:r>
      <w:r>
        <w:rPr>
          <w:color w:val="auto"/>
        </w:rPr>
        <w:t xml:space="preserve">It has to do with the phrase that ends the anti-spiking </w:t>
      </w:r>
      <w:r w:rsidRPr="00E66577">
        <w:rPr>
          <w:color w:val="auto"/>
        </w:rPr>
        <w:t>provision: “</w:t>
      </w:r>
      <w:r w:rsidRPr="00E66577">
        <w:t>5 consecutive years preceding retirement.”</w:t>
      </w:r>
      <w:r>
        <w:t xml:space="preserve"> </w:t>
      </w:r>
    </w:p>
    <w:p w:rsidR="00E66577" w:rsidRDefault="00F553E9" w:rsidP="0061399D">
      <w:pPr>
        <w:pStyle w:val="Default"/>
        <w:spacing w:line="480" w:lineRule="auto"/>
        <w:ind w:firstLine="720"/>
        <w:rPr>
          <w:color w:val="auto"/>
        </w:rPr>
      </w:pPr>
      <w:r>
        <w:rPr>
          <w:color w:val="auto"/>
        </w:rPr>
        <w:t xml:space="preserve">Imagine an employee who retires at the end of 2011 with </w:t>
      </w:r>
      <w:r w:rsidR="002F7919">
        <w:rPr>
          <w:color w:val="auto"/>
        </w:rPr>
        <w:t xml:space="preserve">this excerpt from his or her </w:t>
      </w:r>
      <w:r>
        <w:rPr>
          <w:color w:val="auto"/>
        </w:rPr>
        <w:t>work and salary history:</w:t>
      </w:r>
    </w:p>
    <w:tbl>
      <w:tblPr>
        <w:tblStyle w:val="TableGrid"/>
        <w:tblW w:w="0" w:type="auto"/>
        <w:tblLook w:val="04A0" w:firstRow="1" w:lastRow="0" w:firstColumn="1" w:lastColumn="0" w:noHBand="0" w:noVBand="1"/>
      </w:tblPr>
      <w:tblGrid>
        <w:gridCol w:w="4788"/>
        <w:gridCol w:w="4788"/>
      </w:tblGrid>
      <w:tr w:rsidR="002F7919" w:rsidTr="00F553E9">
        <w:tc>
          <w:tcPr>
            <w:tcW w:w="4788" w:type="dxa"/>
          </w:tcPr>
          <w:p w:rsidR="002F7919" w:rsidRDefault="002F7919" w:rsidP="00F553E9">
            <w:pPr>
              <w:pStyle w:val="Default"/>
              <w:rPr>
                <w:color w:val="auto"/>
              </w:rPr>
            </w:pPr>
            <w:r>
              <w:rPr>
                <w:color w:val="auto"/>
              </w:rPr>
              <w:t>2005</w:t>
            </w:r>
          </w:p>
        </w:tc>
        <w:tc>
          <w:tcPr>
            <w:tcW w:w="4788" w:type="dxa"/>
          </w:tcPr>
          <w:p w:rsidR="002F7919" w:rsidRDefault="002F7919" w:rsidP="002F7919">
            <w:pPr>
              <w:pStyle w:val="Default"/>
              <w:rPr>
                <w:color w:val="auto"/>
              </w:rPr>
            </w:pPr>
            <w:r>
              <w:rPr>
                <w:color w:val="auto"/>
              </w:rPr>
              <w:t>$40,000</w:t>
            </w:r>
          </w:p>
        </w:tc>
      </w:tr>
      <w:tr w:rsidR="00F553E9" w:rsidTr="00F553E9">
        <w:tc>
          <w:tcPr>
            <w:tcW w:w="4788" w:type="dxa"/>
          </w:tcPr>
          <w:p w:rsidR="00F553E9" w:rsidRDefault="00F553E9" w:rsidP="00F553E9">
            <w:pPr>
              <w:pStyle w:val="Default"/>
              <w:rPr>
                <w:color w:val="auto"/>
              </w:rPr>
            </w:pPr>
            <w:r>
              <w:rPr>
                <w:color w:val="auto"/>
              </w:rPr>
              <w:t>2006</w:t>
            </w:r>
          </w:p>
        </w:tc>
        <w:tc>
          <w:tcPr>
            <w:tcW w:w="4788" w:type="dxa"/>
          </w:tcPr>
          <w:p w:rsidR="00F553E9" w:rsidRDefault="00F553E9" w:rsidP="002F7919">
            <w:pPr>
              <w:pStyle w:val="Default"/>
              <w:rPr>
                <w:color w:val="auto"/>
              </w:rPr>
            </w:pPr>
            <w:r>
              <w:rPr>
                <w:color w:val="auto"/>
              </w:rPr>
              <w:t>$4</w:t>
            </w:r>
            <w:r w:rsidR="002F7919">
              <w:rPr>
                <w:color w:val="auto"/>
              </w:rPr>
              <w:t>0</w:t>
            </w:r>
            <w:r>
              <w:rPr>
                <w:color w:val="auto"/>
              </w:rPr>
              <w:t>,000</w:t>
            </w:r>
          </w:p>
        </w:tc>
      </w:tr>
      <w:tr w:rsidR="00F553E9" w:rsidTr="00F553E9">
        <w:tc>
          <w:tcPr>
            <w:tcW w:w="4788" w:type="dxa"/>
          </w:tcPr>
          <w:p w:rsidR="00F553E9" w:rsidRDefault="00F553E9" w:rsidP="00F553E9">
            <w:pPr>
              <w:pStyle w:val="Default"/>
              <w:rPr>
                <w:color w:val="auto"/>
              </w:rPr>
            </w:pPr>
            <w:r>
              <w:rPr>
                <w:color w:val="auto"/>
              </w:rPr>
              <w:t>2007</w:t>
            </w:r>
          </w:p>
        </w:tc>
        <w:tc>
          <w:tcPr>
            <w:tcW w:w="4788" w:type="dxa"/>
          </w:tcPr>
          <w:p w:rsidR="00F553E9" w:rsidRDefault="00F553E9" w:rsidP="00F553E9">
            <w:pPr>
              <w:pStyle w:val="Default"/>
              <w:rPr>
                <w:color w:val="auto"/>
              </w:rPr>
            </w:pPr>
            <w:r>
              <w:rPr>
                <w:color w:val="auto"/>
              </w:rPr>
              <w:t>Not working, $0</w:t>
            </w:r>
          </w:p>
        </w:tc>
      </w:tr>
      <w:tr w:rsidR="00F553E9" w:rsidTr="00F553E9">
        <w:tc>
          <w:tcPr>
            <w:tcW w:w="4788" w:type="dxa"/>
          </w:tcPr>
          <w:p w:rsidR="00F553E9" w:rsidRDefault="00F553E9" w:rsidP="00F553E9">
            <w:pPr>
              <w:pStyle w:val="Default"/>
              <w:rPr>
                <w:color w:val="auto"/>
              </w:rPr>
            </w:pPr>
            <w:r>
              <w:rPr>
                <w:color w:val="auto"/>
              </w:rPr>
              <w:t>2008</w:t>
            </w:r>
          </w:p>
        </w:tc>
        <w:tc>
          <w:tcPr>
            <w:tcW w:w="4788" w:type="dxa"/>
          </w:tcPr>
          <w:p w:rsidR="00F553E9" w:rsidRDefault="00F553E9" w:rsidP="00F553E9">
            <w:pPr>
              <w:pStyle w:val="Default"/>
              <w:rPr>
                <w:color w:val="auto"/>
              </w:rPr>
            </w:pPr>
            <w:r>
              <w:rPr>
                <w:color w:val="auto"/>
              </w:rPr>
              <w:t>Not working, $0</w:t>
            </w:r>
          </w:p>
        </w:tc>
      </w:tr>
      <w:tr w:rsidR="00F553E9" w:rsidTr="00F553E9">
        <w:tc>
          <w:tcPr>
            <w:tcW w:w="4788" w:type="dxa"/>
          </w:tcPr>
          <w:p w:rsidR="00F553E9" w:rsidRDefault="00F553E9" w:rsidP="00F553E9">
            <w:pPr>
              <w:pStyle w:val="Default"/>
              <w:rPr>
                <w:color w:val="auto"/>
              </w:rPr>
            </w:pPr>
            <w:r>
              <w:rPr>
                <w:color w:val="auto"/>
              </w:rPr>
              <w:t>2009</w:t>
            </w:r>
          </w:p>
        </w:tc>
        <w:tc>
          <w:tcPr>
            <w:tcW w:w="4788" w:type="dxa"/>
          </w:tcPr>
          <w:p w:rsidR="00F553E9" w:rsidRDefault="00F553E9" w:rsidP="00F553E9">
            <w:pPr>
              <w:pStyle w:val="Default"/>
              <w:rPr>
                <w:color w:val="auto"/>
              </w:rPr>
            </w:pPr>
            <w:r>
              <w:rPr>
                <w:color w:val="auto"/>
              </w:rPr>
              <w:t>$45,00</w:t>
            </w:r>
          </w:p>
        </w:tc>
      </w:tr>
      <w:tr w:rsidR="00F553E9" w:rsidTr="00F553E9">
        <w:tc>
          <w:tcPr>
            <w:tcW w:w="4788" w:type="dxa"/>
          </w:tcPr>
          <w:p w:rsidR="00F553E9" w:rsidRDefault="00F553E9" w:rsidP="00F553E9">
            <w:pPr>
              <w:pStyle w:val="Default"/>
              <w:rPr>
                <w:color w:val="auto"/>
              </w:rPr>
            </w:pPr>
            <w:r>
              <w:rPr>
                <w:color w:val="auto"/>
              </w:rPr>
              <w:t>2010</w:t>
            </w:r>
          </w:p>
        </w:tc>
        <w:tc>
          <w:tcPr>
            <w:tcW w:w="4788" w:type="dxa"/>
          </w:tcPr>
          <w:p w:rsidR="00F553E9" w:rsidRDefault="00F553E9" w:rsidP="00F553E9">
            <w:pPr>
              <w:pStyle w:val="Default"/>
              <w:rPr>
                <w:color w:val="auto"/>
              </w:rPr>
            </w:pPr>
            <w:r>
              <w:rPr>
                <w:color w:val="auto"/>
              </w:rPr>
              <w:t>$100,000</w:t>
            </w:r>
          </w:p>
        </w:tc>
      </w:tr>
      <w:tr w:rsidR="00F553E9" w:rsidTr="00F553E9">
        <w:tc>
          <w:tcPr>
            <w:tcW w:w="4788" w:type="dxa"/>
          </w:tcPr>
          <w:p w:rsidR="00F553E9" w:rsidRDefault="00F553E9" w:rsidP="00F553E9">
            <w:pPr>
              <w:pStyle w:val="Default"/>
              <w:rPr>
                <w:color w:val="auto"/>
              </w:rPr>
            </w:pPr>
            <w:r>
              <w:rPr>
                <w:color w:val="auto"/>
              </w:rPr>
              <w:t>2011</w:t>
            </w:r>
          </w:p>
        </w:tc>
        <w:tc>
          <w:tcPr>
            <w:tcW w:w="4788" w:type="dxa"/>
          </w:tcPr>
          <w:p w:rsidR="00F553E9" w:rsidRDefault="00F553E9" w:rsidP="00F553E9">
            <w:pPr>
              <w:pStyle w:val="Default"/>
              <w:rPr>
                <w:color w:val="auto"/>
              </w:rPr>
            </w:pPr>
            <w:r>
              <w:rPr>
                <w:color w:val="auto"/>
              </w:rPr>
              <w:t>$100,000</w:t>
            </w:r>
          </w:p>
        </w:tc>
      </w:tr>
    </w:tbl>
    <w:p w:rsidR="00F553E9" w:rsidRDefault="00F553E9" w:rsidP="00F553E9">
      <w:pPr>
        <w:pStyle w:val="Default"/>
        <w:spacing w:line="480" w:lineRule="auto"/>
        <w:ind w:firstLine="720"/>
        <w:rPr>
          <w:color w:val="auto"/>
        </w:rPr>
      </w:pPr>
    </w:p>
    <w:p w:rsidR="00F553E9" w:rsidRDefault="00F553E9" w:rsidP="00FD3D34">
      <w:pPr>
        <w:pStyle w:val="Default"/>
        <w:widowControl w:val="0"/>
        <w:spacing w:line="480" w:lineRule="auto"/>
        <w:ind w:firstLine="720"/>
        <w:rPr>
          <w:color w:val="auto"/>
        </w:rPr>
      </w:pPr>
      <w:r>
        <w:rPr>
          <w:color w:val="auto"/>
        </w:rPr>
        <w:t xml:space="preserve">In the last five years of creditable service before retiring – 2005-06 and 2009-11 – the employee’s salary more than doubled in two consecutive years – between 2009 and 2010. Therefore, the anti-spiking provision clearly applies. </w:t>
      </w:r>
    </w:p>
    <w:p w:rsidR="00597EE5" w:rsidRDefault="00F553E9" w:rsidP="00FD3D34">
      <w:pPr>
        <w:pStyle w:val="Default"/>
        <w:widowControl w:val="0"/>
        <w:spacing w:line="480" w:lineRule="auto"/>
        <w:ind w:firstLine="720"/>
      </w:pPr>
      <w:r>
        <w:rPr>
          <w:color w:val="auto"/>
        </w:rPr>
        <w:t xml:space="preserve">What’s the consequence? The retiree’s pension must be based on </w:t>
      </w:r>
      <w:r w:rsidRPr="00F553E9">
        <w:t xml:space="preserve">compensation </w:t>
      </w:r>
      <w:r>
        <w:t>“</w:t>
      </w:r>
      <w:r w:rsidR="00B51A77">
        <w:t>during the…</w:t>
      </w:r>
      <w:r w:rsidRPr="00F553E9">
        <w:t>5 consecutive years preceding retirement</w:t>
      </w:r>
      <w:r>
        <w:t>.</w:t>
      </w:r>
      <w:r w:rsidR="00B51A77">
        <w:t xml:space="preserve">” The retiree in this example </w:t>
      </w:r>
      <w:r w:rsidR="00FD3D34">
        <w:t xml:space="preserve">(as with Ms. Hartnett) </w:t>
      </w:r>
      <w:r w:rsidR="00B51A77">
        <w:t xml:space="preserve">does not have five consecutive </w:t>
      </w:r>
      <w:r w:rsidR="00B51A77">
        <w:rPr>
          <w:i/>
        </w:rPr>
        <w:t>uninterrupted</w:t>
      </w:r>
      <w:r w:rsidR="00B51A77">
        <w:t xml:space="preserve"> years</w:t>
      </w:r>
      <w:r w:rsidR="002F7919">
        <w:t xml:space="preserve"> right before retirement</w:t>
      </w:r>
      <w:r w:rsidR="00B51A77">
        <w:t xml:space="preserve">. Does that </w:t>
      </w:r>
      <w:r w:rsidR="00B51A77">
        <w:lastRenderedPageBreak/>
        <w:t>mean that the anti-spiking provision does not apply</w:t>
      </w:r>
      <w:r w:rsidR="00FD3D34">
        <w:t xml:space="preserve"> (as she argues)</w:t>
      </w:r>
      <w:r w:rsidR="00B51A77">
        <w:t>?</w:t>
      </w:r>
      <w:r w:rsidR="00FD3D34">
        <w:t xml:space="preserve"> </w:t>
      </w:r>
      <w:r w:rsidR="00B51A77">
        <w:t xml:space="preserve">No. </w:t>
      </w:r>
    </w:p>
    <w:p w:rsidR="00B51A77" w:rsidRDefault="00B51A77" w:rsidP="00597EE5">
      <w:pPr>
        <w:pStyle w:val="Default"/>
        <w:spacing w:line="480" w:lineRule="auto"/>
        <w:ind w:firstLine="720"/>
      </w:pPr>
      <w:r>
        <w:t>The anti-spiking provision has two conditions and a consequence. The two conditions are</w:t>
      </w:r>
      <w:r w:rsidR="00597EE5">
        <w:t xml:space="preserve">: </w:t>
      </w:r>
      <w:r w:rsidR="00597EE5">
        <w:rPr>
          <w:i/>
        </w:rPr>
        <w:t xml:space="preserve">if </w:t>
      </w:r>
      <w:r w:rsidR="00597EE5">
        <w:rPr>
          <w:color w:val="auto"/>
        </w:rPr>
        <w:t xml:space="preserve">in the last five years of creditable service before retiring, and </w:t>
      </w:r>
      <w:r w:rsidR="00597EE5">
        <w:rPr>
          <w:i/>
          <w:color w:val="auto"/>
        </w:rPr>
        <w:t xml:space="preserve">if </w:t>
      </w:r>
      <w:r w:rsidR="00597EE5">
        <w:rPr>
          <w:color w:val="auto"/>
        </w:rPr>
        <w:t xml:space="preserve">the employee’s salary more than doubled in two consecutive years. The consequence: A retiree’s pension will be based on </w:t>
      </w:r>
      <w:r w:rsidR="00597EE5" w:rsidRPr="00F553E9">
        <w:t xml:space="preserve">compensation </w:t>
      </w:r>
      <w:r w:rsidR="00597EE5">
        <w:t>during the five</w:t>
      </w:r>
      <w:r w:rsidR="00597EE5" w:rsidRPr="00F553E9">
        <w:t xml:space="preserve"> consecutive years </w:t>
      </w:r>
      <w:r w:rsidR="00597EE5">
        <w:t xml:space="preserve">before </w:t>
      </w:r>
      <w:r w:rsidR="00597EE5" w:rsidRPr="00F553E9">
        <w:t>retirement</w:t>
      </w:r>
      <w:r w:rsidR="00597EE5">
        <w:t>.</w:t>
      </w:r>
    </w:p>
    <w:p w:rsidR="002F13E6" w:rsidRPr="00435422" w:rsidRDefault="00597EE5" w:rsidP="00597EE5">
      <w:pPr>
        <w:pStyle w:val="Default"/>
        <w:spacing w:line="480" w:lineRule="auto"/>
        <w:ind w:firstLine="720"/>
        <w:rPr>
          <w:strike/>
        </w:rPr>
      </w:pPr>
      <w:r>
        <w:t xml:space="preserve">The anti-spiking provision does </w:t>
      </w:r>
      <w:r w:rsidRPr="002F13E6">
        <w:rPr>
          <w:i/>
        </w:rPr>
        <w:t>not</w:t>
      </w:r>
      <w:r>
        <w:t xml:space="preserve"> have </w:t>
      </w:r>
      <w:r>
        <w:rPr>
          <w:i/>
        </w:rPr>
        <w:t>three conditions</w:t>
      </w:r>
      <w:r>
        <w:t xml:space="preserve">: </w:t>
      </w:r>
      <w:r>
        <w:rPr>
          <w:i/>
        </w:rPr>
        <w:t xml:space="preserve">if </w:t>
      </w:r>
      <w:r>
        <w:rPr>
          <w:color w:val="auto"/>
        </w:rPr>
        <w:t xml:space="preserve">in the last five years of creditable service before retiring; </w:t>
      </w:r>
      <w:r>
        <w:rPr>
          <w:i/>
          <w:color w:val="auto"/>
        </w:rPr>
        <w:t xml:space="preserve">if </w:t>
      </w:r>
      <w:r>
        <w:rPr>
          <w:color w:val="auto"/>
        </w:rPr>
        <w:t xml:space="preserve">the employee’s salary more than doubled in two consecutive years; and </w:t>
      </w:r>
      <w:r>
        <w:rPr>
          <w:i/>
          <w:color w:val="auto"/>
        </w:rPr>
        <w:t>if</w:t>
      </w:r>
      <w:r>
        <w:rPr>
          <w:color w:val="auto"/>
        </w:rPr>
        <w:t xml:space="preserve"> the employee </w:t>
      </w:r>
      <w:r>
        <w:rPr>
          <w:i/>
          <w:color w:val="auto"/>
        </w:rPr>
        <w:t>also</w:t>
      </w:r>
      <w:r>
        <w:rPr>
          <w:color w:val="auto"/>
        </w:rPr>
        <w:t xml:space="preserve"> had five uninterrupted years of creditable service</w:t>
      </w:r>
      <w:r w:rsidR="00B573FA">
        <w:rPr>
          <w:color w:val="auto"/>
        </w:rPr>
        <w:t xml:space="preserve"> right before retiring</w:t>
      </w:r>
      <w:r>
        <w:rPr>
          <w:color w:val="auto"/>
        </w:rPr>
        <w:t>.</w:t>
      </w:r>
    </w:p>
    <w:p w:rsidR="00B51A77" w:rsidRDefault="002F13E6" w:rsidP="007B1629">
      <w:pPr>
        <w:pStyle w:val="Default"/>
        <w:spacing w:line="480" w:lineRule="auto"/>
      </w:pPr>
      <w:r>
        <w:tab/>
      </w:r>
      <w:r w:rsidR="007B1629">
        <w:t xml:space="preserve">To </w:t>
      </w:r>
      <w:r w:rsidR="00435422">
        <w:t>inte</w:t>
      </w:r>
      <w:r w:rsidR="007B1629">
        <w:t>rpret</w:t>
      </w:r>
      <w:r w:rsidR="00435422">
        <w:t xml:space="preserve"> the anti-spiking provision </w:t>
      </w:r>
      <w:r w:rsidR="007B1629">
        <w:t xml:space="preserve">as </w:t>
      </w:r>
      <w:r w:rsidR="00435422">
        <w:t>govern</w:t>
      </w:r>
      <w:r w:rsidR="007B1629">
        <w:t>ing</w:t>
      </w:r>
      <w:r w:rsidR="00435422">
        <w:t xml:space="preserve"> only retirees who worked for five uninterrupted </w:t>
      </w:r>
      <w:proofErr w:type="gramStart"/>
      <w:r w:rsidR="00435422">
        <w:t>years</w:t>
      </w:r>
      <w:proofErr w:type="gramEnd"/>
      <w:r w:rsidR="00435422">
        <w:t xml:space="preserve"> </w:t>
      </w:r>
      <w:r w:rsidR="00B573FA">
        <w:t xml:space="preserve">right </w:t>
      </w:r>
      <w:r w:rsidR="00435422">
        <w:t>before they retired</w:t>
      </w:r>
      <w:r w:rsidR="007B1629">
        <w:t xml:space="preserve"> </w:t>
      </w:r>
      <w:r w:rsidR="00435422">
        <w:t xml:space="preserve">would transform a consequence into a condition </w:t>
      </w:r>
      <w:r w:rsidR="00435422">
        <w:rPr>
          <w:i/>
        </w:rPr>
        <w:t>and</w:t>
      </w:r>
      <w:r>
        <w:t xml:space="preserve"> would defeat the purpose of the anti-spiking provision. Employees who returned to government service for one, two, three, or four years before retiring, or who returned for four years and eleven months, would not be governed by the anti-spiking provision.</w:t>
      </w:r>
      <w:r w:rsidR="00435422">
        <w:t xml:space="preserve"> </w:t>
      </w:r>
      <w:r w:rsidR="0031467C">
        <w:t>If such an interpretation prevailed, t</w:t>
      </w:r>
      <w:r w:rsidR="00435422">
        <w:t xml:space="preserve">o escape the anti-spiking provision, employees who returned to government service </w:t>
      </w:r>
      <w:r w:rsidR="008E2E74">
        <w:t>w</w:t>
      </w:r>
      <w:r w:rsidR="00435422">
        <w:t>ould be sure to leave again or retire before five years had ended.</w:t>
      </w:r>
    </w:p>
    <w:p w:rsidR="002F13E6" w:rsidRDefault="00435422" w:rsidP="008E2E74">
      <w:pPr>
        <w:pStyle w:val="Default"/>
        <w:widowControl w:val="0"/>
        <w:spacing w:line="480" w:lineRule="auto"/>
      </w:pPr>
      <w:r>
        <w:tab/>
        <w:t>For all those reasons,</w:t>
      </w:r>
      <w:r w:rsidR="006115CF">
        <w:t xml:space="preserve"> </w:t>
      </w:r>
      <w:r w:rsidR="0031467C">
        <w:t>and to make sure that the consequence in the anti-spiking provision has actual force, that is,</w:t>
      </w:r>
      <w:r w:rsidR="007B1629">
        <w:t xml:space="preserve"> it </w:t>
      </w:r>
      <w:r w:rsidR="0031467C">
        <w:t xml:space="preserve">is a real consequence, </w:t>
      </w:r>
      <w:r w:rsidRPr="00435422">
        <w:t>“5 consecutive years preceding retirement”</w:t>
      </w:r>
      <w:r w:rsidR="007B1629">
        <w:t xml:space="preserve"> must</w:t>
      </w:r>
      <w:r>
        <w:t xml:space="preserve"> mean the last five years before retirement, whether continuous or interrupted. </w:t>
      </w:r>
      <w:r w:rsidR="009D6B0A">
        <w:rPr>
          <w:i/>
        </w:rPr>
        <w:t>Se</w:t>
      </w:r>
      <w:r w:rsidR="009D6B0A" w:rsidRPr="005B3BFE">
        <w:rPr>
          <w:i/>
        </w:rPr>
        <w:t xml:space="preserve">e </w:t>
      </w:r>
      <w:r w:rsidR="009D6B0A">
        <w:rPr>
          <w:rFonts w:eastAsia="Times New Roman"/>
          <w:i/>
        </w:rPr>
        <w:t xml:space="preserve">Boston Police Patrolmen's Association, Inc., </w:t>
      </w:r>
      <w:r w:rsidR="009D6B0A" w:rsidRPr="00354ACA">
        <w:rPr>
          <w:rFonts w:eastAsia="Times New Roman"/>
        </w:rPr>
        <w:t xml:space="preserve">446 Mass. </w:t>
      </w:r>
      <w:r w:rsidR="009D6B0A">
        <w:rPr>
          <w:rFonts w:eastAsia="Times New Roman"/>
        </w:rPr>
        <w:t xml:space="preserve">at </w:t>
      </w:r>
      <w:r w:rsidR="009D6B0A" w:rsidRPr="00354ACA">
        <w:rPr>
          <w:rFonts w:eastAsia="Times New Roman"/>
        </w:rPr>
        <w:t xml:space="preserve">50 </w:t>
      </w:r>
      <w:r w:rsidR="009D6B0A">
        <w:rPr>
          <w:rFonts w:eastAsia="Times New Roman"/>
        </w:rPr>
        <w:t>(legislation must be interpreted to harmonize with “common sense”).</w:t>
      </w:r>
      <w:r w:rsidR="002F7919">
        <w:rPr>
          <w:rFonts w:eastAsia="Times New Roman"/>
        </w:rPr>
        <w:t xml:space="preserve"> </w:t>
      </w:r>
      <w:r>
        <w:t xml:space="preserve">And because “consecutive” in the phrase </w:t>
      </w:r>
      <w:r w:rsidRPr="00435422">
        <w:t>“5 consecutive years preceding retirement”</w:t>
      </w:r>
      <w:r>
        <w:t xml:space="preserve"> can and does include five years that are interrupted and not continuous, then the </w:t>
      </w:r>
      <w:r w:rsidR="0031467C">
        <w:t xml:space="preserve">earlier </w:t>
      </w:r>
      <w:r>
        <w:t xml:space="preserve">phrase “2 consecutive years” can and does mean years that </w:t>
      </w:r>
      <w:r w:rsidR="008E2E74">
        <w:t xml:space="preserve">are interrupted and not </w:t>
      </w:r>
      <w:r w:rsidR="008E2E74">
        <w:lastRenderedPageBreak/>
        <w:t>continuous, years that</w:t>
      </w:r>
      <w:r w:rsidR="00495FE9">
        <w:t xml:space="preserve"> follow each other but</w:t>
      </w:r>
      <w:r w:rsidR="008E2E74">
        <w:t xml:space="preserve"> </w:t>
      </w:r>
      <w:r>
        <w:t>do not “abut” each other.</w:t>
      </w:r>
    </w:p>
    <w:p w:rsidR="0031467C" w:rsidRPr="00C606B1" w:rsidRDefault="00435422" w:rsidP="0031467C">
      <w:pPr>
        <w:widowControl w:val="0"/>
        <w:shd w:val="clear" w:color="auto" w:fill="FFFFFF"/>
        <w:textAlignment w:val="top"/>
        <w:outlineLvl w:val="3"/>
        <w:rPr>
          <w:szCs w:val="24"/>
        </w:rPr>
      </w:pPr>
      <w:r>
        <w:tab/>
        <w:t xml:space="preserve">(I realize that under my reading of the statute, the phrase at the beginning of the anti-spiking provision, </w:t>
      </w:r>
      <w:r w:rsidRPr="00435422">
        <w:t>“</w:t>
      </w:r>
      <w:r w:rsidRPr="00435422">
        <w:rPr>
          <w:rFonts w:cs="Times New Roman"/>
          <w:szCs w:val="24"/>
        </w:rPr>
        <w:t>5 years of creditable service immediately preceding retirement</w:t>
      </w:r>
      <w:r>
        <w:t>,</w:t>
      </w:r>
      <w:r w:rsidRPr="00435422">
        <w:t>” means the same thing as the phrase at end of the provision: “</w:t>
      </w:r>
      <w:r w:rsidRPr="00435422">
        <w:rPr>
          <w:rFonts w:cs="Times New Roman"/>
          <w:szCs w:val="24"/>
        </w:rPr>
        <w:t>5 consecutive years preceding retirement</w:t>
      </w:r>
      <w:r w:rsidRPr="00435422">
        <w:t>.”</w:t>
      </w:r>
      <w:r w:rsidR="0031467C">
        <w:t xml:space="preserve"> They </w:t>
      </w:r>
      <w:r w:rsidR="00443F05">
        <w:t xml:space="preserve">both mean the last five years of credible service before retirement, whether continuous or interrupted. </w:t>
      </w:r>
      <w:r w:rsidR="00EC0E21">
        <w:t xml:space="preserve">They </w:t>
      </w:r>
      <w:r w:rsidR="0031467C">
        <w:t xml:space="preserve">mean the same thing even though they use different words. However, </w:t>
      </w:r>
      <w:r w:rsidR="0031467C" w:rsidRPr="007444E2">
        <w:rPr>
          <w:szCs w:val="24"/>
        </w:rPr>
        <w:t xml:space="preserve">different terms do not always signal different meaning. </w:t>
      </w:r>
    </w:p>
    <w:p w:rsidR="0031467C" w:rsidRPr="007444E2" w:rsidRDefault="0031467C" w:rsidP="0031467C">
      <w:pPr>
        <w:shd w:val="clear" w:color="auto" w:fill="FFFFFF"/>
        <w:ind w:firstLine="720"/>
        <w:textAlignment w:val="top"/>
        <w:outlineLvl w:val="3"/>
        <w:rPr>
          <w:szCs w:val="24"/>
        </w:rPr>
      </w:pPr>
      <w:r>
        <w:rPr>
          <w:bCs/>
          <w:color w:val="222222"/>
          <w:szCs w:val="24"/>
        </w:rPr>
        <w:t>(T</w:t>
      </w:r>
      <w:r w:rsidRPr="007444E2">
        <w:rPr>
          <w:bCs/>
          <w:color w:val="222222"/>
          <w:szCs w:val="24"/>
        </w:rPr>
        <w:t xml:space="preserve">he SJC has adopted the reasoning of a federal appellate case that the words “falsely made” and “forged” in federal criminal statutes are synonymous. </w:t>
      </w:r>
      <w:r w:rsidRPr="007444E2">
        <w:rPr>
          <w:rFonts w:eastAsia="Times New Roman" w:cs="Times New Roman"/>
          <w:bCs/>
          <w:i/>
          <w:color w:val="222222"/>
          <w:szCs w:val="24"/>
        </w:rPr>
        <w:t xml:space="preserve">Commonwealth v. </w:t>
      </w:r>
      <w:proofErr w:type="spellStart"/>
      <w:r w:rsidRPr="007444E2">
        <w:rPr>
          <w:rFonts w:eastAsia="Times New Roman" w:cs="Times New Roman"/>
          <w:bCs/>
          <w:i/>
          <w:color w:val="222222"/>
          <w:szCs w:val="24"/>
        </w:rPr>
        <w:t>Apalakis</w:t>
      </w:r>
      <w:proofErr w:type="spellEnd"/>
      <w:r w:rsidRPr="007444E2">
        <w:rPr>
          <w:rFonts w:eastAsia="Times New Roman" w:cs="Times New Roman"/>
          <w:bCs/>
          <w:color w:val="222222"/>
          <w:szCs w:val="24"/>
        </w:rPr>
        <w:t xml:space="preserve">, </w:t>
      </w:r>
      <w:r w:rsidRPr="001167BC">
        <w:rPr>
          <w:rFonts w:eastAsia="Times New Roman" w:cs="Times New Roman"/>
          <w:bCs/>
          <w:color w:val="222222"/>
          <w:szCs w:val="24"/>
        </w:rPr>
        <w:t>396 Mass. 292</w:t>
      </w:r>
      <w:r w:rsidRPr="007444E2">
        <w:rPr>
          <w:rFonts w:eastAsia="Times New Roman" w:cs="Times New Roman"/>
          <w:bCs/>
          <w:color w:val="222222"/>
          <w:szCs w:val="24"/>
        </w:rPr>
        <w:t>, 299</w:t>
      </w:r>
      <w:r w:rsidRPr="001167BC">
        <w:rPr>
          <w:rFonts w:eastAsia="Times New Roman" w:cs="Times New Roman"/>
          <w:bCs/>
          <w:color w:val="222222"/>
          <w:szCs w:val="24"/>
        </w:rPr>
        <w:t xml:space="preserve"> (1985</w:t>
      </w:r>
      <w:proofErr w:type="gramStart"/>
      <w:r w:rsidRPr="001167BC">
        <w:rPr>
          <w:rFonts w:eastAsia="Times New Roman" w:cs="Times New Roman"/>
          <w:bCs/>
          <w:color w:val="222222"/>
          <w:szCs w:val="24"/>
        </w:rPr>
        <w:t>)</w:t>
      </w:r>
      <w:r w:rsidRPr="007444E2">
        <w:rPr>
          <w:rFonts w:eastAsia="Times New Roman" w:cs="Times New Roman"/>
          <w:bCs/>
          <w:color w:val="222222"/>
          <w:szCs w:val="24"/>
        </w:rPr>
        <w:t>(</w:t>
      </w:r>
      <w:proofErr w:type="gramEnd"/>
      <w:r w:rsidRPr="007444E2">
        <w:rPr>
          <w:rFonts w:eastAsia="Times New Roman" w:cs="Times New Roman"/>
          <w:bCs/>
          <w:color w:val="222222"/>
          <w:szCs w:val="24"/>
        </w:rPr>
        <w:t xml:space="preserve">citing </w:t>
      </w:r>
      <w:proofErr w:type="spellStart"/>
      <w:r w:rsidRPr="007444E2">
        <w:rPr>
          <w:i/>
          <w:iCs/>
          <w:szCs w:val="24"/>
        </w:rPr>
        <w:t>Marteney</w:t>
      </w:r>
      <w:proofErr w:type="spellEnd"/>
      <w:r w:rsidRPr="007444E2">
        <w:rPr>
          <w:szCs w:val="24"/>
        </w:rPr>
        <w:t xml:space="preserve"> v. </w:t>
      </w:r>
      <w:r w:rsidRPr="007444E2">
        <w:rPr>
          <w:i/>
          <w:iCs/>
          <w:szCs w:val="24"/>
        </w:rPr>
        <w:t>United States,</w:t>
      </w:r>
      <w:r w:rsidRPr="007444E2">
        <w:rPr>
          <w:szCs w:val="24"/>
        </w:rPr>
        <w:t xml:space="preserve"> 216 F.2d 760, 763 (10th Cir.1954)). </w:t>
      </w:r>
      <w:r w:rsidRPr="007444E2">
        <w:rPr>
          <w:color w:val="222222"/>
          <w:szCs w:val="24"/>
        </w:rPr>
        <w:t>The SJC has ruled that the “word ‘person’ is synonymous with the term ‘human being.’”</w:t>
      </w:r>
    </w:p>
    <w:p w:rsidR="0031467C" w:rsidRPr="007444E2" w:rsidRDefault="0031467C" w:rsidP="0031467C">
      <w:pPr>
        <w:widowControl w:val="0"/>
        <w:shd w:val="clear" w:color="auto" w:fill="FFFFFF"/>
        <w:textAlignment w:val="top"/>
        <w:outlineLvl w:val="3"/>
        <w:rPr>
          <w:rFonts w:eastAsia="Times New Roman" w:cs="Times New Roman"/>
          <w:color w:val="222222"/>
          <w:szCs w:val="24"/>
        </w:rPr>
      </w:pPr>
      <w:proofErr w:type="gramStart"/>
      <w:r w:rsidRPr="007444E2">
        <w:rPr>
          <w:i/>
          <w:szCs w:val="24"/>
        </w:rPr>
        <w:t>Commonwealth  v</w:t>
      </w:r>
      <w:proofErr w:type="gramEnd"/>
      <w:r w:rsidRPr="007444E2">
        <w:rPr>
          <w:i/>
          <w:szCs w:val="24"/>
        </w:rPr>
        <w:t>. Cass</w:t>
      </w:r>
      <w:r w:rsidRPr="007444E2">
        <w:rPr>
          <w:szCs w:val="24"/>
        </w:rPr>
        <w:t xml:space="preserve">, </w:t>
      </w:r>
      <w:r w:rsidRPr="008355FB">
        <w:rPr>
          <w:rFonts w:eastAsia="Times New Roman" w:cs="Times New Roman"/>
          <w:bCs/>
          <w:color w:val="222222"/>
          <w:szCs w:val="24"/>
        </w:rPr>
        <w:t>392 Mass. 799</w:t>
      </w:r>
      <w:r w:rsidRPr="007444E2">
        <w:rPr>
          <w:rFonts w:eastAsia="Times New Roman" w:cs="Times New Roman"/>
          <w:bCs/>
          <w:color w:val="222222"/>
          <w:szCs w:val="24"/>
        </w:rPr>
        <w:t>, 801</w:t>
      </w:r>
      <w:r w:rsidRPr="008355FB">
        <w:rPr>
          <w:rFonts w:eastAsia="Times New Roman" w:cs="Times New Roman"/>
          <w:bCs/>
          <w:color w:val="222222"/>
          <w:szCs w:val="24"/>
        </w:rPr>
        <w:t xml:space="preserve"> (1984)</w:t>
      </w:r>
      <w:r w:rsidRPr="007444E2">
        <w:rPr>
          <w:rFonts w:eastAsia="Times New Roman" w:cs="Times New Roman"/>
          <w:bCs/>
          <w:color w:val="222222"/>
          <w:szCs w:val="24"/>
        </w:rPr>
        <w:t xml:space="preserve">. </w:t>
      </w:r>
      <w:r>
        <w:rPr>
          <w:szCs w:val="24"/>
        </w:rPr>
        <w:t>T</w:t>
      </w:r>
      <w:r w:rsidRPr="007444E2">
        <w:rPr>
          <w:szCs w:val="24"/>
        </w:rPr>
        <w:t xml:space="preserve">he statutory words “employing authority” and “employer” are synonymous. </w:t>
      </w:r>
      <w:r w:rsidRPr="007444E2">
        <w:rPr>
          <w:rFonts w:eastAsia="Times New Roman" w:cs="Times New Roman"/>
          <w:bCs/>
          <w:i/>
          <w:color w:val="222222"/>
          <w:szCs w:val="24"/>
        </w:rPr>
        <w:t>Bulger v. Contributory Retirement Appeal Board</w:t>
      </w:r>
      <w:r>
        <w:rPr>
          <w:rFonts w:eastAsia="Times New Roman" w:cs="Times New Roman"/>
          <w:bCs/>
          <w:color w:val="222222"/>
          <w:szCs w:val="24"/>
        </w:rPr>
        <w:t>,</w:t>
      </w:r>
      <w:r w:rsidRPr="007444E2">
        <w:rPr>
          <w:rFonts w:eastAsia="Times New Roman" w:cs="Times New Roman"/>
          <w:bCs/>
          <w:color w:val="222222"/>
          <w:szCs w:val="24"/>
        </w:rPr>
        <w:t xml:space="preserve"> </w:t>
      </w:r>
      <w:r w:rsidRPr="0044623A">
        <w:rPr>
          <w:rFonts w:eastAsia="Times New Roman" w:cs="Times New Roman"/>
          <w:bCs/>
          <w:color w:val="222222"/>
          <w:szCs w:val="24"/>
        </w:rPr>
        <w:t>447 Mass. 651</w:t>
      </w:r>
      <w:r w:rsidRPr="007444E2">
        <w:rPr>
          <w:rFonts w:eastAsia="Times New Roman" w:cs="Times New Roman"/>
          <w:bCs/>
          <w:color w:val="222222"/>
          <w:szCs w:val="24"/>
        </w:rPr>
        <w:t xml:space="preserve">, </w:t>
      </w:r>
      <w:proofErr w:type="gramStart"/>
      <w:r w:rsidRPr="007444E2">
        <w:rPr>
          <w:rFonts w:eastAsia="Times New Roman" w:cs="Times New Roman"/>
          <w:bCs/>
          <w:color w:val="222222"/>
          <w:szCs w:val="24"/>
        </w:rPr>
        <w:t>657 n.8</w:t>
      </w:r>
      <w:r w:rsidRPr="0044623A">
        <w:rPr>
          <w:rFonts w:eastAsia="Times New Roman" w:cs="Times New Roman"/>
          <w:bCs/>
          <w:color w:val="222222"/>
          <w:szCs w:val="24"/>
        </w:rPr>
        <w:t xml:space="preserve"> (2006)</w:t>
      </w:r>
      <w:proofErr w:type="gramEnd"/>
      <w:r w:rsidRPr="007444E2">
        <w:rPr>
          <w:rFonts w:eastAsia="Times New Roman" w:cs="Times New Roman"/>
          <w:bCs/>
          <w:color w:val="222222"/>
          <w:szCs w:val="24"/>
        </w:rPr>
        <w:t xml:space="preserve">. The words “regular rate” and “regular hourly rate” in a regulation are synonymous. </w:t>
      </w:r>
      <w:proofErr w:type="spellStart"/>
      <w:r w:rsidRPr="007444E2">
        <w:rPr>
          <w:rFonts w:eastAsia="Times New Roman" w:cs="Times New Roman"/>
          <w:bCs/>
          <w:i/>
          <w:color w:val="222222"/>
          <w:szCs w:val="24"/>
        </w:rPr>
        <w:t>Mullally</w:t>
      </w:r>
      <w:proofErr w:type="spellEnd"/>
      <w:r w:rsidRPr="007444E2">
        <w:rPr>
          <w:rFonts w:eastAsia="Times New Roman" w:cs="Times New Roman"/>
          <w:bCs/>
          <w:i/>
          <w:color w:val="222222"/>
          <w:szCs w:val="24"/>
        </w:rPr>
        <w:t xml:space="preserve"> v. Waste Management of Massachusetts, Inc.</w:t>
      </w:r>
      <w:r w:rsidRPr="007444E2">
        <w:rPr>
          <w:rFonts w:eastAsia="Times New Roman" w:cs="Times New Roman"/>
          <w:bCs/>
          <w:color w:val="222222"/>
          <w:szCs w:val="24"/>
        </w:rPr>
        <w:t xml:space="preserve">, </w:t>
      </w:r>
      <w:proofErr w:type="gramStart"/>
      <w:r w:rsidRPr="0044623A">
        <w:rPr>
          <w:rFonts w:eastAsia="Times New Roman" w:cs="Times New Roman"/>
          <w:bCs/>
          <w:color w:val="222222"/>
          <w:szCs w:val="24"/>
        </w:rPr>
        <w:t>452</w:t>
      </w:r>
      <w:proofErr w:type="gramEnd"/>
      <w:r w:rsidRPr="0044623A">
        <w:rPr>
          <w:rFonts w:eastAsia="Times New Roman" w:cs="Times New Roman"/>
          <w:bCs/>
          <w:color w:val="222222"/>
          <w:szCs w:val="24"/>
        </w:rPr>
        <w:t xml:space="preserve"> Mass. 526</w:t>
      </w:r>
      <w:r w:rsidRPr="007444E2">
        <w:rPr>
          <w:rFonts w:eastAsia="Times New Roman" w:cs="Times New Roman"/>
          <w:bCs/>
          <w:color w:val="222222"/>
          <w:szCs w:val="24"/>
        </w:rPr>
        <w:t>, 534 n.15</w:t>
      </w:r>
      <w:r w:rsidRPr="0044623A">
        <w:rPr>
          <w:rFonts w:eastAsia="Times New Roman" w:cs="Times New Roman"/>
          <w:bCs/>
          <w:color w:val="222222"/>
          <w:szCs w:val="24"/>
        </w:rPr>
        <w:t xml:space="preserve"> (2008)</w:t>
      </w:r>
      <w:r w:rsidRPr="007444E2">
        <w:rPr>
          <w:rFonts w:eastAsia="Times New Roman" w:cs="Times New Roman"/>
          <w:bCs/>
          <w:color w:val="222222"/>
          <w:szCs w:val="24"/>
        </w:rPr>
        <w:t>. The words “</w:t>
      </w:r>
      <w:r w:rsidRPr="007444E2">
        <w:rPr>
          <w:color w:val="222222"/>
          <w:szCs w:val="24"/>
        </w:rPr>
        <w:t xml:space="preserve">areas subject to flooding” and “in such flood-prone areas” in a municipal bylaw are synonymous. </w:t>
      </w:r>
      <w:proofErr w:type="gramStart"/>
      <w:r w:rsidRPr="007444E2">
        <w:rPr>
          <w:rFonts w:eastAsia="Times New Roman" w:cs="Times New Roman"/>
          <w:bCs/>
          <w:i/>
          <w:color w:val="222222"/>
          <w:szCs w:val="24"/>
        </w:rPr>
        <w:t>Doherty v. Planning Board of Scituate</w:t>
      </w:r>
      <w:r>
        <w:rPr>
          <w:rFonts w:eastAsia="Times New Roman" w:cs="Times New Roman"/>
          <w:bCs/>
          <w:color w:val="222222"/>
          <w:szCs w:val="24"/>
        </w:rPr>
        <w:t xml:space="preserve">, </w:t>
      </w:r>
      <w:r w:rsidRPr="007444E2">
        <w:rPr>
          <w:rFonts w:eastAsia="Times New Roman" w:cs="Times New Roman"/>
          <w:bCs/>
          <w:color w:val="222222"/>
          <w:szCs w:val="24"/>
        </w:rPr>
        <w:t>467 Mass. 560</w:t>
      </w:r>
      <w:r>
        <w:rPr>
          <w:rFonts w:eastAsia="Times New Roman" w:cs="Times New Roman"/>
          <w:bCs/>
          <w:color w:val="222222"/>
          <w:szCs w:val="24"/>
        </w:rPr>
        <w:t>, 571</w:t>
      </w:r>
      <w:r w:rsidRPr="007444E2">
        <w:rPr>
          <w:rFonts w:eastAsia="Times New Roman" w:cs="Times New Roman"/>
          <w:bCs/>
          <w:color w:val="222222"/>
          <w:szCs w:val="24"/>
        </w:rPr>
        <w:t xml:space="preserve"> (2014)</w:t>
      </w:r>
      <w:r>
        <w:rPr>
          <w:rFonts w:eastAsia="Times New Roman" w:cs="Times New Roman"/>
          <w:bCs/>
          <w:color w:val="222222"/>
          <w:szCs w:val="24"/>
        </w:rPr>
        <w:t>.)</w:t>
      </w:r>
      <w:proofErr w:type="gramEnd"/>
    </w:p>
    <w:p w:rsidR="0073774C" w:rsidRDefault="00495FE9" w:rsidP="002E4BC9">
      <w:pPr>
        <w:pStyle w:val="Default"/>
        <w:spacing w:line="480" w:lineRule="auto"/>
        <w:rPr>
          <w:color w:val="auto"/>
        </w:rPr>
      </w:pPr>
      <w:r>
        <w:tab/>
      </w:r>
      <w:r w:rsidRPr="007444E2">
        <w:t xml:space="preserve">PERAC’s Memorandum #38, 2012, “Re: Anti-Spiking Provisions of </w:t>
      </w:r>
      <w:r w:rsidR="002E4BC9">
        <w:t>Chapter 176 of the Acts of 2011</w:t>
      </w:r>
      <w:r w:rsidRPr="007444E2">
        <w:t xml:space="preserve">” </w:t>
      </w:r>
      <w:r w:rsidR="002E4BC9">
        <w:t>u</w:t>
      </w:r>
      <w:r w:rsidR="003B1387">
        <w:rPr>
          <w:color w:val="auto"/>
        </w:rPr>
        <w:t>ses</w:t>
      </w:r>
      <w:r w:rsidR="002E4BC9">
        <w:rPr>
          <w:color w:val="auto"/>
        </w:rPr>
        <w:t xml:space="preserve"> an</w:t>
      </w:r>
      <w:r w:rsidR="003B1387">
        <w:rPr>
          <w:color w:val="auto"/>
        </w:rPr>
        <w:t xml:space="preserve"> example of </w:t>
      </w:r>
      <w:r w:rsidR="002E4BC9">
        <w:rPr>
          <w:color w:val="auto"/>
        </w:rPr>
        <w:t xml:space="preserve">a hypothetical retiree whose </w:t>
      </w:r>
      <w:r w:rsidR="003B1387">
        <w:rPr>
          <w:color w:val="auto"/>
        </w:rPr>
        <w:t xml:space="preserve">last five years that are not continuous. </w:t>
      </w:r>
      <w:proofErr w:type="gramStart"/>
      <w:r w:rsidR="003B1387">
        <w:rPr>
          <w:color w:val="auto"/>
        </w:rPr>
        <w:t>(Ex. 3, p. 3</w:t>
      </w:r>
      <w:r w:rsidR="002E4BC9">
        <w:rPr>
          <w:color w:val="auto"/>
        </w:rPr>
        <w:t>.)</w:t>
      </w:r>
      <w:proofErr w:type="gramEnd"/>
      <w:r w:rsidR="002E4BC9">
        <w:rPr>
          <w:color w:val="auto"/>
        </w:rPr>
        <w:t xml:space="preserve"> And PERAC </w:t>
      </w:r>
      <w:r w:rsidR="003B1387">
        <w:rPr>
          <w:color w:val="222222"/>
          <w:sz w:val="23"/>
          <w:szCs w:val="23"/>
        </w:rPr>
        <w:t xml:space="preserve">“has considerable leeway in interpreting a statute it is charged with enforcing.” </w:t>
      </w:r>
      <w:r w:rsidR="003B1387">
        <w:rPr>
          <w:i/>
          <w:color w:val="222222"/>
          <w:sz w:val="23"/>
          <w:szCs w:val="23"/>
        </w:rPr>
        <w:t>Barnstable County Retirement Board v. Contributory Retirement Appeal Board</w:t>
      </w:r>
      <w:r w:rsidR="003B1387">
        <w:rPr>
          <w:color w:val="222222"/>
          <w:sz w:val="23"/>
          <w:szCs w:val="23"/>
        </w:rPr>
        <w:t>, 43 Mass. App. Ct. 341, 345 (1997</w:t>
      </w:r>
      <w:proofErr w:type="gramStart"/>
      <w:r w:rsidR="003B1387">
        <w:rPr>
          <w:color w:val="222222"/>
          <w:sz w:val="23"/>
          <w:szCs w:val="23"/>
        </w:rPr>
        <w:t>)(</w:t>
      </w:r>
      <w:proofErr w:type="gramEnd"/>
      <w:r w:rsidR="003B1387">
        <w:rPr>
          <w:color w:val="222222"/>
          <w:sz w:val="23"/>
          <w:szCs w:val="23"/>
        </w:rPr>
        <w:t>citations and internal quotation marks omitted).</w:t>
      </w:r>
    </w:p>
    <w:p w:rsidR="00A7025A" w:rsidRDefault="003B1387" w:rsidP="00B55549">
      <w:pPr>
        <w:pStyle w:val="Default"/>
        <w:spacing w:line="480" w:lineRule="auto"/>
      </w:pPr>
      <w:r>
        <w:rPr>
          <w:color w:val="auto"/>
        </w:rPr>
        <w:tab/>
      </w:r>
      <w:proofErr w:type="gramStart"/>
      <w:r w:rsidR="004C428C" w:rsidRPr="004C428C">
        <w:rPr>
          <w:color w:val="auto"/>
        </w:rPr>
        <w:t>Final</w:t>
      </w:r>
      <w:r w:rsidR="004C428C">
        <w:rPr>
          <w:color w:val="auto"/>
        </w:rPr>
        <w:t>l</w:t>
      </w:r>
      <w:r w:rsidR="004C428C" w:rsidRPr="004C428C">
        <w:rPr>
          <w:color w:val="auto"/>
        </w:rPr>
        <w:t>y, to discuss legislative intent.</w:t>
      </w:r>
      <w:proofErr w:type="gramEnd"/>
      <w:r w:rsidR="004C428C">
        <w:rPr>
          <w:color w:val="auto"/>
        </w:rPr>
        <w:t xml:space="preserve"> </w:t>
      </w:r>
      <w:r w:rsidR="006D7BE5" w:rsidRPr="007444E2">
        <w:rPr>
          <w:color w:val="auto"/>
        </w:rPr>
        <w:t xml:space="preserve">Legislative intent is </w:t>
      </w:r>
      <w:r w:rsidR="0085057D">
        <w:rPr>
          <w:color w:val="auto"/>
        </w:rPr>
        <w:t xml:space="preserve">often </w:t>
      </w:r>
      <w:r w:rsidR="006D7BE5" w:rsidRPr="007444E2">
        <w:rPr>
          <w:color w:val="auto"/>
        </w:rPr>
        <w:t xml:space="preserve">hard to discern in Massachusetts. The Massachusetts Legislature does not have a journal akin to </w:t>
      </w:r>
      <w:r w:rsidR="006D7BE5" w:rsidRPr="007444E2">
        <w:rPr>
          <w:i/>
          <w:color w:val="auto"/>
        </w:rPr>
        <w:t xml:space="preserve">The Congressional </w:t>
      </w:r>
      <w:r w:rsidR="006D7BE5" w:rsidRPr="007444E2">
        <w:rPr>
          <w:i/>
          <w:color w:val="auto"/>
        </w:rPr>
        <w:lastRenderedPageBreak/>
        <w:t>Record</w:t>
      </w:r>
      <w:r w:rsidR="006D7BE5" w:rsidRPr="007444E2">
        <w:rPr>
          <w:color w:val="auto"/>
        </w:rPr>
        <w:t xml:space="preserve"> or</w:t>
      </w:r>
      <w:r w:rsidR="0061399D">
        <w:rPr>
          <w:color w:val="auto"/>
        </w:rPr>
        <w:t>, in general,</w:t>
      </w:r>
      <w:r w:rsidR="006D7BE5" w:rsidRPr="007444E2">
        <w:rPr>
          <w:color w:val="auto"/>
        </w:rPr>
        <w:t xml:space="preserve"> committee reports. In the absence of official legislative records, I will not rely on </w:t>
      </w:r>
      <w:r w:rsidR="00D46D62">
        <w:rPr>
          <w:color w:val="auto"/>
        </w:rPr>
        <w:t xml:space="preserve">two </w:t>
      </w:r>
      <w:r w:rsidR="00B55549" w:rsidRPr="007444E2">
        <w:rPr>
          <w:color w:val="auto"/>
        </w:rPr>
        <w:t>news articles</w:t>
      </w:r>
      <w:r w:rsidR="00D46D62">
        <w:rPr>
          <w:color w:val="auto"/>
        </w:rPr>
        <w:t xml:space="preserve"> that Ms. Hartnett submitted. O</w:t>
      </w:r>
      <w:r w:rsidR="00B55549" w:rsidRPr="007444E2">
        <w:rPr>
          <w:color w:val="auto"/>
        </w:rPr>
        <w:t>ne</w:t>
      </w:r>
      <w:r w:rsidR="00D46D62">
        <w:rPr>
          <w:color w:val="auto"/>
        </w:rPr>
        <w:t>,</w:t>
      </w:r>
      <w:r w:rsidR="00B55549" w:rsidRPr="007444E2">
        <w:rPr>
          <w:color w:val="auto"/>
        </w:rPr>
        <w:t xml:space="preserve"> from </w:t>
      </w:r>
      <w:r w:rsidR="00B55549" w:rsidRPr="007444E2">
        <w:rPr>
          <w:i/>
          <w:color w:val="auto"/>
        </w:rPr>
        <w:t xml:space="preserve">The </w:t>
      </w:r>
      <w:r w:rsidR="00B55549" w:rsidRPr="007444E2">
        <w:rPr>
          <w:i/>
        </w:rPr>
        <w:t>Boston Globe</w:t>
      </w:r>
      <w:r w:rsidR="00D46D62">
        <w:t xml:space="preserve">, about </w:t>
      </w:r>
      <w:r w:rsidR="00D46D62">
        <w:rPr>
          <w:i/>
        </w:rPr>
        <w:t>the introduction</w:t>
      </w:r>
      <w:r w:rsidR="00D46D62">
        <w:t xml:space="preserve"> of the legislation that included the anti-spiking provision, not its </w:t>
      </w:r>
      <w:r w:rsidR="00D46D62">
        <w:rPr>
          <w:i/>
        </w:rPr>
        <w:t>enactment</w:t>
      </w:r>
      <w:r w:rsidR="00D46D62">
        <w:t>, discusses the anti-spiking proposal in two sentences. The second article,</w:t>
      </w:r>
      <w:r w:rsidR="00B55549" w:rsidRPr="007444E2">
        <w:t xml:space="preserve"> from an unidentified source, </w:t>
      </w:r>
      <w:r w:rsidR="00D46D62">
        <w:t>discusses</w:t>
      </w:r>
      <w:r w:rsidR="00B55549" w:rsidRPr="007444E2">
        <w:t xml:space="preserve"> anti-spiking </w:t>
      </w:r>
      <w:r w:rsidR="00D46D62">
        <w:t xml:space="preserve">proposals in various states. </w:t>
      </w:r>
      <w:r w:rsidR="00A7025A">
        <w:t xml:space="preserve">They do not prove </w:t>
      </w:r>
      <w:r w:rsidR="00C606B1">
        <w:t xml:space="preserve">that the Legislature did not intend the anti-spiking provision to </w:t>
      </w:r>
      <w:r w:rsidR="009506AE">
        <w:t>apply to retirees in Ms. Hartnet</w:t>
      </w:r>
      <w:r w:rsidR="00D74193">
        <w:t>t</w:t>
      </w:r>
      <w:r w:rsidR="009506AE">
        <w:t>’s circumstances.</w:t>
      </w:r>
    </w:p>
    <w:p w:rsidR="00B55549" w:rsidRDefault="00C606B1" w:rsidP="00B55549">
      <w:pPr>
        <w:pStyle w:val="Default"/>
        <w:spacing w:line="480" w:lineRule="auto"/>
      </w:pPr>
      <w:r>
        <w:tab/>
      </w:r>
      <w:r w:rsidR="00B55549" w:rsidRPr="007444E2">
        <w:t xml:space="preserve">In support of her position, Ms. Hartnett also invokes an excerpt from </w:t>
      </w:r>
      <w:r w:rsidR="00D46D62">
        <w:t xml:space="preserve">the </w:t>
      </w:r>
      <w:r w:rsidR="00B55549" w:rsidRPr="007444E2">
        <w:t xml:space="preserve">Final Report of the Special Commission to Study the Massachusetts Contributory Retirement Systems. </w:t>
      </w:r>
      <w:proofErr w:type="gramStart"/>
      <w:r w:rsidR="00B55549" w:rsidRPr="007444E2">
        <w:t>(Ex. 5.)</w:t>
      </w:r>
      <w:proofErr w:type="gramEnd"/>
      <w:r w:rsidR="00B55549" w:rsidRPr="007444E2">
        <w:t xml:space="preserve"> There are two problems with this invocation. One, she does not connect the dots, namely, the final report and the anti-spiking provision. I presume that the final report led to the anti-spiking provision, but Ms. Hartnett leaves me to presume, not to know. Two, the excerpt consists of one general paragraph. It is so general that it neither supports nor undermines Ms. Hartnett’s position.</w:t>
      </w:r>
    </w:p>
    <w:p w:rsidR="001B48BE" w:rsidRDefault="009506AE" w:rsidP="00B55549">
      <w:pPr>
        <w:pStyle w:val="Default"/>
        <w:spacing w:line="480" w:lineRule="auto"/>
      </w:pPr>
      <w:r>
        <w:tab/>
        <w:t xml:space="preserve">PERAC – </w:t>
      </w:r>
      <w:r w:rsidR="003B1387">
        <w:t>and</w:t>
      </w:r>
      <w:r>
        <w:t xml:space="preserve"> if any agency should know, it is PERAC – </w:t>
      </w:r>
      <w:r w:rsidR="003B1387">
        <w:t>state</w:t>
      </w:r>
      <w:r w:rsidR="001B48BE">
        <w:t xml:space="preserve">d in its memorandum #38, 2012: </w:t>
      </w:r>
    </w:p>
    <w:p w:rsidR="005E1A82" w:rsidRDefault="003B1387" w:rsidP="001B48BE">
      <w:pPr>
        <w:pStyle w:val="Default"/>
        <w:ind w:left="720" w:right="720"/>
      </w:pPr>
      <w:r>
        <w:t xml:space="preserve">There is no information or data available about whether this practice [spiking] occurs in the Massachusetts public pension system to any great extent. </w:t>
      </w:r>
      <w:r>
        <w:rPr>
          <w:i/>
        </w:rPr>
        <w:t>Nevertheless</w:t>
      </w:r>
      <w:r>
        <w:t>, the Massachusetts Legislature has followed the lead of many other states and enacted what is known as “anti-spiking” legislation.</w:t>
      </w:r>
    </w:p>
    <w:p w:rsidR="001B48BE" w:rsidRDefault="001B48BE" w:rsidP="001B48BE">
      <w:pPr>
        <w:pStyle w:val="Default"/>
        <w:ind w:left="720" w:right="720"/>
      </w:pPr>
    </w:p>
    <w:p w:rsidR="00B44C47" w:rsidRPr="005E1A82" w:rsidRDefault="001B48BE" w:rsidP="00B44C47">
      <w:pPr>
        <w:pStyle w:val="Default"/>
        <w:widowControl w:val="0"/>
        <w:spacing w:line="480" w:lineRule="auto"/>
        <w:rPr>
          <w:rFonts w:eastAsia="Times New Roman"/>
        </w:rPr>
      </w:pPr>
      <w:proofErr w:type="gramStart"/>
      <w:r>
        <w:t>(Ex. 3, p. 1.)</w:t>
      </w:r>
      <w:proofErr w:type="gramEnd"/>
      <w:r w:rsidR="00B44C47">
        <w:t xml:space="preserve"> </w:t>
      </w:r>
      <w:r w:rsidR="00B44C47" w:rsidRPr="005E1A82">
        <w:t>Determining legislative intent</w:t>
      </w:r>
      <w:r w:rsidR="00B44C47">
        <w:t xml:space="preserve"> can include</w:t>
      </w:r>
      <w:r w:rsidR="00B44C47" w:rsidRPr="005E1A82">
        <w:t xml:space="preserve"> identifying “</w:t>
      </w:r>
      <w:r w:rsidR="00B44C47" w:rsidRPr="005E1A82">
        <w:rPr>
          <w:rFonts w:eastAsia="Times New Roman"/>
        </w:rPr>
        <w:t xml:space="preserve">the </w:t>
      </w:r>
      <w:r w:rsidR="00B44C47" w:rsidRPr="005E1A82">
        <w:rPr>
          <w:rFonts w:eastAsia="Times New Roman"/>
          <w:shd w:val="clear" w:color="auto" w:fill="FFFFFF"/>
        </w:rPr>
        <w:t>evil</w:t>
      </w:r>
      <w:r w:rsidR="00B44C47" w:rsidRPr="005E1A82">
        <w:rPr>
          <w:rFonts w:eastAsia="Times New Roman"/>
        </w:rPr>
        <w:t xml:space="preserve"> to be </w:t>
      </w:r>
      <w:r w:rsidR="00B44C47" w:rsidRPr="005E1A82">
        <w:rPr>
          <w:rFonts w:eastAsia="Times New Roman"/>
          <w:shd w:val="clear" w:color="auto" w:fill="FFFFFF"/>
        </w:rPr>
        <w:t>remedied</w:t>
      </w:r>
      <w:r w:rsidR="00B44C47" w:rsidRPr="005E1A82">
        <w:rPr>
          <w:rFonts w:eastAsia="Times New Roman"/>
        </w:rPr>
        <w:t>.”</w:t>
      </w:r>
    </w:p>
    <w:p w:rsidR="00B44C47" w:rsidRPr="005E1A82" w:rsidRDefault="00B44C47" w:rsidP="00B44C47">
      <w:pPr>
        <w:widowControl w:val="0"/>
        <w:shd w:val="clear" w:color="auto" w:fill="FFFFFF"/>
        <w:rPr>
          <w:rFonts w:eastAsia="Times New Roman" w:cs="Times New Roman"/>
          <w:color w:val="000000"/>
          <w:szCs w:val="24"/>
        </w:rPr>
      </w:pPr>
      <w:proofErr w:type="spellStart"/>
      <w:r w:rsidRPr="00B44C47">
        <w:rPr>
          <w:rFonts w:eastAsia="Times New Roman" w:cs="Times New Roman"/>
          <w:i/>
          <w:color w:val="000000"/>
          <w:szCs w:val="24"/>
        </w:rPr>
        <w:t>Hayon</w:t>
      </w:r>
      <w:proofErr w:type="spellEnd"/>
      <w:r w:rsidRPr="00B44C47">
        <w:rPr>
          <w:rFonts w:eastAsia="Times New Roman" w:cs="Times New Roman"/>
          <w:i/>
          <w:color w:val="000000"/>
          <w:szCs w:val="24"/>
        </w:rPr>
        <w:t xml:space="preserve"> v. Coca Cola Bottling Co. of New England</w:t>
      </w:r>
      <w:r w:rsidRPr="005E1A82">
        <w:rPr>
          <w:rFonts w:eastAsia="Times New Roman" w:cs="Times New Roman"/>
          <w:color w:val="000000"/>
          <w:szCs w:val="24"/>
        </w:rPr>
        <w:t>, 375 Mass. 644, 648, (1978)</w:t>
      </w:r>
      <w:r>
        <w:rPr>
          <w:rFonts w:eastAsia="Times New Roman" w:cs="Times New Roman"/>
          <w:color w:val="000000"/>
          <w:szCs w:val="24"/>
        </w:rPr>
        <w:t>. Here, there may not have been an evil to be remedied, as the word</w:t>
      </w:r>
      <w:r w:rsidR="00F155F6">
        <w:rPr>
          <w:rFonts w:eastAsia="Times New Roman" w:cs="Times New Roman"/>
          <w:color w:val="000000"/>
          <w:szCs w:val="24"/>
        </w:rPr>
        <w:t xml:space="preserve"> </w:t>
      </w:r>
      <w:r>
        <w:rPr>
          <w:rFonts w:eastAsia="Times New Roman" w:cs="Times New Roman"/>
          <w:color w:val="000000"/>
          <w:szCs w:val="24"/>
        </w:rPr>
        <w:t>“Nevertheless” indicates</w:t>
      </w:r>
      <w:r w:rsidR="00BD4680">
        <w:rPr>
          <w:rFonts w:eastAsia="Times New Roman" w:cs="Times New Roman"/>
          <w:color w:val="000000"/>
          <w:szCs w:val="24"/>
        </w:rPr>
        <w:t>, only possibly a potential problem to head off</w:t>
      </w:r>
      <w:r>
        <w:rPr>
          <w:rFonts w:eastAsia="Times New Roman" w:cs="Times New Roman"/>
          <w:color w:val="000000"/>
          <w:szCs w:val="24"/>
        </w:rPr>
        <w:t>.</w:t>
      </w:r>
      <w:r w:rsidR="00F155F6">
        <w:rPr>
          <w:rFonts w:eastAsia="Times New Roman" w:cs="Times New Roman"/>
          <w:color w:val="000000"/>
          <w:szCs w:val="24"/>
        </w:rPr>
        <w:t xml:space="preserve"> That makes</w:t>
      </w:r>
      <w:r w:rsidR="00D810B2">
        <w:rPr>
          <w:rFonts w:eastAsia="Times New Roman" w:cs="Times New Roman"/>
          <w:color w:val="000000"/>
          <w:szCs w:val="24"/>
        </w:rPr>
        <w:t xml:space="preserve"> determining legislative intent even harder. Thus, I use </w:t>
      </w:r>
      <w:r w:rsidR="00A25C12">
        <w:rPr>
          <w:rFonts w:eastAsia="Times New Roman" w:cs="Times New Roman"/>
          <w:color w:val="000000"/>
          <w:szCs w:val="24"/>
        </w:rPr>
        <w:t>principles</w:t>
      </w:r>
      <w:r w:rsidR="00D810B2">
        <w:rPr>
          <w:rFonts w:eastAsia="Times New Roman" w:cs="Times New Roman"/>
          <w:color w:val="000000"/>
          <w:szCs w:val="24"/>
        </w:rPr>
        <w:t xml:space="preserve"> of statutory interpretation</w:t>
      </w:r>
      <w:r w:rsidR="00A63FEE">
        <w:rPr>
          <w:rFonts w:eastAsia="Times New Roman" w:cs="Times New Roman"/>
          <w:color w:val="000000"/>
          <w:szCs w:val="24"/>
        </w:rPr>
        <w:t xml:space="preserve"> other than</w:t>
      </w:r>
      <w:r w:rsidR="00D810B2">
        <w:rPr>
          <w:rFonts w:eastAsia="Times New Roman" w:cs="Times New Roman"/>
          <w:color w:val="000000"/>
          <w:szCs w:val="24"/>
        </w:rPr>
        <w:t xml:space="preserve"> legislative intent</w:t>
      </w:r>
      <w:r w:rsidR="00A63FEE">
        <w:rPr>
          <w:rFonts w:eastAsia="Times New Roman" w:cs="Times New Roman"/>
          <w:color w:val="000000"/>
          <w:szCs w:val="24"/>
        </w:rPr>
        <w:t>:</w:t>
      </w:r>
      <w:r w:rsidR="00A25C12">
        <w:rPr>
          <w:rFonts w:eastAsia="Times New Roman" w:cs="Times New Roman"/>
          <w:color w:val="000000"/>
          <w:szCs w:val="24"/>
        </w:rPr>
        <w:t xml:space="preserve"> common sense</w:t>
      </w:r>
      <w:r w:rsidR="00BD4680">
        <w:rPr>
          <w:rFonts w:eastAsia="Times New Roman" w:cs="Times New Roman"/>
          <w:color w:val="000000"/>
          <w:szCs w:val="24"/>
        </w:rPr>
        <w:t>;</w:t>
      </w:r>
      <w:r w:rsidR="00A25C12">
        <w:rPr>
          <w:rFonts w:eastAsia="Times New Roman" w:cs="Times New Roman"/>
          <w:color w:val="000000"/>
          <w:szCs w:val="24"/>
        </w:rPr>
        <w:t xml:space="preserve"> the principle that different words in the same </w:t>
      </w:r>
      <w:r w:rsidR="00BD4680">
        <w:rPr>
          <w:rFonts w:eastAsia="Times New Roman" w:cs="Times New Roman"/>
          <w:color w:val="000000"/>
          <w:szCs w:val="24"/>
        </w:rPr>
        <w:t xml:space="preserve">statute can mean the same thing; and deference to </w:t>
      </w:r>
      <w:r w:rsidR="00B573FA">
        <w:rPr>
          <w:rFonts w:eastAsia="Times New Roman" w:cs="Times New Roman"/>
          <w:color w:val="000000"/>
          <w:szCs w:val="24"/>
        </w:rPr>
        <w:t xml:space="preserve">the </w:t>
      </w:r>
      <w:r w:rsidR="00B573FA">
        <w:rPr>
          <w:rFonts w:eastAsia="Times New Roman" w:cs="Times New Roman"/>
          <w:color w:val="000000"/>
          <w:szCs w:val="24"/>
        </w:rPr>
        <w:lastRenderedPageBreak/>
        <w:t xml:space="preserve">interpretation of a statute by </w:t>
      </w:r>
      <w:r w:rsidR="00BD4680">
        <w:rPr>
          <w:rFonts w:eastAsia="Times New Roman" w:cs="Times New Roman"/>
          <w:color w:val="000000"/>
          <w:szCs w:val="24"/>
        </w:rPr>
        <w:t xml:space="preserve">the agency charged with </w:t>
      </w:r>
      <w:r w:rsidR="00B573FA">
        <w:rPr>
          <w:rFonts w:eastAsia="Times New Roman" w:cs="Times New Roman"/>
          <w:color w:val="000000"/>
          <w:szCs w:val="24"/>
        </w:rPr>
        <w:t>its interpretation</w:t>
      </w:r>
      <w:r w:rsidR="00BD4680">
        <w:rPr>
          <w:rFonts w:eastAsia="Times New Roman" w:cs="Times New Roman"/>
          <w:color w:val="000000"/>
          <w:szCs w:val="24"/>
        </w:rPr>
        <w:t>.</w:t>
      </w:r>
    </w:p>
    <w:p w:rsidR="00790BE1" w:rsidRPr="007444E2" w:rsidRDefault="00790BE1" w:rsidP="00790BE1">
      <w:pPr>
        <w:pStyle w:val="Default"/>
        <w:spacing w:line="480" w:lineRule="auto"/>
        <w:jc w:val="center"/>
        <w:rPr>
          <w:b/>
          <w:color w:val="auto"/>
        </w:rPr>
      </w:pPr>
      <w:r w:rsidRPr="007444E2">
        <w:rPr>
          <w:b/>
          <w:color w:val="auto"/>
        </w:rPr>
        <w:t>Conclusion and Order</w:t>
      </w:r>
    </w:p>
    <w:p w:rsidR="00790BE1" w:rsidRPr="007444E2" w:rsidRDefault="00790BE1" w:rsidP="00790BE1">
      <w:pPr>
        <w:pStyle w:val="Default"/>
        <w:spacing w:line="480" w:lineRule="auto"/>
        <w:rPr>
          <w:color w:val="auto"/>
        </w:rPr>
      </w:pPr>
      <w:r w:rsidRPr="007444E2">
        <w:rPr>
          <w:color w:val="auto"/>
        </w:rPr>
        <w:tab/>
      </w:r>
      <w:r w:rsidR="0085057D">
        <w:rPr>
          <w:color w:val="auto"/>
        </w:rPr>
        <w:t>The anti-spiking provision applies to Ms. Hartnett. BRS’</w:t>
      </w:r>
      <w:r w:rsidR="00273D1A">
        <w:rPr>
          <w:color w:val="auto"/>
        </w:rPr>
        <w:t>s</w:t>
      </w:r>
      <w:r w:rsidR="0085057D">
        <w:rPr>
          <w:color w:val="auto"/>
        </w:rPr>
        <w:t xml:space="preserve"> decision to apply it to her is affirmed.</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7444E2">
        <w:rPr>
          <w:szCs w:val="24"/>
        </w:rPr>
        <w:tab/>
        <w:t xml:space="preserve"> </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7444E2">
        <w:rPr>
          <w:szCs w:val="24"/>
        </w:rPr>
        <w:tab/>
      </w:r>
      <w:r w:rsidRPr="007444E2">
        <w:rPr>
          <w:szCs w:val="24"/>
        </w:rPr>
        <w:tab/>
      </w:r>
      <w:r w:rsidRPr="007444E2">
        <w:rPr>
          <w:szCs w:val="24"/>
        </w:rPr>
        <w:tab/>
      </w:r>
      <w:r w:rsidRPr="007444E2">
        <w:rPr>
          <w:szCs w:val="24"/>
        </w:rPr>
        <w:tab/>
      </w:r>
      <w:r w:rsidRPr="007444E2">
        <w:rPr>
          <w:szCs w:val="24"/>
        </w:rPr>
        <w:tab/>
        <w:t>DIVISION OF ADMINISTRATIVE LAW APPEALS</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7444E2">
        <w:rPr>
          <w:szCs w:val="24"/>
        </w:rPr>
        <w:tab/>
      </w:r>
      <w:r w:rsidRPr="007444E2">
        <w:rPr>
          <w:szCs w:val="24"/>
        </w:rPr>
        <w:tab/>
      </w:r>
      <w:r w:rsidRPr="007444E2">
        <w:rPr>
          <w:szCs w:val="24"/>
        </w:rPr>
        <w:tab/>
      </w:r>
      <w:r w:rsidRPr="007444E2">
        <w:rPr>
          <w:szCs w:val="24"/>
        </w:rPr>
        <w:tab/>
      </w:r>
      <w:r w:rsidRPr="007444E2">
        <w:rPr>
          <w:szCs w:val="24"/>
        </w:rPr>
        <w:tab/>
        <w:t>__________________________________</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7444E2">
        <w:rPr>
          <w:szCs w:val="24"/>
        </w:rPr>
        <w:tab/>
      </w:r>
      <w:r w:rsidRPr="007444E2">
        <w:rPr>
          <w:szCs w:val="24"/>
        </w:rPr>
        <w:tab/>
      </w:r>
      <w:r w:rsidRPr="007444E2">
        <w:rPr>
          <w:szCs w:val="24"/>
        </w:rPr>
        <w:tab/>
      </w:r>
      <w:r w:rsidRPr="007444E2">
        <w:rPr>
          <w:szCs w:val="24"/>
        </w:rPr>
        <w:tab/>
      </w:r>
      <w:r w:rsidRPr="007444E2">
        <w:rPr>
          <w:szCs w:val="24"/>
        </w:rPr>
        <w:tab/>
        <w:t xml:space="preserve">Kenneth </w:t>
      </w:r>
      <w:proofErr w:type="spellStart"/>
      <w:r w:rsidRPr="007444E2">
        <w:rPr>
          <w:szCs w:val="24"/>
        </w:rPr>
        <w:t>Bresler</w:t>
      </w:r>
      <w:proofErr w:type="spellEnd"/>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7444E2">
        <w:rPr>
          <w:szCs w:val="24"/>
        </w:rPr>
        <w:tab/>
      </w:r>
      <w:r w:rsidRPr="007444E2">
        <w:rPr>
          <w:szCs w:val="24"/>
        </w:rPr>
        <w:tab/>
      </w:r>
      <w:r w:rsidRPr="007444E2">
        <w:rPr>
          <w:szCs w:val="24"/>
        </w:rPr>
        <w:tab/>
      </w:r>
      <w:r w:rsidRPr="007444E2">
        <w:rPr>
          <w:szCs w:val="24"/>
        </w:rPr>
        <w:tab/>
      </w:r>
      <w:r w:rsidRPr="007444E2">
        <w:rPr>
          <w:szCs w:val="24"/>
        </w:rPr>
        <w:tab/>
        <w:t>Administrative Magistrate</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7444E2">
        <w:rPr>
          <w:szCs w:val="24"/>
        </w:rPr>
        <w:t xml:space="preserve">Dated: </w:t>
      </w:r>
      <w:r w:rsidR="00034C4F">
        <w:rPr>
          <w:szCs w:val="24"/>
        </w:rPr>
        <w:t>April 27, 2018</w:t>
      </w:r>
    </w:p>
    <w:p w:rsidR="00790BE1" w:rsidRPr="007444E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7444E2">
        <w:rPr>
          <w:szCs w:val="24"/>
        </w:rPr>
        <w:tab/>
      </w:r>
      <w:r w:rsidRPr="007444E2">
        <w:rPr>
          <w:szCs w:val="24"/>
        </w:rPr>
        <w:tab/>
      </w:r>
      <w:r w:rsidRPr="007444E2">
        <w:rPr>
          <w:szCs w:val="24"/>
        </w:rPr>
        <w:tab/>
      </w:r>
      <w:r w:rsidRPr="007444E2">
        <w:rPr>
          <w:szCs w:val="24"/>
        </w:rPr>
        <w:tab/>
      </w:r>
    </w:p>
    <w:p w:rsidR="00790BE1" w:rsidRPr="007444E2" w:rsidRDefault="00790BE1" w:rsidP="00790BE1">
      <w:pPr>
        <w:ind w:firstLine="720"/>
        <w:rPr>
          <w:szCs w:val="24"/>
        </w:rPr>
      </w:pPr>
    </w:p>
    <w:p w:rsidR="00343DEA" w:rsidRPr="007444E2" w:rsidRDefault="00343DEA" w:rsidP="00A61B7F">
      <w:pPr>
        <w:widowControl w:val="0"/>
        <w:rPr>
          <w:szCs w:val="24"/>
        </w:rPr>
      </w:pPr>
    </w:p>
    <w:sectPr w:rsidR="00343DEA" w:rsidRPr="007444E2"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E78" w:rsidRDefault="00BF3E78">
      <w:pPr>
        <w:spacing w:line="240" w:lineRule="auto"/>
      </w:pPr>
      <w:r>
        <w:separator/>
      </w:r>
    </w:p>
  </w:endnote>
  <w:endnote w:type="continuationSeparator" w:id="0">
    <w:p w:rsidR="00BF3E78" w:rsidRDefault="00BF3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610A64">
          <w:rPr>
            <w:noProof/>
          </w:rPr>
          <w:t>5</w:t>
        </w:r>
        <w:r>
          <w:rPr>
            <w:noProof/>
          </w:rPr>
          <w:fldChar w:fldCharType="end"/>
        </w:r>
      </w:p>
    </w:sdtContent>
  </w:sdt>
  <w:p w:rsidR="004721C1" w:rsidRDefault="00BF3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BF3E78">
    <w:pPr>
      <w:pStyle w:val="Footer"/>
      <w:jc w:val="center"/>
    </w:pPr>
  </w:p>
  <w:p w:rsidR="004721C1" w:rsidRDefault="00BF3E78"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E78" w:rsidRDefault="00BF3E78">
      <w:pPr>
        <w:spacing w:line="240" w:lineRule="auto"/>
      </w:pPr>
      <w:r>
        <w:separator/>
      </w:r>
    </w:p>
  </w:footnote>
  <w:footnote w:type="continuationSeparator" w:id="0">
    <w:p w:rsidR="00BF3E78" w:rsidRDefault="00BF3E78">
      <w:pPr>
        <w:spacing w:line="240" w:lineRule="auto"/>
      </w:pPr>
      <w:r>
        <w:continuationSeparator/>
      </w:r>
    </w:p>
  </w:footnote>
  <w:footnote w:id="1">
    <w:p w:rsidR="004912F8" w:rsidRPr="002E0120" w:rsidRDefault="004912F8" w:rsidP="00226EB5">
      <w:pPr>
        <w:pStyle w:val="FootnoteText"/>
        <w:spacing w:after="120"/>
        <w:rPr>
          <w:sz w:val="24"/>
          <w:szCs w:val="24"/>
        </w:rPr>
      </w:pPr>
      <w:r w:rsidRPr="002E0120">
        <w:rPr>
          <w:rStyle w:val="FootnoteReference"/>
          <w:sz w:val="24"/>
          <w:szCs w:val="24"/>
        </w:rPr>
        <w:footnoteRef/>
      </w:r>
      <w:r w:rsidRPr="002E0120">
        <w:rPr>
          <w:sz w:val="24"/>
          <w:szCs w:val="24"/>
        </w:rPr>
        <w:t xml:space="preserve"> Ms. Hartnett alleged these facts in her memorandum of law. Although she did not document these facts, PERAC accepted them. Hence, I cite these facts as a stipulation. </w:t>
      </w:r>
      <w:r w:rsidR="002E0120">
        <w:rPr>
          <w:sz w:val="24"/>
          <w:szCs w:val="24"/>
        </w:rPr>
        <w:t>Ms. Hartnett does not dispute the substance of the calculations in BRS</w:t>
      </w:r>
      <w:r w:rsidR="000F3552">
        <w:rPr>
          <w:sz w:val="24"/>
          <w:szCs w:val="24"/>
        </w:rPr>
        <w:t>’</w:t>
      </w:r>
      <w:r w:rsidR="002E0120">
        <w:rPr>
          <w:sz w:val="24"/>
          <w:szCs w:val="24"/>
        </w:rPr>
        <w:t>s letter of April 20, 2017. Rather, she disputes that she should have been subjected to the calculations at all.</w:t>
      </w:r>
      <w:r w:rsidR="00226EB5">
        <w:rPr>
          <w:sz w:val="24"/>
          <w:szCs w:val="24"/>
        </w:rPr>
        <w:t xml:space="preserve"> Therefore,</w:t>
      </w:r>
      <w:r w:rsidR="00116C0F">
        <w:rPr>
          <w:sz w:val="24"/>
          <w:szCs w:val="24"/>
        </w:rPr>
        <w:t xml:space="preserve"> the exact details of these facts (such as </w:t>
      </w:r>
      <w:r w:rsidR="00226EB5">
        <w:rPr>
          <w:sz w:val="24"/>
          <w:szCs w:val="24"/>
        </w:rPr>
        <w:t>how much Ms. Hartnett made in each year</w:t>
      </w:r>
      <w:r w:rsidR="00116C0F">
        <w:rPr>
          <w:sz w:val="24"/>
          <w:szCs w:val="24"/>
        </w:rPr>
        <w:t xml:space="preserve">) </w:t>
      </w:r>
      <w:r w:rsidR="00F40404">
        <w:rPr>
          <w:sz w:val="24"/>
          <w:szCs w:val="24"/>
        </w:rPr>
        <w:t>are</w:t>
      </w:r>
      <w:r w:rsidR="005E3F08">
        <w:rPr>
          <w:sz w:val="24"/>
          <w:szCs w:val="24"/>
        </w:rPr>
        <w:t xml:space="preserve"> not sign</w:t>
      </w:r>
      <w:r w:rsidR="00D767C4">
        <w:rPr>
          <w:sz w:val="24"/>
          <w:szCs w:val="24"/>
        </w:rPr>
        <w:t>i</w:t>
      </w:r>
      <w:r w:rsidR="005E3F08">
        <w:rPr>
          <w:sz w:val="24"/>
          <w:szCs w:val="24"/>
        </w:rPr>
        <w:t>ficant</w:t>
      </w:r>
      <w:r w:rsidR="00226EB5">
        <w:rPr>
          <w:sz w:val="24"/>
          <w:szCs w:val="24"/>
        </w:rPr>
        <w:t>.</w:t>
      </w:r>
      <w:r w:rsidR="00AC71A7">
        <w:rPr>
          <w:sz w:val="24"/>
          <w:szCs w:val="24"/>
        </w:rPr>
        <w:t xml:space="preserve"> This footnote</w:t>
      </w:r>
      <w:r w:rsidR="00116C0F">
        <w:rPr>
          <w:sz w:val="24"/>
          <w:szCs w:val="24"/>
        </w:rPr>
        <w:t xml:space="preserve"> applies to all findings of fact cited as stipulations.</w:t>
      </w:r>
    </w:p>
  </w:footnote>
  <w:footnote w:id="2">
    <w:p w:rsidR="00902BA0" w:rsidRPr="00902BA0" w:rsidRDefault="00902BA0" w:rsidP="006D7BE5">
      <w:pPr>
        <w:pStyle w:val="FootnoteText"/>
        <w:spacing w:after="120"/>
        <w:rPr>
          <w:sz w:val="24"/>
          <w:szCs w:val="24"/>
        </w:rPr>
      </w:pPr>
      <w:r w:rsidRPr="00902BA0">
        <w:rPr>
          <w:rStyle w:val="FootnoteReference"/>
          <w:sz w:val="24"/>
          <w:szCs w:val="24"/>
        </w:rPr>
        <w:footnoteRef/>
      </w:r>
      <w:r w:rsidRPr="00902BA0">
        <w:rPr>
          <w:sz w:val="24"/>
          <w:szCs w:val="24"/>
        </w:rPr>
        <w:t xml:space="preserve"> Section 14 was codified in G.L. c. 32, </w:t>
      </w:r>
      <w:r w:rsidRPr="00902BA0">
        <w:rPr>
          <w:rFonts w:cs="Times New Roman"/>
          <w:sz w:val="24"/>
          <w:szCs w:val="24"/>
        </w:rPr>
        <w:t>§</w:t>
      </w:r>
      <w:r w:rsidRPr="00902BA0">
        <w:rPr>
          <w:sz w:val="24"/>
          <w:szCs w:val="24"/>
        </w:rPr>
        <w:t xml:space="preserve"> 5(2</w:t>
      </w:r>
      <w:proofErr w:type="gramStart"/>
      <w:r w:rsidRPr="00902BA0">
        <w:rPr>
          <w:sz w:val="24"/>
          <w:szCs w:val="24"/>
        </w:rPr>
        <w:t>)(</w:t>
      </w:r>
      <w:proofErr w:type="gramEnd"/>
      <w:r w:rsidRPr="00902BA0">
        <w:rPr>
          <w:sz w:val="24"/>
          <w:szCs w:val="24"/>
        </w:rPr>
        <w:t xml:space="preserve">a). Section 18 was codified in G.L. c. 32, </w:t>
      </w:r>
      <w:r w:rsidRPr="00902BA0">
        <w:rPr>
          <w:rFonts w:cs="Times New Roman"/>
          <w:sz w:val="24"/>
          <w:szCs w:val="24"/>
        </w:rPr>
        <w:t>§ 5(f).</w:t>
      </w:r>
      <w:r>
        <w:rPr>
          <w:rFonts w:cs="Times New Roman"/>
          <w:sz w:val="24"/>
          <w:szCs w:val="24"/>
        </w:rPr>
        <w:t xml:space="preserve"> Ultimately, only the first provision matters to this appeal.</w:t>
      </w:r>
      <w:r w:rsidR="006D7BE5">
        <w:rPr>
          <w:rFonts w:cs="Times New Roman"/>
          <w:sz w:val="24"/>
          <w:szCs w:val="24"/>
        </w:rPr>
        <w:t xml:space="preserve"> </w:t>
      </w:r>
      <w:r w:rsidR="006D7BE5" w:rsidRPr="00712D9B">
        <w:rPr>
          <w:sz w:val="24"/>
          <w:szCs w:val="24"/>
        </w:rPr>
        <w:t xml:space="preserve">In her memorandum of law, Ms. Hartnett calls G.L. c. 32, </w:t>
      </w:r>
      <w:r w:rsidR="006D7BE5" w:rsidRPr="00712D9B">
        <w:rPr>
          <w:rFonts w:cs="Times New Roman"/>
          <w:sz w:val="24"/>
          <w:szCs w:val="24"/>
        </w:rPr>
        <w:t>§ 5(f) irrelevant to her appeal. (Pet. Memo 6.) PER</w:t>
      </w:r>
      <w:r w:rsidR="006D7BE5">
        <w:rPr>
          <w:rFonts w:cs="Times New Roman"/>
          <w:sz w:val="24"/>
          <w:szCs w:val="24"/>
        </w:rPr>
        <w:t>AC does not discuss the statute, indicating its agreement.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B6156"/>
    <w:multiLevelType w:val="hybridMultilevel"/>
    <w:tmpl w:val="C2A48624"/>
    <w:lvl w:ilvl="0" w:tplc="3C226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6FA0"/>
    <w:rsid w:val="00017D35"/>
    <w:rsid w:val="00034C4F"/>
    <w:rsid w:val="000478A1"/>
    <w:rsid w:val="000516B8"/>
    <w:rsid w:val="000540CA"/>
    <w:rsid w:val="000571F4"/>
    <w:rsid w:val="000706B1"/>
    <w:rsid w:val="00087B62"/>
    <w:rsid w:val="00097A17"/>
    <w:rsid w:val="000D63E0"/>
    <w:rsid w:val="000F3552"/>
    <w:rsid w:val="000F5862"/>
    <w:rsid w:val="0010510D"/>
    <w:rsid w:val="00112DCC"/>
    <w:rsid w:val="001138EF"/>
    <w:rsid w:val="0011679F"/>
    <w:rsid w:val="001167BC"/>
    <w:rsid w:val="00116C0F"/>
    <w:rsid w:val="00153F20"/>
    <w:rsid w:val="0015771A"/>
    <w:rsid w:val="00173005"/>
    <w:rsid w:val="0018472F"/>
    <w:rsid w:val="001A762F"/>
    <w:rsid w:val="001B27A5"/>
    <w:rsid w:val="001B48BE"/>
    <w:rsid w:val="001E0227"/>
    <w:rsid w:val="001E2E48"/>
    <w:rsid w:val="001F2C6C"/>
    <w:rsid w:val="001F4F4B"/>
    <w:rsid w:val="002102B2"/>
    <w:rsid w:val="00226B6A"/>
    <w:rsid w:val="00226EB5"/>
    <w:rsid w:val="00234E47"/>
    <w:rsid w:val="00241482"/>
    <w:rsid w:val="00244382"/>
    <w:rsid w:val="002470B7"/>
    <w:rsid w:val="00257C10"/>
    <w:rsid w:val="00265573"/>
    <w:rsid w:val="00273D1A"/>
    <w:rsid w:val="00282FCB"/>
    <w:rsid w:val="00287B9C"/>
    <w:rsid w:val="002935E3"/>
    <w:rsid w:val="002B3264"/>
    <w:rsid w:val="002C0F62"/>
    <w:rsid w:val="002E0120"/>
    <w:rsid w:val="002E4BC9"/>
    <w:rsid w:val="002F13E6"/>
    <w:rsid w:val="002F660E"/>
    <w:rsid w:val="002F7919"/>
    <w:rsid w:val="003022F6"/>
    <w:rsid w:val="00306B90"/>
    <w:rsid w:val="0031467C"/>
    <w:rsid w:val="00327310"/>
    <w:rsid w:val="00343DEA"/>
    <w:rsid w:val="003539B0"/>
    <w:rsid w:val="00354ACA"/>
    <w:rsid w:val="003A1C9D"/>
    <w:rsid w:val="003B1387"/>
    <w:rsid w:val="003B492D"/>
    <w:rsid w:val="003C10F0"/>
    <w:rsid w:val="003D0F95"/>
    <w:rsid w:val="00401B76"/>
    <w:rsid w:val="00401D40"/>
    <w:rsid w:val="004163A4"/>
    <w:rsid w:val="00435422"/>
    <w:rsid w:val="00443F05"/>
    <w:rsid w:val="0044623A"/>
    <w:rsid w:val="00446E9C"/>
    <w:rsid w:val="004576C0"/>
    <w:rsid w:val="00466032"/>
    <w:rsid w:val="00466C89"/>
    <w:rsid w:val="00485A52"/>
    <w:rsid w:val="00490CFF"/>
    <w:rsid w:val="004912F8"/>
    <w:rsid w:val="00491410"/>
    <w:rsid w:val="00495FE9"/>
    <w:rsid w:val="00496D95"/>
    <w:rsid w:val="004C428C"/>
    <w:rsid w:val="004C4C99"/>
    <w:rsid w:val="004D14FD"/>
    <w:rsid w:val="004E225C"/>
    <w:rsid w:val="004E5CD2"/>
    <w:rsid w:val="0050746D"/>
    <w:rsid w:val="00520266"/>
    <w:rsid w:val="00534924"/>
    <w:rsid w:val="00537AF9"/>
    <w:rsid w:val="00541A3A"/>
    <w:rsid w:val="005600FB"/>
    <w:rsid w:val="00560919"/>
    <w:rsid w:val="00563EF7"/>
    <w:rsid w:val="00597EE5"/>
    <w:rsid w:val="005B3BFE"/>
    <w:rsid w:val="005B4062"/>
    <w:rsid w:val="005D3D07"/>
    <w:rsid w:val="005E0D3A"/>
    <w:rsid w:val="005E1A82"/>
    <w:rsid w:val="005E3F08"/>
    <w:rsid w:val="00610A64"/>
    <w:rsid w:val="006115CF"/>
    <w:rsid w:val="0061399D"/>
    <w:rsid w:val="00632F3F"/>
    <w:rsid w:val="006343BA"/>
    <w:rsid w:val="0065039D"/>
    <w:rsid w:val="00651D65"/>
    <w:rsid w:val="006B7ED9"/>
    <w:rsid w:val="006D7BE5"/>
    <w:rsid w:val="006E60BA"/>
    <w:rsid w:val="006F3040"/>
    <w:rsid w:val="00700DB0"/>
    <w:rsid w:val="00710CF0"/>
    <w:rsid w:val="00712D9B"/>
    <w:rsid w:val="0072146D"/>
    <w:rsid w:val="007252C6"/>
    <w:rsid w:val="00726C38"/>
    <w:rsid w:val="0073774C"/>
    <w:rsid w:val="00742DFA"/>
    <w:rsid w:val="007444E2"/>
    <w:rsid w:val="007467C7"/>
    <w:rsid w:val="00751071"/>
    <w:rsid w:val="00762E9E"/>
    <w:rsid w:val="00777B14"/>
    <w:rsid w:val="00790BE1"/>
    <w:rsid w:val="00791EA2"/>
    <w:rsid w:val="007A316E"/>
    <w:rsid w:val="007B1629"/>
    <w:rsid w:val="007D2CED"/>
    <w:rsid w:val="007D6F73"/>
    <w:rsid w:val="007E0B15"/>
    <w:rsid w:val="007E638E"/>
    <w:rsid w:val="008075E5"/>
    <w:rsid w:val="008355FB"/>
    <w:rsid w:val="00845489"/>
    <w:rsid w:val="0085057D"/>
    <w:rsid w:val="00853C6B"/>
    <w:rsid w:val="008802BF"/>
    <w:rsid w:val="00886565"/>
    <w:rsid w:val="00895EC3"/>
    <w:rsid w:val="008B096E"/>
    <w:rsid w:val="008B51B3"/>
    <w:rsid w:val="008C67DE"/>
    <w:rsid w:val="008E2A41"/>
    <w:rsid w:val="008E2E74"/>
    <w:rsid w:val="008E4CA3"/>
    <w:rsid w:val="008F62C4"/>
    <w:rsid w:val="00902BA0"/>
    <w:rsid w:val="00907C18"/>
    <w:rsid w:val="00911B7F"/>
    <w:rsid w:val="00927F2C"/>
    <w:rsid w:val="009414D1"/>
    <w:rsid w:val="009506AE"/>
    <w:rsid w:val="00960AA9"/>
    <w:rsid w:val="0096588A"/>
    <w:rsid w:val="00987C0D"/>
    <w:rsid w:val="009933D5"/>
    <w:rsid w:val="009A5A26"/>
    <w:rsid w:val="009C404F"/>
    <w:rsid w:val="009D3411"/>
    <w:rsid w:val="009D3BB2"/>
    <w:rsid w:val="009D6B0A"/>
    <w:rsid w:val="00A02702"/>
    <w:rsid w:val="00A215F9"/>
    <w:rsid w:val="00A25C12"/>
    <w:rsid w:val="00A41CB6"/>
    <w:rsid w:val="00A61B7F"/>
    <w:rsid w:val="00A63FEE"/>
    <w:rsid w:val="00A7025A"/>
    <w:rsid w:val="00A70642"/>
    <w:rsid w:val="00A732C6"/>
    <w:rsid w:val="00A9155F"/>
    <w:rsid w:val="00A96545"/>
    <w:rsid w:val="00A97585"/>
    <w:rsid w:val="00AC71A7"/>
    <w:rsid w:val="00AD0FC1"/>
    <w:rsid w:val="00AD21AD"/>
    <w:rsid w:val="00AE5AF6"/>
    <w:rsid w:val="00AF3D6E"/>
    <w:rsid w:val="00B101D6"/>
    <w:rsid w:val="00B44C47"/>
    <w:rsid w:val="00B51A77"/>
    <w:rsid w:val="00B55549"/>
    <w:rsid w:val="00B573FA"/>
    <w:rsid w:val="00B66AE4"/>
    <w:rsid w:val="00B81B6B"/>
    <w:rsid w:val="00BB4E96"/>
    <w:rsid w:val="00BB5F56"/>
    <w:rsid w:val="00BC0042"/>
    <w:rsid w:val="00BC5016"/>
    <w:rsid w:val="00BD4680"/>
    <w:rsid w:val="00BD4C97"/>
    <w:rsid w:val="00BE3A21"/>
    <w:rsid w:val="00BF3E78"/>
    <w:rsid w:val="00BF5960"/>
    <w:rsid w:val="00C26344"/>
    <w:rsid w:val="00C355B8"/>
    <w:rsid w:val="00C516D6"/>
    <w:rsid w:val="00C606B1"/>
    <w:rsid w:val="00C6221D"/>
    <w:rsid w:val="00C63136"/>
    <w:rsid w:val="00C827E7"/>
    <w:rsid w:val="00CA342F"/>
    <w:rsid w:val="00CB7A85"/>
    <w:rsid w:val="00CD3622"/>
    <w:rsid w:val="00CE47C7"/>
    <w:rsid w:val="00CF3348"/>
    <w:rsid w:val="00D154FD"/>
    <w:rsid w:val="00D22D68"/>
    <w:rsid w:val="00D3268B"/>
    <w:rsid w:val="00D46D62"/>
    <w:rsid w:val="00D74193"/>
    <w:rsid w:val="00D767C4"/>
    <w:rsid w:val="00D810B2"/>
    <w:rsid w:val="00D84CC4"/>
    <w:rsid w:val="00D96C61"/>
    <w:rsid w:val="00DA7A82"/>
    <w:rsid w:val="00DB4BBE"/>
    <w:rsid w:val="00DC4988"/>
    <w:rsid w:val="00DC6356"/>
    <w:rsid w:val="00DE66C0"/>
    <w:rsid w:val="00DF0B8C"/>
    <w:rsid w:val="00E124F5"/>
    <w:rsid w:val="00E268DC"/>
    <w:rsid w:val="00E27A75"/>
    <w:rsid w:val="00E322D7"/>
    <w:rsid w:val="00E65DAC"/>
    <w:rsid w:val="00E66577"/>
    <w:rsid w:val="00E668DD"/>
    <w:rsid w:val="00E72404"/>
    <w:rsid w:val="00E92B4C"/>
    <w:rsid w:val="00EB625F"/>
    <w:rsid w:val="00EC0E21"/>
    <w:rsid w:val="00EC5D20"/>
    <w:rsid w:val="00EE4A61"/>
    <w:rsid w:val="00EE5A36"/>
    <w:rsid w:val="00F02CF1"/>
    <w:rsid w:val="00F0602F"/>
    <w:rsid w:val="00F155F6"/>
    <w:rsid w:val="00F21512"/>
    <w:rsid w:val="00F34AB5"/>
    <w:rsid w:val="00F40404"/>
    <w:rsid w:val="00F4046E"/>
    <w:rsid w:val="00F4643A"/>
    <w:rsid w:val="00F553E9"/>
    <w:rsid w:val="00F860ED"/>
    <w:rsid w:val="00FA463E"/>
    <w:rsid w:val="00FC4ECD"/>
    <w:rsid w:val="00FD3D34"/>
    <w:rsid w:val="00FE5760"/>
    <w:rsid w:val="00FF4486"/>
    <w:rsid w:val="00FF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7E0B15"/>
    <w:pPr>
      <w:spacing w:line="240" w:lineRule="auto"/>
    </w:pPr>
    <w:rPr>
      <w:sz w:val="20"/>
      <w:szCs w:val="20"/>
    </w:rPr>
  </w:style>
  <w:style w:type="character" w:customStyle="1" w:styleId="FootnoteTextChar">
    <w:name w:val="Footnote Text Char"/>
    <w:basedOn w:val="DefaultParagraphFont"/>
    <w:link w:val="FootnoteText"/>
    <w:uiPriority w:val="99"/>
    <w:semiHidden/>
    <w:rsid w:val="007E0B15"/>
    <w:rPr>
      <w:rFonts w:ascii="Times New Roman" w:hAnsi="Times New Roman"/>
      <w:sz w:val="20"/>
      <w:szCs w:val="20"/>
    </w:rPr>
  </w:style>
  <w:style w:type="character" w:styleId="FootnoteReference">
    <w:name w:val="footnote reference"/>
    <w:basedOn w:val="DefaultParagraphFont"/>
    <w:uiPriority w:val="99"/>
    <w:semiHidden/>
    <w:unhideWhenUsed/>
    <w:rsid w:val="007E0B15"/>
    <w:rPr>
      <w:vertAlign w:val="superscript"/>
    </w:rPr>
  </w:style>
  <w:style w:type="paragraph" w:styleId="NormalWeb">
    <w:name w:val="Normal (Web)"/>
    <w:basedOn w:val="Normal"/>
    <w:uiPriority w:val="99"/>
    <w:semiHidden/>
    <w:unhideWhenUsed/>
    <w:rsid w:val="001167B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D3622"/>
    <w:pPr>
      <w:tabs>
        <w:tab w:val="center" w:pos="4680"/>
        <w:tab w:val="right" w:pos="9360"/>
      </w:tabs>
      <w:spacing w:line="240" w:lineRule="auto"/>
    </w:pPr>
  </w:style>
  <w:style w:type="character" w:customStyle="1" w:styleId="HeaderChar">
    <w:name w:val="Header Char"/>
    <w:basedOn w:val="DefaultParagraphFont"/>
    <w:link w:val="Header"/>
    <w:uiPriority w:val="99"/>
    <w:rsid w:val="00CD3622"/>
    <w:rPr>
      <w:rFonts w:ascii="Times New Roman" w:hAnsi="Times New Roman"/>
      <w:sz w:val="24"/>
    </w:rPr>
  </w:style>
  <w:style w:type="paragraph" w:styleId="BalloonText">
    <w:name w:val="Balloon Text"/>
    <w:basedOn w:val="Normal"/>
    <w:link w:val="BalloonTextChar"/>
    <w:uiPriority w:val="99"/>
    <w:semiHidden/>
    <w:unhideWhenUsed/>
    <w:rsid w:val="003273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310"/>
    <w:rPr>
      <w:rFonts w:ascii="Tahoma" w:hAnsi="Tahoma" w:cs="Tahoma"/>
      <w:sz w:val="16"/>
      <w:szCs w:val="16"/>
    </w:rPr>
  </w:style>
  <w:style w:type="table" w:styleId="TableGrid">
    <w:name w:val="Table Grid"/>
    <w:basedOn w:val="TableNormal"/>
    <w:uiPriority w:val="59"/>
    <w:rsid w:val="00F5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7E0B15"/>
    <w:pPr>
      <w:spacing w:line="240" w:lineRule="auto"/>
    </w:pPr>
    <w:rPr>
      <w:sz w:val="20"/>
      <w:szCs w:val="20"/>
    </w:rPr>
  </w:style>
  <w:style w:type="character" w:customStyle="1" w:styleId="FootnoteTextChar">
    <w:name w:val="Footnote Text Char"/>
    <w:basedOn w:val="DefaultParagraphFont"/>
    <w:link w:val="FootnoteText"/>
    <w:uiPriority w:val="99"/>
    <w:semiHidden/>
    <w:rsid w:val="007E0B15"/>
    <w:rPr>
      <w:rFonts w:ascii="Times New Roman" w:hAnsi="Times New Roman"/>
      <w:sz w:val="20"/>
      <w:szCs w:val="20"/>
    </w:rPr>
  </w:style>
  <w:style w:type="character" w:styleId="FootnoteReference">
    <w:name w:val="footnote reference"/>
    <w:basedOn w:val="DefaultParagraphFont"/>
    <w:uiPriority w:val="99"/>
    <w:semiHidden/>
    <w:unhideWhenUsed/>
    <w:rsid w:val="007E0B15"/>
    <w:rPr>
      <w:vertAlign w:val="superscript"/>
    </w:rPr>
  </w:style>
  <w:style w:type="paragraph" w:styleId="NormalWeb">
    <w:name w:val="Normal (Web)"/>
    <w:basedOn w:val="Normal"/>
    <w:uiPriority w:val="99"/>
    <w:semiHidden/>
    <w:unhideWhenUsed/>
    <w:rsid w:val="001167B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D3622"/>
    <w:pPr>
      <w:tabs>
        <w:tab w:val="center" w:pos="4680"/>
        <w:tab w:val="right" w:pos="9360"/>
      </w:tabs>
      <w:spacing w:line="240" w:lineRule="auto"/>
    </w:pPr>
  </w:style>
  <w:style w:type="character" w:customStyle="1" w:styleId="HeaderChar">
    <w:name w:val="Header Char"/>
    <w:basedOn w:val="DefaultParagraphFont"/>
    <w:link w:val="Header"/>
    <w:uiPriority w:val="99"/>
    <w:rsid w:val="00CD3622"/>
    <w:rPr>
      <w:rFonts w:ascii="Times New Roman" w:hAnsi="Times New Roman"/>
      <w:sz w:val="24"/>
    </w:rPr>
  </w:style>
  <w:style w:type="paragraph" w:styleId="BalloonText">
    <w:name w:val="Balloon Text"/>
    <w:basedOn w:val="Normal"/>
    <w:link w:val="BalloonTextChar"/>
    <w:uiPriority w:val="99"/>
    <w:semiHidden/>
    <w:unhideWhenUsed/>
    <w:rsid w:val="003273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310"/>
    <w:rPr>
      <w:rFonts w:ascii="Tahoma" w:hAnsi="Tahoma" w:cs="Tahoma"/>
      <w:sz w:val="16"/>
      <w:szCs w:val="16"/>
    </w:rPr>
  </w:style>
  <w:style w:type="table" w:styleId="TableGrid">
    <w:name w:val="Table Grid"/>
    <w:basedOn w:val="TableNormal"/>
    <w:uiPriority w:val="59"/>
    <w:rsid w:val="00F5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0585">
      <w:bodyDiv w:val="1"/>
      <w:marLeft w:val="0"/>
      <w:marRight w:val="0"/>
      <w:marTop w:val="0"/>
      <w:marBottom w:val="0"/>
      <w:divBdr>
        <w:top w:val="none" w:sz="0" w:space="0" w:color="auto"/>
        <w:left w:val="none" w:sz="0" w:space="0" w:color="auto"/>
        <w:bottom w:val="none" w:sz="0" w:space="0" w:color="auto"/>
        <w:right w:val="none" w:sz="0" w:space="0" w:color="auto"/>
      </w:divBdr>
      <w:divsChild>
        <w:div w:id="1485849895">
          <w:marLeft w:val="0"/>
          <w:marRight w:val="0"/>
          <w:marTop w:val="0"/>
          <w:marBottom w:val="0"/>
          <w:divBdr>
            <w:top w:val="none" w:sz="0" w:space="0" w:color="auto"/>
            <w:left w:val="none" w:sz="0" w:space="0" w:color="auto"/>
            <w:bottom w:val="none" w:sz="0" w:space="0" w:color="auto"/>
            <w:right w:val="none" w:sz="0" w:space="0" w:color="auto"/>
          </w:divBdr>
          <w:divsChild>
            <w:div w:id="93212186">
              <w:marLeft w:val="0"/>
              <w:marRight w:val="0"/>
              <w:marTop w:val="0"/>
              <w:marBottom w:val="0"/>
              <w:divBdr>
                <w:top w:val="none" w:sz="0" w:space="0" w:color="auto"/>
                <w:left w:val="none" w:sz="0" w:space="0" w:color="auto"/>
                <w:bottom w:val="none" w:sz="0" w:space="0" w:color="auto"/>
                <w:right w:val="none" w:sz="0" w:space="0" w:color="auto"/>
              </w:divBdr>
              <w:divsChild>
                <w:div w:id="8782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1899">
      <w:bodyDiv w:val="1"/>
      <w:marLeft w:val="0"/>
      <w:marRight w:val="0"/>
      <w:marTop w:val="0"/>
      <w:marBottom w:val="0"/>
      <w:divBdr>
        <w:top w:val="none" w:sz="0" w:space="0" w:color="auto"/>
        <w:left w:val="none" w:sz="0" w:space="0" w:color="auto"/>
        <w:bottom w:val="none" w:sz="0" w:space="0" w:color="auto"/>
        <w:right w:val="none" w:sz="0" w:space="0" w:color="auto"/>
      </w:divBdr>
      <w:divsChild>
        <w:div w:id="1691375015">
          <w:marLeft w:val="0"/>
          <w:marRight w:val="0"/>
          <w:marTop w:val="0"/>
          <w:marBottom w:val="0"/>
          <w:divBdr>
            <w:top w:val="none" w:sz="0" w:space="0" w:color="auto"/>
            <w:left w:val="none" w:sz="0" w:space="0" w:color="auto"/>
            <w:bottom w:val="none" w:sz="0" w:space="0" w:color="auto"/>
            <w:right w:val="none" w:sz="0" w:space="0" w:color="auto"/>
          </w:divBdr>
          <w:divsChild>
            <w:div w:id="2140567663">
              <w:marLeft w:val="0"/>
              <w:marRight w:val="0"/>
              <w:marTop w:val="0"/>
              <w:marBottom w:val="0"/>
              <w:divBdr>
                <w:top w:val="none" w:sz="0" w:space="0" w:color="auto"/>
                <w:left w:val="none" w:sz="0" w:space="0" w:color="auto"/>
                <w:bottom w:val="none" w:sz="0" w:space="0" w:color="auto"/>
                <w:right w:val="none" w:sz="0" w:space="0" w:color="auto"/>
              </w:divBdr>
              <w:divsChild>
                <w:div w:id="2114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2956">
      <w:bodyDiv w:val="1"/>
      <w:marLeft w:val="0"/>
      <w:marRight w:val="0"/>
      <w:marTop w:val="0"/>
      <w:marBottom w:val="0"/>
      <w:divBdr>
        <w:top w:val="none" w:sz="0" w:space="0" w:color="auto"/>
        <w:left w:val="none" w:sz="0" w:space="0" w:color="auto"/>
        <w:bottom w:val="none" w:sz="0" w:space="0" w:color="auto"/>
        <w:right w:val="none" w:sz="0" w:space="0" w:color="auto"/>
      </w:divBdr>
      <w:divsChild>
        <w:div w:id="1033001490">
          <w:marLeft w:val="0"/>
          <w:marRight w:val="0"/>
          <w:marTop w:val="0"/>
          <w:marBottom w:val="0"/>
          <w:divBdr>
            <w:top w:val="none" w:sz="0" w:space="0" w:color="auto"/>
            <w:left w:val="none" w:sz="0" w:space="0" w:color="auto"/>
            <w:bottom w:val="none" w:sz="0" w:space="0" w:color="auto"/>
            <w:right w:val="none" w:sz="0" w:space="0" w:color="auto"/>
          </w:divBdr>
          <w:divsChild>
            <w:div w:id="1181432047">
              <w:marLeft w:val="0"/>
              <w:marRight w:val="0"/>
              <w:marTop w:val="0"/>
              <w:marBottom w:val="0"/>
              <w:divBdr>
                <w:top w:val="none" w:sz="0" w:space="0" w:color="auto"/>
                <w:left w:val="none" w:sz="0" w:space="0" w:color="auto"/>
                <w:bottom w:val="none" w:sz="0" w:space="0" w:color="auto"/>
                <w:right w:val="none" w:sz="0" w:space="0" w:color="auto"/>
              </w:divBdr>
              <w:divsChild>
                <w:div w:id="555360774">
                  <w:marLeft w:val="0"/>
                  <w:marRight w:val="0"/>
                  <w:marTop w:val="0"/>
                  <w:marBottom w:val="0"/>
                  <w:divBdr>
                    <w:top w:val="none" w:sz="0" w:space="0" w:color="auto"/>
                    <w:left w:val="none" w:sz="0" w:space="0" w:color="auto"/>
                    <w:bottom w:val="none" w:sz="0" w:space="0" w:color="auto"/>
                    <w:right w:val="none" w:sz="0" w:space="0" w:color="auto"/>
                  </w:divBdr>
                  <w:divsChild>
                    <w:div w:id="358632311">
                      <w:marLeft w:val="0"/>
                      <w:marRight w:val="0"/>
                      <w:marTop w:val="0"/>
                      <w:marBottom w:val="0"/>
                      <w:divBdr>
                        <w:top w:val="none" w:sz="0" w:space="0" w:color="auto"/>
                        <w:left w:val="none" w:sz="0" w:space="0" w:color="auto"/>
                        <w:bottom w:val="none" w:sz="0" w:space="0" w:color="auto"/>
                        <w:right w:val="none" w:sz="0" w:space="0" w:color="auto"/>
                      </w:divBdr>
                      <w:divsChild>
                        <w:div w:id="893658001">
                          <w:marLeft w:val="0"/>
                          <w:marRight w:val="0"/>
                          <w:marTop w:val="0"/>
                          <w:marBottom w:val="0"/>
                          <w:divBdr>
                            <w:top w:val="single" w:sz="6" w:space="10" w:color="E5E5E5"/>
                            <w:left w:val="single" w:sz="6" w:space="31" w:color="E5E5E5"/>
                            <w:bottom w:val="single" w:sz="6" w:space="10" w:color="E5E5E5"/>
                            <w:right w:val="single" w:sz="6" w:space="31" w:color="E5E5E5"/>
                          </w:divBdr>
                          <w:divsChild>
                            <w:div w:id="16206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939487">
      <w:bodyDiv w:val="1"/>
      <w:marLeft w:val="0"/>
      <w:marRight w:val="0"/>
      <w:marTop w:val="0"/>
      <w:marBottom w:val="0"/>
      <w:divBdr>
        <w:top w:val="none" w:sz="0" w:space="0" w:color="auto"/>
        <w:left w:val="none" w:sz="0" w:space="0" w:color="auto"/>
        <w:bottom w:val="none" w:sz="0" w:space="0" w:color="auto"/>
        <w:right w:val="none" w:sz="0" w:space="0" w:color="auto"/>
      </w:divBdr>
      <w:divsChild>
        <w:div w:id="1626307423">
          <w:marLeft w:val="0"/>
          <w:marRight w:val="0"/>
          <w:marTop w:val="0"/>
          <w:marBottom w:val="0"/>
          <w:divBdr>
            <w:top w:val="none" w:sz="0" w:space="0" w:color="auto"/>
            <w:left w:val="none" w:sz="0" w:space="0" w:color="auto"/>
            <w:bottom w:val="none" w:sz="0" w:space="0" w:color="auto"/>
            <w:right w:val="none" w:sz="0" w:space="0" w:color="auto"/>
          </w:divBdr>
          <w:divsChild>
            <w:div w:id="1208569680">
              <w:marLeft w:val="0"/>
              <w:marRight w:val="0"/>
              <w:marTop w:val="0"/>
              <w:marBottom w:val="0"/>
              <w:divBdr>
                <w:top w:val="none" w:sz="0" w:space="0" w:color="auto"/>
                <w:left w:val="none" w:sz="0" w:space="0" w:color="auto"/>
                <w:bottom w:val="none" w:sz="0" w:space="0" w:color="auto"/>
                <w:right w:val="none" w:sz="0" w:space="0" w:color="auto"/>
              </w:divBdr>
              <w:divsChild>
                <w:div w:id="10804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817">
      <w:bodyDiv w:val="1"/>
      <w:marLeft w:val="0"/>
      <w:marRight w:val="0"/>
      <w:marTop w:val="0"/>
      <w:marBottom w:val="0"/>
      <w:divBdr>
        <w:top w:val="none" w:sz="0" w:space="0" w:color="auto"/>
        <w:left w:val="none" w:sz="0" w:space="0" w:color="auto"/>
        <w:bottom w:val="none" w:sz="0" w:space="0" w:color="auto"/>
        <w:right w:val="none" w:sz="0" w:space="0" w:color="auto"/>
      </w:divBdr>
      <w:divsChild>
        <w:div w:id="1095248733">
          <w:marLeft w:val="0"/>
          <w:marRight w:val="0"/>
          <w:marTop w:val="0"/>
          <w:marBottom w:val="0"/>
          <w:divBdr>
            <w:top w:val="none" w:sz="0" w:space="0" w:color="auto"/>
            <w:left w:val="none" w:sz="0" w:space="0" w:color="auto"/>
            <w:bottom w:val="none" w:sz="0" w:space="0" w:color="auto"/>
            <w:right w:val="none" w:sz="0" w:space="0" w:color="auto"/>
          </w:divBdr>
          <w:divsChild>
            <w:div w:id="2131973318">
              <w:marLeft w:val="0"/>
              <w:marRight w:val="0"/>
              <w:marTop w:val="0"/>
              <w:marBottom w:val="0"/>
              <w:divBdr>
                <w:top w:val="none" w:sz="0" w:space="0" w:color="auto"/>
                <w:left w:val="none" w:sz="0" w:space="0" w:color="auto"/>
                <w:bottom w:val="none" w:sz="0" w:space="0" w:color="auto"/>
                <w:right w:val="none" w:sz="0" w:space="0" w:color="auto"/>
              </w:divBdr>
              <w:divsChild>
                <w:div w:id="1936863642">
                  <w:marLeft w:val="0"/>
                  <w:marRight w:val="0"/>
                  <w:marTop w:val="450"/>
                  <w:marBottom w:val="0"/>
                  <w:divBdr>
                    <w:top w:val="none" w:sz="0" w:space="0" w:color="auto"/>
                    <w:left w:val="none" w:sz="0" w:space="0" w:color="auto"/>
                    <w:bottom w:val="none" w:sz="0" w:space="0" w:color="auto"/>
                    <w:right w:val="none" w:sz="0" w:space="0" w:color="auto"/>
                  </w:divBdr>
                  <w:divsChild>
                    <w:div w:id="1063331132">
                      <w:marLeft w:val="0"/>
                      <w:marRight w:val="0"/>
                      <w:marTop w:val="0"/>
                      <w:marBottom w:val="0"/>
                      <w:divBdr>
                        <w:top w:val="none" w:sz="0" w:space="0" w:color="auto"/>
                        <w:left w:val="none" w:sz="0" w:space="0" w:color="auto"/>
                        <w:bottom w:val="none" w:sz="0" w:space="0" w:color="auto"/>
                        <w:right w:val="none" w:sz="0" w:space="0" w:color="auto"/>
                      </w:divBdr>
                      <w:divsChild>
                        <w:div w:id="645161625">
                          <w:marLeft w:val="0"/>
                          <w:marRight w:val="0"/>
                          <w:marTop w:val="0"/>
                          <w:marBottom w:val="0"/>
                          <w:divBdr>
                            <w:top w:val="none" w:sz="0" w:space="0" w:color="auto"/>
                            <w:left w:val="none" w:sz="0" w:space="0" w:color="auto"/>
                            <w:bottom w:val="none" w:sz="0" w:space="0" w:color="auto"/>
                            <w:right w:val="none" w:sz="0" w:space="0" w:color="auto"/>
                          </w:divBdr>
                          <w:divsChild>
                            <w:div w:id="1847665831">
                              <w:marLeft w:val="0"/>
                              <w:marRight w:val="0"/>
                              <w:marTop w:val="0"/>
                              <w:marBottom w:val="0"/>
                              <w:divBdr>
                                <w:top w:val="none" w:sz="0" w:space="0" w:color="auto"/>
                                <w:left w:val="none" w:sz="0" w:space="0" w:color="auto"/>
                                <w:bottom w:val="none" w:sz="0" w:space="0" w:color="auto"/>
                                <w:right w:val="none" w:sz="0" w:space="0" w:color="auto"/>
                              </w:divBdr>
                              <w:divsChild>
                                <w:div w:id="349138137">
                                  <w:marLeft w:val="0"/>
                                  <w:marRight w:val="0"/>
                                  <w:marTop w:val="0"/>
                                  <w:marBottom w:val="0"/>
                                  <w:divBdr>
                                    <w:top w:val="none" w:sz="0" w:space="0" w:color="auto"/>
                                    <w:left w:val="none" w:sz="0" w:space="0" w:color="auto"/>
                                    <w:bottom w:val="none" w:sz="0" w:space="0" w:color="auto"/>
                                    <w:right w:val="none" w:sz="0" w:space="0" w:color="auto"/>
                                  </w:divBdr>
                                  <w:divsChild>
                                    <w:div w:id="653992009">
                                      <w:marLeft w:val="0"/>
                                      <w:marRight w:val="0"/>
                                      <w:marTop w:val="0"/>
                                      <w:marBottom w:val="225"/>
                                      <w:divBdr>
                                        <w:top w:val="none" w:sz="0" w:space="0" w:color="auto"/>
                                        <w:left w:val="none" w:sz="0" w:space="0" w:color="auto"/>
                                        <w:bottom w:val="none" w:sz="0" w:space="0" w:color="auto"/>
                                        <w:right w:val="none" w:sz="0" w:space="0" w:color="auto"/>
                                      </w:divBdr>
                                      <w:divsChild>
                                        <w:div w:id="807211485">
                                          <w:marLeft w:val="0"/>
                                          <w:marRight w:val="0"/>
                                          <w:marTop w:val="0"/>
                                          <w:marBottom w:val="0"/>
                                          <w:divBdr>
                                            <w:top w:val="none" w:sz="0" w:space="0" w:color="auto"/>
                                            <w:left w:val="none" w:sz="0" w:space="0" w:color="auto"/>
                                            <w:bottom w:val="none" w:sz="0" w:space="0" w:color="auto"/>
                                            <w:right w:val="none" w:sz="0" w:space="0" w:color="auto"/>
                                          </w:divBdr>
                                        </w:div>
                                        <w:div w:id="1626884873">
                                          <w:marLeft w:val="0"/>
                                          <w:marRight w:val="0"/>
                                          <w:marTop w:val="0"/>
                                          <w:marBottom w:val="0"/>
                                          <w:divBdr>
                                            <w:top w:val="none" w:sz="0" w:space="0" w:color="auto"/>
                                            <w:left w:val="none" w:sz="0" w:space="0" w:color="auto"/>
                                            <w:bottom w:val="none" w:sz="0" w:space="0" w:color="auto"/>
                                            <w:right w:val="none" w:sz="0" w:space="0" w:color="auto"/>
                                          </w:divBdr>
                                        </w:div>
                                        <w:div w:id="893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117530">
      <w:bodyDiv w:val="1"/>
      <w:marLeft w:val="0"/>
      <w:marRight w:val="0"/>
      <w:marTop w:val="0"/>
      <w:marBottom w:val="0"/>
      <w:divBdr>
        <w:top w:val="none" w:sz="0" w:space="0" w:color="auto"/>
        <w:left w:val="none" w:sz="0" w:space="0" w:color="auto"/>
        <w:bottom w:val="none" w:sz="0" w:space="0" w:color="auto"/>
        <w:right w:val="none" w:sz="0" w:space="0" w:color="auto"/>
      </w:divBdr>
      <w:divsChild>
        <w:div w:id="215047172">
          <w:marLeft w:val="0"/>
          <w:marRight w:val="0"/>
          <w:marTop w:val="0"/>
          <w:marBottom w:val="0"/>
          <w:divBdr>
            <w:top w:val="none" w:sz="0" w:space="0" w:color="auto"/>
            <w:left w:val="none" w:sz="0" w:space="0" w:color="auto"/>
            <w:bottom w:val="none" w:sz="0" w:space="0" w:color="auto"/>
            <w:right w:val="none" w:sz="0" w:space="0" w:color="auto"/>
          </w:divBdr>
          <w:divsChild>
            <w:div w:id="888759280">
              <w:marLeft w:val="0"/>
              <w:marRight w:val="0"/>
              <w:marTop w:val="0"/>
              <w:marBottom w:val="0"/>
              <w:divBdr>
                <w:top w:val="none" w:sz="0" w:space="0" w:color="auto"/>
                <w:left w:val="none" w:sz="0" w:space="0" w:color="auto"/>
                <w:bottom w:val="none" w:sz="0" w:space="0" w:color="auto"/>
                <w:right w:val="none" w:sz="0" w:space="0" w:color="auto"/>
              </w:divBdr>
              <w:divsChild>
                <w:div w:id="1411152075">
                  <w:marLeft w:val="0"/>
                  <w:marRight w:val="0"/>
                  <w:marTop w:val="0"/>
                  <w:marBottom w:val="0"/>
                  <w:divBdr>
                    <w:top w:val="none" w:sz="0" w:space="0" w:color="auto"/>
                    <w:left w:val="none" w:sz="0" w:space="0" w:color="auto"/>
                    <w:bottom w:val="none" w:sz="0" w:space="0" w:color="auto"/>
                    <w:right w:val="none" w:sz="0" w:space="0" w:color="auto"/>
                  </w:divBdr>
                  <w:divsChild>
                    <w:div w:id="1531529023">
                      <w:marLeft w:val="0"/>
                      <w:marRight w:val="0"/>
                      <w:marTop w:val="0"/>
                      <w:marBottom w:val="0"/>
                      <w:divBdr>
                        <w:top w:val="none" w:sz="0" w:space="0" w:color="auto"/>
                        <w:left w:val="none" w:sz="0" w:space="0" w:color="auto"/>
                        <w:bottom w:val="none" w:sz="0" w:space="0" w:color="auto"/>
                        <w:right w:val="none" w:sz="0" w:space="0" w:color="auto"/>
                      </w:divBdr>
                      <w:divsChild>
                        <w:div w:id="1004670325">
                          <w:marLeft w:val="0"/>
                          <w:marRight w:val="0"/>
                          <w:marTop w:val="0"/>
                          <w:marBottom w:val="0"/>
                          <w:divBdr>
                            <w:top w:val="single" w:sz="6" w:space="10" w:color="E5E5E5"/>
                            <w:left w:val="single" w:sz="6" w:space="31" w:color="E5E5E5"/>
                            <w:bottom w:val="single" w:sz="6" w:space="10" w:color="E5E5E5"/>
                            <w:right w:val="single" w:sz="6" w:space="31" w:color="E5E5E5"/>
                          </w:divBdr>
                          <w:divsChild>
                            <w:div w:id="8351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6045">
      <w:bodyDiv w:val="1"/>
      <w:marLeft w:val="0"/>
      <w:marRight w:val="0"/>
      <w:marTop w:val="0"/>
      <w:marBottom w:val="0"/>
      <w:divBdr>
        <w:top w:val="none" w:sz="0" w:space="0" w:color="auto"/>
        <w:left w:val="none" w:sz="0" w:space="0" w:color="auto"/>
        <w:bottom w:val="none" w:sz="0" w:space="0" w:color="auto"/>
        <w:right w:val="none" w:sz="0" w:space="0" w:color="auto"/>
      </w:divBdr>
      <w:divsChild>
        <w:div w:id="1198009605">
          <w:marLeft w:val="0"/>
          <w:marRight w:val="0"/>
          <w:marTop w:val="0"/>
          <w:marBottom w:val="0"/>
          <w:divBdr>
            <w:top w:val="none" w:sz="0" w:space="0" w:color="auto"/>
            <w:left w:val="none" w:sz="0" w:space="0" w:color="auto"/>
            <w:bottom w:val="none" w:sz="0" w:space="0" w:color="auto"/>
            <w:right w:val="none" w:sz="0" w:space="0" w:color="auto"/>
          </w:divBdr>
          <w:divsChild>
            <w:div w:id="2094888490">
              <w:marLeft w:val="0"/>
              <w:marRight w:val="0"/>
              <w:marTop w:val="0"/>
              <w:marBottom w:val="0"/>
              <w:divBdr>
                <w:top w:val="none" w:sz="0" w:space="0" w:color="auto"/>
                <w:left w:val="none" w:sz="0" w:space="0" w:color="auto"/>
                <w:bottom w:val="none" w:sz="0" w:space="0" w:color="auto"/>
                <w:right w:val="none" w:sz="0" w:space="0" w:color="auto"/>
              </w:divBdr>
              <w:divsChild>
                <w:div w:id="1586836323">
                  <w:marLeft w:val="0"/>
                  <w:marRight w:val="0"/>
                  <w:marTop w:val="0"/>
                  <w:marBottom w:val="0"/>
                  <w:divBdr>
                    <w:top w:val="none" w:sz="0" w:space="0" w:color="auto"/>
                    <w:left w:val="none" w:sz="0" w:space="0" w:color="auto"/>
                    <w:bottom w:val="none" w:sz="0" w:space="0" w:color="auto"/>
                    <w:right w:val="none" w:sz="0" w:space="0" w:color="auto"/>
                  </w:divBdr>
                  <w:divsChild>
                    <w:div w:id="807431698">
                      <w:marLeft w:val="0"/>
                      <w:marRight w:val="0"/>
                      <w:marTop w:val="0"/>
                      <w:marBottom w:val="0"/>
                      <w:divBdr>
                        <w:top w:val="none" w:sz="0" w:space="0" w:color="auto"/>
                        <w:left w:val="none" w:sz="0" w:space="0" w:color="auto"/>
                        <w:bottom w:val="none" w:sz="0" w:space="0" w:color="auto"/>
                        <w:right w:val="none" w:sz="0" w:space="0" w:color="auto"/>
                      </w:divBdr>
                      <w:divsChild>
                        <w:div w:id="1424885611">
                          <w:marLeft w:val="0"/>
                          <w:marRight w:val="0"/>
                          <w:marTop w:val="0"/>
                          <w:marBottom w:val="0"/>
                          <w:divBdr>
                            <w:top w:val="single" w:sz="6" w:space="10" w:color="E5E5E5"/>
                            <w:left w:val="single" w:sz="6" w:space="31" w:color="E5E5E5"/>
                            <w:bottom w:val="single" w:sz="6" w:space="10" w:color="E5E5E5"/>
                            <w:right w:val="single" w:sz="6" w:space="31" w:color="E5E5E5"/>
                          </w:divBdr>
                          <w:divsChild>
                            <w:div w:id="4336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90444">
      <w:bodyDiv w:val="1"/>
      <w:marLeft w:val="0"/>
      <w:marRight w:val="0"/>
      <w:marTop w:val="0"/>
      <w:marBottom w:val="0"/>
      <w:divBdr>
        <w:top w:val="none" w:sz="0" w:space="0" w:color="auto"/>
        <w:left w:val="none" w:sz="0" w:space="0" w:color="auto"/>
        <w:bottom w:val="none" w:sz="0" w:space="0" w:color="auto"/>
        <w:right w:val="none" w:sz="0" w:space="0" w:color="auto"/>
      </w:divBdr>
      <w:divsChild>
        <w:div w:id="884759710">
          <w:marLeft w:val="0"/>
          <w:marRight w:val="0"/>
          <w:marTop w:val="0"/>
          <w:marBottom w:val="0"/>
          <w:divBdr>
            <w:top w:val="none" w:sz="0" w:space="0" w:color="auto"/>
            <w:left w:val="none" w:sz="0" w:space="0" w:color="auto"/>
            <w:bottom w:val="none" w:sz="0" w:space="0" w:color="auto"/>
            <w:right w:val="none" w:sz="0" w:space="0" w:color="auto"/>
          </w:divBdr>
          <w:divsChild>
            <w:div w:id="1779327541">
              <w:marLeft w:val="0"/>
              <w:marRight w:val="0"/>
              <w:marTop w:val="0"/>
              <w:marBottom w:val="0"/>
              <w:divBdr>
                <w:top w:val="none" w:sz="0" w:space="0" w:color="auto"/>
                <w:left w:val="none" w:sz="0" w:space="0" w:color="auto"/>
                <w:bottom w:val="none" w:sz="0" w:space="0" w:color="auto"/>
                <w:right w:val="none" w:sz="0" w:space="0" w:color="auto"/>
              </w:divBdr>
              <w:divsChild>
                <w:div w:id="1439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6743">
      <w:bodyDiv w:val="1"/>
      <w:marLeft w:val="0"/>
      <w:marRight w:val="0"/>
      <w:marTop w:val="0"/>
      <w:marBottom w:val="0"/>
      <w:divBdr>
        <w:top w:val="none" w:sz="0" w:space="0" w:color="auto"/>
        <w:left w:val="none" w:sz="0" w:space="0" w:color="auto"/>
        <w:bottom w:val="none" w:sz="0" w:space="0" w:color="auto"/>
        <w:right w:val="none" w:sz="0" w:space="0" w:color="auto"/>
      </w:divBdr>
      <w:divsChild>
        <w:div w:id="1201894884">
          <w:marLeft w:val="0"/>
          <w:marRight w:val="0"/>
          <w:marTop w:val="0"/>
          <w:marBottom w:val="0"/>
          <w:divBdr>
            <w:top w:val="none" w:sz="0" w:space="0" w:color="auto"/>
            <w:left w:val="none" w:sz="0" w:space="0" w:color="auto"/>
            <w:bottom w:val="none" w:sz="0" w:space="0" w:color="auto"/>
            <w:right w:val="none" w:sz="0" w:space="0" w:color="auto"/>
          </w:divBdr>
          <w:divsChild>
            <w:div w:id="306786362">
              <w:marLeft w:val="0"/>
              <w:marRight w:val="0"/>
              <w:marTop w:val="0"/>
              <w:marBottom w:val="0"/>
              <w:divBdr>
                <w:top w:val="none" w:sz="0" w:space="0" w:color="auto"/>
                <w:left w:val="none" w:sz="0" w:space="0" w:color="auto"/>
                <w:bottom w:val="none" w:sz="0" w:space="0" w:color="auto"/>
                <w:right w:val="none" w:sz="0" w:space="0" w:color="auto"/>
              </w:divBdr>
              <w:divsChild>
                <w:div w:id="457796746">
                  <w:marLeft w:val="0"/>
                  <w:marRight w:val="0"/>
                  <w:marTop w:val="0"/>
                  <w:marBottom w:val="0"/>
                  <w:divBdr>
                    <w:top w:val="none" w:sz="0" w:space="0" w:color="auto"/>
                    <w:left w:val="none" w:sz="0" w:space="0" w:color="auto"/>
                    <w:bottom w:val="none" w:sz="0" w:space="0" w:color="auto"/>
                    <w:right w:val="none" w:sz="0" w:space="0" w:color="auto"/>
                  </w:divBdr>
                  <w:divsChild>
                    <w:div w:id="397020542">
                      <w:marLeft w:val="0"/>
                      <w:marRight w:val="0"/>
                      <w:marTop w:val="0"/>
                      <w:marBottom w:val="0"/>
                      <w:divBdr>
                        <w:top w:val="none" w:sz="0" w:space="0" w:color="auto"/>
                        <w:left w:val="none" w:sz="0" w:space="0" w:color="auto"/>
                        <w:bottom w:val="none" w:sz="0" w:space="0" w:color="auto"/>
                        <w:right w:val="none" w:sz="0" w:space="0" w:color="auto"/>
                      </w:divBdr>
                      <w:divsChild>
                        <w:div w:id="2049870">
                          <w:marLeft w:val="0"/>
                          <w:marRight w:val="0"/>
                          <w:marTop w:val="0"/>
                          <w:marBottom w:val="0"/>
                          <w:divBdr>
                            <w:top w:val="single" w:sz="6" w:space="10" w:color="E5E5E5"/>
                            <w:left w:val="single" w:sz="6" w:space="31" w:color="E5E5E5"/>
                            <w:bottom w:val="single" w:sz="6" w:space="10" w:color="E5E5E5"/>
                            <w:right w:val="single" w:sz="6" w:space="31" w:color="E5E5E5"/>
                          </w:divBdr>
                          <w:divsChild>
                            <w:div w:id="7678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5118">
      <w:bodyDiv w:val="1"/>
      <w:marLeft w:val="0"/>
      <w:marRight w:val="0"/>
      <w:marTop w:val="0"/>
      <w:marBottom w:val="0"/>
      <w:divBdr>
        <w:top w:val="none" w:sz="0" w:space="0" w:color="auto"/>
        <w:left w:val="none" w:sz="0" w:space="0" w:color="auto"/>
        <w:bottom w:val="none" w:sz="0" w:space="0" w:color="auto"/>
        <w:right w:val="none" w:sz="0" w:space="0" w:color="auto"/>
      </w:divBdr>
      <w:divsChild>
        <w:div w:id="1876458494">
          <w:marLeft w:val="0"/>
          <w:marRight w:val="0"/>
          <w:marTop w:val="0"/>
          <w:marBottom w:val="0"/>
          <w:divBdr>
            <w:top w:val="none" w:sz="0" w:space="0" w:color="auto"/>
            <w:left w:val="none" w:sz="0" w:space="0" w:color="auto"/>
            <w:bottom w:val="none" w:sz="0" w:space="0" w:color="auto"/>
            <w:right w:val="none" w:sz="0" w:space="0" w:color="auto"/>
          </w:divBdr>
          <w:divsChild>
            <w:div w:id="530841649">
              <w:marLeft w:val="0"/>
              <w:marRight w:val="0"/>
              <w:marTop w:val="0"/>
              <w:marBottom w:val="0"/>
              <w:divBdr>
                <w:top w:val="none" w:sz="0" w:space="0" w:color="auto"/>
                <w:left w:val="none" w:sz="0" w:space="0" w:color="auto"/>
                <w:bottom w:val="none" w:sz="0" w:space="0" w:color="auto"/>
                <w:right w:val="none" w:sz="0" w:space="0" w:color="auto"/>
              </w:divBdr>
              <w:divsChild>
                <w:div w:id="541213721">
                  <w:marLeft w:val="0"/>
                  <w:marRight w:val="0"/>
                  <w:marTop w:val="0"/>
                  <w:marBottom w:val="0"/>
                  <w:divBdr>
                    <w:top w:val="none" w:sz="0" w:space="0" w:color="auto"/>
                    <w:left w:val="none" w:sz="0" w:space="0" w:color="auto"/>
                    <w:bottom w:val="none" w:sz="0" w:space="0" w:color="auto"/>
                    <w:right w:val="none" w:sz="0" w:space="0" w:color="auto"/>
                  </w:divBdr>
                  <w:divsChild>
                    <w:div w:id="655454503">
                      <w:marLeft w:val="0"/>
                      <w:marRight w:val="0"/>
                      <w:marTop w:val="0"/>
                      <w:marBottom w:val="0"/>
                      <w:divBdr>
                        <w:top w:val="none" w:sz="0" w:space="0" w:color="auto"/>
                        <w:left w:val="none" w:sz="0" w:space="0" w:color="auto"/>
                        <w:bottom w:val="none" w:sz="0" w:space="0" w:color="auto"/>
                        <w:right w:val="none" w:sz="0" w:space="0" w:color="auto"/>
                      </w:divBdr>
                      <w:divsChild>
                        <w:div w:id="1581139644">
                          <w:marLeft w:val="0"/>
                          <w:marRight w:val="0"/>
                          <w:marTop w:val="0"/>
                          <w:marBottom w:val="0"/>
                          <w:divBdr>
                            <w:top w:val="single" w:sz="6" w:space="10" w:color="E5E5E5"/>
                            <w:left w:val="single" w:sz="6" w:space="31" w:color="E5E5E5"/>
                            <w:bottom w:val="single" w:sz="6" w:space="10" w:color="E5E5E5"/>
                            <w:right w:val="single" w:sz="6" w:space="31" w:color="E5E5E5"/>
                          </w:divBdr>
                          <w:divsChild>
                            <w:div w:id="17334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77294">
      <w:bodyDiv w:val="1"/>
      <w:marLeft w:val="0"/>
      <w:marRight w:val="0"/>
      <w:marTop w:val="0"/>
      <w:marBottom w:val="0"/>
      <w:divBdr>
        <w:top w:val="none" w:sz="0" w:space="0" w:color="auto"/>
        <w:left w:val="none" w:sz="0" w:space="0" w:color="auto"/>
        <w:bottom w:val="none" w:sz="0" w:space="0" w:color="auto"/>
        <w:right w:val="none" w:sz="0" w:space="0" w:color="auto"/>
      </w:divBdr>
      <w:divsChild>
        <w:div w:id="1494103240">
          <w:marLeft w:val="0"/>
          <w:marRight w:val="0"/>
          <w:marTop w:val="0"/>
          <w:marBottom w:val="0"/>
          <w:divBdr>
            <w:top w:val="none" w:sz="0" w:space="0" w:color="auto"/>
            <w:left w:val="none" w:sz="0" w:space="0" w:color="auto"/>
            <w:bottom w:val="none" w:sz="0" w:space="0" w:color="auto"/>
            <w:right w:val="none" w:sz="0" w:space="0" w:color="auto"/>
          </w:divBdr>
          <w:divsChild>
            <w:div w:id="624696591">
              <w:marLeft w:val="0"/>
              <w:marRight w:val="0"/>
              <w:marTop w:val="0"/>
              <w:marBottom w:val="0"/>
              <w:divBdr>
                <w:top w:val="none" w:sz="0" w:space="0" w:color="auto"/>
                <w:left w:val="none" w:sz="0" w:space="0" w:color="auto"/>
                <w:bottom w:val="none" w:sz="0" w:space="0" w:color="auto"/>
                <w:right w:val="none" w:sz="0" w:space="0" w:color="auto"/>
              </w:divBdr>
              <w:divsChild>
                <w:div w:id="1527524653">
                  <w:marLeft w:val="0"/>
                  <w:marRight w:val="0"/>
                  <w:marTop w:val="0"/>
                  <w:marBottom w:val="0"/>
                  <w:divBdr>
                    <w:top w:val="none" w:sz="0" w:space="0" w:color="auto"/>
                    <w:left w:val="none" w:sz="0" w:space="0" w:color="auto"/>
                    <w:bottom w:val="none" w:sz="0" w:space="0" w:color="auto"/>
                    <w:right w:val="none" w:sz="0" w:space="0" w:color="auto"/>
                  </w:divBdr>
                  <w:divsChild>
                    <w:div w:id="229390556">
                      <w:marLeft w:val="0"/>
                      <w:marRight w:val="0"/>
                      <w:marTop w:val="0"/>
                      <w:marBottom w:val="0"/>
                      <w:divBdr>
                        <w:top w:val="none" w:sz="0" w:space="0" w:color="auto"/>
                        <w:left w:val="none" w:sz="0" w:space="0" w:color="auto"/>
                        <w:bottom w:val="none" w:sz="0" w:space="0" w:color="auto"/>
                        <w:right w:val="none" w:sz="0" w:space="0" w:color="auto"/>
                      </w:divBdr>
                      <w:divsChild>
                        <w:div w:id="1645960876">
                          <w:marLeft w:val="0"/>
                          <w:marRight w:val="0"/>
                          <w:marTop w:val="0"/>
                          <w:marBottom w:val="0"/>
                          <w:divBdr>
                            <w:top w:val="single" w:sz="6" w:space="10" w:color="E5E5E5"/>
                            <w:left w:val="single" w:sz="6" w:space="31" w:color="E5E5E5"/>
                            <w:bottom w:val="single" w:sz="6" w:space="10" w:color="E5E5E5"/>
                            <w:right w:val="single" w:sz="6" w:space="31" w:color="E5E5E5"/>
                          </w:divBdr>
                          <w:divsChild>
                            <w:div w:id="1190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26B9-DFB8-4296-85E5-D0996B08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2018-04-30T17:27:00Z</cp:lastPrinted>
  <dcterms:created xsi:type="dcterms:W3CDTF">2018-05-02T20:15:00Z</dcterms:created>
  <dcterms:modified xsi:type="dcterms:W3CDTF">2018-05-02T20:15:00Z</dcterms:modified>
</cp:coreProperties>
</file>