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FBE" w:rsidRPr="00B97834" w:rsidRDefault="00C37FBE" w:rsidP="00B97834">
      <w:pPr>
        <w:pStyle w:val="Title"/>
        <w:spacing w:after="120"/>
        <w:jc w:val="left"/>
        <w:rPr>
          <w:sz w:val="32"/>
        </w:rPr>
      </w:pPr>
      <w:bookmarkStart w:id="0" w:name="_GoBack"/>
      <w:bookmarkEnd w:id="0"/>
      <w:r w:rsidRPr="00B97834">
        <w:rPr>
          <w:sz w:val="32"/>
        </w:rPr>
        <w:t>Summary of reported hepat</w:t>
      </w:r>
      <w:r w:rsidR="00E94F41" w:rsidRPr="00B97834">
        <w:rPr>
          <w:sz w:val="32"/>
        </w:rPr>
        <w:t xml:space="preserve">itis A cases </w:t>
      </w:r>
      <w:r w:rsidR="00E26781" w:rsidRPr="00B97834">
        <w:rPr>
          <w:sz w:val="32"/>
        </w:rPr>
        <w:t>linked</w:t>
      </w:r>
      <w:r w:rsidR="00E94F41" w:rsidRPr="00B97834">
        <w:rPr>
          <w:sz w:val="32"/>
        </w:rPr>
        <w:t xml:space="preserve"> to </w:t>
      </w:r>
      <w:r w:rsidR="00306605" w:rsidRPr="00B97834">
        <w:rPr>
          <w:sz w:val="32"/>
        </w:rPr>
        <w:t xml:space="preserve">person-to-person </w:t>
      </w:r>
      <w:r w:rsidR="00E94F41" w:rsidRPr="00B97834">
        <w:rPr>
          <w:sz w:val="32"/>
        </w:rPr>
        <w:t xml:space="preserve">outbreak, </w:t>
      </w:r>
      <w:r w:rsidRPr="00B97834">
        <w:rPr>
          <w:sz w:val="32"/>
        </w:rPr>
        <w:t>Massachus</w:t>
      </w:r>
      <w:r w:rsidR="00B97834" w:rsidRPr="00B97834">
        <w:rPr>
          <w:sz w:val="32"/>
        </w:rPr>
        <w:t>etts</w:t>
      </w:r>
      <w:r w:rsidR="00B97834">
        <w:rPr>
          <w:sz w:val="32"/>
        </w:rPr>
        <w:t xml:space="preserve">, </w:t>
      </w:r>
      <w:r w:rsidR="00086D2A" w:rsidRPr="00B97834">
        <w:rPr>
          <w:sz w:val="32"/>
        </w:rPr>
        <w:t>April 1, 2018-</w:t>
      </w:r>
      <w:r w:rsidR="00557FB9">
        <w:rPr>
          <w:sz w:val="32"/>
        </w:rPr>
        <w:t>May</w:t>
      </w:r>
      <w:r w:rsidR="00A509E6">
        <w:rPr>
          <w:sz w:val="32"/>
        </w:rPr>
        <w:t xml:space="preserve"> </w:t>
      </w:r>
      <w:r w:rsidR="002208C2">
        <w:rPr>
          <w:sz w:val="32"/>
        </w:rPr>
        <w:t>29</w:t>
      </w:r>
      <w:r w:rsidR="00A509E6">
        <w:rPr>
          <w:sz w:val="32"/>
        </w:rPr>
        <w:t>,</w:t>
      </w:r>
      <w:r w:rsidR="00967471">
        <w:rPr>
          <w:sz w:val="32"/>
        </w:rPr>
        <w:t xml:space="preserve"> 2020</w:t>
      </w:r>
    </w:p>
    <w:p w:rsidR="005E60FB" w:rsidRDefault="005E60FB" w:rsidP="005E60FB">
      <w:pPr>
        <w:rPr>
          <w:sz w:val="21"/>
          <w:szCs w:val="21"/>
        </w:rPr>
      </w:pPr>
      <w:r>
        <w:rPr>
          <w:sz w:val="21"/>
          <w:szCs w:val="21"/>
        </w:rPr>
        <w:t xml:space="preserve">Since April 2018, the Massachusetts Department of Public Health (MDPH) and local health departments have been investigating an outbreak of hepatitis A. The populations most affected by the outbreak were those with recent experiences of homelessness or unstable housing, and/or substance use disorder. </w:t>
      </w:r>
      <w:r>
        <w:rPr>
          <w:sz w:val="21"/>
          <w:szCs w:val="21"/>
          <w:u w:val="single"/>
        </w:rPr>
        <w:t>As of May 2020, the outbreak is considered over. Weekly case counts have decreased to a pre-outbreak baseline, and that trend has been sustained for several months.</w:t>
      </w:r>
      <w:r>
        <w:rPr>
          <w:sz w:val="21"/>
          <w:szCs w:val="21"/>
        </w:rPr>
        <w:t xml:space="preserve"> MDPH acknowledges the tremendous work on the part of stakeholders statewide to control and end this </w:t>
      </w:r>
      <w:proofErr w:type="gramStart"/>
      <w:r>
        <w:rPr>
          <w:sz w:val="21"/>
          <w:szCs w:val="21"/>
        </w:rPr>
        <w:t>outbreak, and</w:t>
      </w:r>
      <w:proofErr w:type="gramEnd"/>
      <w:r>
        <w:rPr>
          <w:sz w:val="21"/>
          <w:szCs w:val="21"/>
        </w:rPr>
        <w:t xml:space="preserve"> encourages continued vaccination of vulnerable populations in accordance with recommendations from the Advisory Committee on Immunization Practices. This report, which has been published bi-weekly throughout the outbreak, will no longer be updated. If you have questions about the report, the outbreak, or vaccination recommendations, please call the MDPH Division of Epidemiology at (617) 983-6800.</w:t>
      </w:r>
    </w:p>
    <w:p w:rsidR="00115A15" w:rsidRDefault="00115A15" w:rsidP="00115A15">
      <w:pPr>
        <w:ind w:right="-180"/>
        <w:rPr>
          <w:rFonts w:ascii="Times New Roman" w:hAnsi="Times New Roman" w:cs="Times New Roman"/>
          <w:b/>
        </w:rPr>
        <w:sectPr w:rsidR="00115A15" w:rsidSect="00115A15">
          <w:pgSz w:w="12240" w:h="15840"/>
          <w:pgMar w:top="720" w:right="720" w:bottom="720" w:left="720" w:header="720" w:footer="720" w:gutter="0"/>
          <w:cols w:space="720"/>
          <w:docGrid w:linePitch="360"/>
        </w:sectPr>
      </w:pPr>
    </w:p>
    <w:tbl>
      <w:tblPr>
        <w:tblStyle w:val="TableGrid"/>
        <w:tblW w:w="4878" w:type="dxa"/>
        <w:tblLayout w:type="fixed"/>
        <w:tblLook w:val="04A0" w:firstRow="1" w:lastRow="0" w:firstColumn="1" w:lastColumn="0" w:noHBand="0" w:noVBand="1"/>
      </w:tblPr>
      <w:tblGrid>
        <w:gridCol w:w="2070"/>
        <w:gridCol w:w="1278"/>
        <w:gridCol w:w="1530"/>
      </w:tblGrid>
      <w:tr w:rsidR="00A301B7" w:rsidRPr="00B97834" w:rsidTr="00C62803">
        <w:tc>
          <w:tcPr>
            <w:tcW w:w="2070" w:type="dxa"/>
          </w:tcPr>
          <w:p w:rsidR="00A301B7" w:rsidRPr="00B97834" w:rsidRDefault="00A301B7" w:rsidP="00BB257C">
            <w:pPr>
              <w:rPr>
                <w:rFonts w:cs="Times New Roman"/>
                <w:b/>
              </w:rPr>
            </w:pPr>
          </w:p>
        </w:tc>
        <w:tc>
          <w:tcPr>
            <w:tcW w:w="1278" w:type="dxa"/>
          </w:tcPr>
          <w:p w:rsidR="00A301B7" w:rsidRPr="00B97834" w:rsidRDefault="00A301B7" w:rsidP="005B0AC4">
            <w:pPr>
              <w:rPr>
                <w:rFonts w:cs="Times New Roman"/>
                <w:b/>
              </w:rPr>
            </w:pPr>
            <w:r w:rsidRPr="00B97834">
              <w:rPr>
                <w:rFonts w:cs="Times New Roman"/>
                <w:b/>
              </w:rPr>
              <w:t>2017</w:t>
            </w:r>
          </w:p>
          <w:p w:rsidR="00A301B7" w:rsidRPr="00B97834" w:rsidRDefault="00A301B7" w:rsidP="005B0AC4">
            <w:pPr>
              <w:rPr>
                <w:rFonts w:cs="Times New Roman"/>
                <w:b/>
              </w:rPr>
            </w:pPr>
            <w:r w:rsidRPr="00B97834">
              <w:rPr>
                <w:rFonts w:cs="Times New Roman"/>
                <w:b/>
              </w:rPr>
              <w:t>cases</w:t>
            </w:r>
          </w:p>
        </w:tc>
        <w:tc>
          <w:tcPr>
            <w:tcW w:w="1530" w:type="dxa"/>
          </w:tcPr>
          <w:p w:rsidR="00A301B7" w:rsidRPr="00B97834" w:rsidRDefault="00967471" w:rsidP="00801B46">
            <w:pPr>
              <w:rPr>
                <w:rFonts w:cs="Times New Roman"/>
                <w:b/>
              </w:rPr>
            </w:pPr>
            <w:r>
              <w:rPr>
                <w:rFonts w:cs="Times New Roman"/>
                <w:b/>
              </w:rPr>
              <w:t>2018-2020</w:t>
            </w:r>
            <w:r w:rsidR="00A301B7" w:rsidRPr="00B97834">
              <w:rPr>
                <w:rFonts w:cs="Times New Roman"/>
                <w:b/>
              </w:rPr>
              <w:t xml:space="preserve"> outbreak cases</w:t>
            </w:r>
          </w:p>
        </w:tc>
      </w:tr>
      <w:tr w:rsidR="00A301B7" w:rsidRPr="00B97834" w:rsidTr="00C62803">
        <w:tc>
          <w:tcPr>
            <w:tcW w:w="2070" w:type="dxa"/>
          </w:tcPr>
          <w:p w:rsidR="00A301B7" w:rsidRPr="00B97834" w:rsidRDefault="00A301B7" w:rsidP="00BB257C">
            <w:pPr>
              <w:rPr>
                <w:rFonts w:cs="Times New Roman"/>
                <w:b/>
              </w:rPr>
            </w:pPr>
            <w:r w:rsidRPr="00B97834">
              <w:rPr>
                <w:rFonts w:cs="Times New Roman"/>
                <w:b/>
              </w:rPr>
              <w:t>Number of cases</w:t>
            </w:r>
          </w:p>
        </w:tc>
        <w:tc>
          <w:tcPr>
            <w:tcW w:w="1278" w:type="dxa"/>
          </w:tcPr>
          <w:p w:rsidR="00A301B7" w:rsidRPr="00B97834" w:rsidRDefault="00A301B7" w:rsidP="009A210C">
            <w:pPr>
              <w:rPr>
                <w:rFonts w:cs="Times New Roman"/>
              </w:rPr>
            </w:pPr>
            <w:r w:rsidRPr="00B97834">
              <w:rPr>
                <w:rFonts w:cs="Times New Roman"/>
              </w:rPr>
              <w:t>53</w:t>
            </w:r>
            <w:r w:rsidR="00C62803" w:rsidRPr="00B97834">
              <w:rPr>
                <w:rFonts w:cs="Times New Roman"/>
              </w:rPr>
              <w:t>(0 deaths)</w:t>
            </w:r>
          </w:p>
        </w:tc>
        <w:tc>
          <w:tcPr>
            <w:tcW w:w="1530" w:type="dxa"/>
          </w:tcPr>
          <w:p w:rsidR="00A301B7" w:rsidRPr="00F74737" w:rsidRDefault="005148D3" w:rsidP="00DB03AE">
            <w:pPr>
              <w:rPr>
                <w:rFonts w:cs="Times New Roman"/>
                <w:highlight w:val="yellow"/>
              </w:rPr>
            </w:pPr>
            <w:r w:rsidRPr="005148D3">
              <w:rPr>
                <w:rFonts w:cs="Times New Roman"/>
              </w:rPr>
              <w:t>5</w:t>
            </w:r>
            <w:r w:rsidR="00A2093F">
              <w:rPr>
                <w:rFonts w:cs="Times New Roman"/>
              </w:rPr>
              <w:t>6</w:t>
            </w:r>
            <w:r w:rsidR="001E288D">
              <w:rPr>
                <w:rFonts w:cs="Times New Roman"/>
              </w:rPr>
              <w:t>3</w:t>
            </w:r>
            <w:r w:rsidR="007D151F" w:rsidRPr="005148D3">
              <w:rPr>
                <w:rFonts w:cs="Times New Roman"/>
              </w:rPr>
              <w:t xml:space="preserve"> (</w:t>
            </w:r>
            <w:r w:rsidR="00EB1A21">
              <w:rPr>
                <w:rFonts w:cs="Times New Roman"/>
              </w:rPr>
              <w:t>9</w:t>
            </w:r>
            <w:r w:rsidR="00A301B7" w:rsidRPr="005148D3">
              <w:rPr>
                <w:rFonts w:cs="Times New Roman"/>
              </w:rPr>
              <w:t xml:space="preserve"> deaths)</w:t>
            </w:r>
          </w:p>
        </w:tc>
      </w:tr>
      <w:tr w:rsidR="00A301B7" w:rsidRPr="00B97834" w:rsidTr="00C62803">
        <w:tc>
          <w:tcPr>
            <w:tcW w:w="2070" w:type="dxa"/>
          </w:tcPr>
          <w:p w:rsidR="00A301B7" w:rsidRPr="00B97834" w:rsidRDefault="00A301B7" w:rsidP="00BB257C">
            <w:pPr>
              <w:rPr>
                <w:rFonts w:cs="Times New Roman"/>
                <w:b/>
              </w:rPr>
            </w:pPr>
            <w:r w:rsidRPr="00B97834">
              <w:rPr>
                <w:rFonts w:cs="Times New Roman"/>
                <w:b/>
              </w:rPr>
              <w:t>Demographics</w:t>
            </w:r>
          </w:p>
        </w:tc>
        <w:tc>
          <w:tcPr>
            <w:tcW w:w="1278" w:type="dxa"/>
          </w:tcPr>
          <w:p w:rsidR="00A301B7" w:rsidRPr="00B97834" w:rsidRDefault="00A301B7" w:rsidP="00BB257C">
            <w:pPr>
              <w:rPr>
                <w:rFonts w:cs="Times New Roman"/>
              </w:rPr>
            </w:pPr>
          </w:p>
        </w:tc>
        <w:tc>
          <w:tcPr>
            <w:tcW w:w="1530" w:type="dxa"/>
          </w:tcPr>
          <w:p w:rsidR="00A301B7" w:rsidRPr="00F74737" w:rsidRDefault="00A301B7" w:rsidP="00BB257C">
            <w:pPr>
              <w:rPr>
                <w:rFonts w:cs="Times New Roman"/>
                <w:highlight w:val="yellow"/>
              </w:rPr>
            </w:pPr>
          </w:p>
        </w:tc>
      </w:tr>
      <w:tr w:rsidR="00A301B7" w:rsidRPr="00B97834" w:rsidTr="00C62803">
        <w:tc>
          <w:tcPr>
            <w:tcW w:w="2070" w:type="dxa"/>
          </w:tcPr>
          <w:p w:rsidR="00A301B7" w:rsidRPr="00B97834" w:rsidRDefault="00A301B7" w:rsidP="00A75ED5">
            <w:pPr>
              <w:ind w:left="180"/>
              <w:rPr>
                <w:rFonts w:cs="Times New Roman"/>
              </w:rPr>
            </w:pPr>
            <w:r w:rsidRPr="00B97834">
              <w:rPr>
                <w:rFonts w:cs="Times New Roman"/>
              </w:rPr>
              <w:t>Gender</w:t>
            </w:r>
          </w:p>
        </w:tc>
        <w:tc>
          <w:tcPr>
            <w:tcW w:w="1278" w:type="dxa"/>
          </w:tcPr>
          <w:p w:rsidR="00A301B7" w:rsidRPr="00B97834" w:rsidRDefault="00A301B7" w:rsidP="00BB257C">
            <w:pPr>
              <w:rPr>
                <w:rFonts w:cs="Times New Roman"/>
              </w:rPr>
            </w:pPr>
            <w:r w:rsidRPr="00B97834">
              <w:rPr>
                <w:rFonts w:cs="Times New Roman"/>
              </w:rPr>
              <w:t>64% male</w:t>
            </w:r>
          </w:p>
        </w:tc>
        <w:tc>
          <w:tcPr>
            <w:tcW w:w="1530" w:type="dxa"/>
          </w:tcPr>
          <w:p w:rsidR="00A301B7" w:rsidRPr="00F74737" w:rsidRDefault="007D151F" w:rsidP="00BB257C">
            <w:pPr>
              <w:rPr>
                <w:rFonts w:cs="Times New Roman"/>
                <w:highlight w:val="yellow"/>
              </w:rPr>
            </w:pPr>
            <w:r w:rsidRPr="005148D3">
              <w:rPr>
                <w:rFonts w:cs="Times New Roman"/>
              </w:rPr>
              <w:t>64</w:t>
            </w:r>
            <w:r w:rsidR="00A301B7" w:rsidRPr="005148D3">
              <w:rPr>
                <w:rFonts w:cs="Times New Roman"/>
              </w:rPr>
              <w:t>% male</w:t>
            </w:r>
          </w:p>
        </w:tc>
      </w:tr>
      <w:tr w:rsidR="00A301B7" w:rsidRPr="00B97834" w:rsidTr="00C62803">
        <w:tc>
          <w:tcPr>
            <w:tcW w:w="2070" w:type="dxa"/>
          </w:tcPr>
          <w:p w:rsidR="00A301B7" w:rsidRPr="00B97834" w:rsidRDefault="00A301B7" w:rsidP="00A75ED5">
            <w:pPr>
              <w:ind w:left="180"/>
              <w:rPr>
                <w:rFonts w:cs="Times New Roman"/>
              </w:rPr>
            </w:pPr>
            <w:r w:rsidRPr="00B97834">
              <w:rPr>
                <w:rFonts w:cs="Times New Roman"/>
              </w:rPr>
              <w:t>Age: median (range)</w:t>
            </w:r>
          </w:p>
        </w:tc>
        <w:tc>
          <w:tcPr>
            <w:tcW w:w="1278" w:type="dxa"/>
          </w:tcPr>
          <w:p w:rsidR="00A301B7" w:rsidRPr="00B97834" w:rsidRDefault="00A301B7" w:rsidP="00BB257C">
            <w:pPr>
              <w:rPr>
                <w:rFonts w:cs="Times New Roman"/>
              </w:rPr>
            </w:pPr>
            <w:r w:rsidRPr="00B97834">
              <w:rPr>
                <w:rFonts w:cs="Times New Roman"/>
              </w:rPr>
              <w:t>36 (5-85)</w:t>
            </w:r>
          </w:p>
        </w:tc>
        <w:tc>
          <w:tcPr>
            <w:tcW w:w="1530" w:type="dxa"/>
          </w:tcPr>
          <w:p w:rsidR="00A301B7" w:rsidRPr="00F74737" w:rsidRDefault="007747E7" w:rsidP="006102BE">
            <w:pPr>
              <w:rPr>
                <w:rFonts w:cs="Times New Roman"/>
                <w:highlight w:val="yellow"/>
              </w:rPr>
            </w:pPr>
            <w:r w:rsidRPr="005148D3">
              <w:rPr>
                <w:rFonts w:cs="Times New Roman"/>
              </w:rPr>
              <w:t>35</w:t>
            </w:r>
            <w:r w:rsidR="00BB1C79" w:rsidRPr="005148D3">
              <w:rPr>
                <w:rFonts w:cs="Times New Roman"/>
              </w:rPr>
              <w:t xml:space="preserve"> (</w:t>
            </w:r>
            <w:r w:rsidR="007D151F" w:rsidRPr="005148D3">
              <w:rPr>
                <w:rFonts w:cs="Times New Roman"/>
              </w:rPr>
              <w:t>6-</w:t>
            </w:r>
            <w:r w:rsidR="006102BE" w:rsidRPr="005148D3">
              <w:rPr>
                <w:rFonts w:cs="Times New Roman"/>
              </w:rPr>
              <w:t>98</w:t>
            </w:r>
            <w:r w:rsidR="00A301B7" w:rsidRPr="005148D3">
              <w:rPr>
                <w:rFonts w:cs="Times New Roman"/>
              </w:rPr>
              <w:t>)</w:t>
            </w:r>
          </w:p>
        </w:tc>
      </w:tr>
      <w:tr w:rsidR="00A301B7" w:rsidRPr="00B97834" w:rsidTr="00C62803">
        <w:tc>
          <w:tcPr>
            <w:tcW w:w="2070" w:type="dxa"/>
          </w:tcPr>
          <w:p w:rsidR="00A301B7" w:rsidRPr="00B97834" w:rsidRDefault="00A301B7" w:rsidP="00A75ED5">
            <w:pPr>
              <w:ind w:left="180"/>
              <w:rPr>
                <w:rFonts w:cs="Times New Roman"/>
              </w:rPr>
            </w:pPr>
            <w:r w:rsidRPr="00B97834">
              <w:rPr>
                <w:rFonts w:cs="Times New Roman"/>
              </w:rPr>
              <w:t>Race</w:t>
            </w:r>
          </w:p>
        </w:tc>
        <w:tc>
          <w:tcPr>
            <w:tcW w:w="1278" w:type="dxa"/>
          </w:tcPr>
          <w:p w:rsidR="00A301B7" w:rsidRPr="00B97834" w:rsidRDefault="00A301B7" w:rsidP="00BB257C">
            <w:pPr>
              <w:rPr>
                <w:rFonts w:cs="Times New Roman"/>
              </w:rPr>
            </w:pPr>
          </w:p>
        </w:tc>
        <w:tc>
          <w:tcPr>
            <w:tcW w:w="1530" w:type="dxa"/>
          </w:tcPr>
          <w:p w:rsidR="00A301B7" w:rsidRPr="00F74737" w:rsidRDefault="00A301B7" w:rsidP="00BB257C">
            <w:pPr>
              <w:rPr>
                <w:rFonts w:cs="Times New Roman"/>
                <w:highlight w:val="yellow"/>
              </w:rPr>
            </w:pPr>
          </w:p>
        </w:tc>
      </w:tr>
      <w:tr w:rsidR="00A301B7" w:rsidRPr="00B97834" w:rsidTr="00C62803">
        <w:tc>
          <w:tcPr>
            <w:tcW w:w="2070" w:type="dxa"/>
          </w:tcPr>
          <w:p w:rsidR="00A301B7" w:rsidRPr="00B97834" w:rsidRDefault="00A301B7" w:rsidP="00A75ED5">
            <w:pPr>
              <w:ind w:left="360"/>
              <w:rPr>
                <w:rFonts w:cs="Times New Roman"/>
              </w:rPr>
            </w:pPr>
            <w:r w:rsidRPr="00B97834">
              <w:rPr>
                <w:rFonts w:cs="Times New Roman"/>
              </w:rPr>
              <w:t>Asian</w:t>
            </w:r>
          </w:p>
        </w:tc>
        <w:tc>
          <w:tcPr>
            <w:tcW w:w="1278" w:type="dxa"/>
          </w:tcPr>
          <w:p w:rsidR="00A301B7" w:rsidRPr="00B97834" w:rsidRDefault="00A301B7" w:rsidP="00BB257C">
            <w:pPr>
              <w:rPr>
                <w:rFonts w:cs="Times New Roman"/>
              </w:rPr>
            </w:pPr>
            <w:r w:rsidRPr="00B97834">
              <w:rPr>
                <w:rFonts w:cs="Times New Roman"/>
              </w:rPr>
              <w:t>6%</w:t>
            </w:r>
          </w:p>
        </w:tc>
        <w:tc>
          <w:tcPr>
            <w:tcW w:w="1530" w:type="dxa"/>
          </w:tcPr>
          <w:p w:rsidR="00A301B7" w:rsidRPr="005148D3" w:rsidRDefault="00A301B7" w:rsidP="00BB257C">
            <w:pPr>
              <w:rPr>
                <w:rFonts w:cs="Times New Roman"/>
              </w:rPr>
            </w:pPr>
            <w:r w:rsidRPr="005148D3">
              <w:rPr>
                <w:rFonts w:cs="Times New Roman"/>
              </w:rPr>
              <w:t>1%</w:t>
            </w:r>
          </w:p>
        </w:tc>
      </w:tr>
      <w:tr w:rsidR="00A301B7" w:rsidRPr="00B97834" w:rsidTr="00C62803">
        <w:tc>
          <w:tcPr>
            <w:tcW w:w="2070" w:type="dxa"/>
          </w:tcPr>
          <w:p w:rsidR="00A301B7" w:rsidRPr="00B97834" w:rsidRDefault="00A301B7" w:rsidP="00A75ED5">
            <w:pPr>
              <w:ind w:left="360"/>
              <w:rPr>
                <w:rFonts w:cs="Times New Roman"/>
              </w:rPr>
            </w:pPr>
            <w:r w:rsidRPr="00B97834">
              <w:rPr>
                <w:rFonts w:cs="Times New Roman"/>
              </w:rPr>
              <w:t>Black</w:t>
            </w:r>
          </w:p>
        </w:tc>
        <w:tc>
          <w:tcPr>
            <w:tcW w:w="1278" w:type="dxa"/>
          </w:tcPr>
          <w:p w:rsidR="00A301B7" w:rsidRPr="00B97834" w:rsidRDefault="00A301B7" w:rsidP="00BB257C">
            <w:pPr>
              <w:rPr>
                <w:rFonts w:cs="Times New Roman"/>
              </w:rPr>
            </w:pPr>
            <w:r w:rsidRPr="00B97834">
              <w:rPr>
                <w:rFonts w:cs="Times New Roman"/>
              </w:rPr>
              <w:t>6%</w:t>
            </w:r>
          </w:p>
        </w:tc>
        <w:tc>
          <w:tcPr>
            <w:tcW w:w="1530" w:type="dxa"/>
          </w:tcPr>
          <w:p w:rsidR="00A301B7" w:rsidRPr="005148D3" w:rsidRDefault="004B1FC3" w:rsidP="00BB257C">
            <w:pPr>
              <w:rPr>
                <w:rFonts w:cs="Times New Roman"/>
              </w:rPr>
            </w:pPr>
            <w:r w:rsidRPr="005148D3">
              <w:rPr>
                <w:rFonts w:cs="Times New Roman"/>
              </w:rPr>
              <w:t>4</w:t>
            </w:r>
            <w:r w:rsidR="00A301B7" w:rsidRPr="005148D3">
              <w:rPr>
                <w:rFonts w:cs="Times New Roman"/>
              </w:rPr>
              <w:t>%</w:t>
            </w:r>
          </w:p>
        </w:tc>
      </w:tr>
      <w:tr w:rsidR="006102BE" w:rsidRPr="00B97834" w:rsidTr="00C62803">
        <w:tc>
          <w:tcPr>
            <w:tcW w:w="2070" w:type="dxa"/>
          </w:tcPr>
          <w:p w:rsidR="006102BE" w:rsidRPr="00B97834" w:rsidRDefault="006102BE" w:rsidP="00A75ED5">
            <w:pPr>
              <w:ind w:left="360"/>
              <w:rPr>
                <w:rFonts w:cs="Times New Roman"/>
              </w:rPr>
            </w:pPr>
            <w:r>
              <w:rPr>
                <w:rFonts w:cs="Times New Roman"/>
              </w:rPr>
              <w:t>Native Hawaiian/Pacific Islander</w:t>
            </w:r>
          </w:p>
        </w:tc>
        <w:tc>
          <w:tcPr>
            <w:tcW w:w="1278" w:type="dxa"/>
          </w:tcPr>
          <w:p w:rsidR="006102BE" w:rsidRPr="00B97834" w:rsidRDefault="006102BE" w:rsidP="006102BE">
            <w:pPr>
              <w:jc w:val="left"/>
              <w:rPr>
                <w:rFonts w:cs="Times New Roman"/>
              </w:rPr>
            </w:pPr>
            <w:r>
              <w:rPr>
                <w:rFonts w:cs="Times New Roman"/>
              </w:rPr>
              <w:t>--</w:t>
            </w:r>
          </w:p>
        </w:tc>
        <w:tc>
          <w:tcPr>
            <w:tcW w:w="1530" w:type="dxa"/>
          </w:tcPr>
          <w:p w:rsidR="006102BE" w:rsidRPr="005148D3" w:rsidRDefault="006102BE" w:rsidP="006102BE">
            <w:pPr>
              <w:jc w:val="left"/>
              <w:rPr>
                <w:rFonts w:cs="Times New Roman"/>
              </w:rPr>
            </w:pPr>
            <w:r w:rsidRPr="005148D3">
              <w:rPr>
                <w:rFonts w:cs="Times New Roman"/>
              </w:rPr>
              <w:t>&lt;1%</w:t>
            </w:r>
          </w:p>
        </w:tc>
      </w:tr>
      <w:tr w:rsidR="00A301B7" w:rsidRPr="00B97834" w:rsidTr="00C62803">
        <w:tc>
          <w:tcPr>
            <w:tcW w:w="2070" w:type="dxa"/>
          </w:tcPr>
          <w:p w:rsidR="00A301B7" w:rsidRPr="00B97834" w:rsidRDefault="00A301B7" w:rsidP="00A75ED5">
            <w:pPr>
              <w:ind w:left="360"/>
              <w:rPr>
                <w:rFonts w:cs="Times New Roman"/>
              </w:rPr>
            </w:pPr>
            <w:r w:rsidRPr="00B97834">
              <w:rPr>
                <w:rFonts w:cs="Times New Roman"/>
              </w:rPr>
              <w:t>White</w:t>
            </w:r>
          </w:p>
        </w:tc>
        <w:tc>
          <w:tcPr>
            <w:tcW w:w="1278" w:type="dxa"/>
          </w:tcPr>
          <w:p w:rsidR="00A301B7" w:rsidRPr="00B97834" w:rsidRDefault="00A301B7" w:rsidP="00BB257C">
            <w:pPr>
              <w:rPr>
                <w:rFonts w:cs="Times New Roman"/>
              </w:rPr>
            </w:pPr>
            <w:r w:rsidRPr="00B97834">
              <w:rPr>
                <w:rFonts w:cs="Times New Roman"/>
              </w:rPr>
              <w:t>49%</w:t>
            </w:r>
          </w:p>
        </w:tc>
        <w:tc>
          <w:tcPr>
            <w:tcW w:w="1530" w:type="dxa"/>
          </w:tcPr>
          <w:p w:rsidR="00A301B7" w:rsidRPr="005148D3" w:rsidRDefault="00E06A70" w:rsidP="00BB257C">
            <w:pPr>
              <w:rPr>
                <w:rFonts w:cs="Times New Roman"/>
              </w:rPr>
            </w:pPr>
            <w:r>
              <w:rPr>
                <w:rFonts w:cs="Times New Roman"/>
              </w:rPr>
              <w:t>7</w:t>
            </w:r>
            <w:r w:rsidR="001E288D">
              <w:rPr>
                <w:rFonts w:cs="Times New Roman"/>
              </w:rPr>
              <w:t>1</w:t>
            </w:r>
            <w:r w:rsidR="00A301B7" w:rsidRPr="005148D3">
              <w:rPr>
                <w:rFonts w:cs="Times New Roman"/>
              </w:rPr>
              <w:t>%</w:t>
            </w:r>
          </w:p>
        </w:tc>
      </w:tr>
      <w:tr w:rsidR="00A301B7" w:rsidRPr="00B97834" w:rsidTr="00C62803">
        <w:tc>
          <w:tcPr>
            <w:tcW w:w="2070" w:type="dxa"/>
          </w:tcPr>
          <w:p w:rsidR="00A301B7" w:rsidRPr="00B97834" w:rsidRDefault="00A301B7" w:rsidP="00A75ED5">
            <w:pPr>
              <w:ind w:left="360"/>
              <w:rPr>
                <w:rFonts w:cs="Times New Roman"/>
              </w:rPr>
            </w:pPr>
            <w:r w:rsidRPr="00B97834">
              <w:rPr>
                <w:rFonts w:cs="Times New Roman"/>
              </w:rPr>
              <w:t>Other</w:t>
            </w:r>
          </w:p>
        </w:tc>
        <w:tc>
          <w:tcPr>
            <w:tcW w:w="1278" w:type="dxa"/>
          </w:tcPr>
          <w:p w:rsidR="00A301B7" w:rsidRPr="00B97834" w:rsidRDefault="00A301B7" w:rsidP="00BB257C">
            <w:pPr>
              <w:rPr>
                <w:rFonts w:cs="Times New Roman"/>
              </w:rPr>
            </w:pPr>
            <w:r w:rsidRPr="00B97834">
              <w:rPr>
                <w:rFonts w:cs="Times New Roman"/>
              </w:rPr>
              <w:t>4%</w:t>
            </w:r>
          </w:p>
        </w:tc>
        <w:tc>
          <w:tcPr>
            <w:tcW w:w="1530" w:type="dxa"/>
          </w:tcPr>
          <w:p w:rsidR="00A301B7" w:rsidRPr="005148D3" w:rsidRDefault="00B822A4" w:rsidP="00BB257C">
            <w:pPr>
              <w:rPr>
                <w:rFonts w:cs="Times New Roman"/>
              </w:rPr>
            </w:pPr>
            <w:r w:rsidRPr="005148D3">
              <w:rPr>
                <w:rFonts w:cs="Times New Roman"/>
              </w:rPr>
              <w:t>9</w:t>
            </w:r>
            <w:r w:rsidR="00A301B7" w:rsidRPr="005148D3">
              <w:rPr>
                <w:rFonts w:cs="Times New Roman"/>
              </w:rPr>
              <w:t>%</w:t>
            </w:r>
          </w:p>
        </w:tc>
      </w:tr>
      <w:tr w:rsidR="00A301B7" w:rsidRPr="00B97834" w:rsidTr="00C62803">
        <w:tc>
          <w:tcPr>
            <w:tcW w:w="2070" w:type="dxa"/>
          </w:tcPr>
          <w:p w:rsidR="00A301B7" w:rsidRPr="00B97834" w:rsidRDefault="00A301B7" w:rsidP="00A75ED5">
            <w:pPr>
              <w:ind w:left="360"/>
              <w:rPr>
                <w:rFonts w:cs="Times New Roman"/>
              </w:rPr>
            </w:pPr>
            <w:r w:rsidRPr="00B97834">
              <w:rPr>
                <w:rFonts w:cs="Times New Roman"/>
              </w:rPr>
              <w:t>Unknown</w:t>
            </w:r>
          </w:p>
        </w:tc>
        <w:tc>
          <w:tcPr>
            <w:tcW w:w="1278" w:type="dxa"/>
          </w:tcPr>
          <w:p w:rsidR="00A301B7" w:rsidRPr="00B97834" w:rsidRDefault="00A301B7" w:rsidP="00BB257C">
            <w:pPr>
              <w:rPr>
                <w:rFonts w:cs="Times New Roman"/>
              </w:rPr>
            </w:pPr>
            <w:r w:rsidRPr="00B97834">
              <w:rPr>
                <w:rFonts w:cs="Times New Roman"/>
              </w:rPr>
              <w:t>36%</w:t>
            </w:r>
          </w:p>
        </w:tc>
        <w:tc>
          <w:tcPr>
            <w:tcW w:w="1530" w:type="dxa"/>
          </w:tcPr>
          <w:p w:rsidR="00A301B7" w:rsidRPr="005148D3" w:rsidRDefault="007D151F" w:rsidP="009C6477">
            <w:pPr>
              <w:rPr>
                <w:rFonts w:cs="Times New Roman"/>
              </w:rPr>
            </w:pPr>
            <w:r w:rsidRPr="005148D3">
              <w:rPr>
                <w:rFonts w:cs="Times New Roman"/>
              </w:rPr>
              <w:t>1</w:t>
            </w:r>
            <w:r w:rsidR="00E06A70">
              <w:rPr>
                <w:rFonts w:cs="Times New Roman"/>
              </w:rPr>
              <w:t>4</w:t>
            </w:r>
            <w:r w:rsidR="00A301B7" w:rsidRPr="005148D3">
              <w:rPr>
                <w:rFonts w:cs="Times New Roman"/>
              </w:rPr>
              <w:t>%</w:t>
            </w:r>
          </w:p>
        </w:tc>
      </w:tr>
      <w:tr w:rsidR="00A301B7" w:rsidRPr="00B97834" w:rsidTr="00C62803">
        <w:tc>
          <w:tcPr>
            <w:tcW w:w="2070" w:type="dxa"/>
          </w:tcPr>
          <w:p w:rsidR="00A301B7" w:rsidRPr="00B97834" w:rsidRDefault="00A301B7" w:rsidP="00A75ED5">
            <w:pPr>
              <w:ind w:left="180"/>
              <w:rPr>
                <w:rFonts w:cs="Times New Roman"/>
              </w:rPr>
            </w:pPr>
            <w:r w:rsidRPr="00B97834">
              <w:rPr>
                <w:rFonts w:cs="Times New Roman"/>
              </w:rPr>
              <w:t>Ethnicity</w:t>
            </w:r>
          </w:p>
        </w:tc>
        <w:tc>
          <w:tcPr>
            <w:tcW w:w="1278" w:type="dxa"/>
          </w:tcPr>
          <w:p w:rsidR="00A301B7" w:rsidRPr="00B97834" w:rsidRDefault="00A301B7" w:rsidP="00BB257C">
            <w:pPr>
              <w:rPr>
                <w:rFonts w:cs="Times New Roman"/>
              </w:rPr>
            </w:pPr>
          </w:p>
        </w:tc>
        <w:tc>
          <w:tcPr>
            <w:tcW w:w="1530" w:type="dxa"/>
          </w:tcPr>
          <w:p w:rsidR="00A301B7" w:rsidRPr="00F74737" w:rsidRDefault="00A301B7" w:rsidP="00BB257C">
            <w:pPr>
              <w:rPr>
                <w:rFonts w:cs="Times New Roman"/>
                <w:highlight w:val="yellow"/>
              </w:rPr>
            </w:pPr>
          </w:p>
        </w:tc>
      </w:tr>
      <w:tr w:rsidR="00A301B7" w:rsidRPr="00B97834" w:rsidTr="00C62803">
        <w:tc>
          <w:tcPr>
            <w:tcW w:w="2070" w:type="dxa"/>
          </w:tcPr>
          <w:p w:rsidR="00A301B7" w:rsidRPr="00B97834" w:rsidRDefault="00A301B7" w:rsidP="00A75ED5">
            <w:pPr>
              <w:ind w:left="360"/>
              <w:rPr>
                <w:rFonts w:cs="Times New Roman"/>
              </w:rPr>
            </w:pPr>
            <w:r w:rsidRPr="00B97834">
              <w:rPr>
                <w:rFonts w:cs="Times New Roman"/>
              </w:rPr>
              <w:t>Hispanic</w:t>
            </w:r>
          </w:p>
        </w:tc>
        <w:tc>
          <w:tcPr>
            <w:tcW w:w="1278" w:type="dxa"/>
          </w:tcPr>
          <w:p w:rsidR="00A301B7" w:rsidRPr="00B97834" w:rsidRDefault="00A301B7" w:rsidP="00BB257C">
            <w:pPr>
              <w:rPr>
                <w:rFonts w:cs="Times New Roman"/>
              </w:rPr>
            </w:pPr>
            <w:r w:rsidRPr="00B97834">
              <w:rPr>
                <w:rFonts w:cs="Times New Roman"/>
              </w:rPr>
              <w:t>2%</w:t>
            </w:r>
          </w:p>
        </w:tc>
        <w:tc>
          <w:tcPr>
            <w:tcW w:w="1530" w:type="dxa"/>
          </w:tcPr>
          <w:p w:rsidR="00A301B7" w:rsidRPr="005148D3" w:rsidRDefault="007D151F" w:rsidP="00BB257C">
            <w:pPr>
              <w:rPr>
                <w:rFonts w:cs="Times New Roman"/>
              </w:rPr>
            </w:pPr>
            <w:r w:rsidRPr="005148D3">
              <w:rPr>
                <w:rFonts w:cs="Times New Roman"/>
              </w:rPr>
              <w:t>7</w:t>
            </w:r>
            <w:r w:rsidR="00A301B7" w:rsidRPr="005148D3">
              <w:rPr>
                <w:rFonts w:cs="Times New Roman"/>
              </w:rPr>
              <w:t>%</w:t>
            </w:r>
          </w:p>
        </w:tc>
      </w:tr>
      <w:tr w:rsidR="00A301B7" w:rsidRPr="00B97834" w:rsidTr="00C62803">
        <w:tc>
          <w:tcPr>
            <w:tcW w:w="2070" w:type="dxa"/>
          </w:tcPr>
          <w:p w:rsidR="00A301B7" w:rsidRPr="00B97834" w:rsidRDefault="00A301B7" w:rsidP="00A75ED5">
            <w:pPr>
              <w:ind w:left="360"/>
              <w:rPr>
                <w:rFonts w:cs="Times New Roman"/>
              </w:rPr>
            </w:pPr>
            <w:r w:rsidRPr="00B97834">
              <w:rPr>
                <w:rFonts w:cs="Times New Roman"/>
              </w:rPr>
              <w:t>Non-Hispanic</w:t>
            </w:r>
          </w:p>
        </w:tc>
        <w:tc>
          <w:tcPr>
            <w:tcW w:w="1278" w:type="dxa"/>
          </w:tcPr>
          <w:p w:rsidR="00A301B7" w:rsidRPr="00B97834" w:rsidRDefault="00A301B7" w:rsidP="00BB257C">
            <w:pPr>
              <w:rPr>
                <w:rFonts w:cs="Times New Roman"/>
              </w:rPr>
            </w:pPr>
            <w:r w:rsidRPr="00B97834">
              <w:rPr>
                <w:rFonts w:cs="Times New Roman"/>
              </w:rPr>
              <w:t>47%</w:t>
            </w:r>
          </w:p>
        </w:tc>
        <w:tc>
          <w:tcPr>
            <w:tcW w:w="1530" w:type="dxa"/>
          </w:tcPr>
          <w:p w:rsidR="00A301B7" w:rsidRPr="005148D3" w:rsidRDefault="00BB1C79" w:rsidP="00E26E99">
            <w:pPr>
              <w:rPr>
                <w:rFonts w:cs="Times New Roman"/>
              </w:rPr>
            </w:pPr>
            <w:r w:rsidRPr="005148D3">
              <w:rPr>
                <w:rFonts w:cs="Times New Roman"/>
              </w:rPr>
              <w:t>6</w:t>
            </w:r>
            <w:r w:rsidR="00CD3135">
              <w:rPr>
                <w:rFonts w:cs="Times New Roman"/>
              </w:rPr>
              <w:t>8</w:t>
            </w:r>
            <w:r w:rsidR="00A301B7" w:rsidRPr="005148D3">
              <w:rPr>
                <w:rFonts w:cs="Times New Roman"/>
              </w:rPr>
              <w:t>%</w:t>
            </w:r>
          </w:p>
        </w:tc>
      </w:tr>
      <w:tr w:rsidR="00A301B7" w:rsidRPr="00B97834" w:rsidTr="00C62803">
        <w:tc>
          <w:tcPr>
            <w:tcW w:w="2070" w:type="dxa"/>
          </w:tcPr>
          <w:p w:rsidR="00A301B7" w:rsidRPr="00B97834" w:rsidRDefault="00A301B7" w:rsidP="00A75ED5">
            <w:pPr>
              <w:ind w:left="360"/>
              <w:rPr>
                <w:rFonts w:cs="Times New Roman"/>
              </w:rPr>
            </w:pPr>
            <w:r w:rsidRPr="00B97834">
              <w:rPr>
                <w:rFonts w:cs="Times New Roman"/>
              </w:rPr>
              <w:t>Unknown</w:t>
            </w:r>
          </w:p>
        </w:tc>
        <w:tc>
          <w:tcPr>
            <w:tcW w:w="1278" w:type="dxa"/>
          </w:tcPr>
          <w:p w:rsidR="00A301B7" w:rsidRPr="00B97834" w:rsidRDefault="00A301B7" w:rsidP="00BB257C">
            <w:pPr>
              <w:rPr>
                <w:rFonts w:cs="Times New Roman"/>
              </w:rPr>
            </w:pPr>
            <w:r w:rsidRPr="00B97834">
              <w:rPr>
                <w:rFonts w:cs="Times New Roman"/>
              </w:rPr>
              <w:t>51%</w:t>
            </w:r>
          </w:p>
        </w:tc>
        <w:tc>
          <w:tcPr>
            <w:tcW w:w="1530" w:type="dxa"/>
          </w:tcPr>
          <w:p w:rsidR="00A301B7" w:rsidRPr="005148D3" w:rsidRDefault="005148D3" w:rsidP="00BB257C">
            <w:pPr>
              <w:rPr>
                <w:rFonts w:cs="Times New Roman"/>
              </w:rPr>
            </w:pPr>
            <w:r w:rsidRPr="005148D3">
              <w:rPr>
                <w:rFonts w:cs="Times New Roman"/>
              </w:rPr>
              <w:t>26</w:t>
            </w:r>
            <w:r w:rsidR="00A301B7" w:rsidRPr="005148D3">
              <w:rPr>
                <w:rFonts w:cs="Times New Roman"/>
              </w:rPr>
              <w:t>%</w:t>
            </w:r>
          </w:p>
        </w:tc>
      </w:tr>
      <w:tr w:rsidR="00A301B7" w:rsidRPr="00B97834" w:rsidTr="00C62803">
        <w:tc>
          <w:tcPr>
            <w:tcW w:w="2070" w:type="dxa"/>
          </w:tcPr>
          <w:p w:rsidR="00A301B7" w:rsidRPr="00B97834" w:rsidRDefault="00A301B7" w:rsidP="00AD60BD">
            <w:pPr>
              <w:rPr>
                <w:rFonts w:cs="Times New Roman"/>
                <w:b/>
              </w:rPr>
            </w:pPr>
            <w:r w:rsidRPr="00B97834">
              <w:rPr>
                <w:rFonts w:cs="Times New Roman"/>
                <w:b/>
              </w:rPr>
              <w:t>Coinfections</w:t>
            </w:r>
          </w:p>
        </w:tc>
        <w:tc>
          <w:tcPr>
            <w:tcW w:w="1278" w:type="dxa"/>
          </w:tcPr>
          <w:p w:rsidR="00A301B7" w:rsidRPr="00B97834" w:rsidRDefault="00A301B7" w:rsidP="00AD60BD">
            <w:pPr>
              <w:rPr>
                <w:rFonts w:cs="Times New Roman"/>
              </w:rPr>
            </w:pPr>
          </w:p>
        </w:tc>
        <w:tc>
          <w:tcPr>
            <w:tcW w:w="1530" w:type="dxa"/>
          </w:tcPr>
          <w:p w:rsidR="00A301B7" w:rsidRPr="00F74737" w:rsidRDefault="00A301B7" w:rsidP="00AD60BD">
            <w:pPr>
              <w:rPr>
                <w:rFonts w:cs="Times New Roman"/>
                <w:highlight w:val="yellow"/>
              </w:rPr>
            </w:pPr>
          </w:p>
        </w:tc>
      </w:tr>
      <w:tr w:rsidR="00A301B7" w:rsidRPr="00B97834" w:rsidTr="00C62803">
        <w:tc>
          <w:tcPr>
            <w:tcW w:w="2070" w:type="dxa"/>
          </w:tcPr>
          <w:p w:rsidR="00A301B7" w:rsidRPr="00B97834" w:rsidRDefault="00A301B7" w:rsidP="00AD60BD">
            <w:pPr>
              <w:ind w:left="180"/>
              <w:rPr>
                <w:rFonts w:cs="Times New Roman"/>
              </w:rPr>
            </w:pPr>
            <w:r w:rsidRPr="00B97834">
              <w:rPr>
                <w:rFonts w:cs="Times New Roman"/>
              </w:rPr>
              <w:t>Hepatitis B*</w:t>
            </w:r>
          </w:p>
        </w:tc>
        <w:tc>
          <w:tcPr>
            <w:tcW w:w="1278" w:type="dxa"/>
          </w:tcPr>
          <w:p w:rsidR="00A301B7" w:rsidRPr="00B97834" w:rsidRDefault="00A301B7" w:rsidP="00AD60BD">
            <w:pPr>
              <w:rPr>
                <w:rFonts w:cs="Times New Roman"/>
              </w:rPr>
            </w:pPr>
            <w:r w:rsidRPr="00B97834">
              <w:rPr>
                <w:rFonts w:cs="Times New Roman"/>
              </w:rPr>
              <w:t>2%</w:t>
            </w:r>
          </w:p>
        </w:tc>
        <w:tc>
          <w:tcPr>
            <w:tcW w:w="1530" w:type="dxa"/>
          </w:tcPr>
          <w:p w:rsidR="00A301B7" w:rsidRPr="005148D3" w:rsidRDefault="00265316" w:rsidP="00AD60BD">
            <w:pPr>
              <w:rPr>
                <w:rFonts w:cs="Times New Roman"/>
              </w:rPr>
            </w:pPr>
            <w:r w:rsidRPr="005148D3">
              <w:rPr>
                <w:rFonts w:cs="Times New Roman"/>
              </w:rPr>
              <w:t>3</w:t>
            </w:r>
            <w:r w:rsidR="00A301B7" w:rsidRPr="005148D3">
              <w:rPr>
                <w:rFonts w:cs="Times New Roman"/>
              </w:rPr>
              <w:t>%</w:t>
            </w:r>
          </w:p>
        </w:tc>
      </w:tr>
      <w:tr w:rsidR="00A301B7" w:rsidRPr="00B97834" w:rsidTr="00C62803">
        <w:tc>
          <w:tcPr>
            <w:tcW w:w="2070" w:type="dxa"/>
            <w:tcBorders>
              <w:bottom w:val="single" w:sz="4" w:space="0" w:color="auto"/>
            </w:tcBorders>
          </w:tcPr>
          <w:p w:rsidR="00A301B7" w:rsidRPr="00B97834" w:rsidRDefault="00A301B7" w:rsidP="00AD60BD">
            <w:pPr>
              <w:ind w:left="180"/>
              <w:rPr>
                <w:rFonts w:cs="Times New Roman"/>
              </w:rPr>
            </w:pPr>
            <w:r w:rsidRPr="00B97834">
              <w:rPr>
                <w:rFonts w:cs="Times New Roman"/>
              </w:rPr>
              <w:t>Hepatitis C*</w:t>
            </w:r>
          </w:p>
        </w:tc>
        <w:tc>
          <w:tcPr>
            <w:tcW w:w="1278" w:type="dxa"/>
            <w:tcBorders>
              <w:bottom w:val="single" w:sz="4" w:space="0" w:color="auto"/>
            </w:tcBorders>
          </w:tcPr>
          <w:p w:rsidR="00A301B7" w:rsidRPr="00B97834" w:rsidRDefault="00A301B7" w:rsidP="00AD60BD">
            <w:pPr>
              <w:rPr>
                <w:rFonts w:cs="Times New Roman"/>
              </w:rPr>
            </w:pPr>
            <w:r w:rsidRPr="00B97834">
              <w:rPr>
                <w:rFonts w:cs="Times New Roman"/>
              </w:rPr>
              <w:t>2%</w:t>
            </w:r>
          </w:p>
        </w:tc>
        <w:tc>
          <w:tcPr>
            <w:tcW w:w="1530" w:type="dxa"/>
            <w:tcBorders>
              <w:bottom w:val="single" w:sz="4" w:space="0" w:color="auto"/>
            </w:tcBorders>
          </w:tcPr>
          <w:p w:rsidR="00A301B7" w:rsidRPr="005148D3" w:rsidRDefault="00C00951" w:rsidP="00AD60BD">
            <w:pPr>
              <w:rPr>
                <w:rFonts w:cs="Times New Roman"/>
              </w:rPr>
            </w:pPr>
            <w:r w:rsidRPr="005148D3">
              <w:rPr>
                <w:rFonts w:cs="Times New Roman"/>
              </w:rPr>
              <w:t>46</w:t>
            </w:r>
            <w:r w:rsidR="00A301B7" w:rsidRPr="005148D3">
              <w:rPr>
                <w:rFonts w:cs="Times New Roman"/>
              </w:rPr>
              <w:t>%</w:t>
            </w:r>
          </w:p>
        </w:tc>
      </w:tr>
      <w:tr w:rsidR="00A301B7" w:rsidRPr="00B97834" w:rsidTr="00C62803">
        <w:tc>
          <w:tcPr>
            <w:tcW w:w="2070" w:type="dxa"/>
            <w:tcBorders>
              <w:bottom w:val="single" w:sz="4" w:space="0" w:color="auto"/>
            </w:tcBorders>
          </w:tcPr>
          <w:p w:rsidR="00A301B7" w:rsidRPr="00B97834" w:rsidRDefault="00A301B7" w:rsidP="00AD60BD">
            <w:pPr>
              <w:ind w:left="180"/>
              <w:rPr>
                <w:rFonts w:cs="Times New Roman"/>
              </w:rPr>
            </w:pPr>
            <w:r w:rsidRPr="00B97834">
              <w:rPr>
                <w:rFonts w:cs="Times New Roman"/>
              </w:rPr>
              <w:t>HIV</w:t>
            </w:r>
          </w:p>
        </w:tc>
        <w:tc>
          <w:tcPr>
            <w:tcW w:w="1278" w:type="dxa"/>
            <w:tcBorders>
              <w:bottom w:val="single" w:sz="4" w:space="0" w:color="auto"/>
            </w:tcBorders>
          </w:tcPr>
          <w:p w:rsidR="00A301B7" w:rsidRPr="00B97834" w:rsidRDefault="00A301B7" w:rsidP="00AD60BD">
            <w:pPr>
              <w:rPr>
                <w:rFonts w:cs="Times New Roman"/>
              </w:rPr>
            </w:pPr>
            <w:r w:rsidRPr="00B97834">
              <w:rPr>
                <w:rFonts w:cs="Times New Roman"/>
              </w:rPr>
              <w:t>2%</w:t>
            </w:r>
          </w:p>
        </w:tc>
        <w:tc>
          <w:tcPr>
            <w:tcW w:w="1530" w:type="dxa"/>
            <w:tcBorders>
              <w:bottom w:val="single" w:sz="4" w:space="0" w:color="auto"/>
            </w:tcBorders>
          </w:tcPr>
          <w:p w:rsidR="00A301B7" w:rsidRPr="005148D3" w:rsidRDefault="00A301B7" w:rsidP="00AD60BD">
            <w:pPr>
              <w:rPr>
                <w:rFonts w:cs="Times New Roman"/>
              </w:rPr>
            </w:pPr>
            <w:r w:rsidRPr="005148D3">
              <w:rPr>
                <w:rFonts w:cs="Times New Roman"/>
              </w:rPr>
              <w:t>4%</w:t>
            </w:r>
          </w:p>
        </w:tc>
      </w:tr>
    </w:tbl>
    <w:p w:rsidR="00306605" w:rsidRPr="004D4B46" w:rsidRDefault="00A301B7" w:rsidP="00B97834">
      <w:pPr>
        <w:spacing w:after="0" w:line="240" w:lineRule="auto"/>
        <w:rPr>
          <w:rFonts w:cs="Times New Roman"/>
          <w:sz w:val="18"/>
        </w:rPr>
      </w:pPr>
      <w:r w:rsidRPr="004D4B46">
        <w:rPr>
          <w:rFonts w:cs="Times New Roman"/>
          <w:sz w:val="18"/>
        </w:rPr>
        <w:t>*Includes confirmed and probable cases.</w:t>
      </w:r>
    </w:p>
    <w:p w:rsidR="00995E63" w:rsidRPr="004D4B46" w:rsidRDefault="00A301B7" w:rsidP="004106BC">
      <w:pPr>
        <w:spacing w:after="0" w:line="240" w:lineRule="auto"/>
        <w:rPr>
          <w:rFonts w:cs="Times New Roman"/>
          <w:sz w:val="18"/>
        </w:rPr>
      </w:pPr>
      <w:r w:rsidRPr="004D4B46">
        <w:rPr>
          <w:rFonts w:cs="Times New Roman"/>
          <w:sz w:val="18"/>
        </w:rPr>
        <w:t xml:space="preserve">Percentages may not add to 100 </w:t>
      </w:r>
      <w:proofErr w:type="gramStart"/>
      <w:r w:rsidRPr="004D4B46">
        <w:rPr>
          <w:rFonts w:cs="Times New Roman"/>
          <w:sz w:val="18"/>
        </w:rPr>
        <w:t>due</w:t>
      </w:r>
      <w:proofErr w:type="gramEnd"/>
      <w:r w:rsidRPr="004D4B46">
        <w:rPr>
          <w:rFonts w:cs="Times New Roman"/>
          <w:sz w:val="18"/>
        </w:rPr>
        <w:t xml:space="preserve"> to rounding.</w:t>
      </w:r>
    </w:p>
    <w:p w:rsidR="00995E63" w:rsidRDefault="00995E63" w:rsidP="00632F6A">
      <w:pPr>
        <w:spacing w:after="0"/>
        <w:rPr>
          <w:rFonts w:cs="Times New Roman"/>
        </w:rPr>
      </w:pPr>
    </w:p>
    <w:tbl>
      <w:tblPr>
        <w:tblStyle w:val="TableGrid"/>
        <w:tblW w:w="5580" w:type="dxa"/>
        <w:tblInd w:w="288" w:type="dxa"/>
        <w:tblLook w:val="04A0" w:firstRow="1" w:lastRow="0" w:firstColumn="1" w:lastColumn="0" w:noHBand="0" w:noVBand="1"/>
      </w:tblPr>
      <w:tblGrid>
        <w:gridCol w:w="3060"/>
        <w:gridCol w:w="990"/>
        <w:gridCol w:w="1530"/>
      </w:tblGrid>
      <w:tr w:rsidR="00306605" w:rsidRPr="00B97834" w:rsidTr="00BD7A56">
        <w:tc>
          <w:tcPr>
            <w:tcW w:w="3060" w:type="dxa"/>
          </w:tcPr>
          <w:p w:rsidR="00A301B7" w:rsidRPr="00B97834" w:rsidRDefault="00A301B7" w:rsidP="00AD60BD">
            <w:pPr>
              <w:rPr>
                <w:rFonts w:cs="Times New Roman"/>
                <w:b/>
              </w:rPr>
            </w:pPr>
          </w:p>
        </w:tc>
        <w:tc>
          <w:tcPr>
            <w:tcW w:w="990" w:type="dxa"/>
          </w:tcPr>
          <w:p w:rsidR="00A301B7" w:rsidRPr="00B97834" w:rsidRDefault="00A301B7" w:rsidP="00AD60BD">
            <w:pPr>
              <w:rPr>
                <w:rFonts w:cs="Times New Roman"/>
                <w:b/>
              </w:rPr>
            </w:pPr>
            <w:r w:rsidRPr="00B97834">
              <w:rPr>
                <w:rFonts w:cs="Times New Roman"/>
                <w:b/>
              </w:rPr>
              <w:t>2017 cases</w:t>
            </w:r>
          </w:p>
        </w:tc>
        <w:tc>
          <w:tcPr>
            <w:tcW w:w="1530" w:type="dxa"/>
          </w:tcPr>
          <w:p w:rsidR="00A301B7" w:rsidRPr="00B97834" w:rsidRDefault="00967471" w:rsidP="00801B46">
            <w:pPr>
              <w:rPr>
                <w:rFonts w:cs="Times New Roman"/>
                <w:b/>
              </w:rPr>
            </w:pPr>
            <w:r>
              <w:rPr>
                <w:rFonts w:cs="Times New Roman"/>
                <w:b/>
              </w:rPr>
              <w:t>2018-2020</w:t>
            </w:r>
            <w:r w:rsidR="00A301B7" w:rsidRPr="00B97834">
              <w:rPr>
                <w:rFonts w:cs="Times New Roman"/>
                <w:b/>
              </w:rPr>
              <w:t xml:space="preserve"> outbreak</w:t>
            </w:r>
            <w:r w:rsidR="00306605" w:rsidRPr="00B97834">
              <w:rPr>
                <w:rFonts w:cs="Times New Roman"/>
                <w:b/>
              </w:rPr>
              <w:t xml:space="preserve"> </w:t>
            </w:r>
            <w:r w:rsidR="00A301B7" w:rsidRPr="00B97834">
              <w:rPr>
                <w:rFonts w:cs="Times New Roman"/>
                <w:b/>
              </w:rPr>
              <w:t>cases</w:t>
            </w:r>
          </w:p>
        </w:tc>
      </w:tr>
      <w:tr w:rsidR="00306605" w:rsidRPr="00B97834" w:rsidTr="00BD7A56">
        <w:tc>
          <w:tcPr>
            <w:tcW w:w="3060" w:type="dxa"/>
          </w:tcPr>
          <w:p w:rsidR="00A301B7" w:rsidRPr="00B97834" w:rsidRDefault="00A301B7" w:rsidP="00AD60BD">
            <w:pPr>
              <w:rPr>
                <w:rFonts w:cs="Times New Roman"/>
                <w:b/>
              </w:rPr>
            </w:pPr>
            <w:r w:rsidRPr="00B97834">
              <w:rPr>
                <w:rFonts w:cs="Times New Roman"/>
                <w:b/>
              </w:rPr>
              <w:t>Complications</w:t>
            </w:r>
          </w:p>
        </w:tc>
        <w:tc>
          <w:tcPr>
            <w:tcW w:w="990" w:type="dxa"/>
          </w:tcPr>
          <w:p w:rsidR="00A301B7" w:rsidRPr="00B97834" w:rsidRDefault="00A301B7" w:rsidP="00AD60BD">
            <w:pPr>
              <w:rPr>
                <w:rFonts w:cs="Times New Roman"/>
              </w:rPr>
            </w:pPr>
          </w:p>
        </w:tc>
        <w:tc>
          <w:tcPr>
            <w:tcW w:w="1530" w:type="dxa"/>
          </w:tcPr>
          <w:p w:rsidR="00A301B7" w:rsidRPr="00B97834" w:rsidRDefault="00A301B7" w:rsidP="00AD60BD">
            <w:pPr>
              <w:rPr>
                <w:rFonts w:cs="Times New Roman"/>
              </w:rPr>
            </w:pPr>
          </w:p>
        </w:tc>
      </w:tr>
      <w:tr w:rsidR="00306605" w:rsidRPr="00B97834" w:rsidTr="00BD7A56">
        <w:tc>
          <w:tcPr>
            <w:tcW w:w="3060" w:type="dxa"/>
          </w:tcPr>
          <w:p w:rsidR="00A301B7" w:rsidRPr="00B97834" w:rsidRDefault="00A301B7" w:rsidP="00AD60BD">
            <w:pPr>
              <w:ind w:left="180"/>
              <w:rPr>
                <w:rFonts w:cs="Times New Roman"/>
              </w:rPr>
            </w:pPr>
            <w:r w:rsidRPr="00B97834">
              <w:rPr>
                <w:rFonts w:cs="Times New Roman"/>
              </w:rPr>
              <w:t>Hospitalizations</w:t>
            </w:r>
          </w:p>
        </w:tc>
        <w:tc>
          <w:tcPr>
            <w:tcW w:w="990" w:type="dxa"/>
          </w:tcPr>
          <w:p w:rsidR="00A301B7" w:rsidRPr="00B97834" w:rsidRDefault="00A301B7" w:rsidP="00AD60BD">
            <w:pPr>
              <w:rPr>
                <w:rFonts w:cs="Times New Roman"/>
              </w:rPr>
            </w:pPr>
            <w:r w:rsidRPr="00B97834">
              <w:rPr>
                <w:rFonts w:cs="Times New Roman"/>
              </w:rPr>
              <w:t>58%</w:t>
            </w:r>
            <w:r w:rsidR="00BD7A56" w:rsidRPr="00B97834">
              <w:rPr>
                <w:rFonts w:cs="Times New Roman"/>
              </w:rPr>
              <w:t xml:space="preserve"> (31)</w:t>
            </w:r>
          </w:p>
        </w:tc>
        <w:tc>
          <w:tcPr>
            <w:tcW w:w="1530" w:type="dxa"/>
          </w:tcPr>
          <w:p w:rsidR="00A301B7" w:rsidRPr="00F74737" w:rsidRDefault="001E288D" w:rsidP="00076C68">
            <w:pPr>
              <w:rPr>
                <w:rFonts w:cs="Times New Roman"/>
                <w:highlight w:val="yellow"/>
              </w:rPr>
            </w:pPr>
            <w:r>
              <w:rPr>
                <w:rFonts w:cs="Times New Roman"/>
              </w:rPr>
              <w:t>79</w:t>
            </w:r>
            <w:r w:rsidR="00A301B7" w:rsidRPr="005148D3">
              <w:rPr>
                <w:rFonts w:cs="Times New Roman"/>
              </w:rPr>
              <w:t>%</w:t>
            </w:r>
            <w:r w:rsidR="007D151F" w:rsidRPr="005148D3">
              <w:rPr>
                <w:rFonts w:cs="Times New Roman"/>
              </w:rPr>
              <w:t xml:space="preserve"> (</w:t>
            </w:r>
            <w:r w:rsidR="00DB03AE">
              <w:rPr>
                <w:rFonts w:cs="Times New Roman"/>
              </w:rPr>
              <w:t>4</w:t>
            </w:r>
            <w:r w:rsidR="00CD3135">
              <w:rPr>
                <w:rFonts w:cs="Times New Roman"/>
              </w:rPr>
              <w:t>4</w:t>
            </w:r>
            <w:r>
              <w:rPr>
                <w:rFonts w:cs="Times New Roman"/>
              </w:rPr>
              <w:t>2</w:t>
            </w:r>
            <w:r w:rsidR="00BD7A56" w:rsidRPr="005148D3">
              <w:rPr>
                <w:rFonts w:cs="Times New Roman"/>
              </w:rPr>
              <w:t>)</w:t>
            </w:r>
          </w:p>
        </w:tc>
      </w:tr>
      <w:tr w:rsidR="00306605" w:rsidRPr="00B97834" w:rsidTr="00BD7A56">
        <w:tc>
          <w:tcPr>
            <w:tcW w:w="3060" w:type="dxa"/>
          </w:tcPr>
          <w:p w:rsidR="00A301B7" w:rsidRPr="00B97834" w:rsidRDefault="00A301B7" w:rsidP="00AD60BD">
            <w:pPr>
              <w:ind w:left="180"/>
              <w:rPr>
                <w:rFonts w:cs="Times New Roman"/>
              </w:rPr>
            </w:pPr>
            <w:r w:rsidRPr="00B97834">
              <w:rPr>
                <w:rFonts w:cs="Times New Roman"/>
              </w:rPr>
              <w:t>Deaths</w:t>
            </w:r>
          </w:p>
        </w:tc>
        <w:tc>
          <w:tcPr>
            <w:tcW w:w="990" w:type="dxa"/>
          </w:tcPr>
          <w:p w:rsidR="00A301B7" w:rsidRPr="00B97834" w:rsidRDefault="00C62803" w:rsidP="00AD60BD">
            <w:pPr>
              <w:rPr>
                <w:rFonts w:cs="Times New Roman"/>
              </w:rPr>
            </w:pPr>
            <w:r w:rsidRPr="00B97834">
              <w:rPr>
                <w:rFonts w:cs="Times New Roman"/>
              </w:rPr>
              <w:t>0</w:t>
            </w:r>
            <w:r w:rsidR="00A301B7" w:rsidRPr="00B97834">
              <w:rPr>
                <w:rFonts w:cs="Times New Roman"/>
              </w:rPr>
              <w:t>%</w:t>
            </w:r>
          </w:p>
        </w:tc>
        <w:tc>
          <w:tcPr>
            <w:tcW w:w="1530" w:type="dxa"/>
            <w:shd w:val="clear" w:color="auto" w:fill="auto"/>
          </w:tcPr>
          <w:p w:rsidR="00A301B7" w:rsidRPr="00F74737" w:rsidRDefault="00EB1A21" w:rsidP="00B4282C">
            <w:pPr>
              <w:rPr>
                <w:rFonts w:cs="Times New Roman"/>
                <w:highlight w:val="yellow"/>
              </w:rPr>
            </w:pPr>
            <w:r>
              <w:rPr>
                <w:rFonts w:cs="Times New Roman"/>
              </w:rPr>
              <w:t>2% (9</w:t>
            </w:r>
            <w:r w:rsidR="00A301B7" w:rsidRPr="005148D3">
              <w:rPr>
                <w:rFonts w:cs="Times New Roman"/>
              </w:rPr>
              <w:t>)</w:t>
            </w:r>
          </w:p>
        </w:tc>
      </w:tr>
      <w:tr w:rsidR="00306605" w:rsidRPr="00B97834" w:rsidTr="00BD7A56">
        <w:tc>
          <w:tcPr>
            <w:tcW w:w="3060" w:type="dxa"/>
          </w:tcPr>
          <w:p w:rsidR="00A301B7" w:rsidRPr="00B97834" w:rsidRDefault="00A301B7" w:rsidP="00AD60BD">
            <w:pPr>
              <w:rPr>
                <w:rFonts w:cs="Times New Roman"/>
                <w:b/>
              </w:rPr>
            </w:pPr>
            <w:r w:rsidRPr="00B97834">
              <w:rPr>
                <w:rFonts w:cs="Times New Roman"/>
                <w:b/>
              </w:rPr>
              <w:t>Risks</w:t>
            </w:r>
          </w:p>
        </w:tc>
        <w:tc>
          <w:tcPr>
            <w:tcW w:w="990" w:type="dxa"/>
          </w:tcPr>
          <w:p w:rsidR="00A301B7" w:rsidRPr="00B97834" w:rsidRDefault="00A301B7" w:rsidP="00AD60BD">
            <w:pPr>
              <w:rPr>
                <w:rFonts w:cs="Times New Roman"/>
              </w:rPr>
            </w:pPr>
          </w:p>
        </w:tc>
        <w:tc>
          <w:tcPr>
            <w:tcW w:w="1530" w:type="dxa"/>
          </w:tcPr>
          <w:p w:rsidR="00A301B7" w:rsidRPr="00F74737" w:rsidRDefault="00A301B7" w:rsidP="00AD60BD">
            <w:pPr>
              <w:rPr>
                <w:rFonts w:cs="Times New Roman"/>
                <w:highlight w:val="yellow"/>
              </w:rPr>
            </w:pPr>
          </w:p>
        </w:tc>
      </w:tr>
      <w:tr w:rsidR="00306605" w:rsidRPr="00B97834" w:rsidTr="00BD7A56">
        <w:tc>
          <w:tcPr>
            <w:tcW w:w="3060" w:type="dxa"/>
          </w:tcPr>
          <w:p w:rsidR="00A301B7" w:rsidRPr="00B97834" w:rsidRDefault="00A301B7" w:rsidP="00AD60BD">
            <w:pPr>
              <w:ind w:left="180"/>
              <w:rPr>
                <w:rFonts w:cs="Times New Roman"/>
              </w:rPr>
            </w:pPr>
            <w:r w:rsidRPr="00B97834">
              <w:rPr>
                <w:rFonts w:cs="Times New Roman"/>
              </w:rPr>
              <w:t>Homelessness/ unstable housing</w:t>
            </w:r>
          </w:p>
        </w:tc>
        <w:tc>
          <w:tcPr>
            <w:tcW w:w="990" w:type="dxa"/>
          </w:tcPr>
          <w:p w:rsidR="00A301B7" w:rsidRPr="00B97834" w:rsidRDefault="00A301B7" w:rsidP="00AD60BD">
            <w:pPr>
              <w:rPr>
                <w:rFonts w:cs="Times New Roman"/>
              </w:rPr>
            </w:pPr>
            <w:r w:rsidRPr="00B97834">
              <w:rPr>
                <w:rFonts w:cs="Times New Roman"/>
              </w:rPr>
              <w:t>0%</w:t>
            </w:r>
          </w:p>
        </w:tc>
        <w:tc>
          <w:tcPr>
            <w:tcW w:w="1530" w:type="dxa"/>
          </w:tcPr>
          <w:p w:rsidR="00A301B7" w:rsidRPr="005148D3" w:rsidRDefault="005148D3" w:rsidP="00AD60BD">
            <w:pPr>
              <w:rPr>
                <w:rFonts w:cs="Times New Roman"/>
              </w:rPr>
            </w:pPr>
            <w:r w:rsidRPr="005148D3">
              <w:rPr>
                <w:rFonts w:cs="Times New Roman"/>
              </w:rPr>
              <w:t>35</w:t>
            </w:r>
            <w:r w:rsidR="00A301B7" w:rsidRPr="005148D3">
              <w:rPr>
                <w:rFonts w:cs="Times New Roman"/>
              </w:rPr>
              <w:t>%</w:t>
            </w:r>
          </w:p>
        </w:tc>
      </w:tr>
      <w:tr w:rsidR="00306605" w:rsidRPr="00B97834" w:rsidTr="00BD7A56">
        <w:tc>
          <w:tcPr>
            <w:tcW w:w="3060" w:type="dxa"/>
          </w:tcPr>
          <w:p w:rsidR="00A301B7" w:rsidRPr="00B97834" w:rsidRDefault="006937AC" w:rsidP="00AD60BD">
            <w:pPr>
              <w:ind w:left="180"/>
              <w:rPr>
                <w:rFonts w:cs="Times New Roman"/>
              </w:rPr>
            </w:pPr>
            <w:r w:rsidRPr="00B97834">
              <w:rPr>
                <w:rFonts w:cs="Times New Roman"/>
              </w:rPr>
              <w:t>Known i</w:t>
            </w:r>
            <w:r w:rsidR="00A301B7" w:rsidRPr="00B97834">
              <w:rPr>
                <w:rFonts w:cs="Times New Roman"/>
              </w:rPr>
              <w:t>njection drug use</w:t>
            </w:r>
          </w:p>
        </w:tc>
        <w:tc>
          <w:tcPr>
            <w:tcW w:w="990" w:type="dxa"/>
          </w:tcPr>
          <w:p w:rsidR="00A301B7" w:rsidRPr="00B97834" w:rsidRDefault="00A301B7" w:rsidP="00AD60BD">
            <w:pPr>
              <w:rPr>
                <w:rFonts w:cs="Times New Roman"/>
              </w:rPr>
            </w:pPr>
            <w:r w:rsidRPr="00B97834">
              <w:rPr>
                <w:rFonts w:cs="Times New Roman"/>
              </w:rPr>
              <w:t>2%</w:t>
            </w:r>
          </w:p>
        </w:tc>
        <w:tc>
          <w:tcPr>
            <w:tcW w:w="1530" w:type="dxa"/>
          </w:tcPr>
          <w:p w:rsidR="00A301B7" w:rsidRPr="005148D3" w:rsidRDefault="00052FD9" w:rsidP="000C6AB3">
            <w:pPr>
              <w:rPr>
                <w:rFonts w:cs="Times New Roman"/>
              </w:rPr>
            </w:pPr>
            <w:r>
              <w:rPr>
                <w:rFonts w:cs="Times New Roman"/>
              </w:rPr>
              <w:t>55</w:t>
            </w:r>
            <w:r w:rsidR="00A301B7" w:rsidRPr="005148D3">
              <w:rPr>
                <w:rFonts w:cs="Times New Roman"/>
              </w:rPr>
              <w:t>%</w:t>
            </w:r>
          </w:p>
        </w:tc>
      </w:tr>
      <w:tr w:rsidR="00306605" w:rsidRPr="00B97834" w:rsidTr="00BD7A56">
        <w:tc>
          <w:tcPr>
            <w:tcW w:w="3060" w:type="dxa"/>
          </w:tcPr>
          <w:p w:rsidR="00A301B7" w:rsidRPr="00B97834" w:rsidRDefault="006937AC" w:rsidP="00AD60BD">
            <w:pPr>
              <w:ind w:left="180"/>
              <w:rPr>
                <w:rFonts w:cs="Times New Roman"/>
              </w:rPr>
            </w:pPr>
            <w:r w:rsidRPr="00B97834">
              <w:rPr>
                <w:rFonts w:cs="Times New Roman"/>
              </w:rPr>
              <w:t>Known a</w:t>
            </w:r>
            <w:r w:rsidR="00A301B7" w:rsidRPr="00B97834">
              <w:rPr>
                <w:rFonts w:cs="Times New Roman"/>
              </w:rPr>
              <w:t>ny illicit drug use</w:t>
            </w:r>
          </w:p>
        </w:tc>
        <w:tc>
          <w:tcPr>
            <w:tcW w:w="990" w:type="dxa"/>
          </w:tcPr>
          <w:p w:rsidR="00A301B7" w:rsidRPr="00B97834" w:rsidRDefault="00A301B7" w:rsidP="00AD60BD">
            <w:pPr>
              <w:rPr>
                <w:rFonts w:cs="Times New Roman"/>
              </w:rPr>
            </w:pPr>
            <w:r w:rsidRPr="00B97834">
              <w:rPr>
                <w:rFonts w:cs="Times New Roman"/>
              </w:rPr>
              <w:t>4%</w:t>
            </w:r>
          </w:p>
        </w:tc>
        <w:tc>
          <w:tcPr>
            <w:tcW w:w="1530" w:type="dxa"/>
            <w:shd w:val="clear" w:color="auto" w:fill="auto"/>
          </w:tcPr>
          <w:p w:rsidR="00A301B7" w:rsidRPr="005148D3" w:rsidRDefault="005C284F" w:rsidP="00AD60BD">
            <w:pPr>
              <w:rPr>
                <w:rFonts w:cs="Times New Roman"/>
              </w:rPr>
            </w:pPr>
            <w:r>
              <w:rPr>
                <w:rFonts w:cs="Times New Roman"/>
              </w:rPr>
              <w:t>68</w:t>
            </w:r>
            <w:r w:rsidR="00A301B7" w:rsidRPr="005148D3">
              <w:rPr>
                <w:rFonts w:cs="Times New Roman"/>
              </w:rPr>
              <w:t>%</w:t>
            </w:r>
          </w:p>
        </w:tc>
      </w:tr>
      <w:tr w:rsidR="00306605" w:rsidRPr="00B97834" w:rsidTr="00BD7A56">
        <w:tc>
          <w:tcPr>
            <w:tcW w:w="3060" w:type="dxa"/>
          </w:tcPr>
          <w:p w:rsidR="00A301B7" w:rsidRPr="00B97834" w:rsidRDefault="00A301B7" w:rsidP="00AD60BD">
            <w:pPr>
              <w:rPr>
                <w:rFonts w:cs="Times New Roman"/>
                <w:b/>
              </w:rPr>
            </w:pPr>
            <w:r w:rsidRPr="00B97834">
              <w:rPr>
                <w:rFonts w:cs="Times New Roman"/>
                <w:b/>
              </w:rPr>
              <w:t>Affected counties</w:t>
            </w:r>
          </w:p>
        </w:tc>
        <w:tc>
          <w:tcPr>
            <w:tcW w:w="990" w:type="dxa"/>
          </w:tcPr>
          <w:p w:rsidR="00A301B7" w:rsidRPr="00B97834" w:rsidRDefault="00A301B7" w:rsidP="00AD60BD">
            <w:pPr>
              <w:rPr>
                <w:rFonts w:cs="Times New Roman"/>
              </w:rPr>
            </w:pPr>
          </w:p>
        </w:tc>
        <w:tc>
          <w:tcPr>
            <w:tcW w:w="1530" w:type="dxa"/>
          </w:tcPr>
          <w:p w:rsidR="00A301B7" w:rsidRPr="00F74737" w:rsidRDefault="00A301B7" w:rsidP="00AD60BD">
            <w:pPr>
              <w:rPr>
                <w:rFonts w:cs="Times New Roman"/>
                <w:highlight w:val="yellow"/>
              </w:rPr>
            </w:pPr>
          </w:p>
        </w:tc>
      </w:tr>
      <w:tr w:rsidR="00306605" w:rsidRPr="00B97834" w:rsidTr="00BD7A56">
        <w:tc>
          <w:tcPr>
            <w:tcW w:w="3060" w:type="dxa"/>
          </w:tcPr>
          <w:p w:rsidR="00A301B7" w:rsidRPr="00B97834" w:rsidRDefault="00A301B7" w:rsidP="00D93CB6">
            <w:pPr>
              <w:ind w:left="180"/>
              <w:rPr>
                <w:rFonts w:cs="Times New Roman"/>
              </w:rPr>
            </w:pPr>
            <w:r w:rsidRPr="00B97834">
              <w:rPr>
                <w:rFonts w:cs="Times New Roman"/>
              </w:rPr>
              <w:t>Barnstable</w:t>
            </w:r>
          </w:p>
        </w:tc>
        <w:tc>
          <w:tcPr>
            <w:tcW w:w="990" w:type="dxa"/>
          </w:tcPr>
          <w:p w:rsidR="00A301B7" w:rsidRPr="00B97834" w:rsidRDefault="00A301B7" w:rsidP="00AD60BD">
            <w:pPr>
              <w:rPr>
                <w:rFonts w:cs="Times New Roman"/>
              </w:rPr>
            </w:pPr>
            <w:r w:rsidRPr="00B97834">
              <w:rPr>
                <w:rFonts w:cs="Times New Roman"/>
              </w:rPr>
              <w:t>0%</w:t>
            </w:r>
          </w:p>
        </w:tc>
        <w:tc>
          <w:tcPr>
            <w:tcW w:w="1530" w:type="dxa"/>
          </w:tcPr>
          <w:p w:rsidR="00A301B7" w:rsidRPr="005148D3" w:rsidRDefault="00A301B7" w:rsidP="00AD60BD">
            <w:pPr>
              <w:rPr>
                <w:rFonts w:cs="Times New Roman"/>
              </w:rPr>
            </w:pPr>
            <w:r w:rsidRPr="005148D3">
              <w:rPr>
                <w:rFonts w:cs="Times New Roman"/>
              </w:rPr>
              <w:t>2%</w:t>
            </w:r>
          </w:p>
        </w:tc>
      </w:tr>
      <w:tr w:rsidR="00306605" w:rsidRPr="00B97834" w:rsidTr="00BD7A56">
        <w:tc>
          <w:tcPr>
            <w:tcW w:w="3060" w:type="dxa"/>
          </w:tcPr>
          <w:p w:rsidR="00A301B7" w:rsidRPr="00B97834" w:rsidRDefault="00A301B7" w:rsidP="00AD60BD">
            <w:pPr>
              <w:ind w:left="180"/>
              <w:rPr>
                <w:rFonts w:cs="Times New Roman"/>
              </w:rPr>
            </w:pPr>
            <w:r w:rsidRPr="00B97834">
              <w:rPr>
                <w:rFonts w:cs="Times New Roman"/>
              </w:rPr>
              <w:t>Berkshire</w:t>
            </w:r>
          </w:p>
        </w:tc>
        <w:tc>
          <w:tcPr>
            <w:tcW w:w="990" w:type="dxa"/>
          </w:tcPr>
          <w:p w:rsidR="00A301B7" w:rsidRPr="00B97834" w:rsidRDefault="00A301B7" w:rsidP="00AD60BD">
            <w:pPr>
              <w:rPr>
                <w:rFonts w:cs="Times New Roman"/>
              </w:rPr>
            </w:pPr>
            <w:r w:rsidRPr="00B97834">
              <w:rPr>
                <w:rFonts w:cs="Times New Roman"/>
              </w:rPr>
              <w:t>2%</w:t>
            </w:r>
          </w:p>
        </w:tc>
        <w:tc>
          <w:tcPr>
            <w:tcW w:w="1530" w:type="dxa"/>
          </w:tcPr>
          <w:p w:rsidR="00A301B7" w:rsidRPr="005148D3" w:rsidRDefault="00A301B7" w:rsidP="00AD60BD">
            <w:pPr>
              <w:rPr>
                <w:rFonts w:cs="Times New Roman"/>
              </w:rPr>
            </w:pPr>
            <w:r w:rsidRPr="005148D3">
              <w:rPr>
                <w:rFonts w:cs="Times New Roman"/>
              </w:rPr>
              <w:t>1%</w:t>
            </w:r>
          </w:p>
        </w:tc>
      </w:tr>
      <w:tr w:rsidR="00306605" w:rsidRPr="00B97834" w:rsidTr="00BD7A56">
        <w:tc>
          <w:tcPr>
            <w:tcW w:w="3060" w:type="dxa"/>
          </w:tcPr>
          <w:p w:rsidR="00A301B7" w:rsidRPr="00B97834" w:rsidRDefault="00A301B7" w:rsidP="00B26B4D">
            <w:pPr>
              <w:ind w:left="180"/>
              <w:rPr>
                <w:rFonts w:cs="Times New Roman"/>
              </w:rPr>
            </w:pPr>
            <w:r w:rsidRPr="00B97834">
              <w:rPr>
                <w:rFonts w:cs="Times New Roman"/>
              </w:rPr>
              <w:t>Bristol</w:t>
            </w:r>
          </w:p>
        </w:tc>
        <w:tc>
          <w:tcPr>
            <w:tcW w:w="990" w:type="dxa"/>
          </w:tcPr>
          <w:p w:rsidR="00A301B7" w:rsidRPr="00B97834" w:rsidRDefault="00A301B7" w:rsidP="00AD60BD">
            <w:pPr>
              <w:rPr>
                <w:rFonts w:cs="Times New Roman"/>
              </w:rPr>
            </w:pPr>
            <w:r w:rsidRPr="00B97834">
              <w:rPr>
                <w:rFonts w:cs="Times New Roman"/>
              </w:rPr>
              <w:t>6%</w:t>
            </w:r>
          </w:p>
        </w:tc>
        <w:tc>
          <w:tcPr>
            <w:tcW w:w="1530" w:type="dxa"/>
          </w:tcPr>
          <w:p w:rsidR="00A301B7" w:rsidRPr="005148D3" w:rsidRDefault="00E06A70" w:rsidP="00AD60BD">
            <w:pPr>
              <w:rPr>
                <w:rFonts w:cs="Times New Roman"/>
              </w:rPr>
            </w:pPr>
            <w:r>
              <w:rPr>
                <w:rFonts w:cs="Times New Roman"/>
              </w:rPr>
              <w:t>5</w:t>
            </w:r>
            <w:r w:rsidR="00A301B7" w:rsidRPr="005148D3">
              <w:rPr>
                <w:rFonts w:cs="Times New Roman"/>
              </w:rPr>
              <w:t>%</w:t>
            </w:r>
          </w:p>
        </w:tc>
      </w:tr>
      <w:tr w:rsidR="00306605" w:rsidRPr="00B97834" w:rsidTr="00BD7A56">
        <w:tc>
          <w:tcPr>
            <w:tcW w:w="3060" w:type="dxa"/>
          </w:tcPr>
          <w:p w:rsidR="00A301B7" w:rsidRPr="00B97834" w:rsidRDefault="00A301B7" w:rsidP="00AD60BD">
            <w:pPr>
              <w:ind w:left="180"/>
              <w:rPr>
                <w:rFonts w:cs="Times New Roman"/>
              </w:rPr>
            </w:pPr>
            <w:r w:rsidRPr="00B97834">
              <w:rPr>
                <w:rFonts w:cs="Times New Roman"/>
              </w:rPr>
              <w:t>Dukes</w:t>
            </w:r>
          </w:p>
        </w:tc>
        <w:tc>
          <w:tcPr>
            <w:tcW w:w="990" w:type="dxa"/>
          </w:tcPr>
          <w:p w:rsidR="00A301B7" w:rsidRPr="00B97834" w:rsidRDefault="00A301B7" w:rsidP="00AD60BD">
            <w:pPr>
              <w:rPr>
                <w:rFonts w:cs="Times New Roman"/>
              </w:rPr>
            </w:pPr>
            <w:r w:rsidRPr="00B97834">
              <w:rPr>
                <w:rFonts w:cs="Times New Roman"/>
              </w:rPr>
              <w:t>2%</w:t>
            </w:r>
          </w:p>
        </w:tc>
        <w:tc>
          <w:tcPr>
            <w:tcW w:w="1530" w:type="dxa"/>
          </w:tcPr>
          <w:p w:rsidR="00A301B7" w:rsidRPr="005148D3" w:rsidRDefault="00A301B7" w:rsidP="00AD60BD">
            <w:pPr>
              <w:rPr>
                <w:rFonts w:cs="Times New Roman"/>
              </w:rPr>
            </w:pPr>
            <w:r w:rsidRPr="005148D3">
              <w:rPr>
                <w:rFonts w:cs="Times New Roman"/>
              </w:rPr>
              <w:t>0%</w:t>
            </w:r>
          </w:p>
        </w:tc>
      </w:tr>
      <w:tr w:rsidR="00306605" w:rsidRPr="00B97834" w:rsidTr="00BD7A56">
        <w:tc>
          <w:tcPr>
            <w:tcW w:w="3060" w:type="dxa"/>
          </w:tcPr>
          <w:p w:rsidR="00A301B7" w:rsidRPr="00B97834" w:rsidRDefault="00A301B7" w:rsidP="00DB03AE">
            <w:pPr>
              <w:ind w:left="180"/>
              <w:rPr>
                <w:rFonts w:cs="Times New Roman"/>
              </w:rPr>
            </w:pPr>
            <w:r w:rsidRPr="00B97834">
              <w:rPr>
                <w:rFonts w:cs="Times New Roman"/>
              </w:rPr>
              <w:t>Essex</w:t>
            </w:r>
          </w:p>
        </w:tc>
        <w:tc>
          <w:tcPr>
            <w:tcW w:w="990" w:type="dxa"/>
          </w:tcPr>
          <w:p w:rsidR="00A301B7" w:rsidRPr="00B97834" w:rsidRDefault="00A301B7" w:rsidP="00AD60BD">
            <w:pPr>
              <w:rPr>
                <w:rFonts w:cs="Times New Roman"/>
              </w:rPr>
            </w:pPr>
            <w:r w:rsidRPr="00B97834">
              <w:rPr>
                <w:rFonts w:cs="Times New Roman"/>
              </w:rPr>
              <w:t>9%</w:t>
            </w:r>
          </w:p>
        </w:tc>
        <w:tc>
          <w:tcPr>
            <w:tcW w:w="1530" w:type="dxa"/>
          </w:tcPr>
          <w:p w:rsidR="00A301B7" w:rsidRPr="005148D3" w:rsidRDefault="00B822A4" w:rsidP="00AD60BD">
            <w:pPr>
              <w:rPr>
                <w:rFonts w:cs="Times New Roman"/>
              </w:rPr>
            </w:pPr>
            <w:r w:rsidRPr="005148D3">
              <w:rPr>
                <w:rFonts w:cs="Times New Roman"/>
              </w:rPr>
              <w:t>13</w:t>
            </w:r>
            <w:r w:rsidR="00A301B7" w:rsidRPr="005148D3">
              <w:rPr>
                <w:rFonts w:cs="Times New Roman"/>
              </w:rPr>
              <w:t>%</w:t>
            </w:r>
          </w:p>
        </w:tc>
      </w:tr>
      <w:tr w:rsidR="00306605" w:rsidRPr="00B97834" w:rsidTr="00BD7A56">
        <w:tc>
          <w:tcPr>
            <w:tcW w:w="3060" w:type="dxa"/>
          </w:tcPr>
          <w:p w:rsidR="00A301B7" w:rsidRPr="00B97834" w:rsidRDefault="00A301B7" w:rsidP="00B822A4">
            <w:pPr>
              <w:ind w:left="180"/>
              <w:rPr>
                <w:rFonts w:cs="Times New Roman"/>
              </w:rPr>
            </w:pPr>
            <w:r w:rsidRPr="00B97834">
              <w:rPr>
                <w:rFonts w:cs="Times New Roman"/>
              </w:rPr>
              <w:t>Franklin</w:t>
            </w:r>
          </w:p>
        </w:tc>
        <w:tc>
          <w:tcPr>
            <w:tcW w:w="990" w:type="dxa"/>
          </w:tcPr>
          <w:p w:rsidR="00A301B7" w:rsidRPr="00B97834" w:rsidRDefault="00A301B7" w:rsidP="00AD60BD">
            <w:pPr>
              <w:rPr>
                <w:rFonts w:cs="Times New Roman"/>
              </w:rPr>
            </w:pPr>
            <w:r w:rsidRPr="00B97834">
              <w:rPr>
                <w:rFonts w:cs="Times New Roman"/>
              </w:rPr>
              <w:t>0%</w:t>
            </w:r>
          </w:p>
        </w:tc>
        <w:tc>
          <w:tcPr>
            <w:tcW w:w="1530" w:type="dxa"/>
          </w:tcPr>
          <w:p w:rsidR="00A301B7" w:rsidRPr="005148D3" w:rsidRDefault="00A301B7" w:rsidP="00AD60BD">
            <w:pPr>
              <w:rPr>
                <w:rFonts w:cs="Times New Roman"/>
              </w:rPr>
            </w:pPr>
            <w:r w:rsidRPr="005148D3">
              <w:rPr>
                <w:rFonts w:cs="Times New Roman"/>
              </w:rPr>
              <w:t>1%</w:t>
            </w:r>
          </w:p>
        </w:tc>
      </w:tr>
      <w:tr w:rsidR="00306605" w:rsidRPr="00B97834" w:rsidTr="00BD7A56">
        <w:tc>
          <w:tcPr>
            <w:tcW w:w="3060" w:type="dxa"/>
          </w:tcPr>
          <w:p w:rsidR="00A301B7" w:rsidRPr="00B97834" w:rsidRDefault="00A301B7" w:rsidP="00D93CB6">
            <w:pPr>
              <w:ind w:left="180"/>
              <w:rPr>
                <w:rFonts w:cs="Times New Roman"/>
              </w:rPr>
            </w:pPr>
            <w:r w:rsidRPr="00B97834">
              <w:rPr>
                <w:rFonts w:cs="Times New Roman"/>
              </w:rPr>
              <w:t>Hampden</w:t>
            </w:r>
          </w:p>
        </w:tc>
        <w:tc>
          <w:tcPr>
            <w:tcW w:w="990" w:type="dxa"/>
          </w:tcPr>
          <w:p w:rsidR="00A301B7" w:rsidRPr="00B97834" w:rsidRDefault="00A301B7" w:rsidP="00AD60BD">
            <w:pPr>
              <w:rPr>
                <w:rFonts w:cs="Times New Roman"/>
              </w:rPr>
            </w:pPr>
            <w:r w:rsidRPr="00B97834">
              <w:rPr>
                <w:rFonts w:cs="Times New Roman"/>
              </w:rPr>
              <w:t>4%</w:t>
            </w:r>
          </w:p>
        </w:tc>
        <w:tc>
          <w:tcPr>
            <w:tcW w:w="1530" w:type="dxa"/>
          </w:tcPr>
          <w:p w:rsidR="00A301B7" w:rsidRPr="005148D3" w:rsidRDefault="005148D3" w:rsidP="00AD60BD">
            <w:pPr>
              <w:rPr>
                <w:rFonts w:cs="Times New Roman"/>
              </w:rPr>
            </w:pPr>
            <w:r w:rsidRPr="005148D3">
              <w:rPr>
                <w:rFonts w:cs="Times New Roman"/>
              </w:rPr>
              <w:t>8</w:t>
            </w:r>
            <w:r w:rsidR="00A301B7" w:rsidRPr="005148D3">
              <w:rPr>
                <w:rFonts w:cs="Times New Roman"/>
              </w:rPr>
              <w:t>%</w:t>
            </w:r>
          </w:p>
        </w:tc>
      </w:tr>
      <w:tr w:rsidR="00306605" w:rsidRPr="00B97834" w:rsidTr="00BD7A56">
        <w:tc>
          <w:tcPr>
            <w:tcW w:w="3060" w:type="dxa"/>
          </w:tcPr>
          <w:p w:rsidR="00A301B7" w:rsidRPr="00B97834" w:rsidRDefault="00A301B7" w:rsidP="00C71F85">
            <w:pPr>
              <w:ind w:left="180"/>
              <w:rPr>
                <w:rFonts w:cs="Times New Roman"/>
              </w:rPr>
            </w:pPr>
            <w:r w:rsidRPr="00B97834">
              <w:rPr>
                <w:rFonts w:cs="Times New Roman"/>
              </w:rPr>
              <w:t>Hampshire</w:t>
            </w:r>
          </w:p>
        </w:tc>
        <w:tc>
          <w:tcPr>
            <w:tcW w:w="990" w:type="dxa"/>
          </w:tcPr>
          <w:p w:rsidR="00A301B7" w:rsidRPr="00B97834" w:rsidRDefault="00A301B7" w:rsidP="00AD60BD">
            <w:pPr>
              <w:rPr>
                <w:rFonts w:cs="Times New Roman"/>
              </w:rPr>
            </w:pPr>
            <w:r w:rsidRPr="00B97834">
              <w:rPr>
                <w:rFonts w:cs="Times New Roman"/>
              </w:rPr>
              <w:t>0%</w:t>
            </w:r>
          </w:p>
        </w:tc>
        <w:tc>
          <w:tcPr>
            <w:tcW w:w="1530" w:type="dxa"/>
          </w:tcPr>
          <w:p w:rsidR="00A301B7" w:rsidRPr="005148D3" w:rsidRDefault="009502FB" w:rsidP="00AD60BD">
            <w:pPr>
              <w:rPr>
                <w:rFonts w:cs="Times New Roman"/>
              </w:rPr>
            </w:pPr>
            <w:r w:rsidRPr="005148D3">
              <w:rPr>
                <w:rFonts w:cs="Times New Roman"/>
              </w:rPr>
              <w:t>2</w:t>
            </w:r>
            <w:r w:rsidR="00A301B7" w:rsidRPr="005148D3">
              <w:rPr>
                <w:rFonts w:cs="Times New Roman"/>
              </w:rPr>
              <w:t>%</w:t>
            </w:r>
          </w:p>
        </w:tc>
      </w:tr>
      <w:tr w:rsidR="00306605" w:rsidRPr="00B97834" w:rsidTr="00BD7A56">
        <w:tc>
          <w:tcPr>
            <w:tcW w:w="3060" w:type="dxa"/>
          </w:tcPr>
          <w:p w:rsidR="00A301B7" w:rsidRPr="00B97834" w:rsidRDefault="00A301B7" w:rsidP="00C71F85">
            <w:pPr>
              <w:ind w:left="180"/>
              <w:rPr>
                <w:rFonts w:cs="Times New Roman"/>
              </w:rPr>
            </w:pPr>
            <w:r w:rsidRPr="00B97834">
              <w:rPr>
                <w:rFonts w:cs="Times New Roman"/>
              </w:rPr>
              <w:t>Middlesex</w:t>
            </w:r>
          </w:p>
        </w:tc>
        <w:tc>
          <w:tcPr>
            <w:tcW w:w="990" w:type="dxa"/>
          </w:tcPr>
          <w:p w:rsidR="00A301B7" w:rsidRPr="00B97834" w:rsidRDefault="00A301B7" w:rsidP="00AD60BD">
            <w:pPr>
              <w:rPr>
                <w:rFonts w:cs="Times New Roman"/>
              </w:rPr>
            </w:pPr>
            <w:r w:rsidRPr="00B97834">
              <w:rPr>
                <w:rFonts w:cs="Times New Roman"/>
              </w:rPr>
              <w:t>30%</w:t>
            </w:r>
          </w:p>
        </w:tc>
        <w:tc>
          <w:tcPr>
            <w:tcW w:w="1530" w:type="dxa"/>
          </w:tcPr>
          <w:p w:rsidR="00A301B7" w:rsidRPr="005148D3" w:rsidRDefault="00B822A4" w:rsidP="003E74D1">
            <w:pPr>
              <w:rPr>
                <w:rFonts w:cs="Times New Roman"/>
              </w:rPr>
            </w:pPr>
            <w:r w:rsidRPr="005148D3">
              <w:rPr>
                <w:rFonts w:cs="Times New Roman"/>
              </w:rPr>
              <w:t>15</w:t>
            </w:r>
            <w:r w:rsidR="00A301B7" w:rsidRPr="005148D3">
              <w:rPr>
                <w:rFonts w:cs="Times New Roman"/>
              </w:rPr>
              <w:t>%</w:t>
            </w:r>
          </w:p>
        </w:tc>
      </w:tr>
      <w:tr w:rsidR="00306605" w:rsidRPr="00B97834" w:rsidTr="00BD7A56">
        <w:tc>
          <w:tcPr>
            <w:tcW w:w="3060" w:type="dxa"/>
          </w:tcPr>
          <w:p w:rsidR="00A301B7" w:rsidRPr="00B97834" w:rsidRDefault="00A301B7" w:rsidP="00AD60BD">
            <w:pPr>
              <w:ind w:left="180"/>
              <w:rPr>
                <w:rFonts w:cs="Times New Roman"/>
              </w:rPr>
            </w:pPr>
            <w:r w:rsidRPr="00B97834">
              <w:rPr>
                <w:rFonts w:cs="Times New Roman"/>
              </w:rPr>
              <w:t>Norfolk</w:t>
            </w:r>
          </w:p>
        </w:tc>
        <w:tc>
          <w:tcPr>
            <w:tcW w:w="990" w:type="dxa"/>
          </w:tcPr>
          <w:p w:rsidR="00A301B7" w:rsidRPr="00B97834" w:rsidRDefault="00A301B7" w:rsidP="00AD60BD">
            <w:pPr>
              <w:rPr>
                <w:rFonts w:cs="Times New Roman"/>
              </w:rPr>
            </w:pPr>
            <w:r w:rsidRPr="00B97834">
              <w:rPr>
                <w:rFonts w:cs="Times New Roman"/>
              </w:rPr>
              <w:t>8%</w:t>
            </w:r>
          </w:p>
        </w:tc>
        <w:tc>
          <w:tcPr>
            <w:tcW w:w="1530" w:type="dxa"/>
          </w:tcPr>
          <w:p w:rsidR="00A301B7" w:rsidRPr="005148D3" w:rsidRDefault="00B822A4" w:rsidP="00AD60BD">
            <w:pPr>
              <w:rPr>
                <w:rFonts w:cs="Times New Roman"/>
              </w:rPr>
            </w:pPr>
            <w:r w:rsidRPr="005148D3">
              <w:rPr>
                <w:rFonts w:cs="Times New Roman"/>
              </w:rPr>
              <w:t>7</w:t>
            </w:r>
            <w:r w:rsidR="00A301B7" w:rsidRPr="005148D3">
              <w:rPr>
                <w:rFonts w:cs="Times New Roman"/>
              </w:rPr>
              <w:t>%</w:t>
            </w:r>
          </w:p>
        </w:tc>
      </w:tr>
      <w:tr w:rsidR="00306605" w:rsidRPr="00B97834" w:rsidTr="00BD7A56">
        <w:trPr>
          <w:trHeight w:val="260"/>
        </w:trPr>
        <w:tc>
          <w:tcPr>
            <w:tcW w:w="3060" w:type="dxa"/>
          </w:tcPr>
          <w:p w:rsidR="00A301B7" w:rsidRPr="00B97834" w:rsidRDefault="00A301B7" w:rsidP="00076C68">
            <w:pPr>
              <w:ind w:left="180"/>
              <w:rPr>
                <w:rFonts w:cs="Times New Roman"/>
              </w:rPr>
            </w:pPr>
            <w:r w:rsidRPr="00B97834">
              <w:rPr>
                <w:rFonts w:cs="Times New Roman"/>
              </w:rPr>
              <w:t>Plymouth</w:t>
            </w:r>
          </w:p>
        </w:tc>
        <w:tc>
          <w:tcPr>
            <w:tcW w:w="990" w:type="dxa"/>
          </w:tcPr>
          <w:p w:rsidR="00A301B7" w:rsidRPr="00B97834" w:rsidRDefault="00A301B7" w:rsidP="00AD60BD">
            <w:pPr>
              <w:rPr>
                <w:rFonts w:cs="Times New Roman"/>
              </w:rPr>
            </w:pPr>
            <w:r w:rsidRPr="00B97834">
              <w:rPr>
                <w:rFonts w:cs="Times New Roman"/>
              </w:rPr>
              <w:t>9%</w:t>
            </w:r>
          </w:p>
        </w:tc>
        <w:tc>
          <w:tcPr>
            <w:tcW w:w="1530" w:type="dxa"/>
          </w:tcPr>
          <w:p w:rsidR="00A301B7" w:rsidRPr="005148D3" w:rsidRDefault="009941C8" w:rsidP="00AD60BD">
            <w:pPr>
              <w:rPr>
                <w:rFonts w:cs="Times New Roman"/>
              </w:rPr>
            </w:pPr>
            <w:r w:rsidRPr="005148D3">
              <w:rPr>
                <w:rFonts w:cs="Times New Roman"/>
              </w:rPr>
              <w:t>7</w:t>
            </w:r>
            <w:r w:rsidR="00A301B7" w:rsidRPr="005148D3">
              <w:rPr>
                <w:rFonts w:cs="Times New Roman"/>
              </w:rPr>
              <w:t>%</w:t>
            </w:r>
          </w:p>
        </w:tc>
      </w:tr>
      <w:tr w:rsidR="00306605" w:rsidRPr="00B97834" w:rsidTr="00BD7A56">
        <w:tc>
          <w:tcPr>
            <w:tcW w:w="3060" w:type="dxa"/>
            <w:tcBorders>
              <w:bottom w:val="single" w:sz="4" w:space="0" w:color="auto"/>
            </w:tcBorders>
          </w:tcPr>
          <w:p w:rsidR="00A301B7" w:rsidRPr="00B97834" w:rsidRDefault="00A301B7" w:rsidP="00E06A70">
            <w:pPr>
              <w:ind w:left="180"/>
              <w:rPr>
                <w:rFonts w:cs="Times New Roman"/>
              </w:rPr>
            </w:pPr>
            <w:r w:rsidRPr="00B97834">
              <w:rPr>
                <w:rFonts w:cs="Times New Roman"/>
              </w:rPr>
              <w:t>Suffolk</w:t>
            </w:r>
          </w:p>
        </w:tc>
        <w:tc>
          <w:tcPr>
            <w:tcW w:w="990" w:type="dxa"/>
            <w:tcBorders>
              <w:bottom w:val="single" w:sz="4" w:space="0" w:color="auto"/>
            </w:tcBorders>
          </w:tcPr>
          <w:p w:rsidR="00A301B7" w:rsidRPr="00B97834" w:rsidRDefault="00A301B7" w:rsidP="00AD60BD">
            <w:pPr>
              <w:rPr>
                <w:rFonts w:cs="Times New Roman"/>
              </w:rPr>
            </w:pPr>
            <w:r w:rsidRPr="00B97834">
              <w:rPr>
                <w:rFonts w:cs="Times New Roman"/>
              </w:rPr>
              <w:t>19%</w:t>
            </w:r>
          </w:p>
        </w:tc>
        <w:tc>
          <w:tcPr>
            <w:tcW w:w="1530" w:type="dxa"/>
            <w:tcBorders>
              <w:bottom w:val="single" w:sz="4" w:space="0" w:color="auto"/>
            </w:tcBorders>
          </w:tcPr>
          <w:p w:rsidR="00A301B7" w:rsidRPr="005148D3" w:rsidRDefault="00C00951" w:rsidP="0005712E">
            <w:pPr>
              <w:rPr>
                <w:rFonts w:cs="Times New Roman"/>
              </w:rPr>
            </w:pPr>
            <w:r w:rsidRPr="005148D3">
              <w:rPr>
                <w:rFonts w:cs="Times New Roman"/>
              </w:rPr>
              <w:t>20</w:t>
            </w:r>
            <w:r w:rsidR="00A301B7" w:rsidRPr="005148D3">
              <w:rPr>
                <w:rFonts w:cs="Times New Roman"/>
              </w:rPr>
              <w:t>%</w:t>
            </w:r>
          </w:p>
        </w:tc>
      </w:tr>
      <w:tr w:rsidR="00306605" w:rsidRPr="00B97834" w:rsidTr="009A210C">
        <w:tc>
          <w:tcPr>
            <w:tcW w:w="3060" w:type="dxa"/>
            <w:tcBorders>
              <w:bottom w:val="single" w:sz="4" w:space="0" w:color="auto"/>
            </w:tcBorders>
          </w:tcPr>
          <w:p w:rsidR="00A301B7" w:rsidRPr="00B97834" w:rsidRDefault="00A301B7" w:rsidP="00AD60BD">
            <w:pPr>
              <w:ind w:left="180"/>
              <w:rPr>
                <w:rFonts w:cs="Times New Roman"/>
              </w:rPr>
            </w:pPr>
            <w:r w:rsidRPr="00B97834">
              <w:rPr>
                <w:rFonts w:cs="Times New Roman"/>
              </w:rPr>
              <w:t>Worcester</w:t>
            </w:r>
          </w:p>
        </w:tc>
        <w:tc>
          <w:tcPr>
            <w:tcW w:w="990" w:type="dxa"/>
            <w:tcBorders>
              <w:bottom w:val="single" w:sz="4" w:space="0" w:color="auto"/>
            </w:tcBorders>
          </w:tcPr>
          <w:p w:rsidR="00A301B7" w:rsidRPr="00B97834" w:rsidRDefault="00A301B7" w:rsidP="00AD60BD">
            <w:pPr>
              <w:rPr>
                <w:rFonts w:cs="Times New Roman"/>
              </w:rPr>
            </w:pPr>
            <w:r w:rsidRPr="00B97834">
              <w:rPr>
                <w:rFonts w:cs="Times New Roman"/>
              </w:rPr>
              <w:t>9%</w:t>
            </w:r>
          </w:p>
        </w:tc>
        <w:tc>
          <w:tcPr>
            <w:tcW w:w="1530" w:type="dxa"/>
            <w:tcBorders>
              <w:bottom w:val="single" w:sz="4" w:space="0" w:color="auto"/>
            </w:tcBorders>
          </w:tcPr>
          <w:p w:rsidR="00A301B7" w:rsidRPr="005148D3" w:rsidRDefault="00BB1C79" w:rsidP="00C85F47">
            <w:pPr>
              <w:rPr>
                <w:rFonts w:cs="Times New Roman"/>
              </w:rPr>
            </w:pPr>
            <w:r w:rsidRPr="005148D3">
              <w:rPr>
                <w:rFonts w:cs="Times New Roman"/>
              </w:rPr>
              <w:t>2</w:t>
            </w:r>
            <w:r w:rsidR="005148D3" w:rsidRPr="005148D3">
              <w:rPr>
                <w:rFonts w:cs="Times New Roman"/>
              </w:rPr>
              <w:t>1</w:t>
            </w:r>
            <w:r w:rsidR="00A301B7" w:rsidRPr="005148D3">
              <w:rPr>
                <w:rFonts w:cs="Times New Roman"/>
              </w:rPr>
              <w:t>%</w:t>
            </w:r>
          </w:p>
        </w:tc>
      </w:tr>
      <w:tr w:rsidR="009A210C" w:rsidRPr="00B97834" w:rsidTr="009A210C">
        <w:tc>
          <w:tcPr>
            <w:tcW w:w="5580" w:type="dxa"/>
            <w:gridSpan w:val="3"/>
            <w:tcBorders>
              <w:top w:val="single" w:sz="4" w:space="0" w:color="auto"/>
              <w:left w:val="nil"/>
              <w:bottom w:val="nil"/>
              <w:right w:val="nil"/>
            </w:tcBorders>
          </w:tcPr>
          <w:p w:rsidR="009A210C" w:rsidRPr="004D4B46" w:rsidRDefault="00A41229" w:rsidP="00EB1A21">
            <w:pPr>
              <w:rPr>
                <w:rFonts w:cs="Times New Roman"/>
                <w:i/>
              </w:rPr>
            </w:pPr>
            <w:r>
              <w:rPr>
                <w:sz w:val="18"/>
              </w:rPr>
              <w:t>No c</w:t>
            </w:r>
            <w:r w:rsidR="00DB03AE" w:rsidRPr="004D4B46">
              <w:rPr>
                <w:sz w:val="18"/>
              </w:rPr>
              <w:t>ounties with outbreak cases reported within the last two weeks.</w:t>
            </w:r>
          </w:p>
        </w:tc>
      </w:tr>
    </w:tbl>
    <w:p w:rsidR="00115A15" w:rsidRPr="00B97834" w:rsidRDefault="00295C13" w:rsidP="009A210C">
      <w:pPr>
        <w:spacing w:after="0" w:line="240" w:lineRule="auto"/>
        <w:jc w:val="left"/>
        <w:sectPr w:rsidR="00115A15" w:rsidRPr="00B97834" w:rsidSect="007E6FDE">
          <w:type w:val="continuous"/>
          <w:pgSz w:w="12240" w:h="15840"/>
          <w:pgMar w:top="540" w:right="720" w:bottom="720" w:left="720" w:header="720" w:footer="720" w:gutter="0"/>
          <w:cols w:num="2" w:space="0" w:equalWidth="0">
            <w:col w:w="5328" w:space="0"/>
            <w:col w:w="5472"/>
          </w:cols>
          <w:docGrid w:linePitch="360"/>
        </w:sectPr>
      </w:pPr>
      <w:r w:rsidRPr="00B97834">
        <w:t xml:space="preserve">   </w:t>
      </w:r>
    </w:p>
    <w:p w:rsidR="00BE2206" w:rsidRPr="00632F6A" w:rsidRDefault="002308CE" w:rsidP="0070198B">
      <w:pPr>
        <w:spacing w:after="0"/>
        <w:ind w:left="-450"/>
        <w:rPr>
          <w:sz w:val="14"/>
        </w:rPr>
      </w:pPr>
      <w:r>
        <w:rPr>
          <w:noProof/>
        </w:rPr>
        <w:drawing>
          <wp:inline distT="0" distB="0" distL="0" distR="0" wp14:anchorId="0D5D33F1" wp14:editId="1179AB71">
            <wp:extent cx="7134225" cy="2533650"/>
            <wp:effectExtent l="0" t="0" r="9525" b="0"/>
            <wp:docPr id="1"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BE2206" w:rsidRPr="00632F6A" w:rsidSect="00C43B0A">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C0"/>
    <w:rsid w:val="000023BE"/>
    <w:rsid w:val="00003465"/>
    <w:rsid w:val="00007514"/>
    <w:rsid w:val="00010F26"/>
    <w:rsid w:val="00012B6C"/>
    <w:rsid w:val="00021E57"/>
    <w:rsid w:val="00025F88"/>
    <w:rsid w:val="00026275"/>
    <w:rsid w:val="00032151"/>
    <w:rsid w:val="00032FE1"/>
    <w:rsid w:val="00040634"/>
    <w:rsid w:val="00041526"/>
    <w:rsid w:val="00045F3D"/>
    <w:rsid w:val="00046957"/>
    <w:rsid w:val="00052FD9"/>
    <w:rsid w:val="00056D4C"/>
    <w:rsid w:val="0005712E"/>
    <w:rsid w:val="0007437E"/>
    <w:rsid w:val="00075128"/>
    <w:rsid w:val="00076C68"/>
    <w:rsid w:val="00077018"/>
    <w:rsid w:val="0008022B"/>
    <w:rsid w:val="00086519"/>
    <w:rsid w:val="00086D2A"/>
    <w:rsid w:val="00090231"/>
    <w:rsid w:val="00097CAB"/>
    <w:rsid w:val="000B1E06"/>
    <w:rsid w:val="000B2F91"/>
    <w:rsid w:val="000C0672"/>
    <w:rsid w:val="000C0719"/>
    <w:rsid w:val="000C6AB3"/>
    <w:rsid w:val="000D31EB"/>
    <w:rsid w:val="000E0B01"/>
    <w:rsid w:val="000E3BDF"/>
    <w:rsid w:val="000E53B2"/>
    <w:rsid w:val="00102732"/>
    <w:rsid w:val="00105E81"/>
    <w:rsid w:val="00115243"/>
    <w:rsid w:val="00115A15"/>
    <w:rsid w:val="001311FC"/>
    <w:rsid w:val="00131F8B"/>
    <w:rsid w:val="00145CFF"/>
    <w:rsid w:val="00156FAD"/>
    <w:rsid w:val="001573F0"/>
    <w:rsid w:val="00167C5B"/>
    <w:rsid w:val="00170C1D"/>
    <w:rsid w:val="00171CFC"/>
    <w:rsid w:val="00171F7D"/>
    <w:rsid w:val="00173773"/>
    <w:rsid w:val="0018081A"/>
    <w:rsid w:val="001815B7"/>
    <w:rsid w:val="00192701"/>
    <w:rsid w:val="00193C81"/>
    <w:rsid w:val="001A1492"/>
    <w:rsid w:val="001A470F"/>
    <w:rsid w:val="001A6D89"/>
    <w:rsid w:val="001B11AD"/>
    <w:rsid w:val="001B6091"/>
    <w:rsid w:val="001E288D"/>
    <w:rsid w:val="001E37FF"/>
    <w:rsid w:val="001E43F2"/>
    <w:rsid w:val="001E55CE"/>
    <w:rsid w:val="001F298F"/>
    <w:rsid w:val="001F479B"/>
    <w:rsid w:val="001F5AAE"/>
    <w:rsid w:val="002014AA"/>
    <w:rsid w:val="0020362F"/>
    <w:rsid w:val="00211ABC"/>
    <w:rsid w:val="002208C2"/>
    <w:rsid w:val="002308CE"/>
    <w:rsid w:val="002363D0"/>
    <w:rsid w:val="00245546"/>
    <w:rsid w:val="00246730"/>
    <w:rsid w:val="00260A11"/>
    <w:rsid w:val="00261A13"/>
    <w:rsid w:val="00262FB3"/>
    <w:rsid w:val="00265316"/>
    <w:rsid w:val="002755A0"/>
    <w:rsid w:val="00275659"/>
    <w:rsid w:val="002765D6"/>
    <w:rsid w:val="00276B7C"/>
    <w:rsid w:val="00277835"/>
    <w:rsid w:val="00281118"/>
    <w:rsid w:val="00292EAC"/>
    <w:rsid w:val="00295C13"/>
    <w:rsid w:val="002A0F2A"/>
    <w:rsid w:val="002A2660"/>
    <w:rsid w:val="002A5DE2"/>
    <w:rsid w:val="002B13CB"/>
    <w:rsid w:val="002B58A3"/>
    <w:rsid w:val="002C066C"/>
    <w:rsid w:val="002C3D11"/>
    <w:rsid w:val="002E275A"/>
    <w:rsid w:val="002E43B9"/>
    <w:rsid w:val="002E5968"/>
    <w:rsid w:val="002E6C60"/>
    <w:rsid w:val="002F5CEB"/>
    <w:rsid w:val="002F7A5F"/>
    <w:rsid w:val="00304CB1"/>
    <w:rsid w:val="00306605"/>
    <w:rsid w:val="0031775B"/>
    <w:rsid w:val="00317806"/>
    <w:rsid w:val="003209B8"/>
    <w:rsid w:val="00322529"/>
    <w:rsid w:val="00333E80"/>
    <w:rsid w:val="00341E82"/>
    <w:rsid w:val="00342749"/>
    <w:rsid w:val="0034480E"/>
    <w:rsid w:val="00345027"/>
    <w:rsid w:val="00353E01"/>
    <w:rsid w:val="00366D31"/>
    <w:rsid w:val="00370DBC"/>
    <w:rsid w:val="00372E2D"/>
    <w:rsid w:val="00373BAB"/>
    <w:rsid w:val="003831AB"/>
    <w:rsid w:val="00391C8E"/>
    <w:rsid w:val="003A06DB"/>
    <w:rsid w:val="003A3AE3"/>
    <w:rsid w:val="003B6431"/>
    <w:rsid w:val="003B7433"/>
    <w:rsid w:val="003C159C"/>
    <w:rsid w:val="003D1A35"/>
    <w:rsid w:val="003D1DD5"/>
    <w:rsid w:val="003D23D5"/>
    <w:rsid w:val="003D258E"/>
    <w:rsid w:val="003E74D1"/>
    <w:rsid w:val="00402EA9"/>
    <w:rsid w:val="00405305"/>
    <w:rsid w:val="004106BC"/>
    <w:rsid w:val="0042114E"/>
    <w:rsid w:val="00425B3F"/>
    <w:rsid w:val="004314C7"/>
    <w:rsid w:val="004324F9"/>
    <w:rsid w:val="00434512"/>
    <w:rsid w:val="00434A75"/>
    <w:rsid w:val="00451C36"/>
    <w:rsid w:val="004539C5"/>
    <w:rsid w:val="00454696"/>
    <w:rsid w:val="004604EF"/>
    <w:rsid w:val="0046291D"/>
    <w:rsid w:val="00462C73"/>
    <w:rsid w:val="00480793"/>
    <w:rsid w:val="004907E6"/>
    <w:rsid w:val="004936C5"/>
    <w:rsid w:val="00494AF9"/>
    <w:rsid w:val="004A0305"/>
    <w:rsid w:val="004A0D65"/>
    <w:rsid w:val="004A7C19"/>
    <w:rsid w:val="004B02E3"/>
    <w:rsid w:val="004B1FC3"/>
    <w:rsid w:val="004B2ACE"/>
    <w:rsid w:val="004C40D9"/>
    <w:rsid w:val="004C7B73"/>
    <w:rsid w:val="004D046E"/>
    <w:rsid w:val="004D181A"/>
    <w:rsid w:val="004D2794"/>
    <w:rsid w:val="004D2F36"/>
    <w:rsid w:val="004D4B46"/>
    <w:rsid w:val="004D516C"/>
    <w:rsid w:val="004D52DB"/>
    <w:rsid w:val="004D5DAB"/>
    <w:rsid w:val="004E5F5A"/>
    <w:rsid w:val="00505025"/>
    <w:rsid w:val="005148D3"/>
    <w:rsid w:val="005266CC"/>
    <w:rsid w:val="005355A9"/>
    <w:rsid w:val="00536C0A"/>
    <w:rsid w:val="005413D6"/>
    <w:rsid w:val="00557FB9"/>
    <w:rsid w:val="00562226"/>
    <w:rsid w:val="00566427"/>
    <w:rsid w:val="00566C21"/>
    <w:rsid w:val="00577651"/>
    <w:rsid w:val="00586BDF"/>
    <w:rsid w:val="005A19F8"/>
    <w:rsid w:val="005A3C0D"/>
    <w:rsid w:val="005B07AF"/>
    <w:rsid w:val="005B0AC4"/>
    <w:rsid w:val="005B4DFB"/>
    <w:rsid w:val="005B6206"/>
    <w:rsid w:val="005B7E11"/>
    <w:rsid w:val="005C284F"/>
    <w:rsid w:val="005C7A21"/>
    <w:rsid w:val="005D16B1"/>
    <w:rsid w:val="005D60C1"/>
    <w:rsid w:val="005D640D"/>
    <w:rsid w:val="005D7D33"/>
    <w:rsid w:val="005E2D38"/>
    <w:rsid w:val="005E3536"/>
    <w:rsid w:val="005E39B8"/>
    <w:rsid w:val="005E60FB"/>
    <w:rsid w:val="005F3105"/>
    <w:rsid w:val="005F5E17"/>
    <w:rsid w:val="006041CB"/>
    <w:rsid w:val="006102BE"/>
    <w:rsid w:val="00610B84"/>
    <w:rsid w:val="006159A9"/>
    <w:rsid w:val="00615C8A"/>
    <w:rsid w:val="00616A6A"/>
    <w:rsid w:val="00624785"/>
    <w:rsid w:val="00632F6A"/>
    <w:rsid w:val="006477C9"/>
    <w:rsid w:val="0065420C"/>
    <w:rsid w:val="00654D1F"/>
    <w:rsid w:val="00676835"/>
    <w:rsid w:val="006775D8"/>
    <w:rsid w:val="00682EE8"/>
    <w:rsid w:val="006937AC"/>
    <w:rsid w:val="00696BCC"/>
    <w:rsid w:val="006A3EE6"/>
    <w:rsid w:val="006B1043"/>
    <w:rsid w:val="006B22F2"/>
    <w:rsid w:val="006B597A"/>
    <w:rsid w:val="006B6740"/>
    <w:rsid w:val="006B6B7A"/>
    <w:rsid w:val="006D6267"/>
    <w:rsid w:val="006E5E0A"/>
    <w:rsid w:val="006E71CF"/>
    <w:rsid w:val="006F051E"/>
    <w:rsid w:val="006F15CC"/>
    <w:rsid w:val="006F330C"/>
    <w:rsid w:val="006F69AA"/>
    <w:rsid w:val="00700C9D"/>
    <w:rsid w:val="0070198B"/>
    <w:rsid w:val="00720DC9"/>
    <w:rsid w:val="00727908"/>
    <w:rsid w:val="00733196"/>
    <w:rsid w:val="007418C7"/>
    <w:rsid w:val="007450A6"/>
    <w:rsid w:val="00754E7F"/>
    <w:rsid w:val="0077365C"/>
    <w:rsid w:val="007747E7"/>
    <w:rsid w:val="00776D0E"/>
    <w:rsid w:val="00783B7A"/>
    <w:rsid w:val="007927C3"/>
    <w:rsid w:val="00792FE8"/>
    <w:rsid w:val="0079313C"/>
    <w:rsid w:val="007A4D94"/>
    <w:rsid w:val="007B00B0"/>
    <w:rsid w:val="007B6B60"/>
    <w:rsid w:val="007C50C4"/>
    <w:rsid w:val="007C7038"/>
    <w:rsid w:val="007C76C4"/>
    <w:rsid w:val="007D151F"/>
    <w:rsid w:val="007E1300"/>
    <w:rsid w:val="007E6142"/>
    <w:rsid w:val="007E6FDE"/>
    <w:rsid w:val="007E77E8"/>
    <w:rsid w:val="007F4579"/>
    <w:rsid w:val="007F5C21"/>
    <w:rsid w:val="00801B46"/>
    <w:rsid w:val="00802FD1"/>
    <w:rsid w:val="00807E21"/>
    <w:rsid w:val="0081055F"/>
    <w:rsid w:val="008209B6"/>
    <w:rsid w:val="0083777C"/>
    <w:rsid w:val="00840A63"/>
    <w:rsid w:val="00844318"/>
    <w:rsid w:val="00846C90"/>
    <w:rsid w:val="00856046"/>
    <w:rsid w:val="00863E58"/>
    <w:rsid w:val="0086757C"/>
    <w:rsid w:val="00871880"/>
    <w:rsid w:val="00891BB4"/>
    <w:rsid w:val="00893F2A"/>
    <w:rsid w:val="008D7FEA"/>
    <w:rsid w:val="008E040C"/>
    <w:rsid w:val="008E0E9B"/>
    <w:rsid w:val="0090380A"/>
    <w:rsid w:val="0090444F"/>
    <w:rsid w:val="00904EA6"/>
    <w:rsid w:val="00916632"/>
    <w:rsid w:val="00920B42"/>
    <w:rsid w:val="00923C30"/>
    <w:rsid w:val="00926FFD"/>
    <w:rsid w:val="00930FF3"/>
    <w:rsid w:val="00935545"/>
    <w:rsid w:val="009424F0"/>
    <w:rsid w:val="009438FC"/>
    <w:rsid w:val="00945206"/>
    <w:rsid w:val="009502FB"/>
    <w:rsid w:val="0096186F"/>
    <w:rsid w:val="00962762"/>
    <w:rsid w:val="00967471"/>
    <w:rsid w:val="00973323"/>
    <w:rsid w:val="00984EFE"/>
    <w:rsid w:val="00985A97"/>
    <w:rsid w:val="009875E7"/>
    <w:rsid w:val="009941C8"/>
    <w:rsid w:val="00995E63"/>
    <w:rsid w:val="009964ED"/>
    <w:rsid w:val="009A0E21"/>
    <w:rsid w:val="009A210C"/>
    <w:rsid w:val="009C5F9F"/>
    <w:rsid w:val="009C6477"/>
    <w:rsid w:val="009D342D"/>
    <w:rsid w:val="009D397D"/>
    <w:rsid w:val="009D517C"/>
    <w:rsid w:val="009E49AD"/>
    <w:rsid w:val="009E65DC"/>
    <w:rsid w:val="009F041D"/>
    <w:rsid w:val="00A03B26"/>
    <w:rsid w:val="00A06BFE"/>
    <w:rsid w:val="00A1664F"/>
    <w:rsid w:val="00A2093F"/>
    <w:rsid w:val="00A260DF"/>
    <w:rsid w:val="00A26907"/>
    <w:rsid w:val="00A301B7"/>
    <w:rsid w:val="00A32822"/>
    <w:rsid w:val="00A372C3"/>
    <w:rsid w:val="00A41229"/>
    <w:rsid w:val="00A432FE"/>
    <w:rsid w:val="00A46E74"/>
    <w:rsid w:val="00A50543"/>
    <w:rsid w:val="00A509E6"/>
    <w:rsid w:val="00A5445C"/>
    <w:rsid w:val="00A57CE5"/>
    <w:rsid w:val="00A63126"/>
    <w:rsid w:val="00A7305E"/>
    <w:rsid w:val="00A75ED5"/>
    <w:rsid w:val="00A81A3B"/>
    <w:rsid w:val="00A828F5"/>
    <w:rsid w:val="00A91397"/>
    <w:rsid w:val="00A96F76"/>
    <w:rsid w:val="00AA7031"/>
    <w:rsid w:val="00AC09E8"/>
    <w:rsid w:val="00AC1F2B"/>
    <w:rsid w:val="00AC2DE2"/>
    <w:rsid w:val="00AC60A5"/>
    <w:rsid w:val="00AD0C4D"/>
    <w:rsid w:val="00AD5200"/>
    <w:rsid w:val="00AF56CA"/>
    <w:rsid w:val="00B01B1C"/>
    <w:rsid w:val="00B10A02"/>
    <w:rsid w:val="00B224E0"/>
    <w:rsid w:val="00B2509E"/>
    <w:rsid w:val="00B26B4D"/>
    <w:rsid w:val="00B32C9A"/>
    <w:rsid w:val="00B4282C"/>
    <w:rsid w:val="00B46233"/>
    <w:rsid w:val="00B53904"/>
    <w:rsid w:val="00B55E70"/>
    <w:rsid w:val="00B60B9D"/>
    <w:rsid w:val="00B612A9"/>
    <w:rsid w:val="00B62821"/>
    <w:rsid w:val="00B64C04"/>
    <w:rsid w:val="00B671BF"/>
    <w:rsid w:val="00B70940"/>
    <w:rsid w:val="00B71959"/>
    <w:rsid w:val="00B721E4"/>
    <w:rsid w:val="00B778D2"/>
    <w:rsid w:val="00B822A4"/>
    <w:rsid w:val="00B8512B"/>
    <w:rsid w:val="00B8585F"/>
    <w:rsid w:val="00B87301"/>
    <w:rsid w:val="00B97834"/>
    <w:rsid w:val="00BA08D1"/>
    <w:rsid w:val="00BA550D"/>
    <w:rsid w:val="00BA5EDD"/>
    <w:rsid w:val="00BB1C79"/>
    <w:rsid w:val="00BB257C"/>
    <w:rsid w:val="00BB5E50"/>
    <w:rsid w:val="00BC30A0"/>
    <w:rsid w:val="00BC7997"/>
    <w:rsid w:val="00BD1362"/>
    <w:rsid w:val="00BD1AA6"/>
    <w:rsid w:val="00BD7A56"/>
    <w:rsid w:val="00BD7F99"/>
    <w:rsid w:val="00BE2206"/>
    <w:rsid w:val="00BE3757"/>
    <w:rsid w:val="00BE3A2B"/>
    <w:rsid w:val="00BF449F"/>
    <w:rsid w:val="00BF48AF"/>
    <w:rsid w:val="00C00951"/>
    <w:rsid w:val="00C018E4"/>
    <w:rsid w:val="00C0756A"/>
    <w:rsid w:val="00C106DC"/>
    <w:rsid w:val="00C1117E"/>
    <w:rsid w:val="00C11E67"/>
    <w:rsid w:val="00C17CAB"/>
    <w:rsid w:val="00C2652B"/>
    <w:rsid w:val="00C30052"/>
    <w:rsid w:val="00C36377"/>
    <w:rsid w:val="00C364EE"/>
    <w:rsid w:val="00C37FBE"/>
    <w:rsid w:val="00C43B0A"/>
    <w:rsid w:val="00C503D7"/>
    <w:rsid w:val="00C50E3F"/>
    <w:rsid w:val="00C517FF"/>
    <w:rsid w:val="00C614A7"/>
    <w:rsid w:val="00C62803"/>
    <w:rsid w:val="00C71F85"/>
    <w:rsid w:val="00C755B7"/>
    <w:rsid w:val="00C85F47"/>
    <w:rsid w:val="00CA0093"/>
    <w:rsid w:val="00CB26D4"/>
    <w:rsid w:val="00CB3522"/>
    <w:rsid w:val="00CB6C6A"/>
    <w:rsid w:val="00CC5348"/>
    <w:rsid w:val="00CC6ABD"/>
    <w:rsid w:val="00CD3135"/>
    <w:rsid w:val="00CE2A74"/>
    <w:rsid w:val="00CE50DC"/>
    <w:rsid w:val="00CF3A58"/>
    <w:rsid w:val="00CF3BA9"/>
    <w:rsid w:val="00D040A0"/>
    <w:rsid w:val="00D11D1F"/>
    <w:rsid w:val="00D30708"/>
    <w:rsid w:val="00D345A2"/>
    <w:rsid w:val="00D35AC8"/>
    <w:rsid w:val="00D36188"/>
    <w:rsid w:val="00D6102D"/>
    <w:rsid w:val="00D7660B"/>
    <w:rsid w:val="00D77934"/>
    <w:rsid w:val="00D822D7"/>
    <w:rsid w:val="00D87BDF"/>
    <w:rsid w:val="00D91B43"/>
    <w:rsid w:val="00D93CB6"/>
    <w:rsid w:val="00DA3492"/>
    <w:rsid w:val="00DA4C03"/>
    <w:rsid w:val="00DA5615"/>
    <w:rsid w:val="00DA7DE7"/>
    <w:rsid w:val="00DB03AE"/>
    <w:rsid w:val="00DB22D2"/>
    <w:rsid w:val="00DB3ECC"/>
    <w:rsid w:val="00DB67BC"/>
    <w:rsid w:val="00DC0D1E"/>
    <w:rsid w:val="00DC2FF7"/>
    <w:rsid w:val="00DC3D6D"/>
    <w:rsid w:val="00DD37A1"/>
    <w:rsid w:val="00DE5C7F"/>
    <w:rsid w:val="00E04393"/>
    <w:rsid w:val="00E0464E"/>
    <w:rsid w:val="00E06A70"/>
    <w:rsid w:val="00E06E2E"/>
    <w:rsid w:val="00E12EA7"/>
    <w:rsid w:val="00E141D6"/>
    <w:rsid w:val="00E15F03"/>
    <w:rsid w:val="00E22B15"/>
    <w:rsid w:val="00E22D84"/>
    <w:rsid w:val="00E23A8B"/>
    <w:rsid w:val="00E26781"/>
    <w:rsid w:val="00E26E99"/>
    <w:rsid w:val="00E2770E"/>
    <w:rsid w:val="00E4755D"/>
    <w:rsid w:val="00E55AC0"/>
    <w:rsid w:val="00E627F8"/>
    <w:rsid w:val="00E70D10"/>
    <w:rsid w:val="00E72B3F"/>
    <w:rsid w:val="00E84C59"/>
    <w:rsid w:val="00E87169"/>
    <w:rsid w:val="00E87B34"/>
    <w:rsid w:val="00E94F41"/>
    <w:rsid w:val="00EA5370"/>
    <w:rsid w:val="00EB1A21"/>
    <w:rsid w:val="00EB5C25"/>
    <w:rsid w:val="00EB6B5E"/>
    <w:rsid w:val="00ED0F19"/>
    <w:rsid w:val="00ED3D4D"/>
    <w:rsid w:val="00ED705E"/>
    <w:rsid w:val="00EE6479"/>
    <w:rsid w:val="00EF0F88"/>
    <w:rsid w:val="00EF606C"/>
    <w:rsid w:val="00EF7A72"/>
    <w:rsid w:val="00F00CDF"/>
    <w:rsid w:val="00F022BF"/>
    <w:rsid w:val="00F1028E"/>
    <w:rsid w:val="00F34592"/>
    <w:rsid w:val="00F36E67"/>
    <w:rsid w:val="00F3763E"/>
    <w:rsid w:val="00F377F9"/>
    <w:rsid w:val="00F37991"/>
    <w:rsid w:val="00F4786E"/>
    <w:rsid w:val="00F55883"/>
    <w:rsid w:val="00F55B86"/>
    <w:rsid w:val="00F56C7B"/>
    <w:rsid w:val="00F57741"/>
    <w:rsid w:val="00F64E1F"/>
    <w:rsid w:val="00F70F99"/>
    <w:rsid w:val="00F74737"/>
    <w:rsid w:val="00F77B00"/>
    <w:rsid w:val="00F80DB3"/>
    <w:rsid w:val="00F8229F"/>
    <w:rsid w:val="00F936A9"/>
    <w:rsid w:val="00FA01CD"/>
    <w:rsid w:val="00FA594A"/>
    <w:rsid w:val="00FB14ED"/>
    <w:rsid w:val="00FD2FC9"/>
    <w:rsid w:val="00FE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810781-F7A5-4E08-A7FF-D85B07C5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834"/>
  </w:style>
  <w:style w:type="paragraph" w:styleId="Heading1">
    <w:name w:val="heading 1"/>
    <w:basedOn w:val="Normal"/>
    <w:next w:val="Normal"/>
    <w:link w:val="Heading1Char"/>
    <w:uiPriority w:val="9"/>
    <w:qFormat/>
    <w:rsid w:val="00B9783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B97834"/>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B9783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B9783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B97834"/>
    <w:pPr>
      <w:spacing w:before="200" w:after="0"/>
      <w:jc w:val="left"/>
      <w:outlineLvl w:val="4"/>
    </w:pPr>
    <w:rPr>
      <w:smallCaps/>
      <w:color w:val="0075A2" w:themeColor="accent2" w:themeShade="BF"/>
      <w:spacing w:val="10"/>
      <w:sz w:val="22"/>
      <w:szCs w:val="26"/>
    </w:rPr>
  </w:style>
  <w:style w:type="paragraph" w:styleId="Heading6">
    <w:name w:val="heading 6"/>
    <w:basedOn w:val="Normal"/>
    <w:next w:val="Normal"/>
    <w:link w:val="Heading6Char"/>
    <w:uiPriority w:val="9"/>
    <w:semiHidden/>
    <w:unhideWhenUsed/>
    <w:qFormat/>
    <w:rsid w:val="00B97834"/>
    <w:pPr>
      <w:spacing w:after="0"/>
      <w:jc w:val="left"/>
      <w:outlineLvl w:val="5"/>
    </w:pPr>
    <w:rPr>
      <w:smallCaps/>
      <w:color w:val="009DD9" w:themeColor="accent2"/>
      <w:spacing w:val="5"/>
      <w:sz w:val="22"/>
    </w:rPr>
  </w:style>
  <w:style w:type="paragraph" w:styleId="Heading7">
    <w:name w:val="heading 7"/>
    <w:basedOn w:val="Normal"/>
    <w:next w:val="Normal"/>
    <w:link w:val="Heading7Char"/>
    <w:uiPriority w:val="9"/>
    <w:semiHidden/>
    <w:unhideWhenUsed/>
    <w:qFormat/>
    <w:rsid w:val="00B97834"/>
    <w:pPr>
      <w:spacing w:after="0"/>
      <w:jc w:val="left"/>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B97834"/>
    <w:pPr>
      <w:spacing w:after="0"/>
      <w:jc w:val="left"/>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B97834"/>
    <w:pPr>
      <w:spacing w:after="0"/>
      <w:jc w:val="left"/>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AC0"/>
    <w:rPr>
      <w:rFonts w:ascii="Tahoma" w:hAnsi="Tahoma" w:cs="Tahoma"/>
      <w:sz w:val="16"/>
      <w:szCs w:val="16"/>
    </w:rPr>
  </w:style>
  <w:style w:type="character" w:styleId="CommentReference">
    <w:name w:val="annotation reference"/>
    <w:basedOn w:val="DefaultParagraphFont"/>
    <w:uiPriority w:val="99"/>
    <w:semiHidden/>
    <w:unhideWhenUsed/>
    <w:rsid w:val="007F5C21"/>
    <w:rPr>
      <w:sz w:val="16"/>
      <w:szCs w:val="16"/>
    </w:rPr>
  </w:style>
  <w:style w:type="paragraph" w:styleId="CommentText">
    <w:name w:val="annotation text"/>
    <w:basedOn w:val="Normal"/>
    <w:link w:val="CommentTextChar"/>
    <w:uiPriority w:val="99"/>
    <w:semiHidden/>
    <w:unhideWhenUsed/>
    <w:rsid w:val="007F5C21"/>
    <w:pPr>
      <w:spacing w:line="240" w:lineRule="auto"/>
    </w:pPr>
  </w:style>
  <w:style w:type="character" w:customStyle="1" w:styleId="CommentTextChar">
    <w:name w:val="Comment Text Char"/>
    <w:basedOn w:val="DefaultParagraphFont"/>
    <w:link w:val="CommentText"/>
    <w:uiPriority w:val="99"/>
    <w:semiHidden/>
    <w:rsid w:val="007F5C21"/>
    <w:rPr>
      <w:sz w:val="20"/>
      <w:szCs w:val="20"/>
    </w:rPr>
  </w:style>
  <w:style w:type="paragraph" w:styleId="CommentSubject">
    <w:name w:val="annotation subject"/>
    <w:basedOn w:val="CommentText"/>
    <w:next w:val="CommentText"/>
    <w:link w:val="CommentSubjectChar"/>
    <w:uiPriority w:val="99"/>
    <w:semiHidden/>
    <w:unhideWhenUsed/>
    <w:rsid w:val="007F5C21"/>
    <w:rPr>
      <w:b/>
      <w:bCs/>
    </w:rPr>
  </w:style>
  <w:style w:type="character" w:customStyle="1" w:styleId="CommentSubjectChar">
    <w:name w:val="Comment Subject Char"/>
    <w:basedOn w:val="CommentTextChar"/>
    <w:link w:val="CommentSubject"/>
    <w:uiPriority w:val="99"/>
    <w:semiHidden/>
    <w:rsid w:val="007F5C21"/>
    <w:rPr>
      <w:b/>
      <w:bCs/>
      <w:sz w:val="20"/>
      <w:szCs w:val="20"/>
    </w:rPr>
  </w:style>
  <w:style w:type="paragraph" w:styleId="Title">
    <w:name w:val="Title"/>
    <w:basedOn w:val="Normal"/>
    <w:next w:val="Normal"/>
    <w:link w:val="TitleChar"/>
    <w:uiPriority w:val="10"/>
    <w:qFormat/>
    <w:rsid w:val="00B97834"/>
    <w:pPr>
      <w:pBdr>
        <w:top w:val="single" w:sz="12" w:space="1" w:color="009DD9"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B97834"/>
    <w:rPr>
      <w:smallCaps/>
      <w:sz w:val="48"/>
      <w:szCs w:val="48"/>
    </w:rPr>
  </w:style>
  <w:style w:type="character" w:customStyle="1" w:styleId="Heading1Char">
    <w:name w:val="Heading 1 Char"/>
    <w:basedOn w:val="DefaultParagraphFont"/>
    <w:link w:val="Heading1"/>
    <w:uiPriority w:val="9"/>
    <w:rsid w:val="00B97834"/>
    <w:rPr>
      <w:smallCaps/>
      <w:spacing w:val="5"/>
      <w:sz w:val="32"/>
      <w:szCs w:val="32"/>
    </w:rPr>
  </w:style>
  <w:style w:type="character" w:customStyle="1" w:styleId="Heading2Char">
    <w:name w:val="Heading 2 Char"/>
    <w:basedOn w:val="DefaultParagraphFont"/>
    <w:link w:val="Heading2"/>
    <w:uiPriority w:val="9"/>
    <w:semiHidden/>
    <w:rsid w:val="00B97834"/>
    <w:rPr>
      <w:smallCaps/>
      <w:spacing w:val="5"/>
      <w:sz w:val="28"/>
      <w:szCs w:val="28"/>
    </w:rPr>
  </w:style>
  <w:style w:type="character" w:customStyle="1" w:styleId="Heading3Char">
    <w:name w:val="Heading 3 Char"/>
    <w:basedOn w:val="DefaultParagraphFont"/>
    <w:link w:val="Heading3"/>
    <w:uiPriority w:val="9"/>
    <w:semiHidden/>
    <w:rsid w:val="00B97834"/>
    <w:rPr>
      <w:smallCaps/>
      <w:spacing w:val="5"/>
      <w:sz w:val="24"/>
      <w:szCs w:val="24"/>
    </w:rPr>
  </w:style>
  <w:style w:type="character" w:customStyle="1" w:styleId="Heading4Char">
    <w:name w:val="Heading 4 Char"/>
    <w:basedOn w:val="DefaultParagraphFont"/>
    <w:link w:val="Heading4"/>
    <w:uiPriority w:val="9"/>
    <w:semiHidden/>
    <w:rsid w:val="00B97834"/>
    <w:rPr>
      <w:smallCaps/>
      <w:spacing w:val="10"/>
      <w:sz w:val="22"/>
      <w:szCs w:val="22"/>
    </w:rPr>
  </w:style>
  <w:style w:type="character" w:customStyle="1" w:styleId="Heading5Char">
    <w:name w:val="Heading 5 Char"/>
    <w:basedOn w:val="DefaultParagraphFont"/>
    <w:link w:val="Heading5"/>
    <w:uiPriority w:val="9"/>
    <w:semiHidden/>
    <w:rsid w:val="00B97834"/>
    <w:rPr>
      <w:smallCaps/>
      <w:color w:val="0075A2" w:themeColor="accent2" w:themeShade="BF"/>
      <w:spacing w:val="10"/>
      <w:sz w:val="22"/>
      <w:szCs w:val="26"/>
    </w:rPr>
  </w:style>
  <w:style w:type="character" w:customStyle="1" w:styleId="Heading6Char">
    <w:name w:val="Heading 6 Char"/>
    <w:basedOn w:val="DefaultParagraphFont"/>
    <w:link w:val="Heading6"/>
    <w:uiPriority w:val="9"/>
    <w:semiHidden/>
    <w:rsid w:val="00B97834"/>
    <w:rPr>
      <w:smallCaps/>
      <w:color w:val="009DD9" w:themeColor="accent2"/>
      <w:spacing w:val="5"/>
      <w:sz w:val="22"/>
    </w:rPr>
  </w:style>
  <w:style w:type="character" w:customStyle="1" w:styleId="Heading7Char">
    <w:name w:val="Heading 7 Char"/>
    <w:basedOn w:val="DefaultParagraphFont"/>
    <w:link w:val="Heading7"/>
    <w:uiPriority w:val="9"/>
    <w:semiHidden/>
    <w:rsid w:val="00B97834"/>
    <w:rPr>
      <w:b/>
      <w:smallCaps/>
      <w:color w:val="009DD9" w:themeColor="accent2"/>
      <w:spacing w:val="10"/>
    </w:rPr>
  </w:style>
  <w:style w:type="character" w:customStyle="1" w:styleId="Heading8Char">
    <w:name w:val="Heading 8 Char"/>
    <w:basedOn w:val="DefaultParagraphFont"/>
    <w:link w:val="Heading8"/>
    <w:uiPriority w:val="9"/>
    <w:semiHidden/>
    <w:rsid w:val="00B97834"/>
    <w:rPr>
      <w:b/>
      <w:i/>
      <w:smallCaps/>
      <w:color w:val="0075A2" w:themeColor="accent2" w:themeShade="BF"/>
    </w:rPr>
  </w:style>
  <w:style w:type="character" w:customStyle="1" w:styleId="Heading9Char">
    <w:name w:val="Heading 9 Char"/>
    <w:basedOn w:val="DefaultParagraphFont"/>
    <w:link w:val="Heading9"/>
    <w:uiPriority w:val="9"/>
    <w:semiHidden/>
    <w:rsid w:val="00B97834"/>
    <w:rPr>
      <w:b/>
      <w:i/>
      <w:smallCaps/>
      <w:color w:val="004D6C" w:themeColor="accent2" w:themeShade="7F"/>
    </w:rPr>
  </w:style>
  <w:style w:type="paragraph" w:styleId="Caption">
    <w:name w:val="caption"/>
    <w:basedOn w:val="Normal"/>
    <w:next w:val="Normal"/>
    <w:uiPriority w:val="35"/>
    <w:semiHidden/>
    <w:unhideWhenUsed/>
    <w:qFormat/>
    <w:rsid w:val="00B97834"/>
    <w:rPr>
      <w:b/>
      <w:bCs/>
      <w:caps/>
      <w:sz w:val="16"/>
      <w:szCs w:val="18"/>
    </w:rPr>
  </w:style>
  <w:style w:type="paragraph" w:styleId="Subtitle">
    <w:name w:val="Subtitle"/>
    <w:basedOn w:val="Normal"/>
    <w:next w:val="Normal"/>
    <w:link w:val="SubtitleChar"/>
    <w:uiPriority w:val="11"/>
    <w:qFormat/>
    <w:rsid w:val="00B97834"/>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B97834"/>
    <w:rPr>
      <w:rFonts w:asciiTheme="majorHAnsi" w:eastAsiaTheme="majorEastAsia" w:hAnsiTheme="majorHAnsi" w:cstheme="majorBidi"/>
      <w:szCs w:val="22"/>
    </w:rPr>
  </w:style>
  <w:style w:type="character" w:styleId="Strong">
    <w:name w:val="Strong"/>
    <w:uiPriority w:val="22"/>
    <w:qFormat/>
    <w:rsid w:val="00B97834"/>
    <w:rPr>
      <w:b/>
      <w:color w:val="009DD9" w:themeColor="accent2"/>
    </w:rPr>
  </w:style>
  <w:style w:type="character" w:styleId="Emphasis">
    <w:name w:val="Emphasis"/>
    <w:uiPriority w:val="20"/>
    <w:qFormat/>
    <w:rsid w:val="00B97834"/>
    <w:rPr>
      <w:b/>
      <w:i/>
      <w:spacing w:val="10"/>
    </w:rPr>
  </w:style>
  <w:style w:type="paragraph" w:styleId="NoSpacing">
    <w:name w:val="No Spacing"/>
    <w:basedOn w:val="Normal"/>
    <w:link w:val="NoSpacingChar"/>
    <w:uiPriority w:val="1"/>
    <w:qFormat/>
    <w:rsid w:val="00B97834"/>
    <w:pPr>
      <w:spacing w:after="0" w:line="240" w:lineRule="auto"/>
    </w:pPr>
  </w:style>
  <w:style w:type="character" w:customStyle="1" w:styleId="NoSpacingChar">
    <w:name w:val="No Spacing Char"/>
    <w:basedOn w:val="DefaultParagraphFont"/>
    <w:link w:val="NoSpacing"/>
    <w:uiPriority w:val="1"/>
    <w:rsid w:val="00B97834"/>
  </w:style>
  <w:style w:type="paragraph" w:styleId="ListParagraph">
    <w:name w:val="List Paragraph"/>
    <w:basedOn w:val="Normal"/>
    <w:uiPriority w:val="34"/>
    <w:qFormat/>
    <w:rsid w:val="00B97834"/>
    <w:pPr>
      <w:ind w:left="720"/>
      <w:contextualSpacing/>
    </w:pPr>
  </w:style>
  <w:style w:type="paragraph" w:styleId="Quote">
    <w:name w:val="Quote"/>
    <w:basedOn w:val="Normal"/>
    <w:next w:val="Normal"/>
    <w:link w:val="QuoteChar"/>
    <w:uiPriority w:val="29"/>
    <w:qFormat/>
    <w:rsid w:val="00B97834"/>
    <w:rPr>
      <w:i/>
    </w:rPr>
  </w:style>
  <w:style w:type="character" w:customStyle="1" w:styleId="QuoteChar">
    <w:name w:val="Quote Char"/>
    <w:basedOn w:val="DefaultParagraphFont"/>
    <w:link w:val="Quote"/>
    <w:uiPriority w:val="29"/>
    <w:rsid w:val="00B97834"/>
    <w:rPr>
      <w:i/>
    </w:rPr>
  </w:style>
  <w:style w:type="paragraph" w:styleId="IntenseQuote">
    <w:name w:val="Intense Quote"/>
    <w:basedOn w:val="Normal"/>
    <w:next w:val="Normal"/>
    <w:link w:val="IntenseQuoteChar"/>
    <w:uiPriority w:val="30"/>
    <w:qFormat/>
    <w:rsid w:val="00B97834"/>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97834"/>
    <w:rPr>
      <w:b/>
      <w:i/>
      <w:color w:val="FFFFFF" w:themeColor="background1"/>
      <w:shd w:val="clear" w:color="auto" w:fill="009DD9" w:themeFill="accent2"/>
    </w:rPr>
  </w:style>
  <w:style w:type="character" w:styleId="SubtleEmphasis">
    <w:name w:val="Subtle Emphasis"/>
    <w:uiPriority w:val="19"/>
    <w:qFormat/>
    <w:rsid w:val="00B97834"/>
    <w:rPr>
      <w:i/>
    </w:rPr>
  </w:style>
  <w:style w:type="character" w:styleId="IntenseEmphasis">
    <w:name w:val="Intense Emphasis"/>
    <w:uiPriority w:val="21"/>
    <w:qFormat/>
    <w:rsid w:val="00B97834"/>
    <w:rPr>
      <w:b/>
      <w:i/>
      <w:color w:val="009DD9" w:themeColor="accent2"/>
      <w:spacing w:val="10"/>
    </w:rPr>
  </w:style>
  <w:style w:type="character" w:styleId="SubtleReference">
    <w:name w:val="Subtle Reference"/>
    <w:uiPriority w:val="31"/>
    <w:qFormat/>
    <w:rsid w:val="00B97834"/>
    <w:rPr>
      <w:b/>
    </w:rPr>
  </w:style>
  <w:style w:type="character" w:styleId="IntenseReference">
    <w:name w:val="Intense Reference"/>
    <w:uiPriority w:val="32"/>
    <w:qFormat/>
    <w:rsid w:val="00B97834"/>
    <w:rPr>
      <w:b/>
      <w:bCs/>
      <w:smallCaps/>
      <w:spacing w:val="5"/>
      <w:sz w:val="22"/>
      <w:szCs w:val="22"/>
      <w:u w:val="single"/>
    </w:rPr>
  </w:style>
  <w:style w:type="character" w:styleId="BookTitle">
    <w:name w:val="Book Title"/>
    <w:uiPriority w:val="33"/>
    <w:qFormat/>
    <w:rsid w:val="00B9783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97834"/>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46555">
      <w:bodyDiv w:val="1"/>
      <w:marLeft w:val="0"/>
      <w:marRight w:val="0"/>
      <w:marTop w:val="0"/>
      <w:marBottom w:val="0"/>
      <w:divBdr>
        <w:top w:val="none" w:sz="0" w:space="0" w:color="auto"/>
        <w:left w:val="none" w:sz="0" w:space="0" w:color="auto"/>
        <w:bottom w:val="none" w:sz="0" w:space="0" w:color="auto"/>
        <w:right w:val="none" w:sz="0" w:space="0" w:color="auto"/>
      </w:divBdr>
    </w:div>
    <w:div w:id="19140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46.243.110.57\Production\RESOURCES\ISIS-EPI%20PROGRAM%20DATA\Outbreaks\HAV%20Homeless%202018\Outbreak%20weekly%20summary\condensedlineli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Hepatitis</a:t>
            </a:r>
            <a:r>
              <a:rPr lang="en-US" sz="1000" baseline="0">
                <a:latin typeface="Times New Roman" panose="02020603050405020304" pitchFamily="18" charset="0"/>
                <a:cs typeface="Times New Roman" panose="02020603050405020304" pitchFamily="18" charset="0"/>
              </a:rPr>
              <a:t> A cases, by event date, Massachusetts, April 2018 - April 2020</a:t>
            </a:r>
            <a:endParaRPr lang="en-US" sz="10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8.6778771592461182E-2"/>
          <c:y val="0.11863639663027374"/>
          <c:w val="0.89296339858229989"/>
          <c:h val="0.552463768115942"/>
        </c:manualLayout>
      </c:layout>
      <c:barChart>
        <c:barDir val="col"/>
        <c:grouping val="stacked"/>
        <c:varyColors val="0"/>
        <c:ser>
          <c:idx val="0"/>
          <c:order val="0"/>
          <c:tx>
            <c:strRef>
              <c:f>'Monthly epi curve for report'!$B$1</c:f>
              <c:strCache>
                <c:ptCount val="1"/>
                <c:pt idx="0">
                  <c:v>COUNT</c:v>
                </c:pt>
              </c:strCache>
            </c:strRef>
          </c:tx>
          <c:invertIfNegative val="0"/>
          <c:cat>
            <c:strRef>
              <c:f>'Monthly epi curve for report'!$A$2:$A$26</c:f>
              <c:strCache>
                <c:ptCount val="25"/>
                <c:pt idx="0">
                  <c:v>Apr 2018</c:v>
                </c:pt>
                <c:pt idx="1">
                  <c:v>May 2018</c:v>
                </c:pt>
                <c:pt idx="2">
                  <c:v>Jun 2018</c:v>
                </c:pt>
                <c:pt idx="3">
                  <c:v>Jul 2018</c:v>
                </c:pt>
                <c:pt idx="4">
                  <c:v>Aug 2018</c:v>
                </c:pt>
                <c:pt idx="5">
                  <c:v>Sep 2018</c:v>
                </c:pt>
                <c:pt idx="6">
                  <c:v>Oct 2018</c:v>
                </c:pt>
                <c:pt idx="7">
                  <c:v>Nov 2018</c:v>
                </c:pt>
                <c:pt idx="8">
                  <c:v>Dec 2018</c:v>
                </c:pt>
                <c:pt idx="9">
                  <c:v>Jan 2019</c:v>
                </c:pt>
                <c:pt idx="10">
                  <c:v>Feb 2019</c:v>
                </c:pt>
                <c:pt idx="11">
                  <c:v>Mar 2019</c:v>
                </c:pt>
                <c:pt idx="12">
                  <c:v>Apr 2019</c:v>
                </c:pt>
                <c:pt idx="13">
                  <c:v>May 2019</c:v>
                </c:pt>
                <c:pt idx="14">
                  <c:v>Jun 2019</c:v>
                </c:pt>
                <c:pt idx="15">
                  <c:v>Jul 2019</c:v>
                </c:pt>
                <c:pt idx="16">
                  <c:v>Aug 2019</c:v>
                </c:pt>
                <c:pt idx="17">
                  <c:v>Sep 2019</c:v>
                </c:pt>
                <c:pt idx="18">
                  <c:v>Oct 2019</c:v>
                </c:pt>
                <c:pt idx="19">
                  <c:v>Nov 2019</c:v>
                </c:pt>
                <c:pt idx="20">
                  <c:v>Dec 2019</c:v>
                </c:pt>
                <c:pt idx="21">
                  <c:v>Jan 2020</c:v>
                </c:pt>
                <c:pt idx="22">
                  <c:v>Feb 2020</c:v>
                </c:pt>
                <c:pt idx="23">
                  <c:v>Mar 2020</c:v>
                </c:pt>
                <c:pt idx="24">
                  <c:v>Apr 2020</c:v>
                </c:pt>
              </c:strCache>
            </c:strRef>
          </c:cat>
          <c:val>
            <c:numRef>
              <c:f>'Monthly epi curve for report'!$B$2:$B$26</c:f>
              <c:numCache>
                <c:formatCode>General</c:formatCode>
                <c:ptCount val="25"/>
                <c:pt idx="0">
                  <c:v>1</c:v>
                </c:pt>
                <c:pt idx="1">
                  <c:v>2</c:v>
                </c:pt>
                <c:pt idx="2">
                  <c:v>7</c:v>
                </c:pt>
                <c:pt idx="3">
                  <c:v>9</c:v>
                </c:pt>
                <c:pt idx="4">
                  <c:v>40</c:v>
                </c:pt>
                <c:pt idx="5">
                  <c:v>67</c:v>
                </c:pt>
                <c:pt idx="6">
                  <c:v>81</c:v>
                </c:pt>
                <c:pt idx="7">
                  <c:v>90</c:v>
                </c:pt>
                <c:pt idx="8">
                  <c:v>63</c:v>
                </c:pt>
                <c:pt idx="9">
                  <c:v>36</c:v>
                </c:pt>
                <c:pt idx="10">
                  <c:v>34</c:v>
                </c:pt>
                <c:pt idx="11">
                  <c:v>20</c:v>
                </c:pt>
                <c:pt idx="12">
                  <c:v>10</c:v>
                </c:pt>
                <c:pt idx="13">
                  <c:v>13</c:v>
                </c:pt>
                <c:pt idx="14">
                  <c:v>10</c:v>
                </c:pt>
                <c:pt idx="15">
                  <c:v>13</c:v>
                </c:pt>
                <c:pt idx="16">
                  <c:v>15</c:v>
                </c:pt>
                <c:pt idx="17">
                  <c:v>6</c:v>
                </c:pt>
                <c:pt idx="18">
                  <c:v>17</c:v>
                </c:pt>
                <c:pt idx="19">
                  <c:v>12</c:v>
                </c:pt>
                <c:pt idx="20">
                  <c:v>6</c:v>
                </c:pt>
                <c:pt idx="21">
                  <c:v>6</c:v>
                </c:pt>
                <c:pt idx="22">
                  <c:v>1</c:v>
                </c:pt>
                <c:pt idx="23">
                  <c:v>2</c:v>
                </c:pt>
                <c:pt idx="24">
                  <c:v>2</c:v>
                </c:pt>
              </c:numCache>
            </c:numRef>
          </c:val>
          <c:extLst>
            <c:ext xmlns:c16="http://schemas.microsoft.com/office/drawing/2014/chart" uri="{C3380CC4-5D6E-409C-BE32-E72D297353CC}">
              <c16:uniqueId val="{00000000-462F-42B2-B153-D529F8ADD985}"/>
            </c:ext>
          </c:extLst>
        </c:ser>
        <c:dLbls>
          <c:showLegendKey val="0"/>
          <c:showVal val="0"/>
          <c:showCatName val="0"/>
          <c:showSerName val="0"/>
          <c:showPercent val="0"/>
          <c:showBubbleSize val="0"/>
        </c:dLbls>
        <c:gapWidth val="150"/>
        <c:overlap val="100"/>
        <c:axId val="118241152"/>
        <c:axId val="118267904"/>
      </c:barChart>
      <c:catAx>
        <c:axId val="118241152"/>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Month</a:t>
                </a:r>
              </a:p>
            </c:rich>
          </c:tx>
          <c:layout>
            <c:manualLayout>
              <c:xMode val="edge"/>
              <c:yMode val="edge"/>
              <c:x val="0.46717435662808565"/>
              <c:y val="0.80541921530194993"/>
            </c:manualLayout>
          </c:layout>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18267904"/>
        <c:crosses val="autoZero"/>
        <c:auto val="1"/>
        <c:lblAlgn val="ctr"/>
        <c:lblOffset val="100"/>
        <c:noMultiLvlLbl val="0"/>
      </c:catAx>
      <c:valAx>
        <c:axId val="118267904"/>
        <c:scaling>
          <c:orientation val="minMax"/>
        </c:scaling>
        <c:delete val="0"/>
        <c:axPos val="l"/>
        <c:majorGridlines/>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 cases reported</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18241152"/>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0.03028</cdr:x>
      <cdr:y>0.84171</cdr:y>
    </cdr:from>
    <cdr:to>
      <cdr:x>0.99396</cdr:x>
      <cdr:y>0.96098</cdr:y>
    </cdr:to>
    <cdr:sp macro="" textlink="">
      <cdr:nvSpPr>
        <cdr:cNvPr id="2" name="TextBox 2"/>
        <cdr:cNvSpPr txBox="1"/>
      </cdr:nvSpPr>
      <cdr:spPr>
        <a:xfrm xmlns:a="http://schemas.openxmlformats.org/drawingml/2006/main">
          <a:off x="244866" y="2765959"/>
          <a:ext cx="7793015" cy="3919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rtl="0" eaLnBrk="1" fontAlgn="auto" latinLnBrk="0" hangingPunct="1">
            <a:lnSpc>
              <a:spcPct val="100000"/>
            </a:lnSpc>
            <a:spcBef>
              <a:spcPts val="0"/>
            </a:spcBef>
            <a:spcAft>
              <a:spcPts val="0"/>
            </a:spcAft>
            <a:buClrTx/>
            <a:buSzTx/>
            <a:buFontTx/>
            <a:buNone/>
            <a:tabLst/>
            <a:defRPr/>
          </a:pPr>
          <a:r>
            <a:rPr lang="en-US" sz="1000">
              <a:effectLst/>
              <a:latin typeface="Times New Roman" panose="02020603050405020304" pitchFamily="18" charset="0"/>
              <a:ea typeface="+mn-ea"/>
              <a:cs typeface="Times New Roman" panose="02020603050405020304" pitchFamily="18" charset="0"/>
            </a:rPr>
            <a:t>Data for more recent weeks may be incomplete due</a:t>
          </a:r>
          <a:r>
            <a:rPr lang="en-US" sz="1000" baseline="0">
              <a:effectLst/>
              <a:latin typeface="Times New Roman" panose="02020603050405020304" pitchFamily="18" charset="0"/>
              <a:ea typeface="+mn-ea"/>
              <a:cs typeface="Times New Roman" panose="02020603050405020304" pitchFamily="18" charset="0"/>
            </a:rPr>
            <a:t> to diagnosis and reporting delays. </a:t>
          </a:r>
          <a:r>
            <a:rPr lang="en-US" sz="1000">
              <a:effectLst/>
              <a:latin typeface="Times New Roman" panose="02020603050405020304" pitchFamily="18" charset="0"/>
              <a:ea typeface="+mn-ea"/>
              <a:cs typeface="Times New Roman" panose="02020603050405020304" pitchFamily="18" charset="0"/>
            </a:rPr>
            <a:t>Data source: MDPH Bureau of Infectious Disease and Laboratory Sciences. Data as of 5/29</a:t>
          </a:r>
          <a:r>
            <a:rPr lang="en-US" sz="1000">
              <a:solidFill>
                <a:sysClr val="windowText" lastClr="000000"/>
              </a:solidFill>
              <a:effectLst/>
              <a:latin typeface="Times New Roman" panose="02020603050405020304" pitchFamily="18" charset="0"/>
              <a:ea typeface="+mn-ea"/>
              <a:cs typeface="Times New Roman" panose="02020603050405020304" pitchFamily="18" charset="0"/>
            </a:rPr>
            <a:t>/2020</a:t>
          </a:r>
          <a:r>
            <a:rPr lang="en-US" sz="1000">
              <a:effectLst/>
              <a:latin typeface="Times New Roman" panose="02020603050405020304" pitchFamily="18" charset="0"/>
              <a:ea typeface="+mn-ea"/>
              <a:cs typeface="Times New Roman" panose="02020603050405020304" pitchFamily="18" charset="0"/>
            </a:rPr>
            <a:t> and subject to change. </a:t>
          </a:r>
          <a:endParaRPr lang="en-US" sz="1000">
            <a:effectLst/>
            <a:latin typeface="Times New Roman" panose="02020603050405020304" pitchFamily="18" charset="0"/>
            <a:cs typeface="Times New Roman" panose="02020603050405020304" pitchFamily="18" charset="0"/>
          </a:endParaRPr>
        </a:p>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5EE9-E721-4597-8579-E5C79D05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Bouton, Lindsay (DPH)</dc:creator>
  <cp:lastModifiedBy>Perez, Carley W. (DPH)</cp:lastModifiedBy>
  <cp:revision>2</cp:revision>
  <cp:lastPrinted>2019-06-14T15:27:00Z</cp:lastPrinted>
  <dcterms:created xsi:type="dcterms:W3CDTF">2020-06-09T18:49:00Z</dcterms:created>
  <dcterms:modified xsi:type="dcterms:W3CDTF">2020-06-09T18:49:00Z</dcterms:modified>
</cp:coreProperties>
</file>