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1544F08B" w14:textId="699D3DBB" w:rsidR="00DC7117" w:rsidRPr="00DC7117" w:rsidRDefault="00DC7117" w:rsidP="00DC7117">
      <w:pPr>
        <w:rPr>
          <w:sz w:val="52"/>
          <w:szCs w:val="52"/>
        </w:rPr>
      </w:pPr>
      <w:r w:rsidRPr="00DC7117">
        <w:rPr>
          <w:sz w:val="52"/>
          <w:szCs w:val="52"/>
        </w:rPr>
        <w:t>Medicaid for Violence Prevention</w:t>
      </w:r>
    </w:p>
    <w:p w14:paraId="78F20935" w14:textId="77777777" w:rsidR="00C9008D" w:rsidRPr="005F0E38" w:rsidRDefault="00C9008D" w:rsidP="0031623E"/>
    <w:p w14:paraId="64C6BDAC" w14:textId="77777777" w:rsidR="00DC7117" w:rsidRDefault="00DC7117" w:rsidP="00130192">
      <w:pPr>
        <w:rPr>
          <w:b/>
          <w:bCs/>
        </w:rPr>
      </w:pPr>
    </w:p>
    <w:p w14:paraId="0D8372F7" w14:textId="1BFC1417" w:rsidR="00DC7117" w:rsidRPr="00DC7117" w:rsidRDefault="00DC7117" w:rsidP="00DC7117">
      <w:pPr>
        <w:rPr>
          <w:b/>
          <w:bCs/>
        </w:rPr>
      </w:pPr>
      <w:r w:rsidRPr="00DC7117">
        <w:rPr>
          <w:b/>
          <w:bCs/>
        </w:rPr>
        <w:t>KYLE FISCHER, MD, MPH</w:t>
      </w:r>
    </w:p>
    <w:p w14:paraId="06DE2328" w14:textId="582EBFE8" w:rsidR="00DC7117" w:rsidRPr="00DC7117" w:rsidRDefault="00DC7117" w:rsidP="00DC7117">
      <w:pPr>
        <w:rPr>
          <w:b/>
          <w:bCs/>
        </w:rPr>
      </w:pPr>
      <w:r w:rsidRPr="00DC7117">
        <w:rPr>
          <w:b/>
          <w:bCs/>
        </w:rPr>
        <w:t>POLICY DIRECTOR</w:t>
      </w:r>
    </w:p>
    <w:p w14:paraId="12F77C91" w14:textId="2C305A7F" w:rsidR="00DC7117" w:rsidRPr="00DC7117" w:rsidRDefault="00DC7117" w:rsidP="00DC7117">
      <w:pPr>
        <w:rPr>
          <w:b/>
          <w:bCs/>
        </w:rPr>
      </w:pPr>
      <w:r w:rsidRPr="00DC7117">
        <w:rPr>
          <w:b/>
          <w:bCs/>
        </w:rPr>
        <w:t>OCTOBER 25, 2024</w:t>
      </w:r>
    </w:p>
    <w:p w14:paraId="1503D252" w14:textId="77777777" w:rsidR="00DC7117" w:rsidRDefault="00DC7117" w:rsidP="00130192">
      <w:pPr>
        <w:rPr>
          <w:b/>
          <w:bCs/>
        </w:rPr>
      </w:pPr>
    </w:p>
    <w:p w14:paraId="1F550AB1" w14:textId="5842ABD2" w:rsidR="00130192" w:rsidRDefault="00DC7117" w:rsidP="00130192">
      <w:pPr>
        <w:rPr>
          <w:b/>
          <w:bCs/>
        </w:rPr>
      </w:pPr>
      <w:r>
        <w:rPr>
          <w:b/>
          <w:bCs/>
        </w:rPr>
        <w:t>HAVI</w:t>
      </w:r>
    </w:p>
    <w:p w14:paraId="293F2188" w14:textId="74F81C63" w:rsidR="00DC7117" w:rsidRPr="00130192" w:rsidRDefault="00DC7117" w:rsidP="00130192">
      <w:pPr>
        <w:rPr>
          <w:b/>
          <w:bCs/>
        </w:rPr>
      </w:pPr>
      <w:r>
        <w:rPr>
          <w:b/>
          <w:bCs/>
        </w:rPr>
        <w:t>THE HEALTH ALLIANCE for VIOLENCE INTERVENTION</w:t>
      </w:r>
    </w:p>
    <w:p w14:paraId="1C87E7C4" w14:textId="77777777" w:rsidR="00130192" w:rsidRPr="00130192" w:rsidRDefault="00130192" w:rsidP="00130192">
      <w:pPr>
        <w:rPr>
          <w:b/>
          <w:bCs/>
        </w:rPr>
      </w:pPr>
    </w:p>
    <w:p w14:paraId="396DF5D2" w14:textId="4798A8DB" w:rsidR="00C9008D" w:rsidRPr="00B13739" w:rsidRDefault="00C9008D" w:rsidP="00C9008D">
      <w:pPr>
        <w:rPr>
          <w:b/>
          <w:bCs/>
        </w:rPr>
      </w:pPr>
    </w:p>
    <w:p w14:paraId="6CDF2A13" w14:textId="77777777" w:rsidR="00C9008D" w:rsidRPr="00D77767" w:rsidRDefault="00C9008D"/>
    <w:p w14:paraId="5AB909C8" w14:textId="77777777" w:rsidR="00C9008D" w:rsidRDefault="00C9008D"/>
    <w:p w14:paraId="65597731" w14:textId="77777777" w:rsidR="00C9008D" w:rsidRDefault="00C9008D">
      <w:r>
        <w:br w:type="page"/>
      </w:r>
    </w:p>
    <w:p w14:paraId="4225E099" w14:textId="07B928A8" w:rsidR="009C22EC" w:rsidRDefault="0031623E">
      <w:r>
        <w:lastRenderedPageBreak/>
        <w:t xml:space="preserve">Slide </w:t>
      </w:r>
      <w:r w:rsidR="00D23C6E">
        <w:t>2</w:t>
      </w:r>
    </w:p>
    <w:p w14:paraId="2491BCDC" w14:textId="03ACF5A7" w:rsidR="0031623E" w:rsidRPr="0031623E" w:rsidRDefault="00420B74" w:rsidP="0031623E">
      <w:pPr>
        <w:pStyle w:val="Heading2"/>
      </w:pPr>
      <w:r>
        <w:t>Firearm Violence: A Public Health Crisis</w:t>
      </w:r>
      <w:r w:rsidR="0031623E" w:rsidRPr="0031623E">
        <w:t xml:space="preserve"> </w:t>
      </w:r>
    </w:p>
    <w:p w14:paraId="2DA0EFF8" w14:textId="77777777" w:rsidR="00177D44" w:rsidRDefault="00177D44" w:rsidP="00177D44">
      <w:pPr>
        <w:ind w:left="720"/>
      </w:pPr>
    </w:p>
    <w:p w14:paraId="590395E7" w14:textId="44D4DC57" w:rsidR="00420B74" w:rsidRDefault="00420B74" w:rsidP="00420B74">
      <w:r w:rsidRPr="00420B74">
        <w:t>Firearm Violence: A Public Health Crisis</w:t>
      </w:r>
    </w:p>
    <w:p w14:paraId="1F00CE64" w14:textId="47C805CC" w:rsidR="00420B74" w:rsidRDefault="00420B74" w:rsidP="00420B74">
      <w:r>
        <w:t>The U.S. Surgeon General’s Advisory</w:t>
      </w:r>
    </w:p>
    <w:p w14:paraId="318FC5AE" w14:textId="0B75F80D" w:rsidR="00420B74" w:rsidRDefault="00420B74" w:rsidP="00420B74">
      <w:r>
        <w:t>2024</w:t>
      </w:r>
    </w:p>
    <w:p w14:paraId="2F34A567" w14:textId="5273F179" w:rsidR="00B92012" w:rsidRPr="00C9008D" w:rsidRDefault="00B92012" w:rsidP="00420B74"/>
    <w:p w14:paraId="628D1006" w14:textId="06E56ED8" w:rsidR="00420B74" w:rsidRPr="00420B74" w:rsidRDefault="00420B74" w:rsidP="00420B74">
      <w:pPr>
        <w:rPr>
          <w:b/>
          <w:bCs/>
        </w:rPr>
      </w:pPr>
      <w:r w:rsidRPr="00420B74">
        <w:rPr>
          <w:b/>
          <w:bCs/>
        </w:rPr>
        <w:t>Implement community violence interventions to support populations</w:t>
      </w:r>
    </w:p>
    <w:p w14:paraId="58AC96E9" w14:textId="77777777" w:rsidR="00420B74" w:rsidRPr="00420B74" w:rsidRDefault="00420B74" w:rsidP="00420B74">
      <w:r w:rsidRPr="00420B74">
        <w:rPr>
          <w:b/>
          <w:bCs/>
        </w:rPr>
        <w:t>with increased risk of firearm violence involvement.</w:t>
      </w:r>
      <w:r w:rsidRPr="00420B74">
        <w:t xml:space="preserve"> Community violence</w:t>
      </w:r>
    </w:p>
    <w:p w14:paraId="70265596" w14:textId="77777777" w:rsidR="00420B74" w:rsidRPr="00420B74" w:rsidRDefault="00420B74" w:rsidP="00420B74">
      <w:r w:rsidRPr="00420B74">
        <w:t>interventions (CVI) use evidence</w:t>
      </w:r>
      <w:r w:rsidRPr="00420B74">
        <w:rPr>
          <w:rFonts w:ascii="Cambria Math" w:hAnsi="Cambria Math" w:cs="Cambria Math"/>
        </w:rPr>
        <w:t>‑</w:t>
      </w:r>
      <w:r w:rsidRPr="00420B74">
        <w:t>informed, multidisciplinary, and tailored</w:t>
      </w:r>
    </w:p>
    <w:p w14:paraId="09AE5FBF" w14:textId="77777777" w:rsidR="00420B74" w:rsidRPr="00420B74" w:rsidRDefault="00420B74" w:rsidP="00420B74">
      <w:r w:rsidRPr="00420B74">
        <w:t>strategies to disrupt cycles of violence and connect individuals at risk of violence</w:t>
      </w:r>
    </w:p>
    <w:p w14:paraId="019BC66E" w14:textId="77777777" w:rsidR="00420B74" w:rsidRPr="00420B74" w:rsidRDefault="00420B74" w:rsidP="00420B74">
      <w:r w:rsidRPr="00420B74">
        <w:t>involvement with services that address trauma and improve physical, social, and</w:t>
      </w:r>
    </w:p>
    <w:p w14:paraId="50182B99" w14:textId="77777777" w:rsidR="00420B74" w:rsidRPr="00420B74" w:rsidRDefault="00420B74" w:rsidP="00420B74">
      <w:r w:rsidRPr="00420B74">
        <w:t>economic circumstances.91 The CVI approach employs credible messengers and</w:t>
      </w:r>
    </w:p>
    <w:p w14:paraId="4A4D6AEB" w14:textId="77777777" w:rsidR="00420B74" w:rsidRPr="00420B74" w:rsidRDefault="00420B74" w:rsidP="00420B74">
      <w:r w:rsidRPr="00420B74">
        <w:t>practitioners to resolve potential violent conflicts and deliver key intervention</w:t>
      </w:r>
    </w:p>
    <w:p w14:paraId="170B929D" w14:textId="77777777" w:rsidR="00420B74" w:rsidRPr="00420B74" w:rsidRDefault="00420B74" w:rsidP="00420B74">
      <w:r w:rsidRPr="00420B74">
        <w:t>elements such as connecting individuals with healthcare, housing, employment</w:t>
      </w:r>
    </w:p>
    <w:p w14:paraId="32045153" w14:textId="77777777" w:rsidR="00420B74" w:rsidRPr="00420B74" w:rsidRDefault="00420B74" w:rsidP="00420B74">
      <w:r w:rsidRPr="00420B74">
        <w:t>services, and other resources.92 Similarly, hospital</w:t>
      </w:r>
      <w:r w:rsidRPr="00420B74">
        <w:rPr>
          <w:rFonts w:ascii="Cambria Math" w:hAnsi="Cambria Math" w:cs="Cambria Math"/>
        </w:rPr>
        <w:t>‑</w:t>
      </w:r>
      <w:r w:rsidRPr="00420B74">
        <w:t>community partnerships can</w:t>
      </w:r>
    </w:p>
    <w:p w14:paraId="6AB0B125" w14:textId="77777777" w:rsidR="00420B74" w:rsidRPr="00420B74" w:rsidRDefault="00420B74" w:rsidP="00420B74">
      <w:r w:rsidRPr="00420B74">
        <w:t xml:space="preserve">connect those who have experienced violence, or are at risk </w:t>
      </w:r>
      <w:proofErr w:type="gramStart"/>
      <w:r w:rsidRPr="00420B74">
        <w:t>for</w:t>
      </w:r>
      <w:proofErr w:type="gramEnd"/>
      <w:r w:rsidRPr="00420B74">
        <w:t xml:space="preserve"> violence, with</w:t>
      </w:r>
    </w:p>
    <w:p w14:paraId="1788CA09" w14:textId="77777777" w:rsidR="00420B74" w:rsidRPr="00420B74" w:rsidRDefault="00420B74" w:rsidP="00420B74">
      <w:r w:rsidRPr="00420B74">
        <w:t>appropriate services. Hospital</w:t>
      </w:r>
      <w:r w:rsidRPr="00420B74">
        <w:rPr>
          <w:rFonts w:ascii="Cambria Math" w:hAnsi="Cambria Math" w:cs="Cambria Math"/>
        </w:rPr>
        <w:t>‑</w:t>
      </w:r>
      <w:r w:rsidRPr="00420B74">
        <w:t>based violence intervention programs</w:t>
      </w:r>
    </w:p>
    <w:p w14:paraId="75BB7CD4" w14:textId="77777777" w:rsidR="00420B74" w:rsidRPr="00420B74" w:rsidRDefault="00420B74" w:rsidP="00420B74">
      <w:r w:rsidRPr="00420B74">
        <w:t>(</w:t>
      </w:r>
      <w:proofErr w:type="spellStart"/>
      <w:r w:rsidRPr="00420B74">
        <w:t>HVIPs</w:t>
      </w:r>
      <w:proofErr w:type="spellEnd"/>
      <w:r w:rsidRPr="00420B74">
        <w:t>) typically combine a short intervention in the hospital with intense case</w:t>
      </w:r>
    </w:p>
    <w:p w14:paraId="4395A046" w14:textId="2AD9FBF5" w:rsidR="00D23C6E" w:rsidRPr="00420B74" w:rsidRDefault="00420B74" w:rsidP="00420B74">
      <w:r w:rsidRPr="00420B74">
        <w:t>management and services in the community upon release.</w:t>
      </w:r>
      <w:r>
        <w:t xml:space="preserve"> </w:t>
      </w:r>
      <w:r w:rsidRPr="00420B74">
        <w:t>93, 94</w:t>
      </w:r>
      <w:r w:rsidRPr="00420B74">
        <w:cr/>
      </w: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72DD93CC" w14:textId="2FDCA7C0" w:rsidR="005F0E38" w:rsidRPr="005F0E38" w:rsidRDefault="00710530" w:rsidP="005F0E38">
      <w:pPr>
        <w:pStyle w:val="Heading2"/>
      </w:pPr>
      <w:r>
        <w:t>Oath of Offic</w:t>
      </w:r>
      <w:r w:rsidR="00B92012" w:rsidRPr="00B92012">
        <w:t>e</w:t>
      </w:r>
    </w:p>
    <w:p w14:paraId="7867D836" w14:textId="77777777" w:rsidR="008E7424" w:rsidRDefault="008E7424" w:rsidP="00C71B4C">
      <w:pPr>
        <w:rPr>
          <w:b/>
          <w:bCs/>
        </w:rPr>
      </w:pPr>
    </w:p>
    <w:p w14:paraId="115E7738" w14:textId="3C738397" w:rsidR="00710530" w:rsidRDefault="00420B74" w:rsidP="00710530">
      <w:r>
        <w:t>RATES OF REPEAT VIOLENT INJURY</w:t>
      </w:r>
    </w:p>
    <w:p w14:paraId="1734688F" w14:textId="77777777" w:rsidR="00420B74" w:rsidRPr="00710530" w:rsidRDefault="00420B74" w:rsidP="00710530"/>
    <w:p w14:paraId="2B8B59B9" w14:textId="77777777" w:rsidR="00420B74" w:rsidRDefault="00420B74" w:rsidP="00710530">
      <w:r>
        <w:t>Rates of reinjury have wide variations, but estimates around 30-40%</w:t>
      </w:r>
    </w:p>
    <w:p w14:paraId="7240F9A1" w14:textId="77777777" w:rsidR="00420B74" w:rsidRDefault="00420B74" w:rsidP="00710530"/>
    <w:p w14:paraId="7CC25DEE" w14:textId="28575128" w:rsidR="00710530" w:rsidRDefault="00420B74" w:rsidP="00710530">
      <w:r>
        <w:t xml:space="preserve">[IMAGE OF BAR GRAPH] </w:t>
      </w:r>
    </w:p>
    <w:p w14:paraId="65DF8E17" w14:textId="3A3A5EBC" w:rsidR="00B92012" w:rsidRPr="00B92012" w:rsidRDefault="00B92012" w:rsidP="00B92012"/>
    <w:p w14:paraId="1BA76412" w14:textId="77777777" w:rsidR="00B92012" w:rsidRDefault="00B92012" w:rsidP="00B92012"/>
    <w:p w14:paraId="62EE7B3A" w14:textId="16AF098E" w:rsidR="00CD22D3" w:rsidRPr="00CD22D3" w:rsidRDefault="00CD22D3" w:rsidP="00B92012"/>
    <w:p w14:paraId="185B87CF" w14:textId="77777777" w:rsidR="00CD22D3" w:rsidRDefault="00CD22D3"/>
    <w:p w14:paraId="42145E1D" w14:textId="77777777" w:rsidR="00CD22D3" w:rsidRDefault="00CD22D3">
      <w:r>
        <w:br w:type="page"/>
      </w:r>
    </w:p>
    <w:p w14:paraId="5DA8D28C" w14:textId="77777777" w:rsidR="00AF4867" w:rsidRDefault="00AF4867" w:rsidP="00AF4867">
      <w:pPr>
        <w:rPr>
          <w:b/>
          <w:bCs/>
        </w:rPr>
      </w:pPr>
    </w:p>
    <w:p w14:paraId="4D48BC35" w14:textId="60837E54" w:rsidR="00AF4867" w:rsidRDefault="00AF4867" w:rsidP="00AF4867">
      <w:r w:rsidRPr="00B93233">
        <w:t>Slid</w:t>
      </w:r>
      <w:r>
        <w:t xml:space="preserve">e </w:t>
      </w:r>
      <w:r w:rsidR="00B92012">
        <w:t>4</w:t>
      </w:r>
    </w:p>
    <w:p w14:paraId="7A691AFC" w14:textId="3F3B3D80" w:rsidR="00AF4867" w:rsidRPr="005F0E38" w:rsidRDefault="00E25C53" w:rsidP="00AF4867">
      <w:pPr>
        <w:pStyle w:val="Heading2"/>
      </w:pPr>
      <w:r>
        <w:t>Survivors of community viole</w:t>
      </w:r>
      <w:r w:rsidR="007B6CCA">
        <w:t>n</w:t>
      </w:r>
      <w:r>
        <w:t>ce</w:t>
      </w:r>
      <w:r w:rsidR="007B6CCA">
        <w:t xml:space="preserve"> </w:t>
      </w:r>
      <w:r>
        <w:t>face significant physical, psychological, and social consequences.</w:t>
      </w:r>
    </w:p>
    <w:p w14:paraId="2D3D3EAB" w14:textId="77777777" w:rsidR="00AF4867" w:rsidRDefault="00AF4867" w:rsidP="00AF4867">
      <w:pPr>
        <w:rPr>
          <w:b/>
          <w:bCs/>
        </w:rPr>
      </w:pPr>
    </w:p>
    <w:p w14:paraId="1D6014BB" w14:textId="5EB33130" w:rsidR="007B6CCA" w:rsidRDefault="007B6CCA" w:rsidP="007B6CCA"/>
    <w:p w14:paraId="1D59B607" w14:textId="77777777" w:rsidR="007B6CCA" w:rsidRDefault="007B6CCA" w:rsidP="007B6CCA"/>
    <w:p w14:paraId="4559B924" w14:textId="00E19497" w:rsidR="00B92012" w:rsidRDefault="00B92012" w:rsidP="007B6CCA"/>
    <w:p w14:paraId="258EADBE" w14:textId="77777777" w:rsidR="007B6CCA" w:rsidRDefault="007B6CCA">
      <w:r>
        <w:br w:type="page"/>
      </w:r>
    </w:p>
    <w:p w14:paraId="7744BCE1" w14:textId="078F752B" w:rsidR="007B6CCA" w:rsidRDefault="007B6CCA" w:rsidP="007B6CCA">
      <w:r w:rsidRPr="00B93233">
        <w:t>Slid</w:t>
      </w:r>
      <w:r>
        <w:t>e 5</w:t>
      </w:r>
    </w:p>
    <w:p w14:paraId="12F45C45" w14:textId="77777777" w:rsidR="007B6CCA" w:rsidRDefault="007B6CCA" w:rsidP="007B6CCA">
      <w:pPr>
        <w:rPr>
          <w:b/>
          <w:bCs/>
        </w:rPr>
      </w:pPr>
    </w:p>
    <w:p w14:paraId="19254899" w14:textId="6DE5F1AE" w:rsidR="007B6CCA" w:rsidRPr="00E25C53" w:rsidRDefault="00E25C53" w:rsidP="007B6CCA">
      <w:r w:rsidRPr="00E25C53">
        <w:t>[</w:t>
      </w:r>
      <w:r>
        <w:t>IMAGE OF ARTICLE FROM THE JOURNAL OF TRAUMA, INJURY, INFECTION, AND CRITICAL CARE]</w:t>
      </w:r>
    </w:p>
    <w:p w14:paraId="3F7BFD4A" w14:textId="77777777" w:rsidR="007B6CCA" w:rsidRDefault="007B6CCA" w:rsidP="007B6CCA"/>
    <w:p w14:paraId="65D7193B" w14:textId="77777777" w:rsidR="007B6CCA" w:rsidRDefault="007B6CCA" w:rsidP="00B92012">
      <w:pPr>
        <w:pStyle w:val="ListParagraph"/>
        <w:ind w:left="360"/>
      </w:pPr>
    </w:p>
    <w:p w14:paraId="3640C76D" w14:textId="77777777" w:rsidR="007B6CCA" w:rsidRDefault="007B6CCA">
      <w:r>
        <w:br w:type="page"/>
      </w:r>
    </w:p>
    <w:p w14:paraId="12679BDE" w14:textId="5C4AA24A" w:rsidR="007B6CCA" w:rsidRDefault="007B6CCA" w:rsidP="007B6CCA">
      <w:r w:rsidRPr="00B93233">
        <w:t>Slid</w:t>
      </w:r>
      <w:r>
        <w:t>e 6</w:t>
      </w:r>
    </w:p>
    <w:p w14:paraId="6478FB7E" w14:textId="68BA2FA0" w:rsidR="007B6CCA" w:rsidRPr="002544B0" w:rsidRDefault="00E25C53" w:rsidP="002544B0">
      <w:pPr>
        <w:pStyle w:val="Heading2"/>
      </w:pPr>
      <w:r>
        <w:t>Several evidence-b</w:t>
      </w:r>
      <w:r w:rsidR="007B6CCA">
        <w:t>as</w:t>
      </w:r>
      <w:r>
        <w:t xml:space="preserve">ed program </w:t>
      </w:r>
      <w:proofErr w:type="gramStart"/>
      <w:r>
        <w:t>model’s</w:t>
      </w:r>
      <w:proofErr w:type="gramEnd"/>
      <w:r>
        <w:t xml:space="preserve"> exist</w:t>
      </w:r>
    </w:p>
    <w:p w14:paraId="761C013C" w14:textId="305BB12B" w:rsidR="007B6CCA" w:rsidRPr="007B6CCA" w:rsidRDefault="007B6CCA" w:rsidP="007B6CCA"/>
    <w:p w14:paraId="0708B202" w14:textId="3BC7A007" w:rsidR="007B6CCA" w:rsidRDefault="00E25C53">
      <w:r>
        <w:t>[IMAGE OF MAP]</w:t>
      </w:r>
    </w:p>
    <w:p w14:paraId="1EB49FEA" w14:textId="77777777" w:rsidR="007B6CCA" w:rsidRDefault="007B6CCA"/>
    <w:p w14:paraId="7A75E34E" w14:textId="77777777" w:rsidR="009B390B" w:rsidRDefault="009B390B"/>
    <w:p w14:paraId="2A4E4039" w14:textId="77777777" w:rsidR="009B390B" w:rsidRDefault="009B390B"/>
    <w:p w14:paraId="6B870B27" w14:textId="77777777" w:rsidR="009B390B" w:rsidRDefault="009B390B">
      <w:r>
        <w:br w:type="page"/>
      </w:r>
    </w:p>
    <w:p w14:paraId="5D599065" w14:textId="6CCC0FCD" w:rsidR="009B390B" w:rsidRDefault="009B390B" w:rsidP="009B390B">
      <w:r w:rsidRPr="00B93233">
        <w:t>Slid</w:t>
      </w:r>
      <w:r>
        <w:t xml:space="preserve">e </w:t>
      </w:r>
      <w:r>
        <w:t>7</w:t>
      </w:r>
    </w:p>
    <w:p w14:paraId="500547BC" w14:textId="523554C6" w:rsidR="009B390B" w:rsidRPr="002544B0" w:rsidRDefault="009B390B" w:rsidP="009B390B">
      <w:pPr>
        <w:pStyle w:val="Heading2"/>
      </w:pPr>
      <w:r>
        <w:t>CVI Ecosystem: Core Components</w:t>
      </w:r>
    </w:p>
    <w:p w14:paraId="759DD75A" w14:textId="77777777" w:rsidR="009B390B" w:rsidRPr="007B6CCA" w:rsidRDefault="009B390B" w:rsidP="009B390B"/>
    <w:tbl>
      <w:tblPr>
        <w:tblStyle w:val="TableGrid"/>
        <w:tblW w:w="0" w:type="auto"/>
        <w:tblLook w:val="04A0" w:firstRow="1" w:lastRow="0" w:firstColumn="1" w:lastColumn="0" w:noHBand="0" w:noVBand="1"/>
      </w:tblPr>
      <w:tblGrid>
        <w:gridCol w:w="4675"/>
        <w:gridCol w:w="4675"/>
      </w:tblGrid>
      <w:tr w:rsidR="009B390B" w14:paraId="048DB3DB" w14:textId="77777777" w:rsidTr="009B390B">
        <w:tc>
          <w:tcPr>
            <w:tcW w:w="4675" w:type="dxa"/>
          </w:tcPr>
          <w:p w14:paraId="24FFDAA0" w14:textId="6A23A374" w:rsidR="009B390B" w:rsidRDefault="009B390B">
            <w:r>
              <w:t>Identify those at highest Risk</w:t>
            </w:r>
          </w:p>
        </w:tc>
        <w:tc>
          <w:tcPr>
            <w:tcW w:w="4675" w:type="dxa"/>
          </w:tcPr>
          <w:p w14:paraId="0672FE2D" w14:textId="749CFD52" w:rsidR="009B390B" w:rsidRDefault="009B390B">
            <w:r>
              <w:t>Risk factors: age, CJ involvement, previously shot, close peer or family member shot</w:t>
            </w:r>
          </w:p>
        </w:tc>
      </w:tr>
      <w:tr w:rsidR="009B390B" w14:paraId="5CAB0FF9" w14:textId="77777777" w:rsidTr="009B390B">
        <w:tc>
          <w:tcPr>
            <w:tcW w:w="4675" w:type="dxa"/>
          </w:tcPr>
          <w:p w14:paraId="4B39922E" w14:textId="04D98419" w:rsidR="009B390B" w:rsidRDefault="009B390B">
            <w:r>
              <w:t>Leverage credible messengers</w:t>
            </w:r>
          </w:p>
        </w:tc>
        <w:tc>
          <w:tcPr>
            <w:tcW w:w="4675" w:type="dxa"/>
          </w:tcPr>
          <w:p w14:paraId="7AA9BC55" w14:textId="54F7B92B" w:rsidR="009B390B" w:rsidRDefault="009B390B">
            <w:r>
              <w:t xml:space="preserve">Lived experience, </w:t>
            </w:r>
            <w:r w:rsidRPr="009B390B">
              <w:t>credibility among high</w:t>
            </w:r>
            <w:r>
              <w:t>-</w:t>
            </w:r>
            <w:r w:rsidRPr="009B390B">
              <w:t>risk clients</w:t>
            </w:r>
            <w:r>
              <w:t xml:space="preserve">, </w:t>
            </w:r>
            <w:r w:rsidRPr="009B390B">
              <w:t>directly impacted</w:t>
            </w:r>
            <w:r>
              <w:t>, p</w:t>
            </w:r>
            <w:r w:rsidRPr="009B390B">
              <w:t>rofessional workforce</w:t>
            </w:r>
          </w:p>
        </w:tc>
      </w:tr>
      <w:tr w:rsidR="009B390B" w14:paraId="5A9F0D8E" w14:textId="77777777" w:rsidTr="009B390B">
        <w:tc>
          <w:tcPr>
            <w:tcW w:w="4675" w:type="dxa"/>
          </w:tcPr>
          <w:p w14:paraId="2990B07B" w14:textId="31F03128" w:rsidR="009B390B" w:rsidRDefault="009B390B">
            <w:r>
              <w:t xml:space="preserve">Provide individualized wraparound care </w:t>
            </w:r>
          </w:p>
        </w:tc>
        <w:tc>
          <w:tcPr>
            <w:tcW w:w="4675" w:type="dxa"/>
          </w:tcPr>
          <w:p w14:paraId="2ECF1D2D" w14:textId="20BF687A" w:rsidR="009B390B" w:rsidRDefault="009B390B">
            <w:r>
              <w:t>I</w:t>
            </w:r>
            <w:r w:rsidRPr="009B390B">
              <w:t xml:space="preserve">ntensive case </w:t>
            </w:r>
            <w:r>
              <w:t xml:space="preserve">mgmt., </w:t>
            </w:r>
            <w:r w:rsidRPr="009B390B">
              <w:t>life coaching</w:t>
            </w:r>
            <w:r>
              <w:t>,</w:t>
            </w:r>
            <w:r w:rsidRPr="009B390B">
              <w:t xml:space="preserve"> housing</w:t>
            </w:r>
            <w:r>
              <w:t>/</w:t>
            </w:r>
            <w:r w:rsidRPr="009B390B">
              <w:t>relocation</w:t>
            </w:r>
            <w:r>
              <w:t>,</w:t>
            </w:r>
            <w:r w:rsidRPr="009B390B">
              <w:t xml:space="preserve"> employment</w:t>
            </w:r>
            <w:r>
              <w:t>,</w:t>
            </w:r>
            <w:r w:rsidRPr="009B390B">
              <w:t xml:space="preserve"> stipends</w:t>
            </w:r>
          </w:p>
        </w:tc>
      </w:tr>
      <w:tr w:rsidR="009B390B" w14:paraId="27AC4C6A" w14:textId="77777777" w:rsidTr="009B390B">
        <w:tc>
          <w:tcPr>
            <w:tcW w:w="4675" w:type="dxa"/>
          </w:tcPr>
          <w:p w14:paraId="22D7E1FF" w14:textId="2CA6EA1D" w:rsidR="009B390B" w:rsidRDefault="009B390B">
            <w:r>
              <w:t>Monitor progress + transform systems</w:t>
            </w:r>
          </w:p>
        </w:tc>
        <w:tc>
          <w:tcPr>
            <w:tcW w:w="4675" w:type="dxa"/>
          </w:tcPr>
          <w:p w14:paraId="4F05AC35" w14:textId="3134A753" w:rsidR="009B390B" w:rsidRDefault="009B390B">
            <w:r>
              <w:t>B</w:t>
            </w:r>
            <w:r w:rsidRPr="009B390B">
              <w:t>uild long</w:t>
            </w:r>
            <w:r>
              <w:t>-</w:t>
            </w:r>
            <w:r w:rsidRPr="009B390B">
              <w:t>term relationships</w:t>
            </w:r>
            <w:r>
              <w:t>,</w:t>
            </w:r>
            <w:r w:rsidRPr="009B390B">
              <w:t xml:space="preserve"> </w:t>
            </w:r>
            <w:r>
              <w:t>“</w:t>
            </w:r>
            <w:r w:rsidRPr="009B390B">
              <w:t>door always open</w:t>
            </w:r>
            <w:r>
              <w:t>”</w:t>
            </w:r>
            <w:r w:rsidRPr="009B390B">
              <w:t xml:space="preserve"> policies</w:t>
            </w:r>
            <w:r>
              <w:t>,</w:t>
            </w:r>
            <w:r w:rsidRPr="009B390B">
              <w:t xml:space="preserve"> shift systems to address client needs</w:t>
            </w:r>
          </w:p>
        </w:tc>
      </w:tr>
    </w:tbl>
    <w:p w14:paraId="5830A5E8" w14:textId="77777777" w:rsidR="009B390B" w:rsidRDefault="009B390B"/>
    <w:p w14:paraId="63959755" w14:textId="745313B7" w:rsidR="007B6CCA" w:rsidRDefault="007B6CCA"/>
    <w:p w14:paraId="1E233AA6" w14:textId="77777777" w:rsidR="00334E43" w:rsidRDefault="00334E43">
      <w:r>
        <w:br w:type="page"/>
      </w:r>
    </w:p>
    <w:p w14:paraId="1712AEE8" w14:textId="2323593D" w:rsidR="00750936" w:rsidRDefault="00750936" w:rsidP="00750936">
      <w:r w:rsidRPr="00B93233">
        <w:t>Slid</w:t>
      </w:r>
      <w:r>
        <w:t xml:space="preserve">e </w:t>
      </w:r>
      <w:r>
        <w:t>8</w:t>
      </w:r>
    </w:p>
    <w:p w14:paraId="42CCA67D" w14:textId="1BCBE17E" w:rsidR="00750936" w:rsidRPr="002544B0" w:rsidRDefault="00750936" w:rsidP="00750936">
      <w:pPr>
        <w:pStyle w:val="Heading2"/>
      </w:pPr>
      <w:r w:rsidRPr="00750936">
        <w:t>Community Violence Intervention (CVI)</w:t>
      </w:r>
      <w:r>
        <w:t xml:space="preserve"> P</w:t>
      </w:r>
      <w:r w:rsidRPr="00750936">
        <w:t>rograms Deliver Significant Health Equity Impacts</w:t>
      </w:r>
    </w:p>
    <w:p w14:paraId="401BE9B1" w14:textId="77777777" w:rsidR="00750936" w:rsidRPr="007B6CCA" w:rsidRDefault="00750936" w:rsidP="00750936"/>
    <w:p w14:paraId="2AE596A5" w14:textId="7DF0D0F4" w:rsidR="00750936" w:rsidRPr="00750936" w:rsidRDefault="00750936" w:rsidP="00750936">
      <w:pPr>
        <w:pStyle w:val="ListParagraph"/>
        <w:numPr>
          <w:ilvl w:val="0"/>
          <w:numId w:val="54"/>
        </w:numPr>
      </w:pPr>
      <w:r w:rsidRPr="00750936">
        <w:t xml:space="preserve">Targeted engagement with patients disconnected and skeptical of traditional health institutions </w:t>
      </w:r>
    </w:p>
    <w:p w14:paraId="44D0FC33" w14:textId="77777777" w:rsidR="00750936" w:rsidRPr="00750936" w:rsidRDefault="00750936" w:rsidP="00750936">
      <w:pPr>
        <w:pStyle w:val="ListParagraph"/>
        <w:numPr>
          <w:ilvl w:val="0"/>
          <w:numId w:val="54"/>
        </w:numPr>
      </w:pPr>
      <w:r w:rsidRPr="00750936">
        <w:t>Deliver trauma-informed care and mental health services in mental health and trauma deserts</w:t>
      </w:r>
    </w:p>
    <w:p w14:paraId="20681C94" w14:textId="77777777" w:rsidR="00750936" w:rsidRPr="00750936" w:rsidRDefault="00750936" w:rsidP="00750936">
      <w:pPr>
        <w:pStyle w:val="ListParagraph"/>
        <w:numPr>
          <w:ilvl w:val="0"/>
          <w:numId w:val="54"/>
        </w:numPr>
      </w:pPr>
      <w:r w:rsidRPr="00750936">
        <w:t>Addresses the leading cause of death for young Black and Brown men</w:t>
      </w:r>
    </w:p>
    <w:p w14:paraId="09E114CE" w14:textId="1A8D2D6F" w:rsidR="00750936" w:rsidRDefault="00750936" w:rsidP="00750936"/>
    <w:p w14:paraId="538B0384" w14:textId="77777777" w:rsidR="00750936" w:rsidRDefault="00750936"/>
    <w:p w14:paraId="195BAEF4" w14:textId="77777777" w:rsidR="00231356" w:rsidRDefault="00231356"/>
    <w:p w14:paraId="0173496A" w14:textId="77777777" w:rsidR="00334E43" w:rsidRDefault="00334E43">
      <w:r>
        <w:br w:type="page"/>
      </w:r>
    </w:p>
    <w:p w14:paraId="32D21B86" w14:textId="488DC2B4" w:rsidR="00231356" w:rsidRDefault="00231356" w:rsidP="00231356">
      <w:r w:rsidRPr="00B93233">
        <w:t>Slid</w:t>
      </w:r>
      <w:r>
        <w:t xml:space="preserve">e </w:t>
      </w:r>
      <w:r>
        <w:t>9</w:t>
      </w:r>
    </w:p>
    <w:p w14:paraId="4176AD8F" w14:textId="6BE22D91" w:rsidR="00231356" w:rsidRPr="002544B0" w:rsidRDefault="00231356" w:rsidP="00231356">
      <w:pPr>
        <w:pStyle w:val="Heading2"/>
      </w:pPr>
      <w:r>
        <w:t>Medicaid and CVI</w:t>
      </w:r>
    </w:p>
    <w:p w14:paraId="00ED248A" w14:textId="77777777" w:rsidR="00231356" w:rsidRPr="007B6CCA" w:rsidRDefault="00231356" w:rsidP="00231356"/>
    <w:p w14:paraId="3900BA54" w14:textId="77777777" w:rsidR="00231356" w:rsidRPr="00231356" w:rsidRDefault="00231356" w:rsidP="00231356">
      <w:pPr>
        <w:numPr>
          <w:ilvl w:val="0"/>
          <w:numId w:val="54"/>
        </w:numPr>
      </w:pPr>
      <w:r w:rsidRPr="00231356">
        <w:rPr>
          <w:b/>
          <w:bCs/>
        </w:rPr>
        <w:t xml:space="preserve">2021: </w:t>
      </w:r>
      <w:r w:rsidRPr="00231356">
        <w:t xml:space="preserve">The Centers for Medicare and Medicaid Services (CMS) announced that Medicaid could be used to reimburse CVI programs. The agency then provided various pathways for states to take advantage of this benefit. </w:t>
      </w:r>
    </w:p>
    <w:p w14:paraId="6BF8FDDB" w14:textId="77777777" w:rsidR="00231356" w:rsidRPr="00231356" w:rsidRDefault="00231356" w:rsidP="00231356">
      <w:pPr>
        <w:numPr>
          <w:ilvl w:val="0"/>
          <w:numId w:val="54"/>
        </w:numPr>
      </w:pPr>
      <w:r w:rsidRPr="00231356">
        <w:rPr>
          <w:b/>
          <w:bCs/>
        </w:rPr>
        <w:t xml:space="preserve">September 2024: </w:t>
      </w:r>
      <w:r w:rsidRPr="00231356">
        <w:t>The</w:t>
      </w:r>
      <w:r w:rsidRPr="00231356">
        <w:rPr>
          <w:b/>
          <w:bCs/>
        </w:rPr>
        <w:t xml:space="preserve"> </w:t>
      </w:r>
      <w:r w:rsidRPr="00231356">
        <w:t xml:space="preserve">Biden-Harris Administration announces new </w:t>
      </w:r>
      <w:hyperlink r:id="rId6" w:history="1">
        <w:r w:rsidRPr="00231356">
          <w:rPr>
            <w:rStyle w:val="Hyperlink"/>
          </w:rPr>
          <w:t>Executive Order</w:t>
        </w:r>
      </w:hyperlink>
      <w:r w:rsidRPr="00231356">
        <w:t xml:space="preserve"> to reduce gun violence and save lives.</w:t>
      </w:r>
    </w:p>
    <w:p w14:paraId="4A2FB67D" w14:textId="77777777" w:rsidR="00231356" w:rsidRPr="00231356" w:rsidRDefault="00231356" w:rsidP="00231356">
      <w:pPr>
        <w:numPr>
          <w:ilvl w:val="0"/>
          <w:numId w:val="54"/>
        </w:numPr>
      </w:pPr>
      <w:r w:rsidRPr="00231356">
        <w:rPr>
          <w:b/>
          <w:bCs/>
        </w:rPr>
        <w:t>As of October 2024:</w:t>
      </w:r>
    </w:p>
    <w:p w14:paraId="2378C409" w14:textId="77777777" w:rsidR="00231356" w:rsidRPr="00231356" w:rsidRDefault="00231356" w:rsidP="00231356">
      <w:pPr>
        <w:numPr>
          <w:ilvl w:val="1"/>
          <w:numId w:val="54"/>
        </w:numPr>
      </w:pPr>
      <w:r w:rsidRPr="00231356">
        <w:t>Eight states—Connecticut, Illinois, California, Oregon, Colorado, Maryland, North Carolina, and New York—have chosen to use Medicaid to support CVI programming.</w:t>
      </w:r>
    </w:p>
    <w:p w14:paraId="6B0552F3" w14:textId="77777777" w:rsidR="00231356" w:rsidRPr="00231356" w:rsidRDefault="00231356" w:rsidP="00231356">
      <w:pPr>
        <w:numPr>
          <w:ilvl w:val="1"/>
          <w:numId w:val="54"/>
        </w:numPr>
      </w:pPr>
      <w:r w:rsidRPr="00231356">
        <w:t>CMS held a meeting on 10/23/24 to discuss how the Biden-Harris Administration’s recently announced executive actions impact violence intervention programs.</w:t>
      </w:r>
    </w:p>
    <w:p w14:paraId="38410E65" w14:textId="77777777" w:rsidR="00231356" w:rsidRDefault="00231356"/>
    <w:p w14:paraId="5753C6B6" w14:textId="2439E8AA" w:rsidR="00231356" w:rsidRDefault="00231356">
      <w:r>
        <w:t>[IMAGE OF WHITE HOUSE FACT SHEET]</w:t>
      </w:r>
    </w:p>
    <w:p w14:paraId="42A81B32" w14:textId="77777777" w:rsidR="00DE55F9" w:rsidRDefault="00DE55F9"/>
    <w:p w14:paraId="0F86AADB" w14:textId="77777777" w:rsidR="00DE55F9" w:rsidRDefault="00DE55F9"/>
    <w:p w14:paraId="2E005C8A" w14:textId="77777777" w:rsidR="00DE55F9" w:rsidRDefault="00DE55F9"/>
    <w:p w14:paraId="675EA6C6" w14:textId="77777777" w:rsidR="00334E43" w:rsidRDefault="00334E43">
      <w:r>
        <w:br w:type="page"/>
      </w:r>
    </w:p>
    <w:p w14:paraId="1D1D043B" w14:textId="3ED408B4" w:rsidR="00DE55F9" w:rsidRDefault="00DE55F9" w:rsidP="00DE55F9">
      <w:r w:rsidRPr="00B93233">
        <w:t>Slid</w:t>
      </w:r>
      <w:r>
        <w:t xml:space="preserve">e </w:t>
      </w:r>
      <w:r>
        <w:t>10</w:t>
      </w:r>
    </w:p>
    <w:p w14:paraId="7D38001B" w14:textId="2D152DCE" w:rsidR="00DE55F9" w:rsidRPr="002544B0" w:rsidRDefault="00DE55F9" w:rsidP="00DE55F9">
      <w:pPr>
        <w:pStyle w:val="Heading2"/>
      </w:pPr>
      <w:r>
        <w:t xml:space="preserve">States with </w:t>
      </w:r>
      <w:r>
        <w:t>CVI</w:t>
      </w:r>
      <w:r>
        <w:t xml:space="preserve"> Medicaid Benefits</w:t>
      </w:r>
    </w:p>
    <w:p w14:paraId="6869003F" w14:textId="77777777" w:rsidR="00DE55F9" w:rsidRPr="007B6CCA" w:rsidRDefault="00DE55F9" w:rsidP="00DE55F9"/>
    <w:p w14:paraId="738DAC6F" w14:textId="51562731" w:rsidR="00DE55F9" w:rsidRDefault="00DE55F9" w:rsidP="00DE55F9">
      <w:r w:rsidRPr="00DE55F9">
        <w:t>[MAP OF THE UNITED STATES</w:t>
      </w:r>
      <w:r>
        <w:t xml:space="preserve"> DEPICTING </w:t>
      </w:r>
      <w:r w:rsidRPr="00DE55F9">
        <w:t>CALIFORNIA</w:t>
      </w:r>
      <w:r>
        <w:t>,</w:t>
      </w:r>
      <w:r w:rsidRPr="00DE55F9">
        <w:t xml:space="preserve"> OREGON</w:t>
      </w:r>
      <w:r>
        <w:t>,</w:t>
      </w:r>
      <w:r w:rsidRPr="00DE55F9">
        <w:t xml:space="preserve"> COLORADO</w:t>
      </w:r>
      <w:r>
        <w:t>,</w:t>
      </w:r>
      <w:r w:rsidRPr="00DE55F9">
        <w:t xml:space="preserve"> ILLINOIS</w:t>
      </w:r>
      <w:r>
        <w:t>,</w:t>
      </w:r>
      <w:r w:rsidRPr="00DE55F9">
        <w:t xml:space="preserve"> NEW YORK</w:t>
      </w:r>
      <w:r>
        <w:t>,</w:t>
      </w:r>
      <w:r w:rsidRPr="00DE55F9">
        <w:t xml:space="preserve"> CONNECTICUT</w:t>
      </w:r>
      <w:r>
        <w:t>,</w:t>
      </w:r>
      <w:r w:rsidRPr="00DE55F9">
        <w:t xml:space="preserve"> MARYLAND</w:t>
      </w:r>
      <w:r>
        <w:t>,</w:t>
      </w:r>
      <w:r w:rsidRPr="00DE55F9">
        <w:t xml:space="preserve"> AND NORTH CAROLINA SHADED</w:t>
      </w:r>
      <w:r>
        <w:t xml:space="preserve"> BLUE</w:t>
      </w:r>
      <w:r w:rsidRPr="00DE55F9">
        <w:t>]</w:t>
      </w:r>
    </w:p>
    <w:p w14:paraId="423B8C05" w14:textId="77777777" w:rsidR="00896BA7" w:rsidRDefault="00896BA7" w:rsidP="00DE55F9"/>
    <w:p w14:paraId="5C9C3A37" w14:textId="77777777" w:rsidR="00896BA7" w:rsidRDefault="00896BA7" w:rsidP="00DE55F9"/>
    <w:p w14:paraId="5FC46624" w14:textId="77777777" w:rsidR="00334E43" w:rsidRDefault="00334E43" w:rsidP="00896BA7">
      <w:pPr>
        <w:sectPr w:rsidR="00334E43" w:rsidSect="006F374A">
          <w:pgSz w:w="12240" w:h="15840"/>
          <w:pgMar w:top="1440" w:right="1440" w:bottom="1440" w:left="1440" w:header="720" w:footer="720" w:gutter="0"/>
          <w:cols w:space="720"/>
          <w:docGrid w:linePitch="360"/>
        </w:sectPr>
      </w:pPr>
    </w:p>
    <w:p w14:paraId="5F1D4A6C" w14:textId="635D1A53" w:rsidR="00896BA7" w:rsidRDefault="00896BA7" w:rsidP="00896BA7">
      <w:r w:rsidRPr="00B93233">
        <w:t>Slid</w:t>
      </w:r>
      <w:r>
        <w:t>e 1</w:t>
      </w:r>
      <w:r>
        <w:t>1</w:t>
      </w:r>
    </w:p>
    <w:p w14:paraId="01BCF6FE" w14:textId="430146A7" w:rsidR="00896BA7" w:rsidRPr="002544B0" w:rsidRDefault="00896BA7" w:rsidP="00896BA7">
      <w:pPr>
        <w:pStyle w:val="Heading2"/>
      </w:pPr>
      <w:r>
        <w:t>Medicaid Benefit</w:t>
      </w:r>
      <w:r w:rsidR="004D0323">
        <w:t xml:space="preserve"> Example: California</w:t>
      </w:r>
    </w:p>
    <w:p w14:paraId="495C1503" w14:textId="77777777" w:rsidR="00896BA7" w:rsidRPr="007B6CCA" w:rsidRDefault="00896BA7" w:rsidP="00896BA7"/>
    <w:tbl>
      <w:tblPr>
        <w:tblStyle w:val="TableGrid"/>
        <w:tblW w:w="14110" w:type="dxa"/>
        <w:tblInd w:w="-545" w:type="dxa"/>
        <w:tblLayout w:type="fixed"/>
        <w:tblLook w:val="04A0" w:firstRow="1" w:lastRow="0" w:firstColumn="1" w:lastColumn="0" w:noHBand="0" w:noVBand="1"/>
      </w:tblPr>
      <w:tblGrid>
        <w:gridCol w:w="895"/>
        <w:gridCol w:w="990"/>
        <w:gridCol w:w="990"/>
        <w:gridCol w:w="1170"/>
        <w:gridCol w:w="1355"/>
        <w:gridCol w:w="1350"/>
        <w:gridCol w:w="1065"/>
        <w:gridCol w:w="1095"/>
        <w:gridCol w:w="1440"/>
        <w:gridCol w:w="1620"/>
        <w:gridCol w:w="2140"/>
      </w:tblGrid>
      <w:tr w:rsidR="003069F9" w14:paraId="6E3B125C" w14:textId="4AA17B58" w:rsidTr="0024152E">
        <w:tc>
          <w:tcPr>
            <w:tcW w:w="895" w:type="dxa"/>
          </w:tcPr>
          <w:p w14:paraId="5CF53B51" w14:textId="1A391602" w:rsidR="00334E43" w:rsidRDefault="00334E43" w:rsidP="00896BA7">
            <w:r>
              <w:t>State</w:t>
            </w:r>
          </w:p>
        </w:tc>
        <w:tc>
          <w:tcPr>
            <w:tcW w:w="990" w:type="dxa"/>
          </w:tcPr>
          <w:p w14:paraId="46F16CF0" w14:textId="18D22E9C" w:rsidR="00334E43" w:rsidRDefault="00334E43" w:rsidP="00896BA7">
            <w:r>
              <w:t>Authorizing Year</w:t>
            </w:r>
          </w:p>
        </w:tc>
        <w:tc>
          <w:tcPr>
            <w:tcW w:w="990" w:type="dxa"/>
          </w:tcPr>
          <w:p w14:paraId="36ED1D36" w14:textId="79CAC9BA" w:rsidR="00334E43" w:rsidRDefault="00334E43" w:rsidP="00896BA7">
            <w:r>
              <w:t>Authorizing Legislation</w:t>
            </w:r>
          </w:p>
        </w:tc>
        <w:tc>
          <w:tcPr>
            <w:tcW w:w="1170" w:type="dxa"/>
          </w:tcPr>
          <w:p w14:paraId="41867B48" w14:textId="5114A384" w:rsidR="00334E43" w:rsidRDefault="00334E43" w:rsidP="00896BA7">
            <w:r>
              <w:t>Authority of Benefit</w:t>
            </w:r>
          </w:p>
        </w:tc>
        <w:tc>
          <w:tcPr>
            <w:tcW w:w="1355" w:type="dxa"/>
          </w:tcPr>
          <w:p w14:paraId="5F344AC0" w14:textId="2DE0794D" w:rsidR="00334E43" w:rsidRDefault="00334E43" w:rsidP="00896BA7">
            <w:r>
              <w:t>Training or Certification Requirements</w:t>
            </w:r>
          </w:p>
        </w:tc>
        <w:tc>
          <w:tcPr>
            <w:tcW w:w="1350" w:type="dxa"/>
          </w:tcPr>
          <w:p w14:paraId="7424A088" w14:textId="4D277EC3" w:rsidR="00334E43" w:rsidRDefault="00334E43" w:rsidP="00896BA7">
            <w:r>
              <w:t>Reimbursement Rates</w:t>
            </w:r>
          </w:p>
        </w:tc>
        <w:tc>
          <w:tcPr>
            <w:tcW w:w="1065" w:type="dxa"/>
          </w:tcPr>
          <w:p w14:paraId="3C2F7A1E" w14:textId="4602E710" w:rsidR="00334E43" w:rsidRDefault="00334E43" w:rsidP="00896BA7">
            <w:r>
              <w:t>CPT Codes</w:t>
            </w:r>
          </w:p>
        </w:tc>
        <w:tc>
          <w:tcPr>
            <w:tcW w:w="1095" w:type="dxa"/>
          </w:tcPr>
          <w:p w14:paraId="046C9C5B" w14:textId="19A0C8B2" w:rsidR="00334E43" w:rsidRDefault="00334E43" w:rsidP="00896BA7">
            <w:r>
              <w:t>Reimbursable Activities</w:t>
            </w:r>
          </w:p>
        </w:tc>
        <w:tc>
          <w:tcPr>
            <w:tcW w:w="1440" w:type="dxa"/>
          </w:tcPr>
          <w:p w14:paraId="55B6FF29" w14:textId="219D13EC" w:rsidR="00334E43" w:rsidRDefault="00334E43" w:rsidP="00896BA7">
            <w:r>
              <w:t>Patient Eligibility</w:t>
            </w:r>
          </w:p>
        </w:tc>
        <w:tc>
          <w:tcPr>
            <w:tcW w:w="1620" w:type="dxa"/>
          </w:tcPr>
          <w:p w14:paraId="6867B942" w14:textId="66BF8484" w:rsidR="00334E43" w:rsidRDefault="00334E43" w:rsidP="00896BA7">
            <w:r>
              <w:t>Medicaid Reimbursement Pathway</w:t>
            </w:r>
          </w:p>
        </w:tc>
        <w:tc>
          <w:tcPr>
            <w:tcW w:w="2140" w:type="dxa"/>
          </w:tcPr>
          <w:p w14:paraId="3005B12B" w14:textId="578EACC9" w:rsidR="00334E43" w:rsidRDefault="00334E43" w:rsidP="00896BA7">
            <w:r>
              <w:t>Provider Requirements</w:t>
            </w:r>
          </w:p>
        </w:tc>
      </w:tr>
      <w:tr w:rsidR="003069F9" w14:paraId="6FE5E326" w14:textId="656A7C0F" w:rsidTr="0024152E">
        <w:tc>
          <w:tcPr>
            <w:tcW w:w="895" w:type="dxa"/>
          </w:tcPr>
          <w:p w14:paraId="6B3C3726" w14:textId="08C5B0FC" w:rsidR="00334E43" w:rsidRDefault="00334E43" w:rsidP="00896BA7">
            <w:r>
              <w:t>California</w:t>
            </w:r>
          </w:p>
        </w:tc>
        <w:tc>
          <w:tcPr>
            <w:tcW w:w="990" w:type="dxa"/>
          </w:tcPr>
          <w:p w14:paraId="001CA405" w14:textId="26825152" w:rsidR="00334E43" w:rsidRDefault="003069F9" w:rsidP="00896BA7">
            <w:r>
              <w:t>2022</w:t>
            </w:r>
          </w:p>
        </w:tc>
        <w:tc>
          <w:tcPr>
            <w:tcW w:w="990" w:type="dxa"/>
          </w:tcPr>
          <w:p w14:paraId="65CD06FE" w14:textId="2D403B9D" w:rsidR="00334E43" w:rsidRDefault="003069F9" w:rsidP="00896BA7">
            <w:r>
              <w:t>AB1929</w:t>
            </w:r>
          </w:p>
        </w:tc>
        <w:tc>
          <w:tcPr>
            <w:tcW w:w="1170" w:type="dxa"/>
          </w:tcPr>
          <w:p w14:paraId="05921A71" w14:textId="73149662" w:rsidR="00334E43" w:rsidRDefault="003069F9" w:rsidP="00896BA7">
            <w:r>
              <w:t>Preventive Services</w:t>
            </w:r>
          </w:p>
        </w:tc>
        <w:tc>
          <w:tcPr>
            <w:tcW w:w="1355" w:type="dxa"/>
          </w:tcPr>
          <w:p w14:paraId="510D0C95" w14:textId="08A6F887" w:rsidR="00334E43" w:rsidRDefault="003069F9" w:rsidP="00896BA7">
            <w:r>
              <w:t>C</w:t>
            </w:r>
            <w:r w:rsidRPr="003069F9">
              <w:t xml:space="preserve">ompletion of </w:t>
            </w:r>
            <w:proofErr w:type="spellStart"/>
            <w:r>
              <w:t>HAVI’s</w:t>
            </w:r>
            <w:proofErr w:type="spellEnd"/>
            <w:r>
              <w:t xml:space="preserve"> V</w:t>
            </w:r>
            <w:r w:rsidRPr="003069F9">
              <w:t xml:space="preserve">iolence </w:t>
            </w:r>
            <w:r>
              <w:t>P</w:t>
            </w:r>
            <w:r w:rsidRPr="003069F9">
              <w:t xml:space="preserve">revention </w:t>
            </w:r>
            <w:r>
              <w:t>P</w:t>
            </w:r>
            <w:r w:rsidRPr="003069F9">
              <w:t>rofessional</w:t>
            </w:r>
            <w:r>
              <w:t xml:space="preserve"> (</w:t>
            </w:r>
            <w:proofErr w:type="spellStart"/>
            <w:r>
              <w:t>VPP</w:t>
            </w:r>
            <w:proofErr w:type="spellEnd"/>
            <w:r>
              <w:t>)</w:t>
            </w:r>
            <w:r w:rsidRPr="003069F9">
              <w:t xml:space="preserve"> </w:t>
            </w:r>
            <w:r>
              <w:t>C</w:t>
            </w:r>
            <w:r w:rsidRPr="003069F9">
              <w:t xml:space="preserve">ertification </w:t>
            </w:r>
            <w:r>
              <w:t>T</w:t>
            </w:r>
            <w:r w:rsidRPr="003069F9">
              <w:t>raining</w:t>
            </w:r>
            <w:r>
              <w:t>,</w:t>
            </w:r>
            <w:r w:rsidRPr="003069F9">
              <w:t xml:space="preserve"> or </w:t>
            </w:r>
            <w:r>
              <w:t>U</w:t>
            </w:r>
            <w:r w:rsidRPr="003069F9">
              <w:t xml:space="preserve">rban </w:t>
            </w:r>
            <w:r>
              <w:t>P</w:t>
            </w:r>
            <w:r w:rsidRPr="003069F9">
              <w:t xml:space="preserve">eace </w:t>
            </w:r>
            <w:r>
              <w:t>I</w:t>
            </w:r>
            <w:r w:rsidRPr="003069F9">
              <w:t>nstitute</w:t>
            </w:r>
            <w:r>
              <w:t>’</w:t>
            </w:r>
            <w:r w:rsidRPr="003069F9">
              <w:t xml:space="preserve">s </w:t>
            </w:r>
            <w:r>
              <w:t>G</w:t>
            </w:r>
            <w:r w:rsidRPr="003069F9">
              <w:t xml:space="preserve">ang </w:t>
            </w:r>
            <w:r>
              <w:t>I</w:t>
            </w:r>
            <w:r w:rsidRPr="003069F9">
              <w:t xml:space="preserve">ntervention </w:t>
            </w:r>
            <w:r>
              <w:t>T</w:t>
            </w:r>
            <w:r w:rsidRPr="003069F9">
              <w:t>raining</w:t>
            </w:r>
            <w:r>
              <w:t>,</w:t>
            </w:r>
            <w:r w:rsidRPr="003069F9">
              <w:t xml:space="preserve"> or </w:t>
            </w:r>
            <w:r>
              <w:t>C</w:t>
            </w:r>
            <w:r w:rsidRPr="003069F9">
              <w:t xml:space="preserve">ommunity </w:t>
            </w:r>
            <w:r>
              <w:t>H</w:t>
            </w:r>
            <w:r w:rsidRPr="003069F9">
              <w:t xml:space="preserve">ealth </w:t>
            </w:r>
            <w:r>
              <w:t>W</w:t>
            </w:r>
            <w:r w:rsidRPr="003069F9">
              <w:t xml:space="preserve">orker </w:t>
            </w:r>
            <w:r>
              <w:t>T</w:t>
            </w:r>
            <w:r w:rsidRPr="003069F9">
              <w:t>raining</w:t>
            </w:r>
          </w:p>
        </w:tc>
        <w:tc>
          <w:tcPr>
            <w:tcW w:w="1350" w:type="dxa"/>
          </w:tcPr>
          <w:p w14:paraId="7CA89E6C" w14:textId="584C30A6" w:rsidR="00334E43" w:rsidRDefault="003069F9" w:rsidP="00896BA7">
            <w:r>
              <w:t>$53.32/Hour</w:t>
            </w:r>
          </w:p>
        </w:tc>
        <w:tc>
          <w:tcPr>
            <w:tcW w:w="1065" w:type="dxa"/>
          </w:tcPr>
          <w:p w14:paraId="6BD27D75" w14:textId="4C341B4F" w:rsidR="00334E43" w:rsidRDefault="003069F9" w:rsidP="00896BA7">
            <w:r>
              <w:t>98960, 98961, 98962</w:t>
            </w:r>
          </w:p>
        </w:tc>
        <w:tc>
          <w:tcPr>
            <w:tcW w:w="1095" w:type="dxa"/>
          </w:tcPr>
          <w:p w14:paraId="0523E4D3" w14:textId="59D6CFEC" w:rsidR="00334E43" w:rsidRDefault="003069F9" w:rsidP="00896BA7">
            <w:r>
              <w:t>H</w:t>
            </w:r>
            <w:r w:rsidRPr="003069F9">
              <w:t>ealth education</w:t>
            </w:r>
            <w:r>
              <w:t>,</w:t>
            </w:r>
            <w:r w:rsidRPr="003069F9">
              <w:t xml:space="preserve"> health navigation</w:t>
            </w:r>
            <w:r>
              <w:t>,</w:t>
            </w:r>
            <w:r w:rsidRPr="003069F9">
              <w:t xml:space="preserve"> screening and assessment</w:t>
            </w:r>
            <w:r>
              <w:t>,</w:t>
            </w:r>
            <w:r w:rsidRPr="003069F9">
              <w:t xml:space="preserve"> individual support and advocacy</w:t>
            </w:r>
          </w:p>
        </w:tc>
        <w:tc>
          <w:tcPr>
            <w:tcW w:w="1440" w:type="dxa"/>
          </w:tcPr>
          <w:p w14:paraId="4D0E14BF" w14:textId="0278ED4F" w:rsidR="00334E43" w:rsidRDefault="003069F9" w:rsidP="00896BA7">
            <w:r>
              <w:t>I</w:t>
            </w:r>
            <w:r w:rsidRPr="003069F9">
              <w:t xml:space="preserve">ndividuals who either have been </w:t>
            </w:r>
            <w:proofErr w:type="gramStart"/>
            <w:r w:rsidRPr="003069F9">
              <w:t>violently</w:t>
            </w:r>
            <w:r>
              <w:t>,</w:t>
            </w:r>
            <w:proofErr w:type="gramEnd"/>
            <w:r w:rsidRPr="003069F9">
              <w:t xml:space="preserve"> injured are at significant risk of experiencing violent injury</w:t>
            </w:r>
            <w:r>
              <w:t>,</w:t>
            </w:r>
            <w:r w:rsidRPr="003069F9">
              <w:t xml:space="preserve"> or have experienced chronic exposure to community violence</w:t>
            </w:r>
          </w:p>
        </w:tc>
        <w:tc>
          <w:tcPr>
            <w:tcW w:w="1620" w:type="dxa"/>
          </w:tcPr>
          <w:p w14:paraId="303EAFAA" w14:textId="73610D10" w:rsidR="00334E43" w:rsidRDefault="003069F9" w:rsidP="00896BA7">
            <w:r>
              <w:t xml:space="preserve">Services are reimbursed through </w:t>
            </w:r>
            <w:proofErr w:type="spellStart"/>
            <w:r>
              <w:t>MCOs</w:t>
            </w:r>
            <w:proofErr w:type="spellEnd"/>
            <w:r>
              <w:t xml:space="preserve"> and fee-for-service (FFS)</w:t>
            </w:r>
          </w:p>
        </w:tc>
        <w:tc>
          <w:tcPr>
            <w:tcW w:w="2140" w:type="dxa"/>
          </w:tcPr>
          <w:p w14:paraId="4126498E" w14:textId="06360EDF" w:rsidR="00334E43" w:rsidRDefault="003069F9" w:rsidP="00896BA7">
            <w:r>
              <w:t>A Co</w:t>
            </w:r>
            <w:r w:rsidR="00DE38BC">
              <w:t>mmunity Health Worker (</w:t>
            </w:r>
            <w:proofErr w:type="spellStart"/>
            <w:r w:rsidR="00DE38BC">
              <w:t>CHW</w:t>
            </w:r>
            <w:proofErr w:type="spellEnd"/>
            <w:r w:rsidR="00DE38BC">
              <w:t xml:space="preserve">) </w:t>
            </w:r>
            <w:r w:rsidR="00DE38BC" w:rsidRPr="00DE38BC">
              <w:t>must be supervised by a licensed provider</w:t>
            </w:r>
            <w:r w:rsidR="00DE38BC">
              <w:t>,</w:t>
            </w:r>
            <w:r w:rsidR="00DE38BC" w:rsidRPr="00DE38BC">
              <w:t xml:space="preserve"> a hospital</w:t>
            </w:r>
            <w:r w:rsidR="00DE38BC">
              <w:t>,</w:t>
            </w:r>
            <w:r w:rsidR="00DE38BC" w:rsidRPr="00DE38BC">
              <w:t xml:space="preserve"> an outpatient clinic</w:t>
            </w:r>
            <w:r w:rsidR="00DE38BC">
              <w:t>,</w:t>
            </w:r>
            <w:r w:rsidR="00DE38BC" w:rsidRPr="00DE38BC">
              <w:t xml:space="preserve"> a local health jurisdiction</w:t>
            </w:r>
            <w:r w:rsidR="00DE38BC">
              <w:t xml:space="preserve"> (</w:t>
            </w:r>
            <w:proofErr w:type="spellStart"/>
            <w:r w:rsidR="00DE38BC">
              <w:t>LHJ</w:t>
            </w:r>
            <w:proofErr w:type="spellEnd"/>
            <w:r w:rsidR="00DE38BC">
              <w:t>),</w:t>
            </w:r>
            <w:r w:rsidR="00DE38BC" w:rsidRPr="00DE38BC">
              <w:t xml:space="preserve"> or a community</w:t>
            </w:r>
            <w:r w:rsidR="00DE38BC">
              <w:t>-</w:t>
            </w:r>
            <w:r w:rsidR="00DE38BC" w:rsidRPr="00DE38BC">
              <w:t>based organization</w:t>
            </w:r>
            <w:r w:rsidR="00DE38BC">
              <w:t xml:space="preserve"> (CBO)  </w:t>
            </w:r>
          </w:p>
        </w:tc>
      </w:tr>
    </w:tbl>
    <w:p w14:paraId="6C9EEA68" w14:textId="212EE614" w:rsidR="00896BA7" w:rsidRPr="00DE55F9" w:rsidRDefault="00896BA7" w:rsidP="00896BA7"/>
    <w:p w14:paraId="66C999C7" w14:textId="77777777" w:rsidR="00896BA7" w:rsidRDefault="00896BA7" w:rsidP="00DE55F9"/>
    <w:p w14:paraId="3D0D60F4" w14:textId="77777777" w:rsidR="0024152E" w:rsidRDefault="0024152E">
      <w:r>
        <w:br w:type="page"/>
      </w:r>
    </w:p>
    <w:p w14:paraId="764DC245" w14:textId="35E8BFA8" w:rsidR="0024152E" w:rsidRDefault="0024152E" w:rsidP="0024152E">
      <w:r w:rsidRPr="00B93233">
        <w:t>Slid</w:t>
      </w:r>
      <w:r>
        <w:t>e 1</w:t>
      </w:r>
      <w:r>
        <w:t>2</w:t>
      </w:r>
    </w:p>
    <w:p w14:paraId="2022B759" w14:textId="69E5F4AF" w:rsidR="0024152E" w:rsidRPr="002544B0" w:rsidRDefault="0024152E" w:rsidP="0024152E">
      <w:pPr>
        <w:pStyle w:val="Heading2"/>
      </w:pPr>
      <w:r>
        <w:t xml:space="preserve">Medicaid Benefit Example: </w:t>
      </w:r>
      <w:r>
        <w:t>Illino</w:t>
      </w:r>
      <w:r>
        <w:t>i</w:t>
      </w:r>
      <w:r>
        <w:t>s</w:t>
      </w:r>
    </w:p>
    <w:p w14:paraId="6EE0828F" w14:textId="77777777" w:rsidR="0024152E" w:rsidRPr="007B6CCA" w:rsidRDefault="0024152E" w:rsidP="0024152E"/>
    <w:tbl>
      <w:tblPr>
        <w:tblStyle w:val="TableGrid"/>
        <w:tblW w:w="14110" w:type="dxa"/>
        <w:tblInd w:w="-545" w:type="dxa"/>
        <w:tblLayout w:type="fixed"/>
        <w:tblLook w:val="04A0" w:firstRow="1" w:lastRow="0" w:firstColumn="1" w:lastColumn="0" w:noHBand="0" w:noVBand="1"/>
      </w:tblPr>
      <w:tblGrid>
        <w:gridCol w:w="895"/>
        <w:gridCol w:w="990"/>
        <w:gridCol w:w="990"/>
        <w:gridCol w:w="1170"/>
        <w:gridCol w:w="1355"/>
        <w:gridCol w:w="1350"/>
        <w:gridCol w:w="1065"/>
        <w:gridCol w:w="1095"/>
        <w:gridCol w:w="1440"/>
        <w:gridCol w:w="1620"/>
        <w:gridCol w:w="2140"/>
      </w:tblGrid>
      <w:tr w:rsidR="0024152E" w14:paraId="17B0E466" w14:textId="77777777" w:rsidTr="001D3BB1">
        <w:tc>
          <w:tcPr>
            <w:tcW w:w="895" w:type="dxa"/>
          </w:tcPr>
          <w:p w14:paraId="68E113F1" w14:textId="77777777" w:rsidR="0024152E" w:rsidRDefault="0024152E" w:rsidP="001D3BB1">
            <w:r>
              <w:t>State</w:t>
            </w:r>
          </w:p>
        </w:tc>
        <w:tc>
          <w:tcPr>
            <w:tcW w:w="990" w:type="dxa"/>
          </w:tcPr>
          <w:p w14:paraId="1DC6F22C" w14:textId="77777777" w:rsidR="0024152E" w:rsidRDefault="0024152E" w:rsidP="001D3BB1">
            <w:r>
              <w:t>Authorizing Year</w:t>
            </w:r>
          </w:p>
        </w:tc>
        <w:tc>
          <w:tcPr>
            <w:tcW w:w="990" w:type="dxa"/>
          </w:tcPr>
          <w:p w14:paraId="744551DB" w14:textId="77777777" w:rsidR="0024152E" w:rsidRDefault="0024152E" w:rsidP="001D3BB1">
            <w:r>
              <w:t>Authorizing Legislation</w:t>
            </w:r>
          </w:p>
        </w:tc>
        <w:tc>
          <w:tcPr>
            <w:tcW w:w="1170" w:type="dxa"/>
          </w:tcPr>
          <w:p w14:paraId="22623087" w14:textId="77777777" w:rsidR="0024152E" w:rsidRDefault="0024152E" w:rsidP="001D3BB1">
            <w:r>
              <w:t>Authority of Benefit</w:t>
            </w:r>
          </w:p>
        </w:tc>
        <w:tc>
          <w:tcPr>
            <w:tcW w:w="1355" w:type="dxa"/>
          </w:tcPr>
          <w:p w14:paraId="2BEC6929" w14:textId="77777777" w:rsidR="0024152E" w:rsidRDefault="0024152E" w:rsidP="001D3BB1">
            <w:r>
              <w:t>Training or Certification Requirements</w:t>
            </w:r>
          </w:p>
        </w:tc>
        <w:tc>
          <w:tcPr>
            <w:tcW w:w="1350" w:type="dxa"/>
          </w:tcPr>
          <w:p w14:paraId="278B13A0" w14:textId="77777777" w:rsidR="0024152E" w:rsidRDefault="0024152E" w:rsidP="001D3BB1">
            <w:r>
              <w:t>Reimbursement Rates</w:t>
            </w:r>
          </w:p>
        </w:tc>
        <w:tc>
          <w:tcPr>
            <w:tcW w:w="1065" w:type="dxa"/>
          </w:tcPr>
          <w:p w14:paraId="1D7CB0C7" w14:textId="77777777" w:rsidR="0024152E" w:rsidRDefault="0024152E" w:rsidP="001D3BB1">
            <w:r>
              <w:t>CPT Codes</w:t>
            </w:r>
          </w:p>
        </w:tc>
        <w:tc>
          <w:tcPr>
            <w:tcW w:w="1095" w:type="dxa"/>
          </w:tcPr>
          <w:p w14:paraId="539678FD" w14:textId="77777777" w:rsidR="0024152E" w:rsidRDefault="0024152E" w:rsidP="001D3BB1">
            <w:r>
              <w:t>Reimbursable Activities</w:t>
            </w:r>
          </w:p>
        </w:tc>
        <w:tc>
          <w:tcPr>
            <w:tcW w:w="1440" w:type="dxa"/>
          </w:tcPr>
          <w:p w14:paraId="4EAC72AD" w14:textId="77777777" w:rsidR="0024152E" w:rsidRDefault="0024152E" w:rsidP="001D3BB1">
            <w:r>
              <w:t>Patient Eligibility</w:t>
            </w:r>
          </w:p>
        </w:tc>
        <w:tc>
          <w:tcPr>
            <w:tcW w:w="1620" w:type="dxa"/>
          </w:tcPr>
          <w:p w14:paraId="48B83ED9" w14:textId="77777777" w:rsidR="0024152E" w:rsidRDefault="0024152E" w:rsidP="001D3BB1">
            <w:r>
              <w:t>Medicaid Reimbursement Pathway</w:t>
            </w:r>
          </w:p>
        </w:tc>
        <w:tc>
          <w:tcPr>
            <w:tcW w:w="2140" w:type="dxa"/>
          </w:tcPr>
          <w:p w14:paraId="5F4FE92A" w14:textId="77777777" w:rsidR="0024152E" w:rsidRDefault="0024152E" w:rsidP="001D3BB1">
            <w:r>
              <w:t>Provider Requirements</w:t>
            </w:r>
          </w:p>
        </w:tc>
      </w:tr>
      <w:tr w:rsidR="0024152E" w14:paraId="236422F4" w14:textId="77777777" w:rsidTr="001D3BB1">
        <w:tc>
          <w:tcPr>
            <w:tcW w:w="895" w:type="dxa"/>
          </w:tcPr>
          <w:p w14:paraId="7836E55B" w14:textId="68C831A8" w:rsidR="0024152E" w:rsidRDefault="0024152E" w:rsidP="001D3BB1">
            <w:r>
              <w:t>Illinois</w:t>
            </w:r>
          </w:p>
        </w:tc>
        <w:tc>
          <w:tcPr>
            <w:tcW w:w="990" w:type="dxa"/>
          </w:tcPr>
          <w:p w14:paraId="6D09DF20" w14:textId="3E1B39BA" w:rsidR="0024152E" w:rsidRDefault="0024152E" w:rsidP="001D3BB1">
            <w:r>
              <w:t>202</w:t>
            </w:r>
            <w:r>
              <w:t>1</w:t>
            </w:r>
          </w:p>
        </w:tc>
        <w:tc>
          <w:tcPr>
            <w:tcW w:w="990" w:type="dxa"/>
          </w:tcPr>
          <w:p w14:paraId="2EC1AD43" w14:textId="63537771" w:rsidR="0024152E" w:rsidRDefault="0024152E" w:rsidP="001D3BB1">
            <w:r>
              <w:t>Reimagine Public Safety Act (430 IL CS 69)</w:t>
            </w:r>
          </w:p>
        </w:tc>
        <w:tc>
          <w:tcPr>
            <w:tcW w:w="1170" w:type="dxa"/>
          </w:tcPr>
          <w:p w14:paraId="5720A6B3" w14:textId="6DF8CAA1" w:rsidR="0024152E" w:rsidRDefault="0024152E" w:rsidP="001D3BB1">
            <w:r>
              <w:t>Me</w:t>
            </w:r>
            <w:r>
              <w:t>nt</w:t>
            </w:r>
            <w:r>
              <w:t>al Health Rehabilitation</w:t>
            </w:r>
            <w:r>
              <w:t xml:space="preserve"> Services</w:t>
            </w:r>
          </w:p>
        </w:tc>
        <w:tc>
          <w:tcPr>
            <w:tcW w:w="1355" w:type="dxa"/>
          </w:tcPr>
          <w:p w14:paraId="1AA8062F" w14:textId="71390B11" w:rsidR="0024152E" w:rsidRDefault="0024152E" w:rsidP="001D3BB1">
            <w:r>
              <w:t>V</w:t>
            </w:r>
            <w:r w:rsidRPr="0024152E">
              <w:t xml:space="preserve">iolence </w:t>
            </w:r>
            <w:r>
              <w:t>P</w:t>
            </w:r>
            <w:r w:rsidRPr="0024152E">
              <w:t xml:space="preserve">revention </w:t>
            </w:r>
            <w:r>
              <w:t>C</w:t>
            </w:r>
            <w:r w:rsidRPr="0024152E">
              <w:t xml:space="preserve">ommunity </w:t>
            </w:r>
            <w:r>
              <w:t>S</w:t>
            </w:r>
            <w:r w:rsidRPr="0024152E">
              <w:t xml:space="preserve">upport </w:t>
            </w:r>
            <w:r>
              <w:t>T</w:t>
            </w:r>
            <w:r w:rsidRPr="0024152E">
              <w:t xml:space="preserve">eam </w:t>
            </w:r>
            <w:r>
              <w:t xml:space="preserve">(VP-CST) </w:t>
            </w:r>
            <w:r w:rsidRPr="0024152E">
              <w:t>must include the following</w:t>
            </w:r>
            <w:r>
              <w:t>:</w:t>
            </w:r>
            <w:r w:rsidRPr="0024152E">
              <w:t xml:space="preserve"> </w:t>
            </w:r>
            <w:r>
              <w:t>A</w:t>
            </w:r>
            <w:r w:rsidRPr="0024152E">
              <w:t xml:space="preserve"> team </w:t>
            </w:r>
            <w:proofErr w:type="gramStart"/>
            <w:r w:rsidRPr="0024152E">
              <w:t>lead</w:t>
            </w:r>
            <w:proofErr w:type="gramEnd"/>
            <w:r w:rsidRPr="0024152E">
              <w:t xml:space="preserve"> who meets the qualifications of a </w:t>
            </w:r>
            <w:r>
              <w:t>Q</w:t>
            </w:r>
            <w:r w:rsidRPr="0024152E">
              <w:t xml:space="preserve">ualified </w:t>
            </w:r>
            <w:r>
              <w:t>M</w:t>
            </w:r>
            <w:r w:rsidRPr="0024152E">
              <w:t xml:space="preserve">ental </w:t>
            </w:r>
            <w:r>
              <w:t>H</w:t>
            </w:r>
            <w:r w:rsidRPr="0024152E">
              <w:t xml:space="preserve">ealth </w:t>
            </w:r>
            <w:r>
              <w:t>P</w:t>
            </w:r>
            <w:r w:rsidRPr="0024152E">
              <w:t>rofessional</w:t>
            </w:r>
            <w:r>
              <w:t xml:space="preserve"> (</w:t>
            </w:r>
            <w:proofErr w:type="spellStart"/>
            <w:r>
              <w:t>QMHP</w:t>
            </w:r>
            <w:proofErr w:type="spellEnd"/>
            <w:r>
              <w:t>);</w:t>
            </w:r>
            <w:r w:rsidRPr="0024152E">
              <w:t xml:space="preserve"> a peer support worker</w:t>
            </w:r>
            <w:r>
              <w:t>;</w:t>
            </w:r>
            <w:r w:rsidRPr="0024152E">
              <w:t xml:space="preserve"> and at least one other staff member that meets the qualifications of a </w:t>
            </w:r>
            <w:r>
              <w:t>M</w:t>
            </w:r>
            <w:r w:rsidRPr="0024152E">
              <w:t xml:space="preserve">ental </w:t>
            </w:r>
            <w:r>
              <w:t>H</w:t>
            </w:r>
            <w:r w:rsidRPr="0024152E">
              <w:t xml:space="preserve">ealth </w:t>
            </w:r>
            <w:r>
              <w:t>P</w:t>
            </w:r>
            <w:r w:rsidRPr="0024152E">
              <w:t>rofessional</w:t>
            </w:r>
            <w:r>
              <w:t xml:space="preserve"> (</w:t>
            </w:r>
            <w:proofErr w:type="spellStart"/>
            <w:r>
              <w:t>MHP</w:t>
            </w:r>
            <w:proofErr w:type="spellEnd"/>
            <w:r>
              <w:t>)</w:t>
            </w:r>
          </w:p>
        </w:tc>
        <w:tc>
          <w:tcPr>
            <w:tcW w:w="1350" w:type="dxa"/>
          </w:tcPr>
          <w:p w14:paraId="7BB5E799" w14:textId="77777777" w:rsidR="0024152E" w:rsidRDefault="0024152E" w:rsidP="001D3BB1">
            <w:r>
              <w:t>$</w:t>
            </w:r>
            <w:r>
              <w:t>1</w:t>
            </w:r>
            <w:r>
              <w:t>5</w:t>
            </w:r>
            <w:r>
              <w:t>2 (off site)</w:t>
            </w:r>
          </w:p>
          <w:p w14:paraId="3B01F4CB" w14:textId="6A245489" w:rsidR="0024152E" w:rsidRDefault="0024152E" w:rsidP="001D3BB1">
            <w:r>
              <w:t>$139.36 (on site)</w:t>
            </w:r>
            <w:r>
              <w:t>/Hour</w:t>
            </w:r>
          </w:p>
        </w:tc>
        <w:tc>
          <w:tcPr>
            <w:tcW w:w="1065" w:type="dxa"/>
          </w:tcPr>
          <w:p w14:paraId="5518E0AB" w14:textId="00F36CFB" w:rsidR="0024152E" w:rsidRDefault="0024152E" w:rsidP="001D3BB1">
            <w:r>
              <w:t>H0037</w:t>
            </w:r>
          </w:p>
        </w:tc>
        <w:tc>
          <w:tcPr>
            <w:tcW w:w="1095" w:type="dxa"/>
          </w:tcPr>
          <w:p w14:paraId="366FE08E" w14:textId="6A4DFACF" w:rsidR="0024152E" w:rsidRDefault="00922477" w:rsidP="001D3BB1">
            <w:r>
              <w:t>I</w:t>
            </w:r>
            <w:r w:rsidR="0024152E" w:rsidRPr="0024152E">
              <w:t>ntegrated assessment and treatment plannin</w:t>
            </w:r>
            <w:r w:rsidR="0024152E">
              <w:t>g;</w:t>
            </w:r>
            <w:r w:rsidR="0024152E" w:rsidRPr="0024152E">
              <w:t xml:space="preserve"> crisis intervention</w:t>
            </w:r>
            <w:r w:rsidR="0024152E">
              <w:t>,</w:t>
            </w:r>
            <w:r w:rsidR="0024152E" w:rsidRPr="0024152E">
              <w:t xml:space="preserve"> stabilization</w:t>
            </w:r>
            <w:r w:rsidR="0024152E">
              <w:t>,</w:t>
            </w:r>
            <w:r w:rsidR="0024152E" w:rsidRPr="0024152E">
              <w:t xml:space="preserve"> </w:t>
            </w:r>
            <w:r w:rsidR="0024152E">
              <w:t>a</w:t>
            </w:r>
            <w:r w:rsidR="0024152E" w:rsidRPr="0024152E">
              <w:t>n</w:t>
            </w:r>
            <w:r w:rsidR="0024152E">
              <w:t>d</w:t>
            </w:r>
            <w:r w:rsidR="0024152E" w:rsidRPr="0024152E">
              <w:t xml:space="preserve"> mobile crisis</w:t>
            </w:r>
            <w:r w:rsidR="0024152E">
              <w:t xml:space="preserve"> response; </w:t>
            </w:r>
            <w:r w:rsidR="0024152E" w:rsidRPr="0024152E">
              <w:t>psychosocial rehabilitation</w:t>
            </w:r>
            <w:r w:rsidR="0024152E">
              <w:t xml:space="preserve">; </w:t>
            </w:r>
            <w:r w:rsidR="0024152E" w:rsidRPr="0024152E">
              <w:t>community support</w:t>
            </w:r>
            <w:r w:rsidR="0024152E">
              <w:t xml:space="preserve">; </w:t>
            </w:r>
            <w:r w:rsidR="0024152E" w:rsidRPr="0024152E">
              <w:t>assertive community treatment</w:t>
            </w:r>
          </w:p>
        </w:tc>
        <w:tc>
          <w:tcPr>
            <w:tcW w:w="1440" w:type="dxa"/>
          </w:tcPr>
          <w:p w14:paraId="7D0678A8" w14:textId="27F71007" w:rsidR="0024152E" w:rsidRDefault="0024152E" w:rsidP="001D3BB1">
            <w:r>
              <w:t>I</w:t>
            </w:r>
            <w:r w:rsidRPr="003069F9">
              <w:t xml:space="preserve">ndividuals who have </w:t>
            </w:r>
            <w:r>
              <w:t xml:space="preserve">experienced chronic exposure to firearm </w:t>
            </w:r>
            <w:r w:rsidRPr="003069F9">
              <w:t>violen</w:t>
            </w:r>
            <w:r>
              <w:t>ce</w:t>
            </w:r>
          </w:p>
        </w:tc>
        <w:tc>
          <w:tcPr>
            <w:tcW w:w="1620" w:type="dxa"/>
          </w:tcPr>
          <w:p w14:paraId="7C4FB366" w14:textId="5FC3BA63" w:rsidR="0024152E" w:rsidRDefault="0024152E" w:rsidP="001D3BB1">
            <w:r>
              <w:t>V</w:t>
            </w:r>
            <w:r w:rsidRPr="0024152E">
              <w:t xml:space="preserve">iolence </w:t>
            </w:r>
            <w:r>
              <w:t>P</w:t>
            </w:r>
            <w:r w:rsidRPr="0024152E">
              <w:t xml:space="preserve">revention </w:t>
            </w:r>
            <w:r>
              <w:t>Co</w:t>
            </w:r>
            <w:r w:rsidRPr="0024152E">
              <w:t xml:space="preserve">mmunity </w:t>
            </w:r>
            <w:r>
              <w:t>S</w:t>
            </w:r>
            <w:r w:rsidRPr="0024152E">
              <w:t xml:space="preserve">upport </w:t>
            </w:r>
            <w:r>
              <w:t>T</w:t>
            </w:r>
            <w:r w:rsidRPr="0024152E">
              <w:t>eam</w:t>
            </w:r>
            <w:r>
              <w:t xml:space="preserve"> (VP-CST)</w:t>
            </w:r>
            <w:r w:rsidRPr="0024152E">
              <w:t xml:space="preserve"> services covered under both Medicaid fee</w:t>
            </w:r>
            <w:r>
              <w:t>-</w:t>
            </w:r>
            <w:r w:rsidRPr="0024152E">
              <w:t>for</w:t>
            </w:r>
            <w:r>
              <w:t>-</w:t>
            </w:r>
            <w:r w:rsidRPr="0024152E">
              <w:t>service and Medicaid managed care organization plans</w:t>
            </w:r>
          </w:p>
        </w:tc>
        <w:tc>
          <w:tcPr>
            <w:tcW w:w="2140" w:type="dxa"/>
          </w:tcPr>
          <w:p w14:paraId="18A23F53" w14:textId="2B983477" w:rsidR="0024152E" w:rsidRDefault="0024152E" w:rsidP="001D3BB1">
            <w:r>
              <w:t xml:space="preserve">Community </w:t>
            </w:r>
            <w:r>
              <w:t>mental h</w:t>
            </w:r>
            <w:r>
              <w:t xml:space="preserve">ealth </w:t>
            </w:r>
            <w:r>
              <w:t>centers (</w:t>
            </w:r>
            <w:proofErr w:type="spellStart"/>
            <w:r>
              <w:t>CMHC</w:t>
            </w:r>
            <w:proofErr w:type="spellEnd"/>
            <w:r>
              <w:t>) or behavioral health cl</w:t>
            </w:r>
            <w:r w:rsidRPr="00DE38BC">
              <w:t>i</w:t>
            </w:r>
            <w:r>
              <w:t>nics (</w:t>
            </w:r>
            <w:r>
              <w:t>B</w:t>
            </w:r>
            <w:r>
              <w:t>HC</w:t>
            </w:r>
            <w:r>
              <w:t xml:space="preserve">)  </w:t>
            </w:r>
          </w:p>
        </w:tc>
      </w:tr>
    </w:tbl>
    <w:p w14:paraId="168137FE" w14:textId="77777777" w:rsidR="0024152E" w:rsidRDefault="0024152E" w:rsidP="00DE55F9"/>
    <w:p w14:paraId="7625A02B" w14:textId="77777777" w:rsidR="003538AD" w:rsidRDefault="003538AD" w:rsidP="00DE55F9"/>
    <w:p w14:paraId="6F0965CC" w14:textId="77777777" w:rsidR="003538AD" w:rsidRDefault="003538AD">
      <w:r>
        <w:br w:type="page"/>
      </w:r>
    </w:p>
    <w:p w14:paraId="031691E8" w14:textId="6E2A7CFA" w:rsidR="003538AD" w:rsidRDefault="003538AD" w:rsidP="003538AD">
      <w:r w:rsidRPr="00B93233">
        <w:t>Slid</w:t>
      </w:r>
      <w:r>
        <w:t>e 1</w:t>
      </w:r>
      <w:r>
        <w:t>3</w:t>
      </w:r>
    </w:p>
    <w:p w14:paraId="13E81C38" w14:textId="40015CF7" w:rsidR="003538AD" w:rsidRPr="002544B0" w:rsidRDefault="003538AD" w:rsidP="003538AD">
      <w:pPr>
        <w:pStyle w:val="Heading2"/>
      </w:pPr>
      <w:r>
        <w:t xml:space="preserve">Medicaid Benefit Example: </w:t>
      </w:r>
      <w:r>
        <w:t>Oregon</w:t>
      </w:r>
    </w:p>
    <w:p w14:paraId="4A8F46E5" w14:textId="77777777" w:rsidR="003538AD" w:rsidRPr="007B6CCA" w:rsidRDefault="003538AD" w:rsidP="003538AD"/>
    <w:tbl>
      <w:tblPr>
        <w:tblStyle w:val="TableGrid"/>
        <w:tblW w:w="14110" w:type="dxa"/>
        <w:tblInd w:w="-545" w:type="dxa"/>
        <w:tblLayout w:type="fixed"/>
        <w:tblLook w:val="04A0" w:firstRow="1" w:lastRow="0" w:firstColumn="1" w:lastColumn="0" w:noHBand="0" w:noVBand="1"/>
      </w:tblPr>
      <w:tblGrid>
        <w:gridCol w:w="895"/>
        <w:gridCol w:w="990"/>
        <w:gridCol w:w="990"/>
        <w:gridCol w:w="1170"/>
        <w:gridCol w:w="1355"/>
        <w:gridCol w:w="1350"/>
        <w:gridCol w:w="1065"/>
        <w:gridCol w:w="1095"/>
        <w:gridCol w:w="1440"/>
        <w:gridCol w:w="1620"/>
        <w:gridCol w:w="2140"/>
      </w:tblGrid>
      <w:tr w:rsidR="003538AD" w14:paraId="5BA1D311" w14:textId="77777777" w:rsidTr="001D3BB1">
        <w:tc>
          <w:tcPr>
            <w:tcW w:w="895" w:type="dxa"/>
          </w:tcPr>
          <w:p w14:paraId="759F92A9" w14:textId="77777777" w:rsidR="003538AD" w:rsidRDefault="003538AD" w:rsidP="001D3BB1">
            <w:r>
              <w:t>State</w:t>
            </w:r>
          </w:p>
        </w:tc>
        <w:tc>
          <w:tcPr>
            <w:tcW w:w="990" w:type="dxa"/>
          </w:tcPr>
          <w:p w14:paraId="05CA4493" w14:textId="77777777" w:rsidR="003538AD" w:rsidRDefault="003538AD" w:rsidP="001D3BB1">
            <w:r>
              <w:t>Authorizing Year</w:t>
            </w:r>
          </w:p>
        </w:tc>
        <w:tc>
          <w:tcPr>
            <w:tcW w:w="990" w:type="dxa"/>
          </w:tcPr>
          <w:p w14:paraId="3BB57386" w14:textId="77777777" w:rsidR="003538AD" w:rsidRDefault="003538AD" w:rsidP="001D3BB1">
            <w:r>
              <w:t>Authorizing Legislation</w:t>
            </w:r>
          </w:p>
        </w:tc>
        <w:tc>
          <w:tcPr>
            <w:tcW w:w="1170" w:type="dxa"/>
          </w:tcPr>
          <w:p w14:paraId="3B1DB764" w14:textId="77777777" w:rsidR="003538AD" w:rsidRDefault="003538AD" w:rsidP="001D3BB1">
            <w:r>
              <w:t>Authority of Benefit</w:t>
            </w:r>
          </w:p>
        </w:tc>
        <w:tc>
          <w:tcPr>
            <w:tcW w:w="1355" w:type="dxa"/>
          </w:tcPr>
          <w:p w14:paraId="7E115DC0" w14:textId="77777777" w:rsidR="003538AD" w:rsidRDefault="003538AD" w:rsidP="001D3BB1">
            <w:r>
              <w:t>Training or Certification Requirements</w:t>
            </w:r>
          </w:p>
        </w:tc>
        <w:tc>
          <w:tcPr>
            <w:tcW w:w="1350" w:type="dxa"/>
          </w:tcPr>
          <w:p w14:paraId="7B469A90" w14:textId="77777777" w:rsidR="003538AD" w:rsidRDefault="003538AD" w:rsidP="001D3BB1">
            <w:r>
              <w:t>Reimbursement Rates</w:t>
            </w:r>
          </w:p>
        </w:tc>
        <w:tc>
          <w:tcPr>
            <w:tcW w:w="1065" w:type="dxa"/>
          </w:tcPr>
          <w:p w14:paraId="5EA4846A" w14:textId="77777777" w:rsidR="003538AD" w:rsidRDefault="003538AD" w:rsidP="001D3BB1">
            <w:r>
              <w:t>CPT Codes</w:t>
            </w:r>
          </w:p>
        </w:tc>
        <w:tc>
          <w:tcPr>
            <w:tcW w:w="1095" w:type="dxa"/>
          </w:tcPr>
          <w:p w14:paraId="6878CB52" w14:textId="77777777" w:rsidR="003538AD" w:rsidRDefault="003538AD" w:rsidP="001D3BB1">
            <w:r>
              <w:t>Reimbursable Activities</w:t>
            </w:r>
          </w:p>
        </w:tc>
        <w:tc>
          <w:tcPr>
            <w:tcW w:w="1440" w:type="dxa"/>
          </w:tcPr>
          <w:p w14:paraId="7D1CE971" w14:textId="77777777" w:rsidR="003538AD" w:rsidRDefault="003538AD" w:rsidP="001D3BB1">
            <w:r>
              <w:t>Patient Eligibility</w:t>
            </w:r>
          </w:p>
        </w:tc>
        <w:tc>
          <w:tcPr>
            <w:tcW w:w="1620" w:type="dxa"/>
          </w:tcPr>
          <w:p w14:paraId="5934A064" w14:textId="77777777" w:rsidR="003538AD" w:rsidRDefault="003538AD" w:rsidP="001D3BB1">
            <w:r>
              <w:t>Medicaid Reimbursement Pathway</w:t>
            </w:r>
          </w:p>
        </w:tc>
        <w:tc>
          <w:tcPr>
            <w:tcW w:w="2140" w:type="dxa"/>
          </w:tcPr>
          <w:p w14:paraId="52F9FE69" w14:textId="77777777" w:rsidR="003538AD" w:rsidRDefault="003538AD" w:rsidP="001D3BB1">
            <w:r>
              <w:t>Provider Requirements</w:t>
            </w:r>
          </w:p>
        </w:tc>
      </w:tr>
      <w:tr w:rsidR="003538AD" w14:paraId="6D42CA29" w14:textId="77777777" w:rsidTr="001D3BB1">
        <w:tc>
          <w:tcPr>
            <w:tcW w:w="895" w:type="dxa"/>
          </w:tcPr>
          <w:p w14:paraId="6A2B139B" w14:textId="3602FD8E" w:rsidR="003538AD" w:rsidRDefault="00922477" w:rsidP="001D3BB1">
            <w:r>
              <w:t>Oregon</w:t>
            </w:r>
          </w:p>
        </w:tc>
        <w:tc>
          <w:tcPr>
            <w:tcW w:w="990" w:type="dxa"/>
          </w:tcPr>
          <w:p w14:paraId="119C18BF" w14:textId="6636B419" w:rsidR="003538AD" w:rsidRDefault="003538AD" w:rsidP="001D3BB1">
            <w:r>
              <w:t>202</w:t>
            </w:r>
            <w:r w:rsidR="00922477">
              <w:t>3</w:t>
            </w:r>
          </w:p>
        </w:tc>
        <w:tc>
          <w:tcPr>
            <w:tcW w:w="990" w:type="dxa"/>
          </w:tcPr>
          <w:p w14:paraId="2C6E1F65" w14:textId="564F097E" w:rsidR="003538AD" w:rsidRDefault="00922477" w:rsidP="001D3BB1">
            <w:r>
              <w:t>HB4045</w:t>
            </w:r>
          </w:p>
        </w:tc>
        <w:tc>
          <w:tcPr>
            <w:tcW w:w="1170" w:type="dxa"/>
          </w:tcPr>
          <w:p w14:paraId="17B72E86" w14:textId="636B7D48" w:rsidR="003538AD" w:rsidRDefault="00922477" w:rsidP="001D3BB1">
            <w:r>
              <w:t xml:space="preserve">Preventative </w:t>
            </w:r>
            <w:r w:rsidR="003538AD">
              <w:t>Services</w:t>
            </w:r>
          </w:p>
        </w:tc>
        <w:tc>
          <w:tcPr>
            <w:tcW w:w="1355" w:type="dxa"/>
          </w:tcPr>
          <w:p w14:paraId="6980936F" w14:textId="776015E2" w:rsidR="003538AD" w:rsidRDefault="003538AD" w:rsidP="001D3BB1">
            <w:r>
              <w:t>V</w:t>
            </w:r>
            <w:r w:rsidRPr="0024152E">
              <w:t xml:space="preserve">iolence </w:t>
            </w:r>
            <w:r>
              <w:t>P</w:t>
            </w:r>
            <w:r w:rsidRPr="0024152E">
              <w:t xml:space="preserve">revention </w:t>
            </w:r>
            <w:r w:rsidR="00922477">
              <w:t xml:space="preserve">Professional </w:t>
            </w:r>
            <w:r>
              <w:t>(</w:t>
            </w:r>
            <w:proofErr w:type="spellStart"/>
            <w:r>
              <w:t>VP</w:t>
            </w:r>
            <w:r w:rsidR="00922477">
              <w:t>P</w:t>
            </w:r>
            <w:proofErr w:type="spellEnd"/>
            <w:r>
              <w:t xml:space="preserve">) </w:t>
            </w:r>
            <w:r w:rsidR="00922477">
              <w:t xml:space="preserve">Certification + Oregon Health Authority </w:t>
            </w:r>
            <w:r w:rsidR="00922477" w:rsidRPr="00922477">
              <w:t>approved crisis intervention training</w:t>
            </w:r>
            <w:r w:rsidR="00922477">
              <w:t>. Ha</w:t>
            </w:r>
            <w:r w:rsidR="00922477" w:rsidRPr="00922477">
              <w:t>ve lived experience</w:t>
            </w:r>
            <w:r w:rsidR="00922477">
              <w:t>,</w:t>
            </w:r>
            <w:r w:rsidR="00922477" w:rsidRPr="00922477">
              <w:t xml:space="preserve"> either as a victim of a violent injury </w:t>
            </w:r>
            <w:proofErr w:type="gramStart"/>
            <w:r w:rsidR="00922477" w:rsidRPr="00922477">
              <w:t>as a result of</w:t>
            </w:r>
            <w:proofErr w:type="gramEnd"/>
            <w:r w:rsidR="00922477" w:rsidRPr="00922477">
              <w:t xml:space="preserve"> community violence or as someone closely impacted by community violence</w:t>
            </w:r>
          </w:p>
        </w:tc>
        <w:tc>
          <w:tcPr>
            <w:tcW w:w="1350" w:type="dxa"/>
          </w:tcPr>
          <w:p w14:paraId="46D09B3A" w14:textId="03AA9A6B" w:rsidR="003538AD" w:rsidRDefault="003538AD" w:rsidP="00922477">
            <w:r>
              <w:t>$</w:t>
            </w:r>
            <w:r w:rsidR="00922477">
              <w:t>99.12</w:t>
            </w:r>
            <w:r>
              <w:t>/Hour</w:t>
            </w:r>
          </w:p>
        </w:tc>
        <w:tc>
          <w:tcPr>
            <w:tcW w:w="1065" w:type="dxa"/>
          </w:tcPr>
          <w:p w14:paraId="4BDFEBF7" w14:textId="47735076" w:rsidR="003538AD" w:rsidRDefault="003538AD" w:rsidP="001D3BB1">
            <w:r>
              <w:t>H</w:t>
            </w:r>
            <w:r w:rsidR="00922477">
              <w:t>2015</w:t>
            </w:r>
          </w:p>
        </w:tc>
        <w:tc>
          <w:tcPr>
            <w:tcW w:w="1095" w:type="dxa"/>
          </w:tcPr>
          <w:p w14:paraId="686C5226" w14:textId="25635BC5" w:rsidR="003538AD" w:rsidRDefault="00922477" w:rsidP="001D3BB1">
            <w:r>
              <w:t>M</w:t>
            </w:r>
            <w:r w:rsidRPr="00922477">
              <w:t>entorship</w:t>
            </w:r>
            <w:r>
              <w:t>;</w:t>
            </w:r>
            <w:r w:rsidRPr="00922477">
              <w:t xml:space="preserve"> conflict mediation</w:t>
            </w:r>
            <w:r>
              <w:t>;</w:t>
            </w:r>
            <w:r w:rsidRPr="00922477">
              <w:t xml:space="preserve"> crisis intervention</w:t>
            </w:r>
            <w:r>
              <w:t>;</w:t>
            </w:r>
            <w:r w:rsidRPr="00922477">
              <w:t xml:space="preserve"> peer support and counseling</w:t>
            </w:r>
            <w:r>
              <w:t>;</w:t>
            </w:r>
            <w:r w:rsidRPr="00922477">
              <w:t xml:space="preserve"> case management</w:t>
            </w:r>
            <w:r>
              <w:t>;</w:t>
            </w:r>
            <w:r w:rsidRPr="00922477">
              <w:t xml:space="preserve"> referral</w:t>
            </w:r>
            <w:r>
              <w:t>s</w:t>
            </w:r>
            <w:r w:rsidRPr="00922477">
              <w:t xml:space="preserve"> to certified or licensed healthcare professionals or social services providers</w:t>
            </w:r>
            <w:r>
              <w:t>;</w:t>
            </w:r>
            <w:r w:rsidRPr="00922477">
              <w:t xml:space="preserve"> screening services</w:t>
            </w:r>
          </w:p>
        </w:tc>
        <w:tc>
          <w:tcPr>
            <w:tcW w:w="1440" w:type="dxa"/>
          </w:tcPr>
          <w:p w14:paraId="1E985978" w14:textId="4E12357D" w:rsidR="003538AD" w:rsidRDefault="003538AD" w:rsidP="001D3BB1">
            <w:r>
              <w:t>I</w:t>
            </w:r>
            <w:r w:rsidRPr="003069F9">
              <w:t>ndividuals</w:t>
            </w:r>
            <w:r w:rsidR="000837C9">
              <w:t xml:space="preserve"> </w:t>
            </w:r>
            <w:r w:rsidRPr="003069F9">
              <w:t>who</w:t>
            </w:r>
            <w:r w:rsidR="00922477" w:rsidRPr="00922477">
              <w:t xml:space="preserve"> received treatment for an injury </w:t>
            </w:r>
            <w:r w:rsidR="00922477">
              <w:t>(</w:t>
            </w:r>
            <w:r w:rsidR="00922477" w:rsidRPr="00922477">
              <w:t>which includes both medical and behavioral health treatment for a physical and</w:t>
            </w:r>
            <w:r w:rsidR="00922477">
              <w:t>/</w:t>
            </w:r>
            <w:r w:rsidR="00922477" w:rsidRPr="00922477">
              <w:t>or behavioral health injury</w:t>
            </w:r>
            <w:r w:rsidR="00922477">
              <w:t xml:space="preserve">) </w:t>
            </w:r>
            <w:r w:rsidR="00922477" w:rsidRPr="00922477">
              <w:t xml:space="preserve">sustained </w:t>
            </w:r>
            <w:proofErr w:type="gramStart"/>
            <w:r w:rsidR="00922477" w:rsidRPr="00922477">
              <w:t>as a result of</w:t>
            </w:r>
            <w:proofErr w:type="gramEnd"/>
            <w:r w:rsidR="00922477" w:rsidRPr="00922477">
              <w:t xml:space="preserve"> an act</w:t>
            </w:r>
            <w:r w:rsidR="00922477">
              <w:t xml:space="preserve"> of </w:t>
            </w:r>
            <w:r w:rsidR="00922477" w:rsidRPr="00922477">
              <w:t>community violence</w:t>
            </w:r>
          </w:p>
        </w:tc>
        <w:tc>
          <w:tcPr>
            <w:tcW w:w="1620" w:type="dxa"/>
          </w:tcPr>
          <w:p w14:paraId="55AD0604" w14:textId="4C7BF90E" w:rsidR="003538AD" w:rsidRDefault="000837C9" w:rsidP="001D3BB1">
            <w:r>
              <w:t>S</w:t>
            </w:r>
            <w:r w:rsidR="003538AD" w:rsidRPr="0024152E">
              <w:t>ervices</w:t>
            </w:r>
            <w:r>
              <w:t xml:space="preserve"> are reimbursed through </w:t>
            </w:r>
            <w:proofErr w:type="spellStart"/>
            <w:r>
              <w:t>MCOs</w:t>
            </w:r>
            <w:proofErr w:type="spellEnd"/>
            <w:r>
              <w:t xml:space="preserve"> and fee</w:t>
            </w:r>
            <w:r w:rsidR="003538AD">
              <w:t>-</w:t>
            </w:r>
            <w:r w:rsidR="003538AD" w:rsidRPr="0024152E">
              <w:t>for</w:t>
            </w:r>
            <w:r w:rsidR="003538AD">
              <w:t>-</w:t>
            </w:r>
            <w:r w:rsidR="003538AD" w:rsidRPr="0024152E">
              <w:t xml:space="preserve">service </w:t>
            </w:r>
            <w:r>
              <w:t>(FFS)</w:t>
            </w:r>
          </w:p>
        </w:tc>
        <w:tc>
          <w:tcPr>
            <w:tcW w:w="2140" w:type="dxa"/>
          </w:tcPr>
          <w:p w14:paraId="69CCB4D9" w14:textId="3CE6EA45" w:rsidR="003538AD" w:rsidRDefault="000837C9" w:rsidP="001D3BB1">
            <w:proofErr w:type="spellStart"/>
            <w:r>
              <w:t>VPP</w:t>
            </w:r>
            <w:proofErr w:type="spellEnd"/>
            <w:r>
              <w:t xml:space="preserve"> must </w:t>
            </w:r>
            <w:r w:rsidRPr="000837C9">
              <w:t>be employed by a community</w:t>
            </w:r>
            <w:r>
              <w:t>-</w:t>
            </w:r>
            <w:r w:rsidRPr="000837C9">
              <w:t xml:space="preserve">based organization </w:t>
            </w:r>
            <w:r>
              <w:t xml:space="preserve">(CBO) </w:t>
            </w:r>
            <w:r w:rsidRPr="000837C9">
              <w:t xml:space="preserve">that is enrolled with the Oregon </w:t>
            </w:r>
            <w:r>
              <w:t>H</w:t>
            </w:r>
            <w:r w:rsidRPr="000837C9">
              <w:t xml:space="preserve">ealth </w:t>
            </w:r>
            <w:r>
              <w:t>A</w:t>
            </w:r>
            <w:r w:rsidRPr="000837C9">
              <w:t>uthority as a Medicaid billing provider</w:t>
            </w:r>
            <w:r>
              <w:t>.</w:t>
            </w:r>
            <w:r w:rsidRPr="000837C9">
              <w:t xml:space="preserve"> </w:t>
            </w:r>
            <w:r>
              <w:t>T</w:t>
            </w:r>
            <w:r w:rsidRPr="000837C9">
              <w:t>he C</w:t>
            </w:r>
            <w:r>
              <w:t>B</w:t>
            </w:r>
            <w:r w:rsidRPr="000837C9">
              <w:t>O must also be affiliated with a hospital that authorizes the program to provide community violence prevention services</w:t>
            </w:r>
          </w:p>
        </w:tc>
      </w:tr>
    </w:tbl>
    <w:p w14:paraId="3B7142A5" w14:textId="77777777" w:rsidR="003538AD" w:rsidRDefault="003538AD" w:rsidP="00DE55F9"/>
    <w:p w14:paraId="63558F54" w14:textId="77777777" w:rsidR="004E2AD9" w:rsidRDefault="004E2AD9" w:rsidP="00DE55F9"/>
    <w:p w14:paraId="13902D8B" w14:textId="77777777" w:rsidR="004E2AD9" w:rsidRDefault="004E2AD9" w:rsidP="00DE55F9"/>
    <w:p w14:paraId="5D9B41D3" w14:textId="77777777" w:rsidR="004E2AD9" w:rsidRDefault="004E2AD9" w:rsidP="00DE55F9">
      <w:pPr>
        <w:sectPr w:rsidR="004E2AD9" w:rsidSect="00334E43">
          <w:pgSz w:w="15840" w:h="12240" w:orient="landscape"/>
          <w:pgMar w:top="1440" w:right="1440" w:bottom="1440" w:left="1440" w:header="720" w:footer="720" w:gutter="0"/>
          <w:cols w:space="720"/>
          <w:docGrid w:linePitch="360"/>
        </w:sectPr>
      </w:pPr>
    </w:p>
    <w:p w14:paraId="4638B187" w14:textId="02BBD2BE" w:rsidR="004E2AD9" w:rsidRDefault="004E2AD9" w:rsidP="004E2AD9">
      <w:r w:rsidRPr="00B93233">
        <w:t>Slid</w:t>
      </w:r>
      <w:r>
        <w:t>e 1</w:t>
      </w:r>
      <w:r>
        <w:t>4</w:t>
      </w:r>
    </w:p>
    <w:p w14:paraId="07FF6DF3" w14:textId="2DD59B94" w:rsidR="004E2AD9" w:rsidRPr="002544B0" w:rsidRDefault="004E2AD9" w:rsidP="004E2AD9">
      <w:pPr>
        <w:pStyle w:val="Heading2"/>
      </w:pPr>
      <w:r>
        <w:t>Curren</w:t>
      </w:r>
      <w:r>
        <w:t>t</w:t>
      </w:r>
      <w:r>
        <w:t xml:space="preserve"> St</w:t>
      </w:r>
      <w:r>
        <w:t>ate</w:t>
      </w:r>
      <w:r>
        <w:t xml:space="preserve"> of State</w:t>
      </w:r>
      <w:r>
        <w:t>s</w:t>
      </w:r>
    </w:p>
    <w:p w14:paraId="6D29B7F3" w14:textId="77777777" w:rsidR="004E2AD9" w:rsidRPr="007B6CCA" w:rsidRDefault="004E2AD9" w:rsidP="004E2AD9"/>
    <w:p w14:paraId="4BEA345E" w14:textId="77777777" w:rsidR="004E2AD9" w:rsidRPr="004E2AD9" w:rsidRDefault="004E2AD9" w:rsidP="004E2AD9">
      <w:r w:rsidRPr="004E2AD9">
        <w:rPr>
          <w:b/>
          <w:bCs/>
        </w:rPr>
        <w:t>Strengths</w:t>
      </w:r>
    </w:p>
    <w:p w14:paraId="72E7CAB2" w14:textId="77777777" w:rsidR="004E2AD9" w:rsidRPr="004E2AD9" w:rsidRDefault="004E2AD9" w:rsidP="004E2AD9">
      <w:pPr>
        <w:numPr>
          <w:ilvl w:val="0"/>
          <w:numId w:val="56"/>
        </w:numPr>
      </w:pPr>
      <w:r w:rsidRPr="004E2AD9">
        <w:rPr>
          <w:b/>
          <w:bCs/>
        </w:rPr>
        <w:t xml:space="preserve">Stakeholder Engagement: </w:t>
      </w:r>
      <w:r w:rsidRPr="004E2AD9">
        <w:t>States like Connecticut and Oregon had strong stakeholder involvement during the program's launch or benefit design process, which helped shape the programs.</w:t>
      </w:r>
    </w:p>
    <w:p w14:paraId="4157F29E" w14:textId="77777777" w:rsidR="004E2AD9" w:rsidRPr="004E2AD9" w:rsidRDefault="004E2AD9" w:rsidP="004E2AD9">
      <w:pPr>
        <w:numPr>
          <w:ilvl w:val="0"/>
          <w:numId w:val="56"/>
        </w:numPr>
      </w:pPr>
      <w:r w:rsidRPr="004E2AD9">
        <w:rPr>
          <w:b/>
          <w:bCs/>
        </w:rPr>
        <w:t xml:space="preserve">Technical Assistance: </w:t>
      </w:r>
      <w:r w:rsidRPr="004E2AD9">
        <w:t>Oregon included a technical assistance fund to support program billing preparations and offset startup costs.</w:t>
      </w:r>
    </w:p>
    <w:p w14:paraId="66037D39" w14:textId="77777777" w:rsidR="004E2AD9" w:rsidRPr="004E2AD9" w:rsidRDefault="004E2AD9" w:rsidP="004E2AD9">
      <w:pPr>
        <w:numPr>
          <w:ilvl w:val="0"/>
          <w:numId w:val="56"/>
        </w:numPr>
      </w:pPr>
      <w:r w:rsidRPr="004E2AD9">
        <w:rPr>
          <w:b/>
          <w:bCs/>
        </w:rPr>
        <w:t xml:space="preserve">Program Enrollment Progress: </w:t>
      </w:r>
      <w:r w:rsidRPr="004E2AD9">
        <w:t>Some states, such as California and Oregon, have programs actively working towards or preparing for Medicaid billing.</w:t>
      </w:r>
    </w:p>
    <w:p w14:paraId="2EE7EE24" w14:textId="77777777" w:rsidR="004E2AD9" w:rsidRPr="004E2AD9" w:rsidRDefault="004E2AD9" w:rsidP="004E2AD9">
      <w:pPr>
        <w:numPr>
          <w:ilvl w:val="0"/>
          <w:numId w:val="56"/>
        </w:numPr>
      </w:pPr>
      <w:r w:rsidRPr="004E2AD9">
        <w:rPr>
          <w:b/>
          <w:bCs/>
        </w:rPr>
        <w:t xml:space="preserve">Innovative Approaches: </w:t>
      </w:r>
      <w:r w:rsidRPr="004E2AD9">
        <w:t>California set up a CBO hub for Medicaid enrollment, and Illinois used a team-based model through community mental health centers.</w:t>
      </w:r>
    </w:p>
    <w:p w14:paraId="4B8DE95F" w14:textId="77777777" w:rsidR="004E2AD9" w:rsidRDefault="004E2AD9" w:rsidP="004E2AD9"/>
    <w:p w14:paraId="499E3D7C" w14:textId="77777777" w:rsidR="004E2AD9" w:rsidRPr="004E2AD9" w:rsidRDefault="004E2AD9" w:rsidP="004E2AD9">
      <w:pPr>
        <w:rPr>
          <w:b/>
          <w:bCs/>
        </w:rPr>
      </w:pPr>
      <w:r w:rsidRPr="004E2AD9">
        <w:rPr>
          <w:b/>
          <w:bCs/>
        </w:rPr>
        <w:t>Challenges</w:t>
      </w:r>
    </w:p>
    <w:p w14:paraId="56A99470" w14:textId="77777777" w:rsidR="004E2AD9" w:rsidRPr="004E2AD9" w:rsidRDefault="004E2AD9" w:rsidP="004E2AD9">
      <w:pPr>
        <w:numPr>
          <w:ilvl w:val="0"/>
          <w:numId w:val="57"/>
        </w:numPr>
      </w:pPr>
      <w:r w:rsidRPr="004E2AD9">
        <w:rPr>
          <w:b/>
          <w:bCs/>
        </w:rPr>
        <w:t>Low Reimbursement Rates:</w:t>
      </w:r>
      <w:r w:rsidRPr="004E2AD9">
        <w:t xml:space="preserve"> A common issue across several states (e.g., California, Connecticut, New York) is that reimbursement rates are below the cost of providing services. To date, states have not received substantial reimbursement from Medicaid. </w:t>
      </w:r>
    </w:p>
    <w:p w14:paraId="42B07716" w14:textId="77777777" w:rsidR="004E2AD9" w:rsidRPr="004E2AD9" w:rsidRDefault="004E2AD9" w:rsidP="004E2AD9">
      <w:pPr>
        <w:numPr>
          <w:ilvl w:val="0"/>
          <w:numId w:val="57"/>
        </w:numPr>
      </w:pPr>
      <w:r w:rsidRPr="004E2AD9">
        <w:rPr>
          <w:b/>
          <w:bCs/>
        </w:rPr>
        <w:t>Complex Requirements:</w:t>
      </w:r>
      <w:r w:rsidRPr="004E2AD9">
        <w:t xml:space="preserve"> Illinois imposed significant mental health requirements, creating barriers for programs. </w:t>
      </w:r>
    </w:p>
    <w:p w14:paraId="06D55E23" w14:textId="77777777" w:rsidR="004E2AD9" w:rsidRPr="004E2AD9" w:rsidRDefault="004E2AD9" w:rsidP="004E2AD9">
      <w:pPr>
        <w:numPr>
          <w:ilvl w:val="0"/>
          <w:numId w:val="57"/>
        </w:numPr>
      </w:pPr>
      <w:r w:rsidRPr="004E2AD9">
        <w:rPr>
          <w:b/>
          <w:bCs/>
        </w:rPr>
        <w:t>Limited Eligibility Criteria:</w:t>
      </w:r>
      <w:r w:rsidRPr="004E2AD9">
        <w:t xml:space="preserve"> Connecticut restricted billing eligibility to hospital-affiliated programs, which excluded some community-based organizations.</w:t>
      </w:r>
    </w:p>
    <w:p w14:paraId="428921B5" w14:textId="77777777" w:rsidR="004E2AD9" w:rsidRPr="004E2AD9" w:rsidRDefault="004E2AD9" w:rsidP="004E2AD9">
      <w:pPr>
        <w:numPr>
          <w:ilvl w:val="0"/>
          <w:numId w:val="57"/>
        </w:numPr>
      </w:pPr>
      <w:r w:rsidRPr="004E2AD9">
        <w:rPr>
          <w:b/>
          <w:bCs/>
        </w:rPr>
        <w:t>Lack of Communication and Coordination:</w:t>
      </w:r>
      <w:r w:rsidRPr="004E2AD9">
        <w:t xml:space="preserve"> In New York, poor communication between the state health department and local departments has hindered program enrollment.</w:t>
      </w:r>
    </w:p>
    <w:p w14:paraId="4D186FA6" w14:textId="77777777" w:rsidR="004E2AD9" w:rsidRDefault="004E2AD9" w:rsidP="004E2AD9">
      <w:pPr>
        <w:rPr>
          <w:b/>
          <w:bCs/>
        </w:rPr>
      </w:pPr>
    </w:p>
    <w:p w14:paraId="033A1523" w14:textId="77777777" w:rsidR="004E2AD9" w:rsidRDefault="004E2AD9" w:rsidP="004E2AD9">
      <w:pPr>
        <w:rPr>
          <w:b/>
          <w:bCs/>
        </w:rPr>
      </w:pPr>
    </w:p>
    <w:p w14:paraId="318EFA3B" w14:textId="4C55C809" w:rsidR="004E2AD9" w:rsidRDefault="004E2AD9">
      <w:pPr>
        <w:rPr>
          <w:b/>
          <w:bCs/>
        </w:rPr>
      </w:pPr>
      <w:r>
        <w:rPr>
          <w:b/>
          <w:bCs/>
        </w:rPr>
        <w:br w:type="page"/>
      </w:r>
    </w:p>
    <w:p w14:paraId="09CD1051" w14:textId="31EC3C2D" w:rsidR="004E2AD9" w:rsidRDefault="004E2AD9" w:rsidP="004E2AD9">
      <w:r w:rsidRPr="00B93233">
        <w:t>Slid</w:t>
      </w:r>
      <w:r>
        <w:t>e 1</w:t>
      </w:r>
      <w:r>
        <w:t>5</w:t>
      </w:r>
    </w:p>
    <w:p w14:paraId="1AF7B2AB" w14:textId="03AEDCA7" w:rsidR="004E2AD9" w:rsidRPr="002544B0" w:rsidRDefault="004E2AD9" w:rsidP="004E2AD9">
      <w:pPr>
        <w:pStyle w:val="Heading2"/>
      </w:pPr>
      <w:r>
        <w:t>C</w:t>
      </w:r>
      <w:r>
        <w:t>ase St</w:t>
      </w:r>
      <w:r>
        <w:t>u</w:t>
      </w:r>
      <w:r>
        <w:t>dy Implementation Finding</w:t>
      </w:r>
      <w:r>
        <w:t>s</w:t>
      </w:r>
    </w:p>
    <w:p w14:paraId="2B8E094A" w14:textId="77777777" w:rsidR="004E2AD9" w:rsidRPr="007B6CCA" w:rsidRDefault="004E2AD9" w:rsidP="004E2AD9"/>
    <w:p w14:paraId="57091888" w14:textId="78AC58F6" w:rsidR="004E2AD9" w:rsidRDefault="004E2AD9" w:rsidP="004E2AD9">
      <w:pPr>
        <w:rPr>
          <w:b/>
          <w:bCs/>
        </w:rPr>
      </w:pPr>
      <w:r>
        <w:rPr>
          <w:b/>
          <w:bCs/>
        </w:rPr>
        <w:t xml:space="preserve">[SCREENSHOT OF RESEARCH ARTICLE LABELED NOT FOR DISTRIBUTION] </w:t>
      </w:r>
    </w:p>
    <w:p w14:paraId="1A94A30C" w14:textId="77777777" w:rsidR="004E2AD9" w:rsidRDefault="004E2AD9" w:rsidP="004E2AD9">
      <w:pPr>
        <w:rPr>
          <w:b/>
          <w:bCs/>
        </w:rPr>
      </w:pPr>
    </w:p>
    <w:p w14:paraId="4E9AFE4F" w14:textId="77777777" w:rsidR="004E2AD9" w:rsidRDefault="004E2AD9" w:rsidP="004E2AD9">
      <w:pPr>
        <w:rPr>
          <w:b/>
          <w:bCs/>
        </w:rPr>
      </w:pPr>
    </w:p>
    <w:p w14:paraId="1922F3B7" w14:textId="77777777" w:rsidR="000B0741" w:rsidRDefault="000B0741">
      <w:r>
        <w:br w:type="page"/>
      </w:r>
    </w:p>
    <w:p w14:paraId="2EBCDE44" w14:textId="62B371D5" w:rsidR="004E2AD9" w:rsidRDefault="004E2AD9" w:rsidP="004E2AD9">
      <w:r w:rsidRPr="00B93233">
        <w:t>Slid</w:t>
      </w:r>
      <w:r>
        <w:t>e 1</w:t>
      </w:r>
      <w:r>
        <w:t>6</w:t>
      </w:r>
    </w:p>
    <w:p w14:paraId="1EA7A6E1" w14:textId="77777777" w:rsidR="004E2AD9" w:rsidRPr="002544B0" w:rsidRDefault="004E2AD9" w:rsidP="004E2AD9">
      <w:pPr>
        <w:pStyle w:val="Heading2"/>
      </w:pPr>
      <w:r>
        <w:t>Case Study Implementation Findings</w:t>
      </w:r>
    </w:p>
    <w:p w14:paraId="20B9C6DA" w14:textId="77777777" w:rsidR="004E2AD9" w:rsidRPr="007B6CCA" w:rsidRDefault="004E2AD9" w:rsidP="004E2AD9"/>
    <w:p w14:paraId="120E6D1E" w14:textId="0DF6A853" w:rsidR="004E2AD9" w:rsidRPr="004E2AD9" w:rsidRDefault="004E2AD9" w:rsidP="004E2AD9">
      <w:pPr>
        <w:rPr>
          <w:b/>
          <w:bCs/>
        </w:rPr>
      </w:pPr>
      <w:r>
        <w:rPr>
          <w:b/>
          <w:bCs/>
        </w:rPr>
        <w:t xml:space="preserve">[SCREENSHOT OF </w:t>
      </w:r>
      <w:r>
        <w:rPr>
          <w:b/>
          <w:bCs/>
        </w:rPr>
        <w:t xml:space="preserve">TABLE </w:t>
      </w:r>
      <w:r>
        <w:rPr>
          <w:b/>
          <w:bCs/>
        </w:rPr>
        <w:t xml:space="preserve">LABELED NOT FOR DISTRIBUTION] </w:t>
      </w:r>
    </w:p>
    <w:p w14:paraId="46CC82A5" w14:textId="77777777" w:rsidR="004E2AD9" w:rsidRDefault="004E2AD9" w:rsidP="004E2AD9">
      <w:pPr>
        <w:rPr>
          <w:b/>
          <w:bCs/>
        </w:rPr>
      </w:pPr>
    </w:p>
    <w:p w14:paraId="77B7A036" w14:textId="77777777" w:rsidR="004E2AD9" w:rsidRDefault="004E2AD9" w:rsidP="004E2AD9">
      <w:pPr>
        <w:rPr>
          <w:b/>
          <w:bCs/>
        </w:rPr>
      </w:pPr>
    </w:p>
    <w:p w14:paraId="32FB031E" w14:textId="77777777" w:rsidR="000B0741" w:rsidRDefault="000B0741">
      <w:r>
        <w:br w:type="page"/>
      </w:r>
    </w:p>
    <w:p w14:paraId="2F678029" w14:textId="7B3ECAE7" w:rsidR="004E2AD9" w:rsidRDefault="004E2AD9" w:rsidP="004E2AD9">
      <w:r w:rsidRPr="00B93233">
        <w:t>Slid</w:t>
      </w:r>
      <w:r>
        <w:t>e 1</w:t>
      </w:r>
      <w:r>
        <w:t>7</w:t>
      </w:r>
    </w:p>
    <w:p w14:paraId="30AC69C1" w14:textId="1319B75E" w:rsidR="004E2AD9" w:rsidRPr="002544B0" w:rsidRDefault="004E2AD9" w:rsidP="004E2AD9">
      <w:pPr>
        <w:pStyle w:val="Heading2"/>
      </w:pPr>
      <w:r>
        <w:t xml:space="preserve">Key Takeaways for </w:t>
      </w:r>
      <w:r>
        <w:t>Implementation</w:t>
      </w:r>
    </w:p>
    <w:p w14:paraId="6161E82E" w14:textId="77777777" w:rsidR="004E2AD9" w:rsidRPr="007B6CCA" w:rsidRDefault="004E2AD9" w:rsidP="004E2AD9"/>
    <w:p w14:paraId="29802D39" w14:textId="77777777" w:rsidR="004E2AD9" w:rsidRPr="004E2AD9" w:rsidRDefault="004E2AD9" w:rsidP="004E2AD9">
      <w:pPr>
        <w:numPr>
          <w:ilvl w:val="0"/>
          <w:numId w:val="58"/>
        </w:numPr>
      </w:pPr>
      <w:r w:rsidRPr="004E2AD9">
        <w:t>Involve stakeholders during the benefit design process</w:t>
      </w:r>
    </w:p>
    <w:p w14:paraId="3553A4F8" w14:textId="77777777" w:rsidR="004E2AD9" w:rsidRPr="004E2AD9" w:rsidRDefault="004E2AD9" w:rsidP="004E2AD9">
      <w:pPr>
        <w:numPr>
          <w:ilvl w:val="0"/>
          <w:numId w:val="58"/>
        </w:numPr>
      </w:pPr>
      <w:r w:rsidRPr="004E2AD9">
        <w:t xml:space="preserve">Create a technical assistance fund to help programs develop their capacity for billing </w:t>
      </w:r>
    </w:p>
    <w:p w14:paraId="64EC9FF3" w14:textId="77777777" w:rsidR="004E2AD9" w:rsidRPr="004E2AD9" w:rsidRDefault="004E2AD9" w:rsidP="004E2AD9">
      <w:pPr>
        <w:numPr>
          <w:ilvl w:val="0"/>
          <w:numId w:val="58"/>
        </w:numPr>
      </w:pPr>
      <w:r w:rsidRPr="004E2AD9">
        <w:t>Ensure that reimbursement rates are adequate</w:t>
      </w:r>
    </w:p>
    <w:p w14:paraId="70AB6F2F" w14:textId="77777777" w:rsidR="004E2AD9" w:rsidRDefault="004E2AD9" w:rsidP="004E2AD9"/>
    <w:p w14:paraId="3B7A7031" w14:textId="77777777" w:rsidR="004E2AD9" w:rsidRDefault="004E2AD9" w:rsidP="004E2AD9"/>
    <w:p w14:paraId="5A0A259D" w14:textId="77777777" w:rsidR="004E2AD9" w:rsidRDefault="004E2AD9">
      <w:r>
        <w:br w:type="page"/>
      </w:r>
    </w:p>
    <w:p w14:paraId="04EFDAED" w14:textId="06CBF888" w:rsidR="004E2AD9" w:rsidRDefault="004E2AD9" w:rsidP="004E2AD9">
      <w:r w:rsidRPr="00B93233">
        <w:t>Slid</w:t>
      </w:r>
      <w:r>
        <w:t>e 1</w:t>
      </w:r>
      <w:r>
        <w:t>8</w:t>
      </w:r>
    </w:p>
    <w:p w14:paraId="3E401C22" w14:textId="77777777" w:rsidR="004E2AD9" w:rsidRPr="007B6CCA" w:rsidRDefault="004E2AD9" w:rsidP="004E2AD9"/>
    <w:p w14:paraId="2CBE04C8" w14:textId="77777777" w:rsidR="004E2AD9" w:rsidRPr="004E2AD9" w:rsidRDefault="004E2AD9" w:rsidP="004E2AD9">
      <w:r w:rsidRPr="004E2AD9">
        <w:rPr>
          <w:b/>
          <w:bCs/>
        </w:rPr>
        <w:t>Thank you!</w:t>
      </w:r>
    </w:p>
    <w:p w14:paraId="28E484ED" w14:textId="77777777" w:rsidR="004E2AD9" w:rsidRDefault="004E2AD9" w:rsidP="004E2AD9">
      <w:pPr>
        <w:rPr>
          <w:b/>
          <w:bCs/>
        </w:rPr>
      </w:pPr>
    </w:p>
    <w:p w14:paraId="10CA3DF5" w14:textId="5251D851" w:rsidR="004E2AD9" w:rsidRPr="004E2AD9" w:rsidRDefault="004E2AD9" w:rsidP="004E2AD9">
      <w:r w:rsidRPr="004E2AD9">
        <w:rPr>
          <w:b/>
          <w:bCs/>
        </w:rPr>
        <w:t>Questions?</w:t>
      </w:r>
      <w:r w:rsidRPr="004E2AD9">
        <w:rPr>
          <w:b/>
          <w:bCs/>
        </w:rPr>
        <w:br/>
        <w:t>KyleF@TheHAVI.org</w:t>
      </w:r>
    </w:p>
    <w:p w14:paraId="3C842CA7" w14:textId="1E7F272D" w:rsidR="004E2AD9" w:rsidRPr="004E2AD9" w:rsidRDefault="004E2AD9" w:rsidP="004E2AD9"/>
    <w:p w14:paraId="18F4DDDB" w14:textId="77777777" w:rsidR="004E2AD9" w:rsidRPr="004E2AD9" w:rsidRDefault="004E2AD9" w:rsidP="004E2AD9"/>
    <w:sectPr w:rsidR="004E2AD9" w:rsidRPr="004E2AD9" w:rsidSect="004E2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AA9"/>
    <w:multiLevelType w:val="hybridMultilevel"/>
    <w:tmpl w:val="2E12B5A0"/>
    <w:lvl w:ilvl="0" w:tplc="47E471BE">
      <w:start w:val="1"/>
      <w:numFmt w:val="bullet"/>
      <w:lvlText w:val="•"/>
      <w:lvlJc w:val="left"/>
      <w:pPr>
        <w:tabs>
          <w:tab w:val="num" w:pos="720"/>
        </w:tabs>
        <w:ind w:left="720" w:hanging="360"/>
      </w:pPr>
      <w:rPr>
        <w:rFonts w:ascii="Arial" w:hAnsi="Arial" w:hint="default"/>
      </w:rPr>
    </w:lvl>
    <w:lvl w:ilvl="1" w:tplc="FB82589A">
      <w:numFmt w:val="bullet"/>
      <w:lvlText w:val="•"/>
      <w:lvlJc w:val="left"/>
      <w:pPr>
        <w:tabs>
          <w:tab w:val="num" w:pos="1440"/>
        </w:tabs>
        <w:ind w:left="1440" w:hanging="360"/>
      </w:pPr>
      <w:rPr>
        <w:rFonts w:ascii="Arial" w:hAnsi="Arial" w:hint="default"/>
      </w:rPr>
    </w:lvl>
    <w:lvl w:ilvl="2" w:tplc="87A41F7A" w:tentative="1">
      <w:start w:val="1"/>
      <w:numFmt w:val="bullet"/>
      <w:lvlText w:val="•"/>
      <w:lvlJc w:val="left"/>
      <w:pPr>
        <w:tabs>
          <w:tab w:val="num" w:pos="2160"/>
        </w:tabs>
        <w:ind w:left="2160" w:hanging="360"/>
      </w:pPr>
      <w:rPr>
        <w:rFonts w:ascii="Arial" w:hAnsi="Arial" w:hint="default"/>
      </w:rPr>
    </w:lvl>
    <w:lvl w:ilvl="3" w:tplc="D5AA8BDA" w:tentative="1">
      <w:start w:val="1"/>
      <w:numFmt w:val="bullet"/>
      <w:lvlText w:val="•"/>
      <w:lvlJc w:val="left"/>
      <w:pPr>
        <w:tabs>
          <w:tab w:val="num" w:pos="2880"/>
        </w:tabs>
        <w:ind w:left="2880" w:hanging="360"/>
      </w:pPr>
      <w:rPr>
        <w:rFonts w:ascii="Arial" w:hAnsi="Arial" w:hint="default"/>
      </w:rPr>
    </w:lvl>
    <w:lvl w:ilvl="4" w:tplc="B03ED7D0" w:tentative="1">
      <w:start w:val="1"/>
      <w:numFmt w:val="bullet"/>
      <w:lvlText w:val="•"/>
      <w:lvlJc w:val="left"/>
      <w:pPr>
        <w:tabs>
          <w:tab w:val="num" w:pos="3600"/>
        </w:tabs>
        <w:ind w:left="3600" w:hanging="360"/>
      </w:pPr>
      <w:rPr>
        <w:rFonts w:ascii="Arial" w:hAnsi="Arial" w:hint="default"/>
      </w:rPr>
    </w:lvl>
    <w:lvl w:ilvl="5" w:tplc="D74C14D2" w:tentative="1">
      <w:start w:val="1"/>
      <w:numFmt w:val="bullet"/>
      <w:lvlText w:val="•"/>
      <w:lvlJc w:val="left"/>
      <w:pPr>
        <w:tabs>
          <w:tab w:val="num" w:pos="4320"/>
        </w:tabs>
        <w:ind w:left="4320" w:hanging="360"/>
      </w:pPr>
      <w:rPr>
        <w:rFonts w:ascii="Arial" w:hAnsi="Arial" w:hint="default"/>
      </w:rPr>
    </w:lvl>
    <w:lvl w:ilvl="6" w:tplc="39B09CBA" w:tentative="1">
      <w:start w:val="1"/>
      <w:numFmt w:val="bullet"/>
      <w:lvlText w:val="•"/>
      <w:lvlJc w:val="left"/>
      <w:pPr>
        <w:tabs>
          <w:tab w:val="num" w:pos="5040"/>
        </w:tabs>
        <w:ind w:left="5040" w:hanging="360"/>
      </w:pPr>
      <w:rPr>
        <w:rFonts w:ascii="Arial" w:hAnsi="Arial" w:hint="default"/>
      </w:rPr>
    </w:lvl>
    <w:lvl w:ilvl="7" w:tplc="1572F3E6" w:tentative="1">
      <w:start w:val="1"/>
      <w:numFmt w:val="bullet"/>
      <w:lvlText w:val="•"/>
      <w:lvlJc w:val="left"/>
      <w:pPr>
        <w:tabs>
          <w:tab w:val="num" w:pos="5760"/>
        </w:tabs>
        <w:ind w:left="5760" w:hanging="360"/>
      </w:pPr>
      <w:rPr>
        <w:rFonts w:ascii="Arial" w:hAnsi="Arial" w:hint="default"/>
      </w:rPr>
    </w:lvl>
    <w:lvl w:ilvl="8" w:tplc="48F676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D60A3"/>
    <w:multiLevelType w:val="hybridMultilevel"/>
    <w:tmpl w:val="0EFC1B56"/>
    <w:lvl w:ilvl="0" w:tplc="F850AE18">
      <w:start w:val="1"/>
      <w:numFmt w:val="bullet"/>
      <w:lvlText w:val="•"/>
      <w:lvlJc w:val="left"/>
      <w:pPr>
        <w:tabs>
          <w:tab w:val="num" w:pos="720"/>
        </w:tabs>
        <w:ind w:left="720" w:hanging="360"/>
      </w:pPr>
      <w:rPr>
        <w:rFonts w:ascii="Arial" w:hAnsi="Arial" w:hint="default"/>
      </w:rPr>
    </w:lvl>
    <w:lvl w:ilvl="1" w:tplc="3ABE0D8C" w:tentative="1">
      <w:start w:val="1"/>
      <w:numFmt w:val="bullet"/>
      <w:lvlText w:val="•"/>
      <w:lvlJc w:val="left"/>
      <w:pPr>
        <w:tabs>
          <w:tab w:val="num" w:pos="1440"/>
        </w:tabs>
        <w:ind w:left="1440" w:hanging="360"/>
      </w:pPr>
      <w:rPr>
        <w:rFonts w:ascii="Arial" w:hAnsi="Arial" w:hint="default"/>
      </w:rPr>
    </w:lvl>
    <w:lvl w:ilvl="2" w:tplc="EFA2BD32" w:tentative="1">
      <w:start w:val="1"/>
      <w:numFmt w:val="bullet"/>
      <w:lvlText w:val="•"/>
      <w:lvlJc w:val="left"/>
      <w:pPr>
        <w:tabs>
          <w:tab w:val="num" w:pos="2160"/>
        </w:tabs>
        <w:ind w:left="2160" w:hanging="360"/>
      </w:pPr>
      <w:rPr>
        <w:rFonts w:ascii="Arial" w:hAnsi="Arial" w:hint="default"/>
      </w:rPr>
    </w:lvl>
    <w:lvl w:ilvl="3" w:tplc="9D263A6A" w:tentative="1">
      <w:start w:val="1"/>
      <w:numFmt w:val="bullet"/>
      <w:lvlText w:val="•"/>
      <w:lvlJc w:val="left"/>
      <w:pPr>
        <w:tabs>
          <w:tab w:val="num" w:pos="2880"/>
        </w:tabs>
        <w:ind w:left="2880" w:hanging="360"/>
      </w:pPr>
      <w:rPr>
        <w:rFonts w:ascii="Arial" w:hAnsi="Arial" w:hint="default"/>
      </w:rPr>
    </w:lvl>
    <w:lvl w:ilvl="4" w:tplc="76FAE19A" w:tentative="1">
      <w:start w:val="1"/>
      <w:numFmt w:val="bullet"/>
      <w:lvlText w:val="•"/>
      <w:lvlJc w:val="left"/>
      <w:pPr>
        <w:tabs>
          <w:tab w:val="num" w:pos="3600"/>
        </w:tabs>
        <w:ind w:left="3600" w:hanging="360"/>
      </w:pPr>
      <w:rPr>
        <w:rFonts w:ascii="Arial" w:hAnsi="Arial" w:hint="default"/>
      </w:rPr>
    </w:lvl>
    <w:lvl w:ilvl="5" w:tplc="6B704266" w:tentative="1">
      <w:start w:val="1"/>
      <w:numFmt w:val="bullet"/>
      <w:lvlText w:val="•"/>
      <w:lvlJc w:val="left"/>
      <w:pPr>
        <w:tabs>
          <w:tab w:val="num" w:pos="4320"/>
        </w:tabs>
        <w:ind w:left="4320" w:hanging="360"/>
      </w:pPr>
      <w:rPr>
        <w:rFonts w:ascii="Arial" w:hAnsi="Arial" w:hint="default"/>
      </w:rPr>
    </w:lvl>
    <w:lvl w:ilvl="6" w:tplc="90F0DA1E" w:tentative="1">
      <w:start w:val="1"/>
      <w:numFmt w:val="bullet"/>
      <w:lvlText w:val="•"/>
      <w:lvlJc w:val="left"/>
      <w:pPr>
        <w:tabs>
          <w:tab w:val="num" w:pos="5040"/>
        </w:tabs>
        <w:ind w:left="5040" w:hanging="360"/>
      </w:pPr>
      <w:rPr>
        <w:rFonts w:ascii="Arial" w:hAnsi="Arial" w:hint="default"/>
      </w:rPr>
    </w:lvl>
    <w:lvl w:ilvl="7" w:tplc="6AF0DEBA" w:tentative="1">
      <w:start w:val="1"/>
      <w:numFmt w:val="bullet"/>
      <w:lvlText w:val="•"/>
      <w:lvlJc w:val="left"/>
      <w:pPr>
        <w:tabs>
          <w:tab w:val="num" w:pos="5760"/>
        </w:tabs>
        <w:ind w:left="5760" w:hanging="360"/>
      </w:pPr>
      <w:rPr>
        <w:rFonts w:ascii="Arial" w:hAnsi="Arial" w:hint="default"/>
      </w:rPr>
    </w:lvl>
    <w:lvl w:ilvl="8" w:tplc="46A830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4"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5"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D2E6094"/>
    <w:multiLevelType w:val="hybridMultilevel"/>
    <w:tmpl w:val="A074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9"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10"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11"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2"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6"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21"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3"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6"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36"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46"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48"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50" w15:restartNumberingAfterBreak="0">
    <w:nsid w:val="621C2A34"/>
    <w:multiLevelType w:val="hybridMultilevel"/>
    <w:tmpl w:val="7F5C7AFC"/>
    <w:lvl w:ilvl="0" w:tplc="7B8AE6E4">
      <w:start w:val="1"/>
      <w:numFmt w:val="bullet"/>
      <w:lvlText w:val="•"/>
      <w:lvlJc w:val="left"/>
      <w:pPr>
        <w:tabs>
          <w:tab w:val="num" w:pos="720"/>
        </w:tabs>
        <w:ind w:left="720" w:hanging="360"/>
      </w:pPr>
      <w:rPr>
        <w:rFonts w:ascii="Arial" w:hAnsi="Arial" w:hint="default"/>
      </w:rPr>
    </w:lvl>
    <w:lvl w:ilvl="1" w:tplc="3C003598" w:tentative="1">
      <w:start w:val="1"/>
      <w:numFmt w:val="bullet"/>
      <w:lvlText w:val="•"/>
      <w:lvlJc w:val="left"/>
      <w:pPr>
        <w:tabs>
          <w:tab w:val="num" w:pos="1440"/>
        </w:tabs>
        <w:ind w:left="1440" w:hanging="360"/>
      </w:pPr>
      <w:rPr>
        <w:rFonts w:ascii="Arial" w:hAnsi="Arial" w:hint="default"/>
      </w:rPr>
    </w:lvl>
    <w:lvl w:ilvl="2" w:tplc="8244CAF0" w:tentative="1">
      <w:start w:val="1"/>
      <w:numFmt w:val="bullet"/>
      <w:lvlText w:val="•"/>
      <w:lvlJc w:val="left"/>
      <w:pPr>
        <w:tabs>
          <w:tab w:val="num" w:pos="2160"/>
        </w:tabs>
        <w:ind w:left="2160" w:hanging="360"/>
      </w:pPr>
      <w:rPr>
        <w:rFonts w:ascii="Arial" w:hAnsi="Arial" w:hint="default"/>
      </w:rPr>
    </w:lvl>
    <w:lvl w:ilvl="3" w:tplc="CD549FB6" w:tentative="1">
      <w:start w:val="1"/>
      <w:numFmt w:val="bullet"/>
      <w:lvlText w:val="•"/>
      <w:lvlJc w:val="left"/>
      <w:pPr>
        <w:tabs>
          <w:tab w:val="num" w:pos="2880"/>
        </w:tabs>
        <w:ind w:left="2880" w:hanging="360"/>
      </w:pPr>
      <w:rPr>
        <w:rFonts w:ascii="Arial" w:hAnsi="Arial" w:hint="default"/>
      </w:rPr>
    </w:lvl>
    <w:lvl w:ilvl="4" w:tplc="A56CAD76" w:tentative="1">
      <w:start w:val="1"/>
      <w:numFmt w:val="bullet"/>
      <w:lvlText w:val="•"/>
      <w:lvlJc w:val="left"/>
      <w:pPr>
        <w:tabs>
          <w:tab w:val="num" w:pos="3600"/>
        </w:tabs>
        <w:ind w:left="3600" w:hanging="360"/>
      </w:pPr>
      <w:rPr>
        <w:rFonts w:ascii="Arial" w:hAnsi="Arial" w:hint="default"/>
      </w:rPr>
    </w:lvl>
    <w:lvl w:ilvl="5" w:tplc="FBE2C354" w:tentative="1">
      <w:start w:val="1"/>
      <w:numFmt w:val="bullet"/>
      <w:lvlText w:val="•"/>
      <w:lvlJc w:val="left"/>
      <w:pPr>
        <w:tabs>
          <w:tab w:val="num" w:pos="4320"/>
        </w:tabs>
        <w:ind w:left="4320" w:hanging="360"/>
      </w:pPr>
      <w:rPr>
        <w:rFonts w:ascii="Arial" w:hAnsi="Arial" w:hint="default"/>
      </w:rPr>
    </w:lvl>
    <w:lvl w:ilvl="6" w:tplc="1DCCA11A" w:tentative="1">
      <w:start w:val="1"/>
      <w:numFmt w:val="bullet"/>
      <w:lvlText w:val="•"/>
      <w:lvlJc w:val="left"/>
      <w:pPr>
        <w:tabs>
          <w:tab w:val="num" w:pos="5040"/>
        </w:tabs>
        <w:ind w:left="5040" w:hanging="360"/>
      </w:pPr>
      <w:rPr>
        <w:rFonts w:ascii="Arial" w:hAnsi="Arial" w:hint="default"/>
      </w:rPr>
    </w:lvl>
    <w:lvl w:ilvl="7" w:tplc="E354B8CA" w:tentative="1">
      <w:start w:val="1"/>
      <w:numFmt w:val="bullet"/>
      <w:lvlText w:val="•"/>
      <w:lvlJc w:val="left"/>
      <w:pPr>
        <w:tabs>
          <w:tab w:val="num" w:pos="5760"/>
        </w:tabs>
        <w:ind w:left="5760" w:hanging="360"/>
      </w:pPr>
      <w:rPr>
        <w:rFonts w:ascii="Arial" w:hAnsi="Arial" w:hint="default"/>
      </w:rPr>
    </w:lvl>
    <w:lvl w:ilvl="8" w:tplc="C68A18F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AC55632"/>
    <w:multiLevelType w:val="hybridMultilevel"/>
    <w:tmpl w:val="28629070"/>
    <w:lvl w:ilvl="0" w:tplc="C546A80C">
      <w:start w:val="1"/>
      <w:numFmt w:val="bullet"/>
      <w:lvlText w:val="•"/>
      <w:lvlJc w:val="left"/>
      <w:pPr>
        <w:tabs>
          <w:tab w:val="num" w:pos="720"/>
        </w:tabs>
        <w:ind w:left="720" w:hanging="360"/>
      </w:pPr>
      <w:rPr>
        <w:rFonts w:ascii="Arial" w:hAnsi="Arial" w:hint="default"/>
      </w:rPr>
    </w:lvl>
    <w:lvl w:ilvl="1" w:tplc="64EC1F6A" w:tentative="1">
      <w:start w:val="1"/>
      <w:numFmt w:val="bullet"/>
      <w:lvlText w:val="•"/>
      <w:lvlJc w:val="left"/>
      <w:pPr>
        <w:tabs>
          <w:tab w:val="num" w:pos="1440"/>
        </w:tabs>
        <w:ind w:left="1440" w:hanging="360"/>
      </w:pPr>
      <w:rPr>
        <w:rFonts w:ascii="Arial" w:hAnsi="Arial" w:hint="default"/>
      </w:rPr>
    </w:lvl>
    <w:lvl w:ilvl="2" w:tplc="AD22A7D0" w:tentative="1">
      <w:start w:val="1"/>
      <w:numFmt w:val="bullet"/>
      <w:lvlText w:val="•"/>
      <w:lvlJc w:val="left"/>
      <w:pPr>
        <w:tabs>
          <w:tab w:val="num" w:pos="2160"/>
        </w:tabs>
        <w:ind w:left="2160" w:hanging="360"/>
      </w:pPr>
      <w:rPr>
        <w:rFonts w:ascii="Arial" w:hAnsi="Arial" w:hint="default"/>
      </w:rPr>
    </w:lvl>
    <w:lvl w:ilvl="3" w:tplc="43742148" w:tentative="1">
      <w:start w:val="1"/>
      <w:numFmt w:val="bullet"/>
      <w:lvlText w:val="•"/>
      <w:lvlJc w:val="left"/>
      <w:pPr>
        <w:tabs>
          <w:tab w:val="num" w:pos="2880"/>
        </w:tabs>
        <w:ind w:left="2880" w:hanging="360"/>
      </w:pPr>
      <w:rPr>
        <w:rFonts w:ascii="Arial" w:hAnsi="Arial" w:hint="default"/>
      </w:rPr>
    </w:lvl>
    <w:lvl w:ilvl="4" w:tplc="29E817A6" w:tentative="1">
      <w:start w:val="1"/>
      <w:numFmt w:val="bullet"/>
      <w:lvlText w:val="•"/>
      <w:lvlJc w:val="left"/>
      <w:pPr>
        <w:tabs>
          <w:tab w:val="num" w:pos="3600"/>
        </w:tabs>
        <w:ind w:left="3600" w:hanging="360"/>
      </w:pPr>
      <w:rPr>
        <w:rFonts w:ascii="Arial" w:hAnsi="Arial" w:hint="default"/>
      </w:rPr>
    </w:lvl>
    <w:lvl w:ilvl="5" w:tplc="9A5C3A46" w:tentative="1">
      <w:start w:val="1"/>
      <w:numFmt w:val="bullet"/>
      <w:lvlText w:val="•"/>
      <w:lvlJc w:val="left"/>
      <w:pPr>
        <w:tabs>
          <w:tab w:val="num" w:pos="4320"/>
        </w:tabs>
        <w:ind w:left="4320" w:hanging="360"/>
      </w:pPr>
      <w:rPr>
        <w:rFonts w:ascii="Arial" w:hAnsi="Arial" w:hint="default"/>
      </w:rPr>
    </w:lvl>
    <w:lvl w:ilvl="6" w:tplc="DD38424E" w:tentative="1">
      <w:start w:val="1"/>
      <w:numFmt w:val="bullet"/>
      <w:lvlText w:val="•"/>
      <w:lvlJc w:val="left"/>
      <w:pPr>
        <w:tabs>
          <w:tab w:val="num" w:pos="5040"/>
        </w:tabs>
        <w:ind w:left="5040" w:hanging="360"/>
      </w:pPr>
      <w:rPr>
        <w:rFonts w:ascii="Arial" w:hAnsi="Arial" w:hint="default"/>
      </w:rPr>
    </w:lvl>
    <w:lvl w:ilvl="7" w:tplc="2E0248C4" w:tentative="1">
      <w:start w:val="1"/>
      <w:numFmt w:val="bullet"/>
      <w:lvlText w:val="•"/>
      <w:lvlJc w:val="left"/>
      <w:pPr>
        <w:tabs>
          <w:tab w:val="num" w:pos="5760"/>
        </w:tabs>
        <w:ind w:left="5760" w:hanging="360"/>
      </w:pPr>
      <w:rPr>
        <w:rFonts w:ascii="Arial" w:hAnsi="Arial" w:hint="default"/>
      </w:rPr>
    </w:lvl>
    <w:lvl w:ilvl="8" w:tplc="D7E86A7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57"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5"/>
  </w:num>
  <w:num w:numId="2" w16cid:durableId="137769343">
    <w:abstractNumId w:val="17"/>
  </w:num>
  <w:num w:numId="3" w16cid:durableId="1856646806">
    <w:abstractNumId w:val="26"/>
  </w:num>
  <w:num w:numId="4" w16cid:durableId="1912620646">
    <w:abstractNumId w:val="38"/>
  </w:num>
  <w:num w:numId="5" w16cid:durableId="193740200">
    <w:abstractNumId w:val="32"/>
  </w:num>
  <w:num w:numId="6" w16cid:durableId="1657416401">
    <w:abstractNumId w:val="44"/>
  </w:num>
  <w:num w:numId="7" w16cid:durableId="1739473480">
    <w:abstractNumId w:val="14"/>
  </w:num>
  <w:num w:numId="8" w16cid:durableId="1865745443">
    <w:abstractNumId w:val="18"/>
  </w:num>
  <w:num w:numId="9" w16cid:durableId="1927808265">
    <w:abstractNumId w:val="23"/>
  </w:num>
  <w:num w:numId="10" w16cid:durableId="798230040">
    <w:abstractNumId w:val="19"/>
  </w:num>
  <w:num w:numId="11" w16cid:durableId="616059253">
    <w:abstractNumId w:val="24"/>
  </w:num>
  <w:num w:numId="12" w16cid:durableId="1153133639">
    <w:abstractNumId w:val="33"/>
  </w:num>
  <w:num w:numId="13" w16cid:durableId="1023895284">
    <w:abstractNumId w:val="6"/>
  </w:num>
  <w:num w:numId="14" w16cid:durableId="1717118984">
    <w:abstractNumId w:val="29"/>
  </w:num>
  <w:num w:numId="15" w16cid:durableId="247156980">
    <w:abstractNumId w:val="9"/>
  </w:num>
  <w:num w:numId="16" w16cid:durableId="1851525081">
    <w:abstractNumId w:val="49"/>
  </w:num>
  <w:num w:numId="17" w16cid:durableId="1143547275">
    <w:abstractNumId w:val="13"/>
  </w:num>
  <w:num w:numId="18" w16cid:durableId="569272913">
    <w:abstractNumId w:val="20"/>
  </w:num>
  <w:num w:numId="19" w16cid:durableId="1049299354">
    <w:abstractNumId w:val="57"/>
  </w:num>
  <w:num w:numId="20" w16cid:durableId="2053648644">
    <w:abstractNumId w:val="30"/>
  </w:num>
  <w:num w:numId="21" w16cid:durableId="1412580554">
    <w:abstractNumId w:val="43"/>
  </w:num>
  <w:num w:numId="22" w16cid:durableId="1897278164">
    <w:abstractNumId w:val="27"/>
  </w:num>
  <w:num w:numId="23" w16cid:durableId="1149400780">
    <w:abstractNumId w:val="21"/>
  </w:num>
  <w:num w:numId="24" w16cid:durableId="1415393041">
    <w:abstractNumId w:val="54"/>
  </w:num>
  <w:num w:numId="25" w16cid:durableId="283393495">
    <w:abstractNumId w:val="56"/>
  </w:num>
  <w:num w:numId="26" w16cid:durableId="921793803">
    <w:abstractNumId w:val="31"/>
  </w:num>
  <w:num w:numId="27" w16cid:durableId="475411686">
    <w:abstractNumId w:val="34"/>
  </w:num>
  <w:num w:numId="28" w16cid:durableId="868953732">
    <w:abstractNumId w:val="42"/>
  </w:num>
  <w:num w:numId="29" w16cid:durableId="718019494">
    <w:abstractNumId w:val="2"/>
  </w:num>
  <w:num w:numId="30" w16cid:durableId="637614326">
    <w:abstractNumId w:val="4"/>
  </w:num>
  <w:num w:numId="31" w16cid:durableId="1572426260">
    <w:abstractNumId w:val="37"/>
  </w:num>
  <w:num w:numId="32" w16cid:durableId="77992166">
    <w:abstractNumId w:val="16"/>
  </w:num>
  <w:num w:numId="33" w16cid:durableId="114177750">
    <w:abstractNumId w:val="3"/>
  </w:num>
  <w:num w:numId="34" w16cid:durableId="1098060081">
    <w:abstractNumId w:val="35"/>
  </w:num>
  <w:num w:numId="35" w16cid:durableId="1703240681">
    <w:abstractNumId w:val="28"/>
  </w:num>
  <w:num w:numId="36" w16cid:durableId="1807161785">
    <w:abstractNumId w:val="8"/>
  </w:num>
  <w:num w:numId="37" w16cid:durableId="842938580">
    <w:abstractNumId w:val="39"/>
  </w:num>
  <w:num w:numId="38" w16cid:durableId="1546481650">
    <w:abstractNumId w:val="46"/>
  </w:num>
  <w:num w:numId="39" w16cid:durableId="1583373031">
    <w:abstractNumId w:val="48"/>
  </w:num>
  <w:num w:numId="40" w16cid:durableId="75131362">
    <w:abstractNumId w:val="36"/>
  </w:num>
  <w:num w:numId="41" w16cid:durableId="737364539">
    <w:abstractNumId w:val="41"/>
  </w:num>
  <w:num w:numId="42" w16cid:durableId="2038575247">
    <w:abstractNumId w:val="12"/>
  </w:num>
  <w:num w:numId="43" w16cid:durableId="463279068">
    <w:abstractNumId w:val="55"/>
  </w:num>
  <w:num w:numId="44" w16cid:durableId="31462249">
    <w:abstractNumId w:val="53"/>
  </w:num>
  <w:num w:numId="45" w16cid:durableId="1787919443">
    <w:abstractNumId w:val="51"/>
  </w:num>
  <w:num w:numId="46" w16cid:durableId="147020111">
    <w:abstractNumId w:val="40"/>
  </w:num>
  <w:num w:numId="47" w16cid:durableId="2135050976">
    <w:abstractNumId w:val="5"/>
  </w:num>
  <w:num w:numId="48" w16cid:durableId="1223254822">
    <w:abstractNumId w:val="22"/>
  </w:num>
  <w:num w:numId="49" w16cid:durableId="434130816">
    <w:abstractNumId w:val="47"/>
  </w:num>
  <w:num w:numId="50" w16cid:durableId="1900286568">
    <w:abstractNumId w:val="10"/>
  </w:num>
  <w:num w:numId="51" w16cid:durableId="2078046558">
    <w:abstractNumId w:val="25"/>
  </w:num>
  <w:num w:numId="52" w16cid:durableId="1190683833">
    <w:abstractNumId w:val="45"/>
  </w:num>
  <w:num w:numId="53" w16cid:durableId="1875649843">
    <w:abstractNumId w:val="11"/>
  </w:num>
  <w:num w:numId="54" w16cid:durableId="1912615492">
    <w:abstractNumId w:val="7"/>
  </w:num>
  <w:num w:numId="55" w16cid:durableId="2007704604">
    <w:abstractNumId w:val="0"/>
  </w:num>
  <w:num w:numId="56" w16cid:durableId="1570849913">
    <w:abstractNumId w:val="50"/>
  </w:num>
  <w:num w:numId="57" w16cid:durableId="1766345506">
    <w:abstractNumId w:val="1"/>
  </w:num>
  <w:num w:numId="58" w16cid:durableId="821889169">
    <w:abstractNumId w:val="5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0837C9"/>
    <w:rsid w:val="000B0741"/>
    <w:rsid w:val="001264B3"/>
    <w:rsid w:val="00130192"/>
    <w:rsid w:val="00177D44"/>
    <w:rsid w:val="001D3E09"/>
    <w:rsid w:val="001F4144"/>
    <w:rsid w:val="002014F3"/>
    <w:rsid w:val="002207C7"/>
    <w:rsid w:val="00231356"/>
    <w:rsid w:val="0024152E"/>
    <w:rsid w:val="00246547"/>
    <w:rsid w:val="002544B0"/>
    <w:rsid w:val="002604A4"/>
    <w:rsid w:val="002823E6"/>
    <w:rsid w:val="002B7D99"/>
    <w:rsid w:val="002C620C"/>
    <w:rsid w:val="002E61E3"/>
    <w:rsid w:val="003069F9"/>
    <w:rsid w:val="0031623E"/>
    <w:rsid w:val="0032612A"/>
    <w:rsid w:val="00334E43"/>
    <w:rsid w:val="003538AD"/>
    <w:rsid w:val="00393C79"/>
    <w:rsid w:val="00394C71"/>
    <w:rsid w:val="00420B74"/>
    <w:rsid w:val="0042258B"/>
    <w:rsid w:val="004D0323"/>
    <w:rsid w:val="004E2AD9"/>
    <w:rsid w:val="00520FA5"/>
    <w:rsid w:val="005257BF"/>
    <w:rsid w:val="005A0D34"/>
    <w:rsid w:val="005F0E38"/>
    <w:rsid w:val="00602E70"/>
    <w:rsid w:val="00611123"/>
    <w:rsid w:val="00614076"/>
    <w:rsid w:val="00647CF6"/>
    <w:rsid w:val="00676B78"/>
    <w:rsid w:val="006864D9"/>
    <w:rsid w:val="006A7B0B"/>
    <w:rsid w:val="006C25CE"/>
    <w:rsid w:val="006F374A"/>
    <w:rsid w:val="00704409"/>
    <w:rsid w:val="00707E22"/>
    <w:rsid w:val="00710530"/>
    <w:rsid w:val="00750936"/>
    <w:rsid w:val="007636A5"/>
    <w:rsid w:val="007B6CCA"/>
    <w:rsid w:val="00836B8C"/>
    <w:rsid w:val="00885CA1"/>
    <w:rsid w:val="00892C07"/>
    <w:rsid w:val="008938C6"/>
    <w:rsid w:val="00896BA7"/>
    <w:rsid w:val="008C7C83"/>
    <w:rsid w:val="008E7424"/>
    <w:rsid w:val="00920C67"/>
    <w:rsid w:val="00922477"/>
    <w:rsid w:val="009932A8"/>
    <w:rsid w:val="00995BBE"/>
    <w:rsid w:val="009B390B"/>
    <w:rsid w:val="009C22EC"/>
    <w:rsid w:val="009E3485"/>
    <w:rsid w:val="00A14324"/>
    <w:rsid w:val="00AF40E0"/>
    <w:rsid w:val="00AF4867"/>
    <w:rsid w:val="00B13739"/>
    <w:rsid w:val="00B713F3"/>
    <w:rsid w:val="00B81F1A"/>
    <w:rsid w:val="00B92012"/>
    <w:rsid w:val="00B93233"/>
    <w:rsid w:val="00BA6A2C"/>
    <w:rsid w:val="00BB1A20"/>
    <w:rsid w:val="00BB61CE"/>
    <w:rsid w:val="00BC3FC7"/>
    <w:rsid w:val="00BF2FEF"/>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7767"/>
    <w:rsid w:val="00D861E5"/>
    <w:rsid w:val="00DC7117"/>
    <w:rsid w:val="00DE3863"/>
    <w:rsid w:val="00DE38BC"/>
    <w:rsid w:val="00DE55F9"/>
    <w:rsid w:val="00DF004E"/>
    <w:rsid w:val="00DF3247"/>
    <w:rsid w:val="00E25C53"/>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15291121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5359531">
      <w:bodyDiv w:val="1"/>
      <w:marLeft w:val="0"/>
      <w:marRight w:val="0"/>
      <w:marTop w:val="0"/>
      <w:marBottom w:val="0"/>
      <w:divBdr>
        <w:top w:val="none" w:sz="0" w:space="0" w:color="auto"/>
        <w:left w:val="none" w:sz="0" w:space="0" w:color="auto"/>
        <w:bottom w:val="none" w:sz="0" w:space="0" w:color="auto"/>
        <w:right w:val="none" w:sz="0" w:space="0" w:color="auto"/>
      </w:divBdr>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686831637">
      <w:bodyDiv w:val="1"/>
      <w:marLeft w:val="0"/>
      <w:marRight w:val="0"/>
      <w:marTop w:val="0"/>
      <w:marBottom w:val="0"/>
      <w:divBdr>
        <w:top w:val="none" w:sz="0" w:space="0" w:color="auto"/>
        <w:left w:val="none" w:sz="0" w:space="0" w:color="auto"/>
        <w:bottom w:val="none" w:sz="0" w:space="0" w:color="auto"/>
        <w:right w:val="none" w:sz="0" w:space="0" w:color="auto"/>
      </w:divBdr>
      <w:divsChild>
        <w:div w:id="886650791">
          <w:marLeft w:val="547"/>
          <w:marRight w:val="0"/>
          <w:marTop w:val="0"/>
          <w:marBottom w:val="0"/>
          <w:divBdr>
            <w:top w:val="none" w:sz="0" w:space="0" w:color="auto"/>
            <w:left w:val="none" w:sz="0" w:space="0" w:color="auto"/>
            <w:bottom w:val="none" w:sz="0" w:space="0" w:color="auto"/>
            <w:right w:val="none" w:sz="0" w:space="0" w:color="auto"/>
          </w:divBdr>
        </w:div>
        <w:div w:id="524906335">
          <w:marLeft w:val="547"/>
          <w:marRight w:val="0"/>
          <w:marTop w:val="0"/>
          <w:marBottom w:val="0"/>
          <w:divBdr>
            <w:top w:val="none" w:sz="0" w:space="0" w:color="auto"/>
            <w:left w:val="none" w:sz="0" w:space="0" w:color="auto"/>
            <w:bottom w:val="none" w:sz="0" w:space="0" w:color="auto"/>
            <w:right w:val="none" w:sz="0" w:space="0" w:color="auto"/>
          </w:divBdr>
        </w:div>
        <w:div w:id="2100252842">
          <w:marLeft w:val="547"/>
          <w:marRight w:val="0"/>
          <w:marTop w:val="0"/>
          <w:marBottom w:val="0"/>
          <w:divBdr>
            <w:top w:val="none" w:sz="0" w:space="0" w:color="auto"/>
            <w:left w:val="none" w:sz="0" w:space="0" w:color="auto"/>
            <w:bottom w:val="none" w:sz="0" w:space="0" w:color="auto"/>
            <w:right w:val="none" w:sz="0" w:space="0" w:color="auto"/>
          </w:divBdr>
        </w:div>
        <w:div w:id="395666645">
          <w:marLeft w:val="1267"/>
          <w:marRight w:val="0"/>
          <w:marTop w:val="0"/>
          <w:marBottom w:val="0"/>
          <w:divBdr>
            <w:top w:val="none" w:sz="0" w:space="0" w:color="auto"/>
            <w:left w:val="none" w:sz="0" w:space="0" w:color="auto"/>
            <w:bottom w:val="none" w:sz="0" w:space="0" w:color="auto"/>
            <w:right w:val="none" w:sz="0" w:space="0" w:color="auto"/>
          </w:divBdr>
        </w:div>
        <w:div w:id="587889727">
          <w:marLeft w:val="1267"/>
          <w:marRight w:val="0"/>
          <w:marTop w:val="0"/>
          <w:marBottom w:val="0"/>
          <w:divBdr>
            <w:top w:val="none" w:sz="0" w:space="0" w:color="auto"/>
            <w:left w:val="none" w:sz="0" w:space="0" w:color="auto"/>
            <w:bottom w:val="none" w:sz="0" w:space="0" w:color="auto"/>
            <w:right w:val="none" w:sz="0" w:space="0" w:color="auto"/>
          </w:divBdr>
        </w:div>
      </w:divsChild>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893006222">
      <w:bodyDiv w:val="1"/>
      <w:marLeft w:val="0"/>
      <w:marRight w:val="0"/>
      <w:marTop w:val="0"/>
      <w:marBottom w:val="0"/>
      <w:divBdr>
        <w:top w:val="none" w:sz="0" w:space="0" w:color="auto"/>
        <w:left w:val="none" w:sz="0" w:space="0" w:color="auto"/>
        <w:bottom w:val="none" w:sz="0" w:space="0" w:color="auto"/>
        <w:right w:val="none" w:sz="0" w:space="0" w:color="auto"/>
      </w:divBdr>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66132245">
      <w:bodyDiv w:val="1"/>
      <w:marLeft w:val="0"/>
      <w:marRight w:val="0"/>
      <w:marTop w:val="0"/>
      <w:marBottom w:val="0"/>
      <w:divBdr>
        <w:top w:val="none" w:sz="0" w:space="0" w:color="auto"/>
        <w:left w:val="none" w:sz="0" w:space="0" w:color="auto"/>
        <w:bottom w:val="none" w:sz="0" w:space="0" w:color="auto"/>
        <w:right w:val="none" w:sz="0" w:space="0" w:color="auto"/>
      </w:divBdr>
      <w:divsChild>
        <w:div w:id="1584142877">
          <w:marLeft w:val="1210"/>
          <w:marRight w:val="0"/>
          <w:marTop w:val="120"/>
          <w:marBottom w:val="120"/>
          <w:divBdr>
            <w:top w:val="none" w:sz="0" w:space="0" w:color="auto"/>
            <w:left w:val="none" w:sz="0" w:space="0" w:color="auto"/>
            <w:bottom w:val="none" w:sz="0" w:space="0" w:color="auto"/>
            <w:right w:val="none" w:sz="0" w:space="0" w:color="auto"/>
          </w:divBdr>
        </w:div>
        <w:div w:id="490292268">
          <w:marLeft w:val="1210"/>
          <w:marRight w:val="0"/>
          <w:marTop w:val="120"/>
          <w:marBottom w:val="120"/>
          <w:divBdr>
            <w:top w:val="none" w:sz="0" w:space="0" w:color="auto"/>
            <w:left w:val="none" w:sz="0" w:space="0" w:color="auto"/>
            <w:bottom w:val="none" w:sz="0" w:space="0" w:color="auto"/>
            <w:right w:val="none" w:sz="0" w:space="0" w:color="auto"/>
          </w:divBdr>
        </w:div>
        <w:div w:id="622151859">
          <w:marLeft w:val="1210"/>
          <w:marRight w:val="0"/>
          <w:marTop w:val="120"/>
          <w:marBottom w:val="120"/>
          <w:divBdr>
            <w:top w:val="none" w:sz="0" w:space="0" w:color="auto"/>
            <w:left w:val="none" w:sz="0" w:space="0" w:color="auto"/>
            <w:bottom w:val="none" w:sz="0" w:space="0" w:color="auto"/>
            <w:right w:val="none" w:sz="0" w:space="0" w:color="auto"/>
          </w:divBdr>
        </w:div>
        <w:div w:id="1646812735">
          <w:marLeft w:val="1210"/>
          <w:marRight w:val="0"/>
          <w:marTop w:val="120"/>
          <w:marBottom w:val="12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19747220">
      <w:bodyDiv w:val="1"/>
      <w:marLeft w:val="0"/>
      <w:marRight w:val="0"/>
      <w:marTop w:val="0"/>
      <w:marBottom w:val="0"/>
      <w:divBdr>
        <w:top w:val="none" w:sz="0" w:space="0" w:color="auto"/>
        <w:left w:val="none" w:sz="0" w:space="0" w:color="auto"/>
        <w:bottom w:val="none" w:sz="0" w:space="0" w:color="auto"/>
        <w:right w:val="none" w:sz="0" w:space="0" w:color="auto"/>
      </w:divBdr>
      <w:divsChild>
        <w:div w:id="204684170">
          <w:marLeft w:val="1210"/>
          <w:marRight w:val="0"/>
          <w:marTop w:val="120"/>
          <w:marBottom w:val="120"/>
          <w:divBdr>
            <w:top w:val="none" w:sz="0" w:space="0" w:color="auto"/>
            <w:left w:val="none" w:sz="0" w:space="0" w:color="auto"/>
            <w:bottom w:val="none" w:sz="0" w:space="0" w:color="auto"/>
            <w:right w:val="none" w:sz="0" w:space="0" w:color="auto"/>
          </w:divBdr>
        </w:div>
        <w:div w:id="1569073993">
          <w:marLeft w:val="1210"/>
          <w:marRight w:val="0"/>
          <w:marTop w:val="120"/>
          <w:marBottom w:val="120"/>
          <w:divBdr>
            <w:top w:val="none" w:sz="0" w:space="0" w:color="auto"/>
            <w:left w:val="none" w:sz="0" w:space="0" w:color="auto"/>
            <w:bottom w:val="none" w:sz="0" w:space="0" w:color="auto"/>
            <w:right w:val="none" w:sz="0" w:space="0" w:color="auto"/>
          </w:divBdr>
        </w:div>
        <w:div w:id="159349928">
          <w:marLeft w:val="1210"/>
          <w:marRight w:val="0"/>
          <w:marTop w:val="120"/>
          <w:marBottom w:val="120"/>
          <w:divBdr>
            <w:top w:val="none" w:sz="0" w:space="0" w:color="auto"/>
            <w:left w:val="none" w:sz="0" w:space="0" w:color="auto"/>
            <w:bottom w:val="none" w:sz="0" w:space="0" w:color="auto"/>
            <w:right w:val="none" w:sz="0" w:space="0" w:color="auto"/>
          </w:divBdr>
        </w:div>
        <w:div w:id="1917745053">
          <w:marLeft w:val="1210"/>
          <w:marRight w:val="0"/>
          <w:marTop w:val="120"/>
          <w:marBottom w:val="120"/>
          <w:divBdr>
            <w:top w:val="none" w:sz="0" w:space="0" w:color="auto"/>
            <w:left w:val="none" w:sz="0" w:space="0" w:color="auto"/>
            <w:bottom w:val="none" w:sz="0" w:space="0" w:color="auto"/>
            <w:right w:val="none" w:sz="0" w:space="0" w:color="auto"/>
          </w:divBdr>
        </w:div>
      </w:divsChild>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24089034">
      <w:bodyDiv w:val="1"/>
      <w:marLeft w:val="0"/>
      <w:marRight w:val="0"/>
      <w:marTop w:val="0"/>
      <w:marBottom w:val="0"/>
      <w:divBdr>
        <w:top w:val="none" w:sz="0" w:space="0" w:color="auto"/>
        <w:left w:val="none" w:sz="0" w:space="0" w:color="auto"/>
        <w:bottom w:val="none" w:sz="0" w:space="0" w:color="auto"/>
        <w:right w:val="none" w:sz="0" w:space="0" w:color="auto"/>
      </w:divBdr>
      <w:divsChild>
        <w:div w:id="2132161795">
          <w:marLeft w:val="1267"/>
          <w:marRight w:val="0"/>
          <w:marTop w:val="120"/>
          <w:marBottom w:val="120"/>
          <w:divBdr>
            <w:top w:val="none" w:sz="0" w:space="0" w:color="auto"/>
            <w:left w:val="none" w:sz="0" w:space="0" w:color="auto"/>
            <w:bottom w:val="none" w:sz="0" w:space="0" w:color="auto"/>
            <w:right w:val="none" w:sz="0" w:space="0" w:color="auto"/>
          </w:divBdr>
        </w:div>
        <w:div w:id="1527670108">
          <w:marLeft w:val="1210"/>
          <w:marRight w:val="0"/>
          <w:marTop w:val="120"/>
          <w:marBottom w:val="120"/>
          <w:divBdr>
            <w:top w:val="none" w:sz="0" w:space="0" w:color="auto"/>
            <w:left w:val="none" w:sz="0" w:space="0" w:color="auto"/>
            <w:bottom w:val="none" w:sz="0" w:space="0" w:color="auto"/>
            <w:right w:val="none" w:sz="0" w:space="0" w:color="auto"/>
          </w:divBdr>
        </w:div>
        <w:div w:id="2100759359">
          <w:marLeft w:val="1210"/>
          <w:marRight w:val="0"/>
          <w:marTop w:val="120"/>
          <w:marBottom w:val="12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itehouse.gov/briefing-room/statements-releases/2024/09/26/fact-sheet-president-biden-and-vice-president-harris-announce-additional-actions-to-reduce-gun-violence-and-save-liv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20</Pages>
  <Words>1375</Words>
  <Characters>7843</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Slide 1</vt:lpstr>
      <vt:lpstr>    Firearm Violence: A Public Health Crisis </vt:lpstr>
      <vt:lpstr>    Oath of Office</vt:lpstr>
      <vt:lpstr>    Survivors of community violence face significant physical, psychological, and so</vt:lpstr>
      <vt:lpstr>    Several evidence-based program model’s exist</vt:lpstr>
      <vt:lpstr>    CVI Ecosystem: Core Components</vt:lpstr>
      <vt:lpstr>    Community Violence Intervention (CVI) Programs Deliver Significant Health Equity</vt:lpstr>
      <vt:lpstr>    Medicaid and CVI</vt:lpstr>
      <vt:lpstr>    States with CVI Medicaid Benefits</vt:lpstr>
      <vt:lpstr>    States with CVI Medicaid Benefits</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19</cp:revision>
  <dcterms:created xsi:type="dcterms:W3CDTF">2024-10-25T15:45:00Z</dcterms:created>
  <dcterms:modified xsi:type="dcterms:W3CDTF">2024-10-25T18:11:00Z</dcterms:modified>
</cp:coreProperties>
</file>