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83" w:rsidRDefault="005A4083" w:rsidP="009D3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083">
        <w:rPr>
          <w:rFonts w:ascii="Times New Roman" w:eastAsia="Times New Roman" w:hAnsi="Times New Roman" w:cs="Times New Roman"/>
          <w:sz w:val="28"/>
          <w:szCs w:val="28"/>
        </w:rPr>
        <w:t>PROPOSED AMENDMENT TO TITLE 5 - 301 CMR 15.000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083" w:rsidRPr="005A4083" w:rsidRDefault="005A4083" w:rsidP="009D3D5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5A4083" w:rsidRPr="005A4083" w:rsidRDefault="005A4083" w:rsidP="006C774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By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Home Builders and Remodelers of  Massachusetts (HBRAM)</w:t>
      </w:r>
    </w:p>
    <w:p w:rsidR="005A4083" w:rsidRPr="006C7745" w:rsidRDefault="005A4083" w:rsidP="009D3D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D3D58" w:rsidRDefault="009D3D58" w:rsidP="009D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A4083">
        <w:rPr>
          <w:rFonts w:ascii="Times New Roman" w:eastAsia="Times New Roman" w:hAnsi="Times New Roman" w:cs="Times New Roman"/>
          <w:sz w:val="24"/>
          <w:szCs w:val="28"/>
        </w:rPr>
        <w:t xml:space="preserve">ADD within </w:t>
      </w:r>
      <w:r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310 CMR </w:t>
      </w:r>
      <w:proofErr w:type="gramStart"/>
      <w:r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15.002  </w:t>
      </w:r>
      <w:r w:rsidR="005A4083">
        <w:rPr>
          <w:rFonts w:ascii="Times New Roman" w:eastAsia="Times New Roman" w:hAnsi="Times New Roman" w:cs="Times New Roman"/>
          <w:sz w:val="24"/>
          <w:szCs w:val="28"/>
          <w:u w:val="single"/>
        </w:rPr>
        <w:t>(</w:t>
      </w:r>
      <w:proofErr w:type="gramEnd"/>
      <w:r w:rsidR="005A4083">
        <w:rPr>
          <w:rFonts w:ascii="Times New Roman" w:eastAsia="Times New Roman" w:hAnsi="Times New Roman" w:cs="Times New Roman"/>
          <w:sz w:val="24"/>
          <w:szCs w:val="28"/>
          <w:u w:val="single"/>
        </w:rPr>
        <w:t>Definitions)</w:t>
      </w:r>
    </w:p>
    <w:p w:rsidR="005A4083" w:rsidRPr="006C7745" w:rsidRDefault="005A4083" w:rsidP="009D3D58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u w:val="single"/>
        </w:rPr>
      </w:pPr>
    </w:p>
    <w:p w:rsidR="009D3D58" w:rsidRPr="005A4083" w:rsidRDefault="009D3D58" w:rsidP="009D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Large Reporting </w:t>
      </w:r>
      <w:proofErr w:type="gramStart"/>
      <w:r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>Facilities</w:t>
      </w:r>
      <w:r w:rsidRPr="005A4083">
        <w:rPr>
          <w:rFonts w:ascii="Times New Roman" w:eastAsia="Times New Roman" w:hAnsi="Times New Roman" w:cs="Times New Roman"/>
          <w:sz w:val="24"/>
          <w:szCs w:val="28"/>
        </w:rPr>
        <w:t xml:space="preserve">  -</w:t>
      </w:r>
      <w:proofErr w:type="gramEnd"/>
      <w:r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Pr="005A4083">
        <w:rPr>
          <w:rFonts w:ascii="Times New Roman" w:eastAsia="Times New Roman" w:hAnsi="Times New Roman" w:cs="Times New Roman"/>
          <w:sz w:val="24"/>
          <w:szCs w:val="28"/>
        </w:rPr>
        <w:t>facilities with total design flows between 7500 and 30,000 gallons per day.</w:t>
      </w:r>
    </w:p>
    <w:p w:rsidR="009D3D58" w:rsidRPr="006C7745" w:rsidRDefault="009D3D58" w:rsidP="009D3D58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</w:rPr>
      </w:pPr>
    </w:p>
    <w:p w:rsidR="009D3D58" w:rsidRPr="005A4083" w:rsidRDefault="009D3D58" w:rsidP="001E4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3D58" w:rsidRPr="005A4083" w:rsidRDefault="009D3D58" w:rsidP="001E4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A4083">
        <w:rPr>
          <w:rFonts w:ascii="Times New Roman" w:eastAsia="Times New Roman" w:hAnsi="Times New Roman" w:cs="Times New Roman"/>
          <w:sz w:val="24"/>
          <w:szCs w:val="28"/>
        </w:rPr>
        <w:t xml:space="preserve">ADD: </w:t>
      </w:r>
    </w:p>
    <w:p w:rsidR="00C328EA" w:rsidRPr="005A4083" w:rsidRDefault="005A4083" w:rsidP="005A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310 </w:t>
      </w:r>
      <w:r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CMR </w:t>
      </w:r>
      <w:proofErr w:type="gramStart"/>
      <w:r w:rsidR="00C328EA"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>15.294  Large</w:t>
      </w:r>
      <w:proofErr w:type="gramEnd"/>
      <w:r w:rsidR="00C328EA"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Reporting </w:t>
      </w:r>
      <w:r w:rsidR="009D3D58" w:rsidRPr="005A4083">
        <w:rPr>
          <w:rFonts w:ascii="Times New Roman" w:eastAsia="Times New Roman" w:hAnsi="Times New Roman" w:cs="Times New Roman"/>
          <w:sz w:val="24"/>
          <w:szCs w:val="28"/>
          <w:u w:val="single"/>
        </w:rPr>
        <w:t>Facilities</w:t>
      </w:r>
      <w:r>
        <w:rPr>
          <w:rStyle w:val="FootnoteReference"/>
          <w:rFonts w:ascii="Times New Roman" w:eastAsia="Times New Roman" w:hAnsi="Times New Roman" w:cs="Times New Roman"/>
          <w:sz w:val="24"/>
          <w:szCs w:val="28"/>
          <w:u w:val="single"/>
        </w:rPr>
        <w:footnoteReference w:id="1"/>
      </w:r>
    </w:p>
    <w:p w:rsidR="00C328EA" w:rsidRPr="006C7745" w:rsidRDefault="00C328EA" w:rsidP="001E472A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150A07" w:rsidRPr="005A4083" w:rsidRDefault="00C328EA" w:rsidP="005A4083">
      <w:pPr>
        <w:pStyle w:val="Default"/>
        <w:numPr>
          <w:ilvl w:val="0"/>
          <w:numId w:val="2"/>
        </w:numPr>
        <w:spacing w:before="120"/>
        <w:rPr>
          <w:rFonts w:eastAsia="Times New Roman"/>
          <w:szCs w:val="28"/>
        </w:rPr>
      </w:pPr>
      <w:r w:rsidRPr="005A4083">
        <w:rPr>
          <w:rFonts w:eastAsia="Times New Roman"/>
          <w:szCs w:val="28"/>
        </w:rPr>
        <w:t xml:space="preserve"> </w:t>
      </w:r>
      <w:r w:rsidR="009D3D58" w:rsidRPr="005A4083">
        <w:rPr>
          <w:rFonts w:eastAsia="Times New Roman"/>
          <w:szCs w:val="28"/>
        </w:rPr>
        <w:t>The Department may approve the construction, upgrade, or expansion of an on-site subsurface sewage disposal system</w:t>
      </w:r>
      <w:r w:rsidR="00150A07" w:rsidRPr="005A4083">
        <w:rPr>
          <w:rFonts w:eastAsia="Times New Roman"/>
          <w:szCs w:val="28"/>
        </w:rPr>
        <w:t xml:space="preserve"> by the issuance of an individual permit for Large Reporting Facilities.  Each </w:t>
      </w:r>
      <w:r w:rsidR="005A4083">
        <w:rPr>
          <w:rFonts w:eastAsia="Times New Roman"/>
          <w:szCs w:val="28"/>
        </w:rPr>
        <w:t xml:space="preserve">such </w:t>
      </w:r>
      <w:r w:rsidR="00150A07" w:rsidRPr="005A4083">
        <w:rPr>
          <w:rFonts w:eastAsia="Times New Roman"/>
          <w:szCs w:val="28"/>
        </w:rPr>
        <w:t xml:space="preserve">permit shall only be issued by the Department </w:t>
      </w:r>
      <w:r w:rsidR="009D3D58" w:rsidRPr="005A4083">
        <w:rPr>
          <w:rFonts w:eastAsia="Times New Roman"/>
          <w:szCs w:val="28"/>
        </w:rPr>
        <w:t>under the following conditions:</w:t>
      </w:r>
    </w:p>
    <w:p w:rsidR="00150A07" w:rsidRPr="005A4083" w:rsidRDefault="009D3D58" w:rsidP="005A4083">
      <w:pPr>
        <w:pStyle w:val="Default"/>
        <w:numPr>
          <w:ilvl w:val="1"/>
          <w:numId w:val="2"/>
        </w:numPr>
        <w:spacing w:before="120"/>
        <w:rPr>
          <w:rFonts w:eastAsia="Times New Roman"/>
          <w:szCs w:val="28"/>
        </w:rPr>
      </w:pPr>
      <w:r w:rsidRPr="005A4083">
        <w:rPr>
          <w:rFonts w:eastAsia="Times New Roman"/>
          <w:szCs w:val="28"/>
        </w:rPr>
        <w:t>Large Reporting Systems</w:t>
      </w:r>
      <w:r w:rsidRPr="001E472A">
        <w:rPr>
          <w:rFonts w:eastAsia="Times New Roman"/>
          <w:szCs w:val="28"/>
        </w:rPr>
        <w:t xml:space="preserve"> shall </w:t>
      </w:r>
      <w:r w:rsidRPr="005A4083">
        <w:rPr>
          <w:rFonts w:eastAsia="Times New Roman"/>
          <w:szCs w:val="28"/>
        </w:rPr>
        <w:t>use</w:t>
      </w:r>
      <w:r w:rsidRPr="001E472A">
        <w:rPr>
          <w:rFonts w:eastAsia="Times New Roman"/>
          <w:szCs w:val="28"/>
        </w:rPr>
        <w:t xml:space="preserve"> </w:t>
      </w:r>
      <w:r w:rsidR="00150A07" w:rsidRPr="005A4083">
        <w:rPr>
          <w:rFonts w:eastAsia="Times New Roman"/>
          <w:szCs w:val="28"/>
        </w:rPr>
        <w:t xml:space="preserve">approved </w:t>
      </w:r>
      <w:r w:rsidRPr="001E472A">
        <w:rPr>
          <w:rFonts w:eastAsia="Times New Roman"/>
          <w:szCs w:val="28"/>
        </w:rPr>
        <w:t>enhanced secondary</w:t>
      </w:r>
      <w:r w:rsidRPr="005A4083">
        <w:rPr>
          <w:rFonts w:eastAsia="Times New Roman"/>
          <w:szCs w:val="28"/>
        </w:rPr>
        <w:t xml:space="preserve"> treatment pursuant to 310 CMR 15.280</w:t>
      </w:r>
      <w:r w:rsidR="00150A07" w:rsidRPr="005A4083">
        <w:rPr>
          <w:rFonts w:eastAsia="Times New Roman"/>
          <w:szCs w:val="28"/>
        </w:rPr>
        <w:t xml:space="preserve"> for General and Provisional use.  L</w:t>
      </w:r>
      <w:r w:rsidRPr="001E472A">
        <w:rPr>
          <w:rFonts w:eastAsia="Times New Roman"/>
          <w:szCs w:val="28"/>
        </w:rPr>
        <w:t xml:space="preserve">imitations defining enhanced secondary treatment </w:t>
      </w:r>
      <w:r w:rsidRPr="005A4083">
        <w:rPr>
          <w:rFonts w:eastAsia="Times New Roman"/>
          <w:szCs w:val="28"/>
        </w:rPr>
        <w:t xml:space="preserve"> </w:t>
      </w:r>
      <w:r w:rsidRPr="001E472A">
        <w:rPr>
          <w:rFonts w:eastAsia="Times New Roman"/>
          <w:szCs w:val="28"/>
        </w:rPr>
        <w:t>may be expressed in terms of</w:t>
      </w:r>
      <w:r w:rsidRPr="005A4083">
        <w:rPr>
          <w:rFonts w:eastAsia="Times New Roman"/>
          <w:szCs w:val="28"/>
        </w:rPr>
        <w:t xml:space="preserve"> </w:t>
      </w:r>
      <w:r w:rsidRPr="001E472A">
        <w:rPr>
          <w:rFonts w:eastAsia="Times New Roman"/>
          <w:szCs w:val="28"/>
        </w:rPr>
        <w:t>concentration as well as mass</w:t>
      </w:r>
      <w:r w:rsidR="00150A07" w:rsidRPr="005A4083">
        <w:rPr>
          <w:rFonts w:eastAsia="Times New Roman"/>
          <w:szCs w:val="28"/>
        </w:rPr>
        <w:t>;</w:t>
      </w:r>
    </w:p>
    <w:p w:rsidR="00150A07" w:rsidRPr="005A4083" w:rsidRDefault="00150A07" w:rsidP="005A4083">
      <w:pPr>
        <w:pStyle w:val="Default"/>
        <w:numPr>
          <w:ilvl w:val="1"/>
          <w:numId w:val="2"/>
        </w:numPr>
        <w:spacing w:before="120"/>
        <w:rPr>
          <w:rFonts w:eastAsia="Times New Roman"/>
          <w:szCs w:val="28"/>
        </w:rPr>
      </w:pPr>
      <w:r w:rsidRPr="005A4083">
        <w:rPr>
          <w:rFonts w:eastAsia="Times New Roman"/>
          <w:szCs w:val="28"/>
        </w:rPr>
        <w:t>Each permit shall incorporate special conditions which shall establish effluent limitations, recordkeeping and reporting requirements</w:t>
      </w:r>
      <w:r w:rsidR="005A4083">
        <w:rPr>
          <w:rFonts w:eastAsia="Times New Roman"/>
          <w:szCs w:val="28"/>
        </w:rPr>
        <w:t>,</w:t>
      </w:r>
      <w:r w:rsidRPr="005A4083">
        <w:rPr>
          <w:rFonts w:eastAsia="Times New Roman"/>
          <w:szCs w:val="28"/>
        </w:rPr>
        <w:t xml:space="preserve"> and, where applicable,</w:t>
      </w:r>
      <w:r w:rsidR="005A4083">
        <w:rPr>
          <w:rFonts w:eastAsia="Times New Roman"/>
          <w:szCs w:val="28"/>
        </w:rPr>
        <w:t xml:space="preserve"> </w:t>
      </w:r>
      <w:r w:rsidRPr="005A4083">
        <w:rPr>
          <w:rFonts w:eastAsia="Times New Roman"/>
          <w:szCs w:val="28"/>
        </w:rPr>
        <w:t>schedules of compliance and other conditions which the Department may determine;</w:t>
      </w:r>
    </w:p>
    <w:p w:rsidR="00150A07" w:rsidRPr="005A4083" w:rsidRDefault="00150A07" w:rsidP="005A4083">
      <w:pPr>
        <w:pStyle w:val="Default"/>
        <w:numPr>
          <w:ilvl w:val="1"/>
          <w:numId w:val="2"/>
        </w:numPr>
        <w:spacing w:before="120"/>
        <w:rPr>
          <w:rFonts w:eastAsia="Times New Roman"/>
          <w:szCs w:val="28"/>
        </w:rPr>
      </w:pPr>
      <w:r w:rsidRPr="005A4083">
        <w:rPr>
          <w:rFonts w:eastAsia="Times New Roman"/>
          <w:szCs w:val="28"/>
        </w:rPr>
        <w:t>Each permit shall contain monitoring requirements to assure compliance with permit limitations and conditions, including the installation of  monitoring wells to ensure the protection of the ground water;</w:t>
      </w:r>
    </w:p>
    <w:p w:rsidR="00150A07" w:rsidRPr="005A4083" w:rsidRDefault="00150A07" w:rsidP="005A4083">
      <w:pPr>
        <w:pStyle w:val="Default"/>
        <w:numPr>
          <w:ilvl w:val="1"/>
          <w:numId w:val="2"/>
        </w:numPr>
        <w:spacing w:before="120"/>
        <w:rPr>
          <w:rFonts w:eastAsia="Times New Roman"/>
          <w:szCs w:val="28"/>
        </w:rPr>
      </w:pPr>
      <w:r w:rsidRPr="005A4083">
        <w:rPr>
          <w:rFonts w:eastAsia="Times New Roman"/>
          <w:szCs w:val="28"/>
        </w:rPr>
        <w:t xml:space="preserve">Each permit shall be </w:t>
      </w:r>
      <w:r w:rsidRPr="001E472A">
        <w:rPr>
          <w:rFonts w:eastAsia="Times New Roman"/>
          <w:szCs w:val="28"/>
        </w:rPr>
        <w:t>effective for a fixed term not to exceed five years. The</w:t>
      </w:r>
      <w:r w:rsidRPr="005A4083">
        <w:rPr>
          <w:rFonts w:eastAsia="Times New Roman"/>
          <w:szCs w:val="28"/>
        </w:rPr>
        <w:t xml:space="preserve"> </w:t>
      </w:r>
      <w:r w:rsidRPr="001E472A">
        <w:rPr>
          <w:rFonts w:eastAsia="Times New Roman"/>
          <w:szCs w:val="28"/>
        </w:rPr>
        <w:t>Department may issue any permit for a lesser duration</w:t>
      </w:r>
      <w:r w:rsidRPr="005A4083">
        <w:rPr>
          <w:rFonts w:eastAsia="Times New Roman"/>
          <w:szCs w:val="28"/>
        </w:rPr>
        <w:t>;</w:t>
      </w:r>
    </w:p>
    <w:p w:rsidR="00150A07" w:rsidRPr="005A4083" w:rsidRDefault="00150A07" w:rsidP="005A4083">
      <w:pPr>
        <w:pStyle w:val="Default"/>
        <w:numPr>
          <w:ilvl w:val="1"/>
          <w:numId w:val="2"/>
        </w:numPr>
        <w:spacing w:before="120"/>
        <w:rPr>
          <w:rFonts w:eastAsia="Times New Roman"/>
          <w:szCs w:val="28"/>
        </w:rPr>
      </w:pPr>
      <w:r w:rsidRPr="005A4083">
        <w:rPr>
          <w:rFonts w:eastAsia="Times New Roman"/>
          <w:szCs w:val="28"/>
        </w:rPr>
        <w:t xml:space="preserve">Each </w:t>
      </w:r>
      <w:r w:rsidR="005A4083" w:rsidRPr="005A4083">
        <w:rPr>
          <w:rFonts w:eastAsia="Times New Roman"/>
          <w:szCs w:val="28"/>
        </w:rPr>
        <w:t>permit shall incorporate the r</w:t>
      </w:r>
      <w:r w:rsidRPr="001E472A">
        <w:rPr>
          <w:rFonts w:eastAsia="Times New Roman"/>
          <w:szCs w:val="28"/>
        </w:rPr>
        <w:t xml:space="preserve">equirements for the operation, maintenance and staffing of </w:t>
      </w:r>
      <w:r w:rsidR="005A4083" w:rsidRPr="005A4083">
        <w:rPr>
          <w:rFonts w:eastAsia="Times New Roman"/>
          <w:szCs w:val="28"/>
        </w:rPr>
        <w:t>the facility in accordance with the General or Provisional Conditions of the specific Alternative Technology;</w:t>
      </w:r>
    </w:p>
    <w:p w:rsidR="005A4083" w:rsidRPr="005A4083" w:rsidRDefault="00150A07" w:rsidP="005A4083">
      <w:pPr>
        <w:pStyle w:val="Default"/>
        <w:numPr>
          <w:ilvl w:val="1"/>
          <w:numId w:val="2"/>
        </w:numPr>
        <w:spacing w:before="120"/>
        <w:rPr>
          <w:rFonts w:eastAsia="Times New Roman"/>
          <w:i/>
          <w:szCs w:val="28"/>
        </w:rPr>
      </w:pPr>
      <w:r w:rsidRPr="005A03A0">
        <w:rPr>
          <w:rFonts w:eastAsia="Times New Roman"/>
          <w:szCs w:val="28"/>
        </w:rPr>
        <w:t>Each permit shall include the obligation of all stakeholders to share in the financial and</w:t>
      </w:r>
      <w:r w:rsidRPr="005A4083">
        <w:rPr>
          <w:rFonts w:eastAsia="Times New Roman"/>
          <w:szCs w:val="28"/>
        </w:rPr>
        <w:t xml:space="preserve"> operational responsibilities for the Large Reporting Facilities and shall include, without limitation, the obligation to establish and maintain a financial assurance mechanism that provides for an immediate repair and replacement account and a capital reserve account.  The </w:t>
      </w:r>
      <w:proofErr w:type="spellStart"/>
      <w:r w:rsidRPr="005A4083">
        <w:rPr>
          <w:rFonts w:eastAsia="Times New Roman"/>
          <w:szCs w:val="28"/>
        </w:rPr>
        <w:t>permitte</w:t>
      </w:r>
      <w:proofErr w:type="spellEnd"/>
      <w:r w:rsidRPr="005A4083">
        <w:rPr>
          <w:rFonts w:eastAsia="Times New Roman"/>
          <w:szCs w:val="28"/>
        </w:rPr>
        <w:t xml:space="preserve"> shall meet this obligation by completing the appropriate Department-approved form documents to establish the financial assurance mechanisms and shall file with the Department and maintain the current Department-approved form documents constituting or evidencing compliance with this obligation.  Conditions of the financial assurance mechanism shall be outlined in a General Permit for Large Reporting </w:t>
      </w:r>
      <w:proofErr w:type="spellStart"/>
      <w:r w:rsidRPr="005A4083">
        <w:rPr>
          <w:rFonts w:eastAsia="Times New Roman"/>
          <w:szCs w:val="28"/>
        </w:rPr>
        <w:t>Facilites</w:t>
      </w:r>
      <w:proofErr w:type="spellEnd"/>
      <w:r w:rsidRPr="005A4083">
        <w:rPr>
          <w:rFonts w:eastAsia="Times New Roman"/>
          <w:szCs w:val="28"/>
        </w:rPr>
        <w:t xml:space="preserve"> to be issued by the Department </w:t>
      </w:r>
      <w:r w:rsidRPr="005A4083">
        <w:rPr>
          <w:rFonts w:eastAsia="Times New Roman"/>
          <w:i/>
          <w:szCs w:val="28"/>
        </w:rPr>
        <w:t>(see 314 CMR 5.15(5)(a) and (b) as a template).</w:t>
      </w:r>
    </w:p>
    <w:sectPr w:rsidR="005A4083" w:rsidRPr="005A4083" w:rsidSect="005A4083">
      <w:pgSz w:w="12240" w:h="15840" w:code="1"/>
      <w:pgMar w:top="1152" w:right="1440" w:bottom="1008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9F" w:rsidRDefault="0052689F" w:rsidP="005A4083">
      <w:pPr>
        <w:spacing w:after="0" w:line="240" w:lineRule="auto"/>
      </w:pPr>
      <w:r>
        <w:separator/>
      </w:r>
    </w:p>
  </w:endnote>
  <w:endnote w:type="continuationSeparator" w:id="0">
    <w:p w:rsidR="0052689F" w:rsidRDefault="0052689F" w:rsidP="005A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9F" w:rsidRDefault="0052689F" w:rsidP="005A4083">
      <w:pPr>
        <w:spacing w:after="0" w:line="240" w:lineRule="auto"/>
      </w:pPr>
      <w:r>
        <w:separator/>
      </w:r>
    </w:p>
  </w:footnote>
  <w:footnote w:type="continuationSeparator" w:id="0">
    <w:p w:rsidR="0052689F" w:rsidRDefault="0052689F" w:rsidP="005A4083">
      <w:pPr>
        <w:spacing w:after="0" w:line="240" w:lineRule="auto"/>
      </w:pPr>
      <w:r>
        <w:continuationSeparator/>
      </w:r>
    </w:p>
  </w:footnote>
  <w:footnote w:id="1">
    <w:p w:rsidR="005A4083" w:rsidRPr="005A4083" w:rsidRDefault="005A4083" w:rsidP="005A4083">
      <w:pPr>
        <w:spacing w:after="0" w:line="240" w:lineRule="auto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5A03A0">
        <w:rPr>
          <w:rFonts w:ascii="Times New Roman" w:eastAsia="Times New Roman" w:hAnsi="Times New Roman" w:cs="Times New Roman"/>
          <w:i/>
          <w:szCs w:val="28"/>
        </w:rPr>
        <w:t>Also need to revise 310 CMR 15.004, 15.006, and other sections to amend decrease/increase the daily flow limits of Title 5.</w:t>
      </w:r>
    </w:p>
    <w:p w:rsidR="005A4083" w:rsidRDefault="005A4083">
      <w:pPr>
        <w:pStyle w:val="FootnoteText"/>
      </w:pPr>
    </w:p>
    <w:p w:rsidR="005A4083" w:rsidRPr="005A4083" w:rsidRDefault="005A4083" w:rsidP="005A4083">
      <w:pPr>
        <w:pStyle w:val="FootnoteText"/>
        <w:pBdr>
          <w:top w:val="single" w:sz="4" w:space="1" w:color="auto"/>
        </w:pBdr>
        <w:rPr>
          <w:sz w:val="22"/>
        </w:rPr>
      </w:pPr>
      <w:r w:rsidRPr="005A4083">
        <w:rPr>
          <w:sz w:val="22"/>
        </w:rPr>
        <w:t>Contact:</w:t>
      </w:r>
      <w:r w:rsidRPr="005A4083">
        <w:rPr>
          <w:sz w:val="22"/>
        </w:rPr>
        <w:tab/>
        <w:t xml:space="preserve">Jeffrey Brem, PE  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748"/>
    <w:multiLevelType w:val="hybridMultilevel"/>
    <w:tmpl w:val="98545E80"/>
    <w:lvl w:ilvl="0" w:tplc="FE549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D6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A1D5E8B"/>
    <w:multiLevelType w:val="hybridMultilevel"/>
    <w:tmpl w:val="3BE6301E"/>
    <w:lvl w:ilvl="0" w:tplc="9E6C313C">
      <w:start w:val="3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70D24"/>
    <w:multiLevelType w:val="hybridMultilevel"/>
    <w:tmpl w:val="9C66A618"/>
    <w:lvl w:ilvl="0" w:tplc="91DAF69E">
      <w:start w:val="31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2A"/>
    <w:rsid w:val="00150A07"/>
    <w:rsid w:val="001E472A"/>
    <w:rsid w:val="004A52F4"/>
    <w:rsid w:val="0052689F"/>
    <w:rsid w:val="005A03A0"/>
    <w:rsid w:val="005A4083"/>
    <w:rsid w:val="006C7745"/>
    <w:rsid w:val="008A5FE5"/>
    <w:rsid w:val="009D3D58"/>
    <w:rsid w:val="00C328EA"/>
    <w:rsid w:val="00D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2A"/>
    <w:pPr>
      <w:ind w:left="720"/>
      <w:contextualSpacing/>
    </w:pPr>
  </w:style>
  <w:style w:type="paragraph" w:customStyle="1" w:styleId="Default">
    <w:name w:val="Default"/>
    <w:rsid w:val="009D3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2A"/>
    <w:pPr>
      <w:ind w:left="720"/>
      <w:contextualSpacing/>
    </w:pPr>
  </w:style>
  <w:style w:type="paragraph" w:customStyle="1" w:styleId="Default">
    <w:name w:val="Default"/>
    <w:rsid w:val="009D3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0D74-CBF3-4A97-8C9A-8E88A8F8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2015-10-01T01:29:00Z</dcterms:created>
  <dc:creator>Jeffrey Brem</dc:creator>
  <lastModifiedBy>Dixon, Lisa (ANF)</lastModifiedBy>
  <dcterms:modified xsi:type="dcterms:W3CDTF">2015-12-03T15:47:00Z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