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817E" w14:textId="77777777" w:rsidR="00A941FD" w:rsidRPr="00A941FD" w:rsidRDefault="00A941FD" w:rsidP="00A941FD">
      <w:pPr>
        <w:pStyle w:val="Heading1"/>
        <w:rPr>
          <w:color w:val="auto"/>
          <w:sz w:val="24"/>
          <w:szCs w:val="24"/>
        </w:rPr>
      </w:pPr>
      <w:r w:rsidRPr="00A941FD">
        <w:rPr>
          <w:color w:val="auto"/>
          <w:sz w:val="24"/>
          <w:szCs w:val="24"/>
        </w:rPr>
        <w:t>July 27, 2026</w:t>
      </w:r>
    </w:p>
    <w:p w14:paraId="647992B8" w14:textId="77777777" w:rsidR="00A941FD" w:rsidRPr="00A941FD" w:rsidRDefault="00A941FD" w:rsidP="00A941FD">
      <w:pPr>
        <w:pStyle w:val="Heading1"/>
        <w:rPr>
          <w:color w:val="auto"/>
          <w:sz w:val="24"/>
          <w:szCs w:val="24"/>
        </w:rPr>
      </w:pPr>
    </w:p>
    <w:p w14:paraId="0C805937" w14:textId="0C8E698A" w:rsidR="00A941FD" w:rsidRPr="00A941FD" w:rsidRDefault="00A941FD" w:rsidP="00A941FD">
      <w:pPr>
        <w:pStyle w:val="Heading1"/>
        <w:rPr>
          <w:color w:val="auto"/>
          <w:sz w:val="24"/>
          <w:szCs w:val="24"/>
        </w:rPr>
      </w:pPr>
      <w:r w:rsidRPr="00A941FD">
        <w:rPr>
          <w:color w:val="auto"/>
          <w:sz w:val="24"/>
          <w:szCs w:val="24"/>
        </w:rPr>
        <w:t>Honorable Robert Goldstein</w:t>
      </w:r>
    </w:p>
    <w:p w14:paraId="05121E2A" w14:textId="24252729" w:rsidR="00A941FD" w:rsidRPr="00A941FD" w:rsidRDefault="00A941FD" w:rsidP="00A941FD">
      <w:pPr>
        <w:pStyle w:val="Heading1"/>
        <w:rPr>
          <w:color w:val="auto"/>
          <w:sz w:val="24"/>
          <w:szCs w:val="24"/>
        </w:rPr>
      </w:pPr>
      <w:r w:rsidRPr="00A941FD">
        <w:rPr>
          <w:color w:val="auto"/>
          <w:sz w:val="24"/>
          <w:szCs w:val="24"/>
        </w:rPr>
        <w:t>Commissioner, Massachusetts Department of Public Health</w:t>
      </w:r>
    </w:p>
    <w:p w14:paraId="0192C16B" w14:textId="405C0B76" w:rsidR="00A941FD" w:rsidRPr="00A941FD" w:rsidRDefault="00A941FD" w:rsidP="00A941FD">
      <w:pPr>
        <w:pStyle w:val="Heading1"/>
        <w:rPr>
          <w:color w:val="auto"/>
          <w:sz w:val="24"/>
          <w:szCs w:val="24"/>
        </w:rPr>
      </w:pPr>
      <w:r w:rsidRPr="00A941FD">
        <w:rPr>
          <w:color w:val="auto"/>
          <w:sz w:val="24"/>
          <w:szCs w:val="24"/>
        </w:rPr>
        <w:t>250 Washington Street</w:t>
      </w:r>
    </w:p>
    <w:p w14:paraId="7612E27C" w14:textId="77777777" w:rsidR="00A941FD" w:rsidRPr="00A941FD" w:rsidRDefault="00A941FD" w:rsidP="00A941FD">
      <w:pPr>
        <w:pStyle w:val="Heading1"/>
        <w:rPr>
          <w:color w:val="auto"/>
          <w:sz w:val="24"/>
          <w:szCs w:val="24"/>
        </w:rPr>
      </w:pPr>
      <w:r w:rsidRPr="00A941FD">
        <w:rPr>
          <w:color w:val="auto"/>
          <w:sz w:val="24"/>
          <w:szCs w:val="24"/>
        </w:rPr>
        <w:t>Boston, MA 02108</w:t>
      </w:r>
    </w:p>
    <w:p w14:paraId="4D87AD3A" w14:textId="77777777" w:rsidR="00A941FD" w:rsidRPr="00A941FD" w:rsidRDefault="00A941FD" w:rsidP="00A941FD">
      <w:pPr>
        <w:pStyle w:val="Heading1"/>
        <w:rPr>
          <w:color w:val="auto"/>
          <w:sz w:val="24"/>
          <w:szCs w:val="24"/>
        </w:rPr>
      </w:pPr>
    </w:p>
    <w:p w14:paraId="690D6AF3" w14:textId="77777777" w:rsidR="00A941FD" w:rsidRPr="00AF7D84" w:rsidRDefault="00A941FD" w:rsidP="00A941FD">
      <w:pPr>
        <w:pStyle w:val="Heading1"/>
        <w:rPr>
          <w:b/>
          <w:bCs/>
          <w:color w:val="auto"/>
          <w:sz w:val="24"/>
          <w:szCs w:val="24"/>
        </w:rPr>
      </w:pPr>
      <w:r w:rsidRPr="00AF7D84">
        <w:rPr>
          <w:b/>
          <w:bCs/>
          <w:color w:val="auto"/>
          <w:sz w:val="24"/>
          <w:szCs w:val="24"/>
        </w:rPr>
        <w:t>Re: Proposed promulgation of 105 CMR 95.00, Medical Debt Reporting Requirements for Health Care Facilities and Providers Licensed by the Department of Public Health</w:t>
      </w:r>
    </w:p>
    <w:p w14:paraId="49CCE58A" w14:textId="77777777" w:rsidR="00A941FD" w:rsidRPr="00A941FD" w:rsidRDefault="00A941FD" w:rsidP="00A941FD">
      <w:pPr>
        <w:pStyle w:val="Heading1"/>
        <w:rPr>
          <w:color w:val="auto"/>
          <w:sz w:val="24"/>
          <w:szCs w:val="24"/>
        </w:rPr>
      </w:pPr>
    </w:p>
    <w:p w14:paraId="1B0B20EB" w14:textId="17391BEB" w:rsidR="00A941FD" w:rsidRDefault="00A941FD" w:rsidP="00A941FD">
      <w:pPr>
        <w:pStyle w:val="Heading1"/>
        <w:rPr>
          <w:color w:val="auto"/>
          <w:sz w:val="24"/>
          <w:szCs w:val="24"/>
        </w:rPr>
      </w:pPr>
      <w:r w:rsidRPr="00A941FD">
        <w:rPr>
          <w:color w:val="auto"/>
          <w:sz w:val="24"/>
          <w:szCs w:val="24"/>
        </w:rPr>
        <w:t>Dear Commissioner Goldstein,</w:t>
      </w:r>
    </w:p>
    <w:p w14:paraId="23BA38A0" w14:textId="77777777" w:rsidR="00A941FD" w:rsidRPr="00A941FD" w:rsidRDefault="00A941FD" w:rsidP="00A941FD">
      <w:pPr>
        <w:pStyle w:val="Heading1"/>
        <w:rPr>
          <w:color w:val="auto"/>
          <w:sz w:val="24"/>
          <w:szCs w:val="24"/>
        </w:rPr>
      </w:pPr>
    </w:p>
    <w:p w14:paraId="592B5794" w14:textId="13B95F84" w:rsidR="00A941FD" w:rsidRDefault="00A941FD" w:rsidP="00A941FD">
      <w:pPr>
        <w:spacing w:after="200"/>
      </w:pPr>
      <w:r>
        <w:t>Thank you for the opportunity to comment on the proposed regulation, 1</w:t>
      </w:r>
      <w:r w:rsidR="00E325AE">
        <w:t>05</w:t>
      </w:r>
      <w:r>
        <w:t xml:space="preserve"> CMR </w:t>
      </w:r>
      <w:r w:rsidR="00E325AE">
        <w:t>95</w:t>
      </w:r>
      <w:r>
        <w:t xml:space="preserve">.00. My name is Mindi Greenberg. I am an </w:t>
      </w:r>
      <w:r w:rsidR="00820264">
        <w:t>a</w:t>
      </w:r>
      <w:r>
        <w:t>ttorney at Health Law Advocates and lead our medical debt project. Health Law Advocates is a non-profit law firm that provides free legal services to Massachusetts residents with low incomes who are seeking access to health care coverage or relief from medical debt.</w:t>
      </w:r>
    </w:p>
    <w:p w14:paraId="6ECB9B69" w14:textId="28A4E10C" w:rsidR="00A941FD" w:rsidRDefault="00A941FD" w:rsidP="00A941FD">
      <w:pPr>
        <w:spacing w:after="200"/>
      </w:pPr>
      <w:r>
        <w:t>HLA strongly supports the promulgation of regulation 1</w:t>
      </w:r>
      <w:r w:rsidR="00E325AE">
        <w:t>05</w:t>
      </w:r>
      <w:r>
        <w:t xml:space="preserve"> CMR </w:t>
      </w:r>
      <w:r w:rsidR="00E325AE">
        <w:t>95</w:t>
      </w:r>
      <w:r>
        <w:t>.00. We believe it will directly protect thousands of the Commonwealth's most vulnerable residents from the long-term financial harm caused by medical debt. We submit this testimony in support of the regulation and recommend three changes that would strengthen it further</w:t>
      </w:r>
      <w:r w:rsidR="00820264">
        <w:t>:</w:t>
      </w:r>
    </w:p>
    <w:p w14:paraId="710F1162" w14:textId="7FA87111" w:rsidR="00820264" w:rsidRPr="00413778" w:rsidRDefault="00820264" w:rsidP="00820264">
      <w:pPr>
        <w:pStyle w:val="ListParagraph"/>
        <w:numPr>
          <w:ilvl w:val="0"/>
          <w:numId w:val="1"/>
        </w:numPr>
        <w:spacing w:after="200"/>
      </w:pPr>
      <w:r w:rsidRPr="00413778">
        <w:t>Require rereporting for debts already on credit reports when they fall below the $500 threshold,</w:t>
      </w:r>
    </w:p>
    <w:p w14:paraId="76B7F1D3" w14:textId="2CA1672D" w:rsidR="00820264" w:rsidRPr="00413778" w:rsidRDefault="00820264" w:rsidP="00820264">
      <w:pPr>
        <w:pStyle w:val="ListParagraph"/>
        <w:numPr>
          <w:ilvl w:val="0"/>
          <w:numId w:val="1"/>
        </w:numPr>
        <w:spacing w:after="200"/>
      </w:pPr>
      <w:r w:rsidRPr="00413778">
        <w:t xml:space="preserve">Eliminate the undue hardship waiver or clarify the standard, and </w:t>
      </w:r>
    </w:p>
    <w:p w14:paraId="2215A736" w14:textId="63D1BD55" w:rsidR="00820264" w:rsidRPr="00413778" w:rsidRDefault="00820264" w:rsidP="00820264">
      <w:pPr>
        <w:pStyle w:val="ListParagraph"/>
        <w:numPr>
          <w:ilvl w:val="0"/>
          <w:numId w:val="1"/>
        </w:numPr>
        <w:spacing w:after="200"/>
      </w:pPr>
      <w:r w:rsidRPr="00413778">
        <w:t>Define "debt collector" for the purposes of this regulation.</w:t>
      </w:r>
    </w:p>
    <w:p w14:paraId="312601A8" w14:textId="1A1A5A5B" w:rsidR="00A941FD" w:rsidRPr="00A941FD" w:rsidRDefault="00A941FD" w:rsidP="00A941FD">
      <w:pPr>
        <w:pStyle w:val="Heading2"/>
        <w:rPr>
          <w:b/>
          <w:bCs/>
          <w:color w:val="auto"/>
        </w:rPr>
      </w:pPr>
      <w:r w:rsidRPr="00A941FD">
        <w:rPr>
          <w:b/>
          <w:bCs/>
          <w:color w:val="auto"/>
        </w:rPr>
        <w:t>Why This Matters: Credit Scores and Economic Mobility</w:t>
      </w:r>
    </w:p>
    <w:p w14:paraId="2900F239" w14:textId="27E5E90F" w:rsidR="00A941FD" w:rsidRDefault="00A941FD" w:rsidP="00A941FD">
      <w:pPr>
        <w:spacing w:after="200"/>
      </w:pPr>
      <w:r>
        <w:t>A credit score is not an inconsequential number. It is a deciding factor in whether a person can purchase a car or a home, and, if approved for a loan, better interest rate</w:t>
      </w:r>
      <w:r w:rsidR="00820264">
        <w:t>s</w:t>
      </w:r>
      <w:r>
        <w:t xml:space="preserve">. Beyond lending, credit history increasingly affects housing applications, employment background checks, and insurance premiums. In short, this number shapes a person's ability to improve their economic status. We commend the </w:t>
      </w:r>
      <w:r w:rsidR="00AF7D84">
        <w:t>D</w:t>
      </w:r>
      <w:r>
        <w:t>epartment's efforts to remove medical debt as a component of it.</w:t>
      </w:r>
    </w:p>
    <w:p w14:paraId="24592CE8" w14:textId="77777777" w:rsidR="00A941FD" w:rsidRPr="00A941FD" w:rsidRDefault="00A941FD" w:rsidP="00A941FD">
      <w:pPr>
        <w:pStyle w:val="Heading2"/>
        <w:rPr>
          <w:b/>
          <w:bCs/>
        </w:rPr>
      </w:pPr>
      <w:r w:rsidRPr="00A941FD">
        <w:rPr>
          <w:b/>
          <w:bCs/>
          <w:color w:val="auto"/>
        </w:rPr>
        <w:t>What We See in Practice</w:t>
      </w:r>
    </w:p>
    <w:p w14:paraId="0C1C7C9A" w14:textId="5DB2BB40" w:rsidR="00A941FD" w:rsidRDefault="00A941FD" w:rsidP="00A941FD">
      <w:pPr>
        <w:spacing w:after="200"/>
      </w:pPr>
      <w:r>
        <w:t xml:space="preserve">My role at HLA combines direct client service with advocacy. In 2025, HLA worked on almost 200 individual cases involving medical debt that consumers, community-based organizations, or </w:t>
      </w:r>
      <w:r>
        <w:lastRenderedPageBreak/>
        <w:t>other advocates could not resolve on their own.</w:t>
      </w:r>
      <w:r w:rsidR="00E325AE">
        <w:rPr>
          <w:rStyle w:val="FootnoteReference"/>
        </w:rPr>
        <w:footnoteReference w:id="1"/>
      </w:r>
      <w:r>
        <w:t xml:space="preserve"> In most of these cases, the debt resulted from billing errors on the part of provider</w:t>
      </w:r>
      <w:r w:rsidR="00AF7D84">
        <w:t>s:</w:t>
      </w:r>
      <w:r>
        <w:t xml:space="preserve"> errors that are difficult and time-consuming to correct and often require legal expertise to untangle. Where the underlying debt is legitimate, it is rarely the product of poor financial decision-making and has little bearing on a person's ability to repay future debts. Instead, it typically arises from emergency situations and life-saving care. High deductibles and cost-sharing make these bills unaffordable for too many residents, and we regularly see clients </w:t>
      </w:r>
      <w:proofErr w:type="gramStart"/>
      <w:r>
        <w:t>refuse</w:t>
      </w:r>
      <w:proofErr w:type="gramEnd"/>
      <w:r>
        <w:t xml:space="preserve"> medical care or </w:t>
      </w:r>
      <w:proofErr w:type="gramStart"/>
      <w:r>
        <w:t>cancel</w:t>
      </w:r>
      <w:proofErr w:type="gramEnd"/>
      <w:r>
        <w:t xml:space="preserve"> necessary appointments simply to avoid accruing more debt.</w:t>
      </w:r>
    </w:p>
    <w:p w14:paraId="3BE4DBE3" w14:textId="70F3F8FE" w:rsidR="00A941FD" w:rsidRDefault="00A941FD" w:rsidP="00A941FD">
      <w:pPr>
        <w:spacing w:after="200"/>
      </w:pPr>
      <w:r>
        <w:t>Two</w:t>
      </w:r>
      <w:r w:rsidR="00820264">
        <w:t xml:space="preserve"> HLA</w:t>
      </w:r>
      <w:r>
        <w:t xml:space="preserve"> client </w:t>
      </w:r>
      <w:r w:rsidR="00820264">
        <w:t>stories</w:t>
      </w:r>
      <w:r>
        <w:t xml:space="preserve"> </w:t>
      </w:r>
      <w:r w:rsidR="00820264">
        <w:t>illustrate the administrative errors and life circumstances that typically lead to medical debt</w:t>
      </w:r>
      <w:r>
        <w:t>:</w:t>
      </w:r>
    </w:p>
    <w:p w14:paraId="55D4794B" w14:textId="64B0225C" w:rsidR="00A941FD" w:rsidRDefault="00A941FD" w:rsidP="00A941FD">
      <w:pPr>
        <w:spacing w:after="200"/>
      </w:pPr>
      <w:r>
        <w:rPr>
          <w:b/>
          <w:bCs/>
          <w:i/>
          <w:iCs/>
        </w:rPr>
        <w:t>Kathy</w:t>
      </w:r>
      <w:r w:rsidR="00AA002D">
        <w:rPr>
          <w:rStyle w:val="FootnoteReference"/>
          <w:b/>
          <w:bCs/>
          <w:i/>
          <w:iCs/>
        </w:rPr>
        <w:footnoteReference w:id="2"/>
      </w:r>
      <w:r>
        <w:rPr>
          <w:b/>
          <w:bCs/>
          <w:i/>
          <w:iCs/>
        </w:rPr>
        <w:t xml:space="preserve"> </w:t>
      </w:r>
      <w:r w:rsidR="00820264">
        <w:t>was a</w:t>
      </w:r>
      <w:r>
        <w:t xml:space="preserve"> single mother struggling to keep up with her bills</w:t>
      </w:r>
      <w:r w:rsidR="00820264">
        <w:t>. She</w:t>
      </w:r>
      <w:r>
        <w:t xml:space="preserve"> made an error on her MassHealth renewal form that caused her to lose coverage for a short time. </w:t>
      </w:r>
      <w:r w:rsidR="00820264">
        <w:t>Unaware of the insurance lapse, s</w:t>
      </w:r>
      <w:r>
        <w:t xml:space="preserve">he </w:t>
      </w:r>
      <w:r w:rsidR="00413778">
        <w:t>went to the hospital</w:t>
      </w:r>
      <w:r>
        <w:t xml:space="preserve"> during this gap and only learned of the problem when a bill arrived six months later. She came to </w:t>
      </w:r>
      <w:proofErr w:type="gramStart"/>
      <w:r>
        <w:t>HLA</w:t>
      </w:r>
      <w:proofErr w:type="gramEnd"/>
      <w:r>
        <w:t xml:space="preserve"> confused and afraid to seek further care for herself or her child. </w:t>
      </w:r>
      <w:r w:rsidR="00243AA9">
        <w:t xml:space="preserve">She postponed her routine mammogram and delayed necessary dental work. </w:t>
      </w:r>
      <w:r>
        <w:t xml:space="preserve">We helped her re-enroll in MassHealth, but the coverage gap itself could not be undone: </w:t>
      </w:r>
      <w:r w:rsidR="00820264">
        <w:t xml:space="preserve">the </w:t>
      </w:r>
      <w:r>
        <w:t xml:space="preserve">nearly $2,000 she owed her provider had already gone to collections. Kathy lived in fear that it would </w:t>
      </w:r>
      <w:r w:rsidR="00820264">
        <w:t>damage her credit</w:t>
      </w:r>
      <w:r w:rsidR="00AA002D">
        <w:t>, causing</w:t>
      </w:r>
      <w:r>
        <w:t xml:space="preserve"> one more strain on an already difficult situation. We helped her apply for financial assistance and reduced the debt to a</w:t>
      </w:r>
      <w:r w:rsidR="00820264">
        <w:t xml:space="preserve"> more</w:t>
      </w:r>
      <w:r>
        <w:t xml:space="preserve"> affordable amount.</w:t>
      </w:r>
    </w:p>
    <w:p w14:paraId="533E0651" w14:textId="3A5E407C" w:rsidR="00A941FD" w:rsidRDefault="00A941FD" w:rsidP="00A941FD">
      <w:pPr>
        <w:spacing w:after="200"/>
      </w:pPr>
      <w:r>
        <w:rPr>
          <w:b/>
          <w:bCs/>
          <w:i/>
          <w:iCs/>
        </w:rPr>
        <w:t xml:space="preserve">Lucas </w:t>
      </w:r>
      <w:r w:rsidR="00820264">
        <w:t>was a</w:t>
      </w:r>
      <w:r>
        <w:t xml:space="preserve"> five-year-old who chipped his toot</w:t>
      </w:r>
      <w:r w:rsidR="00820264">
        <w:t>h</w:t>
      </w:r>
      <w:r>
        <w:t xml:space="preserve">. Although he was covered by MassHealth </w:t>
      </w:r>
      <w:r w:rsidR="00820264">
        <w:t>when he received dental care</w:t>
      </w:r>
      <w:r>
        <w:t xml:space="preserve">, the bill went to his family. His mother </w:t>
      </w:r>
      <w:r w:rsidR="00820264">
        <w:t>did not</w:t>
      </w:r>
      <w:r>
        <w:t xml:space="preserve"> understand why the visit wasn't covered</w:t>
      </w:r>
      <w:r w:rsidR="00820264">
        <w:t xml:space="preserve"> and was</w:t>
      </w:r>
      <w:r>
        <w:t xml:space="preserve"> worried about accumulating more debt. When I contacted the dental practice, I learned that</w:t>
      </w:r>
      <w:r w:rsidR="00AA002D">
        <w:t xml:space="preserve"> the provider was aware that</w:t>
      </w:r>
      <w:r>
        <w:t xml:space="preserve"> Lucas ha</w:t>
      </w:r>
      <w:r w:rsidR="00820264">
        <w:t>d</w:t>
      </w:r>
      <w:r>
        <w:t xml:space="preserve"> active coverage</w:t>
      </w:r>
      <w:r w:rsidR="00AA002D">
        <w:t>;</w:t>
      </w:r>
      <w:r>
        <w:t xml:space="preserve"> the practice had simply never submitted the claim to MassHealth</w:t>
      </w:r>
      <w:r w:rsidR="00820264">
        <w:t xml:space="preserve"> and instead had illegally billed the family</w:t>
      </w:r>
      <w:r>
        <w:t xml:space="preserve">. This is a common pattern: billing departments failing to submit claims </w:t>
      </w:r>
      <w:r w:rsidR="00820264">
        <w:t xml:space="preserve">to insurance </w:t>
      </w:r>
      <w:r>
        <w:t>that would otherwise be covered</w:t>
      </w:r>
      <w:r w:rsidR="00820264">
        <w:t xml:space="preserve">. Without HLA’s assistance, the debt likely would have gone to collections and damaged the mother’s credit despite that the debt originated in administrative error rather than the fault of the patient, as is true for so many cases of medical debt. </w:t>
      </w:r>
    </w:p>
    <w:p w14:paraId="0D8523A0" w14:textId="77777777" w:rsidR="00A941FD" w:rsidRPr="00A941FD" w:rsidRDefault="00A941FD" w:rsidP="00A941FD">
      <w:pPr>
        <w:pStyle w:val="Heading2"/>
        <w:rPr>
          <w:b/>
          <w:bCs/>
        </w:rPr>
      </w:pPr>
      <w:r w:rsidRPr="00A941FD">
        <w:rPr>
          <w:b/>
          <w:bCs/>
          <w:color w:val="auto"/>
        </w:rPr>
        <w:t>Recommendations</w:t>
      </w:r>
    </w:p>
    <w:p w14:paraId="47B46E91" w14:textId="51A3410D" w:rsidR="00A941FD" w:rsidRDefault="00A941FD" w:rsidP="00A941FD">
      <w:pPr>
        <w:spacing w:after="200"/>
      </w:pPr>
      <w:r>
        <w:t xml:space="preserve">While we strongly support this regulation as proposed, we recommend the </w:t>
      </w:r>
      <w:r w:rsidR="00AF7D84">
        <w:t>D</w:t>
      </w:r>
      <w:r>
        <w:t>epartment consider three changes to strengthen it:</w:t>
      </w:r>
    </w:p>
    <w:p w14:paraId="7002886A" w14:textId="21303EDA" w:rsidR="00A941FD" w:rsidRDefault="00A941FD" w:rsidP="00A941FD">
      <w:pPr>
        <w:spacing w:after="200"/>
      </w:pPr>
      <w:r>
        <w:rPr>
          <w:b/>
          <w:bCs/>
        </w:rPr>
        <w:t xml:space="preserve">1. Require rereporting </w:t>
      </w:r>
      <w:r w:rsidR="00B90862">
        <w:rPr>
          <w:b/>
          <w:bCs/>
        </w:rPr>
        <w:t xml:space="preserve">for debts already on credit reports </w:t>
      </w:r>
      <w:r>
        <w:rPr>
          <w:b/>
          <w:bCs/>
        </w:rPr>
        <w:t xml:space="preserve">when </w:t>
      </w:r>
      <w:r w:rsidR="00B90862">
        <w:rPr>
          <w:b/>
          <w:bCs/>
        </w:rPr>
        <w:t>they</w:t>
      </w:r>
      <w:r>
        <w:rPr>
          <w:b/>
          <w:bCs/>
        </w:rPr>
        <w:t xml:space="preserve"> fall below the $500 threshold. </w:t>
      </w:r>
      <w:r w:rsidR="00B90862">
        <w:t>This threshold was previously set by the three major credit bureaus</w:t>
      </w:r>
      <w:r w:rsidR="00AA002D">
        <w:t xml:space="preserve"> and is respected as the industry standard</w:t>
      </w:r>
      <w:r w:rsidR="00B90862">
        <w:t>.</w:t>
      </w:r>
      <w:r w:rsidR="00AA002D">
        <w:rPr>
          <w:rStyle w:val="FootnoteReference"/>
        </w:rPr>
        <w:footnoteReference w:id="3"/>
      </w:r>
      <w:r w:rsidR="00B90862">
        <w:t xml:space="preserve"> </w:t>
      </w:r>
      <w:r w:rsidR="00AF7D84">
        <w:t>However</w:t>
      </w:r>
      <w:r>
        <w:t xml:space="preserve">, nothing </w:t>
      </w:r>
      <w:r w:rsidR="00AF7D84">
        <w:t xml:space="preserve">currently </w:t>
      </w:r>
      <w:r>
        <w:t xml:space="preserve">requires providers or collection agencies to </w:t>
      </w:r>
      <w:proofErr w:type="gramStart"/>
      <w:r>
        <w:lastRenderedPageBreak/>
        <w:t>rereport</w:t>
      </w:r>
      <w:proofErr w:type="gramEnd"/>
      <w:r>
        <w:t xml:space="preserve"> a debt once a partial payment brings it under the reporting threshold. For example, Sarah owed $553 for testing not covered by her insurance. The debt was sent to collections and reported to her credit. She made a payment that reduced the balance to below $500, but the collection agency declined to remove it from her credit report. A rereporting requirement would ensure that debts like Sarah's no longer affect a consumer's credit once the</w:t>
      </w:r>
      <w:r w:rsidR="007D211D">
        <w:t xml:space="preserve"> amount</w:t>
      </w:r>
      <w:r>
        <w:t xml:space="preserve"> fall</w:t>
      </w:r>
      <w:r w:rsidR="007D211D">
        <w:t>s</w:t>
      </w:r>
      <w:r>
        <w:t xml:space="preserve"> under the threshold.</w:t>
      </w:r>
      <w:r w:rsidR="00B4084D">
        <w:t xml:space="preserve"> We propose additional language to 105 CMR 95.03 that s</w:t>
      </w:r>
      <w:r w:rsidR="00A93286">
        <w:t>tate</w:t>
      </w:r>
      <w:r w:rsidR="00B4084D">
        <w:t>s</w:t>
      </w:r>
      <w:r w:rsidR="00AF7D84">
        <w:t>:</w:t>
      </w:r>
      <w:r w:rsidR="00B4084D">
        <w:t xml:space="preserve"> “</w:t>
      </w:r>
      <w:r w:rsidR="00B4084D" w:rsidRPr="00B4084D">
        <w:t xml:space="preserve">Providers and collection agencies must rereport </w:t>
      </w:r>
      <w:r w:rsidR="00413778" w:rsidRPr="00413778">
        <w:t>the balance of any medical debt currently on a consumer's credit report whenever that balance is reduced, including reductions that bring the balance below the $500 reporting threshold</w:t>
      </w:r>
      <w:r w:rsidR="00B4084D">
        <w:t>.”</w:t>
      </w:r>
    </w:p>
    <w:p w14:paraId="2C383F3F" w14:textId="668532E0" w:rsidR="00A941FD" w:rsidRDefault="00A941FD" w:rsidP="00A941FD">
      <w:pPr>
        <w:spacing w:after="200"/>
      </w:pPr>
      <w:r>
        <w:rPr>
          <w:b/>
          <w:bCs/>
        </w:rPr>
        <w:t xml:space="preserve">2. </w:t>
      </w:r>
      <w:r w:rsidR="00E93E55">
        <w:rPr>
          <w:b/>
          <w:bCs/>
        </w:rPr>
        <w:t>Eliminate</w:t>
      </w:r>
      <w:r>
        <w:rPr>
          <w:b/>
          <w:bCs/>
        </w:rPr>
        <w:t xml:space="preserve"> the undue hardship waiver </w:t>
      </w:r>
      <w:r w:rsidR="00E93E55">
        <w:rPr>
          <w:b/>
          <w:bCs/>
        </w:rPr>
        <w:t xml:space="preserve">or clarify the </w:t>
      </w:r>
      <w:r>
        <w:rPr>
          <w:b/>
          <w:bCs/>
        </w:rPr>
        <w:t xml:space="preserve">standard. </w:t>
      </w:r>
      <w:r>
        <w:t>The current waiver language provides no guidance on what qualifies as undue hardship. Without clearer criteria, we are concerned this ambiguity could become a loophole that allows providers to continue current reporting practices largely unchanged, undermining the regulation's intent.</w:t>
      </w:r>
    </w:p>
    <w:p w14:paraId="04DF2DBB" w14:textId="290AE051" w:rsidR="00A941FD" w:rsidRDefault="00A941FD" w:rsidP="00A941FD">
      <w:pPr>
        <w:spacing w:after="200"/>
      </w:pPr>
      <w:r>
        <w:rPr>
          <w:b/>
          <w:bCs/>
        </w:rPr>
        <w:t xml:space="preserve">3. Define "debt collector" </w:t>
      </w:r>
      <w:r w:rsidR="00180D32">
        <w:rPr>
          <w:b/>
          <w:bCs/>
        </w:rPr>
        <w:t>for the purposes of this regulation</w:t>
      </w:r>
      <w:r>
        <w:rPr>
          <w:b/>
          <w:bCs/>
        </w:rPr>
        <w:t>.</w:t>
      </w:r>
      <w:r>
        <w:t xml:space="preserve"> As currently written, the regulation </w:t>
      </w:r>
      <w:r w:rsidR="00180D32">
        <w:t xml:space="preserve">is vague as to who qualifies as a debt collector. It </w:t>
      </w:r>
      <w:r>
        <w:t>may allow providers to contract with debt collectors</w:t>
      </w:r>
      <w:r w:rsidR="00180D32">
        <w:t xml:space="preserve"> that are exempted from the various statutory definitions of the term that exist in other areas of law</w:t>
      </w:r>
      <w:r w:rsidR="00A93286">
        <w:t>.</w:t>
      </w:r>
      <w:r w:rsidR="00180D32">
        <w:rPr>
          <w:rStyle w:val="FootnoteReference"/>
        </w:rPr>
        <w:footnoteReference w:id="4"/>
      </w:r>
      <w:r>
        <w:t xml:space="preserve"> We urge the </w:t>
      </w:r>
      <w:r w:rsidR="00AF7D84">
        <w:t>D</w:t>
      </w:r>
      <w:r>
        <w:t xml:space="preserve">epartment to incorporate the definition of "debt collector" </w:t>
      </w:r>
      <w:r w:rsidR="00180D32">
        <w:t xml:space="preserve">as intended by this regulation </w:t>
      </w:r>
      <w:r>
        <w:t>directly into 1</w:t>
      </w:r>
      <w:r w:rsidR="00E325AE">
        <w:t>05</w:t>
      </w:r>
      <w:r>
        <w:t xml:space="preserve"> CMR </w:t>
      </w:r>
      <w:r w:rsidR="00E325AE">
        <w:t>95</w:t>
      </w:r>
      <w:r>
        <w:t>.0</w:t>
      </w:r>
      <w:r w:rsidR="00180D32">
        <w:t>2</w:t>
      </w:r>
      <w:r>
        <w:t xml:space="preserve"> to ensure the regulation applies consistently to all entities collecting medical debt on providers' behalf.</w:t>
      </w:r>
    </w:p>
    <w:p w14:paraId="00EA0A3F" w14:textId="77777777" w:rsidR="00A941FD" w:rsidRPr="00A941FD" w:rsidRDefault="00A941FD" w:rsidP="00A941FD">
      <w:pPr>
        <w:pStyle w:val="Heading2"/>
        <w:rPr>
          <w:b/>
          <w:bCs/>
          <w:color w:val="auto"/>
        </w:rPr>
      </w:pPr>
      <w:r w:rsidRPr="00A941FD">
        <w:rPr>
          <w:b/>
          <w:bCs/>
          <w:color w:val="auto"/>
        </w:rPr>
        <w:t>Conclusion</w:t>
      </w:r>
    </w:p>
    <w:p w14:paraId="2D97C5EA" w14:textId="487816D9" w:rsidR="00A941FD" w:rsidRDefault="00A941FD" w:rsidP="00A941FD">
      <w:pPr>
        <w:spacing w:after="400"/>
      </w:pPr>
      <w:r>
        <w:t xml:space="preserve">So many residents of the Commonwealth carry medical debt that negatively affects their financial stability and their mental and physical health. This debt is </w:t>
      </w:r>
      <w:r w:rsidR="00AF7D84">
        <w:t>almost always</w:t>
      </w:r>
      <w:r>
        <w:t xml:space="preserve"> the result of </w:t>
      </w:r>
      <w:r w:rsidR="00AF7D84">
        <w:t xml:space="preserve">medical necessity rather than </w:t>
      </w:r>
      <w:r>
        <w:t xml:space="preserve">poor choices, and it disproportionately burdens residents who are already in a vulnerable position. We urge the </w:t>
      </w:r>
      <w:r w:rsidR="00AF7D84">
        <w:t>D</w:t>
      </w:r>
      <w:r>
        <w:t>epartment to adopt 1</w:t>
      </w:r>
      <w:r w:rsidR="00E325AE">
        <w:t>05</w:t>
      </w:r>
      <w:r>
        <w:t xml:space="preserve"> CMR </w:t>
      </w:r>
      <w:r w:rsidR="00E325AE">
        <w:t>95</w:t>
      </w:r>
      <w:r>
        <w:t>.00, together with the three changes recommended above. Thank you for advancing this important regulation and for the opportunity to share our comments.</w:t>
      </w:r>
    </w:p>
    <w:p w14:paraId="3290703C" w14:textId="77777777" w:rsidR="00A941FD" w:rsidRDefault="00A941FD" w:rsidP="00A941FD">
      <w:pPr>
        <w:spacing w:after="100"/>
      </w:pPr>
      <w:r>
        <w:t>Respectfully submitted,</w:t>
      </w:r>
    </w:p>
    <w:p w14:paraId="18A89D35" w14:textId="77777777" w:rsidR="00A941FD" w:rsidRDefault="00A941FD" w:rsidP="00A941FD">
      <w:pPr>
        <w:spacing w:after="100"/>
      </w:pPr>
    </w:p>
    <w:p w14:paraId="167627C0" w14:textId="4DDFA13A" w:rsidR="00A941FD" w:rsidRPr="00A941FD" w:rsidRDefault="00A941FD" w:rsidP="00A941FD">
      <w:pPr>
        <w:spacing w:after="100"/>
        <w:rPr>
          <w:rFonts w:ascii="Blackadder ITC" w:hAnsi="Blackadder ITC"/>
        </w:rPr>
      </w:pPr>
      <w:r>
        <w:rPr>
          <w:rFonts w:ascii="Blackadder ITC" w:hAnsi="Blackadder ITC"/>
        </w:rPr>
        <w:t>Mindi Greenberg</w:t>
      </w:r>
    </w:p>
    <w:p w14:paraId="6A2E850C" w14:textId="77777777" w:rsidR="00A941FD" w:rsidRDefault="00A941FD" w:rsidP="00A941FD">
      <w:r>
        <w:t>Mindi Greenberg</w:t>
      </w:r>
    </w:p>
    <w:p w14:paraId="15B31E5A" w14:textId="566A1BD2" w:rsidR="00A941FD" w:rsidRDefault="00A941FD" w:rsidP="00A941FD">
      <w:r>
        <w:t xml:space="preserve">Staff Attorney </w:t>
      </w:r>
    </w:p>
    <w:p w14:paraId="64CEE70D" w14:textId="487F8643" w:rsidR="00A941FD" w:rsidRDefault="00A941FD" w:rsidP="00A941FD">
      <w:r>
        <w:t>Access to Care and Coverage Practice</w:t>
      </w:r>
    </w:p>
    <w:p w14:paraId="7E8AF9BE" w14:textId="77777777" w:rsidR="00A12154" w:rsidRDefault="00A12154" w:rsidP="00590D92">
      <w:pPr>
        <w:spacing w:after="160" w:line="259" w:lineRule="auto"/>
      </w:pPr>
    </w:p>
    <w:p w14:paraId="717D7836" w14:textId="40718819" w:rsidR="00FB7112" w:rsidRPr="00C75E61" w:rsidRDefault="00FB7112" w:rsidP="00590D92">
      <w:pPr>
        <w:spacing w:after="160" w:line="259" w:lineRule="auto"/>
      </w:pPr>
    </w:p>
    <w:sectPr w:rsidR="00FB7112" w:rsidRPr="00C75E61" w:rsidSect="00590D92">
      <w:headerReference w:type="default" r:id="rId11"/>
      <w:footerReference w:type="default" r:id="rId12"/>
      <w:headerReference w:type="first" r:id="rId13"/>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4F52" w14:textId="77777777" w:rsidR="0034009F" w:rsidRDefault="0034009F" w:rsidP="005602A7">
      <w:r>
        <w:separator/>
      </w:r>
    </w:p>
  </w:endnote>
  <w:endnote w:type="continuationSeparator" w:id="0">
    <w:p w14:paraId="5B6B01F3" w14:textId="77777777" w:rsidR="0034009F" w:rsidRDefault="0034009F" w:rsidP="00560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504138"/>
      <w:docPartObj>
        <w:docPartGallery w:val="Page Numbers (Bottom of Page)"/>
        <w:docPartUnique/>
      </w:docPartObj>
    </w:sdtPr>
    <w:sdtEndPr>
      <w:rPr>
        <w:noProof/>
      </w:rPr>
    </w:sdtEndPr>
    <w:sdtContent>
      <w:p w14:paraId="5FE58C81" w14:textId="77777777" w:rsidR="00A30C39" w:rsidRDefault="003B1B16">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sdtContent>
  </w:sdt>
  <w:p w14:paraId="044C20CF" w14:textId="77777777" w:rsidR="00A30C39" w:rsidRDefault="00A30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63B2" w14:textId="77777777" w:rsidR="0034009F" w:rsidRDefault="0034009F" w:rsidP="005602A7">
      <w:r>
        <w:separator/>
      </w:r>
    </w:p>
  </w:footnote>
  <w:footnote w:type="continuationSeparator" w:id="0">
    <w:p w14:paraId="4586E7A7" w14:textId="77777777" w:rsidR="0034009F" w:rsidRDefault="0034009F" w:rsidP="005602A7">
      <w:r>
        <w:continuationSeparator/>
      </w:r>
    </w:p>
  </w:footnote>
  <w:footnote w:id="1">
    <w:p w14:paraId="512FE8EC" w14:textId="6E279388" w:rsidR="00E325AE" w:rsidRDefault="00E325AE">
      <w:pPr>
        <w:pStyle w:val="FootnoteText"/>
      </w:pPr>
      <w:r>
        <w:rPr>
          <w:rStyle w:val="FootnoteReference"/>
        </w:rPr>
        <w:footnoteRef/>
      </w:r>
      <w:r>
        <w:t xml:space="preserve"> </w:t>
      </w:r>
      <w:r w:rsidR="00AA002D">
        <w:t xml:space="preserve">According to internal data, HLA represented 196 individuals and families with medical debt in 2025. Some of these cases involved multiple debts to various providers. </w:t>
      </w:r>
      <w:r w:rsidR="00DA2108">
        <w:t xml:space="preserve">HLA’s intervention eliminated 73% of the $1,714,050 in medical debt from those cases. </w:t>
      </w:r>
    </w:p>
  </w:footnote>
  <w:footnote w:id="2">
    <w:p w14:paraId="681CEA69" w14:textId="56825E3E" w:rsidR="00AA002D" w:rsidRDefault="00AA002D">
      <w:pPr>
        <w:pStyle w:val="FootnoteText"/>
      </w:pPr>
      <w:r>
        <w:rPr>
          <w:rStyle w:val="FootnoteReference"/>
        </w:rPr>
        <w:footnoteRef/>
      </w:r>
      <w:r>
        <w:t xml:space="preserve"> </w:t>
      </w:r>
      <w:r w:rsidRPr="00AA002D">
        <w:t>Client names used in this testimony are pseudonyms. Identifying details have been altered to protect client confidentiality.</w:t>
      </w:r>
    </w:p>
  </w:footnote>
  <w:footnote w:id="3">
    <w:p w14:paraId="1954D996" w14:textId="211A03FA" w:rsidR="00AA002D" w:rsidRPr="003665C2" w:rsidRDefault="00AA002D">
      <w:pPr>
        <w:pStyle w:val="FootnoteText"/>
      </w:pPr>
      <w:r>
        <w:rPr>
          <w:rStyle w:val="FootnoteReference"/>
        </w:rPr>
        <w:footnoteRef/>
      </w:r>
      <w:r>
        <w:t xml:space="preserve"> </w:t>
      </w:r>
      <w:r w:rsidR="00E93E55">
        <w:t>Experian, Equifax, and TransUnion agreed to certain limitations of medical debt in credit reporting</w:t>
      </w:r>
      <w:r w:rsidR="00F23669">
        <w:t xml:space="preserve"> in 2022. This</w:t>
      </w:r>
      <w:r w:rsidR="00E93E55">
        <w:t xml:space="preserve"> </w:t>
      </w:r>
      <w:r w:rsidR="00F23669">
        <w:t xml:space="preserve">included the omission of debts under $500 from reports which went into effect on April 11, 2023. </w:t>
      </w:r>
      <w:r w:rsidR="00F23669">
        <w:rPr>
          <w:i/>
          <w:iCs/>
        </w:rPr>
        <w:t xml:space="preserve">See </w:t>
      </w:r>
      <w:r w:rsidR="000D60D0" w:rsidRPr="000D60D0">
        <w:rPr>
          <w:i/>
          <w:iCs/>
        </w:rPr>
        <w:t>Have Medical Debt? Anything Already Paid or Under $500 Should No Longer Be on Your Credit Report,</w:t>
      </w:r>
      <w:r w:rsidR="003665C2">
        <w:rPr>
          <w:i/>
          <w:iCs/>
        </w:rPr>
        <w:t xml:space="preserve"> </w:t>
      </w:r>
      <w:r w:rsidR="003665C2" w:rsidRPr="003665C2">
        <w:rPr>
          <w:smallCaps/>
        </w:rPr>
        <w:t>Consumer Fin. Prot</w:t>
      </w:r>
      <w:r w:rsidR="003665C2">
        <w:rPr>
          <w:smallCaps/>
        </w:rPr>
        <w:t>.</w:t>
      </w:r>
      <w:r w:rsidR="003665C2" w:rsidRPr="003665C2">
        <w:rPr>
          <w:smallCaps/>
        </w:rPr>
        <w:t xml:space="preserve"> Bureau</w:t>
      </w:r>
      <w:r w:rsidR="003665C2" w:rsidRPr="003665C2">
        <w:t>,</w:t>
      </w:r>
      <w:r w:rsidR="000D60D0" w:rsidRPr="003665C2">
        <w:t xml:space="preserve"> (Ma</w:t>
      </w:r>
      <w:r w:rsidR="003665C2" w:rsidRPr="003665C2">
        <w:t>y</w:t>
      </w:r>
      <w:r w:rsidR="000D60D0" w:rsidRPr="003665C2">
        <w:t xml:space="preserve"> </w:t>
      </w:r>
      <w:r w:rsidR="003665C2">
        <w:t>8</w:t>
      </w:r>
      <w:r w:rsidR="000D60D0" w:rsidRPr="003665C2">
        <w:t>, 202</w:t>
      </w:r>
      <w:r w:rsidR="003665C2">
        <w:t>3</w:t>
      </w:r>
      <w:r w:rsidR="000D60D0" w:rsidRPr="003665C2">
        <w:t xml:space="preserve">), </w:t>
      </w:r>
      <w:hyperlink r:id="rId1" w:history="1">
        <w:r w:rsidR="003665C2" w:rsidRPr="006038D8">
          <w:rPr>
            <w:rStyle w:val="Hyperlink"/>
          </w:rPr>
          <w:t>https://www.consumerfinance.gov/archive/blog/medical-debt-anything-already-paid-or-under-500-should-no-longer-be-on-your-credit-report/</w:t>
        </w:r>
      </w:hyperlink>
      <w:r w:rsidR="003665C2">
        <w:t xml:space="preserve">. </w:t>
      </w:r>
      <w:r w:rsidR="003665C2">
        <w:rPr>
          <w:i/>
          <w:iCs/>
        </w:rPr>
        <w:t xml:space="preserve">See also </w:t>
      </w:r>
      <w:r w:rsidR="003665C2">
        <w:t xml:space="preserve">Chi Chi Wu, </w:t>
      </w:r>
      <w:r w:rsidR="003665C2">
        <w:rPr>
          <w:i/>
          <w:iCs/>
        </w:rPr>
        <w:t xml:space="preserve">The Latest on Keeping Medical Debt out of Credit Reports, </w:t>
      </w:r>
      <w:r w:rsidR="003665C2" w:rsidRPr="003665C2">
        <w:rPr>
          <w:smallCaps/>
        </w:rPr>
        <w:t>Nat’l Consumer L. Ctr</w:t>
      </w:r>
      <w:r w:rsidR="003665C2">
        <w:t xml:space="preserve">., (July 30, 2025), </w:t>
      </w:r>
      <w:hyperlink r:id="rId2" w:history="1">
        <w:r w:rsidR="003665C2" w:rsidRPr="006038D8">
          <w:rPr>
            <w:rStyle w:val="Hyperlink"/>
          </w:rPr>
          <w:t>https://library.nclc.org/article/latest-keeping-medical-debt-out-credit-reports</w:t>
        </w:r>
      </w:hyperlink>
      <w:r w:rsidR="003665C2">
        <w:t xml:space="preserve">. </w:t>
      </w:r>
    </w:p>
  </w:footnote>
  <w:footnote w:id="4">
    <w:p w14:paraId="3D6368F9" w14:textId="29FDEAA4" w:rsidR="00180D32" w:rsidRDefault="00180D32">
      <w:pPr>
        <w:pStyle w:val="FootnoteText"/>
      </w:pPr>
      <w:r>
        <w:rPr>
          <w:rStyle w:val="FootnoteReference"/>
        </w:rPr>
        <w:footnoteRef/>
      </w:r>
      <w:r>
        <w:t xml:space="preserve"> For example, MGL c. 93 §24 gives eight categories of exemptions, including one for attorneys who have been hired to collect a debt. This would allow a provider to </w:t>
      </w:r>
      <w:r w:rsidR="005F76A9" w:rsidRPr="005F76A9">
        <w:t>circumvent the regulation by engaging an attorney to serve as its debt collector.</w:t>
      </w:r>
      <w:r w:rsidR="005F76A9">
        <w:t xml:space="preserve"> MGL c. 93 §24(g).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9E8EF" w14:textId="77777777" w:rsidR="005602A7" w:rsidRPr="005602A7" w:rsidRDefault="005602A7" w:rsidP="00262117">
    <w:pPr>
      <w:pStyle w:val="Header"/>
      <w:rPr>
        <w:sz w:val="20"/>
        <w:szCs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230"/>
    </w:tblGrid>
    <w:tr w:rsidR="00590D92" w:rsidRPr="001D3709" w14:paraId="57EAB323" w14:textId="77777777" w:rsidTr="00EE1A56">
      <w:tc>
        <w:tcPr>
          <w:tcW w:w="5580" w:type="dxa"/>
        </w:tcPr>
        <w:p w14:paraId="6CDFDDF2" w14:textId="77777777" w:rsidR="00590D92" w:rsidRDefault="00590D92" w:rsidP="00590D92">
          <w:pPr>
            <w:pStyle w:val="Header"/>
            <w:tabs>
              <w:tab w:val="clear" w:pos="9360"/>
            </w:tabs>
          </w:pPr>
          <w:r>
            <w:rPr>
              <w:noProof/>
            </w:rPr>
            <w:drawing>
              <wp:inline distT="0" distB="0" distL="0" distR="0" wp14:anchorId="274DBC79" wp14:editId="5468A0CD">
                <wp:extent cx="3223847" cy="670560"/>
                <wp:effectExtent l="0" t="0" r="2540" b="0"/>
                <wp:docPr id="2" name="Picture 2" descr="Logo, company nam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
                        <pic:cNvPicPr/>
                      </pic:nvPicPr>
                      <pic:blipFill>
                        <a:blip r:embed="rId1">
                          <a:extLst>
                            <a:ext uri="{28A0092B-C50C-407E-A947-70E740481C1C}">
                              <a14:useLocalDpi xmlns:a14="http://schemas.microsoft.com/office/drawing/2010/main" val="0"/>
                            </a:ext>
                          </a:extLst>
                        </a:blip>
                        <a:stretch>
                          <a:fillRect/>
                        </a:stretch>
                      </pic:blipFill>
                      <pic:spPr>
                        <a:xfrm>
                          <a:off x="0" y="0"/>
                          <a:ext cx="3223847" cy="670560"/>
                        </a:xfrm>
                        <a:prstGeom prst="rect">
                          <a:avLst/>
                        </a:prstGeom>
                      </pic:spPr>
                    </pic:pic>
                  </a:graphicData>
                </a:graphic>
              </wp:inline>
            </w:drawing>
          </w:r>
        </w:p>
        <w:p w14:paraId="63527CEE" w14:textId="77777777" w:rsidR="00590D92" w:rsidRPr="00F82980" w:rsidRDefault="00590D92" w:rsidP="00590D92">
          <w:pPr>
            <w:pStyle w:val="Header"/>
            <w:tabs>
              <w:tab w:val="clear" w:pos="9360"/>
            </w:tabs>
            <w:rPr>
              <w:szCs w:val="24"/>
            </w:rPr>
          </w:pPr>
          <w:r w:rsidRPr="00161FBF">
            <w:rPr>
              <w:rFonts w:asciiTheme="minorHAnsi" w:hAnsiTheme="minorHAnsi" w:cstheme="minorHAnsi"/>
              <w:color w:val="98012D"/>
              <w:szCs w:val="24"/>
            </w:rPr>
            <w:t>www.healthlawadvocates.org</w:t>
          </w:r>
        </w:p>
      </w:tc>
      <w:tc>
        <w:tcPr>
          <w:tcW w:w="4230" w:type="dxa"/>
        </w:tcPr>
        <w:p w14:paraId="6E8FA594" w14:textId="77777777" w:rsidR="00590D92" w:rsidRPr="00A23F4E" w:rsidRDefault="00657B1A" w:rsidP="00590D92">
          <w:pPr>
            <w:pStyle w:val="Header"/>
            <w:tabs>
              <w:tab w:val="clear" w:pos="4680"/>
            </w:tabs>
            <w:rPr>
              <w:rFonts w:asciiTheme="minorHAnsi" w:hAnsiTheme="minorHAnsi" w:cstheme="minorHAnsi"/>
              <w:color w:val="000000" w:themeColor="text1"/>
              <w:sz w:val="20"/>
              <w:szCs w:val="20"/>
              <w:lang w:val="fr-FR"/>
            </w:rPr>
          </w:pPr>
          <w:r w:rsidRPr="00A23F4E">
            <w:rPr>
              <w:rFonts w:asciiTheme="minorHAnsi" w:hAnsiTheme="minorHAnsi" w:cstheme="minorHAnsi"/>
              <w:color w:val="000000" w:themeColor="text1"/>
              <w:sz w:val="20"/>
              <w:szCs w:val="20"/>
              <w:lang w:val="fr-FR"/>
            </w:rPr>
            <w:t>70 Franklin Street</w:t>
          </w:r>
          <w:r w:rsidR="00590D92" w:rsidRPr="00A23F4E">
            <w:rPr>
              <w:rFonts w:asciiTheme="minorHAnsi" w:hAnsiTheme="minorHAnsi" w:cstheme="minorHAnsi"/>
              <w:color w:val="000000" w:themeColor="text1"/>
              <w:sz w:val="20"/>
              <w:szCs w:val="20"/>
              <w:lang w:val="fr-FR"/>
            </w:rPr>
            <w:t xml:space="preserve">, </w:t>
          </w:r>
          <w:r w:rsidRPr="00A23F4E">
            <w:rPr>
              <w:rFonts w:asciiTheme="minorHAnsi" w:hAnsiTheme="minorHAnsi" w:cstheme="minorHAnsi"/>
              <w:color w:val="000000" w:themeColor="text1"/>
              <w:sz w:val="20"/>
              <w:szCs w:val="20"/>
              <w:lang w:val="fr-FR"/>
            </w:rPr>
            <w:t xml:space="preserve">Suite 500, </w:t>
          </w:r>
          <w:r w:rsidR="00590D92" w:rsidRPr="00A23F4E">
            <w:rPr>
              <w:rFonts w:asciiTheme="minorHAnsi" w:hAnsiTheme="minorHAnsi" w:cstheme="minorHAnsi"/>
              <w:color w:val="000000" w:themeColor="text1"/>
              <w:sz w:val="20"/>
              <w:szCs w:val="20"/>
              <w:lang w:val="fr-FR"/>
            </w:rPr>
            <w:t>Boston, MA 02110</w:t>
          </w:r>
        </w:p>
        <w:p w14:paraId="17D006EB" w14:textId="77777777" w:rsidR="00590D92" w:rsidRPr="004E5DD5" w:rsidRDefault="00590D92" w:rsidP="00590D92">
          <w:pPr>
            <w:pStyle w:val="Header"/>
            <w:tabs>
              <w:tab w:val="clear" w:pos="4680"/>
            </w:tabs>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Main: 617-338-5241</w:t>
          </w:r>
        </w:p>
        <w:p w14:paraId="22A62B6E" w14:textId="77777777" w:rsidR="00590D92" w:rsidRPr="00161FBF" w:rsidRDefault="00590D92" w:rsidP="00590D92">
          <w:pPr>
            <w:pStyle w:val="Header"/>
            <w:tabs>
              <w:tab w:val="clear" w:pos="4680"/>
            </w:tabs>
            <w:rPr>
              <w:rFonts w:asciiTheme="minorHAnsi" w:hAnsiTheme="minorHAnsi" w:cstheme="minorHAnsi"/>
              <w:color w:val="000000" w:themeColor="text1"/>
              <w:sz w:val="10"/>
              <w:szCs w:val="10"/>
            </w:rPr>
          </w:pPr>
        </w:p>
        <w:p w14:paraId="5BDCEE6E" w14:textId="77777777" w:rsidR="00590D92" w:rsidRDefault="0042596C" w:rsidP="00590D92">
          <w:pPr>
            <w:pStyle w:val="Header"/>
            <w:tabs>
              <w:tab w:val="clear" w:pos="4680"/>
            </w:tabs>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Access to Care and Coverage</w:t>
          </w:r>
          <w:r w:rsidR="00590D92">
            <w:rPr>
              <w:rFonts w:asciiTheme="minorHAnsi" w:hAnsiTheme="minorHAnsi" w:cstheme="minorHAnsi"/>
              <w:color w:val="000000" w:themeColor="text1"/>
              <w:sz w:val="20"/>
              <w:szCs w:val="20"/>
            </w:rPr>
            <w:t xml:space="preserve"> Practice:</w:t>
          </w:r>
        </w:p>
        <w:p w14:paraId="45B3D923" w14:textId="77777777" w:rsidR="00590D92" w:rsidRPr="001D3709" w:rsidRDefault="00590D92" w:rsidP="00590D92">
          <w:pPr>
            <w:pStyle w:val="Header"/>
            <w:tabs>
              <w:tab w:val="clear" w:pos="4680"/>
            </w:tabs>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Toll-free: </w:t>
          </w:r>
          <w:r w:rsidRPr="001D3709">
            <w:rPr>
              <w:rFonts w:asciiTheme="minorHAnsi" w:hAnsiTheme="minorHAnsi" w:cstheme="minorHAnsi"/>
              <w:color w:val="000000" w:themeColor="text1"/>
              <w:sz w:val="20"/>
              <w:szCs w:val="20"/>
            </w:rPr>
            <w:t xml:space="preserve">855-218-2519 </w:t>
          </w:r>
          <w:r w:rsidRPr="00161FBF">
            <w:rPr>
              <w:rFonts w:asciiTheme="minorHAnsi" w:hAnsiTheme="minorHAnsi" w:cstheme="minorHAnsi"/>
              <w:b/>
              <w:bCs/>
              <w:color w:val="000000" w:themeColor="text1"/>
              <w:sz w:val="20"/>
              <w:szCs w:val="20"/>
            </w:rPr>
            <w:t>|</w:t>
          </w:r>
          <w:r w:rsidRPr="001D370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Fax: </w:t>
          </w:r>
          <w:r w:rsidRPr="001D3709">
            <w:rPr>
              <w:rFonts w:asciiTheme="minorHAnsi" w:hAnsiTheme="minorHAnsi" w:cstheme="minorHAnsi"/>
              <w:color w:val="000000" w:themeColor="text1"/>
              <w:sz w:val="20"/>
              <w:szCs w:val="20"/>
            </w:rPr>
            <w:t>617-338-5242</w:t>
          </w:r>
        </w:p>
        <w:p w14:paraId="1F9DF220" w14:textId="77777777" w:rsidR="00590D92" w:rsidRPr="00161FBF" w:rsidRDefault="00590D92" w:rsidP="00590D92">
          <w:pPr>
            <w:pStyle w:val="Header"/>
            <w:tabs>
              <w:tab w:val="clear" w:pos="4680"/>
            </w:tabs>
            <w:rPr>
              <w:rFonts w:asciiTheme="minorHAnsi" w:hAnsiTheme="minorHAnsi" w:cstheme="minorHAnsi"/>
              <w:color w:val="000000" w:themeColor="text1"/>
              <w:sz w:val="10"/>
              <w:szCs w:val="10"/>
            </w:rPr>
          </w:pPr>
        </w:p>
        <w:p w14:paraId="095E8A5F" w14:textId="77777777" w:rsidR="00590D92" w:rsidRDefault="00590D92" w:rsidP="00590D92">
          <w:pPr>
            <w:pStyle w:val="Header"/>
            <w:tabs>
              <w:tab w:val="clear" w:pos="4680"/>
            </w:tabs>
            <w:rPr>
              <w:rFonts w:asciiTheme="minorHAnsi" w:hAnsiTheme="minorHAnsi" w:cstheme="minorHAnsi"/>
              <w:color w:val="000000" w:themeColor="text1"/>
              <w:sz w:val="20"/>
              <w:szCs w:val="20"/>
            </w:rPr>
          </w:pPr>
          <w:r w:rsidRPr="001D3709">
            <w:rPr>
              <w:rFonts w:asciiTheme="minorHAnsi" w:hAnsiTheme="minorHAnsi" w:cstheme="minorHAnsi"/>
              <w:color w:val="000000" w:themeColor="text1"/>
              <w:sz w:val="20"/>
              <w:szCs w:val="20"/>
            </w:rPr>
            <w:t>M</w:t>
          </w:r>
          <w:r>
            <w:rPr>
              <w:rFonts w:asciiTheme="minorHAnsi" w:hAnsiTheme="minorHAnsi" w:cstheme="minorHAnsi"/>
              <w:color w:val="000000" w:themeColor="text1"/>
              <w:sz w:val="20"/>
              <w:szCs w:val="20"/>
            </w:rPr>
            <w:t xml:space="preserve">ental </w:t>
          </w:r>
          <w:r w:rsidRPr="001D3709">
            <w:rPr>
              <w:rFonts w:asciiTheme="minorHAnsi" w:hAnsiTheme="minorHAnsi" w:cstheme="minorHAnsi"/>
              <w:color w:val="000000" w:themeColor="text1"/>
              <w:sz w:val="20"/>
              <w:szCs w:val="20"/>
            </w:rPr>
            <w:t>H</w:t>
          </w:r>
          <w:r>
            <w:rPr>
              <w:rFonts w:asciiTheme="minorHAnsi" w:hAnsiTheme="minorHAnsi" w:cstheme="minorHAnsi"/>
              <w:color w:val="000000" w:themeColor="text1"/>
              <w:sz w:val="20"/>
              <w:szCs w:val="20"/>
            </w:rPr>
            <w:t xml:space="preserve">ealth </w:t>
          </w:r>
          <w:r w:rsidRPr="001D3709">
            <w:rPr>
              <w:rFonts w:asciiTheme="minorHAnsi" w:hAnsiTheme="minorHAnsi" w:cstheme="minorHAnsi"/>
              <w:color w:val="000000" w:themeColor="text1"/>
              <w:sz w:val="20"/>
              <w:szCs w:val="20"/>
            </w:rPr>
            <w:t>A</w:t>
          </w:r>
          <w:r>
            <w:rPr>
              <w:rFonts w:asciiTheme="minorHAnsi" w:hAnsiTheme="minorHAnsi" w:cstheme="minorHAnsi"/>
              <w:color w:val="000000" w:themeColor="text1"/>
              <w:sz w:val="20"/>
              <w:szCs w:val="20"/>
            </w:rPr>
            <w:t>dvocacy Program for</w:t>
          </w:r>
          <w:r w:rsidRPr="001D3709">
            <w:rPr>
              <w:rFonts w:asciiTheme="minorHAnsi" w:hAnsiTheme="minorHAnsi" w:cstheme="minorHAnsi"/>
              <w:color w:val="000000" w:themeColor="text1"/>
              <w:sz w:val="20"/>
              <w:szCs w:val="20"/>
            </w:rPr>
            <w:t xml:space="preserve"> Kids:</w:t>
          </w:r>
        </w:p>
        <w:p w14:paraId="0AEF22B3" w14:textId="77777777" w:rsidR="00590D92" w:rsidRPr="001D3709" w:rsidRDefault="00590D92" w:rsidP="00590D92">
          <w:pPr>
            <w:pStyle w:val="Header"/>
            <w:tabs>
              <w:tab w:val="clear" w:pos="4680"/>
            </w:tabs>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Toll-free: </w:t>
          </w:r>
          <w:r w:rsidRPr="001D3709">
            <w:rPr>
              <w:rFonts w:asciiTheme="minorHAnsi" w:hAnsiTheme="minorHAnsi" w:cstheme="minorHAnsi"/>
              <w:color w:val="000000" w:themeColor="text1"/>
              <w:sz w:val="20"/>
              <w:szCs w:val="20"/>
            </w:rPr>
            <w:t xml:space="preserve">855-218-3965 </w:t>
          </w:r>
          <w:r w:rsidRPr="001D3709">
            <w:rPr>
              <w:rFonts w:asciiTheme="minorHAnsi" w:hAnsiTheme="minorHAnsi" w:cstheme="minorHAnsi"/>
              <w:b/>
              <w:bCs/>
              <w:color w:val="000000" w:themeColor="text1"/>
              <w:sz w:val="20"/>
              <w:szCs w:val="20"/>
            </w:rPr>
            <w:t>|</w:t>
          </w:r>
          <w:r w:rsidRPr="001D370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Fax: </w:t>
          </w:r>
          <w:r w:rsidRPr="001D3709">
            <w:rPr>
              <w:rFonts w:asciiTheme="minorHAnsi" w:hAnsiTheme="minorHAnsi" w:cstheme="minorHAnsi"/>
              <w:color w:val="000000" w:themeColor="text1"/>
              <w:sz w:val="20"/>
              <w:szCs w:val="20"/>
            </w:rPr>
            <w:t xml:space="preserve">833-915-0171 </w:t>
          </w:r>
        </w:p>
        <w:p w14:paraId="1312EBBF" w14:textId="77777777" w:rsidR="00590D92" w:rsidRPr="001D3709" w:rsidRDefault="00590D92" w:rsidP="00590D92">
          <w:pPr>
            <w:pStyle w:val="Header"/>
            <w:tabs>
              <w:tab w:val="clear" w:pos="4680"/>
            </w:tabs>
            <w:rPr>
              <w:color w:val="98012D"/>
              <w:sz w:val="20"/>
              <w:szCs w:val="20"/>
            </w:rPr>
          </w:pPr>
        </w:p>
      </w:tc>
    </w:tr>
  </w:tbl>
  <w:p w14:paraId="61E71AC2" w14:textId="77777777" w:rsidR="00590D92" w:rsidRDefault="00590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20098"/>
    <w:multiLevelType w:val="hybridMultilevel"/>
    <w:tmpl w:val="19321742"/>
    <w:lvl w:ilvl="0" w:tplc="B7D27FB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0054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CA"/>
    <w:rsid w:val="0006510B"/>
    <w:rsid w:val="000D60D0"/>
    <w:rsid w:val="000F0C47"/>
    <w:rsid w:val="000F213C"/>
    <w:rsid w:val="0011767E"/>
    <w:rsid w:val="00124081"/>
    <w:rsid w:val="00143AED"/>
    <w:rsid w:val="0015244B"/>
    <w:rsid w:val="00161FBF"/>
    <w:rsid w:val="00180D32"/>
    <w:rsid w:val="001D3709"/>
    <w:rsid w:val="001D5809"/>
    <w:rsid w:val="001E1AEC"/>
    <w:rsid w:val="00224C0D"/>
    <w:rsid w:val="00225676"/>
    <w:rsid w:val="002438CA"/>
    <w:rsid w:val="00243AA9"/>
    <w:rsid w:val="00247754"/>
    <w:rsid w:val="00253614"/>
    <w:rsid w:val="00262117"/>
    <w:rsid w:val="0034009F"/>
    <w:rsid w:val="003665C2"/>
    <w:rsid w:val="003A787A"/>
    <w:rsid w:val="003A7E09"/>
    <w:rsid w:val="003B1B16"/>
    <w:rsid w:val="003E4BA5"/>
    <w:rsid w:val="00413778"/>
    <w:rsid w:val="0042596C"/>
    <w:rsid w:val="00483E46"/>
    <w:rsid w:val="004E5DD5"/>
    <w:rsid w:val="004F4B46"/>
    <w:rsid w:val="005602A7"/>
    <w:rsid w:val="00561916"/>
    <w:rsid w:val="00563FA0"/>
    <w:rsid w:val="00590D92"/>
    <w:rsid w:val="005F76A9"/>
    <w:rsid w:val="00646C76"/>
    <w:rsid w:val="00657B1A"/>
    <w:rsid w:val="007B4759"/>
    <w:rsid w:val="007D211D"/>
    <w:rsid w:val="00814DB1"/>
    <w:rsid w:val="00820264"/>
    <w:rsid w:val="00837343"/>
    <w:rsid w:val="00840FDA"/>
    <w:rsid w:val="00854A78"/>
    <w:rsid w:val="00871FB0"/>
    <w:rsid w:val="008B5DD9"/>
    <w:rsid w:val="008F7F67"/>
    <w:rsid w:val="00960104"/>
    <w:rsid w:val="009B59DA"/>
    <w:rsid w:val="00A12154"/>
    <w:rsid w:val="00A23F4E"/>
    <w:rsid w:val="00A30C39"/>
    <w:rsid w:val="00A77D47"/>
    <w:rsid w:val="00A93286"/>
    <w:rsid w:val="00A941FD"/>
    <w:rsid w:val="00AA002D"/>
    <w:rsid w:val="00AA1041"/>
    <w:rsid w:val="00AD4094"/>
    <w:rsid w:val="00AF7D84"/>
    <w:rsid w:val="00B4084D"/>
    <w:rsid w:val="00B90862"/>
    <w:rsid w:val="00B97782"/>
    <w:rsid w:val="00C75E61"/>
    <w:rsid w:val="00D05B9C"/>
    <w:rsid w:val="00D118AC"/>
    <w:rsid w:val="00D84B3C"/>
    <w:rsid w:val="00DA2108"/>
    <w:rsid w:val="00DE3279"/>
    <w:rsid w:val="00E2106C"/>
    <w:rsid w:val="00E325AE"/>
    <w:rsid w:val="00E57875"/>
    <w:rsid w:val="00E65E41"/>
    <w:rsid w:val="00E87AC8"/>
    <w:rsid w:val="00E93E55"/>
    <w:rsid w:val="00EA2221"/>
    <w:rsid w:val="00EF102B"/>
    <w:rsid w:val="00F23669"/>
    <w:rsid w:val="00F82980"/>
    <w:rsid w:val="00FB7112"/>
    <w:rsid w:val="00FC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AC381"/>
  <w15:chartTrackingRefBased/>
  <w15:docId w15:val="{A90294D8-3458-4875-8004-79407DB8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44B"/>
    <w:pPr>
      <w:spacing w:after="0" w:line="240" w:lineRule="auto"/>
    </w:pPr>
    <w:rPr>
      <w:rFonts w:ascii="Times New Roman" w:hAnsi="Times New Roman"/>
      <w:sz w:val="24"/>
    </w:rPr>
  </w:style>
  <w:style w:type="paragraph" w:styleId="Heading1">
    <w:name w:val="heading 1"/>
    <w:link w:val="Heading1Char"/>
    <w:uiPriority w:val="9"/>
    <w:qFormat/>
    <w:rsid w:val="00A941FD"/>
    <w:pPr>
      <w:spacing w:after="0" w:line="240" w:lineRule="auto"/>
      <w:outlineLvl w:val="0"/>
    </w:pPr>
    <w:rPr>
      <w:rFonts w:ascii="Times New Roman" w:eastAsia="Times New Roman" w:hAnsi="Times New Roman" w:cs="Times New Roman"/>
      <w:color w:val="2E74B5"/>
      <w:sz w:val="32"/>
      <w:szCs w:val="32"/>
    </w:rPr>
  </w:style>
  <w:style w:type="paragraph" w:styleId="Heading2">
    <w:name w:val="heading 2"/>
    <w:link w:val="Heading2Char"/>
    <w:uiPriority w:val="9"/>
    <w:unhideWhenUsed/>
    <w:qFormat/>
    <w:rsid w:val="00A941FD"/>
    <w:pPr>
      <w:spacing w:after="0" w:line="240" w:lineRule="auto"/>
      <w:outlineLvl w:val="1"/>
    </w:pPr>
    <w:rPr>
      <w:rFonts w:ascii="Times New Roman" w:eastAsia="Times New Roman" w:hAnsi="Times New Roman"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02A7"/>
    <w:pPr>
      <w:tabs>
        <w:tab w:val="center" w:pos="4680"/>
        <w:tab w:val="right" w:pos="9360"/>
      </w:tabs>
    </w:pPr>
  </w:style>
  <w:style w:type="character" w:customStyle="1" w:styleId="HeaderChar">
    <w:name w:val="Header Char"/>
    <w:basedOn w:val="DefaultParagraphFont"/>
    <w:link w:val="Header"/>
    <w:uiPriority w:val="99"/>
    <w:rsid w:val="005602A7"/>
    <w:rPr>
      <w:rFonts w:ascii="Times New Roman" w:hAnsi="Times New Roman"/>
      <w:sz w:val="24"/>
    </w:rPr>
  </w:style>
  <w:style w:type="paragraph" w:styleId="Footer">
    <w:name w:val="footer"/>
    <w:basedOn w:val="Normal"/>
    <w:link w:val="FooterChar"/>
    <w:uiPriority w:val="99"/>
    <w:unhideWhenUsed/>
    <w:rsid w:val="005602A7"/>
    <w:pPr>
      <w:tabs>
        <w:tab w:val="center" w:pos="4680"/>
        <w:tab w:val="right" w:pos="9360"/>
      </w:tabs>
    </w:pPr>
  </w:style>
  <w:style w:type="character" w:customStyle="1" w:styleId="FooterChar">
    <w:name w:val="Footer Char"/>
    <w:basedOn w:val="DefaultParagraphFont"/>
    <w:link w:val="Footer"/>
    <w:uiPriority w:val="99"/>
    <w:rsid w:val="005602A7"/>
    <w:rPr>
      <w:rFonts w:ascii="Times New Roman" w:hAnsi="Times New Roman"/>
      <w:sz w:val="24"/>
    </w:rPr>
  </w:style>
  <w:style w:type="table" w:styleId="TableGrid">
    <w:name w:val="Table Grid"/>
    <w:basedOn w:val="TableNormal"/>
    <w:uiPriority w:val="39"/>
    <w:rsid w:val="00262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2980"/>
    <w:pPr>
      <w:spacing w:after="0" w:line="240" w:lineRule="auto"/>
    </w:pPr>
    <w:rPr>
      <w:rFonts w:ascii="Times New Roman" w:hAnsi="Times New Roman"/>
      <w:sz w:val="24"/>
    </w:rPr>
  </w:style>
  <w:style w:type="character" w:styleId="Hyperlink">
    <w:name w:val="Hyperlink"/>
    <w:basedOn w:val="DefaultParagraphFont"/>
    <w:uiPriority w:val="99"/>
    <w:unhideWhenUsed/>
    <w:rsid w:val="00124081"/>
    <w:rPr>
      <w:color w:val="0563C1" w:themeColor="hyperlink"/>
      <w:u w:val="single"/>
    </w:rPr>
  </w:style>
  <w:style w:type="character" w:styleId="UnresolvedMention">
    <w:name w:val="Unresolved Mention"/>
    <w:basedOn w:val="DefaultParagraphFont"/>
    <w:uiPriority w:val="99"/>
    <w:semiHidden/>
    <w:unhideWhenUsed/>
    <w:rsid w:val="00124081"/>
    <w:rPr>
      <w:color w:val="605E5C"/>
      <w:shd w:val="clear" w:color="auto" w:fill="E1DFDD"/>
    </w:rPr>
  </w:style>
  <w:style w:type="character" w:customStyle="1" w:styleId="Heading1Char">
    <w:name w:val="Heading 1 Char"/>
    <w:basedOn w:val="DefaultParagraphFont"/>
    <w:link w:val="Heading1"/>
    <w:uiPriority w:val="9"/>
    <w:rsid w:val="00A941FD"/>
    <w:rPr>
      <w:rFonts w:ascii="Times New Roman" w:eastAsia="Times New Roman" w:hAnsi="Times New Roman" w:cs="Times New Roman"/>
      <w:color w:val="2E74B5"/>
      <w:sz w:val="32"/>
      <w:szCs w:val="32"/>
    </w:rPr>
  </w:style>
  <w:style w:type="character" w:customStyle="1" w:styleId="Heading2Char">
    <w:name w:val="Heading 2 Char"/>
    <w:basedOn w:val="DefaultParagraphFont"/>
    <w:link w:val="Heading2"/>
    <w:uiPriority w:val="9"/>
    <w:rsid w:val="00A941FD"/>
    <w:rPr>
      <w:rFonts w:ascii="Times New Roman" w:eastAsia="Times New Roman" w:hAnsi="Times New Roman" w:cs="Times New Roman"/>
      <w:color w:val="2E74B5"/>
      <w:sz w:val="26"/>
      <w:szCs w:val="26"/>
    </w:rPr>
  </w:style>
  <w:style w:type="paragraph" w:styleId="FootnoteText">
    <w:name w:val="footnote text"/>
    <w:basedOn w:val="Normal"/>
    <w:link w:val="FootnoteTextChar"/>
    <w:uiPriority w:val="99"/>
    <w:semiHidden/>
    <w:unhideWhenUsed/>
    <w:rsid w:val="00E325AE"/>
    <w:rPr>
      <w:sz w:val="20"/>
      <w:szCs w:val="20"/>
    </w:rPr>
  </w:style>
  <w:style w:type="character" w:customStyle="1" w:styleId="FootnoteTextChar">
    <w:name w:val="Footnote Text Char"/>
    <w:basedOn w:val="DefaultParagraphFont"/>
    <w:link w:val="FootnoteText"/>
    <w:uiPriority w:val="99"/>
    <w:semiHidden/>
    <w:rsid w:val="00E325AE"/>
    <w:rPr>
      <w:rFonts w:ascii="Times New Roman" w:hAnsi="Times New Roman"/>
      <w:sz w:val="20"/>
      <w:szCs w:val="20"/>
    </w:rPr>
  </w:style>
  <w:style w:type="character" w:styleId="FootnoteReference">
    <w:name w:val="footnote reference"/>
    <w:basedOn w:val="DefaultParagraphFont"/>
    <w:uiPriority w:val="99"/>
    <w:semiHidden/>
    <w:unhideWhenUsed/>
    <w:rsid w:val="00E325AE"/>
    <w:rPr>
      <w:vertAlign w:val="superscript"/>
    </w:rPr>
  </w:style>
  <w:style w:type="paragraph" w:styleId="ListParagraph">
    <w:name w:val="List Paragraph"/>
    <w:basedOn w:val="Normal"/>
    <w:uiPriority w:val="34"/>
    <w:qFormat/>
    <w:rsid w:val="008202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brary.nclc.org/article/latest-keeping-medical-debt-out-credit-reports" TargetMode="External"/><Relationship Id="rId1" Type="http://schemas.openxmlformats.org/officeDocument/2006/relationships/hyperlink" Target="https://www.consumerfinance.gov/archive/blog/medical-debt-anything-already-paid-or-under-500-should-no-longer-be-on-your-credit-repor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875A628E719D4AA4C86C769EA59534" ma:contentTypeVersion="5" ma:contentTypeDescription="Create a new document." ma:contentTypeScope="" ma:versionID="813600cb750e9f48ccb27b0ef3a4e569">
  <xsd:schema xmlns:xsd="http://www.w3.org/2001/XMLSchema" xmlns:xs="http://www.w3.org/2001/XMLSchema" xmlns:p="http://schemas.microsoft.com/office/2006/metadata/properties" xmlns:ns3="353d4049-a6c2-4709-ba72-1f0f8f29a365" targetNamespace="http://schemas.microsoft.com/office/2006/metadata/properties" ma:root="true" ma:fieldsID="e296646acbf5255e61df094e48040ee4" ns3:_="">
    <xsd:import namespace="353d4049-a6c2-4709-ba72-1f0f8f29a36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d4049-a6c2-4709-ba72-1f0f8f29a36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537EEA-D0EB-4662-A798-E6D76F23AAEE}">
  <ds:schemaRefs>
    <ds:schemaRef ds:uri="http://schemas.openxmlformats.org/officeDocument/2006/bibliography"/>
  </ds:schemaRefs>
</ds:datastoreItem>
</file>

<file path=customXml/itemProps2.xml><?xml version="1.0" encoding="utf-8"?>
<ds:datastoreItem xmlns:ds="http://schemas.openxmlformats.org/officeDocument/2006/customXml" ds:itemID="{E112D947-E8AE-4DFB-92BA-0AB262059A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CF63A9-D193-472A-89DB-F1C935B426A1}">
  <ds:schemaRefs>
    <ds:schemaRef ds:uri="http://schemas.microsoft.com/sharepoint/v3/contenttype/forms"/>
  </ds:schemaRefs>
</ds:datastoreItem>
</file>

<file path=customXml/itemProps4.xml><?xml version="1.0" encoding="utf-8"?>
<ds:datastoreItem xmlns:ds="http://schemas.openxmlformats.org/officeDocument/2006/customXml" ds:itemID="{D331A238-423C-4A77-AAA0-AD9791784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d4049-a6c2-4709-ba72-1f0f8f29a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3</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Cedor</dc:creator>
  <cp:keywords/>
  <dc:description/>
  <cp:lastModifiedBy>Anderson, William (DPH)</cp:lastModifiedBy>
  <cp:revision>16</cp:revision>
  <cp:lastPrinted>2022-02-20T20:19:00Z</cp:lastPrinted>
  <dcterms:created xsi:type="dcterms:W3CDTF">2024-08-22T19:33:00Z</dcterms:created>
  <dcterms:modified xsi:type="dcterms:W3CDTF">2026-08-03T03:02:00Z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0x010100BD875A628E719D4AA4C86C769EA59534</vt:lpwstr>
  </property>
</Properties>
</file>