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w:t>
      </w:r>
      <w:proofErr w:type="gramStart"/>
      <w:r w:rsidRPr="3CFFC2C0">
        <w:rPr>
          <w:sz w:val="22"/>
          <w:szCs w:val="22"/>
        </w:rPr>
        <w:t>:  General</w:t>
      </w:r>
      <w:proofErr w:type="gramEnd"/>
      <w:r w:rsidRPr="3CFFC2C0">
        <w:rPr>
          <w:sz w:val="22"/>
          <w:szCs w:val="22"/>
        </w:rPr>
        <w:t xml:space="preserve"> Provisions</w:t>
      </w:r>
    </w:p>
    <w:p w14:paraId="1CA4AF1D" w14:textId="77777777" w:rsidR="00662FFE" w:rsidRPr="00741B5C" w:rsidRDefault="00662FFE" w:rsidP="00662FFE">
      <w:pPr>
        <w:rPr>
          <w:sz w:val="22"/>
        </w:rPr>
      </w:pPr>
      <w:r w:rsidRPr="00741B5C">
        <w:rPr>
          <w:sz w:val="22"/>
        </w:rPr>
        <w:t>614.02</w:t>
      </w:r>
      <w:proofErr w:type="gramStart"/>
      <w:r w:rsidRPr="00741B5C">
        <w:rPr>
          <w:sz w:val="22"/>
        </w:rPr>
        <w:t>:  Definitions</w:t>
      </w:r>
      <w:proofErr w:type="gramEnd"/>
    </w:p>
    <w:p w14:paraId="74DEB290" w14:textId="77777777" w:rsidR="00662FFE" w:rsidRPr="00741B5C" w:rsidRDefault="00662FFE" w:rsidP="00662FFE">
      <w:pPr>
        <w:rPr>
          <w:sz w:val="22"/>
        </w:rPr>
      </w:pPr>
      <w:r w:rsidRPr="00741B5C">
        <w:rPr>
          <w:sz w:val="22"/>
        </w:rPr>
        <w:t>614.03</w:t>
      </w:r>
      <w:proofErr w:type="gramStart"/>
      <w:r w:rsidRPr="00741B5C">
        <w:rPr>
          <w:sz w:val="22"/>
        </w:rPr>
        <w:t>:  Sources</w:t>
      </w:r>
      <w:proofErr w:type="gramEnd"/>
      <w:r w:rsidRPr="00741B5C">
        <w:rPr>
          <w:sz w:val="22"/>
        </w:rPr>
        <w:t xml:space="preserve"> and Uses of Funds</w:t>
      </w:r>
    </w:p>
    <w:p w14:paraId="140B92C5" w14:textId="2582299C" w:rsidR="00662FFE" w:rsidRPr="00741B5C" w:rsidRDefault="00FF209A" w:rsidP="00662FFE">
      <w:pPr>
        <w:rPr>
          <w:sz w:val="22"/>
        </w:rPr>
      </w:pPr>
      <w:r w:rsidRPr="00BC7301">
        <w:rPr>
          <w:sz w:val="22"/>
        </w:rPr>
        <w:t>(614.04</w:t>
      </w:r>
      <w:r w:rsidR="00C36767">
        <w:rPr>
          <w:sz w:val="22"/>
        </w:rPr>
        <w:t xml:space="preserve"> and </w:t>
      </w:r>
      <w:r w:rsidR="00C36767" w:rsidRPr="00741B5C">
        <w:rPr>
          <w:sz w:val="22"/>
        </w:rPr>
        <w:t>614.05</w:t>
      </w:r>
      <w:proofErr w:type="gramStart"/>
      <w:r w:rsidRPr="00BC7301">
        <w:rPr>
          <w:sz w:val="22"/>
        </w:rPr>
        <w:t xml:space="preserve">: </w:t>
      </w:r>
      <w:r w:rsidR="00E07C01">
        <w:rPr>
          <w:sz w:val="22"/>
        </w:rPr>
        <w:t xml:space="preserve"> </w:t>
      </w:r>
      <w:r w:rsidRPr="00BC7301">
        <w:rPr>
          <w:sz w:val="22"/>
        </w:rPr>
        <w:t>Reserved</w:t>
      </w:r>
      <w:proofErr w:type="gramEnd"/>
      <w:r w:rsidRPr="00BC7301">
        <w:rPr>
          <w:sz w:val="22"/>
        </w:rPr>
        <w:t>)</w:t>
      </w:r>
    </w:p>
    <w:p w14:paraId="1B0A5374" w14:textId="77777777" w:rsidR="00662FFE" w:rsidRPr="00741B5C" w:rsidRDefault="00662FFE" w:rsidP="00662FFE">
      <w:pPr>
        <w:rPr>
          <w:sz w:val="22"/>
        </w:rPr>
      </w:pPr>
      <w:r w:rsidRPr="00741B5C">
        <w:rPr>
          <w:sz w:val="22"/>
        </w:rPr>
        <w:t>614.06</w:t>
      </w:r>
      <w:proofErr w:type="gramStart"/>
      <w:r w:rsidRPr="00741B5C">
        <w:rPr>
          <w:sz w:val="22"/>
        </w:rPr>
        <w:t>:  Payments</w:t>
      </w:r>
      <w:proofErr w:type="gramEnd"/>
      <w:r w:rsidRPr="00741B5C">
        <w:rPr>
          <w:sz w:val="22"/>
        </w:rPr>
        <w:t xml:space="preserve">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w:t>
      </w:r>
      <w:proofErr w:type="gramStart"/>
      <w:r w:rsidRPr="00741B5C">
        <w:rPr>
          <w:sz w:val="22"/>
        </w:rPr>
        <w:t>:  Reporting</w:t>
      </w:r>
      <w:proofErr w:type="gramEnd"/>
      <w:r w:rsidRPr="00741B5C">
        <w:rPr>
          <w:sz w:val="22"/>
        </w:rPr>
        <w:t xml:space="preserve"> Requirements</w:t>
      </w:r>
    </w:p>
    <w:p w14:paraId="7A1ABF38" w14:textId="2BF841E0" w:rsidR="00662FFE" w:rsidRPr="00741B5C" w:rsidRDefault="00662FFE" w:rsidP="00662FFE">
      <w:pPr>
        <w:rPr>
          <w:sz w:val="22"/>
        </w:rPr>
      </w:pPr>
      <w:r w:rsidRPr="00741B5C">
        <w:rPr>
          <w:sz w:val="22"/>
        </w:rPr>
        <w:t>614.09</w:t>
      </w:r>
      <w:proofErr w:type="gramStart"/>
      <w:r w:rsidRPr="00741B5C">
        <w:rPr>
          <w:sz w:val="22"/>
        </w:rPr>
        <w:t xml:space="preserve">:  </w:t>
      </w:r>
      <w:r w:rsidR="00BC7301">
        <w:rPr>
          <w:sz w:val="22"/>
        </w:rPr>
        <w:t>Severability</w:t>
      </w:r>
      <w:proofErr w:type="gramEnd"/>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w:t>
      </w:r>
      <w:proofErr w:type="gramStart"/>
      <w:r w:rsidRPr="00415D75">
        <w:rPr>
          <w:rStyle w:val="Style11ptUnderline"/>
        </w:rPr>
        <w:t>:  General</w:t>
      </w:r>
      <w:proofErr w:type="gramEnd"/>
      <w:r w:rsidRPr="00415D75">
        <w:rPr>
          <w:rStyle w:val="Style11ptUnderline"/>
        </w:rPr>
        <w:t xml:space="preserve"> Provisions</w:t>
      </w:r>
    </w:p>
    <w:p w14:paraId="09C9A5F7" w14:textId="77777777" w:rsidR="00662FFE" w:rsidRPr="00415D75" w:rsidRDefault="00662FFE" w:rsidP="00662FFE">
      <w:pPr>
        <w:rPr>
          <w:rStyle w:val="Style11ptUnderline"/>
        </w:rPr>
      </w:pPr>
    </w:p>
    <w:p w14:paraId="17F0B41F" w14:textId="0C3F6223" w:rsidR="00662FFE" w:rsidRPr="00741B5C" w:rsidRDefault="00BC7301" w:rsidP="00BC7301">
      <w:pPr>
        <w:ind w:left="720"/>
        <w:rPr>
          <w:spacing w:val="-3"/>
          <w:sz w:val="22"/>
        </w:rPr>
      </w:pPr>
      <w:r w:rsidRPr="00EF5D60">
        <w:rPr>
          <w:rStyle w:val="Style11ptUnderline"/>
          <w:u w:val="none"/>
        </w:rPr>
        <w:t>(1</w:t>
      </w:r>
      <w:proofErr w:type="gramStart"/>
      <w:r w:rsidRPr="00EF5D60">
        <w:rPr>
          <w:rStyle w:val="Style11ptUnderline"/>
          <w:u w:val="none"/>
        </w:rPr>
        <w:t>)</w:t>
      </w:r>
      <w:r w:rsidR="00CF6BB9">
        <w:rPr>
          <w:rStyle w:val="Style11ptUnderline"/>
          <w:u w:val="none"/>
        </w:rPr>
        <w:t xml:space="preserve">  </w:t>
      </w:r>
      <w:r w:rsidR="00662FFE" w:rsidRPr="00415D75">
        <w:rPr>
          <w:rStyle w:val="Style11ptUnderline"/>
        </w:rPr>
        <w:t>Scope</w:t>
      </w:r>
      <w:proofErr w:type="gramEnd"/>
      <w:r w:rsidR="00662FFE" w:rsidRPr="00415D75">
        <w:rPr>
          <w:rStyle w:val="Style11ptUnderline"/>
        </w:rPr>
        <w:t>,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C36767">
        <w:rPr>
          <w:sz w:val="22"/>
        </w:rPr>
        <w:t>October 1</w:t>
      </w:r>
      <w:r w:rsidR="00DE7FB3">
        <w:rPr>
          <w:sz w:val="22"/>
        </w:rPr>
        <w:t>, 202</w:t>
      </w:r>
      <w:r w:rsidR="006F2F4A">
        <w:rPr>
          <w:sz w:val="22"/>
        </w:rPr>
        <w:t>5</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101 CMR 613.00</w:t>
      </w:r>
      <w:proofErr w:type="gramStart"/>
      <w:r w:rsidR="00662FFE" w:rsidRPr="00741B5C">
        <w:rPr>
          <w:sz w:val="22"/>
        </w:rPr>
        <w:t xml:space="preserve">:  </w:t>
      </w:r>
      <w:r w:rsidR="00662FFE" w:rsidRPr="00741B5C">
        <w:rPr>
          <w:i/>
          <w:sz w:val="22"/>
        </w:rPr>
        <w:t>Health</w:t>
      </w:r>
      <w:proofErr w:type="gramEnd"/>
      <w:r w:rsidR="00662FFE" w:rsidRPr="00741B5C">
        <w:rPr>
          <w:i/>
          <w:sz w:val="22"/>
        </w:rPr>
        <w:t xml:space="preserve">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proofErr w:type="gramStart"/>
      <w:r w:rsidRPr="00741B5C">
        <w:rPr>
          <w:sz w:val="22"/>
        </w:rPr>
        <w:t xml:space="preserve">)  </w:t>
      </w:r>
      <w:r w:rsidRPr="00415D75">
        <w:rPr>
          <w:rStyle w:val="Style11ptUnderline"/>
        </w:rPr>
        <w:t>Administrative</w:t>
      </w:r>
      <w:proofErr w:type="gramEnd"/>
      <w:r w:rsidRPr="00415D75">
        <w:rPr>
          <w:rStyle w:val="Style11ptUnderline"/>
        </w:rPr>
        <w:t xml:space="preser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w:t>
      </w:r>
      <w:proofErr w:type="gramStart"/>
      <w:r w:rsidRPr="00415D75">
        <w:rPr>
          <w:rStyle w:val="Style11ptUnderline"/>
        </w:rPr>
        <w:t>:  Definitions</w:t>
      </w:r>
      <w:proofErr w:type="gramEnd"/>
    </w:p>
    <w:p w14:paraId="7D5EBCDF" w14:textId="77777777" w:rsidR="00662FFE" w:rsidRPr="00415D75" w:rsidRDefault="00662FFE" w:rsidP="00662FFE">
      <w:pPr>
        <w:rPr>
          <w:rStyle w:val="Style11ptUnderline"/>
        </w:rPr>
      </w:pPr>
    </w:p>
    <w:p w14:paraId="3680B8A3" w14:textId="76A4957B" w:rsidR="00662FFE" w:rsidRPr="00741B5C" w:rsidRDefault="00662FFE" w:rsidP="006C13AA">
      <w:pPr>
        <w:ind w:left="720" w:firstLine="360"/>
        <w:rPr>
          <w:sz w:val="22"/>
        </w:rPr>
      </w:pPr>
      <w:r w:rsidRPr="00741B5C">
        <w:rPr>
          <w:sz w:val="22"/>
        </w:rPr>
        <w:t>As used in 101 CMR 614.00, unless the context otherwise requires, terms have the meanings</w:t>
      </w:r>
      <w:r w:rsidR="00365D46">
        <w:rPr>
          <w:sz w:val="22"/>
        </w:rPr>
        <w:t xml:space="preserve"> </w:t>
      </w:r>
      <w:r w:rsidR="00365D46" w:rsidRPr="00365D46">
        <w:rPr>
          <w:sz w:val="22"/>
        </w:rPr>
        <w:t>in 101 CMR 614.02</w:t>
      </w:r>
      <w:r w:rsidRPr="00741B5C">
        <w:rPr>
          <w:sz w:val="22"/>
        </w:rPr>
        <w:t xml:space="preserve">. </w:t>
      </w:r>
    </w:p>
    <w:p w14:paraId="03382859" w14:textId="77777777" w:rsidR="00662FFE" w:rsidRPr="00741B5C" w:rsidRDefault="00662FFE" w:rsidP="00662FFE">
      <w:pPr>
        <w:ind w:left="720"/>
        <w:rPr>
          <w:sz w:val="22"/>
          <w:u w:val="single"/>
        </w:rPr>
      </w:pPr>
    </w:p>
    <w:p w14:paraId="1C709DB9" w14:textId="23077570"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w:t>
      </w:r>
      <w:r w:rsidR="00A9247D">
        <w:rPr>
          <w:sz w:val="22"/>
        </w:rPr>
        <w:t xml:space="preserve">Care </w:t>
      </w:r>
      <w:r w:rsidRPr="00741B5C">
        <w:rPr>
          <w:sz w:val="22"/>
        </w:rPr>
        <w:t xml:space="preserve">Act of 1992, permitting certain grantees of federal agencies access to reduced cost drugs for their </w:t>
      </w:r>
      <w:r w:rsidR="00A9247D">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26934C79"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ospital in accordance with the standards in 130 CMR 415.000</w:t>
      </w:r>
      <w:proofErr w:type="gramStart"/>
      <w:r w:rsidRPr="583DDD7B">
        <w:rPr>
          <w:sz w:val="22"/>
          <w:szCs w:val="22"/>
        </w:rPr>
        <w:t xml:space="preserve">:  </w:t>
      </w:r>
      <w:r w:rsidRPr="583DDD7B">
        <w:rPr>
          <w:i/>
          <w:iCs/>
          <w:sz w:val="22"/>
          <w:szCs w:val="22"/>
        </w:rPr>
        <w:t>Acute</w:t>
      </w:r>
      <w:proofErr w:type="gramEnd"/>
      <w:r w:rsidRPr="583DDD7B">
        <w:rPr>
          <w:i/>
          <w:iCs/>
          <w:sz w:val="22"/>
          <w:szCs w:val="22"/>
        </w:rPr>
        <w:t xml:space="preserv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1780710D"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703116F0"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w:t>
      </w:r>
      <w:r w:rsidR="00FB1B2E">
        <w:rPr>
          <w:sz w:val="22"/>
          <w:szCs w:val="22"/>
        </w:rPr>
        <w:t>provided</w:t>
      </w:r>
      <w:r w:rsidR="00FB1B2E" w:rsidRPr="00741B5C">
        <w:rPr>
          <w:sz w:val="22"/>
          <w:szCs w:val="22"/>
        </w:rPr>
        <w:t xml:space="preserve"> </w:t>
      </w:r>
      <w:r w:rsidRPr="00741B5C">
        <w:rPr>
          <w:sz w:val="22"/>
          <w:szCs w:val="22"/>
        </w:rPr>
        <w:t xml:space="preserve">to a </w:t>
      </w:r>
      <w:r w:rsidR="00FC5B97">
        <w:rPr>
          <w:sz w:val="22"/>
          <w:szCs w:val="22"/>
        </w:rPr>
        <w:t>p</w:t>
      </w:r>
      <w:r w:rsidRPr="00741B5C">
        <w:rPr>
          <w:sz w:val="22"/>
          <w:szCs w:val="22"/>
        </w:rPr>
        <w:t>atient that is</w:t>
      </w:r>
    </w:p>
    <w:p w14:paraId="2AEF085C" w14:textId="65E56324" w:rsidR="00662FFE" w:rsidRPr="00741B5C" w:rsidRDefault="00662FFE" w:rsidP="006C13AA">
      <w:pPr>
        <w:ind w:left="1080"/>
        <w:rPr>
          <w:sz w:val="22"/>
          <w:szCs w:val="22"/>
        </w:rPr>
      </w:pPr>
      <w:r w:rsidRPr="00741B5C">
        <w:rPr>
          <w:sz w:val="22"/>
          <w:szCs w:val="22"/>
        </w:rPr>
        <w:t>(a</w:t>
      </w:r>
      <w:proofErr w:type="gramStart"/>
      <w:r w:rsidRPr="00741B5C">
        <w:rPr>
          <w:sz w:val="22"/>
          <w:szCs w:val="22"/>
        </w:rPr>
        <w:t>)  regarded</w:t>
      </w:r>
      <w:proofErr w:type="gramEnd"/>
      <w:r w:rsidRPr="00741B5C">
        <w:rPr>
          <w:sz w:val="22"/>
          <w:szCs w:val="22"/>
        </w:rPr>
        <w:t xml:space="preserve"> as uncollectible, following reasonable collection efforts consistent with the requirements in 101 CMR 613.06</w:t>
      </w:r>
      <w:proofErr w:type="gramStart"/>
      <w:r w:rsidRPr="00741B5C">
        <w:rPr>
          <w:sz w:val="22"/>
          <w:szCs w:val="22"/>
        </w:rPr>
        <w:t>:</w:t>
      </w:r>
      <w:r>
        <w:rPr>
          <w:sz w:val="22"/>
          <w:szCs w:val="22"/>
        </w:rPr>
        <w:t xml:space="preserve"> </w:t>
      </w:r>
      <w:r w:rsidR="009A6B4B">
        <w:rPr>
          <w:sz w:val="22"/>
          <w:szCs w:val="22"/>
        </w:rPr>
        <w:t xml:space="preserve"> </w:t>
      </w:r>
      <w:r w:rsidRPr="00741B5C">
        <w:rPr>
          <w:i/>
          <w:sz w:val="22"/>
          <w:szCs w:val="22"/>
        </w:rPr>
        <w:t>Allowable</w:t>
      </w:r>
      <w:proofErr w:type="gramEnd"/>
      <w:r w:rsidRPr="00741B5C">
        <w:rPr>
          <w:i/>
          <w:sz w:val="22"/>
          <w:szCs w:val="22"/>
        </w:rPr>
        <w:t xml:space="preserve"> Bad Debt</w:t>
      </w:r>
      <w:r w:rsidRPr="00741B5C">
        <w:rPr>
          <w:sz w:val="22"/>
          <w:szCs w:val="22"/>
        </w:rPr>
        <w:t>;</w:t>
      </w:r>
    </w:p>
    <w:p w14:paraId="2F208365" w14:textId="4297B126" w:rsidR="00662FFE" w:rsidRPr="00741B5C" w:rsidRDefault="00662FFE" w:rsidP="00662FFE">
      <w:pPr>
        <w:ind w:left="1080"/>
        <w:rPr>
          <w:sz w:val="22"/>
          <w:szCs w:val="22"/>
        </w:rPr>
      </w:pPr>
      <w:r w:rsidRPr="00741B5C">
        <w:rPr>
          <w:sz w:val="22"/>
          <w:szCs w:val="22"/>
        </w:rPr>
        <w:t>(b</w:t>
      </w:r>
      <w:proofErr w:type="gramStart"/>
      <w:r w:rsidRPr="00741B5C">
        <w:rPr>
          <w:sz w:val="22"/>
          <w:szCs w:val="22"/>
        </w:rPr>
        <w:t>)  charged</w:t>
      </w:r>
      <w:proofErr w:type="gramEnd"/>
      <w:r w:rsidRPr="00741B5C">
        <w:rPr>
          <w:sz w:val="22"/>
          <w:szCs w:val="22"/>
        </w:rPr>
        <w:t xml:space="preserve"> as a credit loss;</w:t>
      </w:r>
    </w:p>
    <w:p w14:paraId="0D5D8898" w14:textId="7019CE53" w:rsidR="00662FFE" w:rsidRPr="00741B5C" w:rsidRDefault="00662FFE" w:rsidP="00662FFE">
      <w:pPr>
        <w:ind w:left="1080"/>
        <w:rPr>
          <w:sz w:val="22"/>
          <w:szCs w:val="22"/>
        </w:rPr>
      </w:pPr>
      <w:r w:rsidRPr="00741B5C">
        <w:rPr>
          <w:sz w:val="22"/>
          <w:szCs w:val="22"/>
        </w:rPr>
        <w:t>(c</w:t>
      </w:r>
      <w:proofErr w:type="gramStart"/>
      <w:r w:rsidRPr="00741B5C">
        <w:rPr>
          <w:sz w:val="22"/>
          <w:szCs w:val="22"/>
        </w:rPr>
        <w:t>)  not</w:t>
      </w:r>
      <w:proofErr w:type="gramEnd"/>
      <w:r w:rsidRPr="00741B5C">
        <w:rPr>
          <w:sz w:val="22"/>
          <w:szCs w:val="22"/>
        </w:rPr>
        <w:t xml:space="preserve"> the obligation of a governmental unit or the federal government or any agency thereof; and</w:t>
      </w:r>
    </w:p>
    <w:p w14:paraId="584DECF5" w14:textId="3D28249C" w:rsidR="00662FFE" w:rsidRPr="00741B5C" w:rsidRDefault="00662FFE" w:rsidP="00662FFE">
      <w:pPr>
        <w:ind w:left="1080"/>
        <w:rPr>
          <w:sz w:val="22"/>
          <w:szCs w:val="22"/>
        </w:rPr>
      </w:pPr>
      <w:r w:rsidRPr="00741B5C">
        <w:rPr>
          <w:sz w:val="22"/>
          <w:szCs w:val="22"/>
        </w:rPr>
        <w:t>(d</w:t>
      </w:r>
      <w:proofErr w:type="gramStart"/>
      <w:r w:rsidRPr="00741B5C">
        <w:rPr>
          <w:sz w:val="22"/>
          <w:szCs w:val="22"/>
        </w:rPr>
        <w:t>)  not</w:t>
      </w:r>
      <w:proofErr w:type="gramEnd"/>
      <w:r w:rsidRPr="00741B5C">
        <w:rPr>
          <w:sz w:val="22"/>
          <w:szCs w:val="22"/>
        </w:rPr>
        <w:t xml:space="preserve">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48115541"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5C007D9F"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w:t>
      </w:r>
      <w:proofErr w:type="gramStart"/>
      <w:r w:rsidRPr="00741B5C">
        <w:rPr>
          <w:sz w:val="22"/>
        </w:rPr>
        <w:t>charged</w:t>
      </w:r>
      <w:proofErr w:type="gramEnd"/>
      <w:r w:rsidRPr="00741B5C">
        <w:rPr>
          <w:sz w:val="22"/>
        </w:rPr>
        <w:t xml:space="preserve">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5F075DDC"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w:t>
      </w:r>
      <w:proofErr w:type="gramStart"/>
      <w:r w:rsidRPr="00741B5C">
        <w:rPr>
          <w:sz w:val="22"/>
        </w:rPr>
        <w:t>)  be</w:t>
      </w:r>
      <w:proofErr w:type="gramEnd"/>
      <w:r w:rsidRPr="00741B5C">
        <w:rPr>
          <w:sz w:val="22"/>
        </w:rPr>
        <w:t xml:space="preserve"> licensed as a freestanding clinic by the Massachusetts Department of Public Health pursuant to M.G.L. c. 111, § 51;</w:t>
      </w:r>
    </w:p>
    <w:p w14:paraId="5B8FB50E" w14:textId="38A8B0F1" w:rsidR="00662FFE" w:rsidRPr="00741B5C" w:rsidRDefault="00662FFE" w:rsidP="002D4AC4">
      <w:pPr>
        <w:tabs>
          <w:tab w:val="left" w:pos="-720"/>
          <w:tab w:val="left" w:pos="1440"/>
          <w:tab w:val="left" w:pos="2160"/>
        </w:tabs>
        <w:suppressAutoHyphens/>
        <w:ind w:left="1080"/>
        <w:rPr>
          <w:sz w:val="22"/>
        </w:rPr>
      </w:pPr>
      <w:r w:rsidRPr="00741B5C">
        <w:rPr>
          <w:sz w:val="22"/>
        </w:rPr>
        <w:t>(b</w:t>
      </w:r>
      <w:proofErr w:type="gramStart"/>
      <w:r w:rsidRPr="00741B5C">
        <w:rPr>
          <w:sz w:val="22"/>
        </w:rPr>
        <w:t>)  meet</w:t>
      </w:r>
      <w:proofErr w:type="gramEnd"/>
      <w:r w:rsidRPr="00741B5C">
        <w:rPr>
          <w:sz w:val="22"/>
        </w:rPr>
        <w:t xml:space="preserve">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w:t>
      </w:r>
      <w:proofErr w:type="gramStart"/>
      <w:r w:rsidRPr="00741B5C">
        <w:rPr>
          <w:sz w:val="22"/>
        </w:rPr>
        <w:t xml:space="preserve">:  </w:t>
      </w:r>
      <w:r w:rsidRPr="00741B5C">
        <w:rPr>
          <w:i/>
          <w:sz w:val="22"/>
        </w:rPr>
        <w:t>Community</w:t>
      </w:r>
      <w:proofErr w:type="gramEnd"/>
      <w:r w:rsidRPr="00741B5C">
        <w:rPr>
          <w:i/>
          <w:sz w:val="22"/>
        </w:rPr>
        <w:t xml:space="preserve"> Health Center Services</w:t>
      </w:r>
      <w:r w:rsidRPr="00741B5C">
        <w:rPr>
          <w:sz w:val="22"/>
        </w:rPr>
        <w:t>; and</w:t>
      </w:r>
    </w:p>
    <w:p w14:paraId="39673150" w14:textId="3AF1F349" w:rsidR="4F71FC1A" w:rsidRDefault="00662FFE" w:rsidP="17F5B3A3">
      <w:pPr>
        <w:tabs>
          <w:tab w:val="left" w:pos="1440"/>
          <w:tab w:val="left" w:pos="2160"/>
        </w:tabs>
        <w:ind w:left="1080"/>
        <w:rPr>
          <w:b/>
          <w:sz w:val="22"/>
          <w:szCs w:val="22"/>
        </w:rPr>
      </w:pPr>
      <w:r w:rsidRPr="46235898">
        <w:rPr>
          <w:sz w:val="22"/>
          <w:szCs w:val="22"/>
        </w:rPr>
        <w:t>(c)  operate in conformance with the requirements of 42 U.S.C. § 254b.</w:t>
      </w:r>
    </w:p>
    <w:p w14:paraId="0B67AE72" w14:textId="77777777" w:rsidR="00F665F1" w:rsidRDefault="00F665F1" w:rsidP="00003785">
      <w:pPr>
        <w:rPr>
          <w:rStyle w:val="Style11ptUnderline"/>
        </w:rPr>
      </w:pPr>
    </w:p>
    <w:p w14:paraId="3FE0B031" w14:textId="0E1B1AB1"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proofErr w:type="gramStart"/>
      <w:r w:rsidR="00FC5B97">
        <w:rPr>
          <w:sz w:val="22"/>
          <w:szCs w:val="22"/>
        </w:rPr>
        <w:t>m</w:t>
      </w:r>
      <w:r w:rsidR="00447398">
        <w:rPr>
          <w:sz w:val="22"/>
          <w:szCs w:val="22"/>
        </w:rPr>
        <w:t>ix</w:t>
      </w:r>
      <w:proofErr w:type="gramEnd"/>
      <w:r w:rsidR="00447398">
        <w:rPr>
          <w:sz w:val="22"/>
          <w:szCs w:val="22"/>
        </w:rPr>
        <w:t xml:space="preserve"> </w:t>
      </w:r>
      <w:r w:rsidRPr="583DDD7B">
        <w:rPr>
          <w:sz w:val="22"/>
          <w:szCs w:val="22"/>
        </w:rPr>
        <w:t>of 63%</w:t>
      </w:r>
      <w:r w:rsidR="00447398">
        <w:rPr>
          <w:sz w:val="22"/>
          <w:szCs w:val="22"/>
        </w:rPr>
        <w:t>.</w:t>
      </w:r>
    </w:p>
    <w:p w14:paraId="29D418A6" w14:textId="40DBA782" w:rsidR="00662FFE" w:rsidRPr="00741B5C" w:rsidRDefault="00662FFE" w:rsidP="00F70BEE">
      <w:pPr>
        <w:ind w:left="720"/>
        <w:rPr>
          <w:sz w:val="22"/>
        </w:rPr>
      </w:pPr>
    </w:p>
    <w:p w14:paraId="48C271C5" w14:textId="352FCD23"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proofErr w:type="gramStart"/>
      <w:r w:rsidRPr="00741B5C">
        <w:rPr>
          <w:spacing w:val="-3"/>
          <w:sz w:val="22"/>
        </w:rPr>
        <w:t>:</w:t>
      </w:r>
      <w:r>
        <w:rPr>
          <w:spacing w:val="-3"/>
          <w:sz w:val="22"/>
        </w:rPr>
        <w:t xml:space="preserve"> </w:t>
      </w:r>
      <w:r w:rsidR="005C7099">
        <w:rPr>
          <w:spacing w:val="-3"/>
          <w:sz w:val="22"/>
        </w:rPr>
        <w:t xml:space="preserve"> </w:t>
      </w:r>
      <w:r w:rsidRPr="003A3D71">
        <w:rPr>
          <w:i/>
          <w:spacing w:val="-3"/>
          <w:sz w:val="22"/>
        </w:rPr>
        <w:t>Eligible</w:t>
      </w:r>
      <w:proofErr w:type="gramEnd"/>
      <w:r w:rsidRPr="003A3D71">
        <w:rPr>
          <w:i/>
          <w:spacing w:val="-3"/>
          <w:sz w:val="22"/>
        </w:rPr>
        <w:t xml:space="preserv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E7183A9" w:rsidR="00662FFE" w:rsidRDefault="00662FFE" w:rsidP="00662FFE">
      <w:pPr>
        <w:ind w:left="1080"/>
        <w:rPr>
          <w:spacing w:val="-3"/>
          <w:sz w:val="22"/>
        </w:rPr>
      </w:pPr>
      <w:r w:rsidRPr="00741B5C">
        <w:rPr>
          <w:spacing w:val="-3"/>
          <w:sz w:val="22"/>
        </w:rPr>
        <w:t>(</w:t>
      </w:r>
      <w:r>
        <w:rPr>
          <w:spacing w:val="-3"/>
          <w:sz w:val="22"/>
        </w:rPr>
        <w:t>a</w:t>
      </w:r>
      <w:proofErr w:type="gramStart"/>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eimbursable</w:t>
      </w:r>
      <w:proofErr w:type="gramEnd"/>
      <w:r w:rsidRPr="00741B5C">
        <w:rPr>
          <w:spacing w:val="-3"/>
          <w:sz w:val="22"/>
        </w:rPr>
        <w:t xml:space="preserv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proofErr w:type="gramStart"/>
      <w:r w:rsidR="00FC5B97">
        <w:rPr>
          <w:spacing w:val="-3"/>
          <w:sz w:val="22"/>
        </w:rPr>
        <w:t>l</w:t>
      </w:r>
      <w:r w:rsidRPr="00415D75">
        <w:rPr>
          <w:spacing w:val="-3"/>
          <w:sz w:val="22"/>
        </w:rPr>
        <w:t xml:space="preserve">ow </w:t>
      </w:r>
      <w:r w:rsidR="00FC5B97">
        <w:rPr>
          <w:spacing w:val="-3"/>
          <w:sz w:val="22"/>
        </w:rPr>
        <w:t>i</w:t>
      </w:r>
      <w:r w:rsidRPr="00415D75">
        <w:rPr>
          <w:spacing w:val="-3"/>
          <w:sz w:val="22"/>
        </w:rPr>
        <w:t>ncome</w:t>
      </w:r>
      <w:proofErr w:type="gramEnd"/>
      <w:r w:rsidRPr="00415D75">
        <w:rPr>
          <w:spacing w:val="-3"/>
          <w:sz w:val="22"/>
        </w:rPr>
        <w:t xml:space="preserve"> </w:t>
      </w:r>
      <w:r w:rsidR="00FC5B97">
        <w:rPr>
          <w:spacing w:val="-3"/>
          <w:sz w:val="22"/>
        </w:rPr>
        <w:t>p</w:t>
      </w:r>
      <w:r w:rsidRPr="00415D75">
        <w:rPr>
          <w:spacing w:val="-3"/>
          <w:sz w:val="22"/>
        </w:rPr>
        <w:t>atients</w:t>
      </w:r>
      <w:r>
        <w:rPr>
          <w:spacing w:val="-3"/>
          <w:sz w:val="22"/>
        </w:rPr>
        <w:t>;</w:t>
      </w:r>
    </w:p>
    <w:p w14:paraId="40006B79" w14:textId="42FD948A" w:rsidR="00662FFE" w:rsidRDefault="00662FFE" w:rsidP="00662FFE">
      <w:pPr>
        <w:ind w:left="1080"/>
        <w:rPr>
          <w:spacing w:val="-3"/>
          <w:sz w:val="22"/>
        </w:rPr>
      </w:pPr>
      <w:r w:rsidRPr="00741B5C">
        <w:rPr>
          <w:spacing w:val="-3"/>
          <w:sz w:val="22"/>
        </w:rPr>
        <w:t>(</w:t>
      </w:r>
      <w:r>
        <w:rPr>
          <w:spacing w:val="-3"/>
          <w:sz w:val="22"/>
        </w:rPr>
        <w:t>b</w:t>
      </w:r>
      <w:proofErr w:type="gramStart"/>
      <w:r w:rsidRPr="00741B5C">
        <w:rPr>
          <w:spacing w:val="-3"/>
          <w:sz w:val="22"/>
        </w:rPr>
        <w:t xml:space="preserve">) </w:t>
      </w:r>
      <w:r>
        <w:rPr>
          <w:spacing w:val="-3"/>
          <w:sz w:val="22"/>
        </w:rPr>
        <w:t xml:space="preserve"> </w:t>
      </w:r>
      <w:r w:rsidR="00003785">
        <w:rPr>
          <w:spacing w:val="-3"/>
          <w:sz w:val="22"/>
        </w:rPr>
        <w:t>m</w:t>
      </w:r>
      <w:r w:rsidRPr="00741B5C">
        <w:rPr>
          <w:spacing w:val="-3"/>
          <w:sz w:val="22"/>
        </w:rPr>
        <w:t>edical</w:t>
      </w:r>
      <w:proofErr w:type="gramEnd"/>
      <w:r w:rsidRPr="00741B5C">
        <w:rPr>
          <w:spacing w:val="-3"/>
          <w:sz w:val="22"/>
        </w:rPr>
        <w:t xml:space="preserve">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34C58C75" w:rsidR="00662FFE" w:rsidRPr="00741B5C" w:rsidRDefault="00662FFE" w:rsidP="00662FFE">
      <w:pPr>
        <w:ind w:left="1080"/>
        <w:rPr>
          <w:sz w:val="22"/>
        </w:rPr>
      </w:pPr>
      <w:r w:rsidRPr="00741B5C">
        <w:rPr>
          <w:spacing w:val="-3"/>
          <w:sz w:val="22"/>
        </w:rPr>
        <w:t>(</w:t>
      </w:r>
      <w:r>
        <w:rPr>
          <w:spacing w:val="-3"/>
          <w:sz w:val="22"/>
        </w:rPr>
        <w:t>c</w:t>
      </w:r>
      <w:proofErr w:type="gramStart"/>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ad</w:t>
      </w:r>
      <w:proofErr w:type="gramEnd"/>
      <w:r w:rsidRPr="00741B5C">
        <w:rPr>
          <w:spacing w:val="-3"/>
          <w:sz w:val="22"/>
        </w:rPr>
        <w:t xml:space="preserve">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59B1707D"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ervices that meets the criteria set forth in 101 CMR 613.06</w:t>
      </w:r>
      <w:proofErr w:type="gramStart"/>
      <w:r w:rsidRPr="00741B5C">
        <w:rPr>
          <w:sz w:val="22"/>
        </w:rPr>
        <w:t xml:space="preserve">: </w:t>
      </w:r>
      <w:r w:rsidR="005C7099">
        <w:rPr>
          <w:sz w:val="22"/>
        </w:rPr>
        <w:t xml:space="preserve"> </w:t>
      </w:r>
      <w:r w:rsidRPr="00741B5C">
        <w:rPr>
          <w:i/>
          <w:spacing w:val="-3"/>
          <w:sz w:val="22"/>
        </w:rPr>
        <w:t>Allowable</w:t>
      </w:r>
      <w:proofErr w:type="gramEnd"/>
      <w:r w:rsidRPr="00741B5C">
        <w:rPr>
          <w:i/>
          <w:spacing w:val="-3"/>
          <w:sz w:val="22"/>
        </w:rPr>
        <w:t xml:space="preserve"> Bad Debt</w:t>
      </w:r>
      <w:r w:rsidRPr="00741B5C">
        <w:rPr>
          <w:sz w:val="22"/>
        </w:rPr>
        <w:t>.</w:t>
      </w:r>
    </w:p>
    <w:p w14:paraId="25653CE8" w14:textId="77777777" w:rsidR="00664404" w:rsidRPr="00741B5C" w:rsidRDefault="00664404" w:rsidP="00664404">
      <w:pPr>
        <w:ind w:left="720"/>
        <w:rPr>
          <w:spacing w:val="-3"/>
          <w:sz w:val="22"/>
        </w:rPr>
      </w:pPr>
    </w:p>
    <w:p w14:paraId="37DE487A" w14:textId="6B34A110"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proofErr w:type="gramStart"/>
      <w:r w:rsidR="00CB5D8C" w:rsidRPr="00741B5C">
        <w:rPr>
          <w:spacing w:val="-3"/>
          <w:sz w:val="22"/>
        </w:rPr>
        <w:t>:</w:t>
      </w:r>
      <w:r w:rsidR="00CB5D8C">
        <w:rPr>
          <w:spacing w:val="-3"/>
          <w:sz w:val="22"/>
        </w:rPr>
        <w:t xml:space="preserve"> </w:t>
      </w:r>
      <w:r w:rsidR="005C7099">
        <w:rPr>
          <w:spacing w:val="-3"/>
          <w:sz w:val="22"/>
        </w:rPr>
        <w:t xml:space="preserve"> </w:t>
      </w:r>
      <w:r w:rsidR="00CB5D8C" w:rsidRPr="003A3D71">
        <w:rPr>
          <w:i/>
          <w:spacing w:val="-3"/>
          <w:sz w:val="22"/>
        </w:rPr>
        <w:t>Eligible</w:t>
      </w:r>
      <w:proofErr w:type="gramEnd"/>
      <w:r w:rsidR="00CB5D8C" w:rsidRPr="003A3D71">
        <w:rPr>
          <w:i/>
          <w:spacing w:val="-3"/>
          <w:sz w:val="22"/>
        </w:rPr>
        <w:t xml:space="preserv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08E2EBA2"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497C1223"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xml:space="preserve">.  The </w:t>
      </w:r>
      <w:proofErr w:type="gramStart"/>
      <w:r w:rsidRPr="00741B5C">
        <w:rPr>
          <w:sz w:val="22"/>
        </w:rPr>
        <w:t>time period</w:t>
      </w:r>
      <w:proofErr w:type="gramEnd"/>
      <w:r w:rsidRPr="00741B5C">
        <w:rPr>
          <w:sz w:val="22"/>
        </w:rPr>
        <w:t xml:space="preserve"> of 12 months </w:t>
      </w:r>
      <w:proofErr w:type="gramStart"/>
      <w:r w:rsidRPr="00741B5C">
        <w:rPr>
          <w:sz w:val="22"/>
        </w:rPr>
        <w:t>beginning</w:t>
      </w:r>
      <w:proofErr w:type="gramEnd"/>
      <w:r w:rsidRPr="00741B5C">
        <w:rPr>
          <w:sz w:val="22"/>
        </w:rPr>
        <w:t xml:space="preserve"> on October 1</w:t>
      </w:r>
      <w:r w:rsidRPr="00741B5C">
        <w:rPr>
          <w:sz w:val="22"/>
          <w:vertAlign w:val="superscript"/>
        </w:rPr>
        <w:t>st</w:t>
      </w:r>
      <w:r w:rsidRPr="00741B5C">
        <w:rPr>
          <w:sz w:val="22"/>
        </w:rPr>
        <w:t xml:space="preserve"> of any calendar year and </w:t>
      </w:r>
      <w:proofErr w:type="gramStart"/>
      <w:r w:rsidRPr="00741B5C">
        <w:rPr>
          <w:sz w:val="22"/>
        </w:rPr>
        <w:t>ending</w:t>
      </w:r>
      <w:proofErr w:type="gramEnd"/>
      <w:r w:rsidRPr="00741B5C">
        <w:rPr>
          <w:sz w:val="22"/>
        </w:rPr>
        <w:t xml:space="preserve">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5C37D964"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67426701"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w:t>
      </w:r>
      <w:proofErr w:type="gramStart"/>
      <w:r w:rsidRPr="00741B5C">
        <w:rPr>
          <w:sz w:val="22"/>
        </w:rPr>
        <w:t>persons</w:t>
      </w:r>
      <w:proofErr w:type="gramEnd"/>
      <w:r w:rsidRPr="00741B5C">
        <w:rPr>
          <w:sz w:val="22"/>
        </w:rPr>
        <w:t xml:space="preserve"> who assumes the responsibility of payment for all or part of an </w:t>
      </w:r>
      <w:r w:rsidR="00C12D57">
        <w:rPr>
          <w:sz w:val="22"/>
        </w:rPr>
        <w:t>a</w:t>
      </w:r>
      <w:r w:rsidRPr="00741B5C">
        <w:rPr>
          <w:sz w:val="22"/>
        </w:rPr>
        <w:t xml:space="preserve">cute </w:t>
      </w:r>
      <w:proofErr w:type="gramStart"/>
      <w:r w:rsidR="00C12D57">
        <w:rPr>
          <w:sz w:val="22"/>
        </w:rPr>
        <w:t>h</w:t>
      </w:r>
      <w:r w:rsidRPr="00741B5C">
        <w:rPr>
          <w:sz w:val="22"/>
        </w:rPr>
        <w:t>ospital’s</w:t>
      </w:r>
      <w:proofErr w:type="gramEnd"/>
      <w:r w:rsidRPr="00741B5C">
        <w:rPr>
          <w:sz w:val="22"/>
        </w:rPr>
        <w:t xml:space="preserve">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w:t>
      </w:r>
      <w:proofErr w:type="gramStart"/>
      <w:r w:rsidRPr="0027690C">
        <w:rPr>
          <w:spacing w:val="-3"/>
          <w:sz w:val="22"/>
        </w:rPr>
        <w:t>established</w:t>
      </w:r>
      <w:proofErr w:type="gramEnd"/>
      <w:r w:rsidRPr="0027690C">
        <w:rPr>
          <w:spacing w:val="-3"/>
          <w:sz w:val="22"/>
        </w:rPr>
        <w:t xml:space="preserve">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79766DAC"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xml:space="preserve">.  The office within the Office of Medicaid </w:t>
      </w:r>
      <w:proofErr w:type="gramStart"/>
      <w:r w:rsidRPr="00741B5C">
        <w:rPr>
          <w:spacing w:val="-3"/>
          <w:sz w:val="22"/>
        </w:rPr>
        <w:t>established</w:t>
      </w:r>
      <w:proofErr w:type="gramEnd"/>
      <w:r w:rsidRPr="00741B5C">
        <w:rPr>
          <w:spacing w:val="-3"/>
          <w:sz w:val="22"/>
        </w:rPr>
        <w:t xml:space="preserve">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xml:space="preserve">.  The fund </w:t>
      </w:r>
      <w:proofErr w:type="gramStart"/>
      <w:r w:rsidRPr="00741B5C">
        <w:rPr>
          <w:sz w:val="22"/>
        </w:rPr>
        <w:t>established</w:t>
      </w:r>
      <w:proofErr w:type="gramEnd"/>
      <w:r w:rsidRPr="00741B5C">
        <w:rPr>
          <w:sz w:val="22"/>
        </w:rPr>
        <w:t xml:space="preserve">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proofErr w:type="gramStart"/>
      <w:r w:rsidRPr="00741B5C">
        <w:rPr>
          <w:spacing w:val="-3"/>
          <w:sz w:val="22"/>
        </w:rPr>
        <w:t>)</w:t>
      </w:r>
      <w:r>
        <w:rPr>
          <w:spacing w:val="-3"/>
          <w:sz w:val="22"/>
        </w:rPr>
        <w:t xml:space="preserve"> </w:t>
      </w:r>
      <w:r w:rsidRPr="00741B5C">
        <w:rPr>
          <w:spacing w:val="-3"/>
          <w:sz w:val="22"/>
        </w:rPr>
        <w:t xml:space="preserve"> nonmedical</w:t>
      </w:r>
      <w:proofErr w:type="gramEnd"/>
      <w:r w:rsidRPr="00741B5C">
        <w:rPr>
          <w:spacing w:val="-3"/>
          <w:sz w:val="22"/>
        </w:rPr>
        <w:t xml:space="preserve"> services, such as social, educational</w:t>
      </w:r>
      <w:r>
        <w:rPr>
          <w:spacing w:val="-3"/>
          <w:sz w:val="22"/>
        </w:rPr>
        <w:t>,</w:t>
      </w:r>
      <w:r w:rsidRPr="00741B5C">
        <w:rPr>
          <w:spacing w:val="-3"/>
          <w:sz w:val="22"/>
        </w:rPr>
        <w:t xml:space="preserve"> and vocational services;</w:t>
      </w:r>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proofErr w:type="gramStart"/>
      <w:r w:rsidRPr="00741B5C">
        <w:rPr>
          <w:spacing w:val="-3"/>
          <w:sz w:val="22"/>
        </w:rPr>
        <w:t>)</w:t>
      </w:r>
      <w:r>
        <w:rPr>
          <w:spacing w:val="-3"/>
          <w:sz w:val="22"/>
        </w:rPr>
        <w:t xml:space="preserve"> </w:t>
      </w:r>
      <w:r w:rsidRPr="00741B5C">
        <w:rPr>
          <w:spacing w:val="-3"/>
          <w:sz w:val="22"/>
        </w:rPr>
        <w:t xml:space="preserve"> cosmetic</w:t>
      </w:r>
      <w:proofErr w:type="gramEnd"/>
      <w:r w:rsidRPr="00741B5C">
        <w:rPr>
          <w:spacing w:val="-3"/>
          <w:sz w:val="22"/>
        </w:rPr>
        <w:t xml:space="preserve"> surgery;</w:t>
      </w:r>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(c</w:t>
      </w:r>
      <w:proofErr w:type="gramStart"/>
      <w:r w:rsidRPr="00741B5C">
        <w:rPr>
          <w:spacing w:val="-3"/>
          <w:sz w:val="22"/>
        </w:rPr>
        <w:t xml:space="preserve">) </w:t>
      </w:r>
      <w:r>
        <w:rPr>
          <w:spacing w:val="-3"/>
          <w:sz w:val="22"/>
        </w:rPr>
        <w:t xml:space="preserve"> </w:t>
      </w:r>
      <w:r w:rsidRPr="00741B5C">
        <w:rPr>
          <w:spacing w:val="-3"/>
          <w:sz w:val="22"/>
        </w:rPr>
        <w:t>canceled</w:t>
      </w:r>
      <w:proofErr w:type="gramEnd"/>
      <w:r w:rsidRPr="00741B5C">
        <w:rPr>
          <w:spacing w:val="-3"/>
          <w:sz w:val="22"/>
        </w:rPr>
        <w:t xml:space="preserve"> or missed appointments;</w:t>
      </w:r>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proofErr w:type="gramStart"/>
      <w:r w:rsidRPr="00741B5C">
        <w:rPr>
          <w:spacing w:val="-3"/>
          <w:sz w:val="22"/>
        </w:rPr>
        <w:t>)</w:t>
      </w:r>
      <w:r>
        <w:rPr>
          <w:spacing w:val="-3"/>
          <w:sz w:val="22"/>
        </w:rPr>
        <w:t xml:space="preserve"> </w:t>
      </w:r>
      <w:r w:rsidRPr="00741B5C">
        <w:rPr>
          <w:spacing w:val="-3"/>
          <w:sz w:val="22"/>
        </w:rPr>
        <w:t xml:space="preserve"> telephone</w:t>
      </w:r>
      <w:proofErr w:type="gramEnd"/>
      <w:r w:rsidRPr="00741B5C">
        <w:rPr>
          <w:spacing w:val="-3"/>
          <w:sz w:val="22"/>
        </w:rPr>
        <w:t xml:space="preserve"> conversations and consultations;</w:t>
      </w:r>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proofErr w:type="gramStart"/>
      <w:r w:rsidRPr="00741B5C">
        <w:rPr>
          <w:spacing w:val="-3"/>
          <w:sz w:val="22"/>
        </w:rPr>
        <w:t>)</w:t>
      </w:r>
      <w:r>
        <w:rPr>
          <w:spacing w:val="-3"/>
          <w:sz w:val="22"/>
        </w:rPr>
        <w:t xml:space="preserve"> </w:t>
      </w:r>
      <w:r w:rsidRPr="00741B5C">
        <w:rPr>
          <w:spacing w:val="-3"/>
          <w:sz w:val="22"/>
        </w:rPr>
        <w:t xml:space="preserve"> court</w:t>
      </w:r>
      <w:proofErr w:type="gramEnd"/>
      <w:r w:rsidRPr="00741B5C">
        <w:rPr>
          <w:spacing w:val="-3"/>
          <w:sz w:val="22"/>
        </w:rPr>
        <w:t xml:space="preserve"> testimony;</w:t>
      </w:r>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proofErr w:type="gramStart"/>
      <w:r w:rsidRPr="00741B5C">
        <w:rPr>
          <w:spacing w:val="-3"/>
          <w:sz w:val="22"/>
        </w:rPr>
        <w:t>)</w:t>
      </w:r>
      <w:r>
        <w:rPr>
          <w:spacing w:val="-3"/>
          <w:sz w:val="22"/>
        </w:rPr>
        <w:t xml:space="preserve"> </w:t>
      </w:r>
      <w:r w:rsidRPr="00741B5C">
        <w:rPr>
          <w:spacing w:val="-3"/>
          <w:sz w:val="22"/>
        </w:rPr>
        <w:t xml:space="preserve"> research</w:t>
      </w:r>
      <w:proofErr w:type="gramEnd"/>
      <w:r w:rsidRPr="00741B5C">
        <w:rPr>
          <w:spacing w:val="-3"/>
          <w:sz w:val="22"/>
        </w:rPr>
        <w:t xml:space="preserve"> or the provision of experimental or unproven procedures; and</w:t>
      </w:r>
    </w:p>
    <w:p w14:paraId="52DB72A7" w14:textId="2B0EC13B"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proofErr w:type="gramStart"/>
      <w:r w:rsidRPr="00741B5C">
        <w:rPr>
          <w:spacing w:val="-3"/>
          <w:sz w:val="22"/>
        </w:rPr>
        <w:t>)</w:t>
      </w:r>
      <w:r>
        <w:rPr>
          <w:spacing w:val="-3"/>
          <w:sz w:val="22"/>
        </w:rPr>
        <w:t xml:space="preserve"> </w:t>
      </w:r>
      <w:r w:rsidRPr="00741B5C">
        <w:rPr>
          <w:spacing w:val="-3"/>
          <w:sz w:val="22"/>
        </w:rPr>
        <w:t xml:space="preserve"> the</w:t>
      </w:r>
      <w:proofErr w:type="gramEnd"/>
      <w:r w:rsidRPr="00741B5C">
        <w:rPr>
          <w:spacing w:val="-3"/>
          <w:sz w:val="22"/>
        </w:rPr>
        <w:t xml:space="preserve"> provision of whole blood, but the administrative and processing costs associated with the provision of blood and its derivatives are payable.</w:t>
      </w:r>
    </w:p>
    <w:p w14:paraId="09B69832" w14:textId="77777777" w:rsidR="00662FFE" w:rsidRPr="00741B5C" w:rsidDel="00B41F36" w:rsidRDefault="00662FFE" w:rsidP="00662FFE">
      <w:pPr>
        <w:tabs>
          <w:tab w:val="left" w:pos="1080"/>
          <w:tab w:val="left" w:pos="1800"/>
          <w:tab w:val="left" w:pos="2520"/>
          <w:tab w:val="left" w:pos="3240"/>
          <w:tab w:val="left" w:pos="3960"/>
        </w:tabs>
        <w:ind w:left="1080"/>
        <w:rPr>
          <w:spacing w:val="-3"/>
          <w:sz w:val="22"/>
        </w:rPr>
      </w:pPr>
    </w:p>
    <w:p w14:paraId="39876D25" w14:textId="517E515F"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proofErr w:type="gramStart"/>
      <w:r w:rsidRPr="0096212A">
        <w:rPr>
          <w:sz w:val="22"/>
          <w:szCs w:val="22"/>
        </w:rPr>
        <w:t>:</w:t>
      </w:r>
      <w:r w:rsidR="00DB010D">
        <w:rPr>
          <w:sz w:val="22"/>
          <w:szCs w:val="22"/>
        </w:rPr>
        <w:t xml:space="preserve"> </w:t>
      </w:r>
      <w:r w:rsidR="00474FB3">
        <w:rPr>
          <w:sz w:val="22"/>
          <w:szCs w:val="22"/>
        </w:rPr>
        <w:t xml:space="preserve"> </w:t>
      </w:r>
      <w:r w:rsidRPr="0096212A">
        <w:rPr>
          <w:i/>
          <w:sz w:val="22"/>
          <w:szCs w:val="22"/>
        </w:rPr>
        <w:t>Hospital</w:t>
      </w:r>
      <w:proofErr w:type="gramEnd"/>
      <w:r w:rsidRPr="0096212A">
        <w:rPr>
          <w:i/>
          <w:sz w:val="22"/>
          <w:szCs w:val="22"/>
        </w:rPr>
        <w:t xml:space="preserve">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71F32A2D"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5D1A82E9" w:rsidR="00662FFE" w:rsidRDefault="00662FFE" w:rsidP="00662FFE">
      <w:pPr>
        <w:ind w:left="1080"/>
        <w:rPr>
          <w:sz w:val="22"/>
          <w:szCs w:val="22"/>
        </w:rPr>
      </w:pPr>
      <w:r w:rsidRPr="00741B5C">
        <w:rPr>
          <w:sz w:val="22"/>
          <w:szCs w:val="22"/>
        </w:rPr>
        <w:t>(</w:t>
      </w:r>
      <w:r>
        <w:rPr>
          <w:sz w:val="22"/>
          <w:szCs w:val="22"/>
        </w:rPr>
        <w:t>a</w:t>
      </w:r>
      <w:proofErr w:type="gramStart"/>
      <w:r w:rsidRPr="00741B5C">
        <w:rPr>
          <w:sz w:val="22"/>
          <w:szCs w:val="22"/>
        </w:rPr>
        <w:t>)</w:t>
      </w:r>
      <w:r>
        <w:rPr>
          <w:sz w:val="22"/>
          <w:szCs w:val="22"/>
        </w:rPr>
        <w:t xml:space="preserve"> </w:t>
      </w:r>
      <w:r w:rsidRPr="00741B5C">
        <w:rPr>
          <w:sz w:val="22"/>
          <w:szCs w:val="22"/>
        </w:rPr>
        <w:t xml:space="preserve"> meets</w:t>
      </w:r>
      <w:proofErr w:type="gramEnd"/>
      <w:r w:rsidRPr="00741B5C">
        <w:rPr>
          <w:sz w:val="22"/>
          <w:szCs w:val="22"/>
        </w:rPr>
        <w:t xml:space="preserve"> MassHealth requirements for reimbursement as </w:t>
      </w:r>
      <w:r w:rsidRPr="00554AE3">
        <w:rPr>
          <w:sz w:val="22"/>
          <w:szCs w:val="22"/>
        </w:rPr>
        <w:t>a</w:t>
      </w:r>
      <w:r w:rsidRPr="00741B5C">
        <w:rPr>
          <w:sz w:val="22"/>
          <w:szCs w:val="22"/>
        </w:rPr>
        <w:t xml:space="preserve"> Hospital Licensed Health Center as provided at 130 CMR 410.413</w:t>
      </w:r>
      <w:proofErr w:type="gramStart"/>
      <w:r w:rsidRPr="00741B5C">
        <w:rPr>
          <w:sz w:val="22"/>
          <w:szCs w:val="22"/>
        </w:rPr>
        <w:t>:</w:t>
      </w:r>
      <w:r>
        <w:rPr>
          <w:sz w:val="22"/>
          <w:szCs w:val="22"/>
        </w:rPr>
        <w:t xml:space="preserve"> </w:t>
      </w:r>
      <w:r w:rsidR="00474FB3">
        <w:rPr>
          <w:sz w:val="22"/>
          <w:szCs w:val="22"/>
        </w:rPr>
        <w:t xml:space="preserve"> </w:t>
      </w:r>
      <w:r>
        <w:rPr>
          <w:i/>
          <w:sz w:val="22"/>
          <w:szCs w:val="22"/>
        </w:rPr>
        <w:t>Medical</w:t>
      </w:r>
      <w:proofErr w:type="gramEnd"/>
      <w:r>
        <w:rPr>
          <w:i/>
          <w:sz w:val="22"/>
          <w:szCs w:val="22"/>
        </w:rPr>
        <w:t xml:space="preserve"> Services Required </w:t>
      </w:r>
      <w:proofErr w:type="gramStart"/>
      <w:r w:rsidR="00F736B1">
        <w:rPr>
          <w:i/>
          <w:sz w:val="22"/>
          <w:szCs w:val="22"/>
        </w:rPr>
        <w:t>O</w:t>
      </w:r>
      <w:r>
        <w:rPr>
          <w:i/>
          <w:sz w:val="22"/>
          <w:szCs w:val="22"/>
        </w:rPr>
        <w:t>n</w:t>
      </w:r>
      <w:proofErr w:type="gramEnd"/>
      <w:r>
        <w:rPr>
          <w:i/>
          <w:sz w:val="22"/>
          <w:szCs w:val="22"/>
        </w:rPr>
        <w:t xml:space="preserve"> Site at a Hospital</w:t>
      </w:r>
      <w:r w:rsidR="00365D46">
        <w:rPr>
          <w:i/>
          <w:sz w:val="22"/>
          <w:szCs w:val="22"/>
        </w:rPr>
        <w:t xml:space="preserve"> L</w:t>
      </w:r>
      <w:r>
        <w:rPr>
          <w:i/>
          <w:sz w:val="22"/>
          <w:szCs w:val="22"/>
        </w:rPr>
        <w:t>icensed Health Center</w:t>
      </w:r>
      <w:r w:rsidRPr="00741B5C">
        <w:rPr>
          <w:sz w:val="22"/>
          <w:szCs w:val="22"/>
        </w:rPr>
        <w:t>; and</w:t>
      </w:r>
    </w:p>
    <w:p w14:paraId="58F89DF0" w14:textId="2D6DFBEF" w:rsidR="00662FFE" w:rsidRPr="00741B5C" w:rsidRDefault="00662FFE" w:rsidP="00662FFE">
      <w:pPr>
        <w:ind w:left="1080"/>
      </w:pPr>
      <w:r w:rsidRPr="00741B5C">
        <w:rPr>
          <w:sz w:val="22"/>
          <w:szCs w:val="22"/>
        </w:rPr>
        <w:t>(</w:t>
      </w:r>
      <w:r>
        <w:rPr>
          <w:sz w:val="22"/>
          <w:szCs w:val="22"/>
        </w:rPr>
        <w:t>b</w:t>
      </w:r>
      <w:proofErr w:type="gramStart"/>
      <w:r w:rsidRPr="00741B5C">
        <w:rPr>
          <w:sz w:val="22"/>
          <w:szCs w:val="22"/>
        </w:rPr>
        <w:t>)</w:t>
      </w:r>
      <w:r>
        <w:rPr>
          <w:sz w:val="22"/>
          <w:szCs w:val="22"/>
        </w:rPr>
        <w:t xml:space="preserve"> </w:t>
      </w:r>
      <w:r w:rsidRPr="00741B5C">
        <w:rPr>
          <w:sz w:val="22"/>
          <w:szCs w:val="22"/>
        </w:rPr>
        <w:t xml:space="preserve"> is</w:t>
      </w:r>
      <w:proofErr w:type="gramEnd"/>
      <w:r w:rsidRPr="00741B5C">
        <w:rPr>
          <w:sz w:val="22"/>
          <w:szCs w:val="22"/>
        </w:rPr>
        <w:t xml:space="preserve">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A8515D6"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proofErr w:type="gramStart"/>
      <w:r w:rsidR="00FB355F" w:rsidRPr="00003785">
        <w:rPr>
          <w:spacing w:val="-3"/>
          <w:sz w:val="22"/>
        </w:rPr>
        <w:t>h</w:t>
      </w:r>
      <w:r w:rsidRPr="00003785">
        <w:rPr>
          <w:spacing w:val="-3"/>
          <w:sz w:val="22"/>
        </w:rPr>
        <w:t>ospital’s</w:t>
      </w:r>
      <w:proofErr w:type="gramEnd"/>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0EA64646"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7325FBAA"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w:t>
      </w:r>
      <w:proofErr w:type="gramStart"/>
      <w:r w:rsidRPr="00741B5C">
        <w:rPr>
          <w:sz w:val="22"/>
        </w:rPr>
        <w:t xml:space="preserve">: </w:t>
      </w:r>
      <w:r w:rsidR="002F42B6">
        <w:rPr>
          <w:sz w:val="22"/>
        </w:rPr>
        <w:t xml:space="preserve"> </w:t>
      </w:r>
      <w:r w:rsidR="00465B07">
        <w:rPr>
          <w:i/>
          <w:sz w:val="22"/>
        </w:rPr>
        <w:t>Low</w:t>
      </w:r>
      <w:proofErr w:type="gramEnd"/>
      <w:r w:rsidR="00465B07">
        <w:rPr>
          <w:i/>
          <w:sz w:val="22"/>
        </w:rPr>
        <w:t xml:space="preserve"> Income Patient Determination</w:t>
      </w:r>
      <w:r w:rsidRPr="00741B5C">
        <w:rPr>
          <w:sz w:val="22"/>
        </w:rPr>
        <w:t>.</w:t>
      </w:r>
    </w:p>
    <w:p w14:paraId="29B9C189" w14:textId="77777777" w:rsidR="00662FFE" w:rsidRPr="00741B5C" w:rsidRDefault="00662FFE" w:rsidP="00662FFE">
      <w:pPr>
        <w:ind w:left="720"/>
        <w:rPr>
          <w:sz w:val="22"/>
        </w:rPr>
      </w:pPr>
    </w:p>
    <w:p w14:paraId="56426728" w14:textId="74E46048"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788D210A"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in 101 CMR 613.02</w:t>
      </w:r>
      <w:proofErr w:type="gramStart"/>
      <w:r w:rsidR="00BC3DC6" w:rsidRPr="00F70BEE">
        <w:rPr>
          <w:spacing w:val="-3"/>
          <w:sz w:val="22"/>
          <w:szCs w:val="22"/>
        </w:rPr>
        <w:t xml:space="preserve">: </w:t>
      </w:r>
      <w:r w:rsidR="002F42B6">
        <w:rPr>
          <w:spacing w:val="-3"/>
          <w:sz w:val="22"/>
          <w:szCs w:val="22"/>
        </w:rPr>
        <w:t xml:space="preserve"> </w:t>
      </w:r>
      <w:r w:rsidR="003A6026" w:rsidRPr="00947370">
        <w:rPr>
          <w:iCs/>
          <w:spacing w:val="-3"/>
          <w:sz w:val="22"/>
          <w:szCs w:val="22"/>
          <w:u w:val="single"/>
        </w:rPr>
        <w:t>Resident</w:t>
      </w:r>
      <w:proofErr w:type="gramEnd"/>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proofErr w:type="gramStart"/>
      <w:r w:rsidR="00BC3DC6" w:rsidRPr="00741B5C">
        <w:rPr>
          <w:spacing w:val="-3"/>
          <w:sz w:val="22"/>
        </w:rPr>
        <w:t>:</w:t>
      </w:r>
      <w:r w:rsidR="00BC3DC6">
        <w:rPr>
          <w:spacing w:val="-3"/>
          <w:sz w:val="22"/>
        </w:rPr>
        <w:t xml:space="preserve"> </w:t>
      </w:r>
      <w:r w:rsidR="002F42B6">
        <w:rPr>
          <w:spacing w:val="-3"/>
          <w:sz w:val="22"/>
        </w:rPr>
        <w:t xml:space="preserve"> </w:t>
      </w:r>
      <w:r w:rsidR="00BC3DC6" w:rsidRPr="003A3D71">
        <w:rPr>
          <w:i/>
          <w:spacing w:val="-3"/>
          <w:sz w:val="22"/>
        </w:rPr>
        <w:t>Eligible</w:t>
      </w:r>
      <w:proofErr w:type="gramEnd"/>
      <w:r w:rsidR="00BC3DC6" w:rsidRPr="003A3D71">
        <w:rPr>
          <w:i/>
          <w:spacing w:val="-3"/>
          <w:sz w:val="22"/>
        </w:rPr>
        <w:t xml:space="preserv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687E248C"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4A4CFF54"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xml:space="preserve">.  The medical insurance program </w:t>
      </w:r>
      <w:proofErr w:type="gramStart"/>
      <w:r w:rsidRPr="00741B5C">
        <w:rPr>
          <w:sz w:val="22"/>
        </w:rPr>
        <w:t>established</w:t>
      </w:r>
      <w:proofErr w:type="gramEnd"/>
      <w:r w:rsidRPr="00741B5C">
        <w:rPr>
          <w:sz w:val="22"/>
        </w:rPr>
        <w:t xml:space="preserve">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0ACDDA83"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5FBBF4CD"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w:t>
      </w:r>
      <w:proofErr w:type="gramStart"/>
      <w:r w:rsidRPr="00741B5C">
        <w:rPr>
          <w:sz w:val="22"/>
        </w:rPr>
        <w:t>Prospective</w:t>
      </w:r>
      <w:proofErr w:type="gramEnd"/>
      <w:r w:rsidRPr="00741B5C">
        <w:rPr>
          <w:sz w:val="22"/>
        </w:rPr>
        <w:t xml:space="preser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proofErr w:type="gramStart"/>
      <w:r w:rsidRPr="006243F0">
        <w:rPr>
          <w:rStyle w:val="Style11ptUnderline"/>
          <w:u w:val="none"/>
        </w:rPr>
        <w:t>The MassHealth</w:t>
      </w:r>
      <w:proofErr w:type="gramEnd"/>
      <w:r w:rsidRPr="006243F0">
        <w:rPr>
          <w:rStyle w:val="Style11ptUnderline"/>
          <w:u w:val="none"/>
        </w:rPr>
        <w:t xml:space="preserve">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5D1D1EDA"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xml:space="preserve">.  An insurance subsidy program that provides state subsidies for </w:t>
      </w:r>
      <w:proofErr w:type="gramStart"/>
      <w:r w:rsidRPr="00741B5C">
        <w:rPr>
          <w:sz w:val="22"/>
          <w:szCs w:val="22"/>
        </w:rPr>
        <w:t>low</w:t>
      </w:r>
      <w:r w:rsidR="00200814">
        <w:rPr>
          <w:sz w:val="22"/>
          <w:szCs w:val="22"/>
        </w:rPr>
        <w:t xml:space="preserve"> </w:t>
      </w:r>
      <w:r w:rsidRPr="00741B5C">
        <w:rPr>
          <w:sz w:val="22"/>
          <w:szCs w:val="22"/>
        </w:rPr>
        <w:t>income</w:t>
      </w:r>
      <w:proofErr w:type="gramEnd"/>
      <w:r w:rsidRPr="00741B5C">
        <w:rPr>
          <w:sz w:val="22"/>
          <w:szCs w:val="22"/>
        </w:rPr>
        <w:t xml:space="preserve"> individuals and families administered by the Health Connector.</w:t>
      </w:r>
    </w:p>
    <w:p w14:paraId="67FB81A9" w14:textId="77777777" w:rsidR="00662FFE" w:rsidRPr="00741B5C" w:rsidRDefault="00662FFE" w:rsidP="00662FFE">
      <w:pPr>
        <w:ind w:left="720"/>
        <w:rPr>
          <w:sz w:val="22"/>
          <w:u w:val="single"/>
        </w:rPr>
      </w:pPr>
    </w:p>
    <w:p w14:paraId="36AA0D02" w14:textId="6F8A6B9D"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w:t>
      </w:r>
      <w:r w:rsidR="00EF1B9D">
        <w:rPr>
          <w:rStyle w:val="Style11ptUnderline"/>
          <w:u w:val="none"/>
        </w:rPr>
        <w:t>c</w:t>
      </w:r>
      <w:r>
        <w:rPr>
          <w:rStyle w:val="Style11ptUnderline"/>
          <w:u w:val="none"/>
        </w:rPr>
        <w:t xml:space="preserve">ommunity </w:t>
      </w:r>
      <w:r w:rsidR="00EF1B9D">
        <w:rPr>
          <w:rStyle w:val="Style11ptUnderline"/>
          <w:u w:val="none"/>
        </w:rPr>
        <w:t>h</w:t>
      </w:r>
      <w:r>
        <w:rPr>
          <w:rStyle w:val="Style11ptUnderline"/>
          <w:u w:val="none"/>
        </w:rPr>
        <w:t xml:space="preserve">ealth </w:t>
      </w:r>
      <w:r w:rsidR="00EF1B9D">
        <w:rPr>
          <w:rStyle w:val="Style11ptUnderline"/>
          <w:u w:val="none"/>
        </w:rPr>
        <w:t>c</w:t>
      </w:r>
      <w:r>
        <w:rPr>
          <w:rStyle w:val="Style11ptUnderline"/>
          <w:u w:val="none"/>
        </w:rPr>
        <w:t xml:space="preserve">enters </w:t>
      </w:r>
      <w:proofErr w:type="gramStart"/>
      <w:r>
        <w:rPr>
          <w:rStyle w:val="Style11ptUnderline"/>
          <w:u w:val="none"/>
        </w:rPr>
        <w:t>set</w:t>
      </w:r>
      <w:proofErr w:type="gramEnd"/>
      <w:r>
        <w:rPr>
          <w:rStyle w:val="Style11ptUnderline"/>
          <w:u w:val="none"/>
        </w:rPr>
        <w:t xml:space="preserve">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2C4F6557"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 xml:space="preserve">ligible </w:t>
      </w:r>
      <w:r w:rsidR="00EF1B9D">
        <w:rPr>
          <w:spacing w:val="-3"/>
          <w:sz w:val="22"/>
        </w:rPr>
        <w:t>s</w:t>
      </w:r>
      <w:r w:rsidRPr="00003785">
        <w:rPr>
          <w:spacing w:val="-3"/>
          <w:sz w:val="22"/>
        </w:rPr>
        <w:t>ervices</w:t>
      </w:r>
      <w:r w:rsidRPr="00741B5C">
        <w:rPr>
          <w:spacing w:val="-3"/>
          <w:sz w:val="22"/>
        </w:rPr>
        <w:t>.</w:t>
      </w:r>
    </w:p>
    <w:p w14:paraId="4282F132" w14:textId="77777777" w:rsidR="005F75BF" w:rsidRDefault="005F75BF" w:rsidP="00662FFE">
      <w:pPr>
        <w:ind w:left="720"/>
        <w:rPr>
          <w:spacing w:val="-3"/>
          <w:sz w:val="22"/>
        </w:rPr>
      </w:pPr>
    </w:p>
    <w:p w14:paraId="2603EE56" w14:textId="22938A67"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w:t>
      </w:r>
      <w:r w:rsidR="00E227DF">
        <w:rPr>
          <w:sz w:val="22"/>
          <w:szCs w:val="22"/>
        </w:rPr>
        <w:t>p</w:t>
      </w:r>
      <w:r w:rsidRPr="00107A0F">
        <w:rPr>
          <w:sz w:val="22"/>
          <w:szCs w:val="22"/>
        </w:rPr>
        <w:t xml:space="preserve">ublic </w:t>
      </w:r>
      <w:r w:rsidR="00E227DF">
        <w:rPr>
          <w:sz w:val="22"/>
          <w:szCs w:val="22"/>
        </w:rPr>
        <w:t>p</w:t>
      </w:r>
      <w:r w:rsidRPr="00107A0F">
        <w:rPr>
          <w:sz w:val="22"/>
          <w:szCs w:val="22"/>
        </w:rPr>
        <w:t xml:space="preserve">ayer </w:t>
      </w:r>
      <w:r w:rsidR="00E227DF">
        <w:rPr>
          <w:sz w:val="22"/>
          <w:szCs w:val="22"/>
        </w:rPr>
        <w:t>m</w:t>
      </w:r>
      <w:r w:rsidRPr="00107A0F">
        <w:rPr>
          <w:sz w:val="22"/>
          <w:szCs w:val="22"/>
        </w:rPr>
        <w:t xml:space="preserve">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11314905"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proofErr w:type="gramStart"/>
      <w:r w:rsidR="00A944F1" w:rsidRPr="00003785">
        <w:rPr>
          <w:spacing w:val="-3"/>
          <w:sz w:val="22"/>
          <w:szCs w:val="22"/>
        </w:rPr>
        <w:t>l</w:t>
      </w:r>
      <w:r w:rsidRPr="00003785">
        <w:rPr>
          <w:spacing w:val="-3"/>
          <w:sz w:val="22"/>
          <w:szCs w:val="22"/>
        </w:rPr>
        <w:t xml:space="preserve">ow </w:t>
      </w:r>
      <w:r w:rsidR="00A944F1" w:rsidRPr="00003785">
        <w:rPr>
          <w:spacing w:val="-3"/>
          <w:sz w:val="22"/>
          <w:szCs w:val="22"/>
        </w:rPr>
        <w:t>i</w:t>
      </w:r>
      <w:r w:rsidRPr="00003785">
        <w:rPr>
          <w:spacing w:val="-3"/>
          <w:sz w:val="22"/>
          <w:szCs w:val="22"/>
        </w:rPr>
        <w:t>ncome</w:t>
      </w:r>
      <w:proofErr w:type="gramEnd"/>
      <w:r w:rsidRPr="00003785">
        <w:rPr>
          <w:spacing w:val="-3"/>
          <w:sz w:val="22"/>
          <w:szCs w:val="22"/>
        </w:rPr>
        <w:t xml:space="preserve"> </w:t>
      </w:r>
      <w:proofErr w:type="gramStart"/>
      <w:r w:rsidR="00A944F1" w:rsidRPr="00003785">
        <w:rPr>
          <w:spacing w:val="-3"/>
          <w:sz w:val="22"/>
          <w:szCs w:val="22"/>
        </w:rPr>
        <w:t>p</w:t>
      </w:r>
      <w:r w:rsidRPr="00003785">
        <w:rPr>
          <w:spacing w:val="-3"/>
          <w:sz w:val="22"/>
          <w:szCs w:val="22"/>
        </w:rPr>
        <w:t>atient</w:t>
      </w:r>
      <w:proofErr w:type="gramEnd"/>
      <w:r w:rsidRPr="00741B5C">
        <w:rPr>
          <w:spacing w:val="-3"/>
          <w:sz w:val="22"/>
          <w:szCs w:val="22"/>
        </w:rPr>
        <w:t>; provided that such services are not eligible for reimbursement by any other public or third</w:t>
      </w:r>
      <w:r w:rsidR="00365D46">
        <w:rPr>
          <w:spacing w:val="-3"/>
          <w:sz w:val="22"/>
          <w:szCs w:val="22"/>
        </w:rPr>
        <w:t>-</w:t>
      </w:r>
      <w:r w:rsidRPr="00741B5C">
        <w:rPr>
          <w:spacing w:val="-3"/>
          <w:sz w:val="22"/>
          <w:szCs w:val="22"/>
        </w:rPr>
        <w:t>party payer.</w:t>
      </w:r>
    </w:p>
    <w:p w14:paraId="3008777E" w14:textId="77777777" w:rsidR="005559DF" w:rsidRDefault="005559DF" w:rsidP="00662FFE">
      <w:pPr>
        <w:ind w:left="720"/>
        <w:rPr>
          <w:spacing w:val="-3"/>
          <w:sz w:val="22"/>
          <w:szCs w:val="22"/>
        </w:rPr>
      </w:pPr>
    </w:p>
    <w:p w14:paraId="1EDDF4FE" w14:textId="641AB739" w:rsidR="005559DF" w:rsidRPr="009450B9" w:rsidRDefault="005559DF" w:rsidP="005559DF">
      <w:pPr>
        <w:ind w:left="720"/>
        <w:rPr>
          <w:sz w:val="22"/>
          <w:szCs w:val="22"/>
        </w:rPr>
      </w:pPr>
      <w:r w:rsidRPr="00371DC5">
        <w:rPr>
          <w:sz w:val="22"/>
          <w:szCs w:val="22"/>
          <w:u w:val="single"/>
        </w:rPr>
        <w:lastRenderedPageBreak/>
        <w:t>Relative Public Payer Mix Adjustment Factor</w:t>
      </w:r>
      <w:r>
        <w:rPr>
          <w:sz w:val="22"/>
          <w:szCs w:val="22"/>
        </w:rPr>
        <w:t>.</w:t>
      </w:r>
      <w:r w:rsidRPr="00B36A60">
        <w:rPr>
          <w:sz w:val="22"/>
          <w:szCs w:val="22"/>
        </w:rPr>
        <w:t xml:space="preserve"> </w:t>
      </w:r>
      <w:r w:rsidR="00200814">
        <w:rPr>
          <w:sz w:val="22"/>
          <w:szCs w:val="22"/>
        </w:rPr>
        <w:t xml:space="preserve"> </w:t>
      </w:r>
      <w:r w:rsidR="006D4222">
        <w:rPr>
          <w:sz w:val="22"/>
          <w:szCs w:val="22"/>
        </w:rPr>
        <w:t xml:space="preserve">The </w:t>
      </w:r>
      <w:proofErr w:type="gramStart"/>
      <w:r w:rsidR="006D4222">
        <w:rPr>
          <w:sz w:val="22"/>
          <w:szCs w:val="22"/>
        </w:rPr>
        <w:t>factor</w:t>
      </w:r>
      <w:proofErr w:type="gramEnd"/>
      <w:r w:rsidR="006D4222">
        <w:rPr>
          <w:sz w:val="22"/>
          <w:szCs w:val="22"/>
        </w:rPr>
        <w:t xml:space="preserve"> that represents </w:t>
      </w:r>
      <w:r w:rsidR="00B70D47">
        <w:rPr>
          <w:sz w:val="22"/>
          <w:szCs w:val="22"/>
        </w:rPr>
        <w:t>each</w:t>
      </w:r>
      <w:r w:rsidR="006D4222">
        <w:rPr>
          <w:sz w:val="22"/>
          <w:szCs w:val="22"/>
        </w:rPr>
        <w:t xml:space="preserve"> hospital’s </w:t>
      </w:r>
      <w:r w:rsidR="00CD77C8">
        <w:rPr>
          <w:sz w:val="22"/>
          <w:szCs w:val="22"/>
        </w:rPr>
        <w:t>position</w:t>
      </w:r>
      <w:r w:rsidR="00B70D47">
        <w:rPr>
          <w:sz w:val="22"/>
          <w:szCs w:val="22"/>
        </w:rPr>
        <w:t>, relative to other hospitals,</w:t>
      </w:r>
      <w:r w:rsidR="00F7056E">
        <w:rPr>
          <w:sz w:val="22"/>
          <w:szCs w:val="22"/>
        </w:rPr>
        <w:t xml:space="preserve"> with respect to</w:t>
      </w:r>
      <w:r w:rsidR="00A106B9">
        <w:rPr>
          <w:sz w:val="22"/>
          <w:szCs w:val="22"/>
        </w:rPr>
        <w:t xml:space="preserve"> </w:t>
      </w:r>
      <w:r w:rsidR="00821FC0">
        <w:rPr>
          <w:sz w:val="22"/>
          <w:szCs w:val="22"/>
        </w:rPr>
        <w:t>p</w:t>
      </w:r>
      <w:r w:rsidR="00A106B9">
        <w:rPr>
          <w:sz w:val="22"/>
          <w:szCs w:val="22"/>
        </w:rPr>
        <w:t xml:space="preserve">ublic </w:t>
      </w:r>
      <w:r w:rsidR="00821FC0">
        <w:rPr>
          <w:sz w:val="22"/>
          <w:szCs w:val="22"/>
        </w:rPr>
        <w:t>p</w:t>
      </w:r>
      <w:r w:rsidR="00A106B9">
        <w:rPr>
          <w:sz w:val="22"/>
          <w:szCs w:val="22"/>
        </w:rPr>
        <w:t xml:space="preserve">ayer </w:t>
      </w:r>
      <w:r w:rsidR="00821FC0">
        <w:rPr>
          <w:sz w:val="22"/>
          <w:szCs w:val="22"/>
        </w:rPr>
        <w:t>m</w:t>
      </w:r>
      <w:r w:rsidR="00A106B9">
        <w:rPr>
          <w:sz w:val="22"/>
          <w:szCs w:val="22"/>
        </w:rPr>
        <w:t xml:space="preserve">ix </w:t>
      </w:r>
      <w:r w:rsidR="00F7056E">
        <w:rPr>
          <w:sz w:val="22"/>
          <w:szCs w:val="22"/>
        </w:rPr>
        <w:t>in the DSH and non-DSH</w:t>
      </w:r>
      <w:r w:rsidR="00CD77C8">
        <w:rPr>
          <w:sz w:val="22"/>
          <w:szCs w:val="22"/>
        </w:rPr>
        <w:t xml:space="preserve"> group</w:t>
      </w:r>
      <w:r w:rsidR="00F7056E">
        <w:rPr>
          <w:sz w:val="22"/>
          <w:szCs w:val="22"/>
        </w:rPr>
        <w:t>s,</w:t>
      </w:r>
      <w:r w:rsidR="00CD77C8">
        <w:rPr>
          <w:sz w:val="22"/>
          <w:szCs w:val="22"/>
        </w:rPr>
        <w:t xml:space="preserve"> </w:t>
      </w:r>
      <w:r w:rsidR="00C5462F">
        <w:rPr>
          <w:sz w:val="22"/>
          <w:szCs w:val="22"/>
        </w:rPr>
        <w:t xml:space="preserve">from a </w:t>
      </w:r>
      <w:r w:rsidR="008B3AFD" w:rsidRPr="009450B9">
        <w:rPr>
          <w:sz w:val="22"/>
          <w:szCs w:val="22"/>
        </w:rPr>
        <w:t>maximum</w:t>
      </w:r>
      <w:r w:rsidR="00C5462F" w:rsidRPr="009450B9">
        <w:rPr>
          <w:sz w:val="22"/>
          <w:szCs w:val="22"/>
        </w:rPr>
        <w:t xml:space="preserve"> of 1 to a </w:t>
      </w:r>
      <w:r w:rsidR="008B3AFD" w:rsidRPr="009450B9">
        <w:rPr>
          <w:sz w:val="22"/>
          <w:szCs w:val="22"/>
        </w:rPr>
        <w:t>minimum</w:t>
      </w:r>
      <w:r w:rsidR="00C5462F" w:rsidRPr="009450B9">
        <w:rPr>
          <w:sz w:val="22"/>
          <w:szCs w:val="22"/>
        </w:rPr>
        <w:t xml:space="preserve"> of 0.7 for DSH </w:t>
      </w:r>
      <w:r w:rsidR="00120C42" w:rsidRPr="009450B9">
        <w:rPr>
          <w:sz w:val="22"/>
          <w:szCs w:val="22"/>
        </w:rPr>
        <w:t xml:space="preserve">and </w:t>
      </w:r>
      <w:r w:rsidR="00334240" w:rsidRPr="009450B9">
        <w:rPr>
          <w:sz w:val="22"/>
          <w:szCs w:val="22"/>
        </w:rPr>
        <w:t xml:space="preserve">a </w:t>
      </w:r>
      <w:r w:rsidR="008B3AFD" w:rsidRPr="009450B9">
        <w:rPr>
          <w:sz w:val="22"/>
          <w:szCs w:val="22"/>
        </w:rPr>
        <w:t xml:space="preserve">minimum </w:t>
      </w:r>
      <w:r w:rsidR="00334240" w:rsidRPr="009450B9">
        <w:rPr>
          <w:sz w:val="22"/>
          <w:szCs w:val="22"/>
        </w:rPr>
        <w:t xml:space="preserve">of </w:t>
      </w:r>
      <w:r w:rsidR="00120C42" w:rsidRPr="009450B9">
        <w:rPr>
          <w:sz w:val="22"/>
          <w:szCs w:val="22"/>
        </w:rPr>
        <w:t>0.1 for non-DSH</w:t>
      </w:r>
      <w:r w:rsidR="008B577B" w:rsidRPr="009450B9">
        <w:rPr>
          <w:sz w:val="22"/>
          <w:szCs w:val="22"/>
        </w:rPr>
        <w:t>, which is</w:t>
      </w:r>
      <w:r w:rsidR="00645C94" w:rsidRPr="009450B9">
        <w:rPr>
          <w:sz w:val="22"/>
          <w:szCs w:val="22"/>
        </w:rPr>
        <w:t xml:space="preserve"> calculated using the following formula</w:t>
      </w:r>
      <w:r w:rsidR="00A106B9" w:rsidRPr="009450B9">
        <w:rPr>
          <w:sz w:val="22"/>
          <w:szCs w:val="22"/>
        </w:rPr>
        <w:t xml:space="preserve">: </w:t>
      </w:r>
    </w:p>
    <w:p w14:paraId="501345E8" w14:textId="77777777" w:rsidR="00645C94" w:rsidRPr="009450B9" w:rsidRDefault="00645C94" w:rsidP="005559DF">
      <w:pPr>
        <w:ind w:left="720"/>
        <w:rPr>
          <w:sz w:val="22"/>
          <w:szCs w:val="22"/>
        </w:rPr>
      </w:pPr>
    </w:p>
    <w:p w14:paraId="74F0FC1D" w14:textId="7D2F48DC" w:rsidR="007E50C8" w:rsidRPr="009450B9" w:rsidRDefault="00AE11FC" w:rsidP="00371DC5">
      <w:pPr>
        <w:ind w:left="1080" w:right="360"/>
        <w:rPr>
          <w:sz w:val="22"/>
          <w:szCs w:val="22"/>
        </w:rPr>
      </w:pPr>
      <w:r w:rsidRPr="009450B9">
        <w:rPr>
          <w:sz w:val="22"/>
          <w:szCs w:val="22"/>
        </w:rPr>
        <w:t xml:space="preserve">Applicable </w:t>
      </w:r>
      <w:r w:rsidR="002E39D3" w:rsidRPr="009450B9">
        <w:rPr>
          <w:sz w:val="22"/>
          <w:szCs w:val="22"/>
        </w:rPr>
        <w:t>r</w:t>
      </w:r>
      <w:r w:rsidR="00176D25" w:rsidRPr="009450B9">
        <w:rPr>
          <w:sz w:val="22"/>
          <w:szCs w:val="22"/>
        </w:rPr>
        <w:t xml:space="preserve">elative </w:t>
      </w:r>
      <w:r w:rsidR="002E39D3" w:rsidRPr="009450B9">
        <w:rPr>
          <w:sz w:val="22"/>
          <w:szCs w:val="22"/>
        </w:rPr>
        <w:t>p</w:t>
      </w:r>
      <w:r w:rsidR="00176D25" w:rsidRPr="009450B9">
        <w:rPr>
          <w:sz w:val="22"/>
          <w:szCs w:val="22"/>
        </w:rPr>
        <w:t xml:space="preserve">ublic </w:t>
      </w:r>
      <w:r w:rsidR="002E39D3" w:rsidRPr="009450B9">
        <w:rPr>
          <w:sz w:val="22"/>
          <w:szCs w:val="22"/>
        </w:rPr>
        <w:t>p</w:t>
      </w:r>
      <w:r w:rsidR="00176D25" w:rsidRPr="009450B9">
        <w:rPr>
          <w:sz w:val="22"/>
          <w:szCs w:val="22"/>
        </w:rPr>
        <w:t xml:space="preserve">ayer </w:t>
      </w:r>
      <w:r w:rsidR="002E39D3" w:rsidRPr="009450B9">
        <w:rPr>
          <w:sz w:val="22"/>
          <w:szCs w:val="22"/>
        </w:rPr>
        <w:t>m</w:t>
      </w:r>
      <w:r w:rsidR="00176D25" w:rsidRPr="009450B9">
        <w:rPr>
          <w:sz w:val="22"/>
          <w:szCs w:val="22"/>
        </w:rPr>
        <w:t xml:space="preserve">ix </w:t>
      </w:r>
      <w:r w:rsidR="002E39D3" w:rsidRPr="009450B9">
        <w:rPr>
          <w:sz w:val="22"/>
          <w:szCs w:val="22"/>
        </w:rPr>
        <w:t>a</w:t>
      </w:r>
      <w:r w:rsidR="00176D25" w:rsidRPr="009450B9">
        <w:rPr>
          <w:sz w:val="22"/>
          <w:szCs w:val="22"/>
        </w:rPr>
        <w:t xml:space="preserve">djustment </w:t>
      </w:r>
      <w:r w:rsidR="002E39D3" w:rsidRPr="009450B9">
        <w:rPr>
          <w:sz w:val="22"/>
          <w:szCs w:val="22"/>
        </w:rPr>
        <w:t>f</w:t>
      </w:r>
      <w:r w:rsidR="00176D25" w:rsidRPr="009450B9">
        <w:rPr>
          <w:sz w:val="22"/>
          <w:szCs w:val="22"/>
        </w:rPr>
        <w:t xml:space="preserve">actor </w:t>
      </w:r>
      <w:r w:rsidR="008B3AFD" w:rsidRPr="009450B9">
        <w:rPr>
          <w:sz w:val="22"/>
          <w:szCs w:val="22"/>
        </w:rPr>
        <w:t>minimum</w:t>
      </w:r>
      <w:r w:rsidR="000452E3" w:rsidRPr="009450B9">
        <w:rPr>
          <w:sz w:val="22"/>
          <w:szCs w:val="22"/>
        </w:rPr>
        <w:t xml:space="preserve"> </w:t>
      </w:r>
      <w:r w:rsidR="00176D25" w:rsidRPr="009450B9">
        <w:rPr>
          <w:sz w:val="22"/>
          <w:szCs w:val="22"/>
        </w:rPr>
        <w:t>+</w:t>
      </w:r>
      <w:r w:rsidR="007632B5" w:rsidRPr="009450B9">
        <w:rPr>
          <w:sz w:val="22"/>
          <w:szCs w:val="22"/>
        </w:rPr>
        <w:t xml:space="preserve"> </w:t>
      </w:r>
      <w:r w:rsidR="00176D25" w:rsidRPr="009450B9">
        <w:rPr>
          <w:sz w:val="22"/>
          <w:szCs w:val="22"/>
        </w:rPr>
        <w:t xml:space="preserve">(1 – </w:t>
      </w:r>
      <w:r w:rsidRPr="009450B9">
        <w:rPr>
          <w:sz w:val="22"/>
          <w:szCs w:val="22"/>
        </w:rPr>
        <w:t xml:space="preserve">applicable </w:t>
      </w:r>
      <w:r w:rsidR="002E39D3" w:rsidRPr="009450B9">
        <w:rPr>
          <w:sz w:val="22"/>
          <w:szCs w:val="22"/>
        </w:rPr>
        <w:t>r</w:t>
      </w:r>
      <w:r w:rsidR="00176D25" w:rsidRPr="009450B9">
        <w:rPr>
          <w:sz w:val="22"/>
          <w:szCs w:val="22"/>
        </w:rPr>
        <w:t xml:space="preserve">elative </w:t>
      </w:r>
      <w:r w:rsidR="002E39D3" w:rsidRPr="009450B9">
        <w:rPr>
          <w:sz w:val="22"/>
          <w:szCs w:val="22"/>
        </w:rPr>
        <w:t>p</w:t>
      </w:r>
      <w:r w:rsidR="00176D25" w:rsidRPr="009450B9">
        <w:rPr>
          <w:sz w:val="22"/>
          <w:szCs w:val="22"/>
        </w:rPr>
        <w:t xml:space="preserve">ublic </w:t>
      </w:r>
      <w:r w:rsidR="002E39D3" w:rsidRPr="009450B9">
        <w:rPr>
          <w:sz w:val="22"/>
          <w:szCs w:val="22"/>
        </w:rPr>
        <w:t>p</w:t>
      </w:r>
      <w:r w:rsidR="00176D25" w:rsidRPr="009450B9">
        <w:rPr>
          <w:sz w:val="22"/>
          <w:szCs w:val="22"/>
        </w:rPr>
        <w:t xml:space="preserve">ayer </w:t>
      </w:r>
      <w:r w:rsidR="002E39D3" w:rsidRPr="009450B9">
        <w:rPr>
          <w:sz w:val="22"/>
          <w:szCs w:val="22"/>
        </w:rPr>
        <w:t>m</w:t>
      </w:r>
      <w:r w:rsidR="00176D25" w:rsidRPr="009450B9">
        <w:rPr>
          <w:sz w:val="22"/>
          <w:szCs w:val="22"/>
        </w:rPr>
        <w:t xml:space="preserve">ix </w:t>
      </w:r>
      <w:r w:rsidR="002E39D3" w:rsidRPr="009450B9">
        <w:rPr>
          <w:sz w:val="22"/>
          <w:szCs w:val="22"/>
        </w:rPr>
        <w:t>a</w:t>
      </w:r>
      <w:r w:rsidR="00176D25" w:rsidRPr="009450B9">
        <w:rPr>
          <w:sz w:val="22"/>
          <w:szCs w:val="22"/>
        </w:rPr>
        <w:t xml:space="preserve">djustment </w:t>
      </w:r>
      <w:r w:rsidR="002E39D3" w:rsidRPr="009450B9">
        <w:rPr>
          <w:sz w:val="22"/>
          <w:szCs w:val="22"/>
        </w:rPr>
        <w:t>f</w:t>
      </w:r>
      <w:r w:rsidR="00176D25" w:rsidRPr="009450B9">
        <w:rPr>
          <w:sz w:val="22"/>
          <w:szCs w:val="22"/>
        </w:rPr>
        <w:t xml:space="preserve">actor </w:t>
      </w:r>
      <w:r w:rsidR="008B3AFD" w:rsidRPr="009450B9">
        <w:rPr>
          <w:sz w:val="22"/>
          <w:szCs w:val="22"/>
        </w:rPr>
        <w:t>minimum</w:t>
      </w:r>
      <w:r w:rsidR="00176D25" w:rsidRPr="009450B9">
        <w:rPr>
          <w:sz w:val="22"/>
          <w:szCs w:val="22"/>
        </w:rPr>
        <w:t>)</w:t>
      </w:r>
      <w:r w:rsidR="008B577B" w:rsidRPr="009450B9">
        <w:rPr>
          <w:sz w:val="22"/>
          <w:szCs w:val="22"/>
        </w:rPr>
        <w:t xml:space="preserve"> </w:t>
      </w:r>
      <w:r w:rsidR="002A0E95" w:rsidRPr="009450B9">
        <w:rPr>
          <w:sz w:val="22"/>
          <w:szCs w:val="22"/>
        </w:rPr>
        <w:t>×</w:t>
      </w:r>
      <w:r w:rsidR="00F5190E" w:rsidRPr="009450B9">
        <w:rPr>
          <w:sz w:val="22"/>
          <w:szCs w:val="22"/>
        </w:rPr>
        <w:t xml:space="preserve"> </w:t>
      </w:r>
      <w:r w:rsidR="008B577B" w:rsidRPr="009450B9">
        <w:rPr>
          <w:sz w:val="22"/>
          <w:szCs w:val="22"/>
        </w:rPr>
        <w:t>[(</w:t>
      </w:r>
      <w:r w:rsidR="002E39D3" w:rsidRPr="009450B9">
        <w:rPr>
          <w:sz w:val="22"/>
          <w:szCs w:val="22"/>
        </w:rPr>
        <w:t>h</w:t>
      </w:r>
      <w:r w:rsidR="001D6AC2" w:rsidRPr="009450B9">
        <w:rPr>
          <w:sz w:val="22"/>
          <w:szCs w:val="22"/>
        </w:rPr>
        <w:t>ospital</w:t>
      </w:r>
      <w:r w:rsidR="00FD0CD1" w:rsidRPr="009450B9">
        <w:rPr>
          <w:sz w:val="22"/>
          <w:szCs w:val="22"/>
        </w:rPr>
        <w:t>’s</w:t>
      </w:r>
      <w:r w:rsidR="001D6AC2" w:rsidRPr="009450B9">
        <w:rPr>
          <w:sz w:val="22"/>
          <w:szCs w:val="22"/>
        </w:rPr>
        <w:t xml:space="preserve"> </w:t>
      </w:r>
      <w:r w:rsidR="00FD0CD1" w:rsidRPr="009450B9">
        <w:rPr>
          <w:sz w:val="22"/>
          <w:szCs w:val="22"/>
        </w:rPr>
        <w:t>p</w:t>
      </w:r>
      <w:r w:rsidR="001D6AC2" w:rsidRPr="009450B9">
        <w:rPr>
          <w:sz w:val="22"/>
          <w:szCs w:val="22"/>
        </w:rPr>
        <w:t xml:space="preserve">ublic </w:t>
      </w:r>
      <w:r w:rsidR="00FD0CD1" w:rsidRPr="009450B9">
        <w:rPr>
          <w:sz w:val="22"/>
          <w:szCs w:val="22"/>
        </w:rPr>
        <w:t>p</w:t>
      </w:r>
      <w:r w:rsidR="001D6AC2" w:rsidRPr="009450B9">
        <w:rPr>
          <w:sz w:val="22"/>
          <w:szCs w:val="22"/>
        </w:rPr>
        <w:t xml:space="preserve">ayer </w:t>
      </w:r>
      <w:r w:rsidR="00FD0CD1" w:rsidRPr="009450B9">
        <w:rPr>
          <w:sz w:val="22"/>
          <w:szCs w:val="22"/>
        </w:rPr>
        <w:t>m</w:t>
      </w:r>
      <w:r w:rsidR="001D6AC2" w:rsidRPr="009450B9">
        <w:rPr>
          <w:sz w:val="22"/>
          <w:szCs w:val="22"/>
        </w:rPr>
        <w:t xml:space="preserve">ix % - </w:t>
      </w:r>
      <w:r w:rsidR="00FD0CD1" w:rsidRPr="009450B9">
        <w:rPr>
          <w:sz w:val="22"/>
          <w:szCs w:val="22"/>
        </w:rPr>
        <w:t>lowest</w:t>
      </w:r>
      <w:r w:rsidR="0024541E" w:rsidRPr="009450B9">
        <w:rPr>
          <w:sz w:val="22"/>
          <w:szCs w:val="22"/>
        </w:rPr>
        <w:t xml:space="preserve"> p</w:t>
      </w:r>
      <w:r w:rsidR="001D6AC2" w:rsidRPr="009450B9">
        <w:rPr>
          <w:sz w:val="22"/>
          <w:szCs w:val="22"/>
        </w:rPr>
        <w:t xml:space="preserve">ublic </w:t>
      </w:r>
      <w:r w:rsidR="0024541E" w:rsidRPr="009450B9">
        <w:rPr>
          <w:sz w:val="22"/>
          <w:szCs w:val="22"/>
        </w:rPr>
        <w:t>p</w:t>
      </w:r>
      <w:r w:rsidR="001D6AC2" w:rsidRPr="009450B9">
        <w:rPr>
          <w:sz w:val="22"/>
          <w:szCs w:val="22"/>
        </w:rPr>
        <w:t xml:space="preserve">ayer </w:t>
      </w:r>
      <w:r w:rsidR="0024541E" w:rsidRPr="009450B9">
        <w:rPr>
          <w:sz w:val="22"/>
          <w:szCs w:val="22"/>
        </w:rPr>
        <w:t>m</w:t>
      </w:r>
      <w:r w:rsidR="001D6AC2" w:rsidRPr="009450B9">
        <w:rPr>
          <w:sz w:val="22"/>
          <w:szCs w:val="22"/>
        </w:rPr>
        <w:t>ix %</w:t>
      </w:r>
      <w:r w:rsidR="0024541E" w:rsidRPr="009450B9">
        <w:rPr>
          <w:sz w:val="22"/>
          <w:szCs w:val="22"/>
        </w:rPr>
        <w:t xml:space="preserve"> across all hospitals</w:t>
      </w:r>
      <w:r w:rsidR="0050723B" w:rsidRPr="009450B9">
        <w:rPr>
          <w:sz w:val="22"/>
          <w:szCs w:val="22"/>
        </w:rPr>
        <w:t xml:space="preserve"> in the same group</w:t>
      </w:r>
      <w:r w:rsidR="008B577B" w:rsidRPr="009450B9">
        <w:rPr>
          <w:sz w:val="22"/>
          <w:szCs w:val="22"/>
        </w:rPr>
        <w:t>) / (</w:t>
      </w:r>
      <w:r w:rsidR="00DB63CA" w:rsidRPr="009450B9">
        <w:rPr>
          <w:sz w:val="22"/>
          <w:szCs w:val="22"/>
        </w:rPr>
        <w:t>highest</w:t>
      </w:r>
      <w:r w:rsidR="007E50C8" w:rsidRPr="009450B9">
        <w:rPr>
          <w:sz w:val="22"/>
          <w:szCs w:val="22"/>
        </w:rPr>
        <w:t xml:space="preserve"> </w:t>
      </w:r>
      <w:r w:rsidR="00DB63CA" w:rsidRPr="009450B9">
        <w:rPr>
          <w:sz w:val="22"/>
          <w:szCs w:val="22"/>
        </w:rPr>
        <w:t>p</w:t>
      </w:r>
      <w:r w:rsidR="007E50C8" w:rsidRPr="009450B9">
        <w:rPr>
          <w:sz w:val="22"/>
          <w:szCs w:val="22"/>
        </w:rPr>
        <w:t xml:space="preserve">ublic </w:t>
      </w:r>
      <w:r w:rsidR="00DB63CA" w:rsidRPr="009450B9">
        <w:rPr>
          <w:sz w:val="22"/>
          <w:szCs w:val="22"/>
        </w:rPr>
        <w:t>p</w:t>
      </w:r>
      <w:r w:rsidR="007E50C8" w:rsidRPr="009450B9">
        <w:rPr>
          <w:sz w:val="22"/>
          <w:szCs w:val="22"/>
        </w:rPr>
        <w:t xml:space="preserve">ayer </w:t>
      </w:r>
      <w:r w:rsidR="00DB63CA" w:rsidRPr="009450B9">
        <w:rPr>
          <w:sz w:val="22"/>
          <w:szCs w:val="22"/>
        </w:rPr>
        <w:t>m</w:t>
      </w:r>
      <w:r w:rsidR="007E50C8" w:rsidRPr="009450B9">
        <w:rPr>
          <w:sz w:val="22"/>
          <w:szCs w:val="22"/>
        </w:rPr>
        <w:t xml:space="preserve">ix % - </w:t>
      </w:r>
      <w:r w:rsidR="001F48E4" w:rsidRPr="009450B9">
        <w:rPr>
          <w:sz w:val="22"/>
          <w:szCs w:val="22"/>
        </w:rPr>
        <w:t>lowest</w:t>
      </w:r>
      <w:r w:rsidR="002F2248" w:rsidRPr="009450B9">
        <w:rPr>
          <w:sz w:val="22"/>
          <w:szCs w:val="22"/>
        </w:rPr>
        <w:t xml:space="preserve"> </w:t>
      </w:r>
      <w:r w:rsidR="00DB63CA" w:rsidRPr="009450B9">
        <w:rPr>
          <w:sz w:val="22"/>
          <w:szCs w:val="22"/>
        </w:rPr>
        <w:t>p</w:t>
      </w:r>
      <w:r w:rsidR="002F2248" w:rsidRPr="009450B9">
        <w:rPr>
          <w:sz w:val="22"/>
          <w:szCs w:val="22"/>
        </w:rPr>
        <w:t xml:space="preserve">ublic </w:t>
      </w:r>
      <w:r w:rsidR="00DB63CA" w:rsidRPr="009450B9">
        <w:rPr>
          <w:sz w:val="22"/>
          <w:szCs w:val="22"/>
        </w:rPr>
        <w:t>p</w:t>
      </w:r>
      <w:r w:rsidR="002F2248" w:rsidRPr="009450B9">
        <w:rPr>
          <w:sz w:val="22"/>
          <w:szCs w:val="22"/>
        </w:rPr>
        <w:t xml:space="preserve">ayer </w:t>
      </w:r>
      <w:r w:rsidR="00DB63CA" w:rsidRPr="009450B9">
        <w:rPr>
          <w:sz w:val="22"/>
          <w:szCs w:val="22"/>
        </w:rPr>
        <w:t>m</w:t>
      </w:r>
      <w:r w:rsidR="002F2248" w:rsidRPr="009450B9">
        <w:rPr>
          <w:sz w:val="22"/>
          <w:szCs w:val="22"/>
        </w:rPr>
        <w:t>ix %</w:t>
      </w:r>
      <w:r w:rsidR="00DB63CA" w:rsidRPr="009450B9">
        <w:rPr>
          <w:sz w:val="22"/>
          <w:szCs w:val="22"/>
        </w:rPr>
        <w:t xml:space="preserve"> across all hospitals</w:t>
      </w:r>
      <w:r w:rsidR="0050723B" w:rsidRPr="009450B9">
        <w:rPr>
          <w:sz w:val="22"/>
          <w:szCs w:val="22"/>
        </w:rPr>
        <w:t xml:space="preserve"> in the same group</w:t>
      </w:r>
      <w:r w:rsidR="008B577B" w:rsidRPr="009450B9">
        <w:rPr>
          <w:sz w:val="22"/>
          <w:szCs w:val="22"/>
        </w:rPr>
        <w:t>)]</w:t>
      </w:r>
    </w:p>
    <w:p w14:paraId="5A1E5558" w14:textId="77777777" w:rsidR="00662FFE" w:rsidRPr="00415D75" w:rsidRDefault="00662FFE" w:rsidP="005559DF">
      <w:pPr>
        <w:rPr>
          <w:spacing w:val="-3"/>
          <w:sz w:val="22"/>
        </w:rPr>
      </w:pPr>
    </w:p>
    <w:p w14:paraId="58BCEF14" w14:textId="56A64DAC" w:rsidR="00662FFE" w:rsidRPr="00741B5C" w:rsidRDefault="00662FFE" w:rsidP="00662FFE">
      <w:pPr>
        <w:ind w:left="720"/>
        <w:rPr>
          <w:sz w:val="22"/>
        </w:rPr>
      </w:pPr>
      <w:r w:rsidRPr="00415D75">
        <w:rPr>
          <w:rStyle w:val="Style11ptUnderline"/>
        </w:rPr>
        <w:t>Shortfall Amount</w:t>
      </w:r>
      <w:r w:rsidRPr="00741B5C">
        <w:rPr>
          <w:sz w:val="22"/>
        </w:rPr>
        <w:t xml:space="preserve">.  In </w:t>
      </w:r>
      <w:proofErr w:type="gramStart"/>
      <w:r w:rsidRPr="00741B5C">
        <w:rPr>
          <w:sz w:val="22"/>
        </w:rPr>
        <w:t xml:space="preserve">a </w:t>
      </w:r>
      <w:r w:rsidR="00A944F1" w:rsidRPr="00003785">
        <w:rPr>
          <w:sz w:val="22"/>
        </w:rPr>
        <w:t>f</w:t>
      </w:r>
      <w:r w:rsidRPr="00003785">
        <w:rPr>
          <w:sz w:val="22"/>
        </w:rPr>
        <w:t xml:space="preserve">iscal </w:t>
      </w:r>
      <w:r w:rsidR="00A944F1" w:rsidRPr="00003785">
        <w:rPr>
          <w:sz w:val="22"/>
        </w:rPr>
        <w:t>y</w:t>
      </w:r>
      <w:r w:rsidRPr="00003785">
        <w:rPr>
          <w:sz w:val="22"/>
        </w:rPr>
        <w:t>ear</w:t>
      </w:r>
      <w:proofErr w:type="gramEnd"/>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32B622F2"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6EDACE4"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7F7CF9D9"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proofErr w:type="gramStart"/>
      <w:r w:rsidR="00857459" w:rsidRPr="00362091">
        <w:rPr>
          <w:sz w:val="22"/>
          <w:szCs w:val="22"/>
        </w:rPr>
        <w:t xml:space="preserve">: </w:t>
      </w:r>
      <w:r w:rsidR="00833694">
        <w:rPr>
          <w:sz w:val="22"/>
          <w:szCs w:val="22"/>
        </w:rPr>
        <w:t xml:space="preserve"> </w:t>
      </w:r>
      <w:r w:rsidR="00857459" w:rsidRPr="00362091">
        <w:rPr>
          <w:i/>
          <w:iCs/>
          <w:sz w:val="22"/>
          <w:szCs w:val="22"/>
        </w:rPr>
        <w:t>Eligible</w:t>
      </w:r>
      <w:proofErr w:type="gramEnd"/>
      <w:r w:rsidR="00857459" w:rsidRPr="00362091">
        <w:rPr>
          <w:i/>
          <w:iCs/>
          <w:sz w:val="22"/>
          <w:szCs w:val="22"/>
        </w:rPr>
        <w:t xml:space="preserv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5C99C60F"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 xml:space="preserve">atient to make payment of deductibles or </w:t>
      </w:r>
      <w:proofErr w:type="gramStart"/>
      <w:r w:rsidRPr="008A6CBC">
        <w:rPr>
          <w:sz w:val="22"/>
          <w:szCs w:val="22"/>
        </w:rPr>
        <w:t>copayments, or</w:t>
      </w:r>
      <w:proofErr w:type="gramEnd"/>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21D68C36"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proofErr w:type="gramStart"/>
      <w:r w:rsidRPr="00741B5C">
        <w:rPr>
          <w:spacing w:val="-3"/>
          <w:sz w:val="22"/>
          <w:szCs w:val="22"/>
        </w:rPr>
        <w:t>:</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w:t>
      </w:r>
      <w:proofErr w:type="gramEnd"/>
      <w:r w:rsidR="003808C3" w:rsidRPr="00D02A39">
        <w:rPr>
          <w:iCs/>
          <w:spacing w:val="-3"/>
          <w:sz w:val="22"/>
          <w:szCs w:val="22"/>
          <w:u w:val="single"/>
        </w:rPr>
        <w:t xml:space="preserve">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proofErr w:type="gramStart"/>
      <w:r w:rsidR="00905714" w:rsidRPr="00741B5C">
        <w:rPr>
          <w:spacing w:val="-3"/>
          <w:sz w:val="22"/>
        </w:rPr>
        <w:t>:</w:t>
      </w:r>
      <w:r w:rsidR="00905714">
        <w:rPr>
          <w:spacing w:val="-3"/>
          <w:sz w:val="22"/>
        </w:rPr>
        <w:t xml:space="preserve"> </w:t>
      </w:r>
      <w:r w:rsidR="003B00DF">
        <w:rPr>
          <w:spacing w:val="-3"/>
          <w:sz w:val="22"/>
        </w:rPr>
        <w:t xml:space="preserve"> </w:t>
      </w:r>
      <w:r w:rsidR="00905714" w:rsidRPr="003A3D71">
        <w:rPr>
          <w:i/>
          <w:spacing w:val="-3"/>
          <w:sz w:val="22"/>
        </w:rPr>
        <w:t>Eligible</w:t>
      </w:r>
      <w:proofErr w:type="gramEnd"/>
      <w:r w:rsidR="00905714" w:rsidRPr="003A3D71">
        <w:rPr>
          <w:i/>
          <w:spacing w:val="-3"/>
          <w:sz w:val="22"/>
        </w:rPr>
        <w:t xml:space="preserv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614.03</w:t>
      </w:r>
      <w:proofErr w:type="gramStart"/>
      <w:r w:rsidRPr="00415D75">
        <w:rPr>
          <w:rStyle w:val="Style11ptUnderline"/>
        </w:rPr>
        <w:t xml:space="preserve">:  </w:t>
      </w:r>
      <w:bookmarkStart w:id="1" w:name="_Hlk116649665"/>
      <w:r w:rsidRPr="00415D75">
        <w:rPr>
          <w:rStyle w:val="Style11ptUnderline"/>
        </w:rPr>
        <w:t>Sources</w:t>
      </w:r>
      <w:proofErr w:type="gramEnd"/>
      <w:r w:rsidRPr="00415D75">
        <w:rPr>
          <w:rStyle w:val="Style11ptUnderline"/>
        </w:rPr>
        <w:t xml:space="preserve">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proofErr w:type="gramStart"/>
      <w:r>
        <w:t>)</w:t>
      </w:r>
      <w:r w:rsidR="00293D51" w:rsidRPr="00C36767">
        <w:t xml:space="preserve">  </w:t>
      </w:r>
      <w:r w:rsidR="00293D51" w:rsidRPr="00741B5C">
        <w:rPr>
          <w:u w:val="single"/>
        </w:rPr>
        <w:t>Payments</w:t>
      </w:r>
      <w:proofErr w:type="gramEnd"/>
      <w:r w:rsidR="00293D51" w:rsidRPr="00741B5C">
        <w:rPr>
          <w:u w:val="single"/>
        </w:rPr>
        <w:t xml:space="preserve"> from the Health Safety Net Trust Fund</w:t>
      </w:r>
      <w:r w:rsidR="006A241E" w:rsidRPr="006A241E">
        <w:rPr>
          <w:u w:val="single"/>
        </w:rPr>
        <w:t xml:space="preserve"> </w:t>
      </w:r>
      <w:r w:rsidR="006A241E">
        <w:rPr>
          <w:u w:val="single"/>
        </w:rPr>
        <w:t>through Fiscal Year 2024</w:t>
      </w:r>
      <w:r w:rsidR="00293D51" w:rsidRPr="00741B5C">
        <w:t>.</w:t>
      </w:r>
    </w:p>
    <w:p w14:paraId="4AC42085" w14:textId="6BEB4702" w:rsidR="00293D51" w:rsidRPr="00741B5C" w:rsidRDefault="00293D51" w:rsidP="00293D51">
      <w:pPr>
        <w:pStyle w:val="BodyTextIndent3"/>
        <w:ind w:left="1080"/>
      </w:pPr>
      <w:r w:rsidRPr="00741B5C">
        <w:t>(a</w:t>
      </w:r>
      <w:proofErr w:type="gramStart"/>
      <w:r w:rsidRPr="00741B5C">
        <w:t xml:space="preserve">)  </w:t>
      </w:r>
      <w:r w:rsidRPr="00741B5C">
        <w:rPr>
          <w:u w:val="single"/>
        </w:rPr>
        <w:t>Payment</w:t>
      </w:r>
      <w:proofErr w:type="gramEnd"/>
      <w:r w:rsidRPr="00741B5C">
        <w:rPr>
          <w:u w:val="single"/>
        </w:rPr>
        <w:t xml:space="preserve">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lastRenderedPageBreak/>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2270C324" w:rsidR="00293D51" w:rsidRPr="00741B5C" w:rsidRDefault="00293D51" w:rsidP="00293D51">
      <w:pPr>
        <w:pStyle w:val="BodyTextIndent3"/>
        <w:ind w:left="1080"/>
      </w:pPr>
      <w:r w:rsidRPr="00741B5C">
        <w:t>(b</w:t>
      </w:r>
      <w:proofErr w:type="gramStart"/>
      <w:r w:rsidRPr="00741B5C">
        <w:t xml:space="preserve">)  </w:t>
      </w:r>
      <w:r w:rsidRPr="00741B5C">
        <w:rPr>
          <w:u w:val="single"/>
        </w:rPr>
        <w:t>Shortfall</w:t>
      </w:r>
      <w:proofErr w:type="gramEnd"/>
      <w:r w:rsidRPr="00741B5C">
        <w:rPr>
          <w:u w:val="single"/>
        </w:rPr>
        <w:t xml:space="preserve">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1BEACF38" w:rsidR="00293D51" w:rsidRPr="00741B5C" w:rsidRDefault="00293D51" w:rsidP="00293D51">
      <w:pPr>
        <w:pStyle w:val="BodyTextIndent3"/>
        <w:ind w:left="1440"/>
      </w:pPr>
      <w:r w:rsidRPr="0096212A">
        <w:t>1</w:t>
      </w:r>
      <w:proofErr w:type="gramStart"/>
      <w:r w:rsidRPr="0096212A">
        <w:t xml:space="preserve">.  </w:t>
      </w:r>
      <w:r w:rsidRPr="0096212A">
        <w:rPr>
          <w:u w:val="single"/>
        </w:rPr>
        <w:t>Disproportionate</w:t>
      </w:r>
      <w:proofErr w:type="gramEnd"/>
      <w:r w:rsidRPr="0096212A">
        <w:rPr>
          <w:u w:val="single"/>
        </w:rPr>
        <w:t xml:space="preserv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1A1C48E0" w:rsidR="00293D51" w:rsidRPr="00741B5C" w:rsidRDefault="00293D51" w:rsidP="00293D51">
      <w:pPr>
        <w:pStyle w:val="BodyTextIndent3"/>
        <w:ind w:left="1440"/>
      </w:pPr>
      <w:r w:rsidRPr="00741B5C">
        <w:t>2</w:t>
      </w:r>
      <w:proofErr w:type="gramStart"/>
      <w:r w:rsidRPr="00741B5C">
        <w:t xml:space="preserve">.  </w:t>
      </w:r>
      <w:r w:rsidRPr="00741B5C">
        <w:rPr>
          <w:u w:val="single"/>
        </w:rPr>
        <w:t>Allocation</w:t>
      </w:r>
      <w:proofErr w:type="gramEnd"/>
      <w:r w:rsidRPr="00741B5C">
        <w:rPr>
          <w:u w:val="single"/>
        </w:rPr>
        <w:t xml:space="preserve"> Method</w:t>
      </w:r>
      <w:r w:rsidRPr="00741B5C">
        <w:t xml:space="preserve">.  The Health Safety Net </w:t>
      </w:r>
      <w:r w:rsidR="00A759E3">
        <w:t>o</w:t>
      </w:r>
      <w:r w:rsidRPr="00741B5C">
        <w:t>ffice allocates the shortfall as follows.</w:t>
      </w:r>
    </w:p>
    <w:p w14:paraId="64758E1D" w14:textId="48EC4685"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3DCB5A7D"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288A4555"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765B6F63"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w:t>
      </w:r>
      <w:proofErr w:type="gramStart"/>
      <w:r w:rsidR="00293D51" w:rsidRPr="00741B5C">
        <w:t>2.a.</w:t>
      </w:r>
      <w:proofErr w:type="gramEnd"/>
      <w:r w:rsidR="00293D51" w:rsidRPr="00741B5C">
        <w:t xml:space="preserve"> through c</w:t>
      </w:r>
      <w:r w:rsidR="00293D51" w:rsidRPr="00415D75">
        <w:t>.</w:t>
      </w:r>
    </w:p>
    <w:p w14:paraId="60AD7CFF" w14:textId="02D3CF4C"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proofErr w:type="spellStart"/>
      <w:r w:rsidRPr="00415D75">
        <w:t>i</w:t>
      </w:r>
      <w:proofErr w:type="spellEnd"/>
      <w:r w:rsidRPr="00415D75">
        <w:t>.  85% of its allowable Health Safety Net payments; or</w:t>
      </w:r>
    </w:p>
    <w:p w14:paraId="11B74708" w14:textId="12C44225" w:rsidR="00293D51" w:rsidRPr="00415D75" w:rsidRDefault="00293D51" w:rsidP="00293D51">
      <w:pPr>
        <w:pStyle w:val="BodyTextIndent3"/>
      </w:pPr>
      <w:r w:rsidRPr="00415D75">
        <w:t>ii. the revised payment calculated according to the shortfall methodology in 101 CMR 614.03(</w:t>
      </w:r>
      <w:r w:rsidR="00C96690">
        <w:t>1</w:t>
      </w:r>
      <w:r w:rsidRPr="00415D75">
        <w:t>)(b)</w:t>
      </w:r>
      <w:proofErr w:type="gramStart"/>
      <w:r w:rsidRPr="00415D75">
        <w:t>2.a.</w:t>
      </w:r>
      <w:proofErr w:type="gramEnd"/>
      <w:r w:rsidRPr="00415D75">
        <w:t xml:space="preserve"> through e.</w:t>
      </w:r>
    </w:p>
    <w:p w14:paraId="60B89210" w14:textId="77777777" w:rsidR="0079744B" w:rsidRPr="00741B5C" w:rsidRDefault="0079744B" w:rsidP="00C96690">
      <w:pPr>
        <w:pStyle w:val="BodyTextIndent3"/>
        <w:ind w:left="0"/>
      </w:pPr>
    </w:p>
    <w:p w14:paraId="1D3B52EE" w14:textId="1A0B1B2E" w:rsidR="004C1F8E" w:rsidRPr="00741B5C" w:rsidRDefault="00662FFE" w:rsidP="004C1F8E">
      <w:pPr>
        <w:pStyle w:val="BodyTextIndent3"/>
        <w:ind w:left="720"/>
      </w:pPr>
      <w:r>
        <w:t>(2</w:t>
      </w:r>
      <w:proofErr w:type="gramStart"/>
      <w:r>
        <w:t xml:space="preserve">)  </w:t>
      </w:r>
      <w:bookmarkStart w:id="2" w:name="_Hlk116649701"/>
      <w:r w:rsidR="004C1F8E" w:rsidRPr="583DDD7B">
        <w:rPr>
          <w:u w:val="single"/>
        </w:rPr>
        <w:t>Payments</w:t>
      </w:r>
      <w:proofErr w:type="gramEnd"/>
      <w:r w:rsidR="004C1F8E" w:rsidRPr="583DDD7B">
        <w:rPr>
          <w:u w:val="single"/>
        </w:rPr>
        <w:t xml:space="preserve"> from the Health Safety Net Trust Fund</w:t>
      </w:r>
      <w:bookmarkEnd w:id="2"/>
      <w:r w:rsidR="004C1F8E">
        <w:rPr>
          <w:u w:val="single"/>
        </w:rPr>
        <w:t xml:space="preserve"> </w:t>
      </w:r>
      <w:r w:rsidR="00D6789F">
        <w:rPr>
          <w:u w:val="single"/>
        </w:rPr>
        <w:t>B</w:t>
      </w:r>
      <w:r w:rsidR="00792A61" w:rsidRPr="00CD1CAF">
        <w:rPr>
          <w:u w:val="single"/>
        </w:rPr>
        <w:t>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(a</w:t>
      </w:r>
      <w:proofErr w:type="gramStart"/>
      <w:r>
        <w:t xml:space="preserve">)  </w:t>
      </w:r>
      <w:r w:rsidRPr="050E895D">
        <w:rPr>
          <w:u w:val="single"/>
        </w:rPr>
        <w:t>Payment</w:t>
      </w:r>
      <w:proofErr w:type="gramEnd"/>
      <w:r w:rsidRPr="050E895D">
        <w:rPr>
          <w:u w:val="single"/>
        </w:rPr>
        <w:t xml:space="preserve">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(b</w:t>
      </w:r>
      <w:proofErr w:type="gramStart"/>
      <w:r w:rsidRPr="007A374E">
        <w:t xml:space="preserve">)  </w:t>
      </w:r>
      <w:r w:rsidRPr="007A374E">
        <w:rPr>
          <w:u w:val="single"/>
        </w:rPr>
        <w:t>Shortfall</w:t>
      </w:r>
      <w:proofErr w:type="gramEnd"/>
      <w:r w:rsidRPr="007A374E">
        <w:rPr>
          <w:u w:val="single"/>
        </w:rPr>
        <w:t xml:space="preserve">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w:t>
      </w:r>
      <w:r w:rsidRPr="00741B5C">
        <w:lastRenderedPageBreak/>
        <w:t xml:space="preserve">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1</w:t>
      </w:r>
      <w:proofErr w:type="gramStart"/>
      <w:r w:rsidRPr="0096212A">
        <w:t xml:space="preserve">.  </w:t>
      </w:r>
      <w:r w:rsidRPr="0096212A">
        <w:rPr>
          <w:u w:val="single"/>
        </w:rPr>
        <w:t>Disproportionate</w:t>
      </w:r>
      <w:proofErr w:type="gramEnd"/>
      <w:r w:rsidRPr="0096212A">
        <w:rPr>
          <w:u w:val="single"/>
        </w:rPr>
        <w:t xml:space="preserv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t>2</w:t>
      </w:r>
      <w:proofErr w:type="gramStart"/>
      <w:r w:rsidRPr="00741B5C">
        <w:t xml:space="preserve">.  </w:t>
      </w:r>
      <w:r w:rsidRPr="00741B5C">
        <w:rPr>
          <w:u w:val="single"/>
        </w:rPr>
        <w:t>Allocation</w:t>
      </w:r>
      <w:proofErr w:type="gramEnd"/>
      <w:r w:rsidRPr="00741B5C">
        <w:rPr>
          <w:u w:val="single"/>
        </w:rPr>
        <w:t xml:space="preserve">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w:t>
      </w:r>
      <w:proofErr w:type="gramStart"/>
      <w:r>
        <w:t>2.a.</w:t>
      </w:r>
      <w:proofErr w:type="gramEnd"/>
      <w:r>
        <w:t xml:space="preserve"> through c.</w:t>
      </w:r>
    </w:p>
    <w:p w14:paraId="073F129D" w14:textId="460BADA4"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proofErr w:type="spellStart"/>
      <w:r>
        <w:t>i</w:t>
      </w:r>
      <w:proofErr w:type="spellEnd"/>
      <w:r>
        <w:t>.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w:t>
      </w:r>
      <w:proofErr w:type="gramStart"/>
      <w:r>
        <w:t>2.a.</w:t>
      </w:r>
      <w:proofErr w:type="gramEnd"/>
      <w:r>
        <w:t xml:space="preserve"> through e.</w:t>
      </w:r>
    </w:p>
    <w:p w14:paraId="6F13B8A7" w14:textId="77777777" w:rsidR="00293D51" w:rsidRDefault="00293D51" w:rsidP="005629A3">
      <w:pPr>
        <w:rPr>
          <w:sz w:val="22"/>
          <w:szCs w:val="22"/>
        </w:rPr>
      </w:pPr>
    </w:p>
    <w:p w14:paraId="79A320C0" w14:textId="7EAFE414" w:rsidR="00251D29" w:rsidRPr="00741B5C" w:rsidRDefault="005C5B43" w:rsidP="00251D29">
      <w:pPr>
        <w:pStyle w:val="BodyTextIndent3"/>
        <w:ind w:left="720"/>
      </w:pPr>
      <w:r w:rsidRPr="00850A52">
        <w:rPr>
          <w:szCs w:val="22"/>
        </w:rPr>
        <w:t>(3</w:t>
      </w:r>
      <w:proofErr w:type="gramStart"/>
      <w:r w:rsidRPr="00850A52">
        <w:rPr>
          <w:szCs w:val="22"/>
        </w:rPr>
        <w:t xml:space="preserve">) </w:t>
      </w:r>
      <w:r w:rsidR="00251D29">
        <w:rPr>
          <w:szCs w:val="22"/>
        </w:rPr>
        <w:t xml:space="preserve"> </w:t>
      </w:r>
      <w:r w:rsidR="00251D29" w:rsidRPr="583DDD7B">
        <w:rPr>
          <w:u w:val="single"/>
        </w:rPr>
        <w:t>Payments</w:t>
      </w:r>
      <w:proofErr w:type="gramEnd"/>
      <w:r w:rsidR="00251D29" w:rsidRPr="583DDD7B">
        <w:rPr>
          <w:u w:val="single"/>
        </w:rPr>
        <w:t xml:space="preserve"> from the Health Safety Net Trust Fund</w:t>
      </w:r>
      <w:r w:rsidR="00251D29">
        <w:rPr>
          <w:u w:val="single"/>
        </w:rPr>
        <w:t xml:space="preserve"> </w:t>
      </w:r>
      <w:r w:rsidR="00251D29" w:rsidRPr="00CD1CAF">
        <w:rPr>
          <w:u w:val="single"/>
        </w:rPr>
        <w:t>beginning</w:t>
      </w:r>
      <w:r w:rsidR="00251D29">
        <w:rPr>
          <w:u w:val="single"/>
        </w:rPr>
        <w:t xml:space="preserve"> Fiscal Year 2026</w:t>
      </w:r>
      <w:r w:rsidR="00251D29">
        <w:t>.</w:t>
      </w:r>
    </w:p>
    <w:p w14:paraId="022C61D6" w14:textId="3CCDDB43" w:rsidR="00251D29" w:rsidRPr="007A374E" w:rsidRDefault="00251D29" w:rsidP="00251D29">
      <w:pPr>
        <w:pStyle w:val="BodyTextIndent3"/>
        <w:ind w:left="1080"/>
      </w:pPr>
      <w:r>
        <w:t>(a</w:t>
      </w:r>
      <w:proofErr w:type="gramStart"/>
      <w:r>
        <w:t xml:space="preserve">)  </w:t>
      </w:r>
      <w:r w:rsidRPr="050E895D">
        <w:rPr>
          <w:u w:val="single"/>
        </w:rPr>
        <w:t>Payment</w:t>
      </w:r>
      <w:proofErr w:type="gramEnd"/>
      <w:r w:rsidRPr="050E895D">
        <w:rPr>
          <w:u w:val="single"/>
        </w:rPr>
        <w:t xml:space="preserve"> Adjustments</w:t>
      </w:r>
      <w:r>
        <w:t>.</w:t>
      </w:r>
      <w:r w:rsidR="002319D0">
        <w:t xml:space="preserve"> </w:t>
      </w:r>
      <w:r>
        <w:t xml:space="preserve"> Acute hospital payments established under 101 CMR 614.06 may be adjusted to reflect additional funding made available during the fiscal year or to reflect the </w:t>
      </w:r>
      <w:r w:rsidR="008B3AFD" w:rsidRPr="009450B9">
        <w:t>funding</w:t>
      </w:r>
      <w:r>
        <w:t xml:space="preserve"> allocation in accordance with 101 CMR 614.03(</w:t>
      </w:r>
      <w:r w:rsidR="00B848DF">
        <w:t>3</w:t>
      </w:r>
      <w:r>
        <w:t xml:space="preserve">)(b). The Health Safety Net may reserve up to 10% of available funding to ensure that funding is </w:t>
      </w:r>
      <w:r w:rsidRPr="007A374E">
        <w:t>available for the entire fiscal year.</w:t>
      </w:r>
    </w:p>
    <w:p w14:paraId="7BB1FA6C" w14:textId="40160A88" w:rsidR="00251D29" w:rsidRPr="00741B5C" w:rsidRDefault="00251D29" w:rsidP="00251D29">
      <w:pPr>
        <w:pStyle w:val="BodyTextIndent3"/>
        <w:ind w:left="1080"/>
      </w:pPr>
      <w:r w:rsidRPr="007A374E">
        <w:t>(b</w:t>
      </w:r>
      <w:proofErr w:type="gramStart"/>
      <w:r w:rsidRPr="007A374E">
        <w:t xml:space="preserve">)  </w:t>
      </w:r>
      <w:r w:rsidR="00003C32">
        <w:rPr>
          <w:u w:val="single"/>
        </w:rPr>
        <w:t>Funding</w:t>
      </w:r>
      <w:proofErr w:type="gramEnd"/>
      <w:r w:rsidRPr="007A374E">
        <w:rPr>
          <w:u w:val="single"/>
        </w:rPr>
        <w:t xml:space="preserve"> Allocation</w:t>
      </w:r>
      <w:r w:rsidRPr="007A374E">
        <w:t>.  For fiscal years beginning on or after October 1, 202</w:t>
      </w:r>
      <w:r w:rsidR="00E647CE">
        <w:t>5</w:t>
      </w:r>
      <w:r w:rsidRPr="007A374E">
        <w:t>, the</w:t>
      </w:r>
      <w:r w:rsidRPr="00741B5C">
        <w:t xml:space="preserve"> Health Safety Net </w:t>
      </w:r>
      <w:r>
        <w:t>o</w:t>
      </w:r>
      <w:r w:rsidRPr="00741B5C">
        <w:t xml:space="preserve">ffice, using the best data available, estimates the projected total </w:t>
      </w:r>
      <w:r>
        <w:t>r</w:t>
      </w:r>
      <w:r w:rsidRPr="00741B5C">
        <w:t xml:space="preserve">eimbursable </w:t>
      </w:r>
      <w:r>
        <w:t>h</w:t>
      </w:r>
      <w:r w:rsidRPr="00741B5C">
        <w:t xml:space="preserve">ealth </w:t>
      </w:r>
      <w:r>
        <w:t>s</w:t>
      </w:r>
      <w:r w:rsidRPr="00741B5C">
        <w:t xml:space="preserve">ervices provided by </w:t>
      </w:r>
      <w:r>
        <w:t>a</w:t>
      </w:r>
      <w:r w:rsidRPr="00741B5C">
        <w:t xml:space="preserve">cute </w:t>
      </w:r>
      <w:r>
        <w:t>h</w:t>
      </w:r>
      <w:r w:rsidRPr="00741B5C">
        <w:t xml:space="preserve">ospitals and </w:t>
      </w:r>
      <w:r>
        <w:t>c</w:t>
      </w:r>
      <w:r w:rsidRPr="00741B5C">
        <w:t xml:space="preserve">ommunity </w:t>
      </w:r>
      <w:r>
        <w:t>h</w:t>
      </w:r>
      <w:r w:rsidRPr="00741B5C">
        <w:t xml:space="preserve">ealth </w:t>
      </w:r>
      <w:r>
        <w:t>c</w:t>
      </w:r>
      <w:r w:rsidRPr="00741B5C">
        <w:t xml:space="preserve">enters; total </w:t>
      </w:r>
      <w:r>
        <w:t>m</w:t>
      </w:r>
      <w:r w:rsidRPr="00741B5C">
        <w:t xml:space="preserve">edical </w:t>
      </w:r>
      <w:r>
        <w:t>h</w:t>
      </w:r>
      <w:r w:rsidRPr="00741B5C">
        <w:t xml:space="preserve">ardship services; total </w:t>
      </w:r>
      <w:r>
        <w:t>b</w:t>
      </w:r>
      <w:r w:rsidRPr="00741B5C">
        <w:t xml:space="preserve">ad </w:t>
      </w:r>
      <w:r>
        <w:t>d</w:t>
      </w:r>
      <w:r w:rsidRPr="00741B5C">
        <w:t xml:space="preserve">ebt for </w:t>
      </w:r>
      <w:r>
        <w:t>e</w:t>
      </w:r>
      <w:r w:rsidRPr="00741B5C">
        <w:t xml:space="preserve">mergency and </w:t>
      </w:r>
      <w:r>
        <w:t>u</w:t>
      </w:r>
      <w:r w:rsidRPr="00741B5C">
        <w:t xml:space="preserve">rgent </w:t>
      </w:r>
      <w:r>
        <w:t>c</w:t>
      </w:r>
      <w:r w:rsidRPr="00741B5C">
        <w:t xml:space="preserve">are </w:t>
      </w:r>
      <w:r>
        <w:t>s</w:t>
      </w:r>
      <w:r w:rsidRPr="00741B5C">
        <w:t xml:space="preserve">ervices; and total Health Safety Net administrative expenses. If the Health Safety Net </w:t>
      </w:r>
      <w:r>
        <w:t>o</w:t>
      </w:r>
      <w:r w:rsidRPr="00741B5C">
        <w:t xml:space="preserve">ffice determines that, after adjusting for projected </w:t>
      </w:r>
      <w:r>
        <w:t>c</w:t>
      </w:r>
      <w:r w:rsidRPr="00741B5C">
        <w:t xml:space="preserve">ommunity </w:t>
      </w:r>
      <w:r>
        <w:t>h</w:t>
      </w:r>
      <w:r w:rsidRPr="00741B5C">
        <w:t xml:space="preserve">ealth </w:t>
      </w:r>
      <w:r>
        <w:t>c</w:t>
      </w:r>
      <w:r w:rsidRPr="00741B5C">
        <w:t xml:space="preserve">enter payments and administrative expenses, Health Safety Net payments to </w:t>
      </w:r>
      <w:r>
        <w:t>a</w:t>
      </w:r>
      <w:r w:rsidRPr="00741B5C">
        <w:t xml:space="preserve">cute </w:t>
      </w:r>
      <w:r>
        <w:t>h</w:t>
      </w:r>
      <w:r w:rsidRPr="00741B5C">
        <w:t xml:space="preserve">ospitals will exceed available funding, </w:t>
      </w:r>
      <w:r w:rsidR="008A4ED4">
        <w:t xml:space="preserve">then </w:t>
      </w:r>
      <w:r w:rsidRPr="00741B5C">
        <w:t xml:space="preserve">the Health Safety Net </w:t>
      </w:r>
      <w:r>
        <w:t>o</w:t>
      </w:r>
      <w:r w:rsidRPr="00741B5C">
        <w:t xml:space="preserve">ffice allocates the funding in a manner that reflects each </w:t>
      </w:r>
      <w:r>
        <w:t>a</w:t>
      </w:r>
      <w:r w:rsidRPr="00741B5C">
        <w:t xml:space="preserve">cute </w:t>
      </w:r>
      <w:r>
        <w:t>h</w:t>
      </w:r>
      <w:r w:rsidRPr="00741B5C">
        <w:t xml:space="preserve">ospital's proportional </w:t>
      </w:r>
      <w:r>
        <w:t>f</w:t>
      </w:r>
      <w:r w:rsidRPr="00741B5C">
        <w:t xml:space="preserve">inancial </w:t>
      </w:r>
      <w:r>
        <w:t>r</w:t>
      </w:r>
      <w:r w:rsidRPr="00741B5C">
        <w:t xml:space="preserve">equirements for Health Safety Net payments through a graduated payment system. The Health Safety </w:t>
      </w:r>
      <w:r w:rsidRPr="00741B5C">
        <w:lastRenderedPageBreak/>
        <w:t xml:space="preserve">Net </w:t>
      </w:r>
      <w:r>
        <w:t>o</w:t>
      </w:r>
      <w:r w:rsidRPr="00741B5C">
        <w:t xml:space="preserve">ffice allocates </w:t>
      </w:r>
      <w:r w:rsidR="00103F62">
        <w:t>funding</w:t>
      </w:r>
      <w:r w:rsidRPr="00741B5C">
        <w:t xml:space="preserve"> to </w:t>
      </w:r>
      <w:r>
        <w:t>d</w:t>
      </w:r>
      <w:r w:rsidRPr="00741B5C">
        <w:t xml:space="preserve">isproportionate </w:t>
      </w:r>
      <w:r>
        <w:t>s</w:t>
      </w:r>
      <w:r w:rsidRPr="00741B5C">
        <w:t xml:space="preserve">hare </w:t>
      </w:r>
      <w:r>
        <w:t>h</w:t>
      </w:r>
      <w:r w:rsidRPr="00741B5C">
        <w:t xml:space="preserve">ospitals </w:t>
      </w:r>
      <w:r w:rsidR="00CC0013">
        <w:t xml:space="preserve">(DSH) </w:t>
      </w:r>
      <w:r w:rsidRPr="00741B5C">
        <w:t xml:space="preserve">and other </w:t>
      </w:r>
      <w:r>
        <w:t>a</w:t>
      </w:r>
      <w:r w:rsidRPr="00741B5C">
        <w:t xml:space="preserve">cute </w:t>
      </w:r>
      <w:r>
        <w:t>h</w:t>
      </w:r>
      <w:r w:rsidRPr="00741B5C">
        <w:t>ospitals</w:t>
      </w:r>
      <w:r w:rsidR="00655C70">
        <w:t xml:space="preserve"> (non-DSH)</w:t>
      </w:r>
      <w:r w:rsidRPr="00741B5C">
        <w:t xml:space="preserve"> as follows.</w:t>
      </w:r>
    </w:p>
    <w:p w14:paraId="5368B54A" w14:textId="6E249D0F" w:rsidR="00251D29" w:rsidRPr="00741B5C" w:rsidRDefault="00987C80" w:rsidP="00251D29">
      <w:pPr>
        <w:pStyle w:val="BodyTextIndent3"/>
        <w:ind w:left="1440"/>
      </w:pPr>
      <w:r>
        <w:t>1</w:t>
      </w:r>
      <w:proofErr w:type="gramStart"/>
      <w:r w:rsidR="0086357F">
        <w:t xml:space="preserve">.  </w:t>
      </w:r>
      <w:r w:rsidR="00251D29" w:rsidRPr="00741B5C">
        <w:rPr>
          <w:u w:val="single"/>
        </w:rPr>
        <w:t>Allocation</w:t>
      </w:r>
      <w:proofErr w:type="gramEnd"/>
      <w:r w:rsidR="00251D29" w:rsidRPr="00741B5C">
        <w:rPr>
          <w:u w:val="single"/>
        </w:rPr>
        <w:t xml:space="preserve"> Method</w:t>
      </w:r>
      <w:r w:rsidR="00251D29" w:rsidRPr="00741B5C">
        <w:t xml:space="preserve">.  The Health Safety Net </w:t>
      </w:r>
      <w:r w:rsidR="00251D29">
        <w:t>o</w:t>
      </w:r>
      <w:r w:rsidR="00251D29" w:rsidRPr="00741B5C">
        <w:t xml:space="preserve">ffice allocates the </w:t>
      </w:r>
      <w:r w:rsidR="006971F2">
        <w:t>funding</w:t>
      </w:r>
      <w:r w:rsidR="00251D29" w:rsidRPr="00741B5C">
        <w:t xml:space="preserve"> as follows.</w:t>
      </w:r>
    </w:p>
    <w:p w14:paraId="4B32ED5E" w14:textId="7DE10059" w:rsidR="004B47CC" w:rsidRDefault="00251D29" w:rsidP="00987C80">
      <w:pPr>
        <w:pStyle w:val="BodyTextIndent3"/>
        <w:ind w:left="1800"/>
      </w:pPr>
      <w:r w:rsidRPr="00741B5C">
        <w:t xml:space="preserve">a. </w:t>
      </w:r>
      <w:r w:rsidR="00F06CB3" w:rsidRPr="00F06CB3">
        <w:t xml:space="preserve">Distribute funding to </w:t>
      </w:r>
      <w:r w:rsidR="00987C80">
        <w:t>DSH</w:t>
      </w:r>
      <w:r w:rsidR="00F06CB3" w:rsidRPr="00F06CB3">
        <w:t xml:space="preserve"> such that each </w:t>
      </w:r>
      <w:r w:rsidR="00987C80">
        <w:t>DSH</w:t>
      </w:r>
      <w:r w:rsidR="00F06CB3" w:rsidRPr="00F06CB3">
        <w:t xml:space="preserve"> receives up to </w:t>
      </w:r>
      <w:r w:rsidR="00EC3FBE">
        <w:t xml:space="preserve">an initial reimbursement cap of </w:t>
      </w:r>
      <w:r w:rsidR="00F06CB3" w:rsidRPr="00F06CB3">
        <w:t xml:space="preserve">85% of </w:t>
      </w:r>
      <w:r w:rsidR="00F04CB9">
        <w:t>its</w:t>
      </w:r>
      <w:r w:rsidR="00F06CB3" w:rsidRPr="00F06CB3">
        <w:t xml:space="preserve"> allowable </w:t>
      </w:r>
      <w:r w:rsidR="00CD602A">
        <w:t>He</w:t>
      </w:r>
      <w:r w:rsidR="00D6133B">
        <w:t>alth Safety Net payments</w:t>
      </w:r>
      <w:r w:rsidR="00F06CB3" w:rsidRPr="00F06CB3">
        <w:t xml:space="preserve"> before funding is </w:t>
      </w:r>
      <w:r w:rsidR="0091346F">
        <w:t>distributed</w:t>
      </w:r>
      <w:r w:rsidR="00F06CB3" w:rsidRPr="00F06CB3">
        <w:t xml:space="preserve"> to non-</w:t>
      </w:r>
      <w:r w:rsidR="00987C80">
        <w:t>DSH</w:t>
      </w:r>
      <w:r w:rsidR="009D79C8">
        <w:t>, calculated as follows</w:t>
      </w:r>
      <w:r w:rsidR="00F06CB3" w:rsidRPr="00F06CB3">
        <w:t>.</w:t>
      </w:r>
    </w:p>
    <w:p w14:paraId="64F6A64B" w14:textId="406166E4" w:rsidR="00283FB5" w:rsidRDefault="00283FB5" w:rsidP="009450B9">
      <w:pPr>
        <w:pStyle w:val="BodyTextIndent3"/>
      </w:pPr>
      <w:proofErr w:type="spellStart"/>
      <w:r w:rsidDel="00EC3FBE">
        <w:t>i</w:t>
      </w:r>
      <w:proofErr w:type="spellEnd"/>
      <w:r>
        <w:t xml:space="preserve">. </w:t>
      </w:r>
      <w:r w:rsidR="00D23734">
        <w:t xml:space="preserve"> </w:t>
      </w:r>
      <w:r w:rsidR="00794769" w:rsidRPr="00794769">
        <w:t xml:space="preserve">If total available funding is </w:t>
      </w:r>
      <w:r w:rsidR="00CF03BE">
        <w:t xml:space="preserve">equal to or </w:t>
      </w:r>
      <w:r w:rsidR="00794769" w:rsidRPr="00794769">
        <w:t xml:space="preserve">greater than the sum of 85% of </w:t>
      </w:r>
      <w:r w:rsidR="00655C70">
        <w:t>all</w:t>
      </w:r>
      <w:r w:rsidR="00794769" w:rsidRPr="00794769">
        <w:t xml:space="preserve"> </w:t>
      </w:r>
      <w:r w:rsidR="008040AE">
        <w:t>DSH</w:t>
      </w:r>
      <w:r w:rsidR="004A5377">
        <w:t>s</w:t>
      </w:r>
      <w:r w:rsidR="006E3113">
        <w:t>’</w:t>
      </w:r>
      <w:r w:rsidR="00794769" w:rsidRPr="00794769">
        <w:t xml:space="preserve"> </w:t>
      </w:r>
      <w:r w:rsidR="00BF3AB8">
        <w:t xml:space="preserve">total </w:t>
      </w:r>
      <w:r w:rsidR="00D6133B">
        <w:t>allowable Health Safety Net payments</w:t>
      </w:r>
      <w:r w:rsidR="00794769" w:rsidRPr="00794769">
        <w:t xml:space="preserve">, each </w:t>
      </w:r>
      <w:r w:rsidR="00FF1E3D">
        <w:t xml:space="preserve">DSH </w:t>
      </w:r>
      <w:r w:rsidR="00794769" w:rsidRPr="00794769">
        <w:t xml:space="preserve">receives 85% of </w:t>
      </w:r>
      <w:r w:rsidR="00FF1E3D">
        <w:t>its</w:t>
      </w:r>
      <w:r w:rsidR="00794769" w:rsidRPr="00794769">
        <w:t xml:space="preserve"> </w:t>
      </w:r>
      <w:r w:rsidR="00D6133B">
        <w:t>allowable Health Safety Net payments</w:t>
      </w:r>
      <w:r w:rsidR="001D3FAB">
        <w:t>,</w:t>
      </w:r>
      <w:r w:rsidR="00794769" w:rsidRPr="00794769">
        <w:t xml:space="preserve"> and </w:t>
      </w:r>
      <w:r w:rsidR="002D64D4">
        <w:t xml:space="preserve">any </w:t>
      </w:r>
      <w:r w:rsidR="00794769" w:rsidRPr="00794769">
        <w:t>remaining funding is made available for non-</w:t>
      </w:r>
      <w:r w:rsidR="00FF1E3D">
        <w:t>DSH</w:t>
      </w:r>
      <w:r w:rsidR="009A7E77">
        <w:t xml:space="preserve"> in accordance with 101 CMR 614.03(3)(b)</w:t>
      </w:r>
      <w:proofErr w:type="gramStart"/>
      <w:r w:rsidR="00AB074C">
        <w:t>1.b</w:t>
      </w:r>
      <w:r w:rsidR="00794769" w:rsidRPr="00794769">
        <w:t>.</w:t>
      </w:r>
      <w:proofErr w:type="gramEnd"/>
    </w:p>
    <w:p w14:paraId="7A8D8105" w14:textId="73B51297" w:rsidR="00177C5E" w:rsidRDefault="00794769" w:rsidP="009450B9">
      <w:pPr>
        <w:pStyle w:val="BodyTextIndent3"/>
      </w:pPr>
      <w:r>
        <w:t>ii</w:t>
      </w:r>
      <w:proofErr w:type="gramStart"/>
      <w:r>
        <w:t xml:space="preserve">. </w:t>
      </w:r>
      <w:r w:rsidR="00560E56">
        <w:t xml:space="preserve"> </w:t>
      </w:r>
      <w:r w:rsidR="004D1676" w:rsidRPr="004D1676">
        <w:t>If</w:t>
      </w:r>
      <w:proofErr w:type="gramEnd"/>
      <w:r w:rsidR="004D1676" w:rsidRPr="004D1676">
        <w:t xml:space="preserve"> total available funding is less than </w:t>
      </w:r>
      <w:r w:rsidR="009060E2">
        <w:t xml:space="preserve">the sum of </w:t>
      </w:r>
      <w:r w:rsidR="00626540" w:rsidRPr="004D1676">
        <w:t>85%</w:t>
      </w:r>
      <w:r w:rsidR="004D1676" w:rsidRPr="004D1676">
        <w:t xml:space="preserve"> of </w:t>
      </w:r>
      <w:r w:rsidR="00AC39DA">
        <w:t>all</w:t>
      </w:r>
      <w:r w:rsidR="009060E2">
        <w:t xml:space="preserve"> DSHs</w:t>
      </w:r>
      <w:r w:rsidR="006E3113">
        <w:t>’</w:t>
      </w:r>
      <w:r w:rsidR="004D1676" w:rsidRPr="004D1676">
        <w:t xml:space="preserve"> </w:t>
      </w:r>
      <w:r w:rsidR="00626540">
        <w:t>total</w:t>
      </w:r>
      <w:r w:rsidR="004D1676" w:rsidRPr="004D1676">
        <w:t xml:space="preserve"> </w:t>
      </w:r>
      <w:r w:rsidR="00D6133B">
        <w:t>allowable Health Safety Net payments</w:t>
      </w:r>
      <w:r w:rsidR="004D1676" w:rsidRPr="004D1676">
        <w:t>,</w:t>
      </w:r>
      <w:r w:rsidR="00613F1D">
        <w:t xml:space="preserve"> c</w:t>
      </w:r>
      <w:r w:rsidR="00177C5E">
        <w:t xml:space="preserve">alculate each </w:t>
      </w:r>
      <w:r w:rsidR="00F23431">
        <w:t>D</w:t>
      </w:r>
      <w:r w:rsidR="4DD96818">
        <w:t>SH</w:t>
      </w:r>
      <w:r w:rsidR="00177C5E">
        <w:t>’s</w:t>
      </w:r>
      <w:r w:rsidR="004D1676" w:rsidRPr="004D1676">
        <w:t xml:space="preserve"> </w:t>
      </w:r>
      <w:r w:rsidR="00FC6BD4">
        <w:t>r</w:t>
      </w:r>
      <w:r w:rsidR="004D1676" w:rsidRPr="004D1676">
        <w:t xml:space="preserve">elative </w:t>
      </w:r>
      <w:r w:rsidR="00FC6BD4">
        <w:t>p</w:t>
      </w:r>
      <w:r w:rsidR="004D1676" w:rsidRPr="004D1676">
        <w:t xml:space="preserve">ublic </w:t>
      </w:r>
      <w:r w:rsidR="00FC6BD4">
        <w:t>p</w:t>
      </w:r>
      <w:r w:rsidR="004D1676" w:rsidRPr="004D1676">
        <w:t xml:space="preserve">ayer </w:t>
      </w:r>
      <w:r w:rsidR="00FC6BD4">
        <w:t>m</w:t>
      </w:r>
      <w:r w:rsidR="004D1676" w:rsidRPr="004D1676">
        <w:t xml:space="preserve">ix </w:t>
      </w:r>
      <w:r w:rsidR="00FC6BD4">
        <w:t>a</w:t>
      </w:r>
      <w:r w:rsidR="004D1676" w:rsidRPr="004D1676">
        <w:t xml:space="preserve">djustment </w:t>
      </w:r>
      <w:r w:rsidR="00FC6BD4">
        <w:t>f</w:t>
      </w:r>
      <w:r w:rsidR="004D1676" w:rsidRPr="004D1676">
        <w:t>actor</w:t>
      </w:r>
      <w:r w:rsidR="00F224D9">
        <w:t>.</w:t>
      </w:r>
      <w:r w:rsidR="004D1676" w:rsidRPr="004D1676">
        <w:t xml:space="preserve"> </w:t>
      </w:r>
    </w:p>
    <w:p w14:paraId="37CC1B8B" w14:textId="1E329008" w:rsidR="008D4EEE" w:rsidRDefault="00A942E7" w:rsidP="009450B9">
      <w:pPr>
        <w:pStyle w:val="BodyTextIndent3"/>
      </w:pPr>
      <w:r>
        <w:t>ii</w:t>
      </w:r>
      <w:r w:rsidR="00BD70E4">
        <w:t>i</w:t>
      </w:r>
      <w:r w:rsidR="008D4EEE">
        <w:t xml:space="preserve">. </w:t>
      </w:r>
      <w:r w:rsidR="009C5189" w:rsidRPr="009C5189">
        <w:t xml:space="preserve">Multiply each </w:t>
      </w:r>
      <w:r w:rsidR="00090979">
        <w:t>DSH</w:t>
      </w:r>
      <w:r w:rsidR="009C5189" w:rsidRPr="009C5189">
        <w:t xml:space="preserve">’s </w:t>
      </w:r>
      <w:r w:rsidR="00FC6BD4">
        <w:t>r</w:t>
      </w:r>
      <w:r w:rsidR="009C5189" w:rsidRPr="009C5189">
        <w:t xml:space="preserve">elative </w:t>
      </w:r>
      <w:r w:rsidR="00FC6BD4">
        <w:t>p</w:t>
      </w:r>
      <w:r w:rsidR="009C5189" w:rsidRPr="009C5189">
        <w:t xml:space="preserve">ublic </w:t>
      </w:r>
      <w:r w:rsidR="00FC6BD4">
        <w:t>p</w:t>
      </w:r>
      <w:r w:rsidR="009C5189" w:rsidRPr="009C5189">
        <w:t xml:space="preserve">ayer </w:t>
      </w:r>
      <w:r w:rsidR="00FC6BD4">
        <w:t>m</w:t>
      </w:r>
      <w:r w:rsidR="009C5189" w:rsidRPr="009C5189">
        <w:t xml:space="preserve">ix </w:t>
      </w:r>
      <w:r w:rsidR="00FC6BD4">
        <w:t>a</w:t>
      </w:r>
      <w:r w:rsidR="009C5189" w:rsidRPr="009C5189">
        <w:t xml:space="preserve">djustment </w:t>
      </w:r>
      <w:r w:rsidR="00FC6BD4">
        <w:t>f</w:t>
      </w:r>
      <w:r w:rsidR="009C5189" w:rsidRPr="009C5189">
        <w:t xml:space="preserve">actor by </w:t>
      </w:r>
      <w:r w:rsidR="00090979">
        <w:t>its</w:t>
      </w:r>
      <w:r w:rsidR="009C5189" w:rsidRPr="009C5189">
        <w:t xml:space="preserve"> </w:t>
      </w:r>
      <w:r w:rsidR="009060E2">
        <w:t>allowable Health Safety Net payment</w:t>
      </w:r>
      <w:r w:rsidR="00927E78">
        <w:t>s</w:t>
      </w:r>
      <w:r w:rsidR="009C5189" w:rsidRPr="009C5189">
        <w:t xml:space="preserve"> to determine </w:t>
      </w:r>
      <w:r w:rsidR="00090979">
        <w:t>its</w:t>
      </w:r>
      <w:r w:rsidR="009C5189" w:rsidRPr="009C5189">
        <w:t xml:space="preserve"> </w:t>
      </w:r>
      <w:r w:rsidR="00234614">
        <w:t>a</w:t>
      </w:r>
      <w:r w:rsidR="009C5189" w:rsidRPr="009C5189">
        <w:t xml:space="preserve">djusted </w:t>
      </w:r>
      <w:r w:rsidR="00927E78">
        <w:t>allowable Health Safety Net payments</w:t>
      </w:r>
      <w:r w:rsidR="009C5189" w:rsidRPr="009C5189">
        <w:t>.</w:t>
      </w:r>
    </w:p>
    <w:p w14:paraId="5BB80C82" w14:textId="04971BED" w:rsidR="009C5189" w:rsidRDefault="004004D4" w:rsidP="009450B9">
      <w:pPr>
        <w:pStyle w:val="BodyTextIndent3"/>
      </w:pPr>
      <w:r>
        <w:t>i</w:t>
      </w:r>
      <w:r w:rsidR="00DD75EA">
        <w:t>v</w:t>
      </w:r>
      <w:r w:rsidR="009C5189">
        <w:t xml:space="preserve">. </w:t>
      </w:r>
      <w:r w:rsidR="009C5189" w:rsidRPr="009C5189">
        <w:t xml:space="preserve">Divide each </w:t>
      </w:r>
      <w:r w:rsidR="00967501">
        <w:t>DSH</w:t>
      </w:r>
      <w:r w:rsidR="009C5189" w:rsidRPr="009C5189">
        <w:t xml:space="preserve">’s </w:t>
      </w:r>
      <w:r w:rsidR="00234614">
        <w:t>a</w:t>
      </w:r>
      <w:r w:rsidR="009C5189" w:rsidRPr="009C5189">
        <w:t xml:space="preserve">djusted </w:t>
      </w:r>
      <w:r w:rsidR="00927E78">
        <w:t>allowable Health Safety Net payments</w:t>
      </w:r>
      <w:r w:rsidR="009C5189" w:rsidRPr="009C5189">
        <w:t xml:space="preserve"> by the </w:t>
      </w:r>
      <w:r w:rsidR="003C4CAB">
        <w:t>t</w:t>
      </w:r>
      <w:r w:rsidR="009C5189" w:rsidRPr="009C5189">
        <w:t xml:space="preserve">otal </w:t>
      </w:r>
      <w:r w:rsidR="003C4CAB">
        <w:t>a</w:t>
      </w:r>
      <w:r w:rsidR="009C5189" w:rsidRPr="009C5189">
        <w:t xml:space="preserve">djusted </w:t>
      </w:r>
      <w:r w:rsidR="00927E78">
        <w:t>allowable Health Safety Net</w:t>
      </w:r>
      <w:r w:rsidR="00494659">
        <w:t xml:space="preserve"> payments</w:t>
      </w:r>
      <w:r w:rsidR="009C5189" w:rsidRPr="009C5189">
        <w:t xml:space="preserve"> for </w:t>
      </w:r>
      <w:r w:rsidR="003C4CAB">
        <w:t>all DSH</w:t>
      </w:r>
      <w:r w:rsidR="009C5189" w:rsidRPr="009C5189">
        <w:t xml:space="preserve"> and then multiply by the total funding available for all hospitals</w:t>
      </w:r>
      <w:r w:rsidR="009C5189" w:rsidRPr="009C5189" w:rsidDel="00040A61">
        <w:t>.</w:t>
      </w:r>
    </w:p>
    <w:p w14:paraId="10DB223C" w14:textId="34170A52" w:rsidR="00DB25A5" w:rsidRDefault="00AF69BD" w:rsidP="009450B9">
      <w:pPr>
        <w:pStyle w:val="BodyTextIndent3"/>
      </w:pPr>
      <w:r>
        <w:t xml:space="preserve">v. </w:t>
      </w:r>
      <w:r w:rsidR="00EC674F">
        <w:t>I</w:t>
      </w:r>
      <w:r w:rsidRPr="00AF69BD">
        <w:t>f</w:t>
      </w:r>
      <w:r w:rsidR="00EC674F">
        <w:t xml:space="preserve"> the</w:t>
      </w:r>
      <w:r w:rsidR="00B32828">
        <w:t xml:space="preserve"> resulting</w:t>
      </w:r>
      <w:r w:rsidR="00EC674F">
        <w:t xml:space="preserve"> </w:t>
      </w:r>
      <w:r w:rsidR="005A444D">
        <w:t>val</w:t>
      </w:r>
      <w:r w:rsidR="00BB34AB">
        <w:t>ue</w:t>
      </w:r>
      <w:r w:rsidR="00B32828">
        <w:t xml:space="preserve"> for</w:t>
      </w:r>
      <w:r w:rsidRPr="00AF69BD">
        <w:t xml:space="preserve"> any </w:t>
      </w:r>
      <w:r w:rsidR="00040A61">
        <w:t>DSH</w:t>
      </w:r>
      <w:r w:rsidRPr="00AF69BD">
        <w:t xml:space="preserve"> is greater than </w:t>
      </w:r>
      <w:r w:rsidR="00F92860">
        <w:t xml:space="preserve">85% of its </w:t>
      </w:r>
      <w:r w:rsidR="00494659">
        <w:t>allowable Health Safety Net payments</w:t>
      </w:r>
      <w:r w:rsidR="00F92860">
        <w:t>, th</w:t>
      </w:r>
      <w:r w:rsidR="00300325">
        <w:t xml:space="preserve">e amounts exceeding 85% of such </w:t>
      </w:r>
      <w:r w:rsidR="00494659">
        <w:t>allowable Health Safety Net payments</w:t>
      </w:r>
      <w:r w:rsidR="00300325">
        <w:t xml:space="preserve"> </w:t>
      </w:r>
      <w:r w:rsidR="00686DC2">
        <w:t>is</w:t>
      </w:r>
      <w:r w:rsidRPr="00AF69BD">
        <w:t xml:space="preserve"> redistributed to </w:t>
      </w:r>
      <w:r w:rsidR="00692A73">
        <w:t>DSH</w:t>
      </w:r>
      <w:r w:rsidRPr="00AF69BD">
        <w:t xml:space="preserve"> that have not yet reached their </w:t>
      </w:r>
      <w:r w:rsidR="00821320">
        <w:t xml:space="preserve">85% </w:t>
      </w:r>
      <w:r w:rsidR="007E7C4D">
        <w:t xml:space="preserve">initial </w:t>
      </w:r>
      <w:r w:rsidRPr="00AF69BD">
        <w:t>reimbursement cap</w:t>
      </w:r>
      <w:r w:rsidR="00686DC2">
        <w:t xml:space="preserve">, until all funding has been distributed </w:t>
      </w:r>
      <w:r w:rsidR="00F04CB9">
        <w:t xml:space="preserve">or all </w:t>
      </w:r>
      <w:r w:rsidR="00686DC2">
        <w:t xml:space="preserve">DSH </w:t>
      </w:r>
      <w:r w:rsidR="00F04CB9">
        <w:t>have received</w:t>
      </w:r>
      <w:r w:rsidR="00686DC2">
        <w:t xml:space="preserve"> 85% of </w:t>
      </w:r>
      <w:r w:rsidR="00F04CB9">
        <w:t>their</w:t>
      </w:r>
      <w:r w:rsidR="00686DC2">
        <w:t xml:space="preserve"> </w:t>
      </w:r>
      <w:r w:rsidR="00494659">
        <w:t>allowable Health Safety Net payments</w:t>
      </w:r>
      <w:r w:rsidR="00F04CB9">
        <w:t>, whichever occurs first</w:t>
      </w:r>
      <w:r w:rsidRPr="00AF69BD">
        <w:t>.</w:t>
      </w:r>
    </w:p>
    <w:p w14:paraId="51FD03B4" w14:textId="0D94FD0A" w:rsidR="001105C1" w:rsidRDefault="00A462F6" w:rsidP="004A1290">
      <w:pPr>
        <w:pStyle w:val="BodyTextIndent3"/>
        <w:ind w:left="1800"/>
      </w:pPr>
      <w:r>
        <w:t>b</w:t>
      </w:r>
      <w:r w:rsidR="00097C36">
        <w:t xml:space="preserve">. </w:t>
      </w:r>
      <w:r w:rsidR="00F06CB3" w:rsidRPr="00F06CB3">
        <w:t>If</w:t>
      </w:r>
      <w:r w:rsidR="00083F8E">
        <w:t xml:space="preserve"> funding is available after</w:t>
      </w:r>
      <w:r w:rsidR="00F06CB3" w:rsidRPr="00F06CB3">
        <w:t xml:space="preserve"> each </w:t>
      </w:r>
      <w:r>
        <w:t>DSH</w:t>
      </w:r>
      <w:r w:rsidR="00F06CB3" w:rsidRPr="00F06CB3">
        <w:t xml:space="preserve"> receives 85% of </w:t>
      </w:r>
      <w:r w:rsidR="00EC3FBE">
        <w:t>its</w:t>
      </w:r>
      <w:r w:rsidR="00F06CB3" w:rsidRPr="00F06CB3">
        <w:t xml:space="preserve"> allowable </w:t>
      </w:r>
      <w:r w:rsidR="00494659">
        <w:t>Health Safety Net payments</w:t>
      </w:r>
      <w:r w:rsidR="00F06CB3" w:rsidRPr="00F06CB3">
        <w:t xml:space="preserve">, </w:t>
      </w:r>
      <w:r w:rsidR="00FA4BA3">
        <w:t>d</w:t>
      </w:r>
      <w:r w:rsidR="00FA4BA3" w:rsidRPr="00F06CB3">
        <w:t xml:space="preserve">istribute funding to </w:t>
      </w:r>
      <w:r w:rsidR="00FA4BA3">
        <w:t>non-DSH such</w:t>
      </w:r>
      <w:r w:rsidR="00FA4BA3" w:rsidRPr="00F06CB3">
        <w:t xml:space="preserve"> that each </w:t>
      </w:r>
      <w:r w:rsidR="00FA4BA3">
        <w:t>non-DSH</w:t>
      </w:r>
      <w:r w:rsidR="00FA4BA3" w:rsidRPr="00F06CB3">
        <w:t xml:space="preserve"> receives up to </w:t>
      </w:r>
      <w:r w:rsidR="00FA4BA3">
        <w:t>an initial reimbursement cap of 7</w:t>
      </w:r>
      <w:r w:rsidR="00FA4BA3" w:rsidRPr="00F06CB3">
        <w:t xml:space="preserve">5% of </w:t>
      </w:r>
      <w:r w:rsidR="00F04CB9">
        <w:t>its</w:t>
      </w:r>
      <w:r w:rsidR="00FA4BA3" w:rsidRPr="00F06CB3">
        <w:t xml:space="preserve"> allowable </w:t>
      </w:r>
      <w:r w:rsidR="0054773B">
        <w:t>Health Safety Net payments</w:t>
      </w:r>
      <w:r w:rsidR="008213C0">
        <w:t xml:space="preserve"> before funding is distributed above the DSH and non-DSH initial reimbursement caps</w:t>
      </w:r>
      <w:r w:rsidR="000243B1">
        <w:t>, calculated as follows</w:t>
      </w:r>
      <w:r w:rsidR="00754A39">
        <w:t>.</w:t>
      </w:r>
    </w:p>
    <w:p w14:paraId="5A110ED4" w14:textId="72F3C09B" w:rsidR="00C30037" w:rsidRDefault="00433757" w:rsidP="00C30037">
      <w:pPr>
        <w:pStyle w:val="BodyTextIndent3"/>
      </w:pPr>
      <w:proofErr w:type="spellStart"/>
      <w:r>
        <w:t>i</w:t>
      </w:r>
      <w:proofErr w:type="spellEnd"/>
      <w:r>
        <w:t xml:space="preserve">. </w:t>
      </w:r>
      <w:r w:rsidR="00C30037" w:rsidRPr="00794769">
        <w:t xml:space="preserve">If total </w:t>
      </w:r>
      <w:r w:rsidR="00C30037">
        <w:t xml:space="preserve">remaining </w:t>
      </w:r>
      <w:r w:rsidR="00C30037" w:rsidRPr="00794769">
        <w:t xml:space="preserve">available funding is </w:t>
      </w:r>
      <w:r w:rsidR="00C30037">
        <w:t xml:space="preserve">equal to or </w:t>
      </w:r>
      <w:r w:rsidR="00C30037" w:rsidRPr="00794769">
        <w:t xml:space="preserve">greater than the sum of </w:t>
      </w:r>
      <w:r w:rsidR="00C317AC">
        <w:t>7</w:t>
      </w:r>
      <w:r w:rsidR="00C30037" w:rsidRPr="00794769">
        <w:t xml:space="preserve">5% of </w:t>
      </w:r>
      <w:r w:rsidR="00C30037">
        <w:t>all</w:t>
      </w:r>
      <w:r w:rsidR="00C30037" w:rsidRPr="00794769">
        <w:t xml:space="preserve"> </w:t>
      </w:r>
      <w:r w:rsidR="00C317AC">
        <w:t>non-</w:t>
      </w:r>
      <w:r w:rsidR="00C30037">
        <w:t>DSHs</w:t>
      </w:r>
      <w:r w:rsidR="002D4102">
        <w:t>’</w:t>
      </w:r>
      <w:r w:rsidR="00C30037" w:rsidRPr="00794769">
        <w:t xml:space="preserve"> </w:t>
      </w:r>
      <w:r w:rsidR="00C30037">
        <w:t>total allowable Health Safety Net payments</w:t>
      </w:r>
      <w:r w:rsidR="00C30037" w:rsidRPr="00794769">
        <w:t xml:space="preserve">, each </w:t>
      </w:r>
      <w:r w:rsidR="00C317AC">
        <w:t>non-</w:t>
      </w:r>
      <w:r w:rsidR="00C30037">
        <w:t xml:space="preserve">DSH </w:t>
      </w:r>
      <w:r w:rsidR="00C30037" w:rsidRPr="00794769">
        <w:t xml:space="preserve">receives </w:t>
      </w:r>
      <w:r w:rsidR="00C317AC">
        <w:t>7</w:t>
      </w:r>
      <w:r w:rsidR="00C30037" w:rsidRPr="00794769">
        <w:t xml:space="preserve">5% of </w:t>
      </w:r>
      <w:r w:rsidR="00C30037">
        <w:t>its</w:t>
      </w:r>
      <w:r w:rsidR="00C30037" w:rsidRPr="00794769">
        <w:t xml:space="preserve"> </w:t>
      </w:r>
      <w:r w:rsidR="00C30037">
        <w:t>allowable Health Safety Net payments,</w:t>
      </w:r>
      <w:r w:rsidR="00C30037" w:rsidRPr="00794769">
        <w:t xml:space="preserve"> and </w:t>
      </w:r>
      <w:r w:rsidR="00C30037">
        <w:t xml:space="preserve">any </w:t>
      </w:r>
      <w:r w:rsidR="00C30037" w:rsidRPr="00794769">
        <w:t xml:space="preserve">remaining funding is made available for </w:t>
      </w:r>
      <w:r w:rsidR="00C317AC">
        <w:t>all hospitals</w:t>
      </w:r>
      <w:r w:rsidR="00C30037">
        <w:t xml:space="preserve"> in accordance with 101 CMR 614.03(3)(b)</w:t>
      </w:r>
      <w:proofErr w:type="gramStart"/>
      <w:r w:rsidR="00C30037">
        <w:t>1.</w:t>
      </w:r>
      <w:r w:rsidR="00C317AC">
        <w:t>c</w:t>
      </w:r>
      <w:r w:rsidR="00C30037" w:rsidRPr="00794769">
        <w:t>.</w:t>
      </w:r>
      <w:proofErr w:type="gramEnd"/>
    </w:p>
    <w:p w14:paraId="7FF5288F" w14:textId="0C30EBD4" w:rsidR="00433757" w:rsidRDefault="00C30037" w:rsidP="00C30037">
      <w:pPr>
        <w:pStyle w:val="BodyTextIndent3"/>
      </w:pPr>
      <w:r>
        <w:t xml:space="preserve">ii. </w:t>
      </w:r>
      <w:r w:rsidRPr="004D1676">
        <w:t xml:space="preserve">If total available funding is less than </w:t>
      </w:r>
      <w:proofErr w:type="gramStart"/>
      <w:r>
        <w:t xml:space="preserve">the sum of </w:t>
      </w:r>
      <w:r w:rsidR="00C317AC">
        <w:t>7</w:t>
      </w:r>
      <w:r w:rsidRPr="004D1676">
        <w:t>5</w:t>
      </w:r>
      <w:proofErr w:type="gramEnd"/>
      <w:r w:rsidRPr="004D1676">
        <w:t xml:space="preserve">% of </w:t>
      </w:r>
      <w:r>
        <w:t xml:space="preserve">all </w:t>
      </w:r>
      <w:r w:rsidR="00C317AC">
        <w:t>non-</w:t>
      </w:r>
      <w:r>
        <w:t>DSHs</w:t>
      </w:r>
      <w:r w:rsidR="00770083">
        <w:t>’</w:t>
      </w:r>
      <w:r w:rsidRPr="004D1676">
        <w:t xml:space="preserve"> </w:t>
      </w:r>
      <w:r>
        <w:t>total</w:t>
      </w:r>
      <w:r w:rsidRPr="004D1676">
        <w:t xml:space="preserve"> </w:t>
      </w:r>
      <w:r>
        <w:t>allowable Health Safety Net payments</w:t>
      </w:r>
      <w:r w:rsidRPr="004D1676">
        <w:t>,</w:t>
      </w:r>
      <w:r>
        <w:t xml:space="preserve"> c</w:t>
      </w:r>
      <w:r w:rsidR="00C61D93" w:rsidRPr="00C61D93">
        <w:t>alculate each non-</w:t>
      </w:r>
      <w:r w:rsidR="00742DEB">
        <w:t>DSH</w:t>
      </w:r>
      <w:r w:rsidR="00C61D93" w:rsidRPr="00C61D93">
        <w:t xml:space="preserve">’s </w:t>
      </w:r>
      <w:r w:rsidR="00CA5726">
        <w:t>r</w:t>
      </w:r>
      <w:r w:rsidR="00C61D93" w:rsidRPr="00C61D93">
        <w:t xml:space="preserve">elative </w:t>
      </w:r>
      <w:r w:rsidR="00CA5726">
        <w:t>p</w:t>
      </w:r>
      <w:r w:rsidR="00C61D93" w:rsidRPr="00C61D93">
        <w:t xml:space="preserve">ublic </w:t>
      </w:r>
      <w:r w:rsidR="00CA5726">
        <w:t>p</w:t>
      </w:r>
      <w:r w:rsidR="00C61D93" w:rsidRPr="00C61D93">
        <w:t xml:space="preserve">ayer </w:t>
      </w:r>
      <w:r w:rsidR="00CA5726">
        <w:t>m</w:t>
      </w:r>
      <w:r w:rsidR="00C61D93" w:rsidRPr="00C61D93">
        <w:t xml:space="preserve">ix </w:t>
      </w:r>
      <w:r w:rsidR="00CA5726">
        <w:t>a</w:t>
      </w:r>
      <w:r w:rsidR="00C61D93" w:rsidRPr="00C61D93">
        <w:t xml:space="preserve">djustment </w:t>
      </w:r>
      <w:r w:rsidR="00CA5726">
        <w:t>f</w:t>
      </w:r>
      <w:r w:rsidR="00C61D93" w:rsidRPr="00C61D93">
        <w:t>actor</w:t>
      </w:r>
      <w:r w:rsidR="009B29A7">
        <w:t>.</w:t>
      </w:r>
      <w:r w:rsidR="00C61D93" w:rsidRPr="00C61D93">
        <w:t xml:space="preserve"> </w:t>
      </w:r>
    </w:p>
    <w:p w14:paraId="6DB9A462" w14:textId="590E4A73" w:rsidR="00C61D93" w:rsidRDefault="00C61D93" w:rsidP="00705286">
      <w:pPr>
        <w:pStyle w:val="BodyTextIndent3"/>
      </w:pPr>
      <w:r>
        <w:t>i</w:t>
      </w:r>
      <w:r w:rsidR="00DF3054">
        <w:t>i</w:t>
      </w:r>
      <w:r w:rsidR="00C317AC">
        <w:t>i</w:t>
      </w:r>
      <w:r>
        <w:t xml:space="preserve">. </w:t>
      </w:r>
      <w:r w:rsidR="00CE5A3F" w:rsidRPr="00CE5A3F">
        <w:t>Multiply each</w:t>
      </w:r>
      <w:r w:rsidR="00CE5A3F">
        <w:t xml:space="preserve"> non-</w:t>
      </w:r>
      <w:r w:rsidR="00742DEB">
        <w:t>DSH</w:t>
      </w:r>
      <w:r w:rsidR="00CE5A3F" w:rsidRPr="00CE5A3F">
        <w:t xml:space="preserve">’s </w:t>
      </w:r>
      <w:r w:rsidR="00CA5726">
        <w:t>r</w:t>
      </w:r>
      <w:r w:rsidR="00CE5A3F" w:rsidRPr="00CE5A3F">
        <w:t xml:space="preserve">elative </w:t>
      </w:r>
      <w:r w:rsidR="00CA5726">
        <w:t>p</w:t>
      </w:r>
      <w:r w:rsidR="00CE5A3F" w:rsidRPr="00CE5A3F">
        <w:t xml:space="preserve">ublic </w:t>
      </w:r>
      <w:r w:rsidR="00CA5726">
        <w:t>p</w:t>
      </w:r>
      <w:r w:rsidR="00CE5A3F" w:rsidRPr="00CE5A3F">
        <w:t xml:space="preserve">ayer </w:t>
      </w:r>
      <w:r w:rsidR="00CA5726">
        <w:t>m</w:t>
      </w:r>
      <w:r w:rsidR="00CE5A3F" w:rsidRPr="00CE5A3F">
        <w:t xml:space="preserve">ix </w:t>
      </w:r>
      <w:r w:rsidR="00CA5726">
        <w:t>a</w:t>
      </w:r>
      <w:r w:rsidR="00CE5A3F" w:rsidRPr="00CE5A3F">
        <w:t xml:space="preserve">djustment </w:t>
      </w:r>
      <w:r w:rsidR="00CA5726">
        <w:t>f</w:t>
      </w:r>
      <w:r w:rsidR="00CE5A3F" w:rsidRPr="00CE5A3F">
        <w:t xml:space="preserve">actor by </w:t>
      </w:r>
      <w:r w:rsidR="00F04CB9">
        <w:t>its</w:t>
      </w:r>
      <w:r w:rsidR="00CE5A3F" w:rsidRPr="00CE5A3F">
        <w:t xml:space="preserve"> </w:t>
      </w:r>
      <w:r w:rsidR="00742DEB">
        <w:t xml:space="preserve">allowable </w:t>
      </w:r>
      <w:r w:rsidR="009B29A7">
        <w:t>Health Safety Net payments</w:t>
      </w:r>
      <w:r w:rsidR="00CE5A3F" w:rsidRPr="00CE5A3F">
        <w:t xml:space="preserve"> to determine </w:t>
      </w:r>
      <w:r w:rsidR="00F04CB9">
        <w:t>its</w:t>
      </w:r>
      <w:r w:rsidR="00CE5A3F" w:rsidRPr="00CE5A3F">
        <w:t xml:space="preserve"> </w:t>
      </w:r>
      <w:r w:rsidR="00742DEB">
        <w:t>a</w:t>
      </w:r>
      <w:r w:rsidR="00CE5A3F" w:rsidRPr="00CE5A3F">
        <w:t xml:space="preserve">djusted </w:t>
      </w:r>
      <w:r w:rsidR="009B29A7">
        <w:t>allowable Health Safety Net payments</w:t>
      </w:r>
      <w:r w:rsidR="00CE5A3F" w:rsidRPr="00CE5A3F">
        <w:t>.</w:t>
      </w:r>
    </w:p>
    <w:p w14:paraId="10E0AAC0" w14:textId="6C741812" w:rsidR="00FE0AE8" w:rsidRDefault="00705286" w:rsidP="00705286">
      <w:pPr>
        <w:pStyle w:val="BodyTextIndent3"/>
      </w:pPr>
      <w:r>
        <w:t>i</w:t>
      </w:r>
      <w:r w:rsidR="00085BE5">
        <w:t>v</w:t>
      </w:r>
      <w:r w:rsidR="00FE0AE8">
        <w:t xml:space="preserve">. </w:t>
      </w:r>
      <w:r w:rsidR="00FE0AE8" w:rsidRPr="00FE0AE8">
        <w:t>Divide each non-</w:t>
      </w:r>
      <w:r w:rsidR="00742DEB">
        <w:t>DSH</w:t>
      </w:r>
      <w:r w:rsidR="00FE0AE8" w:rsidRPr="00FE0AE8">
        <w:t xml:space="preserve">’s </w:t>
      </w:r>
      <w:r w:rsidR="00742DEB">
        <w:t>a</w:t>
      </w:r>
      <w:r w:rsidR="00FE0AE8" w:rsidRPr="00FE0AE8">
        <w:t xml:space="preserve">djusted </w:t>
      </w:r>
      <w:r w:rsidR="009B29A7">
        <w:t>allowable Health Safety Net payments</w:t>
      </w:r>
      <w:r w:rsidR="00FE0AE8" w:rsidRPr="00FE0AE8">
        <w:t xml:space="preserve"> by the </w:t>
      </w:r>
      <w:r w:rsidR="00742DEB">
        <w:t>t</w:t>
      </w:r>
      <w:r w:rsidR="00FE0AE8" w:rsidRPr="00FE0AE8">
        <w:t xml:space="preserve">otal </w:t>
      </w:r>
      <w:r w:rsidR="00742DEB">
        <w:t>a</w:t>
      </w:r>
      <w:r w:rsidR="00FE0AE8" w:rsidRPr="00FE0AE8">
        <w:t xml:space="preserve">djusted </w:t>
      </w:r>
      <w:r w:rsidR="009B29A7">
        <w:t>allowable Health Safety Net payments</w:t>
      </w:r>
      <w:r w:rsidR="00FE0AE8" w:rsidRPr="00FE0AE8">
        <w:t xml:space="preserve"> for </w:t>
      </w:r>
      <w:r w:rsidR="00742DEB">
        <w:t>all</w:t>
      </w:r>
      <w:r w:rsidR="00FE0AE8" w:rsidRPr="00FE0AE8">
        <w:t xml:space="preserve"> non-</w:t>
      </w:r>
      <w:r w:rsidR="00742DEB">
        <w:t>DSH</w:t>
      </w:r>
      <w:r w:rsidR="00A85E03" w:rsidRPr="00A85E03">
        <w:t xml:space="preserve"> </w:t>
      </w:r>
      <w:r w:rsidR="00A85E03" w:rsidRPr="00FE0AE8">
        <w:t>and then multiply by the total funding available for all hospitals.</w:t>
      </w:r>
      <w:r w:rsidR="00FE0AE8" w:rsidRPr="00FE0AE8">
        <w:t xml:space="preserve"> </w:t>
      </w:r>
    </w:p>
    <w:p w14:paraId="1D540976" w14:textId="4BD3DEAF" w:rsidR="00433757" w:rsidRPr="00741B5C" w:rsidRDefault="00A85E03" w:rsidP="00705286">
      <w:pPr>
        <w:pStyle w:val="BodyTextIndent3"/>
      </w:pPr>
      <w:r>
        <w:lastRenderedPageBreak/>
        <w:t xml:space="preserve">v. </w:t>
      </w:r>
      <w:r w:rsidR="006E5C9E">
        <w:t xml:space="preserve">If the </w:t>
      </w:r>
      <w:r w:rsidR="002D2561">
        <w:t xml:space="preserve">resulting </w:t>
      </w:r>
      <w:r w:rsidR="00705286">
        <w:t>value</w:t>
      </w:r>
      <w:r w:rsidR="002D2561">
        <w:t xml:space="preserve"> for any non-DSH</w:t>
      </w:r>
      <w:r w:rsidR="00137147" w:rsidRPr="00137147">
        <w:t xml:space="preserve"> is greater than </w:t>
      </w:r>
      <w:r w:rsidR="006545FC">
        <w:t xml:space="preserve">75% of its </w:t>
      </w:r>
      <w:r w:rsidR="009B29A7">
        <w:t>allowable Health Safety Net payments</w:t>
      </w:r>
      <w:r w:rsidR="006545FC">
        <w:t xml:space="preserve">, the amounts exceeding 75% of such </w:t>
      </w:r>
      <w:r w:rsidR="009B29A7">
        <w:t>allowable Health Safety Net payments</w:t>
      </w:r>
      <w:r w:rsidR="006545FC">
        <w:t xml:space="preserve"> is</w:t>
      </w:r>
      <w:r w:rsidR="006545FC" w:rsidRPr="00AF69BD">
        <w:t xml:space="preserve"> redistributed to </w:t>
      </w:r>
      <w:r w:rsidR="006545FC">
        <w:t>non-DSH</w:t>
      </w:r>
      <w:r w:rsidR="006545FC" w:rsidRPr="00AF69BD">
        <w:t xml:space="preserve"> that have not yet reached their </w:t>
      </w:r>
      <w:r w:rsidR="006545FC">
        <w:t>75%</w:t>
      </w:r>
      <w:r w:rsidR="009B29A7">
        <w:t xml:space="preserve"> initial </w:t>
      </w:r>
      <w:r w:rsidR="006545FC" w:rsidRPr="00AF69BD">
        <w:t>reimbursement cap</w:t>
      </w:r>
      <w:r w:rsidR="006545FC">
        <w:t xml:space="preserve">, until all funding has been distributed </w:t>
      </w:r>
      <w:r w:rsidR="00B54E6B">
        <w:t>or all</w:t>
      </w:r>
      <w:r w:rsidR="006545FC">
        <w:t xml:space="preserve"> non-DSH </w:t>
      </w:r>
      <w:r w:rsidR="00B54E6B">
        <w:t>have received</w:t>
      </w:r>
      <w:r w:rsidR="006545FC">
        <w:t xml:space="preserve"> </w:t>
      </w:r>
      <w:r w:rsidR="007C62BC">
        <w:t>7</w:t>
      </w:r>
      <w:r w:rsidR="006545FC">
        <w:t xml:space="preserve">5% of </w:t>
      </w:r>
      <w:r w:rsidR="00B54E6B">
        <w:t>their</w:t>
      </w:r>
      <w:r w:rsidR="006545FC">
        <w:t xml:space="preserve"> </w:t>
      </w:r>
      <w:r w:rsidR="007E7C4D">
        <w:t>allowable Health Safety Net payments</w:t>
      </w:r>
      <w:r w:rsidR="00B54E6B">
        <w:t>, whichever comes first</w:t>
      </w:r>
      <w:r w:rsidR="00137147" w:rsidRPr="00137147">
        <w:t>.</w:t>
      </w:r>
    </w:p>
    <w:p w14:paraId="7F94593A" w14:textId="04B1955D" w:rsidR="005C5B43" w:rsidRDefault="006545FC" w:rsidP="0024308F">
      <w:pPr>
        <w:pStyle w:val="BodyTextIndent3"/>
        <w:ind w:left="1800"/>
        <w:rPr>
          <w:strike/>
          <w:szCs w:val="22"/>
          <w:highlight w:val="yellow"/>
        </w:rPr>
      </w:pPr>
      <w:r>
        <w:t>c</w:t>
      </w:r>
      <w:r w:rsidR="00251D29">
        <w:t xml:space="preserve">.  </w:t>
      </w:r>
      <w:r w:rsidR="00D53AA7" w:rsidRPr="00D53AA7">
        <w:t xml:space="preserve">If </w:t>
      </w:r>
      <w:r w:rsidR="00D341BE">
        <w:t xml:space="preserve">funding is available after each DSH receives 85% of its allowable </w:t>
      </w:r>
      <w:r w:rsidR="007E7C4D">
        <w:t>Health Safety Net payments</w:t>
      </w:r>
      <w:r w:rsidR="00D341BE">
        <w:t xml:space="preserve"> and each non-DSH receives 75% of its allowable </w:t>
      </w:r>
      <w:r w:rsidR="007E7C4D">
        <w:t>Health Safety Net payments</w:t>
      </w:r>
      <w:r w:rsidR="00D341BE">
        <w:t>,</w:t>
      </w:r>
      <w:r w:rsidR="00CC4A56">
        <w:t xml:space="preserve"> distribute remaining funding</w:t>
      </w:r>
      <w:r w:rsidR="00DA1CD4">
        <w:t xml:space="preserve"> </w:t>
      </w:r>
      <w:r w:rsidR="00DA1CD4" w:rsidRPr="00D55F23">
        <w:t>across all</w:t>
      </w:r>
      <w:r w:rsidR="00057AAF" w:rsidRPr="00D55F23">
        <w:t xml:space="preserve"> </w:t>
      </w:r>
      <w:r w:rsidR="00D53AA7" w:rsidRPr="00D55F23">
        <w:t>hospitals</w:t>
      </w:r>
      <w:r w:rsidR="00412AF7" w:rsidRPr="00D55F23">
        <w:t xml:space="preserve"> in proportion to their remaining allowable Health Safety Net payments</w:t>
      </w:r>
      <w:r w:rsidR="004E06A1" w:rsidRPr="00D55F23">
        <w:t>.</w:t>
      </w:r>
      <w:r w:rsidR="00E75DA4">
        <w:t xml:space="preserve"> </w:t>
      </w:r>
    </w:p>
    <w:p w14:paraId="6E4254D0" w14:textId="77777777" w:rsidR="006B7A84" w:rsidRDefault="006B7A84" w:rsidP="009450B9">
      <w:pPr>
        <w:pStyle w:val="BodyTextIndent3"/>
        <w:ind w:left="1800"/>
        <w:rPr>
          <w:strike/>
          <w:szCs w:val="22"/>
          <w:highlight w:val="yellow"/>
        </w:rPr>
      </w:pPr>
    </w:p>
    <w:p w14:paraId="1427D75E" w14:textId="44E700E6" w:rsidR="00C2232A" w:rsidRPr="00362091" w:rsidRDefault="00C575D2" w:rsidP="00C2232A">
      <w:pPr>
        <w:pStyle w:val="BodyTextIndent3"/>
        <w:ind w:left="720"/>
      </w:pPr>
      <w:r>
        <w:t>(4</w:t>
      </w:r>
      <w:proofErr w:type="gramStart"/>
      <w:r>
        <w:t xml:space="preserve">)  </w:t>
      </w:r>
      <w:r w:rsidR="00662FFE" w:rsidRPr="583DDD7B">
        <w:rPr>
          <w:u w:val="single"/>
        </w:rPr>
        <w:t>Final</w:t>
      </w:r>
      <w:proofErr w:type="gramEnd"/>
      <w:r w:rsidR="00662FFE" w:rsidRPr="583DDD7B">
        <w:rPr>
          <w:u w:val="single"/>
        </w:rPr>
        <w:t xml:space="preserve">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CD1CAF">
        <w:t>and 101 CMR 614.07</w:t>
      </w:r>
      <w:r w:rsidR="00662FFE" w:rsidRPr="00CD1CAF">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w:t>
      </w:r>
      <w:proofErr w:type="gramStart"/>
      <w:r w:rsidR="005779C9">
        <w:t>including for</w:t>
      </w:r>
      <w:proofErr w:type="gramEnd"/>
      <w:r w:rsidR="005779C9">
        <w:t xml:space="preserve">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established at 101 CMR 613.00</w:t>
      </w:r>
      <w:proofErr w:type="gramStart"/>
      <w:r w:rsidR="00662FFE">
        <w:t xml:space="preserve">: </w:t>
      </w:r>
      <w:r w:rsidR="008E6115">
        <w:t xml:space="preserve"> </w:t>
      </w:r>
      <w:r w:rsidR="00662FFE" w:rsidRPr="583DDD7B">
        <w:rPr>
          <w:i/>
          <w:iCs/>
        </w:rPr>
        <w:t>Health</w:t>
      </w:r>
      <w:proofErr w:type="gramEnd"/>
      <w:r w:rsidR="00662FFE" w:rsidRPr="583DDD7B">
        <w:rPr>
          <w:i/>
          <w:iCs/>
        </w:rPr>
        <w:t xml:space="preserve">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6AC86972" w:rsidR="0042660A" w:rsidRPr="00741B5C" w:rsidRDefault="0042660A" w:rsidP="00C2232A">
      <w:pPr>
        <w:pStyle w:val="BodyTextIndent3"/>
        <w:ind w:left="720"/>
      </w:pPr>
      <w:r w:rsidRPr="00362091">
        <w:t>(5</w:t>
      </w:r>
      <w:proofErr w:type="gramStart"/>
      <w:r w:rsidRPr="00362091">
        <w:t xml:space="preserve">)  </w:t>
      </w:r>
      <w:r w:rsidRPr="00362091">
        <w:rPr>
          <w:u w:val="single"/>
        </w:rPr>
        <w:t>Post</w:t>
      </w:r>
      <w:proofErr w:type="gramEnd"/>
      <w:r w:rsidRPr="00362091">
        <w:rPr>
          <w:u w:val="single"/>
        </w:rPr>
        <w:t>-</w:t>
      </w:r>
      <w:r w:rsidR="00C36767">
        <w:rPr>
          <w:u w:val="single"/>
        </w:rPr>
        <w:t>r</w:t>
      </w:r>
      <w:r w:rsidRPr="00362091">
        <w:rPr>
          <w:u w:val="single"/>
        </w:rPr>
        <w:t>econciliation adjustments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w:t>
      </w:r>
      <w:r w:rsidR="00986E79" w:rsidRPr="00CD1CAF">
        <w:t>0</w:t>
      </w:r>
      <w:r w:rsidR="00462AB9" w:rsidRPr="00CD1CAF">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24F516D3"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614.06</w:t>
      </w:r>
      <w:proofErr w:type="gramStart"/>
      <w:r w:rsidR="00662FFE" w:rsidRPr="00415D75">
        <w:rPr>
          <w:rStyle w:val="Style11ptUnderline"/>
        </w:rPr>
        <w:t>:  Payments</w:t>
      </w:r>
      <w:proofErr w:type="gramEnd"/>
      <w:r w:rsidR="00662FFE" w:rsidRPr="00415D75">
        <w:rPr>
          <w:rStyle w:val="Style11ptUnderline"/>
        </w:rPr>
        <w:t xml:space="preserve">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(1</w:t>
      </w:r>
      <w:proofErr w:type="gramStart"/>
      <w:r w:rsidRPr="00741B5C">
        <w:rPr>
          <w:sz w:val="22"/>
        </w:rPr>
        <w:t xml:space="preserve">)  </w:t>
      </w:r>
      <w:r w:rsidRPr="00415D75">
        <w:rPr>
          <w:rStyle w:val="Style11ptUnderline"/>
        </w:rPr>
        <w:t>General</w:t>
      </w:r>
      <w:proofErr w:type="gramEnd"/>
      <w:r w:rsidRPr="00415D75">
        <w:rPr>
          <w:rStyle w:val="Style11ptUnderline"/>
        </w:rPr>
        <w:t xml:space="preserve"> Provisions</w:t>
      </w:r>
      <w:r w:rsidRPr="00741B5C">
        <w:rPr>
          <w:sz w:val="22"/>
        </w:rPr>
        <w:t>.</w:t>
      </w:r>
    </w:p>
    <w:p w14:paraId="41366514" w14:textId="3403CCE6" w:rsidR="00662FFE" w:rsidRPr="00741B5C" w:rsidRDefault="00662FFE" w:rsidP="00662FFE">
      <w:pPr>
        <w:ind w:left="1080"/>
        <w:rPr>
          <w:sz w:val="22"/>
        </w:rPr>
      </w:pPr>
      <w:r w:rsidRPr="00741B5C">
        <w:rPr>
          <w:sz w:val="22"/>
        </w:rPr>
        <w:t>(a</w:t>
      </w:r>
      <w:proofErr w:type="gramStart"/>
      <w:r w:rsidRPr="00741B5C">
        <w:rPr>
          <w:sz w:val="22"/>
        </w:rPr>
        <w:t>)  The</w:t>
      </w:r>
      <w:proofErr w:type="gramEnd"/>
      <w:r w:rsidRPr="00741B5C">
        <w:rPr>
          <w:sz w:val="22"/>
        </w:rPr>
        <w:t xml:space="preserve"> Health Safety Net pays </w:t>
      </w:r>
      <w:r w:rsidR="008D2319">
        <w:rPr>
          <w:sz w:val="22"/>
        </w:rPr>
        <w:t>a</w:t>
      </w:r>
      <w:r w:rsidRPr="00741B5C">
        <w:rPr>
          <w:sz w:val="22"/>
        </w:rPr>
        <w:t xml:space="preserve">cute </w:t>
      </w:r>
      <w:r w:rsidR="008D2319">
        <w:rPr>
          <w:sz w:val="22"/>
        </w:rPr>
        <w:t>h</w:t>
      </w:r>
      <w:r w:rsidRPr="00741B5C">
        <w:rPr>
          <w:sz w:val="22"/>
        </w:rPr>
        <w:t>ospitals based on claims in accordance with the requirements of 101 CMR 613.00</w:t>
      </w:r>
      <w:proofErr w:type="gramStart"/>
      <w:r w:rsidRPr="00741B5C">
        <w:rPr>
          <w:sz w:val="22"/>
        </w:rPr>
        <w:t xml:space="preserve">: </w:t>
      </w:r>
      <w:r w:rsidR="00845384">
        <w:rPr>
          <w:sz w:val="22"/>
        </w:rPr>
        <w:t xml:space="preserve"> </w:t>
      </w:r>
      <w:r w:rsidRPr="00741B5C">
        <w:rPr>
          <w:i/>
          <w:sz w:val="22"/>
        </w:rPr>
        <w:t>Health</w:t>
      </w:r>
      <w:proofErr w:type="gramEnd"/>
      <w:r w:rsidRPr="00741B5C">
        <w:rPr>
          <w:i/>
          <w:sz w:val="22"/>
        </w:rPr>
        <w:t xml:space="preserve">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(b</w:t>
      </w:r>
      <w:proofErr w:type="gramStart"/>
      <w:r w:rsidRPr="00741B5C">
        <w:rPr>
          <w:sz w:val="22"/>
        </w:rPr>
        <w:t xml:space="preserve">)  </w:t>
      </w:r>
      <w:r w:rsidRPr="00415D75">
        <w:rPr>
          <w:rStyle w:val="Style11ptUnderline"/>
        </w:rPr>
        <w:t>Payment</w:t>
      </w:r>
      <w:proofErr w:type="gramEnd"/>
      <w:r w:rsidRPr="00415D75">
        <w:rPr>
          <w:rStyle w:val="Style11ptUnderline"/>
        </w:rPr>
        <w:t xml:space="preserve"> Types</w:t>
      </w:r>
      <w:r w:rsidRPr="00741B5C">
        <w:rPr>
          <w:sz w:val="22"/>
        </w:rPr>
        <w:t>.</w:t>
      </w:r>
    </w:p>
    <w:p w14:paraId="70F8F56F" w14:textId="1C831551" w:rsidR="00662FFE" w:rsidRPr="00741B5C" w:rsidRDefault="00662FFE" w:rsidP="00674102">
      <w:pPr>
        <w:tabs>
          <w:tab w:val="left" w:pos="1530"/>
        </w:tabs>
        <w:ind w:left="1440"/>
        <w:rPr>
          <w:sz w:val="22"/>
          <w:szCs w:val="22"/>
        </w:rPr>
      </w:pPr>
      <w:r w:rsidRPr="6DF81FEA">
        <w:rPr>
          <w:sz w:val="22"/>
          <w:szCs w:val="22"/>
        </w:rPr>
        <w:t>1</w:t>
      </w:r>
      <w:proofErr w:type="gramStart"/>
      <w:r w:rsidRPr="6DF81FEA">
        <w:rPr>
          <w:sz w:val="22"/>
          <w:szCs w:val="22"/>
        </w:rPr>
        <w:t>.  The</w:t>
      </w:r>
      <w:proofErr w:type="gramEnd"/>
      <w:r w:rsidRPr="6DF81FEA">
        <w:rPr>
          <w:sz w:val="22"/>
          <w:szCs w:val="22"/>
        </w:rPr>
        <w:t xml:space="preserv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776B6A54" w:rsidR="007C0BA1" w:rsidRPr="0096212A" w:rsidRDefault="00662FFE" w:rsidP="00662FFE">
      <w:pPr>
        <w:ind w:left="1440"/>
        <w:rPr>
          <w:sz w:val="22"/>
        </w:rPr>
      </w:pPr>
      <w:r w:rsidRPr="0096212A">
        <w:rPr>
          <w:sz w:val="22"/>
        </w:rPr>
        <w:t>2</w:t>
      </w:r>
      <w:proofErr w:type="gramStart"/>
      <w:r w:rsidRPr="0096212A">
        <w:rPr>
          <w:sz w:val="22"/>
        </w:rPr>
        <w:t xml:space="preserve">.  </w:t>
      </w:r>
      <w:r w:rsidR="00696F9A">
        <w:rPr>
          <w:sz w:val="22"/>
        </w:rPr>
        <w:t>T</w:t>
      </w:r>
      <w:r w:rsidRPr="0096212A">
        <w:rPr>
          <w:sz w:val="22"/>
        </w:rPr>
        <w:t>he</w:t>
      </w:r>
      <w:proofErr w:type="gramEnd"/>
      <w:r w:rsidRPr="0096212A">
        <w:rPr>
          <w:sz w:val="22"/>
        </w:rPr>
        <w:t xml:space="preserv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6BD6A834" w:rsidR="00662FFE" w:rsidRPr="00741B5C" w:rsidRDefault="007C0BA1" w:rsidP="583DDD7B">
      <w:pPr>
        <w:ind w:left="1440"/>
        <w:rPr>
          <w:sz w:val="22"/>
          <w:szCs w:val="22"/>
        </w:rPr>
      </w:pPr>
      <w:r w:rsidRPr="583DDD7B">
        <w:rPr>
          <w:sz w:val="22"/>
          <w:szCs w:val="22"/>
        </w:rPr>
        <w:t>3</w:t>
      </w:r>
      <w:proofErr w:type="gramStart"/>
      <w:r w:rsidRPr="583DDD7B">
        <w:rPr>
          <w:sz w:val="22"/>
          <w:szCs w:val="22"/>
        </w:rPr>
        <w:t xml:space="preserve">. </w:t>
      </w:r>
      <w:r w:rsidR="008335F9" w:rsidRPr="583DDD7B">
        <w:rPr>
          <w:sz w:val="22"/>
          <w:szCs w:val="22"/>
        </w:rPr>
        <w:t xml:space="preserve"> </w:t>
      </w:r>
      <w:r w:rsidR="00662FFE" w:rsidRPr="583DDD7B">
        <w:rPr>
          <w:sz w:val="22"/>
          <w:szCs w:val="22"/>
        </w:rPr>
        <w:t>The</w:t>
      </w:r>
      <w:proofErr w:type="gramEnd"/>
      <w:r w:rsidR="00662FFE" w:rsidRPr="583DDD7B">
        <w:rPr>
          <w:sz w:val="22"/>
          <w:szCs w:val="22"/>
        </w:rPr>
        <w:t xml:space="preserv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048B98A7" w:rsidR="00662FFE" w:rsidRPr="00741B5C" w:rsidRDefault="00662FFE" w:rsidP="00662FFE">
      <w:pPr>
        <w:ind w:left="1080"/>
        <w:rPr>
          <w:sz w:val="22"/>
        </w:rPr>
      </w:pPr>
      <w:r w:rsidRPr="00741B5C">
        <w:rPr>
          <w:sz w:val="22"/>
        </w:rPr>
        <w:t>(c</w:t>
      </w:r>
      <w:proofErr w:type="gramStart"/>
      <w:r w:rsidRPr="00741B5C">
        <w:rPr>
          <w:sz w:val="22"/>
        </w:rPr>
        <w:t xml:space="preserve">)  </w:t>
      </w:r>
      <w:r w:rsidRPr="00415D75">
        <w:rPr>
          <w:rStyle w:val="Style11ptUnderline"/>
        </w:rPr>
        <w:t>Method</w:t>
      </w:r>
      <w:proofErr w:type="gramEnd"/>
      <w:r w:rsidRPr="00415D75">
        <w:rPr>
          <w:rStyle w:val="Style11ptUnderline"/>
        </w:rPr>
        <w:t xml:space="preserve">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4424A81B" w:rsidR="002C301D" w:rsidRDefault="00662FFE" w:rsidP="002C301D">
      <w:pPr>
        <w:ind w:left="1080"/>
        <w:rPr>
          <w:sz w:val="22"/>
          <w:szCs w:val="22"/>
        </w:rPr>
      </w:pPr>
      <w:r w:rsidRPr="00122C29">
        <w:rPr>
          <w:sz w:val="22"/>
          <w:szCs w:val="22"/>
        </w:rPr>
        <w:t>(d</w:t>
      </w:r>
      <w:proofErr w:type="gramStart"/>
      <w:r w:rsidRPr="00122C29">
        <w:rPr>
          <w:sz w:val="22"/>
          <w:szCs w:val="22"/>
        </w:rPr>
        <w:t xml:space="preserve">)  </w:t>
      </w:r>
      <w:r w:rsidRPr="00122C29">
        <w:rPr>
          <w:rStyle w:val="Style11ptUnderline"/>
          <w:szCs w:val="22"/>
        </w:rPr>
        <w:t>Provider</w:t>
      </w:r>
      <w:proofErr w:type="gramEnd"/>
      <w:r w:rsidRPr="00122C29">
        <w:rPr>
          <w:rStyle w:val="Style11ptUnderline"/>
          <w:szCs w:val="22"/>
        </w:rPr>
        <w:t xml:space="preserve"> Preventable Conditions</w:t>
      </w:r>
      <w:r w:rsidRPr="00651CC7">
        <w:rPr>
          <w:sz w:val="22"/>
          <w:szCs w:val="22"/>
        </w:rPr>
        <w:t xml:space="preserve">.  The Health Safety Net does not pay for services related to </w:t>
      </w:r>
      <w:r w:rsidR="0015336A">
        <w:rPr>
          <w:sz w:val="22"/>
          <w:szCs w:val="22"/>
        </w:rPr>
        <w:t>p</w:t>
      </w:r>
      <w:r w:rsidRPr="00651CC7">
        <w:rPr>
          <w:sz w:val="22"/>
          <w:szCs w:val="22"/>
        </w:rPr>
        <w:t xml:space="preserve">rovider </w:t>
      </w:r>
      <w:r w:rsidR="0015336A">
        <w:rPr>
          <w:sz w:val="22"/>
          <w:szCs w:val="22"/>
        </w:rPr>
        <w:t>p</w:t>
      </w:r>
      <w:r w:rsidRPr="00651CC7">
        <w:rPr>
          <w:sz w:val="22"/>
          <w:szCs w:val="22"/>
        </w:rPr>
        <w:t xml:space="preserve">reventable </w:t>
      </w:r>
      <w:r w:rsidR="0015336A">
        <w:rPr>
          <w:sz w:val="22"/>
          <w:szCs w:val="22"/>
        </w:rPr>
        <w:t>c</w:t>
      </w:r>
      <w:r w:rsidRPr="00651CC7">
        <w:rPr>
          <w:sz w:val="22"/>
          <w:szCs w:val="22"/>
        </w:rPr>
        <w:t xml:space="preserve">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proofErr w:type="gramStart"/>
      <w:r w:rsidRPr="583DDD7B">
        <w:rPr>
          <w:sz w:val="22"/>
          <w:szCs w:val="22"/>
        </w:rPr>
        <w:t xml:space="preserve">)  </w:t>
      </w:r>
      <w:r w:rsidRPr="583DDD7B">
        <w:rPr>
          <w:rStyle w:val="Style11ptUnderline"/>
        </w:rPr>
        <w:t>Serious</w:t>
      </w:r>
      <w:proofErr w:type="gramEnd"/>
      <w:r w:rsidRPr="583DDD7B">
        <w:rPr>
          <w:rStyle w:val="Style11ptUnderline"/>
        </w:rPr>
        <w:t xml:space="preserve">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68D56C0" w:rsidR="00662FFE" w:rsidRPr="00741B5C" w:rsidRDefault="00662FFE" w:rsidP="00662FFE">
      <w:pPr>
        <w:ind w:left="720"/>
        <w:rPr>
          <w:sz w:val="22"/>
        </w:rPr>
      </w:pPr>
      <w:r w:rsidRPr="00741B5C">
        <w:rPr>
          <w:sz w:val="22"/>
        </w:rPr>
        <w:t>(2</w:t>
      </w:r>
      <w:proofErr w:type="gramStart"/>
      <w:r w:rsidRPr="00741B5C">
        <w:rPr>
          <w:sz w:val="22"/>
        </w:rPr>
        <w:t xml:space="preserve">)  </w:t>
      </w:r>
      <w:r w:rsidRPr="00741B5C">
        <w:rPr>
          <w:rStyle w:val="Style11ptUnderline"/>
        </w:rPr>
        <w:t>Pricing</w:t>
      </w:r>
      <w:proofErr w:type="gramEnd"/>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 xml:space="preserve">Federal </w:t>
      </w:r>
      <w:proofErr w:type="gramStart"/>
      <w:r w:rsidRPr="00741B5C">
        <w:rPr>
          <w:i/>
          <w:sz w:val="22"/>
        </w:rPr>
        <w:t>Register</w:t>
      </w:r>
      <w:proofErr w:type="gramEnd"/>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61C3309F" w:rsidR="00662FFE" w:rsidRPr="00741B5C" w:rsidRDefault="00662FFE" w:rsidP="583DDD7B">
      <w:pPr>
        <w:ind w:left="1080"/>
        <w:rPr>
          <w:sz w:val="22"/>
          <w:szCs w:val="22"/>
        </w:rPr>
      </w:pPr>
      <w:r w:rsidRPr="583DDD7B">
        <w:rPr>
          <w:sz w:val="22"/>
          <w:szCs w:val="22"/>
        </w:rPr>
        <w:t>(a</w:t>
      </w:r>
      <w:proofErr w:type="gramStart"/>
      <w:r w:rsidRPr="583DDD7B">
        <w:rPr>
          <w:sz w:val="22"/>
          <w:szCs w:val="22"/>
        </w:rPr>
        <w:t xml:space="preserve">)  </w:t>
      </w:r>
      <w:r w:rsidRPr="583DDD7B">
        <w:rPr>
          <w:rStyle w:val="Style11ptUnderline"/>
        </w:rPr>
        <w:t>Inpatient</w:t>
      </w:r>
      <w:proofErr w:type="gramEnd"/>
      <w:r w:rsidRPr="583DDD7B">
        <w:rPr>
          <w:rStyle w:val="Style11ptUnderline"/>
        </w:rPr>
        <w:t xml:space="preserve">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1EB2E761" w:rsidR="00662FFE" w:rsidRPr="00741B5C" w:rsidRDefault="00662FFE" w:rsidP="00662FFE">
      <w:pPr>
        <w:tabs>
          <w:tab w:val="center" w:pos="90"/>
        </w:tabs>
        <w:ind w:left="1440"/>
        <w:rPr>
          <w:sz w:val="22"/>
          <w:szCs w:val="22"/>
        </w:rPr>
      </w:pPr>
      <w:r w:rsidRPr="699C3F70">
        <w:rPr>
          <w:sz w:val="22"/>
          <w:szCs w:val="22"/>
        </w:rPr>
        <w:t>1</w:t>
      </w:r>
      <w:proofErr w:type="gramStart"/>
      <w:r w:rsidRPr="699C3F70">
        <w:rPr>
          <w:sz w:val="22"/>
          <w:szCs w:val="22"/>
        </w:rPr>
        <w:t xml:space="preserve">.  </w:t>
      </w:r>
      <w:r w:rsidRPr="00415D75">
        <w:rPr>
          <w:rStyle w:val="Style11ptUnderline"/>
        </w:rPr>
        <w:t>Critical</w:t>
      </w:r>
      <w:proofErr w:type="gramEnd"/>
      <w:r w:rsidRPr="00415D75">
        <w:rPr>
          <w:rStyle w:val="Style11ptUnderline"/>
        </w:rPr>
        <w:t xml:space="preserve">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0D0F0503"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23FA1579"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416F69EA" w:rsidR="00662FFE" w:rsidRPr="00741B5C" w:rsidRDefault="00662FFE" w:rsidP="00662FFE">
      <w:pPr>
        <w:ind w:left="1800"/>
        <w:rPr>
          <w:sz w:val="22"/>
          <w:szCs w:val="22"/>
        </w:rPr>
      </w:pPr>
      <w:r w:rsidRPr="045F4F6F">
        <w:rPr>
          <w:sz w:val="22"/>
          <w:szCs w:val="22"/>
        </w:rPr>
        <w:t>c.  The average cost per discharge is increased by a cost adjustment factor</w:t>
      </w:r>
      <w:r w:rsidR="7C887F5D" w:rsidRPr="46235898">
        <w:rPr>
          <w:sz w:val="22"/>
          <w:szCs w:val="22"/>
        </w:rPr>
        <w:t xml:space="preserve">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59370A48"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AC39D81"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7A44F423" w:rsidR="00662FFE" w:rsidRPr="00741B5C" w:rsidRDefault="00662FFE" w:rsidP="00662FFE">
      <w:pPr>
        <w:ind w:left="1440"/>
        <w:rPr>
          <w:sz w:val="22"/>
          <w:szCs w:val="22"/>
        </w:rPr>
      </w:pPr>
      <w:r w:rsidRPr="699C3F70">
        <w:rPr>
          <w:sz w:val="22"/>
          <w:szCs w:val="22"/>
        </w:rPr>
        <w:t>2</w:t>
      </w:r>
      <w:proofErr w:type="gramStart"/>
      <w:r w:rsidRPr="699C3F70">
        <w:rPr>
          <w:sz w:val="22"/>
          <w:szCs w:val="22"/>
        </w:rPr>
        <w:t xml:space="preserve">.  </w:t>
      </w:r>
      <w:r w:rsidRPr="00415D75">
        <w:rPr>
          <w:rStyle w:val="Style11ptUnderline"/>
        </w:rPr>
        <w:t>Sole</w:t>
      </w:r>
      <w:proofErr w:type="gramEnd"/>
      <w:r w:rsidRPr="00415D75">
        <w:rPr>
          <w:rStyle w:val="Style11ptUnderline"/>
        </w:rPr>
        <w:t xml:space="preserv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ospitals that do not otherwise qualify for payment according to 101 CMR 614.06(2)(b)1</w:t>
      </w:r>
      <w:r w:rsidR="00365D46">
        <w:rPr>
          <w:sz w:val="22"/>
          <w:szCs w:val="22"/>
        </w:rPr>
        <w:t>.</w:t>
      </w:r>
      <w:r w:rsidR="2F24B764" w:rsidRPr="699C3F70">
        <w:rPr>
          <w:sz w:val="22"/>
          <w:szCs w:val="22"/>
        </w:rPr>
        <w:t xml:space="preserve">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694562D0" w:rsidR="00C12D57" w:rsidRDefault="00662FFE" w:rsidP="009D7F54">
      <w:pPr>
        <w:spacing w:line="259" w:lineRule="auto"/>
        <w:ind w:left="1440"/>
        <w:rPr>
          <w:sz w:val="22"/>
          <w:szCs w:val="22"/>
        </w:rPr>
      </w:pPr>
      <w:r w:rsidRPr="699C3F70">
        <w:rPr>
          <w:sz w:val="22"/>
          <w:szCs w:val="22"/>
        </w:rPr>
        <w:lastRenderedPageBreak/>
        <w:t>3</w:t>
      </w:r>
      <w:proofErr w:type="gramStart"/>
      <w:r w:rsidRPr="699C3F70">
        <w:rPr>
          <w:sz w:val="22"/>
          <w:szCs w:val="22"/>
        </w:rPr>
        <w:t xml:space="preserve">.  </w:t>
      </w:r>
      <w:r w:rsidRPr="00415D75">
        <w:rPr>
          <w:rStyle w:val="Style11ptUnderline"/>
        </w:rPr>
        <w:t>Medicare</w:t>
      </w:r>
      <w:proofErr w:type="gramEnd"/>
      <w:r w:rsidRPr="00415D75">
        <w:rPr>
          <w:rStyle w:val="Style11ptUnderline"/>
        </w:rPr>
        <w:t xml:space="preserv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ospitals classified by Medicare as Medicare Dependent Rural Hospitals that do not otherwise qualify for payment according to 101 CMR 614.06(2)(b)1</w:t>
      </w:r>
      <w:r w:rsidR="00365D46">
        <w:rPr>
          <w:sz w:val="22"/>
          <w:szCs w:val="22"/>
        </w:rPr>
        <w:t>.</w:t>
      </w:r>
      <w:r w:rsidR="787E14E9" w:rsidRPr="699C3F70">
        <w:rPr>
          <w:sz w:val="22"/>
          <w:szCs w:val="22"/>
        </w:rPr>
        <w:t xml:space="preserve">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proofErr w:type="gramStart"/>
      <w:r w:rsidRPr="00741B5C">
        <w:rPr>
          <w:sz w:val="22"/>
        </w:rPr>
        <w:t xml:space="preserve">)  </w:t>
      </w:r>
      <w:r w:rsidRPr="00415D75">
        <w:rPr>
          <w:rStyle w:val="Style11ptUnderline"/>
        </w:rPr>
        <w:t>Inpatient</w:t>
      </w:r>
      <w:proofErr w:type="gramEnd"/>
      <w:r w:rsidRPr="00415D75">
        <w:rPr>
          <w:rStyle w:val="Style11ptUnderline"/>
        </w:rPr>
        <w:t xml:space="preserve">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1</w:t>
      </w:r>
      <w:proofErr w:type="gramStart"/>
      <w:r w:rsidRPr="00741B5C">
        <w:rPr>
          <w:sz w:val="22"/>
        </w:rPr>
        <w:t xml:space="preserve">.  </w:t>
      </w:r>
      <w:r w:rsidRPr="00415D75">
        <w:rPr>
          <w:rStyle w:val="Style11ptUnderline"/>
        </w:rPr>
        <w:t>Psychiatric</w:t>
      </w:r>
      <w:proofErr w:type="gramEnd"/>
      <w:r w:rsidRPr="00415D75">
        <w:rPr>
          <w:rStyle w:val="Style11ptUnderline"/>
        </w:rPr>
        <w:t xml:space="preserve"> Case</w:t>
      </w:r>
      <w:r w:rsidRPr="00741B5C">
        <w:rPr>
          <w:sz w:val="22"/>
        </w:rPr>
        <w:t>.  A case is classified as psychiatric if</w:t>
      </w:r>
    </w:p>
    <w:p w14:paraId="39D96DDE" w14:textId="2E2124A5" w:rsidR="00662FFE" w:rsidRPr="00741B5C" w:rsidRDefault="00662FFE" w:rsidP="00662FFE">
      <w:pPr>
        <w:ind w:left="1800"/>
        <w:rPr>
          <w:sz w:val="22"/>
        </w:rPr>
      </w:pPr>
      <w:r w:rsidRPr="00741B5C">
        <w:rPr>
          <w:sz w:val="22"/>
        </w:rPr>
        <w:t xml:space="preserve">a.  </w:t>
      </w:r>
      <w:proofErr w:type="gramStart"/>
      <w:r w:rsidRPr="00741B5C">
        <w:rPr>
          <w:sz w:val="22"/>
        </w:rPr>
        <w:t>the</w:t>
      </w:r>
      <w:proofErr w:type="gramEnd"/>
      <w:r w:rsidRPr="00741B5C">
        <w:rPr>
          <w:sz w:val="22"/>
        </w:rPr>
        <w:t xml:space="preserve"> </w:t>
      </w:r>
      <w:r w:rsidR="00FD15B7">
        <w:rPr>
          <w:sz w:val="22"/>
        </w:rPr>
        <w:t>a</w:t>
      </w:r>
      <w:r w:rsidRPr="00741B5C">
        <w:rPr>
          <w:sz w:val="22"/>
        </w:rPr>
        <w:t xml:space="preserve">cute </w:t>
      </w:r>
      <w:r w:rsidR="00FD15B7">
        <w:rPr>
          <w:sz w:val="22"/>
        </w:rPr>
        <w:t>h</w:t>
      </w:r>
      <w:r w:rsidRPr="00741B5C">
        <w:rPr>
          <w:sz w:val="22"/>
        </w:rPr>
        <w:t>ospital has a Medicare psychiatric unit;</w:t>
      </w:r>
    </w:p>
    <w:p w14:paraId="65589E29" w14:textId="77777777" w:rsidR="00662FFE" w:rsidRPr="00741B5C" w:rsidRDefault="00662FFE" w:rsidP="00662FFE">
      <w:pPr>
        <w:ind w:left="1800"/>
        <w:rPr>
          <w:sz w:val="22"/>
        </w:rPr>
      </w:pPr>
      <w:r w:rsidRPr="00741B5C">
        <w:rPr>
          <w:sz w:val="22"/>
        </w:rPr>
        <w:t xml:space="preserve">b.  </w:t>
      </w:r>
      <w:proofErr w:type="gramStart"/>
      <w:r w:rsidRPr="00741B5C">
        <w:rPr>
          <w:sz w:val="22"/>
        </w:rPr>
        <w:t>the</w:t>
      </w:r>
      <w:proofErr w:type="gramEnd"/>
      <w:r w:rsidRPr="00741B5C">
        <w:rPr>
          <w:sz w:val="22"/>
        </w:rPr>
        <w:t xml:space="preserve"> primary diagnosis is related to a psychiatric disorder; and</w:t>
      </w:r>
    </w:p>
    <w:p w14:paraId="13B8822F" w14:textId="5C0DC2A0" w:rsidR="00662FFE" w:rsidRPr="00741B5C" w:rsidRDefault="00662FFE" w:rsidP="00662FFE">
      <w:pPr>
        <w:ind w:left="1800"/>
        <w:rPr>
          <w:sz w:val="22"/>
        </w:rPr>
      </w:pPr>
      <w:r w:rsidRPr="00741B5C">
        <w:rPr>
          <w:sz w:val="22"/>
        </w:rPr>
        <w:t xml:space="preserve">c.  </w:t>
      </w:r>
      <w:proofErr w:type="gramStart"/>
      <w:r w:rsidRPr="00741B5C">
        <w:rPr>
          <w:sz w:val="22"/>
        </w:rPr>
        <w:t>the</w:t>
      </w:r>
      <w:proofErr w:type="gramEnd"/>
      <w:r w:rsidRPr="00741B5C">
        <w:rPr>
          <w:sz w:val="22"/>
        </w:rPr>
        <w:t xml:space="preserve"> claim includes psychiatric accommodation charges.</w:t>
      </w:r>
    </w:p>
    <w:p w14:paraId="2866FF25" w14:textId="79EDD304" w:rsidR="00662FFE" w:rsidRPr="00415D75" w:rsidRDefault="00662FFE" w:rsidP="00662FFE">
      <w:pPr>
        <w:tabs>
          <w:tab w:val="left" w:pos="2970"/>
        </w:tabs>
        <w:ind w:left="1440"/>
        <w:rPr>
          <w:i/>
          <w:sz w:val="22"/>
        </w:rPr>
      </w:pPr>
      <w:r w:rsidRPr="00741B5C">
        <w:rPr>
          <w:sz w:val="22"/>
        </w:rPr>
        <w:t>2</w:t>
      </w:r>
      <w:proofErr w:type="gramStart"/>
      <w:r w:rsidRPr="00741B5C">
        <w:rPr>
          <w:sz w:val="22"/>
        </w:rPr>
        <w:t xml:space="preserve">.  </w:t>
      </w:r>
      <w:r w:rsidRPr="00415D75">
        <w:rPr>
          <w:rStyle w:val="Style11ptUnderline"/>
        </w:rPr>
        <w:t>Psychiatric</w:t>
      </w:r>
      <w:proofErr w:type="gramEnd"/>
      <w:r w:rsidRPr="00415D75">
        <w:rPr>
          <w:rStyle w:val="Style11ptUnderline"/>
        </w:rPr>
        <w:t xml:space="preserve">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1</w:t>
      </w:r>
      <w:proofErr w:type="gramStart"/>
      <w:r w:rsidRPr="00741B5C">
        <w:rPr>
          <w:sz w:val="22"/>
        </w:rPr>
        <w:t xml:space="preserve">.  </w:t>
      </w:r>
      <w:r w:rsidRPr="00415D75">
        <w:rPr>
          <w:rStyle w:val="Style11ptUnderline"/>
        </w:rPr>
        <w:t>Rehabilitation</w:t>
      </w:r>
      <w:proofErr w:type="gramEnd"/>
      <w:r w:rsidRPr="00415D75">
        <w:rPr>
          <w:rStyle w:val="Style11ptUnderline"/>
        </w:rPr>
        <w:t xml:space="preserve"> Case</w:t>
      </w:r>
      <w:r w:rsidRPr="00741B5C">
        <w:rPr>
          <w:sz w:val="22"/>
        </w:rPr>
        <w:t>.  A case is classified as rehabilitation if</w:t>
      </w:r>
    </w:p>
    <w:p w14:paraId="2CD0D033" w14:textId="2DC1F32F" w:rsidR="00662FFE" w:rsidRPr="00741B5C" w:rsidRDefault="00662FFE" w:rsidP="00662FFE">
      <w:pPr>
        <w:ind w:left="1800"/>
        <w:rPr>
          <w:sz w:val="22"/>
        </w:rPr>
      </w:pPr>
      <w:r w:rsidRPr="00741B5C">
        <w:rPr>
          <w:sz w:val="22"/>
        </w:rPr>
        <w:t xml:space="preserve">a.  </w:t>
      </w:r>
      <w:proofErr w:type="gramStart"/>
      <w:r w:rsidRPr="00741B5C">
        <w:rPr>
          <w:sz w:val="22"/>
        </w:rPr>
        <w:t>the</w:t>
      </w:r>
      <w:proofErr w:type="gramEnd"/>
      <w:r w:rsidRPr="00741B5C">
        <w:rPr>
          <w:sz w:val="22"/>
        </w:rPr>
        <w:t xml:space="preserv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 xml:space="preserve">b.  </w:t>
      </w:r>
      <w:proofErr w:type="gramStart"/>
      <w:r w:rsidRPr="00741B5C">
        <w:rPr>
          <w:sz w:val="22"/>
        </w:rPr>
        <w:t>the</w:t>
      </w:r>
      <w:proofErr w:type="gramEnd"/>
      <w:r w:rsidRPr="00741B5C">
        <w:rPr>
          <w:sz w:val="22"/>
        </w:rPr>
        <w:t xml:space="preserve"> claim includes rehabilitation accommodation charges.</w:t>
      </w:r>
    </w:p>
    <w:p w14:paraId="03349B50" w14:textId="5071DBDC" w:rsidR="00662FFE" w:rsidRPr="00741B5C" w:rsidRDefault="00662FFE" w:rsidP="00662FFE">
      <w:pPr>
        <w:ind w:left="1440"/>
        <w:rPr>
          <w:sz w:val="22"/>
          <w:szCs w:val="22"/>
        </w:rPr>
      </w:pPr>
      <w:r w:rsidRPr="699C3F70">
        <w:rPr>
          <w:sz w:val="22"/>
          <w:szCs w:val="22"/>
        </w:rPr>
        <w:t>2</w:t>
      </w:r>
      <w:proofErr w:type="gramStart"/>
      <w:r w:rsidRPr="699C3F70">
        <w:rPr>
          <w:sz w:val="22"/>
          <w:szCs w:val="22"/>
        </w:rPr>
        <w:t xml:space="preserve">.  </w:t>
      </w:r>
      <w:r w:rsidRPr="00415D75">
        <w:rPr>
          <w:rStyle w:val="Style11ptUnderline"/>
        </w:rPr>
        <w:t>Paymen</w:t>
      </w:r>
      <w:r w:rsidRPr="00D02A39">
        <w:rPr>
          <w:sz w:val="22"/>
          <w:szCs w:val="22"/>
          <w:u w:val="single"/>
        </w:rPr>
        <w:t>t</w:t>
      </w:r>
      <w:proofErr w:type="gramEnd"/>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w:t>
      </w:r>
      <w:proofErr w:type="gramStart"/>
      <w:r w:rsidR="7F6BA678" w:rsidRPr="699C3F70">
        <w:rPr>
          <w:sz w:val="22"/>
          <w:szCs w:val="22"/>
        </w:rPr>
        <w:t>1.c</w:t>
      </w:r>
      <w:r w:rsidRPr="699C3F70">
        <w:rPr>
          <w:sz w:val="22"/>
          <w:szCs w:val="22"/>
        </w:rPr>
        <w:t>.</w:t>
      </w:r>
      <w:proofErr w:type="gramEnd"/>
    </w:p>
    <w:p w14:paraId="1436EB9C" w14:textId="77777777" w:rsidR="00662FFE" w:rsidRPr="00741B5C" w:rsidRDefault="00662FFE" w:rsidP="583DDD7B">
      <w:pPr>
        <w:ind w:left="1080"/>
        <w:rPr>
          <w:sz w:val="22"/>
          <w:szCs w:val="22"/>
        </w:rPr>
      </w:pPr>
      <w:r w:rsidRPr="583DDD7B">
        <w:rPr>
          <w:sz w:val="22"/>
          <w:szCs w:val="22"/>
        </w:rPr>
        <w:t>(e</w:t>
      </w:r>
      <w:proofErr w:type="gramStart"/>
      <w:r w:rsidRPr="583DDD7B">
        <w:rPr>
          <w:sz w:val="22"/>
          <w:szCs w:val="22"/>
        </w:rPr>
        <w:t xml:space="preserve">)  </w:t>
      </w:r>
      <w:r w:rsidRPr="583DDD7B">
        <w:rPr>
          <w:rStyle w:val="Style11ptUnderline"/>
        </w:rPr>
        <w:t>Hospital</w:t>
      </w:r>
      <w:proofErr w:type="gramEnd"/>
      <w:r w:rsidRPr="583DDD7B">
        <w:rPr>
          <w:rStyle w:val="Style11ptUnderline"/>
        </w:rPr>
        <w:t>-</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1249376E" w:rsidR="00662FFE" w:rsidRPr="00741B5C" w:rsidRDefault="00662FFE" w:rsidP="00662FFE">
      <w:pPr>
        <w:ind w:left="1440"/>
        <w:rPr>
          <w:sz w:val="22"/>
        </w:rPr>
      </w:pPr>
      <w:r w:rsidRPr="00741B5C">
        <w:rPr>
          <w:sz w:val="22"/>
        </w:rPr>
        <w:t>1</w:t>
      </w:r>
      <w:proofErr w:type="gramStart"/>
      <w:r w:rsidRPr="00741B5C">
        <w:rPr>
          <w:sz w:val="22"/>
        </w:rPr>
        <w:t>.  All</w:t>
      </w:r>
      <w:proofErr w:type="gramEnd"/>
      <w:r w:rsidRPr="00741B5C">
        <w:rPr>
          <w:sz w:val="22"/>
        </w:rPr>
        <w:t xml:space="preserve">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235D377E" w:rsidR="00662FFE" w:rsidRDefault="00662FFE" w:rsidP="00662FFE">
      <w:pPr>
        <w:ind w:left="1440"/>
        <w:rPr>
          <w:sz w:val="22"/>
        </w:rPr>
      </w:pPr>
      <w:r w:rsidRPr="00741B5C">
        <w:rPr>
          <w:sz w:val="22"/>
        </w:rPr>
        <w:t>2</w:t>
      </w:r>
      <w:proofErr w:type="gramStart"/>
      <w:r w:rsidRPr="00741B5C">
        <w:rPr>
          <w:sz w:val="22"/>
        </w:rPr>
        <w:t>.  The</w:t>
      </w:r>
      <w:proofErr w:type="gramEnd"/>
      <w:r w:rsidRPr="00741B5C">
        <w:rPr>
          <w:sz w:val="22"/>
        </w:rPr>
        <w:t xml:space="preserv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439CA8A5" w14:textId="12E52309" w:rsidR="00662FFE" w:rsidRPr="00FB7092" w:rsidRDefault="00662FFE" w:rsidP="00662FFE">
      <w:pPr>
        <w:ind w:left="1080"/>
        <w:rPr>
          <w:sz w:val="22"/>
          <w:szCs w:val="22"/>
        </w:rPr>
      </w:pPr>
      <w:r w:rsidRPr="699C3F70">
        <w:rPr>
          <w:sz w:val="22"/>
          <w:szCs w:val="22"/>
        </w:rPr>
        <w:t>(</w:t>
      </w:r>
      <w:r w:rsidR="001B4753" w:rsidRPr="00FB7092">
        <w:rPr>
          <w:sz w:val="22"/>
          <w:szCs w:val="22"/>
        </w:rPr>
        <w:t>f</w:t>
      </w:r>
      <w:proofErr w:type="gramStart"/>
      <w:r w:rsidRPr="00FB7092">
        <w:rPr>
          <w:sz w:val="22"/>
          <w:szCs w:val="22"/>
        </w:rPr>
        <w:t xml:space="preserve">)  </w:t>
      </w:r>
      <w:r w:rsidRPr="00FB7092">
        <w:rPr>
          <w:rStyle w:val="Style11ptUnderline"/>
        </w:rPr>
        <w:t>Administrative</w:t>
      </w:r>
      <w:proofErr w:type="gramEnd"/>
      <w:r w:rsidRPr="00FB7092">
        <w:rPr>
          <w:rStyle w:val="Style11ptUnderline"/>
        </w:rPr>
        <w:t xml:space="preserve"> Days</w:t>
      </w:r>
      <w:r w:rsidRPr="00FB7092">
        <w:rPr>
          <w:sz w:val="22"/>
          <w:szCs w:val="22"/>
        </w:rPr>
        <w:t xml:space="preserve">.  The Health Safety Net pays </w:t>
      </w:r>
      <w:r w:rsidR="00FD15B7" w:rsidRPr="00FB7092">
        <w:rPr>
          <w:sz w:val="22"/>
          <w:szCs w:val="22"/>
        </w:rPr>
        <w:t>a</w:t>
      </w:r>
      <w:r w:rsidRPr="00FB7092">
        <w:rPr>
          <w:sz w:val="22"/>
          <w:szCs w:val="22"/>
        </w:rPr>
        <w:t xml:space="preserve">dministrative </w:t>
      </w:r>
      <w:r w:rsidR="00FD15B7" w:rsidRPr="00FB7092">
        <w:rPr>
          <w:sz w:val="22"/>
          <w:szCs w:val="22"/>
        </w:rPr>
        <w:t>d</w:t>
      </w:r>
      <w:r w:rsidRPr="00FB7092">
        <w:rPr>
          <w:sz w:val="22"/>
          <w:szCs w:val="22"/>
        </w:rPr>
        <w:t xml:space="preserve">ays at the </w:t>
      </w:r>
      <w:r w:rsidRPr="00FB7092">
        <w:rPr>
          <w:i/>
          <w:sz w:val="22"/>
          <w:szCs w:val="22"/>
        </w:rPr>
        <w:t xml:space="preserve">per diem </w:t>
      </w:r>
      <w:r w:rsidRPr="00FB7092">
        <w:rPr>
          <w:sz w:val="22"/>
          <w:szCs w:val="22"/>
        </w:rPr>
        <w:t xml:space="preserve">rate established by MassHealth pursuant to the Acute Hospital Request for Applications for the current </w:t>
      </w:r>
      <w:r w:rsidR="00FD15B7" w:rsidRPr="00FB7092">
        <w:rPr>
          <w:sz w:val="22"/>
          <w:szCs w:val="22"/>
        </w:rPr>
        <w:t>f</w:t>
      </w:r>
      <w:r w:rsidRPr="00FB7092">
        <w:rPr>
          <w:sz w:val="22"/>
          <w:szCs w:val="22"/>
        </w:rPr>
        <w:t xml:space="preserve">iscal </w:t>
      </w:r>
      <w:r w:rsidR="00FD15B7" w:rsidRPr="00FB7092">
        <w:rPr>
          <w:sz w:val="22"/>
          <w:szCs w:val="22"/>
        </w:rPr>
        <w:t>y</w:t>
      </w:r>
      <w:r w:rsidRPr="00FB7092">
        <w:rPr>
          <w:sz w:val="22"/>
          <w:szCs w:val="22"/>
        </w:rPr>
        <w:t>ear when the Health Safety Net is the primary payer.</w:t>
      </w:r>
    </w:p>
    <w:p w14:paraId="15A2FFA8" w14:textId="7B7DBB5A" w:rsidR="00E25C53" w:rsidRPr="00741B5C" w:rsidRDefault="00E25C53" w:rsidP="00662FFE">
      <w:pPr>
        <w:ind w:left="1080"/>
        <w:rPr>
          <w:sz w:val="22"/>
          <w:szCs w:val="22"/>
        </w:rPr>
      </w:pPr>
      <w:r w:rsidRPr="00FB7092">
        <w:rPr>
          <w:sz w:val="22"/>
          <w:szCs w:val="22"/>
        </w:rPr>
        <w:lastRenderedPageBreak/>
        <w:t>(</w:t>
      </w:r>
      <w:r w:rsidR="001B4753" w:rsidRPr="00FB7092">
        <w:rPr>
          <w:sz w:val="22"/>
          <w:szCs w:val="22"/>
        </w:rPr>
        <w:t>g</w:t>
      </w:r>
      <w:proofErr w:type="gramStart"/>
      <w:r>
        <w:rPr>
          <w:sz w:val="22"/>
          <w:szCs w:val="22"/>
        </w:rPr>
        <w:t xml:space="preserve">)  </w:t>
      </w:r>
      <w:r w:rsidRPr="00674102">
        <w:rPr>
          <w:sz w:val="22"/>
          <w:szCs w:val="22"/>
          <w:u w:val="single"/>
        </w:rPr>
        <w:t>Partially</w:t>
      </w:r>
      <w:proofErr w:type="gramEnd"/>
      <w:r w:rsidRPr="00674102">
        <w:rPr>
          <w:sz w:val="22"/>
          <w:szCs w:val="22"/>
          <w:u w:val="single"/>
        </w:rPr>
        <w:t xml:space="preserve"> Eligible Days</w:t>
      </w:r>
      <w:r>
        <w:rPr>
          <w:sz w:val="22"/>
          <w:szCs w:val="22"/>
        </w:rPr>
        <w:t>.  The Health Safe</w:t>
      </w:r>
      <w:r w:rsidR="00CF5BA7">
        <w:rPr>
          <w:sz w:val="22"/>
          <w:szCs w:val="22"/>
        </w:rPr>
        <w:t>t</w:t>
      </w:r>
      <w:r>
        <w:rPr>
          <w:sz w:val="22"/>
          <w:szCs w:val="22"/>
        </w:rPr>
        <w:t xml:space="preserve">y Net </w:t>
      </w:r>
      <w:r w:rsidR="009D7F54">
        <w:rPr>
          <w:sz w:val="22"/>
          <w:szCs w:val="22"/>
        </w:rPr>
        <w:t xml:space="preserve">pays only for the uninsured portion of an inpatient stay covered partially by Medicare, Medicaid, or any other </w:t>
      </w:r>
      <w:proofErr w:type="spellStart"/>
      <w:r w:rsidR="009D7F54">
        <w:rPr>
          <w:sz w:val="22"/>
          <w:szCs w:val="22"/>
        </w:rPr>
        <w:t>pay</w:t>
      </w:r>
      <w:r w:rsidR="00142563">
        <w:rPr>
          <w:sz w:val="22"/>
          <w:szCs w:val="22"/>
        </w:rPr>
        <w:t>e</w:t>
      </w:r>
      <w:r w:rsidR="009D7F54">
        <w:rPr>
          <w:sz w:val="22"/>
          <w:szCs w:val="22"/>
        </w:rPr>
        <w:t>r</w:t>
      </w:r>
      <w:proofErr w:type="spellEnd"/>
      <w:r w:rsidR="009D7F54">
        <w:rPr>
          <w:sz w:val="22"/>
          <w:szCs w:val="22"/>
        </w:rPr>
        <w:t>.</w:t>
      </w:r>
    </w:p>
    <w:p w14:paraId="6BFE88E5" w14:textId="77777777" w:rsidR="00662FFE" w:rsidRPr="00741B5C" w:rsidRDefault="00662FFE" w:rsidP="00A50BE3">
      <w:pPr>
        <w:rPr>
          <w:sz w:val="22"/>
        </w:rPr>
      </w:pPr>
    </w:p>
    <w:p w14:paraId="1ED6B9EC" w14:textId="2C07A933" w:rsidR="00662FFE" w:rsidRPr="00741B5C" w:rsidRDefault="00662FFE" w:rsidP="00662FFE">
      <w:pPr>
        <w:ind w:left="720"/>
        <w:rPr>
          <w:sz w:val="22"/>
        </w:rPr>
      </w:pPr>
      <w:r w:rsidRPr="00741B5C">
        <w:rPr>
          <w:sz w:val="22"/>
        </w:rPr>
        <w:t>(3</w:t>
      </w:r>
      <w:proofErr w:type="gramStart"/>
      <w:r w:rsidRPr="00741B5C">
        <w:rPr>
          <w:sz w:val="22"/>
        </w:rPr>
        <w:t xml:space="preserve">)  </w:t>
      </w:r>
      <w:r w:rsidRPr="00741B5C">
        <w:rPr>
          <w:rStyle w:val="Style11ptUnderline"/>
        </w:rPr>
        <w:t>Pricing</w:t>
      </w:r>
      <w:proofErr w:type="gramEnd"/>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54A95CC9" w:rsidR="00662FFE" w:rsidRPr="00741B5C" w:rsidRDefault="00662FFE" w:rsidP="00662FFE">
      <w:pPr>
        <w:ind w:left="1080"/>
        <w:rPr>
          <w:sz w:val="22"/>
        </w:rPr>
      </w:pPr>
      <w:r w:rsidRPr="00741B5C">
        <w:rPr>
          <w:sz w:val="22"/>
        </w:rPr>
        <w:t>(a</w:t>
      </w:r>
      <w:proofErr w:type="gramStart"/>
      <w:r w:rsidRPr="00741B5C">
        <w:rPr>
          <w:sz w:val="22"/>
        </w:rPr>
        <w:t>)  For</w:t>
      </w:r>
      <w:proofErr w:type="gramEnd"/>
      <w:r w:rsidRPr="00741B5C">
        <w:rPr>
          <w:sz w:val="22"/>
        </w:rPr>
        <w:t xml:space="preserve">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0597BCA" w:rsidR="00662FFE" w:rsidRPr="00741B5C" w:rsidRDefault="00662FFE" w:rsidP="00662FFE">
      <w:pPr>
        <w:ind w:left="1080"/>
        <w:rPr>
          <w:sz w:val="22"/>
        </w:rPr>
      </w:pPr>
      <w:r w:rsidRPr="00741B5C">
        <w:rPr>
          <w:sz w:val="22"/>
        </w:rPr>
        <w:t>(b</w:t>
      </w:r>
      <w:proofErr w:type="gramStart"/>
      <w:r w:rsidRPr="00741B5C">
        <w:rPr>
          <w:sz w:val="22"/>
        </w:rPr>
        <w:t>)</w:t>
      </w:r>
      <w:r>
        <w:rPr>
          <w:sz w:val="22"/>
        </w:rPr>
        <w:t xml:space="preserve"> </w:t>
      </w:r>
      <w:r w:rsidRPr="00741B5C">
        <w:rPr>
          <w:sz w:val="22"/>
        </w:rPr>
        <w:t xml:space="preserve"> The</w:t>
      </w:r>
      <w:proofErr w:type="gramEnd"/>
      <w:r w:rsidRPr="00741B5C">
        <w:rPr>
          <w:sz w:val="22"/>
        </w:rPr>
        <w:t xml:space="preserv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(PAF), defined as the percent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2F17C7C6" w14:textId="11440052" w:rsidR="00662FFE" w:rsidRDefault="00662FFE" w:rsidP="002B1975">
      <w:pPr>
        <w:ind w:left="1080"/>
        <w:rPr>
          <w:sz w:val="22"/>
          <w:szCs w:val="22"/>
        </w:rPr>
      </w:pPr>
      <w:r w:rsidRPr="583DDD7B">
        <w:rPr>
          <w:sz w:val="22"/>
          <w:szCs w:val="22"/>
        </w:rPr>
        <w:t>(c</w:t>
      </w:r>
      <w:proofErr w:type="gramStart"/>
      <w:r w:rsidRPr="583DDD7B">
        <w:rPr>
          <w:sz w:val="22"/>
          <w:szCs w:val="22"/>
        </w:rPr>
        <w:t xml:space="preserve">)  </w:t>
      </w:r>
      <w:r w:rsidR="007164CC">
        <w:rPr>
          <w:sz w:val="22"/>
          <w:szCs w:val="22"/>
        </w:rPr>
        <w:t>Except</w:t>
      </w:r>
      <w:proofErr w:type="gramEnd"/>
      <w:r w:rsidR="007164CC">
        <w:rPr>
          <w:sz w:val="22"/>
          <w:szCs w:val="22"/>
        </w:rPr>
        <w:t xml:space="preserve">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w:t>
      </w:r>
      <w:proofErr w:type="gramStart"/>
      <w:r w:rsidR="00EB790E" w:rsidRPr="583DDD7B">
        <w:rPr>
          <w:sz w:val="22"/>
          <w:szCs w:val="22"/>
        </w:rPr>
        <w:t>1</w:t>
      </w:r>
      <w:r w:rsidR="0071217F" w:rsidRPr="583DDD7B">
        <w:rPr>
          <w:sz w:val="22"/>
          <w:szCs w:val="22"/>
        </w:rPr>
        <w:t>.</w:t>
      </w:r>
      <w:r w:rsidR="00EB790E" w:rsidRPr="583DDD7B">
        <w:rPr>
          <w:sz w:val="22"/>
          <w:szCs w:val="22"/>
        </w:rPr>
        <w:t>c.</w:t>
      </w:r>
      <w:proofErr w:type="gramEnd"/>
    </w:p>
    <w:p w14:paraId="3E57D125" w14:textId="1EE9CC43" w:rsidR="00662FFE" w:rsidRPr="00741B5C" w:rsidRDefault="00662FFE" w:rsidP="1EA84557">
      <w:pPr>
        <w:ind w:left="1080"/>
        <w:rPr>
          <w:sz w:val="22"/>
          <w:szCs w:val="22"/>
        </w:rPr>
      </w:pPr>
      <w:r w:rsidRPr="1EA84557">
        <w:rPr>
          <w:sz w:val="22"/>
          <w:szCs w:val="22"/>
        </w:rPr>
        <w:t>(d</w:t>
      </w:r>
      <w:proofErr w:type="gramStart"/>
      <w:r w:rsidRPr="1EA84557">
        <w:rPr>
          <w:sz w:val="22"/>
          <w:szCs w:val="22"/>
        </w:rPr>
        <w:t xml:space="preserve">)  </w:t>
      </w:r>
      <w:r w:rsidR="25380878" w:rsidRPr="00FB7092">
        <w:rPr>
          <w:sz w:val="22"/>
          <w:szCs w:val="22"/>
        </w:rPr>
        <w:t>D</w:t>
      </w:r>
      <w:r w:rsidRPr="1EA84557">
        <w:rPr>
          <w:sz w:val="22"/>
          <w:szCs w:val="22"/>
        </w:rPr>
        <w:t>isproportionate</w:t>
      </w:r>
      <w:proofErr w:type="gramEnd"/>
      <w:r w:rsidRPr="1EA84557">
        <w:rPr>
          <w:sz w:val="22"/>
          <w:szCs w:val="22"/>
        </w:rPr>
        <w:t xml:space="preserve"> </w:t>
      </w:r>
      <w:r w:rsidR="00D61587" w:rsidRPr="1EA84557">
        <w:rPr>
          <w:sz w:val="22"/>
          <w:szCs w:val="22"/>
        </w:rPr>
        <w:t>s</w:t>
      </w:r>
      <w:r w:rsidRPr="1EA84557">
        <w:rPr>
          <w:sz w:val="22"/>
          <w:szCs w:val="22"/>
        </w:rPr>
        <w:t xml:space="preserve">hare </w:t>
      </w:r>
      <w:r w:rsidR="00D61587" w:rsidRPr="1EA84557">
        <w:rPr>
          <w:sz w:val="22"/>
          <w:szCs w:val="22"/>
        </w:rPr>
        <w:t>h</w:t>
      </w:r>
      <w:r w:rsidRPr="1EA84557">
        <w:rPr>
          <w:sz w:val="22"/>
          <w:szCs w:val="22"/>
        </w:rPr>
        <w:t xml:space="preserve">ospitals and non-teaching </w:t>
      </w:r>
      <w:r w:rsidR="00D61587" w:rsidRPr="1EA84557">
        <w:rPr>
          <w:sz w:val="22"/>
          <w:szCs w:val="22"/>
        </w:rPr>
        <w:t>a</w:t>
      </w:r>
      <w:r w:rsidRPr="1EA84557">
        <w:rPr>
          <w:sz w:val="22"/>
          <w:szCs w:val="22"/>
        </w:rPr>
        <w:t xml:space="preserve">cute </w:t>
      </w:r>
      <w:r w:rsidR="00D61587" w:rsidRPr="1EA84557">
        <w:rPr>
          <w:sz w:val="22"/>
          <w:szCs w:val="22"/>
        </w:rPr>
        <w:t>h</w:t>
      </w:r>
      <w:r w:rsidRPr="1EA84557">
        <w:rPr>
          <w:sz w:val="22"/>
          <w:szCs w:val="22"/>
        </w:rPr>
        <w:t>ospitals receive a transitional add-on of 25% of the outpatient per visit payment rate.</w:t>
      </w:r>
    </w:p>
    <w:p w14:paraId="49FF4697" w14:textId="2189568C" w:rsidR="00662FFE" w:rsidRPr="00741B5C" w:rsidRDefault="00662FFE" w:rsidP="00662FFE">
      <w:pPr>
        <w:ind w:left="1080"/>
        <w:rPr>
          <w:sz w:val="22"/>
          <w:szCs w:val="22"/>
        </w:rPr>
      </w:pPr>
      <w:r w:rsidRPr="59696669">
        <w:rPr>
          <w:sz w:val="22"/>
          <w:szCs w:val="22"/>
        </w:rPr>
        <w:t>(e</w:t>
      </w:r>
      <w:proofErr w:type="gramStart"/>
      <w:r w:rsidRPr="59696669">
        <w:rPr>
          <w:sz w:val="22"/>
          <w:szCs w:val="22"/>
        </w:rPr>
        <w:t>)  The per</w:t>
      </w:r>
      <w:proofErr w:type="gramEnd"/>
      <w:r w:rsidRPr="59696669">
        <w:rPr>
          <w:sz w:val="22"/>
          <w:szCs w:val="22"/>
        </w:rPr>
        <w:t xml:space="preserve">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w:t>
      </w:r>
      <w:r w:rsidR="006B1281">
        <w:rPr>
          <w:sz w:val="22"/>
          <w:szCs w:val="22"/>
        </w:rPr>
        <w:t>is</w:t>
      </w:r>
      <w:r w:rsidR="006B1281" w:rsidRPr="59696669">
        <w:rPr>
          <w:sz w:val="22"/>
          <w:szCs w:val="22"/>
        </w:rPr>
        <w:t xml:space="preserve"> </w:t>
      </w:r>
      <w:r w:rsidRPr="59696669">
        <w:rPr>
          <w:sz w:val="22"/>
          <w:szCs w:val="22"/>
        </w:rPr>
        <w:t xml:space="preserve">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w:t>
      </w:r>
      <w:proofErr w:type="gramStart"/>
      <w:r w:rsidRPr="59696669">
        <w:rPr>
          <w:sz w:val="22"/>
          <w:szCs w:val="22"/>
        </w:rPr>
        <w:t>account factor</w:t>
      </w:r>
      <w:proofErr w:type="gramEnd"/>
      <w:r w:rsidRPr="59696669">
        <w:rPr>
          <w:sz w:val="22"/>
          <w:szCs w:val="22"/>
        </w:rPr>
        <w:t xml:space="preserve"> data.</w:t>
      </w:r>
    </w:p>
    <w:p w14:paraId="3A7DC42E" w14:textId="01F0FA2D" w:rsidR="00C14BC4" w:rsidRDefault="00662FFE" w:rsidP="000C7780">
      <w:pPr>
        <w:ind w:left="1080"/>
        <w:rPr>
          <w:sz w:val="22"/>
        </w:rPr>
      </w:pPr>
      <w:r w:rsidRPr="00741B5C">
        <w:rPr>
          <w:sz w:val="22"/>
        </w:rPr>
        <w:t>(f</w:t>
      </w:r>
      <w:proofErr w:type="gramStart"/>
      <w:r w:rsidRPr="00741B5C">
        <w:rPr>
          <w:sz w:val="22"/>
        </w:rPr>
        <w:t>)  Claims</w:t>
      </w:r>
      <w:proofErr w:type="gramEnd"/>
      <w:r w:rsidRPr="00741B5C">
        <w:rPr>
          <w:sz w:val="22"/>
        </w:rPr>
        <w:t xml:space="preserve">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(g</w:t>
      </w:r>
      <w:proofErr w:type="gramStart"/>
      <w:r>
        <w:rPr>
          <w:sz w:val="22"/>
        </w:rPr>
        <w:t>)  Claims</w:t>
      </w:r>
      <w:proofErr w:type="gramEnd"/>
      <w:r>
        <w:rPr>
          <w:sz w:val="22"/>
        </w:rPr>
        <w:t xml:space="preserve">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2784FCD7" w:rsidR="00662FFE" w:rsidRDefault="00662FFE" w:rsidP="00D02A39">
      <w:pPr>
        <w:ind w:left="720"/>
        <w:rPr>
          <w:sz w:val="22"/>
          <w:szCs w:val="22"/>
        </w:rPr>
      </w:pPr>
      <w:r w:rsidRPr="00741B5C">
        <w:rPr>
          <w:sz w:val="22"/>
          <w:szCs w:val="22"/>
        </w:rPr>
        <w:t>(4</w:t>
      </w:r>
      <w:proofErr w:type="gramStart"/>
      <w:r w:rsidRPr="00741B5C">
        <w:rPr>
          <w:sz w:val="22"/>
          <w:szCs w:val="22"/>
        </w:rPr>
        <w:t xml:space="preserve">)  </w:t>
      </w:r>
      <w:r w:rsidRPr="00741B5C">
        <w:rPr>
          <w:rStyle w:val="Style11ptUnderline"/>
        </w:rPr>
        <w:t>Pricing</w:t>
      </w:r>
      <w:proofErr w:type="gramEnd"/>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36ACF237" w14:textId="77777777" w:rsidR="00A633ED" w:rsidRPr="00741B5C" w:rsidRDefault="00A633ED" w:rsidP="00D02A39">
      <w:pPr>
        <w:ind w:left="720"/>
        <w:rPr>
          <w:sz w:val="22"/>
        </w:rPr>
      </w:pPr>
    </w:p>
    <w:p w14:paraId="75C73C54" w14:textId="2CC9ED3C" w:rsidR="00662FFE" w:rsidRPr="00651CC7" w:rsidRDefault="00662FFE" w:rsidP="00662FFE">
      <w:pPr>
        <w:ind w:left="720"/>
        <w:rPr>
          <w:sz w:val="22"/>
          <w:szCs w:val="22"/>
        </w:rPr>
      </w:pPr>
      <w:r w:rsidRPr="0096212A">
        <w:rPr>
          <w:sz w:val="22"/>
          <w:szCs w:val="22"/>
        </w:rPr>
        <w:t>(5</w:t>
      </w:r>
      <w:proofErr w:type="gramStart"/>
      <w:r w:rsidRPr="0096212A">
        <w:rPr>
          <w:sz w:val="22"/>
          <w:szCs w:val="22"/>
        </w:rPr>
        <w:t xml:space="preserve">)  </w:t>
      </w:r>
      <w:r w:rsidRPr="0096212A">
        <w:rPr>
          <w:rStyle w:val="Style11ptUnderline"/>
          <w:szCs w:val="22"/>
        </w:rPr>
        <w:t>Dental</w:t>
      </w:r>
      <w:proofErr w:type="gramEnd"/>
      <w:r w:rsidRPr="0096212A">
        <w:rPr>
          <w:rStyle w:val="Style11ptUnderline"/>
          <w:szCs w:val="22"/>
        </w:rPr>
        <w:t xml:space="preserve"> Services</w:t>
      </w:r>
      <w:r w:rsidRPr="0096212A">
        <w:rPr>
          <w:sz w:val="22"/>
          <w:szCs w:val="22"/>
        </w:rPr>
        <w:t xml:space="preserve">.  The Health Safety Net </w:t>
      </w:r>
      <w:proofErr w:type="gramStart"/>
      <w:r w:rsidRPr="0096212A">
        <w:rPr>
          <w:sz w:val="22"/>
          <w:szCs w:val="22"/>
        </w:rPr>
        <w:t>Office prices</w:t>
      </w:r>
      <w:proofErr w:type="gramEnd"/>
      <w:r w:rsidRPr="0096212A">
        <w:rPr>
          <w:sz w:val="22"/>
          <w:szCs w:val="22"/>
        </w:rPr>
        <w:t xml:space="preserve"> </w:t>
      </w:r>
      <w:proofErr w:type="gramStart"/>
      <w:r w:rsidRPr="0096212A">
        <w:rPr>
          <w:sz w:val="22"/>
          <w:szCs w:val="22"/>
        </w:rPr>
        <w:t>claims</w:t>
      </w:r>
      <w:proofErr w:type="gramEnd"/>
      <w:r w:rsidRPr="0096212A">
        <w:rPr>
          <w:sz w:val="22"/>
          <w:szCs w:val="22"/>
        </w:rPr>
        <w:t xml:space="preserve">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of the allowable charges billed to the HSN, or the fees established in </w:t>
      </w:r>
      <w:r w:rsidR="00111214" w:rsidRPr="0096212A">
        <w:rPr>
          <w:sz w:val="22"/>
          <w:szCs w:val="22"/>
        </w:rPr>
        <w:t>101 CMR 314.00</w:t>
      </w:r>
      <w:r w:rsidRPr="0096212A">
        <w:rPr>
          <w:sz w:val="22"/>
          <w:szCs w:val="22"/>
        </w:rPr>
        <w:t xml:space="preserve">: </w:t>
      </w:r>
      <w:r w:rsidR="007D3747" w:rsidRPr="009450B9">
        <w:rPr>
          <w:i/>
          <w:iCs/>
          <w:sz w:val="22"/>
          <w:szCs w:val="22"/>
        </w:rPr>
        <w:t>Rates for</w:t>
      </w:r>
      <w:r w:rsidR="007D3747">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(6</w:t>
      </w:r>
      <w:proofErr w:type="gramStart"/>
      <w:r w:rsidRPr="00741B5C">
        <w:rPr>
          <w:sz w:val="22"/>
        </w:rPr>
        <w:t xml:space="preserve">)  </w:t>
      </w:r>
      <w:r w:rsidRPr="009D505C">
        <w:rPr>
          <w:sz w:val="22"/>
          <w:u w:val="single"/>
        </w:rPr>
        <w:t>Acute</w:t>
      </w:r>
      <w:proofErr w:type="gramEnd"/>
      <w:r w:rsidRPr="009D505C">
        <w:rPr>
          <w:sz w:val="22"/>
          <w:u w:val="single"/>
        </w:rPr>
        <w:t xml:space="preserve"> </w:t>
      </w:r>
      <w:r w:rsidRPr="00415D75">
        <w:rPr>
          <w:rStyle w:val="Style11ptUnderline"/>
        </w:rPr>
        <w:t>Hospital Outpatient Pharmacies</w:t>
      </w:r>
      <w:r w:rsidRPr="00741B5C">
        <w:rPr>
          <w:sz w:val="22"/>
        </w:rPr>
        <w:t>.</w:t>
      </w:r>
    </w:p>
    <w:p w14:paraId="62C84B43" w14:textId="0E2D6C93"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3FCE9205" w:rsidR="00662FFE" w:rsidRPr="00741B5C" w:rsidRDefault="00662FFE" w:rsidP="00662FFE">
      <w:pPr>
        <w:ind w:left="1080"/>
        <w:rPr>
          <w:sz w:val="22"/>
        </w:rPr>
      </w:pPr>
      <w:r w:rsidRPr="00741B5C">
        <w:rPr>
          <w:sz w:val="22"/>
        </w:rPr>
        <w:t>(b</w:t>
      </w:r>
      <w:proofErr w:type="gramStart"/>
      <w:r w:rsidRPr="00741B5C">
        <w:rPr>
          <w:sz w:val="22"/>
        </w:rPr>
        <w:t xml:space="preserve">)  </w:t>
      </w:r>
      <w:r w:rsidRPr="00415D75">
        <w:rPr>
          <w:rStyle w:val="Style11ptUnderline"/>
        </w:rPr>
        <w:t>Part</w:t>
      </w:r>
      <w:proofErr w:type="gramEnd"/>
      <w:r w:rsidRPr="00415D75">
        <w:rPr>
          <w:rStyle w:val="Style11ptUnderline"/>
        </w:rPr>
        <w:t xml:space="preserve">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006A6D7F" w:rsidRPr="009450B9">
        <w:rPr>
          <w:i/>
          <w:iCs/>
          <w:sz w:val="22"/>
        </w:rPr>
        <w:t>Rates for</w:t>
      </w:r>
      <w:r w:rsidR="006A6D7F">
        <w:rPr>
          <w:sz w:val="22"/>
        </w:rPr>
        <w:t xml:space="preserve">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78A22E11"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w:t>
      </w:r>
      <w:proofErr w:type="gramStart"/>
      <w:r w:rsidRPr="00741B5C">
        <w:rPr>
          <w:sz w:val="22"/>
          <w:szCs w:val="22"/>
        </w:rPr>
        <w:t xml:space="preserve">:  </w:t>
      </w:r>
      <w:r w:rsidR="006B507C" w:rsidRPr="006B507C">
        <w:rPr>
          <w:i/>
          <w:iCs/>
          <w:sz w:val="22"/>
          <w:szCs w:val="22"/>
        </w:rPr>
        <w:t>Rates</w:t>
      </w:r>
      <w:proofErr w:type="gramEnd"/>
      <w:r w:rsidR="006B507C" w:rsidRPr="006B507C">
        <w:rPr>
          <w:i/>
          <w:iCs/>
          <w:sz w:val="22"/>
          <w:szCs w:val="22"/>
        </w:rPr>
        <w:t xml:space="preserve">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(8</w:t>
      </w:r>
      <w:proofErr w:type="gramStart"/>
      <w:r w:rsidRPr="00F71AFB">
        <w:rPr>
          <w:sz w:val="22"/>
        </w:rPr>
        <w:t xml:space="preserve">)  </w:t>
      </w:r>
      <w:r w:rsidRPr="00F71AFB">
        <w:rPr>
          <w:rStyle w:val="Style11ptUnderline"/>
        </w:rPr>
        <w:t>Secondary</w:t>
      </w:r>
      <w:proofErr w:type="gramEnd"/>
      <w:r w:rsidRPr="00F71AFB">
        <w:rPr>
          <w:rStyle w:val="Style11ptUnderline"/>
        </w:rPr>
        <w:t xml:space="preserve">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(a</w:t>
      </w:r>
      <w:proofErr w:type="gramStart"/>
      <w:r w:rsidRPr="00F71AFB">
        <w:rPr>
          <w:sz w:val="22"/>
        </w:rPr>
        <w:t xml:space="preserve">)  </w:t>
      </w:r>
      <w:r w:rsidRPr="00F71AFB">
        <w:rPr>
          <w:rStyle w:val="Style11ptUnderline"/>
        </w:rPr>
        <w:t>95</w:t>
      </w:r>
      <w:proofErr w:type="gramEnd"/>
      <w:r w:rsidRPr="00F71AFB">
        <w:rPr>
          <w:rStyle w:val="Style11ptUnderline"/>
        </w:rPr>
        <w:t>% Rule</w:t>
      </w:r>
      <w:r w:rsidRPr="00F71AFB">
        <w:rPr>
          <w:sz w:val="22"/>
        </w:rPr>
        <w:t xml:space="preserve">.  If a claim billed to the Health Safety Net has a ratio of total billed net charges to total claim charges that </w:t>
      </w:r>
      <w:proofErr w:type="gramStart"/>
      <w:r w:rsidRPr="00F71AFB">
        <w:rPr>
          <w:sz w:val="22"/>
        </w:rPr>
        <w:t>is</w:t>
      </w:r>
      <w:proofErr w:type="gramEnd"/>
      <w:r w:rsidRPr="00F71AFB">
        <w:rPr>
          <w:sz w:val="22"/>
        </w:rPr>
        <w:t xml:space="preserve"> greater than 95%, the Health Safety Net pays the claim in accordance with the applicable primary payment rules.</w:t>
      </w:r>
    </w:p>
    <w:p w14:paraId="6CCD20CF" w14:textId="41519116" w:rsidR="006B7813" w:rsidRDefault="00662FFE" w:rsidP="00837783">
      <w:pPr>
        <w:ind w:left="1080"/>
        <w:rPr>
          <w:sz w:val="22"/>
          <w:szCs w:val="22"/>
        </w:rPr>
      </w:pPr>
      <w:r w:rsidRPr="0096212A">
        <w:rPr>
          <w:sz w:val="22"/>
        </w:rPr>
        <w:t>(b</w:t>
      </w:r>
      <w:proofErr w:type="gramStart"/>
      <w:r w:rsidRPr="0096212A">
        <w:rPr>
          <w:sz w:val="22"/>
        </w:rPr>
        <w:t xml:space="preserve">)  </w:t>
      </w:r>
      <w:r w:rsidR="00837783" w:rsidRPr="008C18B7">
        <w:rPr>
          <w:rStyle w:val="Style11ptUnderline"/>
        </w:rPr>
        <w:t>Other</w:t>
      </w:r>
      <w:proofErr w:type="gramEnd"/>
      <w:r w:rsidR="00837783" w:rsidRPr="008C18B7">
        <w:rPr>
          <w:rStyle w:val="Style11ptUnderline"/>
        </w:rPr>
        <w:t xml:space="preserve"> Pay</w:t>
      </w:r>
      <w:r w:rsidR="00334E75">
        <w:rPr>
          <w:rStyle w:val="Style11ptUnderline"/>
        </w:rPr>
        <w:t>e</w:t>
      </w:r>
      <w:r w:rsidR="00837783" w:rsidRPr="008C18B7">
        <w:rPr>
          <w:rStyle w:val="Style11ptUnderline"/>
        </w:rPr>
        <w:t xml:space="preserve">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w:t>
      </w:r>
      <w:r w:rsidR="00334E75">
        <w:rPr>
          <w:sz w:val="22"/>
        </w:rPr>
        <w:t>e</w:t>
      </w:r>
      <w:r w:rsidR="00837783" w:rsidRPr="008C18B7">
        <w:rPr>
          <w:sz w:val="22"/>
        </w:rPr>
        <w:t xml:space="preserve">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79D95B28" w:rsidR="00662FFE" w:rsidRDefault="006B7813" w:rsidP="583DDD7B">
      <w:pPr>
        <w:ind w:left="1080"/>
        <w:rPr>
          <w:sz w:val="22"/>
          <w:szCs w:val="22"/>
        </w:rPr>
      </w:pPr>
      <w:r>
        <w:rPr>
          <w:sz w:val="22"/>
          <w:szCs w:val="22"/>
        </w:rPr>
        <w:t>(</w:t>
      </w:r>
      <w:r w:rsidR="00837783">
        <w:rPr>
          <w:sz w:val="22"/>
          <w:szCs w:val="22"/>
        </w:rPr>
        <w:t>c</w:t>
      </w:r>
      <w:proofErr w:type="gramStart"/>
      <w:r>
        <w:rPr>
          <w:sz w:val="22"/>
          <w:szCs w:val="22"/>
        </w:rPr>
        <w:t xml:space="preserve">)  </w:t>
      </w:r>
      <w:r w:rsidRPr="00674102">
        <w:rPr>
          <w:sz w:val="22"/>
          <w:szCs w:val="22"/>
          <w:u w:val="single"/>
        </w:rPr>
        <w:t>Payment</w:t>
      </w:r>
      <w:proofErr w:type="gramEnd"/>
      <w:r w:rsidRPr="00674102">
        <w:rPr>
          <w:sz w:val="22"/>
          <w:szCs w:val="22"/>
          <w:u w:val="single"/>
        </w:rPr>
        <w:t xml:space="preserve">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w:t>
      </w:r>
      <w:proofErr w:type="gramStart"/>
      <w:r w:rsidR="00FE5815" w:rsidRPr="00D02A39">
        <w:rPr>
          <w:sz w:val="22"/>
          <w:szCs w:val="22"/>
        </w:rPr>
        <w:t>less</w:t>
      </w:r>
      <w:proofErr w:type="gramEnd"/>
      <w:r w:rsidR="00FE5815" w:rsidRPr="00D02A39">
        <w:rPr>
          <w:sz w:val="22"/>
          <w:szCs w:val="22"/>
        </w:rPr>
        <w:t xml:space="preserve"> the amounts other payers paid for the claim</w:t>
      </w:r>
      <w:r w:rsidR="00662FFE" w:rsidRPr="00D02A39">
        <w:rPr>
          <w:sz w:val="22"/>
          <w:szCs w:val="22"/>
        </w:rPr>
        <w:t>.</w:t>
      </w:r>
    </w:p>
    <w:p w14:paraId="018EBAF7" w14:textId="7137CBB6" w:rsidR="00837783" w:rsidRPr="00F54D41" w:rsidRDefault="00837783" w:rsidP="583DDD7B">
      <w:pPr>
        <w:ind w:left="1080"/>
        <w:rPr>
          <w:sz w:val="22"/>
          <w:szCs w:val="22"/>
        </w:rPr>
      </w:pPr>
      <w:r w:rsidRPr="008C18B7">
        <w:rPr>
          <w:sz w:val="22"/>
          <w:szCs w:val="22"/>
        </w:rPr>
        <w:t xml:space="preserve">(d) </w:t>
      </w:r>
      <w:r w:rsidRPr="009450B9">
        <w:rPr>
          <w:sz w:val="22"/>
          <w:szCs w:val="22"/>
          <w:u w:val="single"/>
        </w:rPr>
        <w:t>Administrative Bulletins</w:t>
      </w:r>
      <w:r w:rsidRPr="008C18B7">
        <w:rPr>
          <w:sz w:val="22"/>
          <w:szCs w:val="22"/>
        </w:rPr>
        <w:t xml:space="preserve">.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w:t>
      </w:r>
      <w:r w:rsidR="00813CDF">
        <w:rPr>
          <w:sz w:val="22"/>
          <w:szCs w:val="22"/>
        </w:rPr>
        <w:t>e</w:t>
      </w:r>
      <w:r w:rsidR="008632D8" w:rsidRPr="008C18B7">
        <w:rPr>
          <w:sz w:val="22"/>
          <w:szCs w:val="22"/>
        </w:rPr>
        <w:t>r.</w:t>
      </w:r>
    </w:p>
    <w:p w14:paraId="094D1AB9" w14:textId="77777777" w:rsidR="00662FFE" w:rsidRPr="00F54D41" w:rsidRDefault="00662FFE" w:rsidP="00D02A39">
      <w:pPr>
        <w:rPr>
          <w:sz w:val="22"/>
        </w:rPr>
      </w:pPr>
    </w:p>
    <w:p w14:paraId="03A94679" w14:textId="34A4FFD1" w:rsidR="00FF0D53" w:rsidRDefault="00662FFE" w:rsidP="00662FFE">
      <w:pPr>
        <w:ind w:left="720"/>
        <w:rPr>
          <w:sz w:val="22"/>
        </w:rPr>
      </w:pPr>
      <w:r w:rsidRPr="00AD4002">
        <w:rPr>
          <w:sz w:val="22"/>
        </w:rPr>
        <w:t>(9</w:t>
      </w:r>
      <w:proofErr w:type="gramStart"/>
      <w:r w:rsidRPr="00AD4002">
        <w:rPr>
          <w:sz w:val="22"/>
        </w:rPr>
        <w:t xml:space="preserve">)  </w:t>
      </w:r>
      <w:r w:rsidRPr="00AD4002">
        <w:rPr>
          <w:rStyle w:val="Style11ptUnderline"/>
        </w:rPr>
        <w:t>Bad</w:t>
      </w:r>
      <w:proofErr w:type="gramEnd"/>
      <w:r w:rsidRPr="00AD4002">
        <w:rPr>
          <w:rStyle w:val="Style11ptUnderline"/>
        </w:rPr>
        <w:t xml:space="preserve">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37749AC2" w:rsidR="00662FFE" w:rsidRPr="00741B5C" w:rsidRDefault="00662FFE" w:rsidP="00662FFE">
      <w:pPr>
        <w:ind w:left="1080"/>
        <w:rPr>
          <w:sz w:val="22"/>
        </w:rPr>
      </w:pPr>
      <w:r w:rsidRPr="00741B5C">
        <w:rPr>
          <w:sz w:val="22"/>
        </w:rPr>
        <w:t>(a</w:t>
      </w:r>
      <w:proofErr w:type="gramStart"/>
      <w:r w:rsidRPr="00741B5C">
        <w:rPr>
          <w:sz w:val="22"/>
        </w:rPr>
        <w:t>)  If</w:t>
      </w:r>
      <w:proofErr w:type="gramEnd"/>
      <w:r w:rsidRPr="00741B5C">
        <w:rPr>
          <w:sz w:val="22"/>
        </w:rPr>
        <w:t xml:space="preserve">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ate as the outpatient primary per visit rate established in 101 CMR 614.06(3), excluding the transitional add-on under 101 CMR 614.06(3)(</w:t>
      </w:r>
      <w:r>
        <w:rPr>
          <w:sz w:val="22"/>
        </w:rPr>
        <w:t>d</w:t>
      </w:r>
      <w:r w:rsidRPr="00741B5C">
        <w:rPr>
          <w:sz w:val="22"/>
        </w:rPr>
        <w:t>).</w:t>
      </w:r>
    </w:p>
    <w:p w14:paraId="05E29CB8" w14:textId="3442C382" w:rsidR="004B103F" w:rsidRDefault="00662FFE" w:rsidP="583DDD7B">
      <w:pPr>
        <w:ind w:left="1080"/>
        <w:rPr>
          <w:sz w:val="22"/>
          <w:szCs w:val="22"/>
        </w:rPr>
      </w:pPr>
      <w:r w:rsidRPr="583DDD7B">
        <w:rPr>
          <w:sz w:val="22"/>
          <w:szCs w:val="22"/>
        </w:rPr>
        <w:t>(b</w:t>
      </w:r>
      <w:proofErr w:type="gramStart"/>
      <w:r w:rsidRPr="583DDD7B">
        <w:rPr>
          <w:sz w:val="22"/>
          <w:szCs w:val="22"/>
        </w:rPr>
        <w:t>)  The</w:t>
      </w:r>
      <w:proofErr w:type="gramEnd"/>
      <w:r w:rsidRPr="583DDD7B">
        <w:rPr>
          <w:sz w:val="22"/>
          <w:szCs w:val="22"/>
        </w:rPr>
        <w:t xml:space="preserv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1249F44A" w:rsidR="00662FFE" w:rsidRDefault="004B103F" w:rsidP="00F70BEE">
      <w:pPr>
        <w:ind w:left="1080"/>
        <w:rPr>
          <w:sz w:val="22"/>
        </w:rPr>
      </w:pPr>
      <w:r>
        <w:rPr>
          <w:sz w:val="22"/>
          <w:szCs w:val="22"/>
        </w:rPr>
        <w:lastRenderedPageBreak/>
        <w:t>(c</w:t>
      </w:r>
      <w:proofErr w:type="gramStart"/>
      <w:r>
        <w:rPr>
          <w:sz w:val="22"/>
          <w:szCs w:val="22"/>
        </w:rPr>
        <w:t>)  T</w:t>
      </w:r>
      <w:r w:rsidRPr="00741B5C">
        <w:rPr>
          <w:sz w:val="22"/>
        </w:rPr>
        <w:t>he</w:t>
      </w:r>
      <w:proofErr w:type="gramEnd"/>
      <w:r w:rsidRPr="00741B5C">
        <w:rPr>
          <w:sz w:val="22"/>
        </w:rPr>
        <w:t xml:space="preserv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048EF357" w:rsidR="00EB46F8" w:rsidRPr="00F70BEE" w:rsidRDefault="00EB46F8" w:rsidP="00F70BEE">
      <w:pPr>
        <w:ind w:left="1080"/>
        <w:rPr>
          <w:sz w:val="22"/>
        </w:rPr>
      </w:pPr>
      <w:r>
        <w:rPr>
          <w:sz w:val="22"/>
        </w:rPr>
        <w:t>(d</w:t>
      </w:r>
      <w:proofErr w:type="gramStart"/>
      <w:r>
        <w:rPr>
          <w:sz w:val="22"/>
        </w:rPr>
        <w:t>)</w:t>
      </w:r>
      <w:r w:rsidR="00A102FD">
        <w:rPr>
          <w:sz w:val="22"/>
        </w:rPr>
        <w:t xml:space="preserve"> </w:t>
      </w:r>
      <w:r>
        <w:rPr>
          <w:sz w:val="22"/>
        </w:rPr>
        <w:t xml:space="preserve"> The</w:t>
      </w:r>
      <w:proofErr w:type="gramEnd"/>
      <w:r>
        <w:rPr>
          <w:sz w:val="22"/>
        </w:rPr>
        <w:t xml:space="preserve"> </w:t>
      </w:r>
      <w:r>
        <w:rPr>
          <w:spacing w:val="-3"/>
          <w:sz w:val="22"/>
        </w:rPr>
        <w:t xml:space="preserve">Health Safety Net </w:t>
      </w:r>
      <w:r w:rsidR="0073351A">
        <w:rPr>
          <w:spacing w:val="-3"/>
          <w:sz w:val="22"/>
        </w:rPr>
        <w:t xml:space="preserve">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w:t>
      </w:r>
      <w:r w:rsidR="0095266A">
        <w:rPr>
          <w:spacing w:val="-3"/>
          <w:sz w:val="22"/>
        </w:rPr>
        <w:t xml:space="preserve">only </w:t>
      </w:r>
      <w:r w:rsidR="0073351A">
        <w:rPr>
          <w:spacing w:val="-3"/>
          <w:sz w:val="22"/>
        </w:rPr>
        <w:t xml:space="preserve">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63DFC54B" w:rsidR="00662FFE" w:rsidRPr="006D0A2A" w:rsidRDefault="00662FFE" w:rsidP="00662FFE">
      <w:pPr>
        <w:ind w:left="720"/>
        <w:rPr>
          <w:sz w:val="22"/>
        </w:rPr>
      </w:pPr>
      <w:r w:rsidRPr="00741B5C">
        <w:rPr>
          <w:sz w:val="22"/>
        </w:rPr>
        <w:t>(10</w:t>
      </w:r>
      <w:proofErr w:type="gramStart"/>
      <w:r w:rsidRPr="00741B5C">
        <w:rPr>
          <w:sz w:val="22"/>
        </w:rPr>
        <w:t xml:space="preserve">)  </w:t>
      </w:r>
      <w:r w:rsidRPr="00415D75">
        <w:rPr>
          <w:rStyle w:val="Style11ptUnderline"/>
        </w:rPr>
        <w:t>Medical</w:t>
      </w:r>
      <w:proofErr w:type="gramEnd"/>
      <w:r w:rsidRPr="00415D75">
        <w:rPr>
          <w:rStyle w:val="Style11ptUnderline"/>
        </w:rPr>
        <w:t xml:space="preserve">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ardship pursuant to 101 CMR 613.00</w:t>
      </w:r>
      <w:proofErr w:type="gramStart"/>
      <w:r w:rsidRPr="00741B5C">
        <w:rPr>
          <w:sz w:val="22"/>
        </w:rPr>
        <w:t xml:space="preserve">: </w:t>
      </w:r>
      <w:r w:rsidR="0093312A">
        <w:rPr>
          <w:sz w:val="22"/>
        </w:rPr>
        <w:t xml:space="preserve"> </w:t>
      </w:r>
      <w:r w:rsidRPr="00741B5C">
        <w:rPr>
          <w:i/>
          <w:sz w:val="22"/>
        </w:rPr>
        <w:t>Health</w:t>
      </w:r>
      <w:proofErr w:type="gramEnd"/>
      <w:r w:rsidRPr="00741B5C">
        <w:rPr>
          <w:i/>
          <w:sz w:val="22"/>
        </w:rPr>
        <w:t xml:space="preserve">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w:t>
      </w:r>
      <w:proofErr w:type="gramStart"/>
      <w:r w:rsidRPr="00741B5C">
        <w:rPr>
          <w:sz w:val="22"/>
        </w:rPr>
        <w:t xml:space="preserve">the </w:t>
      </w:r>
      <w:r w:rsidR="00C62F25">
        <w:rPr>
          <w:sz w:val="22"/>
        </w:rPr>
        <w:t>m</w:t>
      </w:r>
      <w:r w:rsidRPr="00741B5C">
        <w:rPr>
          <w:sz w:val="22"/>
        </w:rPr>
        <w:t>edical</w:t>
      </w:r>
      <w:proofErr w:type="gramEnd"/>
      <w:r w:rsidRPr="00741B5C">
        <w:rPr>
          <w:sz w:val="22"/>
        </w:rPr>
        <w:t xml:space="preserve">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455D533" w:rsidR="00662FFE" w:rsidRPr="00741B5C" w:rsidRDefault="00662FFE" w:rsidP="583DDD7B">
      <w:pPr>
        <w:tabs>
          <w:tab w:val="left" w:pos="1890"/>
        </w:tabs>
        <w:ind w:left="720"/>
        <w:rPr>
          <w:sz w:val="22"/>
          <w:szCs w:val="22"/>
        </w:rPr>
      </w:pPr>
      <w:r w:rsidRPr="583DDD7B">
        <w:rPr>
          <w:sz w:val="22"/>
          <w:szCs w:val="22"/>
        </w:rPr>
        <w:t>(11</w:t>
      </w:r>
      <w:proofErr w:type="gramStart"/>
      <w:r w:rsidRPr="583DDD7B">
        <w:rPr>
          <w:sz w:val="22"/>
          <w:szCs w:val="22"/>
        </w:rPr>
        <w:t xml:space="preserve">)  </w:t>
      </w:r>
      <w:r w:rsidRPr="583DDD7B">
        <w:rPr>
          <w:rStyle w:val="Style11ptUnderline"/>
        </w:rPr>
        <w:t>Other</w:t>
      </w:r>
      <w:proofErr w:type="gramEnd"/>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42808530"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1</w:t>
      </w:r>
      <w:proofErr w:type="gramStart"/>
      <w:r w:rsidRPr="00122C29">
        <w:rPr>
          <w:sz w:val="22"/>
          <w:szCs w:val="22"/>
        </w:rPr>
        <w:t xml:space="preserve">)  </w:t>
      </w:r>
      <w:r w:rsidRPr="00122C29">
        <w:rPr>
          <w:rStyle w:val="Style11ptUnderline"/>
          <w:szCs w:val="22"/>
        </w:rPr>
        <w:t>General</w:t>
      </w:r>
      <w:proofErr w:type="gramEnd"/>
      <w:r w:rsidRPr="00122C29">
        <w:rPr>
          <w:rStyle w:val="Style11ptUnderline"/>
          <w:szCs w:val="22"/>
        </w:rPr>
        <w:t xml:space="preserve"> Provisions</w:t>
      </w:r>
      <w:r w:rsidR="006C13AA" w:rsidRPr="00651CC7">
        <w:rPr>
          <w:sz w:val="22"/>
          <w:szCs w:val="22"/>
        </w:rPr>
        <w:t>.</w:t>
      </w:r>
    </w:p>
    <w:p w14:paraId="3F3FCC91" w14:textId="05426DC3" w:rsidR="00662FFE" w:rsidRPr="006B5272" w:rsidRDefault="00662FFE" w:rsidP="00662FFE">
      <w:pPr>
        <w:ind w:left="1080"/>
        <w:rPr>
          <w:sz w:val="22"/>
          <w:szCs w:val="22"/>
        </w:rPr>
      </w:pPr>
      <w:r w:rsidRPr="00920867">
        <w:rPr>
          <w:sz w:val="22"/>
          <w:szCs w:val="22"/>
        </w:rPr>
        <w:t>(a</w:t>
      </w:r>
      <w:proofErr w:type="gramStart"/>
      <w:r w:rsidRPr="00920867">
        <w:rPr>
          <w:sz w:val="22"/>
          <w:szCs w:val="22"/>
        </w:rPr>
        <w:t>)  The</w:t>
      </w:r>
      <w:proofErr w:type="gramEnd"/>
      <w:r w:rsidRPr="00920867">
        <w:rPr>
          <w:sz w:val="22"/>
          <w:szCs w:val="22"/>
        </w:rPr>
        <w:t xml:space="preserv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ffice, less applicable cost sharing amount, in accordance with the requirements of 101 CMR 613.00</w:t>
      </w:r>
      <w:proofErr w:type="gramStart"/>
      <w:r w:rsidRPr="00920867">
        <w:rPr>
          <w:sz w:val="22"/>
          <w:szCs w:val="22"/>
        </w:rPr>
        <w:t xml:space="preserve">: </w:t>
      </w:r>
      <w:r w:rsidR="005D780E">
        <w:rPr>
          <w:sz w:val="22"/>
          <w:szCs w:val="22"/>
        </w:rPr>
        <w:t xml:space="preserve"> </w:t>
      </w:r>
      <w:r w:rsidRPr="00920867">
        <w:rPr>
          <w:i/>
          <w:sz w:val="22"/>
          <w:szCs w:val="22"/>
        </w:rPr>
        <w:t>Health</w:t>
      </w:r>
      <w:proofErr w:type="gramEnd"/>
      <w:r w:rsidRPr="00920867">
        <w:rPr>
          <w:i/>
          <w:sz w:val="22"/>
          <w:szCs w:val="22"/>
        </w:rPr>
        <w:t xml:space="preserve">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77B42735"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5D780E">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(2</w:t>
      </w:r>
      <w:proofErr w:type="gramStart"/>
      <w:r w:rsidRPr="00741B5C">
        <w:rPr>
          <w:spacing w:val="-3"/>
          <w:sz w:val="22"/>
        </w:rPr>
        <w:t xml:space="preserve">)  </w:t>
      </w:r>
      <w:r w:rsidRPr="00741B5C">
        <w:rPr>
          <w:spacing w:val="-3"/>
          <w:sz w:val="22"/>
          <w:u w:val="single"/>
        </w:rPr>
        <w:t>Payments</w:t>
      </w:r>
      <w:proofErr w:type="gramEnd"/>
      <w:r w:rsidRPr="00741B5C">
        <w:rPr>
          <w:spacing w:val="-3"/>
          <w:sz w:val="22"/>
          <w:u w:val="single"/>
        </w:rPr>
        <w:t xml:space="preserve"> for Services</w:t>
      </w:r>
      <w:r w:rsidRPr="00741B5C">
        <w:rPr>
          <w:spacing w:val="-3"/>
          <w:sz w:val="22"/>
        </w:rPr>
        <w:t>.</w:t>
      </w:r>
    </w:p>
    <w:p w14:paraId="49770616" w14:textId="313ADE5F" w:rsidR="00662FFE" w:rsidRDefault="001E56F0" w:rsidP="001E56F0">
      <w:pPr>
        <w:ind w:left="1080"/>
        <w:rPr>
          <w:spacing w:val="-3"/>
          <w:sz w:val="22"/>
        </w:rPr>
      </w:pPr>
      <w:r>
        <w:rPr>
          <w:spacing w:val="-3"/>
          <w:sz w:val="22"/>
        </w:rPr>
        <w:t>(a</w:t>
      </w:r>
      <w:proofErr w:type="gramStart"/>
      <w:r>
        <w:rPr>
          <w:spacing w:val="-3"/>
          <w:sz w:val="22"/>
        </w:rPr>
        <w:t xml:space="preserve">)  </w:t>
      </w:r>
      <w:r w:rsidR="00662FFE">
        <w:rPr>
          <w:spacing w:val="-3"/>
          <w:sz w:val="22"/>
        </w:rPr>
        <w:t>The</w:t>
      </w:r>
      <w:proofErr w:type="gramEnd"/>
      <w:r w:rsidR="00662FFE">
        <w:rPr>
          <w:spacing w:val="-3"/>
          <w:sz w:val="22"/>
        </w:rPr>
        <w:t xml:space="preserv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 xml:space="preserve">either the PPS </w:t>
      </w:r>
      <w:r w:rsidR="00685BD7">
        <w:rPr>
          <w:spacing w:val="-3"/>
          <w:sz w:val="22"/>
        </w:rPr>
        <w:t>r</w:t>
      </w:r>
      <w:r w:rsidR="00662FFE">
        <w:rPr>
          <w:spacing w:val="-3"/>
          <w:sz w:val="22"/>
        </w:rPr>
        <w:t>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85BD7">
        <w:rPr>
          <w:spacing w:val="-3"/>
          <w:sz w:val="22"/>
        </w:rPr>
        <w:t>provides</w:t>
      </w:r>
      <w:r w:rsidR="00685BD7" w:rsidRPr="00E236EC">
        <w:rPr>
          <w:spacing w:val="-3"/>
          <w:sz w:val="22"/>
        </w:rPr>
        <w:t xml:space="preserve"> </w:t>
      </w:r>
      <w:r w:rsidR="00662FFE" w:rsidRPr="00E236EC">
        <w:rPr>
          <w:spacing w:val="-3"/>
          <w:sz w:val="22"/>
        </w:rPr>
        <w:t xml:space="preserve">care to a </w:t>
      </w:r>
      <w:r w:rsidR="00C62F25">
        <w:rPr>
          <w:spacing w:val="-3"/>
          <w:sz w:val="22"/>
        </w:rPr>
        <w:t>p</w:t>
      </w:r>
      <w:r w:rsidR="00662FFE" w:rsidRPr="00E236EC">
        <w:rPr>
          <w:spacing w:val="-3"/>
          <w:sz w:val="22"/>
        </w:rPr>
        <w:t xml:space="preserve">atient that is 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3A719F94" w:rsidR="00662FFE" w:rsidRDefault="001E56F0" w:rsidP="001E56F0">
      <w:pPr>
        <w:ind w:left="1080"/>
        <w:rPr>
          <w:spacing w:val="-3"/>
          <w:sz w:val="22"/>
        </w:rPr>
      </w:pPr>
      <w:r>
        <w:rPr>
          <w:spacing w:val="-3"/>
          <w:sz w:val="22"/>
        </w:rPr>
        <w:lastRenderedPageBreak/>
        <w:t>(b</w:t>
      </w:r>
      <w:proofErr w:type="gramStart"/>
      <w:r>
        <w:rPr>
          <w:spacing w:val="-3"/>
          <w:sz w:val="22"/>
        </w:rPr>
        <w:t xml:space="preserve">) </w:t>
      </w:r>
      <w:r w:rsidR="00134885">
        <w:rPr>
          <w:spacing w:val="-3"/>
          <w:sz w:val="22"/>
        </w:rPr>
        <w:t xml:space="preserve"> </w:t>
      </w:r>
      <w:r w:rsidR="00662FFE">
        <w:rPr>
          <w:spacing w:val="-3"/>
          <w:sz w:val="22"/>
        </w:rPr>
        <w:t>The</w:t>
      </w:r>
      <w:proofErr w:type="gramEnd"/>
      <w:r w:rsidR="00662FFE">
        <w:rPr>
          <w:spacing w:val="-3"/>
          <w:sz w:val="22"/>
        </w:rPr>
        <w:t xml:space="preserve"> PPS </w:t>
      </w:r>
      <w:r w:rsidR="00A633ED">
        <w:rPr>
          <w:spacing w:val="-3"/>
          <w:sz w:val="22"/>
        </w:rPr>
        <w:t>r</w:t>
      </w:r>
      <w:r w:rsidR="00662FFE">
        <w:rPr>
          <w:spacing w:val="-3"/>
          <w:sz w:val="22"/>
        </w:rPr>
        <w:t xml:space="preserve">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4A8338EC" w:rsidR="00662FFE" w:rsidRPr="006C13AA" w:rsidRDefault="001E56F0" w:rsidP="001E56F0">
      <w:pPr>
        <w:ind w:left="1440"/>
        <w:rPr>
          <w:sz w:val="22"/>
        </w:rPr>
      </w:pPr>
      <w:r>
        <w:rPr>
          <w:sz w:val="22"/>
        </w:rPr>
        <w:t>1</w:t>
      </w:r>
      <w:proofErr w:type="gramStart"/>
      <w:r>
        <w:rPr>
          <w:sz w:val="22"/>
        </w:rPr>
        <w:t>.</w:t>
      </w:r>
      <w:r w:rsidR="006C13AA" w:rsidRPr="006C13AA">
        <w:rPr>
          <w:sz w:val="22"/>
        </w:rPr>
        <w:t xml:space="preserve">  </w:t>
      </w:r>
      <w:r w:rsidR="00662FFE" w:rsidRPr="006C13AA">
        <w:rPr>
          <w:sz w:val="22"/>
        </w:rPr>
        <w:t>when</w:t>
      </w:r>
      <w:proofErr w:type="gramEnd"/>
      <w:r w:rsidR="00662FFE" w:rsidRPr="006C13AA">
        <w:rPr>
          <w:sz w:val="22"/>
        </w:rPr>
        <w:t xml:space="preserve">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proofErr w:type="gramStart"/>
      <w:r>
        <w:rPr>
          <w:sz w:val="22"/>
        </w:rPr>
        <w:t>.</w:t>
      </w:r>
      <w:r w:rsidR="006C13AA">
        <w:rPr>
          <w:spacing w:val="-3"/>
          <w:sz w:val="22"/>
        </w:rPr>
        <w:t xml:space="preserve">  </w:t>
      </w:r>
      <w:r w:rsidR="00662FFE">
        <w:rPr>
          <w:spacing w:val="-3"/>
          <w:sz w:val="22"/>
        </w:rPr>
        <w:t>when</w:t>
      </w:r>
      <w:proofErr w:type="gramEnd"/>
      <w:r w:rsidR="00662FFE">
        <w:rPr>
          <w:spacing w:val="-3"/>
          <w:sz w:val="22"/>
        </w:rPr>
        <w:t xml:space="preserve"> </w:t>
      </w:r>
      <w:r w:rsidR="00662FFE" w:rsidRPr="00907179">
        <w:rPr>
          <w:spacing w:val="-3"/>
          <w:sz w:val="22"/>
        </w:rPr>
        <w:t xml:space="preserve">an illness or injury </w:t>
      </w:r>
      <w:proofErr w:type="gramStart"/>
      <w:r w:rsidR="00662FFE">
        <w:rPr>
          <w:spacing w:val="-3"/>
          <w:sz w:val="22"/>
        </w:rPr>
        <w:t>necessitating</w:t>
      </w:r>
      <w:proofErr w:type="gramEnd"/>
      <w:r w:rsidR="00662FFE">
        <w:rPr>
          <w:spacing w:val="-3"/>
          <w:sz w:val="22"/>
        </w:rPr>
        <w:t xml:space="preserve"> a visit </w:t>
      </w:r>
      <w:r w:rsidR="00662FFE" w:rsidRPr="00907179">
        <w:rPr>
          <w:spacing w:val="-3"/>
          <w:sz w:val="22"/>
        </w:rPr>
        <w:t xml:space="preserve">occurs </w:t>
      </w:r>
      <w:r w:rsidR="00662FFE">
        <w:rPr>
          <w:spacing w:val="-3"/>
          <w:sz w:val="22"/>
        </w:rPr>
        <w:t>on the same day as another visit.</w:t>
      </w:r>
    </w:p>
    <w:p w14:paraId="1C409C1C" w14:textId="50F43C7B" w:rsidR="00662FFE" w:rsidRDefault="001E56F0" w:rsidP="00586056">
      <w:pPr>
        <w:ind w:left="1080"/>
        <w:rPr>
          <w:spacing w:val="-3"/>
          <w:sz w:val="22"/>
        </w:rPr>
      </w:pPr>
      <w:r>
        <w:rPr>
          <w:spacing w:val="-3"/>
          <w:sz w:val="22"/>
        </w:rPr>
        <w:t>(c</w:t>
      </w:r>
      <w:proofErr w:type="gramStart"/>
      <w:r>
        <w:rPr>
          <w:spacing w:val="-3"/>
          <w:sz w:val="22"/>
        </w:rPr>
        <w:t xml:space="preserve">)  </w:t>
      </w:r>
      <w:r w:rsidR="00662FFE">
        <w:rPr>
          <w:spacing w:val="-3"/>
          <w:sz w:val="22"/>
        </w:rPr>
        <w:t>For</w:t>
      </w:r>
      <w:proofErr w:type="gramEnd"/>
      <w:r w:rsidR="00662FFE">
        <w:rPr>
          <w:spacing w:val="-3"/>
          <w:sz w:val="22"/>
        </w:rPr>
        <w:t xml:space="preserve"> </w:t>
      </w:r>
      <w:r w:rsidR="00EF0A5F">
        <w:rPr>
          <w:spacing w:val="-3"/>
          <w:sz w:val="22"/>
        </w:rPr>
        <w:t>r</w:t>
      </w:r>
      <w:r w:rsidR="00662FFE">
        <w:rPr>
          <w:spacing w:val="-3"/>
          <w:sz w:val="22"/>
        </w:rPr>
        <w:t xml:space="preserve">eimbursable </w:t>
      </w:r>
      <w:r w:rsidR="00EF0A5F">
        <w:rPr>
          <w:spacing w:val="-3"/>
          <w:sz w:val="22"/>
        </w:rPr>
        <w:t>h</w:t>
      </w:r>
      <w:r w:rsidR="00662FFE">
        <w:rPr>
          <w:spacing w:val="-3"/>
          <w:sz w:val="22"/>
        </w:rPr>
        <w:t xml:space="preserve">ealth </w:t>
      </w:r>
      <w:r w:rsidR="00EF0A5F">
        <w:rPr>
          <w:spacing w:val="-3"/>
          <w:sz w:val="22"/>
        </w:rPr>
        <w:t>s</w:t>
      </w:r>
      <w:r w:rsidR="00662FFE">
        <w:rPr>
          <w:spacing w:val="-3"/>
          <w:sz w:val="22"/>
        </w:rPr>
        <w:t xml:space="preserve">ervices not included in the PPS </w:t>
      </w:r>
      <w:r w:rsidR="00EF0A5F">
        <w:rPr>
          <w:spacing w:val="-3"/>
          <w:sz w:val="22"/>
        </w:rPr>
        <w:t>r</w:t>
      </w:r>
      <w:r w:rsidR="00662FFE">
        <w:rPr>
          <w:spacing w:val="-3"/>
          <w:sz w:val="22"/>
        </w:rPr>
        <w:t xml:space="preserve">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6F2F4A" w14:paraId="3EFE7FE2" w14:textId="77777777" w:rsidTr="00A36CEA">
        <w:tc>
          <w:tcPr>
            <w:tcW w:w="2970" w:type="dxa"/>
            <w:tcMar>
              <w:top w:w="43" w:type="dxa"/>
              <w:left w:w="115" w:type="dxa"/>
              <w:bottom w:w="43" w:type="dxa"/>
              <w:right w:w="115" w:type="dxa"/>
            </w:tcMar>
          </w:tcPr>
          <w:p w14:paraId="3B4705DC" w14:textId="44C11040" w:rsidR="00FE25B9" w:rsidRPr="009450B9" w:rsidRDefault="00FE25B9" w:rsidP="008154E2">
            <w:r w:rsidRPr="009450B9">
              <w:t xml:space="preserve">Medical Visit – Urgent Care </w:t>
            </w:r>
          </w:p>
        </w:tc>
        <w:tc>
          <w:tcPr>
            <w:tcW w:w="3240" w:type="dxa"/>
            <w:tcMar>
              <w:top w:w="43" w:type="dxa"/>
              <w:left w:w="115" w:type="dxa"/>
              <w:bottom w:w="43" w:type="dxa"/>
              <w:right w:w="115" w:type="dxa"/>
            </w:tcMar>
          </w:tcPr>
          <w:p w14:paraId="2EB899EC" w14:textId="74AB58B3" w:rsidR="00FE25B9" w:rsidRPr="009450B9" w:rsidRDefault="00FE25B9" w:rsidP="008154E2">
            <w:r w:rsidRPr="009450B9">
              <w:t xml:space="preserve">Payable separately from an </w:t>
            </w:r>
            <w:r w:rsidR="00CF5BA7" w:rsidRPr="009450B9">
              <w:t>i</w:t>
            </w:r>
            <w:r w:rsidRPr="009450B9">
              <w:t xml:space="preserve">ndividual </w:t>
            </w:r>
            <w:r w:rsidR="00CF5BA7" w:rsidRPr="009450B9">
              <w:t>m</w:t>
            </w:r>
            <w:r w:rsidRPr="009450B9">
              <w:t xml:space="preserve">edical </w:t>
            </w:r>
            <w:r w:rsidR="00CF5BA7" w:rsidRPr="009450B9">
              <w:t>v</w:t>
            </w:r>
            <w:r w:rsidRPr="009450B9">
              <w:t>isit.</w:t>
            </w:r>
          </w:p>
        </w:tc>
        <w:tc>
          <w:tcPr>
            <w:tcW w:w="2628" w:type="dxa"/>
            <w:tcMar>
              <w:top w:w="43" w:type="dxa"/>
              <w:left w:w="115" w:type="dxa"/>
              <w:bottom w:w="43" w:type="dxa"/>
              <w:right w:w="115" w:type="dxa"/>
            </w:tcMar>
          </w:tcPr>
          <w:p w14:paraId="7AF5B3C5" w14:textId="3D9951B9" w:rsidR="00FE25B9" w:rsidRPr="009450B9" w:rsidRDefault="00FE25B9" w:rsidP="008154E2">
            <w:r w:rsidRPr="009450B9">
              <w:t xml:space="preserve">101 CMR 304.00: </w:t>
            </w:r>
            <w:r w:rsidRPr="009450B9">
              <w:rPr>
                <w:i/>
                <w:iCs/>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6C76D02C"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50DC42E5" w:rsidR="00FE25B9" w:rsidRPr="00791C4E" w:rsidRDefault="00FE25B9" w:rsidP="00054599">
            <w:pPr>
              <w:rPr>
                <w:spacing w:val="-3"/>
                <w:sz w:val="22"/>
              </w:rPr>
            </w:pPr>
            <w:r w:rsidRPr="00791C4E">
              <w:rPr>
                <w:spacing w:val="-3"/>
                <w:sz w:val="22"/>
              </w:rPr>
              <w:t xml:space="preserve">Payable separately only if </w:t>
            </w:r>
            <w:proofErr w:type="gramStart"/>
            <w:r w:rsidRPr="00791C4E">
              <w:rPr>
                <w:spacing w:val="-3"/>
                <w:sz w:val="22"/>
              </w:rPr>
              <w:t>not occurring</w:t>
            </w:r>
            <w:proofErr w:type="gramEnd"/>
            <w:r w:rsidRPr="00791C4E">
              <w:rPr>
                <w:spacing w:val="-3"/>
                <w:sz w:val="22"/>
              </w:rPr>
              <w:t xml:space="preserve">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031F5801"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2CFF3750"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166BA63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41054104"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3AD50844"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1E3C804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CFF0506"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1212D521"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7088C6FE"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3DE10451"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for Mental Health Services Provided in Community Health Centers and Mental Health Centers</w:t>
            </w:r>
            <w:r w:rsidRPr="0096212A">
              <w:rPr>
                <w:spacing w:val="-3"/>
                <w:sz w:val="22"/>
                <w:szCs w:val="22"/>
              </w:rPr>
              <w:t>;</w:t>
            </w:r>
          </w:p>
          <w:p w14:paraId="0EE2ADC0" w14:textId="4D5FE045" w:rsidR="00FE25B9" w:rsidRPr="0096212A" w:rsidRDefault="00FE25B9" w:rsidP="008154E2">
            <w:pPr>
              <w:rPr>
                <w:spacing w:val="-3"/>
                <w:sz w:val="22"/>
                <w:szCs w:val="22"/>
              </w:rPr>
            </w:pPr>
            <w:r w:rsidRPr="0096212A">
              <w:rPr>
                <w:spacing w:val="-3"/>
                <w:sz w:val="22"/>
                <w:szCs w:val="22"/>
              </w:rPr>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29.00</w:t>
            </w:r>
            <w:proofErr w:type="gramStart"/>
            <w:r w:rsidRPr="0096212A">
              <w:rPr>
                <w:spacing w:val="-3"/>
                <w:sz w:val="22"/>
                <w:szCs w:val="22"/>
              </w:rPr>
              <w:t xml:space="preserve">:  </w:t>
            </w:r>
            <w:r w:rsidRPr="0096212A">
              <w:rPr>
                <w:i/>
                <w:spacing w:val="-3"/>
                <w:sz w:val="22"/>
                <w:szCs w:val="22"/>
              </w:rPr>
              <w:t>Psychological</w:t>
            </w:r>
            <w:proofErr w:type="gramEnd"/>
            <w:r w:rsidR="00AA4570">
              <w:rPr>
                <w:i/>
                <w:spacing w:val="-3"/>
                <w:sz w:val="22"/>
                <w:szCs w:val="22"/>
              </w:rPr>
              <w:t xml:space="preserve"> </w:t>
            </w:r>
            <w:r w:rsidR="00207342" w:rsidRPr="00207342">
              <w:rPr>
                <w:i/>
                <w:spacing w:val="-3"/>
                <w:sz w:val="22"/>
                <w:szCs w:val="22"/>
              </w:rPr>
              <w:t>and Licensed Independent Behavioral Health Clinician Services</w:t>
            </w:r>
            <w:r w:rsidRPr="0096212A">
              <w:rPr>
                <w:spacing w:val="-3"/>
                <w:sz w:val="22"/>
                <w:szCs w:val="22"/>
              </w:rPr>
              <w:t>;</w:t>
            </w:r>
          </w:p>
          <w:p w14:paraId="293066E8" w14:textId="0B4932A1" w:rsidR="00FE25B9" w:rsidRPr="0096212A" w:rsidRDefault="00FE25B9" w:rsidP="002F7DB8">
            <w:pPr>
              <w:rPr>
                <w:spacing w:val="-3"/>
                <w:sz w:val="22"/>
                <w:szCs w:val="22"/>
              </w:rPr>
            </w:pPr>
            <w:r w:rsidRPr="0096212A">
              <w:rPr>
                <w:spacing w:val="-3"/>
                <w:sz w:val="22"/>
                <w:szCs w:val="22"/>
              </w:rPr>
              <w:lastRenderedPageBreak/>
              <w:t xml:space="preserve">for methadone services, rates in 101 CMR 346.00:  </w:t>
            </w:r>
            <w:r w:rsidR="00111214" w:rsidRPr="0096212A">
              <w:rPr>
                <w:i/>
                <w:sz w:val="22"/>
                <w:szCs w:val="22"/>
              </w:rPr>
              <w:t>Rates for Certain Substance-</w:t>
            </w:r>
            <w:r w:rsidR="0058553A">
              <w:rPr>
                <w:i/>
                <w:sz w:val="22"/>
                <w:szCs w:val="22"/>
              </w:rPr>
              <w:t>R</w:t>
            </w:r>
            <w:r w:rsidR="00111214" w:rsidRPr="0096212A">
              <w:rPr>
                <w:i/>
                <w:sz w:val="22"/>
                <w:szCs w:val="22"/>
              </w:rPr>
              <w:t>elated and Addictive</w:t>
            </w:r>
            <w:r w:rsidR="0058553A">
              <w:rPr>
                <w:i/>
                <w:sz w:val="22"/>
                <w:szCs w:val="22"/>
              </w:rPr>
              <w:t xml:space="preserve"> </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t>Radiology</w:t>
            </w:r>
          </w:p>
        </w:tc>
        <w:tc>
          <w:tcPr>
            <w:tcW w:w="3240" w:type="dxa"/>
            <w:tcMar>
              <w:top w:w="43" w:type="dxa"/>
              <w:left w:w="115" w:type="dxa"/>
              <w:bottom w:w="43" w:type="dxa"/>
              <w:right w:w="115" w:type="dxa"/>
            </w:tcMar>
          </w:tcPr>
          <w:p w14:paraId="70709EB2" w14:textId="2B3D797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0BE35C8B"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35574437"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0419AF55"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5DE4E13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6613B42B"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4B2A7728"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16490726"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51D9D9FE" w:rsidR="00FE25B9" w:rsidRPr="00791C4E" w:rsidRDefault="00FE25B9" w:rsidP="008154E2">
            <w:pPr>
              <w:rPr>
                <w:spacing w:val="-3"/>
                <w:sz w:val="22"/>
                <w:szCs w:val="22"/>
              </w:rPr>
            </w:pPr>
            <w:r w:rsidRPr="00791C4E">
              <w:rPr>
                <w:spacing w:val="-3"/>
                <w:sz w:val="22"/>
                <w:szCs w:val="22"/>
              </w:rPr>
              <w:t xml:space="preserve">101 CMR 315.00: </w:t>
            </w:r>
            <w:r w:rsidR="00647AF3" w:rsidRPr="009450B9">
              <w:rPr>
                <w:i/>
                <w:iCs/>
                <w:spacing w:val="-3"/>
                <w:sz w:val="22"/>
                <w:szCs w:val="22"/>
              </w:rPr>
              <w:t xml:space="preserve">Rates for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7FA37664"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3AE86210"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7B704140"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04DB1371"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t>Immunization Visits</w:t>
            </w:r>
          </w:p>
        </w:tc>
        <w:tc>
          <w:tcPr>
            <w:tcW w:w="3240" w:type="dxa"/>
            <w:tcMar>
              <w:top w:w="43" w:type="dxa"/>
              <w:left w:w="115" w:type="dxa"/>
              <w:bottom w:w="43" w:type="dxa"/>
              <w:right w:w="115" w:type="dxa"/>
            </w:tcMar>
          </w:tcPr>
          <w:p w14:paraId="32B28F48" w14:textId="0379421D"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w:t>
            </w:r>
            <w:proofErr w:type="gramStart"/>
            <w:r w:rsidR="00D2632B" w:rsidRPr="00791C4E">
              <w:rPr>
                <w:spacing w:val="-3"/>
                <w:sz w:val="22"/>
              </w:rPr>
              <w:t>not occurring</w:t>
            </w:r>
            <w:proofErr w:type="gramEnd"/>
            <w:r w:rsidR="00D2632B" w:rsidRPr="00791C4E">
              <w:rPr>
                <w:spacing w:val="-3"/>
                <w:sz w:val="22"/>
              </w:rPr>
              <w:t xml:space="preserve">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630CC831"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t xml:space="preserve">Vaccines Not Included in the Individual Medical Visit or </w:t>
            </w:r>
            <w:r w:rsidRPr="00791C4E">
              <w:rPr>
                <w:spacing w:val="-3"/>
                <w:sz w:val="22"/>
              </w:rPr>
              <w:lastRenderedPageBreak/>
              <w:t>Supplied by the Department of Public Health</w:t>
            </w:r>
          </w:p>
        </w:tc>
        <w:tc>
          <w:tcPr>
            <w:tcW w:w="3240" w:type="dxa"/>
            <w:tcMar>
              <w:top w:w="43" w:type="dxa"/>
              <w:left w:w="115" w:type="dxa"/>
              <w:bottom w:w="43" w:type="dxa"/>
              <w:right w:w="115" w:type="dxa"/>
            </w:tcMar>
          </w:tcPr>
          <w:p w14:paraId="4D33EB5F" w14:textId="4C74E29B" w:rsidR="00FE25B9" w:rsidRPr="00791C4E" w:rsidRDefault="00FE25B9" w:rsidP="00EF3594">
            <w:pPr>
              <w:rPr>
                <w:spacing w:val="-3"/>
                <w:sz w:val="22"/>
              </w:rPr>
            </w:pPr>
            <w:r w:rsidRPr="00791C4E">
              <w:rPr>
                <w:spacing w:val="-3"/>
                <w:sz w:val="22"/>
              </w:rPr>
              <w:lastRenderedPageBreak/>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01DEDAD9"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122811C0" w:rsidR="00662FFE" w:rsidRPr="00415D75" w:rsidRDefault="00662FFE" w:rsidP="00662FFE">
      <w:pPr>
        <w:ind w:left="720"/>
        <w:rPr>
          <w:spacing w:val="-3"/>
          <w:sz w:val="22"/>
        </w:rPr>
      </w:pPr>
      <w:r w:rsidRPr="00415D75">
        <w:rPr>
          <w:spacing w:val="-3"/>
          <w:sz w:val="22"/>
        </w:rPr>
        <w:t>(3</w:t>
      </w:r>
      <w:proofErr w:type="gramStart"/>
      <w:r w:rsidRPr="00415D75">
        <w:rPr>
          <w:spacing w:val="-3"/>
          <w:sz w:val="22"/>
        </w:rPr>
        <w:t xml:space="preserve">)  </w:t>
      </w:r>
      <w:r w:rsidRPr="00C86781">
        <w:rPr>
          <w:spacing w:val="-3"/>
          <w:sz w:val="22"/>
          <w:u w:val="single"/>
        </w:rPr>
        <w:t>Bad</w:t>
      </w:r>
      <w:proofErr w:type="gramEnd"/>
      <w:r w:rsidRPr="00C86781">
        <w:rPr>
          <w:spacing w:val="-3"/>
          <w:sz w:val="22"/>
          <w:u w:val="single"/>
        </w:rPr>
        <w:t xml:space="preserve">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that meet the requirements in 101 CMR 613.00</w:t>
      </w:r>
      <w:proofErr w:type="gramStart"/>
      <w:r w:rsidRPr="00415D75">
        <w:rPr>
          <w:spacing w:val="-3"/>
          <w:sz w:val="22"/>
        </w:rPr>
        <w:t xml:space="preserve">: </w:t>
      </w:r>
      <w:r w:rsidR="00730521">
        <w:rPr>
          <w:spacing w:val="-3"/>
          <w:sz w:val="22"/>
        </w:rPr>
        <w:t xml:space="preserve"> </w:t>
      </w:r>
      <w:r w:rsidRPr="00415D75">
        <w:rPr>
          <w:i/>
          <w:spacing w:val="-3"/>
          <w:sz w:val="22"/>
        </w:rPr>
        <w:t>Health</w:t>
      </w:r>
      <w:proofErr w:type="gramEnd"/>
      <w:r w:rsidRPr="00415D75">
        <w:rPr>
          <w:i/>
          <w:spacing w:val="-3"/>
          <w:sz w:val="22"/>
        </w:rPr>
        <w:t xml:space="preserve"> Safety Net Eligible Services.</w:t>
      </w:r>
      <w:r w:rsidRPr="00415D75">
        <w:rPr>
          <w:spacing w:val="-3"/>
          <w:sz w:val="22"/>
        </w:rPr>
        <w:t xml:space="preserve"> </w:t>
      </w:r>
      <w:r w:rsidR="007F69CB" w:rsidRPr="007F69CB">
        <w:rPr>
          <w:sz w:val="22"/>
        </w:rPr>
        <w:t xml:space="preserve">The </w:t>
      </w:r>
      <w:r w:rsidR="007F69CB" w:rsidRPr="007F69CB">
        <w:rPr>
          <w:spacing w:val="-3"/>
          <w:sz w:val="22"/>
        </w:rPr>
        <w:t xml:space="preserve">Health Safety Net pays community health centers </w:t>
      </w:r>
      <w:r w:rsidR="007343D0">
        <w:rPr>
          <w:spacing w:val="-3"/>
          <w:sz w:val="22"/>
        </w:rPr>
        <w:t xml:space="preserve">only </w:t>
      </w:r>
      <w:r w:rsidR="007F69CB" w:rsidRPr="007F69CB">
        <w:rPr>
          <w:spacing w:val="-3"/>
          <w:sz w:val="22"/>
        </w:rPr>
        <w:t>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w:t>
      </w:r>
      <w:proofErr w:type="gramStart"/>
      <w:r w:rsidRPr="00415D75">
        <w:rPr>
          <w:rStyle w:val="Style11ptUnderline"/>
        </w:rPr>
        <w:t>:  Reporting</w:t>
      </w:r>
      <w:proofErr w:type="gramEnd"/>
      <w:r w:rsidRPr="00415D75">
        <w:rPr>
          <w:rStyle w:val="Style11ptUnderline"/>
        </w:rPr>
        <w:t xml:space="preserve"> Requirements</w:t>
      </w:r>
    </w:p>
    <w:p w14:paraId="3552C0A2" w14:textId="77777777" w:rsidR="00662FFE" w:rsidRPr="00415D75" w:rsidRDefault="00662FFE" w:rsidP="00662FFE">
      <w:pPr>
        <w:rPr>
          <w:rStyle w:val="Style11ptUnderline"/>
        </w:rPr>
      </w:pPr>
    </w:p>
    <w:p w14:paraId="42B4E290" w14:textId="3F139D13" w:rsidR="00662FFE" w:rsidRPr="00741B5C" w:rsidRDefault="00662FFE" w:rsidP="00662FFE">
      <w:pPr>
        <w:ind w:left="720"/>
        <w:rPr>
          <w:sz w:val="22"/>
        </w:rPr>
      </w:pPr>
      <w:r w:rsidRPr="00741B5C">
        <w:rPr>
          <w:sz w:val="22"/>
        </w:rPr>
        <w:t>(1</w:t>
      </w:r>
      <w:proofErr w:type="gramStart"/>
      <w:r w:rsidRPr="00741B5C">
        <w:rPr>
          <w:sz w:val="22"/>
        </w:rPr>
        <w:t xml:space="preserve">)  </w:t>
      </w:r>
      <w:r w:rsidRPr="00415D75">
        <w:rPr>
          <w:rStyle w:val="Style11ptUnderline"/>
        </w:rPr>
        <w:t>General</w:t>
      </w:r>
      <w:proofErr w:type="gramEnd"/>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6E7DB8E4" w:rsidR="00662FFE" w:rsidRPr="00741B5C" w:rsidRDefault="00662FFE" w:rsidP="00662FFE">
      <w:pPr>
        <w:tabs>
          <w:tab w:val="left" w:pos="1800"/>
        </w:tabs>
        <w:ind w:left="1080"/>
        <w:rPr>
          <w:sz w:val="22"/>
        </w:rPr>
      </w:pPr>
      <w:r w:rsidRPr="00741B5C">
        <w:rPr>
          <w:sz w:val="22"/>
        </w:rPr>
        <w:t>(a</w:t>
      </w:r>
      <w:proofErr w:type="gramStart"/>
      <w:r w:rsidRPr="00741B5C">
        <w:rPr>
          <w:sz w:val="22"/>
        </w:rPr>
        <w:t>)  The</w:t>
      </w:r>
      <w:proofErr w:type="gramEnd"/>
      <w:r w:rsidRPr="00741B5C">
        <w:rPr>
          <w:sz w:val="22"/>
        </w:rPr>
        <w:t xml:space="preserv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646AC903" w:rsidR="00662FFE" w:rsidRDefault="00662FFE" w:rsidP="00AA4570">
      <w:pPr>
        <w:ind w:left="1080"/>
        <w:rPr>
          <w:sz w:val="22"/>
        </w:rPr>
      </w:pPr>
      <w:r w:rsidRPr="00741B5C">
        <w:rPr>
          <w:sz w:val="22"/>
        </w:rPr>
        <w:t>(b</w:t>
      </w:r>
      <w:proofErr w:type="gramStart"/>
      <w:r w:rsidRPr="00741B5C">
        <w:rPr>
          <w:sz w:val="22"/>
        </w:rPr>
        <w:t>)  The</w:t>
      </w:r>
      <w:proofErr w:type="gramEnd"/>
      <w:r w:rsidRPr="00741B5C">
        <w:rPr>
          <w:sz w:val="22"/>
        </w:rPr>
        <w:t xml:space="preserv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proofErr w:type="gramStart"/>
      <w:r w:rsidRPr="003A3D71">
        <w:rPr>
          <w:sz w:val="22"/>
        </w:rPr>
        <w:t>)</w:t>
      </w:r>
      <w:r w:rsidRPr="00741B5C">
        <w:rPr>
          <w:sz w:val="22"/>
        </w:rPr>
        <w:t xml:space="preserve">  </w:t>
      </w:r>
      <w:r w:rsidRPr="009D505C">
        <w:rPr>
          <w:sz w:val="22"/>
          <w:u w:val="single"/>
        </w:rPr>
        <w:t>Acute</w:t>
      </w:r>
      <w:proofErr w:type="gramEnd"/>
      <w:r w:rsidRPr="009D505C">
        <w:rPr>
          <w:sz w:val="22"/>
          <w:u w:val="single"/>
        </w:rPr>
        <w:t xml:space="preserve"> </w:t>
      </w:r>
      <w:r w:rsidRPr="00415D75">
        <w:rPr>
          <w:rStyle w:val="Style11ptUnderline"/>
        </w:rPr>
        <w:t>Hospitals</w:t>
      </w:r>
      <w:r w:rsidRPr="00741B5C">
        <w:rPr>
          <w:sz w:val="22"/>
        </w:rPr>
        <w:t>.</w:t>
      </w:r>
    </w:p>
    <w:p w14:paraId="2F1C7D88" w14:textId="2ACA0A9A" w:rsidR="00662FFE" w:rsidRDefault="00662FFE" w:rsidP="00662FFE">
      <w:pPr>
        <w:ind w:left="1080"/>
        <w:rPr>
          <w:sz w:val="22"/>
        </w:rPr>
      </w:pPr>
      <w:r w:rsidRPr="00741B5C">
        <w:rPr>
          <w:sz w:val="22"/>
        </w:rPr>
        <w:t>(a</w:t>
      </w:r>
      <w:proofErr w:type="gramStart"/>
      <w:r w:rsidRPr="00741B5C">
        <w:rPr>
          <w:sz w:val="22"/>
        </w:rPr>
        <w:t>)  The</w:t>
      </w:r>
      <w:proofErr w:type="gramEnd"/>
      <w:r w:rsidRPr="00741B5C">
        <w:rPr>
          <w:sz w:val="22"/>
        </w:rPr>
        <w:t xml:space="preserv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3204E118"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225A27C3" w:rsidR="00662FFE" w:rsidRPr="00741B5C" w:rsidRDefault="006243F0" w:rsidP="00662FFE">
      <w:pPr>
        <w:ind w:left="1080"/>
        <w:rPr>
          <w:sz w:val="22"/>
        </w:rPr>
      </w:pPr>
      <w:r>
        <w:rPr>
          <w:sz w:val="22"/>
          <w:szCs w:val="22"/>
        </w:rPr>
        <w:br w:type="page"/>
      </w:r>
      <w:r w:rsidR="00662FFE" w:rsidRPr="00741B5C">
        <w:rPr>
          <w:sz w:val="22"/>
        </w:rPr>
        <w:lastRenderedPageBreak/>
        <w:t>(c</w:t>
      </w:r>
      <w:proofErr w:type="gramStart"/>
      <w:r w:rsidR="00662FFE" w:rsidRPr="00741B5C">
        <w:rPr>
          <w:sz w:val="22"/>
        </w:rPr>
        <w:t xml:space="preserve">)  </w:t>
      </w:r>
      <w:r w:rsidR="00662FFE" w:rsidRPr="00415D75">
        <w:rPr>
          <w:rStyle w:val="Style11ptUnderline"/>
        </w:rPr>
        <w:t>Penalties</w:t>
      </w:r>
      <w:proofErr w:type="gramEnd"/>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ospital that fails to comply with the reporting requirements of 101 CMR 613.00</w:t>
      </w:r>
      <w:proofErr w:type="gramStart"/>
      <w:r w:rsidR="00662FFE" w:rsidRPr="00741B5C">
        <w:rPr>
          <w:sz w:val="22"/>
        </w:rPr>
        <w:t xml:space="preserve">: </w:t>
      </w:r>
      <w:r w:rsidR="008B343F">
        <w:rPr>
          <w:sz w:val="22"/>
        </w:rPr>
        <w:t xml:space="preserve"> </w:t>
      </w:r>
      <w:r w:rsidR="00662FFE" w:rsidRPr="00741B5C">
        <w:rPr>
          <w:i/>
          <w:sz w:val="22"/>
        </w:rPr>
        <w:t>Health</w:t>
      </w:r>
      <w:proofErr w:type="gramEnd"/>
      <w:r w:rsidR="00662FFE" w:rsidRPr="00741B5C">
        <w:rPr>
          <w:i/>
          <w:sz w:val="22"/>
        </w:rPr>
        <w:t xml:space="preserve">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6B4E3F77" w:rsidR="00662FFE" w:rsidRPr="00741B5C" w:rsidRDefault="00662FFE" w:rsidP="00662FFE">
      <w:pPr>
        <w:ind w:left="720"/>
        <w:rPr>
          <w:sz w:val="22"/>
        </w:rPr>
      </w:pPr>
      <w:r w:rsidRPr="00741B5C">
        <w:rPr>
          <w:sz w:val="22"/>
        </w:rPr>
        <w:t>(3</w:t>
      </w:r>
      <w:proofErr w:type="gramStart"/>
      <w:r w:rsidRPr="00741B5C">
        <w:rPr>
          <w:sz w:val="22"/>
        </w:rPr>
        <w:t xml:space="preserve">)  </w:t>
      </w:r>
      <w:r w:rsidRPr="00415D75">
        <w:rPr>
          <w:rStyle w:val="Style11ptUnderline"/>
        </w:rPr>
        <w:t>Community</w:t>
      </w:r>
      <w:proofErr w:type="gramEnd"/>
      <w:r w:rsidRPr="00415D75">
        <w:rPr>
          <w:rStyle w:val="Style11ptUnderline"/>
        </w:rPr>
        <w:t xml:space="preserve">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that fails to comply with the reporting requirements of 101 CMR 613.00</w:t>
      </w:r>
      <w:proofErr w:type="gramStart"/>
      <w:r w:rsidRPr="00741B5C">
        <w:rPr>
          <w:sz w:val="22"/>
        </w:rPr>
        <w:t xml:space="preserve">: </w:t>
      </w:r>
      <w:r w:rsidR="008B343F">
        <w:rPr>
          <w:sz w:val="22"/>
        </w:rPr>
        <w:t xml:space="preserve"> </w:t>
      </w:r>
      <w:r w:rsidRPr="00741B5C">
        <w:rPr>
          <w:i/>
          <w:sz w:val="22"/>
        </w:rPr>
        <w:t>Health</w:t>
      </w:r>
      <w:proofErr w:type="gramEnd"/>
      <w:r w:rsidRPr="00741B5C">
        <w:rPr>
          <w:i/>
          <w:sz w:val="22"/>
        </w:rPr>
        <w:t xml:space="preserve">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proofErr w:type="gramStart"/>
      <w:r w:rsidR="00FC309B">
        <w:rPr>
          <w:sz w:val="22"/>
        </w:rPr>
        <w:t>c</w:t>
      </w:r>
      <w:r w:rsidRPr="00741B5C">
        <w:rPr>
          <w:sz w:val="22"/>
        </w:rPr>
        <w:t>enter</w:t>
      </w:r>
      <w:proofErr w:type="gramEnd"/>
      <w:r w:rsidRPr="00741B5C">
        <w:rPr>
          <w:sz w:val="22"/>
        </w:rPr>
        <w:t xml:space="preserve">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63EB9B3" w:rsidR="00662FFE" w:rsidRPr="00415D75" w:rsidRDefault="00662FFE" w:rsidP="00662FFE">
      <w:pPr>
        <w:outlineLvl w:val="0"/>
        <w:rPr>
          <w:rStyle w:val="Style11ptUnderline"/>
        </w:rPr>
      </w:pPr>
      <w:r w:rsidRPr="00415D75">
        <w:rPr>
          <w:rStyle w:val="Style11ptUnderline"/>
        </w:rPr>
        <w:lastRenderedPageBreak/>
        <w:t>614.09</w:t>
      </w:r>
      <w:proofErr w:type="gramStart"/>
      <w:r w:rsidRPr="00415D75">
        <w:rPr>
          <w:rStyle w:val="Style11ptUnderline"/>
        </w:rPr>
        <w:t>:</w:t>
      </w:r>
      <w:r w:rsidRPr="00415D75">
        <w:rPr>
          <w:rStyle w:val="Style11ptUnderline"/>
        </w:rPr>
        <w:tab/>
        <w:t xml:space="preserve"> </w:t>
      </w:r>
      <w:r w:rsidR="00BC7301">
        <w:rPr>
          <w:rStyle w:val="Style11ptUnderline"/>
        </w:rPr>
        <w:t>Severability</w:t>
      </w:r>
      <w:proofErr w:type="gramEnd"/>
    </w:p>
    <w:p w14:paraId="644C5CA9" w14:textId="77777777" w:rsidR="00662FFE" w:rsidRPr="00741B5C" w:rsidRDefault="00662FFE" w:rsidP="00662FFE">
      <w:pPr>
        <w:ind w:left="-90" w:firstLine="90"/>
        <w:rPr>
          <w:sz w:val="22"/>
        </w:rPr>
      </w:pPr>
    </w:p>
    <w:p w14:paraId="6DDB975A" w14:textId="5673F8AA"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or circumstance is held to be invalid or unconstitutional</w:t>
      </w:r>
      <w:proofErr w:type="gramStart"/>
      <w:r w:rsidRPr="00741B5C">
        <w:rPr>
          <w:sz w:val="22"/>
        </w:rPr>
        <w:t>,</w:t>
      </w:r>
      <w:r w:rsidR="00BF5308">
        <w:rPr>
          <w:sz w:val="22"/>
        </w:rPr>
        <w:t xml:space="preserve"> </w:t>
      </w:r>
      <w:r w:rsidR="00BF5308" w:rsidRPr="00BF5308">
        <w:rPr>
          <w:sz w:val="22"/>
        </w:rPr>
        <w:t>.</w:t>
      </w:r>
      <w:r w:rsidR="00BF5308">
        <w:rPr>
          <w:sz w:val="22"/>
        </w:rPr>
        <w:t>that</w:t>
      </w:r>
      <w:proofErr w:type="gramEnd"/>
      <w:r w:rsidR="00BF5308" w:rsidRPr="00741B5C">
        <w:rPr>
          <w:sz w:val="22"/>
        </w:rPr>
        <w:t xml:space="preserve"> </w:t>
      </w:r>
      <w:r w:rsidR="00BF5308">
        <w:rPr>
          <w:sz w:val="22"/>
        </w:rPr>
        <w:t>holding</w:t>
      </w:r>
      <w:r w:rsidR="00BF5308" w:rsidRPr="00741B5C">
        <w:rPr>
          <w:sz w:val="22"/>
        </w:rPr>
        <w:t xml:space="preserve"> </w:t>
      </w:r>
      <w:r w:rsidR="001E24D6" w:rsidRPr="00BC7301">
        <w:rPr>
          <w:sz w:val="22"/>
        </w:rPr>
        <w:t>will</w:t>
      </w:r>
      <w:r w:rsidRPr="00741B5C">
        <w:rPr>
          <w:sz w:val="22"/>
        </w:rPr>
        <w:t xml:space="preserve"> not be construed to affect the validity or constitutionality of any remaining provisions of 101 CMR 614.00 or application of </w:t>
      </w:r>
      <w:r w:rsidR="00BF5308">
        <w:rPr>
          <w:sz w:val="22"/>
        </w:rPr>
        <w:t>those</w:t>
      </w:r>
      <w:r w:rsidR="00BF5308" w:rsidRPr="00741B5C">
        <w:rPr>
          <w:sz w:val="22"/>
        </w:rPr>
        <w:t xml:space="preserve"> </w:t>
      </w:r>
      <w:r w:rsidRPr="00741B5C">
        <w:rPr>
          <w:sz w:val="22"/>
        </w:rPr>
        <w:t xml:space="preserve">provisions to </w:t>
      </w:r>
      <w:r w:rsidR="00BF5308">
        <w:rPr>
          <w:sz w:val="22"/>
        </w:rPr>
        <w:t>applicable individuals, entities, or circumstances</w:t>
      </w:r>
      <w:r w:rsidRPr="00741B5C">
        <w:rPr>
          <w:sz w:val="22"/>
        </w:rPr>
        <w:t>.</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w:t>
      </w:r>
      <w:proofErr w:type="gramStart"/>
      <w:r w:rsidRPr="00EF206E">
        <w:rPr>
          <w:sz w:val="22"/>
          <w:szCs w:val="22"/>
        </w:rPr>
        <w:t>:  M</w:t>
      </w:r>
      <w:proofErr w:type="gramEnd"/>
      <w:r w:rsidRPr="00EF206E">
        <w:rPr>
          <w:sz w:val="22"/>
          <w:szCs w:val="22"/>
        </w:rPr>
        <w:t>.G.L. c. 118E.</w:t>
      </w:r>
    </w:p>
    <w:sectPr w:rsidR="00662FFE" w:rsidRPr="00114629" w:rsidSect="00662FFE">
      <w:headerReference w:type="default" r:id="rId8"/>
      <w:footerReference w:type="even" r:id="rId9"/>
      <w:footerReference w:type="default" r:id="rId10"/>
      <w:headerReference w:type="first" r:id="rId11"/>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4B58" w14:textId="77777777" w:rsidR="00532C36" w:rsidRDefault="00532C36">
      <w:r>
        <w:separator/>
      </w:r>
    </w:p>
  </w:endnote>
  <w:endnote w:type="continuationSeparator" w:id="0">
    <w:p w14:paraId="1C62DBE7" w14:textId="77777777" w:rsidR="00532C36" w:rsidRDefault="00532C36">
      <w:r>
        <w:continuationSeparator/>
      </w:r>
    </w:p>
  </w:endnote>
  <w:endnote w:type="continuationNotice" w:id="1">
    <w:p w14:paraId="2F11CCA9" w14:textId="77777777" w:rsidR="00532C36" w:rsidRDefault="00532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F383" w14:textId="77777777" w:rsidR="00532C36" w:rsidRDefault="00532C36">
      <w:r>
        <w:separator/>
      </w:r>
    </w:p>
  </w:footnote>
  <w:footnote w:type="continuationSeparator" w:id="0">
    <w:p w14:paraId="2400DE74" w14:textId="77777777" w:rsidR="00532C36" w:rsidRDefault="00532C36">
      <w:r>
        <w:continuationSeparator/>
      </w:r>
    </w:p>
  </w:footnote>
  <w:footnote w:type="continuationNotice" w:id="1">
    <w:p w14:paraId="78D83624" w14:textId="77777777" w:rsidR="00532C36" w:rsidRDefault="00532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55A6" w14:textId="77777777" w:rsidR="009450B9" w:rsidRPr="008C41FB" w:rsidRDefault="00662FFE" w:rsidP="009450B9">
    <w:pPr>
      <w:pStyle w:val="Header"/>
      <w:jc w:val="right"/>
      <w:rPr>
        <w:sz w:val="22"/>
        <w:szCs w:val="22"/>
      </w:rPr>
    </w:pPr>
    <w:r>
      <w:rPr>
        <w:sz w:val="19"/>
      </w:rPr>
      <w:tab/>
    </w:r>
    <w:r w:rsidR="009450B9">
      <w:rPr>
        <w:sz w:val="22"/>
        <w:szCs w:val="22"/>
      </w:rPr>
      <w:t>Final Adoption</w:t>
    </w:r>
  </w:p>
  <w:p w14:paraId="1CA87BFA" w14:textId="77777777" w:rsidR="009450B9" w:rsidRPr="006B5FE1" w:rsidRDefault="009450B9" w:rsidP="009450B9">
    <w:pPr>
      <w:pStyle w:val="Header"/>
      <w:jc w:val="right"/>
      <w:rPr>
        <w:sz w:val="22"/>
        <w:szCs w:val="22"/>
      </w:rPr>
    </w:pPr>
    <w:r w:rsidRPr="002107AC">
      <w:rPr>
        <w:sz w:val="22"/>
        <w:szCs w:val="22"/>
      </w:rPr>
      <w:t xml:space="preserve">Date </w:t>
    </w:r>
    <w:r w:rsidRPr="00D1052D">
      <w:rPr>
        <w:color w:val="000000" w:themeColor="text1"/>
        <w:sz w:val="22"/>
        <w:szCs w:val="22"/>
      </w:rPr>
      <w:t>Published in Mass. Register:</w:t>
    </w:r>
    <w:r>
      <w:rPr>
        <w:color w:val="000000" w:themeColor="text1"/>
        <w:sz w:val="22"/>
        <w:szCs w:val="22"/>
      </w:rPr>
      <w:t xml:space="preserve"> June 19, 2026</w:t>
    </w:r>
  </w:p>
  <w:p w14:paraId="6766CBDA" w14:textId="06A8E1EB" w:rsidR="00662FFE" w:rsidRPr="006B5FE1" w:rsidRDefault="00662FFE" w:rsidP="009450B9">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EE26" w14:textId="77777777" w:rsidR="009450B9" w:rsidRPr="008C41FB" w:rsidRDefault="009450B9" w:rsidP="009450B9">
    <w:pPr>
      <w:pStyle w:val="Header"/>
      <w:jc w:val="right"/>
      <w:rPr>
        <w:sz w:val="22"/>
        <w:szCs w:val="22"/>
      </w:rPr>
    </w:pPr>
    <w:bookmarkStart w:id="4" w:name="_Hlk196292958"/>
    <w:r>
      <w:rPr>
        <w:sz w:val="22"/>
        <w:szCs w:val="22"/>
      </w:rPr>
      <w:t>Final Adoption</w:t>
    </w:r>
  </w:p>
  <w:p w14:paraId="7B4030AF" w14:textId="00AF25F0" w:rsidR="009D6077" w:rsidRPr="006B5FE1" w:rsidRDefault="009450B9" w:rsidP="009450B9">
    <w:pPr>
      <w:pStyle w:val="Header"/>
      <w:jc w:val="right"/>
      <w:rPr>
        <w:sz w:val="22"/>
        <w:szCs w:val="22"/>
      </w:rPr>
    </w:pPr>
    <w:r w:rsidRPr="002107AC">
      <w:rPr>
        <w:sz w:val="22"/>
        <w:szCs w:val="22"/>
      </w:rPr>
      <w:t xml:space="preserve">Date </w:t>
    </w:r>
    <w:r w:rsidRPr="00D1052D">
      <w:rPr>
        <w:color w:val="000000" w:themeColor="text1"/>
        <w:sz w:val="22"/>
        <w:szCs w:val="22"/>
      </w:rPr>
      <w:t>Published in Mass. Register:</w:t>
    </w:r>
    <w:r>
      <w:rPr>
        <w:color w:val="000000" w:themeColor="text1"/>
        <w:sz w:val="22"/>
        <w:szCs w:val="22"/>
      </w:rPr>
      <w:t xml:space="preserve"> June 19, 2026</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EB263B"/>
    <w:multiLevelType w:val="hybridMultilevel"/>
    <w:tmpl w:val="177C31DE"/>
    <w:lvl w:ilvl="0" w:tplc="D18A21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5"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30833787">
    <w:abstractNumId w:val="1"/>
  </w:num>
  <w:num w:numId="2" w16cid:durableId="1488545566">
    <w:abstractNumId w:val="11"/>
  </w:num>
  <w:num w:numId="3" w16cid:durableId="1741755528">
    <w:abstractNumId w:val="13"/>
  </w:num>
  <w:num w:numId="4" w16cid:durableId="847721206">
    <w:abstractNumId w:val="18"/>
  </w:num>
  <w:num w:numId="5" w16cid:durableId="1925799237">
    <w:abstractNumId w:val="17"/>
  </w:num>
  <w:num w:numId="6" w16cid:durableId="1702167039">
    <w:abstractNumId w:val="15"/>
  </w:num>
  <w:num w:numId="7" w16cid:durableId="537468494">
    <w:abstractNumId w:val="14"/>
  </w:num>
  <w:num w:numId="8" w16cid:durableId="1419867991">
    <w:abstractNumId w:val="21"/>
  </w:num>
  <w:num w:numId="9" w16cid:durableId="265617677">
    <w:abstractNumId w:val="25"/>
  </w:num>
  <w:num w:numId="10" w16cid:durableId="2146119871">
    <w:abstractNumId w:val="5"/>
  </w:num>
  <w:num w:numId="11" w16cid:durableId="868878743">
    <w:abstractNumId w:val="2"/>
  </w:num>
  <w:num w:numId="12" w16cid:durableId="1766682631">
    <w:abstractNumId w:val="8"/>
  </w:num>
  <w:num w:numId="13" w16cid:durableId="1054162846">
    <w:abstractNumId w:val="7"/>
  </w:num>
  <w:num w:numId="14" w16cid:durableId="1296907854">
    <w:abstractNumId w:val="4"/>
  </w:num>
  <w:num w:numId="15" w16cid:durableId="1586915935">
    <w:abstractNumId w:val="19"/>
  </w:num>
  <w:num w:numId="16" w16cid:durableId="1871069175">
    <w:abstractNumId w:val="20"/>
  </w:num>
  <w:num w:numId="17" w16cid:durableId="357853068">
    <w:abstractNumId w:val="3"/>
  </w:num>
  <w:num w:numId="18" w16cid:durableId="2126578036">
    <w:abstractNumId w:val="6"/>
  </w:num>
  <w:num w:numId="19" w16cid:durableId="1172643528">
    <w:abstractNumId w:val="23"/>
  </w:num>
  <w:num w:numId="20" w16cid:durableId="1717509069">
    <w:abstractNumId w:val="16"/>
  </w:num>
  <w:num w:numId="21" w16cid:durableId="1571116421">
    <w:abstractNumId w:val="0"/>
  </w:num>
  <w:num w:numId="22" w16cid:durableId="1533492239">
    <w:abstractNumId w:val="26"/>
  </w:num>
  <w:num w:numId="23" w16cid:durableId="1089471488">
    <w:abstractNumId w:val="24"/>
  </w:num>
  <w:num w:numId="24" w16cid:durableId="94131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4825301">
    <w:abstractNumId w:val="10"/>
  </w:num>
  <w:num w:numId="26" w16cid:durableId="2072385089">
    <w:abstractNumId w:val="22"/>
  </w:num>
  <w:num w:numId="27" w16cid:durableId="805003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05DD"/>
    <w:rsid w:val="00001438"/>
    <w:rsid w:val="00002465"/>
    <w:rsid w:val="00002EAD"/>
    <w:rsid w:val="00003785"/>
    <w:rsid w:val="000039F9"/>
    <w:rsid w:val="00003AE6"/>
    <w:rsid w:val="00003C32"/>
    <w:rsid w:val="00003DA6"/>
    <w:rsid w:val="00004295"/>
    <w:rsid w:val="000044F3"/>
    <w:rsid w:val="00004896"/>
    <w:rsid w:val="00005D59"/>
    <w:rsid w:val="00006293"/>
    <w:rsid w:val="000070B5"/>
    <w:rsid w:val="00007117"/>
    <w:rsid w:val="000078D0"/>
    <w:rsid w:val="000129EB"/>
    <w:rsid w:val="00013B4B"/>
    <w:rsid w:val="00013FF4"/>
    <w:rsid w:val="00014C32"/>
    <w:rsid w:val="00016181"/>
    <w:rsid w:val="00017797"/>
    <w:rsid w:val="0002022A"/>
    <w:rsid w:val="00020A32"/>
    <w:rsid w:val="00020C22"/>
    <w:rsid w:val="00022226"/>
    <w:rsid w:val="000232F3"/>
    <w:rsid w:val="000243B1"/>
    <w:rsid w:val="00025193"/>
    <w:rsid w:val="0002561B"/>
    <w:rsid w:val="00027749"/>
    <w:rsid w:val="000317B3"/>
    <w:rsid w:val="000317DC"/>
    <w:rsid w:val="00033740"/>
    <w:rsid w:val="00033765"/>
    <w:rsid w:val="0003402A"/>
    <w:rsid w:val="00035287"/>
    <w:rsid w:val="00036B86"/>
    <w:rsid w:val="00037D59"/>
    <w:rsid w:val="00040A61"/>
    <w:rsid w:val="000413C6"/>
    <w:rsid w:val="00041875"/>
    <w:rsid w:val="00042362"/>
    <w:rsid w:val="000446A4"/>
    <w:rsid w:val="0004519C"/>
    <w:rsid w:val="000452E3"/>
    <w:rsid w:val="0004663B"/>
    <w:rsid w:val="000509E8"/>
    <w:rsid w:val="00050CB1"/>
    <w:rsid w:val="00051538"/>
    <w:rsid w:val="00052231"/>
    <w:rsid w:val="00052830"/>
    <w:rsid w:val="00052958"/>
    <w:rsid w:val="000533FF"/>
    <w:rsid w:val="00053A23"/>
    <w:rsid w:val="00053C5B"/>
    <w:rsid w:val="00054599"/>
    <w:rsid w:val="00056611"/>
    <w:rsid w:val="0005675C"/>
    <w:rsid w:val="00057279"/>
    <w:rsid w:val="00057AAF"/>
    <w:rsid w:val="00057BC2"/>
    <w:rsid w:val="00061FB7"/>
    <w:rsid w:val="00067347"/>
    <w:rsid w:val="00070977"/>
    <w:rsid w:val="00071100"/>
    <w:rsid w:val="000718A0"/>
    <w:rsid w:val="000730C5"/>
    <w:rsid w:val="000753F7"/>
    <w:rsid w:val="0008085F"/>
    <w:rsid w:val="00081AA2"/>
    <w:rsid w:val="00082777"/>
    <w:rsid w:val="00083F8E"/>
    <w:rsid w:val="00084D35"/>
    <w:rsid w:val="00085B8E"/>
    <w:rsid w:val="00085BE5"/>
    <w:rsid w:val="00087A90"/>
    <w:rsid w:val="00087C8C"/>
    <w:rsid w:val="00087E18"/>
    <w:rsid w:val="00090979"/>
    <w:rsid w:val="000941D7"/>
    <w:rsid w:val="00094B61"/>
    <w:rsid w:val="0009525D"/>
    <w:rsid w:val="000975C2"/>
    <w:rsid w:val="00097823"/>
    <w:rsid w:val="00097C36"/>
    <w:rsid w:val="000A27A2"/>
    <w:rsid w:val="000A2B96"/>
    <w:rsid w:val="000A3C99"/>
    <w:rsid w:val="000A41DB"/>
    <w:rsid w:val="000A4D03"/>
    <w:rsid w:val="000A749F"/>
    <w:rsid w:val="000A758D"/>
    <w:rsid w:val="000A7B63"/>
    <w:rsid w:val="000B0AB6"/>
    <w:rsid w:val="000B3536"/>
    <w:rsid w:val="000B6D5F"/>
    <w:rsid w:val="000B7A27"/>
    <w:rsid w:val="000B7D32"/>
    <w:rsid w:val="000C125C"/>
    <w:rsid w:val="000C274E"/>
    <w:rsid w:val="000C405B"/>
    <w:rsid w:val="000C456B"/>
    <w:rsid w:val="000C51E9"/>
    <w:rsid w:val="000C5E11"/>
    <w:rsid w:val="000C6A69"/>
    <w:rsid w:val="000C6D4F"/>
    <w:rsid w:val="000C7280"/>
    <w:rsid w:val="000C7780"/>
    <w:rsid w:val="000D0B33"/>
    <w:rsid w:val="000D0CBA"/>
    <w:rsid w:val="000D23EB"/>
    <w:rsid w:val="000D37EA"/>
    <w:rsid w:val="000D5BD2"/>
    <w:rsid w:val="000D65C6"/>
    <w:rsid w:val="000D6B26"/>
    <w:rsid w:val="000E0B4B"/>
    <w:rsid w:val="000E705A"/>
    <w:rsid w:val="000F000B"/>
    <w:rsid w:val="000F117A"/>
    <w:rsid w:val="000F27CD"/>
    <w:rsid w:val="000F4A20"/>
    <w:rsid w:val="000F5B13"/>
    <w:rsid w:val="000F64D1"/>
    <w:rsid w:val="001017A9"/>
    <w:rsid w:val="00101BE8"/>
    <w:rsid w:val="00103F62"/>
    <w:rsid w:val="0010549D"/>
    <w:rsid w:val="00105F25"/>
    <w:rsid w:val="00107A0F"/>
    <w:rsid w:val="001105C1"/>
    <w:rsid w:val="00110ABF"/>
    <w:rsid w:val="00110FF9"/>
    <w:rsid w:val="00111214"/>
    <w:rsid w:val="001136AC"/>
    <w:rsid w:val="00114629"/>
    <w:rsid w:val="00114A85"/>
    <w:rsid w:val="0011686E"/>
    <w:rsid w:val="0011721B"/>
    <w:rsid w:val="00120694"/>
    <w:rsid w:val="00120C42"/>
    <w:rsid w:val="00120D4F"/>
    <w:rsid w:val="00120E39"/>
    <w:rsid w:val="00121173"/>
    <w:rsid w:val="001220B1"/>
    <w:rsid w:val="00122C29"/>
    <w:rsid w:val="001234C3"/>
    <w:rsid w:val="001265D1"/>
    <w:rsid w:val="00127A23"/>
    <w:rsid w:val="00130C87"/>
    <w:rsid w:val="00131327"/>
    <w:rsid w:val="00131733"/>
    <w:rsid w:val="00131C68"/>
    <w:rsid w:val="00133563"/>
    <w:rsid w:val="00134885"/>
    <w:rsid w:val="00134B2A"/>
    <w:rsid w:val="00137147"/>
    <w:rsid w:val="00141459"/>
    <w:rsid w:val="0014242C"/>
    <w:rsid w:val="00142563"/>
    <w:rsid w:val="0014372C"/>
    <w:rsid w:val="001440D5"/>
    <w:rsid w:val="00144978"/>
    <w:rsid w:val="001458EB"/>
    <w:rsid w:val="00151F7E"/>
    <w:rsid w:val="0015336A"/>
    <w:rsid w:val="0015381F"/>
    <w:rsid w:val="0015477F"/>
    <w:rsid w:val="001548F1"/>
    <w:rsid w:val="0015656D"/>
    <w:rsid w:val="00157DCC"/>
    <w:rsid w:val="001616F7"/>
    <w:rsid w:val="0016191D"/>
    <w:rsid w:val="00163417"/>
    <w:rsid w:val="001638E8"/>
    <w:rsid w:val="00164873"/>
    <w:rsid w:val="00164BE7"/>
    <w:rsid w:val="0016604B"/>
    <w:rsid w:val="00167AAF"/>
    <w:rsid w:val="00171005"/>
    <w:rsid w:val="001711BE"/>
    <w:rsid w:val="00172FE1"/>
    <w:rsid w:val="0017329D"/>
    <w:rsid w:val="00173938"/>
    <w:rsid w:val="00173EE2"/>
    <w:rsid w:val="00176D25"/>
    <w:rsid w:val="00177851"/>
    <w:rsid w:val="00177B0E"/>
    <w:rsid w:val="00177C5E"/>
    <w:rsid w:val="0018051E"/>
    <w:rsid w:val="0018060B"/>
    <w:rsid w:val="001834A7"/>
    <w:rsid w:val="001879ED"/>
    <w:rsid w:val="001927C4"/>
    <w:rsid w:val="0019317C"/>
    <w:rsid w:val="00194713"/>
    <w:rsid w:val="00194B05"/>
    <w:rsid w:val="00195B08"/>
    <w:rsid w:val="001A00EB"/>
    <w:rsid w:val="001A0345"/>
    <w:rsid w:val="001A15ED"/>
    <w:rsid w:val="001A247A"/>
    <w:rsid w:val="001A5A1E"/>
    <w:rsid w:val="001A70BF"/>
    <w:rsid w:val="001A7C7E"/>
    <w:rsid w:val="001B09B5"/>
    <w:rsid w:val="001B4753"/>
    <w:rsid w:val="001B4F7E"/>
    <w:rsid w:val="001B5F1C"/>
    <w:rsid w:val="001B7C72"/>
    <w:rsid w:val="001C1103"/>
    <w:rsid w:val="001C113A"/>
    <w:rsid w:val="001C1BDD"/>
    <w:rsid w:val="001C2739"/>
    <w:rsid w:val="001C3858"/>
    <w:rsid w:val="001C538F"/>
    <w:rsid w:val="001C61B5"/>
    <w:rsid w:val="001D0100"/>
    <w:rsid w:val="001D133B"/>
    <w:rsid w:val="001D168B"/>
    <w:rsid w:val="001D2765"/>
    <w:rsid w:val="001D3F5D"/>
    <w:rsid w:val="001D3FAB"/>
    <w:rsid w:val="001D4A6A"/>
    <w:rsid w:val="001D540C"/>
    <w:rsid w:val="001D6AC2"/>
    <w:rsid w:val="001D7B48"/>
    <w:rsid w:val="001E0932"/>
    <w:rsid w:val="001E09F8"/>
    <w:rsid w:val="001E2154"/>
    <w:rsid w:val="001E2216"/>
    <w:rsid w:val="001E24D6"/>
    <w:rsid w:val="001E4C27"/>
    <w:rsid w:val="001E56F0"/>
    <w:rsid w:val="001F0A8A"/>
    <w:rsid w:val="001F0ADB"/>
    <w:rsid w:val="001F0D12"/>
    <w:rsid w:val="001F2627"/>
    <w:rsid w:val="001F2BE7"/>
    <w:rsid w:val="001F35A9"/>
    <w:rsid w:val="001F35AF"/>
    <w:rsid w:val="001F3935"/>
    <w:rsid w:val="001F48E4"/>
    <w:rsid w:val="001F7E2E"/>
    <w:rsid w:val="00200551"/>
    <w:rsid w:val="00200814"/>
    <w:rsid w:val="00202155"/>
    <w:rsid w:val="00203055"/>
    <w:rsid w:val="00204361"/>
    <w:rsid w:val="00204635"/>
    <w:rsid w:val="00204B1A"/>
    <w:rsid w:val="00207342"/>
    <w:rsid w:val="002077F4"/>
    <w:rsid w:val="00207DF7"/>
    <w:rsid w:val="00210C54"/>
    <w:rsid w:val="00210D2E"/>
    <w:rsid w:val="00210F48"/>
    <w:rsid w:val="00211137"/>
    <w:rsid w:val="002114AF"/>
    <w:rsid w:val="002133D8"/>
    <w:rsid w:val="00220E0D"/>
    <w:rsid w:val="00221BB2"/>
    <w:rsid w:val="00223E29"/>
    <w:rsid w:val="00224B2D"/>
    <w:rsid w:val="00225FB2"/>
    <w:rsid w:val="00230F6C"/>
    <w:rsid w:val="00231244"/>
    <w:rsid w:val="002319D0"/>
    <w:rsid w:val="00232527"/>
    <w:rsid w:val="002344CF"/>
    <w:rsid w:val="00234614"/>
    <w:rsid w:val="00235C5F"/>
    <w:rsid w:val="002405DC"/>
    <w:rsid w:val="0024308F"/>
    <w:rsid w:val="0024520B"/>
    <w:rsid w:val="0024541E"/>
    <w:rsid w:val="00246FBF"/>
    <w:rsid w:val="00247E9E"/>
    <w:rsid w:val="00251D29"/>
    <w:rsid w:val="0025293D"/>
    <w:rsid w:val="00254AF9"/>
    <w:rsid w:val="00256556"/>
    <w:rsid w:val="00262E6F"/>
    <w:rsid w:val="00263AD5"/>
    <w:rsid w:val="00264030"/>
    <w:rsid w:val="00264638"/>
    <w:rsid w:val="00265836"/>
    <w:rsid w:val="00265B3C"/>
    <w:rsid w:val="00266DB9"/>
    <w:rsid w:val="002703D4"/>
    <w:rsid w:val="00270414"/>
    <w:rsid w:val="00271BFD"/>
    <w:rsid w:val="00272F0F"/>
    <w:rsid w:val="00274318"/>
    <w:rsid w:val="00274D04"/>
    <w:rsid w:val="00275321"/>
    <w:rsid w:val="002758D7"/>
    <w:rsid w:val="002819AD"/>
    <w:rsid w:val="00281C6E"/>
    <w:rsid w:val="00282187"/>
    <w:rsid w:val="002832AF"/>
    <w:rsid w:val="00283FB5"/>
    <w:rsid w:val="00284093"/>
    <w:rsid w:val="00285AC2"/>
    <w:rsid w:val="00286F10"/>
    <w:rsid w:val="002871C8"/>
    <w:rsid w:val="002905AA"/>
    <w:rsid w:val="002918B8"/>
    <w:rsid w:val="00291ED5"/>
    <w:rsid w:val="0029374A"/>
    <w:rsid w:val="00293D51"/>
    <w:rsid w:val="00294082"/>
    <w:rsid w:val="00294821"/>
    <w:rsid w:val="00294E4B"/>
    <w:rsid w:val="00296513"/>
    <w:rsid w:val="002965B9"/>
    <w:rsid w:val="002A0B15"/>
    <w:rsid w:val="002A0E95"/>
    <w:rsid w:val="002A1E5E"/>
    <w:rsid w:val="002A2BCE"/>
    <w:rsid w:val="002A5AD6"/>
    <w:rsid w:val="002A6DCA"/>
    <w:rsid w:val="002A7812"/>
    <w:rsid w:val="002A7C62"/>
    <w:rsid w:val="002B0FE0"/>
    <w:rsid w:val="002B1485"/>
    <w:rsid w:val="002B148B"/>
    <w:rsid w:val="002B1975"/>
    <w:rsid w:val="002B42A0"/>
    <w:rsid w:val="002B4A66"/>
    <w:rsid w:val="002B5B21"/>
    <w:rsid w:val="002B701B"/>
    <w:rsid w:val="002B753E"/>
    <w:rsid w:val="002C0F41"/>
    <w:rsid w:val="002C12B5"/>
    <w:rsid w:val="002C301D"/>
    <w:rsid w:val="002C356F"/>
    <w:rsid w:val="002C3611"/>
    <w:rsid w:val="002C361F"/>
    <w:rsid w:val="002C4175"/>
    <w:rsid w:val="002C43FD"/>
    <w:rsid w:val="002C4AEA"/>
    <w:rsid w:val="002C6B22"/>
    <w:rsid w:val="002D11F7"/>
    <w:rsid w:val="002D1249"/>
    <w:rsid w:val="002D1E1A"/>
    <w:rsid w:val="002D2561"/>
    <w:rsid w:val="002D2B8B"/>
    <w:rsid w:val="002D4102"/>
    <w:rsid w:val="002D4461"/>
    <w:rsid w:val="002D463A"/>
    <w:rsid w:val="002D46E8"/>
    <w:rsid w:val="002D4AC4"/>
    <w:rsid w:val="002D4C8C"/>
    <w:rsid w:val="002D4EE3"/>
    <w:rsid w:val="002D615B"/>
    <w:rsid w:val="002D64D4"/>
    <w:rsid w:val="002E036A"/>
    <w:rsid w:val="002E1124"/>
    <w:rsid w:val="002E39D3"/>
    <w:rsid w:val="002E6429"/>
    <w:rsid w:val="002E676F"/>
    <w:rsid w:val="002E7977"/>
    <w:rsid w:val="002F11B5"/>
    <w:rsid w:val="002F2248"/>
    <w:rsid w:val="002F42B6"/>
    <w:rsid w:val="002F45C0"/>
    <w:rsid w:val="002F555A"/>
    <w:rsid w:val="002F7322"/>
    <w:rsid w:val="002F78E4"/>
    <w:rsid w:val="002F7B2E"/>
    <w:rsid w:val="002F7DB8"/>
    <w:rsid w:val="00300325"/>
    <w:rsid w:val="003005F1"/>
    <w:rsid w:val="00302FF3"/>
    <w:rsid w:val="00303151"/>
    <w:rsid w:val="00304758"/>
    <w:rsid w:val="003051D3"/>
    <w:rsid w:val="00305EDC"/>
    <w:rsid w:val="003063E5"/>
    <w:rsid w:val="00306A43"/>
    <w:rsid w:val="00306CF0"/>
    <w:rsid w:val="00307579"/>
    <w:rsid w:val="00310FF5"/>
    <w:rsid w:val="00312EA3"/>
    <w:rsid w:val="00312EAF"/>
    <w:rsid w:val="00315428"/>
    <w:rsid w:val="003162BB"/>
    <w:rsid w:val="00321E9F"/>
    <w:rsid w:val="00321F64"/>
    <w:rsid w:val="00322355"/>
    <w:rsid w:val="00322E8C"/>
    <w:rsid w:val="0032384C"/>
    <w:rsid w:val="003300E0"/>
    <w:rsid w:val="00331D71"/>
    <w:rsid w:val="003329F9"/>
    <w:rsid w:val="00333AA9"/>
    <w:rsid w:val="003340AE"/>
    <w:rsid w:val="00334240"/>
    <w:rsid w:val="00334E75"/>
    <w:rsid w:val="00336019"/>
    <w:rsid w:val="003361B2"/>
    <w:rsid w:val="00336755"/>
    <w:rsid w:val="0033695B"/>
    <w:rsid w:val="00340197"/>
    <w:rsid w:val="00341315"/>
    <w:rsid w:val="0034200B"/>
    <w:rsid w:val="00342214"/>
    <w:rsid w:val="00342AF7"/>
    <w:rsid w:val="00342C60"/>
    <w:rsid w:val="0034485C"/>
    <w:rsid w:val="00344E32"/>
    <w:rsid w:val="00345F27"/>
    <w:rsid w:val="00346068"/>
    <w:rsid w:val="003469B4"/>
    <w:rsid w:val="003473D0"/>
    <w:rsid w:val="003544B5"/>
    <w:rsid w:val="00355C86"/>
    <w:rsid w:val="0035666B"/>
    <w:rsid w:val="003579BF"/>
    <w:rsid w:val="00357A5B"/>
    <w:rsid w:val="00360E49"/>
    <w:rsid w:val="00362091"/>
    <w:rsid w:val="0036484B"/>
    <w:rsid w:val="00364D6A"/>
    <w:rsid w:val="00365D46"/>
    <w:rsid w:val="00367197"/>
    <w:rsid w:val="003677DF"/>
    <w:rsid w:val="00370600"/>
    <w:rsid w:val="00370DA3"/>
    <w:rsid w:val="00371DC5"/>
    <w:rsid w:val="00371E77"/>
    <w:rsid w:val="0037531D"/>
    <w:rsid w:val="00376889"/>
    <w:rsid w:val="00377541"/>
    <w:rsid w:val="003808C3"/>
    <w:rsid w:val="00380AC7"/>
    <w:rsid w:val="00382C53"/>
    <w:rsid w:val="00382C7D"/>
    <w:rsid w:val="003848E7"/>
    <w:rsid w:val="003877E8"/>
    <w:rsid w:val="00390B2F"/>
    <w:rsid w:val="0039272B"/>
    <w:rsid w:val="00392CCF"/>
    <w:rsid w:val="0039300C"/>
    <w:rsid w:val="003946BC"/>
    <w:rsid w:val="00394F19"/>
    <w:rsid w:val="00395B98"/>
    <w:rsid w:val="003974A5"/>
    <w:rsid w:val="003A08A6"/>
    <w:rsid w:val="003A2386"/>
    <w:rsid w:val="003A257D"/>
    <w:rsid w:val="003A5FE3"/>
    <w:rsid w:val="003A6026"/>
    <w:rsid w:val="003B00DF"/>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4CAB"/>
    <w:rsid w:val="003C5CCC"/>
    <w:rsid w:val="003D180B"/>
    <w:rsid w:val="003D1814"/>
    <w:rsid w:val="003D1F47"/>
    <w:rsid w:val="003D2209"/>
    <w:rsid w:val="003D38E8"/>
    <w:rsid w:val="003D3E7E"/>
    <w:rsid w:val="003D528F"/>
    <w:rsid w:val="003D5F16"/>
    <w:rsid w:val="003D6189"/>
    <w:rsid w:val="003E080F"/>
    <w:rsid w:val="003E1F84"/>
    <w:rsid w:val="003E30EF"/>
    <w:rsid w:val="003E38B5"/>
    <w:rsid w:val="003E5225"/>
    <w:rsid w:val="003E5554"/>
    <w:rsid w:val="003E75D0"/>
    <w:rsid w:val="003E78E2"/>
    <w:rsid w:val="003F22FF"/>
    <w:rsid w:val="003F34B5"/>
    <w:rsid w:val="003F4C6F"/>
    <w:rsid w:val="003F4F7B"/>
    <w:rsid w:val="003F5CAD"/>
    <w:rsid w:val="003F63CC"/>
    <w:rsid w:val="003F7411"/>
    <w:rsid w:val="004004D4"/>
    <w:rsid w:val="00402261"/>
    <w:rsid w:val="004068C9"/>
    <w:rsid w:val="00407140"/>
    <w:rsid w:val="004072A7"/>
    <w:rsid w:val="004106FA"/>
    <w:rsid w:val="00412A1A"/>
    <w:rsid w:val="00412AF7"/>
    <w:rsid w:val="00412B55"/>
    <w:rsid w:val="00413B21"/>
    <w:rsid w:val="00413DD0"/>
    <w:rsid w:val="004142DC"/>
    <w:rsid w:val="00414FD1"/>
    <w:rsid w:val="00415253"/>
    <w:rsid w:val="004156F2"/>
    <w:rsid w:val="00416403"/>
    <w:rsid w:val="00416E76"/>
    <w:rsid w:val="00421C31"/>
    <w:rsid w:val="004223FF"/>
    <w:rsid w:val="00425C80"/>
    <w:rsid w:val="0042660A"/>
    <w:rsid w:val="0042738E"/>
    <w:rsid w:val="00430B66"/>
    <w:rsid w:val="004316AB"/>
    <w:rsid w:val="004326A0"/>
    <w:rsid w:val="0043298E"/>
    <w:rsid w:val="0043302D"/>
    <w:rsid w:val="00433757"/>
    <w:rsid w:val="00434377"/>
    <w:rsid w:val="0043479C"/>
    <w:rsid w:val="00434D63"/>
    <w:rsid w:val="00435583"/>
    <w:rsid w:val="004357CA"/>
    <w:rsid w:val="0043705C"/>
    <w:rsid w:val="00440A1B"/>
    <w:rsid w:val="00442D4F"/>
    <w:rsid w:val="00442EB7"/>
    <w:rsid w:val="004463FB"/>
    <w:rsid w:val="00446641"/>
    <w:rsid w:val="00447398"/>
    <w:rsid w:val="0045049F"/>
    <w:rsid w:val="004506BC"/>
    <w:rsid w:val="00450815"/>
    <w:rsid w:val="00450DBF"/>
    <w:rsid w:val="00451AEC"/>
    <w:rsid w:val="00452F62"/>
    <w:rsid w:val="004536C7"/>
    <w:rsid w:val="004543B6"/>
    <w:rsid w:val="00454F37"/>
    <w:rsid w:val="00457D21"/>
    <w:rsid w:val="0046063C"/>
    <w:rsid w:val="00462A82"/>
    <w:rsid w:val="00462AB9"/>
    <w:rsid w:val="00463888"/>
    <w:rsid w:val="00465B07"/>
    <w:rsid w:val="00467F29"/>
    <w:rsid w:val="0047268D"/>
    <w:rsid w:val="00472EB9"/>
    <w:rsid w:val="00473653"/>
    <w:rsid w:val="0047462D"/>
    <w:rsid w:val="00474CC2"/>
    <w:rsid w:val="00474FB3"/>
    <w:rsid w:val="0047581C"/>
    <w:rsid w:val="0047614F"/>
    <w:rsid w:val="004771B0"/>
    <w:rsid w:val="00477E10"/>
    <w:rsid w:val="004828E8"/>
    <w:rsid w:val="00483D41"/>
    <w:rsid w:val="004857E9"/>
    <w:rsid w:val="00490AE5"/>
    <w:rsid w:val="00490C3F"/>
    <w:rsid w:val="00491CFA"/>
    <w:rsid w:val="00492D14"/>
    <w:rsid w:val="0049440E"/>
    <w:rsid w:val="00494659"/>
    <w:rsid w:val="0049466F"/>
    <w:rsid w:val="00494D4E"/>
    <w:rsid w:val="00495104"/>
    <w:rsid w:val="0049550A"/>
    <w:rsid w:val="00496783"/>
    <w:rsid w:val="00497B83"/>
    <w:rsid w:val="00497DD2"/>
    <w:rsid w:val="004A1290"/>
    <w:rsid w:val="004A3830"/>
    <w:rsid w:val="004A4216"/>
    <w:rsid w:val="004A4CD4"/>
    <w:rsid w:val="004A5377"/>
    <w:rsid w:val="004A5782"/>
    <w:rsid w:val="004A5F99"/>
    <w:rsid w:val="004B103F"/>
    <w:rsid w:val="004B1E90"/>
    <w:rsid w:val="004B2733"/>
    <w:rsid w:val="004B29F4"/>
    <w:rsid w:val="004B2FBB"/>
    <w:rsid w:val="004B301A"/>
    <w:rsid w:val="004B47CC"/>
    <w:rsid w:val="004B512E"/>
    <w:rsid w:val="004B6035"/>
    <w:rsid w:val="004B718C"/>
    <w:rsid w:val="004C1F8E"/>
    <w:rsid w:val="004C202D"/>
    <w:rsid w:val="004C35E1"/>
    <w:rsid w:val="004C50E5"/>
    <w:rsid w:val="004C5E85"/>
    <w:rsid w:val="004C7C2F"/>
    <w:rsid w:val="004D123D"/>
    <w:rsid w:val="004D1676"/>
    <w:rsid w:val="004D2C78"/>
    <w:rsid w:val="004D31C2"/>
    <w:rsid w:val="004D3575"/>
    <w:rsid w:val="004D4362"/>
    <w:rsid w:val="004D72A4"/>
    <w:rsid w:val="004D7925"/>
    <w:rsid w:val="004D7A92"/>
    <w:rsid w:val="004E06A1"/>
    <w:rsid w:val="004E0771"/>
    <w:rsid w:val="004E1C4E"/>
    <w:rsid w:val="004E54AC"/>
    <w:rsid w:val="004E6A6D"/>
    <w:rsid w:val="004E6E26"/>
    <w:rsid w:val="004F217D"/>
    <w:rsid w:val="004F34A4"/>
    <w:rsid w:val="004F3574"/>
    <w:rsid w:val="004F417C"/>
    <w:rsid w:val="004F4419"/>
    <w:rsid w:val="004F4D57"/>
    <w:rsid w:val="004F5553"/>
    <w:rsid w:val="004F5945"/>
    <w:rsid w:val="004F5D3B"/>
    <w:rsid w:val="004F6555"/>
    <w:rsid w:val="004F6F71"/>
    <w:rsid w:val="00500593"/>
    <w:rsid w:val="00500CDC"/>
    <w:rsid w:val="00503750"/>
    <w:rsid w:val="0050544E"/>
    <w:rsid w:val="0050578D"/>
    <w:rsid w:val="00505B70"/>
    <w:rsid w:val="0050723B"/>
    <w:rsid w:val="00507830"/>
    <w:rsid w:val="00510B62"/>
    <w:rsid w:val="0051168B"/>
    <w:rsid w:val="005173A2"/>
    <w:rsid w:val="00517434"/>
    <w:rsid w:val="00517701"/>
    <w:rsid w:val="00517DC8"/>
    <w:rsid w:val="00517DEB"/>
    <w:rsid w:val="0052016E"/>
    <w:rsid w:val="005203A7"/>
    <w:rsid w:val="0052119E"/>
    <w:rsid w:val="0052351A"/>
    <w:rsid w:val="00523ACE"/>
    <w:rsid w:val="005270A8"/>
    <w:rsid w:val="0053266D"/>
    <w:rsid w:val="00532C36"/>
    <w:rsid w:val="00534893"/>
    <w:rsid w:val="00534BA0"/>
    <w:rsid w:val="0053605C"/>
    <w:rsid w:val="00541594"/>
    <w:rsid w:val="00543247"/>
    <w:rsid w:val="00543C00"/>
    <w:rsid w:val="0054552C"/>
    <w:rsid w:val="00545F15"/>
    <w:rsid w:val="0054773B"/>
    <w:rsid w:val="005504C5"/>
    <w:rsid w:val="00551237"/>
    <w:rsid w:val="005543DF"/>
    <w:rsid w:val="005547DD"/>
    <w:rsid w:val="005547E4"/>
    <w:rsid w:val="005559DF"/>
    <w:rsid w:val="005567B0"/>
    <w:rsid w:val="00560219"/>
    <w:rsid w:val="005607A3"/>
    <w:rsid w:val="00560B08"/>
    <w:rsid w:val="00560E56"/>
    <w:rsid w:val="00561685"/>
    <w:rsid w:val="005627DC"/>
    <w:rsid w:val="005629A3"/>
    <w:rsid w:val="00565169"/>
    <w:rsid w:val="00570E7F"/>
    <w:rsid w:val="00571907"/>
    <w:rsid w:val="00571ADF"/>
    <w:rsid w:val="00577511"/>
    <w:rsid w:val="005779C9"/>
    <w:rsid w:val="0058213E"/>
    <w:rsid w:val="0058553A"/>
    <w:rsid w:val="00586056"/>
    <w:rsid w:val="005867AF"/>
    <w:rsid w:val="005925DA"/>
    <w:rsid w:val="00593983"/>
    <w:rsid w:val="00595013"/>
    <w:rsid w:val="005A0902"/>
    <w:rsid w:val="005A23C2"/>
    <w:rsid w:val="005A286D"/>
    <w:rsid w:val="005A2DF7"/>
    <w:rsid w:val="005A444D"/>
    <w:rsid w:val="005A4683"/>
    <w:rsid w:val="005A5D24"/>
    <w:rsid w:val="005A6425"/>
    <w:rsid w:val="005A6ED5"/>
    <w:rsid w:val="005A76A2"/>
    <w:rsid w:val="005A791C"/>
    <w:rsid w:val="005A7D17"/>
    <w:rsid w:val="005A7F2E"/>
    <w:rsid w:val="005B1700"/>
    <w:rsid w:val="005B50AA"/>
    <w:rsid w:val="005B5483"/>
    <w:rsid w:val="005C0414"/>
    <w:rsid w:val="005C1C20"/>
    <w:rsid w:val="005C241E"/>
    <w:rsid w:val="005C3693"/>
    <w:rsid w:val="005C4AC6"/>
    <w:rsid w:val="005C4CB3"/>
    <w:rsid w:val="005C5721"/>
    <w:rsid w:val="005C59BB"/>
    <w:rsid w:val="005C5B43"/>
    <w:rsid w:val="005C7099"/>
    <w:rsid w:val="005D2870"/>
    <w:rsid w:val="005D3326"/>
    <w:rsid w:val="005D367A"/>
    <w:rsid w:val="005D3E23"/>
    <w:rsid w:val="005D45EE"/>
    <w:rsid w:val="005D4EE4"/>
    <w:rsid w:val="005D693D"/>
    <w:rsid w:val="005D6AEF"/>
    <w:rsid w:val="005D6CB1"/>
    <w:rsid w:val="005D6D84"/>
    <w:rsid w:val="005D780E"/>
    <w:rsid w:val="005E13BB"/>
    <w:rsid w:val="005E1B6F"/>
    <w:rsid w:val="005E2297"/>
    <w:rsid w:val="005E3FC8"/>
    <w:rsid w:val="005E43DB"/>
    <w:rsid w:val="005E7B59"/>
    <w:rsid w:val="005F08D2"/>
    <w:rsid w:val="005F23FF"/>
    <w:rsid w:val="005F2ED7"/>
    <w:rsid w:val="005F3D30"/>
    <w:rsid w:val="005F4384"/>
    <w:rsid w:val="005F5354"/>
    <w:rsid w:val="005F5536"/>
    <w:rsid w:val="005F62DB"/>
    <w:rsid w:val="005F6D85"/>
    <w:rsid w:val="005F75BF"/>
    <w:rsid w:val="005F7E0E"/>
    <w:rsid w:val="00601129"/>
    <w:rsid w:val="0060589F"/>
    <w:rsid w:val="00607EF3"/>
    <w:rsid w:val="006117A5"/>
    <w:rsid w:val="006131E0"/>
    <w:rsid w:val="00613F1D"/>
    <w:rsid w:val="00614328"/>
    <w:rsid w:val="006159F2"/>
    <w:rsid w:val="00616E23"/>
    <w:rsid w:val="00617363"/>
    <w:rsid w:val="0061789B"/>
    <w:rsid w:val="00621D41"/>
    <w:rsid w:val="00622F44"/>
    <w:rsid w:val="006243F0"/>
    <w:rsid w:val="00626540"/>
    <w:rsid w:val="00626719"/>
    <w:rsid w:val="00627084"/>
    <w:rsid w:val="00627B95"/>
    <w:rsid w:val="00630155"/>
    <w:rsid w:val="00630621"/>
    <w:rsid w:val="00630970"/>
    <w:rsid w:val="00630CA5"/>
    <w:rsid w:val="006336E6"/>
    <w:rsid w:val="00635E59"/>
    <w:rsid w:val="00637FEA"/>
    <w:rsid w:val="006432B3"/>
    <w:rsid w:val="00643F00"/>
    <w:rsid w:val="006454F5"/>
    <w:rsid w:val="00645805"/>
    <w:rsid w:val="00645C94"/>
    <w:rsid w:val="006468C3"/>
    <w:rsid w:val="00647AF3"/>
    <w:rsid w:val="006517EA"/>
    <w:rsid w:val="00651CC7"/>
    <w:rsid w:val="0065203B"/>
    <w:rsid w:val="006545FC"/>
    <w:rsid w:val="006548CB"/>
    <w:rsid w:val="00655C70"/>
    <w:rsid w:val="006566B6"/>
    <w:rsid w:val="00657330"/>
    <w:rsid w:val="00657C5B"/>
    <w:rsid w:val="00660244"/>
    <w:rsid w:val="00661742"/>
    <w:rsid w:val="00662060"/>
    <w:rsid w:val="00662FFE"/>
    <w:rsid w:val="00663E74"/>
    <w:rsid w:val="00664404"/>
    <w:rsid w:val="00665F3A"/>
    <w:rsid w:val="0066F1AB"/>
    <w:rsid w:val="006719B2"/>
    <w:rsid w:val="0067317E"/>
    <w:rsid w:val="00674102"/>
    <w:rsid w:val="00674E5E"/>
    <w:rsid w:val="0067507C"/>
    <w:rsid w:val="0067540D"/>
    <w:rsid w:val="00675DE2"/>
    <w:rsid w:val="006773D3"/>
    <w:rsid w:val="00680704"/>
    <w:rsid w:val="00682E97"/>
    <w:rsid w:val="006843E1"/>
    <w:rsid w:val="00685BD7"/>
    <w:rsid w:val="006862BB"/>
    <w:rsid w:val="00686DC2"/>
    <w:rsid w:val="00687316"/>
    <w:rsid w:val="0069115E"/>
    <w:rsid w:val="00691A9C"/>
    <w:rsid w:val="00692A73"/>
    <w:rsid w:val="006956B7"/>
    <w:rsid w:val="00696A33"/>
    <w:rsid w:val="00696F9A"/>
    <w:rsid w:val="006971F2"/>
    <w:rsid w:val="006A02FD"/>
    <w:rsid w:val="006A0805"/>
    <w:rsid w:val="006A205A"/>
    <w:rsid w:val="006A241E"/>
    <w:rsid w:val="006A3412"/>
    <w:rsid w:val="006A3A89"/>
    <w:rsid w:val="006A3E27"/>
    <w:rsid w:val="006A6D7F"/>
    <w:rsid w:val="006A7199"/>
    <w:rsid w:val="006A745D"/>
    <w:rsid w:val="006B0B83"/>
    <w:rsid w:val="006B1281"/>
    <w:rsid w:val="006B1812"/>
    <w:rsid w:val="006B28B1"/>
    <w:rsid w:val="006B303F"/>
    <w:rsid w:val="006B507C"/>
    <w:rsid w:val="006B51AC"/>
    <w:rsid w:val="006B5272"/>
    <w:rsid w:val="006B5FE1"/>
    <w:rsid w:val="006B6D8F"/>
    <w:rsid w:val="006B7813"/>
    <w:rsid w:val="006B7A84"/>
    <w:rsid w:val="006C13AA"/>
    <w:rsid w:val="006C28EB"/>
    <w:rsid w:val="006C520E"/>
    <w:rsid w:val="006C68D2"/>
    <w:rsid w:val="006C7210"/>
    <w:rsid w:val="006D0A2A"/>
    <w:rsid w:val="006D2A3C"/>
    <w:rsid w:val="006D4222"/>
    <w:rsid w:val="006D68B1"/>
    <w:rsid w:val="006E1AC3"/>
    <w:rsid w:val="006E3113"/>
    <w:rsid w:val="006E3A81"/>
    <w:rsid w:val="006E5BA2"/>
    <w:rsid w:val="006E5C9E"/>
    <w:rsid w:val="006E76C0"/>
    <w:rsid w:val="006E7AD4"/>
    <w:rsid w:val="006E7BDB"/>
    <w:rsid w:val="006E7D98"/>
    <w:rsid w:val="006F2F4A"/>
    <w:rsid w:val="006F4A51"/>
    <w:rsid w:val="006F4FAF"/>
    <w:rsid w:val="0070028D"/>
    <w:rsid w:val="007034BC"/>
    <w:rsid w:val="00704368"/>
    <w:rsid w:val="00704858"/>
    <w:rsid w:val="00704AC1"/>
    <w:rsid w:val="00705210"/>
    <w:rsid w:val="00705286"/>
    <w:rsid w:val="00705909"/>
    <w:rsid w:val="007101CA"/>
    <w:rsid w:val="0071217F"/>
    <w:rsid w:val="00712FB1"/>
    <w:rsid w:val="00714270"/>
    <w:rsid w:val="00714986"/>
    <w:rsid w:val="00715753"/>
    <w:rsid w:val="007164CC"/>
    <w:rsid w:val="0071721C"/>
    <w:rsid w:val="00717EB3"/>
    <w:rsid w:val="00721FF8"/>
    <w:rsid w:val="00722CBB"/>
    <w:rsid w:val="00722D94"/>
    <w:rsid w:val="00723518"/>
    <w:rsid w:val="007236C8"/>
    <w:rsid w:val="00726ADE"/>
    <w:rsid w:val="00727212"/>
    <w:rsid w:val="00730521"/>
    <w:rsid w:val="007321BF"/>
    <w:rsid w:val="0073351A"/>
    <w:rsid w:val="007343D0"/>
    <w:rsid w:val="007353C3"/>
    <w:rsid w:val="0073565F"/>
    <w:rsid w:val="007365C0"/>
    <w:rsid w:val="00736665"/>
    <w:rsid w:val="00736C19"/>
    <w:rsid w:val="00737BF6"/>
    <w:rsid w:val="007403F5"/>
    <w:rsid w:val="00740809"/>
    <w:rsid w:val="007424E7"/>
    <w:rsid w:val="00742DEB"/>
    <w:rsid w:val="0074335B"/>
    <w:rsid w:val="007439ED"/>
    <w:rsid w:val="007461A8"/>
    <w:rsid w:val="00750AB7"/>
    <w:rsid w:val="00754A39"/>
    <w:rsid w:val="00755421"/>
    <w:rsid w:val="007632B5"/>
    <w:rsid w:val="00763EA2"/>
    <w:rsid w:val="007647A0"/>
    <w:rsid w:val="007665E1"/>
    <w:rsid w:val="00766C37"/>
    <w:rsid w:val="00770083"/>
    <w:rsid w:val="0077251C"/>
    <w:rsid w:val="0077403F"/>
    <w:rsid w:val="00774FCC"/>
    <w:rsid w:val="0077602E"/>
    <w:rsid w:val="00776893"/>
    <w:rsid w:val="00776C24"/>
    <w:rsid w:val="00776D72"/>
    <w:rsid w:val="00780AE1"/>
    <w:rsid w:val="00781B21"/>
    <w:rsid w:val="00782320"/>
    <w:rsid w:val="00782880"/>
    <w:rsid w:val="00783699"/>
    <w:rsid w:val="00783EFC"/>
    <w:rsid w:val="00786BAC"/>
    <w:rsid w:val="00791C1D"/>
    <w:rsid w:val="00791C4E"/>
    <w:rsid w:val="00792A61"/>
    <w:rsid w:val="00793003"/>
    <w:rsid w:val="0079346A"/>
    <w:rsid w:val="00794769"/>
    <w:rsid w:val="00794869"/>
    <w:rsid w:val="00796016"/>
    <w:rsid w:val="0079744B"/>
    <w:rsid w:val="007A03AD"/>
    <w:rsid w:val="007A1357"/>
    <w:rsid w:val="007A367B"/>
    <w:rsid w:val="007A374E"/>
    <w:rsid w:val="007A66B7"/>
    <w:rsid w:val="007B1204"/>
    <w:rsid w:val="007C0BA1"/>
    <w:rsid w:val="007C4758"/>
    <w:rsid w:val="007C5F81"/>
    <w:rsid w:val="007C62BC"/>
    <w:rsid w:val="007C6543"/>
    <w:rsid w:val="007C7E37"/>
    <w:rsid w:val="007D271C"/>
    <w:rsid w:val="007D3747"/>
    <w:rsid w:val="007D44D5"/>
    <w:rsid w:val="007D659B"/>
    <w:rsid w:val="007D73EA"/>
    <w:rsid w:val="007D7F3E"/>
    <w:rsid w:val="007E0A14"/>
    <w:rsid w:val="007E0D4D"/>
    <w:rsid w:val="007E1D94"/>
    <w:rsid w:val="007E37F8"/>
    <w:rsid w:val="007E50C8"/>
    <w:rsid w:val="007E5DDA"/>
    <w:rsid w:val="007E5EA2"/>
    <w:rsid w:val="007E7C4D"/>
    <w:rsid w:val="007F243A"/>
    <w:rsid w:val="007F6230"/>
    <w:rsid w:val="007F69CB"/>
    <w:rsid w:val="007F7258"/>
    <w:rsid w:val="00801702"/>
    <w:rsid w:val="008021DE"/>
    <w:rsid w:val="00802D3F"/>
    <w:rsid w:val="008040AE"/>
    <w:rsid w:val="0080652A"/>
    <w:rsid w:val="0080662A"/>
    <w:rsid w:val="00806FD8"/>
    <w:rsid w:val="0081018E"/>
    <w:rsid w:val="008103CF"/>
    <w:rsid w:val="00812CB9"/>
    <w:rsid w:val="00812E23"/>
    <w:rsid w:val="00813CDF"/>
    <w:rsid w:val="008154E2"/>
    <w:rsid w:val="00816E9B"/>
    <w:rsid w:val="00817AC8"/>
    <w:rsid w:val="0082109D"/>
    <w:rsid w:val="00821320"/>
    <w:rsid w:val="008213C0"/>
    <w:rsid w:val="00821FC0"/>
    <w:rsid w:val="00822506"/>
    <w:rsid w:val="008237D9"/>
    <w:rsid w:val="00823B0A"/>
    <w:rsid w:val="00826FCA"/>
    <w:rsid w:val="008333CE"/>
    <w:rsid w:val="008335F9"/>
    <w:rsid w:val="00833694"/>
    <w:rsid w:val="008344B0"/>
    <w:rsid w:val="00836F6F"/>
    <w:rsid w:val="00837783"/>
    <w:rsid w:val="00841547"/>
    <w:rsid w:val="008436AA"/>
    <w:rsid w:val="0084397D"/>
    <w:rsid w:val="00845384"/>
    <w:rsid w:val="00850977"/>
    <w:rsid w:val="00850A52"/>
    <w:rsid w:val="00851BF2"/>
    <w:rsid w:val="008542D4"/>
    <w:rsid w:val="00855C87"/>
    <w:rsid w:val="0085677E"/>
    <w:rsid w:val="00857459"/>
    <w:rsid w:val="00863252"/>
    <w:rsid w:val="008632D8"/>
    <w:rsid w:val="0086357F"/>
    <w:rsid w:val="008647D6"/>
    <w:rsid w:val="00865B35"/>
    <w:rsid w:val="00865ED2"/>
    <w:rsid w:val="008675DD"/>
    <w:rsid w:val="0087042A"/>
    <w:rsid w:val="008705B5"/>
    <w:rsid w:val="00875D1F"/>
    <w:rsid w:val="00876BD9"/>
    <w:rsid w:val="0087744B"/>
    <w:rsid w:val="00877754"/>
    <w:rsid w:val="008803AB"/>
    <w:rsid w:val="0088093C"/>
    <w:rsid w:val="008813AF"/>
    <w:rsid w:val="008834A8"/>
    <w:rsid w:val="00883A02"/>
    <w:rsid w:val="0088597E"/>
    <w:rsid w:val="00885C1A"/>
    <w:rsid w:val="008862DF"/>
    <w:rsid w:val="00886BFD"/>
    <w:rsid w:val="00887580"/>
    <w:rsid w:val="008902E1"/>
    <w:rsid w:val="00891B3A"/>
    <w:rsid w:val="0089379F"/>
    <w:rsid w:val="008944A2"/>
    <w:rsid w:val="008957F7"/>
    <w:rsid w:val="00895848"/>
    <w:rsid w:val="00896709"/>
    <w:rsid w:val="00897469"/>
    <w:rsid w:val="008975B9"/>
    <w:rsid w:val="008A3A36"/>
    <w:rsid w:val="008A3BD2"/>
    <w:rsid w:val="008A4ED4"/>
    <w:rsid w:val="008A5ACC"/>
    <w:rsid w:val="008A5B30"/>
    <w:rsid w:val="008A5C48"/>
    <w:rsid w:val="008A6CBC"/>
    <w:rsid w:val="008A6D63"/>
    <w:rsid w:val="008A6E27"/>
    <w:rsid w:val="008B063D"/>
    <w:rsid w:val="008B0823"/>
    <w:rsid w:val="008B2741"/>
    <w:rsid w:val="008B30C3"/>
    <w:rsid w:val="008B343F"/>
    <w:rsid w:val="008B3AFD"/>
    <w:rsid w:val="008B577B"/>
    <w:rsid w:val="008B6C34"/>
    <w:rsid w:val="008C1289"/>
    <w:rsid w:val="008C18B7"/>
    <w:rsid w:val="008C304C"/>
    <w:rsid w:val="008C416E"/>
    <w:rsid w:val="008C505C"/>
    <w:rsid w:val="008C572C"/>
    <w:rsid w:val="008C5B9C"/>
    <w:rsid w:val="008C5E73"/>
    <w:rsid w:val="008C79BA"/>
    <w:rsid w:val="008D1CC8"/>
    <w:rsid w:val="008D2319"/>
    <w:rsid w:val="008D4EEE"/>
    <w:rsid w:val="008D55A0"/>
    <w:rsid w:val="008D55B6"/>
    <w:rsid w:val="008D592C"/>
    <w:rsid w:val="008D5E02"/>
    <w:rsid w:val="008D6218"/>
    <w:rsid w:val="008D75E9"/>
    <w:rsid w:val="008D7F38"/>
    <w:rsid w:val="008E0393"/>
    <w:rsid w:val="008E10E9"/>
    <w:rsid w:val="008E1B2A"/>
    <w:rsid w:val="008E3986"/>
    <w:rsid w:val="008E3B82"/>
    <w:rsid w:val="008E46FD"/>
    <w:rsid w:val="008E4D7F"/>
    <w:rsid w:val="008E6115"/>
    <w:rsid w:val="008F25EE"/>
    <w:rsid w:val="008F49BD"/>
    <w:rsid w:val="008F4E2C"/>
    <w:rsid w:val="008F5BDB"/>
    <w:rsid w:val="008F656E"/>
    <w:rsid w:val="008F787B"/>
    <w:rsid w:val="00900958"/>
    <w:rsid w:val="00901CA2"/>
    <w:rsid w:val="00902315"/>
    <w:rsid w:val="00903990"/>
    <w:rsid w:val="00904A7B"/>
    <w:rsid w:val="00904C52"/>
    <w:rsid w:val="00904EFE"/>
    <w:rsid w:val="00905714"/>
    <w:rsid w:val="009060E2"/>
    <w:rsid w:val="009064BC"/>
    <w:rsid w:val="009100EB"/>
    <w:rsid w:val="00910B58"/>
    <w:rsid w:val="009119C6"/>
    <w:rsid w:val="00911D18"/>
    <w:rsid w:val="009120D3"/>
    <w:rsid w:val="0091346F"/>
    <w:rsid w:val="00914F61"/>
    <w:rsid w:val="00920867"/>
    <w:rsid w:val="009209F6"/>
    <w:rsid w:val="00921B2A"/>
    <w:rsid w:val="00921EA0"/>
    <w:rsid w:val="00924FE4"/>
    <w:rsid w:val="00925DEA"/>
    <w:rsid w:val="00927E78"/>
    <w:rsid w:val="00930FED"/>
    <w:rsid w:val="0093117D"/>
    <w:rsid w:val="0093312A"/>
    <w:rsid w:val="00934906"/>
    <w:rsid w:val="0093749C"/>
    <w:rsid w:val="00937AE8"/>
    <w:rsid w:val="00937D5E"/>
    <w:rsid w:val="00937F00"/>
    <w:rsid w:val="00940298"/>
    <w:rsid w:val="00941A33"/>
    <w:rsid w:val="009444DF"/>
    <w:rsid w:val="009450B9"/>
    <w:rsid w:val="00945FC8"/>
    <w:rsid w:val="00947370"/>
    <w:rsid w:val="00947FCD"/>
    <w:rsid w:val="0095017B"/>
    <w:rsid w:val="0095266A"/>
    <w:rsid w:val="00952DAC"/>
    <w:rsid w:val="009567C7"/>
    <w:rsid w:val="009575EF"/>
    <w:rsid w:val="00961037"/>
    <w:rsid w:val="0096212A"/>
    <w:rsid w:val="00963AFF"/>
    <w:rsid w:val="00963D33"/>
    <w:rsid w:val="009658AA"/>
    <w:rsid w:val="009663B7"/>
    <w:rsid w:val="009666E8"/>
    <w:rsid w:val="00967501"/>
    <w:rsid w:val="009703B3"/>
    <w:rsid w:val="0097299D"/>
    <w:rsid w:val="0097482C"/>
    <w:rsid w:val="009750BA"/>
    <w:rsid w:val="0097550E"/>
    <w:rsid w:val="009802B4"/>
    <w:rsid w:val="0098357A"/>
    <w:rsid w:val="009836C0"/>
    <w:rsid w:val="009846D3"/>
    <w:rsid w:val="009859F4"/>
    <w:rsid w:val="0098616D"/>
    <w:rsid w:val="00986E79"/>
    <w:rsid w:val="00987848"/>
    <w:rsid w:val="009878DD"/>
    <w:rsid w:val="00987AA3"/>
    <w:rsid w:val="00987C80"/>
    <w:rsid w:val="00990016"/>
    <w:rsid w:val="0099073E"/>
    <w:rsid w:val="00991A68"/>
    <w:rsid w:val="009923FE"/>
    <w:rsid w:val="009937C4"/>
    <w:rsid w:val="00994BD9"/>
    <w:rsid w:val="009A1DEA"/>
    <w:rsid w:val="009A56C6"/>
    <w:rsid w:val="009A610D"/>
    <w:rsid w:val="009A6B4B"/>
    <w:rsid w:val="009A7754"/>
    <w:rsid w:val="009A7C16"/>
    <w:rsid w:val="009A7E77"/>
    <w:rsid w:val="009B0DA9"/>
    <w:rsid w:val="009B29A7"/>
    <w:rsid w:val="009B344C"/>
    <w:rsid w:val="009B35E0"/>
    <w:rsid w:val="009B5514"/>
    <w:rsid w:val="009B55DF"/>
    <w:rsid w:val="009B66D6"/>
    <w:rsid w:val="009B77D6"/>
    <w:rsid w:val="009B7A73"/>
    <w:rsid w:val="009C1A24"/>
    <w:rsid w:val="009C1E08"/>
    <w:rsid w:val="009C235D"/>
    <w:rsid w:val="009C4414"/>
    <w:rsid w:val="009C4D89"/>
    <w:rsid w:val="009C5189"/>
    <w:rsid w:val="009C528E"/>
    <w:rsid w:val="009C5310"/>
    <w:rsid w:val="009C576C"/>
    <w:rsid w:val="009C5C4F"/>
    <w:rsid w:val="009C62F0"/>
    <w:rsid w:val="009C67B2"/>
    <w:rsid w:val="009D31AD"/>
    <w:rsid w:val="009D3BA8"/>
    <w:rsid w:val="009D4E93"/>
    <w:rsid w:val="009D6077"/>
    <w:rsid w:val="009D61C1"/>
    <w:rsid w:val="009D79C8"/>
    <w:rsid w:val="009D7F54"/>
    <w:rsid w:val="009E0D07"/>
    <w:rsid w:val="009E0EDB"/>
    <w:rsid w:val="009E1060"/>
    <w:rsid w:val="009E1562"/>
    <w:rsid w:val="009E34D4"/>
    <w:rsid w:val="009E3EE2"/>
    <w:rsid w:val="009E3FD3"/>
    <w:rsid w:val="009E6B20"/>
    <w:rsid w:val="009E6E0A"/>
    <w:rsid w:val="009F01C6"/>
    <w:rsid w:val="009F0376"/>
    <w:rsid w:val="009F0771"/>
    <w:rsid w:val="009F2290"/>
    <w:rsid w:val="009F2CBA"/>
    <w:rsid w:val="009F3955"/>
    <w:rsid w:val="009F468B"/>
    <w:rsid w:val="009F7F72"/>
    <w:rsid w:val="00A00678"/>
    <w:rsid w:val="00A01DC2"/>
    <w:rsid w:val="00A01EF9"/>
    <w:rsid w:val="00A0332C"/>
    <w:rsid w:val="00A05A95"/>
    <w:rsid w:val="00A06428"/>
    <w:rsid w:val="00A0750E"/>
    <w:rsid w:val="00A07BD0"/>
    <w:rsid w:val="00A102FD"/>
    <w:rsid w:val="00A106B9"/>
    <w:rsid w:val="00A10D9B"/>
    <w:rsid w:val="00A10E88"/>
    <w:rsid w:val="00A12139"/>
    <w:rsid w:val="00A124B3"/>
    <w:rsid w:val="00A125CE"/>
    <w:rsid w:val="00A13D52"/>
    <w:rsid w:val="00A1604A"/>
    <w:rsid w:val="00A1783D"/>
    <w:rsid w:val="00A20084"/>
    <w:rsid w:val="00A20103"/>
    <w:rsid w:val="00A22A51"/>
    <w:rsid w:val="00A24237"/>
    <w:rsid w:val="00A2744F"/>
    <w:rsid w:val="00A31C18"/>
    <w:rsid w:val="00A36CEA"/>
    <w:rsid w:val="00A40433"/>
    <w:rsid w:val="00A41B9F"/>
    <w:rsid w:val="00A41E3F"/>
    <w:rsid w:val="00A4391A"/>
    <w:rsid w:val="00A43A53"/>
    <w:rsid w:val="00A44833"/>
    <w:rsid w:val="00A45269"/>
    <w:rsid w:val="00A462F6"/>
    <w:rsid w:val="00A479D2"/>
    <w:rsid w:val="00A50BE3"/>
    <w:rsid w:val="00A52F20"/>
    <w:rsid w:val="00A534CA"/>
    <w:rsid w:val="00A53C0E"/>
    <w:rsid w:val="00A551C2"/>
    <w:rsid w:val="00A579AD"/>
    <w:rsid w:val="00A579E1"/>
    <w:rsid w:val="00A57E83"/>
    <w:rsid w:val="00A60D0A"/>
    <w:rsid w:val="00A618C2"/>
    <w:rsid w:val="00A623DA"/>
    <w:rsid w:val="00A633ED"/>
    <w:rsid w:val="00A635CF"/>
    <w:rsid w:val="00A652A6"/>
    <w:rsid w:val="00A67FFB"/>
    <w:rsid w:val="00A71AF4"/>
    <w:rsid w:val="00A72534"/>
    <w:rsid w:val="00A7394E"/>
    <w:rsid w:val="00A759E3"/>
    <w:rsid w:val="00A80F78"/>
    <w:rsid w:val="00A81960"/>
    <w:rsid w:val="00A840E1"/>
    <w:rsid w:val="00A84398"/>
    <w:rsid w:val="00A84C70"/>
    <w:rsid w:val="00A85956"/>
    <w:rsid w:val="00A85AA8"/>
    <w:rsid w:val="00A85E03"/>
    <w:rsid w:val="00A8602A"/>
    <w:rsid w:val="00A90154"/>
    <w:rsid w:val="00A90926"/>
    <w:rsid w:val="00A9197F"/>
    <w:rsid w:val="00A9247D"/>
    <w:rsid w:val="00A93D3C"/>
    <w:rsid w:val="00A942E7"/>
    <w:rsid w:val="00A944F1"/>
    <w:rsid w:val="00A94B4B"/>
    <w:rsid w:val="00A94E2A"/>
    <w:rsid w:val="00A96766"/>
    <w:rsid w:val="00AA0FDA"/>
    <w:rsid w:val="00AA2463"/>
    <w:rsid w:val="00AA3624"/>
    <w:rsid w:val="00AA4570"/>
    <w:rsid w:val="00AA4CE7"/>
    <w:rsid w:val="00AA6B9F"/>
    <w:rsid w:val="00AB074C"/>
    <w:rsid w:val="00AB35B0"/>
    <w:rsid w:val="00AB4624"/>
    <w:rsid w:val="00AB4D9A"/>
    <w:rsid w:val="00AC2567"/>
    <w:rsid w:val="00AC39DA"/>
    <w:rsid w:val="00AC3AD0"/>
    <w:rsid w:val="00AC52DB"/>
    <w:rsid w:val="00AC5386"/>
    <w:rsid w:val="00AC650E"/>
    <w:rsid w:val="00AC7B87"/>
    <w:rsid w:val="00AD053E"/>
    <w:rsid w:val="00AD0CA2"/>
    <w:rsid w:val="00AD0D42"/>
    <w:rsid w:val="00AD1F5F"/>
    <w:rsid w:val="00AD3A28"/>
    <w:rsid w:val="00AD4002"/>
    <w:rsid w:val="00AD4868"/>
    <w:rsid w:val="00AD4FF9"/>
    <w:rsid w:val="00AD53BB"/>
    <w:rsid w:val="00AD5728"/>
    <w:rsid w:val="00AD6A36"/>
    <w:rsid w:val="00AE11FC"/>
    <w:rsid w:val="00AE1CC5"/>
    <w:rsid w:val="00AE268B"/>
    <w:rsid w:val="00AE3448"/>
    <w:rsid w:val="00AE4F1E"/>
    <w:rsid w:val="00AE55E5"/>
    <w:rsid w:val="00AE5F1C"/>
    <w:rsid w:val="00AE6679"/>
    <w:rsid w:val="00AF0A3E"/>
    <w:rsid w:val="00AF0CD7"/>
    <w:rsid w:val="00AF12D6"/>
    <w:rsid w:val="00AF1361"/>
    <w:rsid w:val="00AF276E"/>
    <w:rsid w:val="00AF3BE0"/>
    <w:rsid w:val="00AF424A"/>
    <w:rsid w:val="00AF44D0"/>
    <w:rsid w:val="00AF59C1"/>
    <w:rsid w:val="00AF66C3"/>
    <w:rsid w:val="00AF69BD"/>
    <w:rsid w:val="00AF6F78"/>
    <w:rsid w:val="00AF710F"/>
    <w:rsid w:val="00B0357C"/>
    <w:rsid w:val="00B04546"/>
    <w:rsid w:val="00B058B2"/>
    <w:rsid w:val="00B05929"/>
    <w:rsid w:val="00B05AB5"/>
    <w:rsid w:val="00B06A91"/>
    <w:rsid w:val="00B072E0"/>
    <w:rsid w:val="00B11F8A"/>
    <w:rsid w:val="00B200CA"/>
    <w:rsid w:val="00B20B58"/>
    <w:rsid w:val="00B21A9B"/>
    <w:rsid w:val="00B234B7"/>
    <w:rsid w:val="00B23D50"/>
    <w:rsid w:val="00B24F73"/>
    <w:rsid w:val="00B251C0"/>
    <w:rsid w:val="00B27A20"/>
    <w:rsid w:val="00B303A2"/>
    <w:rsid w:val="00B32828"/>
    <w:rsid w:val="00B3317A"/>
    <w:rsid w:val="00B355D5"/>
    <w:rsid w:val="00B35BAD"/>
    <w:rsid w:val="00B36A60"/>
    <w:rsid w:val="00B41961"/>
    <w:rsid w:val="00B41F36"/>
    <w:rsid w:val="00B42257"/>
    <w:rsid w:val="00B42ED7"/>
    <w:rsid w:val="00B43056"/>
    <w:rsid w:val="00B43B92"/>
    <w:rsid w:val="00B446AD"/>
    <w:rsid w:val="00B46591"/>
    <w:rsid w:val="00B51B22"/>
    <w:rsid w:val="00B52E71"/>
    <w:rsid w:val="00B53695"/>
    <w:rsid w:val="00B548EF"/>
    <w:rsid w:val="00B54E6B"/>
    <w:rsid w:val="00B62901"/>
    <w:rsid w:val="00B629C1"/>
    <w:rsid w:val="00B6510D"/>
    <w:rsid w:val="00B6594A"/>
    <w:rsid w:val="00B70D47"/>
    <w:rsid w:val="00B70FC3"/>
    <w:rsid w:val="00B74113"/>
    <w:rsid w:val="00B74777"/>
    <w:rsid w:val="00B80549"/>
    <w:rsid w:val="00B8196C"/>
    <w:rsid w:val="00B81B56"/>
    <w:rsid w:val="00B82369"/>
    <w:rsid w:val="00B82785"/>
    <w:rsid w:val="00B848DF"/>
    <w:rsid w:val="00B851D0"/>
    <w:rsid w:val="00B8585F"/>
    <w:rsid w:val="00B90E1B"/>
    <w:rsid w:val="00B92783"/>
    <w:rsid w:val="00B927F0"/>
    <w:rsid w:val="00B93566"/>
    <w:rsid w:val="00B93AFA"/>
    <w:rsid w:val="00B93D26"/>
    <w:rsid w:val="00B9637F"/>
    <w:rsid w:val="00BA0390"/>
    <w:rsid w:val="00BA18AE"/>
    <w:rsid w:val="00BA1A68"/>
    <w:rsid w:val="00BA34F7"/>
    <w:rsid w:val="00BA3DB7"/>
    <w:rsid w:val="00BA5110"/>
    <w:rsid w:val="00BA5648"/>
    <w:rsid w:val="00BA6288"/>
    <w:rsid w:val="00BA64C0"/>
    <w:rsid w:val="00BB0380"/>
    <w:rsid w:val="00BB34AB"/>
    <w:rsid w:val="00BB41D3"/>
    <w:rsid w:val="00BB4380"/>
    <w:rsid w:val="00BB5C6A"/>
    <w:rsid w:val="00BB73D8"/>
    <w:rsid w:val="00BC0347"/>
    <w:rsid w:val="00BC095A"/>
    <w:rsid w:val="00BC23F7"/>
    <w:rsid w:val="00BC3DC6"/>
    <w:rsid w:val="00BC4410"/>
    <w:rsid w:val="00BC7301"/>
    <w:rsid w:val="00BD377A"/>
    <w:rsid w:val="00BD6324"/>
    <w:rsid w:val="00BD70E4"/>
    <w:rsid w:val="00BD725E"/>
    <w:rsid w:val="00BE0621"/>
    <w:rsid w:val="00BE0CDF"/>
    <w:rsid w:val="00BE2217"/>
    <w:rsid w:val="00BE4454"/>
    <w:rsid w:val="00BE6F7F"/>
    <w:rsid w:val="00BF0DDD"/>
    <w:rsid w:val="00BF11A4"/>
    <w:rsid w:val="00BF2D8C"/>
    <w:rsid w:val="00BF3AB8"/>
    <w:rsid w:val="00BF5308"/>
    <w:rsid w:val="00BF5469"/>
    <w:rsid w:val="00BF6D54"/>
    <w:rsid w:val="00BF743C"/>
    <w:rsid w:val="00C01A39"/>
    <w:rsid w:val="00C05705"/>
    <w:rsid w:val="00C0584E"/>
    <w:rsid w:val="00C058E8"/>
    <w:rsid w:val="00C05F3F"/>
    <w:rsid w:val="00C071CE"/>
    <w:rsid w:val="00C07D0C"/>
    <w:rsid w:val="00C12D57"/>
    <w:rsid w:val="00C14BC4"/>
    <w:rsid w:val="00C16180"/>
    <w:rsid w:val="00C16651"/>
    <w:rsid w:val="00C173B5"/>
    <w:rsid w:val="00C17E6C"/>
    <w:rsid w:val="00C2232A"/>
    <w:rsid w:val="00C22E17"/>
    <w:rsid w:val="00C22F0F"/>
    <w:rsid w:val="00C22FE1"/>
    <w:rsid w:val="00C23358"/>
    <w:rsid w:val="00C25EDC"/>
    <w:rsid w:val="00C30037"/>
    <w:rsid w:val="00C3066F"/>
    <w:rsid w:val="00C317AC"/>
    <w:rsid w:val="00C32C2E"/>
    <w:rsid w:val="00C32F16"/>
    <w:rsid w:val="00C3358C"/>
    <w:rsid w:val="00C33C63"/>
    <w:rsid w:val="00C348F8"/>
    <w:rsid w:val="00C34DAC"/>
    <w:rsid w:val="00C365EE"/>
    <w:rsid w:val="00C36767"/>
    <w:rsid w:val="00C37E4A"/>
    <w:rsid w:val="00C403E1"/>
    <w:rsid w:val="00C44349"/>
    <w:rsid w:val="00C443AC"/>
    <w:rsid w:val="00C449A1"/>
    <w:rsid w:val="00C4585A"/>
    <w:rsid w:val="00C459CB"/>
    <w:rsid w:val="00C45AAE"/>
    <w:rsid w:val="00C45DC8"/>
    <w:rsid w:val="00C466A2"/>
    <w:rsid w:val="00C472EB"/>
    <w:rsid w:val="00C47F92"/>
    <w:rsid w:val="00C50D09"/>
    <w:rsid w:val="00C54427"/>
    <w:rsid w:val="00C5462F"/>
    <w:rsid w:val="00C54643"/>
    <w:rsid w:val="00C55F04"/>
    <w:rsid w:val="00C575D2"/>
    <w:rsid w:val="00C57642"/>
    <w:rsid w:val="00C5776C"/>
    <w:rsid w:val="00C60996"/>
    <w:rsid w:val="00C61D93"/>
    <w:rsid w:val="00C62D46"/>
    <w:rsid w:val="00C62F25"/>
    <w:rsid w:val="00C62FC0"/>
    <w:rsid w:val="00C63AA3"/>
    <w:rsid w:val="00C64A16"/>
    <w:rsid w:val="00C65736"/>
    <w:rsid w:val="00C65F7A"/>
    <w:rsid w:val="00C670A4"/>
    <w:rsid w:val="00C708C9"/>
    <w:rsid w:val="00C70DE4"/>
    <w:rsid w:val="00C73E61"/>
    <w:rsid w:val="00C7447E"/>
    <w:rsid w:val="00C76643"/>
    <w:rsid w:val="00C80122"/>
    <w:rsid w:val="00C808DE"/>
    <w:rsid w:val="00C8252A"/>
    <w:rsid w:val="00C84261"/>
    <w:rsid w:val="00C8436A"/>
    <w:rsid w:val="00C8732F"/>
    <w:rsid w:val="00C87629"/>
    <w:rsid w:val="00C87F98"/>
    <w:rsid w:val="00C90546"/>
    <w:rsid w:val="00C9165E"/>
    <w:rsid w:val="00C93AD5"/>
    <w:rsid w:val="00C961F6"/>
    <w:rsid w:val="00C96690"/>
    <w:rsid w:val="00C96749"/>
    <w:rsid w:val="00C96965"/>
    <w:rsid w:val="00C97E32"/>
    <w:rsid w:val="00CA04D7"/>
    <w:rsid w:val="00CA0913"/>
    <w:rsid w:val="00CA4754"/>
    <w:rsid w:val="00CA5726"/>
    <w:rsid w:val="00CA5FD4"/>
    <w:rsid w:val="00CA645C"/>
    <w:rsid w:val="00CB0985"/>
    <w:rsid w:val="00CB4C22"/>
    <w:rsid w:val="00CB4F3F"/>
    <w:rsid w:val="00CB5D8C"/>
    <w:rsid w:val="00CB5DFE"/>
    <w:rsid w:val="00CB641B"/>
    <w:rsid w:val="00CB74D5"/>
    <w:rsid w:val="00CB7F30"/>
    <w:rsid w:val="00CC0013"/>
    <w:rsid w:val="00CC26F3"/>
    <w:rsid w:val="00CC3367"/>
    <w:rsid w:val="00CC4A56"/>
    <w:rsid w:val="00CC677A"/>
    <w:rsid w:val="00CC7E22"/>
    <w:rsid w:val="00CD15AA"/>
    <w:rsid w:val="00CD1694"/>
    <w:rsid w:val="00CD1CAF"/>
    <w:rsid w:val="00CD37EA"/>
    <w:rsid w:val="00CD45A2"/>
    <w:rsid w:val="00CD602A"/>
    <w:rsid w:val="00CD6564"/>
    <w:rsid w:val="00CD77C8"/>
    <w:rsid w:val="00CD78F9"/>
    <w:rsid w:val="00CD7BD9"/>
    <w:rsid w:val="00CE05D4"/>
    <w:rsid w:val="00CE12EE"/>
    <w:rsid w:val="00CE15BD"/>
    <w:rsid w:val="00CE2C89"/>
    <w:rsid w:val="00CE515F"/>
    <w:rsid w:val="00CE5A3F"/>
    <w:rsid w:val="00CE6D08"/>
    <w:rsid w:val="00CE78C0"/>
    <w:rsid w:val="00CE79A5"/>
    <w:rsid w:val="00CE79A8"/>
    <w:rsid w:val="00CE7BB4"/>
    <w:rsid w:val="00CF03BE"/>
    <w:rsid w:val="00CF0BD9"/>
    <w:rsid w:val="00CF1F52"/>
    <w:rsid w:val="00CF3E13"/>
    <w:rsid w:val="00CF4B83"/>
    <w:rsid w:val="00CF5BA7"/>
    <w:rsid w:val="00CF697E"/>
    <w:rsid w:val="00CF6BB9"/>
    <w:rsid w:val="00CF7192"/>
    <w:rsid w:val="00CF7DC7"/>
    <w:rsid w:val="00D00B33"/>
    <w:rsid w:val="00D01F1F"/>
    <w:rsid w:val="00D02A39"/>
    <w:rsid w:val="00D035FE"/>
    <w:rsid w:val="00D04616"/>
    <w:rsid w:val="00D04DBE"/>
    <w:rsid w:val="00D05A29"/>
    <w:rsid w:val="00D05B2B"/>
    <w:rsid w:val="00D06B53"/>
    <w:rsid w:val="00D1002F"/>
    <w:rsid w:val="00D1182B"/>
    <w:rsid w:val="00D130FA"/>
    <w:rsid w:val="00D13C4A"/>
    <w:rsid w:val="00D14C79"/>
    <w:rsid w:val="00D15E52"/>
    <w:rsid w:val="00D15FA9"/>
    <w:rsid w:val="00D179F7"/>
    <w:rsid w:val="00D22CF9"/>
    <w:rsid w:val="00D23171"/>
    <w:rsid w:val="00D23734"/>
    <w:rsid w:val="00D250CE"/>
    <w:rsid w:val="00D25CBC"/>
    <w:rsid w:val="00D2632B"/>
    <w:rsid w:val="00D26C89"/>
    <w:rsid w:val="00D341BE"/>
    <w:rsid w:val="00D34C9C"/>
    <w:rsid w:val="00D35065"/>
    <w:rsid w:val="00D3526C"/>
    <w:rsid w:val="00D35922"/>
    <w:rsid w:val="00D37ED3"/>
    <w:rsid w:val="00D4032F"/>
    <w:rsid w:val="00D42905"/>
    <w:rsid w:val="00D43345"/>
    <w:rsid w:val="00D468D7"/>
    <w:rsid w:val="00D53AA7"/>
    <w:rsid w:val="00D55F23"/>
    <w:rsid w:val="00D57612"/>
    <w:rsid w:val="00D600DA"/>
    <w:rsid w:val="00D6077C"/>
    <w:rsid w:val="00D607C2"/>
    <w:rsid w:val="00D6133B"/>
    <w:rsid w:val="00D61587"/>
    <w:rsid w:val="00D64973"/>
    <w:rsid w:val="00D64F89"/>
    <w:rsid w:val="00D65BD7"/>
    <w:rsid w:val="00D66A04"/>
    <w:rsid w:val="00D6789F"/>
    <w:rsid w:val="00D7064B"/>
    <w:rsid w:val="00D70DA6"/>
    <w:rsid w:val="00D71C05"/>
    <w:rsid w:val="00D76464"/>
    <w:rsid w:val="00D76471"/>
    <w:rsid w:val="00D801B2"/>
    <w:rsid w:val="00D80733"/>
    <w:rsid w:val="00D80A21"/>
    <w:rsid w:val="00D80DD9"/>
    <w:rsid w:val="00D817D9"/>
    <w:rsid w:val="00D81A3A"/>
    <w:rsid w:val="00D81C4E"/>
    <w:rsid w:val="00D82380"/>
    <w:rsid w:val="00D837DF"/>
    <w:rsid w:val="00D860D6"/>
    <w:rsid w:val="00D871C2"/>
    <w:rsid w:val="00D874F8"/>
    <w:rsid w:val="00D90507"/>
    <w:rsid w:val="00D9204D"/>
    <w:rsid w:val="00D97416"/>
    <w:rsid w:val="00DA1589"/>
    <w:rsid w:val="00DA1CD4"/>
    <w:rsid w:val="00DA2D97"/>
    <w:rsid w:val="00DA6808"/>
    <w:rsid w:val="00DB010D"/>
    <w:rsid w:val="00DB0D37"/>
    <w:rsid w:val="00DB2174"/>
    <w:rsid w:val="00DB2399"/>
    <w:rsid w:val="00DB25A5"/>
    <w:rsid w:val="00DB2669"/>
    <w:rsid w:val="00DB44D1"/>
    <w:rsid w:val="00DB5D2C"/>
    <w:rsid w:val="00DB63CA"/>
    <w:rsid w:val="00DC2E1B"/>
    <w:rsid w:val="00DC48FF"/>
    <w:rsid w:val="00DC4B33"/>
    <w:rsid w:val="00DC5681"/>
    <w:rsid w:val="00DC5B79"/>
    <w:rsid w:val="00DC7EF5"/>
    <w:rsid w:val="00DD024E"/>
    <w:rsid w:val="00DD20D2"/>
    <w:rsid w:val="00DD3586"/>
    <w:rsid w:val="00DD3C23"/>
    <w:rsid w:val="00DD4866"/>
    <w:rsid w:val="00DD5318"/>
    <w:rsid w:val="00DD6955"/>
    <w:rsid w:val="00DD75EA"/>
    <w:rsid w:val="00DD7688"/>
    <w:rsid w:val="00DD7C96"/>
    <w:rsid w:val="00DE2111"/>
    <w:rsid w:val="00DE4B2D"/>
    <w:rsid w:val="00DE508F"/>
    <w:rsid w:val="00DE563A"/>
    <w:rsid w:val="00DE6C3A"/>
    <w:rsid w:val="00DE7FB3"/>
    <w:rsid w:val="00DF042B"/>
    <w:rsid w:val="00DF2154"/>
    <w:rsid w:val="00DF3054"/>
    <w:rsid w:val="00DF359A"/>
    <w:rsid w:val="00DF6575"/>
    <w:rsid w:val="00DF67F2"/>
    <w:rsid w:val="00DF783E"/>
    <w:rsid w:val="00E01C15"/>
    <w:rsid w:val="00E039BF"/>
    <w:rsid w:val="00E03E95"/>
    <w:rsid w:val="00E06297"/>
    <w:rsid w:val="00E07C01"/>
    <w:rsid w:val="00E10275"/>
    <w:rsid w:val="00E1204D"/>
    <w:rsid w:val="00E135D3"/>
    <w:rsid w:val="00E13C7D"/>
    <w:rsid w:val="00E156E3"/>
    <w:rsid w:val="00E213C1"/>
    <w:rsid w:val="00E219C7"/>
    <w:rsid w:val="00E227DF"/>
    <w:rsid w:val="00E23788"/>
    <w:rsid w:val="00E23E3F"/>
    <w:rsid w:val="00E256DE"/>
    <w:rsid w:val="00E25C53"/>
    <w:rsid w:val="00E26782"/>
    <w:rsid w:val="00E26802"/>
    <w:rsid w:val="00E26C65"/>
    <w:rsid w:val="00E30204"/>
    <w:rsid w:val="00E32D02"/>
    <w:rsid w:val="00E33EAA"/>
    <w:rsid w:val="00E34E74"/>
    <w:rsid w:val="00E34ED7"/>
    <w:rsid w:val="00E36C36"/>
    <w:rsid w:val="00E37993"/>
    <w:rsid w:val="00E40CA0"/>
    <w:rsid w:val="00E42F8D"/>
    <w:rsid w:val="00E444CC"/>
    <w:rsid w:val="00E44F0D"/>
    <w:rsid w:val="00E456D1"/>
    <w:rsid w:val="00E477B7"/>
    <w:rsid w:val="00E53310"/>
    <w:rsid w:val="00E53C2D"/>
    <w:rsid w:val="00E56BCA"/>
    <w:rsid w:val="00E5798F"/>
    <w:rsid w:val="00E61310"/>
    <w:rsid w:val="00E62391"/>
    <w:rsid w:val="00E62F57"/>
    <w:rsid w:val="00E63827"/>
    <w:rsid w:val="00E63D03"/>
    <w:rsid w:val="00E647CE"/>
    <w:rsid w:val="00E64DF5"/>
    <w:rsid w:val="00E659B4"/>
    <w:rsid w:val="00E66550"/>
    <w:rsid w:val="00E6692B"/>
    <w:rsid w:val="00E674A5"/>
    <w:rsid w:val="00E742C5"/>
    <w:rsid w:val="00E743C1"/>
    <w:rsid w:val="00E753C9"/>
    <w:rsid w:val="00E75DA4"/>
    <w:rsid w:val="00E766AC"/>
    <w:rsid w:val="00E82D16"/>
    <w:rsid w:val="00E855A9"/>
    <w:rsid w:val="00E85980"/>
    <w:rsid w:val="00E871BC"/>
    <w:rsid w:val="00E87EDA"/>
    <w:rsid w:val="00E93D59"/>
    <w:rsid w:val="00E95104"/>
    <w:rsid w:val="00E9692F"/>
    <w:rsid w:val="00EA1247"/>
    <w:rsid w:val="00EA2506"/>
    <w:rsid w:val="00EA394F"/>
    <w:rsid w:val="00EA3F29"/>
    <w:rsid w:val="00EA4909"/>
    <w:rsid w:val="00EA4C06"/>
    <w:rsid w:val="00EA597A"/>
    <w:rsid w:val="00EA6681"/>
    <w:rsid w:val="00EA6A82"/>
    <w:rsid w:val="00EA6F84"/>
    <w:rsid w:val="00EB127F"/>
    <w:rsid w:val="00EB37FE"/>
    <w:rsid w:val="00EB383C"/>
    <w:rsid w:val="00EB46F8"/>
    <w:rsid w:val="00EB54B4"/>
    <w:rsid w:val="00EB5607"/>
    <w:rsid w:val="00EB57E5"/>
    <w:rsid w:val="00EB5E96"/>
    <w:rsid w:val="00EB790E"/>
    <w:rsid w:val="00EC0876"/>
    <w:rsid w:val="00EC0C81"/>
    <w:rsid w:val="00EC1D24"/>
    <w:rsid w:val="00EC2492"/>
    <w:rsid w:val="00EC30C3"/>
    <w:rsid w:val="00EC331B"/>
    <w:rsid w:val="00EC3FBE"/>
    <w:rsid w:val="00EC4385"/>
    <w:rsid w:val="00EC4F85"/>
    <w:rsid w:val="00EC530E"/>
    <w:rsid w:val="00EC5456"/>
    <w:rsid w:val="00EC5633"/>
    <w:rsid w:val="00EC580C"/>
    <w:rsid w:val="00EC5B93"/>
    <w:rsid w:val="00EC674F"/>
    <w:rsid w:val="00EC6E30"/>
    <w:rsid w:val="00EC7435"/>
    <w:rsid w:val="00EC7439"/>
    <w:rsid w:val="00EC7CF0"/>
    <w:rsid w:val="00EC7D82"/>
    <w:rsid w:val="00ED0C15"/>
    <w:rsid w:val="00ED0E34"/>
    <w:rsid w:val="00ED1123"/>
    <w:rsid w:val="00ED37E7"/>
    <w:rsid w:val="00ED411F"/>
    <w:rsid w:val="00ED51AB"/>
    <w:rsid w:val="00ED5FF2"/>
    <w:rsid w:val="00ED6423"/>
    <w:rsid w:val="00ED7270"/>
    <w:rsid w:val="00EE161B"/>
    <w:rsid w:val="00EE4AB0"/>
    <w:rsid w:val="00EE5218"/>
    <w:rsid w:val="00EE60BB"/>
    <w:rsid w:val="00EF0A02"/>
    <w:rsid w:val="00EF0A40"/>
    <w:rsid w:val="00EF0A5F"/>
    <w:rsid w:val="00EF1443"/>
    <w:rsid w:val="00EF1537"/>
    <w:rsid w:val="00EF1B9D"/>
    <w:rsid w:val="00EF206E"/>
    <w:rsid w:val="00EF3594"/>
    <w:rsid w:val="00EF3CF4"/>
    <w:rsid w:val="00EF4A31"/>
    <w:rsid w:val="00EF4C63"/>
    <w:rsid w:val="00EF5D60"/>
    <w:rsid w:val="00EF7961"/>
    <w:rsid w:val="00EF7A62"/>
    <w:rsid w:val="00F01231"/>
    <w:rsid w:val="00F01A8A"/>
    <w:rsid w:val="00F02580"/>
    <w:rsid w:val="00F02C27"/>
    <w:rsid w:val="00F03AD7"/>
    <w:rsid w:val="00F04CB9"/>
    <w:rsid w:val="00F06CB3"/>
    <w:rsid w:val="00F07BDB"/>
    <w:rsid w:val="00F10DED"/>
    <w:rsid w:val="00F114DC"/>
    <w:rsid w:val="00F12482"/>
    <w:rsid w:val="00F128CE"/>
    <w:rsid w:val="00F12CC2"/>
    <w:rsid w:val="00F13380"/>
    <w:rsid w:val="00F1722C"/>
    <w:rsid w:val="00F17DD9"/>
    <w:rsid w:val="00F20247"/>
    <w:rsid w:val="00F20F57"/>
    <w:rsid w:val="00F223D9"/>
    <w:rsid w:val="00F224D9"/>
    <w:rsid w:val="00F23431"/>
    <w:rsid w:val="00F24981"/>
    <w:rsid w:val="00F25A95"/>
    <w:rsid w:val="00F25FCB"/>
    <w:rsid w:val="00F30715"/>
    <w:rsid w:val="00F309D3"/>
    <w:rsid w:val="00F30DF9"/>
    <w:rsid w:val="00F32D02"/>
    <w:rsid w:val="00F33BAD"/>
    <w:rsid w:val="00F34D30"/>
    <w:rsid w:val="00F3522A"/>
    <w:rsid w:val="00F35519"/>
    <w:rsid w:val="00F36543"/>
    <w:rsid w:val="00F36805"/>
    <w:rsid w:val="00F36D25"/>
    <w:rsid w:val="00F36F7E"/>
    <w:rsid w:val="00F37415"/>
    <w:rsid w:val="00F41E21"/>
    <w:rsid w:val="00F41E48"/>
    <w:rsid w:val="00F4201C"/>
    <w:rsid w:val="00F4764C"/>
    <w:rsid w:val="00F5190E"/>
    <w:rsid w:val="00F51C95"/>
    <w:rsid w:val="00F5318C"/>
    <w:rsid w:val="00F54304"/>
    <w:rsid w:val="00F54436"/>
    <w:rsid w:val="00F54BF6"/>
    <w:rsid w:val="00F54D41"/>
    <w:rsid w:val="00F556EB"/>
    <w:rsid w:val="00F56B40"/>
    <w:rsid w:val="00F60930"/>
    <w:rsid w:val="00F6198C"/>
    <w:rsid w:val="00F62992"/>
    <w:rsid w:val="00F63E61"/>
    <w:rsid w:val="00F63FDD"/>
    <w:rsid w:val="00F665F1"/>
    <w:rsid w:val="00F67C46"/>
    <w:rsid w:val="00F7056E"/>
    <w:rsid w:val="00F70BEE"/>
    <w:rsid w:val="00F71AFB"/>
    <w:rsid w:val="00F72A6B"/>
    <w:rsid w:val="00F72B8B"/>
    <w:rsid w:val="00F736B1"/>
    <w:rsid w:val="00F745CC"/>
    <w:rsid w:val="00F80509"/>
    <w:rsid w:val="00F817C9"/>
    <w:rsid w:val="00F82E11"/>
    <w:rsid w:val="00F850E2"/>
    <w:rsid w:val="00F85586"/>
    <w:rsid w:val="00F85D49"/>
    <w:rsid w:val="00F91619"/>
    <w:rsid w:val="00F92860"/>
    <w:rsid w:val="00F92DC0"/>
    <w:rsid w:val="00F94DF6"/>
    <w:rsid w:val="00F94FCE"/>
    <w:rsid w:val="00FA0EFE"/>
    <w:rsid w:val="00FA4233"/>
    <w:rsid w:val="00FA4BA3"/>
    <w:rsid w:val="00FA7ECC"/>
    <w:rsid w:val="00FB0C75"/>
    <w:rsid w:val="00FB1B2E"/>
    <w:rsid w:val="00FB2774"/>
    <w:rsid w:val="00FB2D5F"/>
    <w:rsid w:val="00FB355F"/>
    <w:rsid w:val="00FB4912"/>
    <w:rsid w:val="00FB5CDC"/>
    <w:rsid w:val="00FB7092"/>
    <w:rsid w:val="00FC0B6E"/>
    <w:rsid w:val="00FC1834"/>
    <w:rsid w:val="00FC309B"/>
    <w:rsid w:val="00FC3716"/>
    <w:rsid w:val="00FC487E"/>
    <w:rsid w:val="00FC5607"/>
    <w:rsid w:val="00FC5B97"/>
    <w:rsid w:val="00FC66E0"/>
    <w:rsid w:val="00FC6BD4"/>
    <w:rsid w:val="00FC6FA6"/>
    <w:rsid w:val="00FC755E"/>
    <w:rsid w:val="00FD0CD1"/>
    <w:rsid w:val="00FD0EB2"/>
    <w:rsid w:val="00FD15B7"/>
    <w:rsid w:val="00FD2A1A"/>
    <w:rsid w:val="00FD3A01"/>
    <w:rsid w:val="00FD3BFE"/>
    <w:rsid w:val="00FD3D14"/>
    <w:rsid w:val="00FD4101"/>
    <w:rsid w:val="00FD4314"/>
    <w:rsid w:val="00FD48EF"/>
    <w:rsid w:val="00FE0AE8"/>
    <w:rsid w:val="00FE0F0C"/>
    <w:rsid w:val="00FE1930"/>
    <w:rsid w:val="00FE1DC4"/>
    <w:rsid w:val="00FE257F"/>
    <w:rsid w:val="00FE25B9"/>
    <w:rsid w:val="00FE45DD"/>
    <w:rsid w:val="00FE57CD"/>
    <w:rsid w:val="00FE5815"/>
    <w:rsid w:val="00FE67B2"/>
    <w:rsid w:val="00FE701C"/>
    <w:rsid w:val="00FE7BFD"/>
    <w:rsid w:val="00FF0D53"/>
    <w:rsid w:val="00FF1E3D"/>
    <w:rsid w:val="00FF209A"/>
    <w:rsid w:val="00FF33D9"/>
    <w:rsid w:val="00FF3476"/>
    <w:rsid w:val="00FF3585"/>
    <w:rsid w:val="00FF36E0"/>
    <w:rsid w:val="00FF5843"/>
    <w:rsid w:val="00FF5DE2"/>
    <w:rsid w:val="00FF5E10"/>
    <w:rsid w:val="045F4F6F"/>
    <w:rsid w:val="04E93B4D"/>
    <w:rsid w:val="050C26C4"/>
    <w:rsid w:val="050E895D"/>
    <w:rsid w:val="056E48C3"/>
    <w:rsid w:val="068C96D3"/>
    <w:rsid w:val="06965203"/>
    <w:rsid w:val="072847FF"/>
    <w:rsid w:val="07D2CDF9"/>
    <w:rsid w:val="093C4E76"/>
    <w:rsid w:val="0980416E"/>
    <w:rsid w:val="0B09B965"/>
    <w:rsid w:val="0BB6FB51"/>
    <w:rsid w:val="0E4C301C"/>
    <w:rsid w:val="0E74E961"/>
    <w:rsid w:val="0F8241E6"/>
    <w:rsid w:val="1148FB67"/>
    <w:rsid w:val="1170BFD1"/>
    <w:rsid w:val="11E2FCF9"/>
    <w:rsid w:val="1222F61F"/>
    <w:rsid w:val="12872779"/>
    <w:rsid w:val="141A4A31"/>
    <w:rsid w:val="151FBC28"/>
    <w:rsid w:val="1683428B"/>
    <w:rsid w:val="17AD0E41"/>
    <w:rsid w:val="17BC8A8E"/>
    <w:rsid w:val="17D3AC7B"/>
    <w:rsid w:val="17E73C39"/>
    <w:rsid w:val="17F5B3A3"/>
    <w:rsid w:val="1818B3FA"/>
    <w:rsid w:val="182B7D20"/>
    <w:rsid w:val="19013285"/>
    <w:rsid w:val="1AC0FBA4"/>
    <w:rsid w:val="1B1AF634"/>
    <w:rsid w:val="1B32C699"/>
    <w:rsid w:val="1C6EC41E"/>
    <w:rsid w:val="1CBFCAE4"/>
    <w:rsid w:val="1D90BC43"/>
    <w:rsid w:val="1E449D71"/>
    <w:rsid w:val="1E521DA8"/>
    <w:rsid w:val="1E611B21"/>
    <w:rsid w:val="1EA84557"/>
    <w:rsid w:val="1F2FA980"/>
    <w:rsid w:val="20CD70BA"/>
    <w:rsid w:val="21A7E0CE"/>
    <w:rsid w:val="223EE768"/>
    <w:rsid w:val="2302C244"/>
    <w:rsid w:val="2330494D"/>
    <w:rsid w:val="23C65E35"/>
    <w:rsid w:val="23CDAE23"/>
    <w:rsid w:val="23D4B2C8"/>
    <w:rsid w:val="23E2B4C3"/>
    <w:rsid w:val="246F117F"/>
    <w:rsid w:val="24DB4113"/>
    <w:rsid w:val="250999DD"/>
    <w:rsid w:val="25380878"/>
    <w:rsid w:val="25447562"/>
    <w:rsid w:val="25D67254"/>
    <w:rsid w:val="25D71EBF"/>
    <w:rsid w:val="260C160F"/>
    <w:rsid w:val="269C9A7A"/>
    <w:rsid w:val="26F2B10E"/>
    <w:rsid w:val="27DA69B1"/>
    <w:rsid w:val="27DAC202"/>
    <w:rsid w:val="287D84E3"/>
    <w:rsid w:val="28F927EF"/>
    <w:rsid w:val="292C7C1B"/>
    <w:rsid w:val="29482FAE"/>
    <w:rsid w:val="29878DAA"/>
    <w:rsid w:val="2A1D337A"/>
    <w:rsid w:val="2AF944BB"/>
    <w:rsid w:val="2B8A30BB"/>
    <w:rsid w:val="2BC14F26"/>
    <w:rsid w:val="2BE7B190"/>
    <w:rsid w:val="2D54867D"/>
    <w:rsid w:val="2D6E6027"/>
    <w:rsid w:val="2DDF0028"/>
    <w:rsid w:val="2E343364"/>
    <w:rsid w:val="2E4E01D8"/>
    <w:rsid w:val="2F24B764"/>
    <w:rsid w:val="31268C94"/>
    <w:rsid w:val="321AAEF4"/>
    <w:rsid w:val="3347B57F"/>
    <w:rsid w:val="3371E755"/>
    <w:rsid w:val="33F9AA5B"/>
    <w:rsid w:val="3430872C"/>
    <w:rsid w:val="34B5B202"/>
    <w:rsid w:val="37AC1C91"/>
    <w:rsid w:val="38C3C770"/>
    <w:rsid w:val="38E0E663"/>
    <w:rsid w:val="38E6AE63"/>
    <w:rsid w:val="3940CFEF"/>
    <w:rsid w:val="39607751"/>
    <w:rsid w:val="396BF968"/>
    <w:rsid w:val="39EC0A90"/>
    <w:rsid w:val="39FB7074"/>
    <w:rsid w:val="3AF497EA"/>
    <w:rsid w:val="3BB479A3"/>
    <w:rsid w:val="3CFFC2C0"/>
    <w:rsid w:val="3EAB4236"/>
    <w:rsid w:val="3FBCA0E4"/>
    <w:rsid w:val="4098D6A2"/>
    <w:rsid w:val="414A3FEE"/>
    <w:rsid w:val="416F2CA6"/>
    <w:rsid w:val="419049AB"/>
    <w:rsid w:val="426669BC"/>
    <w:rsid w:val="42FC8929"/>
    <w:rsid w:val="433ED981"/>
    <w:rsid w:val="4458BD88"/>
    <w:rsid w:val="4478363B"/>
    <w:rsid w:val="44B9935A"/>
    <w:rsid w:val="4525A62D"/>
    <w:rsid w:val="452955BB"/>
    <w:rsid w:val="45ADCB59"/>
    <w:rsid w:val="46235898"/>
    <w:rsid w:val="477DD87D"/>
    <w:rsid w:val="48713AEB"/>
    <w:rsid w:val="48E3181D"/>
    <w:rsid w:val="498D8160"/>
    <w:rsid w:val="49EEDAF7"/>
    <w:rsid w:val="4BC4AEB0"/>
    <w:rsid w:val="4C38FFE0"/>
    <w:rsid w:val="4C5B1833"/>
    <w:rsid w:val="4C9CE319"/>
    <w:rsid w:val="4CC1281C"/>
    <w:rsid w:val="4CD332CD"/>
    <w:rsid w:val="4DD96818"/>
    <w:rsid w:val="4DE9B40A"/>
    <w:rsid w:val="4E35675F"/>
    <w:rsid w:val="4E82C720"/>
    <w:rsid w:val="4F26EDF4"/>
    <w:rsid w:val="4F54A323"/>
    <w:rsid w:val="4F691185"/>
    <w:rsid w:val="4F71FC1A"/>
    <w:rsid w:val="50DC4777"/>
    <w:rsid w:val="519B3E5F"/>
    <w:rsid w:val="51D611D8"/>
    <w:rsid w:val="51DAD4AD"/>
    <w:rsid w:val="52CBA4B5"/>
    <w:rsid w:val="52D6BC4A"/>
    <w:rsid w:val="52FD95D7"/>
    <w:rsid w:val="53206242"/>
    <w:rsid w:val="53786F29"/>
    <w:rsid w:val="53FDD391"/>
    <w:rsid w:val="54206289"/>
    <w:rsid w:val="543594D7"/>
    <w:rsid w:val="5503A142"/>
    <w:rsid w:val="55BE7787"/>
    <w:rsid w:val="5666EEF2"/>
    <w:rsid w:val="56FA15E2"/>
    <w:rsid w:val="578A79F4"/>
    <w:rsid w:val="583DDD7B"/>
    <w:rsid w:val="58575671"/>
    <w:rsid w:val="59696669"/>
    <w:rsid w:val="59F70F1E"/>
    <w:rsid w:val="5A9F5E82"/>
    <w:rsid w:val="5CB07ADC"/>
    <w:rsid w:val="5D4E6D1B"/>
    <w:rsid w:val="5D5D5D4B"/>
    <w:rsid w:val="5D885411"/>
    <w:rsid w:val="5DC8735C"/>
    <w:rsid w:val="5E39271F"/>
    <w:rsid w:val="5E3E52D9"/>
    <w:rsid w:val="5E62F7BB"/>
    <w:rsid w:val="5E7282D7"/>
    <w:rsid w:val="5EDE62E7"/>
    <w:rsid w:val="5F020759"/>
    <w:rsid w:val="5F11973E"/>
    <w:rsid w:val="609C5674"/>
    <w:rsid w:val="63439F16"/>
    <w:rsid w:val="63966656"/>
    <w:rsid w:val="656C7677"/>
    <w:rsid w:val="66B44FA6"/>
    <w:rsid w:val="6723354E"/>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694DF26"/>
    <w:rsid w:val="77B20159"/>
    <w:rsid w:val="77E43D13"/>
    <w:rsid w:val="787E14E9"/>
    <w:rsid w:val="79ABDF07"/>
    <w:rsid w:val="79E25FE8"/>
    <w:rsid w:val="7A6F3BA0"/>
    <w:rsid w:val="7C887F5D"/>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link w:val="HeaderChar"/>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link w:val="BodyTextIndent3Char"/>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 w:type="character" w:customStyle="1" w:styleId="BodyTextIndent3Char">
    <w:name w:val="Body Text Indent 3 Char"/>
    <w:basedOn w:val="DefaultParagraphFont"/>
    <w:link w:val="BodyTextIndent3"/>
    <w:rsid w:val="00F223D9"/>
    <w:rPr>
      <w:sz w:val="22"/>
    </w:rPr>
  </w:style>
  <w:style w:type="character" w:customStyle="1" w:styleId="HeaderChar">
    <w:name w:val="Header Char"/>
    <w:basedOn w:val="DefaultParagraphFont"/>
    <w:link w:val="Header"/>
    <w:rsid w:val="0094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8157</Words>
  <Characters>46496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54544</CharactersWithSpaces>
  <SharedDoc>false</SharedDoc>
  <HLinks>
    <vt:vector size="6" baseType="variant">
      <vt:variant>
        <vt:i4>6488093</vt:i4>
      </vt:variant>
      <vt:variant>
        <vt:i4>0</vt:i4>
      </vt:variant>
      <vt:variant>
        <vt:i4>0</vt:i4>
      </vt:variant>
      <vt:variant>
        <vt:i4>5</vt:i4>
      </vt:variant>
      <vt:variant>
        <vt:lpwstr>mailto:Nathan.Dean@mass.gov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2026-05-27T19:17:00Z</dcterms:created>
  <dcterms:modified xsi:type="dcterms:W3CDTF">2026-05-27T19:17:00Z</dcterms:modified>
</cp:coreProperties>
</file>