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D68" w:rsidRDefault="00052D68" w:rsidP="00FD10D9">
      <w:pPr>
        <w:jc w:val="center"/>
      </w:pPr>
      <w:bookmarkStart w:id="0" w:name="_GoBack"/>
      <w:bookmarkEnd w:id="0"/>
      <w:r>
        <w:rPr>
          <w:rFonts w:ascii="Times New Roman" w:eastAsia="Times New Roman" w:hAnsi="Times New Roman" w:cs="Times New Roman"/>
          <w:noProof/>
          <w:sz w:val="20"/>
          <w:szCs w:val="20"/>
        </w:rPr>
        <w:drawing>
          <wp:inline distT="0" distB="0" distL="0" distR="0" wp14:anchorId="4AB52B0D" wp14:editId="23417DD9">
            <wp:extent cx="6486525" cy="893512"/>
            <wp:effectExtent l="0" t="0" r="0" b="190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6486525" cy="893512"/>
                    </a:xfrm>
                    <a:prstGeom prst="rect">
                      <a:avLst/>
                    </a:prstGeom>
                  </pic:spPr>
                </pic:pic>
              </a:graphicData>
            </a:graphic>
          </wp:inline>
        </w:drawing>
      </w:r>
    </w:p>
    <w:p w:rsidR="00052D68" w:rsidRDefault="00052D68" w:rsidP="00052D68"/>
    <w:p w:rsidR="00477EE3" w:rsidRPr="00477EE3" w:rsidRDefault="00477EE3" w:rsidP="00477EE3">
      <w:pPr>
        <w:spacing w:after="0" w:line="240" w:lineRule="auto"/>
        <w:jc w:val="center"/>
        <w:rPr>
          <w:rFonts w:ascii="Arial" w:eastAsia="Times New Roman" w:hAnsi="Arial" w:cs="Arial"/>
          <w:b/>
          <w:sz w:val="36"/>
          <w:szCs w:val="32"/>
        </w:rPr>
      </w:pPr>
      <w:r w:rsidRPr="00477EE3">
        <w:rPr>
          <w:rFonts w:ascii="Arial" w:eastAsia="Times New Roman" w:hAnsi="Arial" w:cs="Arial"/>
          <w:b/>
          <w:sz w:val="36"/>
          <w:szCs w:val="32"/>
        </w:rPr>
        <w:t>Bureau of Infectious Disease and Laboratory Sciences</w:t>
      </w:r>
    </w:p>
    <w:p w:rsidR="00477EE3" w:rsidRPr="00477EE3" w:rsidRDefault="00477EE3" w:rsidP="00477EE3">
      <w:pPr>
        <w:spacing w:after="0" w:line="240" w:lineRule="auto"/>
        <w:jc w:val="center"/>
        <w:rPr>
          <w:rFonts w:ascii="Arial" w:eastAsia="Times New Roman" w:hAnsi="Arial" w:cs="Arial"/>
          <w:b/>
          <w:sz w:val="36"/>
          <w:szCs w:val="32"/>
        </w:rPr>
      </w:pPr>
      <w:r w:rsidRPr="00477EE3">
        <w:rPr>
          <w:rFonts w:ascii="Arial" w:eastAsia="Times New Roman" w:hAnsi="Arial" w:cs="Arial"/>
          <w:b/>
          <w:sz w:val="36"/>
          <w:szCs w:val="32"/>
        </w:rPr>
        <w:t>Hemovigilance Program Data Summary</w:t>
      </w:r>
    </w:p>
    <w:p w:rsidR="00477EE3" w:rsidRDefault="00477EE3" w:rsidP="00477EE3">
      <w:pPr>
        <w:spacing w:after="0" w:line="240" w:lineRule="auto"/>
        <w:jc w:val="center"/>
        <w:rPr>
          <w:rFonts w:ascii="Arial" w:eastAsia="Times New Roman" w:hAnsi="Arial" w:cs="Arial"/>
          <w:b/>
          <w:sz w:val="36"/>
          <w:szCs w:val="32"/>
        </w:rPr>
      </w:pPr>
      <w:r w:rsidRPr="00477EE3">
        <w:rPr>
          <w:rFonts w:ascii="Arial" w:eastAsia="Times New Roman" w:hAnsi="Arial" w:cs="Arial"/>
          <w:b/>
          <w:sz w:val="36"/>
          <w:szCs w:val="32"/>
        </w:rPr>
        <w:t>January 1-December 31, 2017</w:t>
      </w:r>
    </w:p>
    <w:p w:rsidR="006F0AC0" w:rsidRDefault="006F0AC0" w:rsidP="00477EE3">
      <w:pPr>
        <w:spacing w:after="0" w:line="240" w:lineRule="auto"/>
        <w:jc w:val="center"/>
        <w:rPr>
          <w:rFonts w:ascii="Arial" w:eastAsia="Times New Roman" w:hAnsi="Arial" w:cs="Arial"/>
          <w:b/>
          <w:sz w:val="36"/>
          <w:szCs w:val="32"/>
        </w:rPr>
      </w:pPr>
    </w:p>
    <w:p w:rsidR="006F0AC0" w:rsidRPr="00E410CA" w:rsidRDefault="0037019E" w:rsidP="00477EE3">
      <w:pPr>
        <w:spacing w:after="0" w:line="240" w:lineRule="auto"/>
        <w:jc w:val="center"/>
        <w:rPr>
          <w:rFonts w:ascii="Arial" w:eastAsia="Times New Roman" w:hAnsi="Arial" w:cs="Arial"/>
          <w:b/>
          <w:i/>
          <w:color w:val="FF0000"/>
          <w:sz w:val="28"/>
          <w:szCs w:val="32"/>
        </w:rPr>
      </w:pPr>
      <w:r>
        <w:rPr>
          <w:rFonts w:ascii="Arial" w:eastAsia="Times New Roman" w:hAnsi="Arial" w:cs="Arial"/>
          <w:b/>
          <w:i/>
          <w:color w:val="FF0000"/>
          <w:sz w:val="28"/>
          <w:szCs w:val="32"/>
        </w:rPr>
        <w:t>Report updated on January 10</w:t>
      </w:r>
      <w:r w:rsidR="006F0AC0" w:rsidRPr="00E410CA">
        <w:rPr>
          <w:rFonts w:ascii="Arial" w:eastAsia="Times New Roman" w:hAnsi="Arial" w:cs="Arial"/>
          <w:b/>
          <w:i/>
          <w:color w:val="FF0000"/>
          <w:sz w:val="28"/>
          <w:szCs w:val="32"/>
        </w:rPr>
        <w:t xml:space="preserve">, 2019* </w:t>
      </w:r>
    </w:p>
    <w:p w:rsidR="00052D68" w:rsidRPr="00052D68" w:rsidRDefault="00052D68" w:rsidP="00052D68">
      <w:pPr>
        <w:widowControl w:val="0"/>
        <w:spacing w:after="0" w:line="240" w:lineRule="auto"/>
        <w:rPr>
          <w:rFonts w:ascii="Calibri" w:eastAsia="Calibri" w:hAnsi="Calibri" w:cs="Calibri"/>
          <w:b/>
          <w:bCs/>
          <w:sz w:val="40"/>
          <w:szCs w:val="40"/>
        </w:rPr>
      </w:pPr>
    </w:p>
    <w:p w:rsidR="00052D68" w:rsidRPr="00052D68" w:rsidRDefault="00E410CA" w:rsidP="00052D68">
      <w:pPr>
        <w:widowControl w:val="0"/>
        <w:spacing w:after="0" w:line="240" w:lineRule="auto"/>
        <w:rPr>
          <w:rFonts w:ascii="Calibri" w:eastAsia="Calibri" w:hAnsi="Calibri" w:cs="Calibri"/>
          <w:b/>
          <w:bCs/>
          <w:sz w:val="40"/>
          <w:szCs w:val="40"/>
        </w:rPr>
      </w:pPr>
      <w:r w:rsidRPr="00E410CA">
        <w:rPr>
          <w:rStyle w:val="Strong"/>
          <w:rFonts w:ascii="Arial" w:hAnsi="Arial" w:cs="Arial"/>
          <w:noProof/>
          <w:szCs w:val="20"/>
        </w:rPr>
        <mc:AlternateContent>
          <mc:Choice Requires="wps">
            <w:drawing>
              <wp:anchor distT="0" distB="0" distL="114300" distR="114300" simplePos="0" relativeHeight="251661312" behindDoc="0" locked="0" layoutInCell="1" allowOverlap="1" wp14:anchorId="23073A85" wp14:editId="675CD090">
                <wp:simplePos x="0" y="0"/>
                <wp:positionH relativeFrom="column">
                  <wp:align>center</wp:align>
                </wp:positionH>
                <wp:positionV relativeFrom="paragraph">
                  <wp:posOffset>0</wp:posOffset>
                </wp:positionV>
                <wp:extent cx="5305425" cy="27717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771775"/>
                        </a:xfrm>
                        <a:prstGeom prst="rect">
                          <a:avLst/>
                        </a:prstGeom>
                        <a:solidFill>
                          <a:srgbClr val="FFFFFF"/>
                        </a:solidFill>
                        <a:ln w="15875" cmpd="thickThin">
                          <a:solidFill>
                            <a:srgbClr val="000000"/>
                          </a:solidFill>
                          <a:miter lim="800000"/>
                          <a:headEnd/>
                          <a:tailEnd/>
                        </a:ln>
                      </wps:spPr>
                      <wps:txbx>
                        <w:txbxContent>
                          <w:p w:rsidR="00E410CA" w:rsidRDefault="00E410CA" w:rsidP="00E410CA">
                            <w:pPr>
                              <w:rPr>
                                <w:color w:val="000000"/>
                              </w:rPr>
                            </w:pPr>
                            <w:r>
                              <w:rPr>
                                <w:color w:val="000000"/>
                              </w:rPr>
                              <w:t>*Due to the identification of an error in a denominator calculation, we are issuing this updated 2017 report</w:t>
                            </w:r>
                            <w:r>
                              <w:rPr>
                                <w:color w:val="212121"/>
                              </w:rPr>
                              <w:t>. </w:t>
                            </w:r>
                          </w:p>
                          <w:p w:rsidR="00E410CA" w:rsidRDefault="0037019E" w:rsidP="00E410CA">
                            <w:pPr>
                              <w:rPr>
                                <w:color w:val="000000"/>
                              </w:rPr>
                            </w:pPr>
                            <w:r>
                              <w:rPr>
                                <w:color w:val="212121"/>
                              </w:rPr>
                              <w:t>Corrections</w:t>
                            </w:r>
                            <w:r w:rsidR="00E410CA">
                              <w:rPr>
                                <w:color w:val="212121"/>
                              </w:rPr>
                              <w:t xml:space="preserve"> include:</w:t>
                            </w:r>
                          </w:p>
                          <w:p w:rsidR="00E410CA" w:rsidRDefault="0037019E" w:rsidP="00E410CA">
                            <w:pPr>
                              <w:numPr>
                                <w:ilvl w:val="0"/>
                                <w:numId w:val="4"/>
                              </w:numPr>
                              <w:spacing w:before="100" w:beforeAutospacing="1" w:after="100" w:afterAutospacing="1" w:line="240" w:lineRule="auto"/>
                              <w:rPr>
                                <w:color w:val="000000"/>
                              </w:rPr>
                            </w:pPr>
                            <w:r>
                              <w:rPr>
                                <w:color w:val="212121"/>
                              </w:rPr>
                              <w:t>In</w:t>
                            </w:r>
                            <w:r w:rsidR="00E410CA">
                              <w:rPr>
                                <w:color w:val="212121"/>
                              </w:rPr>
                              <w:t xml:space="preserve"> Key Findings, (Pg. 4) the rate of adverse reactions in bed size group 1 was approximately 1.5 to 2 times higher than the statewide rate over the course of 2017</w:t>
                            </w:r>
                            <w:r>
                              <w:rPr>
                                <w:color w:val="212121"/>
                              </w:rPr>
                              <w:t xml:space="preserve">, </w:t>
                            </w:r>
                            <w:r w:rsidR="00E410CA">
                              <w:rPr>
                                <w:color w:val="212121"/>
                              </w:rPr>
                              <w:t>not 4.5-6 times higher as indicated in the original report.</w:t>
                            </w:r>
                          </w:p>
                          <w:p w:rsidR="00E410CA" w:rsidRDefault="0037019E" w:rsidP="00E410CA">
                            <w:pPr>
                              <w:numPr>
                                <w:ilvl w:val="0"/>
                                <w:numId w:val="4"/>
                              </w:numPr>
                              <w:spacing w:before="100" w:beforeAutospacing="1" w:after="100" w:afterAutospacing="1" w:line="240" w:lineRule="auto"/>
                              <w:rPr>
                                <w:color w:val="000000"/>
                              </w:rPr>
                            </w:pPr>
                            <w:r>
                              <w:rPr>
                                <w:color w:val="000000"/>
                              </w:rPr>
                              <w:t>A</w:t>
                            </w:r>
                            <w:r w:rsidR="00E410CA">
                              <w:rPr>
                                <w:color w:val="000000"/>
                              </w:rPr>
                              <w:t xml:space="preserve"> footnote </w:t>
                            </w:r>
                            <w:r>
                              <w:rPr>
                                <w:color w:val="000000"/>
                              </w:rPr>
                              <w:t>was added to the table:</w:t>
                            </w:r>
                            <w:r w:rsidR="00E410CA">
                              <w:rPr>
                                <w:color w:val="000000"/>
                              </w:rPr>
                              <w:t xml:space="preserve"> Transfusion Volume by Bed Size Group, Product Type, and Year, 2015 – 2017 </w:t>
                            </w:r>
                            <w:r>
                              <w:rPr>
                                <w:color w:val="000000"/>
                              </w:rPr>
                              <w:t xml:space="preserve">(Pg. 8) </w:t>
                            </w:r>
                            <w:r w:rsidR="00E410CA">
                              <w:rPr>
                                <w:color w:val="000000"/>
                              </w:rPr>
                              <w:t xml:space="preserve">clarifying </w:t>
                            </w:r>
                            <w:r w:rsidR="00E410CA">
                              <w:rPr>
                                <w:color w:val="212121"/>
                              </w:rPr>
                              <w:t xml:space="preserve">that </w:t>
                            </w:r>
                            <w:r>
                              <w:rPr>
                                <w:color w:val="212121"/>
                              </w:rPr>
                              <w:t>B</w:t>
                            </w:r>
                            <w:r w:rsidR="00E410CA">
                              <w:rPr>
                                <w:color w:val="212121"/>
                              </w:rPr>
                              <w:t xml:space="preserve">SG </w:t>
                            </w:r>
                            <w:r>
                              <w:rPr>
                                <w:color w:val="212121"/>
                              </w:rPr>
                              <w:t xml:space="preserve">was assigned </w:t>
                            </w:r>
                            <w:r w:rsidR="00E410CA">
                              <w:rPr>
                                <w:color w:val="212121"/>
                              </w:rPr>
                              <w:t xml:space="preserve">based on the most recent facility annual survey </w:t>
                            </w:r>
                            <w:r w:rsidR="00E410CA">
                              <w:rPr>
                                <w:color w:val="000000"/>
                              </w:rPr>
                              <w:t>submitted.</w:t>
                            </w:r>
                          </w:p>
                          <w:p w:rsidR="00E410CA" w:rsidRDefault="0037019E" w:rsidP="00E410CA">
                            <w:pPr>
                              <w:numPr>
                                <w:ilvl w:val="0"/>
                                <w:numId w:val="4"/>
                              </w:numPr>
                              <w:spacing w:before="100" w:beforeAutospacing="1" w:after="100" w:afterAutospacing="1" w:line="240" w:lineRule="auto"/>
                            </w:pPr>
                            <w:r>
                              <w:rPr>
                                <w:color w:val="212121"/>
                              </w:rPr>
                              <w:t>In the g</w:t>
                            </w:r>
                            <w:r w:rsidR="00E410CA" w:rsidRPr="00E410CA">
                              <w:rPr>
                                <w:color w:val="212121"/>
                              </w:rPr>
                              <w:t>raph:  Rates of Adverse Reactions per 10,000 Transfused Products by Bed Size Group Massachusetts, 2015 – 2017,</w:t>
                            </w:r>
                            <w:r w:rsidR="00E410CA">
                              <w:rPr>
                                <w:color w:val="212121"/>
                              </w:rPr>
                              <w:t xml:space="preserve"> (Pg. 15)</w:t>
                            </w:r>
                            <w:r w:rsidR="00E410CA" w:rsidRPr="00E410CA">
                              <w:rPr>
                                <w:color w:val="212121"/>
                              </w:rPr>
                              <w:t xml:space="preserve"> the displayed rate line of adverse reactions for BSG 3 was an underestimate in the original report</w:t>
                            </w:r>
                            <w:r w:rsidR="00E410CA">
                              <w:rPr>
                                <w:color w:val="212121"/>
                              </w:rPr>
                              <w:t xml:space="preserve"> and is corrected in this updated report.</w:t>
                            </w:r>
                            <w:r w:rsidR="00E410CA" w:rsidRPr="00E410CA">
                              <w:rPr>
                                <w:color w:val="2121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17.75pt;height:218.2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" strokeweight="1.25pt">
                <v:stroke linestyle="thickThin"/>
                <v:textbox>
                  <w:txbxContent>
                    <w:p w:rsidR="00E410CA" w:rsidRDefault="00E410CA" w:rsidP="00E410CA">
                      <w:pPr>
                        <w:rPr>
                          <w:color w:val="000000"/>
                        </w:rPr>
                      </w:pPr>
                      <w:r>
                        <w:rPr>
                          <w:color w:val="000000"/>
                        </w:rPr>
                        <w:t>*Due to the identification of an error in a denominator calculation, we are issuing this updated 2017 report</w:t>
                      </w:r>
                      <w:r>
                        <w:rPr>
                          <w:color w:val="212121"/>
                        </w:rPr>
                        <w:t>. </w:t>
                      </w:r>
                    </w:p>
                    <w:p w:rsidR="00E410CA" w:rsidRDefault="0037019E" w:rsidP="00E410CA">
                      <w:pPr>
                        <w:rPr>
                          <w:color w:val="000000"/>
                        </w:rPr>
                      </w:pPr>
                      <w:r>
                        <w:rPr>
                          <w:color w:val="212121"/>
                        </w:rPr>
                        <w:t>Corrections</w:t>
                      </w:r>
                      <w:r w:rsidR="00E410CA">
                        <w:rPr>
                          <w:color w:val="212121"/>
                        </w:rPr>
                        <w:t xml:space="preserve"> include:</w:t>
                      </w:r>
                    </w:p>
                    <w:p w:rsidR="00E410CA" w:rsidRDefault="0037019E" w:rsidP="00E410CA">
                      <w:pPr>
                        <w:numPr>
                          <w:ilvl w:val="0"/>
                          <w:numId w:val="4"/>
                        </w:numPr>
                        <w:spacing w:before="100" w:beforeAutospacing="1" w:after="100" w:afterAutospacing="1" w:line="240" w:lineRule="auto"/>
                        <w:rPr>
                          <w:color w:val="000000"/>
                        </w:rPr>
                      </w:pPr>
                      <w:r>
                        <w:rPr>
                          <w:color w:val="212121"/>
                        </w:rPr>
                        <w:t>In</w:t>
                      </w:r>
                      <w:r w:rsidR="00E410CA">
                        <w:rPr>
                          <w:color w:val="212121"/>
                        </w:rPr>
                        <w:t xml:space="preserve"> Key Findings, </w:t>
                      </w:r>
                      <w:r w:rsidR="00E410CA">
                        <w:rPr>
                          <w:color w:val="212121"/>
                        </w:rPr>
                        <w:t xml:space="preserve">(Pg. 4) </w:t>
                      </w:r>
                      <w:r w:rsidR="00E410CA">
                        <w:rPr>
                          <w:color w:val="212121"/>
                        </w:rPr>
                        <w:t>the rate of adverse reactions in bed size group 1 was approximately 1.5 to 2 times higher than the statewide rate over the course of 2017</w:t>
                      </w:r>
                      <w:r>
                        <w:rPr>
                          <w:color w:val="212121"/>
                        </w:rPr>
                        <w:t xml:space="preserve">, </w:t>
                      </w:r>
                      <w:r w:rsidR="00E410CA">
                        <w:rPr>
                          <w:color w:val="212121"/>
                        </w:rPr>
                        <w:t>not 4.5-6 times higher as indicated in the original report.</w:t>
                      </w:r>
                    </w:p>
                    <w:p w:rsidR="00E410CA" w:rsidRDefault="0037019E" w:rsidP="00E410CA">
                      <w:pPr>
                        <w:numPr>
                          <w:ilvl w:val="0"/>
                          <w:numId w:val="4"/>
                        </w:numPr>
                        <w:spacing w:before="100" w:beforeAutospacing="1" w:after="100" w:afterAutospacing="1" w:line="240" w:lineRule="auto"/>
                        <w:rPr>
                          <w:color w:val="000000"/>
                        </w:rPr>
                      </w:pPr>
                      <w:r>
                        <w:rPr>
                          <w:color w:val="000000"/>
                        </w:rPr>
                        <w:t>A</w:t>
                      </w:r>
                      <w:r w:rsidR="00E410CA">
                        <w:rPr>
                          <w:color w:val="000000"/>
                        </w:rPr>
                        <w:t xml:space="preserve"> footnote </w:t>
                      </w:r>
                      <w:r>
                        <w:rPr>
                          <w:color w:val="000000"/>
                        </w:rPr>
                        <w:t>was added to the table:</w:t>
                      </w:r>
                      <w:r w:rsidR="00E410CA">
                        <w:rPr>
                          <w:color w:val="000000"/>
                        </w:rPr>
                        <w:t xml:space="preserve"> Transfusion Volume by Bed Size Group, Product Type, and Year, 2015 – 2017 </w:t>
                      </w:r>
                      <w:r>
                        <w:rPr>
                          <w:color w:val="000000"/>
                        </w:rPr>
                        <w:t xml:space="preserve">(Pg. 8) </w:t>
                      </w:r>
                      <w:r w:rsidR="00E410CA">
                        <w:rPr>
                          <w:color w:val="000000"/>
                        </w:rPr>
                        <w:t xml:space="preserve">clarifying </w:t>
                      </w:r>
                      <w:r w:rsidR="00E410CA">
                        <w:rPr>
                          <w:color w:val="212121"/>
                        </w:rPr>
                        <w:t xml:space="preserve">that </w:t>
                      </w:r>
                      <w:r>
                        <w:rPr>
                          <w:color w:val="212121"/>
                        </w:rPr>
                        <w:t>B</w:t>
                      </w:r>
                      <w:r w:rsidR="00E410CA">
                        <w:rPr>
                          <w:color w:val="212121"/>
                        </w:rPr>
                        <w:t xml:space="preserve">SG </w:t>
                      </w:r>
                      <w:r>
                        <w:rPr>
                          <w:color w:val="212121"/>
                        </w:rPr>
                        <w:t xml:space="preserve">was assigned </w:t>
                      </w:r>
                      <w:r w:rsidR="00E410CA">
                        <w:rPr>
                          <w:color w:val="212121"/>
                        </w:rPr>
                        <w:t xml:space="preserve">based on the most recent facility annual survey </w:t>
                      </w:r>
                      <w:r w:rsidR="00E410CA">
                        <w:rPr>
                          <w:color w:val="000000"/>
                        </w:rPr>
                        <w:t>submitted.</w:t>
                      </w:r>
                    </w:p>
                    <w:p w:rsidR="00E410CA" w:rsidRDefault="0037019E" w:rsidP="00E410CA">
                      <w:pPr>
                        <w:numPr>
                          <w:ilvl w:val="0"/>
                          <w:numId w:val="4"/>
                        </w:numPr>
                        <w:spacing w:before="100" w:beforeAutospacing="1" w:after="100" w:afterAutospacing="1" w:line="240" w:lineRule="auto"/>
                      </w:pPr>
                      <w:r>
                        <w:rPr>
                          <w:color w:val="212121"/>
                        </w:rPr>
                        <w:t>In the g</w:t>
                      </w:r>
                      <w:r w:rsidR="00E410CA" w:rsidRPr="00E410CA">
                        <w:rPr>
                          <w:color w:val="212121"/>
                        </w:rPr>
                        <w:t>raph:  Rates of Adverse Reactions per 10,000 Transfused Products by Bed Size Group Massachusetts, 2015 – 2017,</w:t>
                      </w:r>
                      <w:r w:rsidR="00E410CA">
                        <w:rPr>
                          <w:color w:val="212121"/>
                        </w:rPr>
                        <w:t xml:space="preserve"> (Pg. 15)</w:t>
                      </w:r>
                      <w:r w:rsidR="00E410CA" w:rsidRPr="00E410CA">
                        <w:rPr>
                          <w:color w:val="212121"/>
                        </w:rPr>
                        <w:t xml:space="preserve"> the displayed rate line of adverse reactions for BSG 3 was an underestimate in the original report</w:t>
                      </w:r>
                      <w:r w:rsidR="00E410CA">
                        <w:rPr>
                          <w:color w:val="212121"/>
                        </w:rPr>
                        <w:t xml:space="preserve"> and is corrected in this updated report.</w:t>
                      </w:r>
                      <w:r w:rsidR="00E410CA" w:rsidRPr="00E410CA">
                        <w:rPr>
                          <w:color w:val="212121"/>
                        </w:rPr>
                        <w:t xml:space="preserve"> </w:t>
                      </w:r>
                    </w:p>
                  </w:txbxContent>
                </v:textbox>
              </v:shape>
            </w:pict>
          </mc:Fallback>
        </mc:AlternateContent>
      </w:r>
    </w:p>
    <w:p w:rsidR="00FD10D9" w:rsidRDefault="00FD10D9" w:rsidP="00477EE3">
      <w:pPr>
        <w:pStyle w:val="NormalWeb"/>
        <w:shd w:val="clear" w:color="auto" w:fill="FFFFFF"/>
        <w:rPr>
          <w:rStyle w:val="Strong"/>
          <w:rFonts w:ascii="Arial" w:hAnsi="Arial" w:cs="Arial"/>
          <w:szCs w:val="20"/>
          <w:lang w:val="en"/>
        </w:rPr>
      </w:pPr>
    </w:p>
    <w:p w:rsidR="00FD10D9" w:rsidRDefault="00FD10D9" w:rsidP="00477EE3">
      <w:pPr>
        <w:pStyle w:val="NormalWeb"/>
        <w:shd w:val="clear" w:color="auto" w:fill="FFFFFF"/>
        <w:rPr>
          <w:rStyle w:val="Strong"/>
          <w:rFonts w:ascii="Arial" w:hAnsi="Arial" w:cs="Arial"/>
          <w:szCs w:val="20"/>
          <w:lang w:val="en"/>
        </w:rPr>
      </w:pPr>
    </w:p>
    <w:p w:rsidR="00FD10D9" w:rsidRDefault="00FD10D9" w:rsidP="00477EE3">
      <w:pPr>
        <w:pStyle w:val="NormalWeb"/>
        <w:shd w:val="clear" w:color="auto" w:fill="FFFFFF"/>
        <w:rPr>
          <w:rStyle w:val="Strong"/>
          <w:rFonts w:ascii="Arial" w:hAnsi="Arial" w:cs="Arial"/>
          <w:szCs w:val="20"/>
          <w:lang w:val="en"/>
        </w:rPr>
      </w:pPr>
    </w:p>
    <w:p w:rsidR="00FD10D9" w:rsidRDefault="00FD10D9" w:rsidP="00477EE3">
      <w:pPr>
        <w:pStyle w:val="NormalWeb"/>
        <w:shd w:val="clear" w:color="auto" w:fill="FFFFFF"/>
        <w:rPr>
          <w:rStyle w:val="Strong"/>
          <w:rFonts w:ascii="Arial" w:hAnsi="Arial" w:cs="Arial"/>
          <w:szCs w:val="20"/>
          <w:lang w:val="en"/>
        </w:rPr>
      </w:pPr>
    </w:p>
    <w:p w:rsidR="00FD10D9" w:rsidRDefault="00FD10D9" w:rsidP="00477EE3">
      <w:pPr>
        <w:pStyle w:val="NormalWeb"/>
        <w:shd w:val="clear" w:color="auto" w:fill="FFFFFF"/>
        <w:rPr>
          <w:rStyle w:val="Strong"/>
          <w:rFonts w:ascii="Arial" w:hAnsi="Arial" w:cs="Arial"/>
          <w:szCs w:val="20"/>
          <w:lang w:val="en"/>
        </w:rPr>
        <w:sectPr w:rsidR="00FD10D9" w:rsidSect="00290706">
          <w:pgSz w:w="12240" w:h="15840"/>
          <w:pgMar w:top="640" w:right="940" w:bottom="280" w:left="960" w:header="720" w:footer="720" w:gutter="0"/>
          <w:cols w:space="720"/>
          <w:docGrid w:linePitch="299"/>
        </w:sectPr>
      </w:pPr>
    </w:p>
    <w:p w:rsidR="00290706" w:rsidRDefault="00290706" w:rsidP="00477EE3">
      <w:pPr>
        <w:pStyle w:val="NormalWeb"/>
        <w:shd w:val="clear" w:color="auto" w:fill="FFFFFF"/>
        <w:rPr>
          <w:rStyle w:val="Strong"/>
          <w:rFonts w:ascii="Arial" w:hAnsi="Arial" w:cs="Arial"/>
          <w:szCs w:val="20"/>
          <w:lang w:val="en"/>
        </w:rPr>
      </w:pPr>
    </w:p>
    <w:p w:rsidR="00290706" w:rsidRDefault="00290706" w:rsidP="00477EE3">
      <w:pPr>
        <w:pStyle w:val="NormalWeb"/>
        <w:shd w:val="clear" w:color="auto" w:fill="FFFFFF"/>
        <w:rPr>
          <w:rStyle w:val="Strong"/>
          <w:rFonts w:ascii="Arial" w:hAnsi="Arial" w:cs="Arial"/>
          <w:szCs w:val="20"/>
          <w:lang w:val="en"/>
        </w:rPr>
      </w:pPr>
    </w:p>
    <w:p w:rsidR="00290706" w:rsidRDefault="00290706" w:rsidP="00477EE3">
      <w:pPr>
        <w:pStyle w:val="NormalWeb"/>
        <w:shd w:val="clear" w:color="auto" w:fill="FFFFFF"/>
        <w:rPr>
          <w:rStyle w:val="Strong"/>
          <w:rFonts w:ascii="Arial" w:hAnsi="Arial" w:cs="Arial"/>
          <w:szCs w:val="20"/>
          <w:lang w:val="en"/>
        </w:rPr>
      </w:pPr>
    </w:p>
    <w:p w:rsidR="00290706" w:rsidRDefault="00290706" w:rsidP="00477EE3">
      <w:pPr>
        <w:pStyle w:val="NormalWeb"/>
        <w:shd w:val="clear" w:color="auto" w:fill="FFFFFF"/>
        <w:rPr>
          <w:rStyle w:val="Strong"/>
          <w:rFonts w:ascii="Arial" w:hAnsi="Arial" w:cs="Arial"/>
          <w:szCs w:val="20"/>
          <w:lang w:val="en"/>
        </w:rPr>
      </w:pPr>
    </w:p>
    <w:p w:rsidR="00290706" w:rsidRDefault="00290706" w:rsidP="00477EE3">
      <w:pPr>
        <w:pStyle w:val="NormalWeb"/>
        <w:shd w:val="clear" w:color="auto" w:fill="FFFFFF"/>
        <w:rPr>
          <w:rStyle w:val="Strong"/>
          <w:rFonts w:ascii="Arial" w:hAnsi="Arial" w:cs="Arial"/>
          <w:szCs w:val="20"/>
          <w:lang w:val="en"/>
        </w:rPr>
      </w:pPr>
    </w:p>
    <w:p w:rsidR="00290706" w:rsidRDefault="00290706" w:rsidP="00477EE3">
      <w:pPr>
        <w:pStyle w:val="NormalWeb"/>
        <w:shd w:val="clear" w:color="auto" w:fill="FFFFFF"/>
        <w:rPr>
          <w:rStyle w:val="Strong"/>
          <w:rFonts w:ascii="Arial" w:hAnsi="Arial" w:cs="Arial"/>
          <w:szCs w:val="20"/>
          <w:lang w:val="en"/>
        </w:rPr>
      </w:pPr>
    </w:p>
    <w:p w:rsidR="00290706" w:rsidRDefault="00290706" w:rsidP="00477EE3">
      <w:pPr>
        <w:pStyle w:val="NormalWeb"/>
        <w:shd w:val="clear" w:color="auto" w:fill="FFFFFF"/>
        <w:rPr>
          <w:rStyle w:val="Strong"/>
          <w:rFonts w:ascii="Arial" w:hAnsi="Arial" w:cs="Arial"/>
          <w:szCs w:val="20"/>
          <w:lang w:val="en"/>
        </w:rPr>
      </w:pPr>
    </w:p>
    <w:p w:rsidR="00477EE3" w:rsidRPr="00020320" w:rsidRDefault="00477EE3" w:rsidP="00477EE3">
      <w:pPr>
        <w:pStyle w:val="NormalWeb"/>
        <w:shd w:val="clear" w:color="auto" w:fill="FFFFFF"/>
        <w:rPr>
          <w:rFonts w:ascii="Arial" w:hAnsi="Arial" w:cs="Arial"/>
          <w:b/>
          <w:bCs/>
          <w:sz w:val="22"/>
          <w:szCs w:val="22"/>
          <w:lang w:val="en"/>
        </w:rPr>
      </w:pPr>
      <w:r w:rsidRPr="00290706">
        <w:rPr>
          <w:rStyle w:val="Strong"/>
          <w:rFonts w:ascii="Arial" w:hAnsi="Arial" w:cs="Arial"/>
          <w:sz w:val="22"/>
          <w:szCs w:val="22"/>
          <w:lang w:val="en"/>
        </w:rPr>
        <w:t>Bureau of Infectious Disease and Laboratory Sciences</w:t>
      </w:r>
      <w:r w:rsidRPr="00290706">
        <w:rPr>
          <w:rFonts w:ascii="Arial" w:hAnsi="Arial" w:cs="Arial"/>
          <w:sz w:val="22"/>
          <w:szCs w:val="22"/>
          <w:lang w:val="en"/>
        </w:rPr>
        <w:br/>
        <w:t xml:space="preserve">Massachusetts </w:t>
      </w:r>
      <w:r w:rsidR="00020320">
        <w:rPr>
          <w:rFonts w:ascii="Arial" w:hAnsi="Arial" w:cs="Arial"/>
          <w:sz w:val="22"/>
          <w:szCs w:val="22"/>
          <w:lang w:val="en"/>
        </w:rPr>
        <w:t>Department of Public Health</w:t>
      </w:r>
      <w:r w:rsidRPr="00290706">
        <w:rPr>
          <w:rFonts w:ascii="Arial" w:hAnsi="Arial" w:cs="Arial"/>
          <w:sz w:val="22"/>
          <w:szCs w:val="22"/>
          <w:lang w:val="en"/>
        </w:rPr>
        <w:br/>
        <w:t>305 South Street</w:t>
      </w:r>
      <w:r w:rsidRPr="00290706">
        <w:rPr>
          <w:rFonts w:ascii="Arial" w:hAnsi="Arial" w:cs="Arial"/>
          <w:sz w:val="22"/>
          <w:szCs w:val="22"/>
          <w:lang w:val="en"/>
        </w:rPr>
        <w:br/>
        <w:t>Jamaica Plain, MA 02130</w:t>
      </w:r>
    </w:p>
    <w:p w:rsidR="00591FB5" w:rsidRDefault="00591FB5" w:rsidP="00477EE3">
      <w:pPr>
        <w:spacing w:after="0" w:line="240" w:lineRule="auto"/>
        <w:rPr>
          <w:rFonts w:ascii="Arial" w:eastAsia="Times New Roman" w:hAnsi="Arial" w:cs="Arial"/>
          <w:b/>
        </w:rPr>
      </w:pPr>
      <w:r>
        <w:rPr>
          <w:rFonts w:ascii="Arial" w:eastAsia="Times New Roman" w:hAnsi="Arial" w:cs="Arial"/>
          <w:b/>
        </w:rPr>
        <w:t>For questions about this report, contact:</w:t>
      </w:r>
    </w:p>
    <w:p w:rsidR="00591FB5" w:rsidRDefault="0045758D" w:rsidP="00477EE3">
      <w:pPr>
        <w:spacing w:after="0" w:line="240" w:lineRule="auto"/>
        <w:rPr>
          <w:rFonts w:ascii="Arial" w:eastAsia="Times New Roman" w:hAnsi="Arial" w:cs="Arial"/>
          <w:b/>
        </w:rPr>
      </w:pPr>
      <w:hyperlink r:id="rId10" w:history="1">
        <w:r w:rsidR="00591FB5" w:rsidRPr="001757B1">
          <w:rPr>
            <w:rStyle w:val="Hyperlink"/>
            <w:rFonts w:ascii="Arial" w:eastAsia="Times New Roman" w:hAnsi="Arial" w:cs="Arial"/>
          </w:rPr>
          <w:t>Alexandra.dejesus@state.ma.us</w:t>
        </w:r>
      </w:hyperlink>
      <w:r w:rsidR="00591FB5">
        <w:rPr>
          <w:rFonts w:ascii="Arial" w:eastAsia="Times New Roman" w:hAnsi="Arial" w:cs="Arial"/>
        </w:rPr>
        <w:t xml:space="preserve"> or </w:t>
      </w:r>
      <w:hyperlink r:id="rId11" w:history="1">
        <w:r w:rsidR="00591FB5" w:rsidRPr="001757B1">
          <w:rPr>
            <w:rStyle w:val="Hyperlink"/>
            <w:rFonts w:ascii="Arial" w:eastAsia="Times New Roman" w:hAnsi="Arial" w:cs="Arial"/>
          </w:rPr>
          <w:t>Melissa.cumming@state.ma.us</w:t>
        </w:r>
      </w:hyperlink>
      <w:r w:rsidR="00591FB5">
        <w:rPr>
          <w:rFonts w:ascii="Arial" w:eastAsia="Times New Roman" w:hAnsi="Arial" w:cs="Arial"/>
        </w:rPr>
        <w:t xml:space="preserve"> </w:t>
      </w:r>
    </w:p>
    <w:p w:rsidR="00591FB5" w:rsidRDefault="00591FB5" w:rsidP="00477EE3">
      <w:pPr>
        <w:spacing w:after="0" w:line="240" w:lineRule="auto"/>
        <w:rPr>
          <w:rFonts w:ascii="Arial" w:eastAsia="Times New Roman" w:hAnsi="Arial" w:cs="Arial"/>
          <w:b/>
        </w:rPr>
      </w:pPr>
    </w:p>
    <w:p w:rsidR="00591FB5" w:rsidRDefault="00591FB5" w:rsidP="00477EE3">
      <w:pPr>
        <w:spacing w:after="0" w:line="240" w:lineRule="auto"/>
        <w:rPr>
          <w:rFonts w:ascii="Arial" w:eastAsia="Times New Roman" w:hAnsi="Arial" w:cs="Arial"/>
          <w:b/>
        </w:rPr>
      </w:pPr>
    </w:p>
    <w:p w:rsidR="00591FB5" w:rsidRDefault="00591FB5" w:rsidP="00477EE3">
      <w:pPr>
        <w:spacing w:after="0" w:line="240" w:lineRule="auto"/>
        <w:rPr>
          <w:rFonts w:ascii="Arial" w:eastAsia="Times New Roman" w:hAnsi="Arial" w:cs="Arial"/>
          <w:b/>
        </w:rPr>
      </w:pPr>
    </w:p>
    <w:p w:rsidR="00591FB5" w:rsidRDefault="00591FB5" w:rsidP="00477EE3">
      <w:pPr>
        <w:spacing w:after="0" w:line="240" w:lineRule="auto"/>
        <w:rPr>
          <w:rFonts w:ascii="Arial" w:eastAsia="Times New Roman" w:hAnsi="Arial" w:cs="Arial"/>
          <w:b/>
        </w:rPr>
      </w:pPr>
    </w:p>
    <w:p w:rsidR="00591FB5" w:rsidRDefault="00591FB5" w:rsidP="00477EE3">
      <w:pPr>
        <w:spacing w:after="0" w:line="240" w:lineRule="auto"/>
        <w:rPr>
          <w:rFonts w:ascii="Arial" w:eastAsia="Times New Roman" w:hAnsi="Arial" w:cs="Arial"/>
          <w:b/>
        </w:rPr>
      </w:pPr>
    </w:p>
    <w:p w:rsidR="00591FB5" w:rsidRDefault="00591FB5" w:rsidP="00477EE3">
      <w:pPr>
        <w:spacing w:after="0" w:line="240" w:lineRule="auto"/>
        <w:rPr>
          <w:rFonts w:ascii="Arial" w:eastAsia="Times New Roman" w:hAnsi="Arial" w:cs="Arial"/>
          <w:b/>
        </w:rPr>
      </w:pPr>
    </w:p>
    <w:p w:rsidR="00591FB5" w:rsidRDefault="00591FB5" w:rsidP="00477EE3">
      <w:pPr>
        <w:spacing w:after="0" w:line="240" w:lineRule="auto"/>
        <w:rPr>
          <w:rFonts w:ascii="Arial" w:eastAsia="Times New Roman" w:hAnsi="Arial" w:cs="Arial"/>
          <w:b/>
        </w:rPr>
      </w:pPr>
    </w:p>
    <w:p w:rsidR="00591FB5" w:rsidRDefault="00591FB5" w:rsidP="00477EE3">
      <w:pPr>
        <w:spacing w:after="0" w:line="240" w:lineRule="auto"/>
        <w:rPr>
          <w:rFonts w:ascii="Arial" w:eastAsia="Times New Roman" w:hAnsi="Arial" w:cs="Arial"/>
          <w:b/>
        </w:rPr>
      </w:pPr>
    </w:p>
    <w:p w:rsidR="00591FB5" w:rsidRDefault="00591FB5" w:rsidP="00477EE3">
      <w:pPr>
        <w:spacing w:after="0" w:line="240" w:lineRule="auto"/>
        <w:rPr>
          <w:rFonts w:ascii="Arial" w:eastAsia="Times New Roman" w:hAnsi="Arial" w:cs="Arial"/>
          <w:b/>
        </w:rPr>
      </w:pPr>
    </w:p>
    <w:p w:rsidR="00591FB5" w:rsidRDefault="00591FB5" w:rsidP="00477EE3">
      <w:pPr>
        <w:spacing w:after="0" w:line="240" w:lineRule="auto"/>
        <w:rPr>
          <w:rFonts w:ascii="Arial" w:eastAsia="Times New Roman" w:hAnsi="Arial" w:cs="Arial"/>
          <w:b/>
        </w:rPr>
      </w:pPr>
    </w:p>
    <w:p w:rsidR="00591FB5" w:rsidRDefault="00591FB5" w:rsidP="00477EE3">
      <w:pPr>
        <w:spacing w:after="0" w:line="240" w:lineRule="auto"/>
        <w:rPr>
          <w:rFonts w:ascii="Arial" w:eastAsia="Times New Roman" w:hAnsi="Arial" w:cs="Arial"/>
          <w:b/>
        </w:rPr>
      </w:pPr>
    </w:p>
    <w:p w:rsidR="00591FB5" w:rsidRDefault="00591FB5" w:rsidP="00477EE3">
      <w:pPr>
        <w:spacing w:after="0" w:line="240" w:lineRule="auto"/>
        <w:rPr>
          <w:rFonts w:ascii="Arial" w:eastAsia="Times New Roman" w:hAnsi="Arial" w:cs="Arial"/>
          <w:b/>
        </w:rPr>
      </w:pPr>
    </w:p>
    <w:p w:rsidR="00591FB5" w:rsidRDefault="00591FB5" w:rsidP="00477EE3">
      <w:pPr>
        <w:spacing w:after="0" w:line="240" w:lineRule="auto"/>
        <w:rPr>
          <w:rFonts w:ascii="Arial" w:eastAsia="Times New Roman" w:hAnsi="Arial" w:cs="Arial"/>
          <w:b/>
        </w:rPr>
      </w:pPr>
    </w:p>
    <w:p w:rsidR="00591FB5" w:rsidRDefault="00591FB5" w:rsidP="00477EE3">
      <w:pPr>
        <w:spacing w:after="0" w:line="240" w:lineRule="auto"/>
        <w:rPr>
          <w:rFonts w:ascii="Arial" w:eastAsia="Times New Roman" w:hAnsi="Arial" w:cs="Arial"/>
          <w:b/>
        </w:rPr>
      </w:pPr>
    </w:p>
    <w:p w:rsidR="00591FB5" w:rsidRDefault="00591FB5" w:rsidP="00477EE3">
      <w:pPr>
        <w:spacing w:after="0" w:line="240" w:lineRule="auto"/>
        <w:rPr>
          <w:rFonts w:ascii="Arial" w:eastAsia="Times New Roman" w:hAnsi="Arial" w:cs="Arial"/>
          <w:b/>
        </w:rPr>
      </w:pPr>
    </w:p>
    <w:p w:rsidR="00591FB5" w:rsidRDefault="00591FB5" w:rsidP="00477EE3">
      <w:pPr>
        <w:spacing w:after="0" w:line="240" w:lineRule="auto"/>
        <w:rPr>
          <w:rFonts w:ascii="Arial" w:eastAsia="Times New Roman" w:hAnsi="Arial" w:cs="Arial"/>
          <w:b/>
        </w:rPr>
      </w:pPr>
    </w:p>
    <w:p w:rsidR="00591FB5" w:rsidRDefault="00591FB5" w:rsidP="00477EE3">
      <w:pPr>
        <w:spacing w:after="0" w:line="240" w:lineRule="auto"/>
        <w:rPr>
          <w:rFonts w:ascii="Arial" w:eastAsia="Times New Roman" w:hAnsi="Arial" w:cs="Arial"/>
          <w:b/>
        </w:rPr>
      </w:pPr>
    </w:p>
    <w:p w:rsidR="00591FB5" w:rsidRDefault="00591FB5" w:rsidP="00477EE3">
      <w:pPr>
        <w:spacing w:after="0" w:line="240" w:lineRule="auto"/>
        <w:rPr>
          <w:rFonts w:ascii="Arial" w:eastAsia="Times New Roman" w:hAnsi="Arial" w:cs="Arial"/>
          <w:b/>
        </w:rPr>
      </w:pPr>
    </w:p>
    <w:p w:rsidR="00591FB5" w:rsidRDefault="00591FB5" w:rsidP="00477EE3">
      <w:pPr>
        <w:spacing w:after="0" w:line="240" w:lineRule="auto"/>
        <w:rPr>
          <w:rFonts w:ascii="Arial" w:eastAsia="Times New Roman" w:hAnsi="Arial" w:cs="Arial"/>
          <w:b/>
        </w:rPr>
      </w:pPr>
    </w:p>
    <w:p w:rsidR="00591FB5" w:rsidRDefault="00591FB5" w:rsidP="00477EE3">
      <w:pPr>
        <w:spacing w:after="0" w:line="240" w:lineRule="auto"/>
        <w:rPr>
          <w:rFonts w:ascii="Arial" w:eastAsia="Times New Roman" w:hAnsi="Arial" w:cs="Arial"/>
          <w:b/>
        </w:rPr>
      </w:pPr>
    </w:p>
    <w:p w:rsidR="00591FB5" w:rsidRDefault="00591FB5" w:rsidP="00477EE3">
      <w:pPr>
        <w:spacing w:after="0" w:line="240" w:lineRule="auto"/>
        <w:rPr>
          <w:rFonts w:ascii="Arial" w:eastAsia="Times New Roman" w:hAnsi="Arial" w:cs="Arial"/>
          <w:b/>
        </w:rPr>
      </w:pPr>
    </w:p>
    <w:p w:rsidR="00477EE3" w:rsidRPr="00290706" w:rsidRDefault="00FD10D9" w:rsidP="00477EE3">
      <w:pPr>
        <w:spacing w:after="0" w:line="240" w:lineRule="auto"/>
        <w:rPr>
          <w:rFonts w:ascii="Arial" w:eastAsia="Times New Roman" w:hAnsi="Arial" w:cs="Arial"/>
          <w:b/>
        </w:rPr>
      </w:pPr>
      <w:r w:rsidRPr="00290706">
        <w:rPr>
          <w:rFonts w:ascii="Arial" w:eastAsia="Times New Roman" w:hAnsi="Arial" w:cs="Arial"/>
          <w:b/>
        </w:rPr>
        <w:t>S</w:t>
      </w:r>
      <w:r w:rsidR="00477EE3" w:rsidRPr="00290706">
        <w:rPr>
          <w:rFonts w:ascii="Arial" w:eastAsia="Times New Roman" w:hAnsi="Arial" w:cs="Arial"/>
          <w:b/>
        </w:rPr>
        <w:t>uggested citation</w:t>
      </w:r>
      <w:r w:rsidR="00591FB5">
        <w:rPr>
          <w:rFonts w:ascii="Arial" w:eastAsia="Times New Roman" w:hAnsi="Arial" w:cs="Arial"/>
          <w:b/>
        </w:rPr>
        <w:t>:</w:t>
      </w:r>
    </w:p>
    <w:p w:rsidR="00477EE3" w:rsidRPr="00290706" w:rsidRDefault="00477EE3" w:rsidP="00477EE3">
      <w:pPr>
        <w:spacing w:after="0" w:line="240" w:lineRule="auto"/>
        <w:rPr>
          <w:rFonts w:ascii="Arial" w:eastAsia="Times New Roman" w:hAnsi="Arial" w:cs="Arial"/>
          <w:i/>
        </w:rPr>
      </w:pPr>
      <w:proofErr w:type="gramStart"/>
      <w:r w:rsidRPr="00290706">
        <w:rPr>
          <w:rFonts w:ascii="Arial" w:eastAsia="Times New Roman" w:hAnsi="Arial" w:cs="Arial"/>
        </w:rPr>
        <w:t>Massachusetts Department of Public Health, Bureau of Infectious Disease and Laboratory Sciences.</w:t>
      </w:r>
      <w:proofErr w:type="gramEnd"/>
      <w:r w:rsidRPr="00290706">
        <w:rPr>
          <w:rFonts w:ascii="Arial" w:eastAsia="Times New Roman" w:hAnsi="Arial" w:cs="Arial"/>
          <w:b/>
        </w:rPr>
        <w:t xml:space="preserve"> </w:t>
      </w:r>
      <w:r w:rsidRPr="00290706">
        <w:rPr>
          <w:rFonts w:ascii="Arial" w:eastAsia="Times New Roman" w:hAnsi="Arial" w:cs="Arial"/>
          <w:i/>
        </w:rPr>
        <w:t>Hemovigilance Program Data Summary January – December 31, 2017.</w:t>
      </w:r>
    </w:p>
    <w:p w:rsidR="00477EE3" w:rsidRPr="00290706" w:rsidRDefault="0045758D" w:rsidP="00477EE3">
      <w:pPr>
        <w:spacing w:after="0" w:line="240" w:lineRule="auto"/>
        <w:rPr>
          <w:rFonts w:ascii="Arial" w:eastAsia="Times New Roman" w:hAnsi="Arial" w:cs="Arial"/>
        </w:rPr>
      </w:pPr>
      <w:hyperlink r:id="rId12" w:history="1">
        <w:r w:rsidR="00477EE3" w:rsidRPr="00290706">
          <w:rPr>
            <w:rFonts w:ascii="Arial" w:eastAsia="Times New Roman" w:hAnsi="Arial" w:cs="Arial"/>
            <w:color w:val="0000FF"/>
            <w:u w:val="single"/>
          </w:rPr>
          <w:t>http://www.mass.gov/eohhs/gov/departments/dph/programs/id/</w:t>
        </w:r>
      </w:hyperlink>
      <w:r w:rsidR="00477EE3" w:rsidRPr="00290706">
        <w:rPr>
          <w:rFonts w:ascii="Arial" w:eastAsia="Times New Roman" w:hAnsi="Arial" w:cs="Arial"/>
        </w:rPr>
        <w:t xml:space="preserve"> .  </w:t>
      </w:r>
      <w:proofErr w:type="gramStart"/>
      <w:r w:rsidR="00477EE3" w:rsidRPr="00290706">
        <w:rPr>
          <w:rFonts w:ascii="Arial" w:eastAsia="Times New Roman" w:hAnsi="Arial" w:cs="Arial"/>
        </w:rPr>
        <w:t>Published July 2018.</w:t>
      </w:r>
      <w:proofErr w:type="gramEnd"/>
      <w:r w:rsidR="00477EE3" w:rsidRPr="00290706">
        <w:rPr>
          <w:rFonts w:ascii="Arial" w:eastAsia="Times New Roman" w:hAnsi="Arial" w:cs="Arial"/>
        </w:rPr>
        <w:t xml:space="preserve"> </w:t>
      </w:r>
      <w:proofErr w:type="gramStart"/>
      <w:r w:rsidR="00477EE3" w:rsidRPr="00290706">
        <w:rPr>
          <w:rFonts w:ascii="Arial" w:eastAsia="Times New Roman" w:hAnsi="Arial" w:cs="Arial"/>
        </w:rPr>
        <w:t>Accessed [date].</w:t>
      </w:r>
      <w:proofErr w:type="gramEnd"/>
    </w:p>
    <w:p w:rsidR="00477EE3" w:rsidRPr="00290706" w:rsidRDefault="00477EE3" w:rsidP="00477EE3">
      <w:pPr>
        <w:pStyle w:val="Default"/>
        <w:spacing w:before="240"/>
        <w:rPr>
          <w:rFonts w:ascii="Arial" w:hAnsi="Arial" w:cs="Arial"/>
          <w:sz w:val="22"/>
          <w:szCs w:val="22"/>
        </w:rPr>
      </w:pPr>
      <w:r w:rsidRPr="00290706">
        <w:rPr>
          <w:rStyle w:val="SC2721"/>
          <w:rFonts w:ascii="Arial" w:hAnsi="Arial" w:cs="Arial"/>
          <w:b/>
          <w:bCs/>
          <w:sz w:val="22"/>
          <w:szCs w:val="22"/>
        </w:rPr>
        <w:t>Acknowledgments</w:t>
      </w:r>
    </w:p>
    <w:p w:rsidR="00477EE3" w:rsidRPr="00290706" w:rsidRDefault="00477EE3" w:rsidP="00FD10D9">
      <w:pPr>
        <w:pStyle w:val="NoSpacing"/>
        <w:rPr>
          <w:rFonts w:ascii="Arial" w:hAnsi="Arial" w:cs="Arial"/>
        </w:rPr>
      </w:pPr>
      <w:r w:rsidRPr="00290706">
        <w:rPr>
          <w:rFonts w:ascii="Arial" w:hAnsi="Arial" w:cs="Arial"/>
          <w:spacing w:val="-1"/>
        </w:rPr>
        <w:t>This</w:t>
      </w:r>
      <w:r w:rsidRPr="00290706">
        <w:rPr>
          <w:rFonts w:ascii="Arial" w:hAnsi="Arial" w:cs="Arial"/>
        </w:rPr>
        <w:t xml:space="preserve"> report was prepared by the following MDPH staff:</w:t>
      </w:r>
    </w:p>
    <w:p w:rsidR="000F1EBA" w:rsidRPr="00290706" w:rsidRDefault="00477EE3" w:rsidP="00FD10D9">
      <w:pPr>
        <w:pStyle w:val="NoSpacing"/>
        <w:rPr>
          <w:rFonts w:ascii="Arial" w:hAnsi="Arial" w:cs="Arial"/>
          <w:spacing w:val="-8"/>
          <w:lang w:val="es-SV"/>
        </w:rPr>
      </w:pPr>
      <w:r w:rsidRPr="00290706">
        <w:rPr>
          <w:rFonts w:ascii="Arial" w:hAnsi="Arial" w:cs="Arial"/>
          <w:lang w:val="es-SV"/>
        </w:rPr>
        <w:t>Ale</w:t>
      </w:r>
      <w:r w:rsidR="00FD10D9" w:rsidRPr="00290706">
        <w:rPr>
          <w:rFonts w:ascii="Arial" w:hAnsi="Arial" w:cs="Arial"/>
          <w:lang w:val="es-SV"/>
        </w:rPr>
        <w:t>x</w:t>
      </w:r>
      <w:r w:rsidRPr="00290706">
        <w:rPr>
          <w:rFonts w:ascii="Arial" w:hAnsi="Arial" w:cs="Arial"/>
          <w:lang w:val="es-SV"/>
        </w:rPr>
        <w:t xml:space="preserve">andra De </w:t>
      </w:r>
      <w:proofErr w:type="spellStart"/>
      <w:r w:rsidRPr="00290706">
        <w:rPr>
          <w:rFonts w:ascii="Arial" w:hAnsi="Arial" w:cs="Arial"/>
          <w:lang w:val="es-SV"/>
        </w:rPr>
        <w:t>Jesus</w:t>
      </w:r>
      <w:proofErr w:type="spellEnd"/>
      <w:r w:rsidRPr="00290706">
        <w:rPr>
          <w:rFonts w:ascii="Arial" w:hAnsi="Arial" w:cs="Arial"/>
          <w:spacing w:val="-1"/>
          <w:lang w:val="es-SV"/>
        </w:rPr>
        <w:t>,</w:t>
      </w:r>
      <w:r w:rsidRPr="00290706">
        <w:rPr>
          <w:rFonts w:ascii="Arial" w:hAnsi="Arial" w:cs="Arial"/>
          <w:spacing w:val="-8"/>
          <w:lang w:val="es-SV"/>
        </w:rPr>
        <w:t xml:space="preserve"> </w:t>
      </w:r>
      <w:r w:rsidR="00FD10D9" w:rsidRPr="00290706">
        <w:rPr>
          <w:rFonts w:ascii="Arial" w:hAnsi="Arial" w:cs="Arial"/>
          <w:spacing w:val="-8"/>
          <w:lang w:val="es-SV"/>
        </w:rPr>
        <w:t>MPH</w:t>
      </w:r>
    </w:p>
    <w:p w:rsidR="00477EE3" w:rsidRDefault="00477EE3" w:rsidP="00FD10D9">
      <w:pPr>
        <w:pStyle w:val="NoSpacing"/>
        <w:rPr>
          <w:rFonts w:ascii="Arial" w:hAnsi="Arial" w:cs="Arial"/>
          <w:spacing w:val="1"/>
          <w:w w:val="99"/>
          <w:lang w:val="es-SV"/>
        </w:rPr>
      </w:pPr>
      <w:r w:rsidRPr="00290706">
        <w:rPr>
          <w:rFonts w:ascii="Arial" w:hAnsi="Arial" w:cs="Arial"/>
          <w:lang w:val="es-SV"/>
        </w:rPr>
        <w:t>Melissa</w:t>
      </w:r>
      <w:r w:rsidRPr="00290706">
        <w:rPr>
          <w:rFonts w:ascii="Arial" w:hAnsi="Arial" w:cs="Arial"/>
          <w:spacing w:val="-8"/>
          <w:lang w:val="es-SV"/>
        </w:rPr>
        <w:t xml:space="preserve"> </w:t>
      </w:r>
      <w:r w:rsidRPr="00290706">
        <w:rPr>
          <w:rFonts w:ascii="Arial" w:hAnsi="Arial" w:cs="Arial"/>
          <w:lang w:val="es-SV"/>
        </w:rPr>
        <w:t>Cumming,</w:t>
      </w:r>
      <w:r w:rsidRPr="00290706">
        <w:rPr>
          <w:rFonts w:ascii="Arial" w:hAnsi="Arial" w:cs="Arial"/>
          <w:spacing w:val="-9"/>
          <w:lang w:val="es-SV"/>
        </w:rPr>
        <w:t xml:space="preserve"> </w:t>
      </w:r>
      <w:r w:rsidRPr="00290706">
        <w:rPr>
          <w:rFonts w:ascii="Arial" w:hAnsi="Arial" w:cs="Arial"/>
          <w:spacing w:val="1"/>
          <w:lang w:val="es-SV"/>
        </w:rPr>
        <w:t>MS</w:t>
      </w:r>
      <w:r w:rsidRPr="00290706">
        <w:rPr>
          <w:rFonts w:ascii="Arial" w:hAnsi="Arial" w:cs="Arial"/>
          <w:spacing w:val="1"/>
          <w:w w:val="99"/>
          <w:lang w:val="es-SV"/>
        </w:rPr>
        <w:t xml:space="preserve"> </w:t>
      </w:r>
    </w:p>
    <w:p w:rsidR="006C30E9" w:rsidRPr="00290706" w:rsidRDefault="006C30E9" w:rsidP="00FD10D9">
      <w:pPr>
        <w:pStyle w:val="NoSpacing"/>
        <w:rPr>
          <w:rFonts w:ascii="Arial" w:hAnsi="Arial" w:cs="Arial"/>
          <w:spacing w:val="-8"/>
          <w:lang w:val="es-SV"/>
        </w:rPr>
      </w:pPr>
      <w:r>
        <w:rPr>
          <w:rFonts w:ascii="Arial" w:hAnsi="Arial" w:cs="Arial"/>
          <w:spacing w:val="1"/>
          <w:w w:val="99"/>
          <w:lang w:val="es-SV"/>
        </w:rPr>
        <w:t>Christina Brandeburg, MPH</w:t>
      </w:r>
    </w:p>
    <w:p w:rsidR="00477EE3" w:rsidRPr="00290706" w:rsidRDefault="00477EE3" w:rsidP="00FD10D9">
      <w:pPr>
        <w:pStyle w:val="NoSpacing"/>
        <w:rPr>
          <w:rFonts w:ascii="Arial" w:hAnsi="Arial" w:cs="Arial"/>
        </w:rPr>
      </w:pPr>
      <w:r w:rsidRPr="00290706">
        <w:rPr>
          <w:rFonts w:ascii="Arial" w:hAnsi="Arial" w:cs="Arial"/>
        </w:rPr>
        <w:t>Alfred</w:t>
      </w:r>
      <w:r w:rsidRPr="00290706">
        <w:rPr>
          <w:rFonts w:ascii="Arial" w:hAnsi="Arial" w:cs="Arial"/>
          <w:spacing w:val="-13"/>
        </w:rPr>
        <w:t xml:space="preserve"> </w:t>
      </w:r>
      <w:r w:rsidRPr="00290706">
        <w:rPr>
          <w:rFonts w:ascii="Arial" w:hAnsi="Arial" w:cs="Arial"/>
        </w:rPr>
        <w:t>DeMaria,</w:t>
      </w:r>
      <w:r w:rsidRPr="00290706">
        <w:rPr>
          <w:rFonts w:ascii="Arial" w:hAnsi="Arial" w:cs="Arial"/>
          <w:spacing w:val="-12"/>
        </w:rPr>
        <w:t xml:space="preserve"> </w:t>
      </w:r>
      <w:r w:rsidR="00020320">
        <w:rPr>
          <w:rFonts w:ascii="Arial" w:hAnsi="Arial" w:cs="Arial"/>
          <w:spacing w:val="-12"/>
        </w:rPr>
        <w:t xml:space="preserve">Jr., </w:t>
      </w:r>
      <w:r w:rsidRPr="00290706">
        <w:rPr>
          <w:rFonts w:ascii="Arial" w:hAnsi="Arial" w:cs="Arial"/>
          <w:spacing w:val="1"/>
        </w:rPr>
        <w:t>MD</w:t>
      </w:r>
    </w:p>
    <w:p w:rsidR="00477EE3" w:rsidRPr="004908B7" w:rsidRDefault="00477EE3" w:rsidP="00014C6C">
      <w:pPr>
        <w:widowControl w:val="0"/>
        <w:spacing w:after="0" w:line="240" w:lineRule="auto"/>
        <w:rPr>
          <w:rFonts w:ascii="Arial" w:eastAsia="Calibri" w:hAnsi="Arial" w:cs="Arial"/>
          <w:sz w:val="24"/>
          <w:szCs w:val="24"/>
        </w:rPr>
        <w:sectPr w:rsidR="00477EE3" w:rsidRPr="004908B7" w:rsidSect="00290706">
          <w:type w:val="continuous"/>
          <w:pgSz w:w="12240" w:h="15840"/>
          <w:pgMar w:top="640" w:right="940" w:bottom="280" w:left="960" w:header="720" w:footer="720" w:gutter="0"/>
          <w:cols w:num="2" w:space="720"/>
          <w:docGrid w:linePitch="299"/>
        </w:sectPr>
      </w:pPr>
    </w:p>
    <w:p w:rsidR="00052D68" w:rsidRPr="00880D3D" w:rsidRDefault="00052D68" w:rsidP="00052D68">
      <w:pPr>
        <w:widowControl w:val="0"/>
        <w:spacing w:before="46" w:after="0" w:line="240" w:lineRule="auto"/>
        <w:ind w:left="21"/>
        <w:jc w:val="center"/>
        <w:outlineLvl w:val="1"/>
        <w:rPr>
          <w:rFonts w:ascii="Arial" w:eastAsia="Arial" w:hAnsi="Arial" w:cs="Arial"/>
          <w:sz w:val="20"/>
          <w:szCs w:val="20"/>
        </w:rPr>
      </w:pPr>
      <w:bookmarkStart w:id="1" w:name="report_v8"/>
      <w:bookmarkStart w:id="2" w:name="_Toc516748488"/>
      <w:bookmarkEnd w:id="1"/>
      <w:r w:rsidRPr="00880D3D">
        <w:rPr>
          <w:rFonts w:ascii="Arial" w:eastAsia="Arial" w:hAnsi="Arial" w:cs="Arial"/>
          <w:b/>
          <w:bCs/>
          <w:spacing w:val="-1"/>
          <w:sz w:val="20"/>
          <w:szCs w:val="20"/>
        </w:rPr>
        <w:lastRenderedPageBreak/>
        <w:t>Executive</w:t>
      </w:r>
      <w:r w:rsidRPr="00880D3D">
        <w:rPr>
          <w:rFonts w:ascii="Arial" w:eastAsia="Arial" w:hAnsi="Arial" w:cs="Arial"/>
          <w:b/>
          <w:bCs/>
          <w:sz w:val="20"/>
          <w:szCs w:val="20"/>
        </w:rPr>
        <w:t xml:space="preserve"> </w:t>
      </w:r>
      <w:r w:rsidRPr="00880D3D">
        <w:rPr>
          <w:rFonts w:ascii="Arial" w:eastAsia="Arial" w:hAnsi="Arial" w:cs="Arial"/>
          <w:b/>
          <w:bCs/>
          <w:spacing w:val="-1"/>
          <w:sz w:val="20"/>
          <w:szCs w:val="20"/>
        </w:rPr>
        <w:t>Summary</w:t>
      </w:r>
      <w:bookmarkEnd w:id="2"/>
    </w:p>
    <w:p w:rsidR="00052D68" w:rsidRPr="00880D3D" w:rsidRDefault="00052D68" w:rsidP="00052D68">
      <w:pPr>
        <w:widowControl w:val="0"/>
        <w:spacing w:before="6" w:after="0" w:line="240" w:lineRule="auto"/>
        <w:rPr>
          <w:rFonts w:ascii="Arial" w:eastAsia="Arial" w:hAnsi="Arial" w:cs="Arial"/>
          <w:b/>
          <w:bCs/>
          <w:sz w:val="20"/>
          <w:szCs w:val="20"/>
        </w:rPr>
      </w:pPr>
    </w:p>
    <w:p w:rsidR="00052D68" w:rsidRPr="00880D3D" w:rsidRDefault="00052D68" w:rsidP="00634E93">
      <w:pPr>
        <w:widowControl w:val="0"/>
        <w:spacing w:before="74" w:after="0" w:line="240" w:lineRule="auto"/>
        <w:ind w:left="21"/>
        <w:outlineLvl w:val="2"/>
        <w:rPr>
          <w:rFonts w:ascii="Arial" w:eastAsia="Arial" w:hAnsi="Arial" w:cs="Arial"/>
          <w:sz w:val="20"/>
          <w:szCs w:val="20"/>
        </w:rPr>
      </w:pPr>
      <w:bookmarkStart w:id="3" w:name="_Toc516748489"/>
      <w:r w:rsidRPr="00880D3D">
        <w:rPr>
          <w:rFonts w:ascii="Arial" w:eastAsia="Arial" w:hAnsi="Arial" w:cs="Arial"/>
          <w:b/>
          <w:bCs/>
          <w:spacing w:val="-1"/>
          <w:sz w:val="20"/>
          <w:szCs w:val="20"/>
        </w:rPr>
        <w:t>Technical Notes</w:t>
      </w:r>
      <w:bookmarkEnd w:id="3"/>
    </w:p>
    <w:p w:rsidR="00052D68" w:rsidRPr="00880D3D" w:rsidRDefault="00052D68" w:rsidP="00052D68">
      <w:pPr>
        <w:widowControl w:val="0"/>
        <w:spacing w:before="11" w:after="0" w:line="240" w:lineRule="auto"/>
        <w:rPr>
          <w:rFonts w:ascii="Arial" w:eastAsia="Arial" w:hAnsi="Arial" w:cs="Arial"/>
          <w:b/>
          <w:bCs/>
          <w:sz w:val="20"/>
          <w:szCs w:val="20"/>
        </w:rPr>
      </w:pPr>
    </w:p>
    <w:p w:rsidR="00632BA9" w:rsidRPr="00632BA9" w:rsidRDefault="00632BA9" w:rsidP="00632BA9">
      <w:pPr>
        <w:pStyle w:val="NoSpacing"/>
        <w:rPr>
          <w:rFonts w:ascii="Arial" w:hAnsi="Arial" w:cs="Arial"/>
          <w:sz w:val="20"/>
        </w:rPr>
      </w:pPr>
      <w:r w:rsidRPr="00632BA9">
        <w:rPr>
          <w:rFonts w:ascii="Arial" w:hAnsi="Arial" w:cs="Arial"/>
          <w:sz w:val="20"/>
        </w:rPr>
        <w:t>This report includes data generated by Massachusetts blood banks collected through the Hemovigilance Module of the National Healthcare Safety</w:t>
      </w:r>
      <w:r w:rsidRPr="00632BA9">
        <w:rPr>
          <w:rFonts w:ascii="Arial" w:hAnsi="Arial" w:cs="Arial"/>
          <w:spacing w:val="64"/>
          <w:sz w:val="20"/>
        </w:rPr>
        <w:t xml:space="preserve"> </w:t>
      </w:r>
      <w:r w:rsidRPr="00632BA9">
        <w:rPr>
          <w:rFonts w:ascii="Arial" w:hAnsi="Arial" w:cs="Arial"/>
          <w:sz w:val="20"/>
        </w:rPr>
        <w:t>Network (NHSN) from January 1, 2017 through</w:t>
      </w:r>
      <w:r w:rsidRPr="00632BA9">
        <w:rPr>
          <w:rFonts w:ascii="Arial" w:hAnsi="Arial" w:cs="Arial"/>
          <w:spacing w:val="-2"/>
          <w:sz w:val="20"/>
        </w:rPr>
        <w:t xml:space="preserve"> </w:t>
      </w:r>
      <w:r w:rsidRPr="00632BA9">
        <w:rPr>
          <w:rFonts w:ascii="Arial" w:hAnsi="Arial" w:cs="Arial"/>
          <w:sz w:val="20"/>
        </w:rPr>
        <w:t>December 31, 2017. The</w:t>
      </w:r>
      <w:r w:rsidRPr="00632BA9">
        <w:rPr>
          <w:rFonts w:ascii="Arial" w:hAnsi="Arial" w:cs="Arial"/>
          <w:spacing w:val="20"/>
          <w:sz w:val="20"/>
        </w:rPr>
        <w:t xml:space="preserve"> </w:t>
      </w:r>
      <w:r w:rsidRPr="00632BA9">
        <w:rPr>
          <w:rFonts w:ascii="Arial" w:hAnsi="Arial" w:cs="Arial"/>
          <w:sz w:val="20"/>
        </w:rPr>
        <w:t>purpose of this report is to</w:t>
      </w:r>
      <w:r w:rsidRPr="00632BA9">
        <w:rPr>
          <w:rFonts w:ascii="Arial" w:hAnsi="Arial" w:cs="Arial"/>
          <w:spacing w:val="-2"/>
          <w:sz w:val="20"/>
        </w:rPr>
        <w:t xml:space="preserve"> </w:t>
      </w:r>
      <w:r w:rsidRPr="00632BA9">
        <w:rPr>
          <w:rFonts w:ascii="Arial" w:hAnsi="Arial" w:cs="Arial"/>
          <w:sz w:val="20"/>
        </w:rPr>
        <w:t>provide information on transfusion activity in the state, as well as on transfusion-associated</w:t>
      </w:r>
      <w:r w:rsidRPr="00632BA9">
        <w:rPr>
          <w:rFonts w:ascii="Arial" w:hAnsi="Arial" w:cs="Arial"/>
          <w:spacing w:val="-2"/>
          <w:sz w:val="20"/>
        </w:rPr>
        <w:t xml:space="preserve"> </w:t>
      </w:r>
      <w:r w:rsidRPr="00632BA9">
        <w:rPr>
          <w:rFonts w:ascii="Arial" w:hAnsi="Arial" w:cs="Arial"/>
          <w:sz w:val="20"/>
        </w:rPr>
        <w:t>adverse events. Blood banks in Massachusetts can examine their own facility metrics and use this report for</w:t>
      </w:r>
      <w:r w:rsidRPr="00632BA9">
        <w:rPr>
          <w:rFonts w:ascii="Arial" w:hAnsi="Arial" w:cs="Arial"/>
          <w:spacing w:val="-2"/>
          <w:sz w:val="20"/>
        </w:rPr>
        <w:t xml:space="preserve"> </w:t>
      </w:r>
      <w:r w:rsidRPr="00632BA9">
        <w:rPr>
          <w:rFonts w:ascii="Arial" w:hAnsi="Arial" w:cs="Arial"/>
          <w:sz w:val="20"/>
        </w:rPr>
        <w:t>comparison and context.</w:t>
      </w:r>
    </w:p>
    <w:p w:rsidR="00632BA9" w:rsidRPr="00632BA9" w:rsidRDefault="00632BA9" w:rsidP="00632BA9">
      <w:pPr>
        <w:pStyle w:val="NoSpacing"/>
        <w:rPr>
          <w:rFonts w:ascii="Arial" w:hAnsi="Arial" w:cs="Arial"/>
          <w:sz w:val="20"/>
        </w:rPr>
      </w:pPr>
    </w:p>
    <w:p w:rsidR="00632BA9" w:rsidRPr="00632BA9" w:rsidRDefault="00632BA9" w:rsidP="00632BA9">
      <w:pPr>
        <w:pStyle w:val="NoSpacing"/>
        <w:rPr>
          <w:rFonts w:ascii="Arial" w:hAnsi="Arial" w:cs="Arial"/>
          <w:sz w:val="20"/>
        </w:rPr>
      </w:pPr>
      <w:r w:rsidRPr="00632BA9">
        <w:rPr>
          <w:rFonts w:ascii="Arial" w:hAnsi="Arial" w:cs="Arial"/>
          <w:sz w:val="20"/>
        </w:rPr>
        <w:t xml:space="preserve">For the first time, several of the metrics included in this report are </w:t>
      </w:r>
      <w:r w:rsidRPr="00632BA9">
        <w:rPr>
          <w:rFonts w:ascii="Arial" w:hAnsi="Arial" w:cs="Arial"/>
          <w:spacing w:val="-2"/>
          <w:sz w:val="20"/>
        </w:rPr>
        <w:t>displayed</w:t>
      </w:r>
      <w:r w:rsidRPr="00632BA9">
        <w:rPr>
          <w:rFonts w:ascii="Arial" w:hAnsi="Arial" w:cs="Arial"/>
          <w:sz w:val="20"/>
        </w:rPr>
        <w:t xml:space="preserve"> quarterly over a three-year time</w:t>
      </w:r>
      <w:r w:rsidRPr="00632BA9">
        <w:rPr>
          <w:rFonts w:ascii="Arial" w:hAnsi="Arial" w:cs="Arial"/>
          <w:spacing w:val="42"/>
          <w:sz w:val="20"/>
        </w:rPr>
        <w:t xml:space="preserve"> </w:t>
      </w:r>
      <w:r w:rsidR="00707786">
        <w:rPr>
          <w:rFonts w:ascii="Arial" w:hAnsi="Arial" w:cs="Arial"/>
          <w:sz w:val="20"/>
        </w:rPr>
        <w:t xml:space="preserve">period (2015-2017), </w:t>
      </w:r>
      <w:r w:rsidRPr="00632BA9">
        <w:rPr>
          <w:rFonts w:ascii="Arial" w:hAnsi="Arial" w:cs="Arial"/>
          <w:sz w:val="20"/>
        </w:rPr>
        <w:t>thus allowing for observation of</w:t>
      </w:r>
      <w:r w:rsidRPr="00632BA9">
        <w:rPr>
          <w:rFonts w:ascii="Arial" w:hAnsi="Arial" w:cs="Arial"/>
          <w:spacing w:val="1"/>
          <w:sz w:val="20"/>
        </w:rPr>
        <w:t xml:space="preserve"> </w:t>
      </w:r>
      <w:r w:rsidRPr="00632BA9">
        <w:rPr>
          <w:rFonts w:ascii="Arial" w:hAnsi="Arial" w:cs="Arial"/>
          <w:sz w:val="20"/>
        </w:rPr>
        <w:t xml:space="preserve">trends over time. Presenting data in a </w:t>
      </w:r>
      <w:r w:rsidRPr="00632BA9">
        <w:rPr>
          <w:rFonts w:ascii="Arial" w:hAnsi="Arial" w:cs="Arial"/>
          <w:spacing w:val="-2"/>
          <w:sz w:val="20"/>
        </w:rPr>
        <w:t>quarterly</w:t>
      </w:r>
      <w:r w:rsidR="00152EEB">
        <w:rPr>
          <w:rFonts w:ascii="Arial" w:hAnsi="Arial" w:cs="Arial"/>
          <w:spacing w:val="-2"/>
          <w:sz w:val="20"/>
        </w:rPr>
        <w:t xml:space="preserve"> </w:t>
      </w:r>
      <w:r w:rsidRPr="00632BA9">
        <w:rPr>
          <w:rFonts w:ascii="Arial" w:hAnsi="Arial" w:cs="Arial"/>
          <w:sz w:val="20"/>
        </w:rPr>
        <w:t>format for transfusion volume, discarded products, and reaction</w:t>
      </w:r>
      <w:r w:rsidRPr="00632BA9">
        <w:rPr>
          <w:rFonts w:ascii="Arial" w:hAnsi="Arial" w:cs="Arial"/>
          <w:spacing w:val="-2"/>
          <w:sz w:val="20"/>
        </w:rPr>
        <w:t xml:space="preserve"> </w:t>
      </w:r>
      <w:r w:rsidRPr="00632BA9">
        <w:rPr>
          <w:rFonts w:ascii="Arial" w:hAnsi="Arial" w:cs="Arial"/>
          <w:sz w:val="20"/>
        </w:rPr>
        <w:t>rates provides more data to allow more stability of observed trend values.</w:t>
      </w:r>
    </w:p>
    <w:p w:rsidR="00632BA9" w:rsidRPr="00632BA9" w:rsidRDefault="00632BA9" w:rsidP="00632BA9">
      <w:pPr>
        <w:pStyle w:val="NoSpacing"/>
        <w:rPr>
          <w:rFonts w:ascii="Arial" w:hAnsi="Arial" w:cs="Arial"/>
          <w:sz w:val="20"/>
        </w:rPr>
      </w:pPr>
    </w:p>
    <w:p w:rsidR="00632BA9" w:rsidRPr="00632BA9" w:rsidRDefault="00632BA9" w:rsidP="00632BA9">
      <w:pPr>
        <w:pStyle w:val="NoSpacing"/>
        <w:rPr>
          <w:rFonts w:ascii="Arial" w:hAnsi="Arial" w:cs="Arial"/>
          <w:sz w:val="20"/>
        </w:rPr>
      </w:pPr>
      <w:r w:rsidRPr="00632BA9">
        <w:rPr>
          <w:rFonts w:ascii="Arial" w:hAnsi="Arial" w:cs="Arial"/>
          <w:sz w:val="20"/>
        </w:rPr>
        <w:t>The following are inclusion criteria for adverse reactions in this report:</w:t>
      </w:r>
    </w:p>
    <w:p w:rsidR="00632BA9" w:rsidRPr="00632BA9" w:rsidRDefault="00632BA9" w:rsidP="00632BA9">
      <w:pPr>
        <w:pStyle w:val="NoSpacing"/>
        <w:rPr>
          <w:rFonts w:ascii="Arial" w:eastAsia="Times New Roman" w:hAnsi="Arial" w:cs="Arial"/>
          <w:sz w:val="20"/>
        </w:rPr>
      </w:pPr>
      <w:r w:rsidRPr="00632BA9">
        <w:rPr>
          <w:rFonts w:ascii="Arial" w:eastAsia="Times New Roman" w:hAnsi="Arial" w:cs="Arial"/>
          <w:bCs/>
          <w:sz w:val="20"/>
        </w:rPr>
        <w:t xml:space="preserve">Case criteria </w:t>
      </w:r>
      <w:r w:rsidRPr="00632BA9">
        <w:rPr>
          <w:rFonts w:ascii="Arial" w:eastAsia="Times New Roman" w:hAnsi="Arial" w:cs="Arial"/>
          <w:sz w:val="20"/>
        </w:rPr>
        <w:t>– reaction must either definitively or probably meet the NHSN case reporting criteria</w:t>
      </w:r>
    </w:p>
    <w:p w:rsidR="00632BA9" w:rsidRPr="00632BA9" w:rsidRDefault="00632BA9" w:rsidP="00632BA9">
      <w:pPr>
        <w:pStyle w:val="NoSpacing"/>
        <w:rPr>
          <w:rFonts w:ascii="Arial" w:eastAsia="Times New Roman" w:hAnsi="Arial" w:cs="Arial"/>
          <w:sz w:val="20"/>
        </w:rPr>
      </w:pPr>
      <w:r w:rsidRPr="00632BA9">
        <w:rPr>
          <w:rFonts w:ascii="Arial" w:eastAsia="Times New Roman" w:hAnsi="Arial" w:cs="Arial"/>
          <w:bCs/>
          <w:sz w:val="20"/>
        </w:rPr>
        <w:t>Imputability</w:t>
      </w:r>
      <w:r w:rsidRPr="00632BA9">
        <w:rPr>
          <w:rFonts w:ascii="Arial" w:eastAsia="Times New Roman" w:hAnsi="Arial" w:cs="Arial"/>
          <w:sz w:val="20"/>
        </w:rPr>
        <w:t xml:space="preserve"> – reaction must definitely, probably, or possibly meet </w:t>
      </w:r>
      <w:r w:rsidR="00020320">
        <w:rPr>
          <w:rFonts w:ascii="Arial" w:eastAsia="Times New Roman" w:hAnsi="Arial" w:cs="Arial"/>
          <w:sz w:val="20"/>
        </w:rPr>
        <w:t xml:space="preserve">NHSN </w:t>
      </w:r>
      <w:r w:rsidRPr="00632BA9">
        <w:rPr>
          <w:rFonts w:ascii="Arial" w:eastAsia="Times New Roman" w:hAnsi="Arial" w:cs="Arial"/>
          <w:sz w:val="20"/>
        </w:rPr>
        <w:t>imputability criteria</w:t>
      </w:r>
    </w:p>
    <w:p w:rsidR="00632BA9" w:rsidRPr="00632BA9" w:rsidRDefault="00632BA9" w:rsidP="00632BA9">
      <w:pPr>
        <w:pStyle w:val="NoSpacing"/>
        <w:rPr>
          <w:rFonts w:ascii="Arial" w:eastAsia="Times New Roman" w:hAnsi="Arial" w:cs="Arial"/>
          <w:sz w:val="20"/>
        </w:rPr>
      </w:pPr>
      <w:r w:rsidRPr="00632BA9">
        <w:rPr>
          <w:rFonts w:ascii="Arial" w:eastAsia="Times New Roman" w:hAnsi="Arial" w:cs="Arial"/>
          <w:bCs/>
          <w:sz w:val="20"/>
        </w:rPr>
        <w:t xml:space="preserve">Reaction type </w:t>
      </w:r>
      <w:r w:rsidRPr="00632BA9">
        <w:rPr>
          <w:rFonts w:ascii="Arial" w:eastAsia="Times New Roman" w:hAnsi="Arial" w:cs="Arial"/>
          <w:sz w:val="20"/>
        </w:rPr>
        <w:t>– reaction must be one of twelve specified types, excluding “Other” and “Unknown”</w:t>
      </w:r>
    </w:p>
    <w:p w:rsidR="00632BA9" w:rsidRPr="00632BA9" w:rsidRDefault="00632BA9" w:rsidP="00632BA9">
      <w:pPr>
        <w:pStyle w:val="NoSpacing"/>
        <w:rPr>
          <w:rFonts w:ascii="Arial" w:eastAsia="Times New Roman" w:hAnsi="Arial" w:cs="Arial"/>
          <w:sz w:val="20"/>
        </w:rPr>
      </w:pPr>
      <w:r w:rsidRPr="00632BA9">
        <w:rPr>
          <w:rFonts w:ascii="Arial" w:eastAsia="Times New Roman" w:hAnsi="Arial" w:cs="Arial"/>
          <w:bCs/>
          <w:sz w:val="20"/>
        </w:rPr>
        <w:t xml:space="preserve">Allergic reactions </w:t>
      </w:r>
      <w:r w:rsidRPr="00632BA9">
        <w:rPr>
          <w:rFonts w:ascii="Arial" w:eastAsia="Times New Roman" w:hAnsi="Arial" w:cs="Arial"/>
          <w:sz w:val="20"/>
        </w:rPr>
        <w:t xml:space="preserve">– </w:t>
      </w:r>
      <w:r w:rsidRPr="00632BA9">
        <w:rPr>
          <w:rFonts w:ascii="Arial" w:eastAsia="Times New Roman" w:hAnsi="Arial" w:cs="Arial"/>
          <w:i/>
          <w:sz w:val="20"/>
        </w:rPr>
        <w:t>non-severe</w:t>
      </w:r>
      <w:r w:rsidRPr="00632BA9">
        <w:rPr>
          <w:rFonts w:ascii="Arial" w:eastAsia="Times New Roman" w:hAnsi="Arial" w:cs="Arial"/>
          <w:sz w:val="20"/>
        </w:rPr>
        <w:t xml:space="preserve"> allergic reactions are excluded from analysis </w:t>
      </w:r>
    </w:p>
    <w:p w:rsidR="00632BA9" w:rsidRPr="00632BA9" w:rsidRDefault="00632BA9" w:rsidP="00632BA9">
      <w:pPr>
        <w:pStyle w:val="NoSpacing"/>
        <w:rPr>
          <w:rFonts w:ascii="Arial" w:hAnsi="Arial" w:cs="Arial"/>
          <w:sz w:val="20"/>
        </w:rPr>
      </w:pPr>
    </w:p>
    <w:p w:rsidR="00632BA9" w:rsidRPr="00632BA9" w:rsidRDefault="00632BA9" w:rsidP="00632BA9">
      <w:pPr>
        <w:pStyle w:val="NoSpacing"/>
        <w:rPr>
          <w:rFonts w:ascii="Arial" w:hAnsi="Arial" w:cs="Arial"/>
          <w:sz w:val="20"/>
        </w:rPr>
      </w:pPr>
      <w:r w:rsidRPr="00632BA9">
        <w:rPr>
          <w:rFonts w:ascii="Arial" w:hAnsi="Arial" w:cs="Arial"/>
          <w:sz w:val="20"/>
        </w:rPr>
        <w:t>A technical advisory group</w:t>
      </w:r>
      <w:r w:rsidRPr="00632BA9">
        <w:rPr>
          <w:rFonts w:ascii="Arial" w:hAnsi="Arial" w:cs="Arial"/>
          <w:spacing w:val="-2"/>
          <w:sz w:val="20"/>
        </w:rPr>
        <w:t xml:space="preserve"> </w:t>
      </w:r>
      <w:r w:rsidRPr="00632BA9">
        <w:rPr>
          <w:rFonts w:ascii="Arial" w:hAnsi="Arial" w:cs="Arial"/>
          <w:sz w:val="20"/>
        </w:rPr>
        <w:t>(TAG) was established in June 2014 to provide guidance to the</w:t>
      </w:r>
      <w:r w:rsidRPr="00632BA9">
        <w:rPr>
          <w:rFonts w:ascii="Arial" w:hAnsi="Arial" w:cs="Arial"/>
          <w:spacing w:val="41"/>
          <w:sz w:val="20"/>
        </w:rPr>
        <w:t xml:space="preserve"> </w:t>
      </w:r>
      <w:r w:rsidRPr="00632BA9">
        <w:rPr>
          <w:rFonts w:ascii="Arial" w:hAnsi="Arial" w:cs="Arial"/>
          <w:sz w:val="20"/>
        </w:rPr>
        <w:t>Massachusetts Department of Public Health (MDPH)</w:t>
      </w:r>
      <w:r w:rsidRPr="00632BA9">
        <w:rPr>
          <w:rFonts w:ascii="Arial" w:hAnsi="Arial" w:cs="Arial"/>
          <w:spacing w:val="1"/>
          <w:sz w:val="20"/>
        </w:rPr>
        <w:t xml:space="preserve"> </w:t>
      </w:r>
      <w:r w:rsidRPr="00632BA9">
        <w:rPr>
          <w:rFonts w:ascii="Arial" w:hAnsi="Arial" w:cs="Arial"/>
          <w:sz w:val="20"/>
        </w:rPr>
        <w:t>in the statewide use of the Hemovigilance Module.</w:t>
      </w:r>
    </w:p>
    <w:p w:rsidR="00D51CE3" w:rsidRDefault="00D51CE3" w:rsidP="00052D68">
      <w:pPr>
        <w:widowControl w:val="0"/>
        <w:spacing w:after="0" w:line="240" w:lineRule="auto"/>
        <w:rPr>
          <w:rFonts w:ascii="Arial" w:eastAsia="Arial" w:hAnsi="Arial" w:cs="Arial"/>
          <w:spacing w:val="-1"/>
          <w:sz w:val="20"/>
          <w:szCs w:val="20"/>
          <w:u w:val="single"/>
        </w:rPr>
      </w:pPr>
    </w:p>
    <w:p w:rsidR="00052D68" w:rsidRDefault="00052D68" w:rsidP="00052D68">
      <w:pPr>
        <w:widowControl w:val="0"/>
        <w:spacing w:after="0" w:line="240" w:lineRule="auto"/>
        <w:rPr>
          <w:rFonts w:ascii="Arial" w:eastAsia="Arial" w:hAnsi="Arial" w:cs="Arial"/>
          <w:sz w:val="20"/>
          <w:szCs w:val="20"/>
          <w:u w:val="single"/>
        </w:rPr>
      </w:pPr>
      <w:r w:rsidRPr="00880D3D">
        <w:rPr>
          <w:rFonts w:ascii="Arial" w:eastAsia="Arial" w:hAnsi="Arial" w:cs="Arial"/>
          <w:spacing w:val="-1"/>
          <w:sz w:val="20"/>
          <w:szCs w:val="20"/>
          <w:u w:val="single"/>
        </w:rPr>
        <w:t xml:space="preserve">Current members </w:t>
      </w:r>
      <w:r w:rsidRPr="00880D3D">
        <w:rPr>
          <w:rFonts w:ascii="Arial" w:eastAsia="Arial" w:hAnsi="Arial" w:cs="Arial"/>
          <w:sz w:val="20"/>
          <w:szCs w:val="20"/>
          <w:u w:val="single"/>
        </w:rPr>
        <w:t>of</w:t>
      </w:r>
      <w:r w:rsidRPr="00880D3D">
        <w:rPr>
          <w:rFonts w:ascii="Arial" w:eastAsia="Arial" w:hAnsi="Arial" w:cs="Arial"/>
          <w:spacing w:val="-1"/>
          <w:sz w:val="20"/>
          <w:szCs w:val="20"/>
          <w:u w:val="single"/>
        </w:rPr>
        <w:t xml:space="preserve"> </w:t>
      </w:r>
      <w:r w:rsidRPr="00880D3D">
        <w:rPr>
          <w:rFonts w:ascii="Arial" w:eastAsia="Arial" w:hAnsi="Arial" w:cs="Arial"/>
          <w:sz w:val="20"/>
          <w:szCs w:val="20"/>
          <w:u w:val="single"/>
        </w:rPr>
        <w:t>the</w:t>
      </w:r>
      <w:r w:rsidRPr="00880D3D">
        <w:rPr>
          <w:rFonts w:ascii="Arial" w:eastAsia="Arial" w:hAnsi="Arial" w:cs="Arial"/>
          <w:spacing w:val="-1"/>
          <w:sz w:val="20"/>
          <w:szCs w:val="20"/>
          <w:u w:val="single"/>
        </w:rPr>
        <w:t xml:space="preserve"> </w:t>
      </w:r>
      <w:r w:rsidRPr="00880D3D">
        <w:rPr>
          <w:rFonts w:ascii="Arial" w:eastAsia="Arial" w:hAnsi="Arial" w:cs="Arial"/>
          <w:sz w:val="20"/>
          <w:szCs w:val="20"/>
          <w:u w:val="single"/>
        </w:rPr>
        <w:t>TAG</w:t>
      </w:r>
      <w:r w:rsidRPr="00880D3D">
        <w:rPr>
          <w:rFonts w:ascii="Arial" w:eastAsia="Arial" w:hAnsi="Arial" w:cs="Arial"/>
          <w:spacing w:val="-1"/>
          <w:sz w:val="20"/>
          <w:szCs w:val="20"/>
          <w:u w:val="single"/>
        </w:rPr>
        <w:t xml:space="preserve"> </w:t>
      </w:r>
      <w:r w:rsidRPr="00880D3D">
        <w:rPr>
          <w:rFonts w:ascii="Arial" w:eastAsia="Arial" w:hAnsi="Arial" w:cs="Arial"/>
          <w:sz w:val="20"/>
          <w:szCs w:val="20"/>
          <w:u w:val="single"/>
        </w:rPr>
        <w:t>are:</w:t>
      </w:r>
    </w:p>
    <w:p w:rsidR="00FD10D9" w:rsidRPr="00880D3D" w:rsidRDefault="00FD10D9" w:rsidP="00052D68">
      <w:pPr>
        <w:widowControl w:val="0"/>
        <w:spacing w:after="0" w:line="240" w:lineRule="auto"/>
        <w:rPr>
          <w:rFonts w:ascii="Arial" w:eastAsia="Arial" w:hAnsi="Arial" w:cs="Arial"/>
          <w:sz w:val="20"/>
          <w:szCs w:val="20"/>
          <w:u w:val="single"/>
        </w:rPr>
      </w:pPr>
    </w:p>
    <w:p w:rsidR="00D51CE3" w:rsidRDefault="00D51CE3" w:rsidP="00D51CE3">
      <w:pPr>
        <w:pStyle w:val="NoSpacing"/>
        <w:rPr>
          <w:rFonts w:ascii="Arial" w:hAnsi="Arial" w:cs="Arial"/>
          <w:b/>
          <w:sz w:val="20"/>
          <w:szCs w:val="20"/>
        </w:rPr>
        <w:sectPr w:rsidR="00D51CE3" w:rsidSect="00D51CE3">
          <w:pgSz w:w="12240" w:h="15840"/>
          <w:pgMar w:top="960" w:right="1340" w:bottom="280" w:left="1320" w:header="720" w:footer="720" w:gutter="0"/>
          <w:cols w:space="720"/>
          <w:docGrid w:linePitch="299"/>
        </w:sectPr>
      </w:pPr>
    </w:p>
    <w:p w:rsidR="00D51CE3" w:rsidRPr="00880D3D" w:rsidRDefault="00D51CE3" w:rsidP="00D51CE3">
      <w:pPr>
        <w:pStyle w:val="NoSpacing"/>
        <w:rPr>
          <w:rFonts w:ascii="Arial" w:hAnsi="Arial" w:cs="Arial"/>
          <w:sz w:val="20"/>
          <w:szCs w:val="20"/>
        </w:rPr>
      </w:pPr>
      <w:r w:rsidRPr="00880D3D">
        <w:rPr>
          <w:rFonts w:ascii="Arial" w:hAnsi="Arial" w:cs="Arial"/>
          <w:b/>
          <w:sz w:val="20"/>
          <w:szCs w:val="20"/>
        </w:rPr>
        <w:lastRenderedPageBreak/>
        <w:t>Chester Andrzejewski, Jr., PhD, MD, FCAP</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Medical Director</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System Transfusion Medicine/Blood Banking and</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Apheresis Medicine Services</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Baystate Health/ Baystate Medical Center</w:t>
      </w:r>
    </w:p>
    <w:p w:rsidR="00D51CE3" w:rsidRPr="00880D3D" w:rsidRDefault="00D51CE3" w:rsidP="00D51CE3">
      <w:pPr>
        <w:pStyle w:val="NoSpacing"/>
        <w:rPr>
          <w:rFonts w:ascii="Arial" w:hAnsi="Arial" w:cs="Arial"/>
          <w:b/>
          <w:sz w:val="20"/>
          <w:szCs w:val="20"/>
        </w:rPr>
      </w:pPr>
    </w:p>
    <w:p w:rsidR="00D51CE3" w:rsidRPr="00880D3D" w:rsidRDefault="00D51CE3" w:rsidP="00D51CE3">
      <w:pPr>
        <w:pStyle w:val="NoSpacing"/>
        <w:rPr>
          <w:rFonts w:ascii="Arial" w:hAnsi="Arial" w:cs="Arial"/>
          <w:b/>
          <w:sz w:val="20"/>
          <w:szCs w:val="20"/>
        </w:rPr>
      </w:pPr>
      <w:r w:rsidRPr="00880D3D">
        <w:rPr>
          <w:rFonts w:ascii="Arial" w:hAnsi="Arial" w:cs="Arial"/>
          <w:b/>
          <w:sz w:val="20"/>
          <w:szCs w:val="20"/>
        </w:rPr>
        <w:t>Christina Brandeburg, MPH</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 xml:space="preserve">Epidemiologist </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Bureau of Infectious Disease</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Massachusetts Department of Public Health</w:t>
      </w:r>
    </w:p>
    <w:p w:rsidR="00D51CE3" w:rsidRPr="00880D3D" w:rsidRDefault="00D51CE3" w:rsidP="00D51CE3">
      <w:pPr>
        <w:pStyle w:val="NoSpacing"/>
        <w:rPr>
          <w:rFonts w:ascii="Arial" w:hAnsi="Arial" w:cs="Arial"/>
          <w:b/>
          <w:sz w:val="20"/>
          <w:szCs w:val="20"/>
        </w:rPr>
      </w:pPr>
    </w:p>
    <w:p w:rsidR="00D51CE3" w:rsidRPr="00880D3D" w:rsidRDefault="00D51CE3" w:rsidP="00D51CE3">
      <w:pPr>
        <w:pStyle w:val="NoSpacing"/>
        <w:rPr>
          <w:rFonts w:ascii="Arial" w:hAnsi="Arial" w:cs="Arial"/>
          <w:b/>
          <w:sz w:val="20"/>
          <w:szCs w:val="20"/>
        </w:rPr>
      </w:pPr>
      <w:r w:rsidRPr="00880D3D">
        <w:rPr>
          <w:rFonts w:ascii="Arial" w:hAnsi="Arial" w:cs="Arial"/>
          <w:b/>
          <w:sz w:val="20"/>
          <w:szCs w:val="20"/>
        </w:rPr>
        <w:t xml:space="preserve">Melissa Cumming, MS </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 xml:space="preserve">Epidemiologist </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Hemovigilance Coordinator</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Bureau of Infectious Disease</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Massachusetts Department of Public Health</w:t>
      </w:r>
    </w:p>
    <w:p w:rsidR="00D51CE3" w:rsidRPr="00880D3D" w:rsidRDefault="00D51CE3" w:rsidP="00D51CE3">
      <w:pPr>
        <w:pStyle w:val="NoSpacing"/>
        <w:rPr>
          <w:rFonts w:ascii="Arial" w:hAnsi="Arial" w:cs="Arial"/>
          <w:b/>
          <w:sz w:val="20"/>
          <w:szCs w:val="20"/>
        </w:rPr>
      </w:pPr>
    </w:p>
    <w:p w:rsidR="00D51CE3" w:rsidRPr="00880D3D" w:rsidRDefault="00D51CE3" w:rsidP="00D51CE3">
      <w:pPr>
        <w:pStyle w:val="NoSpacing"/>
        <w:rPr>
          <w:rFonts w:ascii="Arial" w:hAnsi="Arial" w:cs="Arial"/>
          <w:b/>
          <w:sz w:val="20"/>
          <w:szCs w:val="20"/>
        </w:rPr>
      </w:pPr>
      <w:r w:rsidRPr="00880D3D">
        <w:rPr>
          <w:rFonts w:ascii="Arial" w:hAnsi="Arial" w:cs="Arial"/>
          <w:b/>
          <w:sz w:val="20"/>
          <w:szCs w:val="20"/>
        </w:rPr>
        <w:t xml:space="preserve">Alexandra DeJesus, MPH </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 xml:space="preserve">Epidemiologist </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Bureau of Infectious Disease</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Massachusetts Department of Public Health</w:t>
      </w:r>
    </w:p>
    <w:p w:rsidR="00D51CE3" w:rsidRPr="00880D3D" w:rsidRDefault="00D51CE3" w:rsidP="00D51CE3">
      <w:pPr>
        <w:pStyle w:val="NoSpacing"/>
        <w:rPr>
          <w:rFonts w:ascii="Arial" w:hAnsi="Arial" w:cs="Arial"/>
          <w:b/>
          <w:sz w:val="20"/>
          <w:szCs w:val="20"/>
        </w:rPr>
      </w:pPr>
    </w:p>
    <w:p w:rsidR="00D51CE3" w:rsidRPr="00880D3D" w:rsidRDefault="00D51CE3" w:rsidP="00D51CE3">
      <w:pPr>
        <w:pStyle w:val="NoSpacing"/>
        <w:rPr>
          <w:rFonts w:ascii="Arial" w:hAnsi="Arial" w:cs="Arial"/>
          <w:sz w:val="20"/>
          <w:szCs w:val="20"/>
        </w:rPr>
      </w:pPr>
      <w:r w:rsidRPr="00880D3D">
        <w:rPr>
          <w:rFonts w:ascii="Arial" w:hAnsi="Arial" w:cs="Arial"/>
          <w:b/>
          <w:sz w:val="20"/>
          <w:szCs w:val="20"/>
        </w:rPr>
        <w:t>Alfred DeMaria, Jr., MD</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 xml:space="preserve">Medical </w:t>
      </w:r>
      <w:r w:rsidR="00172F10">
        <w:rPr>
          <w:rFonts w:ascii="Arial" w:hAnsi="Arial" w:cs="Arial"/>
          <w:sz w:val="20"/>
          <w:szCs w:val="20"/>
        </w:rPr>
        <w:t>and Laboratory Consultant</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 xml:space="preserve">Bureau of Infectious Disease </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Massachusetts Department of Public Health</w:t>
      </w:r>
    </w:p>
    <w:p w:rsidR="00D51CE3" w:rsidRPr="00880D3D" w:rsidRDefault="00D51CE3" w:rsidP="00D51CE3">
      <w:pPr>
        <w:pStyle w:val="NoSpacing"/>
        <w:rPr>
          <w:rFonts w:ascii="Arial" w:hAnsi="Arial" w:cs="Arial"/>
          <w:b/>
          <w:sz w:val="20"/>
          <w:szCs w:val="20"/>
        </w:rPr>
      </w:pPr>
    </w:p>
    <w:p w:rsidR="00D51CE3" w:rsidRPr="00880D3D" w:rsidRDefault="00D51CE3" w:rsidP="00D51CE3">
      <w:pPr>
        <w:pStyle w:val="NoSpacing"/>
        <w:rPr>
          <w:rFonts w:ascii="Arial" w:hAnsi="Arial" w:cs="Arial"/>
          <w:sz w:val="20"/>
          <w:szCs w:val="20"/>
        </w:rPr>
      </w:pPr>
      <w:proofErr w:type="spellStart"/>
      <w:r w:rsidRPr="00880D3D">
        <w:rPr>
          <w:rFonts w:ascii="Arial" w:hAnsi="Arial" w:cs="Arial"/>
          <w:b/>
          <w:sz w:val="20"/>
          <w:szCs w:val="20"/>
        </w:rPr>
        <w:t>Elzbieta</w:t>
      </w:r>
      <w:proofErr w:type="spellEnd"/>
      <w:r w:rsidRPr="00880D3D">
        <w:rPr>
          <w:rFonts w:ascii="Arial" w:hAnsi="Arial" w:cs="Arial"/>
          <w:b/>
          <w:sz w:val="20"/>
          <w:szCs w:val="20"/>
        </w:rPr>
        <w:t xml:space="preserve"> Griffiths, MD</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 xml:space="preserve">Medical Director, Blood Bank, </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Donor Center and Coagulation</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Surgical Pathologist Mount Auburn Hospital</w:t>
      </w:r>
    </w:p>
    <w:p w:rsidR="00D51CE3" w:rsidRPr="00880D3D" w:rsidRDefault="00D51CE3" w:rsidP="00D51CE3">
      <w:pPr>
        <w:pStyle w:val="NoSpacing"/>
        <w:rPr>
          <w:rFonts w:ascii="Arial" w:hAnsi="Arial" w:cs="Arial"/>
          <w:b/>
          <w:sz w:val="20"/>
          <w:szCs w:val="20"/>
        </w:rPr>
      </w:pPr>
    </w:p>
    <w:p w:rsidR="00D51CE3" w:rsidRPr="00880D3D" w:rsidRDefault="00D51CE3" w:rsidP="00D51CE3">
      <w:pPr>
        <w:pStyle w:val="NoSpacing"/>
        <w:rPr>
          <w:rFonts w:ascii="Arial" w:hAnsi="Arial" w:cs="Arial"/>
          <w:sz w:val="20"/>
          <w:szCs w:val="20"/>
        </w:rPr>
      </w:pPr>
      <w:r w:rsidRPr="00880D3D">
        <w:rPr>
          <w:rFonts w:ascii="Arial" w:hAnsi="Arial" w:cs="Arial"/>
          <w:b/>
          <w:sz w:val="20"/>
          <w:szCs w:val="20"/>
        </w:rPr>
        <w:t>Michele Herman, MT (ASCP)</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 xml:space="preserve">Compliance Officer - Transfusion Medicine </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Beth Israel Deaconess Medical Center</w:t>
      </w:r>
    </w:p>
    <w:p w:rsidR="00D51CE3" w:rsidRPr="00880D3D" w:rsidRDefault="00D51CE3" w:rsidP="00D51CE3">
      <w:pPr>
        <w:pStyle w:val="NoSpacing"/>
        <w:rPr>
          <w:rFonts w:ascii="Arial" w:hAnsi="Arial" w:cs="Arial"/>
          <w:b/>
          <w:sz w:val="20"/>
          <w:szCs w:val="20"/>
        </w:rPr>
      </w:pPr>
    </w:p>
    <w:p w:rsidR="00D51CE3" w:rsidRPr="00880D3D" w:rsidRDefault="00D51CE3" w:rsidP="00D51CE3">
      <w:pPr>
        <w:pStyle w:val="NoSpacing"/>
        <w:rPr>
          <w:rFonts w:ascii="Arial" w:hAnsi="Arial" w:cs="Arial"/>
          <w:sz w:val="20"/>
          <w:szCs w:val="20"/>
        </w:rPr>
      </w:pPr>
      <w:r w:rsidRPr="00880D3D">
        <w:rPr>
          <w:rFonts w:ascii="Arial" w:hAnsi="Arial" w:cs="Arial"/>
          <w:b/>
          <w:sz w:val="20"/>
          <w:szCs w:val="20"/>
        </w:rPr>
        <w:lastRenderedPageBreak/>
        <w:t>Kimberly Knox, RN, MHA, CIC</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 xml:space="preserve">Infection Prevention and Control Coordinator </w:t>
      </w:r>
    </w:p>
    <w:p w:rsidR="00D51CE3" w:rsidRPr="00880D3D" w:rsidRDefault="00D51CE3" w:rsidP="00D51CE3">
      <w:pPr>
        <w:pStyle w:val="NoSpacing"/>
        <w:rPr>
          <w:rFonts w:ascii="Arial" w:hAnsi="Arial" w:cs="Arial"/>
          <w:b/>
          <w:sz w:val="20"/>
          <w:szCs w:val="20"/>
        </w:rPr>
      </w:pPr>
      <w:r w:rsidRPr="00880D3D">
        <w:rPr>
          <w:rFonts w:ascii="Arial" w:hAnsi="Arial" w:cs="Arial"/>
          <w:sz w:val="20"/>
          <w:szCs w:val="20"/>
        </w:rPr>
        <w:t>Milford Regional Medical Center</w:t>
      </w:r>
    </w:p>
    <w:p w:rsidR="00D51CE3" w:rsidRPr="00880D3D" w:rsidRDefault="00D51CE3" w:rsidP="00D51CE3">
      <w:pPr>
        <w:pStyle w:val="NoSpacing"/>
        <w:rPr>
          <w:rFonts w:ascii="Arial" w:hAnsi="Arial" w:cs="Arial"/>
          <w:b/>
          <w:sz w:val="20"/>
          <w:szCs w:val="20"/>
        </w:rPr>
      </w:pPr>
    </w:p>
    <w:p w:rsidR="00D51CE3" w:rsidRPr="00880D3D" w:rsidRDefault="00D51CE3" w:rsidP="00D51CE3">
      <w:pPr>
        <w:pStyle w:val="NoSpacing"/>
        <w:rPr>
          <w:rFonts w:ascii="Arial" w:hAnsi="Arial" w:cs="Arial"/>
          <w:sz w:val="20"/>
          <w:szCs w:val="20"/>
        </w:rPr>
      </w:pPr>
      <w:r w:rsidRPr="00880D3D">
        <w:rPr>
          <w:rFonts w:ascii="Arial" w:hAnsi="Arial" w:cs="Arial"/>
          <w:b/>
          <w:sz w:val="20"/>
          <w:szCs w:val="20"/>
        </w:rPr>
        <w:t>Eileen McHale, RN, BSN</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 xml:space="preserve">Healthcare Associated Infection Coordinator </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 xml:space="preserve">Bureau of Health Care Safety and Quality </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Massachusetts Department of Public Health</w:t>
      </w:r>
    </w:p>
    <w:p w:rsidR="00D51CE3" w:rsidRPr="00880D3D" w:rsidRDefault="00D51CE3" w:rsidP="00D51CE3">
      <w:pPr>
        <w:pStyle w:val="NoSpacing"/>
        <w:rPr>
          <w:rFonts w:ascii="Arial" w:hAnsi="Arial" w:cs="Arial"/>
          <w:sz w:val="20"/>
          <w:szCs w:val="20"/>
        </w:rPr>
      </w:pPr>
    </w:p>
    <w:p w:rsidR="00D51CE3" w:rsidRPr="00880D3D" w:rsidRDefault="00D51CE3" w:rsidP="00D51CE3">
      <w:pPr>
        <w:pStyle w:val="NoSpacing"/>
        <w:rPr>
          <w:rFonts w:ascii="Arial" w:hAnsi="Arial" w:cs="Arial"/>
          <w:sz w:val="20"/>
          <w:szCs w:val="20"/>
        </w:rPr>
      </w:pPr>
      <w:r w:rsidRPr="00880D3D">
        <w:rPr>
          <w:rFonts w:ascii="Arial" w:hAnsi="Arial" w:cs="Arial"/>
          <w:b/>
          <w:bCs/>
          <w:sz w:val="20"/>
          <w:szCs w:val="20"/>
        </w:rPr>
        <w:t xml:space="preserve">Lynne O’Hearn, </w:t>
      </w:r>
      <w:r w:rsidRPr="00880D3D">
        <w:rPr>
          <w:rFonts w:ascii="Arial" w:hAnsi="Arial" w:cs="Arial"/>
          <w:b/>
          <w:sz w:val="20"/>
          <w:szCs w:val="20"/>
        </w:rPr>
        <w:t>MT (ASCP)</w:t>
      </w:r>
    </w:p>
    <w:p w:rsidR="00D51CE3" w:rsidRPr="00880D3D" w:rsidRDefault="00E65705" w:rsidP="00D51CE3">
      <w:pPr>
        <w:pStyle w:val="NoSpacing"/>
        <w:rPr>
          <w:rFonts w:ascii="Arial" w:hAnsi="Arial" w:cs="Arial"/>
          <w:sz w:val="20"/>
          <w:szCs w:val="20"/>
        </w:rPr>
      </w:pPr>
      <w:r>
        <w:rPr>
          <w:rFonts w:ascii="Arial" w:hAnsi="Arial" w:cs="Arial"/>
          <w:sz w:val="20"/>
          <w:szCs w:val="20"/>
        </w:rPr>
        <w:t>Transfusion Safety Officer</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Baystate Medical Center</w:t>
      </w:r>
    </w:p>
    <w:p w:rsidR="00D51CE3" w:rsidRPr="00880D3D" w:rsidRDefault="00D51CE3" w:rsidP="00D51CE3">
      <w:pPr>
        <w:pStyle w:val="NoSpacing"/>
        <w:rPr>
          <w:rFonts w:ascii="Arial" w:hAnsi="Arial" w:cs="Arial"/>
          <w:sz w:val="20"/>
          <w:szCs w:val="20"/>
        </w:rPr>
      </w:pPr>
    </w:p>
    <w:p w:rsidR="00D51CE3" w:rsidRPr="00880D3D" w:rsidRDefault="00D51CE3" w:rsidP="00D51CE3">
      <w:pPr>
        <w:pStyle w:val="NoSpacing"/>
        <w:rPr>
          <w:rFonts w:ascii="Arial" w:hAnsi="Arial" w:cs="Arial"/>
          <w:sz w:val="20"/>
          <w:szCs w:val="20"/>
        </w:rPr>
      </w:pPr>
      <w:r w:rsidRPr="00880D3D">
        <w:rPr>
          <w:rFonts w:ascii="Arial" w:hAnsi="Arial" w:cs="Arial"/>
          <w:b/>
          <w:sz w:val="20"/>
          <w:szCs w:val="20"/>
        </w:rPr>
        <w:t>Karen Quillen, MD</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Blood Bank Medical Director</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Boston Medical Center</w:t>
      </w:r>
    </w:p>
    <w:p w:rsidR="00D51CE3" w:rsidRPr="00880D3D" w:rsidRDefault="00D51CE3" w:rsidP="00D51CE3">
      <w:pPr>
        <w:pStyle w:val="NoSpacing"/>
        <w:rPr>
          <w:rFonts w:ascii="Arial" w:hAnsi="Arial" w:cs="Arial"/>
          <w:sz w:val="20"/>
          <w:szCs w:val="20"/>
        </w:rPr>
      </w:pPr>
    </w:p>
    <w:p w:rsidR="00D51CE3" w:rsidRPr="00880D3D" w:rsidRDefault="00D51CE3" w:rsidP="00D51CE3">
      <w:pPr>
        <w:pStyle w:val="NoSpacing"/>
        <w:rPr>
          <w:rFonts w:ascii="Arial" w:hAnsi="Arial" w:cs="Arial"/>
          <w:b/>
          <w:sz w:val="20"/>
          <w:szCs w:val="20"/>
        </w:rPr>
      </w:pPr>
      <w:r w:rsidRPr="00880D3D">
        <w:rPr>
          <w:rFonts w:ascii="Arial" w:hAnsi="Arial" w:cs="Arial"/>
          <w:b/>
          <w:sz w:val="20"/>
          <w:szCs w:val="20"/>
        </w:rPr>
        <w:t xml:space="preserve">Jorge Rios, MD </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Medical Director</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 xml:space="preserve">American Red Cross Blood Services </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Massachusetts Region</w:t>
      </w:r>
    </w:p>
    <w:p w:rsidR="00D51CE3" w:rsidRPr="00880D3D" w:rsidRDefault="00D51CE3" w:rsidP="00D51CE3">
      <w:pPr>
        <w:pStyle w:val="NoSpacing"/>
        <w:rPr>
          <w:b/>
          <w:sz w:val="20"/>
          <w:szCs w:val="20"/>
        </w:rPr>
      </w:pPr>
    </w:p>
    <w:p w:rsidR="00D51CE3" w:rsidRPr="00880D3D" w:rsidRDefault="00D51CE3" w:rsidP="00D51CE3">
      <w:pPr>
        <w:pStyle w:val="NoSpacing"/>
        <w:rPr>
          <w:rFonts w:ascii="Arial" w:hAnsi="Arial" w:cs="Arial"/>
          <w:b/>
          <w:sz w:val="20"/>
          <w:szCs w:val="20"/>
        </w:rPr>
      </w:pPr>
      <w:r w:rsidRPr="00880D3D">
        <w:rPr>
          <w:rFonts w:ascii="Arial" w:hAnsi="Arial" w:cs="Arial"/>
          <w:b/>
          <w:sz w:val="20"/>
          <w:szCs w:val="20"/>
        </w:rPr>
        <w:t>Lynne Uhl, MD</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Vice Chair and Division Director for Laboratory and Transfusion Medicine</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Beth Israel Deaconess Medical Center</w:t>
      </w:r>
    </w:p>
    <w:p w:rsidR="00D51CE3" w:rsidRPr="00880D3D" w:rsidRDefault="00D51CE3" w:rsidP="00D51CE3">
      <w:pPr>
        <w:pStyle w:val="NoSpacing"/>
        <w:rPr>
          <w:rFonts w:ascii="Arial" w:hAnsi="Arial" w:cs="Arial"/>
          <w:b/>
          <w:sz w:val="20"/>
          <w:szCs w:val="20"/>
        </w:rPr>
      </w:pPr>
    </w:p>
    <w:p w:rsidR="00D51CE3" w:rsidRPr="00880D3D" w:rsidRDefault="00D51CE3" w:rsidP="00D51CE3">
      <w:pPr>
        <w:pStyle w:val="NoSpacing"/>
        <w:rPr>
          <w:rFonts w:ascii="Arial" w:hAnsi="Arial" w:cs="Arial"/>
          <w:sz w:val="20"/>
          <w:szCs w:val="20"/>
        </w:rPr>
      </w:pPr>
      <w:r w:rsidRPr="00880D3D">
        <w:rPr>
          <w:rFonts w:ascii="Arial" w:hAnsi="Arial" w:cs="Arial"/>
          <w:b/>
          <w:sz w:val="20"/>
          <w:szCs w:val="20"/>
        </w:rPr>
        <w:t>Pamela Waksmonski, MS, MT (ASCP), PMP, CRA</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Clinical Lab Program Manager</w:t>
      </w:r>
    </w:p>
    <w:p w:rsidR="00D51CE3" w:rsidRPr="00880D3D" w:rsidRDefault="00D51CE3" w:rsidP="00D51CE3">
      <w:pPr>
        <w:pStyle w:val="NoSpacing"/>
        <w:rPr>
          <w:rFonts w:ascii="Arial" w:hAnsi="Arial" w:cs="Arial"/>
          <w:sz w:val="20"/>
          <w:szCs w:val="20"/>
        </w:rPr>
      </w:pPr>
      <w:r w:rsidRPr="00880D3D">
        <w:rPr>
          <w:rFonts w:ascii="Arial" w:hAnsi="Arial" w:cs="Arial"/>
          <w:sz w:val="20"/>
          <w:szCs w:val="20"/>
        </w:rPr>
        <w:t xml:space="preserve">Bureau of Health Care Safety and Quality </w:t>
      </w:r>
    </w:p>
    <w:p w:rsidR="00052D68" w:rsidRPr="00D51CE3" w:rsidRDefault="00D51CE3" w:rsidP="00052D68">
      <w:pPr>
        <w:pStyle w:val="NoSpacing"/>
        <w:rPr>
          <w:rFonts w:ascii="Arial" w:hAnsi="Arial" w:cs="Arial"/>
          <w:sz w:val="20"/>
          <w:szCs w:val="20"/>
        </w:rPr>
        <w:sectPr w:rsidR="00052D68" w:rsidRPr="00D51CE3" w:rsidSect="00D51CE3">
          <w:type w:val="continuous"/>
          <w:pgSz w:w="12240" w:h="15840"/>
          <w:pgMar w:top="960" w:right="1340" w:bottom="280" w:left="1320" w:header="720" w:footer="720" w:gutter="0"/>
          <w:cols w:num="2" w:space="720"/>
          <w:docGrid w:linePitch="299"/>
        </w:sectPr>
      </w:pPr>
      <w:r w:rsidRPr="00880D3D">
        <w:rPr>
          <w:rFonts w:ascii="Arial" w:hAnsi="Arial" w:cs="Arial"/>
          <w:sz w:val="20"/>
          <w:szCs w:val="20"/>
        </w:rPr>
        <w:t>Massachusetts Department of Public He</w:t>
      </w:r>
      <w:r w:rsidR="007D15F0">
        <w:rPr>
          <w:rFonts w:ascii="Arial" w:hAnsi="Arial" w:cs="Arial"/>
          <w:sz w:val="20"/>
          <w:szCs w:val="20"/>
        </w:rPr>
        <w:t>alth</w:t>
      </w:r>
    </w:p>
    <w:p w:rsidR="00052D68" w:rsidRDefault="004022E7" w:rsidP="00052D68">
      <w:pPr>
        <w:pStyle w:val="NoSpacing"/>
        <w:rPr>
          <w:rFonts w:ascii="Arial" w:hAnsi="Arial" w:cs="Arial"/>
          <w:b/>
          <w:sz w:val="20"/>
        </w:rPr>
      </w:pPr>
      <w:r>
        <w:rPr>
          <w:rFonts w:ascii="Arial" w:hAnsi="Arial" w:cs="Arial"/>
          <w:b/>
          <w:sz w:val="20"/>
        </w:rPr>
        <w:lastRenderedPageBreak/>
        <w:t>Data Summary</w:t>
      </w:r>
    </w:p>
    <w:p w:rsidR="00052D68" w:rsidRPr="00052D68" w:rsidRDefault="00052D68" w:rsidP="00052D68">
      <w:pPr>
        <w:pStyle w:val="NoSpacing"/>
        <w:rPr>
          <w:rFonts w:ascii="Arial" w:hAnsi="Arial" w:cs="Arial"/>
          <w:b/>
          <w:sz w:val="20"/>
        </w:rPr>
      </w:pPr>
    </w:p>
    <w:p w:rsidR="00632BA9" w:rsidRPr="00632BA9" w:rsidRDefault="00632BA9" w:rsidP="00632BA9">
      <w:pPr>
        <w:pStyle w:val="NoSpacing"/>
        <w:rPr>
          <w:rFonts w:ascii="Arial" w:hAnsi="Arial" w:cs="Arial"/>
          <w:sz w:val="20"/>
        </w:rPr>
      </w:pPr>
      <w:r w:rsidRPr="00632BA9">
        <w:rPr>
          <w:rFonts w:ascii="Arial" w:hAnsi="Arial" w:cs="Arial"/>
          <w:sz w:val="20"/>
        </w:rPr>
        <w:t>This report includes data submitted by all 69 of Massachusetts licensed blood banks. Participation in the NHSN Hemovigilance Module is a regulatory requirement for all licensed blood banks and transfusion services in Massachusetts. Complete denominator and adverse reaction data were submitted by all 69 facilities for all months covered.</w:t>
      </w:r>
      <w:r w:rsidR="007444F4">
        <w:rPr>
          <w:rFonts w:ascii="Arial" w:hAnsi="Arial" w:cs="Arial"/>
          <w:sz w:val="20"/>
        </w:rPr>
        <w:t xml:space="preserve"> Facilities </w:t>
      </w:r>
      <w:r w:rsidR="009B17EA">
        <w:rPr>
          <w:rFonts w:ascii="Arial" w:hAnsi="Arial" w:cs="Arial"/>
          <w:sz w:val="20"/>
        </w:rPr>
        <w:t>are now stratified into three bed</w:t>
      </w:r>
      <w:r w:rsidR="00644943">
        <w:rPr>
          <w:rFonts w:ascii="Arial" w:hAnsi="Arial" w:cs="Arial"/>
          <w:sz w:val="20"/>
        </w:rPr>
        <w:t xml:space="preserve"> </w:t>
      </w:r>
      <w:r w:rsidR="009B17EA">
        <w:rPr>
          <w:rFonts w:ascii="Arial" w:hAnsi="Arial" w:cs="Arial"/>
          <w:sz w:val="20"/>
        </w:rPr>
        <w:t>size groups</w:t>
      </w:r>
      <w:r w:rsidR="007444F4">
        <w:rPr>
          <w:rFonts w:ascii="Arial" w:hAnsi="Arial" w:cs="Arial"/>
          <w:sz w:val="20"/>
        </w:rPr>
        <w:t xml:space="preserve">, rather than total </w:t>
      </w:r>
      <w:r w:rsidR="009B17EA">
        <w:rPr>
          <w:rFonts w:ascii="Arial" w:hAnsi="Arial" w:cs="Arial"/>
          <w:sz w:val="20"/>
        </w:rPr>
        <w:t>(</w:t>
      </w:r>
      <w:r w:rsidR="007444F4">
        <w:rPr>
          <w:rFonts w:ascii="Arial" w:hAnsi="Arial" w:cs="Arial"/>
          <w:sz w:val="20"/>
        </w:rPr>
        <w:t>annual</w:t>
      </w:r>
      <w:r w:rsidR="009B17EA">
        <w:rPr>
          <w:rFonts w:ascii="Arial" w:hAnsi="Arial" w:cs="Arial"/>
          <w:sz w:val="20"/>
        </w:rPr>
        <w:t>)</w:t>
      </w:r>
      <w:r w:rsidR="007444F4">
        <w:rPr>
          <w:rFonts w:ascii="Arial" w:hAnsi="Arial" w:cs="Arial"/>
          <w:sz w:val="20"/>
        </w:rPr>
        <w:t xml:space="preserve"> transfusion volume</w:t>
      </w:r>
      <w:r w:rsidR="009B17EA">
        <w:rPr>
          <w:rFonts w:ascii="Arial" w:hAnsi="Arial" w:cs="Arial"/>
          <w:sz w:val="20"/>
        </w:rPr>
        <w:t xml:space="preserve"> groups. Bed</w:t>
      </w:r>
      <w:r w:rsidR="00685F4A">
        <w:rPr>
          <w:rFonts w:ascii="Arial" w:hAnsi="Arial" w:cs="Arial"/>
          <w:sz w:val="20"/>
        </w:rPr>
        <w:t xml:space="preserve"> </w:t>
      </w:r>
      <w:r w:rsidR="009B17EA">
        <w:rPr>
          <w:rFonts w:ascii="Arial" w:hAnsi="Arial" w:cs="Arial"/>
          <w:sz w:val="20"/>
        </w:rPr>
        <w:t>size groups are more stable over time and this stratification will prevent the comparison of the majority of facil</w:t>
      </w:r>
      <w:r w:rsidR="00644943">
        <w:rPr>
          <w:rFonts w:ascii="Arial" w:hAnsi="Arial" w:cs="Arial"/>
          <w:sz w:val="20"/>
        </w:rPr>
        <w:t xml:space="preserve">ities (those in the 100-299 bed </w:t>
      </w:r>
      <w:r w:rsidR="009B17EA">
        <w:rPr>
          <w:rFonts w:ascii="Arial" w:hAnsi="Arial" w:cs="Arial"/>
          <w:sz w:val="20"/>
        </w:rPr>
        <w:t xml:space="preserve">size group) </w:t>
      </w:r>
      <w:r w:rsidR="00160A76">
        <w:rPr>
          <w:rFonts w:ascii="Arial" w:hAnsi="Arial" w:cs="Arial"/>
          <w:sz w:val="20"/>
        </w:rPr>
        <w:t>with</w:t>
      </w:r>
      <w:r w:rsidR="009B17EA">
        <w:rPr>
          <w:rFonts w:ascii="Arial" w:hAnsi="Arial" w:cs="Arial"/>
          <w:sz w:val="20"/>
        </w:rPr>
        <w:t xml:space="preserve"> those much smaller or larger.</w:t>
      </w:r>
    </w:p>
    <w:p w:rsidR="00632BA9" w:rsidRPr="00632BA9" w:rsidRDefault="00632BA9" w:rsidP="00632BA9">
      <w:pPr>
        <w:pStyle w:val="NoSpacing"/>
        <w:rPr>
          <w:rFonts w:ascii="Arial" w:hAnsi="Arial" w:cs="Arial"/>
          <w:sz w:val="20"/>
        </w:rPr>
      </w:pPr>
    </w:p>
    <w:p w:rsidR="00632BA9" w:rsidRPr="00632BA9" w:rsidRDefault="00640223" w:rsidP="00632BA9">
      <w:pPr>
        <w:pStyle w:val="NoSpacing"/>
        <w:rPr>
          <w:rFonts w:ascii="Arial" w:hAnsi="Arial" w:cs="Arial"/>
          <w:sz w:val="20"/>
        </w:rPr>
      </w:pPr>
      <w:r>
        <w:rPr>
          <w:rFonts w:ascii="Arial" w:hAnsi="Arial" w:cs="Arial"/>
          <w:sz w:val="20"/>
        </w:rPr>
        <w:t xml:space="preserve">NHSN </w:t>
      </w:r>
      <w:r w:rsidR="00FD0C8E">
        <w:rPr>
          <w:rFonts w:ascii="Arial" w:hAnsi="Arial" w:cs="Arial"/>
          <w:sz w:val="20"/>
        </w:rPr>
        <w:t>Annual Facility S</w:t>
      </w:r>
      <w:r w:rsidR="00632BA9" w:rsidRPr="00632BA9">
        <w:rPr>
          <w:rFonts w:ascii="Arial" w:hAnsi="Arial" w:cs="Arial"/>
          <w:sz w:val="20"/>
        </w:rPr>
        <w:t xml:space="preserve">urveys, reporting facility characteristics, were provided by 64 of 69 licensed blood banks. Facilities that did not submit </w:t>
      </w:r>
      <w:r>
        <w:rPr>
          <w:rFonts w:ascii="Arial" w:hAnsi="Arial" w:cs="Arial"/>
          <w:sz w:val="20"/>
        </w:rPr>
        <w:t xml:space="preserve">the </w:t>
      </w:r>
      <w:r w:rsidR="00632BA9" w:rsidRPr="00632BA9">
        <w:rPr>
          <w:rFonts w:ascii="Arial" w:hAnsi="Arial" w:cs="Arial"/>
          <w:sz w:val="20"/>
        </w:rPr>
        <w:t>annual facility survey for 2017 were not limited to any one bed size group. For those facilities that did not submit a 2017 annual facility survey, the most recent prior year submission was used. Survey data indicated that 78% of Massachusetts’ blood banks are located in non-profit acute care facilities. The number of beds in facilities ranged from 22 to 940, and the number of annual inpatient surgical procedures ranged from 0 to 20,464. Seventy-eight percent of blood banks reported that they are considered part of their facility’s core laboratory, while 58% of Massachusetts’ blood banks reported that they provided all of their own transfusion services, including all laboratory functions. Twenty-five percent of blood banks indicated that they have a dedicated position in quality assurance or patient safety for investigation of transfusion errors, and 20% indicated having such a dedicated position for investigation of transfusion-related adverse events. Eighty-seven percent of facilities were College of American Pathologists (CAP) accredited, 52% were accredited by AABB, and 57% indicated accreditation by the Joint Commission. All but one blood bank reported having a blood utilization review committee.</w:t>
      </w:r>
    </w:p>
    <w:p w:rsidR="00632BA9" w:rsidRPr="00632BA9" w:rsidRDefault="00632BA9" w:rsidP="00632BA9">
      <w:pPr>
        <w:pStyle w:val="NoSpacing"/>
        <w:rPr>
          <w:rFonts w:ascii="Arial" w:hAnsi="Arial" w:cs="Arial"/>
          <w:sz w:val="20"/>
        </w:rPr>
      </w:pPr>
    </w:p>
    <w:p w:rsidR="00632BA9" w:rsidRPr="00632BA9" w:rsidRDefault="00632BA9" w:rsidP="00632BA9">
      <w:pPr>
        <w:pStyle w:val="NoSpacing"/>
        <w:rPr>
          <w:rFonts w:ascii="Arial" w:hAnsi="Arial" w:cs="Arial"/>
          <w:sz w:val="20"/>
        </w:rPr>
      </w:pPr>
      <w:r w:rsidRPr="00632BA9">
        <w:rPr>
          <w:rFonts w:ascii="Arial" w:hAnsi="Arial" w:cs="Arial"/>
          <w:sz w:val="20"/>
        </w:rPr>
        <w:t xml:space="preserve">The volume of blood products transfused by Massachusetts’ blood banks varied widely. For whole blood- derived RBCs, the range was 0 to 31,231 units annually (mean: 3,076). For apheresis RBC units, the range was 0 to 4,360 units (mean: 386). For apheresis platelets, the range was 0 to 10,491 units (mean: 626), and for whole blood-derived plasma units the range was 0 to 6,694 (mean: 633). The number of whole blood units transfused statewide has decreased by 63% from 2015 to 2017. Only four facilities transfused any whole blood in 2017, and in all cases it was autologous. Nearly all blood banks, 66/69 (96%) attempted to issue only leukocyte-reduced or </w:t>
      </w:r>
      <w:proofErr w:type="spellStart"/>
      <w:r w:rsidRPr="00632BA9">
        <w:rPr>
          <w:rFonts w:ascii="Arial" w:hAnsi="Arial" w:cs="Arial"/>
          <w:sz w:val="20"/>
        </w:rPr>
        <w:t>leuko</w:t>
      </w:r>
      <w:proofErr w:type="spellEnd"/>
      <w:r w:rsidRPr="00632BA9">
        <w:rPr>
          <w:rFonts w:ascii="Arial" w:hAnsi="Arial" w:cs="Arial"/>
          <w:sz w:val="20"/>
        </w:rPr>
        <w:t xml:space="preserve">-poor cellular components. 14/69 (20%) of blood banks collected blood at their facility and 3/69 (4%) performed point of issue bacterial testing on platelets prior to transfusion. </w:t>
      </w:r>
    </w:p>
    <w:p w:rsidR="00632BA9" w:rsidRPr="00632BA9" w:rsidRDefault="00632BA9" w:rsidP="00632BA9">
      <w:pPr>
        <w:pStyle w:val="NoSpacing"/>
        <w:rPr>
          <w:rFonts w:ascii="Arial" w:hAnsi="Arial" w:cs="Arial"/>
          <w:sz w:val="20"/>
        </w:rPr>
      </w:pPr>
    </w:p>
    <w:p w:rsidR="00632BA9" w:rsidRPr="00632BA9" w:rsidRDefault="00632BA9" w:rsidP="00632BA9">
      <w:pPr>
        <w:pStyle w:val="NoSpacing"/>
        <w:rPr>
          <w:rFonts w:ascii="Arial" w:hAnsi="Arial" w:cs="Arial"/>
          <w:sz w:val="20"/>
        </w:rPr>
      </w:pPr>
      <w:r w:rsidRPr="00632BA9">
        <w:rPr>
          <w:rFonts w:ascii="Arial" w:hAnsi="Arial" w:cs="Arial"/>
          <w:sz w:val="20"/>
        </w:rPr>
        <w:t>The number of RBC type and screen procedures performed by Massachusetts’ blood banks ranged from 128 to 85,735 (mean: 9,115) and RBC crossmatches ranged from 109 to 57,710 (mean: 5,680). The number of products transfused in 2016 averaged 30,848 products per month. In 2017, the number of products transfused decreased to an average of 29,997 products per month. The monthly average number of discarded products was 2,231, and there is evidence that product discard</w:t>
      </w:r>
      <w:r w:rsidR="006C30E9">
        <w:rPr>
          <w:rFonts w:ascii="Arial" w:hAnsi="Arial" w:cs="Arial"/>
          <w:sz w:val="20"/>
        </w:rPr>
        <w:t>s</w:t>
      </w:r>
      <w:r w:rsidRPr="00632BA9">
        <w:rPr>
          <w:rFonts w:ascii="Arial" w:hAnsi="Arial" w:cs="Arial"/>
          <w:sz w:val="20"/>
        </w:rPr>
        <w:t xml:space="preserve"> decreased over time.</w:t>
      </w:r>
    </w:p>
    <w:p w:rsidR="00632BA9" w:rsidRPr="00632BA9" w:rsidRDefault="00632BA9" w:rsidP="00632BA9">
      <w:pPr>
        <w:pStyle w:val="NoSpacing"/>
        <w:rPr>
          <w:rFonts w:ascii="Arial" w:hAnsi="Arial" w:cs="Arial"/>
          <w:sz w:val="20"/>
        </w:rPr>
      </w:pPr>
    </w:p>
    <w:p w:rsidR="00632BA9" w:rsidRPr="00632BA9" w:rsidRDefault="00632BA9" w:rsidP="00632BA9">
      <w:pPr>
        <w:pStyle w:val="NoSpacing"/>
        <w:rPr>
          <w:rFonts w:ascii="Arial" w:hAnsi="Arial" w:cs="Arial"/>
          <w:sz w:val="20"/>
        </w:rPr>
      </w:pPr>
      <w:r w:rsidRPr="00632BA9">
        <w:rPr>
          <w:rFonts w:ascii="Arial" w:hAnsi="Arial" w:cs="Arial"/>
          <w:sz w:val="20"/>
        </w:rPr>
        <w:t xml:space="preserve">Three transfusion-transmitted infections were reported in 2017 including one </w:t>
      </w:r>
      <w:r w:rsidRPr="00632BA9">
        <w:rPr>
          <w:rFonts w:ascii="Arial" w:hAnsi="Arial" w:cs="Arial"/>
          <w:i/>
          <w:sz w:val="20"/>
        </w:rPr>
        <w:t>Babesia microti</w:t>
      </w:r>
      <w:r w:rsidRPr="00632BA9">
        <w:rPr>
          <w:rFonts w:ascii="Arial" w:hAnsi="Arial" w:cs="Arial"/>
          <w:sz w:val="20"/>
        </w:rPr>
        <w:t xml:space="preserve"> infection, one bacterial infection associated with platelets, and one bacterial infection associated with transfused RBCs. This was an overall decrease in the number of transfusion-transmitted infections reported compared to the prior two years, and a marked decrease in the number of reported </w:t>
      </w:r>
      <w:r w:rsidRPr="00632BA9">
        <w:rPr>
          <w:rFonts w:ascii="Arial" w:hAnsi="Arial" w:cs="Arial"/>
          <w:i/>
          <w:sz w:val="20"/>
        </w:rPr>
        <w:t>Babesia microti</w:t>
      </w:r>
      <w:r w:rsidRPr="00632BA9">
        <w:rPr>
          <w:rFonts w:ascii="Arial" w:hAnsi="Arial" w:cs="Arial"/>
          <w:sz w:val="20"/>
        </w:rPr>
        <w:t xml:space="preserve"> infections. The 2017 rate of transfusion-transmitted infe</w:t>
      </w:r>
      <w:r w:rsidR="001200AE">
        <w:rPr>
          <w:rFonts w:ascii="Arial" w:hAnsi="Arial" w:cs="Arial"/>
          <w:sz w:val="20"/>
        </w:rPr>
        <w:t>ctions in Massachusetts was 0.1</w:t>
      </w:r>
      <w:r w:rsidRPr="00632BA9">
        <w:rPr>
          <w:rFonts w:ascii="Arial" w:hAnsi="Arial" w:cs="Arial"/>
          <w:sz w:val="20"/>
        </w:rPr>
        <w:t xml:space="preserve"> infections/10,000 products transfused.</w:t>
      </w:r>
    </w:p>
    <w:p w:rsidR="00632BA9" w:rsidRPr="00632BA9" w:rsidRDefault="00632BA9" w:rsidP="00632BA9">
      <w:pPr>
        <w:pStyle w:val="NoSpacing"/>
        <w:rPr>
          <w:rFonts w:ascii="Arial" w:hAnsi="Arial" w:cs="Arial"/>
          <w:sz w:val="20"/>
        </w:rPr>
      </w:pPr>
    </w:p>
    <w:p w:rsidR="00632BA9" w:rsidRPr="00632BA9" w:rsidRDefault="00632BA9" w:rsidP="00632BA9">
      <w:pPr>
        <w:pStyle w:val="NoSpacing"/>
        <w:rPr>
          <w:rFonts w:ascii="Arial" w:hAnsi="Arial" w:cs="Arial"/>
          <w:sz w:val="20"/>
        </w:rPr>
      </w:pPr>
      <w:r w:rsidRPr="00632BA9">
        <w:rPr>
          <w:rFonts w:ascii="Arial" w:hAnsi="Arial" w:cs="Arial"/>
          <w:sz w:val="20"/>
        </w:rPr>
        <w:t>From January 1, 2017 through December 31, 2017, there were 359,966 blood products issued and transfused by the 69 licensed blood banks in Massachusetts. During that time period, a total of 665 adverse reactions classified as possibly, probably</w:t>
      </w:r>
      <w:r w:rsidR="00E65705">
        <w:rPr>
          <w:rFonts w:ascii="Arial" w:hAnsi="Arial" w:cs="Arial"/>
          <w:sz w:val="20"/>
        </w:rPr>
        <w:t>,</w:t>
      </w:r>
      <w:r w:rsidRPr="00632BA9">
        <w:rPr>
          <w:rFonts w:ascii="Arial" w:hAnsi="Arial" w:cs="Arial"/>
          <w:sz w:val="20"/>
        </w:rPr>
        <w:t xml:space="preserve"> or definitely related to transfusion were reported, yielding an overall reaction rate of 18.5 reactions/10,000 products transfused.</w:t>
      </w:r>
    </w:p>
    <w:p w:rsidR="00160A76" w:rsidRDefault="00632BA9" w:rsidP="00160A76">
      <w:pPr>
        <w:pStyle w:val="NoSpacing"/>
        <w:rPr>
          <w:rFonts w:ascii="Arial" w:hAnsi="Arial" w:cs="Arial"/>
          <w:sz w:val="20"/>
        </w:rPr>
      </w:pPr>
      <w:r w:rsidRPr="00632BA9">
        <w:rPr>
          <w:rFonts w:ascii="Arial" w:hAnsi="Arial" w:cs="Arial"/>
          <w:sz w:val="20"/>
        </w:rPr>
        <w:lastRenderedPageBreak/>
        <w:t xml:space="preserve">Sixty (9%) of the reported reactions were considered serious or life-threatening, and four (0.6%) reactions were </w:t>
      </w:r>
      <w:r w:rsidR="00644943">
        <w:rPr>
          <w:rFonts w:ascii="Arial" w:hAnsi="Arial" w:cs="Arial"/>
          <w:sz w:val="20"/>
        </w:rPr>
        <w:t>classified as fatal.</w:t>
      </w:r>
      <w:r w:rsidRPr="00632BA9">
        <w:rPr>
          <w:rFonts w:ascii="Arial" w:hAnsi="Arial" w:cs="Arial"/>
          <w:sz w:val="20"/>
        </w:rPr>
        <w:t xml:space="preserve"> Febrile non-hemolytic reactions were reported more frequently than other reaction types, making up 66% (438/665) of all adverse reactions reported.</w:t>
      </w:r>
      <w:bookmarkStart w:id="4" w:name="_Toc516748490"/>
      <w:bookmarkStart w:id="5" w:name="_TOC_250001"/>
    </w:p>
    <w:p w:rsidR="00B7213D" w:rsidRDefault="00B7213D" w:rsidP="00160A76">
      <w:pPr>
        <w:pStyle w:val="NoSpacing"/>
        <w:rPr>
          <w:rFonts w:ascii="Arial" w:eastAsia="Arial" w:hAnsi="Arial" w:cs="Times New Roman"/>
          <w:b/>
          <w:bCs/>
          <w:sz w:val="20"/>
          <w:szCs w:val="20"/>
        </w:rPr>
      </w:pPr>
    </w:p>
    <w:p w:rsidR="005403CC" w:rsidRPr="00160A76" w:rsidRDefault="005403CC" w:rsidP="00160A76">
      <w:pPr>
        <w:pStyle w:val="NoSpacing"/>
        <w:rPr>
          <w:rFonts w:ascii="Arial" w:hAnsi="Arial" w:cs="Arial"/>
          <w:sz w:val="20"/>
        </w:rPr>
      </w:pPr>
      <w:r w:rsidRPr="005403CC">
        <w:rPr>
          <w:rFonts w:ascii="Arial" w:eastAsia="Arial" w:hAnsi="Arial" w:cs="Times New Roman"/>
          <w:b/>
          <w:bCs/>
          <w:sz w:val="20"/>
          <w:szCs w:val="20"/>
        </w:rPr>
        <w:t>Key Findings</w:t>
      </w:r>
    </w:p>
    <w:p w:rsidR="005403CC" w:rsidRDefault="005403CC" w:rsidP="005403CC">
      <w:pPr>
        <w:widowControl w:val="0"/>
        <w:spacing w:before="48" w:after="0" w:line="240" w:lineRule="auto"/>
        <w:ind w:left="37"/>
        <w:outlineLvl w:val="0"/>
        <w:rPr>
          <w:rFonts w:ascii="Arial" w:eastAsia="Arial" w:hAnsi="Arial" w:cs="Times New Roman"/>
          <w:b/>
          <w:bCs/>
          <w:sz w:val="20"/>
          <w:szCs w:val="20"/>
        </w:rPr>
      </w:pPr>
    </w:p>
    <w:p w:rsidR="00632BA9" w:rsidRPr="00632BA9" w:rsidRDefault="00632BA9" w:rsidP="00632BA9">
      <w:pPr>
        <w:widowControl w:val="0"/>
        <w:numPr>
          <w:ilvl w:val="0"/>
          <w:numId w:val="3"/>
        </w:numPr>
        <w:spacing w:before="48" w:after="0" w:line="240" w:lineRule="auto"/>
        <w:outlineLvl w:val="0"/>
        <w:rPr>
          <w:rFonts w:ascii="Arial" w:eastAsia="Arial" w:hAnsi="Arial" w:cs="Times New Roman"/>
          <w:bCs/>
          <w:sz w:val="20"/>
          <w:szCs w:val="20"/>
        </w:rPr>
      </w:pPr>
      <w:r w:rsidRPr="00632BA9">
        <w:rPr>
          <w:rFonts w:ascii="Arial" w:eastAsia="Arial" w:hAnsi="Arial" w:cs="Times New Roman"/>
          <w:bCs/>
          <w:sz w:val="20"/>
          <w:szCs w:val="20"/>
        </w:rPr>
        <w:t>The rate of adverse reactions per 10,000 units transfused associated with platelets increased from an average of 15.9 per quarter in 2015 to 25.0 per quarter in 2017.  The rate of adverse reactions associated with RBCs also increased from 2015 to 2017 from 15.4 to 20.6</w:t>
      </w:r>
      <w:r w:rsidR="006C30E9">
        <w:rPr>
          <w:rFonts w:ascii="Arial" w:eastAsia="Arial" w:hAnsi="Arial" w:cs="Times New Roman"/>
          <w:bCs/>
          <w:sz w:val="20"/>
          <w:szCs w:val="20"/>
        </w:rPr>
        <w:t xml:space="preserve"> per quarter</w:t>
      </w:r>
      <w:r w:rsidRPr="00632BA9">
        <w:rPr>
          <w:rFonts w:ascii="Arial" w:eastAsia="Arial" w:hAnsi="Arial" w:cs="Times New Roman"/>
          <w:bCs/>
          <w:sz w:val="20"/>
          <w:szCs w:val="20"/>
        </w:rPr>
        <w:t>. The rate of adverse reactions associated with plasma has remained stable over the three-year timeframe.</w:t>
      </w:r>
    </w:p>
    <w:p w:rsidR="00632BA9" w:rsidRPr="00632BA9" w:rsidRDefault="00632BA9" w:rsidP="00632BA9">
      <w:pPr>
        <w:widowControl w:val="0"/>
        <w:spacing w:before="48" w:after="0" w:line="240" w:lineRule="auto"/>
        <w:outlineLvl w:val="0"/>
        <w:rPr>
          <w:rFonts w:ascii="Arial" w:eastAsia="Arial" w:hAnsi="Arial" w:cs="Times New Roman"/>
          <w:bCs/>
          <w:sz w:val="20"/>
          <w:szCs w:val="20"/>
        </w:rPr>
      </w:pPr>
    </w:p>
    <w:p w:rsidR="00632BA9" w:rsidRPr="00632BA9" w:rsidRDefault="00632BA9" w:rsidP="00632BA9">
      <w:pPr>
        <w:widowControl w:val="0"/>
        <w:numPr>
          <w:ilvl w:val="0"/>
          <w:numId w:val="3"/>
        </w:numPr>
        <w:spacing w:before="48" w:after="0" w:line="240" w:lineRule="auto"/>
        <w:outlineLvl w:val="0"/>
        <w:rPr>
          <w:rFonts w:ascii="Arial" w:eastAsia="Arial" w:hAnsi="Arial" w:cs="Times New Roman"/>
          <w:bCs/>
          <w:sz w:val="20"/>
          <w:szCs w:val="20"/>
        </w:rPr>
      </w:pPr>
      <w:r w:rsidRPr="00632BA9">
        <w:rPr>
          <w:rFonts w:ascii="Arial" w:eastAsia="Arial" w:hAnsi="Arial" w:cs="Times New Roman"/>
          <w:bCs/>
          <w:sz w:val="20"/>
          <w:szCs w:val="20"/>
        </w:rPr>
        <w:t xml:space="preserve">The number of transfusion-associated infections decreased in 2017 when compared to 2015 and 2016. Possible reasons include increased screening of blood products for </w:t>
      </w:r>
      <w:r w:rsidRPr="00632BA9">
        <w:rPr>
          <w:rFonts w:ascii="Arial" w:eastAsia="Arial" w:hAnsi="Arial" w:cs="Times New Roman"/>
          <w:bCs/>
          <w:i/>
          <w:sz w:val="20"/>
          <w:szCs w:val="20"/>
        </w:rPr>
        <w:t>Babesia</w:t>
      </w:r>
      <w:r w:rsidRPr="00632BA9">
        <w:rPr>
          <w:rFonts w:ascii="Arial" w:eastAsia="Arial" w:hAnsi="Arial" w:cs="Times New Roman"/>
          <w:bCs/>
          <w:sz w:val="20"/>
          <w:szCs w:val="20"/>
        </w:rPr>
        <w:t>, as well as the 2017 implementation of an auto-designation feature in NHSN, which ensures strict application of case definition and imputability criteria for transfusion-transmitted infections.</w:t>
      </w:r>
    </w:p>
    <w:p w:rsidR="00632BA9" w:rsidRPr="00632BA9" w:rsidRDefault="00632BA9" w:rsidP="00632BA9">
      <w:pPr>
        <w:widowControl w:val="0"/>
        <w:spacing w:before="48" w:after="0" w:line="240" w:lineRule="auto"/>
        <w:outlineLvl w:val="0"/>
        <w:rPr>
          <w:rFonts w:ascii="Arial" w:eastAsia="Arial" w:hAnsi="Arial" w:cs="Times New Roman"/>
          <w:bCs/>
          <w:sz w:val="20"/>
          <w:szCs w:val="20"/>
        </w:rPr>
      </w:pPr>
    </w:p>
    <w:p w:rsidR="00632BA9" w:rsidRPr="00632BA9" w:rsidRDefault="00632BA9" w:rsidP="00632BA9">
      <w:pPr>
        <w:widowControl w:val="0"/>
        <w:numPr>
          <w:ilvl w:val="0"/>
          <w:numId w:val="3"/>
        </w:numPr>
        <w:spacing w:before="48" w:after="0" w:line="240" w:lineRule="auto"/>
        <w:outlineLvl w:val="0"/>
        <w:rPr>
          <w:rFonts w:ascii="Arial" w:eastAsia="Arial" w:hAnsi="Arial" w:cs="Times New Roman"/>
          <w:bCs/>
          <w:sz w:val="20"/>
          <w:szCs w:val="20"/>
        </w:rPr>
      </w:pPr>
      <w:r w:rsidRPr="00632BA9">
        <w:rPr>
          <w:rFonts w:ascii="Arial" w:eastAsia="Arial" w:hAnsi="Arial" w:cs="Times New Roman"/>
          <w:bCs/>
          <w:sz w:val="20"/>
          <w:szCs w:val="20"/>
        </w:rPr>
        <w:t>The number of febrile non</w:t>
      </w:r>
      <w:r w:rsidR="000F4CA3">
        <w:rPr>
          <w:rFonts w:ascii="Arial" w:eastAsia="Arial" w:hAnsi="Arial" w:cs="Times New Roman"/>
          <w:bCs/>
          <w:sz w:val="20"/>
          <w:szCs w:val="20"/>
        </w:rPr>
        <w:t>-</w:t>
      </w:r>
      <w:r w:rsidRPr="00632BA9">
        <w:rPr>
          <w:rFonts w:ascii="Arial" w:eastAsia="Arial" w:hAnsi="Arial" w:cs="Times New Roman"/>
          <w:bCs/>
          <w:sz w:val="20"/>
          <w:szCs w:val="20"/>
        </w:rPr>
        <w:t>hemolytic transfusion reactions (FNHTRs) increased by 28% over the 2016 number (442 compared to 345). Possible reasons include increased awareness and familiarity with reporting guidelines.</w:t>
      </w:r>
    </w:p>
    <w:p w:rsidR="00632BA9" w:rsidRPr="00632BA9" w:rsidRDefault="00632BA9" w:rsidP="00632BA9">
      <w:pPr>
        <w:widowControl w:val="0"/>
        <w:spacing w:before="48" w:after="0" w:line="240" w:lineRule="auto"/>
        <w:outlineLvl w:val="0"/>
        <w:rPr>
          <w:rFonts w:ascii="Arial" w:eastAsia="Arial" w:hAnsi="Arial" w:cs="Times New Roman"/>
          <w:bCs/>
          <w:sz w:val="20"/>
          <w:szCs w:val="20"/>
        </w:rPr>
      </w:pPr>
    </w:p>
    <w:p w:rsidR="00632BA9" w:rsidRPr="00632BA9" w:rsidRDefault="00632BA9" w:rsidP="00632BA9">
      <w:pPr>
        <w:widowControl w:val="0"/>
        <w:numPr>
          <w:ilvl w:val="0"/>
          <w:numId w:val="3"/>
        </w:numPr>
        <w:spacing w:before="48" w:after="0" w:line="240" w:lineRule="auto"/>
        <w:outlineLvl w:val="0"/>
        <w:rPr>
          <w:rFonts w:ascii="Arial" w:eastAsia="Arial" w:hAnsi="Arial" w:cs="Times New Roman"/>
          <w:bCs/>
          <w:sz w:val="20"/>
          <w:szCs w:val="20"/>
        </w:rPr>
      </w:pPr>
      <w:r w:rsidRPr="00632BA9">
        <w:rPr>
          <w:rFonts w:ascii="Arial" w:eastAsia="Arial" w:hAnsi="Arial" w:cs="Times New Roman"/>
          <w:bCs/>
          <w:sz w:val="20"/>
          <w:szCs w:val="20"/>
        </w:rPr>
        <w:t>Nine (53%) facilities in bed size group 1 (&lt; 100 beds) and nine (24%) facilities in bed size group 2 (100-299 beds) reported no adverse reactions, despite transfusing 5,8</w:t>
      </w:r>
      <w:r w:rsidR="00F65E1B">
        <w:rPr>
          <w:rFonts w:ascii="Arial" w:eastAsia="Arial" w:hAnsi="Arial" w:cs="Times New Roman"/>
          <w:bCs/>
          <w:sz w:val="20"/>
          <w:szCs w:val="20"/>
        </w:rPr>
        <w:t>67</w:t>
      </w:r>
      <w:r w:rsidRPr="00632BA9">
        <w:rPr>
          <w:rFonts w:ascii="Arial" w:eastAsia="Arial" w:hAnsi="Arial" w:cs="Times New Roman"/>
          <w:bCs/>
          <w:sz w:val="20"/>
          <w:szCs w:val="20"/>
        </w:rPr>
        <w:t xml:space="preserve"> and 18,378 total blood products, respectively. </w:t>
      </w:r>
    </w:p>
    <w:p w:rsidR="00ED2310" w:rsidRPr="00632BA9" w:rsidRDefault="0045758D" w:rsidP="00632BA9">
      <w:pPr>
        <w:widowControl w:val="0"/>
        <w:spacing w:before="48" w:after="0" w:line="240" w:lineRule="auto"/>
        <w:outlineLvl w:val="0"/>
        <w:rPr>
          <w:rFonts w:ascii="Arial" w:eastAsia="Arial" w:hAnsi="Arial" w:cs="Times New Roman"/>
          <w:bCs/>
          <w:sz w:val="20"/>
          <w:szCs w:val="20"/>
        </w:rPr>
      </w:pPr>
    </w:p>
    <w:p w:rsidR="00632BA9" w:rsidRPr="00632BA9" w:rsidRDefault="00632BA9" w:rsidP="00632BA9">
      <w:pPr>
        <w:widowControl w:val="0"/>
        <w:numPr>
          <w:ilvl w:val="0"/>
          <w:numId w:val="3"/>
        </w:numPr>
        <w:spacing w:before="48" w:after="0" w:line="240" w:lineRule="auto"/>
        <w:outlineLvl w:val="0"/>
        <w:rPr>
          <w:rFonts w:ascii="Arial" w:eastAsia="Arial" w:hAnsi="Arial" w:cs="Times New Roman"/>
          <w:bCs/>
          <w:sz w:val="20"/>
          <w:szCs w:val="20"/>
        </w:rPr>
      </w:pPr>
      <w:r w:rsidRPr="00632BA9">
        <w:rPr>
          <w:rFonts w:ascii="Arial" w:eastAsia="Arial" w:hAnsi="Arial" w:cs="Times New Roman"/>
          <w:bCs/>
          <w:sz w:val="20"/>
          <w:szCs w:val="20"/>
        </w:rPr>
        <w:t>Among the facilities reporting zero adverse reactions in bed size groups 1 and 2, was the facility in each group tha</w:t>
      </w:r>
      <w:r w:rsidR="00ED4CFD">
        <w:rPr>
          <w:rFonts w:ascii="Arial" w:eastAsia="Arial" w:hAnsi="Arial" w:cs="Times New Roman"/>
          <w:bCs/>
          <w:sz w:val="20"/>
          <w:szCs w:val="20"/>
        </w:rPr>
        <w:t>t transfused the most products.</w:t>
      </w:r>
    </w:p>
    <w:p w:rsidR="00632BA9" w:rsidRPr="00632BA9" w:rsidRDefault="00632BA9" w:rsidP="00632BA9">
      <w:pPr>
        <w:widowControl w:val="0"/>
        <w:spacing w:before="48" w:after="0" w:line="240" w:lineRule="auto"/>
        <w:outlineLvl w:val="0"/>
        <w:rPr>
          <w:rFonts w:ascii="Arial" w:eastAsia="Arial" w:hAnsi="Arial" w:cs="Times New Roman"/>
          <w:bCs/>
          <w:sz w:val="20"/>
          <w:szCs w:val="20"/>
        </w:rPr>
      </w:pPr>
    </w:p>
    <w:p w:rsidR="00ED2310" w:rsidRPr="00632BA9" w:rsidRDefault="004353CF" w:rsidP="00632BA9">
      <w:pPr>
        <w:widowControl w:val="0"/>
        <w:numPr>
          <w:ilvl w:val="0"/>
          <w:numId w:val="3"/>
        </w:numPr>
        <w:spacing w:before="48" w:after="0" w:line="240" w:lineRule="auto"/>
        <w:outlineLvl w:val="0"/>
        <w:rPr>
          <w:rFonts w:ascii="Arial" w:eastAsia="Arial" w:hAnsi="Arial" w:cs="Times New Roman"/>
          <w:bCs/>
          <w:sz w:val="20"/>
          <w:szCs w:val="20"/>
        </w:rPr>
      </w:pPr>
      <w:r w:rsidRPr="00632BA9">
        <w:rPr>
          <w:rFonts w:ascii="Arial" w:eastAsia="Arial" w:hAnsi="Arial" w:cs="Times New Roman"/>
          <w:bCs/>
          <w:sz w:val="20"/>
          <w:szCs w:val="20"/>
        </w:rPr>
        <w:t xml:space="preserve">The rate of adverse reactions in bed size group 1 was </w:t>
      </w:r>
      <w:r w:rsidR="00F65E1B">
        <w:rPr>
          <w:rFonts w:ascii="Arial" w:eastAsia="Arial" w:hAnsi="Arial" w:cs="Times New Roman"/>
          <w:bCs/>
          <w:sz w:val="20"/>
          <w:szCs w:val="20"/>
        </w:rPr>
        <w:t>approximately 1.5 to 2</w:t>
      </w:r>
      <w:r w:rsidRPr="00632BA9">
        <w:rPr>
          <w:rFonts w:ascii="Arial" w:eastAsia="Arial" w:hAnsi="Arial" w:cs="Times New Roman"/>
          <w:bCs/>
          <w:sz w:val="20"/>
          <w:szCs w:val="20"/>
        </w:rPr>
        <w:t xml:space="preserve"> times higher than the statewide rate over the course of 2017. Among the smaller facilities reporting these higher rates are several with new oversight by larger transfusion service(s) that provide education about detection and reporting of adverse reactions. Thus, the higher rates may represent both a higher rate of adverse reactions, with possible reversal of historical underreporting accounting for some of the change.</w:t>
      </w:r>
    </w:p>
    <w:p w:rsidR="00632BA9" w:rsidRPr="00632BA9" w:rsidRDefault="00632BA9" w:rsidP="00632BA9">
      <w:pPr>
        <w:widowControl w:val="0"/>
        <w:spacing w:before="48" w:after="0" w:line="240" w:lineRule="auto"/>
        <w:outlineLvl w:val="0"/>
        <w:rPr>
          <w:rFonts w:ascii="Arial" w:eastAsia="Arial" w:hAnsi="Arial" w:cs="Times New Roman"/>
          <w:bCs/>
          <w:sz w:val="20"/>
          <w:szCs w:val="20"/>
        </w:rPr>
      </w:pPr>
    </w:p>
    <w:p w:rsidR="00632BA9" w:rsidRPr="00632BA9" w:rsidRDefault="00632BA9" w:rsidP="00632BA9">
      <w:pPr>
        <w:widowControl w:val="0"/>
        <w:numPr>
          <w:ilvl w:val="0"/>
          <w:numId w:val="3"/>
        </w:numPr>
        <w:spacing w:before="48" w:after="0" w:line="240" w:lineRule="auto"/>
        <w:outlineLvl w:val="0"/>
        <w:rPr>
          <w:rFonts w:ascii="Arial" w:eastAsia="Arial" w:hAnsi="Arial" w:cs="Times New Roman"/>
          <w:bCs/>
          <w:sz w:val="20"/>
          <w:szCs w:val="20"/>
        </w:rPr>
      </w:pPr>
      <w:r w:rsidRPr="00632BA9">
        <w:rPr>
          <w:rFonts w:ascii="Arial" w:eastAsia="Arial" w:hAnsi="Arial" w:cs="Times New Roman"/>
          <w:bCs/>
          <w:sz w:val="20"/>
          <w:szCs w:val="20"/>
        </w:rPr>
        <w:t>In 2017, 223 autologous whole blood products were transfused by just four facilities, and 175 autologous whole blood products were discarded by those facilities, leading to a discard ratio of 78.5 (number discarded per 100 products transfused).</w:t>
      </w:r>
    </w:p>
    <w:p w:rsidR="00AD0380" w:rsidRPr="00AD0380" w:rsidRDefault="00AD0380" w:rsidP="00AD0380">
      <w:pPr>
        <w:widowControl w:val="0"/>
        <w:spacing w:before="48" w:after="0" w:line="240" w:lineRule="auto"/>
        <w:outlineLvl w:val="0"/>
        <w:rPr>
          <w:rFonts w:ascii="Arial" w:eastAsia="Arial" w:hAnsi="Arial" w:cs="Times New Roman"/>
          <w:bCs/>
          <w:sz w:val="20"/>
          <w:szCs w:val="20"/>
        </w:rPr>
      </w:pPr>
    </w:p>
    <w:p w:rsidR="005403CC" w:rsidRPr="005403CC" w:rsidRDefault="005403CC" w:rsidP="005403CC">
      <w:pPr>
        <w:widowControl w:val="0"/>
        <w:spacing w:before="48" w:after="0" w:line="240" w:lineRule="auto"/>
        <w:ind w:left="37"/>
        <w:outlineLvl w:val="0"/>
        <w:rPr>
          <w:rFonts w:ascii="Arial" w:eastAsia="Arial" w:hAnsi="Arial" w:cs="Times New Roman"/>
          <w:b/>
          <w:bCs/>
          <w:sz w:val="20"/>
          <w:szCs w:val="20"/>
        </w:rPr>
      </w:pPr>
    </w:p>
    <w:p w:rsidR="005403CC" w:rsidRPr="005403CC" w:rsidRDefault="005403CC" w:rsidP="005403CC">
      <w:pPr>
        <w:widowControl w:val="0"/>
        <w:spacing w:before="48" w:after="0" w:line="240" w:lineRule="auto"/>
        <w:ind w:left="37"/>
        <w:outlineLvl w:val="0"/>
        <w:rPr>
          <w:rFonts w:ascii="Arial" w:eastAsia="Arial" w:hAnsi="Arial" w:cs="Times New Roman"/>
          <w:b/>
          <w:bCs/>
          <w:sz w:val="20"/>
          <w:szCs w:val="20"/>
        </w:rPr>
      </w:pPr>
    </w:p>
    <w:p w:rsidR="005403CC" w:rsidRPr="005403CC" w:rsidRDefault="005403CC" w:rsidP="005403CC">
      <w:pPr>
        <w:widowControl w:val="0"/>
        <w:spacing w:before="48" w:after="0" w:line="240" w:lineRule="auto"/>
        <w:ind w:left="37"/>
        <w:outlineLvl w:val="0"/>
        <w:rPr>
          <w:rFonts w:ascii="Arial" w:eastAsia="Arial" w:hAnsi="Arial" w:cs="Times New Roman"/>
          <w:b/>
          <w:bCs/>
          <w:sz w:val="20"/>
          <w:szCs w:val="20"/>
        </w:rPr>
      </w:pPr>
    </w:p>
    <w:p w:rsidR="00290706" w:rsidRDefault="00290706" w:rsidP="00CA17BA">
      <w:pPr>
        <w:pStyle w:val="NoSpacing"/>
        <w:rPr>
          <w:rFonts w:ascii="Arial" w:hAnsi="Arial" w:cs="Arial"/>
          <w:sz w:val="20"/>
        </w:rPr>
      </w:pPr>
    </w:p>
    <w:p w:rsidR="00AD0380" w:rsidRDefault="00AD0380" w:rsidP="00CA17BA">
      <w:pPr>
        <w:pStyle w:val="NoSpacing"/>
        <w:rPr>
          <w:rFonts w:ascii="Arial" w:hAnsi="Arial" w:cs="Arial"/>
          <w:sz w:val="20"/>
        </w:rPr>
      </w:pPr>
    </w:p>
    <w:p w:rsidR="00290706" w:rsidRDefault="00290706" w:rsidP="00CA17BA">
      <w:pPr>
        <w:pStyle w:val="NoSpacing"/>
        <w:rPr>
          <w:rFonts w:ascii="Arial" w:hAnsi="Arial" w:cs="Arial"/>
          <w:sz w:val="20"/>
        </w:rPr>
      </w:pPr>
    </w:p>
    <w:p w:rsidR="00290706" w:rsidRDefault="00290706" w:rsidP="00CA17BA">
      <w:pPr>
        <w:pStyle w:val="NoSpacing"/>
        <w:rPr>
          <w:rFonts w:ascii="Arial" w:hAnsi="Arial" w:cs="Arial"/>
          <w:sz w:val="20"/>
        </w:rPr>
      </w:pPr>
    </w:p>
    <w:p w:rsidR="00290706" w:rsidRDefault="00290706" w:rsidP="00CA17BA">
      <w:pPr>
        <w:pStyle w:val="NoSpacing"/>
        <w:rPr>
          <w:rFonts w:ascii="Arial" w:hAnsi="Arial" w:cs="Arial"/>
          <w:sz w:val="20"/>
        </w:rPr>
      </w:pPr>
    </w:p>
    <w:p w:rsidR="00290706" w:rsidRPr="00632BA9" w:rsidRDefault="00290706" w:rsidP="00CA17BA">
      <w:pPr>
        <w:pStyle w:val="NoSpacing"/>
        <w:rPr>
          <w:rFonts w:ascii="Arial" w:hAnsi="Arial" w:cs="Arial"/>
          <w:sz w:val="20"/>
        </w:rPr>
      </w:pPr>
    </w:p>
    <w:p w:rsidR="00632BA9" w:rsidRPr="00632BA9" w:rsidRDefault="00632BA9" w:rsidP="00632BA9">
      <w:pPr>
        <w:widowControl w:val="0"/>
        <w:spacing w:before="48" w:after="0" w:line="240" w:lineRule="auto"/>
        <w:ind w:left="37"/>
        <w:outlineLvl w:val="0"/>
        <w:rPr>
          <w:rFonts w:ascii="Arial" w:eastAsia="Arial" w:hAnsi="Arial" w:cs="Times New Roman"/>
          <w:bCs/>
          <w:sz w:val="20"/>
          <w:szCs w:val="20"/>
        </w:rPr>
      </w:pPr>
      <w:r w:rsidRPr="00632BA9">
        <w:rPr>
          <w:rFonts w:ascii="Arial" w:eastAsia="Arial" w:hAnsi="Arial" w:cs="Times New Roman"/>
          <w:bCs/>
          <w:sz w:val="20"/>
          <w:szCs w:val="20"/>
        </w:rPr>
        <w:t>The members of the Hemovigilance TAG appreciate the committed participation of the blood banks of Massachusetts in hemovigilance and hope that the availability of the metrics contained in this report will be useful for comparison, context</w:t>
      </w:r>
      <w:r w:rsidR="00E65705">
        <w:rPr>
          <w:rFonts w:ascii="Arial" w:eastAsia="Arial" w:hAnsi="Arial" w:cs="Times New Roman"/>
          <w:bCs/>
          <w:sz w:val="20"/>
          <w:szCs w:val="20"/>
        </w:rPr>
        <w:t>,</w:t>
      </w:r>
      <w:r w:rsidRPr="00632BA9">
        <w:rPr>
          <w:rFonts w:ascii="Arial" w:eastAsia="Arial" w:hAnsi="Arial" w:cs="Times New Roman"/>
          <w:bCs/>
          <w:sz w:val="20"/>
          <w:szCs w:val="20"/>
        </w:rPr>
        <w:t xml:space="preserve"> and quality improvement.</w:t>
      </w:r>
    </w:p>
    <w:p w:rsidR="005403CC" w:rsidRPr="005403CC" w:rsidRDefault="005403CC" w:rsidP="005403CC">
      <w:pPr>
        <w:widowControl w:val="0"/>
        <w:spacing w:before="48" w:after="0" w:line="240" w:lineRule="auto"/>
        <w:ind w:left="37"/>
        <w:outlineLvl w:val="0"/>
        <w:rPr>
          <w:rFonts w:ascii="Arial" w:eastAsia="Arial" w:hAnsi="Arial" w:cs="Times New Roman"/>
          <w:b/>
          <w:bCs/>
          <w:sz w:val="20"/>
          <w:szCs w:val="20"/>
        </w:rPr>
      </w:pPr>
    </w:p>
    <w:p w:rsidR="009C5B19" w:rsidRDefault="009C5B19" w:rsidP="00513C76">
      <w:pPr>
        <w:widowControl w:val="0"/>
        <w:spacing w:before="48" w:after="0" w:line="240" w:lineRule="auto"/>
        <w:ind w:left="37"/>
        <w:jc w:val="center"/>
        <w:outlineLvl w:val="0"/>
        <w:rPr>
          <w:rFonts w:ascii="Arial" w:eastAsia="Arial" w:hAnsi="Arial" w:cs="Times New Roman"/>
          <w:b/>
          <w:bCs/>
          <w:sz w:val="28"/>
          <w:szCs w:val="28"/>
        </w:rPr>
      </w:pPr>
      <w:r>
        <w:rPr>
          <w:rFonts w:ascii="Arial" w:eastAsia="Arial" w:hAnsi="Arial" w:cs="Times New Roman"/>
          <w:b/>
          <w:bCs/>
          <w:sz w:val="28"/>
          <w:szCs w:val="28"/>
        </w:rPr>
        <w:t>Table of Contents</w:t>
      </w:r>
      <w:bookmarkEnd w:id="4"/>
    </w:p>
    <w:p w:rsidR="009C5B19" w:rsidRDefault="009C5B19" w:rsidP="00513C76">
      <w:pPr>
        <w:widowControl w:val="0"/>
        <w:spacing w:before="48" w:after="0" w:line="240" w:lineRule="auto"/>
        <w:ind w:left="37"/>
        <w:jc w:val="center"/>
        <w:outlineLvl w:val="0"/>
        <w:rPr>
          <w:rFonts w:ascii="Arial" w:eastAsia="Arial" w:hAnsi="Arial" w:cs="Times New Roman"/>
          <w:b/>
          <w:bCs/>
          <w:sz w:val="28"/>
          <w:szCs w:val="28"/>
        </w:rPr>
      </w:pPr>
    </w:p>
    <w:p w:rsidR="00ED0FE1" w:rsidRDefault="00ED0FE1" w:rsidP="00513C76">
      <w:pPr>
        <w:widowControl w:val="0"/>
        <w:spacing w:before="48" w:after="0" w:line="240" w:lineRule="auto"/>
        <w:ind w:left="37"/>
        <w:jc w:val="center"/>
        <w:outlineLvl w:val="0"/>
        <w:rPr>
          <w:rFonts w:ascii="Arial" w:eastAsia="Arial" w:hAnsi="Arial" w:cs="Times New Roman"/>
          <w:b/>
          <w:bCs/>
          <w:sz w:val="28"/>
          <w:szCs w:val="28"/>
        </w:rPr>
      </w:pPr>
    </w:p>
    <w:p w:rsidR="00AD0380" w:rsidRDefault="00AD0380" w:rsidP="00AD0380">
      <w:pPr>
        <w:pStyle w:val="TOC1"/>
        <w:tabs>
          <w:tab w:val="right" w:leader="dot" w:pos="9350"/>
        </w:tabs>
        <w:spacing w:line="360" w:lineRule="auto"/>
        <w:rPr>
          <w:rFonts w:ascii="Arial" w:hAnsi="Arial" w:cs="Arial"/>
          <w:b/>
          <w:bCs/>
          <w:noProof/>
          <w:sz w:val="20"/>
          <w:szCs w:val="20"/>
        </w:rPr>
      </w:pPr>
      <w:r w:rsidRPr="00ED0FE1">
        <w:rPr>
          <w:rFonts w:ascii="Arial" w:hAnsi="Arial" w:cs="Arial"/>
          <w:b/>
          <w:bCs/>
          <w:noProof/>
          <w:sz w:val="20"/>
          <w:szCs w:val="20"/>
        </w:rPr>
        <w:t>List of abbreviations</w:t>
      </w:r>
      <w:r w:rsidRPr="00ED0FE1">
        <w:rPr>
          <w:rFonts w:ascii="Arial" w:hAnsi="Arial" w:cs="Arial"/>
          <w:b/>
          <w:bCs/>
          <w:noProof/>
          <w:sz w:val="20"/>
          <w:szCs w:val="20"/>
        </w:rPr>
        <w:tab/>
        <w:t>6</w:t>
      </w:r>
    </w:p>
    <w:p w:rsidR="00AD0380" w:rsidRDefault="00AD0380" w:rsidP="00AD0380">
      <w:pPr>
        <w:pStyle w:val="TOC1"/>
        <w:tabs>
          <w:tab w:val="right" w:leader="dot" w:pos="9350"/>
        </w:tabs>
        <w:spacing w:line="360" w:lineRule="auto"/>
        <w:rPr>
          <w:rFonts w:ascii="Arial" w:hAnsi="Arial" w:cs="Arial"/>
          <w:b/>
          <w:bCs/>
          <w:noProof/>
          <w:sz w:val="20"/>
          <w:szCs w:val="20"/>
        </w:rPr>
      </w:pPr>
      <w:r w:rsidRPr="00ED0FE1">
        <w:rPr>
          <w:rFonts w:ascii="Arial" w:hAnsi="Arial" w:cs="Arial"/>
          <w:b/>
          <w:bCs/>
          <w:noProof/>
          <w:sz w:val="20"/>
          <w:szCs w:val="20"/>
        </w:rPr>
        <w:t>Volume of Blood Products Transfused</w:t>
      </w:r>
      <w:r w:rsidRPr="00ED0FE1">
        <w:rPr>
          <w:rFonts w:ascii="Arial" w:hAnsi="Arial" w:cs="Arial"/>
          <w:b/>
          <w:bCs/>
          <w:noProof/>
          <w:sz w:val="20"/>
          <w:szCs w:val="20"/>
        </w:rPr>
        <w:tab/>
        <w:t>7</w:t>
      </w:r>
    </w:p>
    <w:p w:rsidR="00AD0380" w:rsidRDefault="00AD0380" w:rsidP="00AD0380">
      <w:pPr>
        <w:pStyle w:val="TOC1"/>
        <w:tabs>
          <w:tab w:val="right" w:leader="dot" w:pos="9350"/>
        </w:tabs>
        <w:spacing w:line="360" w:lineRule="auto"/>
        <w:rPr>
          <w:rFonts w:ascii="Arial" w:hAnsi="Arial" w:cs="Arial"/>
          <w:b/>
          <w:bCs/>
          <w:noProof/>
          <w:sz w:val="20"/>
          <w:szCs w:val="20"/>
        </w:rPr>
      </w:pPr>
      <w:r w:rsidRPr="00ED0FE1">
        <w:rPr>
          <w:rFonts w:ascii="Arial" w:hAnsi="Arial" w:cs="Arial"/>
          <w:b/>
          <w:bCs/>
          <w:noProof/>
          <w:sz w:val="20"/>
          <w:szCs w:val="20"/>
        </w:rPr>
        <w:t xml:space="preserve">Transfusion Volume by Bed Size Group, Product Type, and Year, 2016-2017 </w:t>
      </w:r>
      <w:r w:rsidRPr="00ED0FE1">
        <w:rPr>
          <w:rFonts w:ascii="Arial" w:hAnsi="Arial" w:cs="Arial"/>
          <w:b/>
          <w:bCs/>
          <w:noProof/>
          <w:sz w:val="20"/>
          <w:szCs w:val="20"/>
        </w:rPr>
        <w:tab/>
        <w:t>8</w:t>
      </w:r>
    </w:p>
    <w:p w:rsidR="00AD0380" w:rsidRDefault="00AD0380" w:rsidP="00AD0380">
      <w:pPr>
        <w:pStyle w:val="TOC1"/>
        <w:tabs>
          <w:tab w:val="right" w:leader="dot" w:pos="9350"/>
        </w:tabs>
        <w:spacing w:line="360" w:lineRule="auto"/>
        <w:rPr>
          <w:rFonts w:ascii="Arial" w:hAnsi="Arial" w:cs="Arial"/>
          <w:b/>
          <w:bCs/>
          <w:noProof/>
          <w:sz w:val="20"/>
          <w:szCs w:val="20"/>
        </w:rPr>
      </w:pPr>
      <w:r w:rsidRPr="00ED0FE1">
        <w:rPr>
          <w:rFonts w:ascii="Arial" w:hAnsi="Arial" w:cs="Arial"/>
          <w:b/>
          <w:bCs/>
          <w:noProof/>
          <w:sz w:val="20"/>
          <w:szCs w:val="20"/>
        </w:rPr>
        <w:t>Transfusion Volume by Emergency Preparedness Region</w:t>
      </w:r>
      <w:r w:rsidRPr="00ED0FE1">
        <w:rPr>
          <w:rFonts w:ascii="Arial" w:hAnsi="Arial" w:cs="Arial"/>
          <w:b/>
          <w:bCs/>
          <w:noProof/>
          <w:sz w:val="20"/>
          <w:szCs w:val="20"/>
        </w:rPr>
        <w:tab/>
        <w:t>9</w:t>
      </w:r>
    </w:p>
    <w:p w:rsidR="00AD0380" w:rsidRPr="00ED0FE1" w:rsidRDefault="00AD0380" w:rsidP="00AD0380">
      <w:pPr>
        <w:pStyle w:val="TOC1"/>
        <w:tabs>
          <w:tab w:val="right" w:leader="dot" w:pos="9350"/>
        </w:tabs>
        <w:spacing w:line="360" w:lineRule="auto"/>
        <w:rPr>
          <w:rFonts w:ascii="Arial" w:hAnsi="Arial" w:cs="Arial"/>
          <w:b/>
          <w:bCs/>
          <w:noProof/>
          <w:sz w:val="20"/>
          <w:szCs w:val="20"/>
        </w:rPr>
      </w:pPr>
      <w:r w:rsidRPr="00ED0FE1">
        <w:rPr>
          <w:rFonts w:ascii="Arial" w:hAnsi="Arial" w:cs="Arial"/>
          <w:b/>
          <w:bCs/>
          <w:noProof/>
          <w:sz w:val="20"/>
          <w:szCs w:val="20"/>
        </w:rPr>
        <w:t>Volume of Blood Products Discarded</w:t>
      </w:r>
      <w:r w:rsidRPr="00ED0FE1">
        <w:rPr>
          <w:rFonts w:ascii="Arial" w:hAnsi="Arial" w:cs="Arial"/>
          <w:b/>
          <w:bCs/>
          <w:noProof/>
          <w:sz w:val="20"/>
          <w:szCs w:val="20"/>
        </w:rPr>
        <w:tab/>
        <w:t>10</w:t>
      </w:r>
    </w:p>
    <w:p w:rsidR="00AD0380" w:rsidRPr="00ED0FE1" w:rsidRDefault="00AD0380" w:rsidP="00AD0380">
      <w:pPr>
        <w:pStyle w:val="TOC1"/>
        <w:tabs>
          <w:tab w:val="right" w:leader="dot" w:pos="9350"/>
        </w:tabs>
        <w:spacing w:line="360" w:lineRule="auto"/>
        <w:rPr>
          <w:rFonts w:ascii="Arial" w:hAnsi="Arial" w:cs="Arial"/>
          <w:b/>
          <w:bCs/>
          <w:noProof/>
          <w:sz w:val="20"/>
          <w:szCs w:val="20"/>
        </w:rPr>
      </w:pPr>
      <w:r w:rsidRPr="00ED0FE1">
        <w:rPr>
          <w:rFonts w:ascii="Arial" w:hAnsi="Arial" w:cs="Arial"/>
          <w:b/>
          <w:bCs/>
          <w:noProof/>
          <w:sz w:val="20"/>
          <w:szCs w:val="20"/>
        </w:rPr>
        <w:t>Number and Ratio of Discarded Products by Type and Facility</w:t>
      </w:r>
      <w:r w:rsidRPr="00ED0FE1">
        <w:rPr>
          <w:rFonts w:ascii="Arial" w:hAnsi="Arial" w:cs="Arial"/>
          <w:b/>
          <w:bCs/>
          <w:noProof/>
          <w:sz w:val="20"/>
          <w:szCs w:val="20"/>
        </w:rPr>
        <w:tab/>
        <w:t>11</w:t>
      </w:r>
    </w:p>
    <w:p w:rsidR="00AD0380" w:rsidRPr="00ED0FE1" w:rsidRDefault="00AD0380" w:rsidP="00AD0380">
      <w:pPr>
        <w:pStyle w:val="TOC1"/>
        <w:tabs>
          <w:tab w:val="right" w:leader="dot" w:pos="9350"/>
        </w:tabs>
        <w:spacing w:line="360" w:lineRule="auto"/>
        <w:rPr>
          <w:rFonts w:ascii="Arial" w:hAnsi="Arial" w:cs="Arial"/>
          <w:b/>
          <w:bCs/>
          <w:noProof/>
          <w:sz w:val="20"/>
          <w:szCs w:val="20"/>
        </w:rPr>
      </w:pPr>
      <w:r w:rsidRPr="00ED0FE1">
        <w:rPr>
          <w:rFonts w:ascii="Arial" w:hAnsi="Arial" w:cs="Arial"/>
          <w:b/>
          <w:bCs/>
          <w:noProof/>
          <w:sz w:val="20"/>
          <w:szCs w:val="20"/>
        </w:rPr>
        <w:t>Number of Adverse Reactions by Type, Age Group, and Gender</w:t>
      </w:r>
      <w:r w:rsidRPr="00ED0FE1">
        <w:rPr>
          <w:rFonts w:ascii="Arial" w:hAnsi="Arial" w:cs="Arial"/>
          <w:b/>
          <w:bCs/>
          <w:noProof/>
          <w:sz w:val="20"/>
          <w:szCs w:val="20"/>
        </w:rPr>
        <w:tab/>
        <w:t>12</w:t>
      </w:r>
    </w:p>
    <w:p w:rsidR="00AD0380" w:rsidRPr="00ED0FE1" w:rsidRDefault="00AD0380" w:rsidP="00AD0380">
      <w:pPr>
        <w:pStyle w:val="TOC1"/>
        <w:tabs>
          <w:tab w:val="right" w:leader="dot" w:pos="9350"/>
        </w:tabs>
        <w:spacing w:line="360" w:lineRule="auto"/>
        <w:rPr>
          <w:rFonts w:ascii="Arial" w:hAnsi="Arial" w:cs="Arial"/>
          <w:b/>
          <w:bCs/>
          <w:noProof/>
          <w:sz w:val="20"/>
          <w:szCs w:val="20"/>
        </w:rPr>
      </w:pPr>
      <w:r w:rsidRPr="00ED0FE1">
        <w:rPr>
          <w:rFonts w:ascii="Arial" w:hAnsi="Arial" w:cs="Arial"/>
          <w:b/>
          <w:bCs/>
          <w:noProof/>
          <w:sz w:val="20"/>
          <w:szCs w:val="20"/>
        </w:rPr>
        <w:t>Summary of Transfusion-transmitted Infections</w:t>
      </w:r>
      <w:r w:rsidRPr="00ED0FE1">
        <w:rPr>
          <w:rFonts w:ascii="Arial" w:hAnsi="Arial" w:cs="Arial"/>
          <w:b/>
          <w:bCs/>
          <w:noProof/>
          <w:sz w:val="20"/>
          <w:szCs w:val="20"/>
        </w:rPr>
        <w:tab/>
        <w:t>13</w:t>
      </w:r>
    </w:p>
    <w:p w:rsidR="00AD0380" w:rsidRPr="00ED0FE1" w:rsidRDefault="0045758D" w:rsidP="00AD0380">
      <w:pPr>
        <w:pStyle w:val="TOC1"/>
        <w:tabs>
          <w:tab w:val="right" w:leader="dot" w:pos="9350"/>
        </w:tabs>
        <w:spacing w:line="360" w:lineRule="auto"/>
        <w:rPr>
          <w:rFonts w:ascii="Arial" w:hAnsi="Arial" w:cs="Arial"/>
          <w:b/>
          <w:bCs/>
          <w:noProof/>
          <w:sz w:val="20"/>
          <w:szCs w:val="20"/>
        </w:rPr>
      </w:pPr>
      <w:hyperlink w:anchor="_TOC_250000" w:history="1">
        <w:r w:rsidR="00AD0380" w:rsidRPr="00ED0FE1">
          <w:rPr>
            <w:rStyle w:val="Hyperlink"/>
            <w:rFonts w:ascii="Arial" w:hAnsi="Arial" w:cs="Arial"/>
            <w:b/>
            <w:bCs/>
            <w:noProof/>
            <w:color w:val="auto"/>
            <w:sz w:val="20"/>
            <w:szCs w:val="20"/>
            <w:u w:val="none"/>
          </w:rPr>
          <w:t>Rates of Adverse Reactions per 10,000 Transfused Products</w:t>
        </w:r>
      </w:hyperlink>
      <w:r w:rsidR="00AD0380" w:rsidRPr="00ED0FE1">
        <w:rPr>
          <w:rFonts w:ascii="Arial" w:hAnsi="Arial" w:cs="Arial"/>
          <w:b/>
          <w:bCs/>
          <w:noProof/>
          <w:sz w:val="20"/>
          <w:szCs w:val="20"/>
        </w:rPr>
        <w:t xml:space="preserve"> by Product Type</w:t>
      </w:r>
      <w:r w:rsidR="00AD0380" w:rsidRPr="00ED0FE1">
        <w:rPr>
          <w:rFonts w:ascii="Arial" w:hAnsi="Arial" w:cs="Arial"/>
          <w:b/>
          <w:bCs/>
          <w:noProof/>
          <w:sz w:val="20"/>
          <w:szCs w:val="20"/>
        </w:rPr>
        <w:tab/>
        <w:t>14</w:t>
      </w:r>
    </w:p>
    <w:p w:rsidR="00AD0380" w:rsidRPr="00ED0FE1" w:rsidRDefault="00AD0380" w:rsidP="00AD0380">
      <w:pPr>
        <w:pStyle w:val="TOC1"/>
        <w:tabs>
          <w:tab w:val="right" w:leader="dot" w:pos="9350"/>
        </w:tabs>
        <w:spacing w:line="360" w:lineRule="auto"/>
        <w:rPr>
          <w:rFonts w:ascii="Arial" w:hAnsi="Arial" w:cs="Arial"/>
          <w:b/>
          <w:bCs/>
          <w:noProof/>
          <w:sz w:val="20"/>
          <w:szCs w:val="20"/>
        </w:rPr>
      </w:pPr>
      <w:r w:rsidRPr="00ED0FE1">
        <w:rPr>
          <w:rFonts w:ascii="Arial" w:hAnsi="Arial" w:cs="Arial"/>
          <w:b/>
          <w:bCs/>
          <w:noProof/>
          <w:sz w:val="20"/>
          <w:szCs w:val="20"/>
        </w:rPr>
        <w:t xml:space="preserve">Rates of Adverse Reactions per 10,000 Transfused Products by Bed Size </w:t>
      </w:r>
      <w:r>
        <w:rPr>
          <w:rFonts w:ascii="Arial" w:hAnsi="Arial" w:cs="Arial"/>
          <w:b/>
          <w:bCs/>
          <w:noProof/>
          <w:sz w:val="20"/>
          <w:szCs w:val="20"/>
        </w:rPr>
        <w:t>G</w:t>
      </w:r>
      <w:r w:rsidRPr="00ED0FE1">
        <w:rPr>
          <w:rFonts w:ascii="Arial" w:hAnsi="Arial" w:cs="Arial"/>
          <w:b/>
          <w:bCs/>
          <w:noProof/>
          <w:sz w:val="20"/>
          <w:szCs w:val="20"/>
        </w:rPr>
        <w:t>roup</w:t>
      </w:r>
      <w:r>
        <w:rPr>
          <w:rFonts w:ascii="Arial" w:hAnsi="Arial" w:cs="Arial"/>
          <w:b/>
          <w:bCs/>
          <w:noProof/>
          <w:sz w:val="20"/>
          <w:szCs w:val="20"/>
        </w:rPr>
        <w:t>…………...………</w:t>
      </w:r>
      <w:r w:rsidRPr="00ED0FE1">
        <w:rPr>
          <w:rFonts w:ascii="Arial" w:hAnsi="Arial" w:cs="Arial"/>
          <w:b/>
          <w:bCs/>
          <w:noProof/>
          <w:sz w:val="20"/>
          <w:szCs w:val="20"/>
        </w:rPr>
        <w:t>15</w:t>
      </w:r>
    </w:p>
    <w:p w:rsidR="00AD0380" w:rsidRDefault="00AD0380" w:rsidP="00AD0380">
      <w:pPr>
        <w:pStyle w:val="TOC1"/>
        <w:tabs>
          <w:tab w:val="right" w:leader="dot" w:pos="9350"/>
        </w:tabs>
        <w:spacing w:line="360" w:lineRule="auto"/>
        <w:rPr>
          <w:rFonts w:ascii="Arial" w:hAnsi="Arial" w:cs="Arial"/>
          <w:b/>
          <w:sz w:val="20"/>
          <w:szCs w:val="20"/>
        </w:rPr>
      </w:pPr>
      <w:r w:rsidRPr="00ED0FE1">
        <w:rPr>
          <w:rFonts w:ascii="Arial" w:hAnsi="Arial" w:cs="Arial"/>
          <w:b/>
          <w:sz w:val="20"/>
          <w:szCs w:val="20"/>
        </w:rPr>
        <w:t>Number of Adverse Reactions Reported by MA Facilities by Bed Size Group………………</w:t>
      </w:r>
      <w:r>
        <w:rPr>
          <w:rFonts w:ascii="Arial" w:hAnsi="Arial" w:cs="Arial"/>
          <w:b/>
          <w:sz w:val="20"/>
          <w:szCs w:val="20"/>
        </w:rPr>
        <w:t>..</w:t>
      </w:r>
      <w:r w:rsidRPr="00ED0FE1">
        <w:rPr>
          <w:rFonts w:ascii="Arial" w:hAnsi="Arial" w:cs="Arial"/>
          <w:b/>
          <w:sz w:val="20"/>
          <w:szCs w:val="20"/>
        </w:rPr>
        <w:t>………</w:t>
      </w:r>
      <w:r>
        <w:rPr>
          <w:rFonts w:ascii="Arial" w:hAnsi="Arial" w:cs="Arial"/>
          <w:b/>
          <w:sz w:val="20"/>
          <w:szCs w:val="20"/>
        </w:rPr>
        <w:t>16</w:t>
      </w:r>
    </w:p>
    <w:p w:rsidR="00AD0380" w:rsidRPr="00ED0FE1" w:rsidRDefault="00AD0380" w:rsidP="00AD0380">
      <w:pPr>
        <w:pStyle w:val="TOC1"/>
        <w:tabs>
          <w:tab w:val="right" w:leader="dot" w:pos="9350"/>
        </w:tabs>
        <w:spacing w:line="360" w:lineRule="auto"/>
        <w:rPr>
          <w:rFonts w:ascii="Arial" w:hAnsi="Arial" w:cs="Arial"/>
          <w:b/>
          <w:bCs/>
          <w:noProof/>
          <w:sz w:val="20"/>
          <w:szCs w:val="20"/>
        </w:rPr>
      </w:pPr>
      <w:r w:rsidRPr="00ED0FE1">
        <w:rPr>
          <w:rFonts w:ascii="Arial" w:hAnsi="Arial" w:cs="Arial"/>
          <w:b/>
          <w:bCs/>
          <w:noProof/>
          <w:sz w:val="20"/>
          <w:szCs w:val="20"/>
        </w:rPr>
        <w:t>Rates of Adverse Reactions per 10,000 Total Units Transfused by Component Type</w:t>
      </w:r>
      <w:r>
        <w:rPr>
          <w:rFonts w:ascii="Arial" w:hAnsi="Arial" w:cs="Arial"/>
          <w:b/>
          <w:bCs/>
          <w:noProof/>
          <w:sz w:val="20"/>
          <w:szCs w:val="20"/>
        </w:rPr>
        <w:t>………..….</w:t>
      </w:r>
      <w:r w:rsidRPr="00ED0FE1">
        <w:rPr>
          <w:rFonts w:ascii="Arial" w:hAnsi="Arial" w:cs="Arial"/>
          <w:b/>
          <w:bCs/>
          <w:noProof/>
          <w:sz w:val="20"/>
          <w:szCs w:val="20"/>
        </w:rPr>
        <w:t>17-18</w:t>
      </w:r>
    </w:p>
    <w:p w:rsidR="00ED0FE1" w:rsidRDefault="00ED0FE1" w:rsidP="00513C76">
      <w:pPr>
        <w:widowControl w:val="0"/>
        <w:spacing w:before="48" w:after="0" w:line="240" w:lineRule="auto"/>
        <w:ind w:left="37"/>
        <w:jc w:val="center"/>
        <w:outlineLvl w:val="0"/>
        <w:rPr>
          <w:rFonts w:ascii="Arial" w:eastAsia="Arial" w:hAnsi="Arial" w:cs="Times New Roman"/>
          <w:b/>
          <w:bCs/>
          <w:sz w:val="28"/>
          <w:szCs w:val="28"/>
        </w:rPr>
      </w:pPr>
    </w:p>
    <w:p w:rsidR="009C5B19" w:rsidRDefault="009C5B19" w:rsidP="00513C76">
      <w:pPr>
        <w:widowControl w:val="0"/>
        <w:spacing w:before="48" w:after="0" w:line="240" w:lineRule="auto"/>
        <w:ind w:left="37"/>
        <w:jc w:val="center"/>
        <w:outlineLvl w:val="0"/>
        <w:rPr>
          <w:rFonts w:ascii="Arial" w:eastAsia="Arial" w:hAnsi="Arial" w:cs="Times New Roman"/>
          <w:b/>
          <w:bCs/>
          <w:sz w:val="28"/>
          <w:szCs w:val="28"/>
        </w:rPr>
      </w:pPr>
    </w:p>
    <w:p w:rsidR="009C5B19" w:rsidRDefault="009C5B19" w:rsidP="00513C76">
      <w:pPr>
        <w:widowControl w:val="0"/>
        <w:spacing w:before="48" w:after="0" w:line="240" w:lineRule="auto"/>
        <w:ind w:left="37"/>
        <w:jc w:val="center"/>
        <w:outlineLvl w:val="0"/>
        <w:rPr>
          <w:rFonts w:ascii="Arial" w:eastAsia="Arial" w:hAnsi="Arial" w:cs="Times New Roman"/>
          <w:b/>
          <w:bCs/>
          <w:sz w:val="28"/>
          <w:szCs w:val="28"/>
        </w:rPr>
      </w:pPr>
    </w:p>
    <w:p w:rsidR="009C5B19" w:rsidRDefault="009C5B19" w:rsidP="00513C76">
      <w:pPr>
        <w:widowControl w:val="0"/>
        <w:spacing w:before="48" w:after="0" w:line="240" w:lineRule="auto"/>
        <w:ind w:left="37"/>
        <w:jc w:val="center"/>
        <w:outlineLvl w:val="0"/>
        <w:rPr>
          <w:rFonts w:ascii="Arial" w:eastAsia="Arial" w:hAnsi="Arial" w:cs="Times New Roman"/>
          <w:b/>
          <w:bCs/>
          <w:sz w:val="28"/>
          <w:szCs w:val="28"/>
        </w:rPr>
      </w:pPr>
    </w:p>
    <w:p w:rsidR="00290706" w:rsidRDefault="00290706" w:rsidP="00513C76">
      <w:pPr>
        <w:widowControl w:val="0"/>
        <w:spacing w:before="48" w:after="0" w:line="240" w:lineRule="auto"/>
        <w:ind w:left="37"/>
        <w:jc w:val="center"/>
        <w:outlineLvl w:val="0"/>
        <w:rPr>
          <w:rFonts w:ascii="Arial" w:eastAsia="Arial" w:hAnsi="Arial" w:cs="Times New Roman"/>
          <w:b/>
          <w:bCs/>
          <w:sz w:val="28"/>
          <w:szCs w:val="28"/>
        </w:rPr>
      </w:pPr>
    </w:p>
    <w:p w:rsidR="00290706" w:rsidRDefault="00290706" w:rsidP="00513C76">
      <w:pPr>
        <w:widowControl w:val="0"/>
        <w:spacing w:before="48" w:after="0" w:line="240" w:lineRule="auto"/>
        <w:ind w:left="37"/>
        <w:jc w:val="center"/>
        <w:outlineLvl w:val="0"/>
        <w:rPr>
          <w:rFonts w:ascii="Arial" w:eastAsia="Arial" w:hAnsi="Arial" w:cs="Times New Roman"/>
          <w:b/>
          <w:bCs/>
          <w:sz w:val="28"/>
          <w:szCs w:val="28"/>
        </w:rPr>
      </w:pPr>
    </w:p>
    <w:p w:rsidR="00290706" w:rsidRDefault="00290706" w:rsidP="00513C76">
      <w:pPr>
        <w:widowControl w:val="0"/>
        <w:spacing w:before="48" w:after="0" w:line="240" w:lineRule="auto"/>
        <w:ind w:left="37"/>
        <w:jc w:val="center"/>
        <w:outlineLvl w:val="0"/>
        <w:rPr>
          <w:rFonts w:ascii="Arial" w:eastAsia="Arial" w:hAnsi="Arial" w:cs="Times New Roman"/>
          <w:b/>
          <w:bCs/>
          <w:sz w:val="28"/>
          <w:szCs w:val="28"/>
        </w:rPr>
      </w:pPr>
    </w:p>
    <w:p w:rsidR="00290706" w:rsidRDefault="00290706" w:rsidP="00513C76">
      <w:pPr>
        <w:widowControl w:val="0"/>
        <w:spacing w:before="48" w:after="0" w:line="240" w:lineRule="auto"/>
        <w:ind w:left="37"/>
        <w:jc w:val="center"/>
        <w:outlineLvl w:val="0"/>
        <w:rPr>
          <w:rFonts w:ascii="Arial" w:eastAsia="Arial" w:hAnsi="Arial" w:cs="Times New Roman"/>
          <w:b/>
          <w:bCs/>
          <w:sz w:val="28"/>
          <w:szCs w:val="28"/>
        </w:rPr>
      </w:pPr>
    </w:p>
    <w:p w:rsidR="00290706" w:rsidRDefault="00290706" w:rsidP="00513C76">
      <w:pPr>
        <w:widowControl w:val="0"/>
        <w:spacing w:before="48" w:after="0" w:line="240" w:lineRule="auto"/>
        <w:ind w:left="37"/>
        <w:jc w:val="center"/>
        <w:outlineLvl w:val="0"/>
        <w:rPr>
          <w:rFonts w:ascii="Arial" w:eastAsia="Arial" w:hAnsi="Arial" w:cs="Times New Roman"/>
          <w:b/>
          <w:bCs/>
          <w:sz w:val="28"/>
          <w:szCs w:val="28"/>
        </w:rPr>
      </w:pPr>
    </w:p>
    <w:p w:rsidR="00290706" w:rsidRDefault="00290706" w:rsidP="00513C76">
      <w:pPr>
        <w:widowControl w:val="0"/>
        <w:spacing w:before="48" w:after="0" w:line="240" w:lineRule="auto"/>
        <w:ind w:left="37"/>
        <w:jc w:val="center"/>
        <w:outlineLvl w:val="0"/>
        <w:rPr>
          <w:rFonts w:ascii="Arial" w:eastAsia="Arial" w:hAnsi="Arial" w:cs="Times New Roman"/>
          <w:b/>
          <w:bCs/>
          <w:sz w:val="28"/>
          <w:szCs w:val="28"/>
        </w:rPr>
      </w:pPr>
    </w:p>
    <w:p w:rsidR="00290706" w:rsidRDefault="00290706" w:rsidP="00513C76">
      <w:pPr>
        <w:widowControl w:val="0"/>
        <w:spacing w:before="48" w:after="0" w:line="240" w:lineRule="auto"/>
        <w:ind w:left="37"/>
        <w:jc w:val="center"/>
        <w:outlineLvl w:val="0"/>
        <w:rPr>
          <w:rFonts w:ascii="Arial" w:eastAsia="Arial" w:hAnsi="Arial" w:cs="Times New Roman"/>
          <w:b/>
          <w:bCs/>
          <w:sz w:val="28"/>
          <w:szCs w:val="28"/>
        </w:rPr>
      </w:pPr>
    </w:p>
    <w:p w:rsidR="00AD0380" w:rsidRDefault="00AD0380" w:rsidP="00513C76">
      <w:pPr>
        <w:widowControl w:val="0"/>
        <w:spacing w:before="48" w:after="0" w:line="240" w:lineRule="auto"/>
        <w:ind w:left="37"/>
        <w:jc w:val="center"/>
        <w:outlineLvl w:val="0"/>
        <w:rPr>
          <w:rFonts w:ascii="Arial" w:eastAsia="Arial" w:hAnsi="Arial" w:cs="Times New Roman"/>
          <w:b/>
          <w:bCs/>
          <w:sz w:val="28"/>
          <w:szCs w:val="28"/>
        </w:rPr>
      </w:pPr>
    </w:p>
    <w:p w:rsidR="00AD0380" w:rsidRDefault="00AD0380" w:rsidP="00513C76">
      <w:pPr>
        <w:widowControl w:val="0"/>
        <w:spacing w:before="48" w:after="0" w:line="240" w:lineRule="auto"/>
        <w:ind w:left="37"/>
        <w:jc w:val="center"/>
        <w:outlineLvl w:val="0"/>
        <w:rPr>
          <w:rFonts w:ascii="Arial" w:eastAsia="Arial" w:hAnsi="Arial" w:cs="Times New Roman"/>
          <w:b/>
          <w:bCs/>
          <w:sz w:val="28"/>
          <w:szCs w:val="28"/>
        </w:rPr>
      </w:pPr>
    </w:p>
    <w:p w:rsidR="00AD0380" w:rsidRDefault="00AD0380" w:rsidP="00513C76">
      <w:pPr>
        <w:widowControl w:val="0"/>
        <w:spacing w:before="48" w:after="0" w:line="240" w:lineRule="auto"/>
        <w:ind w:left="37"/>
        <w:jc w:val="center"/>
        <w:outlineLvl w:val="0"/>
        <w:rPr>
          <w:rFonts w:ascii="Arial" w:eastAsia="Arial" w:hAnsi="Arial" w:cs="Times New Roman"/>
          <w:b/>
          <w:bCs/>
          <w:sz w:val="28"/>
          <w:szCs w:val="28"/>
        </w:rPr>
      </w:pPr>
    </w:p>
    <w:p w:rsidR="00AD0380" w:rsidRDefault="00AD0380" w:rsidP="00513C76">
      <w:pPr>
        <w:widowControl w:val="0"/>
        <w:spacing w:before="48" w:after="0" w:line="240" w:lineRule="auto"/>
        <w:ind w:left="37"/>
        <w:jc w:val="center"/>
        <w:outlineLvl w:val="0"/>
        <w:rPr>
          <w:rFonts w:ascii="Arial" w:eastAsia="Arial" w:hAnsi="Arial" w:cs="Times New Roman"/>
          <w:b/>
          <w:bCs/>
          <w:sz w:val="28"/>
          <w:szCs w:val="28"/>
        </w:rPr>
      </w:pPr>
    </w:p>
    <w:p w:rsidR="00AD0380" w:rsidRDefault="00AD0380" w:rsidP="00513C76">
      <w:pPr>
        <w:widowControl w:val="0"/>
        <w:spacing w:before="48" w:after="0" w:line="240" w:lineRule="auto"/>
        <w:ind w:left="37"/>
        <w:jc w:val="center"/>
        <w:outlineLvl w:val="0"/>
        <w:rPr>
          <w:rFonts w:ascii="Arial" w:eastAsia="Arial" w:hAnsi="Arial" w:cs="Times New Roman"/>
          <w:b/>
          <w:bCs/>
          <w:sz w:val="28"/>
          <w:szCs w:val="28"/>
        </w:rPr>
      </w:pPr>
    </w:p>
    <w:p w:rsidR="00513C76" w:rsidRPr="007B0128" w:rsidRDefault="00513C76" w:rsidP="00513C76">
      <w:pPr>
        <w:widowControl w:val="0"/>
        <w:spacing w:before="48" w:after="0" w:line="240" w:lineRule="auto"/>
        <w:ind w:left="37"/>
        <w:jc w:val="center"/>
        <w:outlineLvl w:val="0"/>
        <w:rPr>
          <w:rFonts w:ascii="Arial" w:eastAsia="Arial" w:hAnsi="Arial" w:cs="Times New Roman"/>
          <w:sz w:val="24"/>
          <w:szCs w:val="28"/>
        </w:rPr>
      </w:pPr>
      <w:bookmarkStart w:id="6" w:name="_Toc516748491"/>
      <w:r w:rsidRPr="007B0128">
        <w:rPr>
          <w:rFonts w:ascii="Arial" w:eastAsia="Arial" w:hAnsi="Arial" w:cs="Times New Roman"/>
          <w:b/>
          <w:bCs/>
          <w:sz w:val="24"/>
          <w:szCs w:val="28"/>
        </w:rPr>
        <w:lastRenderedPageBreak/>
        <w:t>List</w:t>
      </w:r>
      <w:r w:rsidRPr="007B0128">
        <w:rPr>
          <w:rFonts w:ascii="Arial" w:eastAsia="Arial" w:hAnsi="Arial" w:cs="Times New Roman"/>
          <w:b/>
          <w:bCs/>
          <w:spacing w:val="-13"/>
          <w:sz w:val="24"/>
          <w:szCs w:val="28"/>
        </w:rPr>
        <w:t xml:space="preserve"> </w:t>
      </w:r>
      <w:r w:rsidRPr="007B0128">
        <w:rPr>
          <w:rFonts w:ascii="Arial" w:eastAsia="Arial" w:hAnsi="Arial" w:cs="Times New Roman"/>
          <w:b/>
          <w:bCs/>
          <w:sz w:val="24"/>
          <w:szCs w:val="28"/>
        </w:rPr>
        <w:t>of</w:t>
      </w:r>
      <w:r w:rsidRPr="007B0128">
        <w:rPr>
          <w:rFonts w:ascii="Arial" w:eastAsia="Arial" w:hAnsi="Arial" w:cs="Times New Roman"/>
          <w:b/>
          <w:bCs/>
          <w:spacing w:val="-13"/>
          <w:sz w:val="24"/>
          <w:szCs w:val="28"/>
        </w:rPr>
        <w:t xml:space="preserve"> </w:t>
      </w:r>
      <w:r w:rsidRPr="007B0128">
        <w:rPr>
          <w:rFonts w:ascii="Arial" w:eastAsia="Arial" w:hAnsi="Arial" w:cs="Times New Roman"/>
          <w:b/>
          <w:bCs/>
          <w:sz w:val="24"/>
          <w:szCs w:val="28"/>
        </w:rPr>
        <w:t>abbreviations</w:t>
      </w:r>
      <w:bookmarkEnd w:id="5"/>
      <w:bookmarkEnd w:id="6"/>
    </w:p>
    <w:p w:rsidR="00513C76" w:rsidRPr="00513C76" w:rsidRDefault="00513C76" w:rsidP="00513C76">
      <w:pPr>
        <w:widowControl w:val="0"/>
        <w:spacing w:before="11" w:after="0" w:line="240" w:lineRule="auto"/>
        <w:rPr>
          <w:rFonts w:ascii="Arial" w:eastAsia="Arial" w:hAnsi="Arial" w:cs="Arial"/>
          <w:b/>
          <w:bCs/>
          <w:sz w:val="27"/>
          <w:szCs w:val="27"/>
        </w:rPr>
      </w:pPr>
    </w:p>
    <w:p w:rsidR="00513C76" w:rsidRPr="007B0128" w:rsidRDefault="00513C76" w:rsidP="00513C76">
      <w:pPr>
        <w:widowControl w:val="0"/>
        <w:numPr>
          <w:ilvl w:val="0"/>
          <w:numId w:val="1"/>
        </w:numPr>
        <w:tabs>
          <w:tab w:val="left" w:pos="481"/>
        </w:tabs>
        <w:spacing w:after="0" w:line="240" w:lineRule="auto"/>
        <w:ind w:hanging="360"/>
        <w:rPr>
          <w:rFonts w:ascii="Arial" w:eastAsia="Arial" w:hAnsi="Arial" w:cs="Arial"/>
          <w:szCs w:val="24"/>
        </w:rPr>
      </w:pPr>
      <w:r w:rsidRPr="007B0128">
        <w:rPr>
          <w:rFonts w:ascii="Arial" w:eastAsia="Arial" w:hAnsi="Arial" w:cs="Arial"/>
          <w:spacing w:val="-1"/>
          <w:szCs w:val="24"/>
        </w:rPr>
        <w:t>AABB</w:t>
      </w:r>
      <w:r w:rsidRPr="007B0128">
        <w:rPr>
          <w:rFonts w:ascii="Arial" w:eastAsia="Arial" w:hAnsi="Arial" w:cs="Arial"/>
          <w:szCs w:val="24"/>
        </w:rPr>
        <w:t xml:space="preserve"> – </w:t>
      </w:r>
      <w:r w:rsidRPr="007B0128">
        <w:rPr>
          <w:rFonts w:ascii="Arial" w:eastAsia="Arial" w:hAnsi="Arial" w:cs="Arial"/>
          <w:spacing w:val="-1"/>
          <w:szCs w:val="24"/>
        </w:rPr>
        <w:t>formerly</w:t>
      </w:r>
      <w:r w:rsidRPr="007B0128">
        <w:rPr>
          <w:rFonts w:ascii="Arial" w:eastAsia="Arial" w:hAnsi="Arial" w:cs="Arial"/>
          <w:szCs w:val="24"/>
        </w:rPr>
        <w:t xml:space="preserve"> </w:t>
      </w:r>
      <w:r w:rsidRPr="007B0128">
        <w:rPr>
          <w:rFonts w:ascii="Arial" w:eastAsia="Arial" w:hAnsi="Arial" w:cs="Arial"/>
          <w:spacing w:val="-1"/>
          <w:szCs w:val="24"/>
        </w:rPr>
        <w:t>American</w:t>
      </w:r>
      <w:r w:rsidRPr="007B0128">
        <w:rPr>
          <w:rFonts w:ascii="Arial" w:eastAsia="Arial" w:hAnsi="Arial" w:cs="Arial"/>
          <w:szCs w:val="24"/>
        </w:rPr>
        <w:t xml:space="preserve"> </w:t>
      </w:r>
      <w:r w:rsidRPr="007B0128">
        <w:rPr>
          <w:rFonts w:ascii="Arial" w:eastAsia="Arial" w:hAnsi="Arial" w:cs="Arial"/>
          <w:spacing w:val="-1"/>
          <w:szCs w:val="24"/>
        </w:rPr>
        <w:t>Association</w:t>
      </w:r>
      <w:r w:rsidRPr="007B0128">
        <w:rPr>
          <w:rFonts w:ascii="Arial" w:eastAsia="Arial" w:hAnsi="Arial" w:cs="Arial"/>
          <w:szCs w:val="24"/>
        </w:rPr>
        <w:t xml:space="preserve"> </w:t>
      </w:r>
      <w:r w:rsidRPr="007B0128">
        <w:rPr>
          <w:rFonts w:ascii="Arial" w:eastAsia="Arial" w:hAnsi="Arial" w:cs="Arial"/>
          <w:spacing w:val="-1"/>
          <w:szCs w:val="24"/>
        </w:rPr>
        <w:t>of</w:t>
      </w:r>
      <w:r w:rsidRPr="007B0128">
        <w:rPr>
          <w:rFonts w:ascii="Arial" w:eastAsia="Arial" w:hAnsi="Arial" w:cs="Arial"/>
          <w:szCs w:val="24"/>
        </w:rPr>
        <w:t xml:space="preserve"> </w:t>
      </w:r>
      <w:r w:rsidRPr="007B0128">
        <w:rPr>
          <w:rFonts w:ascii="Arial" w:eastAsia="Arial" w:hAnsi="Arial" w:cs="Arial"/>
          <w:spacing w:val="-1"/>
          <w:szCs w:val="24"/>
        </w:rPr>
        <w:t>Blood</w:t>
      </w:r>
      <w:r w:rsidRPr="007B0128">
        <w:rPr>
          <w:rFonts w:ascii="Arial" w:eastAsia="Arial" w:hAnsi="Arial" w:cs="Arial"/>
          <w:szCs w:val="24"/>
        </w:rPr>
        <w:t xml:space="preserve"> </w:t>
      </w:r>
      <w:r w:rsidRPr="007B0128">
        <w:rPr>
          <w:rFonts w:ascii="Arial" w:eastAsia="Arial" w:hAnsi="Arial" w:cs="Arial"/>
          <w:spacing w:val="-1"/>
          <w:szCs w:val="24"/>
        </w:rPr>
        <w:t>Banks</w:t>
      </w:r>
    </w:p>
    <w:p w:rsidR="00513C76" w:rsidRPr="007B0128"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pacing w:val="-1"/>
          <w:szCs w:val="24"/>
        </w:rPr>
        <w:t>AHTR</w:t>
      </w:r>
      <w:r w:rsidRPr="007B0128">
        <w:rPr>
          <w:rFonts w:ascii="Arial" w:eastAsia="Arial" w:hAnsi="Arial" w:cs="Arial"/>
          <w:szCs w:val="24"/>
        </w:rPr>
        <w:t xml:space="preserve"> – </w:t>
      </w:r>
      <w:r w:rsidRPr="007B0128">
        <w:rPr>
          <w:rFonts w:ascii="Arial" w:eastAsia="Arial" w:hAnsi="Arial" w:cs="Arial"/>
          <w:spacing w:val="-1"/>
          <w:szCs w:val="24"/>
        </w:rPr>
        <w:t>Acute</w:t>
      </w:r>
      <w:r w:rsidRPr="007B0128">
        <w:rPr>
          <w:rFonts w:ascii="Arial" w:eastAsia="Arial" w:hAnsi="Arial" w:cs="Arial"/>
          <w:szCs w:val="24"/>
        </w:rPr>
        <w:t xml:space="preserve"> </w:t>
      </w:r>
      <w:r w:rsidRPr="007B0128">
        <w:rPr>
          <w:rFonts w:ascii="Arial" w:eastAsia="Arial" w:hAnsi="Arial" w:cs="Arial"/>
          <w:spacing w:val="-1"/>
          <w:szCs w:val="24"/>
        </w:rPr>
        <w:t>hemolytic</w:t>
      </w:r>
      <w:r w:rsidRPr="007B0128">
        <w:rPr>
          <w:rFonts w:ascii="Arial" w:eastAsia="Arial" w:hAnsi="Arial" w:cs="Arial"/>
          <w:szCs w:val="24"/>
        </w:rPr>
        <w:t xml:space="preserve"> </w:t>
      </w:r>
      <w:r w:rsidRPr="007B0128">
        <w:rPr>
          <w:rFonts w:ascii="Arial" w:eastAsia="Arial" w:hAnsi="Arial" w:cs="Arial"/>
          <w:spacing w:val="-1"/>
          <w:szCs w:val="24"/>
        </w:rPr>
        <w:t>transfusion</w:t>
      </w:r>
      <w:r w:rsidRPr="007B0128">
        <w:rPr>
          <w:rFonts w:ascii="Arial" w:eastAsia="Arial" w:hAnsi="Arial" w:cs="Arial"/>
          <w:szCs w:val="24"/>
        </w:rPr>
        <w:t xml:space="preserve"> </w:t>
      </w:r>
      <w:r w:rsidRPr="007B0128">
        <w:rPr>
          <w:rFonts w:ascii="Arial" w:eastAsia="Arial" w:hAnsi="Arial" w:cs="Arial"/>
          <w:spacing w:val="-1"/>
          <w:szCs w:val="24"/>
        </w:rPr>
        <w:t>reaction</w:t>
      </w:r>
    </w:p>
    <w:p w:rsidR="00513C76" w:rsidRPr="007B0128" w:rsidRDefault="00513C76" w:rsidP="00513C76">
      <w:pPr>
        <w:widowControl w:val="0"/>
        <w:numPr>
          <w:ilvl w:val="0"/>
          <w:numId w:val="1"/>
        </w:numPr>
        <w:tabs>
          <w:tab w:val="left" w:pos="481"/>
        </w:tabs>
        <w:spacing w:before="136" w:after="0" w:line="240" w:lineRule="auto"/>
        <w:ind w:hanging="360"/>
        <w:rPr>
          <w:rFonts w:ascii="Arial" w:eastAsia="Arial" w:hAnsi="Arial" w:cs="Arial"/>
          <w:szCs w:val="24"/>
        </w:rPr>
      </w:pPr>
      <w:r w:rsidRPr="007B0128">
        <w:rPr>
          <w:rFonts w:ascii="Arial" w:eastAsia="Arial" w:hAnsi="Arial" w:cs="Arial"/>
          <w:spacing w:val="-1"/>
          <w:szCs w:val="24"/>
        </w:rPr>
        <w:t>ALLERG</w:t>
      </w:r>
      <w:r w:rsidRPr="007B0128">
        <w:rPr>
          <w:rFonts w:ascii="Arial" w:eastAsia="Arial" w:hAnsi="Arial" w:cs="Arial"/>
          <w:szCs w:val="24"/>
        </w:rPr>
        <w:t xml:space="preserve"> – </w:t>
      </w:r>
      <w:r w:rsidRPr="007B0128">
        <w:rPr>
          <w:rFonts w:ascii="Arial" w:eastAsia="Arial" w:hAnsi="Arial" w:cs="Arial"/>
          <w:spacing w:val="-1"/>
          <w:szCs w:val="24"/>
        </w:rPr>
        <w:t>Allergic</w:t>
      </w:r>
      <w:r w:rsidRPr="007B0128">
        <w:rPr>
          <w:rFonts w:ascii="Arial" w:eastAsia="Arial" w:hAnsi="Arial" w:cs="Arial"/>
          <w:szCs w:val="24"/>
        </w:rPr>
        <w:t xml:space="preserve"> </w:t>
      </w:r>
      <w:r w:rsidRPr="007B0128">
        <w:rPr>
          <w:rFonts w:ascii="Arial" w:eastAsia="Arial" w:hAnsi="Arial" w:cs="Arial"/>
          <w:spacing w:val="-1"/>
          <w:szCs w:val="24"/>
        </w:rPr>
        <w:t>reaction</w:t>
      </w:r>
    </w:p>
    <w:p w:rsidR="00513C76" w:rsidRPr="007B0128"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pacing w:val="-1"/>
          <w:szCs w:val="24"/>
        </w:rPr>
        <w:t>CAP</w:t>
      </w:r>
      <w:r w:rsidRPr="007B0128">
        <w:rPr>
          <w:rFonts w:ascii="Arial" w:eastAsia="Arial" w:hAnsi="Arial" w:cs="Arial"/>
          <w:szCs w:val="24"/>
        </w:rPr>
        <w:t xml:space="preserve"> – </w:t>
      </w:r>
      <w:r w:rsidRPr="007B0128">
        <w:rPr>
          <w:rFonts w:ascii="Arial" w:eastAsia="Arial" w:hAnsi="Arial" w:cs="Arial"/>
          <w:spacing w:val="-1"/>
          <w:szCs w:val="24"/>
        </w:rPr>
        <w:t>College</w:t>
      </w:r>
      <w:r w:rsidRPr="007B0128">
        <w:rPr>
          <w:rFonts w:ascii="Arial" w:eastAsia="Arial" w:hAnsi="Arial" w:cs="Arial"/>
          <w:szCs w:val="24"/>
        </w:rPr>
        <w:t xml:space="preserve"> </w:t>
      </w:r>
      <w:r w:rsidRPr="007B0128">
        <w:rPr>
          <w:rFonts w:ascii="Arial" w:eastAsia="Arial" w:hAnsi="Arial" w:cs="Arial"/>
          <w:spacing w:val="-1"/>
          <w:szCs w:val="24"/>
        </w:rPr>
        <w:t>of</w:t>
      </w:r>
      <w:r w:rsidRPr="007B0128">
        <w:rPr>
          <w:rFonts w:ascii="Arial" w:eastAsia="Arial" w:hAnsi="Arial" w:cs="Arial"/>
          <w:szCs w:val="24"/>
        </w:rPr>
        <w:t xml:space="preserve"> </w:t>
      </w:r>
      <w:r w:rsidRPr="007B0128">
        <w:rPr>
          <w:rFonts w:ascii="Arial" w:eastAsia="Arial" w:hAnsi="Arial" w:cs="Arial"/>
          <w:spacing w:val="-1"/>
          <w:szCs w:val="24"/>
        </w:rPr>
        <w:t>American</w:t>
      </w:r>
      <w:r w:rsidRPr="007B0128">
        <w:rPr>
          <w:rFonts w:ascii="Arial" w:eastAsia="Arial" w:hAnsi="Arial" w:cs="Arial"/>
          <w:szCs w:val="24"/>
        </w:rPr>
        <w:t xml:space="preserve"> </w:t>
      </w:r>
      <w:r w:rsidRPr="007B0128">
        <w:rPr>
          <w:rFonts w:ascii="Arial" w:eastAsia="Arial" w:hAnsi="Arial" w:cs="Arial"/>
          <w:spacing w:val="-1"/>
          <w:szCs w:val="24"/>
        </w:rPr>
        <w:t>Pathologists</w:t>
      </w:r>
    </w:p>
    <w:p w:rsidR="00513C76" w:rsidRPr="007B0128" w:rsidRDefault="00513C76" w:rsidP="00513C76">
      <w:pPr>
        <w:widowControl w:val="0"/>
        <w:numPr>
          <w:ilvl w:val="0"/>
          <w:numId w:val="1"/>
        </w:numPr>
        <w:tabs>
          <w:tab w:val="left" w:pos="481"/>
        </w:tabs>
        <w:spacing w:before="136" w:after="0" w:line="240" w:lineRule="auto"/>
        <w:ind w:hanging="360"/>
        <w:rPr>
          <w:rFonts w:ascii="Arial" w:eastAsia="Arial" w:hAnsi="Arial" w:cs="Arial"/>
          <w:szCs w:val="24"/>
        </w:rPr>
      </w:pPr>
      <w:r w:rsidRPr="007B0128">
        <w:rPr>
          <w:rFonts w:ascii="Arial" w:eastAsia="Arial" w:hAnsi="Arial" w:cs="Arial"/>
          <w:spacing w:val="-1"/>
          <w:szCs w:val="24"/>
        </w:rPr>
        <w:t>DHTR</w:t>
      </w:r>
      <w:r w:rsidRPr="007B0128">
        <w:rPr>
          <w:rFonts w:ascii="Arial" w:eastAsia="Arial" w:hAnsi="Arial" w:cs="Arial"/>
          <w:szCs w:val="24"/>
        </w:rPr>
        <w:t xml:space="preserve"> – </w:t>
      </w:r>
      <w:r w:rsidRPr="007B0128">
        <w:rPr>
          <w:rFonts w:ascii="Arial" w:eastAsia="Arial" w:hAnsi="Arial" w:cs="Arial"/>
          <w:spacing w:val="-1"/>
          <w:szCs w:val="24"/>
        </w:rPr>
        <w:t>Delayed</w:t>
      </w:r>
      <w:r w:rsidRPr="007B0128">
        <w:rPr>
          <w:rFonts w:ascii="Arial" w:eastAsia="Arial" w:hAnsi="Arial" w:cs="Arial"/>
          <w:szCs w:val="24"/>
        </w:rPr>
        <w:t xml:space="preserve"> </w:t>
      </w:r>
      <w:r w:rsidRPr="007B0128">
        <w:rPr>
          <w:rFonts w:ascii="Arial" w:eastAsia="Arial" w:hAnsi="Arial" w:cs="Arial"/>
          <w:spacing w:val="-1"/>
          <w:szCs w:val="24"/>
        </w:rPr>
        <w:t>hemolytic</w:t>
      </w:r>
      <w:r w:rsidRPr="007B0128">
        <w:rPr>
          <w:rFonts w:ascii="Arial" w:eastAsia="Arial" w:hAnsi="Arial" w:cs="Arial"/>
          <w:szCs w:val="24"/>
        </w:rPr>
        <w:t xml:space="preserve"> </w:t>
      </w:r>
      <w:r w:rsidRPr="007B0128">
        <w:rPr>
          <w:rFonts w:ascii="Arial" w:eastAsia="Arial" w:hAnsi="Arial" w:cs="Arial"/>
          <w:spacing w:val="-1"/>
          <w:szCs w:val="24"/>
        </w:rPr>
        <w:t>transfusion</w:t>
      </w:r>
      <w:r w:rsidRPr="007B0128">
        <w:rPr>
          <w:rFonts w:ascii="Arial" w:eastAsia="Arial" w:hAnsi="Arial" w:cs="Arial"/>
          <w:szCs w:val="24"/>
        </w:rPr>
        <w:t xml:space="preserve"> </w:t>
      </w:r>
      <w:r w:rsidRPr="007B0128">
        <w:rPr>
          <w:rFonts w:ascii="Arial" w:eastAsia="Arial" w:hAnsi="Arial" w:cs="Arial"/>
          <w:spacing w:val="-1"/>
          <w:szCs w:val="24"/>
        </w:rPr>
        <w:t>reaction</w:t>
      </w:r>
    </w:p>
    <w:p w:rsidR="00513C76" w:rsidRPr="007B0128"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pacing w:val="-1"/>
          <w:szCs w:val="24"/>
        </w:rPr>
        <w:t>DSTR</w:t>
      </w:r>
      <w:r w:rsidRPr="007B0128">
        <w:rPr>
          <w:rFonts w:ascii="Arial" w:eastAsia="Arial" w:hAnsi="Arial" w:cs="Arial"/>
          <w:szCs w:val="24"/>
        </w:rPr>
        <w:t xml:space="preserve"> – </w:t>
      </w:r>
      <w:r w:rsidRPr="007B0128">
        <w:rPr>
          <w:rFonts w:ascii="Arial" w:eastAsia="Arial" w:hAnsi="Arial" w:cs="Arial"/>
          <w:spacing w:val="-1"/>
          <w:szCs w:val="24"/>
        </w:rPr>
        <w:t>Delayed</w:t>
      </w:r>
      <w:r w:rsidRPr="007B0128">
        <w:rPr>
          <w:rFonts w:ascii="Arial" w:eastAsia="Arial" w:hAnsi="Arial" w:cs="Arial"/>
          <w:szCs w:val="24"/>
        </w:rPr>
        <w:t xml:space="preserve"> </w:t>
      </w:r>
      <w:r w:rsidRPr="007B0128">
        <w:rPr>
          <w:rFonts w:ascii="Arial" w:eastAsia="Arial" w:hAnsi="Arial" w:cs="Arial"/>
          <w:spacing w:val="-1"/>
          <w:szCs w:val="24"/>
        </w:rPr>
        <w:t>serologic</w:t>
      </w:r>
      <w:r w:rsidRPr="007B0128">
        <w:rPr>
          <w:rFonts w:ascii="Arial" w:eastAsia="Arial" w:hAnsi="Arial" w:cs="Arial"/>
          <w:szCs w:val="24"/>
        </w:rPr>
        <w:t xml:space="preserve"> </w:t>
      </w:r>
      <w:r w:rsidRPr="007B0128">
        <w:rPr>
          <w:rFonts w:ascii="Arial" w:eastAsia="Arial" w:hAnsi="Arial" w:cs="Arial"/>
          <w:spacing w:val="-1"/>
          <w:szCs w:val="24"/>
        </w:rPr>
        <w:t>transfusion</w:t>
      </w:r>
      <w:r w:rsidRPr="007B0128">
        <w:rPr>
          <w:rFonts w:ascii="Arial" w:eastAsia="Arial" w:hAnsi="Arial" w:cs="Arial"/>
          <w:szCs w:val="24"/>
        </w:rPr>
        <w:t xml:space="preserve"> </w:t>
      </w:r>
      <w:r w:rsidRPr="007B0128">
        <w:rPr>
          <w:rFonts w:ascii="Arial" w:eastAsia="Arial" w:hAnsi="Arial" w:cs="Arial"/>
          <w:spacing w:val="-1"/>
          <w:szCs w:val="24"/>
        </w:rPr>
        <w:t>reaction</w:t>
      </w:r>
    </w:p>
    <w:p w:rsidR="00513C76" w:rsidRPr="007B0128" w:rsidRDefault="00513C76" w:rsidP="00513C76">
      <w:pPr>
        <w:widowControl w:val="0"/>
        <w:numPr>
          <w:ilvl w:val="0"/>
          <w:numId w:val="1"/>
        </w:numPr>
        <w:tabs>
          <w:tab w:val="left" w:pos="481"/>
        </w:tabs>
        <w:spacing w:before="136" w:after="0" w:line="240" w:lineRule="auto"/>
        <w:ind w:hanging="360"/>
        <w:rPr>
          <w:rFonts w:ascii="Arial" w:eastAsia="Arial" w:hAnsi="Arial" w:cs="Arial"/>
          <w:szCs w:val="24"/>
        </w:rPr>
      </w:pPr>
      <w:r w:rsidRPr="007B0128">
        <w:rPr>
          <w:rFonts w:ascii="Arial" w:eastAsia="Arial" w:hAnsi="Arial" w:cs="Arial"/>
          <w:spacing w:val="-1"/>
          <w:szCs w:val="24"/>
        </w:rPr>
        <w:t>FNHTR</w:t>
      </w:r>
      <w:r w:rsidRPr="007B0128">
        <w:rPr>
          <w:rFonts w:ascii="Arial" w:eastAsia="Arial" w:hAnsi="Arial" w:cs="Arial"/>
          <w:szCs w:val="24"/>
        </w:rPr>
        <w:t xml:space="preserve"> – </w:t>
      </w:r>
      <w:r w:rsidRPr="007B0128">
        <w:rPr>
          <w:rFonts w:ascii="Arial" w:eastAsia="Arial" w:hAnsi="Arial" w:cs="Arial"/>
          <w:spacing w:val="-1"/>
          <w:szCs w:val="24"/>
        </w:rPr>
        <w:t>Febrile</w:t>
      </w:r>
      <w:r w:rsidRPr="007B0128">
        <w:rPr>
          <w:rFonts w:ascii="Arial" w:eastAsia="Arial" w:hAnsi="Arial" w:cs="Arial"/>
          <w:szCs w:val="24"/>
        </w:rPr>
        <w:t xml:space="preserve"> </w:t>
      </w:r>
      <w:r w:rsidRPr="007B0128">
        <w:rPr>
          <w:rFonts w:ascii="Arial" w:eastAsia="Arial" w:hAnsi="Arial" w:cs="Arial"/>
          <w:spacing w:val="-1"/>
          <w:szCs w:val="24"/>
        </w:rPr>
        <w:t>non-hemolytic</w:t>
      </w:r>
      <w:r w:rsidRPr="007B0128">
        <w:rPr>
          <w:rFonts w:ascii="Arial" w:eastAsia="Arial" w:hAnsi="Arial" w:cs="Arial"/>
          <w:szCs w:val="24"/>
        </w:rPr>
        <w:t xml:space="preserve"> </w:t>
      </w:r>
      <w:r w:rsidRPr="007B0128">
        <w:rPr>
          <w:rFonts w:ascii="Arial" w:eastAsia="Arial" w:hAnsi="Arial" w:cs="Arial"/>
          <w:spacing w:val="-1"/>
          <w:szCs w:val="24"/>
        </w:rPr>
        <w:t>transfusion</w:t>
      </w:r>
      <w:r w:rsidRPr="007B0128">
        <w:rPr>
          <w:rFonts w:ascii="Arial" w:eastAsia="Arial" w:hAnsi="Arial" w:cs="Arial"/>
          <w:szCs w:val="24"/>
        </w:rPr>
        <w:t xml:space="preserve"> </w:t>
      </w:r>
      <w:r w:rsidRPr="007B0128">
        <w:rPr>
          <w:rFonts w:ascii="Arial" w:eastAsia="Arial" w:hAnsi="Arial" w:cs="Arial"/>
          <w:spacing w:val="-1"/>
          <w:szCs w:val="24"/>
        </w:rPr>
        <w:t>reaction</w:t>
      </w:r>
    </w:p>
    <w:p w:rsidR="00513C76" w:rsidRPr="007B0128"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pacing w:val="-1"/>
          <w:szCs w:val="24"/>
        </w:rPr>
        <w:t>HTR</w:t>
      </w:r>
      <w:r w:rsidRPr="007B0128">
        <w:rPr>
          <w:rFonts w:ascii="Arial" w:eastAsia="Arial" w:hAnsi="Arial" w:cs="Arial"/>
          <w:szCs w:val="24"/>
        </w:rPr>
        <w:t xml:space="preserve"> – </w:t>
      </w:r>
      <w:r w:rsidRPr="007B0128">
        <w:rPr>
          <w:rFonts w:ascii="Arial" w:eastAsia="Arial" w:hAnsi="Arial" w:cs="Arial"/>
          <w:spacing w:val="-1"/>
          <w:szCs w:val="24"/>
        </w:rPr>
        <w:t>Hypotensive</w:t>
      </w:r>
      <w:r w:rsidRPr="007B0128">
        <w:rPr>
          <w:rFonts w:ascii="Arial" w:eastAsia="Arial" w:hAnsi="Arial" w:cs="Arial"/>
          <w:szCs w:val="24"/>
        </w:rPr>
        <w:t xml:space="preserve"> </w:t>
      </w:r>
      <w:r w:rsidRPr="007B0128">
        <w:rPr>
          <w:rFonts w:ascii="Arial" w:eastAsia="Arial" w:hAnsi="Arial" w:cs="Arial"/>
          <w:spacing w:val="-1"/>
          <w:szCs w:val="24"/>
        </w:rPr>
        <w:t>transfusion</w:t>
      </w:r>
      <w:r w:rsidRPr="007B0128">
        <w:rPr>
          <w:rFonts w:ascii="Arial" w:eastAsia="Arial" w:hAnsi="Arial" w:cs="Arial"/>
          <w:szCs w:val="24"/>
        </w:rPr>
        <w:t xml:space="preserve"> </w:t>
      </w:r>
      <w:r w:rsidRPr="007B0128">
        <w:rPr>
          <w:rFonts w:ascii="Arial" w:eastAsia="Arial" w:hAnsi="Arial" w:cs="Arial"/>
          <w:spacing w:val="-1"/>
          <w:szCs w:val="24"/>
        </w:rPr>
        <w:t>reaction</w:t>
      </w:r>
    </w:p>
    <w:p w:rsidR="00513C76" w:rsidRPr="007B0128" w:rsidRDefault="00513C76" w:rsidP="00513C76">
      <w:pPr>
        <w:widowControl w:val="0"/>
        <w:numPr>
          <w:ilvl w:val="0"/>
          <w:numId w:val="1"/>
        </w:numPr>
        <w:tabs>
          <w:tab w:val="left" w:pos="481"/>
        </w:tabs>
        <w:spacing w:before="136" w:after="0" w:line="240" w:lineRule="auto"/>
        <w:ind w:hanging="360"/>
        <w:rPr>
          <w:rFonts w:ascii="Arial" w:eastAsia="Arial" w:hAnsi="Arial" w:cs="Arial"/>
          <w:szCs w:val="24"/>
        </w:rPr>
      </w:pPr>
      <w:r w:rsidRPr="007B0128">
        <w:rPr>
          <w:rFonts w:ascii="Arial" w:eastAsia="Arial" w:hAnsi="Arial" w:cs="Arial"/>
          <w:spacing w:val="-1"/>
          <w:szCs w:val="24"/>
        </w:rPr>
        <w:t>PTP</w:t>
      </w:r>
      <w:r w:rsidRPr="007B0128">
        <w:rPr>
          <w:rFonts w:ascii="Arial" w:eastAsia="Arial" w:hAnsi="Arial" w:cs="Arial"/>
          <w:szCs w:val="24"/>
        </w:rPr>
        <w:t xml:space="preserve"> – </w:t>
      </w:r>
      <w:r w:rsidRPr="007B0128">
        <w:rPr>
          <w:rFonts w:ascii="Arial" w:eastAsia="Arial" w:hAnsi="Arial" w:cs="Arial"/>
          <w:spacing w:val="-1"/>
          <w:szCs w:val="24"/>
        </w:rPr>
        <w:t>Post-transfusion</w:t>
      </w:r>
      <w:r w:rsidRPr="007B0128">
        <w:rPr>
          <w:rFonts w:ascii="Arial" w:eastAsia="Arial" w:hAnsi="Arial" w:cs="Arial"/>
          <w:szCs w:val="24"/>
        </w:rPr>
        <w:t xml:space="preserve"> </w:t>
      </w:r>
      <w:r w:rsidRPr="007B0128">
        <w:rPr>
          <w:rFonts w:ascii="Arial" w:eastAsia="Arial" w:hAnsi="Arial" w:cs="Arial"/>
          <w:spacing w:val="-1"/>
          <w:szCs w:val="24"/>
        </w:rPr>
        <w:t>purpura</w:t>
      </w:r>
    </w:p>
    <w:p w:rsidR="00513C76" w:rsidRPr="007B0128"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pacing w:val="-1"/>
          <w:szCs w:val="24"/>
        </w:rPr>
        <w:t>TJC</w:t>
      </w:r>
      <w:r w:rsidRPr="007B0128">
        <w:rPr>
          <w:rFonts w:ascii="Arial" w:eastAsia="Arial" w:hAnsi="Arial" w:cs="Arial"/>
          <w:szCs w:val="24"/>
        </w:rPr>
        <w:t xml:space="preserve"> – </w:t>
      </w:r>
      <w:r w:rsidRPr="007B0128">
        <w:rPr>
          <w:rFonts w:ascii="Arial" w:eastAsia="Arial" w:hAnsi="Arial" w:cs="Arial"/>
          <w:spacing w:val="-1"/>
          <w:szCs w:val="24"/>
        </w:rPr>
        <w:t>The</w:t>
      </w:r>
      <w:r w:rsidRPr="007B0128">
        <w:rPr>
          <w:rFonts w:ascii="Arial" w:eastAsia="Arial" w:hAnsi="Arial" w:cs="Arial"/>
          <w:szCs w:val="24"/>
        </w:rPr>
        <w:t xml:space="preserve"> </w:t>
      </w:r>
      <w:r w:rsidRPr="007B0128">
        <w:rPr>
          <w:rFonts w:ascii="Arial" w:eastAsia="Arial" w:hAnsi="Arial" w:cs="Arial"/>
          <w:spacing w:val="-1"/>
          <w:szCs w:val="24"/>
        </w:rPr>
        <w:t>Joint</w:t>
      </w:r>
      <w:r w:rsidRPr="007B0128">
        <w:rPr>
          <w:rFonts w:ascii="Arial" w:eastAsia="Arial" w:hAnsi="Arial" w:cs="Arial"/>
          <w:szCs w:val="24"/>
        </w:rPr>
        <w:t xml:space="preserve"> </w:t>
      </w:r>
      <w:r w:rsidRPr="007B0128">
        <w:rPr>
          <w:rFonts w:ascii="Arial" w:eastAsia="Arial" w:hAnsi="Arial" w:cs="Arial"/>
          <w:spacing w:val="-1"/>
          <w:szCs w:val="24"/>
        </w:rPr>
        <w:t>Commission</w:t>
      </w:r>
    </w:p>
    <w:p w:rsidR="00513C76" w:rsidRPr="007B0128"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pacing w:val="-1"/>
          <w:szCs w:val="24"/>
        </w:rPr>
        <w:t>TACO</w:t>
      </w:r>
      <w:r w:rsidRPr="007B0128">
        <w:rPr>
          <w:rFonts w:ascii="Arial" w:eastAsia="Arial" w:hAnsi="Arial" w:cs="Arial"/>
          <w:szCs w:val="24"/>
        </w:rPr>
        <w:t xml:space="preserve"> – </w:t>
      </w:r>
      <w:r w:rsidRPr="007B0128">
        <w:rPr>
          <w:rFonts w:ascii="Arial" w:eastAsia="Arial" w:hAnsi="Arial" w:cs="Arial"/>
          <w:spacing w:val="-1"/>
          <w:szCs w:val="24"/>
        </w:rPr>
        <w:t>Transfusion-associated</w:t>
      </w:r>
      <w:r w:rsidRPr="007B0128">
        <w:rPr>
          <w:rFonts w:ascii="Arial" w:eastAsia="Arial" w:hAnsi="Arial" w:cs="Arial"/>
          <w:spacing w:val="1"/>
          <w:szCs w:val="24"/>
        </w:rPr>
        <w:t xml:space="preserve"> </w:t>
      </w:r>
      <w:r w:rsidRPr="007B0128">
        <w:rPr>
          <w:rFonts w:ascii="Arial" w:eastAsia="Arial" w:hAnsi="Arial" w:cs="Arial"/>
          <w:spacing w:val="-1"/>
          <w:szCs w:val="24"/>
        </w:rPr>
        <w:t>circulatory</w:t>
      </w:r>
      <w:r w:rsidRPr="007B0128">
        <w:rPr>
          <w:rFonts w:ascii="Arial" w:eastAsia="Arial" w:hAnsi="Arial" w:cs="Arial"/>
          <w:spacing w:val="1"/>
          <w:szCs w:val="24"/>
        </w:rPr>
        <w:t xml:space="preserve"> </w:t>
      </w:r>
      <w:r w:rsidRPr="007B0128">
        <w:rPr>
          <w:rFonts w:ascii="Arial" w:eastAsia="Arial" w:hAnsi="Arial" w:cs="Arial"/>
          <w:spacing w:val="-1"/>
          <w:szCs w:val="24"/>
        </w:rPr>
        <w:t>overload</w:t>
      </w:r>
    </w:p>
    <w:p w:rsidR="00513C76" w:rsidRPr="007B0128" w:rsidRDefault="00513C76" w:rsidP="00513C76">
      <w:pPr>
        <w:widowControl w:val="0"/>
        <w:numPr>
          <w:ilvl w:val="0"/>
          <w:numId w:val="1"/>
        </w:numPr>
        <w:tabs>
          <w:tab w:val="left" w:pos="481"/>
        </w:tabs>
        <w:spacing w:before="136" w:after="0" w:line="240" w:lineRule="auto"/>
        <w:ind w:hanging="360"/>
        <w:rPr>
          <w:rFonts w:ascii="Arial" w:eastAsia="Arial" w:hAnsi="Arial" w:cs="Arial"/>
          <w:szCs w:val="24"/>
        </w:rPr>
      </w:pPr>
      <w:r w:rsidRPr="007B0128">
        <w:rPr>
          <w:rFonts w:ascii="Arial" w:eastAsia="Arial" w:hAnsi="Arial" w:cs="Arial"/>
          <w:spacing w:val="-1"/>
          <w:szCs w:val="24"/>
        </w:rPr>
        <w:t>TAD</w:t>
      </w:r>
      <w:r w:rsidRPr="007B0128">
        <w:rPr>
          <w:rFonts w:ascii="Arial" w:eastAsia="Arial" w:hAnsi="Arial" w:cs="Arial"/>
          <w:szCs w:val="24"/>
        </w:rPr>
        <w:t xml:space="preserve"> – </w:t>
      </w:r>
      <w:r w:rsidRPr="007B0128">
        <w:rPr>
          <w:rFonts w:ascii="Arial" w:eastAsia="Arial" w:hAnsi="Arial" w:cs="Arial"/>
          <w:spacing w:val="-1"/>
          <w:szCs w:val="24"/>
        </w:rPr>
        <w:t>Transfusion-associated</w:t>
      </w:r>
      <w:r w:rsidRPr="007B0128">
        <w:rPr>
          <w:rFonts w:ascii="Arial" w:eastAsia="Arial" w:hAnsi="Arial" w:cs="Arial"/>
          <w:szCs w:val="24"/>
        </w:rPr>
        <w:t xml:space="preserve"> </w:t>
      </w:r>
      <w:r w:rsidRPr="007B0128">
        <w:rPr>
          <w:rFonts w:ascii="Arial" w:eastAsia="Arial" w:hAnsi="Arial" w:cs="Arial"/>
          <w:spacing w:val="-1"/>
          <w:szCs w:val="24"/>
        </w:rPr>
        <w:t>dyspnea</w:t>
      </w:r>
    </w:p>
    <w:p w:rsidR="00513C76" w:rsidRPr="007B0128"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zCs w:val="24"/>
        </w:rPr>
        <w:t>TAGVHD – Transfusion-associated</w:t>
      </w:r>
      <w:r w:rsidRPr="007B0128">
        <w:rPr>
          <w:rFonts w:ascii="Arial" w:eastAsia="Arial" w:hAnsi="Arial" w:cs="Arial"/>
          <w:spacing w:val="-1"/>
          <w:szCs w:val="24"/>
        </w:rPr>
        <w:t xml:space="preserve"> </w:t>
      </w:r>
      <w:r w:rsidRPr="007B0128">
        <w:rPr>
          <w:rFonts w:ascii="Arial" w:eastAsia="Arial" w:hAnsi="Arial" w:cs="Arial"/>
          <w:szCs w:val="24"/>
        </w:rPr>
        <w:t>graft versus host disease</w:t>
      </w:r>
    </w:p>
    <w:p w:rsidR="00513C76" w:rsidRPr="007B0128" w:rsidRDefault="00513C76" w:rsidP="00513C76">
      <w:pPr>
        <w:widowControl w:val="0"/>
        <w:numPr>
          <w:ilvl w:val="0"/>
          <w:numId w:val="1"/>
        </w:numPr>
        <w:tabs>
          <w:tab w:val="left" w:pos="481"/>
        </w:tabs>
        <w:spacing w:before="136" w:after="0" w:line="240" w:lineRule="auto"/>
        <w:ind w:hanging="360"/>
        <w:rPr>
          <w:rFonts w:ascii="Arial" w:eastAsia="Arial" w:hAnsi="Arial" w:cs="Arial"/>
          <w:szCs w:val="24"/>
        </w:rPr>
      </w:pPr>
      <w:r w:rsidRPr="007B0128">
        <w:rPr>
          <w:rFonts w:ascii="Arial" w:eastAsia="Arial" w:hAnsi="Arial" w:cs="Arial"/>
          <w:spacing w:val="-1"/>
          <w:szCs w:val="24"/>
        </w:rPr>
        <w:t>TRALI</w:t>
      </w:r>
      <w:r w:rsidRPr="007B0128">
        <w:rPr>
          <w:rFonts w:ascii="Arial" w:eastAsia="Arial" w:hAnsi="Arial" w:cs="Arial"/>
          <w:szCs w:val="24"/>
        </w:rPr>
        <w:t xml:space="preserve"> – </w:t>
      </w:r>
      <w:r w:rsidRPr="007B0128">
        <w:rPr>
          <w:rFonts w:ascii="Arial" w:eastAsia="Arial" w:hAnsi="Arial" w:cs="Arial"/>
          <w:spacing w:val="-1"/>
          <w:szCs w:val="24"/>
        </w:rPr>
        <w:t>Transfusion-related</w:t>
      </w:r>
      <w:r w:rsidRPr="007B0128">
        <w:rPr>
          <w:rFonts w:ascii="Arial" w:eastAsia="Arial" w:hAnsi="Arial" w:cs="Arial"/>
          <w:szCs w:val="24"/>
        </w:rPr>
        <w:t xml:space="preserve"> </w:t>
      </w:r>
      <w:r w:rsidRPr="007B0128">
        <w:rPr>
          <w:rFonts w:ascii="Arial" w:eastAsia="Arial" w:hAnsi="Arial" w:cs="Arial"/>
          <w:spacing w:val="-1"/>
          <w:szCs w:val="24"/>
        </w:rPr>
        <w:t>acute</w:t>
      </w:r>
      <w:r w:rsidRPr="007B0128">
        <w:rPr>
          <w:rFonts w:ascii="Arial" w:eastAsia="Arial" w:hAnsi="Arial" w:cs="Arial"/>
          <w:szCs w:val="24"/>
        </w:rPr>
        <w:t xml:space="preserve"> </w:t>
      </w:r>
      <w:r w:rsidRPr="007B0128">
        <w:rPr>
          <w:rFonts w:ascii="Arial" w:eastAsia="Arial" w:hAnsi="Arial" w:cs="Arial"/>
          <w:spacing w:val="-1"/>
          <w:szCs w:val="24"/>
        </w:rPr>
        <w:t>lung</w:t>
      </w:r>
      <w:r w:rsidRPr="007B0128">
        <w:rPr>
          <w:rFonts w:ascii="Arial" w:eastAsia="Arial" w:hAnsi="Arial" w:cs="Arial"/>
          <w:szCs w:val="24"/>
        </w:rPr>
        <w:t xml:space="preserve"> </w:t>
      </w:r>
      <w:r w:rsidRPr="007B0128">
        <w:rPr>
          <w:rFonts w:ascii="Arial" w:eastAsia="Arial" w:hAnsi="Arial" w:cs="Arial"/>
          <w:spacing w:val="-1"/>
          <w:szCs w:val="24"/>
        </w:rPr>
        <w:t>injury</w:t>
      </w:r>
    </w:p>
    <w:p w:rsidR="00513C76" w:rsidRPr="007B0128"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zCs w:val="24"/>
        </w:rPr>
        <w:t>TTI – Transfusion-transmitted infection</w:t>
      </w:r>
    </w:p>
    <w:p w:rsidR="00052D68" w:rsidRDefault="00052D68" w:rsidP="00052D68">
      <w:pPr>
        <w:pStyle w:val="NoSpacing"/>
      </w:pPr>
    </w:p>
    <w:p w:rsidR="00D51CE3" w:rsidRDefault="00D51CE3" w:rsidP="00052D68">
      <w:pPr>
        <w:pStyle w:val="NoSpacing"/>
      </w:pPr>
    </w:p>
    <w:p w:rsidR="00D51CE3" w:rsidRDefault="00D51CE3" w:rsidP="00052D68">
      <w:pPr>
        <w:pStyle w:val="NoSpacing"/>
      </w:pPr>
    </w:p>
    <w:p w:rsidR="00D51CE3" w:rsidRDefault="00D51CE3" w:rsidP="00052D68">
      <w:pPr>
        <w:pStyle w:val="NoSpacing"/>
      </w:pPr>
    </w:p>
    <w:p w:rsidR="00D51CE3" w:rsidRDefault="00D51CE3" w:rsidP="00052D68">
      <w:pPr>
        <w:pStyle w:val="NoSpacing"/>
      </w:pPr>
    </w:p>
    <w:p w:rsidR="00D51CE3" w:rsidRDefault="00D51CE3" w:rsidP="00052D68">
      <w:pPr>
        <w:pStyle w:val="NoSpacing"/>
      </w:pPr>
    </w:p>
    <w:p w:rsidR="00290706" w:rsidRDefault="00290706" w:rsidP="00052D68">
      <w:pPr>
        <w:pStyle w:val="NoSpacing"/>
      </w:pPr>
    </w:p>
    <w:p w:rsidR="00290706" w:rsidRDefault="00290706" w:rsidP="00052D68">
      <w:pPr>
        <w:pStyle w:val="NoSpacing"/>
      </w:pPr>
    </w:p>
    <w:p w:rsidR="00290706" w:rsidRDefault="00290706" w:rsidP="00052D68">
      <w:pPr>
        <w:pStyle w:val="NoSpacing"/>
      </w:pPr>
    </w:p>
    <w:p w:rsidR="00290706" w:rsidRDefault="00290706" w:rsidP="00052D68">
      <w:pPr>
        <w:pStyle w:val="NoSpacing"/>
      </w:pPr>
    </w:p>
    <w:p w:rsidR="00290706" w:rsidRDefault="00290706" w:rsidP="00052D68">
      <w:pPr>
        <w:pStyle w:val="NoSpacing"/>
      </w:pPr>
    </w:p>
    <w:p w:rsidR="00290706" w:rsidRDefault="00290706" w:rsidP="00052D68">
      <w:pPr>
        <w:pStyle w:val="NoSpacing"/>
      </w:pPr>
    </w:p>
    <w:p w:rsidR="00290706" w:rsidRDefault="00290706" w:rsidP="00052D68">
      <w:pPr>
        <w:pStyle w:val="NoSpacing"/>
      </w:pPr>
    </w:p>
    <w:p w:rsidR="00290706" w:rsidRDefault="00290706" w:rsidP="00052D68">
      <w:pPr>
        <w:pStyle w:val="NoSpacing"/>
      </w:pPr>
    </w:p>
    <w:p w:rsidR="00290706" w:rsidRDefault="00290706" w:rsidP="00052D68">
      <w:pPr>
        <w:pStyle w:val="NoSpacing"/>
      </w:pPr>
    </w:p>
    <w:p w:rsidR="00290706" w:rsidRDefault="00290706" w:rsidP="00052D68">
      <w:pPr>
        <w:pStyle w:val="NoSpacing"/>
      </w:pPr>
    </w:p>
    <w:p w:rsidR="00290706" w:rsidRDefault="00290706" w:rsidP="00052D68">
      <w:pPr>
        <w:pStyle w:val="NoSpacing"/>
      </w:pPr>
    </w:p>
    <w:p w:rsidR="00290706" w:rsidRDefault="00290706" w:rsidP="00052D68">
      <w:pPr>
        <w:pStyle w:val="NoSpacing"/>
      </w:pPr>
    </w:p>
    <w:p w:rsidR="00290706" w:rsidRDefault="00290706" w:rsidP="00052D68">
      <w:pPr>
        <w:pStyle w:val="NoSpacing"/>
      </w:pPr>
      <w:r>
        <w:br w:type="page"/>
      </w:r>
    </w:p>
    <w:p w:rsidR="00290706" w:rsidRDefault="00290706" w:rsidP="00052D68">
      <w:pPr>
        <w:pStyle w:val="NoSpacing"/>
        <w:sectPr w:rsidR="00290706" w:rsidSect="00290706">
          <w:headerReference w:type="default" r:id="rId13"/>
          <w:footerReference w:type="default" r:id="rId14"/>
          <w:pgSz w:w="12240" w:h="15840"/>
          <w:pgMar w:top="1440" w:right="1440" w:bottom="1440" w:left="1440" w:header="720" w:footer="720" w:gutter="0"/>
          <w:cols w:space="720"/>
          <w:docGrid w:linePitch="360"/>
        </w:sectPr>
      </w:pPr>
    </w:p>
    <w:p w:rsidR="00FD10D9" w:rsidRPr="00290706" w:rsidRDefault="00FD10D9" w:rsidP="00290706">
      <w:pPr>
        <w:pStyle w:val="NoSpacing"/>
        <w:jc w:val="center"/>
      </w:pPr>
      <w:r w:rsidRPr="00D51CE3">
        <w:rPr>
          <w:rFonts w:ascii="Arial" w:hAnsi="Arial" w:cs="Arial"/>
          <w:b/>
          <w:sz w:val="28"/>
        </w:rPr>
        <w:lastRenderedPageBreak/>
        <w:t>Volume of Blood Products Transfused</w:t>
      </w:r>
    </w:p>
    <w:p w:rsidR="00FD10D9" w:rsidRDefault="00FD10D9" w:rsidP="00D51CE3">
      <w:pPr>
        <w:pStyle w:val="NoSpacing"/>
        <w:jc w:val="center"/>
        <w:rPr>
          <w:rFonts w:ascii="Arial" w:hAnsi="Arial" w:cs="Arial"/>
          <w:b/>
          <w:sz w:val="28"/>
        </w:rPr>
      </w:pPr>
      <w:r w:rsidRPr="00D51CE3">
        <w:rPr>
          <w:rFonts w:ascii="Arial" w:hAnsi="Arial" w:cs="Arial"/>
          <w:b/>
          <w:sz w:val="28"/>
        </w:rPr>
        <w:t>Massachusetts, 2015-2017</w:t>
      </w:r>
    </w:p>
    <w:p w:rsidR="0048653D" w:rsidRDefault="0048653D" w:rsidP="00D51CE3">
      <w:pPr>
        <w:pStyle w:val="NoSpacing"/>
        <w:jc w:val="center"/>
        <w:rPr>
          <w:rFonts w:ascii="Arial" w:hAnsi="Arial" w:cs="Arial"/>
          <w:b/>
          <w:sz w:val="28"/>
        </w:rPr>
      </w:pPr>
    </w:p>
    <w:p w:rsidR="00FD10D9" w:rsidRDefault="00676523" w:rsidP="001D3F03">
      <w:pPr>
        <w:jc w:val="center"/>
        <w:rPr>
          <w:rFonts w:ascii="Arial" w:hAnsi="Arial" w:cs="Arial"/>
          <w:b/>
          <w:sz w:val="28"/>
          <w:szCs w:val="28"/>
        </w:rPr>
      </w:pPr>
      <w:r>
        <w:rPr>
          <w:rFonts w:ascii="Arial" w:hAnsi="Arial" w:cs="Arial"/>
          <w:b/>
          <w:noProof/>
          <w:sz w:val="28"/>
          <w:szCs w:val="28"/>
        </w:rPr>
        <w:drawing>
          <wp:inline distT="0" distB="0" distL="0" distR="0" wp14:anchorId="1BD17F3E" wp14:editId="4F0B2AF7">
            <wp:extent cx="6935458" cy="461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39001" cy="4612455"/>
                    </a:xfrm>
                    <a:prstGeom prst="rect">
                      <a:avLst/>
                    </a:prstGeom>
                    <a:noFill/>
                  </pic:spPr>
                </pic:pic>
              </a:graphicData>
            </a:graphic>
          </wp:inline>
        </w:drawing>
      </w:r>
    </w:p>
    <w:p w:rsidR="00E65705" w:rsidRDefault="00676523" w:rsidP="0048653D">
      <w:pPr>
        <w:pStyle w:val="NoSpacing"/>
        <w:ind w:left="1440" w:firstLine="720"/>
        <w:rPr>
          <w:rFonts w:ascii="Arial" w:hAnsi="Arial" w:cs="Arial"/>
          <w:noProof/>
          <w:sz w:val="20"/>
        </w:rPr>
      </w:pPr>
      <w:r w:rsidRPr="00E65705">
        <w:rPr>
          <w:rFonts w:ascii="Arial" w:hAnsi="Arial" w:cs="Arial"/>
          <w:noProof/>
          <w:sz w:val="20"/>
        </w:rPr>
        <w:t>In 2015 and 2016, 70 facilities reported NHSN Hemovigilance data. In 2017, 69 facilities were reporting.</w:t>
      </w:r>
    </w:p>
    <w:p w:rsidR="00FB69B5" w:rsidRPr="00E65705" w:rsidRDefault="00FB69B5" w:rsidP="0048653D">
      <w:pPr>
        <w:pStyle w:val="NoSpacing"/>
        <w:ind w:left="1440" w:firstLine="720"/>
        <w:rPr>
          <w:rFonts w:ascii="Arial" w:hAnsi="Arial" w:cs="Arial"/>
          <w:noProof/>
          <w:sz w:val="20"/>
        </w:rPr>
      </w:pPr>
    </w:p>
    <w:p w:rsidR="00E65705" w:rsidRDefault="0048653D" w:rsidP="0048653D">
      <w:pPr>
        <w:pStyle w:val="NoSpacing"/>
        <w:ind w:left="1440" w:firstLine="720"/>
        <w:rPr>
          <w:rFonts w:ascii="Arial" w:hAnsi="Arial" w:cs="Arial"/>
          <w:noProof/>
          <w:sz w:val="20"/>
        </w:rPr>
      </w:pPr>
      <w:r>
        <w:rPr>
          <w:rFonts w:ascii="Arial" w:hAnsi="Arial" w:cs="Arial"/>
          <w:noProof/>
          <w:sz w:val="20"/>
        </w:rPr>
        <w:t>Whole blood refers to only autologous whole blood products.</w:t>
      </w:r>
    </w:p>
    <w:p w:rsidR="00E65705" w:rsidRPr="00E65705" w:rsidRDefault="00E65705" w:rsidP="00E65705">
      <w:pPr>
        <w:pStyle w:val="NoSpacing"/>
        <w:jc w:val="center"/>
        <w:rPr>
          <w:rFonts w:ascii="Arial" w:hAnsi="Arial" w:cs="Arial"/>
          <w:noProof/>
          <w:sz w:val="20"/>
        </w:rPr>
      </w:pPr>
    </w:p>
    <w:p w:rsidR="00FD10D9" w:rsidRPr="00D51CE3" w:rsidRDefault="00FD10D9" w:rsidP="00D51CE3">
      <w:pPr>
        <w:pStyle w:val="NoSpacing"/>
        <w:jc w:val="center"/>
        <w:rPr>
          <w:rFonts w:ascii="Arial" w:hAnsi="Arial" w:cs="Arial"/>
          <w:b/>
          <w:sz w:val="28"/>
        </w:rPr>
      </w:pPr>
      <w:r w:rsidRPr="00D51CE3">
        <w:rPr>
          <w:rFonts w:ascii="Arial" w:hAnsi="Arial" w:cs="Arial"/>
          <w:b/>
          <w:sz w:val="28"/>
        </w:rPr>
        <w:t>Transfusion</w:t>
      </w:r>
      <w:r w:rsidRPr="00D51CE3">
        <w:rPr>
          <w:rFonts w:ascii="Arial" w:hAnsi="Arial" w:cs="Arial"/>
          <w:b/>
          <w:spacing w:val="-13"/>
          <w:sz w:val="28"/>
        </w:rPr>
        <w:t xml:space="preserve"> </w:t>
      </w:r>
      <w:r w:rsidRPr="00D51CE3">
        <w:rPr>
          <w:rFonts w:ascii="Arial" w:hAnsi="Arial" w:cs="Arial"/>
          <w:b/>
          <w:sz w:val="28"/>
        </w:rPr>
        <w:t>Volume</w:t>
      </w:r>
      <w:r w:rsidRPr="00D51CE3">
        <w:rPr>
          <w:rFonts w:ascii="Arial" w:hAnsi="Arial" w:cs="Arial"/>
          <w:b/>
          <w:spacing w:val="-13"/>
          <w:sz w:val="28"/>
        </w:rPr>
        <w:t xml:space="preserve"> </w:t>
      </w:r>
      <w:r w:rsidRPr="00D51CE3">
        <w:rPr>
          <w:rFonts w:ascii="Arial" w:hAnsi="Arial" w:cs="Arial"/>
          <w:b/>
          <w:sz w:val="28"/>
        </w:rPr>
        <w:t>by</w:t>
      </w:r>
      <w:r w:rsidRPr="00D51CE3">
        <w:rPr>
          <w:rFonts w:ascii="Arial" w:hAnsi="Arial" w:cs="Arial"/>
          <w:b/>
          <w:spacing w:val="-15"/>
          <w:sz w:val="28"/>
        </w:rPr>
        <w:t xml:space="preserve"> </w:t>
      </w:r>
      <w:r w:rsidRPr="00D51CE3">
        <w:rPr>
          <w:rFonts w:ascii="Arial" w:hAnsi="Arial" w:cs="Arial"/>
          <w:b/>
          <w:sz w:val="28"/>
        </w:rPr>
        <w:t>Bed Size</w:t>
      </w:r>
      <w:r w:rsidRPr="00D51CE3">
        <w:rPr>
          <w:rFonts w:ascii="Arial" w:hAnsi="Arial" w:cs="Arial"/>
          <w:b/>
          <w:spacing w:val="-12"/>
          <w:sz w:val="28"/>
        </w:rPr>
        <w:t xml:space="preserve"> </w:t>
      </w:r>
      <w:r w:rsidRPr="00D51CE3">
        <w:rPr>
          <w:rFonts w:ascii="Arial" w:hAnsi="Arial" w:cs="Arial"/>
          <w:b/>
          <w:sz w:val="28"/>
        </w:rPr>
        <w:t>Group,</w:t>
      </w:r>
      <w:r w:rsidRPr="00D51CE3">
        <w:rPr>
          <w:rFonts w:ascii="Arial" w:hAnsi="Arial" w:cs="Arial"/>
          <w:b/>
          <w:spacing w:val="21"/>
          <w:w w:val="99"/>
          <w:sz w:val="28"/>
        </w:rPr>
        <w:t xml:space="preserve"> </w:t>
      </w:r>
      <w:r w:rsidRPr="00D51CE3">
        <w:rPr>
          <w:rFonts w:ascii="Arial" w:hAnsi="Arial" w:cs="Arial"/>
          <w:b/>
          <w:sz w:val="28"/>
        </w:rPr>
        <w:t>Product</w:t>
      </w:r>
      <w:r w:rsidRPr="00D51CE3">
        <w:rPr>
          <w:rFonts w:ascii="Arial" w:hAnsi="Arial" w:cs="Arial"/>
          <w:b/>
          <w:spacing w:val="-11"/>
          <w:sz w:val="28"/>
        </w:rPr>
        <w:t xml:space="preserve"> </w:t>
      </w:r>
      <w:r w:rsidRPr="00D51CE3">
        <w:rPr>
          <w:rFonts w:ascii="Arial" w:hAnsi="Arial" w:cs="Arial"/>
          <w:b/>
          <w:spacing w:val="-1"/>
          <w:sz w:val="28"/>
        </w:rPr>
        <w:t>Type,</w:t>
      </w:r>
      <w:r w:rsidRPr="00D51CE3">
        <w:rPr>
          <w:rFonts w:ascii="Arial" w:hAnsi="Arial" w:cs="Arial"/>
          <w:b/>
          <w:spacing w:val="-11"/>
          <w:sz w:val="28"/>
        </w:rPr>
        <w:t xml:space="preserve"> </w:t>
      </w:r>
      <w:r w:rsidRPr="00D51CE3">
        <w:rPr>
          <w:rFonts w:ascii="Arial" w:hAnsi="Arial" w:cs="Arial"/>
          <w:b/>
          <w:sz w:val="28"/>
        </w:rPr>
        <w:t>and</w:t>
      </w:r>
      <w:r w:rsidRPr="00D51CE3">
        <w:rPr>
          <w:rFonts w:ascii="Arial" w:hAnsi="Arial" w:cs="Arial"/>
          <w:b/>
          <w:spacing w:val="-11"/>
          <w:sz w:val="28"/>
        </w:rPr>
        <w:t xml:space="preserve"> </w:t>
      </w:r>
      <w:r w:rsidRPr="00D51CE3">
        <w:rPr>
          <w:rFonts w:ascii="Arial" w:hAnsi="Arial" w:cs="Arial"/>
          <w:b/>
          <w:sz w:val="28"/>
        </w:rPr>
        <w:t>Year,</w:t>
      </w:r>
      <w:r w:rsidRPr="00D51CE3">
        <w:rPr>
          <w:rFonts w:ascii="Arial" w:hAnsi="Arial" w:cs="Arial"/>
          <w:b/>
          <w:spacing w:val="-11"/>
          <w:sz w:val="28"/>
        </w:rPr>
        <w:t xml:space="preserve"> </w:t>
      </w:r>
      <w:r w:rsidRPr="00D51CE3">
        <w:rPr>
          <w:rFonts w:ascii="Arial" w:hAnsi="Arial" w:cs="Arial"/>
          <w:b/>
          <w:sz w:val="28"/>
        </w:rPr>
        <w:t>2015-2017</w:t>
      </w:r>
    </w:p>
    <w:p w:rsidR="00FD10D9" w:rsidRPr="0073415A" w:rsidRDefault="00FD10D9" w:rsidP="00D54599">
      <w:pPr>
        <w:pStyle w:val="Heading1"/>
        <w:spacing w:before="39"/>
        <w:ind w:left="1440"/>
        <w:rPr>
          <w:rFonts w:cs="Arial"/>
          <w:b w:val="0"/>
          <w:bCs w:val="0"/>
        </w:rPr>
      </w:pPr>
    </w:p>
    <w:p w:rsidR="00FD10D9" w:rsidRDefault="00111A53" w:rsidP="000819C7">
      <w:pPr>
        <w:jc w:val="center"/>
        <w:rPr>
          <w:rFonts w:ascii="Arial" w:hAnsi="Arial" w:cs="Arial"/>
          <w:b/>
          <w:sz w:val="28"/>
          <w:szCs w:val="28"/>
        </w:rPr>
      </w:pPr>
      <w:r w:rsidRPr="00111A53">
        <w:rPr>
          <w:noProof/>
        </w:rPr>
        <w:drawing>
          <wp:inline distT="0" distB="0" distL="0" distR="0">
            <wp:extent cx="5943600" cy="4473977"/>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473977"/>
                    </a:xfrm>
                    <a:prstGeom prst="rect">
                      <a:avLst/>
                    </a:prstGeom>
                    <a:noFill/>
                    <a:ln>
                      <a:noFill/>
                    </a:ln>
                  </pic:spPr>
                </pic:pic>
              </a:graphicData>
            </a:graphic>
          </wp:inline>
        </w:drawing>
      </w:r>
    </w:p>
    <w:p w:rsidR="0048653D" w:rsidRDefault="0048653D" w:rsidP="00F65E1B">
      <w:pPr>
        <w:pStyle w:val="NoSpacing"/>
        <w:ind w:left="1440" w:firstLine="720"/>
        <w:rPr>
          <w:rFonts w:ascii="Arial" w:hAnsi="Arial" w:cs="Arial"/>
          <w:sz w:val="20"/>
        </w:rPr>
      </w:pPr>
      <w:r w:rsidRPr="0048653D">
        <w:rPr>
          <w:rFonts w:ascii="Arial" w:hAnsi="Arial" w:cs="Arial"/>
          <w:sz w:val="20"/>
        </w:rPr>
        <w:t>Whole blood refers to only autologous whole blood products.</w:t>
      </w:r>
    </w:p>
    <w:p w:rsidR="00F65E1B" w:rsidRDefault="00F65E1B" w:rsidP="00F65E1B">
      <w:pPr>
        <w:pStyle w:val="NoSpacing"/>
        <w:ind w:left="1440" w:firstLine="720"/>
        <w:rPr>
          <w:rFonts w:ascii="Arial" w:hAnsi="Arial" w:cs="Arial"/>
          <w:sz w:val="20"/>
        </w:rPr>
      </w:pPr>
    </w:p>
    <w:p w:rsidR="00F65E1B" w:rsidRPr="0048653D" w:rsidRDefault="00F65E1B" w:rsidP="00F65E1B">
      <w:pPr>
        <w:pStyle w:val="NoSpacing"/>
        <w:ind w:left="2160"/>
        <w:rPr>
          <w:rFonts w:ascii="Arial" w:hAnsi="Arial" w:cs="Arial"/>
          <w:sz w:val="20"/>
        </w:rPr>
      </w:pPr>
      <w:r>
        <w:rPr>
          <w:rFonts w:ascii="Arial" w:hAnsi="Arial" w:cs="Arial"/>
          <w:sz w:val="20"/>
        </w:rPr>
        <w:t>Bed Size Group categorization was assigned based on</w:t>
      </w:r>
      <w:r w:rsidR="006C30E9">
        <w:rPr>
          <w:rFonts w:ascii="Arial" w:hAnsi="Arial" w:cs="Arial"/>
          <w:sz w:val="20"/>
        </w:rPr>
        <w:t xml:space="preserve"> the</w:t>
      </w:r>
      <w:r>
        <w:rPr>
          <w:rFonts w:ascii="Arial" w:hAnsi="Arial" w:cs="Arial"/>
          <w:sz w:val="20"/>
        </w:rPr>
        <w:t xml:space="preserve"> bed size </w:t>
      </w:r>
      <w:r w:rsidR="006C30E9">
        <w:rPr>
          <w:rFonts w:ascii="Arial" w:hAnsi="Arial" w:cs="Arial"/>
          <w:sz w:val="20"/>
        </w:rPr>
        <w:t>reported in</w:t>
      </w:r>
      <w:r>
        <w:rPr>
          <w:rFonts w:ascii="Arial" w:hAnsi="Arial" w:cs="Arial"/>
          <w:sz w:val="20"/>
        </w:rPr>
        <w:t xml:space="preserve"> the facility’s most recent annual survey and </w:t>
      </w:r>
      <w:r w:rsidR="006C30E9">
        <w:rPr>
          <w:rFonts w:ascii="Arial" w:hAnsi="Arial" w:cs="Arial"/>
          <w:sz w:val="20"/>
        </w:rPr>
        <w:t xml:space="preserve">was </w:t>
      </w:r>
      <w:r>
        <w:rPr>
          <w:rFonts w:ascii="Arial" w:hAnsi="Arial" w:cs="Arial"/>
          <w:sz w:val="20"/>
        </w:rPr>
        <w:t>applied across all three years.</w:t>
      </w:r>
    </w:p>
    <w:p w:rsidR="00FD10D9" w:rsidRDefault="00FD10D9" w:rsidP="0048653D">
      <w:pPr>
        <w:pStyle w:val="NoSpacing"/>
        <w:jc w:val="center"/>
      </w:pPr>
    </w:p>
    <w:p w:rsidR="00D51CE3" w:rsidRDefault="00D51CE3" w:rsidP="00D51CE3">
      <w:pPr>
        <w:pStyle w:val="NoSpacing"/>
        <w:jc w:val="center"/>
        <w:rPr>
          <w:rFonts w:ascii="Arial" w:hAnsi="Arial" w:cs="Arial"/>
          <w:b/>
          <w:sz w:val="28"/>
        </w:rPr>
      </w:pPr>
    </w:p>
    <w:p w:rsidR="00FD10D9" w:rsidRPr="00D51CE3" w:rsidRDefault="00FD10D9" w:rsidP="00D51CE3">
      <w:pPr>
        <w:pStyle w:val="NoSpacing"/>
        <w:jc w:val="center"/>
        <w:rPr>
          <w:rFonts w:ascii="Arial" w:hAnsi="Arial" w:cs="Arial"/>
          <w:b/>
          <w:sz w:val="28"/>
        </w:rPr>
      </w:pPr>
      <w:r w:rsidRPr="00D51CE3">
        <w:rPr>
          <w:rFonts w:ascii="Arial" w:hAnsi="Arial" w:cs="Arial"/>
          <w:b/>
          <w:sz w:val="28"/>
        </w:rPr>
        <w:t>Transfusion Volume by Emergency Preparedness (EP) Region</w:t>
      </w:r>
    </w:p>
    <w:p w:rsidR="00FD10D9" w:rsidRPr="00D51CE3" w:rsidRDefault="00FD10D9" w:rsidP="00D51CE3">
      <w:pPr>
        <w:pStyle w:val="NoSpacing"/>
        <w:jc w:val="center"/>
        <w:rPr>
          <w:rFonts w:ascii="Arial" w:hAnsi="Arial" w:cs="Arial"/>
          <w:b/>
          <w:sz w:val="28"/>
        </w:rPr>
      </w:pPr>
      <w:r w:rsidRPr="00D51CE3">
        <w:rPr>
          <w:rFonts w:ascii="Arial" w:hAnsi="Arial" w:cs="Arial"/>
          <w:b/>
          <w:sz w:val="28"/>
        </w:rPr>
        <w:t>Massachusetts, 2017</w:t>
      </w:r>
    </w:p>
    <w:p w:rsidR="00FD10D9" w:rsidRPr="00D51CE3" w:rsidRDefault="00FD10D9" w:rsidP="00D51CE3">
      <w:pPr>
        <w:pStyle w:val="NoSpacing"/>
        <w:jc w:val="center"/>
        <w:rPr>
          <w:rFonts w:ascii="Arial" w:hAnsi="Arial" w:cs="Arial"/>
          <w:b/>
          <w:sz w:val="28"/>
        </w:rPr>
      </w:pPr>
      <w:r w:rsidRPr="00D51CE3">
        <w:rPr>
          <w:rFonts w:ascii="Arial" w:hAnsi="Arial" w:cs="Arial"/>
          <w:b/>
          <w:sz w:val="28"/>
        </w:rPr>
        <w:t>(N=69 facilities reporting)</w:t>
      </w:r>
    </w:p>
    <w:p w:rsidR="00FD10D9" w:rsidRDefault="00056A94" w:rsidP="00B72961">
      <w:pPr>
        <w:tabs>
          <w:tab w:val="left" w:pos="3300"/>
        </w:tabs>
      </w:pPr>
      <w:r>
        <w:rPr>
          <w:rFonts w:ascii="Arial" w:hAnsi="Arial" w:cs="Arial"/>
          <w:noProof/>
        </w:rPr>
        <w:drawing>
          <wp:anchor distT="0" distB="0" distL="114300" distR="114300" simplePos="0" relativeHeight="251659264" behindDoc="0" locked="0" layoutInCell="1" allowOverlap="1" wp14:anchorId="7CD28B91" wp14:editId="344123C6">
            <wp:simplePos x="0" y="0"/>
            <wp:positionH relativeFrom="column">
              <wp:posOffset>2286000</wp:posOffset>
            </wp:positionH>
            <wp:positionV relativeFrom="paragraph">
              <wp:posOffset>122555</wp:posOffset>
            </wp:positionV>
            <wp:extent cx="3371850" cy="23856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 Region map.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1850" cy="2385695"/>
                    </a:xfrm>
                    <a:prstGeom prst="rect">
                      <a:avLst/>
                    </a:prstGeom>
                  </pic:spPr>
                </pic:pic>
              </a:graphicData>
            </a:graphic>
            <wp14:sizeRelH relativeFrom="margin">
              <wp14:pctWidth>0</wp14:pctWidth>
            </wp14:sizeRelH>
            <wp14:sizeRelV relativeFrom="margin">
              <wp14:pctHeight>0</wp14:pctHeight>
            </wp14:sizeRelV>
          </wp:anchor>
        </w:drawing>
      </w:r>
    </w:p>
    <w:p w:rsidR="00FD10D9" w:rsidRPr="0064328C" w:rsidRDefault="00FD10D9" w:rsidP="0064328C"/>
    <w:p w:rsidR="00FD10D9" w:rsidRPr="0064328C" w:rsidRDefault="00FD10D9" w:rsidP="00D51CE3">
      <w:pPr>
        <w:jc w:val="center"/>
      </w:pPr>
    </w:p>
    <w:p w:rsidR="00FD10D9" w:rsidRPr="0064328C" w:rsidRDefault="00FD10D9" w:rsidP="0064328C"/>
    <w:p w:rsidR="00FD10D9" w:rsidRPr="0064328C" w:rsidRDefault="00FD10D9" w:rsidP="0064328C"/>
    <w:p w:rsidR="00FD10D9" w:rsidRPr="0064328C" w:rsidRDefault="00FD10D9" w:rsidP="0064328C"/>
    <w:p w:rsidR="00FD10D9" w:rsidRPr="0064328C" w:rsidRDefault="00FD10D9" w:rsidP="0064328C"/>
    <w:p w:rsidR="00FD10D9" w:rsidRPr="0064328C" w:rsidRDefault="00FD10D9" w:rsidP="0064328C"/>
    <w:p w:rsidR="00FD10D9" w:rsidRDefault="00FD10D9" w:rsidP="00056A94">
      <w:pPr>
        <w:tabs>
          <w:tab w:val="left" w:pos="9375"/>
        </w:tabs>
      </w:pPr>
    </w:p>
    <w:p w:rsidR="00FD10D9" w:rsidRDefault="00F65E1B" w:rsidP="00616853">
      <w:pPr>
        <w:jc w:val="center"/>
        <w:rPr>
          <w:rFonts w:ascii="Arial" w:hAnsi="Arial" w:cs="Arial"/>
          <w:b/>
          <w:sz w:val="28"/>
          <w:szCs w:val="28"/>
        </w:rPr>
      </w:pPr>
      <w:r w:rsidRPr="00F65E1B">
        <w:rPr>
          <w:noProof/>
        </w:rPr>
        <w:drawing>
          <wp:inline distT="0" distB="0" distL="0" distR="0">
            <wp:extent cx="4867275" cy="1800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67275" cy="1800225"/>
                    </a:xfrm>
                    <a:prstGeom prst="rect">
                      <a:avLst/>
                    </a:prstGeom>
                    <a:noFill/>
                    <a:ln>
                      <a:noFill/>
                    </a:ln>
                  </pic:spPr>
                </pic:pic>
              </a:graphicData>
            </a:graphic>
          </wp:inline>
        </w:drawing>
      </w:r>
    </w:p>
    <w:p w:rsidR="00FD10D9" w:rsidRPr="00D51CE3" w:rsidRDefault="00FD10D9" w:rsidP="00D51CE3">
      <w:pPr>
        <w:pStyle w:val="NoSpacing"/>
        <w:jc w:val="center"/>
        <w:rPr>
          <w:rFonts w:ascii="Arial" w:hAnsi="Arial" w:cs="Arial"/>
          <w:b/>
          <w:sz w:val="28"/>
        </w:rPr>
      </w:pPr>
      <w:r w:rsidRPr="00D51CE3">
        <w:rPr>
          <w:rFonts w:ascii="Arial" w:hAnsi="Arial" w:cs="Arial"/>
          <w:b/>
          <w:sz w:val="28"/>
        </w:rPr>
        <w:lastRenderedPageBreak/>
        <w:t>Volume of Blood Products Discarded</w:t>
      </w:r>
    </w:p>
    <w:p w:rsidR="00FD10D9" w:rsidRDefault="00FD10D9" w:rsidP="00D51CE3">
      <w:pPr>
        <w:pStyle w:val="NoSpacing"/>
        <w:jc w:val="center"/>
        <w:rPr>
          <w:rFonts w:ascii="Arial" w:hAnsi="Arial" w:cs="Arial"/>
          <w:b/>
          <w:sz w:val="28"/>
        </w:rPr>
      </w:pPr>
      <w:r w:rsidRPr="00D51CE3">
        <w:rPr>
          <w:rFonts w:ascii="Arial" w:hAnsi="Arial" w:cs="Arial"/>
          <w:b/>
          <w:sz w:val="28"/>
        </w:rPr>
        <w:t>Massachusetts, 2015-2017</w:t>
      </w:r>
    </w:p>
    <w:p w:rsidR="00D51CE3" w:rsidRPr="00D51CE3" w:rsidRDefault="00D51CE3" w:rsidP="00D51CE3">
      <w:pPr>
        <w:pStyle w:val="NoSpacing"/>
        <w:jc w:val="center"/>
        <w:rPr>
          <w:rFonts w:ascii="Arial" w:hAnsi="Arial" w:cs="Arial"/>
          <w:b/>
          <w:sz w:val="28"/>
        </w:rPr>
      </w:pPr>
    </w:p>
    <w:p w:rsidR="00FD10D9" w:rsidRDefault="00676523" w:rsidP="00770389">
      <w:pPr>
        <w:tabs>
          <w:tab w:val="left" w:pos="9375"/>
        </w:tabs>
        <w:jc w:val="center"/>
      </w:pPr>
      <w:r>
        <w:rPr>
          <w:noProof/>
        </w:rPr>
        <w:drawing>
          <wp:inline distT="0" distB="0" distL="0" distR="0" wp14:anchorId="442DB92E" wp14:editId="2925E88A">
            <wp:extent cx="7620635" cy="45478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635" cy="4547870"/>
                    </a:xfrm>
                    <a:prstGeom prst="rect">
                      <a:avLst/>
                    </a:prstGeom>
                    <a:noFill/>
                  </pic:spPr>
                </pic:pic>
              </a:graphicData>
            </a:graphic>
          </wp:inline>
        </w:drawing>
      </w:r>
    </w:p>
    <w:p w:rsidR="00676523" w:rsidRDefault="00676523" w:rsidP="00FB69B5">
      <w:pPr>
        <w:pStyle w:val="NoSpacing"/>
        <w:ind w:left="1440" w:firstLine="720"/>
        <w:rPr>
          <w:rFonts w:ascii="Arial" w:hAnsi="Arial" w:cs="Arial"/>
          <w:noProof/>
          <w:sz w:val="20"/>
        </w:rPr>
      </w:pPr>
      <w:r w:rsidRPr="00FB69B5">
        <w:rPr>
          <w:rFonts w:ascii="Arial" w:hAnsi="Arial" w:cs="Arial"/>
          <w:noProof/>
          <w:sz w:val="20"/>
        </w:rPr>
        <w:t>In 2015 and 2016, 70 facilities reported NHSN Hemovigilance data. In 2017, 69 facilities were reporting.</w:t>
      </w:r>
    </w:p>
    <w:p w:rsidR="00FB69B5" w:rsidRPr="00FB69B5" w:rsidRDefault="00FB69B5" w:rsidP="00FB69B5">
      <w:pPr>
        <w:pStyle w:val="NoSpacing"/>
        <w:ind w:left="1440" w:firstLine="720"/>
        <w:rPr>
          <w:rFonts w:ascii="Arial" w:hAnsi="Arial" w:cs="Arial"/>
          <w:noProof/>
          <w:sz w:val="20"/>
        </w:rPr>
      </w:pPr>
    </w:p>
    <w:p w:rsidR="00FB69B5" w:rsidRPr="00FB69B5" w:rsidRDefault="00FB69B5" w:rsidP="00FB69B5">
      <w:pPr>
        <w:pStyle w:val="NoSpacing"/>
        <w:ind w:left="1440" w:firstLine="720"/>
        <w:rPr>
          <w:rFonts w:ascii="Arial" w:hAnsi="Arial" w:cs="Arial"/>
          <w:noProof/>
          <w:sz w:val="20"/>
        </w:rPr>
      </w:pPr>
      <w:r w:rsidRPr="00FB69B5">
        <w:rPr>
          <w:rFonts w:ascii="Arial" w:hAnsi="Arial" w:cs="Arial"/>
          <w:noProof/>
          <w:sz w:val="20"/>
        </w:rPr>
        <w:t>Whole blood refers to only autologous whole blood products.</w:t>
      </w:r>
    </w:p>
    <w:p w:rsidR="00FD10D9" w:rsidRPr="00056A94" w:rsidRDefault="00FD10D9" w:rsidP="00056A94">
      <w:pPr>
        <w:pStyle w:val="NoSpacing"/>
        <w:jc w:val="center"/>
        <w:rPr>
          <w:rFonts w:ascii="Arial" w:hAnsi="Arial" w:cs="Arial"/>
          <w:b/>
          <w:sz w:val="28"/>
        </w:rPr>
      </w:pPr>
      <w:r w:rsidRPr="00056A94">
        <w:rPr>
          <w:rFonts w:ascii="Arial" w:hAnsi="Arial" w:cs="Arial"/>
          <w:b/>
          <w:sz w:val="28"/>
        </w:rPr>
        <w:lastRenderedPageBreak/>
        <w:t>Number and Ratio of Discarded Products</w:t>
      </w:r>
    </w:p>
    <w:p w:rsidR="00FD10D9" w:rsidRPr="00056A94" w:rsidRDefault="00FD10D9" w:rsidP="00056A94">
      <w:pPr>
        <w:pStyle w:val="NoSpacing"/>
        <w:jc w:val="center"/>
        <w:rPr>
          <w:rFonts w:ascii="Arial" w:hAnsi="Arial" w:cs="Arial"/>
          <w:b/>
          <w:sz w:val="28"/>
        </w:rPr>
      </w:pPr>
      <w:proofErr w:type="gramStart"/>
      <w:r w:rsidRPr="00056A94">
        <w:rPr>
          <w:rFonts w:ascii="Arial" w:hAnsi="Arial" w:cs="Arial"/>
          <w:b/>
          <w:sz w:val="28"/>
        </w:rPr>
        <w:t>by</w:t>
      </w:r>
      <w:proofErr w:type="gramEnd"/>
      <w:r w:rsidRPr="00056A94">
        <w:rPr>
          <w:rFonts w:ascii="Arial" w:hAnsi="Arial" w:cs="Arial"/>
          <w:b/>
          <w:sz w:val="28"/>
        </w:rPr>
        <w:t xml:space="preserve"> Type and Bed Size Group</w:t>
      </w:r>
    </w:p>
    <w:p w:rsidR="00FD10D9" w:rsidRPr="00056A94" w:rsidRDefault="00FD10D9" w:rsidP="00056A94">
      <w:pPr>
        <w:pStyle w:val="NoSpacing"/>
        <w:jc w:val="center"/>
        <w:rPr>
          <w:rFonts w:ascii="Arial" w:hAnsi="Arial" w:cs="Arial"/>
          <w:b/>
          <w:sz w:val="28"/>
        </w:rPr>
      </w:pPr>
      <w:r w:rsidRPr="00056A94">
        <w:rPr>
          <w:rFonts w:ascii="Arial" w:hAnsi="Arial" w:cs="Arial"/>
          <w:b/>
          <w:sz w:val="28"/>
        </w:rPr>
        <w:t>Massachusetts, 2017</w:t>
      </w:r>
    </w:p>
    <w:p w:rsidR="00FD10D9" w:rsidRDefault="00FD10D9" w:rsidP="00056A94">
      <w:pPr>
        <w:pStyle w:val="NoSpacing"/>
        <w:jc w:val="center"/>
        <w:rPr>
          <w:rFonts w:ascii="Arial" w:hAnsi="Arial" w:cs="Arial"/>
          <w:b/>
          <w:sz w:val="28"/>
        </w:rPr>
      </w:pPr>
      <w:r w:rsidRPr="00056A94">
        <w:rPr>
          <w:rFonts w:ascii="Arial" w:hAnsi="Arial" w:cs="Arial"/>
          <w:b/>
          <w:sz w:val="28"/>
        </w:rPr>
        <w:t>(N=69 facilities)</w:t>
      </w:r>
    </w:p>
    <w:p w:rsidR="00F65E1B" w:rsidRDefault="00F65E1B" w:rsidP="000819C7">
      <w:pPr>
        <w:jc w:val="center"/>
      </w:pPr>
    </w:p>
    <w:p w:rsidR="00FD10D9" w:rsidRDefault="00F65E1B" w:rsidP="000819C7">
      <w:pPr>
        <w:jc w:val="center"/>
        <w:rPr>
          <w:rFonts w:ascii="Arial" w:hAnsi="Arial" w:cs="Arial"/>
          <w:b/>
          <w:sz w:val="20"/>
        </w:rPr>
      </w:pPr>
      <w:r w:rsidRPr="00F65E1B">
        <w:rPr>
          <w:noProof/>
        </w:rPr>
        <w:drawing>
          <wp:inline distT="0" distB="0" distL="0" distR="0">
            <wp:extent cx="3981450" cy="40290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88974" cy="4036689"/>
                    </a:xfrm>
                    <a:prstGeom prst="rect">
                      <a:avLst/>
                    </a:prstGeom>
                    <a:noFill/>
                    <a:ln>
                      <a:noFill/>
                    </a:ln>
                  </pic:spPr>
                </pic:pic>
              </a:graphicData>
            </a:graphic>
          </wp:inline>
        </w:drawing>
      </w:r>
    </w:p>
    <w:p w:rsidR="004353CF" w:rsidRDefault="004353CF" w:rsidP="00FB69B5">
      <w:pPr>
        <w:pStyle w:val="NoSpacing"/>
        <w:ind w:left="1440" w:firstLine="720"/>
        <w:rPr>
          <w:rFonts w:ascii="Arial" w:hAnsi="Arial" w:cs="Arial"/>
          <w:sz w:val="20"/>
        </w:rPr>
      </w:pPr>
      <w:r w:rsidRPr="00FB69B5">
        <w:rPr>
          <w:rFonts w:ascii="Arial" w:hAnsi="Arial" w:cs="Arial"/>
          <w:sz w:val="20"/>
        </w:rPr>
        <w:t>*Note that the proper interpretation of Discard Ratio is: number discarded for every 100 products transfused.</w:t>
      </w:r>
    </w:p>
    <w:p w:rsidR="00FB69B5" w:rsidRPr="00FB69B5" w:rsidRDefault="00FB69B5" w:rsidP="00FB69B5">
      <w:pPr>
        <w:pStyle w:val="NoSpacing"/>
        <w:ind w:left="1440" w:firstLine="720"/>
        <w:rPr>
          <w:rFonts w:ascii="Arial" w:hAnsi="Arial" w:cs="Arial"/>
          <w:sz w:val="20"/>
        </w:rPr>
      </w:pPr>
    </w:p>
    <w:p w:rsidR="00FB69B5" w:rsidRPr="00FB69B5" w:rsidRDefault="00FB69B5" w:rsidP="00FB69B5">
      <w:pPr>
        <w:pStyle w:val="NoSpacing"/>
        <w:ind w:left="1440" w:firstLine="720"/>
        <w:rPr>
          <w:rFonts w:ascii="Arial" w:hAnsi="Arial" w:cs="Arial"/>
          <w:sz w:val="20"/>
        </w:rPr>
      </w:pPr>
      <w:r w:rsidRPr="00FB69B5">
        <w:rPr>
          <w:rFonts w:ascii="Arial" w:hAnsi="Arial" w:cs="Arial"/>
          <w:sz w:val="20"/>
        </w:rPr>
        <w:t>Whole blood refers to only autologous whole blood products.</w:t>
      </w:r>
    </w:p>
    <w:p w:rsidR="00FD10D9" w:rsidRPr="00056A94" w:rsidRDefault="00FD10D9" w:rsidP="00056A94">
      <w:pPr>
        <w:pStyle w:val="NoSpacing"/>
        <w:jc w:val="center"/>
        <w:rPr>
          <w:rFonts w:ascii="Arial" w:hAnsi="Arial" w:cs="Arial"/>
          <w:b/>
          <w:sz w:val="28"/>
        </w:rPr>
      </w:pPr>
      <w:r w:rsidRPr="00056A94">
        <w:rPr>
          <w:rFonts w:ascii="Arial" w:hAnsi="Arial" w:cs="Arial"/>
          <w:b/>
          <w:sz w:val="28"/>
        </w:rPr>
        <w:lastRenderedPageBreak/>
        <w:t>Number of Adverse Reactions</w:t>
      </w:r>
    </w:p>
    <w:p w:rsidR="00FD10D9" w:rsidRPr="00056A94" w:rsidRDefault="00FD10D9" w:rsidP="00056A94">
      <w:pPr>
        <w:pStyle w:val="NoSpacing"/>
        <w:jc w:val="center"/>
        <w:rPr>
          <w:rFonts w:ascii="Arial" w:hAnsi="Arial" w:cs="Arial"/>
          <w:b/>
          <w:sz w:val="28"/>
        </w:rPr>
      </w:pPr>
      <w:proofErr w:type="gramStart"/>
      <w:r w:rsidRPr="00056A94">
        <w:rPr>
          <w:rFonts w:ascii="Arial" w:hAnsi="Arial" w:cs="Arial"/>
          <w:b/>
          <w:sz w:val="28"/>
        </w:rPr>
        <w:t>by</w:t>
      </w:r>
      <w:proofErr w:type="gramEnd"/>
      <w:r w:rsidRPr="00056A94">
        <w:rPr>
          <w:rFonts w:ascii="Arial" w:hAnsi="Arial" w:cs="Arial"/>
          <w:b/>
          <w:sz w:val="28"/>
        </w:rPr>
        <w:t xml:space="preserve"> Type, Age Group, and Gender</w:t>
      </w:r>
    </w:p>
    <w:p w:rsidR="00FD10D9" w:rsidRPr="00056A94" w:rsidRDefault="00FD10D9" w:rsidP="00056A94">
      <w:pPr>
        <w:pStyle w:val="NoSpacing"/>
        <w:jc w:val="center"/>
        <w:rPr>
          <w:rFonts w:ascii="Arial" w:hAnsi="Arial" w:cs="Arial"/>
          <w:b/>
          <w:sz w:val="28"/>
        </w:rPr>
      </w:pPr>
      <w:r w:rsidRPr="00056A94">
        <w:rPr>
          <w:rFonts w:ascii="Arial" w:hAnsi="Arial" w:cs="Arial"/>
          <w:b/>
          <w:sz w:val="28"/>
        </w:rPr>
        <w:t>Massachusetts, 2017</w:t>
      </w:r>
    </w:p>
    <w:p w:rsidR="00FD10D9" w:rsidRDefault="00FD10D9" w:rsidP="00056A94">
      <w:pPr>
        <w:pStyle w:val="NoSpacing"/>
        <w:jc w:val="center"/>
        <w:rPr>
          <w:rFonts w:ascii="Arial" w:hAnsi="Arial" w:cs="Arial"/>
          <w:b/>
          <w:sz w:val="28"/>
        </w:rPr>
      </w:pPr>
      <w:r w:rsidRPr="00056A94">
        <w:rPr>
          <w:rFonts w:ascii="Arial" w:hAnsi="Arial" w:cs="Arial"/>
          <w:b/>
          <w:sz w:val="28"/>
        </w:rPr>
        <w:t>(N=69 facilities reporting)</w:t>
      </w:r>
    </w:p>
    <w:p w:rsidR="00676523" w:rsidRPr="00056A94" w:rsidRDefault="00676523" w:rsidP="00056A94">
      <w:pPr>
        <w:pStyle w:val="NoSpacing"/>
        <w:jc w:val="center"/>
        <w:rPr>
          <w:rFonts w:ascii="Arial" w:hAnsi="Arial" w:cs="Arial"/>
          <w:b/>
          <w:sz w:val="28"/>
        </w:rPr>
      </w:pPr>
    </w:p>
    <w:p w:rsidR="00FD10D9" w:rsidRDefault="00E74131" w:rsidP="00504394">
      <w:pPr>
        <w:rPr>
          <w:rFonts w:ascii="Arial" w:hAnsi="Arial" w:cs="Arial"/>
          <w:b/>
          <w:sz w:val="28"/>
          <w:szCs w:val="28"/>
        </w:rPr>
      </w:pPr>
      <w:r w:rsidRPr="00E74131">
        <w:rPr>
          <w:noProof/>
        </w:rPr>
        <w:drawing>
          <wp:inline distT="0" distB="0" distL="0" distR="0" wp14:anchorId="3F1D5FA8" wp14:editId="64EB733D">
            <wp:extent cx="8229600" cy="2221623"/>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29600" cy="2221623"/>
                    </a:xfrm>
                    <a:prstGeom prst="rect">
                      <a:avLst/>
                    </a:prstGeom>
                    <a:noFill/>
                    <a:ln>
                      <a:noFill/>
                    </a:ln>
                  </pic:spPr>
                </pic:pic>
              </a:graphicData>
            </a:graphic>
          </wp:inline>
        </w:drawing>
      </w:r>
    </w:p>
    <w:p w:rsidR="00FD10D9" w:rsidRDefault="00FD10D9" w:rsidP="00CC3F46">
      <w:pPr>
        <w:jc w:val="center"/>
        <w:rPr>
          <w:rFonts w:ascii="Arial" w:hAnsi="Arial" w:cs="Arial"/>
          <w:sz w:val="20"/>
          <w:szCs w:val="28"/>
        </w:rPr>
      </w:pPr>
      <w:r w:rsidRPr="0073415A">
        <w:rPr>
          <w:rFonts w:ascii="Arial" w:hAnsi="Arial" w:cs="Arial"/>
          <w:sz w:val="20"/>
          <w:szCs w:val="28"/>
        </w:rPr>
        <w:t>Non-severe allergic reactions were excluded from analysis.</w:t>
      </w:r>
    </w:p>
    <w:p w:rsidR="00E74131" w:rsidRPr="00E74131" w:rsidRDefault="00E74131" w:rsidP="00E74131">
      <w:pPr>
        <w:jc w:val="center"/>
        <w:rPr>
          <w:rFonts w:ascii="Arial" w:hAnsi="Arial" w:cs="Arial"/>
          <w:sz w:val="20"/>
          <w:szCs w:val="28"/>
        </w:rPr>
      </w:pPr>
      <w:r>
        <w:rPr>
          <w:rFonts w:ascii="Arial" w:hAnsi="Arial" w:cs="Arial"/>
          <w:sz w:val="20"/>
          <w:szCs w:val="28"/>
        </w:rPr>
        <w:t>No</w:t>
      </w:r>
      <w:r w:rsidRPr="00E74131">
        <w:rPr>
          <w:rFonts w:ascii="Arial" w:hAnsi="Arial" w:cs="Arial"/>
          <w:sz w:val="20"/>
          <w:szCs w:val="28"/>
        </w:rPr>
        <w:t xml:space="preserve"> TAGHVD or PTP infections </w:t>
      </w:r>
      <w:r>
        <w:rPr>
          <w:rFonts w:ascii="Arial" w:hAnsi="Arial" w:cs="Arial"/>
          <w:sz w:val="20"/>
          <w:szCs w:val="28"/>
        </w:rPr>
        <w:t xml:space="preserve">were reported </w:t>
      </w:r>
      <w:r w:rsidRPr="00E74131">
        <w:rPr>
          <w:rFonts w:ascii="Arial" w:hAnsi="Arial" w:cs="Arial"/>
          <w:sz w:val="20"/>
          <w:szCs w:val="28"/>
        </w:rPr>
        <w:t>in 2017</w:t>
      </w:r>
      <w:r>
        <w:rPr>
          <w:rFonts w:ascii="Arial" w:hAnsi="Arial" w:cs="Arial"/>
          <w:sz w:val="20"/>
          <w:szCs w:val="28"/>
        </w:rPr>
        <w:t>.</w:t>
      </w:r>
    </w:p>
    <w:p w:rsidR="00E74131" w:rsidRPr="0073415A" w:rsidRDefault="00E74131" w:rsidP="00CC3F46">
      <w:pPr>
        <w:jc w:val="center"/>
        <w:rPr>
          <w:rFonts w:ascii="Arial" w:hAnsi="Arial" w:cs="Arial"/>
          <w:sz w:val="20"/>
          <w:szCs w:val="28"/>
        </w:rPr>
      </w:pPr>
    </w:p>
    <w:p w:rsidR="00FD10D9" w:rsidRDefault="00FD10D9" w:rsidP="00D54599">
      <w:pPr>
        <w:rPr>
          <w:rFonts w:ascii="Arial" w:hAnsi="Arial" w:cs="Arial"/>
          <w:b/>
          <w:sz w:val="28"/>
          <w:szCs w:val="28"/>
        </w:rPr>
      </w:pPr>
    </w:p>
    <w:p w:rsidR="00FD10D9" w:rsidRDefault="00FD10D9" w:rsidP="00C05105">
      <w:pPr>
        <w:jc w:val="center"/>
        <w:rPr>
          <w:rFonts w:ascii="Arial" w:hAnsi="Arial" w:cs="Arial"/>
          <w:b/>
          <w:sz w:val="28"/>
          <w:szCs w:val="28"/>
        </w:rPr>
      </w:pPr>
    </w:p>
    <w:p w:rsidR="00FD10D9" w:rsidRDefault="00FD10D9" w:rsidP="00C05105">
      <w:pPr>
        <w:jc w:val="center"/>
        <w:rPr>
          <w:rFonts w:ascii="Arial" w:hAnsi="Arial" w:cs="Arial"/>
          <w:b/>
          <w:sz w:val="28"/>
          <w:szCs w:val="28"/>
        </w:rPr>
      </w:pPr>
    </w:p>
    <w:p w:rsidR="007576E8" w:rsidRDefault="007576E8" w:rsidP="00C05105">
      <w:pPr>
        <w:jc w:val="center"/>
        <w:rPr>
          <w:rFonts w:ascii="Arial" w:hAnsi="Arial" w:cs="Arial"/>
          <w:b/>
          <w:sz w:val="28"/>
          <w:szCs w:val="28"/>
        </w:rPr>
      </w:pPr>
    </w:p>
    <w:p w:rsidR="00FD10D9" w:rsidRPr="00056A94" w:rsidRDefault="00FD10D9" w:rsidP="00056A94">
      <w:pPr>
        <w:pStyle w:val="NoSpacing"/>
        <w:jc w:val="center"/>
        <w:rPr>
          <w:rFonts w:ascii="Arial" w:hAnsi="Arial" w:cs="Arial"/>
          <w:b/>
          <w:sz w:val="28"/>
        </w:rPr>
      </w:pPr>
      <w:r w:rsidRPr="00056A94">
        <w:rPr>
          <w:rFonts w:ascii="Arial" w:hAnsi="Arial" w:cs="Arial"/>
          <w:b/>
          <w:sz w:val="28"/>
        </w:rPr>
        <w:lastRenderedPageBreak/>
        <w:t>Summary of Transfusion-transmitted Infections</w:t>
      </w:r>
    </w:p>
    <w:p w:rsidR="00FD10D9" w:rsidRPr="00056A94" w:rsidRDefault="00FD10D9" w:rsidP="00056A94">
      <w:pPr>
        <w:pStyle w:val="NoSpacing"/>
        <w:jc w:val="center"/>
        <w:rPr>
          <w:rFonts w:ascii="Arial" w:hAnsi="Arial" w:cs="Arial"/>
          <w:b/>
          <w:sz w:val="28"/>
        </w:rPr>
      </w:pPr>
      <w:r w:rsidRPr="00056A94">
        <w:rPr>
          <w:rFonts w:ascii="Arial" w:hAnsi="Arial" w:cs="Arial"/>
          <w:b/>
          <w:sz w:val="28"/>
        </w:rPr>
        <w:t>Massachusetts, 2017</w:t>
      </w:r>
    </w:p>
    <w:p w:rsidR="00FD10D9" w:rsidRPr="00056A94" w:rsidRDefault="00FD10D9" w:rsidP="00056A94">
      <w:pPr>
        <w:pStyle w:val="NoSpacing"/>
        <w:jc w:val="center"/>
        <w:rPr>
          <w:rFonts w:ascii="Arial" w:hAnsi="Arial" w:cs="Arial"/>
          <w:b/>
          <w:sz w:val="28"/>
        </w:rPr>
      </w:pPr>
      <w:r w:rsidRPr="00056A94">
        <w:rPr>
          <w:rFonts w:ascii="Arial" w:hAnsi="Arial" w:cs="Arial"/>
          <w:b/>
          <w:sz w:val="28"/>
        </w:rPr>
        <w:t>(N=69 facilities reporting)</w:t>
      </w:r>
    </w:p>
    <w:p w:rsidR="00FD10D9" w:rsidRDefault="00FD10D9" w:rsidP="00C05105">
      <w:pPr>
        <w:rPr>
          <w:rFonts w:ascii="Arial" w:hAnsi="Arial" w:cs="Arial"/>
          <w:b/>
          <w:sz w:val="28"/>
          <w:szCs w:val="28"/>
        </w:rPr>
      </w:pPr>
    </w:p>
    <w:p w:rsidR="00FD10D9" w:rsidRDefault="007D15F0" w:rsidP="00A94C38">
      <w:pPr>
        <w:rPr>
          <w:rFonts w:ascii="Arial" w:hAnsi="Arial" w:cs="Arial"/>
          <w:b/>
          <w:sz w:val="28"/>
          <w:szCs w:val="28"/>
        </w:rPr>
      </w:pPr>
      <w:r w:rsidRPr="007D15F0">
        <w:rPr>
          <w:noProof/>
        </w:rPr>
        <w:drawing>
          <wp:inline distT="0" distB="0" distL="0" distR="0" wp14:anchorId="0889A194" wp14:editId="23086DE7">
            <wp:extent cx="8963024" cy="192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93170" cy="1930521"/>
                    </a:xfrm>
                    <a:prstGeom prst="rect">
                      <a:avLst/>
                    </a:prstGeom>
                    <a:noFill/>
                    <a:ln>
                      <a:noFill/>
                    </a:ln>
                  </pic:spPr>
                </pic:pic>
              </a:graphicData>
            </a:graphic>
          </wp:inline>
        </w:drawing>
      </w:r>
    </w:p>
    <w:p w:rsidR="004353CF" w:rsidRPr="004353CF" w:rsidRDefault="004353CF" w:rsidP="004353CF">
      <w:pPr>
        <w:rPr>
          <w:rFonts w:ascii="Arial" w:hAnsi="Arial" w:cs="Arial"/>
          <w:sz w:val="20"/>
          <w:szCs w:val="28"/>
        </w:rPr>
      </w:pPr>
      <w:r w:rsidRPr="004353CF">
        <w:rPr>
          <w:rFonts w:ascii="Arial" w:hAnsi="Arial" w:cs="Arial"/>
          <w:sz w:val="20"/>
          <w:szCs w:val="28"/>
        </w:rPr>
        <w:t>*In 2017, the case definition and imputability determination were auto-designated in NHSN based on information entered about the event. Prior to 2017, a facility would apply the case definition and imputability criteria themselves to make these determinations. With the new auto-designation feature in NHSN, strict application of NHSN protocol criteria is ensured. A user has the option to “disagree” with the auto-designated determinations and indicate why if they choose. For the three reactions listed above in the gray boxes, the imputability chosen prior to auto-designation would have likely been “possible”, as indicated by the event information entered. For this reason, and to illustrate the impact of the auto-designation change on the reporting of transfusion-associated infections, they are included in this table, but excluded from rate calculations.</w:t>
      </w:r>
    </w:p>
    <w:p w:rsidR="00FD10D9" w:rsidRPr="0073415A" w:rsidRDefault="00FD10D9" w:rsidP="00B502E5">
      <w:pPr>
        <w:jc w:val="center"/>
        <w:rPr>
          <w:rFonts w:ascii="Arial" w:hAnsi="Arial" w:cs="Arial"/>
          <w:b/>
          <w:sz w:val="28"/>
          <w:szCs w:val="28"/>
        </w:rPr>
      </w:pPr>
    </w:p>
    <w:p w:rsidR="00FD10D9" w:rsidRDefault="00FD10D9" w:rsidP="00B502E5">
      <w:pPr>
        <w:jc w:val="center"/>
        <w:rPr>
          <w:rFonts w:cs="Arial"/>
          <w:b/>
          <w:sz w:val="28"/>
          <w:szCs w:val="28"/>
        </w:rPr>
      </w:pPr>
    </w:p>
    <w:p w:rsidR="00FD10D9" w:rsidRDefault="00FD10D9" w:rsidP="00B502E5">
      <w:pPr>
        <w:jc w:val="center"/>
        <w:rPr>
          <w:rFonts w:cs="Arial"/>
          <w:b/>
          <w:sz w:val="28"/>
          <w:szCs w:val="28"/>
        </w:rPr>
      </w:pPr>
    </w:p>
    <w:p w:rsidR="007576E8" w:rsidRDefault="007576E8" w:rsidP="00B502E5">
      <w:pPr>
        <w:jc w:val="center"/>
        <w:rPr>
          <w:rFonts w:cs="Arial"/>
          <w:b/>
          <w:sz w:val="28"/>
          <w:szCs w:val="28"/>
        </w:rPr>
      </w:pPr>
    </w:p>
    <w:p w:rsidR="007576E8" w:rsidRDefault="007576E8" w:rsidP="00B502E5">
      <w:pPr>
        <w:jc w:val="center"/>
        <w:rPr>
          <w:rFonts w:cs="Arial"/>
          <w:b/>
          <w:sz w:val="28"/>
          <w:szCs w:val="28"/>
        </w:rPr>
      </w:pPr>
    </w:p>
    <w:p w:rsidR="00FD10D9" w:rsidRPr="00056A94" w:rsidRDefault="00FD10D9" w:rsidP="00056A94">
      <w:pPr>
        <w:pStyle w:val="NoSpacing"/>
        <w:jc w:val="center"/>
        <w:rPr>
          <w:rFonts w:ascii="Arial" w:hAnsi="Arial" w:cs="Arial"/>
          <w:b/>
          <w:sz w:val="28"/>
        </w:rPr>
      </w:pPr>
      <w:r w:rsidRPr="00056A94">
        <w:rPr>
          <w:rFonts w:ascii="Arial" w:hAnsi="Arial" w:cs="Arial"/>
          <w:b/>
          <w:sz w:val="28"/>
        </w:rPr>
        <w:t>Rates of Adverse Reactions per 10,000 Transfused Products by Product Type</w:t>
      </w:r>
    </w:p>
    <w:p w:rsidR="00FD10D9" w:rsidRPr="00056A94" w:rsidRDefault="00FD10D9" w:rsidP="00056A94">
      <w:pPr>
        <w:pStyle w:val="NoSpacing"/>
        <w:jc w:val="center"/>
        <w:rPr>
          <w:rFonts w:ascii="Arial" w:hAnsi="Arial" w:cs="Arial"/>
          <w:b/>
          <w:sz w:val="28"/>
        </w:rPr>
      </w:pPr>
      <w:r w:rsidRPr="00056A94">
        <w:rPr>
          <w:rFonts w:ascii="Arial" w:hAnsi="Arial" w:cs="Arial"/>
          <w:b/>
          <w:sz w:val="28"/>
        </w:rPr>
        <w:t>Massachusetts, 2015-2017</w:t>
      </w:r>
    </w:p>
    <w:p w:rsidR="00FD10D9" w:rsidRPr="0073415A" w:rsidRDefault="00FD10D9" w:rsidP="00770389">
      <w:pPr>
        <w:tabs>
          <w:tab w:val="left" w:pos="9375"/>
        </w:tabs>
        <w:jc w:val="center"/>
        <w:rPr>
          <w:rFonts w:ascii="Arial" w:hAnsi="Arial" w:cs="Arial"/>
        </w:rPr>
      </w:pPr>
    </w:p>
    <w:p w:rsidR="00FD10D9" w:rsidRDefault="00C3573F" w:rsidP="00770389">
      <w:pPr>
        <w:tabs>
          <w:tab w:val="left" w:pos="9375"/>
        </w:tabs>
        <w:jc w:val="center"/>
      </w:pPr>
      <w:r>
        <w:rPr>
          <w:noProof/>
        </w:rPr>
        <w:drawing>
          <wp:inline distT="0" distB="0" distL="0" distR="0" wp14:anchorId="31B55F47" wp14:editId="1614F3D2">
            <wp:extent cx="8010525" cy="4078605"/>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10525" cy="4078605"/>
                    </a:xfrm>
                    <a:prstGeom prst="rect">
                      <a:avLst/>
                    </a:prstGeom>
                    <a:noFill/>
                  </pic:spPr>
                </pic:pic>
              </a:graphicData>
            </a:graphic>
          </wp:inline>
        </w:drawing>
      </w:r>
    </w:p>
    <w:p w:rsidR="00676523" w:rsidRDefault="00676523" w:rsidP="00676523">
      <w:pPr>
        <w:ind w:firstLine="720"/>
        <w:jc w:val="center"/>
        <w:rPr>
          <w:rFonts w:ascii="Arial" w:hAnsi="Arial" w:cs="Arial"/>
          <w:noProof/>
          <w:sz w:val="20"/>
        </w:rPr>
      </w:pPr>
      <w:r>
        <w:rPr>
          <w:rFonts w:ascii="Arial" w:hAnsi="Arial" w:cs="Arial"/>
          <w:noProof/>
          <w:sz w:val="20"/>
        </w:rPr>
        <w:t>In 2015 and 2016, 70 facilities reported NHSN Hemovigilance data. In 2017, 69 facilities were reporting.</w:t>
      </w:r>
    </w:p>
    <w:p w:rsidR="00FD10D9" w:rsidRDefault="00FD10D9" w:rsidP="00B502E5"/>
    <w:p w:rsidR="00633E9F" w:rsidRPr="00B502E5" w:rsidRDefault="00633E9F" w:rsidP="00B502E5"/>
    <w:p w:rsidR="00FD10D9" w:rsidRPr="00056A94" w:rsidRDefault="00FD10D9" w:rsidP="00056A94">
      <w:pPr>
        <w:pStyle w:val="NoSpacing"/>
        <w:jc w:val="center"/>
        <w:rPr>
          <w:rFonts w:ascii="Arial" w:hAnsi="Arial" w:cs="Arial"/>
          <w:b/>
          <w:sz w:val="28"/>
        </w:rPr>
      </w:pPr>
      <w:r w:rsidRPr="00056A94">
        <w:rPr>
          <w:rFonts w:ascii="Arial" w:hAnsi="Arial" w:cs="Arial"/>
          <w:b/>
          <w:sz w:val="28"/>
        </w:rPr>
        <w:t>Rates of Adverse Reactions per 10,000 Transfused Products by Bed Size Group</w:t>
      </w:r>
    </w:p>
    <w:p w:rsidR="00FD10D9" w:rsidRPr="00056A94" w:rsidRDefault="00FD10D9" w:rsidP="00056A94">
      <w:pPr>
        <w:pStyle w:val="NoSpacing"/>
        <w:jc w:val="center"/>
        <w:rPr>
          <w:rFonts w:ascii="Arial" w:hAnsi="Arial" w:cs="Arial"/>
          <w:b/>
          <w:sz w:val="28"/>
        </w:rPr>
      </w:pPr>
      <w:r w:rsidRPr="00056A94">
        <w:rPr>
          <w:rFonts w:ascii="Arial" w:hAnsi="Arial" w:cs="Arial"/>
          <w:b/>
          <w:sz w:val="28"/>
        </w:rPr>
        <w:t>Massachusetts, 2015-2017</w:t>
      </w:r>
    </w:p>
    <w:p w:rsidR="00FD10D9" w:rsidRDefault="00FD10D9" w:rsidP="00B502E5">
      <w:pPr>
        <w:jc w:val="center"/>
      </w:pPr>
    </w:p>
    <w:p w:rsidR="00FD10D9" w:rsidRPr="001B5A7B" w:rsidRDefault="00C4186B" w:rsidP="00CC3F46">
      <w:pPr>
        <w:jc w:val="center"/>
      </w:pPr>
      <w:r>
        <w:rPr>
          <w:noProof/>
        </w:rPr>
        <w:drawing>
          <wp:inline distT="0" distB="0" distL="0" distR="0" wp14:anchorId="727F79B7">
            <wp:extent cx="6254750" cy="352361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54750" cy="3523615"/>
                    </a:xfrm>
                    <a:prstGeom prst="rect">
                      <a:avLst/>
                    </a:prstGeom>
                    <a:noFill/>
                  </pic:spPr>
                </pic:pic>
              </a:graphicData>
            </a:graphic>
          </wp:inline>
        </w:drawing>
      </w:r>
    </w:p>
    <w:p w:rsidR="00676523" w:rsidRDefault="00676523" w:rsidP="00676523">
      <w:pPr>
        <w:ind w:firstLine="720"/>
        <w:jc w:val="center"/>
        <w:rPr>
          <w:rFonts w:ascii="Arial" w:hAnsi="Arial" w:cs="Arial"/>
          <w:noProof/>
          <w:sz w:val="20"/>
        </w:rPr>
      </w:pPr>
      <w:r>
        <w:rPr>
          <w:rFonts w:ascii="Arial" w:hAnsi="Arial" w:cs="Arial"/>
          <w:noProof/>
          <w:sz w:val="20"/>
        </w:rPr>
        <w:t>In 2015 and 2016, 70 facilities reported NHSN Hemovigilance data. In 2017, 69 facilities were reporting.</w:t>
      </w:r>
    </w:p>
    <w:p w:rsidR="00FD10D9" w:rsidRDefault="00FD10D9" w:rsidP="001B5A7B"/>
    <w:p w:rsidR="007576E8" w:rsidRDefault="007576E8" w:rsidP="001B5A7B"/>
    <w:p w:rsidR="00056A94" w:rsidRDefault="00056A94" w:rsidP="001B5A7B"/>
    <w:p w:rsidR="00FD10D9" w:rsidRPr="00056A94" w:rsidRDefault="00FD10D9" w:rsidP="00056A94">
      <w:pPr>
        <w:pStyle w:val="NoSpacing"/>
        <w:jc w:val="center"/>
        <w:rPr>
          <w:rFonts w:ascii="Arial" w:hAnsi="Arial" w:cs="Arial"/>
          <w:b/>
          <w:sz w:val="28"/>
        </w:rPr>
      </w:pPr>
      <w:r w:rsidRPr="00056A94">
        <w:rPr>
          <w:rFonts w:ascii="Arial" w:hAnsi="Arial" w:cs="Arial"/>
          <w:b/>
          <w:sz w:val="28"/>
        </w:rPr>
        <w:lastRenderedPageBreak/>
        <w:t>Number of Adverse Reactions Reported by MA Facilities by Bed Size Group</w:t>
      </w:r>
    </w:p>
    <w:p w:rsidR="00FD10D9" w:rsidRPr="00056A94" w:rsidRDefault="00FD10D9" w:rsidP="00056A94">
      <w:pPr>
        <w:pStyle w:val="NoSpacing"/>
        <w:jc w:val="center"/>
        <w:rPr>
          <w:rFonts w:ascii="Arial" w:hAnsi="Arial" w:cs="Arial"/>
          <w:b/>
          <w:sz w:val="28"/>
        </w:rPr>
      </w:pPr>
      <w:r w:rsidRPr="00056A94">
        <w:rPr>
          <w:rFonts w:ascii="Arial" w:hAnsi="Arial" w:cs="Arial"/>
          <w:b/>
          <w:sz w:val="28"/>
        </w:rPr>
        <w:t>2017</w:t>
      </w:r>
    </w:p>
    <w:p w:rsidR="00FD10D9" w:rsidRPr="0073415A" w:rsidRDefault="00FD10D9" w:rsidP="00EF1F71">
      <w:pPr>
        <w:pStyle w:val="NoSpacing"/>
        <w:rPr>
          <w:rFonts w:ascii="Arial" w:hAnsi="Arial" w:cs="Arial"/>
        </w:rPr>
      </w:pPr>
    </w:p>
    <w:p w:rsidR="00FD10D9" w:rsidRDefault="00FD10D9" w:rsidP="00050EBD">
      <w:pPr>
        <w:pStyle w:val="NoSpacing"/>
        <w:rPr>
          <w:rFonts w:ascii="Arial" w:hAnsi="Arial" w:cs="Arial"/>
          <w:b/>
          <w:i/>
        </w:rPr>
      </w:pPr>
      <w:r w:rsidRPr="0073415A">
        <w:rPr>
          <w:rFonts w:ascii="Arial" w:hAnsi="Arial" w:cs="Arial"/>
          <w:b/>
          <w:i/>
        </w:rPr>
        <w:t>Facilities that reported adverse reactions</w:t>
      </w:r>
    </w:p>
    <w:p w:rsidR="00676523" w:rsidRDefault="00676523" w:rsidP="00050EBD">
      <w:pPr>
        <w:pStyle w:val="NoSpacing"/>
        <w:rPr>
          <w:rFonts w:ascii="Arial" w:hAnsi="Arial" w:cs="Arial"/>
          <w:b/>
          <w:i/>
        </w:rPr>
      </w:pPr>
    </w:p>
    <w:p w:rsidR="00FD10D9" w:rsidRDefault="00644943" w:rsidP="00050EBD">
      <w:pPr>
        <w:pStyle w:val="NoSpacing"/>
        <w:rPr>
          <w:rFonts w:ascii="Arial" w:hAnsi="Arial" w:cs="Arial"/>
          <w:b/>
          <w:i/>
        </w:rPr>
      </w:pPr>
      <w:r w:rsidRPr="00644943">
        <w:rPr>
          <w:noProof/>
        </w:rPr>
        <w:drawing>
          <wp:inline distT="0" distB="0" distL="0" distR="0" wp14:anchorId="105D3351" wp14:editId="628657D5">
            <wp:extent cx="8229600" cy="148452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29600" cy="1484525"/>
                    </a:xfrm>
                    <a:prstGeom prst="rect">
                      <a:avLst/>
                    </a:prstGeom>
                    <a:noFill/>
                    <a:ln>
                      <a:noFill/>
                    </a:ln>
                  </pic:spPr>
                </pic:pic>
              </a:graphicData>
            </a:graphic>
          </wp:inline>
        </w:drawing>
      </w:r>
    </w:p>
    <w:p w:rsidR="00D4685D" w:rsidRDefault="00D4685D" w:rsidP="00F94B11">
      <w:pPr>
        <w:tabs>
          <w:tab w:val="left" w:pos="5820"/>
        </w:tabs>
        <w:rPr>
          <w:rFonts w:ascii="Arial" w:hAnsi="Arial" w:cs="Arial"/>
          <w:b/>
          <w:i/>
        </w:rPr>
      </w:pPr>
    </w:p>
    <w:p w:rsidR="00FD10D9" w:rsidRPr="0073415A" w:rsidRDefault="00FD10D9" w:rsidP="00F94B11">
      <w:pPr>
        <w:tabs>
          <w:tab w:val="left" w:pos="5820"/>
        </w:tabs>
        <w:rPr>
          <w:rFonts w:ascii="Arial" w:hAnsi="Arial" w:cs="Arial"/>
        </w:rPr>
      </w:pPr>
      <w:r w:rsidRPr="0073415A">
        <w:rPr>
          <w:rFonts w:ascii="Arial" w:hAnsi="Arial" w:cs="Arial"/>
          <w:b/>
          <w:i/>
        </w:rPr>
        <w:t>Facilities that did not report any adverse reactions</w:t>
      </w:r>
    </w:p>
    <w:p w:rsidR="00FD10D9" w:rsidRDefault="00C4186B" w:rsidP="00A56FC0">
      <w:pPr>
        <w:rPr>
          <w:rFonts w:ascii="Arial" w:hAnsi="Arial" w:cs="Arial"/>
        </w:rPr>
      </w:pPr>
      <w:r w:rsidRPr="00C4186B">
        <w:rPr>
          <w:noProof/>
        </w:rPr>
        <w:drawing>
          <wp:inline distT="0" distB="0" distL="0" distR="0">
            <wp:extent cx="6334125" cy="1428547"/>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50124" cy="1432155"/>
                    </a:xfrm>
                    <a:prstGeom prst="rect">
                      <a:avLst/>
                    </a:prstGeom>
                    <a:noFill/>
                    <a:ln>
                      <a:noFill/>
                    </a:ln>
                  </pic:spPr>
                </pic:pic>
              </a:graphicData>
            </a:graphic>
          </wp:inline>
        </w:drawing>
      </w:r>
    </w:p>
    <w:p w:rsidR="00FD10D9" w:rsidRPr="000F1EBA" w:rsidRDefault="00FD10D9" w:rsidP="000F1EBA">
      <w:pPr>
        <w:pStyle w:val="NoSpacing"/>
        <w:rPr>
          <w:rFonts w:ascii="Arial" w:hAnsi="Arial" w:cs="Arial"/>
          <w:sz w:val="20"/>
        </w:rPr>
      </w:pPr>
      <w:r w:rsidRPr="000F1EBA">
        <w:rPr>
          <w:rFonts w:ascii="Arial" w:hAnsi="Arial" w:cs="Arial"/>
          <w:sz w:val="20"/>
        </w:rPr>
        <w:t xml:space="preserve">Eight of seventeen facilities in bed size group 1 reported at least one adverse reaction, while nine facilities reported none. Those facilities that reported adverse reaction(s) had a mean transfusion volume </w:t>
      </w:r>
      <w:proofErr w:type="gramStart"/>
      <w:r w:rsidRPr="000F1EBA">
        <w:rPr>
          <w:rFonts w:ascii="Arial" w:hAnsi="Arial" w:cs="Arial"/>
          <w:sz w:val="20"/>
        </w:rPr>
        <w:t>of 989 products/m</w:t>
      </w:r>
      <w:r w:rsidR="00C4186B">
        <w:rPr>
          <w:rFonts w:ascii="Arial" w:hAnsi="Arial" w:cs="Arial"/>
          <w:sz w:val="20"/>
        </w:rPr>
        <w:t>onth</w:t>
      </w:r>
      <w:proofErr w:type="gramEnd"/>
      <w:r w:rsidR="00C4186B">
        <w:rPr>
          <w:rFonts w:ascii="Arial" w:hAnsi="Arial" w:cs="Arial"/>
          <w:sz w:val="20"/>
        </w:rPr>
        <w:t xml:space="preserve"> compared to 652</w:t>
      </w:r>
      <w:r w:rsidRPr="000F1EBA">
        <w:rPr>
          <w:rFonts w:ascii="Arial" w:hAnsi="Arial" w:cs="Arial"/>
          <w:sz w:val="20"/>
        </w:rPr>
        <w:t xml:space="preserve"> products/month for those reporting no reactions. Twenty-nine facilities in bed size group 2 reported at least one adverse reaction, while nine facilities reported none. Those facilities that reported adverse reaction(s) had a mean transfusion volume </w:t>
      </w:r>
      <w:proofErr w:type="gramStart"/>
      <w:r w:rsidRPr="000F1EBA">
        <w:rPr>
          <w:rFonts w:ascii="Arial" w:hAnsi="Arial" w:cs="Arial"/>
          <w:sz w:val="20"/>
        </w:rPr>
        <w:t>of 2,385 products/month</w:t>
      </w:r>
      <w:proofErr w:type="gramEnd"/>
      <w:r w:rsidRPr="000F1EBA">
        <w:rPr>
          <w:rFonts w:ascii="Arial" w:hAnsi="Arial" w:cs="Arial"/>
          <w:sz w:val="20"/>
        </w:rPr>
        <w:t xml:space="preserve"> compared to 2,042 products/month for those reporting no reactions. All facilities in bed size group 3 reported at least two adverse reactions.</w:t>
      </w:r>
    </w:p>
    <w:p w:rsidR="00FD10D9" w:rsidRDefault="00FD10D9" w:rsidP="00454067"/>
    <w:p w:rsidR="00FD10D9" w:rsidRDefault="00FD10D9" w:rsidP="00EF1F71">
      <w:pPr>
        <w:jc w:val="center"/>
        <w:rPr>
          <w:rFonts w:ascii="Arial" w:hAnsi="Arial" w:cs="Arial"/>
          <w:b/>
          <w:sz w:val="28"/>
          <w:szCs w:val="28"/>
        </w:rPr>
        <w:sectPr w:rsidR="00FD10D9" w:rsidSect="00290706">
          <w:pgSz w:w="15840" w:h="12240" w:orient="landscape"/>
          <w:pgMar w:top="1440" w:right="1440" w:bottom="1440" w:left="1440" w:header="720" w:footer="720" w:gutter="0"/>
          <w:cols w:space="720"/>
          <w:docGrid w:linePitch="360"/>
        </w:sectPr>
      </w:pPr>
    </w:p>
    <w:p w:rsidR="00FD10D9" w:rsidRPr="00056A94" w:rsidRDefault="00FD10D9" w:rsidP="00056A94">
      <w:pPr>
        <w:pStyle w:val="NoSpacing"/>
        <w:jc w:val="center"/>
        <w:rPr>
          <w:rFonts w:ascii="Arial" w:hAnsi="Arial" w:cs="Arial"/>
          <w:b/>
          <w:sz w:val="28"/>
        </w:rPr>
      </w:pPr>
      <w:r w:rsidRPr="00056A94">
        <w:rPr>
          <w:rFonts w:ascii="Arial" w:hAnsi="Arial" w:cs="Arial"/>
          <w:b/>
          <w:sz w:val="28"/>
        </w:rPr>
        <w:lastRenderedPageBreak/>
        <w:t>Rates of adverse reactions per 10,000 total units (full and aliquot) transfused, by component type</w:t>
      </w:r>
    </w:p>
    <w:p w:rsidR="00FD10D9" w:rsidRPr="00056A94" w:rsidRDefault="00FD10D9" w:rsidP="00056A94">
      <w:pPr>
        <w:pStyle w:val="NoSpacing"/>
        <w:jc w:val="center"/>
        <w:rPr>
          <w:rFonts w:ascii="Arial" w:hAnsi="Arial" w:cs="Arial"/>
          <w:b/>
          <w:sz w:val="28"/>
        </w:rPr>
      </w:pPr>
      <w:r w:rsidRPr="00056A94">
        <w:rPr>
          <w:rFonts w:ascii="Arial" w:hAnsi="Arial" w:cs="Arial"/>
          <w:b/>
          <w:sz w:val="28"/>
        </w:rPr>
        <w:t>January 1, 2017- December 31, 2017</w:t>
      </w:r>
    </w:p>
    <w:p w:rsidR="00FD10D9" w:rsidRDefault="00FD10D9" w:rsidP="00056A94">
      <w:pPr>
        <w:pStyle w:val="NoSpacing"/>
        <w:jc w:val="center"/>
        <w:rPr>
          <w:rFonts w:ascii="Arial" w:hAnsi="Arial" w:cs="Arial"/>
          <w:b/>
          <w:sz w:val="28"/>
        </w:rPr>
      </w:pPr>
      <w:r w:rsidRPr="00056A94">
        <w:rPr>
          <w:rFonts w:ascii="Arial" w:hAnsi="Arial" w:cs="Arial"/>
          <w:b/>
          <w:sz w:val="28"/>
        </w:rPr>
        <w:t>As reported to MDPH by 69 facilities</w:t>
      </w:r>
    </w:p>
    <w:p w:rsidR="00D4685D" w:rsidRDefault="00D4685D" w:rsidP="00056A94">
      <w:pPr>
        <w:pStyle w:val="NoSpacing"/>
        <w:jc w:val="center"/>
        <w:rPr>
          <w:rFonts w:ascii="Arial" w:hAnsi="Arial" w:cs="Arial"/>
          <w:b/>
          <w:sz w:val="28"/>
        </w:rPr>
      </w:pPr>
    </w:p>
    <w:p w:rsidR="00FD10D9" w:rsidRPr="0073415A" w:rsidRDefault="00FD10D9" w:rsidP="00D4685D">
      <w:pPr>
        <w:jc w:val="center"/>
        <w:rPr>
          <w:rFonts w:ascii="Arial" w:hAnsi="Arial" w:cs="Arial"/>
          <w:b/>
          <w:sz w:val="28"/>
          <w:szCs w:val="28"/>
        </w:rPr>
      </w:pPr>
      <w:r w:rsidRPr="00F93729">
        <w:rPr>
          <w:noProof/>
        </w:rPr>
        <w:drawing>
          <wp:inline distT="0" distB="0" distL="0" distR="0" wp14:anchorId="4FCD0075" wp14:editId="06976C63">
            <wp:extent cx="8238868" cy="44577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50882" cy="4464200"/>
                    </a:xfrm>
                    <a:prstGeom prst="rect">
                      <a:avLst/>
                    </a:prstGeom>
                    <a:noFill/>
                    <a:ln>
                      <a:noFill/>
                    </a:ln>
                  </pic:spPr>
                </pic:pic>
              </a:graphicData>
            </a:graphic>
          </wp:inline>
        </w:drawing>
      </w:r>
    </w:p>
    <w:p w:rsidR="00D4685D" w:rsidRDefault="00D4685D" w:rsidP="00056A94">
      <w:pPr>
        <w:pStyle w:val="NoSpacing"/>
        <w:jc w:val="center"/>
        <w:rPr>
          <w:rFonts w:ascii="Arial" w:hAnsi="Arial" w:cs="Arial"/>
          <w:b/>
          <w:sz w:val="28"/>
        </w:rPr>
      </w:pPr>
    </w:p>
    <w:p w:rsidR="00D4685D" w:rsidRDefault="00D4685D" w:rsidP="00056A94">
      <w:pPr>
        <w:pStyle w:val="NoSpacing"/>
        <w:jc w:val="center"/>
        <w:rPr>
          <w:rFonts w:ascii="Arial" w:hAnsi="Arial" w:cs="Arial"/>
          <w:b/>
          <w:sz w:val="28"/>
        </w:rPr>
      </w:pPr>
    </w:p>
    <w:p w:rsidR="00FD10D9" w:rsidRPr="00056A94" w:rsidRDefault="00FD10D9" w:rsidP="00056A94">
      <w:pPr>
        <w:pStyle w:val="NoSpacing"/>
        <w:jc w:val="center"/>
        <w:rPr>
          <w:rFonts w:ascii="Arial" w:hAnsi="Arial" w:cs="Arial"/>
          <w:b/>
          <w:sz w:val="28"/>
        </w:rPr>
      </w:pPr>
      <w:r w:rsidRPr="00056A94">
        <w:rPr>
          <w:rFonts w:ascii="Arial" w:hAnsi="Arial" w:cs="Arial"/>
          <w:b/>
          <w:sz w:val="28"/>
        </w:rPr>
        <w:lastRenderedPageBreak/>
        <w:t>Rates of adverse reactions per 10,000 total units (full and aliquot) transfused, by component type</w:t>
      </w:r>
    </w:p>
    <w:p w:rsidR="00FD10D9" w:rsidRPr="00056A94" w:rsidRDefault="00FD10D9" w:rsidP="00056A94">
      <w:pPr>
        <w:pStyle w:val="NoSpacing"/>
        <w:jc w:val="center"/>
        <w:rPr>
          <w:rFonts w:ascii="Arial" w:hAnsi="Arial" w:cs="Arial"/>
          <w:b/>
          <w:sz w:val="28"/>
        </w:rPr>
      </w:pPr>
      <w:r w:rsidRPr="00056A94">
        <w:rPr>
          <w:rFonts w:ascii="Arial" w:hAnsi="Arial" w:cs="Arial"/>
          <w:b/>
          <w:sz w:val="28"/>
        </w:rPr>
        <w:t>January 1, 2017- December 31, 2017</w:t>
      </w:r>
    </w:p>
    <w:p w:rsidR="00FD10D9" w:rsidRDefault="00FD10D9" w:rsidP="00056A94">
      <w:pPr>
        <w:pStyle w:val="NoSpacing"/>
        <w:jc w:val="center"/>
        <w:rPr>
          <w:rFonts w:ascii="Arial" w:hAnsi="Arial" w:cs="Arial"/>
          <w:b/>
          <w:sz w:val="28"/>
        </w:rPr>
      </w:pPr>
      <w:r w:rsidRPr="00056A94">
        <w:rPr>
          <w:rFonts w:ascii="Arial" w:hAnsi="Arial" w:cs="Arial"/>
          <w:b/>
          <w:sz w:val="28"/>
        </w:rPr>
        <w:t>As reported to MDPH by 69 facilities</w:t>
      </w:r>
    </w:p>
    <w:p w:rsidR="00D4685D" w:rsidRDefault="00D4685D" w:rsidP="00056A94">
      <w:pPr>
        <w:pStyle w:val="NoSpacing"/>
        <w:jc w:val="center"/>
        <w:rPr>
          <w:rFonts w:ascii="Arial" w:hAnsi="Arial" w:cs="Arial"/>
          <w:b/>
          <w:sz w:val="28"/>
        </w:rPr>
      </w:pPr>
    </w:p>
    <w:p w:rsidR="00FD10D9" w:rsidRDefault="00FD10D9" w:rsidP="00D4685D">
      <w:pPr>
        <w:jc w:val="center"/>
        <w:rPr>
          <w:rFonts w:ascii="Arial" w:hAnsi="Arial" w:cs="Arial"/>
        </w:rPr>
      </w:pPr>
      <w:r w:rsidRPr="00F93729">
        <w:rPr>
          <w:noProof/>
        </w:rPr>
        <w:drawing>
          <wp:inline distT="0" distB="0" distL="0" distR="0" wp14:anchorId="2858A7BF" wp14:editId="6C281696">
            <wp:extent cx="6629400" cy="396423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29400" cy="3964230"/>
                    </a:xfrm>
                    <a:prstGeom prst="rect">
                      <a:avLst/>
                    </a:prstGeom>
                    <a:noFill/>
                    <a:ln>
                      <a:noFill/>
                    </a:ln>
                  </pic:spPr>
                </pic:pic>
              </a:graphicData>
            </a:graphic>
          </wp:inline>
        </w:drawing>
      </w:r>
    </w:p>
    <w:p w:rsidR="00D4685D" w:rsidRPr="00D4685D" w:rsidRDefault="00D4685D" w:rsidP="00D4685D">
      <w:pPr>
        <w:pStyle w:val="NoSpacing"/>
        <w:rPr>
          <w:rFonts w:ascii="Arial" w:hAnsi="Arial" w:cs="Arial"/>
          <w:sz w:val="20"/>
        </w:rPr>
      </w:pPr>
      <w:r w:rsidRPr="00D4685D">
        <w:rPr>
          <w:rFonts w:ascii="Arial" w:hAnsi="Arial" w:cs="Arial"/>
          <w:sz w:val="20"/>
        </w:rPr>
        <w:t>Whole blood refers to only autologous whole blood products.</w:t>
      </w:r>
    </w:p>
    <w:p w:rsidR="00D4685D" w:rsidRPr="00D4685D" w:rsidRDefault="00D4685D" w:rsidP="00D4685D">
      <w:pPr>
        <w:pStyle w:val="NoSpacing"/>
        <w:rPr>
          <w:rFonts w:ascii="Arial" w:hAnsi="Arial" w:cs="Arial"/>
          <w:sz w:val="20"/>
        </w:rPr>
      </w:pPr>
    </w:p>
    <w:p w:rsidR="004353CF" w:rsidRPr="00D4685D" w:rsidRDefault="004353CF" w:rsidP="00D4685D">
      <w:pPr>
        <w:pStyle w:val="NoSpacing"/>
        <w:rPr>
          <w:rFonts w:ascii="Arial" w:hAnsi="Arial" w:cs="Arial"/>
          <w:sz w:val="20"/>
        </w:rPr>
      </w:pPr>
      <w:r w:rsidRPr="00D4685D">
        <w:rPr>
          <w:rFonts w:ascii="Arial" w:hAnsi="Arial" w:cs="Arial"/>
          <w:sz w:val="20"/>
        </w:rPr>
        <w:t>Nine adverse reactions listed “unknown” or “other” when indicating if specific implicated transfused blood product. These reactions are included in overall adverse reaction rate calculations but are excluded from component-specific rate calculations. One unit of granulocytes (reported as “other”) was implicated in the fatal TAD reaction. Five TACOs, one DSTR, and 2 FNHTRs had “unknown” blood products implicated.</w:t>
      </w:r>
    </w:p>
    <w:sectPr w:rsidR="004353CF" w:rsidRPr="00D4685D" w:rsidSect="00056A9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58D" w:rsidRDefault="0045758D" w:rsidP="00FD10D9">
      <w:pPr>
        <w:spacing w:after="0" w:line="240" w:lineRule="auto"/>
      </w:pPr>
      <w:r>
        <w:separator/>
      </w:r>
    </w:p>
  </w:endnote>
  <w:endnote w:type="continuationSeparator" w:id="0">
    <w:p w:rsidR="0045758D" w:rsidRDefault="0045758D" w:rsidP="00FD1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404863"/>
      <w:docPartObj>
        <w:docPartGallery w:val="Page Numbers (Bottom of Page)"/>
        <w:docPartUnique/>
      </w:docPartObj>
    </w:sdtPr>
    <w:sdtEndPr>
      <w:rPr>
        <w:noProof/>
      </w:rPr>
    </w:sdtEndPr>
    <w:sdtContent>
      <w:p w:rsidR="00683BE2" w:rsidRDefault="00633E9F">
        <w:pPr>
          <w:pStyle w:val="Footer"/>
          <w:jc w:val="right"/>
        </w:pPr>
        <w:r>
          <w:fldChar w:fldCharType="begin"/>
        </w:r>
        <w:r>
          <w:instrText xml:space="preserve"> PAGE   \* MERGEFORMAT </w:instrText>
        </w:r>
        <w:r>
          <w:fldChar w:fldCharType="separate"/>
        </w:r>
        <w:r w:rsidR="008C03F3">
          <w:rPr>
            <w:noProof/>
          </w:rPr>
          <w:t>3</w:t>
        </w:r>
        <w:r>
          <w:rPr>
            <w:noProof/>
          </w:rPr>
          <w:fldChar w:fldCharType="end"/>
        </w:r>
      </w:p>
    </w:sdtContent>
  </w:sdt>
  <w:p w:rsidR="00683BE2" w:rsidRPr="00056A94" w:rsidRDefault="00633E9F" w:rsidP="00683BE2">
    <w:pPr>
      <w:pStyle w:val="Footer"/>
      <w:jc w:val="center"/>
      <w:rPr>
        <w:rFonts w:ascii="Arial" w:hAnsi="Arial" w:cs="Arial"/>
        <w:sz w:val="20"/>
      </w:rPr>
    </w:pPr>
    <w:r w:rsidRPr="00056A94">
      <w:rPr>
        <w:rFonts w:ascii="Arial" w:hAnsi="Arial" w:cs="Arial"/>
        <w:sz w:val="20"/>
      </w:rPr>
      <w:t>Data are current as of May 28, 2018 and are subject to change.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58D" w:rsidRDefault="0045758D" w:rsidP="00FD10D9">
      <w:pPr>
        <w:spacing w:after="0" w:line="240" w:lineRule="auto"/>
      </w:pPr>
      <w:r>
        <w:separator/>
      </w:r>
    </w:p>
  </w:footnote>
  <w:footnote w:type="continuationSeparator" w:id="0">
    <w:p w:rsidR="0045758D" w:rsidRDefault="0045758D" w:rsidP="00FD10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31C" w:rsidRDefault="0045758D">
    <w:pPr>
      <w:pStyle w:val="Header"/>
    </w:pPr>
  </w:p>
  <w:p w:rsidR="003E531C" w:rsidRDefault="0045758D">
    <w:pPr>
      <w:pStyle w:val="Header"/>
    </w:pPr>
  </w:p>
  <w:p w:rsidR="003E531C" w:rsidRDefault="004575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7F8"/>
    <w:multiLevelType w:val="hybridMultilevel"/>
    <w:tmpl w:val="B2260FEA"/>
    <w:lvl w:ilvl="0" w:tplc="DE16B604">
      <w:start w:val="1"/>
      <w:numFmt w:val="bullet"/>
      <w:lvlText w:val=""/>
      <w:lvlJc w:val="left"/>
      <w:pPr>
        <w:ind w:left="480" w:hanging="361"/>
      </w:pPr>
      <w:rPr>
        <w:rFonts w:ascii="Symbol" w:eastAsia="Symbol" w:hAnsi="Symbol" w:hint="default"/>
        <w:sz w:val="24"/>
        <w:szCs w:val="24"/>
      </w:rPr>
    </w:lvl>
    <w:lvl w:ilvl="1" w:tplc="3756592A">
      <w:start w:val="1"/>
      <w:numFmt w:val="bullet"/>
      <w:lvlText w:val="•"/>
      <w:lvlJc w:val="left"/>
      <w:pPr>
        <w:ind w:left="760" w:hanging="361"/>
      </w:pPr>
      <w:rPr>
        <w:rFonts w:hint="default"/>
      </w:rPr>
    </w:lvl>
    <w:lvl w:ilvl="2" w:tplc="37668E44">
      <w:start w:val="1"/>
      <w:numFmt w:val="bullet"/>
      <w:lvlText w:val="•"/>
      <w:lvlJc w:val="left"/>
      <w:pPr>
        <w:ind w:left="1540" w:hanging="361"/>
      </w:pPr>
      <w:rPr>
        <w:rFonts w:hint="default"/>
      </w:rPr>
    </w:lvl>
    <w:lvl w:ilvl="3" w:tplc="3BEAD16E">
      <w:start w:val="1"/>
      <w:numFmt w:val="bullet"/>
      <w:lvlText w:val="•"/>
      <w:lvlJc w:val="left"/>
      <w:pPr>
        <w:ind w:left="2452" w:hanging="361"/>
      </w:pPr>
      <w:rPr>
        <w:rFonts w:hint="default"/>
      </w:rPr>
    </w:lvl>
    <w:lvl w:ilvl="4" w:tplc="0B148142">
      <w:start w:val="1"/>
      <w:numFmt w:val="bullet"/>
      <w:lvlText w:val="•"/>
      <w:lvlJc w:val="left"/>
      <w:pPr>
        <w:ind w:left="3365" w:hanging="361"/>
      </w:pPr>
      <w:rPr>
        <w:rFonts w:hint="default"/>
      </w:rPr>
    </w:lvl>
    <w:lvl w:ilvl="5" w:tplc="45788DC2">
      <w:start w:val="1"/>
      <w:numFmt w:val="bullet"/>
      <w:lvlText w:val="•"/>
      <w:lvlJc w:val="left"/>
      <w:pPr>
        <w:ind w:left="4277" w:hanging="361"/>
      </w:pPr>
      <w:rPr>
        <w:rFonts w:hint="default"/>
      </w:rPr>
    </w:lvl>
    <w:lvl w:ilvl="6" w:tplc="BDF85728">
      <w:start w:val="1"/>
      <w:numFmt w:val="bullet"/>
      <w:lvlText w:val="•"/>
      <w:lvlJc w:val="left"/>
      <w:pPr>
        <w:ind w:left="5190" w:hanging="361"/>
      </w:pPr>
      <w:rPr>
        <w:rFonts w:hint="default"/>
      </w:rPr>
    </w:lvl>
    <w:lvl w:ilvl="7" w:tplc="29063C54">
      <w:start w:val="1"/>
      <w:numFmt w:val="bullet"/>
      <w:lvlText w:val="•"/>
      <w:lvlJc w:val="left"/>
      <w:pPr>
        <w:ind w:left="6102" w:hanging="361"/>
      </w:pPr>
      <w:rPr>
        <w:rFonts w:hint="default"/>
      </w:rPr>
    </w:lvl>
    <w:lvl w:ilvl="8" w:tplc="BAD644E4">
      <w:start w:val="1"/>
      <w:numFmt w:val="bullet"/>
      <w:lvlText w:val="•"/>
      <w:lvlJc w:val="left"/>
      <w:pPr>
        <w:ind w:left="7015" w:hanging="361"/>
      </w:pPr>
      <w:rPr>
        <w:rFonts w:hint="default"/>
      </w:rPr>
    </w:lvl>
  </w:abstractNum>
  <w:abstractNum w:abstractNumId="1">
    <w:nsid w:val="4E043721"/>
    <w:multiLevelType w:val="multilevel"/>
    <w:tmpl w:val="33BE5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855109C"/>
    <w:multiLevelType w:val="hybridMultilevel"/>
    <w:tmpl w:val="B9C0A892"/>
    <w:lvl w:ilvl="0" w:tplc="8E503926">
      <w:start w:val="1"/>
      <w:numFmt w:val="decimal"/>
      <w:lvlText w:val="%1."/>
      <w:lvlJc w:val="left"/>
      <w:pPr>
        <w:tabs>
          <w:tab w:val="num" w:pos="630"/>
        </w:tabs>
        <w:ind w:left="630" w:hanging="360"/>
      </w:pPr>
    </w:lvl>
    <w:lvl w:ilvl="1" w:tplc="B454771E" w:tentative="1">
      <w:start w:val="1"/>
      <w:numFmt w:val="decimal"/>
      <w:lvlText w:val="%2."/>
      <w:lvlJc w:val="left"/>
      <w:pPr>
        <w:tabs>
          <w:tab w:val="num" w:pos="1350"/>
        </w:tabs>
        <w:ind w:left="1350" w:hanging="360"/>
      </w:pPr>
    </w:lvl>
    <w:lvl w:ilvl="2" w:tplc="58F06810" w:tentative="1">
      <w:start w:val="1"/>
      <w:numFmt w:val="decimal"/>
      <w:lvlText w:val="%3."/>
      <w:lvlJc w:val="left"/>
      <w:pPr>
        <w:tabs>
          <w:tab w:val="num" w:pos="2070"/>
        </w:tabs>
        <w:ind w:left="2070" w:hanging="360"/>
      </w:pPr>
    </w:lvl>
    <w:lvl w:ilvl="3" w:tplc="BD68D620" w:tentative="1">
      <w:start w:val="1"/>
      <w:numFmt w:val="decimal"/>
      <w:lvlText w:val="%4."/>
      <w:lvlJc w:val="left"/>
      <w:pPr>
        <w:tabs>
          <w:tab w:val="num" w:pos="2790"/>
        </w:tabs>
        <w:ind w:left="2790" w:hanging="360"/>
      </w:pPr>
    </w:lvl>
    <w:lvl w:ilvl="4" w:tplc="34A2AF24" w:tentative="1">
      <w:start w:val="1"/>
      <w:numFmt w:val="decimal"/>
      <w:lvlText w:val="%5."/>
      <w:lvlJc w:val="left"/>
      <w:pPr>
        <w:tabs>
          <w:tab w:val="num" w:pos="3510"/>
        </w:tabs>
        <w:ind w:left="3510" w:hanging="360"/>
      </w:pPr>
    </w:lvl>
    <w:lvl w:ilvl="5" w:tplc="89169828" w:tentative="1">
      <w:start w:val="1"/>
      <w:numFmt w:val="decimal"/>
      <w:lvlText w:val="%6."/>
      <w:lvlJc w:val="left"/>
      <w:pPr>
        <w:tabs>
          <w:tab w:val="num" w:pos="4230"/>
        </w:tabs>
        <w:ind w:left="4230" w:hanging="360"/>
      </w:pPr>
    </w:lvl>
    <w:lvl w:ilvl="6" w:tplc="B8064030" w:tentative="1">
      <w:start w:val="1"/>
      <w:numFmt w:val="decimal"/>
      <w:lvlText w:val="%7."/>
      <w:lvlJc w:val="left"/>
      <w:pPr>
        <w:tabs>
          <w:tab w:val="num" w:pos="4950"/>
        </w:tabs>
        <w:ind w:left="4950" w:hanging="360"/>
      </w:pPr>
    </w:lvl>
    <w:lvl w:ilvl="7" w:tplc="DB5AAF40" w:tentative="1">
      <w:start w:val="1"/>
      <w:numFmt w:val="decimal"/>
      <w:lvlText w:val="%8."/>
      <w:lvlJc w:val="left"/>
      <w:pPr>
        <w:tabs>
          <w:tab w:val="num" w:pos="5670"/>
        </w:tabs>
        <w:ind w:left="5670" w:hanging="360"/>
      </w:pPr>
    </w:lvl>
    <w:lvl w:ilvl="8" w:tplc="97F28844" w:tentative="1">
      <w:start w:val="1"/>
      <w:numFmt w:val="decimal"/>
      <w:lvlText w:val="%9."/>
      <w:lvlJc w:val="left"/>
      <w:pPr>
        <w:tabs>
          <w:tab w:val="num" w:pos="6390"/>
        </w:tabs>
        <w:ind w:left="6390" w:hanging="360"/>
      </w:pPr>
    </w:lvl>
  </w:abstractNum>
  <w:abstractNum w:abstractNumId="3">
    <w:nsid w:val="616A6E00"/>
    <w:multiLevelType w:val="hybridMultilevel"/>
    <w:tmpl w:val="9E6E72DE"/>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68"/>
    <w:rsid w:val="00002B11"/>
    <w:rsid w:val="00014C6C"/>
    <w:rsid w:val="00020320"/>
    <w:rsid w:val="00026B45"/>
    <w:rsid w:val="00043A2A"/>
    <w:rsid w:val="00052D68"/>
    <w:rsid w:val="00056A94"/>
    <w:rsid w:val="00067DC0"/>
    <w:rsid w:val="000A7FA7"/>
    <w:rsid w:val="000D0D25"/>
    <w:rsid w:val="000D4BBF"/>
    <w:rsid w:val="000F1EBA"/>
    <w:rsid w:val="000F4CA3"/>
    <w:rsid w:val="00111A53"/>
    <w:rsid w:val="001200AE"/>
    <w:rsid w:val="00152EEB"/>
    <w:rsid w:val="00160A76"/>
    <w:rsid w:val="00172F10"/>
    <w:rsid w:val="00173478"/>
    <w:rsid w:val="0021247F"/>
    <w:rsid w:val="00237673"/>
    <w:rsid w:val="0025692B"/>
    <w:rsid w:val="00290706"/>
    <w:rsid w:val="002D052B"/>
    <w:rsid w:val="002D0903"/>
    <w:rsid w:val="00336008"/>
    <w:rsid w:val="00352632"/>
    <w:rsid w:val="0036097F"/>
    <w:rsid w:val="0037019E"/>
    <w:rsid w:val="003A40F4"/>
    <w:rsid w:val="003E0FCC"/>
    <w:rsid w:val="003E6CCC"/>
    <w:rsid w:val="004022E7"/>
    <w:rsid w:val="00430101"/>
    <w:rsid w:val="004353CF"/>
    <w:rsid w:val="0044762E"/>
    <w:rsid w:val="0045758D"/>
    <w:rsid w:val="004578EC"/>
    <w:rsid w:val="00477EE3"/>
    <w:rsid w:val="0048653D"/>
    <w:rsid w:val="004908B7"/>
    <w:rsid w:val="004A6033"/>
    <w:rsid w:val="004F060C"/>
    <w:rsid w:val="004F1171"/>
    <w:rsid w:val="00513665"/>
    <w:rsid w:val="00513C76"/>
    <w:rsid w:val="005403CC"/>
    <w:rsid w:val="00554FEA"/>
    <w:rsid w:val="00591FB5"/>
    <w:rsid w:val="00600C42"/>
    <w:rsid w:val="00632BA9"/>
    <w:rsid w:val="00633E9F"/>
    <w:rsid w:val="00634E93"/>
    <w:rsid w:val="00640223"/>
    <w:rsid w:val="00644943"/>
    <w:rsid w:val="00676523"/>
    <w:rsid w:val="00685F4A"/>
    <w:rsid w:val="006C30E9"/>
    <w:rsid w:val="006F0AC0"/>
    <w:rsid w:val="006F1653"/>
    <w:rsid w:val="00707786"/>
    <w:rsid w:val="007444F4"/>
    <w:rsid w:val="007576E8"/>
    <w:rsid w:val="007814C2"/>
    <w:rsid w:val="007A2541"/>
    <w:rsid w:val="007B0128"/>
    <w:rsid w:val="007D15F0"/>
    <w:rsid w:val="00817FE1"/>
    <w:rsid w:val="008431DE"/>
    <w:rsid w:val="008769D8"/>
    <w:rsid w:val="00880D3D"/>
    <w:rsid w:val="00893F0C"/>
    <w:rsid w:val="008C03F3"/>
    <w:rsid w:val="008D0287"/>
    <w:rsid w:val="009B17EA"/>
    <w:rsid w:val="009C5B19"/>
    <w:rsid w:val="009F1FBC"/>
    <w:rsid w:val="00A95393"/>
    <w:rsid w:val="00AD0380"/>
    <w:rsid w:val="00AE43C3"/>
    <w:rsid w:val="00AF615C"/>
    <w:rsid w:val="00B7213D"/>
    <w:rsid w:val="00BB749B"/>
    <w:rsid w:val="00C3573F"/>
    <w:rsid w:val="00C4186B"/>
    <w:rsid w:val="00C42D95"/>
    <w:rsid w:val="00CA17BA"/>
    <w:rsid w:val="00CB3279"/>
    <w:rsid w:val="00D205F4"/>
    <w:rsid w:val="00D4685D"/>
    <w:rsid w:val="00D51CE3"/>
    <w:rsid w:val="00D804F4"/>
    <w:rsid w:val="00DC6609"/>
    <w:rsid w:val="00E16AED"/>
    <w:rsid w:val="00E410CA"/>
    <w:rsid w:val="00E5376D"/>
    <w:rsid w:val="00E5705A"/>
    <w:rsid w:val="00E578C6"/>
    <w:rsid w:val="00E6446B"/>
    <w:rsid w:val="00E65705"/>
    <w:rsid w:val="00E74131"/>
    <w:rsid w:val="00EA76E2"/>
    <w:rsid w:val="00ED0FE1"/>
    <w:rsid w:val="00ED4CFD"/>
    <w:rsid w:val="00F57664"/>
    <w:rsid w:val="00F65E1B"/>
    <w:rsid w:val="00F75B93"/>
    <w:rsid w:val="00F96D9D"/>
    <w:rsid w:val="00F9723E"/>
    <w:rsid w:val="00FB22F9"/>
    <w:rsid w:val="00FB69B5"/>
    <w:rsid w:val="00FD0C8E"/>
    <w:rsid w:val="00FD1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0A7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2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D68"/>
    <w:rPr>
      <w:rFonts w:ascii="Tahoma" w:hAnsi="Tahoma" w:cs="Tahoma"/>
      <w:sz w:val="16"/>
      <w:szCs w:val="16"/>
    </w:rPr>
  </w:style>
  <w:style w:type="paragraph" w:styleId="NoSpacing">
    <w:name w:val="No Spacing"/>
    <w:uiPriority w:val="1"/>
    <w:qFormat/>
    <w:rsid w:val="00052D68"/>
    <w:pPr>
      <w:spacing w:after="0" w:line="240" w:lineRule="auto"/>
    </w:pPr>
  </w:style>
  <w:style w:type="character" w:customStyle="1" w:styleId="Heading1Char">
    <w:name w:val="Heading 1 Char"/>
    <w:basedOn w:val="DefaultParagraphFont"/>
    <w:link w:val="Heading1"/>
    <w:uiPriority w:val="1"/>
    <w:rsid w:val="000A7FA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A7FA7"/>
    <w:pPr>
      <w:outlineLvl w:val="9"/>
    </w:pPr>
    <w:rPr>
      <w:lang w:eastAsia="ja-JP"/>
    </w:rPr>
  </w:style>
  <w:style w:type="paragraph" w:styleId="TOC1">
    <w:name w:val="toc 1"/>
    <w:basedOn w:val="Normal"/>
    <w:next w:val="Normal"/>
    <w:autoRedefine/>
    <w:uiPriority w:val="39"/>
    <w:unhideWhenUsed/>
    <w:qFormat/>
    <w:rsid w:val="000A7FA7"/>
    <w:pPr>
      <w:spacing w:after="100"/>
    </w:pPr>
  </w:style>
  <w:style w:type="paragraph" w:styleId="TOC2">
    <w:name w:val="toc 2"/>
    <w:basedOn w:val="Normal"/>
    <w:next w:val="Normal"/>
    <w:autoRedefine/>
    <w:uiPriority w:val="39"/>
    <w:unhideWhenUsed/>
    <w:qFormat/>
    <w:rsid w:val="000A7FA7"/>
    <w:pPr>
      <w:spacing w:after="100"/>
      <w:ind w:left="220"/>
    </w:pPr>
  </w:style>
  <w:style w:type="paragraph" w:styleId="TOC3">
    <w:name w:val="toc 3"/>
    <w:basedOn w:val="Normal"/>
    <w:next w:val="Normal"/>
    <w:autoRedefine/>
    <w:uiPriority w:val="39"/>
    <w:unhideWhenUsed/>
    <w:qFormat/>
    <w:rsid w:val="000A7FA7"/>
    <w:pPr>
      <w:spacing w:after="100"/>
      <w:ind w:left="440"/>
    </w:pPr>
  </w:style>
  <w:style w:type="character" w:styleId="Hyperlink">
    <w:name w:val="Hyperlink"/>
    <w:basedOn w:val="DefaultParagraphFont"/>
    <w:uiPriority w:val="99"/>
    <w:unhideWhenUsed/>
    <w:rsid w:val="000A7FA7"/>
    <w:rPr>
      <w:color w:val="0000FF" w:themeColor="hyperlink"/>
      <w:u w:val="single"/>
    </w:rPr>
  </w:style>
  <w:style w:type="paragraph" w:styleId="ListParagraph">
    <w:name w:val="List Paragraph"/>
    <w:basedOn w:val="Normal"/>
    <w:uiPriority w:val="34"/>
    <w:qFormat/>
    <w:rsid w:val="005403CC"/>
    <w:pPr>
      <w:ind w:left="720"/>
      <w:contextualSpacing/>
    </w:pPr>
  </w:style>
  <w:style w:type="character" w:styleId="Strong">
    <w:name w:val="Strong"/>
    <w:uiPriority w:val="22"/>
    <w:qFormat/>
    <w:rsid w:val="00477EE3"/>
    <w:rPr>
      <w:b/>
      <w:bCs/>
    </w:rPr>
  </w:style>
  <w:style w:type="paragraph" w:styleId="NormalWeb">
    <w:name w:val="Normal (Web)"/>
    <w:basedOn w:val="Normal"/>
    <w:uiPriority w:val="99"/>
    <w:unhideWhenUsed/>
    <w:rsid w:val="00477EE3"/>
    <w:pPr>
      <w:spacing w:after="240" w:line="240" w:lineRule="auto"/>
    </w:pPr>
    <w:rPr>
      <w:rFonts w:ascii="Times New Roman" w:eastAsia="Times New Roman" w:hAnsi="Times New Roman" w:cs="Times New Roman"/>
      <w:sz w:val="24"/>
      <w:szCs w:val="24"/>
    </w:rPr>
  </w:style>
  <w:style w:type="paragraph" w:customStyle="1" w:styleId="Default">
    <w:name w:val="Default"/>
    <w:rsid w:val="00477E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C2721">
    <w:name w:val="SC2721"/>
    <w:uiPriority w:val="99"/>
    <w:rsid w:val="00477EE3"/>
    <w:rPr>
      <w:color w:val="000000"/>
    </w:rPr>
  </w:style>
  <w:style w:type="character" w:styleId="CommentReference">
    <w:name w:val="annotation reference"/>
    <w:basedOn w:val="DefaultParagraphFont"/>
    <w:uiPriority w:val="99"/>
    <w:semiHidden/>
    <w:unhideWhenUsed/>
    <w:rsid w:val="00E6446B"/>
    <w:rPr>
      <w:sz w:val="16"/>
      <w:szCs w:val="16"/>
    </w:rPr>
  </w:style>
  <w:style w:type="paragraph" w:styleId="CommentText">
    <w:name w:val="annotation text"/>
    <w:basedOn w:val="Normal"/>
    <w:link w:val="CommentTextChar"/>
    <w:uiPriority w:val="99"/>
    <w:semiHidden/>
    <w:unhideWhenUsed/>
    <w:rsid w:val="00E6446B"/>
    <w:pPr>
      <w:spacing w:line="240" w:lineRule="auto"/>
    </w:pPr>
    <w:rPr>
      <w:sz w:val="20"/>
      <w:szCs w:val="20"/>
    </w:rPr>
  </w:style>
  <w:style w:type="character" w:customStyle="1" w:styleId="CommentTextChar">
    <w:name w:val="Comment Text Char"/>
    <w:basedOn w:val="DefaultParagraphFont"/>
    <w:link w:val="CommentText"/>
    <w:uiPriority w:val="99"/>
    <w:semiHidden/>
    <w:rsid w:val="00E6446B"/>
    <w:rPr>
      <w:sz w:val="20"/>
      <w:szCs w:val="20"/>
    </w:rPr>
  </w:style>
  <w:style w:type="paragraph" w:styleId="CommentSubject">
    <w:name w:val="annotation subject"/>
    <w:basedOn w:val="CommentText"/>
    <w:next w:val="CommentText"/>
    <w:link w:val="CommentSubjectChar"/>
    <w:uiPriority w:val="99"/>
    <w:semiHidden/>
    <w:unhideWhenUsed/>
    <w:rsid w:val="00E6446B"/>
    <w:rPr>
      <w:b/>
      <w:bCs/>
    </w:rPr>
  </w:style>
  <w:style w:type="character" w:customStyle="1" w:styleId="CommentSubjectChar">
    <w:name w:val="Comment Subject Char"/>
    <w:basedOn w:val="CommentTextChar"/>
    <w:link w:val="CommentSubject"/>
    <w:uiPriority w:val="99"/>
    <w:semiHidden/>
    <w:rsid w:val="00E6446B"/>
    <w:rPr>
      <w:b/>
      <w:bCs/>
      <w:sz w:val="20"/>
      <w:szCs w:val="20"/>
    </w:rPr>
  </w:style>
  <w:style w:type="paragraph" w:styleId="Header">
    <w:name w:val="header"/>
    <w:basedOn w:val="Normal"/>
    <w:link w:val="HeaderChar"/>
    <w:uiPriority w:val="99"/>
    <w:unhideWhenUsed/>
    <w:rsid w:val="00FD1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0D9"/>
  </w:style>
  <w:style w:type="paragraph" w:styleId="Footer">
    <w:name w:val="footer"/>
    <w:basedOn w:val="Normal"/>
    <w:link w:val="FooterChar"/>
    <w:uiPriority w:val="99"/>
    <w:unhideWhenUsed/>
    <w:rsid w:val="00FD1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0D9"/>
  </w:style>
  <w:style w:type="character" w:customStyle="1" w:styleId="UnresolvedMention">
    <w:name w:val="Unresolved Mention"/>
    <w:basedOn w:val="DefaultParagraphFont"/>
    <w:uiPriority w:val="99"/>
    <w:semiHidden/>
    <w:unhideWhenUsed/>
    <w:rsid w:val="00591F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0A7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2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D68"/>
    <w:rPr>
      <w:rFonts w:ascii="Tahoma" w:hAnsi="Tahoma" w:cs="Tahoma"/>
      <w:sz w:val="16"/>
      <w:szCs w:val="16"/>
    </w:rPr>
  </w:style>
  <w:style w:type="paragraph" w:styleId="NoSpacing">
    <w:name w:val="No Spacing"/>
    <w:uiPriority w:val="1"/>
    <w:qFormat/>
    <w:rsid w:val="00052D68"/>
    <w:pPr>
      <w:spacing w:after="0" w:line="240" w:lineRule="auto"/>
    </w:pPr>
  </w:style>
  <w:style w:type="character" w:customStyle="1" w:styleId="Heading1Char">
    <w:name w:val="Heading 1 Char"/>
    <w:basedOn w:val="DefaultParagraphFont"/>
    <w:link w:val="Heading1"/>
    <w:uiPriority w:val="1"/>
    <w:rsid w:val="000A7FA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A7FA7"/>
    <w:pPr>
      <w:outlineLvl w:val="9"/>
    </w:pPr>
    <w:rPr>
      <w:lang w:eastAsia="ja-JP"/>
    </w:rPr>
  </w:style>
  <w:style w:type="paragraph" w:styleId="TOC1">
    <w:name w:val="toc 1"/>
    <w:basedOn w:val="Normal"/>
    <w:next w:val="Normal"/>
    <w:autoRedefine/>
    <w:uiPriority w:val="39"/>
    <w:unhideWhenUsed/>
    <w:qFormat/>
    <w:rsid w:val="000A7FA7"/>
    <w:pPr>
      <w:spacing w:after="100"/>
    </w:pPr>
  </w:style>
  <w:style w:type="paragraph" w:styleId="TOC2">
    <w:name w:val="toc 2"/>
    <w:basedOn w:val="Normal"/>
    <w:next w:val="Normal"/>
    <w:autoRedefine/>
    <w:uiPriority w:val="39"/>
    <w:unhideWhenUsed/>
    <w:qFormat/>
    <w:rsid w:val="000A7FA7"/>
    <w:pPr>
      <w:spacing w:after="100"/>
      <w:ind w:left="220"/>
    </w:pPr>
  </w:style>
  <w:style w:type="paragraph" w:styleId="TOC3">
    <w:name w:val="toc 3"/>
    <w:basedOn w:val="Normal"/>
    <w:next w:val="Normal"/>
    <w:autoRedefine/>
    <w:uiPriority w:val="39"/>
    <w:unhideWhenUsed/>
    <w:qFormat/>
    <w:rsid w:val="000A7FA7"/>
    <w:pPr>
      <w:spacing w:after="100"/>
      <w:ind w:left="440"/>
    </w:pPr>
  </w:style>
  <w:style w:type="character" w:styleId="Hyperlink">
    <w:name w:val="Hyperlink"/>
    <w:basedOn w:val="DefaultParagraphFont"/>
    <w:uiPriority w:val="99"/>
    <w:unhideWhenUsed/>
    <w:rsid w:val="000A7FA7"/>
    <w:rPr>
      <w:color w:val="0000FF" w:themeColor="hyperlink"/>
      <w:u w:val="single"/>
    </w:rPr>
  </w:style>
  <w:style w:type="paragraph" w:styleId="ListParagraph">
    <w:name w:val="List Paragraph"/>
    <w:basedOn w:val="Normal"/>
    <w:uiPriority w:val="34"/>
    <w:qFormat/>
    <w:rsid w:val="005403CC"/>
    <w:pPr>
      <w:ind w:left="720"/>
      <w:contextualSpacing/>
    </w:pPr>
  </w:style>
  <w:style w:type="character" w:styleId="Strong">
    <w:name w:val="Strong"/>
    <w:uiPriority w:val="22"/>
    <w:qFormat/>
    <w:rsid w:val="00477EE3"/>
    <w:rPr>
      <w:b/>
      <w:bCs/>
    </w:rPr>
  </w:style>
  <w:style w:type="paragraph" w:styleId="NormalWeb">
    <w:name w:val="Normal (Web)"/>
    <w:basedOn w:val="Normal"/>
    <w:uiPriority w:val="99"/>
    <w:unhideWhenUsed/>
    <w:rsid w:val="00477EE3"/>
    <w:pPr>
      <w:spacing w:after="240" w:line="240" w:lineRule="auto"/>
    </w:pPr>
    <w:rPr>
      <w:rFonts w:ascii="Times New Roman" w:eastAsia="Times New Roman" w:hAnsi="Times New Roman" w:cs="Times New Roman"/>
      <w:sz w:val="24"/>
      <w:szCs w:val="24"/>
    </w:rPr>
  </w:style>
  <w:style w:type="paragraph" w:customStyle="1" w:styleId="Default">
    <w:name w:val="Default"/>
    <w:rsid w:val="00477E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C2721">
    <w:name w:val="SC2721"/>
    <w:uiPriority w:val="99"/>
    <w:rsid w:val="00477EE3"/>
    <w:rPr>
      <w:color w:val="000000"/>
    </w:rPr>
  </w:style>
  <w:style w:type="character" w:styleId="CommentReference">
    <w:name w:val="annotation reference"/>
    <w:basedOn w:val="DefaultParagraphFont"/>
    <w:uiPriority w:val="99"/>
    <w:semiHidden/>
    <w:unhideWhenUsed/>
    <w:rsid w:val="00E6446B"/>
    <w:rPr>
      <w:sz w:val="16"/>
      <w:szCs w:val="16"/>
    </w:rPr>
  </w:style>
  <w:style w:type="paragraph" w:styleId="CommentText">
    <w:name w:val="annotation text"/>
    <w:basedOn w:val="Normal"/>
    <w:link w:val="CommentTextChar"/>
    <w:uiPriority w:val="99"/>
    <w:semiHidden/>
    <w:unhideWhenUsed/>
    <w:rsid w:val="00E6446B"/>
    <w:pPr>
      <w:spacing w:line="240" w:lineRule="auto"/>
    </w:pPr>
    <w:rPr>
      <w:sz w:val="20"/>
      <w:szCs w:val="20"/>
    </w:rPr>
  </w:style>
  <w:style w:type="character" w:customStyle="1" w:styleId="CommentTextChar">
    <w:name w:val="Comment Text Char"/>
    <w:basedOn w:val="DefaultParagraphFont"/>
    <w:link w:val="CommentText"/>
    <w:uiPriority w:val="99"/>
    <w:semiHidden/>
    <w:rsid w:val="00E6446B"/>
    <w:rPr>
      <w:sz w:val="20"/>
      <w:szCs w:val="20"/>
    </w:rPr>
  </w:style>
  <w:style w:type="paragraph" w:styleId="CommentSubject">
    <w:name w:val="annotation subject"/>
    <w:basedOn w:val="CommentText"/>
    <w:next w:val="CommentText"/>
    <w:link w:val="CommentSubjectChar"/>
    <w:uiPriority w:val="99"/>
    <w:semiHidden/>
    <w:unhideWhenUsed/>
    <w:rsid w:val="00E6446B"/>
    <w:rPr>
      <w:b/>
      <w:bCs/>
    </w:rPr>
  </w:style>
  <w:style w:type="character" w:customStyle="1" w:styleId="CommentSubjectChar">
    <w:name w:val="Comment Subject Char"/>
    <w:basedOn w:val="CommentTextChar"/>
    <w:link w:val="CommentSubject"/>
    <w:uiPriority w:val="99"/>
    <w:semiHidden/>
    <w:rsid w:val="00E6446B"/>
    <w:rPr>
      <w:b/>
      <w:bCs/>
      <w:sz w:val="20"/>
      <w:szCs w:val="20"/>
    </w:rPr>
  </w:style>
  <w:style w:type="paragraph" w:styleId="Header">
    <w:name w:val="header"/>
    <w:basedOn w:val="Normal"/>
    <w:link w:val="HeaderChar"/>
    <w:uiPriority w:val="99"/>
    <w:unhideWhenUsed/>
    <w:rsid w:val="00FD1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0D9"/>
  </w:style>
  <w:style w:type="paragraph" w:styleId="Footer">
    <w:name w:val="footer"/>
    <w:basedOn w:val="Normal"/>
    <w:link w:val="FooterChar"/>
    <w:uiPriority w:val="99"/>
    <w:unhideWhenUsed/>
    <w:rsid w:val="00FD1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0D9"/>
  </w:style>
  <w:style w:type="character" w:customStyle="1" w:styleId="UnresolvedMention">
    <w:name w:val="Unresolved Mention"/>
    <w:basedOn w:val="DefaultParagraphFont"/>
    <w:uiPriority w:val="99"/>
    <w:semiHidden/>
    <w:unhideWhenUsed/>
    <w:rsid w:val="00591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783704">
      <w:bodyDiv w:val="1"/>
      <w:marLeft w:val="0"/>
      <w:marRight w:val="0"/>
      <w:marTop w:val="0"/>
      <w:marBottom w:val="0"/>
      <w:divBdr>
        <w:top w:val="none" w:sz="0" w:space="0" w:color="auto"/>
        <w:left w:val="none" w:sz="0" w:space="0" w:color="auto"/>
        <w:bottom w:val="none" w:sz="0" w:space="0" w:color="auto"/>
        <w:right w:val="none" w:sz="0" w:space="0" w:color="auto"/>
      </w:divBdr>
    </w:div>
    <w:div w:id="889651298">
      <w:bodyDiv w:val="1"/>
      <w:marLeft w:val="0"/>
      <w:marRight w:val="0"/>
      <w:marTop w:val="0"/>
      <w:marBottom w:val="0"/>
      <w:divBdr>
        <w:top w:val="none" w:sz="0" w:space="0" w:color="auto"/>
        <w:left w:val="none" w:sz="0" w:space="0" w:color="auto"/>
        <w:bottom w:val="none" w:sz="0" w:space="0" w:color="auto"/>
        <w:right w:val="none" w:sz="0" w:space="0" w:color="auto"/>
      </w:divBdr>
    </w:div>
    <w:div w:id="149136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emf"/><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hyperlink" Target="http://www.mass.gov/eohhs/gov/departments/dph/programs/id/" TargetMode="External"/><Relationship Id="rId17" Type="http://schemas.openxmlformats.org/officeDocument/2006/relationships/image" Target="media/image4.png"/><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lissa.cumming@state.ma.us" TargetMode="Externa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emf"/><Relationship Id="rId10" Type="http://schemas.openxmlformats.org/officeDocument/2006/relationships/hyperlink" Target="mailto:Alexandra.dejesus@state.ma.us"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27E0E-8812-4BE2-8398-B12298755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2556</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Hemovigilance Program Data, January – December 2017</dc:title>
  <dc:creator>DeJesus, Alexandra (DPH)</dc:creator>
  <cp:lastModifiedBy>AutoBVT</cp:lastModifiedBy>
  <cp:revision>3</cp:revision>
  <cp:lastPrinted>2018-07-19T20:03:00Z</cp:lastPrinted>
  <dcterms:created xsi:type="dcterms:W3CDTF">2019-01-10T18:33:00Z</dcterms:created>
  <dcterms:modified xsi:type="dcterms:W3CDTF">2019-01-10T21:13:00Z</dcterms:modified>
</cp:coreProperties>
</file>