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5F4" w:rsidRPr="00DC35F4" w:rsidRDefault="00DC35F4" w:rsidP="00DC35F4">
      <w:pPr>
        <w:shd w:val="clear" w:color="auto" w:fill="002677"/>
        <w:spacing w:line="240" w:lineRule="auto"/>
        <w:jc w:val="center"/>
        <w:rPr>
          <w:rFonts w:ascii="Calibri" w:hAnsi="Calibri"/>
          <w:b/>
          <w:sz w:val="4"/>
          <w:szCs w:val="4"/>
        </w:rPr>
      </w:pPr>
    </w:p>
    <w:p w:rsidR="00DC35F4" w:rsidRPr="00DC35F4" w:rsidRDefault="00DC35F4" w:rsidP="00DC35F4">
      <w:pPr>
        <w:shd w:val="clear" w:color="auto" w:fill="002677"/>
        <w:spacing w:line="240" w:lineRule="auto"/>
        <w:jc w:val="center"/>
        <w:rPr>
          <w:rFonts w:ascii="Calibri" w:hAnsi="Calibri"/>
          <w:b/>
          <w:sz w:val="36"/>
          <w:szCs w:val="36"/>
        </w:rPr>
      </w:pPr>
      <w:r w:rsidRPr="00DC35F4">
        <w:rPr>
          <w:rFonts w:ascii="Calibri" w:hAnsi="Calibri"/>
          <w:b/>
          <w:noProof/>
          <w:sz w:val="36"/>
          <w:szCs w:val="36"/>
        </w:rPr>
        <w:drawing>
          <wp:inline distT="0" distB="0" distL="0" distR="0" wp14:anchorId="16B0B7F7" wp14:editId="148E3F66">
            <wp:extent cx="1212112" cy="1212112"/>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Logo_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2112" cy="1212112"/>
                    </a:xfrm>
                    <a:prstGeom prst="rect">
                      <a:avLst/>
                    </a:prstGeom>
                  </pic:spPr>
                </pic:pic>
              </a:graphicData>
            </a:graphic>
          </wp:inline>
        </w:drawing>
      </w:r>
    </w:p>
    <w:p w:rsidR="00DC35F4" w:rsidRPr="00DC35F4" w:rsidRDefault="00DC35F4" w:rsidP="00DC35F4">
      <w:pPr>
        <w:shd w:val="clear" w:color="auto" w:fill="002677"/>
        <w:spacing w:line="240" w:lineRule="auto"/>
        <w:jc w:val="center"/>
        <w:rPr>
          <w:rFonts w:ascii="Calibri" w:hAnsi="Calibri"/>
          <w:b/>
          <w:sz w:val="4"/>
          <w:szCs w:val="4"/>
        </w:rPr>
      </w:pPr>
    </w:p>
    <w:p w:rsidR="00DC35F4" w:rsidRPr="00DC35F4" w:rsidRDefault="00DC35F4" w:rsidP="00DC35F4">
      <w:pPr>
        <w:spacing w:line="240" w:lineRule="auto"/>
        <w:jc w:val="center"/>
        <w:rPr>
          <w:rFonts w:ascii="Arial" w:hAnsi="Arial" w:cs="Arial"/>
          <w:b/>
          <w:sz w:val="36"/>
          <w:szCs w:val="32"/>
        </w:rPr>
      </w:pPr>
      <w:r w:rsidRPr="00DC35F4">
        <w:rPr>
          <w:rFonts w:ascii="Arial" w:hAnsi="Arial" w:cs="Arial"/>
          <w:b/>
          <w:sz w:val="36"/>
          <w:szCs w:val="32"/>
        </w:rPr>
        <w:t>Bureau of Infectious Disease and Laboratory Sciences</w:t>
      </w:r>
    </w:p>
    <w:p w:rsidR="00DC35F4" w:rsidRPr="00DC35F4" w:rsidRDefault="00DC35F4" w:rsidP="00DC35F4">
      <w:pPr>
        <w:spacing w:line="240" w:lineRule="auto"/>
        <w:jc w:val="center"/>
        <w:rPr>
          <w:rFonts w:ascii="Arial" w:hAnsi="Arial" w:cs="Arial"/>
          <w:b/>
          <w:sz w:val="32"/>
          <w:szCs w:val="36"/>
        </w:rPr>
      </w:pPr>
      <w:r w:rsidRPr="00DC35F4">
        <w:rPr>
          <w:rFonts w:ascii="Arial" w:hAnsi="Arial" w:cs="Arial"/>
          <w:b/>
          <w:sz w:val="32"/>
          <w:szCs w:val="36"/>
        </w:rPr>
        <w:t xml:space="preserve">Hemovigilance Program Data Summary, </w:t>
      </w:r>
    </w:p>
    <w:p w:rsidR="00DC35F4" w:rsidRPr="00DC35F4" w:rsidRDefault="00DC35F4" w:rsidP="00DC35F4">
      <w:pPr>
        <w:spacing w:line="240" w:lineRule="auto"/>
        <w:jc w:val="center"/>
        <w:rPr>
          <w:rFonts w:ascii="Arial" w:hAnsi="Arial" w:cs="Arial"/>
          <w:b/>
          <w:sz w:val="32"/>
          <w:szCs w:val="36"/>
        </w:rPr>
      </w:pPr>
      <w:r w:rsidRPr="00DC35F4">
        <w:rPr>
          <w:rFonts w:ascii="Arial" w:hAnsi="Arial" w:cs="Arial"/>
          <w:b/>
          <w:sz w:val="32"/>
          <w:szCs w:val="36"/>
        </w:rPr>
        <w:t>January 1-December 31, 2018</w:t>
      </w:r>
    </w:p>
    <w:p w:rsidR="00052D68" w:rsidRDefault="00052D68" w:rsidP="00052D68"/>
    <w:p w:rsidR="006F0AC0" w:rsidRDefault="006F0AC0" w:rsidP="00477EE3">
      <w:pPr>
        <w:spacing w:after="0" w:line="240" w:lineRule="auto"/>
        <w:jc w:val="center"/>
        <w:rPr>
          <w:rFonts w:ascii="Arial" w:eastAsia="Times New Roman" w:hAnsi="Arial" w:cs="Arial"/>
          <w:b/>
          <w:sz w:val="36"/>
          <w:szCs w:val="32"/>
        </w:rPr>
      </w:pPr>
    </w:p>
    <w:p w:rsidR="0031599C" w:rsidRDefault="0031599C"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EA3F1A" w:rsidRDefault="00EA3F1A" w:rsidP="00184E48">
      <w:pPr>
        <w:pStyle w:val="NormalWeb"/>
        <w:shd w:val="clear" w:color="auto" w:fill="FFFFFF"/>
        <w:spacing w:after="0"/>
        <w:rPr>
          <w:rStyle w:val="Strong"/>
          <w:rFonts w:ascii="Arial" w:hAnsi="Arial" w:cs="Arial"/>
          <w:sz w:val="22"/>
          <w:szCs w:val="22"/>
          <w:lang w:val="en"/>
        </w:rPr>
      </w:pPr>
    </w:p>
    <w:p w:rsidR="0031599C" w:rsidRDefault="0031599C" w:rsidP="00184E48">
      <w:pPr>
        <w:pStyle w:val="NormalWeb"/>
        <w:shd w:val="clear" w:color="auto" w:fill="FFFFFF"/>
        <w:spacing w:after="0"/>
        <w:rPr>
          <w:rStyle w:val="Strong"/>
          <w:rFonts w:ascii="Arial" w:hAnsi="Arial" w:cs="Arial"/>
          <w:sz w:val="22"/>
          <w:szCs w:val="22"/>
          <w:lang w:val="en"/>
        </w:rPr>
      </w:pPr>
    </w:p>
    <w:p w:rsidR="00EA3F1A" w:rsidRPr="00EA3F1A" w:rsidRDefault="00EA3F1A" w:rsidP="00EA3F1A">
      <w:pPr>
        <w:spacing w:after="0" w:line="240" w:lineRule="auto"/>
        <w:rPr>
          <w:rFonts w:ascii="Arial" w:eastAsia="Times New Roman" w:hAnsi="Arial" w:cs="Arial"/>
          <w:b/>
        </w:rPr>
      </w:pPr>
      <w:r w:rsidRPr="00EA3F1A">
        <w:rPr>
          <w:rFonts w:ascii="Arial" w:eastAsia="Times New Roman" w:hAnsi="Arial" w:cs="Arial"/>
          <w:b/>
        </w:rPr>
        <w:t>Suggested citation:</w:t>
      </w:r>
    </w:p>
    <w:p w:rsidR="00EA3F1A" w:rsidRPr="00EA3F1A" w:rsidRDefault="00EA3F1A" w:rsidP="00EA3F1A">
      <w:pPr>
        <w:spacing w:after="0" w:line="240" w:lineRule="auto"/>
        <w:rPr>
          <w:rFonts w:ascii="Arial" w:eastAsia="Times New Roman" w:hAnsi="Arial" w:cs="Arial"/>
          <w:b/>
          <w:sz w:val="24"/>
        </w:rPr>
      </w:pPr>
    </w:p>
    <w:p w:rsidR="00EA3F1A" w:rsidRPr="00EA3F1A" w:rsidRDefault="00EA3F1A" w:rsidP="00EA3F1A">
      <w:pPr>
        <w:spacing w:after="0" w:line="240" w:lineRule="auto"/>
        <w:rPr>
          <w:rFonts w:ascii="Arial" w:eastAsia="Times New Roman" w:hAnsi="Arial" w:cs="Arial"/>
          <w:i/>
        </w:rPr>
      </w:pPr>
      <w:r w:rsidRPr="00EA3F1A">
        <w:rPr>
          <w:rFonts w:ascii="Arial" w:eastAsia="Times New Roman" w:hAnsi="Arial" w:cs="Arial"/>
        </w:rPr>
        <w:t>Massachusetts Department of Public Health, Bureau of Infectious Disease and Laboratory Sciences.</w:t>
      </w:r>
      <w:r w:rsidRPr="00EA3F1A">
        <w:rPr>
          <w:rFonts w:ascii="Arial" w:eastAsia="Times New Roman" w:hAnsi="Arial" w:cs="Arial"/>
          <w:b/>
        </w:rPr>
        <w:t xml:space="preserve"> </w:t>
      </w:r>
      <w:r w:rsidRPr="00EA3F1A">
        <w:rPr>
          <w:rFonts w:ascii="Arial" w:eastAsia="Times New Roman" w:hAnsi="Arial" w:cs="Arial"/>
          <w:i/>
        </w:rPr>
        <w:t>Hemovigilance Program Data Summary January 1 – December 31, 2018.</w:t>
      </w:r>
    </w:p>
    <w:p w:rsidR="00EA3F1A" w:rsidRPr="00EA3F1A" w:rsidRDefault="00052C24" w:rsidP="00EA3F1A">
      <w:pPr>
        <w:spacing w:after="0" w:line="240" w:lineRule="auto"/>
        <w:rPr>
          <w:rFonts w:ascii="Arial" w:eastAsia="Times New Roman" w:hAnsi="Arial" w:cs="Arial"/>
        </w:rPr>
      </w:pPr>
      <w:hyperlink r:id="rId9" w:history="1">
        <w:r w:rsidR="00EA3F1A" w:rsidRPr="00EA3F1A">
          <w:rPr>
            <w:rFonts w:ascii="Arial" w:hAnsi="Arial" w:cs="Arial"/>
            <w:color w:val="0000FF"/>
            <w:u w:val="single"/>
          </w:rPr>
          <w:t>https://www.mass.gov/service-details/reporting-requirements-for-blood-banks-and-hemovigilance-in-massachusetts</w:t>
        </w:r>
      </w:hyperlink>
      <w:r>
        <w:rPr>
          <w:rFonts w:ascii="Arial" w:eastAsia="Times New Roman" w:hAnsi="Arial" w:cs="Arial"/>
        </w:rPr>
        <w:t>. Published September</w:t>
      </w:r>
      <w:bookmarkStart w:id="0" w:name="_GoBack"/>
      <w:bookmarkEnd w:id="0"/>
      <w:r w:rsidR="00EA3F1A" w:rsidRPr="00EA3F1A">
        <w:rPr>
          <w:rFonts w:ascii="Arial" w:eastAsia="Times New Roman" w:hAnsi="Arial" w:cs="Arial"/>
        </w:rPr>
        <w:t xml:space="preserve"> 2019. Accessed [date].</w:t>
      </w:r>
    </w:p>
    <w:p w:rsidR="0031599C" w:rsidRPr="00EA3F1A" w:rsidRDefault="0031599C" w:rsidP="00184E48">
      <w:pPr>
        <w:pStyle w:val="NormalWeb"/>
        <w:shd w:val="clear" w:color="auto" w:fill="FFFFFF"/>
        <w:spacing w:after="0"/>
        <w:rPr>
          <w:rStyle w:val="Strong"/>
          <w:rFonts w:ascii="Arial" w:hAnsi="Arial" w:cs="Arial"/>
          <w:szCs w:val="22"/>
          <w:lang w:val="en"/>
        </w:rPr>
      </w:pPr>
    </w:p>
    <w:p w:rsidR="00477EE3" w:rsidRPr="00EA3F1A" w:rsidRDefault="00477EE3" w:rsidP="00EA3F1A">
      <w:pPr>
        <w:pStyle w:val="NormalWeb"/>
        <w:shd w:val="clear" w:color="auto" w:fill="FFFFFF"/>
        <w:spacing w:after="0"/>
        <w:rPr>
          <w:rFonts w:ascii="Arial" w:hAnsi="Arial" w:cs="Arial"/>
          <w:sz w:val="22"/>
          <w:szCs w:val="22"/>
          <w:lang w:val="en"/>
        </w:rPr>
      </w:pPr>
      <w:r w:rsidRPr="00EA3F1A">
        <w:rPr>
          <w:rStyle w:val="Strong"/>
          <w:rFonts w:ascii="Arial" w:hAnsi="Arial" w:cs="Arial"/>
          <w:sz w:val="22"/>
          <w:szCs w:val="22"/>
          <w:lang w:val="en"/>
        </w:rPr>
        <w:t>Bureau of Infectious Disease and Laboratory Sciences</w:t>
      </w:r>
      <w:r w:rsidRPr="00EA3F1A">
        <w:rPr>
          <w:rFonts w:ascii="Arial" w:hAnsi="Arial" w:cs="Arial"/>
          <w:szCs w:val="22"/>
          <w:lang w:val="en"/>
        </w:rPr>
        <w:br/>
      </w:r>
      <w:r w:rsidR="00A929D7" w:rsidRPr="00EA3F1A">
        <w:rPr>
          <w:rFonts w:ascii="Arial" w:hAnsi="Arial" w:cs="Arial"/>
          <w:sz w:val="22"/>
          <w:szCs w:val="22"/>
          <w:lang w:val="en"/>
        </w:rPr>
        <w:t>The Massachusetts Public Health State Laboratory</w:t>
      </w:r>
      <w:r w:rsidRPr="00EA3F1A">
        <w:rPr>
          <w:rFonts w:ascii="Arial" w:hAnsi="Arial" w:cs="Arial"/>
          <w:sz w:val="22"/>
          <w:szCs w:val="22"/>
          <w:lang w:val="en"/>
        </w:rPr>
        <w:br/>
        <w:t>305 South Street</w:t>
      </w:r>
      <w:r w:rsidRPr="00EA3F1A">
        <w:rPr>
          <w:rFonts w:ascii="Arial" w:hAnsi="Arial" w:cs="Arial"/>
          <w:sz w:val="22"/>
          <w:szCs w:val="22"/>
          <w:lang w:val="en"/>
        </w:rPr>
        <w:br/>
        <w:t>Jamaica Plain, MA 02130</w:t>
      </w:r>
    </w:p>
    <w:p w:rsidR="00EA3F1A" w:rsidRPr="00EA3F1A" w:rsidRDefault="00EA3F1A" w:rsidP="00EA3F1A">
      <w:pPr>
        <w:pStyle w:val="NormalWeb"/>
        <w:shd w:val="clear" w:color="auto" w:fill="FFFFFF"/>
        <w:spacing w:after="0"/>
        <w:rPr>
          <w:rFonts w:ascii="Arial" w:hAnsi="Arial" w:cs="Arial"/>
          <w:b/>
          <w:bCs/>
          <w:sz w:val="22"/>
          <w:szCs w:val="22"/>
          <w:lang w:val="en"/>
        </w:rPr>
      </w:pPr>
    </w:p>
    <w:p w:rsidR="00591FB5" w:rsidRPr="00EA3F1A" w:rsidRDefault="00591FB5" w:rsidP="00477EE3">
      <w:pPr>
        <w:spacing w:after="0" w:line="240" w:lineRule="auto"/>
        <w:rPr>
          <w:rFonts w:ascii="Arial" w:eastAsia="Times New Roman" w:hAnsi="Arial" w:cs="Arial"/>
          <w:b/>
        </w:rPr>
      </w:pPr>
      <w:r w:rsidRPr="00EA3F1A">
        <w:rPr>
          <w:rFonts w:ascii="Arial" w:eastAsia="Times New Roman" w:hAnsi="Arial" w:cs="Arial"/>
          <w:b/>
        </w:rPr>
        <w:t>For questions about this report, contact:</w:t>
      </w:r>
    </w:p>
    <w:p w:rsidR="00591FB5" w:rsidRPr="00EA3F1A" w:rsidRDefault="00052C24" w:rsidP="00477EE3">
      <w:pPr>
        <w:spacing w:after="0" w:line="240" w:lineRule="auto"/>
        <w:rPr>
          <w:rFonts w:ascii="Arial" w:eastAsia="Times New Roman" w:hAnsi="Arial" w:cs="Arial"/>
        </w:rPr>
      </w:pPr>
      <w:hyperlink r:id="rId10" w:history="1">
        <w:r w:rsidR="00591FB5" w:rsidRPr="00EA3F1A">
          <w:rPr>
            <w:rStyle w:val="Hyperlink"/>
            <w:rFonts w:ascii="Arial" w:eastAsia="Times New Roman" w:hAnsi="Arial" w:cs="Arial"/>
          </w:rPr>
          <w:t>Alexandra.dejesus@state.ma.us</w:t>
        </w:r>
      </w:hyperlink>
      <w:r w:rsidR="00591FB5" w:rsidRPr="00EA3F1A">
        <w:rPr>
          <w:rFonts w:ascii="Arial" w:eastAsia="Times New Roman" w:hAnsi="Arial" w:cs="Arial"/>
        </w:rPr>
        <w:t xml:space="preserve"> or </w:t>
      </w:r>
      <w:hyperlink r:id="rId11" w:history="1">
        <w:r w:rsidR="00591FB5" w:rsidRPr="00EA3F1A">
          <w:rPr>
            <w:rStyle w:val="Hyperlink"/>
            <w:rFonts w:ascii="Arial" w:eastAsia="Times New Roman" w:hAnsi="Arial" w:cs="Arial"/>
          </w:rPr>
          <w:t>Melissa.cumming@state.ma.us</w:t>
        </w:r>
      </w:hyperlink>
      <w:r w:rsidR="00591FB5" w:rsidRPr="00EA3F1A">
        <w:rPr>
          <w:rFonts w:ascii="Arial" w:eastAsia="Times New Roman" w:hAnsi="Arial" w:cs="Arial"/>
        </w:rPr>
        <w:t xml:space="preserve"> </w:t>
      </w:r>
    </w:p>
    <w:p w:rsidR="00477EE3" w:rsidRPr="00EA3F1A" w:rsidRDefault="00477EE3" w:rsidP="00477EE3">
      <w:pPr>
        <w:pStyle w:val="Default"/>
        <w:spacing w:before="240"/>
        <w:rPr>
          <w:rFonts w:ascii="Arial" w:hAnsi="Arial" w:cs="Arial"/>
          <w:sz w:val="22"/>
          <w:szCs w:val="22"/>
        </w:rPr>
      </w:pPr>
      <w:r w:rsidRPr="00EA3F1A">
        <w:rPr>
          <w:rStyle w:val="SC2721"/>
          <w:rFonts w:ascii="Arial" w:hAnsi="Arial" w:cs="Arial"/>
          <w:b/>
          <w:bCs/>
          <w:sz w:val="22"/>
          <w:szCs w:val="22"/>
        </w:rPr>
        <w:t>Acknowledgments</w:t>
      </w:r>
    </w:p>
    <w:p w:rsidR="00477EE3" w:rsidRPr="00EA3F1A" w:rsidRDefault="00477EE3" w:rsidP="00FD10D9">
      <w:pPr>
        <w:pStyle w:val="NoSpacing"/>
        <w:rPr>
          <w:rFonts w:ascii="Arial" w:hAnsi="Arial" w:cs="Arial"/>
        </w:rPr>
      </w:pPr>
      <w:r w:rsidRPr="00EA3F1A">
        <w:rPr>
          <w:rFonts w:ascii="Arial" w:hAnsi="Arial" w:cs="Arial"/>
          <w:spacing w:val="-1"/>
        </w:rPr>
        <w:t>This</w:t>
      </w:r>
      <w:r w:rsidRPr="00EA3F1A">
        <w:rPr>
          <w:rFonts w:ascii="Arial" w:hAnsi="Arial" w:cs="Arial"/>
        </w:rPr>
        <w:t xml:space="preserve"> report was prepared by the following MDPH staff:</w:t>
      </w:r>
    </w:p>
    <w:p w:rsidR="00EA3F1A" w:rsidRPr="00EA3F1A" w:rsidRDefault="00EA3F1A" w:rsidP="00FD10D9">
      <w:pPr>
        <w:pStyle w:val="NoSpacing"/>
        <w:rPr>
          <w:rFonts w:ascii="Arial" w:hAnsi="Arial" w:cs="Arial"/>
        </w:rPr>
      </w:pPr>
    </w:p>
    <w:p w:rsidR="000F1EBA" w:rsidRPr="00EA3F1A" w:rsidRDefault="00477EE3" w:rsidP="00FD10D9">
      <w:pPr>
        <w:pStyle w:val="NoSpacing"/>
        <w:rPr>
          <w:rFonts w:ascii="Arial" w:hAnsi="Arial" w:cs="Arial"/>
          <w:spacing w:val="-8"/>
          <w:lang w:val="es-SV"/>
        </w:rPr>
      </w:pPr>
      <w:r w:rsidRPr="00EA3F1A">
        <w:rPr>
          <w:rFonts w:ascii="Arial" w:hAnsi="Arial" w:cs="Arial"/>
          <w:lang w:val="es-SV"/>
        </w:rPr>
        <w:t>Ale</w:t>
      </w:r>
      <w:r w:rsidR="00FD10D9" w:rsidRPr="00EA3F1A">
        <w:rPr>
          <w:rFonts w:ascii="Arial" w:hAnsi="Arial" w:cs="Arial"/>
          <w:lang w:val="es-SV"/>
        </w:rPr>
        <w:t>x</w:t>
      </w:r>
      <w:r w:rsidRPr="00EA3F1A">
        <w:rPr>
          <w:rFonts w:ascii="Arial" w:hAnsi="Arial" w:cs="Arial"/>
          <w:lang w:val="es-SV"/>
        </w:rPr>
        <w:t>andra De Jesus</w:t>
      </w:r>
      <w:r w:rsidRPr="00EA3F1A">
        <w:rPr>
          <w:rFonts w:ascii="Arial" w:hAnsi="Arial" w:cs="Arial"/>
          <w:spacing w:val="-1"/>
          <w:lang w:val="es-SV"/>
        </w:rPr>
        <w:t>,</w:t>
      </w:r>
      <w:r w:rsidRPr="00EA3F1A">
        <w:rPr>
          <w:rFonts w:ascii="Arial" w:hAnsi="Arial" w:cs="Arial"/>
          <w:spacing w:val="-8"/>
          <w:lang w:val="es-SV"/>
        </w:rPr>
        <w:t xml:space="preserve"> </w:t>
      </w:r>
      <w:r w:rsidR="00FD10D9" w:rsidRPr="00EA3F1A">
        <w:rPr>
          <w:rFonts w:ascii="Arial" w:hAnsi="Arial" w:cs="Arial"/>
          <w:spacing w:val="-8"/>
          <w:lang w:val="es-SV"/>
        </w:rPr>
        <w:t>MPH</w:t>
      </w:r>
    </w:p>
    <w:p w:rsidR="00477EE3" w:rsidRPr="00EA3F1A" w:rsidRDefault="00477EE3" w:rsidP="00FD10D9">
      <w:pPr>
        <w:pStyle w:val="NoSpacing"/>
        <w:rPr>
          <w:rFonts w:ascii="Arial" w:hAnsi="Arial" w:cs="Arial"/>
          <w:spacing w:val="1"/>
          <w:w w:val="99"/>
          <w:lang w:val="es-SV"/>
        </w:rPr>
      </w:pPr>
      <w:r w:rsidRPr="00EA3F1A">
        <w:rPr>
          <w:rFonts w:ascii="Arial" w:hAnsi="Arial" w:cs="Arial"/>
          <w:lang w:val="es-SV"/>
        </w:rPr>
        <w:t>Melissa</w:t>
      </w:r>
      <w:r w:rsidRPr="00EA3F1A">
        <w:rPr>
          <w:rFonts w:ascii="Arial" w:hAnsi="Arial" w:cs="Arial"/>
          <w:spacing w:val="-8"/>
          <w:lang w:val="es-SV"/>
        </w:rPr>
        <w:t xml:space="preserve"> </w:t>
      </w:r>
      <w:r w:rsidRPr="00EA3F1A">
        <w:rPr>
          <w:rFonts w:ascii="Arial" w:hAnsi="Arial" w:cs="Arial"/>
          <w:lang w:val="es-SV"/>
        </w:rPr>
        <w:t>Cumming,</w:t>
      </w:r>
      <w:r w:rsidRPr="00EA3F1A">
        <w:rPr>
          <w:rFonts w:ascii="Arial" w:hAnsi="Arial" w:cs="Arial"/>
          <w:spacing w:val="-9"/>
          <w:lang w:val="es-SV"/>
        </w:rPr>
        <w:t xml:space="preserve"> </w:t>
      </w:r>
      <w:r w:rsidRPr="00EA3F1A">
        <w:rPr>
          <w:rFonts w:ascii="Arial" w:hAnsi="Arial" w:cs="Arial"/>
          <w:spacing w:val="1"/>
          <w:lang w:val="es-SV"/>
        </w:rPr>
        <w:t>MS</w:t>
      </w:r>
      <w:r w:rsidRPr="00EA3F1A">
        <w:rPr>
          <w:rFonts w:ascii="Arial" w:hAnsi="Arial" w:cs="Arial"/>
          <w:spacing w:val="1"/>
          <w:w w:val="99"/>
          <w:lang w:val="es-SV"/>
        </w:rPr>
        <w:t xml:space="preserve"> </w:t>
      </w:r>
    </w:p>
    <w:p w:rsidR="00EA3F1A" w:rsidRDefault="006C30E9" w:rsidP="00EA3F1A">
      <w:pPr>
        <w:pStyle w:val="NoSpacing"/>
        <w:rPr>
          <w:rFonts w:ascii="Arial" w:hAnsi="Arial" w:cs="Arial"/>
          <w:spacing w:val="1"/>
          <w:w w:val="99"/>
          <w:lang w:val="es-SV"/>
        </w:rPr>
      </w:pPr>
      <w:r w:rsidRPr="00EA3F1A">
        <w:rPr>
          <w:rFonts w:ascii="Arial" w:hAnsi="Arial" w:cs="Arial"/>
          <w:spacing w:val="1"/>
          <w:w w:val="99"/>
          <w:lang w:val="es-SV"/>
        </w:rPr>
        <w:t>Christina Brandeburg, MPH</w:t>
      </w:r>
      <w:bookmarkStart w:id="1" w:name="report_v8"/>
      <w:bookmarkStart w:id="2" w:name="_Toc516748488"/>
      <w:bookmarkEnd w:id="1"/>
    </w:p>
    <w:p w:rsidR="00EA3F1A" w:rsidRDefault="00EA3F1A" w:rsidP="00EA3F1A">
      <w:pPr>
        <w:pStyle w:val="NoSpacing"/>
        <w:rPr>
          <w:rFonts w:ascii="Arial" w:hAnsi="Arial" w:cs="Arial"/>
          <w:spacing w:val="1"/>
          <w:w w:val="99"/>
          <w:lang w:val="es-SV"/>
        </w:rPr>
      </w:pPr>
    </w:p>
    <w:p w:rsidR="00EA3F1A" w:rsidRDefault="00EA3F1A" w:rsidP="00EA3F1A">
      <w:pPr>
        <w:pStyle w:val="NoSpacing"/>
        <w:rPr>
          <w:rFonts w:ascii="Arial" w:hAnsi="Arial" w:cs="Arial"/>
          <w:spacing w:val="1"/>
          <w:w w:val="99"/>
          <w:lang w:val="es-SV"/>
        </w:rPr>
      </w:pPr>
    </w:p>
    <w:p w:rsidR="00EA3F1A" w:rsidRDefault="00EA3F1A" w:rsidP="00EA3F1A">
      <w:pPr>
        <w:pStyle w:val="NoSpacing"/>
        <w:rPr>
          <w:rFonts w:ascii="Arial" w:hAnsi="Arial" w:cs="Arial"/>
          <w:spacing w:val="1"/>
          <w:w w:val="99"/>
          <w:lang w:val="es-SV"/>
        </w:rPr>
      </w:pPr>
    </w:p>
    <w:p w:rsidR="00EA3F1A" w:rsidRDefault="00EA3F1A" w:rsidP="00EA3F1A">
      <w:pPr>
        <w:pStyle w:val="NoSpacing"/>
        <w:rPr>
          <w:rFonts w:ascii="Arial" w:hAnsi="Arial" w:cs="Arial"/>
          <w:spacing w:val="1"/>
          <w:w w:val="99"/>
          <w:lang w:val="es-SV"/>
        </w:rPr>
      </w:pPr>
    </w:p>
    <w:p w:rsidR="00EA3F1A" w:rsidRDefault="00EA3F1A" w:rsidP="00EA3F1A">
      <w:pPr>
        <w:pStyle w:val="NoSpacing"/>
        <w:rPr>
          <w:rFonts w:ascii="Arial" w:hAnsi="Arial" w:cs="Arial"/>
          <w:spacing w:val="1"/>
          <w:w w:val="99"/>
          <w:lang w:val="es-SV"/>
        </w:rPr>
      </w:pPr>
    </w:p>
    <w:p w:rsidR="00052D68" w:rsidRPr="00E447AD" w:rsidRDefault="00052D68" w:rsidP="00EA3F1A">
      <w:pPr>
        <w:pStyle w:val="NoSpacing"/>
        <w:jc w:val="center"/>
        <w:rPr>
          <w:rFonts w:ascii="Arial" w:eastAsia="Arial" w:hAnsi="Arial" w:cs="Arial"/>
          <w:sz w:val="20"/>
          <w:szCs w:val="20"/>
        </w:rPr>
      </w:pPr>
      <w:r w:rsidRPr="00E447AD">
        <w:rPr>
          <w:rFonts w:ascii="Arial" w:eastAsia="Arial" w:hAnsi="Arial" w:cs="Arial"/>
          <w:b/>
          <w:bCs/>
          <w:spacing w:val="-1"/>
          <w:sz w:val="20"/>
          <w:szCs w:val="20"/>
        </w:rPr>
        <w:lastRenderedPageBreak/>
        <w:t>Executive</w:t>
      </w:r>
      <w:r w:rsidRPr="00E447AD">
        <w:rPr>
          <w:rFonts w:ascii="Arial" w:eastAsia="Arial" w:hAnsi="Arial" w:cs="Arial"/>
          <w:b/>
          <w:bCs/>
          <w:sz w:val="20"/>
          <w:szCs w:val="20"/>
        </w:rPr>
        <w:t xml:space="preserve"> </w:t>
      </w:r>
      <w:r w:rsidRPr="00E447AD">
        <w:rPr>
          <w:rFonts w:ascii="Arial" w:eastAsia="Arial" w:hAnsi="Arial" w:cs="Arial"/>
          <w:b/>
          <w:bCs/>
          <w:spacing w:val="-1"/>
          <w:sz w:val="20"/>
          <w:szCs w:val="20"/>
        </w:rPr>
        <w:t>Summary</w:t>
      </w:r>
      <w:bookmarkEnd w:id="2"/>
    </w:p>
    <w:p w:rsidR="00052D68" w:rsidRPr="00E447AD" w:rsidRDefault="00052D68" w:rsidP="00052D68">
      <w:pPr>
        <w:widowControl w:val="0"/>
        <w:spacing w:before="6" w:after="0" w:line="240" w:lineRule="auto"/>
        <w:rPr>
          <w:rFonts w:ascii="Arial" w:eastAsia="Arial" w:hAnsi="Arial" w:cs="Arial"/>
          <w:b/>
          <w:bCs/>
          <w:sz w:val="20"/>
          <w:szCs w:val="20"/>
        </w:rPr>
      </w:pPr>
    </w:p>
    <w:p w:rsidR="00052D68" w:rsidRPr="003B2B1A" w:rsidRDefault="003B2B1A" w:rsidP="00052D68">
      <w:pPr>
        <w:widowControl w:val="0"/>
        <w:spacing w:before="11" w:after="0" w:line="240" w:lineRule="auto"/>
        <w:rPr>
          <w:rFonts w:ascii="Arial" w:eastAsia="Arial" w:hAnsi="Arial" w:cs="Arial"/>
          <w:b/>
          <w:bCs/>
          <w:spacing w:val="-1"/>
          <w:sz w:val="20"/>
          <w:szCs w:val="20"/>
        </w:rPr>
      </w:pPr>
      <w:r w:rsidRPr="003B2B1A">
        <w:rPr>
          <w:rFonts w:ascii="Arial" w:eastAsia="Arial" w:hAnsi="Arial" w:cs="Arial"/>
          <w:b/>
          <w:bCs/>
          <w:spacing w:val="-1"/>
          <w:sz w:val="20"/>
          <w:szCs w:val="20"/>
        </w:rPr>
        <w:t>Introduction</w:t>
      </w:r>
    </w:p>
    <w:p w:rsidR="003B2B1A" w:rsidRPr="00E447AD" w:rsidRDefault="003B2B1A" w:rsidP="00052D68">
      <w:pPr>
        <w:widowControl w:val="0"/>
        <w:spacing w:before="11" w:after="0" w:line="240" w:lineRule="auto"/>
        <w:rPr>
          <w:rFonts w:ascii="Arial" w:eastAsia="Arial" w:hAnsi="Arial" w:cs="Arial"/>
          <w:b/>
          <w:bCs/>
          <w:sz w:val="20"/>
          <w:szCs w:val="20"/>
        </w:rPr>
      </w:pPr>
    </w:p>
    <w:p w:rsidR="00632BA9" w:rsidRPr="00E447AD" w:rsidRDefault="00632BA9" w:rsidP="00632BA9">
      <w:pPr>
        <w:pStyle w:val="NoSpacing"/>
        <w:rPr>
          <w:rFonts w:ascii="Arial" w:hAnsi="Arial" w:cs="Arial"/>
          <w:sz w:val="20"/>
          <w:szCs w:val="20"/>
        </w:rPr>
      </w:pPr>
      <w:r w:rsidRPr="00E447AD">
        <w:rPr>
          <w:rFonts w:ascii="Arial" w:hAnsi="Arial" w:cs="Arial"/>
          <w:sz w:val="20"/>
          <w:szCs w:val="20"/>
        </w:rPr>
        <w:t xml:space="preserve">This report includes data </w:t>
      </w:r>
      <w:r w:rsidR="000C017B">
        <w:rPr>
          <w:rFonts w:ascii="Arial" w:hAnsi="Arial" w:cs="Arial"/>
          <w:sz w:val="20"/>
          <w:szCs w:val="20"/>
        </w:rPr>
        <w:t>submitted</w:t>
      </w:r>
      <w:r w:rsidRPr="00E447AD">
        <w:rPr>
          <w:rFonts w:ascii="Arial" w:hAnsi="Arial" w:cs="Arial"/>
          <w:sz w:val="20"/>
          <w:szCs w:val="20"/>
        </w:rPr>
        <w:t xml:space="preserve"> by Massachusetts blood banks </w:t>
      </w:r>
      <w:r w:rsidR="000C017B">
        <w:rPr>
          <w:rFonts w:ascii="Arial" w:hAnsi="Arial" w:cs="Arial"/>
          <w:sz w:val="20"/>
          <w:szCs w:val="20"/>
        </w:rPr>
        <w:t xml:space="preserve">to </w:t>
      </w:r>
      <w:r w:rsidRPr="00E447AD">
        <w:rPr>
          <w:rFonts w:ascii="Arial" w:hAnsi="Arial" w:cs="Arial"/>
          <w:sz w:val="20"/>
          <w:szCs w:val="20"/>
        </w:rPr>
        <w:t>the Hemovigilance Module of the National Healthcare Safety</w:t>
      </w:r>
      <w:r w:rsidRPr="00E447AD">
        <w:rPr>
          <w:rFonts w:ascii="Arial" w:hAnsi="Arial" w:cs="Arial"/>
          <w:spacing w:val="64"/>
          <w:sz w:val="20"/>
          <w:szCs w:val="20"/>
        </w:rPr>
        <w:t xml:space="preserve"> </w:t>
      </w:r>
      <w:r w:rsidRPr="00E447AD">
        <w:rPr>
          <w:rFonts w:ascii="Arial" w:hAnsi="Arial" w:cs="Arial"/>
          <w:sz w:val="20"/>
          <w:szCs w:val="20"/>
        </w:rPr>
        <w:t>Network (NHSN) from January 1, 201</w:t>
      </w:r>
      <w:r w:rsidR="001B2700" w:rsidRPr="00E447AD">
        <w:rPr>
          <w:rFonts w:ascii="Arial" w:hAnsi="Arial" w:cs="Arial"/>
          <w:sz w:val="20"/>
          <w:szCs w:val="20"/>
        </w:rPr>
        <w:t>8</w:t>
      </w:r>
      <w:r w:rsidRPr="00E447AD">
        <w:rPr>
          <w:rFonts w:ascii="Arial" w:hAnsi="Arial" w:cs="Arial"/>
          <w:sz w:val="20"/>
          <w:szCs w:val="20"/>
        </w:rPr>
        <w:t xml:space="preserve"> through</w:t>
      </w:r>
      <w:r w:rsidRPr="00E447AD">
        <w:rPr>
          <w:rFonts w:ascii="Arial" w:hAnsi="Arial" w:cs="Arial"/>
          <w:spacing w:val="-2"/>
          <w:sz w:val="20"/>
          <w:szCs w:val="20"/>
        </w:rPr>
        <w:t xml:space="preserve"> </w:t>
      </w:r>
      <w:r w:rsidRPr="00E447AD">
        <w:rPr>
          <w:rFonts w:ascii="Arial" w:hAnsi="Arial" w:cs="Arial"/>
          <w:sz w:val="20"/>
          <w:szCs w:val="20"/>
        </w:rPr>
        <w:t>December 31, 201</w:t>
      </w:r>
      <w:r w:rsidR="001B2700" w:rsidRPr="00E447AD">
        <w:rPr>
          <w:rFonts w:ascii="Arial" w:hAnsi="Arial" w:cs="Arial"/>
          <w:sz w:val="20"/>
          <w:szCs w:val="20"/>
        </w:rPr>
        <w:t>8</w:t>
      </w:r>
      <w:r w:rsidRPr="00E447AD">
        <w:rPr>
          <w:rFonts w:ascii="Arial" w:hAnsi="Arial" w:cs="Arial"/>
          <w:sz w:val="20"/>
          <w:szCs w:val="20"/>
        </w:rPr>
        <w:t>. The</w:t>
      </w:r>
      <w:r w:rsidRPr="00E447AD">
        <w:rPr>
          <w:rFonts w:ascii="Arial" w:hAnsi="Arial" w:cs="Arial"/>
          <w:spacing w:val="20"/>
          <w:sz w:val="20"/>
          <w:szCs w:val="20"/>
        </w:rPr>
        <w:t xml:space="preserve"> </w:t>
      </w:r>
      <w:r w:rsidRPr="00E447AD">
        <w:rPr>
          <w:rFonts w:ascii="Arial" w:hAnsi="Arial" w:cs="Arial"/>
          <w:sz w:val="20"/>
          <w:szCs w:val="20"/>
        </w:rPr>
        <w:t>purpose of this report is to</w:t>
      </w:r>
      <w:r w:rsidRPr="00E447AD">
        <w:rPr>
          <w:rFonts w:ascii="Arial" w:hAnsi="Arial" w:cs="Arial"/>
          <w:spacing w:val="-2"/>
          <w:sz w:val="20"/>
          <w:szCs w:val="20"/>
        </w:rPr>
        <w:t xml:space="preserve"> </w:t>
      </w:r>
      <w:r w:rsidRPr="00E447AD">
        <w:rPr>
          <w:rFonts w:ascii="Arial" w:hAnsi="Arial" w:cs="Arial"/>
          <w:sz w:val="20"/>
          <w:szCs w:val="20"/>
        </w:rPr>
        <w:t>provide information on transfusion activity in the state, as well as on transfusion-associated</w:t>
      </w:r>
      <w:r w:rsidRPr="00E447AD">
        <w:rPr>
          <w:rFonts w:ascii="Arial" w:hAnsi="Arial" w:cs="Arial"/>
          <w:spacing w:val="-2"/>
          <w:sz w:val="20"/>
          <w:szCs w:val="20"/>
        </w:rPr>
        <w:t xml:space="preserve"> </w:t>
      </w:r>
      <w:r w:rsidRPr="00E447AD">
        <w:rPr>
          <w:rFonts w:ascii="Arial" w:hAnsi="Arial" w:cs="Arial"/>
          <w:sz w:val="20"/>
          <w:szCs w:val="20"/>
        </w:rPr>
        <w:t>adverse events. Blood banks in Massachusetts can examine their own facility metrics and use this report for</w:t>
      </w:r>
      <w:r w:rsidRPr="00E447AD">
        <w:rPr>
          <w:rFonts w:ascii="Arial" w:hAnsi="Arial" w:cs="Arial"/>
          <w:spacing w:val="-2"/>
          <w:sz w:val="20"/>
          <w:szCs w:val="20"/>
        </w:rPr>
        <w:t xml:space="preserve"> </w:t>
      </w:r>
      <w:r w:rsidRPr="00E447AD">
        <w:rPr>
          <w:rFonts w:ascii="Arial" w:hAnsi="Arial" w:cs="Arial"/>
          <w:sz w:val="20"/>
          <w:szCs w:val="20"/>
        </w:rPr>
        <w:t>comparison and context.</w:t>
      </w:r>
    </w:p>
    <w:p w:rsidR="004657B4" w:rsidRDefault="004657B4" w:rsidP="004657B4">
      <w:pPr>
        <w:widowControl w:val="0"/>
        <w:spacing w:before="48" w:after="0" w:line="240" w:lineRule="auto"/>
        <w:ind w:left="37"/>
        <w:outlineLvl w:val="0"/>
        <w:rPr>
          <w:rFonts w:ascii="Arial" w:eastAsia="Arial" w:hAnsi="Arial" w:cs="Times New Roman"/>
          <w:bCs/>
          <w:sz w:val="20"/>
          <w:szCs w:val="20"/>
        </w:rPr>
      </w:pPr>
    </w:p>
    <w:p w:rsidR="004657B4" w:rsidRDefault="004657B4" w:rsidP="004657B4">
      <w:pPr>
        <w:pStyle w:val="NoSpacing"/>
        <w:rPr>
          <w:rFonts w:ascii="Arial" w:eastAsia="Arial" w:hAnsi="Arial" w:cs="Times New Roman"/>
          <w:b/>
          <w:bCs/>
          <w:sz w:val="20"/>
        </w:rPr>
      </w:pPr>
      <w:r w:rsidRPr="00E447AD">
        <w:rPr>
          <w:rFonts w:ascii="Arial" w:eastAsia="Arial" w:hAnsi="Arial" w:cs="Times New Roman"/>
          <w:bCs/>
          <w:sz w:val="20"/>
          <w:szCs w:val="20"/>
        </w:rPr>
        <w:t xml:space="preserve">The members of the </w:t>
      </w:r>
      <w:r>
        <w:rPr>
          <w:rFonts w:ascii="Arial" w:eastAsia="Arial" w:hAnsi="Arial" w:cs="Times New Roman"/>
          <w:bCs/>
          <w:sz w:val="20"/>
          <w:szCs w:val="20"/>
        </w:rPr>
        <w:t xml:space="preserve">Massachusetts </w:t>
      </w:r>
      <w:r w:rsidRPr="00E447AD">
        <w:rPr>
          <w:rFonts w:ascii="Arial" w:eastAsia="Arial" w:hAnsi="Arial" w:cs="Times New Roman"/>
          <w:bCs/>
          <w:sz w:val="20"/>
          <w:szCs w:val="20"/>
        </w:rPr>
        <w:t xml:space="preserve">Hemovigilance TAG appreciate the committed participation of the </w:t>
      </w:r>
      <w:r>
        <w:rPr>
          <w:rFonts w:ascii="Arial" w:eastAsia="Arial" w:hAnsi="Arial" w:cs="Times New Roman"/>
          <w:bCs/>
          <w:sz w:val="20"/>
          <w:szCs w:val="20"/>
        </w:rPr>
        <w:t xml:space="preserve">Massachusetts </w:t>
      </w:r>
      <w:r w:rsidRPr="00E447AD">
        <w:rPr>
          <w:rFonts w:ascii="Arial" w:eastAsia="Arial" w:hAnsi="Arial" w:cs="Times New Roman"/>
          <w:bCs/>
          <w:sz w:val="20"/>
          <w:szCs w:val="20"/>
        </w:rPr>
        <w:t xml:space="preserve">blood banks </w:t>
      </w:r>
      <w:r>
        <w:rPr>
          <w:rFonts w:ascii="Arial" w:eastAsia="Arial" w:hAnsi="Arial" w:cs="Times New Roman"/>
          <w:bCs/>
          <w:sz w:val="20"/>
          <w:szCs w:val="20"/>
        </w:rPr>
        <w:t xml:space="preserve">and transfusion services </w:t>
      </w:r>
      <w:r w:rsidRPr="00E447AD">
        <w:rPr>
          <w:rFonts w:ascii="Arial" w:eastAsia="Arial" w:hAnsi="Arial" w:cs="Times New Roman"/>
          <w:bCs/>
          <w:sz w:val="20"/>
          <w:szCs w:val="20"/>
        </w:rPr>
        <w:t xml:space="preserve">in </w:t>
      </w:r>
      <w:r>
        <w:rPr>
          <w:rFonts w:ascii="Arial" w:eastAsia="Arial" w:hAnsi="Arial" w:cs="Times New Roman"/>
          <w:bCs/>
          <w:sz w:val="20"/>
          <w:szCs w:val="20"/>
        </w:rPr>
        <w:t xml:space="preserve">reporting </w:t>
      </w:r>
      <w:r w:rsidRPr="00E447AD">
        <w:rPr>
          <w:rFonts w:ascii="Arial" w:eastAsia="Arial" w:hAnsi="Arial" w:cs="Times New Roman"/>
          <w:bCs/>
          <w:sz w:val="20"/>
          <w:szCs w:val="20"/>
        </w:rPr>
        <w:t xml:space="preserve">hemovigilance </w:t>
      </w:r>
      <w:r>
        <w:rPr>
          <w:rFonts w:ascii="Arial" w:eastAsia="Arial" w:hAnsi="Arial" w:cs="Times New Roman"/>
          <w:bCs/>
          <w:sz w:val="20"/>
          <w:szCs w:val="20"/>
        </w:rPr>
        <w:t xml:space="preserve">data to NHSN, </w:t>
      </w:r>
      <w:r w:rsidRPr="00E447AD">
        <w:rPr>
          <w:rFonts w:ascii="Arial" w:eastAsia="Arial" w:hAnsi="Arial" w:cs="Times New Roman"/>
          <w:bCs/>
          <w:sz w:val="20"/>
          <w:szCs w:val="20"/>
        </w:rPr>
        <w:t>and hope that the availability of the metrics contained in this report will be useful</w:t>
      </w:r>
      <w:r>
        <w:rPr>
          <w:rFonts w:ascii="Arial" w:eastAsia="Arial" w:hAnsi="Arial" w:cs="Times New Roman"/>
          <w:bCs/>
          <w:sz w:val="20"/>
          <w:szCs w:val="20"/>
        </w:rPr>
        <w:t xml:space="preserve"> to them</w:t>
      </w:r>
      <w:r w:rsidRPr="00E447AD">
        <w:rPr>
          <w:rFonts w:ascii="Arial" w:eastAsia="Arial" w:hAnsi="Arial" w:cs="Times New Roman"/>
          <w:bCs/>
          <w:sz w:val="20"/>
          <w:szCs w:val="20"/>
        </w:rPr>
        <w:t xml:space="preserve"> for comparison, context, and quality improvement.</w:t>
      </w:r>
      <w:r w:rsidRPr="004657B4">
        <w:rPr>
          <w:rFonts w:ascii="Arial" w:eastAsia="Arial" w:hAnsi="Arial" w:cs="Times New Roman"/>
          <w:b/>
          <w:bCs/>
          <w:sz w:val="20"/>
        </w:rPr>
        <w:t xml:space="preserve"> </w:t>
      </w:r>
    </w:p>
    <w:p w:rsidR="00A70050" w:rsidRDefault="00A70050" w:rsidP="004657B4">
      <w:pPr>
        <w:pStyle w:val="NoSpacing"/>
        <w:rPr>
          <w:rFonts w:ascii="Arial" w:eastAsia="Arial" w:hAnsi="Arial" w:cs="Times New Roman"/>
          <w:b/>
          <w:bCs/>
          <w:sz w:val="20"/>
        </w:rPr>
      </w:pPr>
    </w:p>
    <w:p w:rsidR="00A70050" w:rsidRDefault="00A70050" w:rsidP="004657B4">
      <w:pPr>
        <w:pStyle w:val="NoSpacing"/>
        <w:rPr>
          <w:rFonts w:ascii="Arial" w:eastAsia="Arial" w:hAnsi="Arial" w:cs="Times New Roman"/>
          <w:b/>
          <w:bCs/>
          <w:sz w:val="20"/>
        </w:rPr>
      </w:pPr>
    </w:p>
    <w:p w:rsidR="004657B4" w:rsidRPr="00E447AD" w:rsidRDefault="004657B4" w:rsidP="004657B4">
      <w:pPr>
        <w:pStyle w:val="NoSpacing"/>
        <w:rPr>
          <w:rFonts w:ascii="Arial" w:hAnsi="Arial" w:cs="Arial"/>
          <w:sz w:val="20"/>
        </w:rPr>
      </w:pPr>
      <w:r w:rsidRPr="0070178D">
        <w:rPr>
          <w:rFonts w:ascii="Arial" w:eastAsia="Arial" w:hAnsi="Arial" w:cs="Times New Roman"/>
          <w:b/>
          <w:bCs/>
          <w:sz w:val="20"/>
        </w:rPr>
        <w:t>Key Findings</w:t>
      </w:r>
    </w:p>
    <w:p w:rsidR="004657B4" w:rsidRDefault="004657B4" w:rsidP="004657B4">
      <w:pPr>
        <w:widowControl w:val="0"/>
        <w:spacing w:before="48" w:after="0" w:line="240" w:lineRule="auto"/>
        <w:ind w:left="37"/>
        <w:outlineLvl w:val="0"/>
        <w:rPr>
          <w:rFonts w:ascii="Arial" w:eastAsia="Arial" w:hAnsi="Arial" w:cs="Times New Roman"/>
          <w:b/>
          <w:bCs/>
          <w:sz w:val="18"/>
          <w:szCs w:val="20"/>
        </w:rPr>
      </w:pPr>
    </w:p>
    <w:p w:rsidR="004657B4" w:rsidRDefault="004657B4" w:rsidP="004657B4">
      <w:pPr>
        <w:numPr>
          <w:ilvl w:val="0"/>
          <w:numId w:val="7"/>
        </w:numPr>
        <w:spacing w:after="0" w:line="240" w:lineRule="auto"/>
        <w:rPr>
          <w:rFonts w:ascii="Arial" w:hAnsi="Arial" w:cs="Arial"/>
          <w:sz w:val="20"/>
        </w:rPr>
      </w:pPr>
      <w:r>
        <w:rPr>
          <w:rFonts w:ascii="Arial" w:hAnsi="Arial" w:cs="Arial"/>
          <w:noProof/>
          <w:sz w:val="20"/>
        </w:rPr>
        <w:t>There was an o</w:t>
      </w:r>
      <w:r w:rsidRPr="0097210D">
        <w:rPr>
          <w:rFonts w:ascii="Arial" w:hAnsi="Arial" w:cs="Arial"/>
          <w:noProof/>
          <w:sz w:val="20"/>
        </w:rPr>
        <w:t>verall increase in transfused products for 2018.</w:t>
      </w:r>
      <w:r>
        <w:rPr>
          <w:rFonts w:ascii="Arial" w:hAnsi="Arial" w:cs="Arial"/>
          <w:noProof/>
          <w:sz w:val="20"/>
        </w:rPr>
        <w:t xml:space="preserve"> In particular, there was an increase in transfused products among facilities in bed size group (BSG) 3 (</w:t>
      </w:r>
      <w:r>
        <w:rPr>
          <w:rFonts w:ascii="Arial" w:hAnsi="Arial" w:cs="Arial"/>
          <w:noProof/>
          <w:sz w:val="20"/>
        </w:rPr>
        <w:sym w:font="Symbol" w:char="F0B3"/>
      </w:r>
      <w:r>
        <w:rPr>
          <w:rFonts w:ascii="Arial" w:hAnsi="Arial" w:cs="Arial"/>
          <w:noProof/>
          <w:sz w:val="20"/>
        </w:rPr>
        <w:t>300 beds).</w:t>
      </w:r>
    </w:p>
    <w:p w:rsidR="004657B4" w:rsidRDefault="004657B4" w:rsidP="004657B4">
      <w:pPr>
        <w:spacing w:after="0" w:line="240" w:lineRule="auto"/>
        <w:ind w:left="720"/>
        <w:rPr>
          <w:rFonts w:ascii="Arial" w:hAnsi="Arial" w:cs="Arial"/>
          <w:sz w:val="20"/>
        </w:rPr>
      </w:pPr>
    </w:p>
    <w:p w:rsidR="004657B4" w:rsidRDefault="004657B4" w:rsidP="004657B4">
      <w:pPr>
        <w:numPr>
          <w:ilvl w:val="0"/>
          <w:numId w:val="7"/>
        </w:numPr>
        <w:spacing w:after="0" w:line="240" w:lineRule="auto"/>
        <w:rPr>
          <w:rFonts w:ascii="Arial" w:hAnsi="Arial" w:cs="Arial"/>
          <w:sz w:val="20"/>
        </w:rPr>
      </w:pPr>
      <w:r w:rsidRPr="004657B4">
        <w:rPr>
          <w:rFonts w:ascii="Arial" w:hAnsi="Arial" w:cs="Arial"/>
          <w:noProof/>
          <w:sz w:val="20"/>
        </w:rPr>
        <w:t>Febrile non-hemolytic transfusion reaction</w:t>
      </w:r>
      <w:r>
        <w:rPr>
          <w:rFonts w:ascii="Arial" w:hAnsi="Arial" w:cs="Arial"/>
          <w:noProof/>
          <w:sz w:val="20"/>
        </w:rPr>
        <w:t>s</w:t>
      </w:r>
      <w:r w:rsidRPr="004657B4">
        <w:rPr>
          <w:rFonts w:ascii="Arial" w:hAnsi="Arial" w:cs="Arial"/>
          <w:noProof/>
          <w:sz w:val="20"/>
        </w:rPr>
        <w:t xml:space="preserve"> </w:t>
      </w:r>
      <w:r>
        <w:rPr>
          <w:rFonts w:ascii="Arial" w:hAnsi="Arial" w:cs="Arial"/>
          <w:noProof/>
          <w:sz w:val="20"/>
        </w:rPr>
        <w:t>(FNHTRs) continue to comprise the highest number of adverse reactions.</w:t>
      </w:r>
    </w:p>
    <w:p w:rsidR="004657B4" w:rsidRDefault="004657B4" w:rsidP="004657B4">
      <w:pPr>
        <w:spacing w:after="0" w:line="240" w:lineRule="auto"/>
        <w:ind w:left="720"/>
        <w:rPr>
          <w:rFonts w:ascii="Arial" w:hAnsi="Arial" w:cs="Arial"/>
          <w:sz w:val="20"/>
        </w:rPr>
      </w:pPr>
    </w:p>
    <w:p w:rsidR="004657B4" w:rsidRPr="00696369" w:rsidRDefault="004657B4" w:rsidP="004657B4">
      <w:pPr>
        <w:numPr>
          <w:ilvl w:val="0"/>
          <w:numId w:val="7"/>
        </w:numPr>
        <w:spacing w:after="0" w:line="240" w:lineRule="auto"/>
        <w:rPr>
          <w:rFonts w:ascii="Arial" w:hAnsi="Arial" w:cs="Arial"/>
          <w:noProof/>
          <w:sz w:val="20"/>
        </w:rPr>
      </w:pPr>
      <w:r w:rsidRPr="0097210D">
        <w:rPr>
          <w:rFonts w:ascii="Arial" w:hAnsi="Arial" w:cs="Arial"/>
          <w:noProof/>
          <w:sz w:val="20"/>
        </w:rPr>
        <w:t xml:space="preserve">No </w:t>
      </w:r>
      <w:r>
        <w:rPr>
          <w:rFonts w:ascii="Arial" w:hAnsi="Arial" w:cs="Arial"/>
          <w:noProof/>
          <w:sz w:val="20"/>
        </w:rPr>
        <w:t>t</w:t>
      </w:r>
      <w:r w:rsidRPr="00C745F3">
        <w:rPr>
          <w:rFonts w:ascii="Arial" w:hAnsi="Arial" w:cs="Arial"/>
          <w:noProof/>
          <w:sz w:val="20"/>
        </w:rPr>
        <w:t>ransfusion-related acute lung injur</w:t>
      </w:r>
      <w:r>
        <w:rPr>
          <w:rFonts w:ascii="Arial" w:hAnsi="Arial" w:cs="Arial"/>
          <w:noProof/>
          <w:sz w:val="20"/>
        </w:rPr>
        <w:t>ies</w:t>
      </w:r>
      <w:r w:rsidRPr="00E27471">
        <w:rPr>
          <w:rFonts w:ascii="Arial" w:hAnsi="Arial" w:cs="Arial"/>
          <w:noProof/>
          <w:sz w:val="20"/>
        </w:rPr>
        <w:t xml:space="preserve"> </w:t>
      </w:r>
      <w:r>
        <w:rPr>
          <w:rFonts w:ascii="Arial" w:hAnsi="Arial" w:cs="Arial"/>
          <w:noProof/>
          <w:sz w:val="20"/>
        </w:rPr>
        <w:t>(</w:t>
      </w:r>
      <w:r w:rsidRPr="00E27471">
        <w:rPr>
          <w:rFonts w:ascii="Arial" w:hAnsi="Arial" w:cs="Arial"/>
          <w:noProof/>
          <w:sz w:val="20"/>
        </w:rPr>
        <w:t>TRALIs</w:t>
      </w:r>
      <w:r>
        <w:rPr>
          <w:rFonts w:ascii="Arial" w:hAnsi="Arial" w:cs="Arial"/>
          <w:noProof/>
          <w:sz w:val="20"/>
        </w:rPr>
        <w:t>)</w:t>
      </w:r>
      <w:r w:rsidRPr="00E27471">
        <w:rPr>
          <w:rFonts w:ascii="Arial" w:hAnsi="Arial" w:cs="Arial"/>
          <w:noProof/>
          <w:sz w:val="20"/>
        </w:rPr>
        <w:t xml:space="preserve"> were reported. </w:t>
      </w:r>
    </w:p>
    <w:p w:rsidR="004657B4" w:rsidRDefault="004657B4" w:rsidP="004657B4">
      <w:pPr>
        <w:spacing w:after="0" w:line="240" w:lineRule="auto"/>
        <w:ind w:left="720"/>
        <w:rPr>
          <w:rFonts w:ascii="Arial" w:hAnsi="Arial" w:cs="Arial"/>
          <w:sz w:val="20"/>
        </w:rPr>
      </w:pPr>
    </w:p>
    <w:p w:rsidR="004657B4" w:rsidRPr="00437553" w:rsidRDefault="004657B4" w:rsidP="004657B4">
      <w:pPr>
        <w:numPr>
          <w:ilvl w:val="0"/>
          <w:numId w:val="7"/>
        </w:numPr>
        <w:spacing w:after="0" w:line="240" w:lineRule="auto"/>
        <w:rPr>
          <w:rFonts w:ascii="Arial" w:hAnsi="Arial" w:cs="Arial"/>
          <w:sz w:val="20"/>
        </w:rPr>
      </w:pPr>
      <w:r>
        <w:rPr>
          <w:rFonts w:ascii="Arial" w:hAnsi="Arial" w:cs="Arial"/>
          <w:noProof/>
          <w:sz w:val="20"/>
        </w:rPr>
        <w:t>P</w:t>
      </w:r>
      <w:r w:rsidRPr="00437553">
        <w:rPr>
          <w:rFonts w:ascii="Arial" w:hAnsi="Arial" w:cs="Arial"/>
          <w:noProof/>
          <w:sz w:val="20"/>
        </w:rPr>
        <w:t>latelets continue to be the blood product associated with the highest rate of adverse reactions</w:t>
      </w:r>
      <w:r>
        <w:rPr>
          <w:rFonts w:ascii="Arial" w:hAnsi="Arial" w:cs="Arial"/>
          <w:noProof/>
          <w:sz w:val="20"/>
        </w:rPr>
        <w:t>.</w:t>
      </w:r>
      <w:r w:rsidRPr="00437553">
        <w:rPr>
          <w:rFonts w:ascii="Arial" w:hAnsi="Arial" w:cs="Arial"/>
          <w:noProof/>
          <w:sz w:val="20"/>
        </w:rPr>
        <w:t xml:space="preserve"> Additionally, there appears to be more variability over time in the adverse reaction rate associated with platelets than that associated with other blood product types.</w:t>
      </w:r>
    </w:p>
    <w:p w:rsidR="004657B4" w:rsidRDefault="004657B4" w:rsidP="004657B4">
      <w:pPr>
        <w:spacing w:after="0" w:line="240" w:lineRule="auto"/>
        <w:ind w:left="720"/>
        <w:rPr>
          <w:rFonts w:ascii="Arial" w:hAnsi="Arial" w:cs="Arial"/>
          <w:sz w:val="20"/>
        </w:rPr>
      </w:pPr>
    </w:p>
    <w:p w:rsidR="004657B4" w:rsidRPr="0097210D" w:rsidRDefault="004657B4" w:rsidP="004657B4">
      <w:pPr>
        <w:numPr>
          <w:ilvl w:val="0"/>
          <w:numId w:val="7"/>
        </w:numPr>
        <w:spacing w:after="0" w:line="240" w:lineRule="auto"/>
        <w:rPr>
          <w:rFonts w:ascii="Arial" w:hAnsi="Arial" w:cs="Arial"/>
          <w:sz w:val="20"/>
        </w:rPr>
      </w:pPr>
      <w:r>
        <w:rPr>
          <w:rFonts w:ascii="Arial" w:hAnsi="Arial" w:cs="Arial"/>
          <w:noProof/>
          <w:sz w:val="20"/>
        </w:rPr>
        <w:t xml:space="preserve">There was a 66% drop </w:t>
      </w:r>
      <w:r w:rsidRPr="0097210D">
        <w:rPr>
          <w:rFonts w:ascii="Arial" w:hAnsi="Arial" w:cs="Arial"/>
          <w:noProof/>
          <w:sz w:val="20"/>
        </w:rPr>
        <w:t>in whole blood transfusion among BSG</w:t>
      </w:r>
      <w:r>
        <w:rPr>
          <w:rFonts w:ascii="Arial" w:hAnsi="Arial" w:cs="Arial"/>
          <w:noProof/>
          <w:sz w:val="20"/>
        </w:rPr>
        <w:t xml:space="preserve"> </w:t>
      </w:r>
      <w:r w:rsidRPr="0097210D">
        <w:rPr>
          <w:rFonts w:ascii="Arial" w:hAnsi="Arial" w:cs="Arial"/>
          <w:noProof/>
          <w:sz w:val="20"/>
        </w:rPr>
        <w:t xml:space="preserve">2 </w:t>
      </w:r>
      <w:r>
        <w:rPr>
          <w:rFonts w:ascii="Arial" w:hAnsi="Arial" w:cs="Arial"/>
          <w:noProof/>
          <w:sz w:val="20"/>
        </w:rPr>
        <w:t xml:space="preserve">(100 to 299 beds) </w:t>
      </w:r>
      <w:r w:rsidRPr="0097210D">
        <w:rPr>
          <w:rFonts w:ascii="Arial" w:hAnsi="Arial" w:cs="Arial"/>
          <w:noProof/>
          <w:sz w:val="20"/>
        </w:rPr>
        <w:t>from 2017 to 2018</w:t>
      </w:r>
      <w:r>
        <w:rPr>
          <w:rFonts w:ascii="Arial" w:hAnsi="Arial" w:cs="Arial"/>
          <w:noProof/>
          <w:sz w:val="20"/>
        </w:rPr>
        <w:t>. At least one facility ended their autologous whole blood transfusion program.</w:t>
      </w:r>
    </w:p>
    <w:p w:rsidR="00A70050" w:rsidRDefault="00A70050" w:rsidP="004657B4">
      <w:pPr>
        <w:widowControl w:val="0"/>
        <w:spacing w:before="74" w:after="0" w:line="240" w:lineRule="auto"/>
        <w:ind w:left="21"/>
        <w:outlineLvl w:val="2"/>
        <w:rPr>
          <w:rFonts w:ascii="Arial" w:eastAsia="Arial" w:hAnsi="Arial" w:cs="Arial"/>
          <w:b/>
          <w:bCs/>
          <w:spacing w:val="-1"/>
          <w:sz w:val="20"/>
          <w:szCs w:val="20"/>
        </w:rPr>
      </w:pPr>
    </w:p>
    <w:p w:rsidR="00A70050" w:rsidRDefault="00A70050" w:rsidP="004657B4">
      <w:pPr>
        <w:widowControl w:val="0"/>
        <w:spacing w:before="74" w:after="0" w:line="240" w:lineRule="auto"/>
        <w:ind w:left="21"/>
        <w:outlineLvl w:val="2"/>
        <w:rPr>
          <w:rFonts w:ascii="Arial" w:eastAsia="Arial" w:hAnsi="Arial" w:cs="Arial"/>
          <w:b/>
          <w:bCs/>
          <w:spacing w:val="-1"/>
          <w:sz w:val="20"/>
          <w:szCs w:val="20"/>
        </w:rPr>
      </w:pPr>
    </w:p>
    <w:p w:rsidR="004657B4" w:rsidRDefault="004657B4" w:rsidP="004657B4">
      <w:pPr>
        <w:widowControl w:val="0"/>
        <w:spacing w:before="74" w:after="0" w:line="240" w:lineRule="auto"/>
        <w:ind w:left="21"/>
        <w:outlineLvl w:val="2"/>
        <w:rPr>
          <w:rFonts w:ascii="Arial" w:eastAsia="Arial" w:hAnsi="Arial" w:cs="Arial"/>
          <w:b/>
          <w:bCs/>
          <w:spacing w:val="-1"/>
          <w:sz w:val="20"/>
          <w:szCs w:val="20"/>
        </w:rPr>
      </w:pPr>
      <w:r w:rsidRPr="00E447AD">
        <w:rPr>
          <w:rFonts w:ascii="Arial" w:eastAsia="Arial" w:hAnsi="Arial" w:cs="Arial"/>
          <w:b/>
          <w:bCs/>
          <w:spacing w:val="-1"/>
          <w:sz w:val="20"/>
          <w:szCs w:val="20"/>
        </w:rPr>
        <w:t>Technical Notes</w:t>
      </w:r>
    </w:p>
    <w:p w:rsidR="004657B4" w:rsidRPr="00E447AD" w:rsidRDefault="004657B4" w:rsidP="004657B4">
      <w:pPr>
        <w:widowControl w:val="0"/>
        <w:spacing w:before="74" w:after="0" w:line="240" w:lineRule="auto"/>
        <w:ind w:left="21"/>
        <w:outlineLvl w:val="2"/>
        <w:rPr>
          <w:rFonts w:ascii="Arial" w:eastAsia="Arial" w:hAnsi="Arial" w:cs="Arial"/>
          <w:sz w:val="20"/>
          <w:szCs w:val="20"/>
        </w:rPr>
      </w:pPr>
    </w:p>
    <w:p w:rsidR="00632BA9" w:rsidRDefault="00632BA9" w:rsidP="00632BA9">
      <w:pPr>
        <w:pStyle w:val="NoSpacing"/>
        <w:rPr>
          <w:rFonts w:ascii="Arial" w:hAnsi="Arial" w:cs="Arial"/>
          <w:sz w:val="20"/>
          <w:szCs w:val="20"/>
        </w:rPr>
      </w:pPr>
      <w:r w:rsidRPr="00E447AD">
        <w:rPr>
          <w:rFonts w:ascii="Arial" w:hAnsi="Arial" w:cs="Arial"/>
          <w:sz w:val="20"/>
          <w:szCs w:val="20"/>
        </w:rPr>
        <w:t xml:space="preserve">The following are inclusion criteria for </w:t>
      </w:r>
      <w:r w:rsidR="000C017B">
        <w:rPr>
          <w:rFonts w:ascii="Arial" w:hAnsi="Arial" w:cs="Arial"/>
          <w:sz w:val="20"/>
          <w:szCs w:val="20"/>
        </w:rPr>
        <w:t xml:space="preserve">the </w:t>
      </w:r>
      <w:r w:rsidRPr="00E447AD">
        <w:rPr>
          <w:rFonts w:ascii="Arial" w:hAnsi="Arial" w:cs="Arial"/>
          <w:sz w:val="20"/>
          <w:szCs w:val="20"/>
        </w:rPr>
        <w:t xml:space="preserve">adverse reactions </w:t>
      </w:r>
      <w:r w:rsidR="000C017B">
        <w:rPr>
          <w:rFonts w:ascii="Arial" w:hAnsi="Arial" w:cs="Arial"/>
          <w:sz w:val="20"/>
          <w:szCs w:val="20"/>
        </w:rPr>
        <w:t xml:space="preserve">included </w:t>
      </w:r>
      <w:r w:rsidRPr="00E447AD">
        <w:rPr>
          <w:rFonts w:ascii="Arial" w:hAnsi="Arial" w:cs="Arial"/>
          <w:sz w:val="20"/>
          <w:szCs w:val="20"/>
        </w:rPr>
        <w:t>in this report:</w:t>
      </w:r>
    </w:p>
    <w:p w:rsidR="004657B4" w:rsidRPr="00E447AD" w:rsidRDefault="004657B4" w:rsidP="00632BA9">
      <w:pPr>
        <w:pStyle w:val="NoSpacing"/>
        <w:rPr>
          <w:rFonts w:ascii="Arial" w:hAnsi="Arial" w:cs="Arial"/>
          <w:sz w:val="20"/>
          <w:szCs w:val="20"/>
        </w:rPr>
      </w:pPr>
    </w:p>
    <w:p w:rsidR="00632BA9" w:rsidRPr="00E447AD" w:rsidRDefault="00632BA9" w:rsidP="00FE39B5">
      <w:pPr>
        <w:pStyle w:val="NoSpacing"/>
        <w:numPr>
          <w:ilvl w:val="0"/>
          <w:numId w:val="9"/>
        </w:numPr>
        <w:rPr>
          <w:rFonts w:ascii="Arial" w:eastAsia="Times New Roman" w:hAnsi="Arial" w:cs="Arial"/>
          <w:sz w:val="20"/>
          <w:szCs w:val="20"/>
        </w:rPr>
      </w:pPr>
      <w:r w:rsidRPr="00E447AD">
        <w:rPr>
          <w:rFonts w:ascii="Arial" w:eastAsia="Times New Roman" w:hAnsi="Arial" w:cs="Arial"/>
          <w:bCs/>
          <w:sz w:val="20"/>
          <w:szCs w:val="20"/>
        </w:rPr>
        <w:t xml:space="preserve">Case criteria </w:t>
      </w:r>
      <w:r w:rsidRPr="00E447AD">
        <w:rPr>
          <w:rFonts w:ascii="Arial" w:eastAsia="Times New Roman" w:hAnsi="Arial" w:cs="Arial"/>
          <w:sz w:val="20"/>
          <w:szCs w:val="20"/>
        </w:rPr>
        <w:t xml:space="preserve">– </w:t>
      </w:r>
      <w:r w:rsidR="003F7CD1">
        <w:rPr>
          <w:rFonts w:ascii="Arial" w:eastAsia="Times New Roman" w:hAnsi="Arial" w:cs="Arial"/>
          <w:sz w:val="20"/>
          <w:szCs w:val="20"/>
        </w:rPr>
        <w:t xml:space="preserve">the </w:t>
      </w:r>
      <w:r w:rsidRPr="00E447AD">
        <w:rPr>
          <w:rFonts w:ascii="Arial" w:eastAsia="Times New Roman" w:hAnsi="Arial" w:cs="Arial"/>
          <w:sz w:val="20"/>
          <w:szCs w:val="20"/>
        </w:rPr>
        <w:t>reaction must either definitively or probably meet the NHSN case reporting criteria</w:t>
      </w:r>
    </w:p>
    <w:p w:rsidR="00632BA9" w:rsidRPr="00E447AD" w:rsidRDefault="00632BA9" w:rsidP="00FE39B5">
      <w:pPr>
        <w:pStyle w:val="NoSpacing"/>
        <w:numPr>
          <w:ilvl w:val="0"/>
          <w:numId w:val="9"/>
        </w:numPr>
        <w:rPr>
          <w:rFonts w:ascii="Arial" w:eastAsia="Times New Roman" w:hAnsi="Arial" w:cs="Arial"/>
          <w:sz w:val="20"/>
          <w:szCs w:val="20"/>
        </w:rPr>
      </w:pPr>
      <w:r w:rsidRPr="00E447AD">
        <w:rPr>
          <w:rFonts w:ascii="Arial" w:eastAsia="Times New Roman" w:hAnsi="Arial" w:cs="Arial"/>
          <w:bCs/>
          <w:sz w:val="20"/>
          <w:szCs w:val="20"/>
        </w:rPr>
        <w:t>Imputability</w:t>
      </w:r>
      <w:r w:rsidRPr="00E447AD">
        <w:rPr>
          <w:rFonts w:ascii="Arial" w:eastAsia="Times New Roman" w:hAnsi="Arial" w:cs="Arial"/>
          <w:sz w:val="20"/>
          <w:szCs w:val="20"/>
        </w:rPr>
        <w:t xml:space="preserve"> – </w:t>
      </w:r>
      <w:r w:rsidR="003F7CD1">
        <w:rPr>
          <w:rFonts w:ascii="Arial" w:eastAsia="Times New Roman" w:hAnsi="Arial" w:cs="Arial"/>
          <w:sz w:val="20"/>
          <w:szCs w:val="20"/>
        </w:rPr>
        <w:t xml:space="preserve">the </w:t>
      </w:r>
      <w:r w:rsidRPr="00E447AD">
        <w:rPr>
          <w:rFonts w:ascii="Arial" w:eastAsia="Times New Roman" w:hAnsi="Arial" w:cs="Arial"/>
          <w:sz w:val="20"/>
          <w:szCs w:val="20"/>
        </w:rPr>
        <w:t xml:space="preserve">reaction must definitely, probably, or possibly meet </w:t>
      </w:r>
      <w:r w:rsidR="00020320" w:rsidRPr="00E447AD">
        <w:rPr>
          <w:rFonts w:ascii="Arial" w:eastAsia="Times New Roman" w:hAnsi="Arial" w:cs="Arial"/>
          <w:sz w:val="20"/>
          <w:szCs w:val="20"/>
        </w:rPr>
        <w:t xml:space="preserve">NHSN </w:t>
      </w:r>
      <w:r w:rsidRPr="00E447AD">
        <w:rPr>
          <w:rFonts w:ascii="Arial" w:eastAsia="Times New Roman" w:hAnsi="Arial" w:cs="Arial"/>
          <w:sz w:val="20"/>
          <w:szCs w:val="20"/>
        </w:rPr>
        <w:t>imputability criteria</w:t>
      </w:r>
    </w:p>
    <w:p w:rsidR="00632BA9" w:rsidRPr="00E447AD" w:rsidRDefault="00632BA9" w:rsidP="00FE39B5">
      <w:pPr>
        <w:pStyle w:val="NoSpacing"/>
        <w:numPr>
          <w:ilvl w:val="0"/>
          <w:numId w:val="9"/>
        </w:numPr>
        <w:rPr>
          <w:rFonts w:ascii="Arial" w:eastAsia="Times New Roman" w:hAnsi="Arial" w:cs="Arial"/>
          <w:sz w:val="20"/>
          <w:szCs w:val="20"/>
        </w:rPr>
      </w:pPr>
      <w:r w:rsidRPr="00E447AD">
        <w:rPr>
          <w:rFonts w:ascii="Arial" w:eastAsia="Times New Roman" w:hAnsi="Arial" w:cs="Arial"/>
          <w:bCs/>
          <w:sz w:val="20"/>
          <w:szCs w:val="20"/>
        </w:rPr>
        <w:t xml:space="preserve">Reaction type </w:t>
      </w:r>
      <w:r w:rsidRPr="00E447AD">
        <w:rPr>
          <w:rFonts w:ascii="Arial" w:eastAsia="Times New Roman" w:hAnsi="Arial" w:cs="Arial"/>
          <w:sz w:val="20"/>
          <w:szCs w:val="20"/>
        </w:rPr>
        <w:t xml:space="preserve">– </w:t>
      </w:r>
      <w:r w:rsidR="003F7CD1">
        <w:rPr>
          <w:rFonts w:ascii="Arial" w:eastAsia="Times New Roman" w:hAnsi="Arial" w:cs="Arial"/>
          <w:sz w:val="20"/>
          <w:szCs w:val="20"/>
        </w:rPr>
        <w:t xml:space="preserve">the </w:t>
      </w:r>
      <w:r w:rsidRPr="00E447AD">
        <w:rPr>
          <w:rFonts w:ascii="Arial" w:eastAsia="Times New Roman" w:hAnsi="Arial" w:cs="Arial"/>
          <w:sz w:val="20"/>
          <w:szCs w:val="20"/>
        </w:rPr>
        <w:t>reaction must be one of twelve specified types</w:t>
      </w:r>
      <w:r w:rsidR="003F7CD1">
        <w:rPr>
          <w:rFonts w:ascii="Arial" w:eastAsia="Times New Roman" w:hAnsi="Arial" w:cs="Arial"/>
          <w:sz w:val="20"/>
          <w:szCs w:val="20"/>
        </w:rPr>
        <w:t xml:space="preserve"> in NHSN</w:t>
      </w:r>
      <w:r w:rsidRPr="00E447AD">
        <w:rPr>
          <w:rFonts w:ascii="Arial" w:eastAsia="Times New Roman" w:hAnsi="Arial" w:cs="Arial"/>
          <w:sz w:val="20"/>
          <w:szCs w:val="20"/>
        </w:rPr>
        <w:t>, excluding “Other” and “Unknown”</w:t>
      </w:r>
    </w:p>
    <w:p w:rsidR="00632BA9" w:rsidRDefault="00632BA9" w:rsidP="00FE39B5">
      <w:pPr>
        <w:pStyle w:val="NoSpacing"/>
        <w:numPr>
          <w:ilvl w:val="0"/>
          <w:numId w:val="9"/>
        </w:numPr>
        <w:rPr>
          <w:rFonts w:ascii="Arial" w:eastAsia="Times New Roman" w:hAnsi="Arial" w:cs="Arial"/>
          <w:sz w:val="20"/>
          <w:szCs w:val="20"/>
        </w:rPr>
      </w:pPr>
      <w:r w:rsidRPr="00E447AD">
        <w:rPr>
          <w:rFonts w:ascii="Arial" w:eastAsia="Times New Roman" w:hAnsi="Arial" w:cs="Arial"/>
          <w:bCs/>
          <w:sz w:val="20"/>
          <w:szCs w:val="20"/>
        </w:rPr>
        <w:t xml:space="preserve">Allergic reactions </w:t>
      </w:r>
      <w:r w:rsidRPr="00E447AD">
        <w:rPr>
          <w:rFonts w:ascii="Arial" w:eastAsia="Times New Roman" w:hAnsi="Arial" w:cs="Arial"/>
          <w:sz w:val="20"/>
          <w:szCs w:val="20"/>
        </w:rPr>
        <w:t xml:space="preserve">– </w:t>
      </w:r>
      <w:r w:rsidRPr="00E447AD">
        <w:rPr>
          <w:rFonts w:ascii="Arial" w:eastAsia="Times New Roman" w:hAnsi="Arial" w:cs="Arial"/>
          <w:i/>
          <w:sz w:val="20"/>
          <w:szCs w:val="20"/>
        </w:rPr>
        <w:t>non-severe</w:t>
      </w:r>
      <w:r w:rsidRPr="00E447AD">
        <w:rPr>
          <w:rFonts w:ascii="Arial" w:eastAsia="Times New Roman" w:hAnsi="Arial" w:cs="Arial"/>
          <w:sz w:val="20"/>
          <w:szCs w:val="20"/>
        </w:rPr>
        <w:t xml:space="preserve"> allergic reactions are excluded from analysis </w:t>
      </w:r>
      <w:r w:rsidR="003F7CD1">
        <w:rPr>
          <w:rFonts w:ascii="Arial" w:eastAsia="Times New Roman" w:hAnsi="Arial" w:cs="Arial"/>
          <w:sz w:val="20"/>
          <w:szCs w:val="20"/>
        </w:rPr>
        <w:t xml:space="preserve">and </w:t>
      </w:r>
      <w:r w:rsidR="00E40583">
        <w:rPr>
          <w:rFonts w:ascii="Arial" w:eastAsia="Times New Roman" w:hAnsi="Arial" w:cs="Arial"/>
          <w:sz w:val="20"/>
          <w:szCs w:val="20"/>
        </w:rPr>
        <w:t>reporting is not</w:t>
      </w:r>
      <w:r w:rsidR="003F7CD1">
        <w:rPr>
          <w:rFonts w:ascii="Arial" w:eastAsia="Times New Roman" w:hAnsi="Arial" w:cs="Arial"/>
          <w:sz w:val="20"/>
          <w:szCs w:val="20"/>
        </w:rPr>
        <w:t xml:space="preserve"> require</w:t>
      </w:r>
      <w:r w:rsidR="00E40583">
        <w:rPr>
          <w:rFonts w:ascii="Arial" w:eastAsia="Times New Roman" w:hAnsi="Arial" w:cs="Arial"/>
          <w:sz w:val="20"/>
          <w:szCs w:val="20"/>
        </w:rPr>
        <w:t>d</w:t>
      </w:r>
    </w:p>
    <w:p w:rsidR="004657B4" w:rsidRDefault="004657B4" w:rsidP="00D8283E">
      <w:pPr>
        <w:spacing w:after="0" w:line="240" w:lineRule="auto"/>
        <w:rPr>
          <w:rFonts w:ascii="Arial" w:eastAsia="Times New Roman" w:hAnsi="Arial" w:cs="Arial"/>
          <w:sz w:val="20"/>
          <w:szCs w:val="20"/>
        </w:rPr>
      </w:pPr>
    </w:p>
    <w:p w:rsidR="00D8283E" w:rsidRDefault="00D8283E" w:rsidP="00D8283E">
      <w:pPr>
        <w:spacing w:after="0" w:line="240" w:lineRule="auto"/>
      </w:pPr>
      <w:r w:rsidRPr="00D8283E">
        <w:rPr>
          <w:rFonts w:ascii="Arial" w:eastAsia="Times New Roman" w:hAnsi="Arial" w:cs="Arial"/>
          <w:sz w:val="20"/>
          <w:szCs w:val="20"/>
        </w:rPr>
        <w:t>Current reaction</w:t>
      </w:r>
      <w:r>
        <w:rPr>
          <w:rFonts w:ascii="Arial" w:eastAsia="Times New Roman" w:hAnsi="Arial" w:cs="Arial"/>
          <w:sz w:val="20"/>
          <w:szCs w:val="20"/>
        </w:rPr>
        <w:t xml:space="preserve"> definitions and imputability criteria can be found at the following link:</w:t>
      </w:r>
      <w:r w:rsidRPr="00D8283E">
        <w:rPr>
          <w:rFonts w:ascii="Arial" w:eastAsia="Times New Roman" w:hAnsi="Arial" w:cs="Arial"/>
          <w:sz w:val="20"/>
          <w:szCs w:val="20"/>
        </w:rPr>
        <w:t xml:space="preserve"> </w:t>
      </w:r>
      <w:hyperlink r:id="rId12" w:history="1">
        <w:r w:rsidRPr="00696369">
          <w:rPr>
            <w:rStyle w:val="Hyperlink"/>
            <w:rFonts w:ascii="Arial" w:hAnsi="Arial" w:cs="Arial"/>
            <w:sz w:val="20"/>
          </w:rPr>
          <w:t>https://www.cdc.gov/nhsn/PDFs/Biovigilance/BV-HV-protocol-current.pdf</w:t>
        </w:r>
      </w:hyperlink>
      <w:r w:rsidR="00C514B5" w:rsidRPr="00696369">
        <w:rPr>
          <w:rStyle w:val="Hyperlink"/>
          <w:rFonts w:ascii="Arial" w:hAnsi="Arial" w:cs="Arial"/>
          <w:sz w:val="20"/>
        </w:rPr>
        <w:t>.</w:t>
      </w:r>
    </w:p>
    <w:p w:rsidR="00632BA9" w:rsidRPr="00E447AD" w:rsidRDefault="00632BA9" w:rsidP="00632BA9">
      <w:pPr>
        <w:pStyle w:val="NoSpacing"/>
        <w:rPr>
          <w:rFonts w:ascii="Arial" w:hAnsi="Arial" w:cs="Arial"/>
          <w:sz w:val="20"/>
          <w:szCs w:val="20"/>
        </w:rPr>
      </w:pPr>
    </w:p>
    <w:p w:rsidR="004657B4" w:rsidRDefault="004657B4">
      <w:pPr>
        <w:rPr>
          <w:rFonts w:ascii="Arial" w:hAnsi="Arial" w:cs="Arial"/>
          <w:b/>
          <w:sz w:val="20"/>
        </w:rPr>
      </w:pPr>
      <w:r>
        <w:rPr>
          <w:rFonts w:ascii="Arial" w:hAnsi="Arial" w:cs="Arial"/>
          <w:b/>
          <w:sz w:val="20"/>
        </w:rPr>
        <w:br w:type="page"/>
      </w:r>
    </w:p>
    <w:p w:rsidR="004657B4" w:rsidRPr="00E447AD" w:rsidRDefault="004657B4" w:rsidP="004657B4">
      <w:pPr>
        <w:pStyle w:val="NoSpacing"/>
        <w:rPr>
          <w:rFonts w:ascii="Arial" w:hAnsi="Arial" w:cs="Arial"/>
          <w:b/>
          <w:sz w:val="20"/>
        </w:rPr>
      </w:pPr>
      <w:r w:rsidRPr="00E447AD">
        <w:rPr>
          <w:rFonts w:ascii="Arial" w:hAnsi="Arial" w:cs="Arial"/>
          <w:b/>
          <w:sz w:val="20"/>
        </w:rPr>
        <w:lastRenderedPageBreak/>
        <w:t>Data Summary</w:t>
      </w:r>
    </w:p>
    <w:p w:rsidR="004657B4" w:rsidRPr="00E447AD" w:rsidRDefault="004657B4" w:rsidP="004657B4">
      <w:pPr>
        <w:pStyle w:val="NoSpacing"/>
        <w:rPr>
          <w:rFonts w:ascii="Arial" w:hAnsi="Arial" w:cs="Arial"/>
          <w:b/>
          <w:sz w:val="20"/>
        </w:rPr>
      </w:pPr>
    </w:p>
    <w:p w:rsidR="004657B4" w:rsidRPr="00E447AD" w:rsidRDefault="004657B4" w:rsidP="004657B4">
      <w:pPr>
        <w:pStyle w:val="NoSpacing"/>
        <w:rPr>
          <w:rFonts w:ascii="Arial" w:hAnsi="Arial" w:cs="Arial"/>
          <w:sz w:val="20"/>
        </w:rPr>
      </w:pPr>
      <w:r w:rsidRPr="00E447AD">
        <w:rPr>
          <w:rFonts w:ascii="Arial" w:hAnsi="Arial" w:cs="Arial"/>
          <w:sz w:val="20"/>
        </w:rPr>
        <w:t>This report in</w:t>
      </w:r>
      <w:r>
        <w:rPr>
          <w:rFonts w:ascii="Arial" w:hAnsi="Arial" w:cs="Arial"/>
          <w:sz w:val="20"/>
        </w:rPr>
        <w:t>cludes data submitted by all 69</w:t>
      </w:r>
      <w:r w:rsidRPr="00E447AD">
        <w:rPr>
          <w:rFonts w:ascii="Arial" w:hAnsi="Arial" w:cs="Arial"/>
          <w:sz w:val="20"/>
        </w:rPr>
        <w:t xml:space="preserve"> blood banks</w:t>
      </w:r>
      <w:r>
        <w:rPr>
          <w:rFonts w:ascii="Arial" w:hAnsi="Arial" w:cs="Arial"/>
          <w:sz w:val="20"/>
        </w:rPr>
        <w:t xml:space="preserve"> licensed in</w:t>
      </w:r>
      <w:r w:rsidRPr="00E447AD">
        <w:rPr>
          <w:rFonts w:ascii="Arial" w:hAnsi="Arial" w:cs="Arial"/>
          <w:sz w:val="20"/>
        </w:rPr>
        <w:t xml:space="preserve"> Massachusetts.</w:t>
      </w:r>
      <w:r w:rsidR="00FF371E" w:rsidRPr="00FF371E">
        <w:rPr>
          <w:rFonts w:ascii="Arial" w:hAnsi="Arial" w:cs="Arial"/>
          <w:sz w:val="20"/>
        </w:rPr>
        <w:t xml:space="preserve"> Submission of data through the NHSN Hemovigilance Module is a regulatory requirement under 105 CMR 135.120 for all blood banks and transfusion services in Massachusetts. </w:t>
      </w:r>
      <w:r w:rsidRPr="00E447AD">
        <w:rPr>
          <w:rFonts w:ascii="Arial" w:hAnsi="Arial" w:cs="Arial"/>
          <w:sz w:val="20"/>
        </w:rPr>
        <w:t>Complete denominator and adverse reaction data were submitted by all 69 facilities for all months covered. Facilities were stratified into three bed size groups</w:t>
      </w:r>
      <w:r>
        <w:rPr>
          <w:rFonts w:ascii="Arial" w:hAnsi="Arial" w:cs="Arial"/>
          <w:sz w:val="20"/>
        </w:rPr>
        <w:t xml:space="preserve"> for this report</w:t>
      </w:r>
      <w:r w:rsidRPr="00E447AD">
        <w:rPr>
          <w:rFonts w:ascii="Arial" w:hAnsi="Arial" w:cs="Arial"/>
          <w:sz w:val="20"/>
        </w:rPr>
        <w:t xml:space="preserve">. </w:t>
      </w:r>
    </w:p>
    <w:p w:rsidR="004657B4" w:rsidRPr="00E447AD" w:rsidRDefault="004657B4" w:rsidP="004657B4">
      <w:pPr>
        <w:pStyle w:val="NoSpacing"/>
        <w:rPr>
          <w:rFonts w:ascii="Arial" w:hAnsi="Arial" w:cs="Arial"/>
          <w:sz w:val="20"/>
        </w:rPr>
      </w:pPr>
    </w:p>
    <w:p w:rsidR="004657B4" w:rsidRPr="00E447AD" w:rsidRDefault="004657B4" w:rsidP="004657B4">
      <w:pPr>
        <w:pStyle w:val="NoSpacing"/>
        <w:rPr>
          <w:rFonts w:ascii="Arial" w:hAnsi="Arial" w:cs="Arial"/>
          <w:sz w:val="20"/>
        </w:rPr>
      </w:pPr>
      <w:r>
        <w:rPr>
          <w:rFonts w:ascii="Arial" w:hAnsi="Arial" w:cs="Arial"/>
          <w:sz w:val="20"/>
        </w:rPr>
        <w:t xml:space="preserve">Responses to a </w:t>
      </w:r>
      <w:r w:rsidRPr="00E447AD">
        <w:rPr>
          <w:rFonts w:ascii="Arial" w:hAnsi="Arial" w:cs="Arial"/>
          <w:sz w:val="20"/>
        </w:rPr>
        <w:t xml:space="preserve">NHSN </w:t>
      </w:r>
      <w:r>
        <w:rPr>
          <w:rFonts w:ascii="Arial" w:hAnsi="Arial" w:cs="Arial"/>
          <w:sz w:val="20"/>
        </w:rPr>
        <w:t>a</w:t>
      </w:r>
      <w:r w:rsidRPr="00E447AD">
        <w:rPr>
          <w:rFonts w:ascii="Arial" w:hAnsi="Arial" w:cs="Arial"/>
          <w:sz w:val="20"/>
        </w:rPr>
        <w:t xml:space="preserve">nnual </w:t>
      </w:r>
      <w:r>
        <w:rPr>
          <w:rFonts w:ascii="Arial" w:hAnsi="Arial" w:cs="Arial"/>
          <w:sz w:val="20"/>
        </w:rPr>
        <w:t>f</w:t>
      </w:r>
      <w:r w:rsidRPr="00E447AD">
        <w:rPr>
          <w:rFonts w:ascii="Arial" w:hAnsi="Arial" w:cs="Arial"/>
          <w:sz w:val="20"/>
        </w:rPr>
        <w:t xml:space="preserve">acility </w:t>
      </w:r>
      <w:r>
        <w:rPr>
          <w:rFonts w:ascii="Arial" w:hAnsi="Arial" w:cs="Arial"/>
          <w:sz w:val="20"/>
        </w:rPr>
        <w:t>s</w:t>
      </w:r>
      <w:r w:rsidRPr="00E447AD">
        <w:rPr>
          <w:rFonts w:ascii="Arial" w:hAnsi="Arial" w:cs="Arial"/>
          <w:sz w:val="20"/>
        </w:rPr>
        <w:t xml:space="preserve">urvey, </w:t>
      </w:r>
      <w:r>
        <w:rPr>
          <w:rFonts w:ascii="Arial" w:hAnsi="Arial" w:cs="Arial"/>
          <w:sz w:val="20"/>
        </w:rPr>
        <w:t xml:space="preserve">which describes </w:t>
      </w:r>
      <w:r w:rsidRPr="00E447AD">
        <w:rPr>
          <w:rFonts w:ascii="Arial" w:hAnsi="Arial" w:cs="Arial"/>
          <w:sz w:val="20"/>
        </w:rPr>
        <w:t>facility characteristics, w</w:t>
      </w:r>
      <w:r>
        <w:rPr>
          <w:rFonts w:ascii="Arial" w:hAnsi="Arial" w:cs="Arial"/>
          <w:sz w:val="20"/>
        </w:rPr>
        <w:t>ere</w:t>
      </w:r>
      <w:r w:rsidRPr="00E447AD">
        <w:rPr>
          <w:rFonts w:ascii="Arial" w:hAnsi="Arial" w:cs="Arial"/>
          <w:sz w:val="20"/>
        </w:rPr>
        <w:t xml:space="preserve"> provided by 60 blood banks. For those facilities that did not submit a 2018 annual facility survey, the most recent prior year submission was used. Bed size characteristics from the </w:t>
      </w:r>
      <w:r>
        <w:rPr>
          <w:rFonts w:ascii="Arial" w:hAnsi="Arial" w:cs="Arial"/>
          <w:sz w:val="20"/>
        </w:rPr>
        <w:t>a</w:t>
      </w:r>
      <w:r w:rsidRPr="00E447AD">
        <w:rPr>
          <w:rFonts w:ascii="Arial" w:hAnsi="Arial" w:cs="Arial"/>
          <w:sz w:val="20"/>
        </w:rPr>
        <w:t xml:space="preserve">nnual </w:t>
      </w:r>
      <w:r>
        <w:rPr>
          <w:rFonts w:ascii="Arial" w:hAnsi="Arial" w:cs="Arial"/>
          <w:sz w:val="20"/>
        </w:rPr>
        <w:t>f</w:t>
      </w:r>
      <w:r w:rsidRPr="00E447AD">
        <w:rPr>
          <w:rFonts w:ascii="Arial" w:hAnsi="Arial" w:cs="Arial"/>
          <w:sz w:val="20"/>
        </w:rPr>
        <w:t xml:space="preserve">acility </w:t>
      </w:r>
      <w:r>
        <w:rPr>
          <w:rFonts w:ascii="Arial" w:hAnsi="Arial" w:cs="Arial"/>
          <w:sz w:val="20"/>
        </w:rPr>
        <w:t>s</w:t>
      </w:r>
      <w:r w:rsidRPr="00E447AD">
        <w:rPr>
          <w:rFonts w:ascii="Arial" w:hAnsi="Arial" w:cs="Arial"/>
          <w:sz w:val="20"/>
        </w:rPr>
        <w:t xml:space="preserve">urvey data can be found in Table 1. Eighty-eight percent of facilities were College of American Pathologists (CAP) accredited, 54% were accredited by AABB, and 49% indicated accreditation by the Joint Commission. </w:t>
      </w:r>
    </w:p>
    <w:p w:rsidR="004657B4" w:rsidRPr="00E447AD" w:rsidRDefault="004657B4" w:rsidP="004657B4">
      <w:pPr>
        <w:pStyle w:val="NoSpacing"/>
        <w:rPr>
          <w:rFonts w:ascii="Arial" w:hAnsi="Arial" w:cs="Arial"/>
          <w:sz w:val="20"/>
        </w:rPr>
      </w:pPr>
    </w:p>
    <w:p w:rsidR="004657B4" w:rsidRPr="00E447AD" w:rsidRDefault="004657B4" w:rsidP="004657B4">
      <w:pPr>
        <w:pStyle w:val="NoSpacing"/>
        <w:rPr>
          <w:rFonts w:ascii="Arial" w:hAnsi="Arial" w:cs="Arial"/>
          <w:sz w:val="20"/>
        </w:rPr>
      </w:pPr>
      <w:r w:rsidRPr="00E447AD">
        <w:rPr>
          <w:rFonts w:ascii="Arial" w:hAnsi="Arial" w:cs="Arial"/>
          <w:sz w:val="20"/>
        </w:rPr>
        <w:t>The volume of blood products transfused by Massachusetts blood banks varied widely. The number of whole blood units transfused statewide decreased</w:t>
      </w:r>
      <w:r>
        <w:rPr>
          <w:rFonts w:ascii="Arial" w:hAnsi="Arial" w:cs="Arial"/>
          <w:sz w:val="20"/>
        </w:rPr>
        <w:t xml:space="preserve"> by</w:t>
      </w:r>
      <w:r w:rsidRPr="00E447AD">
        <w:rPr>
          <w:rFonts w:ascii="Arial" w:hAnsi="Arial" w:cs="Arial"/>
          <w:sz w:val="20"/>
        </w:rPr>
        <w:t xml:space="preserve"> </w:t>
      </w:r>
      <w:r>
        <w:rPr>
          <w:rFonts w:ascii="Arial" w:hAnsi="Arial" w:cs="Arial"/>
          <w:sz w:val="20"/>
        </w:rPr>
        <w:t>77</w:t>
      </w:r>
      <w:r w:rsidRPr="00E447AD">
        <w:rPr>
          <w:rFonts w:ascii="Arial" w:hAnsi="Arial" w:cs="Arial"/>
          <w:sz w:val="20"/>
        </w:rPr>
        <w:t xml:space="preserve">% from 2016 to 2018. </w:t>
      </w:r>
      <w:r>
        <w:rPr>
          <w:rFonts w:ascii="Arial" w:hAnsi="Arial" w:cs="Arial"/>
          <w:sz w:val="20"/>
        </w:rPr>
        <w:t>Only four f</w:t>
      </w:r>
      <w:r w:rsidRPr="00E447AD">
        <w:rPr>
          <w:rFonts w:ascii="Arial" w:hAnsi="Arial" w:cs="Arial"/>
          <w:sz w:val="20"/>
        </w:rPr>
        <w:t xml:space="preserve">acilities transfused any whole blood in 2018, and </w:t>
      </w:r>
      <w:r w:rsidRPr="00907BAA">
        <w:rPr>
          <w:rFonts w:ascii="Arial" w:hAnsi="Arial" w:cs="Arial"/>
          <w:sz w:val="20"/>
        </w:rPr>
        <w:t>in all cases it was autologous.</w:t>
      </w:r>
      <w:r w:rsidRPr="00E447AD">
        <w:rPr>
          <w:rFonts w:ascii="Arial" w:hAnsi="Arial" w:cs="Arial"/>
          <w:sz w:val="20"/>
        </w:rPr>
        <w:t xml:space="preserve"> </w:t>
      </w:r>
      <w:r>
        <w:rPr>
          <w:rFonts w:ascii="Arial" w:hAnsi="Arial" w:cs="Arial"/>
          <w:sz w:val="20"/>
        </w:rPr>
        <w:t xml:space="preserve">The facility that transfused the largest amount of autologous whole blood ceased this practice in June 2018. </w:t>
      </w:r>
      <w:r w:rsidRPr="00E447AD">
        <w:rPr>
          <w:rFonts w:ascii="Arial" w:hAnsi="Arial" w:cs="Arial"/>
          <w:sz w:val="20"/>
        </w:rPr>
        <w:t xml:space="preserve">Nearly all blood banks, 68 (99%) attempted to issue only leukocyte-reduced or leuko-poor cellular components. </w:t>
      </w:r>
      <w:r>
        <w:rPr>
          <w:rFonts w:ascii="Arial" w:hAnsi="Arial" w:cs="Arial"/>
          <w:sz w:val="20"/>
        </w:rPr>
        <w:t>Fourteen</w:t>
      </w:r>
      <w:r w:rsidRPr="00E447AD">
        <w:rPr>
          <w:rFonts w:ascii="Arial" w:hAnsi="Arial" w:cs="Arial"/>
          <w:sz w:val="20"/>
        </w:rPr>
        <w:t xml:space="preserve"> (20%) blood banks collected blood at their facility</w:t>
      </w:r>
      <w:r>
        <w:rPr>
          <w:rFonts w:ascii="Arial" w:hAnsi="Arial" w:cs="Arial"/>
          <w:sz w:val="20"/>
        </w:rPr>
        <w:t>,</w:t>
      </w:r>
      <w:r w:rsidRPr="00E447AD">
        <w:rPr>
          <w:rFonts w:ascii="Arial" w:hAnsi="Arial" w:cs="Arial"/>
          <w:sz w:val="20"/>
        </w:rPr>
        <w:t xml:space="preserve"> and </w:t>
      </w:r>
      <w:r>
        <w:rPr>
          <w:rFonts w:ascii="Arial" w:hAnsi="Arial" w:cs="Arial"/>
          <w:sz w:val="20"/>
        </w:rPr>
        <w:t xml:space="preserve">eight </w:t>
      </w:r>
      <w:r w:rsidRPr="00E447AD">
        <w:rPr>
          <w:rFonts w:ascii="Arial" w:hAnsi="Arial" w:cs="Arial"/>
          <w:sz w:val="20"/>
        </w:rPr>
        <w:t xml:space="preserve">(12%) performed point of issue bacterial testing on platelets prior to transfusion. </w:t>
      </w:r>
    </w:p>
    <w:p w:rsidR="004657B4" w:rsidRPr="00E447AD" w:rsidRDefault="004657B4" w:rsidP="004657B4">
      <w:pPr>
        <w:pStyle w:val="NoSpacing"/>
        <w:rPr>
          <w:rFonts w:ascii="Arial" w:hAnsi="Arial" w:cs="Arial"/>
          <w:sz w:val="20"/>
        </w:rPr>
      </w:pPr>
    </w:p>
    <w:p w:rsidR="004657B4" w:rsidRPr="00E447AD" w:rsidRDefault="004657B4" w:rsidP="004657B4">
      <w:pPr>
        <w:pStyle w:val="NoSpacing"/>
        <w:rPr>
          <w:rFonts w:ascii="Arial" w:hAnsi="Arial" w:cs="Arial"/>
          <w:sz w:val="20"/>
        </w:rPr>
      </w:pPr>
      <w:r w:rsidRPr="00E447AD">
        <w:rPr>
          <w:rFonts w:ascii="Arial" w:hAnsi="Arial" w:cs="Arial"/>
          <w:sz w:val="20"/>
        </w:rPr>
        <w:t>The number of</w:t>
      </w:r>
      <w:r>
        <w:rPr>
          <w:rFonts w:ascii="Arial" w:hAnsi="Arial" w:cs="Arial"/>
          <w:sz w:val="20"/>
        </w:rPr>
        <w:t xml:space="preserve"> red blood cell</w:t>
      </w:r>
      <w:r w:rsidRPr="00E447AD">
        <w:rPr>
          <w:rFonts w:ascii="Arial" w:hAnsi="Arial" w:cs="Arial"/>
          <w:sz w:val="20"/>
        </w:rPr>
        <w:t xml:space="preserve"> </w:t>
      </w:r>
      <w:r>
        <w:rPr>
          <w:rFonts w:ascii="Arial" w:hAnsi="Arial" w:cs="Arial"/>
          <w:sz w:val="20"/>
        </w:rPr>
        <w:t>(</w:t>
      </w:r>
      <w:r w:rsidRPr="00E447AD">
        <w:rPr>
          <w:rFonts w:ascii="Arial" w:hAnsi="Arial" w:cs="Arial"/>
          <w:sz w:val="20"/>
        </w:rPr>
        <w:t>RBC</w:t>
      </w:r>
      <w:r>
        <w:rPr>
          <w:rFonts w:ascii="Arial" w:hAnsi="Arial" w:cs="Arial"/>
          <w:sz w:val="20"/>
        </w:rPr>
        <w:t>)</w:t>
      </w:r>
      <w:r w:rsidRPr="00E447AD">
        <w:rPr>
          <w:rFonts w:ascii="Arial" w:hAnsi="Arial" w:cs="Arial"/>
          <w:sz w:val="20"/>
        </w:rPr>
        <w:t xml:space="preserve"> type and screen procedures performed by Massachusetts blood banks ranged from 0 to 85,735 (mean: 9,451) and RBC crossmatches ranged from 0 to 57,710 (mean: 5,616).</w:t>
      </w:r>
      <w:r>
        <w:rPr>
          <w:rFonts w:ascii="Arial" w:hAnsi="Arial" w:cs="Arial"/>
          <w:sz w:val="20"/>
        </w:rPr>
        <w:t xml:space="preserve"> This year’s range included zero due to one facility ceasing operations in March and reporting no transfusion activity in January and February.</w:t>
      </w:r>
      <w:r w:rsidRPr="00E447AD">
        <w:rPr>
          <w:rFonts w:ascii="Arial" w:hAnsi="Arial" w:cs="Arial"/>
          <w:sz w:val="20"/>
        </w:rPr>
        <w:t xml:space="preserve"> The number of products transfused </w:t>
      </w:r>
      <w:r>
        <w:rPr>
          <w:rFonts w:ascii="Arial" w:hAnsi="Arial" w:cs="Arial"/>
          <w:sz w:val="20"/>
        </w:rPr>
        <w:t xml:space="preserve">statewide </w:t>
      </w:r>
      <w:r w:rsidRPr="00E447AD">
        <w:rPr>
          <w:rFonts w:ascii="Arial" w:hAnsi="Arial" w:cs="Arial"/>
          <w:sz w:val="20"/>
        </w:rPr>
        <w:t>in 2017 averaged 29,99</w:t>
      </w:r>
      <w:r>
        <w:rPr>
          <w:rFonts w:ascii="Arial" w:hAnsi="Arial" w:cs="Arial"/>
          <w:sz w:val="20"/>
        </w:rPr>
        <w:t>8</w:t>
      </w:r>
      <w:r w:rsidRPr="00E447AD">
        <w:rPr>
          <w:rFonts w:ascii="Arial" w:hAnsi="Arial" w:cs="Arial"/>
          <w:sz w:val="20"/>
        </w:rPr>
        <w:t xml:space="preserve"> products per month. In 2018, the number of products transfused increased to an average of 31,1</w:t>
      </w:r>
      <w:r>
        <w:rPr>
          <w:rFonts w:ascii="Arial" w:hAnsi="Arial" w:cs="Arial"/>
          <w:sz w:val="20"/>
        </w:rPr>
        <w:t>87</w:t>
      </w:r>
      <w:r w:rsidRPr="00E447AD">
        <w:rPr>
          <w:rFonts w:ascii="Arial" w:hAnsi="Arial" w:cs="Arial"/>
          <w:sz w:val="20"/>
        </w:rPr>
        <w:t xml:space="preserve"> products per month. The monthly average number of discarded products</w:t>
      </w:r>
      <w:r>
        <w:rPr>
          <w:rFonts w:ascii="Arial" w:hAnsi="Arial" w:cs="Arial"/>
          <w:sz w:val="20"/>
        </w:rPr>
        <w:t xml:space="preserve"> in 2018</w:t>
      </w:r>
      <w:r w:rsidRPr="00E447AD">
        <w:rPr>
          <w:rFonts w:ascii="Arial" w:hAnsi="Arial" w:cs="Arial"/>
          <w:sz w:val="20"/>
        </w:rPr>
        <w:t xml:space="preserve"> was 2,101</w:t>
      </w:r>
      <w:r>
        <w:rPr>
          <w:rFonts w:ascii="Arial" w:hAnsi="Arial" w:cs="Arial"/>
          <w:sz w:val="20"/>
        </w:rPr>
        <w:t>, representing a 6% decrease from 2016 to 2018.</w:t>
      </w:r>
    </w:p>
    <w:p w:rsidR="004657B4" w:rsidRPr="00E447AD" w:rsidRDefault="004657B4" w:rsidP="004657B4">
      <w:pPr>
        <w:pStyle w:val="NoSpacing"/>
        <w:rPr>
          <w:rFonts w:ascii="Arial" w:hAnsi="Arial" w:cs="Arial"/>
          <w:sz w:val="20"/>
        </w:rPr>
      </w:pPr>
    </w:p>
    <w:p w:rsidR="004657B4" w:rsidRPr="00E447AD" w:rsidRDefault="004657B4" w:rsidP="004657B4">
      <w:pPr>
        <w:pStyle w:val="NoSpacing"/>
        <w:rPr>
          <w:rFonts w:ascii="Arial" w:hAnsi="Arial" w:cs="Arial"/>
          <w:sz w:val="20"/>
        </w:rPr>
      </w:pPr>
      <w:r w:rsidRPr="00E447AD">
        <w:rPr>
          <w:rFonts w:ascii="Arial" w:hAnsi="Arial" w:cs="Arial"/>
          <w:sz w:val="20"/>
        </w:rPr>
        <w:t>Two transfusion-transmitted infections were reported in 2018</w:t>
      </w:r>
      <w:r>
        <w:rPr>
          <w:rFonts w:ascii="Arial" w:hAnsi="Arial" w:cs="Arial"/>
          <w:sz w:val="20"/>
        </w:rPr>
        <w:t>,</w:t>
      </w:r>
      <w:r w:rsidRPr="00E447AD">
        <w:rPr>
          <w:rFonts w:ascii="Arial" w:hAnsi="Arial" w:cs="Arial"/>
          <w:sz w:val="20"/>
        </w:rPr>
        <w:t xml:space="preserve"> both of which were </w:t>
      </w:r>
      <w:r w:rsidRPr="00E447AD">
        <w:rPr>
          <w:rFonts w:ascii="Arial" w:hAnsi="Arial" w:cs="Arial"/>
          <w:i/>
          <w:sz w:val="20"/>
        </w:rPr>
        <w:t>Babesia microti</w:t>
      </w:r>
      <w:r w:rsidRPr="00E447AD">
        <w:rPr>
          <w:rFonts w:ascii="Arial" w:hAnsi="Arial" w:cs="Arial"/>
          <w:sz w:val="20"/>
        </w:rPr>
        <w:t xml:space="preserve"> infections associated with transfused RBCs. This was a decrease in the </w:t>
      </w:r>
      <w:r>
        <w:rPr>
          <w:rFonts w:ascii="Arial" w:hAnsi="Arial" w:cs="Arial"/>
          <w:sz w:val="20"/>
        </w:rPr>
        <w:t xml:space="preserve">total </w:t>
      </w:r>
      <w:r w:rsidRPr="00E447AD">
        <w:rPr>
          <w:rFonts w:ascii="Arial" w:hAnsi="Arial" w:cs="Arial"/>
          <w:sz w:val="20"/>
        </w:rPr>
        <w:t xml:space="preserve">number of transfusion-transmitted infections reported compared to the prior two years, and a marked decrease in the number of reported </w:t>
      </w:r>
      <w:r w:rsidRPr="00E447AD">
        <w:rPr>
          <w:rFonts w:ascii="Arial" w:hAnsi="Arial" w:cs="Arial"/>
          <w:i/>
          <w:sz w:val="20"/>
        </w:rPr>
        <w:t>Babesia microti</w:t>
      </w:r>
      <w:r w:rsidRPr="00E447AD">
        <w:rPr>
          <w:rFonts w:ascii="Arial" w:hAnsi="Arial" w:cs="Arial"/>
          <w:sz w:val="20"/>
        </w:rPr>
        <w:t xml:space="preserve"> infections. The 2018 rate of transfusion-transmitted infections in Massachusetts was 0.053 </w:t>
      </w:r>
      <w:r>
        <w:rPr>
          <w:rFonts w:ascii="Arial" w:hAnsi="Arial" w:cs="Arial"/>
          <w:sz w:val="20"/>
        </w:rPr>
        <w:t xml:space="preserve">infections per </w:t>
      </w:r>
      <w:r w:rsidRPr="00E447AD">
        <w:rPr>
          <w:rFonts w:ascii="Arial" w:hAnsi="Arial" w:cs="Arial"/>
          <w:sz w:val="20"/>
        </w:rPr>
        <w:t>10,000 products transfused.</w:t>
      </w:r>
    </w:p>
    <w:p w:rsidR="004657B4" w:rsidRPr="00E447AD" w:rsidRDefault="004657B4" w:rsidP="004657B4">
      <w:pPr>
        <w:pStyle w:val="NoSpacing"/>
        <w:rPr>
          <w:rFonts w:ascii="Arial" w:hAnsi="Arial" w:cs="Arial"/>
          <w:sz w:val="20"/>
        </w:rPr>
      </w:pPr>
    </w:p>
    <w:p w:rsidR="004657B4" w:rsidRPr="00E447AD" w:rsidRDefault="004657B4" w:rsidP="004657B4">
      <w:pPr>
        <w:pStyle w:val="NoSpacing"/>
        <w:rPr>
          <w:rFonts w:ascii="Arial" w:hAnsi="Arial" w:cs="Arial"/>
          <w:sz w:val="20"/>
        </w:rPr>
      </w:pPr>
      <w:r>
        <w:rPr>
          <w:rFonts w:ascii="Arial" w:hAnsi="Arial" w:cs="Arial"/>
          <w:sz w:val="20"/>
        </w:rPr>
        <w:t>In</w:t>
      </w:r>
      <w:r w:rsidRPr="00E447AD">
        <w:rPr>
          <w:rFonts w:ascii="Arial" w:hAnsi="Arial" w:cs="Arial"/>
          <w:sz w:val="20"/>
        </w:rPr>
        <w:t xml:space="preserve"> 2018, there were 374,2</w:t>
      </w:r>
      <w:r>
        <w:rPr>
          <w:rFonts w:ascii="Arial" w:hAnsi="Arial" w:cs="Arial"/>
          <w:sz w:val="20"/>
        </w:rPr>
        <w:t>49</w:t>
      </w:r>
      <w:r w:rsidRPr="00E447AD">
        <w:rPr>
          <w:rFonts w:ascii="Arial" w:hAnsi="Arial" w:cs="Arial"/>
          <w:sz w:val="20"/>
        </w:rPr>
        <w:t xml:space="preserve"> blood products transfused</w:t>
      </w:r>
      <w:r>
        <w:rPr>
          <w:rFonts w:ascii="Arial" w:hAnsi="Arial" w:cs="Arial"/>
          <w:sz w:val="20"/>
        </w:rPr>
        <w:t xml:space="preserve">, with </w:t>
      </w:r>
      <w:r w:rsidRPr="00E447AD">
        <w:rPr>
          <w:rFonts w:ascii="Arial" w:hAnsi="Arial" w:cs="Arial"/>
          <w:sz w:val="20"/>
        </w:rPr>
        <w:t>a total of 60</w:t>
      </w:r>
      <w:r>
        <w:rPr>
          <w:rFonts w:ascii="Arial" w:hAnsi="Arial" w:cs="Arial"/>
          <w:sz w:val="20"/>
        </w:rPr>
        <w:t>8</w:t>
      </w:r>
      <w:r w:rsidRPr="00E447AD">
        <w:rPr>
          <w:rFonts w:ascii="Arial" w:hAnsi="Arial" w:cs="Arial"/>
          <w:sz w:val="20"/>
        </w:rPr>
        <w:t xml:space="preserve"> adverse reactions classified as possibly, probably, or definitely related to transfusion reported, yielding an overall reaction rate of 16.2 reactions</w:t>
      </w:r>
      <w:r>
        <w:rPr>
          <w:rFonts w:ascii="Arial" w:hAnsi="Arial" w:cs="Arial"/>
          <w:sz w:val="20"/>
        </w:rPr>
        <w:t xml:space="preserve"> per </w:t>
      </w:r>
      <w:r w:rsidRPr="00E447AD">
        <w:rPr>
          <w:rFonts w:ascii="Arial" w:hAnsi="Arial" w:cs="Arial"/>
          <w:sz w:val="20"/>
        </w:rPr>
        <w:t xml:space="preserve">10,000 products transfused. Thirty-eight (6%) of the reported reactions were considered serious or life-threatening, and two (0.3%) reactions were fatal. Febrile non-hemolytic reactions </w:t>
      </w:r>
      <w:r>
        <w:rPr>
          <w:rFonts w:ascii="Arial" w:hAnsi="Arial" w:cs="Arial"/>
          <w:sz w:val="20"/>
        </w:rPr>
        <w:t xml:space="preserve">(FNHTRs) </w:t>
      </w:r>
      <w:r w:rsidRPr="00E447AD">
        <w:rPr>
          <w:rFonts w:ascii="Arial" w:hAnsi="Arial" w:cs="Arial"/>
          <w:sz w:val="20"/>
        </w:rPr>
        <w:t>were reported more frequently than other reaction types, making up 81% (491/60</w:t>
      </w:r>
      <w:r>
        <w:rPr>
          <w:rFonts w:ascii="Arial" w:hAnsi="Arial" w:cs="Arial"/>
          <w:sz w:val="20"/>
        </w:rPr>
        <w:t>8</w:t>
      </w:r>
      <w:r w:rsidRPr="00E447AD">
        <w:rPr>
          <w:rFonts w:ascii="Arial" w:hAnsi="Arial" w:cs="Arial"/>
          <w:sz w:val="20"/>
        </w:rPr>
        <w:t>) of all adverse reactions reported.</w:t>
      </w:r>
    </w:p>
    <w:p w:rsidR="004657B4" w:rsidRPr="00E447AD" w:rsidRDefault="004657B4" w:rsidP="004657B4">
      <w:pPr>
        <w:pStyle w:val="NoSpacing"/>
        <w:rPr>
          <w:rFonts w:ascii="Arial" w:eastAsia="Arial" w:hAnsi="Arial" w:cs="Times New Roman"/>
          <w:b/>
          <w:bCs/>
          <w:sz w:val="20"/>
        </w:rPr>
      </w:pPr>
    </w:p>
    <w:p w:rsidR="004657B4" w:rsidRPr="00E447AD" w:rsidRDefault="004657B4" w:rsidP="004657B4">
      <w:pPr>
        <w:pStyle w:val="NoSpacing"/>
        <w:rPr>
          <w:rFonts w:ascii="Arial" w:eastAsia="Arial" w:hAnsi="Arial" w:cs="Times New Roman"/>
          <w:b/>
          <w:bCs/>
          <w:sz w:val="20"/>
        </w:rPr>
      </w:pPr>
      <w:r>
        <w:rPr>
          <w:rFonts w:ascii="Arial" w:hAnsi="Arial" w:cs="Arial"/>
          <w:sz w:val="20"/>
          <w:szCs w:val="20"/>
        </w:rPr>
        <w:t>This year’s annual report includes adverse reaction data from 2017 and 2018 only. This is due to updates made to the hemovigilance module in 2017 which included the implementation of “auto-designation”. Auto-designation allows NHSN to automatically assign an adverse reaction’s case definition and imputability classification based on the clinical and laboratory data (i.e.,</w:t>
      </w:r>
      <w:r>
        <w:rPr>
          <w:rFonts w:ascii="Arial" w:hAnsi="Arial" w:cs="Arial"/>
          <w:color w:val="000000"/>
          <w:sz w:val="20"/>
          <w:szCs w:val="20"/>
        </w:rPr>
        <w:t xml:space="preserve"> signs, symptoms, and lab results)</w:t>
      </w:r>
      <w:r>
        <w:rPr>
          <w:rFonts w:ascii="Arial" w:hAnsi="Arial" w:cs="Arial"/>
          <w:sz w:val="20"/>
          <w:szCs w:val="20"/>
        </w:rPr>
        <w:t xml:space="preserve"> entered by the user. Prior to auto-designation, users would assign case definition and imputability classification themselves based on NHSN protocol rules. Because of this change in the module, it was determined that 2017 and 2018 data should not be directly compared to, or included in, trend analyses with earlier data, before auto-designation was implemented. For the 2017 Annual Report, 2015 and 2016 data were included for trend analyses by applying a “retro” designation to 2017 data, as if auto-designation had not yet been implemented. Moving forward, MDPH analysis will rely on the NHSN hemovigilance module auto-designation assignments for case definition and imputability. This means that 2017 adverse reaction data in last year’s annual report may differ from the 2017 adverse reaction data included in this year’s report.</w:t>
      </w:r>
    </w:p>
    <w:p w:rsidR="004657B4" w:rsidRDefault="004657B4">
      <w:pPr>
        <w:rPr>
          <w:rFonts w:ascii="Arial" w:hAnsi="Arial" w:cs="Arial"/>
          <w:sz w:val="20"/>
          <w:szCs w:val="20"/>
        </w:rPr>
      </w:pPr>
      <w:r>
        <w:rPr>
          <w:rFonts w:ascii="Arial" w:hAnsi="Arial" w:cs="Arial"/>
          <w:sz w:val="20"/>
          <w:szCs w:val="20"/>
        </w:rPr>
        <w:br w:type="page"/>
      </w:r>
    </w:p>
    <w:p w:rsidR="00632BA9" w:rsidRPr="00E447AD" w:rsidRDefault="004657B4" w:rsidP="00632BA9">
      <w:pPr>
        <w:pStyle w:val="NoSpacing"/>
        <w:rPr>
          <w:rFonts w:ascii="Arial" w:hAnsi="Arial" w:cs="Arial"/>
          <w:sz w:val="20"/>
          <w:szCs w:val="20"/>
        </w:rPr>
      </w:pPr>
      <w:r>
        <w:rPr>
          <w:rFonts w:ascii="Arial" w:hAnsi="Arial" w:cs="Arial"/>
          <w:sz w:val="20"/>
          <w:szCs w:val="20"/>
        </w:rPr>
        <w:lastRenderedPageBreak/>
        <w:t xml:space="preserve">The </w:t>
      </w:r>
      <w:r w:rsidR="00E40583">
        <w:rPr>
          <w:rFonts w:ascii="Arial" w:hAnsi="Arial" w:cs="Arial"/>
          <w:sz w:val="20"/>
          <w:szCs w:val="20"/>
        </w:rPr>
        <w:t>T</w:t>
      </w:r>
      <w:r w:rsidR="00E40583" w:rsidRPr="00E447AD">
        <w:rPr>
          <w:rFonts w:ascii="Arial" w:hAnsi="Arial" w:cs="Arial"/>
          <w:sz w:val="20"/>
          <w:szCs w:val="20"/>
        </w:rPr>
        <w:t xml:space="preserve">echnical </w:t>
      </w:r>
      <w:r w:rsidR="00E40583">
        <w:rPr>
          <w:rFonts w:ascii="Arial" w:hAnsi="Arial" w:cs="Arial"/>
          <w:sz w:val="20"/>
          <w:szCs w:val="20"/>
        </w:rPr>
        <w:t>A</w:t>
      </w:r>
      <w:r w:rsidR="00E40583" w:rsidRPr="00E447AD">
        <w:rPr>
          <w:rFonts w:ascii="Arial" w:hAnsi="Arial" w:cs="Arial"/>
          <w:sz w:val="20"/>
          <w:szCs w:val="20"/>
        </w:rPr>
        <w:t xml:space="preserve">dvisory </w:t>
      </w:r>
      <w:r w:rsidR="00E40583">
        <w:rPr>
          <w:rFonts w:ascii="Arial" w:hAnsi="Arial" w:cs="Arial"/>
          <w:sz w:val="20"/>
          <w:szCs w:val="20"/>
        </w:rPr>
        <w:t>G</w:t>
      </w:r>
      <w:r w:rsidR="00E40583" w:rsidRPr="00E447AD">
        <w:rPr>
          <w:rFonts w:ascii="Arial" w:hAnsi="Arial" w:cs="Arial"/>
          <w:sz w:val="20"/>
          <w:szCs w:val="20"/>
        </w:rPr>
        <w:t>roup</w:t>
      </w:r>
      <w:r w:rsidR="00E40583" w:rsidRPr="00E447AD">
        <w:rPr>
          <w:rFonts w:ascii="Arial" w:hAnsi="Arial" w:cs="Arial"/>
          <w:spacing w:val="-2"/>
          <w:sz w:val="20"/>
          <w:szCs w:val="20"/>
        </w:rPr>
        <w:t xml:space="preserve"> </w:t>
      </w:r>
      <w:r w:rsidR="00632BA9" w:rsidRPr="00E447AD">
        <w:rPr>
          <w:rFonts w:ascii="Arial" w:hAnsi="Arial" w:cs="Arial"/>
          <w:sz w:val="20"/>
          <w:szCs w:val="20"/>
        </w:rPr>
        <w:t>(TAG) was established in June 2014 to provide guidance to the</w:t>
      </w:r>
      <w:r w:rsidR="00632BA9" w:rsidRPr="00E447AD">
        <w:rPr>
          <w:rFonts w:ascii="Arial" w:hAnsi="Arial" w:cs="Arial"/>
          <w:spacing w:val="41"/>
          <w:sz w:val="20"/>
          <w:szCs w:val="20"/>
        </w:rPr>
        <w:t xml:space="preserve"> </w:t>
      </w:r>
      <w:r w:rsidR="00632BA9" w:rsidRPr="00E447AD">
        <w:rPr>
          <w:rFonts w:ascii="Arial" w:hAnsi="Arial" w:cs="Arial"/>
          <w:sz w:val="20"/>
          <w:szCs w:val="20"/>
        </w:rPr>
        <w:t>Massachusetts Department of Public Health (MDPH)</w:t>
      </w:r>
      <w:r w:rsidR="00632BA9" w:rsidRPr="00E447AD">
        <w:rPr>
          <w:rFonts w:ascii="Arial" w:hAnsi="Arial" w:cs="Arial"/>
          <w:spacing w:val="1"/>
          <w:sz w:val="20"/>
          <w:szCs w:val="20"/>
        </w:rPr>
        <w:t xml:space="preserve"> </w:t>
      </w:r>
      <w:r w:rsidR="00632BA9" w:rsidRPr="00E447AD">
        <w:rPr>
          <w:rFonts w:ascii="Arial" w:hAnsi="Arial" w:cs="Arial"/>
          <w:sz w:val="20"/>
          <w:szCs w:val="20"/>
        </w:rPr>
        <w:t xml:space="preserve">in the </w:t>
      </w:r>
      <w:r w:rsidR="003F7CD1">
        <w:rPr>
          <w:rFonts w:ascii="Arial" w:hAnsi="Arial" w:cs="Arial"/>
          <w:sz w:val="20"/>
          <w:szCs w:val="20"/>
        </w:rPr>
        <w:t xml:space="preserve">analysis and </w:t>
      </w:r>
      <w:r w:rsidR="00632BA9" w:rsidRPr="00E447AD">
        <w:rPr>
          <w:rFonts w:ascii="Arial" w:hAnsi="Arial" w:cs="Arial"/>
          <w:sz w:val="20"/>
          <w:szCs w:val="20"/>
        </w:rPr>
        <w:t xml:space="preserve">use of </w:t>
      </w:r>
      <w:r w:rsidR="000C017B">
        <w:rPr>
          <w:rFonts w:ascii="Arial" w:hAnsi="Arial" w:cs="Arial"/>
          <w:sz w:val="20"/>
          <w:szCs w:val="20"/>
        </w:rPr>
        <w:t xml:space="preserve">statewide </w:t>
      </w:r>
      <w:r w:rsidR="00E40583">
        <w:rPr>
          <w:rFonts w:ascii="Arial" w:hAnsi="Arial" w:cs="Arial"/>
          <w:sz w:val="20"/>
          <w:szCs w:val="20"/>
        </w:rPr>
        <w:t>h</w:t>
      </w:r>
      <w:r w:rsidR="00E40583" w:rsidRPr="00E447AD">
        <w:rPr>
          <w:rFonts w:ascii="Arial" w:hAnsi="Arial" w:cs="Arial"/>
          <w:sz w:val="20"/>
          <w:szCs w:val="20"/>
        </w:rPr>
        <w:t xml:space="preserve">emovigilance </w:t>
      </w:r>
      <w:r w:rsidR="000C017B">
        <w:rPr>
          <w:rFonts w:ascii="Arial" w:hAnsi="Arial" w:cs="Arial"/>
          <w:sz w:val="20"/>
          <w:szCs w:val="20"/>
        </w:rPr>
        <w:t>data</w:t>
      </w:r>
      <w:r w:rsidR="00632BA9" w:rsidRPr="00E447AD">
        <w:rPr>
          <w:rFonts w:ascii="Arial" w:hAnsi="Arial" w:cs="Arial"/>
          <w:sz w:val="20"/>
          <w:szCs w:val="20"/>
        </w:rPr>
        <w:t>.</w:t>
      </w:r>
    </w:p>
    <w:p w:rsidR="00D51CE3" w:rsidRPr="00E447AD" w:rsidRDefault="00D51CE3" w:rsidP="00052D68">
      <w:pPr>
        <w:widowControl w:val="0"/>
        <w:spacing w:after="0" w:line="240" w:lineRule="auto"/>
        <w:rPr>
          <w:rFonts w:ascii="Arial" w:eastAsia="Arial" w:hAnsi="Arial" w:cs="Arial"/>
          <w:spacing w:val="-1"/>
          <w:sz w:val="20"/>
          <w:szCs w:val="20"/>
          <w:u w:val="single"/>
        </w:rPr>
      </w:pPr>
    </w:p>
    <w:p w:rsidR="00052D68" w:rsidRPr="00E447AD" w:rsidRDefault="00052D68" w:rsidP="00052D68">
      <w:pPr>
        <w:widowControl w:val="0"/>
        <w:spacing w:after="0" w:line="240" w:lineRule="auto"/>
        <w:rPr>
          <w:rFonts w:ascii="Arial" w:eastAsia="Arial" w:hAnsi="Arial" w:cs="Arial"/>
          <w:sz w:val="20"/>
          <w:szCs w:val="20"/>
          <w:u w:val="single"/>
        </w:rPr>
      </w:pPr>
      <w:r w:rsidRPr="00E447AD">
        <w:rPr>
          <w:rFonts w:ascii="Arial" w:eastAsia="Arial" w:hAnsi="Arial" w:cs="Arial"/>
          <w:spacing w:val="-1"/>
          <w:sz w:val="20"/>
          <w:szCs w:val="20"/>
          <w:u w:val="single"/>
        </w:rPr>
        <w:t xml:space="preserve">Current members </w:t>
      </w:r>
      <w:r w:rsidRPr="00E447AD">
        <w:rPr>
          <w:rFonts w:ascii="Arial" w:eastAsia="Arial" w:hAnsi="Arial" w:cs="Arial"/>
          <w:sz w:val="20"/>
          <w:szCs w:val="20"/>
          <w:u w:val="single"/>
        </w:rPr>
        <w:t>of</w:t>
      </w:r>
      <w:r w:rsidRPr="00E447AD">
        <w:rPr>
          <w:rFonts w:ascii="Arial" w:eastAsia="Arial" w:hAnsi="Arial" w:cs="Arial"/>
          <w:spacing w:val="-1"/>
          <w:sz w:val="20"/>
          <w:szCs w:val="20"/>
          <w:u w:val="single"/>
        </w:rPr>
        <w:t xml:space="preserve"> </w:t>
      </w:r>
      <w:r w:rsidRPr="00E447AD">
        <w:rPr>
          <w:rFonts w:ascii="Arial" w:eastAsia="Arial" w:hAnsi="Arial" w:cs="Arial"/>
          <w:sz w:val="20"/>
          <w:szCs w:val="20"/>
          <w:u w:val="single"/>
        </w:rPr>
        <w:t>the</w:t>
      </w:r>
      <w:r w:rsidRPr="00E447AD">
        <w:rPr>
          <w:rFonts w:ascii="Arial" w:eastAsia="Arial" w:hAnsi="Arial" w:cs="Arial"/>
          <w:spacing w:val="-1"/>
          <w:sz w:val="20"/>
          <w:szCs w:val="20"/>
          <w:u w:val="single"/>
        </w:rPr>
        <w:t xml:space="preserve"> </w:t>
      </w:r>
      <w:r w:rsidRPr="00E447AD">
        <w:rPr>
          <w:rFonts w:ascii="Arial" w:eastAsia="Arial" w:hAnsi="Arial" w:cs="Arial"/>
          <w:sz w:val="20"/>
          <w:szCs w:val="20"/>
          <w:u w:val="single"/>
        </w:rPr>
        <w:t>TAG</w:t>
      </w:r>
      <w:r w:rsidRPr="00E447AD">
        <w:rPr>
          <w:rFonts w:ascii="Arial" w:eastAsia="Arial" w:hAnsi="Arial" w:cs="Arial"/>
          <w:spacing w:val="-1"/>
          <w:sz w:val="20"/>
          <w:szCs w:val="20"/>
          <w:u w:val="single"/>
        </w:rPr>
        <w:t xml:space="preserve"> </w:t>
      </w:r>
      <w:r w:rsidRPr="00E447AD">
        <w:rPr>
          <w:rFonts w:ascii="Arial" w:eastAsia="Arial" w:hAnsi="Arial" w:cs="Arial"/>
          <w:sz w:val="20"/>
          <w:szCs w:val="20"/>
          <w:u w:val="single"/>
        </w:rPr>
        <w:t>are:</w:t>
      </w:r>
    </w:p>
    <w:p w:rsidR="00FD10D9" w:rsidRPr="00E447AD" w:rsidRDefault="00FD10D9" w:rsidP="00052D68">
      <w:pPr>
        <w:widowControl w:val="0"/>
        <w:spacing w:after="0" w:line="240" w:lineRule="auto"/>
        <w:rPr>
          <w:rFonts w:ascii="Arial" w:eastAsia="Arial" w:hAnsi="Arial" w:cs="Arial"/>
          <w:sz w:val="20"/>
          <w:szCs w:val="20"/>
          <w:u w:val="single"/>
        </w:rPr>
      </w:pPr>
    </w:p>
    <w:p w:rsidR="00D51CE3" w:rsidRPr="00E447AD" w:rsidRDefault="00D51CE3" w:rsidP="00D51CE3">
      <w:pPr>
        <w:pStyle w:val="NoSpacing"/>
        <w:rPr>
          <w:rFonts w:ascii="Arial" w:hAnsi="Arial" w:cs="Arial"/>
          <w:b/>
          <w:sz w:val="20"/>
          <w:szCs w:val="20"/>
        </w:rPr>
        <w:sectPr w:rsidR="00D51CE3" w:rsidRPr="00E447AD" w:rsidSect="00D51CE3">
          <w:pgSz w:w="12240" w:h="15840"/>
          <w:pgMar w:top="960" w:right="1340" w:bottom="280" w:left="1320" w:header="720" w:footer="720" w:gutter="0"/>
          <w:cols w:space="720"/>
          <w:docGrid w:linePitch="299"/>
        </w:sectPr>
      </w:pPr>
    </w:p>
    <w:p w:rsidR="00D51CE3" w:rsidRPr="00E447AD" w:rsidRDefault="00D51CE3" w:rsidP="00D51CE3">
      <w:pPr>
        <w:pStyle w:val="NoSpacing"/>
        <w:rPr>
          <w:rFonts w:ascii="Arial" w:hAnsi="Arial" w:cs="Arial"/>
          <w:sz w:val="20"/>
          <w:szCs w:val="20"/>
        </w:rPr>
      </w:pPr>
      <w:r w:rsidRPr="00E447AD">
        <w:rPr>
          <w:rFonts w:ascii="Arial" w:hAnsi="Arial" w:cs="Arial"/>
          <w:b/>
          <w:sz w:val="20"/>
          <w:szCs w:val="20"/>
        </w:rPr>
        <w:t>Chester Andrzejewski, Jr., PhD, MD, FCAP</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Medical Director</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System Transfusion Medicine/Blood Banking and</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Apheresis Medicine Services</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Baystate Health/ Baystate Medical Center</w:t>
      </w:r>
    </w:p>
    <w:p w:rsidR="00D51CE3" w:rsidRPr="00E447AD" w:rsidRDefault="00D51CE3" w:rsidP="00D51CE3">
      <w:pPr>
        <w:pStyle w:val="NoSpacing"/>
        <w:rPr>
          <w:rFonts w:ascii="Arial" w:hAnsi="Arial" w:cs="Arial"/>
          <w:b/>
          <w:sz w:val="20"/>
          <w:szCs w:val="20"/>
        </w:rPr>
      </w:pPr>
    </w:p>
    <w:p w:rsidR="00D51CE3" w:rsidRPr="00E447AD" w:rsidRDefault="00D51CE3" w:rsidP="00D51CE3">
      <w:pPr>
        <w:pStyle w:val="NoSpacing"/>
        <w:rPr>
          <w:rFonts w:ascii="Arial" w:hAnsi="Arial" w:cs="Arial"/>
          <w:b/>
          <w:sz w:val="20"/>
          <w:szCs w:val="20"/>
        </w:rPr>
      </w:pPr>
      <w:r w:rsidRPr="00E447AD">
        <w:rPr>
          <w:rFonts w:ascii="Arial" w:hAnsi="Arial" w:cs="Arial"/>
          <w:b/>
          <w:sz w:val="20"/>
          <w:szCs w:val="20"/>
        </w:rPr>
        <w:t>Christina Brandeburg, MPH</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 xml:space="preserve">Epidemiologist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Bureau of Infectious Disease</w:t>
      </w:r>
      <w:r w:rsidR="00E40583">
        <w:rPr>
          <w:rFonts w:ascii="Arial" w:hAnsi="Arial" w:cs="Arial"/>
          <w:sz w:val="20"/>
          <w:szCs w:val="20"/>
        </w:rPr>
        <w:t xml:space="preserve"> and Laboratory Sciences</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Massachusetts Department of Public Health</w:t>
      </w:r>
    </w:p>
    <w:p w:rsidR="00D51CE3" w:rsidRPr="00E447AD" w:rsidRDefault="00D51CE3" w:rsidP="00D51CE3">
      <w:pPr>
        <w:pStyle w:val="NoSpacing"/>
        <w:rPr>
          <w:rFonts w:ascii="Arial" w:hAnsi="Arial" w:cs="Arial"/>
          <w:b/>
          <w:sz w:val="20"/>
          <w:szCs w:val="20"/>
        </w:rPr>
      </w:pPr>
    </w:p>
    <w:p w:rsidR="00D51CE3" w:rsidRPr="00E447AD" w:rsidRDefault="00D51CE3" w:rsidP="00D51CE3">
      <w:pPr>
        <w:pStyle w:val="NoSpacing"/>
        <w:rPr>
          <w:rFonts w:ascii="Arial" w:hAnsi="Arial" w:cs="Arial"/>
          <w:b/>
          <w:sz w:val="20"/>
          <w:szCs w:val="20"/>
        </w:rPr>
      </w:pPr>
      <w:r w:rsidRPr="00E447AD">
        <w:rPr>
          <w:rFonts w:ascii="Arial" w:hAnsi="Arial" w:cs="Arial"/>
          <w:b/>
          <w:sz w:val="20"/>
          <w:szCs w:val="20"/>
        </w:rPr>
        <w:t xml:space="preserve">Melissa Cumming, MS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 xml:space="preserve">Epidemiologist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Hemovigilance Coordinator</w:t>
      </w:r>
    </w:p>
    <w:p w:rsidR="00D51CE3" w:rsidRPr="00E447AD" w:rsidRDefault="00E40583" w:rsidP="00D51CE3">
      <w:pPr>
        <w:pStyle w:val="NoSpacing"/>
        <w:rPr>
          <w:rFonts w:ascii="Arial" w:hAnsi="Arial" w:cs="Arial"/>
          <w:sz w:val="20"/>
          <w:szCs w:val="20"/>
        </w:rPr>
      </w:pPr>
      <w:r w:rsidRPr="00E447AD">
        <w:rPr>
          <w:rFonts w:ascii="Arial" w:hAnsi="Arial" w:cs="Arial"/>
          <w:sz w:val="20"/>
          <w:szCs w:val="20"/>
        </w:rPr>
        <w:t>Bureau of Infectious Disease</w:t>
      </w:r>
      <w:r>
        <w:rPr>
          <w:rFonts w:ascii="Arial" w:hAnsi="Arial" w:cs="Arial"/>
          <w:sz w:val="20"/>
          <w:szCs w:val="20"/>
        </w:rPr>
        <w:t xml:space="preserve"> and Laboratory Sciences</w:t>
      </w:r>
      <w:r w:rsidRPr="00E447AD" w:rsidDel="00E40583">
        <w:rPr>
          <w:rFonts w:ascii="Arial" w:hAnsi="Arial" w:cs="Arial"/>
          <w:sz w:val="20"/>
          <w:szCs w:val="20"/>
        </w:rPr>
        <w:t xml:space="preserve">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Massachusetts Department of Public Health</w:t>
      </w:r>
    </w:p>
    <w:p w:rsidR="00D51CE3" w:rsidRPr="00E447AD" w:rsidRDefault="00D51CE3" w:rsidP="00D51CE3">
      <w:pPr>
        <w:pStyle w:val="NoSpacing"/>
        <w:rPr>
          <w:rFonts w:ascii="Arial" w:hAnsi="Arial" w:cs="Arial"/>
          <w:b/>
          <w:sz w:val="20"/>
          <w:szCs w:val="20"/>
        </w:rPr>
      </w:pPr>
    </w:p>
    <w:p w:rsidR="00D51CE3" w:rsidRPr="00E447AD" w:rsidRDefault="00D51CE3" w:rsidP="00D51CE3">
      <w:pPr>
        <w:pStyle w:val="NoSpacing"/>
        <w:rPr>
          <w:rFonts w:ascii="Arial" w:hAnsi="Arial" w:cs="Arial"/>
          <w:b/>
          <w:sz w:val="20"/>
          <w:szCs w:val="20"/>
        </w:rPr>
      </w:pPr>
      <w:r w:rsidRPr="00E447AD">
        <w:rPr>
          <w:rFonts w:ascii="Arial" w:hAnsi="Arial" w:cs="Arial"/>
          <w:b/>
          <w:sz w:val="20"/>
          <w:szCs w:val="20"/>
        </w:rPr>
        <w:t>Alexandra De</w:t>
      </w:r>
      <w:r w:rsidR="00D15A95">
        <w:rPr>
          <w:rFonts w:ascii="Arial" w:hAnsi="Arial" w:cs="Arial"/>
          <w:b/>
          <w:sz w:val="20"/>
          <w:szCs w:val="20"/>
        </w:rPr>
        <w:t xml:space="preserve"> </w:t>
      </w:r>
      <w:r w:rsidRPr="00E447AD">
        <w:rPr>
          <w:rFonts w:ascii="Arial" w:hAnsi="Arial" w:cs="Arial"/>
          <w:b/>
          <w:sz w:val="20"/>
          <w:szCs w:val="20"/>
        </w:rPr>
        <w:t xml:space="preserve">Jesus, MPH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 xml:space="preserve">Epidemiologist </w:t>
      </w:r>
    </w:p>
    <w:p w:rsidR="00E40583" w:rsidRPr="00E447AD" w:rsidRDefault="00E40583" w:rsidP="00D51CE3">
      <w:pPr>
        <w:pStyle w:val="NoSpacing"/>
        <w:rPr>
          <w:rFonts w:ascii="Arial" w:hAnsi="Arial" w:cs="Arial"/>
          <w:sz w:val="20"/>
          <w:szCs w:val="20"/>
        </w:rPr>
      </w:pPr>
      <w:r w:rsidRPr="00E447AD">
        <w:rPr>
          <w:rFonts w:ascii="Arial" w:hAnsi="Arial" w:cs="Arial"/>
          <w:sz w:val="20"/>
          <w:szCs w:val="20"/>
        </w:rPr>
        <w:t>Bureau of Infectious Disease</w:t>
      </w:r>
      <w:r>
        <w:rPr>
          <w:rFonts w:ascii="Arial" w:hAnsi="Arial" w:cs="Arial"/>
          <w:sz w:val="20"/>
          <w:szCs w:val="20"/>
        </w:rPr>
        <w:t xml:space="preserve"> and Laboratory Sciences</w:t>
      </w:r>
      <w:r w:rsidRPr="00E447AD" w:rsidDel="00E40583">
        <w:rPr>
          <w:rFonts w:ascii="Arial" w:hAnsi="Arial" w:cs="Arial"/>
          <w:sz w:val="20"/>
          <w:szCs w:val="20"/>
        </w:rPr>
        <w:t xml:space="preserve">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Massachusetts Department of Public Health</w:t>
      </w:r>
    </w:p>
    <w:p w:rsidR="00D51CE3" w:rsidRPr="00E447AD" w:rsidRDefault="00D51CE3" w:rsidP="00D51CE3">
      <w:pPr>
        <w:pStyle w:val="NoSpacing"/>
        <w:rPr>
          <w:rFonts w:ascii="Arial" w:hAnsi="Arial" w:cs="Arial"/>
          <w:b/>
          <w:sz w:val="20"/>
          <w:szCs w:val="20"/>
        </w:rPr>
      </w:pPr>
    </w:p>
    <w:p w:rsidR="00D51CE3" w:rsidRPr="00E447AD" w:rsidRDefault="00D51CE3" w:rsidP="00D51CE3">
      <w:pPr>
        <w:pStyle w:val="NoSpacing"/>
        <w:rPr>
          <w:rFonts w:ascii="Arial" w:hAnsi="Arial" w:cs="Arial"/>
          <w:sz w:val="20"/>
          <w:szCs w:val="20"/>
        </w:rPr>
      </w:pPr>
      <w:r w:rsidRPr="00E447AD">
        <w:rPr>
          <w:rFonts w:ascii="Arial" w:hAnsi="Arial" w:cs="Arial"/>
          <w:b/>
          <w:sz w:val="20"/>
          <w:szCs w:val="20"/>
        </w:rPr>
        <w:t>Alfred DeMaria, Jr., MD</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 xml:space="preserve">Medical </w:t>
      </w:r>
      <w:r w:rsidR="00172F10" w:rsidRPr="00E447AD">
        <w:rPr>
          <w:rFonts w:ascii="Arial" w:hAnsi="Arial" w:cs="Arial"/>
          <w:sz w:val="20"/>
          <w:szCs w:val="20"/>
        </w:rPr>
        <w:t>and Laboratory Consultant</w:t>
      </w:r>
    </w:p>
    <w:p w:rsidR="00E40583" w:rsidRPr="00E447AD" w:rsidRDefault="00E40583" w:rsidP="00D51CE3">
      <w:pPr>
        <w:pStyle w:val="NoSpacing"/>
        <w:rPr>
          <w:rFonts w:ascii="Arial" w:hAnsi="Arial" w:cs="Arial"/>
          <w:sz w:val="20"/>
          <w:szCs w:val="20"/>
        </w:rPr>
      </w:pPr>
      <w:r w:rsidRPr="00E447AD">
        <w:rPr>
          <w:rFonts w:ascii="Arial" w:hAnsi="Arial" w:cs="Arial"/>
          <w:sz w:val="20"/>
          <w:szCs w:val="20"/>
        </w:rPr>
        <w:t>Bureau of Infectious Disease</w:t>
      </w:r>
      <w:r>
        <w:rPr>
          <w:rFonts w:ascii="Arial" w:hAnsi="Arial" w:cs="Arial"/>
          <w:sz w:val="20"/>
          <w:szCs w:val="20"/>
        </w:rPr>
        <w:t xml:space="preserve"> and Laboratory Sciences</w:t>
      </w:r>
      <w:r w:rsidRPr="00E447AD" w:rsidDel="00E40583">
        <w:rPr>
          <w:rFonts w:ascii="Arial" w:hAnsi="Arial" w:cs="Arial"/>
          <w:sz w:val="20"/>
          <w:szCs w:val="20"/>
        </w:rPr>
        <w:t xml:space="preserve">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Massachusetts Department of Public Health</w:t>
      </w:r>
    </w:p>
    <w:p w:rsidR="00D51CE3" w:rsidRPr="00E447AD" w:rsidRDefault="00D51CE3" w:rsidP="00D51CE3">
      <w:pPr>
        <w:pStyle w:val="NoSpacing"/>
        <w:rPr>
          <w:rFonts w:ascii="Arial" w:hAnsi="Arial" w:cs="Arial"/>
          <w:b/>
          <w:sz w:val="20"/>
          <w:szCs w:val="20"/>
        </w:rPr>
      </w:pPr>
    </w:p>
    <w:p w:rsidR="00D51CE3" w:rsidRPr="00E447AD" w:rsidRDefault="00D51CE3" w:rsidP="00D51CE3">
      <w:pPr>
        <w:pStyle w:val="NoSpacing"/>
        <w:rPr>
          <w:rFonts w:ascii="Arial" w:hAnsi="Arial" w:cs="Arial"/>
          <w:sz w:val="20"/>
          <w:szCs w:val="20"/>
        </w:rPr>
      </w:pPr>
      <w:r w:rsidRPr="00E447AD">
        <w:rPr>
          <w:rFonts w:ascii="Arial" w:hAnsi="Arial" w:cs="Arial"/>
          <w:b/>
          <w:sz w:val="20"/>
          <w:szCs w:val="20"/>
        </w:rPr>
        <w:t>Elzbieta Griffiths, MD</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 xml:space="preserve">Medical Director, Blood Bank, </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Donor Center and Coagulation</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Surgical Pathologist Mount Auburn Hospital</w:t>
      </w:r>
    </w:p>
    <w:p w:rsidR="00D51CE3" w:rsidRPr="00E447AD" w:rsidRDefault="00D51CE3" w:rsidP="00D51CE3">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3B2B1A" w:rsidRDefault="003B2B1A" w:rsidP="004657B4">
      <w:pPr>
        <w:pStyle w:val="NoSpacing"/>
        <w:rPr>
          <w:rFonts w:ascii="Arial" w:hAnsi="Arial" w:cs="Arial"/>
          <w:b/>
          <w:sz w:val="20"/>
          <w:szCs w:val="20"/>
        </w:rPr>
      </w:pPr>
    </w:p>
    <w:p w:rsidR="004657B4" w:rsidRPr="00E447AD" w:rsidRDefault="004657B4" w:rsidP="004657B4">
      <w:pPr>
        <w:pStyle w:val="NoSpacing"/>
        <w:rPr>
          <w:rFonts w:ascii="Arial" w:hAnsi="Arial" w:cs="Arial"/>
          <w:sz w:val="20"/>
          <w:szCs w:val="20"/>
        </w:rPr>
      </w:pPr>
      <w:r w:rsidRPr="00E447AD">
        <w:rPr>
          <w:rFonts w:ascii="Arial" w:hAnsi="Arial" w:cs="Arial"/>
          <w:b/>
          <w:sz w:val="20"/>
          <w:szCs w:val="20"/>
        </w:rPr>
        <w:t>Michele Herman, MT (ASCP)</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 xml:space="preserve">Compliance Officer - Transfusion Medicine </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Beth Israel Deaconess Medical Center</w:t>
      </w:r>
    </w:p>
    <w:p w:rsidR="004657B4" w:rsidRDefault="004657B4" w:rsidP="004657B4">
      <w:pPr>
        <w:pStyle w:val="NoSpacing"/>
        <w:rPr>
          <w:rFonts w:ascii="Arial" w:hAnsi="Arial" w:cs="Arial"/>
          <w:b/>
          <w:sz w:val="20"/>
          <w:szCs w:val="20"/>
        </w:rPr>
      </w:pPr>
    </w:p>
    <w:p w:rsidR="004657B4" w:rsidRPr="00E447AD" w:rsidRDefault="004657B4" w:rsidP="004657B4">
      <w:pPr>
        <w:pStyle w:val="NoSpacing"/>
        <w:rPr>
          <w:rFonts w:ascii="Arial" w:hAnsi="Arial" w:cs="Arial"/>
          <w:sz w:val="20"/>
          <w:szCs w:val="20"/>
        </w:rPr>
      </w:pPr>
      <w:r w:rsidRPr="00E447AD">
        <w:rPr>
          <w:rFonts w:ascii="Arial" w:hAnsi="Arial" w:cs="Arial"/>
          <w:b/>
          <w:sz w:val="20"/>
          <w:szCs w:val="20"/>
        </w:rPr>
        <w:t>Kimberly Knox, RN, MHA, CIC</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 xml:space="preserve">Infection Prevention and Control Coordinator </w:t>
      </w:r>
    </w:p>
    <w:p w:rsidR="004657B4" w:rsidRPr="00E447AD" w:rsidRDefault="004657B4" w:rsidP="004657B4">
      <w:pPr>
        <w:pStyle w:val="NoSpacing"/>
        <w:rPr>
          <w:rFonts w:ascii="Arial" w:hAnsi="Arial" w:cs="Arial"/>
          <w:b/>
          <w:sz w:val="20"/>
          <w:szCs w:val="20"/>
        </w:rPr>
      </w:pPr>
      <w:r w:rsidRPr="00E447AD">
        <w:rPr>
          <w:rFonts w:ascii="Arial" w:hAnsi="Arial" w:cs="Arial"/>
          <w:sz w:val="20"/>
          <w:szCs w:val="20"/>
        </w:rPr>
        <w:t>Milford Regional Medical Center</w:t>
      </w:r>
    </w:p>
    <w:p w:rsidR="004657B4" w:rsidRPr="00E447AD" w:rsidRDefault="004657B4" w:rsidP="004657B4">
      <w:pPr>
        <w:pStyle w:val="NoSpacing"/>
        <w:rPr>
          <w:rFonts w:ascii="Arial" w:hAnsi="Arial" w:cs="Arial"/>
          <w:b/>
          <w:sz w:val="20"/>
          <w:szCs w:val="20"/>
        </w:rPr>
      </w:pPr>
    </w:p>
    <w:p w:rsidR="004657B4" w:rsidRPr="00E447AD" w:rsidRDefault="004657B4" w:rsidP="004657B4">
      <w:pPr>
        <w:pStyle w:val="NoSpacing"/>
        <w:rPr>
          <w:rFonts w:ascii="Arial" w:hAnsi="Arial" w:cs="Arial"/>
          <w:sz w:val="20"/>
          <w:szCs w:val="20"/>
        </w:rPr>
      </w:pPr>
      <w:r w:rsidRPr="00E447AD">
        <w:rPr>
          <w:rFonts w:ascii="Arial" w:hAnsi="Arial" w:cs="Arial"/>
          <w:b/>
          <w:sz w:val="20"/>
          <w:szCs w:val="20"/>
        </w:rPr>
        <w:t>Eileen McHale, RN, BSN</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 xml:space="preserve">Healthcare Associated Infection Coordinator </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 xml:space="preserve">Bureau of Health Care Safety and Quality </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Massachusetts Department of Public Health</w:t>
      </w:r>
    </w:p>
    <w:p w:rsidR="004657B4" w:rsidRPr="00E447AD" w:rsidRDefault="004657B4" w:rsidP="004657B4">
      <w:pPr>
        <w:pStyle w:val="NoSpacing"/>
        <w:rPr>
          <w:rFonts w:ascii="Arial" w:hAnsi="Arial" w:cs="Arial"/>
          <w:sz w:val="20"/>
          <w:szCs w:val="20"/>
        </w:rPr>
      </w:pPr>
    </w:p>
    <w:p w:rsidR="004657B4" w:rsidRPr="00E447AD" w:rsidRDefault="004657B4" w:rsidP="004657B4">
      <w:pPr>
        <w:pStyle w:val="NoSpacing"/>
        <w:rPr>
          <w:rFonts w:ascii="Arial" w:hAnsi="Arial" w:cs="Arial"/>
          <w:sz w:val="20"/>
          <w:szCs w:val="20"/>
        </w:rPr>
      </w:pPr>
      <w:r w:rsidRPr="00E447AD">
        <w:rPr>
          <w:rFonts w:ascii="Arial" w:hAnsi="Arial" w:cs="Arial"/>
          <w:b/>
          <w:bCs/>
          <w:sz w:val="20"/>
          <w:szCs w:val="20"/>
        </w:rPr>
        <w:t xml:space="preserve">Lynne O’Hearn, </w:t>
      </w:r>
      <w:r w:rsidRPr="00E447AD">
        <w:rPr>
          <w:rFonts w:ascii="Arial" w:hAnsi="Arial" w:cs="Arial"/>
          <w:b/>
          <w:sz w:val="20"/>
          <w:szCs w:val="20"/>
        </w:rPr>
        <w:t>MT (ASCP)</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Transfusion Safety Officer</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Baystate Medical Center</w:t>
      </w:r>
    </w:p>
    <w:p w:rsidR="004657B4" w:rsidRPr="00E447AD" w:rsidRDefault="004657B4" w:rsidP="004657B4">
      <w:pPr>
        <w:pStyle w:val="NoSpacing"/>
        <w:rPr>
          <w:rFonts w:ascii="Arial" w:hAnsi="Arial" w:cs="Arial"/>
          <w:sz w:val="20"/>
          <w:szCs w:val="20"/>
        </w:rPr>
      </w:pPr>
    </w:p>
    <w:p w:rsidR="004657B4" w:rsidRPr="00E447AD" w:rsidRDefault="004657B4" w:rsidP="004657B4">
      <w:pPr>
        <w:pStyle w:val="NoSpacing"/>
        <w:rPr>
          <w:rFonts w:ascii="Arial" w:hAnsi="Arial" w:cs="Arial"/>
          <w:b/>
          <w:sz w:val="20"/>
          <w:szCs w:val="20"/>
        </w:rPr>
      </w:pPr>
      <w:r w:rsidRPr="00E447AD">
        <w:rPr>
          <w:rFonts w:ascii="Arial" w:hAnsi="Arial" w:cs="Arial"/>
          <w:b/>
          <w:sz w:val="20"/>
          <w:szCs w:val="20"/>
        </w:rPr>
        <w:t xml:space="preserve">Jorge Rios, MD </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Medical Director</w:t>
      </w:r>
    </w:p>
    <w:p w:rsidR="004657B4" w:rsidRPr="00E447AD" w:rsidRDefault="004657B4" w:rsidP="004657B4">
      <w:pPr>
        <w:pStyle w:val="NoSpacing"/>
        <w:rPr>
          <w:rFonts w:ascii="Arial" w:hAnsi="Arial" w:cs="Arial"/>
          <w:sz w:val="20"/>
          <w:szCs w:val="20"/>
        </w:rPr>
      </w:pPr>
      <w:r w:rsidRPr="00E447AD">
        <w:rPr>
          <w:rFonts w:ascii="Arial" w:hAnsi="Arial" w:cs="Arial"/>
          <w:sz w:val="20"/>
          <w:szCs w:val="20"/>
        </w:rPr>
        <w:t xml:space="preserve">American Red Cross Blood Services </w:t>
      </w:r>
    </w:p>
    <w:p w:rsidR="004657B4" w:rsidRDefault="004657B4" w:rsidP="004657B4">
      <w:pPr>
        <w:pStyle w:val="NoSpacing"/>
        <w:rPr>
          <w:rFonts w:ascii="Arial" w:hAnsi="Arial" w:cs="Arial"/>
          <w:sz w:val="20"/>
          <w:szCs w:val="20"/>
        </w:rPr>
      </w:pPr>
      <w:r w:rsidRPr="00E447AD">
        <w:rPr>
          <w:rFonts w:ascii="Arial" w:hAnsi="Arial" w:cs="Arial"/>
          <w:sz w:val="20"/>
          <w:szCs w:val="20"/>
        </w:rPr>
        <w:t>Massachusetts Region</w:t>
      </w:r>
    </w:p>
    <w:p w:rsidR="004657B4" w:rsidRPr="00E447AD" w:rsidRDefault="004657B4" w:rsidP="004657B4">
      <w:pPr>
        <w:pStyle w:val="NoSpacing"/>
        <w:rPr>
          <w:rFonts w:ascii="Arial" w:hAnsi="Arial" w:cs="Arial"/>
          <w:sz w:val="20"/>
          <w:szCs w:val="20"/>
        </w:rPr>
      </w:pPr>
    </w:p>
    <w:p w:rsidR="00D51CE3" w:rsidRPr="00E447AD" w:rsidRDefault="00D51CE3" w:rsidP="00D51CE3">
      <w:pPr>
        <w:pStyle w:val="NoSpacing"/>
        <w:rPr>
          <w:rFonts w:ascii="Arial" w:hAnsi="Arial" w:cs="Arial"/>
          <w:b/>
          <w:sz w:val="20"/>
          <w:szCs w:val="20"/>
        </w:rPr>
      </w:pPr>
      <w:r w:rsidRPr="00E447AD">
        <w:rPr>
          <w:rFonts w:ascii="Arial" w:hAnsi="Arial" w:cs="Arial"/>
          <w:b/>
          <w:sz w:val="20"/>
          <w:szCs w:val="20"/>
        </w:rPr>
        <w:t>Lynne Uhl, MD</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Vice Chair and Division Director for Laboratory and Transfusion Medicine</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Beth Israel Deaconess Medical Center</w:t>
      </w:r>
    </w:p>
    <w:p w:rsidR="00D51CE3" w:rsidRPr="00E447AD" w:rsidRDefault="00D51CE3" w:rsidP="00D51CE3">
      <w:pPr>
        <w:pStyle w:val="NoSpacing"/>
        <w:rPr>
          <w:rFonts w:ascii="Arial" w:hAnsi="Arial" w:cs="Arial"/>
          <w:b/>
          <w:sz w:val="20"/>
          <w:szCs w:val="20"/>
        </w:rPr>
      </w:pPr>
    </w:p>
    <w:p w:rsidR="00C514B5" w:rsidRDefault="00D51CE3" w:rsidP="00D51CE3">
      <w:pPr>
        <w:pStyle w:val="NoSpacing"/>
        <w:rPr>
          <w:rFonts w:ascii="Arial" w:hAnsi="Arial" w:cs="Arial"/>
          <w:b/>
          <w:sz w:val="20"/>
          <w:szCs w:val="20"/>
        </w:rPr>
      </w:pPr>
      <w:r w:rsidRPr="00E447AD">
        <w:rPr>
          <w:rFonts w:ascii="Arial" w:hAnsi="Arial" w:cs="Arial"/>
          <w:b/>
          <w:sz w:val="20"/>
          <w:szCs w:val="20"/>
        </w:rPr>
        <w:t xml:space="preserve">Pamela Waksmonski, MS, MT (ASCP), </w:t>
      </w:r>
    </w:p>
    <w:p w:rsidR="00D51CE3" w:rsidRPr="00E447AD" w:rsidRDefault="00D51CE3" w:rsidP="00D51CE3">
      <w:pPr>
        <w:pStyle w:val="NoSpacing"/>
        <w:rPr>
          <w:rFonts w:ascii="Arial" w:hAnsi="Arial" w:cs="Arial"/>
          <w:sz w:val="20"/>
          <w:szCs w:val="20"/>
        </w:rPr>
      </w:pPr>
      <w:r w:rsidRPr="00E447AD">
        <w:rPr>
          <w:rFonts w:ascii="Arial" w:hAnsi="Arial" w:cs="Arial"/>
          <w:b/>
          <w:sz w:val="20"/>
          <w:szCs w:val="20"/>
        </w:rPr>
        <w:t>PMP, CRA</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Clinical Lab</w:t>
      </w:r>
      <w:r w:rsidR="00E40583">
        <w:rPr>
          <w:rFonts w:ascii="Arial" w:hAnsi="Arial" w:cs="Arial"/>
          <w:sz w:val="20"/>
          <w:szCs w:val="20"/>
        </w:rPr>
        <w:t>oratory</w:t>
      </w:r>
      <w:r w:rsidRPr="00E447AD">
        <w:rPr>
          <w:rFonts w:ascii="Arial" w:hAnsi="Arial" w:cs="Arial"/>
          <w:sz w:val="20"/>
          <w:szCs w:val="20"/>
        </w:rPr>
        <w:t xml:space="preserve"> Program Manager</w:t>
      </w:r>
    </w:p>
    <w:p w:rsidR="00D51CE3" w:rsidRPr="00E447AD" w:rsidRDefault="00D51CE3" w:rsidP="00D51CE3">
      <w:pPr>
        <w:pStyle w:val="NoSpacing"/>
        <w:rPr>
          <w:rFonts w:ascii="Arial" w:hAnsi="Arial" w:cs="Arial"/>
          <w:sz w:val="20"/>
          <w:szCs w:val="20"/>
        </w:rPr>
      </w:pPr>
      <w:r w:rsidRPr="00E447AD">
        <w:rPr>
          <w:rFonts w:ascii="Arial" w:hAnsi="Arial" w:cs="Arial"/>
          <w:sz w:val="20"/>
          <w:szCs w:val="20"/>
        </w:rPr>
        <w:t xml:space="preserve">Bureau of Health Care Safety and Quality </w:t>
      </w:r>
    </w:p>
    <w:p w:rsidR="00FF371E" w:rsidRDefault="00D51CE3" w:rsidP="00052D68">
      <w:pPr>
        <w:pStyle w:val="NoSpacing"/>
        <w:rPr>
          <w:rFonts w:ascii="Arial" w:hAnsi="Arial" w:cs="Arial"/>
          <w:sz w:val="20"/>
          <w:szCs w:val="20"/>
        </w:rPr>
      </w:pPr>
      <w:r w:rsidRPr="00E447AD">
        <w:rPr>
          <w:rFonts w:ascii="Arial" w:hAnsi="Arial" w:cs="Arial"/>
          <w:sz w:val="20"/>
          <w:szCs w:val="20"/>
        </w:rPr>
        <w:t>Massachusetts Department of Public He</w:t>
      </w:r>
      <w:r w:rsidR="00FF371E">
        <w:rPr>
          <w:rFonts w:ascii="Arial" w:hAnsi="Arial" w:cs="Arial"/>
          <w:sz w:val="20"/>
          <w:szCs w:val="20"/>
        </w:rPr>
        <w:t>alth</w:t>
      </w:r>
    </w:p>
    <w:p w:rsidR="00FF371E" w:rsidRDefault="00FF371E" w:rsidP="00052D68">
      <w:pPr>
        <w:pStyle w:val="NoSpacing"/>
        <w:rPr>
          <w:rFonts w:ascii="Arial" w:hAnsi="Arial" w:cs="Arial"/>
          <w:sz w:val="20"/>
          <w:szCs w:val="20"/>
        </w:rPr>
      </w:pPr>
    </w:p>
    <w:p w:rsidR="00FF371E" w:rsidRPr="00E447AD" w:rsidRDefault="00FF371E" w:rsidP="00052D68">
      <w:pPr>
        <w:pStyle w:val="NoSpacing"/>
        <w:rPr>
          <w:rFonts w:ascii="Arial" w:hAnsi="Arial" w:cs="Arial"/>
          <w:sz w:val="20"/>
          <w:szCs w:val="20"/>
        </w:rPr>
        <w:sectPr w:rsidR="00FF371E" w:rsidRPr="00E447AD" w:rsidSect="00D51CE3">
          <w:type w:val="continuous"/>
          <w:pgSz w:w="12240" w:h="15840"/>
          <w:pgMar w:top="960" w:right="1340" w:bottom="280" w:left="1320" w:header="720" w:footer="720" w:gutter="0"/>
          <w:cols w:num="2" w:space="720"/>
          <w:docGrid w:linePitch="299"/>
        </w:sectPr>
      </w:pPr>
    </w:p>
    <w:p w:rsidR="009C5B19" w:rsidRDefault="009C5B19" w:rsidP="00FF371E">
      <w:pPr>
        <w:widowControl w:val="0"/>
        <w:spacing w:before="48" w:after="0" w:line="240" w:lineRule="auto"/>
        <w:jc w:val="center"/>
        <w:outlineLvl w:val="0"/>
        <w:rPr>
          <w:rFonts w:ascii="Arial" w:eastAsia="Arial" w:hAnsi="Arial" w:cs="Times New Roman"/>
          <w:b/>
          <w:bCs/>
          <w:sz w:val="28"/>
          <w:szCs w:val="28"/>
        </w:rPr>
      </w:pPr>
      <w:bookmarkStart w:id="3" w:name="_Toc516748490"/>
      <w:bookmarkStart w:id="4" w:name="_TOC_250001"/>
      <w:r>
        <w:rPr>
          <w:rFonts w:ascii="Arial" w:eastAsia="Arial" w:hAnsi="Arial" w:cs="Times New Roman"/>
          <w:b/>
          <w:bCs/>
          <w:sz w:val="28"/>
          <w:szCs w:val="28"/>
        </w:rPr>
        <w:lastRenderedPageBreak/>
        <w:t>Table of Contents</w:t>
      </w:r>
      <w:bookmarkEnd w:id="3"/>
    </w:p>
    <w:p w:rsidR="00ED0FE1" w:rsidRDefault="00ED0FE1" w:rsidP="00513C76">
      <w:pPr>
        <w:widowControl w:val="0"/>
        <w:spacing w:before="48" w:after="0" w:line="240" w:lineRule="auto"/>
        <w:ind w:left="37"/>
        <w:jc w:val="center"/>
        <w:outlineLvl w:val="0"/>
        <w:rPr>
          <w:rFonts w:ascii="Arial" w:eastAsia="Arial" w:hAnsi="Arial" w:cs="Times New Roman"/>
          <w:b/>
          <w:bCs/>
          <w:sz w:val="28"/>
          <w:szCs w:val="28"/>
        </w:rPr>
      </w:pPr>
    </w:p>
    <w:p w:rsidR="00AD0380" w:rsidRDefault="00AD0380" w:rsidP="00E92D46">
      <w:pPr>
        <w:pStyle w:val="TOC1"/>
      </w:pPr>
      <w:r w:rsidRPr="00ED0FE1">
        <w:t>List of abbreviations</w:t>
      </w:r>
      <w:r w:rsidRPr="00ED0FE1">
        <w:tab/>
        <w:t>6</w:t>
      </w:r>
    </w:p>
    <w:p w:rsidR="00D95973" w:rsidRDefault="00ED1CBD" w:rsidP="00E92D46">
      <w:pPr>
        <w:pStyle w:val="TOC1"/>
      </w:pPr>
      <w:r>
        <w:t xml:space="preserve">Table 1: </w:t>
      </w:r>
      <w:r w:rsidR="00E447AD">
        <w:t>Bed Size Characteristics</w:t>
      </w:r>
      <w:r w:rsidR="00FE39B5">
        <w:t xml:space="preserve"> </w:t>
      </w:r>
      <w:r>
        <w:t>from the 2018 Annual Facility Survey……………………………</w:t>
      </w:r>
      <w:r w:rsidR="00845828">
        <w:t>…..</w:t>
      </w:r>
      <w:r w:rsidR="00D95973">
        <w:t>7</w:t>
      </w:r>
    </w:p>
    <w:p w:rsidR="00AD0380" w:rsidRDefault="00E92D46" w:rsidP="00E92D46">
      <w:pPr>
        <w:pStyle w:val="TOC1"/>
      </w:pPr>
      <w:r>
        <w:t xml:space="preserve">Figure 1: </w:t>
      </w:r>
      <w:r w:rsidR="00AD0380" w:rsidRPr="00ED0FE1">
        <w:t>Volume of Blood Products Transfused</w:t>
      </w:r>
      <w:r>
        <w:t xml:space="preserve"> </w:t>
      </w:r>
      <w:r w:rsidR="00C514B5">
        <w:t xml:space="preserve">in </w:t>
      </w:r>
      <w:r>
        <w:t>Massachusetts, 2016-2018</w:t>
      </w:r>
      <w:r w:rsidR="00AD0380" w:rsidRPr="00ED0FE1">
        <w:tab/>
      </w:r>
      <w:r w:rsidR="00D95973">
        <w:t>8</w:t>
      </w:r>
    </w:p>
    <w:p w:rsidR="00AD0380" w:rsidRDefault="00E92D46" w:rsidP="00E92D46">
      <w:pPr>
        <w:pStyle w:val="TOC1"/>
      </w:pPr>
      <w:r>
        <w:t xml:space="preserve">Table 2: </w:t>
      </w:r>
      <w:r w:rsidR="00AD0380" w:rsidRPr="00ED0FE1">
        <w:t>Transfusion Volume by Bed Size Group, Product Type, and Year, 201</w:t>
      </w:r>
      <w:r>
        <w:t>6</w:t>
      </w:r>
      <w:r w:rsidR="00AD0380" w:rsidRPr="00ED0FE1">
        <w:t>-201</w:t>
      </w:r>
      <w:r>
        <w:t>8</w:t>
      </w:r>
      <w:r w:rsidR="00AD0380" w:rsidRPr="00ED0FE1">
        <w:t xml:space="preserve"> </w:t>
      </w:r>
      <w:r w:rsidR="00AD0380" w:rsidRPr="00ED0FE1">
        <w:tab/>
      </w:r>
      <w:r w:rsidR="00D95973">
        <w:t>9</w:t>
      </w:r>
    </w:p>
    <w:p w:rsidR="00AD0380" w:rsidRPr="00ED0FE1" w:rsidRDefault="00E92D46" w:rsidP="00E92D46">
      <w:pPr>
        <w:pStyle w:val="TOC1"/>
      </w:pPr>
      <w:r>
        <w:t xml:space="preserve">Figure 2: </w:t>
      </w:r>
      <w:r w:rsidR="00AD0380" w:rsidRPr="00ED0FE1">
        <w:t>Volume of Blood Products Discarded</w:t>
      </w:r>
      <w:r w:rsidR="00C514B5">
        <w:t xml:space="preserve"> in</w:t>
      </w:r>
      <w:r>
        <w:t xml:space="preserve"> Massachusetts, 2016-2018</w:t>
      </w:r>
      <w:r w:rsidR="00AD0380" w:rsidRPr="00ED0FE1">
        <w:tab/>
        <w:t>10</w:t>
      </w:r>
    </w:p>
    <w:p w:rsidR="00AD0380" w:rsidRPr="00ED0FE1" w:rsidRDefault="00E92D46" w:rsidP="00E92D46">
      <w:pPr>
        <w:pStyle w:val="TOC1"/>
      </w:pPr>
      <w:r>
        <w:t xml:space="preserve">Table 3: </w:t>
      </w:r>
      <w:r w:rsidR="00D95973">
        <w:t>Number and Ratio of Discarded Products by Type and Bed Size Group, 2018………….....11</w:t>
      </w:r>
    </w:p>
    <w:p w:rsidR="00E92D46" w:rsidRDefault="00E92D46" w:rsidP="00E92D46">
      <w:pPr>
        <w:pStyle w:val="TOC1"/>
      </w:pPr>
      <w:r>
        <w:t xml:space="preserve">Table 4: Number of Adverse Reactions </w:t>
      </w:r>
      <w:r w:rsidR="00B65082">
        <w:t xml:space="preserve">in </w:t>
      </w:r>
      <w:r w:rsidR="00D95973">
        <w:t>Massachusetts, 2017-2018………………………………….12</w:t>
      </w:r>
    </w:p>
    <w:p w:rsidR="00AD0380" w:rsidRPr="00ED0FE1" w:rsidRDefault="00E92D46" w:rsidP="00E92D46">
      <w:pPr>
        <w:pStyle w:val="TOC1"/>
      </w:pPr>
      <w:r>
        <w:t xml:space="preserve">Table 5: </w:t>
      </w:r>
      <w:r w:rsidR="00AD0380" w:rsidRPr="00ED0FE1">
        <w:t>Number of Adverse Reactions by Type, Age Group, and Gender</w:t>
      </w:r>
      <w:r w:rsidR="00D95973">
        <w:t>, 2018……………………..13</w:t>
      </w:r>
    </w:p>
    <w:p w:rsidR="00AD0380" w:rsidRPr="00ED0FE1" w:rsidRDefault="00E92D46" w:rsidP="00E92D46">
      <w:pPr>
        <w:pStyle w:val="TOC1"/>
      </w:pPr>
      <w:r>
        <w:t xml:space="preserve">Table 6: </w:t>
      </w:r>
      <w:r w:rsidR="00AD0380" w:rsidRPr="00ED0FE1">
        <w:t>Summary of Transfusion-transmitted Infections</w:t>
      </w:r>
      <w:r>
        <w:t xml:space="preserve"> </w:t>
      </w:r>
      <w:r w:rsidR="00C514B5">
        <w:t xml:space="preserve">in </w:t>
      </w:r>
      <w:r>
        <w:t>Massachusetts</w:t>
      </w:r>
      <w:r w:rsidR="00F21359">
        <w:t>,</w:t>
      </w:r>
      <w:r>
        <w:t xml:space="preserve"> 2018</w:t>
      </w:r>
      <w:r w:rsidR="00AD0380" w:rsidRPr="00ED0FE1">
        <w:tab/>
        <w:t>1</w:t>
      </w:r>
      <w:r w:rsidR="00D95973">
        <w:t>4</w:t>
      </w:r>
    </w:p>
    <w:p w:rsidR="00AD0380" w:rsidRPr="00E92D46" w:rsidRDefault="00E92D46" w:rsidP="00E92D46">
      <w:pPr>
        <w:pStyle w:val="TOC1"/>
      </w:pPr>
      <w:r>
        <w:t xml:space="preserve">Figure 3: </w:t>
      </w:r>
      <w:hyperlink w:anchor="_TOC_250000" w:history="1">
        <w:r w:rsidR="00AD0380" w:rsidRPr="00E92D46">
          <w:rPr>
            <w:rStyle w:val="Hyperlink"/>
            <w:color w:val="auto"/>
            <w:u w:val="none"/>
          </w:rPr>
          <w:t>Rates of Adverse Reactions per 10,000 Transfused Products</w:t>
        </w:r>
      </w:hyperlink>
      <w:r w:rsidR="00AD0380" w:rsidRPr="00E92D46">
        <w:t xml:space="preserve"> by Product Type</w:t>
      </w:r>
      <w:r w:rsidR="00D95973">
        <w:t>………….</w:t>
      </w:r>
      <w:r w:rsidR="00AD0380" w:rsidRPr="00E92D46">
        <w:t>1</w:t>
      </w:r>
      <w:r w:rsidR="00D95973">
        <w:t>5</w:t>
      </w:r>
    </w:p>
    <w:p w:rsidR="00AD0380" w:rsidRPr="00ED0FE1" w:rsidRDefault="00E92D46" w:rsidP="00E92D46">
      <w:pPr>
        <w:pStyle w:val="TOC1"/>
      </w:pPr>
      <w:r>
        <w:t xml:space="preserve">Figure 4: </w:t>
      </w:r>
      <w:r w:rsidR="00AD0380" w:rsidRPr="00ED0FE1">
        <w:t xml:space="preserve">Rates of Adverse Reactions per 10,000 Transfused Products by Bed Size </w:t>
      </w:r>
      <w:r w:rsidR="00AD0380">
        <w:t>G</w:t>
      </w:r>
      <w:r w:rsidR="00AD0380" w:rsidRPr="00ED0FE1">
        <w:t>roup</w:t>
      </w:r>
      <w:r w:rsidR="00D95973">
        <w:t>……….</w:t>
      </w:r>
      <w:r w:rsidR="00AD0380" w:rsidRPr="00ED0FE1">
        <w:t>1</w:t>
      </w:r>
      <w:r w:rsidR="00D95973">
        <w:t>6</w:t>
      </w:r>
    </w:p>
    <w:p w:rsidR="00AD0380" w:rsidRPr="00ED0FE1" w:rsidRDefault="00E92D46" w:rsidP="00E92D46">
      <w:pPr>
        <w:pStyle w:val="TOC1"/>
      </w:pPr>
      <w:r>
        <w:t xml:space="preserve">Table 7: </w:t>
      </w:r>
      <w:r w:rsidR="00AD0380" w:rsidRPr="00ED0FE1">
        <w:t>Rates of Adverse Reactions per 10,000 Total Units</w:t>
      </w:r>
      <w:r>
        <w:t xml:space="preserve"> </w:t>
      </w:r>
      <w:r w:rsidR="00AD0380" w:rsidRPr="00ED0FE1">
        <w:t>Transfused</w:t>
      </w:r>
      <w:r>
        <w:t xml:space="preserve"> </w:t>
      </w:r>
      <w:r w:rsidR="00AD0380" w:rsidRPr="00ED0FE1">
        <w:t>by Component Type</w:t>
      </w:r>
      <w:r w:rsidR="00D95973">
        <w:t>..</w:t>
      </w:r>
      <w:r w:rsidR="00AD0380" w:rsidRPr="00ED0FE1">
        <w:t>17-18</w:t>
      </w:r>
    </w:p>
    <w:p w:rsidR="00ED0FE1" w:rsidRDefault="00ED0FE1" w:rsidP="00513C76">
      <w:pPr>
        <w:widowControl w:val="0"/>
        <w:spacing w:before="48" w:after="0" w:line="240" w:lineRule="auto"/>
        <w:ind w:left="37"/>
        <w:jc w:val="center"/>
        <w:outlineLvl w:val="0"/>
        <w:rPr>
          <w:rFonts w:ascii="Arial" w:eastAsia="Arial" w:hAnsi="Arial" w:cs="Times New Roman"/>
          <w:b/>
          <w:bCs/>
          <w:sz w:val="28"/>
          <w:szCs w:val="28"/>
        </w:rPr>
      </w:pPr>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rsidR="009C5B19" w:rsidRDefault="009C5B19" w:rsidP="00513C76">
      <w:pPr>
        <w:widowControl w:val="0"/>
        <w:spacing w:before="48" w:after="0" w:line="240" w:lineRule="auto"/>
        <w:ind w:left="37"/>
        <w:jc w:val="center"/>
        <w:outlineLvl w:val="0"/>
        <w:rPr>
          <w:rFonts w:ascii="Arial" w:eastAsia="Arial" w:hAnsi="Arial" w:cs="Times New Roman"/>
          <w:b/>
          <w:bCs/>
          <w:sz w:val="28"/>
          <w:szCs w:val="28"/>
        </w:rPr>
      </w:pPr>
    </w:p>
    <w:p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AC592C" w:rsidRDefault="00AC592C" w:rsidP="00513C76">
      <w:pPr>
        <w:widowControl w:val="0"/>
        <w:spacing w:before="48" w:after="0" w:line="240" w:lineRule="auto"/>
        <w:ind w:left="37"/>
        <w:jc w:val="center"/>
        <w:outlineLvl w:val="0"/>
        <w:rPr>
          <w:rFonts w:ascii="Arial" w:eastAsia="Arial" w:hAnsi="Arial" w:cs="Times New Roman"/>
          <w:b/>
          <w:bCs/>
          <w:sz w:val="28"/>
          <w:szCs w:val="28"/>
        </w:rPr>
      </w:pPr>
    </w:p>
    <w:p w:rsidR="00D95973" w:rsidRDefault="00D95973" w:rsidP="00513C76">
      <w:pPr>
        <w:widowControl w:val="0"/>
        <w:spacing w:before="48" w:after="0" w:line="240" w:lineRule="auto"/>
        <w:ind w:left="37"/>
        <w:jc w:val="center"/>
        <w:outlineLvl w:val="0"/>
        <w:rPr>
          <w:rFonts w:ascii="Arial" w:eastAsia="Arial" w:hAnsi="Arial" w:cs="Times New Roman"/>
          <w:b/>
          <w:bCs/>
          <w:sz w:val="28"/>
          <w:szCs w:val="28"/>
        </w:rPr>
      </w:pPr>
    </w:p>
    <w:p w:rsidR="00D95973" w:rsidRDefault="00D95973" w:rsidP="00513C76">
      <w:pPr>
        <w:widowControl w:val="0"/>
        <w:spacing w:before="48" w:after="0" w:line="240" w:lineRule="auto"/>
        <w:ind w:left="37"/>
        <w:jc w:val="center"/>
        <w:outlineLvl w:val="0"/>
        <w:rPr>
          <w:rFonts w:ascii="Arial" w:eastAsia="Arial" w:hAnsi="Arial" w:cs="Times New Roman"/>
          <w:b/>
          <w:bCs/>
          <w:sz w:val="28"/>
          <w:szCs w:val="28"/>
        </w:rPr>
      </w:pPr>
    </w:p>
    <w:p w:rsidR="00D95973" w:rsidRDefault="00D95973" w:rsidP="00513C76">
      <w:pPr>
        <w:widowControl w:val="0"/>
        <w:spacing w:before="48" w:after="0" w:line="240" w:lineRule="auto"/>
        <w:ind w:left="37"/>
        <w:jc w:val="center"/>
        <w:outlineLvl w:val="0"/>
        <w:rPr>
          <w:rFonts w:ascii="Arial" w:eastAsia="Arial" w:hAnsi="Arial" w:cs="Times New Roman"/>
          <w:b/>
          <w:bCs/>
          <w:sz w:val="28"/>
          <w:szCs w:val="28"/>
        </w:rPr>
      </w:pPr>
    </w:p>
    <w:p w:rsidR="00D95973" w:rsidRDefault="00D95973" w:rsidP="00513C76">
      <w:pPr>
        <w:widowControl w:val="0"/>
        <w:spacing w:before="48" w:after="0" w:line="240" w:lineRule="auto"/>
        <w:ind w:left="37"/>
        <w:jc w:val="center"/>
        <w:outlineLvl w:val="0"/>
        <w:rPr>
          <w:rFonts w:ascii="Arial" w:eastAsia="Arial" w:hAnsi="Arial" w:cs="Times New Roman"/>
          <w:b/>
          <w:bCs/>
          <w:sz w:val="28"/>
          <w:szCs w:val="28"/>
        </w:rPr>
      </w:pPr>
    </w:p>
    <w:p w:rsidR="00D95973" w:rsidRDefault="00D95973"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290706" w:rsidRDefault="00290706" w:rsidP="00513C76">
      <w:pPr>
        <w:widowControl w:val="0"/>
        <w:spacing w:before="48" w:after="0" w:line="240" w:lineRule="auto"/>
        <w:ind w:left="37"/>
        <w:jc w:val="center"/>
        <w:outlineLvl w:val="0"/>
        <w:rPr>
          <w:rFonts w:ascii="Arial" w:eastAsia="Arial" w:hAnsi="Arial" w:cs="Times New Roman"/>
          <w:b/>
          <w:bCs/>
          <w:sz w:val="28"/>
          <w:szCs w:val="28"/>
        </w:rPr>
      </w:pPr>
    </w:p>
    <w:p w:rsidR="00FA05EB" w:rsidRDefault="00FA05EB" w:rsidP="00FA05EB">
      <w:pPr>
        <w:widowControl w:val="0"/>
        <w:spacing w:before="48" w:after="0" w:line="240" w:lineRule="auto"/>
        <w:outlineLvl w:val="0"/>
        <w:rPr>
          <w:rFonts w:ascii="Arial" w:eastAsia="Arial" w:hAnsi="Arial" w:cs="Times New Roman"/>
          <w:b/>
          <w:bCs/>
          <w:sz w:val="28"/>
          <w:szCs w:val="28"/>
        </w:rPr>
      </w:pPr>
      <w:bookmarkStart w:id="5" w:name="_Toc516748491"/>
    </w:p>
    <w:p w:rsidR="00513C76" w:rsidRPr="0097210D" w:rsidRDefault="00513C76" w:rsidP="00FA05EB">
      <w:pPr>
        <w:widowControl w:val="0"/>
        <w:spacing w:before="48" w:after="0" w:line="240" w:lineRule="auto"/>
        <w:jc w:val="center"/>
        <w:outlineLvl w:val="0"/>
        <w:rPr>
          <w:rFonts w:ascii="Arial" w:eastAsia="Arial" w:hAnsi="Arial" w:cs="Times New Roman"/>
          <w:sz w:val="28"/>
          <w:szCs w:val="28"/>
        </w:rPr>
      </w:pPr>
      <w:r w:rsidRPr="0097210D">
        <w:rPr>
          <w:rFonts w:ascii="Arial" w:eastAsia="Arial" w:hAnsi="Arial" w:cs="Times New Roman"/>
          <w:b/>
          <w:bCs/>
          <w:sz w:val="28"/>
          <w:szCs w:val="28"/>
        </w:rPr>
        <w:lastRenderedPageBreak/>
        <w:t>List</w:t>
      </w:r>
      <w:r w:rsidRPr="0097210D">
        <w:rPr>
          <w:rFonts w:ascii="Arial" w:eastAsia="Arial" w:hAnsi="Arial" w:cs="Times New Roman"/>
          <w:b/>
          <w:bCs/>
          <w:spacing w:val="-13"/>
          <w:sz w:val="28"/>
          <w:szCs w:val="28"/>
        </w:rPr>
        <w:t xml:space="preserve"> </w:t>
      </w:r>
      <w:r w:rsidRPr="0097210D">
        <w:rPr>
          <w:rFonts w:ascii="Arial" w:eastAsia="Arial" w:hAnsi="Arial" w:cs="Times New Roman"/>
          <w:b/>
          <w:bCs/>
          <w:sz w:val="28"/>
          <w:szCs w:val="28"/>
        </w:rPr>
        <w:t>of</w:t>
      </w:r>
      <w:r w:rsidRPr="0097210D">
        <w:rPr>
          <w:rFonts w:ascii="Arial" w:eastAsia="Arial" w:hAnsi="Arial" w:cs="Times New Roman"/>
          <w:b/>
          <w:bCs/>
          <w:spacing w:val="-13"/>
          <w:sz w:val="28"/>
          <w:szCs w:val="28"/>
        </w:rPr>
        <w:t xml:space="preserve"> </w:t>
      </w:r>
      <w:r w:rsidR="0097210D" w:rsidRPr="0097210D">
        <w:rPr>
          <w:rFonts w:ascii="Arial" w:eastAsia="Arial" w:hAnsi="Arial" w:cs="Times New Roman"/>
          <w:b/>
          <w:bCs/>
          <w:sz w:val="28"/>
          <w:szCs w:val="28"/>
        </w:rPr>
        <w:t>A</w:t>
      </w:r>
      <w:r w:rsidRPr="0097210D">
        <w:rPr>
          <w:rFonts w:ascii="Arial" w:eastAsia="Arial" w:hAnsi="Arial" w:cs="Times New Roman"/>
          <w:b/>
          <w:bCs/>
          <w:sz w:val="28"/>
          <w:szCs w:val="28"/>
        </w:rPr>
        <w:t>bbreviations</w:t>
      </w:r>
      <w:bookmarkEnd w:id="4"/>
      <w:bookmarkEnd w:id="5"/>
    </w:p>
    <w:p w:rsidR="00513C76" w:rsidRPr="00513C76" w:rsidRDefault="00513C76" w:rsidP="00513C76">
      <w:pPr>
        <w:widowControl w:val="0"/>
        <w:spacing w:before="11" w:after="0" w:line="240" w:lineRule="auto"/>
        <w:rPr>
          <w:rFonts w:ascii="Arial" w:eastAsia="Arial" w:hAnsi="Arial" w:cs="Arial"/>
          <w:b/>
          <w:bCs/>
          <w:sz w:val="27"/>
          <w:szCs w:val="27"/>
        </w:rPr>
      </w:pPr>
    </w:p>
    <w:p w:rsidR="00513C76" w:rsidRPr="007B0128" w:rsidRDefault="00513C76" w:rsidP="00513C76">
      <w:pPr>
        <w:widowControl w:val="0"/>
        <w:numPr>
          <w:ilvl w:val="0"/>
          <w:numId w:val="1"/>
        </w:numPr>
        <w:tabs>
          <w:tab w:val="left" w:pos="481"/>
        </w:tabs>
        <w:spacing w:after="0" w:line="240" w:lineRule="auto"/>
        <w:ind w:hanging="360"/>
        <w:rPr>
          <w:rFonts w:ascii="Arial" w:eastAsia="Arial" w:hAnsi="Arial" w:cs="Arial"/>
          <w:szCs w:val="24"/>
        </w:rPr>
      </w:pPr>
      <w:r w:rsidRPr="007B0128">
        <w:rPr>
          <w:rFonts w:ascii="Arial" w:eastAsia="Arial" w:hAnsi="Arial" w:cs="Arial"/>
          <w:spacing w:val="-1"/>
          <w:szCs w:val="24"/>
        </w:rPr>
        <w:t>AABB</w:t>
      </w:r>
      <w:r w:rsidRPr="007B0128">
        <w:rPr>
          <w:rFonts w:ascii="Arial" w:eastAsia="Arial" w:hAnsi="Arial" w:cs="Arial"/>
          <w:szCs w:val="24"/>
        </w:rPr>
        <w:t xml:space="preserve"> – </w:t>
      </w:r>
      <w:r w:rsidRPr="007B0128">
        <w:rPr>
          <w:rFonts w:ascii="Arial" w:eastAsia="Arial" w:hAnsi="Arial" w:cs="Arial"/>
          <w:spacing w:val="-1"/>
          <w:szCs w:val="24"/>
        </w:rPr>
        <w:t>formerly</w:t>
      </w:r>
      <w:r w:rsidRPr="007B0128">
        <w:rPr>
          <w:rFonts w:ascii="Arial" w:eastAsia="Arial" w:hAnsi="Arial" w:cs="Arial"/>
          <w:szCs w:val="24"/>
        </w:rPr>
        <w:t xml:space="preserve"> </w:t>
      </w:r>
      <w:r w:rsidRPr="007B0128">
        <w:rPr>
          <w:rFonts w:ascii="Arial" w:eastAsia="Arial" w:hAnsi="Arial" w:cs="Arial"/>
          <w:spacing w:val="-1"/>
          <w:szCs w:val="24"/>
        </w:rPr>
        <w:t>American</w:t>
      </w:r>
      <w:r w:rsidRPr="007B0128">
        <w:rPr>
          <w:rFonts w:ascii="Arial" w:eastAsia="Arial" w:hAnsi="Arial" w:cs="Arial"/>
          <w:szCs w:val="24"/>
        </w:rPr>
        <w:t xml:space="preserve"> </w:t>
      </w:r>
      <w:r w:rsidRPr="007B0128">
        <w:rPr>
          <w:rFonts w:ascii="Arial" w:eastAsia="Arial" w:hAnsi="Arial" w:cs="Arial"/>
          <w:spacing w:val="-1"/>
          <w:szCs w:val="24"/>
        </w:rPr>
        <w:t>Association</w:t>
      </w:r>
      <w:r w:rsidRPr="007B0128">
        <w:rPr>
          <w:rFonts w:ascii="Arial" w:eastAsia="Arial" w:hAnsi="Arial" w:cs="Arial"/>
          <w:szCs w:val="24"/>
        </w:rPr>
        <w:t xml:space="preserve"> </w:t>
      </w:r>
      <w:r w:rsidRPr="007B0128">
        <w:rPr>
          <w:rFonts w:ascii="Arial" w:eastAsia="Arial" w:hAnsi="Arial" w:cs="Arial"/>
          <w:spacing w:val="-1"/>
          <w:szCs w:val="24"/>
        </w:rPr>
        <w:t>of</w:t>
      </w:r>
      <w:r w:rsidRPr="007B0128">
        <w:rPr>
          <w:rFonts w:ascii="Arial" w:eastAsia="Arial" w:hAnsi="Arial" w:cs="Arial"/>
          <w:szCs w:val="24"/>
        </w:rPr>
        <w:t xml:space="preserve"> </w:t>
      </w:r>
      <w:r w:rsidRPr="007B0128">
        <w:rPr>
          <w:rFonts w:ascii="Arial" w:eastAsia="Arial" w:hAnsi="Arial" w:cs="Arial"/>
          <w:spacing w:val="-1"/>
          <w:szCs w:val="24"/>
        </w:rPr>
        <w:t>Blood</w:t>
      </w:r>
      <w:r w:rsidRPr="007B0128">
        <w:rPr>
          <w:rFonts w:ascii="Arial" w:eastAsia="Arial" w:hAnsi="Arial" w:cs="Arial"/>
          <w:szCs w:val="24"/>
        </w:rPr>
        <w:t xml:space="preserve"> </w:t>
      </w:r>
      <w:r w:rsidRPr="007B0128">
        <w:rPr>
          <w:rFonts w:ascii="Arial" w:eastAsia="Arial" w:hAnsi="Arial" w:cs="Arial"/>
          <w:spacing w:val="-1"/>
          <w:szCs w:val="24"/>
        </w:rPr>
        <w:t>Banks</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AHTR</w:t>
      </w:r>
      <w:r w:rsidRPr="007B0128">
        <w:rPr>
          <w:rFonts w:ascii="Arial" w:eastAsia="Arial" w:hAnsi="Arial" w:cs="Arial"/>
          <w:szCs w:val="24"/>
        </w:rPr>
        <w:t xml:space="preserve"> – </w:t>
      </w:r>
      <w:r w:rsidRPr="007B0128">
        <w:rPr>
          <w:rFonts w:ascii="Arial" w:eastAsia="Arial" w:hAnsi="Arial" w:cs="Arial"/>
          <w:spacing w:val="-1"/>
          <w:szCs w:val="24"/>
        </w:rPr>
        <w:t>Acute</w:t>
      </w:r>
      <w:r w:rsidRPr="007B0128">
        <w:rPr>
          <w:rFonts w:ascii="Arial" w:eastAsia="Arial" w:hAnsi="Arial" w:cs="Arial"/>
          <w:szCs w:val="24"/>
        </w:rPr>
        <w:t xml:space="preserve"> </w:t>
      </w:r>
      <w:r w:rsidRPr="007B0128">
        <w:rPr>
          <w:rFonts w:ascii="Arial" w:eastAsia="Arial" w:hAnsi="Arial" w:cs="Arial"/>
          <w:spacing w:val="-1"/>
          <w:szCs w:val="24"/>
        </w:rPr>
        <w:t>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ALLERG</w:t>
      </w:r>
      <w:r w:rsidRPr="007B0128">
        <w:rPr>
          <w:rFonts w:ascii="Arial" w:eastAsia="Arial" w:hAnsi="Arial" w:cs="Arial"/>
          <w:szCs w:val="24"/>
        </w:rPr>
        <w:t xml:space="preserve"> – </w:t>
      </w:r>
      <w:r w:rsidRPr="007B0128">
        <w:rPr>
          <w:rFonts w:ascii="Arial" w:eastAsia="Arial" w:hAnsi="Arial" w:cs="Arial"/>
          <w:spacing w:val="-1"/>
          <w:szCs w:val="24"/>
        </w:rPr>
        <w:t>Allergic</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CAP</w:t>
      </w:r>
      <w:r w:rsidRPr="007B0128">
        <w:rPr>
          <w:rFonts w:ascii="Arial" w:eastAsia="Arial" w:hAnsi="Arial" w:cs="Arial"/>
          <w:szCs w:val="24"/>
        </w:rPr>
        <w:t xml:space="preserve"> – </w:t>
      </w:r>
      <w:r w:rsidRPr="007B0128">
        <w:rPr>
          <w:rFonts w:ascii="Arial" w:eastAsia="Arial" w:hAnsi="Arial" w:cs="Arial"/>
          <w:spacing w:val="-1"/>
          <w:szCs w:val="24"/>
        </w:rPr>
        <w:t>College</w:t>
      </w:r>
      <w:r w:rsidRPr="007B0128">
        <w:rPr>
          <w:rFonts w:ascii="Arial" w:eastAsia="Arial" w:hAnsi="Arial" w:cs="Arial"/>
          <w:szCs w:val="24"/>
        </w:rPr>
        <w:t xml:space="preserve"> </w:t>
      </w:r>
      <w:r w:rsidRPr="007B0128">
        <w:rPr>
          <w:rFonts w:ascii="Arial" w:eastAsia="Arial" w:hAnsi="Arial" w:cs="Arial"/>
          <w:spacing w:val="-1"/>
          <w:szCs w:val="24"/>
        </w:rPr>
        <w:t>of</w:t>
      </w:r>
      <w:r w:rsidRPr="007B0128">
        <w:rPr>
          <w:rFonts w:ascii="Arial" w:eastAsia="Arial" w:hAnsi="Arial" w:cs="Arial"/>
          <w:szCs w:val="24"/>
        </w:rPr>
        <w:t xml:space="preserve"> </w:t>
      </w:r>
      <w:r w:rsidRPr="007B0128">
        <w:rPr>
          <w:rFonts w:ascii="Arial" w:eastAsia="Arial" w:hAnsi="Arial" w:cs="Arial"/>
          <w:spacing w:val="-1"/>
          <w:szCs w:val="24"/>
        </w:rPr>
        <w:t>American</w:t>
      </w:r>
      <w:r w:rsidRPr="007B0128">
        <w:rPr>
          <w:rFonts w:ascii="Arial" w:eastAsia="Arial" w:hAnsi="Arial" w:cs="Arial"/>
          <w:szCs w:val="24"/>
        </w:rPr>
        <w:t xml:space="preserve"> </w:t>
      </w:r>
      <w:r w:rsidRPr="007B0128">
        <w:rPr>
          <w:rFonts w:ascii="Arial" w:eastAsia="Arial" w:hAnsi="Arial" w:cs="Arial"/>
          <w:spacing w:val="-1"/>
          <w:szCs w:val="24"/>
        </w:rPr>
        <w:t>Pathologists</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DHTR</w:t>
      </w:r>
      <w:r w:rsidRPr="007B0128">
        <w:rPr>
          <w:rFonts w:ascii="Arial" w:eastAsia="Arial" w:hAnsi="Arial" w:cs="Arial"/>
          <w:szCs w:val="24"/>
        </w:rPr>
        <w:t xml:space="preserve"> – </w:t>
      </w:r>
      <w:r w:rsidRPr="007B0128">
        <w:rPr>
          <w:rFonts w:ascii="Arial" w:eastAsia="Arial" w:hAnsi="Arial" w:cs="Arial"/>
          <w:spacing w:val="-1"/>
          <w:szCs w:val="24"/>
        </w:rPr>
        <w:t>Delayed</w:t>
      </w:r>
      <w:r w:rsidRPr="007B0128">
        <w:rPr>
          <w:rFonts w:ascii="Arial" w:eastAsia="Arial" w:hAnsi="Arial" w:cs="Arial"/>
          <w:szCs w:val="24"/>
        </w:rPr>
        <w:t xml:space="preserve"> </w:t>
      </w:r>
      <w:r w:rsidRPr="007B0128">
        <w:rPr>
          <w:rFonts w:ascii="Arial" w:eastAsia="Arial" w:hAnsi="Arial" w:cs="Arial"/>
          <w:spacing w:val="-1"/>
          <w:szCs w:val="24"/>
        </w:rPr>
        <w:t>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DSTR</w:t>
      </w:r>
      <w:r w:rsidRPr="007B0128">
        <w:rPr>
          <w:rFonts w:ascii="Arial" w:eastAsia="Arial" w:hAnsi="Arial" w:cs="Arial"/>
          <w:szCs w:val="24"/>
        </w:rPr>
        <w:t xml:space="preserve"> – </w:t>
      </w:r>
      <w:r w:rsidRPr="007B0128">
        <w:rPr>
          <w:rFonts w:ascii="Arial" w:eastAsia="Arial" w:hAnsi="Arial" w:cs="Arial"/>
          <w:spacing w:val="-1"/>
          <w:szCs w:val="24"/>
        </w:rPr>
        <w:t>Delayed</w:t>
      </w:r>
      <w:r w:rsidRPr="007B0128">
        <w:rPr>
          <w:rFonts w:ascii="Arial" w:eastAsia="Arial" w:hAnsi="Arial" w:cs="Arial"/>
          <w:szCs w:val="24"/>
        </w:rPr>
        <w:t xml:space="preserve"> </w:t>
      </w:r>
      <w:r w:rsidRPr="007B0128">
        <w:rPr>
          <w:rFonts w:ascii="Arial" w:eastAsia="Arial" w:hAnsi="Arial" w:cs="Arial"/>
          <w:spacing w:val="-1"/>
          <w:szCs w:val="24"/>
        </w:rPr>
        <w:t>serologic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FNHTR</w:t>
      </w:r>
      <w:r w:rsidRPr="007B0128">
        <w:rPr>
          <w:rFonts w:ascii="Arial" w:eastAsia="Arial" w:hAnsi="Arial" w:cs="Arial"/>
          <w:szCs w:val="24"/>
        </w:rPr>
        <w:t xml:space="preserve"> – </w:t>
      </w:r>
      <w:r w:rsidRPr="007B0128">
        <w:rPr>
          <w:rFonts w:ascii="Arial" w:eastAsia="Arial" w:hAnsi="Arial" w:cs="Arial"/>
          <w:spacing w:val="-1"/>
          <w:szCs w:val="24"/>
        </w:rPr>
        <w:t>Febrile</w:t>
      </w:r>
      <w:r w:rsidRPr="007B0128">
        <w:rPr>
          <w:rFonts w:ascii="Arial" w:eastAsia="Arial" w:hAnsi="Arial" w:cs="Arial"/>
          <w:szCs w:val="24"/>
        </w:rPr>
        <w:t xml:space="preserve"> </w:t>
      </w:r>
      <w:r w:rsidRPr="007B0128">
        <w:rPr>
          <w:rFonts w:ascii="Arial" w:eastAsia="Arial" w:hAnsi="Arial" w:cs="Arial"/>
          <w:spacing w:val="-1"/>
          <w:szCs w:val="24"/>
        </w:rPr>
        <w:t>non-hemolytic</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HTR</w:t>
      </w:r>
      <w:r w:rsidRPr="007B0128">
        <w:rPr>
          <w:rFonts w:ascii="Arial" w:eastAsia="Arial" w:hAnsi="Arial" w:cs="Arial"/>
          <w:szCs w:val="24"/>
        </w:rPr>
        <w:t xml:space="preserve"> – </w:t>
      </w:r>
      <w:r w:rsidRPr="007B0128">
        <w:rPr>
          <w:rFonts w:ascii="Arial" w:eastAsia="Arial" w:hAnsi="Arial" w:cs="Arial"/>
          <w:spacing w:val="-1"/>
          <w:szCs w:val="24"/>
        </w:rPr>
        <w:t>Hypotensive</w:t>
      </w:r>
      <w:r w:rsidRPr="007B0128">
        <w:rPr>
          <w:rFonts w:ascii="Arial" w:eastAsia="Arial" w:hAnsi="Arial" w:cs="Arial"/>
          <w:szCs w:val="24"/>
        </w:rPr>
        <w:t xml:space="preserve"> </w:t>
      </w:r>
      <w:r w:rsidRPr="007B0128">
        <w:rPr>
          <w:rFonts w:ascii="Arial" w:eastAsia="Arial" w:hAnsi="Arial" w:cs="Arial"/>
          <w:spacing w:val="-1"/>
          <w:szCs w:val="24"/>
        </w:rPr>
        <w:t>transfusion</w:t>
      </w:r>
      <w:r w:rsidRPr="007B0128">
        <w:rPr>
          <w:rFonts w:ascii="Arial" w:eastAsia="Arial" w:hAnsi="Arial" w:cs="Arial"/>
          <w:szCs w:val="24"/>
        </w:rPr>
        <w:t xml:space="preserve"> </w:t>
      </w:r>
      <w:r w:rsidRPr="007B0128">
        <w:rPr>
          <w:rFonts w:ascii="Arial" w:eastAsia="Arial" w:hAnsi="Arial" w:cs="Arial"/>
          <w:spacing w:val="-1"/>
          <w:szCs w:val="24"/>
        </w:rPr>
        <w:t>reaction</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PTP</w:t>
      </w:r>
      <w:r w:rsidRPr="007B0128">
        <w:rPr>
          <w:rFonts w:ascii="Arial" w:eastAsia="Arial" w:hAnsi="Arial" w:cs="Arial"/>
          <w:szCs w:val="24"/>
        </w:rPr>
        <w:t xml:space="preserve"> – </w:t>
      </w:r>
      <w:r w:rsidRPr="007B0128">
        <w:rPr>
          <w:rFonts w:ascii="Arial" w:eastAsia="Arial" w:hAnsi="Arial" w:cs="Arial"/>
          <w:spacing w:val="-1"/>
          <w:szCs w:val="24"/>
        </w:rPr>
        <w:t>Post-transfusion</w:t>
      </w:r>
      <w:r w:rsidRPr="007B0128">
        <w:rPr>
          <w:rFonts w:ascii="Arial" w:eastAsia="Arial" w:hAnsi="Arial" w:cs="Arial"/>
          <w:szCs w:val="24"/>
        </w:rPr>
        <w:t xml:space="preserve"> </w:t>
      </w:r>
      <w:r w:rsidRPr="007B0128">
        <w:rPr>
          <w:rFonts w:ascii="Arial" w:eastAsia="Arial" w:hAnsi="Arial" w:cs="Arial"/>
          <w:spacing w:val="-1"/>
          <w:szCs w:val="24"/>
        </w:rPr>
        <w:t>purpura</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TJC</w:t>
      </w:r>
      <w:r w:rsidRPr="007B0128">
        <w:rPr>
          <w:rFonts w:ascii="Arial" w:eastAsia="Arial" w:hAnsi="Arial" w:cs="Arial"/>
          <w:szCs w:val="24"/>
        </w:rPr>
        <w:t xml:space="preserve"> – </w:t>
      </w:r>
      <w:r w:rsidRPr="007B0128">
        <w:rPr>
          <w:rFonts w:ascii="Arial" w:eastAsia="Arial" w:hAnsi="Arial" w:cs="Arial"/>
          <w:spacing w:val="-1"/>
          <w:szCs w:val="24"/>
        </w:rPr>
        <w:t>The</w:t>
      </w:r>
      <w:r w:rsidRPr="007B0128">
        <w:rPr>
          <w:rFonts w:ascii="Arial" w:eastAsia="Arial" w:hAnsi="Arial" w:cs="Arial"/>
          <w:szCs w:val="24"/>
        </w:rPr>
        <w:t xml:space="preserve"> </w:t>
      </w:r>
      <w:r w:rsidRPr="007B0128">
        <w:rPr>
          <w:rFonts w:ascii="Arial" w:eastAsia="Arial" w:hAnsi="Arial" w:cs="Arial"/>
          <w:spacing w:val="-1"/>
          <w:szCs w:val="24"/>
        </w:rPr>
        <w:t>Joint</w:t>
      </w:r>
      <w:r w:rsidRPr="007B0128">
        <w:rPr>
          <w:rFonts w:ascii="Arial" w:eastAsia="Arial" w:hAnsi="Arial" w:cs="Arial"/>
          <w:szCs w:val="24"/>
        </w:rPr>
        <w:t xml:space="preserve"> </w:t>
      </w:r>
      <w:r w:rsidRPr="007B0128">
        <w:rPr>
          <w:rFonts w:ascii="Arial" w:eastAsia="Arial" w:hAnsi="Arial" w:cs="Arial"/>
          <w:spacing w:val="-1"/>
          <w:szCs w:val="24"/>
        </w:rPr>
        <w:t>Commission</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pacing w:val="-1"/>
          <w:szCs w:val="24"/>
        </w:rPr>
        <w:t>TACO</w:t>
      </w:r>
      <w:r w:rsidRPr="007B0128">
        <w:rPr>
          <w:rFonts w:ascii="Arial" w:eastAsia="Arial" w:hAnsi="Arial" w:cs="Arial"/>
          <w:szCs w:val="24"/>
        </w:rPr>
        <w:t xml:space="preserve"> – </w:t>
      </w:r>
      <w:r w:rsidRPr="007B0128">
        <w:rPr>
          <w:rFonts w:ascii="Arial" w:eastAsia="Arial" w:hAnsi="Arial" w:cs="Arial"/>
          <w:spacing w:val="-1"/>
          <w:szCs w:val="24"/>
        </w:rPr>
        <w:t>Transfusion-associated</w:t>
      </w:r>
      <w:r w:rsidRPr="007B0128">
        <w:rPr>
          <w:rFonts w:ascii="Arial" w:eastAsia="Arial" w:hAnsi="Arial" w:cs="Arial"/>
          <w:spacing w:val="1"/>
          <w:szCs w:val="24"/>
        </w:rPr>
        <w:t xml:space="preserve"> </w:t>
      </w:r>
      <w:r w:rsidRPr="007B0128">
        <w:rPr>
          <w:rFonts w:ascii="Arial" w:eastAsia="Arial" w:hAnsi="Arial" w:cs="Arial"/>
          <w:spacing w:val="-1"/>
          <w:szCs w:val="24"/>
        </w:rPr>
        <w:t>circulatory</w:t>
      </w:r>
      <w:r w:rsidRPr="007B0128">
        <w:rPr>
          <w:rFonts w:ascii="Arial" w:eastAsia="Arial" w:hAnsi="Arial" w:cs="Arial"/>
          <w:spacing w:val="1"/>
          <w:szCs w:val="24"/>
        </w:rPr>
        <w:t xml:space="preserve"> </w:t>
      </w:r>
      <w:r w:rsidRPr="007B0128">
        <w:rPr>
          <w:rFonts w:ascii="Arial" w:eastAsia="Arial" w:hAnsi="Arial" w:cs="Arial"/>
          <w:spacing w:val="-1"/>
          <w:szCs w:val="24"/>
        </w:rPr>
        <w:t>overload</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TAD</w:t>
      </w:r>
      <w:r w:rsidRPr="007B0128">
        <w:rPr>
          <w:rFonts w:ascii="Arial" w:eastAsia="Arial" w:hAnsi="Arial" w:cs="Arial"/>
          <w:szCs w:val="24"/>
        </w:rPr>
        <w:t xml:space="preserve"> – </w:t>
      </w:r>
      <w:r w:rsidRPr="007B0128">
        <w:rPr>
          <w:rFonts w:ascii="Arial" w:eastAsia="Arial" w:hAnsi="Arial" w:cs="Arial"/>
          <w:spacing w:val="-1"/>
          <w:szCs w:val="24"/>
        </w:rPr>
        <w:t>Transfusion-associated</w:t>
      </w:r>
      <w:r w:rsidRPr="007B0128">
        <w:rPr>
          <w:rFonts w:ascii="Arial" w:eastAsia="Arial" w:hAnsi="Arial" w:cs="Arial"/>
          <w:szCs w:val="24"/>
        </w:rPr>
        <w:t xml:space="preserve"> </w:t>
      </w:r>
      <w:r w:rsidRPr="007B0128">
        <w:rPr>
          <w:rFonts w:ascii="Arial" w:eastAsia="Arial" w:hAnsi="Arial" w:cs="Arial"/>
          <w:spacing w:val="-1"/>
          <w:szCs w:val="24"/>
        </w:rPr>
        <w:t>dyspnea</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zCs w:val="24"/>
        </w:rPr>
        <w:t>TAGVHD – Transfusion-associated</w:t>
      </w:r>
      <w:r w:rsidRPr="007B0128">
        <w:rPr>
          <w:rFonts w:ascii="Arial" w:eastAsia="Arial" w:hAnsi="Arial" w:cs="Arial"/>
          <w:spacing w:val="-1"/>
          <w:szCs w:val="24"/>
        </w:rPr>
        <w:t xml:space="preserve"> </w:t>
      </w:r>
      <w:r w:rsidRPr="007B0128">
        <w:rPr>
          <w:rFonts w:ascii="Arial" w:eastAsia="Arial" w:hAnsi="Arial" w:cs="Arial"/>
          <w:szCs w:val="24"/>
        </w:rPr>
        <w:t>graft versus host disease</w:t>
      </w:r>
    </w:p>
    <w:p w:rsidR="00513C76" w:rsidRPr="007B0128" w:rsidRDefault="00513C76" w:rsidP="00513C76">
      <w:pPr>
        <w:widowControl w:val="0"/>
        <w:numPr>
          <w:ilvl w:val="0"/>
          <w:numId w:val="1"/>
        </w:numPr>
        <w:tabs>
          <w:tab w:val="left" w:pos="481"/>
        </w:tabs>
        <w:spacing w:before="136" w:after="0" w:line="240" w:lineRule="auto"/>
        <w:ind w:hanging="360"/>
        <w:rPr>
          <w:rFonts w:ascii="Arial" w:eastAsia="Arial" w:hAnsi="Arial" w:cs="Arial"/>
          <w:szCs w:val="24"/>
        </w:rPr>
      </w:pPr>
      <w:r w:rsidRPr="007B0128">
        <w:rPr>
          <w:rFonts w:ascii="Arial" w:eastAsia="Arial" w:hAnsi="Arial" w:cs="Arial"/>
          <w:spacing w:val="-1"/>
          <w:szCs w:val="24"/>
        </w:rPr>
        <w:t>TRALI</w:t>
      </w:r>
      <w:r w:rsidRPr="007B0128">
        <w:rPr>
          <w:rFonts w:ascii="Arial" w:eastAsia="Arial" w:hAnsi="Arial" w:cs="Arial"/>
          <w:szCs w:val="24"/>
        </w:rPr>
        <w:t xml:space="preserve"> – </w:t>
      </w:r>
      <w:r w:rsidRPr="007B0128">
        <w:rPr>
          <w:rFonts w:ascii="Arial" w:eastAsia="Arial" w:hAnsi="Arial" w:cs="Arial"/>
          <w:spacing w:val="-1"/>
          <w:szCs w:val="24"/>
        </w:rPr>
        <w:t>Transfusion-related</w:t>
      </w:r>
      <w:r w:rsidRPr="007B0128">
        <w:rPr>
          <w:rFonts w:ascii="Arial" w:eastAsia="Arial" w:hAnsi="Arial" w:cs="Arial"/>
          <w:szCs w:val="24"/>
        </w:rPr>
        <w:t xml:space="preserve"> </w:t>
      </w:r>
      <w:r w:rsidRPr="007B0128">
        <w:rPr>
          <w:rFonts w:ascii="Arial" w:eastAsia="Arial" w:hAnsi="Arial" w:cs="Arial"/>
          <w:spacing w:val="-1"/>
          <w:szCs w:val="24"/>
        </w:rPr>
        <w:t>acute</w:t>
      </w:r>
      <w:r w:rsidRPr="007B0128">
        <w:rPr>
          <w:rFonts w:ascii="Arial" w:eastAsia="Arial" w:hAnsi="Arial" w:cs="Arial"/>
          <w:szCs w:val="24"/>
        </w:rPr>
        <w:t xml:space="preserve"> </w:t>
      </w:r>
      <w:r w:rsidRPr="007B0128">
        <w:rPr>
          <w:rFonts w:ascii="Arial" w:eastAsia="Arial" w:hAnsi="Arial" w:cs="Arial"/>
          <w:spacing w:val="-1"/>
          <w:szCs w:val="24"/>
        </w:rPr>
        <w:t>lung</w:t>
      </w:r>
      <w:r w:rsidRPr="007B0128">
        <w:rPr>
          <w:rFonts w:ascii="Arial" w:eastAsia="Arial" w:hAnsi="Arial" w:cs="Arial"/>
          <w:szCs w:val="24"/>
        </w:rPr>
        <w:t xml:space="preserve"> </w:t>
      </w:r>
      <w:r w:rsidRPr="007B0128">
        <w:rPr>
          <w:rFonts w:ascii="Arial" w:eastAsia="Arial" w:hAnsi="Arial" w:cs="Arial"/>
          <w:spacing w:val="-1"/>
          <w:szCs w:val="24"/>
        </w:rPr>
        <w:t>injury</w:t>
      </w:r>
    </w:p>
    <w:p w:rsidR="00513C76" w:rsidRPr="007B0128" w:rsidRDefault="00513C76" w:rsidP="00513C76">
      <w:pPr>
        <w:widowControl w:val="0"/>
        <w:numPr>
          <w:ilvl w:val="0"/>
          <w:numId w:val="1"/>
        </w:numPr>
        <w:tabs>
          <w:tab w:val="left" w:pos="481"/>
        </w:tabs>
        <w:spacing w:before="135" w:after="0" w:line="240" w:lineRule="auto"/>
        <w:ind w:hanging="360"/>
        <w:rPr>
          <w:rFonts w:ascii="Arial" w:eastAsia="Arial" w:hAnsi="Arial" w:cs="Arial"/>
          <w:szCs w:val="24"/>
        </w:rPr>
      </w:pPr>
      <w:r w:rsidRPr="007B0128">
        <w:rPr>
          <w:rFonts w:ascii="Arial" w:eastAsia="Arial" w:hAnsi="Arial" w:cs="Arial"/>
          <w:szCs w:val="24"/>
        </w:rPr>
        <w:t>TTI – Transfusion-transmitted infection</w:t>
      </w:r>
    </w:p>
    <w:p w:rsidR="00052D68" w:rsidRDefault="00052D68" w:rsidP="00052D68">
      <w:pPr>
        <w:pStyle w:val="NoSpacing"/>
      </w:pPr>
    </w:p>
    <w:p w:rsidR="00D51CE3" w:rsidRDefault="00D51CE3" w:rsidP="00052D68">
      <w:pPr>
        <w:pStyle w:val="NoSpacing"/>
      </w:pPr>
    </w:p>
    <w:p w:rsidR="00D51CE3" w:rsidRDefault="00D51CE3" w:rsidP="00052D68">
      <w:pPr>
        <w:pStyle w:val="NoSpacing"/>
      </w:pPr>
    </w:p>
    <w:p w:rsidR="00D51CE3" w:rsidRDefault="00D51CE3"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pPr>
    </w:p>
    <w:p w:rsidR="00290706" w:rsidRDefault="00290706" w:rsidP="00052D68">
      <w:pPr>
        <w:pStyle w:val="NoSpacing"/>
        <w:sectPr w:rsidR="00290706" w:rsidSect="00290706">
          <w:headerReference w:type="default" r:id="rId13"/>
          <w:footerReference w:type="default" r:id="rId14"/>
          <w:pgSz w:w="12240" w:h="15840"/>
          <w:pgMar w:top="1440" w:right="1440" w:bottom="1440" w:left="1440" w:header="720" w:footer="720" w:gutter="0"/>
          <w:cols w:space="720"/>
          <w:docGrid w:linePitch="360"/>
        </w:sectPr>
      </w:pPr>
    </w:p>
    <w:p w:rsidR="004353CF" w:rsidRDefault="00E447AD" w:rsidP="00ED1CBD">
      <w:pPr>
        <w:pStyle w:val="NoSpacing"/>
        <w:jc w:val="center"/>
        <w:rPr>
          <w:rFonts w:ascii="Arial" w:hAnsi="Arial" w:cs="Arial"/>
          <w:b/>
          <w:sz w:val="28"/>
        </w:rPr>
      </w:pPr>
      <w:r w:rsidRPr="00E447AD">
        <w:rPr>
          <w:rFonts w:ascii="Arial" w:hAnsi="Arial" w:cs="Arial"/>
          <w:b/>
          <w:sz w:val="28"/>
        </w:rPr>
        <w:lastRenderedPageBreak/>
        <w:t xml:space="preserve">Table 1: Bed </w:t>
      </w:r>
      <w:r w:rsidR="0097210D">
        <w:rPr>
          <w:rFonts w:ascii="Arial" w:hAnsi="Arial" w:cs="Arial"/>
          <w:b/>
          <w:sz w:val="28"/>
        </w:rPr>
        <w:t>Size C</w:t>
      </w:r>
      <w:r w:rsidRPr="00E447AD">
        <w:rPr>
          <w:rFonts w:ascii="Arial" w:hAnsi="Arial" w:cs="Arial"/>
          <w:b/>
          <w:sz w:val="28"/>
        </w:rPr>
        <w:t>haracteristics from the 2018 Annual Facility Survey</w:t>
      </w:r>
    </w:p>
    <w:p w:rsidR="008A0319" w:rsidRDefault="00925B33" w:rsidP="00FE39B5">
      <w:pPr>
        <w:pStyle w:val="NoSpacing"/>
        <w:spacing w:before="120"/>
        <w:ind w:firstLine="86"/>
        <w:rPr>
          <w:rFonts w:ascii="Arial" w:hAnsi="Arial" w:cs="Arial"/>
          <w:sz w:val="20"/>
        </w:rPr>
      </w:pPr>
      <w:r w:rsidRPr="00925B33">
        <w:rPr>
          <w:noProof/>
        </w:rPr>
        <w:drawing>
          <wp:inline distT="0" distB="0" distL="0" distR="0">
            <wp:extent cx="7696200" cy="4437955"/>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96200" cy="4437955"/>
                    </a:xfrm>
                    <a:prstGeom prst="rect">
                      <a:avLst/>
                    </a:prstGeom>
                    <a:noFill/>
                    <a:ln>
                      <a:noFill/>
                    </a:ln>
                  </pic:spPr>
                </pic:pic>
              </a:graphicData>
            </a:graphic>
          </wp:inline>
        </w:drawing>
      </w:r>
    </w:p>
    <w:p w:rsidR="00E447AD" w:rsidRDefault="00E92D46" w:rsidP="00FE39B5">
      <w:pPr>
        <w:pStyle w:val="NoSpacing"/>
        <w:spacing w:before="120"/>
        <w:ind w:firstLine="86"/>
        <w:rPr>
          <w:rFonts w:ascii="Arial" w:hAnsi="Arial" w:cs="Arial"/>
          <w:sz w:val="20"/>
        </w:rPr>
      </w:pPr>
      <w:r w:rsidRPr="00E447AD">
        <w:rPr>
          <w:rFonts w:ascii="Arial" w:hAnsi="Arial" w:cs="Arial"/>
          <w:sz w:val="20"/>
        </w:rPr>
        <w:t>For those facilities that did not submit a 2018 annual facility survey, the most recent prior year submission was used.</w:t>
      </w:r>
    </w:p>
    <w:p w:rsidR="00E92D46" w:rsidRDefault="00E92D46" w:rsidP="00E447AD">
      <w:pPr>
        <w:pStyle w:val="NoSpacing"/>
        <w:rPr>
          <w:rFonts w:ascii="Arial" w:hAnsi="Arial" w:cs="Arial"/>
          <w:sz w:val="20"/>
        </w:rPr>
      </w:pPr>
    </w:p>
    <w:p w:rsidR="00FC5AAA" w:rsidRDefault="00FC5AAA" w:rsidP="00E447AD">
      <w:pPr>
        <w:pStyle w:val="NoSpacing"/>
        <w:rPr>
          <w:rFonts w:ascii="Arial" w:hAnsi="Arial" w:cs="Arial"/>
          <w:sz w:val="20"/>
        </w:rPr>
      </w:pPr>
    </w:p>
    <w:p w:rsidR="00FC5AAA" w:rsidRDefault="00FC5AAA" w:rsidP="00E447AD">
      <w:pPr>
        <w:pStyle w:val="NoSpacing"/>
        <w:rPr>
          <w:rFonts w:ascii="Arial" w:hAnsi="Arial" w:cs="Arial"/>
          <w:sz w:val="20"/>
        </w:rPr>
      </w:pPr>
    </w:p>
    <w:p w:rsidR="00925B33" w:rsidRDefault="00925B33" w:rsidP="00E447AD">
      <w:pPr>
        <w:pStyle w:val="NoSpacing"/>
        <w:rPr>
          <w:rFonts w:ascii="Arial" w:hAnsi="Arial" w:cs="Arial"/>
          <w:sz w:val="20"/>
        </w:rPr>
      </w:pPr>
    </w:p>
    <w:p w:rsidR="00FC5AAA" w:rsidRDefault="00FC5AAA" w:rsidP="00E447AD">
      <w:pPr>
        <w:pStyle w:val="NoSpacing"/>
        <w:rPr>
          <w:rFonts w:ascii="Arial" w:hAnsi="Arial" w:cs="Arial"/>
          <w:sz w:val="20"/>
        </w:rPr>
      </w:pPr>
    </w:p>
    <w:p w:rsidR="00AC592C" w:rsidRDefault="00AC592C" w:rsidP="00E447AD">
      <w:pPr>
        <w:pStyle w:val="NoSpacing"/>
        <w:rPr>
          <w:rFonts w:ascii="Arial" w:hAnsi="Arial" w:cs="Arial"/>
          <w:sz w:val="20"/>
        </w:rPr>
      </w:pPr>
    </w:p>
    <w:p w:rsidR="00197A0E" w:rsidRDefault="00CD50CB" w:rsidP="00197A0E">
      <w:pPr>
        <w:pStyle w:val="NoSpacing"/>
        <w:jc w:val="center"/>
        <w:rPr>
          <w:rFonts w:ascii="Arial" w:hAnsi="Arial" w:cs="Arial"/>
          <w:b/>
          <w:sz w:val="28"/>
        </w:rPr>
      </w:pPr>
      <w:r>
        <w:rPr>
          <w:rFonts w:ascii="Arial" w:hAnsi="Arial" w:cs="Arial"/>
          <w:b/>
          <w:sz w:val="28"/>
        </w:rPr>
        <w:lastRenderedPageBreak/>
        <w:t>F</w:t>
      </w:r>
      <w:r w:rsidR="00197A0E" w:rsidRPr="00197A0E">
        <w:rPr>
          <w:rFonts w:ascii="Arial" w:hAnsi="Arial" w:cs="Arial"/>
          <w:b/>
          <w:sz w:val="28"/>
        </w:rPr>
        <w:t>igure 1: Volume of Blood Products Transfused</w:t>
      </w:r>
      <w:r w:rsidR="00C514B5">
        <w:rPr>
          <w:rFonts w:ascii="Arial" w:hAnsi="Arial" w:cs="Arial"/>
          <w:b/>
          <w:sz w:val="28"/>
        </w:rPr>
        <w:t xml:space="preserve"> in</w:t>
      </w:r>
      <w:r w:rsidR="00197A0E" w:rsidRPr="00197A0E">
        <w:rPr>
          <w:rFonts w:ascii="Arial" w:hAnsi="Arial" w:cs="Arial"/>
          <w:b/>
          <w:sz w:val="28"/>
        </w:rPr>
        <w:t xml:space="preserve"> Massachusetts, 2016-2018</w:t>
      </w:r>
    </w:p>
    <w:p w:rsidR="00C97906" w:rsidRPr="00CD50CB" w:rsidRDefault="00C97906" w:rsidP="00197A0E">
      <w:pPr>
        <w:pStyle w:val="NoSpacing"/>
        <w:jc w:val="center"/>
        <w:rPr>
          <w:rFonts w:ascii="Arial" w:hAnsi="Arial" w:cs="Arial"/>
          <w:b/>
          <w:sz w:val="20"/>
        </w:rPr>
      </w:pPr>
    </w:p>
    <w:p w:rsidR="00197A0E" w:rsidRDefault="00696369" w:rsidP="00C97906">
      <w:pPr>
        <w:pStyle w:val="NoSpacing"/>
        <w:jc w:val="center"/>
        <w:rPr>
          <w:rFonts w:ascii="Arial" w:hAnsi="Arial" w:cs="Arial"/>
          <w:b/>
          <w:sz w:val="28"/>
        </w:rPr>
      </w:pPr>
      <w:r>
        <w:rPr>
          <w:rFonts w:ascii="Arial" w:hAnsi="Arial" w:cs="Arial"/>
          <w:b/>
          <w:noProof/>
          <w:sz w:val="28"/>
        </w:rPr>
        <w:drawing>
          <wp:inline distT="0" distB="0" distL="0" distR="0" wp14:anchorId="7CF19B90" wp14:editId="5BE9E217">
            <wp:extent cx="6347637" cy="43271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5995" cy="4332831"/>
                    </a:xfrm>
                    <a:prstGeom prst="rect">
                      <a:avLst/>
                    </a:prstGeom>
                    <a:noFill/>
                  </pic:spPr>
                </pic:pic>
              </a:graphicData>
            </a:graphic>
          </wp:inline>
        </w:drawing>
      </w:r>
    </w:p>
    <w:p w:rsidR="005529AE" w:rsidRDefault="00570D83" w:rsidP="00FE39B5">
      <w:pPr>
        <w:pStyle w:val="NoSpacing"/>
        <w:spacing w:before="120"/>
        <w:ind w:left="720" w:firstLine="720"/>
        <w:rPr>
          <w:rFonts w:ascii="Arial" w:hAnsi="Arial" w:cs="Arial"/>
          <w:sz w:val="20"/>
        </w:rPr>
      </w:pPr>
      <w:r>
        <w:rPr>
          <w:rFonts w:ascii="Arial" w:hAnsi="Arial" w:cs="Arial"/>
          <w:sz w:val="20"/>
        </w:rPr>
        <w:t xml:space="preserve"> </w:t>
      </w:r>
      <w:r w:rsidR="00197A0E">
        <w:rPr>
          <w:rFonts w:ascii="Arial" w:hAnsi="Arial" w:cs="Arial"/>
          <w:sz w:val="20"/>
        </w:rPr>
        <w:t>In 2016, 70 facilities reported NHSN Hemovigilance data. In 2017 and 2018, 69 facilities were reporting.</w:t>
      </w:r>
    </w:p>
    <w:p w:rsidR="00197A0E" w:rsidRDefault="00570D83" w:rsidP="00FE39B5">
      <w:pPr>
        <w:pStyle w:val="NoSpacing"/>
        <w:spacing w:before="120"/>
        <w:ind w:left="720" w:firstLine="720"/>
        <w:rPr>
          <w:rFonts w:ascii="Arial" w:hAnsi="Arial" w:cs="Arial"/>
          <w:sz w:val="20"/>
        </w:rPr>
      </w:pPr>
      <w:r>
        <w:rPr>
          <w:rFonts w:ascii="Arial" w:hAnsi="Arial" w:cs="Arial"/>
          <w:sz w:val="20"/>
        </w:rPr>
        <w:t xml:space="preserve"> </w:t>
      </w:r>
      <w:r w:rsidR="00197A0E">
        <w:rPr>
          <w:rFonts w:ascii="Arial" w:hAnsi="Arial" w:cs="Arial"/>
          <w:sz w:val="20"/>
        </w:rPr>
        <w:t>Whole blood refers to only autologous whole blood products.</w:t>
      </w:r>
    </w:p>
    <w:p w:rsidR="00197A0E" w:rsidRDefault="00197A0E" w:rsidP="00197A0E">
      <w:pPr>
        <w:pStyle w:val="NoSpacing"/>
        <w:jc w:val="center"/>
        <w:rPr>
          <w:rFonts w:ascii="Arial" w:hAnsi="Arial" w:cs="Arial"/>
          <w:sz w:val="20"/>
        </w:rPr>
      </w:pPr>
    </w:p>
    <w:p w:rsidR="00197A0E" w:rsidRDefault="00197A0E" w:rsidP="00197A0E">
      <w:pPr>
        <w:pStyle w:val="NoSpacing"/>
        <w:jc w:val="center"/>
        <w:rPr>
          <w:rFonts w:ascii="Arial" w:hAnsi="Arial" w:cs="Arial"/>
          <w:sz w:val="20"/>
        </w:rPr>
      </w:pPr>
    </w:p>
    <w:p w:rsidR="00CD50CB" w:rsidRDefault="00CD50CB" w:rsidP="00197A0E">
      <w:pPr>
        <w:pStyle w:val="NoSpacing"/>
        <w:jc w:val="center"/>
        <w:rPr>
          <w:rFonts w:ascii="Arial" w:hAnsi="Arial" w:cs="Arial"/>
          <w:sz w:val="20"/>
        </w:rPr>
      </w:pPr>
    </w:p>
    <w:p w:rsidR="00CD50CB" w:rsidRDefault="00CD50CB" w:rsidP="00197A0E">
      <w:pPr>
        <w:pStyle w:val="NoSpacing"/>
        <w:jc w:val="center"/>
        <w:rPr>
          <w:rFonts w:ascii="Arial" w:hAnsi="Arial" w:cs="Arial"/>
          <w:sz w:val="20"/>
        </w:rPr>
      </w:pPr>
    </w:p>
    <w:p w:rsidR="00197A0E" w:rsidRDefault="00197A0E" w:rsidP="008A0319">
      <w:pPr>
        <w:pStyle w:val="NoSpacing"/>
        <w:rPr>
          <w:rFonts w:ascii="Arial" w:hAnsi="Arial" w:cs="Arial"/>
          <w:b/>
          <w:sz w:val="20"/>
        </w:rPr>
      </w:pPr>
      <w:r w:rsidRPr="00197A0E">
        <w:rPr>
          <w:rFonts w:ascii="Arial" w:hAnsi="Arial" w:cs="Arial"/>
          <w:b/>
          <w:sz w:val="28"/>
        </w:rPr>
        <w:lastRenderedPageBreak/>
        <w:t>Table 2: Transfusion Volume by Bed Size Group, Product Type, and Year, 2016-2018</w:t>
      </w:r>
    </w:p>
    <w:p w:rsidR="00D15CB5" w:rsidRDefault="00CD50CB" w:rsidP="00FE39B5">
      <w:pPr>
        <w:pStyle w:val="NoSpacing"/>
        <w:spacing w:before="80"/>
        <w:ind w:firstLine="270"/>
        <w:rPr>
          <w:rFonts w:ascii="Arial" w:hAnsi="Arial" w:cs="Arial"/>
          <w:sz w:val="20"/>
        </w:rPr>
      </w:pPr>
      <w:r w:rsidRPr="00CD50CB">
        <w:rPr>
          <w:noProof/>
        </w:rPr>
        <w:drawing>
          <wp:inline distT="0" distB="0" distL="0" distR="0">
            <wp:extent cx="7893612" cy="4933507"/>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17021" cy="4948137"/>
                    </a:xfrm>
                    <a:prstGeom prst="rect">
                      <a:avLst/>
                    </a:prstGeom>
                    <a:noFill/>
                    <a:ln>
                      <a:noFill/>
                    </a:ln>
                  </pic:spPr>
                </pic:pic>
              </a:graphicData>
            </a:graphic>
          </wp:inline>
        </w:drawing>
      </w:r>
    </w:p>
    <w:p w:rsidR="00361A23" w:rsidRDefault="008B7C03" w:rsidP="00FE39B5">
      <w:pPr>
        <w:pStyle w:val="NoSpacing"/>
        <w:spacing w:before="80"/>
        <w:ind w:firstLine="270"/>
        <w:rPr>
          <w:rFonts w:ascii="Arial" w:hAnsi="Arial" w:cs="Arial"/>
          <w:sz w:val="20"/>
        </w:rPr>
      </w:pPr>
      <w:r>
        <w:rPr>
          <w:rFonts w:ascii="Arial" w:hAnsi="Arial" w:cs="Arial"/>
          <w:sz w:val="20"/>
        </w:rPr>
        <w:t>* In 2016, 17</w:t>
      </w:r>
      <w:r w:rsidR="00197A0E">
        <w:rPr>
          <w:rFonts w:ascii="Arial" w:hAnsi="Arial" w:cs="Arial"/>
          <w:sz w:val="20"/>
        </w:rPr>
        <w:t xml:space="preserve"> facili</w:t>
      </w:r>
      <w:r>
        <w:rPr>
          <w:rFonts w:ascii="Arial" w:hAnsi="Arial" w:cs="Arial"/>
          <w:sz w:val="20"/>
        </w:rPr>
        <w:t>ties were in Bed Size Group 1, 3</w:t>
      </w:r>
      <w:r w:rsidR="00197A0E">
        <w:rPr>
          <w:rFonts w:ascii="Arial" w:hAnsi="Arial" w:cs="Arial"/>
          <w:sz w:val="20"/>
        </w:rPr>
        <w:t>8 in Bed Size Group 2, and 15 in Bed Size Group 3.</w:t>
      </w:r>
    </w:p>
    <w:p w:rsidR="00361A23" w:rsidRDefault="00CD5C49" w:rsidP="00FE39B5">
      <w:pPr>
        <w:pStyle w:val="NoSpacing"/>
        <w:spacing w:before="80"/>
        <w:ind w:firstLine="270"/>
        <w:rPr>
          <w:rFonts w:ascii="Arial" w:hAnsi="Arial" w:cs="Arial"/>
          <w:sz w:val="20"/>
        </w:rPr>
      </w:pPr>
      <w:r>
        <w:rPr>
          <w:rFonts w:ascii="Arial" w:hAnsi="Arial" w:cs="Arial"/>
          <w:sz w:val="20"/>
        </w:rPr>
        <w:t>**</w:t>
      </w:r>
      <w:r w:rsidR="00D302FD">
        <w:rPr>
          <w:rFonts w:ascii="Arial" w:hAnsi="Arial" w:cs="Arial"/>
          <w:sz w:val="20"/>
        </w:rPr>
        <w:t xml:space="preserve"> </w:t>
      </w:r>
      <w:r w:rsidR="00197A0E">
        <w:rPr>
          <w:rFonts w:ascii="Arial" w:hAnsi="Arial" w:cs="Arial"/>
          <w:sz w:val="20"/>
        </w:rPr>
        <w:t>In 2017, 1</w:t>
      </w:r>
      <w:r w:rsidR="008B7C03">
        <w:rPr>
          <w:rFonts w:ascii="Arial" w:hAnsi="Arial" w:cs="Arial"/>
          <w:sz w:val="20"/>
        </w:rPr>
        <w:t>7</w:t>
      </w:r>
      <w:r w:rsidR="00197A0E">
        <w:rPr>
          <w:rFonts w:ascii="Arial" w:hAnsi="Arial" w:cs="Arial"/>
          <w:sz w:val="20"/>
        </w:rPr>
        <w:t xml:space="preserve"> facilities were in Bed Size Group 1, 38 in Bed Size Group 2, and 14 in Bed Size Group 3.</w:t>
      </w:r>
    </w:p>
    <w:p w:rsidR="00361A23" w:rsidRDefault="00CD5C49" w:rsidP="00FE39B5">
      <w:pPr>
        <w:pStyle w:val="NoSpacing"/>
        <w:spacing w:before="80"/>
        <w:ind w:firstLine="270"/>
        <w:rPr>
          <w:rFonts w:ascii="Arial" w:hAnsi="Arial" w:cs="Arial"/>
          <w:sz w:val="20"/>
        </w:rPr>
      </w:pPr>
      <w:r>
        <w:rPr>
          <w:rFonts w:ascii="Arial" w:hAnsi="Arial" w:cs="Arial"/>
          <w:sz w:val="20"/>
        </w:rPr>
        <w:t>***</w:t>
      </w:r>
      <w:r w:rsidR="00D302FD">
        <w:rPr>
          <w:rFonts w:ascii="Arial" w:hAnsi="Arial" w:cs="Arial"/>
          <w:sz w:val="20"/>
        </w:rPr>
        <w:t xml:space="preserve"> </w:t>
      </w:r>
      <w:r w:rsidR="00197A0E">
        <w:rPr>
          <w:rFonts w:ascii="Arial" w:hAnsi="Arial" w:cs="Arial"/>
          <w:sz w:val="20"/>
        </w:rPr>
        <w:t>In 2018, 17 facilities were in Bed Size Group 1, 37 in Bed Size Group 2, and 15 in Bed Size Group 3.</w:t>
      </w:r>
    </w:p>
    <w:p w:rsidR="00361A23" w:rsidRDefault="00197A0E" w:rsidP="00FE39B5">
      <w:pPr>
        <w:pStyle w:val="NoSpacing"/>
        <w:spacing w:before="80"/>
        <w:ind w:firstLine="270"/>
        <w:rPr>
          <w:rFonts w:ascii="Arial" w:hAnsi="Arial" w:cs="Arial"/>
          <w:sz w:val="20"/>
        </w:rPr>
      </w:pPr>
      <w:r>
        <w:rPr>
          <w:rFonts w:ascii="Arial" w:hAnsi="Arial" w:cs="Arial"/>
          <w:sz w:val="20"/>
        </w:rPr>
        <w:lastRenderedPageBreak/>
        <w:t>Whole blood refers to only autologous whole blood products.</w:t>
      </w:r>
    </w:p>
    <w:p w:rsidR="00E07D33" w:rsidRDefault="00197A0E" w:rsidP="00FE39B5">
      <w:pPr>
        <w:pStyle w:val="NoSpacing"/>
        <w:spacing w:before="80"/>
        <w:ind w:firstLine="270"/>
        <w:rPr>
          <w:rFonts w:ascii="Arial" w:hAnsi="Arial" w:cs="Arial"/>
          <w:sz w:val="20"/>
        </w:rPr>
      </w:pPr>
      <w:r>
        <w:rPr>
          <w:rFonts w:ascii="Arial" w:hAnsi="Arial" w:cs="Arial"/>
          <w:sz w:val="20"/>
        </w:rPr>
        <w:t xml:space="preserve">Bed Size Group categorization was assigned based </w:t>
      </w:r>
      <w:r w:rsidR="00D302FD">
        <w:rPr>
          <w:rFonts w:ascii="Arial" w:hAnsi="Arial" w:cs="Arial"/>
          <w:sz w:val="20"/>
        </w:rPr>
        <w:t xml:space="preserve">on </w:t>
      </w:r>
      <w:r>
        <w:rPr>
          <w:rFonts w:ascii="Arial" w:hAnsi="Arial" w:cs="Arial"/>
          <w:sz w:val="20"/>
        </w:rPr>
        <w:t xml:space="preserve">the corresponding year’s annual facility survey. </w:t>
      </w:r>
    </w:p>
    <w:p w:rsidR="009C2742" w:rsidRDefault="009C2742" w:rsidP="009C2742">
      <w:pPr>
        <w:pStyle w:val="NoSpacing"/>
        <w:jc w:val="center"/>
        <w:rPr>
          <w:rFonts w:ascii="Arial" w:hAnsi="Arial" w:cs="Arial"/>
          <w:b/>
          <w:sz w:val="28"/>
          <w:szCs w:val="28"/>
        </w:rPr>
      </w:pPr>
      <w:r w:rsidRPr="009C2742">
        <w:rPr>
          <w:rFonts w:ascii="Arial" w:hAnsi="Arial" w:cs="Arial"/>
          <w:b/>
          <w:sz w:val="28"/>
          <w:szCs w:val="28"/>
        </w:rPr>
        <w:t>Figure 2: Volume of Blood Products Discarded</w:t>
      </w:r>
      <w:r w:rsidR="00D302FD">
        <w:rPr>
          <w:rFonts w:ascii="Arial" w:hAnsi="Arial" w:cs="Arial"/>
          <w:b/>
          <w:sz w:val="28"/>
          <w:szCs w:val="28"/>
        </w:rPr>
        <w:t xml:space="preserve"> in</w:t>
      </w:r>
      <w:r w:rsidRPr="009C2742">
        <w:rPr>
          <w:rFonts w:ascii="Arial" w:hAnsi="Arial" w:cs="Arial"/>
          <w:b/>
          <w:sz w:val="28"/>
          <w:szCs w:val="28"/>
        </w:rPr>
        <w:t xml:space="preserve"> Massachusetts, 2016-2018</w:t>
      </w:r>
    </w:p>
    <w:p w:rsidR="00AE67A4" w:rsidRPr="00CD50CB" w:rsidRDefault="00AE67A4" w:rsidP="009C2742">
      <w:pPr>
        <w:pStyle w:val="NoSpacing"/>
        <w:jc w:val="center"/>
        <w:rPr>
          <w:rFonts w:ascii="Arial" w:hAnsi="Arial" w:cs="Arial"/>
          <w:b/>
          <w:sz w:val="20"/>
          <w:szCs w:val="28"/>
        </w:rPr>
      </w:pPr>
    </w:p>
    <w:p w:rsidR="009C2742" w:rsidRDefault="00570D83" w:rsidP="005529AE">
      <w:pPr>
        <w:pStyle w:val="NoSpacing"/>
        <w:jc w:val="center"/>
        <w:rPr>
          <w:rFonts w:ascii="Arial" w:hAnsi="Arial" w:cs="Arial"/>
          <w:sz w:val="20"/>
        </w:rPr>
      </w:pPr>
      <w:r>
        <w:rPr>
          <w:rFonts w:ascii="Arial" w:hAnsi="Arial" w:cs="Arial"/>
          <w:noProof/>
          <w:sz w:val="20"/>
        </w:rPr>
        <w:drawing>
          <wp:inline distT="0" distB="0" distL="0" distR="0" wp14:anchorId="1E94D060">
            <wp:extent cx="7219950" cy="4210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20552" cy="4211036"/>
                    </a:xfrm>
                    <a:prstGeom prst="rect">
                      <a:avLst/>
                    </a:prstGeom>
                    <a:noFill/>
                  </pic:spPr>
                </pic:pic>
              </a:graphicData>
            </a:graphic>
          </wp:inline>
        </w:drawing>
      </w:r>
    </w:p>
    <w:p w:rsidR="00AE67A4" w:rsidRDefault="00570D83" w:rsidP="00FE39B5">
      <w:pPr>
        <w:pStyle w:val="NoSpacing"/>
        <w:spacing w:before="120"/>
        <w:rPr>
          <w:rFonts w:ascii="Arial" w:hAnsi="Arial" w:cs="Arial"/>
          <w:sz w:val="20"/>
        </w:rPr>
      </w:pPr>
      <w:r>
        <w:rPr>
          <w:rFonts w:ascii="Arial" w:hAnsi="Arial" w:cs="Arial"/>
          <w:sz w:val="20"/>
        </w:rPr>
        <w:t xml:space="preserve">         </w:t>
      </w:r>
      <w:r>
        <w:rPr>
          <w:rFonts w:ascii="Arial" w:hAnsi="Arial" w:cs="Arial"/>
          <w:sz w:val="20"/>
        </w:rPr>
        <w:tab/>
        <w:t xml:space="preserve"> </w:t>
      </w:r>
      <w:r w:rsidR="00AE67A4">
        <w:rPr>
          <w:rFonts w:ascii="Arial" w:hAnsi="Arial" w:cs="Arial"/>
          <w:sz w:val="20"/>
        </w:rPr>
        <w:t>In 2016, 70 facilities reported NHSN Hemovigilance data. In 2017 and 2018, 69 facilities were reporting.</w:t>
      </w:r>
    </w:p>
    <w:p w:rsidR="00AE67A4" w:rsidRDefault="00AC592C" w:rsidP="00FE39B5">
      <w:pPr>
        <w:pStyle w:val="NoSpacing"/>
        <w:spacing w:before="120"/>
        <w:rPr>
          <w:rFonts w:ascii="Arial" w:hAnsi="Arial" w:cs="Arial"/>
          <w:sz w:val="20"/>
        </w:rPr>
      </w:pPr>
      <w:r>
        <w:rPr>
          <w:rFonts w:ascii="Arial" w:hAnsi="Arial" w:cs="Arial"/>
          <w:sz w:val="20"/>
        </w:rPr>
        <w:t xml:space="preserve">              </w:t>
      </w:r>
      <w:r w:rsidR="00AE67A4">
        <w:rPr>
          <w:rFonts w:ascii="Arial" w:hAnsi="Arial" w:cs="Arial"/>
          <w:sz w:val="20"/>
        </w:rPr>
        <w:t>Whole blood refers to only autologous whole blood products.</w:t>
      </w:r>
    </w:p>
    <w:p w:rsidR="00AE67A4" w:rsidRDefault="00AE67A4" w:rsidP="009C2742">
      <w:pPr>
        <w:pStyle w:val="NoSpacing"/>
        <w:jc w:val="center"/>
        <w:rPr>
          <w:rFonts w:ascii="Arial" w:hAnsi="Arial" w:cs="Arial"/>
          <w:sz w:val="20"/>
        </w:rPr>
      </w:pPr>
    </w:p>
    <w:p w:rsidR="004631E8" w:rsidRDefault="004631E8" w:rsidP="009C2742">
      <w:pPr>
        <w:pStyle w:val="NoSpacing"/>
        <w:jc w:val="center"/>
        <w:rPr>
          <w:rFonts w:ascii="Arial" w:hAnsi="Arial" w:cs="Arial"/>
          <w:sz w:val="20"/>
        </w:rPr>
      </w:pPr>
    </w:p>
    <w:p w:rsidR="004631E8" w:rsidRDefault="004631E8" w:rsidP="009C2742">
      <w:pPr>
        <w:pStyle w:val="NoSpacing"/>
        <w:jc w:val="center"/>
        <w:rPr>
          <w:rFonts w:ascii="Arial" w:hAnsi="Arial" w:cs="Arial"/>
          <w:sz w:val="20"/>
        </w:rPr>
      </w:pPr>
    </w:p>
    <w:p w:rsidR="004631E8" w:rsidRDefault="004631E8" w:rsidP="000E3923">
      <w:pPr>
        <w:pStyle w:val="NoSpacing"/>
        <w:jc w:val="center"/>
        <w:rPr>
          <w:rFonts w:ascii="Arial" w:hAnsi="Arial" w:cs="Arial"/>
          <w:b/>
          <w:sz w:val="28"/>
        </w:rPr>
      </w:pPr>
      <w:r w:rsidRPr="004631E8">
        <w:rPr>
          <w:rFonts w:ascii="Arial" w:hAnsi="Arial" w:cs="Arial"/>
          <w:b/>
          <w:sz w:val="28"/>
        </w:rPr>
        <w:lastRenderedPageBreak/>
        <w:t>Table 3: Number and Ratio of Discarded Products</w:t>
      </w:r>
    </w:p>
    <w:p w:rsidR="004631E8" w:rsidRDefault="004631E8" w:rsidP="00D302FD">
      <w:pPr>
        <w:pStyle w:val="NoSpacing"/>
        <w:jc w:val="center"/>
        <w:rPr>
          <w:rFonts w:ascii="Arial" w:hAnsi="Arial" w:cs="Arial"/>
          <w:b/>
          <w:sz w:val="20"/>
        </w:rPr>
      </w:pPr>
      <w:r w:rsidRPr="004631E8">
        <w:rPr>
          <w:rFonts w:ascii="Arial" w:hAnsi="Arial" w:cs="Arial"/>
          <w:b/>
          <w:sz w:val="28"/>
        </w:rPr>
        <w:t xml:space="preserve"> by Type and Bed Size Group Massachusetts, 2018</w:t>
      </w:r>
      <w:r w:rsidR="00F21359">
        <w:rPr>
          <w:rFonts w:ascii="Arial" w:hAnsi="Arial" w:cs="Arial"/>
          <w:b/>
          <w:sz w:val="28"/>
        </w:rPr>
        <w:t xml:space="preserve"> (N=69 facilities)</w:t>
      </w:r>
    </w:p>
    <w:p w:rsidR="00D15CB5" w:rsidRDefault="00D15CB5" w:rsidP="00D15CB5">
      <w:pPr>
        <w:pStyle w:val="NoSpacing"/>
        <w:spacing w:before="120"/>
        <w:ind w:left="1440" w:firstLine="720"/>
        <w:rPr>
          <w:rFonts w:ascii="Arial" w:hAnsi="Arial" w:cs="Arial"/>
          <w:sz w:val="20"/>
        </w:rPr>
      </w:pPr>
      <w:r w:rsidRPr="00D15CB5">
        <w:rPr>
          <w:noProof/>
        </w:rPr>
        <w:drawing>
          <wp:inline distT="0" distB="0" distL="0" distR="0">
            <wp:extent cx="4995824" cy="4933507"/>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07526" cy="4945063"/>
                    </a:xfrm>
                    <a:prstGeom prst="rect">
                      <a:avLst/>
                    </a:prstGeom>
                    <a:noFill/>
                    <a:ln>
                      <a:noFill/>
                    </a:ln>
                  </pic:spPr>
                </pic:pic>
              </a:graphicData>
            </a:graphic>
          </wp:inline>
        </w:drawing>
      </w:r>
    </w:p>
    <w:p w:rsidR="004631E8" w:rsidRDefault="004631E8" w:rsidP="00FE39B5">
      <w:pPr>
        <w:pStyle w:val="NoSpacing"/>
        <w:spacing w:before="120"/>
        <w:ind w:left="1440" w:firstLine="720"/>
        <w:rPr>
          <w:rFonts w:ascii="Arial" w:hAnsi="Arial" w:cs="Arial"/>
          <w:sz w:val="20"/>
        </w:rPr>
      </w:pPr>
      <w:r>
        <w:rPr>
          <w:rFonts w:ascii="Arial" w:hAnsi="Arial" w:cs="Arial"/>
          <w:sz w:val="20"/>
        </w:rPr>
        <w:t xml:space="preserve">* </w:t>
      </w:r>
      <w:r w:rsidR="00E27471">
        <w:rPr>
          <w:rFonts w:ascii="Arial" w:hAnsi="Arial" w:cs="Arial"/>
          <w:sz w:val="20"/>
        </w:rPr>
        <w:t>D</w:t>
      </w:r>
      <w:r>
        <w:rPr>
          <w:rFonts w:ascii="Arial" w:hAnsi="Arial" w:cs="Arial"/>
          <w:sz w:val="20"/>
        </w:rPr>
        <w:t xml:space="preserve">iscard ratio </w:t>
      </w:r>
      <w:r w:rsidR="00E27471">
        <w:rPr>
          <w:rFonts w:ascii="Arial" w:hAnsi="Arial" w:cs="Arial"/>
          <w:sz w:val="20"/>
        </w:rPr>
        <w:t>=</w:t>
      </w:r>
      <w:r>
        <w:rPr>
          <w:rFonts w:ascii="Arial" w:hAnsi="Arial" w:cs="Arial"/>
          <w:sz w:val="20"/>
        </w:rPr>
        <w:t xml:space="preserve"> the number of </w:t>
      </w:r>
      <w:r w:rsidR="00B844D8">
        <w:rPr>
          <w:rFonts w:ascii="Arial" w:hAnsi="Arial" w:cs="Arial"/>
          <w:sz w:val="20"/>
        </w:rPr>
        <w:t xml:space="preserve">products </w:t>
      </w:r>
      <w:r>
        <w:rPr>
          <w:rFonts w:ascii="Arial" w:hAnsi="Arial" w:cs="Arial"/>
          <w:sz w:val="20"/>
        </w:rPr>
        <w:t>discarded for every 100 products transfused.</w:t>
      </w:r>
    </w:p>
    <w:p w:rsidR="004631E8" w:rsidRDefault="004631E8" w:rsidP="00FE39B5">
      <w:pPr>
        <w:pStyle w:val="NoSpacing"/>
        <w:spacing w:before="120"/>
        <w:ind w:left="1440" w:firstLine="720"/>
        <w:rPr>
          <w:rFonts w:ascii="Arial" w:hAnsi="Arial" w:cs="Arial"/>
          <w:sz w:val="20"/>
        </w:rPr>
      </w:pPr>
      <w:r>
        <w:rPr>
          <w:rFonts w:ascii="Arial" w:hAnsi="Arial" w:cs="Arial"/>
          <w:sz w:val="20"/>
        </w:rPr>
        <w:t>Whole blood refers to only autologous whole blood products.</w:t>
      </w:r>
    </w:p>
    <w:p w:rsidR="00D15CB5" w:rsidRDefault="00D15CB5" w:rsidP="00FE39B5">
      <w:pPr>
        <w:pStyle w:val="NoSpacing"/>
        <w:spacing w:before="120"/>
        <w:ind w:left="1440" w:firstLine="720"/>
        <w:rPr>
          <w:rFonts w:ascii="Arial" w:hAnsi="Arial" w:cs="Arial"/>
          <w:sz w:val="20"/>
        </w:rPr>
      </w:pPr>
    </w:p>
    <w:p w:rsidR="00AC592C" w:rsidRDefault="00AC592C" w:rsidP="00AA259D">
      <w:pPr>
        <w:pStyle w:val="NoSpacing"/>
        <w:ind w:left="1440" w:firstLine="720"/>
        <w:rPr>
          <w:rFonts w:ascii="Arial" w:hAnsi="Arial" w:cs="Arial"/>
          <w:sz w:val="20"/>
        </w:rPr>
      </w:pPr>
    </w:p>
    <w:p w:rsidR="00AF248D" w:rsidRPr="00AF248D" w:rsidRDefault="00AF248D" w:rsidP="004631E8">
      <w:pPr>
        <w:pStyle w:val="NoSpacing"/>
        <w:jc w:val="center"/>
        <w:rPr>
          <w:rFonts w:ascii="Arial" w:hAnsi="Arial" w:cs="Arial"/>
          <w:b/>
          <w:sz w:val="28"/>
          <w:szCs w:val="28"/>
        </w:rPr>
      </w:pPr>
      <w:r w:rsidRPr="00AF248D">
        <w:rPr>
          <w:rFonts w:ascii="Arial" w:hAnsi="Arial" w:cs="Arial"/>
          <w:b/>
          <w:sz w:val="28"/>
          <w:szCs w:val="28"/>
        </w:rPr>
        <w:t xml:space="preserve">Table 4: Number of Adverse Reactions </w:t>
      </w:r>
      <w:r w:rsidR="00995785">
        <w:rPr>
          <w:rFonts w:ascii="Arial" w:hAnsi="Arial" w:cs="Arial"/>
          <w:b/>
          <w:sz w:val="28"/>
          <w:szCs w:val="28"/>
        </w:rPr>
        <w:t xml:space="preserve">in </w:t>
      </w:r>
      <w:r w:rsidRPr="00AF248D">
        <w:rPr>
          <w:rFonts w:ascii="Arial" w:hAnsi="Arial" w:cs="Arial"/>
          <w:b/>
          <w:sz w:val="28"/>
          <w:szCs w:val="28"/>
        </w:rPr>
        <w:t>Massachusetts, 2017-2018</w:t>
      </w:r>
    </w:p>
    <w:p w:rsidR="00B75860" w:rsidRDefault="00B75860" w:rsidP="009C2742">
      <w:pPr>
        <w:pStyle w:val="NoSpacing"/>
        <w:jc w:val="center"/>
        <w:rPr>
          <w:rFonts w:ascii="Arial" w:hAnsi="Arial" w:cs="Arial"/>
          <w:sz w:val="20"/>
        </w:rPr>
      </w:pPr>
    </w:p>
    <w:p w:rsidR="00B75860" w:rsidRDefault="00D15CB5" w:rsidP="009C2742">
      <w:pPr>
        <w:pStyle w:val="NoSpacing"/>
        <w:jc w:val="center"/>
        <w:rPr>
          <w:rFonts w:ascii="Arial" w:hAnsi="Arial" w:cs="Arial"/>
          <w:sz w:val="20"/>
        </w:rPr>
      </w:pPr>
      <w:r w:rsidRPr="00D15CB5">
        <w:rPr>
          <w:noProof/>
        </w:rPr>
        <w:drawing>
          <wp:inline distT="0" distB="0" distL="0" distR="0">
            <wp:extent cx="5031008" cy="274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26976" cy="2741002"/>
                    </a:xfrm>
                    <a:prstGeom prst="rect">
                      <a:avLst/>
                    </a:prstGeom>
                    <a:noFill/>
                    <a:ln>
                      <a:noFill/>
                    </a:ln>
                  </pic:spPr>
                </pic:pic>
              </a:graphicData>
            </a:graphic>
          </wp:inline>
        </w:drawing>
      </w: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AA259D" w:rsidRDefault="00AA259D"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CD50CB" w:rsidRDefault="00CD50CB" w:rsidP="009C2742">
      <w:pPr>
        <w:pStyle w:val="NoSpacing"/>
        <w:jc w:val="center"/>
        <w:rPr>
          <w:rFonts w:ascii="Arial" w:hAnsi="Arial" w:cs="Arial"/>
          <w:sz w:val="20"/>
        </w:rPr>
      </w:pPr>
    </w:p>
    <w:p w:rsidR="00CD50CB" w:rsidRDefault="00CD50CB" w:rsidP="009C2742">
      <w:pPr>
        <w:pStyle w:val="NoSpacing"/>
        <w:jc w:val="center"/>
        <w:rPr>
          <w:rFonts w:ascii="Arial" w:hAnsi="Arial" w:cs="Arial"/>
          <w:sz w:val="20"/>
        </w:rPr>
      </w:pPr>
    </w:p>
    <w:p w:rsidR="00CD50CB" w:rsidRDefault="00CD50CB" w:rsidP="009C2742">
      <w:pPr>
        <w:pStyle w:val="NoSpacing"/>
        <w:jc w:val="center"/>
        <w:rPr>
          <w:rFonts w:ascii="Arial" w:hAnsi="Arial" w:cs="Arial"/>
          <w:sz w:val="20"/>
        </w:rPr>
      </w:pPr>
    </w:p>
    <w:p w:rsidR="00CD50CB" w:rsidRDefault="00CD50CB" w:rsidP="009C2742">
      <w:pPr>
        <w:pStyle w:val="NoSpacing"/>
        <w:jc w:val="center"/>
        <w:rPr>
          <w:rFonts w:ascii="Arial" w:hAnsi="Arial" w:cs="Arial"/>
          <w:sz w:val="20"/>
        </w:rPr>
      </w:pPr>
    </w:p>
    <w:p w:rsidR="00CD50CB" w:rsidRDefault="00CD50CB"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B75860" w:rsidRDefault="00B75860" w:rsidP="009C2742">
      <w:pPr>
        <w:pStyle w:val="NoSpacing"/>
        <w:jc w:val="center"/>
        <w:rPr>
          <w:rFonts w:ascii="Arial" w:hAnsi="Arial" w:cs="Arial"/>
          <w:sz w:val="20"/>
        </w:rPr>
      </w:pPr>
    </w:p>
    <w:p w:rsidR="00F21359" w:rsidRDefault="00F21359" w:rsidP="009C2742">
      <w:pPr>
        <w:pStyle w:val="NoSpacing"/>
        <w:jc w:val="center"/>
        <w:rPr>
          <w:rFonts w:ascii="Arial" w:hAnsi="Arial" w:cs="Arial"/>
          <w:b/>
          <w:sz w:val="28"/>
        </w:rPr>
      </w:pPr>
      <w:r w:rsidRPr="00F21359">
        <w:rPr>
          <w:rFonts w:ascii="Arial" w:hAnsi="Arial" w:cs="Arial"/>
          <w:b/>
          <w:sz w:val="28"/>
        </w:rPr>
        <w:t>Table 5: Number of Adverse Reactions</w:t>
      </w:r>
    </w:p>
    <w:p w:rsidR="00B75860" w:rsidRDefault="00F21359" w:rsidP="009C2742">
      <w:pPr>
        <w:pStyle w:val="NoSpacing"/>
        <w:jc w:val="center"/>
        <w:rPr>
          <w:rFonts w:ascii="Arial" w:hAnsi="Arial" w:cs="Arial"/>
          <w:b/>
          <w:sz w:val="28"/>
        </w:rPr>
      </w:pPr>
      <w:r w:rsidRPr="00F21359">
        <w:rPr>
          <w:rFonts w:ascii="Arial" w:hAnsi="Arial" w:cs="Arial"/>
          <w:b/>
          <w:sz w:val="28"/>
        </w:rPr>
        <w:t xml:space="preserve"> by Type, Age Group, and Gender </w:t>
      </w:r>
      <w:r w:rsidR="005F289A">
        <w:rPr>
          <w:rFonts w:ascii="Arial" w:hAnsi="Arial" w:cs="Arial"/>
          <w:b/>
          <w:sz w:val="28"/>
        </w:rPr>
        <w:t xml:space="preserve">in </w:t>
      </w:r>
      <w:r w:rsidRPr="00F21359">
        <w:rPr>
          <w:rFonts w:ascii="Arial" w:hAnsi="Arial" w:cs="Arial"/>
          <w:b/>
          <w:sz w:val="28"/>
        </w:rPr>
        <w:t>Massachusetts</w:t>
      </w:r>
      <w:r>
        <w:rPr>
          <w:rFonts w:ascii="Arial" w:hAnsi="Arial" w:cs="Arial"/>
          <w:b/>
          <w:sz w:val="28"/>
        </w:rPr>
        <w:t xml:space="preserve">, </w:t>
      </w:r>
      <w:r w:rsidRPr="00F21359">
        <w:rPr>
          <w:rFonts w:ascii="Arial" w:hAnsi="Arial" w:cs="Arial"/>
          <w:b/>
          <w:sz w:val="28"/>
        </w:rPr>
        <w:t>2018</w:t>
      </w:r>
    </w:p>
    <w:p w:rsidR="00F21359" w:rsidRPr="00CD50CB" w:rsidRDefault="00F21359" w:rsidP="009C2742">
      <w:pPr>
        <w:pStyle w:val="NoSpacing"/>
        <w:jc w:val="center"/>
        <w:rPr>
          <w:rFonts w:ascii="Arial" w:hAnsi="Arial" w:cs="Arial"/>
          <w:b/>
          <w:sz w:val="20"/>
        </w:rPr>
      </w:pPr>
    </w:p>
    <w:p w:rsidR="00F21359" w:rsidRDefault="000E3923" w:rsidP="00F21359">
      <w:pPr>
        <w:pStyle w:val="NoSpacing"/>
        <w:rPr>
          <w:rFonts w:ascii="Arial" w:hAnsi="Arial" w:cs="Arial"/>
          <w:b/>
          <w:sz w:val="28"/>
        </w:rPr>
      </w:pPr>
      <w:r w:rsidRPr="000E3923">
        <w:rPr>
          <w:noProof/>
        </w:rPr>
        <w:drawing>
          <wp:inline distT="0" distB="0" distL="0" distR="0" wp14:anchorId="1E7660B8" wp14:editId="3E6946EA">
            <wp:extent cx="8229600" cy="21844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2184400"/>
                    </a:xfrm>
                    <a:prstGeom prst="rect">
                      <a:avLst/>
                    </a:prstGeom>
                    <a:noFill/>
                    <a:ln>
                      <a:noFill/>
                    </a:ln>
                  </pic:spPr>
                </pic:pic>
              </a:graphicData>
            </a:graphic>
          </wp:inline>
        </w:drawing>
      </w:r>
    </w:p>
    <w:p w:rsidR="00F21359" w:rsidRDefault="00F21359" w:rsidP="00E7299C">
      <w:pPr>
        <w:pStyle w:val="NoSpacing"/>
        <w:spacing w:before="120"/>
        <w:rPr>
          <w:rFonts w:ascii="Arial" w:hAnsi="Arial" w:cs="Arial"/>
          <w:sz w:val="20"/>
        </w:rPr>
      </w:pPr>
      <w:r>
        <w:rPr>
          <w:rFonts w:ascii="Arial" w:hAnsi="Arial" w:cs="Arial"/>
          <w:sz w:val="20"/>
        </w:rPr>
        <w:t>Non-severe allergic reactions were excluded from analyses.</w:t>
      </w:r>
    </w:p>
    <w:p w:rsidR="00F21359" w:rsidRDefault="00F21359" w:rsidP="00E7299C">
      <w:pPr>
        <w:pStyle w:val="NoSpacing"/>
        <w:spacing w:before="120"/>
        <w:rPr>
          <w:rFonts w:ascii="Arial" w:hAnsi="Arial" w:cs="Arial"/>
          <w:sz w:val="20"/>
        </w:rPr>
      </w:pPr>
      <w:r>
        <w:rPr>
          <w:rFonts w:ascii="Arial" w:hAnsi="Arial" w:cs="Arial"/>
          <w:sz w:val="20"/>
        </w:rPr>
        <w:t>No TAGHVD or PTP infections were reported in 2018.</w:t>
      </w:r>
    </w:p>
    <w:p w:rsidR="00F21359" w:rsidRDefault="00F21359" w:rsidP="00E7299C">
      <w:pPr>
        <w:pStyle w:val="NoSpacing"/>
        <w:rPr>
          <w:rFonts w:ascii="Arial" w:hAnsi="Arial" w:cs="Arial"/>
          <w:sz w:val="20"/>
        </w:rPr>
      </w:pPr>
    </w:p>
    <w:p w:rsidR="00F21359" w:rsidRDefault="00F21359"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AC592C" w:rsidRDefault="00AC592C"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E7299C" w:rsidRDefault="00E7299C" w:rsidP="00F21359">
      <w:pPr>
        <w:pStyle w:val="NoSpacing"/>
        <w:jc w:val="center"/>
        <w:rPr>
          <w:rFonts w:ascii="Arial" w:hAnsi="Arial" w:cs="Arial"/>
          <w:sz w:val="20"/>
        </w:rPr>
      </w:pPr>
    </w:p>
    <w:p w:rsidR="00CD50CB" w:rsidRDefault="00CD50CB" w:rsidP="00F21359">
      <w:pPr>
        <w:pStyle w:val="NoSpacing"/>
        <w:jc w:val="center"/>
        <w:rPr>
          <w:rFonts w:ascii="Arial" w:hAnsi="Arial" w:cs="Arial"/>
          <w:sz w:val="20"/>
        </w:rPr>
      </w:pPr>
    </w:p>
    <w:p w:rsidR="00E7299C" w:rsidRDefault="00E7299C"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F21359" w:rsidRDefault="00F21359" w:rsidP="00F21359">
      <w:pPr>
        <w:pStyle w:val="NoSpacing"/>
        <w:jc w:val="center"/>
        <w:rPr>
          <w:rFonts w:ascii="Arial" w:hAnsi="Arial" w:cs="Arial"/>
          <w:sz w:val="20"/>
        </w:rPr>
      </w:pPr>
    </w:p>
    <w:p w:rsidR="005F289A" w:rsidRDefault="005F289A" w:rsidP="00F21359">
      <w:pPr>
        <w:pStyle w:val="NoSpacing"/>
        <w:jc w:val="center"/>
        <w:rPr>
          <w:rFonts w:ascii="Arial" w:hAnsi="Arial" w:cs="Arial"/>
          <w:sz w:val="20"/>
        </w:rPr>
      </w:pPr>
    </w:p>
    <w:p w:rsidR="00CD50CB" w:rsidRPr="00CD50CB" w:rsidRDefault="00F21359" w:rsidP="00CD50CB">
      <w:pPr>
        <w:pStyle w:val="NoSpacing"/>
        <w:jc w:val="center"/>
        <w:rPr>
          <w:rFonts w:ascii="Arial" w:hAnsi="Arial" w:cs="Arial"/>
          <w:b/>
          <w:sz w:val="20"/>
          <w:szCs w:val="28"/>
        </w:rPr>
      </w:pPr>
      <w:r w:rsidRPr="00B36169">
        <w:rPr>
          <w:rFonts w:ascii="Arial" w:hAnsi="Arial" w:cs="Arial"/>
          <w:b/>
          <w:sz w:val="28"/>
          <w:szCs w:val="28"/>
        </w:rPr>
        <w:t xml:space="preserve">Table 6: Summary of Transfusion-transmitted infections </w:t>
      </w:r>
      <w:r w:rsidR="00372BED">
        <w:rPr>
          <w:rFonts w:ascii="Arial" w:hAnsi="Arial" w:cs="Arial"/>
          <w:b/>
          <w:sz w:val="28"/>
          <w:szCs w:val="28"/>
        </w:rPr>
        <w:t xml:space="preserve">in </w:t>
      </w:r>
      <w:r w:rsidRPr="00B36169">
        <w:rPr>
          <w:rFonts w:ascii="Arial" w:hAnsi="Arial" w:cs="Arial"/>
          <w:b/>
          <w:sz w:val="28"/>
          <w:szCs w:val="28"/>
        </w:rPr>
        <w:t>Massachusetts, 2018</w:t>
      </w:r>
    </w:p>
    <w:tbl>
      <w:tblPr>
        <w:tblStyle w:val="TableGrid"/>
        <w:tblpPr w:leftFromText="180" w:rightFromText="180" w:vertAnchor="text" w:horzAnchor="margin" w:tblpXSpec="right" w:tblpY="224"/>
        <w:tblW w:w="0" w:type="auto"/>
        <w:tblLook w:val="04A0" w:firstRow="1" w:lastRow="0" w:firstColumn="1" w:lastColumn="0" w:noHBand="0" w:noVBand="1"/>
      </w:tblPr>
      <w:tblGrid>
        <w:gridCol w:w="990"/>
        <w:gridCol w:w="1241"/>
        <w:gridCol w:w="991"/>
        <w:gridCol w:w="890"/>
        <w:gridCol w:w="964"/>
        <w:gridCol w:w="1034"/>
        <w:gridCol w:w="936"/>
        <w:gridCol w:w="1208"/>
        <w:gridCol w:w="1176"/>
        <w:gridCol w:w="843"/>
        <w:gridCol w:w="917"/>
        <w:gridCol w:w="843"/>
        <w:gridCol w:w="917"/>
      </w:tblGrid>
      <w:tr w:rsidR="005F289A" w:rsidRPr="00E27471" w:rsidTr="000E3923">
        <w:tc>
          <w:tcPr>
            <w:tcW w:w="1006"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Adverse Reaction Date</w:t>
            </w:r>
          </w:p>
        </w:tc>
        <w:tc>
          <w:tcPr>
            <w:tcW w:w="1261"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Number of Days from Transfusion to Reaction</w:t>
            </w:r>
          </w:p>
        </w:tc>
        <w:tc>
          <w:tcPr>
            <w:tcW w:w="1007"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Age at Adverse Reaction</w:t>
            </w:r>
          </w:p>
        </w:tc>
        <w:tc>
          <w:tcPr>
            <w:tcW w:w="907"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Gender</w:t>
            </w:r>
          </w:p>
        </w:tc>
        <w:tc>
          <w:tcPr>
            <w:tcW w:w="980"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Infection</w:t>
            </w:r>
          </w:p>
        </w:tc>
        <w:tc>
          <w:tcPr>
            <w:tcW w:w="1050"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Case Definition</w:t>
            </w:r>
          </w:p>
        </w:tc>
        <w:tc>
          <w:tcPr>
            <w:tcW w:w="952"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Severity</w:t>
            </w:r>
          </w:p>
        </w:tc>
        <w:tc>
          <w:tcPr>
            <w:tcW w:w="1228"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Imputability</w:t>
            </w:r>
          </w:p>
        </w:tc>
        <w:tc>
          <w:tcPr>
            <w:tcW w:w="1195"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Associated Unit</w:t>
            </w:r>
          </w:p>
        </w:tc>
        <w:tc>
          <w:tcPr>
            <w:tcW w:w="861"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Unit Tested</w:t>
            </w:r>
          </w:p>
        </w:tc>
        <w:tc>
          <w:tcPr>
            <w:tcW w:w="934"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Unit Tested Positive</w:t>
            </w:r>
          </w:p>
        </w:tc>
        <w:tc>
          <w:tcPr>
            <w:tcW w:w="861"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Donor Tested</w:t>
            </w:r>
          </w:p>
        </w:tc>
        <w:tc>
          <w:tcPr>
            <w:tcW w:w="934" w:type="dxa"/>
            <w:shd w:val="clear" w:color="auto" w:fill="D6E3BC" w:themeFill="accent3" w:themeFillTint="66"/>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Donor Tested Positive</w:t>
            </w:r>
          </w:p>
        </w:tc>
      </w:tr>
      <w:tr w:rsidR="005F289A" w:rsidRPr="00E27471" w:rsidTr="000E3923">
        <w:trPr>
          <w:trHeight w:val="680"/>
        </w:trPr>
        <w:tc>
          <w:tcPr>
            <w:tcW w:w="1006"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3/2018</w:t>
            </w:r>
          </w:p>
        </w:tc>
        <w:tc>
          <w:tcPr>
            <w:tcW w:w="1261"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30</w:t>
            </w:r>
          </w:p>
        </w:tc>
        <w:tc>
          <w:tcPr>
            <w:tcW w:w="1007"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74</w:t>
            </w:r>
          </w:p>
        </w:tc>
        <w:tc>
          <w:tcPr>
            <w:tcW w:w="907"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Female</w:t>
            </w:r>
          </w:p>
        </w:tc>
        <w:tc>
          <w:tcPr>
            <w:tcW w:w="980" w:type="dxa"/>
            <w:shd w:val="clear" w:color="auto" w:fill="F2F2F2" w:themeFill="background1" w:themeFillShade="F2"/>
            <w:vAlign w:val="center"/>
          </w:tcPr>
          <w:p w:rsidR="005F289A" w:rsidRPr="000E3923" w:rsidRDefault="005F289A" w:rsidP="00FA5689">
            <w:pPr>
              <w:pStyle w:val="NoSpacing"/>
              <w:jc w:val="center"/>
              <w:rPr>
                <w:rFonts w:ascii="Arial" w:hAnsi="Arial" w:cs="Arial"/>
                <w:i/>
                <w:sz w:val="18"/>
              </w:rPr>
            </w:pPr>
            <w:r w:rsidRPr="000E3923">
              <w:rPr>
                <w:rFonts w:ascii="Arial" w:hAnsi="Arial" w:cs="Arial"/>
                <w:i/>
                <w:sz w:val="18"/>
              </w:rPr>
              <w:t>Babesia microti</w:t>
            </w:r>
          </w:p>
        </w:tc>
        <w:tc>
          <w:tcPr>
            <w:tcW w:w="1050"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Definitive</w:t>
            </w:r>
          </w:p>
        </w:tc>
        <w:tc>
          <w:tcPr>
            <w:tcW w:w="952"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Severe</w:t>
            </w:r>
          </w:p>
        </w:tc>
        <w:tc>
          <w:tcPr>
            <w:tcW w:w="1228"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Definite</w:t>
            </w:r>
          </w:p>
        </w:tc>
        <w:tc>
          <w:tcPr>
            <w:tcW w:w="1195"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Red Blood Cells</w:t>
            </w:r>
          </w:p>
        </w:tc>
        <w:tc>
          <w:tcPr>
            <w:tcW w:w="861"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N</w:t>
            </w:r>
          </w:p>
        </w:tc>
        <w:tc>
          <w:tcPr>
            <w:tcW w:w="934"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NA</w:t>
            </w:r>
          </w:p>
        </w:tc>
        <w:tc>
          <w:tcPr>
            <w:tcW w:w="861"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Y</w:t>
            </w:r>
          </w:p>
        </w:tc>
        <w:tc>
          <w:tcPr>
            <w:tcW w:w="934"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Y</w:t>
            </w:r>
          </w:p>
        </w:tc>
      </w:tr>
      <w:tr w:rsidR="005F289A" w:rsidRPr="00E27471" w:rsidTr="000E3923">
        <w:trPr>
          <w:trHeight w:val="662"/>
        </w:trPr>
        <w:tc>
          <w:tcPr>
            <w:tcW w:w="1006"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3/2018</w:t>
            </w:r>
          </w:p>
        </w:tc>
        <w:tc>
          <w:tcPr>
            <w:tcW w:w="1261"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29</w:t>
            </w:r>
          </w:p>
        </w:tc>
        <w:tc>
          <w:tcPr>
            <w:tcW w:w="1007"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72</w:t>
            </w:r>
          </w:p>
        </w:tc>
        <w:tc>
          <w:tcPr>
            <w:tcW w:w="907"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Male</w:t>
            </w:r>
          </w:p>
        </w:tc>
        <w:tc>
          <w:tcPr>
            <w:tcW w:w="980" w:type="dxa"/>
            <w:shd w:val="clear" w:color="auto" w:fill="F2F2F2" w:themeFill="background1" w:themeFillShade="F2"/>
            <w:vAlign w:val="center"/>
          </w:tcPr>
          <w:p w:rsidR="005F289A" w:rsidRPr="000E3923" w:rsidRDefault="005F289A" w:rsidP="00FA5689">
            <w:pPr>
              <w:pStyle w:val="NoSpacing"/>
              <w:jc w:val="center"/>
              <w:rPr>
                <w:rFonts w:ascii="Arial" w:hAnsi="Arial" w:cs="Arial"/>
                <w:i/>
                <w:sz w:val="18"/>
              </w:rPr>
            </w:pPr>
            <w:r w:rsidRPr="000E3923">
              <w:rPr>
                <w:rFonts w:ascii="Arial" w:hAnsi="Arial" w:cs="Arial"/>
                <w:i/>
                <w:sz w:val="18"/>
              </w:rPr>
              <w:t>Babesia microti</w:t>
            </w:r>
          </w:p>
        </w:tc>
        <w:tc>
          <w:tcPr>
            <w:tcW w:w="1050"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Definitive</w:t>
            </w:r>
          </w:p>
        </w:tc>
        <w:tc>
          <w:tcPr>
            <w:tcW w:w="952"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Severe</w:t>
            </w:r>
          </w:p>
        </w:tc>
        <w:tc>
          <w:tcPr>
            <w:tcW w:w="1228"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Possible</w:t>
            </w:r>
          </w:p>
        </w:tc>
        <w:tc>
          <w:tcPr>
            <w:tcW w:w="1195"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Red Blood Cells</w:t>
            </w:r>
          </w:p>
        </w:tc>
        <w:tc>
          <w:tcPr>
            <w:tcW w:w="861"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N</w:t>
            </w:r>
          </w:p>
        </w:tc>
        <w:tc>
          <w:tcPr>
            <w:tcW w:w="934"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NA</w:t>
            </w:r>
          </w:p>
        </w:tc>
        <w:tc>
          <w:tcPr>
            <w:tcW w:w="861"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Y</w:t>
            </w:r>
          </w:p>
        </w:tc>
        <w:tc>
          <w:tcPr>
            <w:tcW w:w="934" w:type="dxa"/>
            <w:shd w:val="clear" w:color="auto" w:fill="F2F2F2" w:themeFill="background1" w:themeFillShade="F2"/>
            <w:vAlign w:val="center"/>
          </w:tcPr>
          <w:p w:rsidR="005F289A" w:rsidRPr="000E3923" w:rsidRDefault="005F289A" w:rsidP="00FA5689">
            <w:pPr>
              <w:pStyle w:val="NoSpacing"/>
              <w:jc w:val="center"/>
              <w:rPr>
                <w:rFonts w:ascii="Arial" w:hAnsi="Arial" w:cs="Arial"/>
                <w:sz w:val="18"/>
              </w:rPr>
            </w:pPr>
            <w:r w:rsidRPr="000E3923">
              <w:rPr>
                <w:rFonts w:ascii="Arial" w:hAnsi="Arial" w:cs="Arial"/>
                <w:sz w:val="18"/>
              </w:rPr>
              <w:t>Y</w:t>
            </w:r>
          </w:p>
        </w:tc>
      </w:tr>
    </w:tbl>
    <w:p w:rsidR="00F21359" w:rsidRPr="00AA6AC0" w:rsidRDefault="00F21359" w:rsidP="00F21359">
      <w:pPr>
        <w:pStyle w:val="NoSpacing"/>
        <w:jc w:val="center"/>
        <w:rPr>
          <w:rFonts w:ascii="Arial" w:hAnsi="Arial" w:cs="Arial"/>
          <w:sz w:val="28"/>
        </w:rPr>
      </w:pPr>
    </w:p>
    <w:p w:rsidR="00B36169" w:rsidRDefault="00B36169" w:rsidP="00E7299C">
      <w:pPr>
        <w:pStyle w:val="NoSpacing"/>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894038" w:rsidRDefault="00894038"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5F289A" w:rsidRDefault="005F289A" w:rsidP="00F21359">
      <w:pPr>
        <w:pStyle w:val="NoSpacing"/>
        <w:jc w:val="center"/>
        <w:rPr>
          <w:rFonts w:ascii="Arial" w:hAnsi="Arial" w:cs="Arial"/>
          <w:sz w:val="20"/>
        </w:rPr>
      </w:pPr>
    </w:p>
    <w:p w:rsidR="005F289A" w:rsidRDefault="005F289A" w:rsidP="00F21359">
      <w:pPr>
        <w:pStyle w:val="NoSpacing"/>
        <w:jc w:val="center"/>
        <w:rPr>
          <w:rFonts w:ascii="Arial" w:hAnsi="Arial" w:cs="Arial"/>
          <w:sz w:val="20"/>
        </w:rPr>
      </w:pPr>
    </w:p>
    <w:p w:rsidR="005F289A" w:rsidRDefault="005F289A"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b/>
          <w:sz w:val="28"/>
        </w:rPr>
      </w:pPr>
      <w:r w:rsidRPr="00B36169">
        <w:rPr>
          <w:rFonts w:ascii="Arial" w:hAnsi="Arial" w:cs="Arial"/>
          <w:b/>
          <w:sz w:val="28"/>
        </w:rPr>
        <w:t xml:space="preserve">Figure 3: Rates of Adverse Reactions per 10,000 Transfused Products </w:t>
      </w:r>
    </w:p>
    <w:p w:rsidR="00B36169" w:rsidRDefault="00B36169" w:rsidP="00F21359">
      <w:pPr>
        <w:pStyle w:val="NoSpacing"/>
        <w:jc w:val="center"/>
        <w:rPr>
          <w:rFonts w:ascii="Arial" w:hAnsi="Arial" w:cs="Arial"/>
          <w:b/>
          <w:sz w:val="20"/>
        </w:rPr>
      </w:pPr>
      <w:r w:rsidRPr="00B36169">
        <w:rPr>
          <w:rFonts w:ascii="Arial" w:hAnsi="Arial" w:cs="Arial"/>
          <w:b/>
          <w:sz w:val="28"/>
        </w:rPr>
        <w:t>by Product Type</w:t>
      </w:r>
      <w:r w:rsidR="00372BED">
        <w:rPr>
          <w:rFonts w:ascii="Arial" w:hAnsi="Arial" w:cs="Arial"/>
          <w:b/>
          <w:sz w:val="28"/>
        </w:rPr>
        <w:t xml:space="preserve"> in</w:t>
      </w:r>
      <w:r w:rsidRPr="00B36169">
        <w:rPr>
          <w:rFonts w:ascii="Arial" w:hAnsi="Arial" w:cs="Arial"/>
          <w:b/>
          <w:sz w:val="28"/>
        </w:rPr>
        <w:t xml:space="preserve"> Massachusetts, 2017-2018</w:t>
      </w:r>
    </w:p>
    <w:p w:rsidR="00CD50CB" w:rsidRPr="00CD50CB" w:rsidRDefault="00CD50CB" w:rsidP="00F21359">
      <w:pPr>
        <w:pStyle w:val="NoSpacing"/>
        <w:jc w:val="center"/>
        <w:rPr>
          <w:rFonts w:ascii="Arial" w:hAnsi="Arial" w:cs="Arial"/>
          <w:b/>
          <w:sz w:val="20"/>
        </w:rPr>
      </w:pPr>
    </w:p>
    <w:p w:rsidR="00B36169" w:rsidRDefault="000E3923" w:rsidP="00AF458B">
      <w:pPr>
        <w:pStyle w:val="NoSpacing"/>
        <w:jc w:val="center"/>
        <w:rPr>
          <w:rFonts w:ascii="Arial" w:hAnsi="Arial" w:cs="Arial"/>
          <w:sz w:val="20"/>
        </w:rPr>
      </w:pPr>
      <w:r>
        <w:rPr>
          <w:rFonts w:ascii="Arial" w:hAnsi="Arial" w:cs="Arial"/>
          <w:noProof/>
          <w:sz w:val="20"/>
        </w:rPr>
        <w:drawing>
          <wp:inline distT="0" distB="0" distL="0" distR="0" wp14:anchorId="450A60FD">
            <wp:extent cx="6860060" cy="3524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70997" cy="3529869"/>
                    </a:xfrm>
                    <a:prstGeom prst="rect">
                      <a:avLst/>
                    </a:prstGeom>
                    <a:noFill/>
                  </pic:spPr>
                </pic:pic>
              </a:graphicData>
            </a:graphic>
          </wp:inline>
        </w:drawing>
      </w:r>
    </w:p>
    <w:p w:rsidR="00AF458B" w:rsidRDefault="00AC592C" w:rsidP="005F289A">
      <w:pPr>
        <w:pStyle w:val="NoSpacing"/>
        <w:spacing w:before="120"/>
        <w:ind w:left="720"/>
        <w:rPr>
          <w:rFonts w:ascii="Arial" w:hAnsi="Arial" w:cs="Arial"/>
          <w:sz w:val="20"/>
        </w:rPr>
      </w:pPr>
      <w:r>
        <w:rPr>
          <w:rFonts w:ascii="Arial" w:hAnsi="Arial" w:cs="Arial"/>
          <w:sz w:val="20"/>
        </w:rPr>
        <w:t xml:space="preserve">      </w:t>
      </w:r>
      <w:r w:rsidR="00AF458B">
        <w:rPr>
          <w:rFonts w:ascii="Arial" w:hAnsi="Arial" w:cs="Arial"/>
          <w:sz w:val="20"/>
        </w:rPr>
        <w:t xml:space="preserve"> In 2017 and 2018, 69 facilities reported NHSN Hemovigilance data.</w:t>
      </w:r>
    </w:p>
    <w:p w:rsidR="00AF458B" w:rsidRDefault="00AF458B" w:rsidP="00AF458B">
      <w:pPr>
        <w:pStyle w:val="NoSpacing"/>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AC592C" w:rsidRDefault="00AC592C"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sz w:val="20"/>
        </w:rPr>
      </w:pPr>
    </w:p>
    <w:p w:rsidR="00B36169" w:rsidRDefault="00B36169" w:rsidP="00F21359">
      <w:pPr>
        <w:pStyle w:val="NoSpacing"/>
        <w:jc w:val="center"/>
        <w:rPr>
          <w:rFonts w:ascii="Arial" w:hAnsi="Arial" w:cs="Arial"/>
          <w:b/>
          <w:sz w:val="28"/>
        </w:rPr>
      </w:pPr>
      <w:r w:rsidRPr="00B36169">
        <w:rPr>
          <w:rFonts w:ascii="Arial" w:hAnsi="Arial" w:cs="Arial"/>
          <w:b/>
          <w:sz w:val="28"/>
        </w:rPr>
        <w:t xml:space="preserve">Figure 4: Rates of Adverse Reactions per 10,000 Transfused Products </w:t>
      </w:r>
    </w:p>
    <w:p w:rsidR="00B36169" w:rsidRPr="00B36169" w:rsidRDefault="00372BED" w:rsidP="00F21359">
      <w:pPr>
        <w:pStyle w:val="NoSpacing"/>
        <w:jc w:val="center"/>
        <w:rPr>
          <w:rFonts w:ascii="Arial" w:hAnsi="Arial" w:cs="Arial"/>
          <w:b/>
          <w:sz w:val="28"/>
        </w:rPr>
      </w:pPr>
      <w:r w:rsidRPr="00B36169">
        <w:rPr>
          <w:rFonts w:ascii="Arial" w:hAnsi="Arial" w:cs="Arial"/>
          <w:b/>
          <w:sz w:val="28"/>
        </w:rPr>
        <w:t>B</w:t>
      </w:r>
      <w:r w:rsidR="00B36169" w:rsidRPr="00B36169">
        <w:rPr>
          <w:rFonts w:ascii="Arial" w:hAnsi="Arial" w:cs="Arial"/>
          <w:b/>
          <w:sz w:val="28"/>
        </w:rPr>
        <w:t>y Bed Size Group</w:t>
      </w:r>
      <w:r>
        <w:rPr>
          <w:rFonts w:ascii="Arial" w:hAnsi="Arial" w:cs="Arial"/>
          <w:b/>
          <w:sz w:val="28"/>
        </w:rPr>
        <w:t xml:space="preserve"> in</w:t>
      </w:r>
      <w:r w:rsidR="00B36169" w:rsidRPr="00B36169">
        <w:rPr>
          <w:rFonts w:ascii="Arial" w:hAnsi="Arial" w:cs="Arial"/>
          <w:b/>
          <w:sz w:val="28"/>
        </w:rPr>
        <w:t xml:space="preserve"> Massachusetts, 2017-2018</w:t>
      </w:r>
    </w:p>
    <w:p w:rsidR="00B36169" w:rsidRPr="00CD50CB" w:rsidRDefault="00B36169" w:rsidP="00F21359">
      <w:pPr>
        <w:pStyle w:val="NoSpacing"/>
        <w:jc w:val="center"/>
        <w:rPr>
          <w:rFonts w:ascii="Arial" w:hAnsi="Arial" w:cs="Arial"/>
          <w:sz w:val="20"/>
        </w:rPr>
      </w:pPr>
    </w:p>
    <w:p w:rsidR="00B36169" w:rsidRDefault="000E3923" w:rsidP="00AA6AC0">
      <w:pPr>
        <w:pStyle w:val="NoSpacing"/>
        <w:jc w:val="center"/>
        <w:rPr>
          <w:rFonts w:ascii="Arial" w:hAnsi="Arial" w:cs="Arial"/>
          <w:sz w:val="20"/>
        </w:rPr>
      </w:pPr>
      <w:r>
        <w:rPr>
          <w:rFonts w:ascii="Arial" w:hAnsi="Arial" w:cs="Arial"/>
          <w:noProof/>
          <w:sz w:val="20"/>
        </w:rPr>
        <w:drawing>
          <wp:inline distT="0" distB="0" distL="0" distR="0" wp14:anchorId="35DD3B84">
            <wp:extent cx="7077075" cy="3745275"/>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75230" cy="3744298"/>
                    </a:xfrm>
                    <a:prstGeom prst="rect">
                      <a:avLst/>
                    </a:prstGeom>
                    <a:noFill/>
                  </pic:spPr>
                </pic:pic>
              </a:graphicData>
            </a:graphic>
          </wp:inline>
        </w:drawing>
      </w:r>
    </w:p>
    <w:p w:rsidR="00AA6AC0" w:rsidRPr="00AA6AC0" w:rsidRDefault="00AA6AC0" w:rsidP="005F289A">
      <w:pPr>
        <w:pStyle w:val="NoSpacing"/>
        <w:spacing w:before="120"/>
        <w:rPr>
          <w:rFonts w:ascii="Arial" w:hAnsi="Arial" w:cs="Arial"/>
        </w:rPr>
      </w:pPr>
      <w:r>
        <w:tab/>
        <w:t xml:space="preserve">   </w:t>
      </w:r>
      <w:r>
        <w:rPr>
          <w:rFonts w:ascii="Arial" w:hAnsi="Arial" w:cs="Arial"/>
          <w:sz w:val="20"/>
        </w:rPr>
        <w:t xml:space="preserve"> </w:t>
      </w:r>
      <w:r w:rsidRPr="00AA6AC0">
        <w:rPr>
          <w:rFonts w:ascii="Arial" w:hAnsi="Arial" w:cs="Arial"/>
          <w:sz w:val="20"/>
        </w:rPr>
        <w:t>In 2017 and 2018, 69 facilities reported NHSN Hemovigilance data.</w:t>
      </w:r>
    </w:p>
    <w:p w:rsidR="00B36169" w:rsidRPr="00B36169" w:rsidRDefault="00B36169" w:rsidP="00B36169"/>
    <w:p w:rsidR="00B36169" w:rsidRPr="00B36169" w:rsidRDefault="00B36169" w:rsidP="00B36169"/>
    <w:p w:rsidR="00B36169" w:rsidRDefault="00B36169" w:rsidP="00B36169"/>
    <w:p w:rsidR="000E3923" w:rsidRDefault="000E3923" w:rsidP="00300264">
      <w:pPr>
        <w:pStyle w:val="NoSpacing"/>
        <w:jc w:val="center"/>
        <w:rPr>
          <w:rFonts w:ascii="Arial" w:hAnsi="Arial" w:cs="Arial"/>
          <w:b/>
          <w:sz w:val="28"/>
        </w:rPr>
      </w:pPr>
    </w:p>
    <w:p w:rsidR="00372BED" w:rsidRDefault="00B36169" w:rsidP="00300264">
      <w:pPr>
        <w:pStyle w:val="NoSpacing"/>
        <w:jc w:val="center"/>
        <w:rPr>
          <w:rFonts w:ascii="Arial" w:hAnsi="Arial" w:cs="Arial"/>
          <w:b/>
          <w:sz w:val="28"/>
        </w:rPr>
      </w:pPr>
      <w:r w:rsidRPr="00300264">
        <w:rPr>
          <w:rFonts w:ascii="Arial" w:hAnsi="Arial" w:cs="Arial"/>
          <w:b/>
          <w:sz w:val="28"/>
        </w:rPr>
        <w:t xml:space="preserve">Table 7: Rates of Adverse Reactions per 10,000 Total Units (Full and Aliquot) </w:t>
      </w:r>
    </w:p>
    <w:p w:rsidR="00300264" w:rsidRDefault="00B36169" w:rsidP="006D7D9E">
      <w:pPr>
        <w:pStyle w:val="NoSpacing"/>
        <w:jc w:val="center"/>
        <w:rPr>
          <w:rFonts w:ascii="Arial" w:hAnsi="Arial" w:cs="Arial"/>
          <w:b/>
          <w:sz w:val="28"/>
        </w:rPr>
      </w:pPr>
      <w:r w:rsidRPr="00300264">
        <w:rPr>
          <w:rFonts w:ascii="Arial" w:hAnsi="Arial" w:cs="Arial"/>
          <w:b/>
          <w:sz w:val="28"/>
        </w:rPr>
        <w:t>Transfused</w:t>
      </w:r>
      <w:r w:rsidR="005F289A">
        <w:rPr>
          <w:rFonts w:ascii="Arial" w:hAnsi="Arial" w:cs="Arial"/>
          <w:b/>
          <w:sz w:val="28"/>
        </w:rPr>
        <w:t xml:space="preserve"> </w:t>
      </w:r>
      <w:r w:rsidRPr="00300264">
        <w:rPr>
          <w:rFonts w:ascii="Arial" w:hAnsi="Arial" w:cs="Arial"/>
          <w:b/>
          <w:sz w:val="28"/>
        </w:rPr>
        <w:t>by Component Type, 2018</w:t>
      </w:r>
      <w:r w:rsidR="00992815">
        <w:rPr>
          <w:rFonts w:ascii="Arial" w:hAnsi="Arial" w:cs="Arial"/>
          <w:b/>
          <w:sz w:val="28"/>
        </w:rPr>
        <w:t xml:space="preserve"> </w:t>
      </w:r>
    </w:p>
    <w:p w:rsidR="006D7D9E" w:rsidRPr="006D7D9E" w:rsidRDefault="006D7D9E" w:rsidP="006D7D9E">
      <w:pPr>
        <w:pStyle w:val="NoSpacing"/>
        <w:rPr>
          <w:rFonts w:ascii="Arial" w:hAnsi="Arial" w:cs="Arial"/>
          <w:b/>
          <w:sz w:val="28"/>
        </w:rPr>
      </w:pPr>
      <w:r w:rsidRPr="006D7D9E">
        <w:rPr>
          <w:noProof/>
        </w:rPr>
        <w:drawing>
          <wp:inline distT="0" distB="0" distL="0" distR="0" wp14:anchorId="0680EC50" wp14:editId="2EFEAB5D">
            <wp:extent cx="8229600" cy="45580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4558024"/>
                    </a:xfrm>
                    <a:prstGeom prst="rect">
                      <a:avLst/>
                    </a:prstGeom>
                    <a:noFill/>
                    <a:ln>
                      <a:noFill/>
                    </a:ln>
                  </pic:spPr>
                </pic:pic>
              </a:graphicData>
            </a:graphic>
          </wp:inline>
        </w:drawing>
      </w:r>
    </w:p>
    <w:p w:rsidR="006D7D9E" w:rsidRDefault="006D7D9E" w:rsidP="005F289A">
      <w:pPr>
        <w:pStyle w:val="NoSpacing"/>
        <w:spacing w:before="60"/>
        <w:rPr>
          <w:rFonts w:ascii="Arial" w:hAnsi="Arial" w:cs="Arial"/>
          <w:sz w:val="20"/>
        </w:rPr>
      </w:pPr>
      <w:r>
        <w:rPr>
          <w:rFonts w:ascii="Arial" w:hAnsi="Arial" w:cs="Arial"/>
          <w:sz w:val="20"/>
        </w:rPr>
        <w:t>Whole blood refers to only autologous whole blood products.</w:t>
      </w:r>
    </w:p>
    <w:p w:rsidR="006D7D9E" w:rsidRDefault="006D7D9E" w:rsidP="005F289A">
      <w:pPr>
        <w:spacing w:before="60" w:after="0" w:line="240" w:lineRule="auto"/>
        <w:rPr>
          <w:rFonts w:ascii="Arial" w:hAnsi="Arial" w:cs="Arial"/>
          <w:noProof/>
          <w:sz w:val="20"/>
        </w:rPr>
      </w:pPr>
      <w:r w:rsidRPr="00992815">
        <w:rPr>
          <w:rFonts w:ascii="Arial" w:hAnsi="Arial" w:cs="Arial"/>
          <w:noProof/>
          <w:sz w:val="20"/>
        </w:rPr>
        <w:t>Twelve advers</w:t>
      </w:r>
      <w:r>
        <w:rPr>
          <w:rFonts w:ascii="Arial" w:hAnsi="Arial" w:cs="Arial"/>
          <w:noProof/>
          <w:sz w:val="20"/>
        </w:rPr>
        <w:t>e</w:t>
      </w:r>
      <w:r w:rsidRPr="00992815">
        <w:rPr>
          <w:rFonts w:ascii="Arial" w:hAnsi="Arial" w:cs="Arial"/>
          <w:noProof/>
          <w:sz w:val="20"/>
        </w:rPr>
        <w:t xml:space="preserve"> reactions </w:t>
      </w:r>
      <w:r>
        <w:rPr>
          <w:rFonts w:ascii="Arial" w:hAnsi="Arial" w:cs="Arial"/>
          <w:noProof/>
          <w:sz w:val="20"/>
        </w:rPr>
        <w:t xml:space="preserve">were </w:t>
      </w:r>
      <w:r w:rsidR="009B56D4">
        <w:rPr>
          <w:rFonts w:ascii="Arial" w:hAnsi="Arial" w:cs="Arial"/>
          <w:noProof/>
          <w:sz w:val="20"/>
        </w:rPr>
        <w:t>associated with an</w:t>
      </w:r>
      <w:r>
        <w:rPr>
          <w:rFonts w:ascii="Arial" w:hAnsi="Arial" w:cs="Arial"/>
          <w:noProof/>
          <w:sz w:val="20"/>
        </w:rPr>
        <w:t xml:space="preserve"> </w:t>
      </w:r>
      <w:r w:rsidRPr="00992815">
        <w:rPr>
          <w:rFonts w:ascii="Arial" w:hAnsi="Arial" w:cs="Arial"/>
          <w:noProof/>
          <w:sz w:val="20"/>
        </w:rPr>
        <w:t xml:space="preserve">“unknown” transfused blood product. These reactions were included in the overall adverse reaction rate calculations, but were excluded from component-specific rate calculations. One allergic reaction, 8 FNHTRs, 2 TACOs, and 1 TAD reported </w:t>
      </w:r>
      <w:r>
        <w:rPr>
          <w:rFonts w:ascii="Arial" w:hAnsi="Arial" w:cs="Arial"/>
          <w:noProof/>
          <w:sz w:val="20"/>
        </w:rPr>
        <w:t xml:space="preserve">an </w:t>
      </w:r>
      <w:r w:rsidRPr="00992815">
        <w:rPr>
          <w:rFonts w:ascii="Arial" w:hAnsi="Arial" w:cs="Arial"/>
          <w:noProof/>
          <w:sz w:val="20"/>
        </w:rPr>
        <w:t>“unknown” blood product implicated.</w:t>
      </w:r>
    </w:p>
    <w:p w:rsidR="005F289A" w:rsidRPr="00992815" w:rsidRDefault="005F289A" w:rsidP="005F289A">
      <w:pPr>
        <w:spacing w:before="60" w:after="0" w:line="240" w:lineRule="auto"/>
        <w:rPr>
          <w:rFonts w:ascii="Arial" w:hAnsi="Arial" w:cs="Arial"/>
          <w:sz w:val="20"/>
        </w:rPr>
      </w:pPr>
    </w:p>
    <w:p w:rsidR="00FA24CF" w:rsidRDefault="00300264" w:rsidP="00300264">
      <w:pPr>
        <w:pStyle w:val="NoSpacing"/>
        <w:jc w:val="center"/>
        <w:rPr>
          <w:rFonts w:ascii="Arial" w:hAnsi="Arial" w:cs="Arial"/>
          <w:b/>
          <w:sz w:val="28"/>
        </w:rPr>
      </w:pPr>
      <w:r w:rsidRPr="00300264">
        <w:rPr>
          <w:rFonts w:ascii="Arial" w:hAnsi="Arial" w:cs="Arial"/>
          <w:b/>
          <w:sz w:val="28"/>
        </w:rPr>
        <w:t xml:space="preserve">Table 7: Rates of Adverse Reactions per 10,000 Total Units (Full and Aliquot) </w:t>
      </w:r>
    </w:p>
    <w:p w:rsidR="00300264" w:rsidRDefault="00300264" w:rsidP="00300264">
      <w:pPr>
        <w:pStyle w:val="NoSpacing"/>
        <w:jc w:val="center"/>
        <w:rPr>
          <w:rFonts w:ascii="Arial" w:hAnsi="Arial" w:cs="Arial"/>
          <w:b/>
          <w:sz w:val="28"/>
        </w:rPr>
      </w:pPr>
      <w:r w:rsidRPr="00300264">
        <w:rPr>
          <w:rFonts w:ascii="Arial" w:hAnsi="Arial" w:cs="Arial"/>
          <w:b/>
          <w:sz w:val="28"/>
        </w:rPr>
        <w:t>Transfused</w:t>
      </w:r>
      <w:r w:rsidR="005F289A">
        <w:rPr>
          <w:rFonts w:ascii="Arial" w:hAnsi="Arial" w:cs="Arial"/>
          <w:b/>
          <w:sz w:val="28"/>
        </w:rPr>
        <w:t xml:space="preserve"> </w:t>
      </w:r>
      <w:r w:rsidRPr="00300264">
        <w:rPr>
          <w:rFonts w:ascii="Arial" w:hAnsi="Arial" w:cs="Arial"/>
          <w:b/>
          <w:sz w:val="28"/>
        </w:rPr>
        <w:t>by Component Type</w:t>
      </w:r>
      <w:r w:rsidR="0066605F">
        <w:rPr>
          <w:rFonts w:ascii="Arial" w:hAnsi="Arial" w:cs="Arial"/>
          <w:b/>
          <w:sz w:val="28"/>
        </w:rPr>
        <w:t>,</w:t>
      </w:r>
      <w:r w:rsidRPr="00300264">
        <w:rPr>
          <w:rFonts w:ascii="Arial" w:hAnsi="Arial" w:cs="Arial"/>
          <w:b/>
          <w:sz w:val="28"/>
        </w:rPr>
        <w:t xml:space="preserve"> </w:t>
      </w:r>
      <w:r w:rsidR="0066605F">
        <w:rPr>
          <w:rFonts w:ascii="Arial" w:hAnsi="Arial" w:cs="Arial"/>
          <w:b/>
          <w:sz w:val="28"/>
        </w:rPr>
        <w:t>2018</w:t>
      </w:r>
    </w:p>
    <w:p w:rsidR="006D7D9E" w:rsidRDefault="006D7D9E" w:rsidP="006D7D9E">
      <w:pPr>
        <w:pStyle w:val="NoSpacing"/>
        <w:jc w:val="both"/>
        <w:rPr>
          <w:rFonts w:ascii="Arial" w:hAnsi="Arial" w:cs="Arial"/>
          <w:b/>
          <w:sz w:val="28"/>
        </w:rPr>
      </w:pPr>
      <w:r w:rsidRPr="006D7D9E">
        <w:rPr>
          <w:noProof/>
        </w:rPr>
        <w:drawing>
          <wp:inline distT="0" distB="0" distL="0" distR="0" wp14:anchorId="278DF8D3" wp14:editId="04DEC204">
            <wp:extent cx="7286625" cy="48101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01619" cy="4820023"/>
                    </a:xfrm>
                    <a:prstGeom prst="rect">
                      <a:avLst/>
                    </a:prstGeom>
                    <a:noFill/>
                    <a:ln>
                      <a:noFill/>
                    </a:ln>
                  </pic:spPr>
                </pic:pic>
              </a:graphicData>
            </a:graphic>
          </wp:inline>
        </w:drawing>
      </w:r>
    </w:p>
    <w:p w:rsidR="006D7D9E" w:rsidRDefault="00992815" w:rsidP="005F289A">
      <w:pPr>
        <w:pStyle w:val="NoSpacing"/>
        <w:spacing w:before="60"/>
        <w:rPr>
          <w:rFonts w:ascii="Arial" w:hAnsi="Arial" w:cs="Arial"/>
          <w:sz w:val="20"/>
        </w:rPr>
      </w:pPr>
      <w:r>
        <w:rPr>
          <w:rFonts w:ascii="Arial" w:hAnsi="Arial" w:cs="Arial"/>
          <w:sz w:val="20"/>
        </w:rPr>
        <w:t>Whole blood refers to only autologous whole blood products.</w:t>
      </w:r>
    </w:p>
    <w:p w:rsidR="00992815" w:rsidRPr="00992815" w:rsidRDefault="00992815" w:rsidP="005F289A">
      <w:pPr>
        <w:pStyle w:val="NoSpacing"/>
        <w:spacing w:before="60"/>
        <w:rPr>
          <w:rFonts w:ascii="Arial" w:hAnsi="Arial" w:cs="Arial"/>
          <w:sz w:val="20"/>
        </w:rPr>
      </w:pPr>
      <w:r w:rsidRPr="00992815">
        <w:rPr>
          <w:rFonts w:ascii="Arial" w:hAnsi="Arial" w:cs="Arial"/>
          <w:noProof/>
          <w:sz w:val="20"/>
        </w:rPr>
        <w:t>Twelve advers</w:t>
      </w:r>
      <w:r w:rsidR="00995785">
        <w:rPr>
          <w:rFonts w:ascii="Arial" w:hAnsi="Arial" w:cs="Arial"/>
          <w:noProof/>
          <w:sz w:val="20"/>
        </w:rPr>
        <w:t>e</w:t>
      </w:r>
      <w:r w:rsidRPr="00992815">
        <w:rPr>
          <w:rFonts w:ascii="Arial" w:hAnsi="Arial" w:cs="Arial"/>
          <w:noProof/>
          <w:sz w:val="20"/>
        </w:rPr>
        <w:t xml:space="preserve"> reactions </w:t>
      </w:r>
      <w:r w:rsidR="00995785">
        <w:rPr>
          <w:rFonts w:ascii="Arial" w:hAnsi="Arial" w:cs="Arial"/>
          <w:noProof/>
          <w:sz w:val="20"/>
        </w:rPr>
        <w:t xml:space="preserve">were </w:t>
      </w:r>
      <w:r w:rsidR="009B56D4">
        <w:rPr>
          <w:rFonts w:ascii="Arial" w:hAnsi="Arial" w:cs="Arial"/>
          <w:noProof/>
          <w:sz w:val="20"/>
        </w:rPr>
        <w:t>associated with an</w:t>
      </w:r>
      <w:r w:rsidR="00995785">
        <w:rPr>
          <w:rFonts w:ascii="Arial" w:hAnsi="Arial" w:cs="Arial"/>
          <w:noProof/>
          <w:sz w:val="20"/>
        </w:rPr>
        <w:t xml:space="preserve"> </w:t>
      </w:r>
      <w:r w:rsidRPr="00992815">
        <w:rPr>
          <w:rFonts w:ascii="Arial" w:hAnsi="Arial" w:cs="Arial"/>
          <w:noProof/>
          <w:sz w:val="20"/>
        </w:rPr>
        <w:t xml:space="preserve">“unknown” transfused blood product. These reactions were included in the overall adverse reaction rate calculations, but were excluded from component-specific rate calculations. One allergic reaction, 8 FNHTRs, 2 TACOs, and 1 TAD reported </w:t>
      </w:r>
      <w:r w:rsidR="00995785">
        <w:rPr>
          <w:rFonts w:ascii="Arial" w:hAnsi="Arial" w:cs="Arial"/>
          <w:noProof/>
          <w:sz w:val="20"/>
        </w:rPr>
        <w:t xml:space="preserve">an </w:t>
      </w:r>
      <w:r w:rsidRPr="00992815">
        <w:rPr>
          <w:rFonts w:ascii="Arial" w:hAnsi="Arial" w:cs="Arial"/>
          <w:noProof/>
          <w:sz w:val="20"/>
        </w:rPr>
        <w:t>“unknown” blood product implicated.</w:t>
      </w:r>
    </w:p>
    <w:sectPr w:rsidR="00992815" w:rsidRPr="00992815" w:rsidSect="008259E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A7E" w:rsidRDefault="007F4A7E" w:rsidP="00FD10D9">
      <w:pPr>
        <w:spacing w:after="0" w:line="240" w:lineRule="auto"/>
      </w:pPr>
      <w:r>
        <w:separator/>
      </w:r>
    </w:p>
  </w:endnote>
  <w:endnote w:type="continuationSeparator" w:id="0">
    <w:p w:rsidR="007F4A7E" w:rsidRDefault="007F4A7E" w:rsidP="00FD1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5404863"/>
      <w:docPartObj>
        <w:docPartGallery w:val="Page Numbers (Bottom of Page)"/>
        <w:docPartUnique/>
      </w:docPartObj>
    </w:sdtPr>
    <w:sdtEndPr>
      <w:rPr>
        <w:noProof/>
      </w:rPr>
    </w:sdtEndPr>
    <w:sdtContent>
      <w:p w:rsidR="00696369" w:rsidRDefault="00696369">
        <w:pPr>
          <w:pStyle w:val="Footer"/>
          <w:jc w:val="right"/>
        </w:pPr>
        <w:r>
          <w:fldChar w:fldCharType="begin"/>
        </w:r>
        <w:r>
          <w:instrText xml:space="preserve"> PAGE   \* MERGEFORMAT </w:instrText>
        </w:r>
        <w:r>
          <w:fldChar w:fldCharType="separate"/>
        </w:r>
        <w:r w:rsidR="00584D5E">
          <w:rPr>
            <w:noProof/>
          </w:rPr>
          <w:t>9</w:t>
        </w:r>
        <w:r>
          <w:rPr>
            <w:noProof/>
          </w:rPr>
          <w:fldChar w:fldCharType="end"/>
        </w:r>
      </w:p>
    </w:sdtContent>
  </w:sdt>
  <w:p w:rsidR="00696369" w:rsidRPr="00056A94" w:rsidRDefault="00696369" w:rsidP="00197A0E">
    <w:pPr>
      <w:pStyle w:val="Footer"/>
      <w:jc w:val="center"/>
      <w:rPr>
        <w:rFonts w:ascii="Arial" w:hAnsi="Arial" w:cs="Arial"/>
        <w:sz w:val="20"/>
      </w:rPr>
    </w:pPr>
    <w:r w:rsidRPr="00056A94">
      <w:rPr>
        <w:rFonts w:ascii="Arial" w:hAnsi="Arial" w:cs="Arial"/>
        <w:sz w:val="20"/>
      </w:rPr>
      <w:t xml:space="preserve">Data are current as of May </w:t>
    </w:r>
    <w:r>
      <w:rPr>
        <w:rFonts w:ascii="Arial" w:hAnsi="Arial" w:cs="Arial"/>
        <w:sz w:val="20"/>
      </w:rPr>
      <w:t>27</w:t>
    </w:r>
    <w:r w:rsidRPr="00056A94">
      <w:rPr>
        <w:rFonts w:ascii="Arial" w:hAnsi="Arial" w:cs="Arial"/>
        <w:sz w:val="20"/>
      </w:rPr>
      <w:t>, 201</w:t>
    </w:r>
    <w:r>
      <w:rPr>
        <w:rFonts w:ascii="Arial" w:hAnsi="Arial" w:cs="Arial"/>
        <w:sz w:val="20"/>
      </w:rPr>
      <w:t>9</w:t>
    </w:r>
    <w:r w:rsidRPr="00056A94">
      <w:rPr>
        <w:rFonts w:ascii="Arial" w:hAnsi="Arial" w:cs="Arial"/>
        <w:sz w:val="20"/>
      </w:rPr>
      <w:t xml:space="preserve"> and are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A7E" w:rsidRDefault="007F4A7E" w:rsidP="00FD10D9">
      <w:pPr>
        <w:spacing w:after="0" w:line="240" w:lineRule="auto"/>
      </w:pPr>
      <w:r>
        <w:separator/>
      </w:r>
    </w:p>
  </w:footnote>
  <w:footnote w:type="continuationSeparator" w:id="0">
    <w:p w:rsidR="007F4A7E" w:rsidRDefault="007F4A7E" w:rsidP="00FD1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6369" w:rsidRDefault="00696369">
    <w:pPr>
      <w:pStyle w:val="Header"/>
    </w:pPr>
  </w:p>
  <w:p w:rsidR="00696369" w:rsidRDefault="00696369">
    <w:pPr>
      <w:pStyle w:val="Header"/>
    </w:pPr>
  </w:p>
  <w:p w:rsidR="00696369" w:rsidRDefault="00696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67F8"/>
    <w:multiLevelType w:val="hybridMultilevel"/>
    <w:tmpl w:val="B2260FEA"/>
    <w:lvl w:ilvl="0" w:tplc="DE16B604">
      <w:start w:val="1"/>
      <w:numFmt w:val="bullet"/>
      <w:lvlText w:val=""/>
      <w:lvlJc w:val="left"/>
      <w:pPr>
        <w:ind w:left="480" w:hanging="361"/>
      </w:pPr>
      <w:rPr>
        <w:rFonts w:ascii="Symbol" w:eastAsia="Symbol" w:hAnsi="Symbol" w:hint="default"/>
        <w:sz w:val="24"/>
        <w:szCs w:val="24"/>
      </w:rPr>
    </w:lvl>
    <w:lvl w:ilvl="1" w:tplc="3756592A">
      <w:start w:val="1"/>
      <w:numFmt w:val="bullet"/>
      <w:lvlText w:val="•"/>
      <w:lvlJc w:val="left"/>
      <w:pPr>
        <w:ind w:left="760" w:hanging="361"/>
      </w:pPr>
      <w:rPr>
        <w:rFonts w:hint="default"/>
      </w:rPr>
    </w:lvl>
    <w:lvl w:ilvl="2" w:tplc="37668E44">
      <w:start w:val="1"/>
      <w:numFmt w:val="bullet"/>
      <w:lvlText w:val="•"/>
      <w:lvlJc w:val="left"/>
      <w:pPr>
        <w:ind w:left="1540" w:hanging="361"/>
      </w:pPr>
      <w:rPr>
        <w:rFonts w:hint="default"/>
      </w:rPr>
    </w:lvl>
    <w:lvl w:ilvl="3" w:tplc="3BEAD16E">
      <w:start w:val="1"/>
      <w:numFmt w:val="bullet"/>
      <w:lvlText w:val="•"/>
      <w:lvlJc w:val="left"/>
      <w:pPr>
        <w:ind w:left="2452" w:hanging="361"/>
      </w:pPr>
      <w:rPr>
        <w:rFonts w:hint="default"/>
      </w:rPr>
    </w:lvl>
    <w:lvl w:ilvl="4" w:tplc="0B148142">
      <w:start w:val="1"/>
      <w:numFmt w:val="bullet"/>
      <w:lvlText w:val="•"/>
      <w:lvlJc w:val="left"/>
      <w:pPr>
        <w:ind w:left="3365" w:hanging="361"/>
      </w:pPr>
      <w:rPr>
        <w:rFonts w:hint="default"/>
      </w:rPr>
    </w:lvl>
    <w:lvl w:ilvl="5" w:tplc="45788DC2">
      <w:start w:val="1"/>
      <w:numFmt w:val="bullet"/>
      <w:lvlText w:val="•"/>
      <w:lvlJc w:val="left"/>
      <w:pPr>
        <w:ind w:left="4277" w:hanging="361"/>
      </w:pPr>
      <w:rPr>
        <w:rFonts w:hint="default"/>
      </w:rPr>
    </w:lvl>
    <w:lvl w:ilvl="6" w:tplc="BDF85728">
      <w:start w:val="1"/>
      <w:numFmt w:val="bullet"/>
      <w:lvlText w:val="•"/>
      <w:lvlJc w:val="left"/>
      <w:pPr>
        <w:ind w:left="5190" w:hanging="361"/>
      </w:pPr>
      <w:rPr>
        <w:rFonts w:hint="default"/>
      </w:rPr>
    </w:lvl>
    <w:lvl w:ilvl="7" w:tplc="29063C54">
      <w:start w:val="1"/>
      <w:numFmt w:val="bullet"/>
      <w:lvlText w:val="•"/>
      <w:lvlJc w:val="left"/>
      <w:pPr>
        <w:ind w:left="6102" w:hanging="361"/>
      </w:pPr>
      <w:rPr>
        <w:rFonts w:hint="default"/>
      </w:rPr>
    </w:lvl>
    <w:lvl w:ilvl="8" w:tplc="BAD644E4">
      <w:start w:val="1"/>
      <w:numFmt w:val="bullet"/>
      <w:lvlText w:val="•"/>
      <w:lvlJc w:val="left"/>
      <w:pPr>
        <w:ind w:left="7015" w:hanging="361"/>
      </w:pPr>
      <w:rPr>
        <w:rFonts w:hint="default"/>
      </w:rPr>
    </w:lvl>
  </w:abstractNum>
  <w:abstractNum w:abstractNumId="1" w15:restartNumberingAfterBreak="0">
    <w:nsid w:val="19352EDA"/>
    <w:multiLevelType w:val="hybridMultilevel"/>
    <w:tmpl w:val="5876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03EBC"/>
    <w:multiLevelType w:val="hybridMultilevel"/>
    <w:tmpl w:val="82F0C0F6"/>
    <w:lvl w:ilvl="0" w:tplc="F4528A4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440FC3"/>
    <w:multiLevelType w:val="hybridMultilevel"/>
    <w:tmpl w:val="C3148994"/>
    <w:lvl w:ilvl="0" w:tplc="DE16B604">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1B7F0E"/>
    <w:multiLevelType w:val="hybridMultilevel"/>
    <w:tmpl w:val="48DA2C7E"/>
    <w:lvl w:ilvl="0" w:tplc="AAA2A12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043721"/>
    <w:multiLevelType w:val="multilevel"/>
    <w:tmpl w:val="33BE5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5109C"/>
    <w:multiLevelType w:val="hybridMultilevel"/>
    <w:tmpl w:val="B9C0A892"/>
    <w:lvl w:ilvl="0" w:tplc="8E503926">
      <w:start w:val="1"/>
      <w:numFmt w:val="decimal"/>
      <w:lvlText w:val="%1."/>
      <w:lvlJc w:val="left"/>
      <w:pPr>
        <w:tabs>
          <w:tab w:val="num" w:pos="630"/>
        </w:tabs>
        <w:ind w:left="630" w:hanging="360"/>
      </w:pPr>
    </w:lvl>
    <w:lvl w:ilvl="1" w:tplc="B454771E" w:tentative="1">
      <w:start w:val="1"/>
      <w:numFmt w:val="decimal"/>
      <w:lvlText w:val="%2."/>
      <w:lvlJc w:val="left"/>
      <w:pPr>
        <w:tabs>
          <w:tab w:val="num" w:pos="1350"/>
        </w:tabs>
        <w:ind w:left="1350" w:hanging="360"/>
      </w:pPr>
    </w:lvl>
    <w:lvl w:ilvl="2" w:tplc="58F06810" w:tentative="1">
      <w:start w:val="1"/>
      <w:numFmt w:val="decimal"/>
      <w:lvlText w:val="%3."/>
      <w:lvlJc w:val="left"/>
      <w:pPr>
        <w:tabs>
          <w:tab w:val="num" w:pos="2070"/>
        </w:tabs>
        <w:ind w:left="2070" w:hanging="360"/>
      </w:pPr>
    </w:lvl>
    <w:lvl w:ilvl="3" w:tplc="BD68D620" w:tentative="1">
      <w:start w:val="1"/>
      <w:numFmt w:val="decimal"/>
      <w:lvlText w:val="%4."/>
      <w:lvlJc w:val="left"/>
      <w:pPr>
        <w:tabs>
          <w:tab w:val="num" w:pos="2790"/>
        </w:tabs>
        <w:ind w:left="2790" w:hanging="360"/>
      </w:pPr>
    </w:lvl>
    <w:lvl w:ilvl="4" w:tplc="34A2AF24" w:tentative="1">
      <w:start w:val="1"/>
      <w:numFmt w:val="decimal"/>
      <w:lvlText w:val="%5."/>
      <w:lvlJc w:val="left"/>
      <w:pPr>
        <w:tabs>
          <w:tab w:val="num" w:pos="3510"/>
        </w:tabs>
        <w:ind w:left="3510" w:hanging="360"/>
      </w:pPr>
    </w:lvl>
    <w:lvl w:ilvl="5" w:tplc="89169828" w:tentative="1">
      <w:start w:val="1"/>
      <w:numFmt w:val="decimal"/>
      <w:lvlText w:val="%6."/>
      <w:lvlJc w:val="left"/>
      <w:pPr>
        <w:tabs>
          <w:tab w:val="num" w:pos="4230"/>
        </w:tabs>
        <w:ind w:left="4230" w:hanging="360"/>
      </w:pPr>
    </w:lvl>
    <w:lvl w:ilvl="6" w:tplc="B8064030" w:tentative="1">
      <w:start w:val="1"/>
      <w:numFmt w:val="decimal"/>
      <w:lvlText w:val="%7."/>
      <w:lvlJc w:val="left"/>
      <w:pPr>
        <w:tabs>
          <w:tab w:val="num" w:pos="4950"/>
        </w:tabs>
        <w:ind w:left="4950" w:hanging="360"/>
      </w:pPr>
    </w:lvl>
    <w:lvl w:ilvl="7" w:tplc="DB5AAF40" w:tentative="1">
      <w:start w:val="1"/>
      <w:numFmt w:val="decimal"/>
      <w:lvlText w:val="%8."/>
      <w:lvlJc w:val="left"/>
      <w:pPr>
        <w:tabs>
          <w:tab w:val="num" w:pos="5670"/>
        </w:tabs>
        <w:ind w:left="5670" w:hanging="360"/>
      </w:pPr>
    </w:lvl>
    <w:lvl w:ilvl="8" w:tplc="97F28844" w:tentative="1">
      <w:start w:val="1"/>
      <w:numFmt w:val="decimal"/>
      <w:lvlText w:val="%9."/>
      <w:lvlJc w:val="left"/>
      <w:pPr>
        <w:tabs>
          <w:tab w:val="num" w:pos="6390"/>
        </w:tabs>
        <w:ind w:left="6390" w:hanging="360"/>
      </w:pPr>
    </w:lvl>
  </w:abstractNum>
  <w:abstractNum w:abstractNumId="7" w15:restartNumberingAfterBreak="0">
    <w:nsid w:val="616A6E00"/>
    <w:multiLevelType w:val="hybridMultilevel"/>
    <w:tmpl w:val="9E6E72DE"/>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8" w15:restartNumberingAfterBreak="0">
    <w:nsid w:val="66E4088A"/>
    <w:multiLevelType w:val="hybridMultilevel"/>
    <w:tmpl w:val="284EC68E"/>
    <w:lvl w:ilvl="0" w:tplc="EE68CA3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4"/>
  </w:num>
  <w:num w:numId="6">
    <w:abstractNumId w:val="8"/>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D68"/>
    <w:rsid w:val="00002B11"/>
    <w:rsid w:val="00014C6C"/>
    <w:rsid w:val="00020320"/>
    <w:rsid w:val="00026B45"/>
    <w:rsid w:val="000319C8"/>
    <w:rsid w:val="00043A2A"/>
    <w:rsid w:val="00045F73"/>
    <w:rsid w:val="00052C24"/>
    <w:rsid w:val="00052D68"/>
    <w:rsid w:val="00056A94"/>
    <w:rsid w:val="00067DC0"/>
    <w:rsid w:val="00095EC8"/>
    <w:rsid w:val="000A0625"/>
    <w:rsid w:val="000A7FA7"/>
    <w:rsid w:val="000C017B"/>
    <w:rsid w:val="000C3506"/>
    <w:rsid w:val="000D0D25"/>
    <w:rsid w:val="000D4BBF"/>
    <w:rsid w:val="000E3923"/>
    <w:rsid w:val="000F1EBA"/>
    <w:rsid w:val="000F4CA3"/>
    <w:rsid w:val="000F6101"/>
    <w:rsid w:val="0010142A"/>
    <w:rsid w:val="00111A53"/>
    <w:rsid w:val="00111D71"/>
    <w:rsid w:val="00116FF2"/>
    <w:rsid w:val="00117B9F"/>
    <w:rsid w:val="001200AE"/>
    <w:rsid w:val="00152EEB"/>
    <w:rsid w:val="00160A76"/>
    <w:rsid w:val="00172F10"/>
    <w:rsid w:val="00173478"/>
    <w:rsid w:val="00184E48"/>
    <w:rsid w:val="00197A0E"/>
    <w:rsid w:val="001B2700"/>
    <w:rsid w:val="001D43AF"/>
    <w:rsid w:val="0021247F"/>
    <w:rsid w:val="00235FE1"/>
    <w:rsid w:val="00237673"/>
    <w:rsid w:val="00253B06"/>
    <w:rsid w:val="0025692B"/>
    <w:rsid w:val="00270882"/>
    <w:rsid w:val="00274E48"/>
    <w:rsid w:val="00290706"/>
    <w:rsid w:val="002A451B"/>
    <w:rsid w:val="002C5176"/>
    <w:rsid w:val="002D052B"/>
    <w:rsid w:val="002D0903"/>
    <w:rsid w:val="002D19F0"/>
    <w:rsid w:val="002E5C2C"/>
    <w:rsid w:val="002E6C7F"/>
    <w:rsid w:val="002F5354"/>
    <w:rsid w:val="00300264"/>
    <w:rsid w:val="0031599C"/>
    <w:rsid w:val="00336008"/>
    <w:rsid w:val="00352632"/>
    <w:rsid w:val="00355003"/>
    <w:rsid w:val="0036097F"/>
    <w:rsid w:val="00361A23"/>
    <w:rsid w:val="0036589C"/>
    <w:rsid w:val="0037019E"/>
    <w:rsid w:val="00372BED"/>
    <w:rsid w:val="003A40F4"/>
    <w:rsid w:val="003B2B1A"/>
    <w:rsid w:val="003E0FCC"/>
    <w:rsid w:val="003E6CCC"/>
    <w:rsid w:val="003F7CD1"/>
    <w:rsid w:val="004022E7"/>
    <w:rsid w:val="00422BF7"/>
    <w:rsid w:val="00430101"/>
    <w:rsid w:val="004353CF"/>
    <w:rsid w:val="00437553"/>
    <w:rsid w:val="0044762E"/>
    <w:rsid w:val="004578EC"/>
    <w:rsid w:val="004631E8"/>
    <w:rsid w:val="004657B4"/>
    <w:rsid w:val="00477EE3"/>
    <w:rsid w:val="0048653D"/>
    <w:rsid w:val="004908B7"/>
    <w:rsid w:val="004A6033"/>
    <w:rsid w:val="004D58F6"/>
    <w:rsid w:val="004F060C"/>
    <w:rsid w:val="004F1171"/>
    <w:rsid w:val="00513665"/>
    <w:rsid w:val="00513C76"/>
    <w:rsid w:val="005403CC"/>
    <w:rsid w:val="00542B5C"/>
    <w:rsid w:val="0055145E"/>
    <w:rsid w:val="005529AE"/>
    <w:rsid w:val="00554FEA"/>
    <w:rsid w:val="00560A8D"/>
    <w:rsid w:val="00570D83"/>
    <w:rsid w:val="00584D5E"/>
    <w:rsid w:val="00591FB5"/>
    <w:rsid w:val="005A1504"/>
    <w:rsid w:val="005F289A"/>
    <w:rsid w:val="00600C42"/>
    <w:rsid w:val="0062086C"/>
    <w:rsid w:val="00621FC2"/>
    <w:rsid w:val="00631FC0"/>
    <w:rsid w:val="00632BA9"/>
    <w:rsid w:val="00633E9F"/>
    <w:rsid w:val="00634E93"/>
    <w:rsid w:val="00640223"/>
    <w:rsid w:val="00644943"/>
    <w:rsid w:val="0066605F"/>
    <w:rsid w:val="00676523"/>
    <w:rsid w:val="00685F4A"/>
    <w:rsid w:val="00696369"/>
    <w:rsid w:val="006B4002"/>
    <w:rsid w:val="006C30E9"/>
    <w:rsid w:val="006D7D9E"/>
    <w:rsid w:val="006F0AC0"/>
    <w:rsid w:val="006F1653"/>
    <w:rsid w:val="0070178D"/>
    <w:rsid w:val="00707786"/>
    <w:rsid w:val="007444F4"/>
    <w:rsid w:val="007576E8"/>
    <w:rsid w:val="007814C2"/>
    <w:rsid w:val="00796939"/>
    <w:rsid w:val="007A2541"/>
    <w:rsid w:val="007B0128"/>
    <w:rsid w:val="007D15F0"/>
    <w:rsid w:val="007F4A7E"/>
    <w:rsid w:val="00817FE1"/>
    <w:rsid w:val="008259EB"/>
    <w:rsid w:val="008431DE"/>
    <w:rsid w:val="00845828"/>
    <w:rsid w:val="008769D8"/>
    <w:rsid w:val="00880D3D"/>
    <w:rsid w:val="00882237"/>
    <w:rsid w:val="00893F0C"/>
    <w:rsid w:val="00894038"/>
    <w:rsid w:val="008A0319"/>
    <w:rsid w:val="008B07BD"/>
    <w:rsid w:val="008B6538"/>
    <w:rsid w:val="008B7C03"/>
    <w:rsid w:val="008D0287"/>
    <w:rsid w:val="00907BAA"/>
    <w:rsid w:val="00914384"/>
    <w:rsid w:val="00925B33"/>
    <w:rsid w:val="0097210D"/>
    <w:rsid w:val="00992815"/>
    <w:rsid w:val="00995785"/>
    <w:rsid w:val="009A5E90"/>
    <w:rsid w:val="009B17EA"/>
    <w:rsid w:val="009B35AB"/>
    <w:rsid w:val="009B56D4"/>
    <w:rsid w:val="009C2742"/>
    <w:rsid w:val="009C5B19"/>
    <w:rsid w:val="009E543F"/>
    <w:rsid w:val="009F1FBC"/>
    <w:rsid w:val="00A628E0"/>
    <w:rsid w:val="00A70050"/>
    <w:rsid w:val="00A813D2"/>
    <w:rsid w:val="00A929D7"/>
    <w:rsid w:val="00A95393"/>
    <w:rsid w:val="00AA259D"/>
    <w:rsid w:val="00AA6AC0"/>
    <w:rsid w:val="00AC592C"/>
    <w:rsid w:val="00AD0380"/>
    <w:rsid w:val="00AE43C3"/>
    <w:rsid w:val="00AE67A4"/>
    <w:rsid w:val="00AF248D"/>
    <w:rsid w:val="00AF458B"/>
    <w:rsid w:val="00AF615C"/>
    <w:rsid w:val="00B162CC"/>
    <w:rsid w:val="00B36169"/>
    <w:rsid w:val="00B527A8"/>
    <w:rsid w:val="00B65082"/>
    <w:rsid w:val="00B7213D"/>
    <w:rsid w:val="00B75860"/>
    <w:rsid w:val="00B844D8"/>
    <w:rsid w:val="00B92343"/>
    <w:rsid w:val="00B92DEC"/>
    <w:rsid w:val="00BB749B"/>
    <w:rsid w:val="00BD10CC"/>
    <w:rsid w:val="00BE39BE"/>
    <w:rsid w:val="00C3573F"/>
    <w:rsid w:val="00C363DC"/>
    <w:rsid w:val="00C4186B"/>
    <w:rsid w:val="00C42D95"/>
    <w:rsid w:val="00C514B5"/>
    <w:rsid w:val="00C745F3"/>
    <w:rsid w:val="00C97906"/>
    <w:rsid w:val="00CA17BA"/>
    <w:rsid w:val="00CA1F8F"/>
    <w:rsid w:val="00CB3279"/>
    <w:rsid w:val="00CD50CB"/>
    <w:rsid w:val="00CD5C49"/>
    <w:rsid w:val="00CE2D7E"/>
    <w:rsid w:val="00D14ED8"/>
    <w:rsid w:val="00D15A95"/>
    <w:rsid w:val="00D15CB5"/>
    <w:rsid w:val="00D205F4"/>
    <w:rsid w:val="00D302FD"/>
    <w:rsid w:val="00D4685D"/>
    <w:rsid w:val="00D51CE3"/>
    <w:rsid w:val="00D61ECF"/>
    <w:rsid w:val="00D8283E"/>
    <w:rsid w:val="00D95973"/>
    <w:rsid w:val="00DA7145"/>
    <w:rsid w:val="00DC35F4"/>
    <w:rsid w:val="00DC6609"/>
    <w:rsid w:val="00E05357"/>
    <w:rsid w:val="00E07D33"/>
    <w:rsid w:val="00E16AED"/>
    <w:rsid w:val="00E27471"/>
    <w:rsid w:val="00E40583"/>
    <w:rsid w:val="00E410CA"/>
    <w:rsid w:val="00E447AD"/>
    <w:rsid w:val="00E5376D"/>
    <w:rsid w:val="00E5705A"/>
    <w:rsid w:val="00E578C6"/>
    <w:rsid w:val="00E6446B"/>
    <w:rsid w:val="00E65705"/>
    <w:rsid w:val="00E7299C"/>
    <w:rsid w:val="00E74131"/>
    <w:rsid w:val="00E92D46"/>
    <w:rsid w:val="00EA1C3C"/>
    <w:rsid w:val="00EA3F1A"/>
    <w:rsid w:val="00EA6521"/>
    <w:rsid w:val="00EA76E2"/>
    <w:rsid w:val="00ED0FE1"/>
    <w:rsid w:val="00ED1CBD"/>
    <w:rsid w:val="00ED4CFD"/>
    <w:rsid w:val="00EF6EEE"/>
    <w:rsid w:val="00F21359"/>
    <w:rsid w:val="00F23CCE"/>
    <w:rsid w:val="00F57664"/>
    <w:rsid w:val="00F6320D"/>
    <w:rsid w:val="00F64E41"/>
    <w:rsid w:val="00F65E1B"/>
    <w:rsid w:val="00F72037"/>
    <w:rsid w:val="00F727BB"/>
    <w:rsid w:val="00F75B93"/>
    <w:rsid w:val="00F96D9D"/>
    <w:rsid w:val="00FA05EB"/>
    <w:rsid w:val="00FA24CF"/>
    <w:rsid w:val="00FA5689"/>
    <w:rsid w:val="00FB22F9"/>
    <w:rsid w:val="00FB69B5"/>
    <w:rsid w:val="00FC5AAA"/>
    <w:rsid w:val="00FD0C8E"/>
    <w:rsid w:val="00FD10D9"/>
    <w:rsid w:val="00FD60D6"/>
    <w:rsid w:val="00FE39B5"/>
    <w:rsid w:val="00FF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28ED"/>
  <w15:docId w15:val="{4959AB72-A7A0-4E0F-8C17-7C740B72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A7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D68"/>
    <w:rPr>
      <w:rFonts w:ascii="Tahoma" w:hAnsi="Tahoma" w:cs="Tahoma"/>
      <w:sz w:val="16"/>
      <w:szCs w:val="16"/>
    </w:rPr>
  </w:style>
  <w:style w:type="paragraph" w:styleId="NoSpacing">
    <w:name w:val="No Spacing"/>
    <w:uiPriority w:val="1"/>
    <w:qFormat/>
    <w:rsid w:val="00052D68"/>
    <w:pPr>
      <w:spacing w:after="0" w:line="240" w:lineRule="auto"/>
    </w:pPr>
  </w:style>
  <w:style w:type="character" w:customStyle="1" w:styleId="Heading1Char">
    <w:name w:val="Heading 1 Char"/>
    <w:basedOn w:val="DefaultParagraphFont"/>
    <w:link w:val="Heading1"/>
    <w:uiPriority w:val="1"/>
    <w:rsid w:val="000A7FA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A7FA7"/>
    <w:pPr>
      <w:outlineLvl w:val="9"/>
    </w:pPr>
    <w:rPr>
      <w:lang w:eastAsia="ja-JP"/>
    </w:rPr>
  </w:style>
  <w:style w:type="paragraph" w:styleId="TOC1">
    <w:name w:val="toc 1"/>
    <w:basedOn w:val="Normal"/>
    <w:next w:val="Normal"/>
    <w:autoRedefine/>
    <w:uiPriority w:val="39"/>
    <w:unhideWhenUsed/>
    <w:qFormat/>
    <w:rsid w:val="00E92D46"/>
    <w:pPr>
      <w:tabs>
        <w:tab w:val="right" w:leader="dot" w:pos="9350"/>
      </w:tabs>
      <w:spacing w:after="100" w:line="360" w:lineRule="auto"/>
    </w:pPr>
    <w:rPr>
      <w:rFonts w:ascii="Arial" w:hAnsi="Arial" w:cs="Arial"/>
      <w:b/>
      <w:bCs/>
      <w:noProof/>
      <w:sz w:val="20"/>
      <w:szCs w:val="20"/>
    </w:rPr>
  </w:style>
  <w:style w:type="paragraph" w:styleId="TOC2">
    <w:name w:val="toc 2"/>
    <w:basedOn w:val="Normal"/>
    <w:next w:val="Normal"/>
    <w:autoRedefine/>
    <w:uiPriority w:val="39"/>
    <w:unhideWhenUsed/>
    <w:qFormat/>
    <w:rsid w:val="000A7FA7"/>
    <w:pPr>
      <w:spacing w:after="100"/>
      <w:ind w:left="220"/>
    </w:pPr>
  </w:style>
  <w:style w:type="paragraph" w:styleId="TOC3">
    <w:name w:val="toc 3"/>
    <w:basedOn w:val="Normal"/>
    <w:next w:val="Normal"/>
    <w:autoRedefine/>
    <w:uiPriority w:val="39"/>
    <w:unhideWhenUsed/>
    <w:qFormat/>
    <w:rsid w:val="000A7FA7"/>
    <w:pPr>
      <w:spacing w:after="100"/>
      <w:ind w:left="440"/>
    </w:pPr>
  </w:style>
  <w:style w:type="character" w:styleId="Hyperlink">
    <w:name w:val="Hyperlink"/>
    <w:basedOn w:val="DefaultParagraphFont"/>
    <w:uiPriority w:val="99"/>
    <w:unhideWhenUsed/>
    <w:rsid w:val="000A7FA7"/>
    <w:rPr>
      <w:color w:val="0000FF" w:themeColor="hyperlink"/>
      <w:u w:val="single"/>
    </w:rPr>
  </w:style>
  <w:style w:type="paragraph" w:styleId="ListParagraph">
    <w:name w:val="List Paragraph"/>
    <w:basedOn w:val="Normal"/>
    <w:uiPriority w:val="34"/>
    <w:qFormat/>
    <w:rsid w:val="005403CC"/>
    <w:pPr>
      <w:ind w:left="720"/>
      <w:contextualSpacing/>
    </w:pPr>
  </w:style>
  <w:style w:type="character" w:styleId="Strong">
    <w:name w:val="Strong"/>
    <w:uiPriority w:val="22"/>
    <w:qFormat/>
    <w:rsid w:val="00477EE3"/>
    <w:rPr>
      <w:b/>
      <w:bCs/>
    </w:rPr>
  </w:style>
  <w:style w:type="paragraph" w:styleId="NormalWeb">
    <w:name w:val="Normal (Web)"/>
    <w:basedOn w:val="Normal"/>
    <w:uiPriority w:val="99"/>
    <w:unhideWhenUsed/>
    <w:rsid w:val="00477EE3"/>
    <w:pPr>
      <w:spacing w:after="240" w:line="240" w:lineRule="auto"/>
    </w:pPr>
    <w:rPr>
      <w:rFonts w:ascii="Times New Roman" w:eastAsia="Times New Roman" w:hAnsi="Times New Roman" w:cs="Times New Roman"/>
      <w:sz w:val="24"/>
      <w:szCs w:val="24"/>
    </w:rPr>
  </w:style>
  <w:style w:type="paragraph" w:customStyle="1" w:styleId="Default">
    <w:name w:val="Default"/>
    <w:rsid w:val="00477E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C2721">
    <w:name w:val="SC2721"/>
    <w:uiPriority w:val="99"/>
    <w:rsid w:val="00477EE3"/>
    <w:rPr>
      <w:color w:val="000000"/>
    </w:rPr>
  </w:style>
  <w:style w:type="character" w:styleId="CommentReference">
    <w:name w:val="annotation reference"/>
    <w:basedOn w:val="DefaultParagraphFont"/>
    <w:uiPriority w:val="99"/>
    <w:semiHidden/>
    <w:unhideWhenUsed/>
    <w:rsid w:val="00E6446B"/>
    <w:rPr>
      <w:sz w:val="16"/>
      <w:szCs w:val="16"/>
    </w:rPr>
  </w:style>
  <w:style w:type="paragraph" w:styleId="CommentText">
    <w:name w:val="annotation text"/>
    <w:basedOn w:val="Normal"/>
    <w:link w:val="CommentTextChar"/>
    <w:uiPriority w:val="99"/>
    <w:semiHidden/>
    <w:unhideWhenUsed/>
    <w:rsid w:val="00E6446B"/>
    <w:pPr>
      <w:spacing w:line="240" w:lineRule="auto"/>
    </w:pPr>
    <w:rPr>
      <w:sz w:val="20"/>
      <w:szCs w:val="20"/>
    </w:rPr>
  </w:style>
  <w:style w:type="character" w:customStyle="1" w:styleId="CommentTextChar">
    <w:name w:val="Comment Text Char"/>
    <w:basedOn w:val="DefaultParagraphFont"/>
    <w:link w:val="CommentText"/>
    <w:uiPriority w:val="99"/>
    <w:semiHidden/>
    <w:rsid w:val="00E6446B"/>
    <w:rPr>
      <w:sz w:val="20"/>
      <w:szCs w:val="20"/>
    </w:rPr>
  </w:style>
  <w:style w:type="paragraph" w:styleId="CommentSubject">
    <w:name w:val="annotation subject"/>
    <w:basedOn w:val="CommentText"/>
    <w:next w:val="CommentText"/>
    <w:link w:val="CommentSubjectChar"/>
    <w:uiPriority w:val="99"/>
    <w:semiHidden/>
    <w:unhideWhenUsed/>
    <w:rsid w:val="00E6446B"/>
    <w:rPr>
      <w:b/>
      <w:bCs/>
    </w:rPr>
  </w:style>
  <w:style w:type="character" w:customStyle="1" w:styleId="CommentSubjectChar">
    <w:name w:val="Comment Subject Char"/>
    <w:basedOn w:val="CommentTextChar"/>
    <w:link w:val="CommentSubject"/>
    <w:uiPriority w:val="99"/>
    <w:semiHidden/>
    <w:rsid w:val="00E6446B"/>
    <w:rPr>
      <w:b/>
      <w:bCs/>
      <w:sz w:val="20"/>
      <w:szCs w:val="20"/>
    </w:rPr>
  </w:style>
  <w:style w:type="paragraph" w:styleId="Header">
    <w:name w:val="header"/>
    <w:basedOn w:val="Normal"/>
    <w:link w:val="HeaderChar"/>
    <w:uiPriority w:val="99"/>
    <w:unhideWhenUsed/>
    <w:rsid w:val="00FD1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0D9"/>
  </w:style>
  <w:style w:type="paragraph" w:styleId="Footer">
    <w:name w:val="footer"/>
    <w:basedOn w:val="Normal"/>
    <w:link w:val="FooterChar"/>
    <w:uiPriority w:val="99"/>
    <w:unhideWhenUsed/>
    <w:rsid w:val="00FD1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0D9"/>
  </w:style>
  <w:style w:type="character" w:customStyle="1" w:styleId="UnresolvedMention1">
    <w:name w:val="Unresolved Mention1"/>
    <w:basedOn w:val="DefaultParagraphFont"/>
    <w:uiPriority w:val="99"/>
    <w:semiHidden/>
    <w:unhideWhenUsed/>
    <w:rsid w:val="00591FB5"/>
    <w:rPr>
      <w:color w:val="605E5C"/>
      <w:shd w:val="clear" w:color="auto" w:fill="E1DFDD"/>
    </w:rPr>
  </w:style>
  <w:style w:type="table" w:styleId="TableGrid">
    <w:name w:val="Table Grid"/>
    <w:basedOn w:val="TableNormal"/>
    <w:uiPriority w:val="59"/>
    <w:rsid w:val="00551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02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5422">
      <w:bodyDiv w:val="1"/>
      <w:marLeft w:val="0"/>
      <w:marRight w:val="0"/>
      <w:marTop w:val="0"/>
      <w:marBottom w:val="0"/>
      <w:divBdr>
        <w:top w:val="none" w:sz="0" w:space="0" w:color="auto"/>
        <w:left w:val="none" w:sz="0" w:space="0" w:color="auto"/>
        <w:bottom w:val="none" w:sz="0" w:space="0" w:color="auto"/>
        <w:right w:val="none" w:sz="0" w:space="0" w:color="auto"/>
      </w:divBdr>
    </w:div>
    <w:div w:id="150606867">
      <w:bodyDiv w:val="1"/>
      <w:marLeft w:val="0"/>
      <w:marRight w:val="0"/>
      <w:marTop w:val="0"/>
      <w:marBottom w:val="0"/>
      <w:divBdr>
        <w:top w:val="none" w:sz="0" w:space="0" w:color="auto"/>
        <w:left w:val="none" w:sz="0" w:space="0" w:color="auto"/>
        <w:bottom w:val="none" w:sz="0" w:space="0" w:color="auto"/>
        <w:right w:val="none" w:sz="0" w:space="0" w:color="auto"/>
      </w:divBdr>
    </w:div>
    <w:div w:id="194655580">
      <w:bodyDiv w:val="1"/>
      <w:marLeft w:val="0"/>
      <w:marRight w:val="0"/>
      <w:marTop w:val="0"/>
      <w:marBottom w:val="0"/>
      <w:divBdr>
        <w:top w:val="none" w:sz="0" w:space="0" w:color="auto"/>
        <w:left w:val="none" w:sz="0" w:space="0" w:color="auto"/>
        <w:bottom w:val="none" w:sz="0" w:space="0" w:color="auto"/>
        <w:right w:val="none" w:sz="0" w:space="0" w:color="auto"/>
      </w:divBdr>
    </w:div>
    <w:div w:id="307783704">
      <w:bodyDiv w:val="1"/>
      <w:marLeft w:val="0"/>
      <w:marRight w:val="0"/>
      <w:marTop w:val="0"/>
      <w:marBottom w:val="0"/>
      <w:divBdr>
        <w:top w:val="none" w:sz="0" w:space="0" w:color="auto"/>
        <w:left w:val="none" w:sz="0" w:space="0" w:color="auto"/>
        <w:bottom w:val="none" w:sz="0" w:space="0" w:color="auto"/>
        <w:right w:val="none" w:sz="0" w:space="0" w:color="auto"/>
      </w:divBdr>
    </w:div>
    <w:div w:id="382557070">
      <w:bodyDiv w:val="1"/>
      <w:marLeft w:val="0"/>
      <w:marRight w:val="0"/>
      <w:marTop w:val="0"/>
      <w:marBottom w:val="0"/>
      <w:divBdr>
        <w:top w:val="none" w:sz="0" w:space="0" w:color="auto"/>
        <w:left w:val="none" w:sz="0" w:space="0" w:color="auto"/>
        <w:bottom w:val="none" w:sz="0" w:space="0" w:color="auto"/>
        <w:right w:val="none" w:sz="0" w:space="0" w:color="auto"/>
      </w:divBdr>
    </w:div>
    <w:div w:id="413629795">
      <w:bodyDiv w:val="1"/>
      <w:marLeft w:val="0"/>
      <w:marRight w:val="0"/>
      <w:marTop w:val="0"/>
      <w:marBottom w:val="0"/>
      <w:divBdr>
        <w:top w:val="none" w:sz="0" w:space="0" w:color="auto"/>
        <w:left w:val="none" w:sz="0" w:space="0" w:color="auto"/>
        <w:bottom w:val="none" w:sz="0" w:space="0" w:color="auto"/>
        <w:right w:val="none" w:sz="0" w:space="0" w:color="auto"/>
      </w:divBdr>
    </w:div>
    <w:div w:id="452672993">
      <w:bodyDiv w:val="1"/>
      <w:marLeft w:val="0"/>
      <w:marRight w:val="0"/>
      <w:marTop w:val="0"/>
      <w:marBottom w:val="0"/>
      <w:divBdr>
        <w:top w:val="none" w:sz="0" w:space="0" w:color="auto"/>
        <w:left w:val="none" w:sz="0" w:space="0" w:color="auto"/>
        <w:bottom w:val="none" w:sz="0" w:space="0" w:color="auto"/>
        <w:right w:val="none" w:sz="0" w:space="0" w:color="auto"/>
      </w:divBdr>
    </w:div>
    <w:div w:id="457646705">
      <w:bodyDiv w:val="1"/>
      <w:marLeft w:val="0"/>
      <w:marRight w:val="0"/>
      <w:marTop w:val="0"/>
      <w:marBottom w:val="0"/>
      <w:divBdr>
        <w:top w:val="none" w:sz="0" w:space="0" w:color="auto"/>
        <w:left w:val="none" w:sz="0" w:space="0" w:color="auto"/>
        <w:bottom w:val="none" w:sz="0" w:space="0" w:color="auto"/>
        <w:right w:val="none" w:sz="0" w:space="0" w:color="auto"/>
      </w:divBdr>
    </w:div>
    <w:div w:id="693044010">
      <w:bodyDiv w:val="1"/>
      <w:marLeft w:val="0"/>
      <w:marRight w:val="0"/>
      <w:marTop w:val="0"/>
      <w:marBottom w:val="0"/>
      <w:divBdr>
        <w:top w:val="none" w:sz="0" w:space="0" w:color="auto"/>
        <w:left w:val="none" w:sz="0" w:space="0" w:color="auto"/>
        <w:bottom w:val="none" w:sz="0" w:space="0" w:color="auto"/>
        <w:right w:val="none" w:sz="0" w:space="0" w:color="auto"/>
      </w:divBdr>
    </w:div>
    <w:div w:id="889651298">
      <w:bodyDiv w:val="1"/>
      <w:marLeft w:val="0"/>
      <w:marRight w:val="0"/>
      <w:marTop w:val="0"/>
      <w:marBottom w:val="0"/>
      <w:divBdr>
        <w:top w:val="none" w:sz="0" w:space="0" w:color="auto"/>
        <w:left w:val="none" w:sz="0" w:space="0" w:color="auto"/>
        <w:bottom w:val="none" w:sz="0" w:space="0" w:color="auto"/>
        <w:right w:val="none" w:sz="0" w:space="0" w:color="auto"/>
      </w:divBdr>
    </w:div>
    <w:div w:id="972977459">
      <w:bodyDiv w:val="1"/>
      <w:marLeft w:val="0"/>
      <w:marRight w:val="0"/>
      <w:marTop w:val="0"/>
      <w:marBottom w:val="0"/>
      <w:divBdr>
        <w:top w:val="none" w:sz="0" w:space="0" w:color="auto"/>
        <w:left w:val="none" w:sz="0" w:space="0" w:color="auto"/>
        <w:bottom w:val="none" w:sz="0" w:space="0" w:color="auto"/>
        <w:right w:val="none" w:sz="0" w:space="0" w:color="auto"/>
      </w:divBdr>
    </w:div>
    <w:div w:id="1491368797">
      <w:bodyDiv w:val="1"/>
      <w:marLeft w:val="0"/>
      <w:marRight w:val="0"/>
      <w:marTop w:val="0"/>
      <w:marBottom w:val="0"/>
      <w:divBdr>
        <w:top w:val="none" w:sz="0" w:space="0" w:color="auto"/>
        <w:left w:val="none" w:sz="0" w:space="0" w:color="auto"/>
        <w:bottom w:val="none" w:sz="0" w:space="0" w:color="auto"/>
        <w:right w:val="none" w:sz="0" w:space="0" w:color="auto"/>
      </w:divBdr>
    </w:div>
    <w:div w:id="1507793044">
      <w:bodyDiv w:val="1"/>
      <w:marLeft w:val="0"/>
      <w:marRight w:val="0"/>
      <w:marTop w:val="0"/>
      <w:marBottom w:val="0"/>
      <w:divBdr>
        <w:top w:val="none" w:sz="0" w:space="0" w:color="auto"/>
        <w:left w:val="none" w:sz="0" w:space="0" w:color="auto"/>
        <w:bottom w:val="none" w:sz="0" w:space="0" w:color="auto"/>
        <w:right w:val="none" w:sz="0" w:space="0" w:color="auto"/>
      </w:divBdr>
    </w:div>
    <w:div w:id="1700861535">
      <w:bodyDiv w:val="1"/>
      <w:marLeft w:val="0"/>
      <w:marRight w:val="0"/>
      <w:marTop w:val="0"/>
      <w:marBottom w:val="0"/>
      <w:divBdr>
        <w:top w:val="none" w:sz="0" w:space="0" w:color="auto"/>
        <w:left w:val="none" w:sz="0" w:space="0" w:color="auto"/>
        <w:bottom w:val="none" w:sz="0" w:space="0" w:color="auto"/>
        <w:right w:val="none" w:sz="0" w:space="0" w:color="auto"/>
      </w:divBdr>
    </w:div>
    <w:div w:id="1820995744">
      <w:bodyDiv w:val="1"/>
      <w:marLeft w:val="0"/>
      <w:marRight w:val="0"/>
      <w:marTop w:val="0"/>
      <w:marBottom w:val="0"/>
      <w:divBdr>
        <w:top w:val="none" w:sz="0" w:space="0" w:color="auto"/>
        <w:left w:val="none" w:sz="0" w:space="0" w:color="auto"/>
        <w:bottom w:val="none" w:sz="0" w:space="0" w:color="auto"/>
        <w:right w:val="none" w:sz="0" w:space="0" w:color="auto"/>
      </w:divBdr>
    </w:div>
    <w:div w:id="1968582765">
      <w:bodyDiv w:val="1"/>
      <w:marLeft w:val="0"/>
      <w:marRight w:val="0"/>
      <w:marTop w:val="0"/>
      <w:marBottom w:val="0"/>
      <w:divBdr>
        <w:top w:val="none" w:sz="0" w:space="0" w:color="auto"/>
        <w:left w:val="none" w:sz="0" w:space="0" w:color="auto"/>
        <w:bottom w:val="none" w:sz="0" w:space="0" w:color="auto"/>
        <w:right w:val="none" w:sz="0" w:space="0" w:color="auto"/>
      </w:divBdr>
    </w:div>
    <w:div w:id="2005434126">
      <w:bodyDiv w:val="1"/>
      <w:marLeft w:val="0"/>
      <w:marRight w:val="0"/>
      <w:marTop w:val="0"/>
      <w:marBottom w:val="0"/>
      <w:divBdr>
        <w:top w:val="none" w:sz="0" w:space="0" w:color="auto"/>
        <w:left w:val="none" w:sz="0" w:space="0" w:color="auto"/>
        <w:bottom w:val="none" w:sz="0" w:space="0" w:color="auto"/>
        <w:right w:val="none" w:sz="0" w:space="0" w:color="auto"/>
      </w:divBdr>
    </w:div>
    <w:div w:id="207566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hyperlink" Target="https://www.cdc.gov/nhsn/PDFs/Biovigilance/BV-HV-protocol-current.pdf" TargetMode="Externa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issa.cumming@state.ma.us" TargetMode="External"/><Relationship Id="rId24" Type="http://schemas.openxmlformats.org/officeDocument/2006/relationships/image" Target="media/image11.emf"/><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10.png"/><Relationship Id="rId10" Type="http://schemas.openxmlformats.org/officeDocument/2006/relationships/hyperlink" Target="mailto:Alexandra.dejesus@state.ma.us" TargetMode="Externa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https://www.mass.gov/service-details/reporting-requirements-for-blood-banks-and-hemovigilance-in-massachusetts" TargetMode="External"/><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A5CB6-4232-4FB5-912B-49CBF188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2304</Words>
  <Characters>13136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BIDLS</dc:creator>
  <cp:lastModifiedBy>Fillo, Katherine (DPH)</cp:lastModifiedBy>
  <cp:revision>3</cp:revision>
  <cp:lastPrinted>2019-06-11T14:02:00Z</cp:lastPrinted>
  <dcterms:created xsi:type="dcterms:W3CDTF">2019-08-30T18:21:00Z</dcterms:created>
  <dcterms:modified xsi:type="dcterms:W3CDTF">2019-08-30T18:22:00Z</dcterms:modified>
</cp:coreProperties>
</file>