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1C07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4"/>
          <w:szCs w:val="4"/>
        </w:rPr>
      </w:pPr>
      <w:bookmarkStart w:id="0" w:name="_Hlk44000011"/>
      <w:bookmarkEnd w:id="0"/>
    </w:p>
    <w:p w14:paraId="1EDC21F8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36"/>
          <w:szCs w:val="36"/>
        </w:rPr>
      </w:pPr>
      <w:r w:rsidRPr="00DC35F4"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1607AC38" wp14:editId="3F66A6A0">
            <wp:extent cx="1212112" cy="1212112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112" cy="121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F05F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4"/>
          <w:szCs w:val="4"/>
        </w:rPr>
      </w:pPr>
    </w:p>
    <w:p w14:paraId="44855F14" w14:textId="77777777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6"/>
          <w:szCs w:val="32"/>
        </w:rPr>
      </w:pPr>
      <w:r w:rsidRPr="00DC35F4">
        <w:rPr>
          <w:rFonts w:ascii="Arial" w:hAnsi="Arial" w:cs="Arial"/>
          <w:b/>
          <w:sz w:val="36"/>
          <w:szCs w:val="32"/>
        </w:rPr>
        <w:t>Bureau of Infectious Disease and Laboratory Sciences</w:t>
      </w:r>
    </w:p>
    <w:p w14:paraId="4B9D51C4" w14:textId="05B6C23A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DC35F4">
        <w:rPr>
          <w:rFonts w:ascii="Arial" w:hAnsi="Arial" w:cs="Arial"/>
          <w:b/>
          <w:sz w:val="32"/>
          <w:szCs w:val="36"/>
        </w:rPr>
        <w:t xml:space="preserve">Hemovigilance Program Data Summary </w:t>
      </w:r>
    </w:p>
    <w:p w14:paraId="6D569B53" w14:textId="6D21C60C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DC35F4">
        <w:rPr>
          <w:rFonts w:ascii="Arial" w:hAnsi="Arial" w:cs="Arial"/>
          <w:b/>
          <w:sz w:val="32"/>
          <w:szCs w:val="36"/>
        </w:rPr>
        <w:t xml:space="preserve">January 1-December 31, </w:t>
      </w:r>
      <w:r w:rsidR="007A7C75">
        <w:rPr>
          <w:rFonts w:ascii="Arial" w:hAnsi="Arial" w:cs="Arial"/>
          <w:b/>
          <w:sz w:val="32"/>
          <w:szCs w:val="36"/>
        </w:rPr>
        <w:t>2020</w:t>
      </w:r>
    </w:p>
    <w:p w14:paraId="2E91B82A" w14:textId="77777777" w:rsidR="00052D68" w:rsidRDefault="00052D68" w:rsidP="00052D68"/>
    <w:p w14:paraId="2752E439" w14:textId="77777777" w:rsidR="006F0AC0" w:rsidRDefault="006F0AC0" w:rsidP="00477EE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2"/>
        </w:rPr>
      </w:pPr>
    </w:p>
    <w:p w14:paraId="320A24B1" w14:textId="77777777" w:rsidR="0031599C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4A2E66CD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712AB1C4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0DF2B09B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326DDC49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3BA8BC47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534BCEE0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1E4C5479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71516B6A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5B92A9F5" w14:textId="77777777" w:rsidR="0031599C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248EFDF0" w14:textId="77777777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b/>
        </w:rPr>
      </w:pPr>
      <w:r w:rsidRPr="00EA3F1A">
        <w:rPr>
          <w:rFonts w:ascii="Arial" w:eastAsia="Times New Roman" w:hAnsi="Arial" w:cs="Arial"/>
          <w:b/>
        </w:rPr>
        <w:t>Suggested citation:</w:t>
      </w:r>
    </w:p>
    <w:p w14:paraId="1CB0A32D" w14:textId="77777777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b/>
          <w:sz w:val="24"/>
        </w:rPr>
      </w:pPr>
    </w:p>
    <w:p w14:paraId="3F70B7A9" w14:textId="3DC85EC5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i/>
        </w:rPr>
      </w:pPr>
      <w:r w:rsidRPr="00EA3F1A">
        <w:rPr>
          <w:rFonts w:ascii="Arial" w:eastAsia="Times New Roman" w:hAnsi="Arial" w:cs="Arial"/>
        </w:rPr>
        <w:t>Massachusetts Department of Public Health, Bureau of Infectious Disease and Laboratory Sciences.</w:t>
      </w:r>
      <w:r w:rsidRPr="00EA3F1A">
        <w:rPr>
          <w:rFonts w:ascii="Arial" w:eastAsia="Times New Roman" w:hAnsi="Arial" w:cs="Arial"/>
          <w:b/>
        </w:rPr>
        <w:t xml:space="preserve"> </w:t>
      </w:r>
      <w:r w:rsidRPr="00EA3F1A">
        <w:rPr>
          <w:rFonts w:ascii="Arial" w:eastAsia="Times New Roman" w:hAnsi="Arial" w:cs="Arial"/>
          <w:i/>
        </w:rPr>
        <w:t>Hemovigilance Program Data Summary January 1 – December 31, 20</w:t>
      </w:r>
      <w:r w:rsidR="007A7C75">
        <w:rPr>
          <w:rFonts w:ascii="Arial" w:eastAsia="Times New Roman" w:hAnsi="Arial" w:cs="Arial"/>
          <w:i/>
        </w:rPr>
        <w:t>20</w:t>
      </w:r>
      <w:r w:rsidRPr="00EA3F1A">
        <w:rPr>
          <w:rFonts w:ascii="Arial" w:eastAsia="Times New Roman" w:hAnsi="Arial" w:cs="Arial"/>
          <w:i/>
        </w:rPr>
        <w:t>.</w:t>
      </w:r>
    </w:p>
    <w:p w14:paraId="62429EB7" w14:textId="4C7BE793" w:rsidR="00EA3F1A" w:rsidRPr="00EA3F1A" w:rsidRDefault="00081BB6" w:rsidP="00EA3F1A">
      <w:pPr>
        <w:spacing w:after="0" w:line="240" w:lineRule="auto"/>
        <w:rPr>
          <w:rFonts w:ascii="Arial" w:eastAsia="Times New Roman" w:hAnsi="Arial" w:cs="Arial"/>
        </w:rPr>
      </w:pPr>
      <w:hyperlink r:id="rId9" w:history="1">
        <w:r w:rsidR="00EA3F1A" w:rsidRPr="00EA3F1A">
          <w:rPr>
            <w:rFonts w:ascii="Arial" w:hAnsi="Arial" w:cs="Arial"/>
            <w:color w:val="0000FF"/>
            <w:u w:val="single"/>
          </w:rPr>
          <w:t>https://www.mass.gov/service-details/reporting-requirements-for-blood-banks-and-hemovigilance-in-massachusetts</w:t>
        </w:r>
      </w:hyperlink>
      <w:r w:rsidR="00EA3F1A" w:rsidRPr="00EA3F1A">
        <w:rPr>
          <w:rFonts w:ascii="Arial" w:eastAsia="Times New Roman" w:hAnsi="Arial" w:cs="Arial"/>
        </w:rPr>
        <w:t xml:space="preserve">. Published </w:t>
      </w:r>
      <w:r w:rsidR="00110F3F">
        <w:rPr>
          <w:rFonts w:ascii="Arial" w:eastAsia="Times New Roman" w:hAnsi="Arial" w:cs="Arial"/>
        </w:rPr>
        <w:t>October</w:t>
      </w:r>
      <w:r w:rsidR="00EA3F1A" w:rsidRPr="008F690D">
        <w:rPr>
          <w:rFonts w:ascii="Arial" w:eastAsia="Times New Roman" w:hAnsi="Arial" w:cs="Arial"/>
        </w:rPr>
        <w:t xml:space="preserve"> 20</w:t>
      </w:r>
      <w:r w:rsidR="004A1256" w:rsidRPr="008F690D">
        <w:rPr>
          <w:rFonts w:ascii="Arial" w:eastAsia="Times New Roman" w:hAnsi="Arial" w:cs="Arial"/>
        </w:rPr>
        <w:t>2</w:t>
      </w:r>
      <w:r w:rsidR="00305B70" w:rsidRPr="008F690D">
        <w:rPr>
          <w:rFonts w:ascii="Arial" w:eastAsia="Times New Roman" w:hAnsi="Arial" w:cs="Arial"/>
        </w:rPr>
        <w:t>1</w:t>
      </w:r>
      <w:r w:rsidR="00EA3F1A" w:rsidRPr="00EA3F1A">
        <w:rPr>
          <w:rFonts w:ascii="Arial" w:eastAsia="Times New Roman" w:hAnsi="Arial" w:cs="Arial"/>
        </w:rPr>
        <w:t>. Accessed [date].</w:t>
      </w:r>
    </w:p>
    <w:p w14:paraId="30CFC7E5" w14:textId="77777777" w:rsidR="0031599C" w:rsidRPr="00EA3F1A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Cs w:val="22"/>
          <w:lang w:val="en"/>
        </w:rPr>
      </w:pPr>
    </w:p>
    <w:p w14:paraId="2E3467DF" w14:textId="5DC2BF26" w:rsidR="00477EE3" w:rsidRPr="00EA3F1A" w:rsidRDefault="00477EE3" w:rsidP="00EA3F1A">
      <w:pPr>
        <w:pStyle w:val="NormalWeb"/>
        <w:shd w:val="clear" w:color="auto" w:fill="FFFFFF"/>
        <w:spacing w:after="0"/>
        <w:rPr>
          <w:rFonts w:ascii="Arial" w:hAnsi="Arial" w:cs="Arial"/>
          <w:sz w:val="22"/>
          <w:szCs w:val="22"/>
          <w:lang w:val="en"/>
        </w:rPr>
      </w:pPr>
      <w:r w:rsidRPr="00EA3F1A">
        <w:rPr>
          <w:rStyle w:val="Strong"/>
          <w:rFonts w:ascii="Arial" w:hAnsi="Arial" w:cs="Arial"/>
          <w:sz w:val="22"/>
          <w:szCs w:val="22"/>
          <w:lang w:val="en"/>
        </w:rPr>
        <w:t>Bureau of Infectious Disease and Laboratory Sciences</w:t>
      </w:r>
      <w:r w:rsidRPr="00EA3F1A">
        <w:rPr>
          <w:rFonts w:ascii="Arial" w:hAnsi="Arial" w:cs="Arial"/>
          <w:szCs w:val="22"/>
          <w:lang w:val="en"/>
        </w:rPr>
        <w:br/>
      </w:r>
      <w:r w:rsidR="00A929D7" w:rsidRPr="00EA3F1A">
        <w:rPr>
          <w:rFonts w:ascii="Arial" w:hAnsi="Arial" w:cs="Arial"/>
          <w:sz w:val="22"/>
          <w:szCs w:val="22"/>
          <w:lang w:val="en"/>
        </w:rPr>
        <w:t xml:space="preserve">The Massachusetts State </w:t>
      </w:r>
      <w:r w:rsidR="00655170" w:rsidRPr="00EA3F1A">
        <w:rPr>
          <w:rFonts w:ascii="Arial" w:hAnsi="Arial" w:cs="Arial"/>
          <w:sz w:val="22"/>
          <w:szCs w:val="22"/>
          <w:lang w:val="en"/>
        </w:rPr>
        <w:t xml:space="preserve">Public Health </w:t>
      </w:r>
      <w:r w:rsidR="00A929D7" w:rsidRPr="00EA3F1A">
        <w:rPr>
          <w:rFonts w:ascii="Arial" w:hAnsi="Arial" w:cs="Arial"/>
          <w:sz w:val="22"/>
          <w:szCs w:val="22"/>
          <w:lang w:val="en"/>
        </w:rPr>
        <w:t>Laboratory</w:t>
      </w:r>
      <w:r w:rsidRPr="00EA3F1A">
        <w:rPr>
          <w:rFonts w:ascii="Arial" w:hAnsi="Arial" w:cs="Arial"/>
          <w:sz w:val="22"/>
          <w:szCs w:val="22"/>
          <w:lang w:val="en"/>
        </w:rPr>
        <w:br/>
        <w:t>305 South Street</w:t>
      </w:r>
      <w:r w:rsidRPr="00EA3F1A">
        <w:rPr>
          <w:rFonts w:ascii="Arial" w:hAnsi="Arial" w:cs="Arial"/>
          <w:sz w:val="22"/>
          <w:szCs w:val="22"/>
          <w:lang w:val="en"/>
        </w:rPr>
        <w:br/>
        <w:t>Jamaica Plain, MA 02130</w:t>
      </w:r>
    </w:p>
    <w:p w14:paraId="2B819B06" w14:textId="77777777" w:rsidR="00EA3F1A" w:rsidRPr="00EA3F1A" w:rsidRDefault="00EA3F1A" w:rsidP="00EA3F1A">
      <w:pPr>
        <w:pStyle w:val="NormalWeb"/>
        <w:shd w:val="clear" w:color="auto" w:fill="FFFFFF"/>
        <w:spacing w:after="0"/>
        <w:rPr>
          <w:rFonts w:ascii="Arial" w:hAnsi="Arial" w:cs="Arial"/>
          <w:b/>
          <w:bCs/>
          <w:sz w:val="22"/>
          <w:szCs w:val="22"/>
          <w:lang w:val="en"/>
        </w:rPr>
      </w:pPr>
    </w:p>
    <w:p w14:paraId="2624F3D2" w14:textId="77777777" w:rsidR="00591FB5" w:rsidRPr="00EA3F1A" w:rsidRDefault="00591FB5" w:rsidP="00477EE3">
      <w:pPr>
        <w:spacing w:after="0" w:line="240" w:lineRule="auto"/>
        <w:rPr>
          <w:rFonts w:ascii="Arial" w:eastAsia="Times New Roman" w:hAnsi="Arial" w:cs="Arial"/>
          <w:b/>
        </w:rPr>
      </w:pPr>
      <w:r w:rsidRPr="00EA3F1A">
        <w:rPr>
          <w:rFonts w:ascii="Arial" w:eastAsia="Times New Roman" w:hAnsi="Arial" w:cs="Arial"/>
          <w:b/>
        </w:rPr>
        <w:t>For questions about this report, contact:</w:t>
      </w:r>
    </w:p>
    <w:p w14:paraId="72AA936E" w14:textId="7DDDC6D7" w:rsidR="00591FB5" w:rsidRPr="00EA3F1A" w:rsidRDefault="00081BB6" w:rsidP="00477EE3">
      <w:pPr>
        <w:spacing w:after="0" w:line="240" w:lineRule="auto"/>
        <w:rPr>
          <w:rFonts w:ascii="Arial" w:eastAsia="Times New Roman" w:hAnsi="Arial" w:cs="Arial"/>
        </w:rPr>
      </w:pPr>
      <w:hyperlink r:id="rId10" w:history="1">
        <w:r w:rsidR="007A7C75" w:rsidRPr="007A7C75">
          <w:rPr>
            <w:rStyle w:val="Hyperlink"/>
            <w:rFonts w:ascii="Arial" w:hAnsi="Arial" w:cs="Arial"/>
          </w:rPr>
          <w:t>Ashley.a.iannone@mass.gov</w:t>
        </w:r>
      </w:hyperlink>
      <w:r w:rsidR="007A7C75" w:rsidRPr="007A7C75">
        <w:rPr>
          <w:rFonts w:ascii="Arial" w:hAnsi="Arial" w:cs="Arial"/>
        </w:rPr>
        <w:t xml:space="preserve"> </w:t>
      </w:r>
      <w:r w:rsidR="00591FB5" w:rsidRPr="007A7C75">
        <w:rPr>
          <w:rFonts w:ascii="Arial" w:eastAsia="Times New Roman" w:hAnsi="Arial" w:cs="Arial"/>
        </w:rPr>
        <w:t>or</w:t>
      </w:r>
      <w:r w:rsidR="00591FB5" w:rsidRPr="00EA3F1A">
        <w:rPr>
          <w:rFonts w:ascii="Arial" w:eastAsia="Times New Roman" w:hAnsi="Arial" w:cs="Arial"/>
        </w:rPr>
        <w:t xml:space="preserve"> </w:t>
      </w:r>
      <w:hyperlink r:id="rId11" w:history="1">
        <w:r w:rsidR="00305B70" w:rsidRPr="00831B88">
          <w:rPr>
            <w:rStyle w:val="Hyperlink"/>
            <w:rFonts w:ascii="Arial" w:eastAsia="Times New Roman" w:hAnsi="Arial" w:cs="Arial"/>
          </w:rPr>
          <w:t>Melissa.cumming@mass.gov</w:t>
        </w:r>
      </w:hyperlink>
      <w:r w:rsidR="00305B70">
        <w:rPr>
          <w:rFonts w:ascii="Arial" w:eastAsia="Times New Roman" w:hAnsi="Arial" w:cs="Arial"/>
        </w:rPr>
        <w:t xml:space="preserve"> </w:t>
      </w:r>
    </w:p>
    <w:p w14:paraId="14E6E27E" w14:textId="77777777" w:rsidR="00477EE3" w:rsidRPr="00EA3F1A" w:rsidRDefault="00477EE3" w:rsidP="00477EE3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EA3F1A">
        <w:rPr>
          <w:rStyle w:val="SC2721"/>
          <w:rFonts w:ascii="Arial" w:hAnsi="Arial" w:cs="Arial"/>
          <w:b/>
          <w:bCs/>
          <w:sz w:val="22"/>
          <w:szCs w:val="22"/>
        </w:rPr>
        <w:t>Acknowledgments</w:t>
      </w:r>
    </w:p>
    <w:p w14:paraId="788BB53E" w14:textId="77777777" w:rsidR="00477EE3" w:rsidRPr="00EA3F1A" w:rsidRDefault="00477EE3" w:rsidP="00FD10D9">
      <w:pPr>
        <w:pStyle w:val="NoSpacing"/>
        <w:rPr>
          <w:rFonts w:ascii="Arial" w:hAnsi="Arial" w:cs="Arial"/>
        </w:rPr>
      </w:pPr>
      <w:r w:rsidRPr="00EA3F1A">
        <w:rPr>
          <w:rFonts w:ascii="Arial" w:hAnsi="Arial" w:cs="Arial"/>
          <w:spacing w:val="-1"/>
        </w:rPr>
        <w:t>This</w:t>
      </w:r>
      <w:r w:rsidRPr="00EA3F1A">
        <w:rPr>
          <w:rFonts w:ascii="Arial" w:hAnsi="Arial" w:cs="Arial"/>
        </w:rPr>
        <w:t xml:space="preserve"> report was prepared by the following MDPH staff:</w:t>
      </w:r>
    </w:p>
    <w:p w14:paraId="22B4F194" w14:textId="77777777" w:rsidR="00EA3F1A" w:rsidRPr="00EA3F1A" w:rsidRDefault="00EA3F1A" w:rsidP="00FD10D9">
      <w:pPr>
        <w:pStyle w:val="NoSpacing"/>
        <w:rPr>
          <w:rFonts w:ascii="Arial" w:hAnsi="Arial" w:cs="Arial"/>
        </w:rPr>
      </w:pPr>
    </w:p>
    <w:p w14:paraId="12A47D88" w14:textId="6700AD73" w:rsidR="000F1EBA" w:rsidRPr="00EA3F1A" w:rsidRDefault="007A7C75" w:rsidP="00FD10D9">
      <w:pPr>
        <w:pStyle w:val="NoSpacing"/>
        <w:rPr>
          <w:rFonts w:ascii="Arial" w:hAnsi="Arial" w:cs="Arial"/>
          <w:spacing w:val="-8"/>
          <w:lang w:val="es-SV"/>
        </w:rPr>
      </w:pPr>
      <w:r>
        <w:rPr>
          <w:rFonts w:ascii="Arial" w:hAnsi="Arial" w:cs="Arial"/>
          <w:lang w:val="es-SV"/>
        </w:rPr>
        <w:t>Ashley Iannone</w:t>
      </w:r>
      <w:r w:rsidR="00477EE3" w:rsidRPr="00EA3F1A">
        <w:rPr>
          <w:rFonts w:ascii="Arial" w:hAnsi="Arial" w:cs="Arial"/>
          <w:spacing w:val="-1"/>
          <w:lang w:val="es-SV"/>
        </w:rPr>
        <w:t>,</w:t>
      </w:r>
      <w:r w:rsidR="00477EE3" w:rsidRPr="00EA3F1A">
        <w:rPr>
          <w:rFonts w:ascii="Arial" w:hAnsi="Arial" w:cs="Arial"/>
          <w:spacing w:val="-8"/>
          <w:lang w:val="es-SV"/>
        </w:rPr>
        <w:t xml:space="preserve"> </w:t>
      </w:r>
      <w:r w:rsidR="00FD10D9" w:rsidRPr="00EA3F1A">
        <w:rPr>
          <w:rFonts w:ascii="Arial" w:hAnsi="Arial" w:cs="Arial"/>
          <w:spacing w:val="-8"/>
          <w:lang w:val="es-SV"/>
        </w:rPr>
        <w:t>MPH</w:t>
      </w:r>
    </w:p>
    <w:p w14:paraId="34B14340" w14:textId="43CA1161" w:rsidR="00EA3F1A" w:rsidRDefault="006C30E9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  <w:r w:rsidRPr="00EA3F1A">
        <w:rPr>
          <w:rFonts w:ascii="Arial" w:hAnsi="Arial" w:cs="Arial"/>
          <w:spacing w:val="1"/>
          <w:w w:val="99"/>
          <w:lang w:val="es-SV"/>
        </w:rPr>
        <w:t>Christina Brandeburg, MP</w:t>
      </w:r>
      <w:bookmarkStart w:id="1" w:name="report_v8"/>
      <w:bookmarkStart w:id="2" w:name="_Toc516748488"/>
      <w:bookmarkEnd w:id="1"/>
      <w:r w:rsidR="00B716CD">
        <w:rPr>
          <w:rFonts w:ascii="Arial" w:hAnsi="Arial" w:cs="Arial"/>
          <w:spacing w:val="1"/>
          <w:w w:val="99"/>
          <w:lang w:val="es-SV"/>
        </w:rPr>
        <w:t>H, CIC</w:t>
      </w:r>
    </w:p>
    <w:p w14:paraId="3A098E48" w14:textId="7ED76D6A" w:rsidR="00E35993" w:rsidRDefault="00E35993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  <w:r>
        <w:rPr>
          <w:rFonts w:ascii="Arial" w:hAnsi="Arial" w:cs="Arial"/>
          <w:spacing w:val="1"/>
          <w:w w:val="99"/>
          <w:lang w:val="es-SV"/>
        </w:rPr>
        <w:t>Jordan Schultz, MPH</w:t>
      </w:r>
    </w:p>
    <w:p w14:paraId="171DBEF9" w14:textId="77777777" w:rsidR="00305B70" w:rsidRPr="00EA3F1A" w:rsidRDefault="00305B70" w:rsidP="00305B70">
      <w:pPr>
        <w:pStyle w:val="NoSpacing"/>
        <w:rPr>
          <w:rFonts w:ascii="Arial" w:hAnsi="Arial" w:cs="Arial"/>
          <w:spacing w:val="1"/>
          <w:w w:val="99"/>
          <w:lang w:val="es-SV"/>
        </w:rPr>
      </w:pPr>
      <w:r w:rsidRPr="00EA3F1A">
        <w:rPr>
          <w:rFonts w:ascii="Arial" w:hAnsi="Arial" w:cs="Arial"/>
          <w:lang w:val="es-SV"/>
        </w:rPr>
        <w:t>Melissa</w:t>
      </w:r>
      <w:r w:rsidRPr="00EA3F1A">
        <w:rPr>
          <w:rFonts w:ascii="Arial" w:hAnsi="Arial" w:cs="Arial"/>
          <w:spacing w:val="-8"/>
          <w:lang w:val="es-SV"/>
        </w:rPr>
        <w:t xml:space="preserve"> </w:t>
      </w:r>
      <w:r w:rsidRPr="00EA3F1A">
        <w:rPr>
          <w:rFonts w:ascii="Arial" w:hAnsi="Arial" w:cs="Arial"/>
          <w:lang w:val="es-SV"/>
        </w:rPr>
        <w:t>Cumming,</w:t>
      </w:r>
      <w:r w:rsidRPr="00EA3F1A">
        <w:rPr>
          <w:rFonts w:ascii="Arial" w:hAnsi="Arial" w:cs="Arial"/>
          <w:spacing w:val="-9"/>
          <w:lang w:val="es-SV"/>
        </w:rPr>
        <w:t xml:space="preserve"> </w:t>
      </w:r>
      <w:r w:rsidRPr="00EA3F1A">
        <w:rPr>
          <w:rFonts w:ascii="Arial" w:hAnsi="Arial" w:cs="Arial"/>
          <w:spacing w:val="1"/>
          <w:lang w:val="es-SV"/>
        </w:rPr>
        <w:t>MS</w:t>
      </w:r>
      <w:r>
        <w:rPr>
          <w:rFonts w:ascii="Arial" w:hAnsi="Arial" w:cs="Arial"/>
          <w:spacing w:val="1"/>
          <w:w w:val="99"/>
          <w:lang w:val="es-SV"/>
        </w:rPr>
        <w:t>, CIC</w:t>
      </w:r>
    </w:p>
    <w:p w14:paraId="0F6DBC2E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7FD8E096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3E2CDD51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5A334BF5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7CF5E68B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009A5BF6" w14:textId="77777777" w:rsidR="00052D68" w:rsidRPr="00E447AD" w:rsidRDefault="00052D68" w:rsidP="00EA3F1A">
      <w:pPr>
        <w:pStyle w:val="NoSpacing"/>
        <w:jc w:val="center"/>
        <w:rPr>
          <w:rFonts w:ascii="Arial" w:eastAsia="Arial" w:hAnsi="Arial" w:cs="Arial"/>
          <w:sz w:val="20"/>
          <w:szCs w:val="20"/>
        </w:rPr>
      </w:pP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t>Executive</w:t>
      </w:r>
      <w:r w:rsidRPr="00E447A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t>Summary</w:t>
      </w:r>
      <w:bookmarkEnd w:id="2"/>
    </w:p>
    <w:p w14:paraId="3CC68A6A" w14:textId="77777777" w:rsidR="00052D68" w:rsidRPr="00E447AD" w:rsidRDefault="00052D68" w:rsidP="00052D68">
      <w:pPr>
        <w:widowControl w:val="0"/>
        <w:spacing w:before="6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7B8D821" w14:textId="77777777" w:rsidR="00052D68" w:rsidRPr="003B2B1A" w:rsidRDefault="003B2B1A" w:rsidP="00052D68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3B2B1A">
        <w:rPr>
          <w:rFonts w:ascii="Arial" w:eastAsia="Arial" w:hAnsi="Arial" w:cs="Arial"/>
          <w:b/>
          <w:bCs/>
          <w:spacing w:val="-1"/>
          <w:sz w:val="20"/>
          <w:szCs w:val="20"/>
        </w:rPr>
        <w:t>Introduction</w:t>
      </w:r>
    </w:p>
    <w:p w14:paraId="79484433" w14:textId="77777777" w:rsidR="003B2B1A" w:rsidRPr="00E447AD" w:rsidRDefault="003B2B1A" w:rsidP="00052D68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46D4D0A" w14:textId="54D03ECC" w:rsidR="00632BA9" w:rsidRPr="00E447AD" w:rsidRDefault="00632BA9" w:rsidP="00632BA9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This report includes data </w:t>
      </w:r>
      <w:r w:rsidR="000C017B">
        <w:rPr>
          <w:rFonts w:ascii="Arial" w:hAnsi="Arial" w:cs="Arial"/>
          <w:sz w:val="20"/>
          <w:szCs w:val="20"/>
        </w:rPr>
        <w:t>submitted</w:t>
      </w:r>
      <w:r w:rsidRPr="00E447AD">
        <w:rPr>
          <w:rFonts w:ascii="Arial" w:hAnsi="Arial" w:cs="Arial"/>
          <w:sz w:val="20"/>
          <w:szCs w:val="20"/>
        </w:rPr>
        <w:t xml:space="preserve"> by Massachusetts blood banks </w:t>
      </w:r>
      <w:r w:rsidR="000C017B">
        <w:rPr>
          <w:rFonts w:ascii="Arial" w:hAnsi="Arial" w:cs="Arial"/>
          <w:sz w:val="20"/>
          <w:szCs w:val="20"/>
        </w:rPr>
        <w:t xml:space="preserve">to </w:t>
      </w:r>
      <w:r w:rsidRPr="00E447AD">
        <w:rPr>
          <w:rFonts w:ascii="Arial" w:hAnsi="Arial" w:cs="Arial"/>
          <w:sz w:val="20"/>
          <w:szCs w:val="20"/>
        </w:rPr>
        <w:t xml:space="preserve">the Hemovigilance Module of the </w:t>
      </w:r>
      <w:r w:rsidR="00AF60D5">
        <w:rPr>
          <w:rFonts w:ascii="Arial" w:hAnsi="Arial" w:cs="Arial"/>
          <w:sz w:val="20"/>
          <w:szCs w:val="20"/>
        </w:rPr>
        <w:t xml:space="preserve">Centers for Disease Control and Prevention’s </w:t>
      </w:r>
      <w:r w:rsidRPr="00E447AD">
        <w:rPr>
          <w:rFonts w:ascii="Arial" w:hAnsi="Arial" w:cs="Arial"/>
          <w:sz w:val="20"/>
          <w:szCs w:val="20"/>
        </w:rPr>
        <w:t>National Healthcare Safety</w:t>
      </w:r>
      <w:r w:rsidRPr="00E447AD">
        <w:rPr>
          <w:rFonts w:ascii="Arial" w:hAnsi="Arial" w:cs="Arial"/>
          <w:spacing w:val="64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 xml:space="preserve">Network (NHSN) from January 1, </w:t>
      </w:r>
      <w:r w:rsidR="005E5E1E">
        <w:rPr>
          <w:rFonts w:ascii="Arial" w:hAnsi="Arial" w:cs="Arial"/>
          <w:sz w:val="20"/>
          <w:szCs w:val="20"/>
        </w:rPr>
        <w:t xml:space="preserve">2020 </w:t>
      </w:r>
      <w:r w:rsidR="005E5E1E" w:rsidRPr="00E447AD">
        <w:rPr>
          <w:rFonts w:ascii="Arial" w:hAnsi="Arial" w:cs="Arial"/>
          <w:sz w:val="20"/>
          <w:szCs w:val="20"/>
        </w:rPr>
        <w:t>through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 xml:space="preserve">December 31, </w:t>
      </w:r>
      <w:r w:rsidR="007A7C75">
        <w:rPr>
          <w:rFonts w:ascii="Arial" w:hAnsi="Arial" w:cs="Arial"/>
          <w:sz w:val="20"/>
          <w:szCs w:val="20"/>
        </w:rPr>
        <w:t>2020</w:t>
      </w:r>
      <w:r w:rsidRPr="00E447AD">
        <w:rPr>
          <w:rFonts w:ascii="Arial" w:hAnsi="Arial" w:cs="Arial"/>
          <w:sz w:val="20"/>
          <w:szCs w:val="20"/>
        </w:rPr>
        <w:t>. The</w:t>
      </w:r>
      <w:r w:rsidRPr="00E447AD">
        <w:rPr>
          <w:rFonts w:ascii="Arial" w:hAnsi="Arial" w:cs="Arial"/>
          <w:spacing w:val="20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purpose of this report is to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provide information on transfusion activity in the state, as well as on transfusion-associated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adverse events. Blood banks in Massachusetts can examine their own facility metrics and use this report for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comparison and context.</w:t>
      </w:r>
    </w:p>
    <w:p w14:paraId="503163DB" w14:textId="77777777" w:rsidR="004657B4" w:rsidRDefault="004657B4" w:rsidP="004657B4">
      <w:pPr>
        <w:widowControl w:val="0"/>
        <w:spacing w:before="48" w:after="0" w:line="240" w:lineRule="auto"/>
        <w:ind w:left="37"/>
        <w:outlineLvl w:val="0"/>
        <w:rPr>
          <w:rFonts w:ascii="Arial" w:eastAsia="Arial" w:hAnsi="Arial" w:cs="Times New Roman"/>
          <w:bCs/>
          <w:sz w:val="20"/>
          <w:szCs w:val="20"/>
        </w:rPr>
      </w:pPr>
    </w:p>
    <w:p w14:paraId="0B889984" w14:textId="2ED0061D" w:rsidR="00A70050" w:rsidRDefault="004657B4" w:rsidP="004657B4">
      <w:pPr>
        <w:pStyle w:val="NoSpacing"/>
        <w:rPr>
          <w:rFonts w:ascii="Arial" w:eastAsia="Arial" w:hAnsi="Arial" w:cs="Times New Roman"/>
          <w:b/>
          <w:bCs/>
          <w:sz w:val="20"/>
        </w:rPr>
      </w:pPr>
      <w:r w:rsidRPr="00E447AD">
        <w:rPr>
          <w:rFonts w:ascii="Arial" w:eastAsia="Arial" w:hAnsi="Arial" w:cs="Times New Roman"/>
          <w:bCs/>
          <w:sz w:val="20"/>
          <w:szCs w:val="20"/>
        </w:rPr>
        <w:t xml:space="preserve">The members of the </w:t>
      </w:r>
      <w:r>
        <w:rPr>
          <w:rFonts w:ascii="Arial" w:eastAsia="Arial" w:hAnsi="Arial" w:cs="Times New Roman"/>
          <w:bCs/>
          <w:sz w:val="20"/>
          <w:szCs w:val="20"/>
        </w:rPr>
        <w:t xml:space="preserve">Massachusetts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Hemovigilance </w:t>
      </w:r>
      <w:r w:rsidR="00CC4C1F">
        <w:rPr>
          <w:rFonts w:ascii="Arial" w:eastAsia="Arial" w:hAnsi="Arial" w:cs="Times New Roman"/>
          <w:bCs/>
          <w:sz w:val="20"/>
          <w:szCs w:val="20"/>
        </w:rPr>
        <w:t>Technical Advisory Group (</w:t>
      </w:r>
      <w:r w:rsidRPr="00E447AD">
        <w:rPr>
          <w:rFonts w:ascii="Arial" w:eastAsia="Arial" w:hAnsi="Arial" w:cs="Times New Roman"/>
          <w:bCs/>
          <w:sz w:val="20"/>
          <w:szCs w:val="20"/>
        </w:rPr>
        <w:t>TAG</w:t>
      </w:r>
      <w:r w:rsidR="00CC4C1F">
        <w:rPr>
          <w:rFonts w:ascii="Arial" w:eastAsia="Arial" w:hAnsi="Arial" w:cs="Times New Roman"/>
          <w:bCs/>
          <w:sz w:val="20"/>
          <w:szCs w:val="20"/>
        </w:rPr>
        <w:t>)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 appreciate the committed participation </w:t>
      </w:r>
      <w:r w:rsidR="00D17C18" w:rsidRPr="00E447AD">
        <w:rPr>
          <w:rFonts w:ascii="Arial" w:eastAsia="Arial" w:hAnsi="Arial" w:cs="Times New Roman"/>
          <w:bCs/>
          <w:sz w:val="20"/>
          <w:szCs w:val="20"/>
        </w:rPr>
        <w:t>of Massachusetts</w:t>
      </w:r>
      <w:r>
        <w:rPr>
          <w:rFonts w:ascii="Arial" w:eastAsia="Arial" w:hAnsi="Arial" w:cs="Times New Roman"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blood banks </w:t>
      </w:r>
      <w:r>
        <w:rPr>
          <w:rFonts w:ascii="Arial" w:eastAsia="Arial" w:hAnsi="Arial" w:cs="Times New Roman"/>
          <w:bCs/>
          <w:sz w:val="20"/>
          <w:szCs w:val="20"/>
        </w:rPr>
        <w:t xml:space="preserve">and transfusion services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in </w:t>
      </w:r>
      <w:r>
        <w:rPr>
          <w:rFonts w:ascii="Arial" w:eastAsia="Arial" w:hAnsi="Arial" w:cs="Times New Roman"/>
          <w:bCs/>
          <w:sz w:val="20"/>
          <w:szCs w:val="20"/>
        </w:rPr>
        <w:t xml:space="preserve">reporting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hemovigilance </w:t>
      </w:r>
      <w:r>
        <w:rPr>
          <w:rFonts w:ascii="Arial" w:eastAsia="Arial" w:hAnsi="Arial" w:cs="Times New Roman"/>
          <w:bCs/>
          <w:sz w:val="20"/>
          <w:szCs w:val="20"/>
        </w:rPr>
        <w:t>data to NHSN</w:t>
      </w:r>
      <w:r w:rsidR="00987BC5">
        <w:rPr>
          <w:rFonts w:ascii="Arial" w:eastAsia="Arial" w:hAnsi="Arial" w:cs="Times New Roman"/>
          <w:bCs/>
          <w:sz w:val="20"/>
          <w:szCs w:val="20"/>
        </w:rPr>
        <w:t xml:space="preserve"> for the past </w:t>
      </w:r>
      <w:r w:rsidR="00F75D27">
        <w:rPr>
          <w:rFonts w:ascii="Arial" w:eastAsia="Arial" w:hAnsi="Arial" w:cs="Times New Roman"/>
          <w:bCs/>
          <w:sz w:val="20"/>
          <w:szCs w:val="20"/>
        </w:rPr>
        <w:t>7</w:t>
      </w:r>
      <w:r w:rsidR="00983939">
        <w:rPr>
          <w:rFonts w:ascii="Arial" w:eastAsia="Arial" w:hAnsi="Arial" w:cs="Times New Roman"/>
          <w:bCs/>
          <w:sz w:val="20"/>
          <w:szCs w:val="20"/>
        </w:rPr>
        <w:t xml:space="preserve"> </w:t>
      </w:r>
      <w:r w:rsidR="00987BC5">
        <w:rPr>
          <w:rFonts w:ascii="Arial" w:eastAsia="Arial" w:hAnsi="Arial" w:cs="Times New Roman"/>
          <w:bCs/>
          <w:sz w:val="20"/>
          <w:szCs w:val="20"/>
        </w:rPr>
        <w:t>years</w:t>
      </w:r>
      <w:r>
        <w:rPr>
          <w:rFonts w:ascii="Arial" w:eastAsia="Arial" w:hAnsi="Arial" w:cs="Times New Roman"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Times New Roman"/>
          <w:bCs/>
          <w:sz w:val="20"/>
          <w:szCs w:val="20"/>
        </w:rPr>
        <w:t>and hope that the availability of the metrics contained in this report will be useful</w:t>
      </w:r>
      <w:r>
        <w:rPr>
          <w:rFonts w:ascii="Arial" w:eastAsia="Arial" w:hAnsi="Arial" w:cs="Times New Roman"/>
          <w:bCs/>
          <w:sz w:val="20"/>
          <w:szCs w:val="20"/>
        </w:rPr>
        <w:t xml:space="preserve"> to them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 for comparison, context, and quality improvement.</w:t>
      </w:r>
      <w:r w:rsidRPr="004657B4">
        <w:rPr>
          <w:rFonts w:ascii="Arial" w:eastAsia="Arial" w:hAnsi="Arial" w:cs="Times New Roman"/>
          <w:b/>
          <w:bCs/>
          <w:sz w:val="20"/>
        </w:rPr>
        <w:t xml:space="preserve"> </w:t>
      </w:r>
    </w:p>
    <w:p w14:paraId="12760F02" w14:textId="77777777" w:rsidR="00A70050" w:rsidRDefault="00A70050" w:rsidP="004657B4">
      <w:pPr>
        <w:pStyle w:val="NoSpacing"/>
        <w:rPr>
          <w:rFonts w:ascii="Arial" w:eastAsia="Arial" w:hAnsi="Arial" w:cs="Times New Roman"/>
          <w:b/>
          <w:bCs/>
          <w:sz w:val="20"/>
        </w:rPr>
      </w:pPr>
    </w:p>
    <w:p w14:paraId="562A8017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B716CD">
        <w:rPr>
          <w:rFonts w:ascii="Arial" w:eastAsia="Arial" w:hAnsi="Arial" w:cs="Times New Roman"/>
          <w:b/>
          <w:bCs/>
          <w:sz w:val="20"/>
        </w:rPr>
        <w:t>Key Findings</w:t>
      </w:r>
    </w:p>
    <w:p w14:paraId="3780CD52" w14:textId="77777777" w:rsidR="004657B4" w:rsidRDefault="004657B4" w:rsidP="004657B4">
      <w:pPr>
        <w:widowControl w:val="0"/>
        <w:spacing w:before="48" w:after="0" w:line="240" w:lineRule="auto"/>
        <w:ind w:left="37"/>
        <w:outlineLvl w:val="0"/>
        <w:rPr>
          <w:rFonts w:ascii="Arial" w:eastAsia="Arial" w:hAnsi="Arial" w:cs="Times New Roman"/>
          <w:b/>
          <w:bCs/>
          <w:sz w:val="18"/>
          <w:szCs w:val="20"/>
        </w:rPr>
      </w:pPr>
    </w:p>
    <w:p w14:paraId="618D4E52" w14:textId="279C9D7A" w:rsidR="000461F2" w:rsidRDefault="00983939" w:rsidP="000461F2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0"/>
        </w:rPr>
      </w:pPr>
      <w:r w:rsidRPr="00E72C8D">
        <w:rPr>
          <w:rFonts w:ascii="Arial" w:hAnsi="Arial" w:cs="Arial"/>
          <w:noProof/>
          <w:sz w:val="20"/>
        </w:rPr>
        <w:t>Total volume of transfused products decreased overall in 2020,</w:t>
      </w:r>
      <w:r w:rsidR="00833399" w:rsidRPr="00E72C8D">
        <w:rPr>
          <w:rFonts w:ascii="Arial" w:hAnsi="Arial" w:cs="Arial"/>
          <w:noProof/>
          <w:sz w:val="20"/>
        </w:rPr>
        <w:t xml:space="preserve"> likely due to </w:t>
      </w:r>
      <w:r w:rsidR="00EF0405">
        <w:rPr>
          <w:rFonts w:ascii="Arial" w:hAnsi="Arial" w:cs="Arial"/>
          <w:noProof/>
          <w:sz w:val="20"/>
        </w:rPr>
        <w:t xml:space="preserve">changes in </w:t>
      </w:r>
      <w:r w:rsidR="00833399" w:rsidRPr="00E72C8D">
        <w:rPr>
          <w:rFonts w:ascii="Arial" w:hAnsi="Arial" w:cs="Arial"/>
          <w:noProof/>
          <w:sz w:val="20"/>
        </w:rPr>
        <w:t>blood produc</w:t>
      </w:r>
      <w:r w:rsidR="00E72C8D" w:rsidRPr="00E72C8D">
        <w:rPr>
          <w:rFonts w:ascii="Arial" w:hAnsi="Arial" w:cs="Arial"/>
          <w:noProof/>
          <w:sz w:val="20"/>
        </w:rPr>
        <w:t>t</w:t>
      </w:r>
      <w:r w:rsidR="00833399" w:rsidRPr="00E72C8D">
        <w:rPr>
          <w:rFonts w:ascii="Arial" w:hAnsi="Arial" w:cs="Arial"/>
          <w:noProof/>
          <w:sz w:val="20"/>
        </w:rPr>
        <w:t xml:space="preserve"> </w:t>
      </w:r>
      <w:r w:rsidR="00E72C8D" w:rsidRPr="00E72C8D">
        <w:rPr>
          <w:rFonts w:ascii="Arial" w:hAnsi="Arial" w:cs="Arial"/>
          <w:noProof/>
          <w:sz w:val="20"/>
        </w:rPr>
        <w:t>utilization</w:t>
      </w:r>
      <w:r w:rsidR="00833399" w:rsidRPr="00E72C8D">
        <w:rPr>
          <w:rFonts w:ascii="Arial" w:hAnsi="Arial" w:cs="Arial"/>
          <w:noProof/>
          <w:sz w:val="20"/>
        </w:rPr>
        <w:t xml:space="preserve"> </w:t>
      </w:r>
      <w:r w:rsidR="00E72C8D" w:rsidRPr="00E72C8D">
        <w:rPr>
          <w:rFonts w:ascii="Arial" w:hAnsi="Arial" w:cs="Arial"/>
          <w:noProof/>
          <w:sz w:val="20"/>
        </w:rPr>
        <w:t xml:space="preserve">as a result of </w:t>
      </w:r>
      <w:r w:rsidR="00833399" w:rsidRPr="00E72C8D">
        <w:rPr>
          <w:rFonts w:ascii="Arial" w:hAnsi="Arial" w:cs="Arial"/>
          <w:noProof/>
          <w:sz w:val="20"/>
        </w:rPr>
        <w:t>COVID-19</w:t>
      </w:r>
      <w:r w:rsidR="00E72C8D" w:rsidRPr="00E72C8D">
        <w:rPr>
          <w:rFonts w:ascii="Arial" w:hAnsi="Arial" w:cs="Arial"/>
          <w:noProof/>
          <w:sz w:val="20"/>
        </w:rPr>
        <w:t xml:space="preserve"> </w:t>
      </w:r>
      <w:r w:rsidR="00E72C8D">
        <w:rPr>
          <w:rFonts w:ascii="Arial" w:hAnsi="Arial" w:cs="Arial"/>
          <w:noProof/>
          <w:sz w:val="20"/>
        </w:rPr>
        <w:t>P</w:t>
      </w:r>
      <w:r w:rsidR="00E72C8D" w:rsidRPr="00E72C8D">
        <w:rPr>
          <w:rFonts w:ascii="Arial" w:hAnsi="Arial" w:cs="Arial"/>
          <w:noProof/>
          <w:sz w:val="20"/>
        </w:rPr>
        <w:t>andemic</w:t>
      </w:r>
      <w:r w:rsidR="00EF0405">
        <w:rPr>
          <w:rFonts w:ascii="Arial" w:hAnsi="Arial" w:cs="Arial"/>
          <w:noProof/>
          <w:sz w:val="20"/>
        </w:rPr>
        <w:t xml:space="preserve"> response efforts</w:t>
      </w:r>
      <w:r w:rsidR="000461F2">
        <w:rPr>
          <w:rFonts w:ascii="Arial" w:hAnsi="Arial" w:cs="Arial"/>
          <w:noProof/>
          <w:sz w:val="20"/>
        </w:rPr>
        <w:t>.</w:t>
      </w:r>
      <w:r w:rsidR="000461F2">
        <w:rPr>
          <w:rFonts w:ascii="Arial" w:hAnsi="Arial" w:cs="Arial"/>
          <w:noProof/>
          <w:sz w:val="20"/>
          <w:vertAlign w:val="superscript"/>
        </w:rPr>
        <w:t>1</w:t>
      </w:r>
      <w:r w:rsidR="00833399" w:rsidRPr="00E72C8D">
        <w:rPr>
          <w:rFonts w:ascii="Arial" w:hAnsi="Arial" w:cs="Arial"/>
          <w:noProof/>
          <w:sz w:val="20"/>
        </w:rPr>
        <w:t xml:space="preserve"> </w:t>
      </w:r>
    </w:p>
    <w:p w14:paraId="04755D67" w14:textId="06C03044" w:rsidR="00E55070" w:rsidRPr="000461F2" w:rsidRDefault="00983939" w:rsidP="000461F2">
      <w:pPr>
        <w:pStyle w:val="ListParagraph"/>
        <w:spacing w:after="0" w:line="240" w:lineRule="auto"/>
        <w:rPr>
          <w:rFonts w:ascii="Arial" w:hAnsi="Arial" w:cs="Arial"/>
          <w:sz w:val="20"/>
        </w:rPr>
      </w:pPr>
      <w:r w:rsidRPr="00E72C8D">
        <w:rPr>
          <w:rFonts w:ascii="Arial" w:hAnsi="Arial" w:cs="Arial"/>
          <w:noProof/>
          <w:sz w:val="20"/>
        </w:rPr>
        <w:t xml:space="preserve"> </w:t>
      </w:r>
    </w:p>
    <w:p w14:paraId="5FE4F026" w14:textId="70F3C1CD" w:rsidR="00E027D1" w:rsidRDefault="00E55070" w:rsidP="004657B4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 xml:space="preserve">There was an </w:t>
      </w:r>
      <w:r w:rsidR="00832F26">
        <w:rPr>
          <w:rFonts w:ascii="Arial" w:hAnsi="Arial" w:cs="Arial"/>
          <w:noProof/>
          <w:sz w:val="20"/>
        </w:rPr>
        <w:t xml:space="preserve">increase </w:t>
      </w:r>
      <w:r>
        <w:rPr>
          <w:rFonts w:ascii="Arial" w:hAnsi="Arial" w:cs="Arial"/>
          <w:noProof/>
          <w:sz w:val="20"/>
        </w:rPr>
        <w:t xml:space="preserve">in </w:t>
      </w:r>
      <w:r w:rsidR="00BA27D6">
        <w:rPr>
          <w:rFonts w:ascii="Arial" w:hAnsi="Arial" w:cs="Arial"/>
          <w:noProof/>
          <w:sz w:val="20"/>
        </w:rPr>
        <w:t xml:space="preserve">total </w:t>
      </w:r>
      <w:r>
        <w:rPr>
          <w:rFonts w:ascii="Arial" w:hAnsi="Arial" w:cs="Arial"/>
          <w:noProof/>
          <w:sz w:val="20"/>
        </w:rPr>
        <w:t xml:space="preserve">products discarded in </w:t>
      </w:r>
      <w:r w:rsidR="00832F26">
        <w:rPr>
          <w:rFonts w:ascii="Arial" w:hAnsi="Arial" w:cs="Arial"/>
          <w:noProof/>
          <w:sz w:val="20"/>
        </w:rPr>
        <w:t>Q1 and Q2 of 2020</w:t>
      </w:r>
      <w:r>
        <w:rPr>
          <w:rFonts w:ascii="Arial" w:hAnsi="Arial" w:cs="Arial"/>
          <w:noProof/>
          <w:sz w:val="20"/>
        </w:rPr>
        <w:t xml:space="preserve">, with plasma making up </w:t>
      </w:r>
      <w:r w:rsidR="00BA27D6">
        <w:rPr>
          <w:rFonts w:ascii="Arial" w:hAnsi="Arial" w:cs="Arial"/>
          <w:noProof/>
          <w:sz w:val="20"/>
        </w:rPr>
        <w:t>the largest proportion (</w:t>
      </w:r>
      <w:r w:rsidR="00832F26">
        <w:rPr>
          <w:rFonts w:ascii="Arial" w:hAnsi="Arial" w:cs="Arial"/>
          <w:noProof/>
          <w:sz w:val="20"/>
        </w:rPr>
        <w:t>17.6</w:t>
      </w:r>
      <w:r>
        <w:rPr>
          <w:rFonts w:ascii="Arial" w:hAnsi="Arial" w:cs="Arial"/>
          <w:noProof/>
          <w:sz w:val="20"/>
        </w:rPr>
        <w:t>%</w:t>
      </w:r>
      <w:r w:rsidR="00BA27D6">
        <w:rPr>
          <w:rFonts w:ascii="Arial" w:hAnsi="Arial" w:cs="Arial"/>
          <w:noProof/>
          <w:sz w:val="20"/>
        </w:rPr>
        <w:t>)</w:t>
      </w:r>
      <w:r>
        <w:rPr>
          <w:rFonts w:ascii="Arial" w:hAnsi="Arial" w:cs="Arial"/>
          <w:noProof/>
          <w:sz w:val="20"/>
        </w:rPr>
        <w:t xml:space="preserve"> of all product discards</w:t>
      </w:r>
      <w:r w:rsidR="008F690D">
        <w:rPr>
          <w:rFonts w:ascii="Arial" w:hAnsi="Arial" w:cs="Arial"/>
          <w:noProof/>
          <w:sz w:val="20"/>
        </w:rPr>
        <w:t xml:space="preserve"> in 2020</w:t>
      </w:r>
      <w:r>
        <w:rPr>
          <w:rFonts w:ascii="Arial" w:hAnsi="Arial" w:cs="Arial"/>
          <w:noProof/>
          <w:sz w:val="20"/>
        </w:rPr>
        <w:t>.</w:t>
      </w:r>
    </w:p>
    <w:p w14:paraId="1294AE78" w14:textId="77777777" w:rsidR="00987BC5" w:rsidRDefault="00987BC5" w:rsidP="00987BC5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7523D4EC" w14:textId="56B22FFB" w:rsidR="00987BC5" w:rsidRPr="00987BC5" w:rsidRDefault="00987BC5" w:rsidP="00987BC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 xml:space="preserve">There was a </w:t>
      </w:r>
      <w:r w:rsidR="00832F26">
        <w:rPr>
          <w:rFonts w:ascii="Arial" w:hAnsi="Arial" w:cs="Arial"/>
          <w:noProof/>
          <w:sz w:val="20"/>
        </w:rPr>
        <w:t>55</w:t>
      </w:r>
      <w:r w:rsidR="009D1461">
        <w:rPr>
          <w:rFonts w:ascii="Arial" w:hAnsi="Arial" w:cs="Arial"/>
          <w:noProof/>
          <w:sz w:val="20"/>
        </w:rPr>
        <w:t>%</w:t>
      </w:r>
      <w:r>
        <w:rPr>
          <w:rFonts w:ascii="Arial" w:hAnsi="Arial" w:cs="Arial"/>
          <w:noProof/>
          <w:sz w:val="20"/>
        </w:rPr>
        <w:t xml:space="preserve"> increase </w:t>
      </w:r>
      <w:r w:rsidRPr="0097210D">
        <w:rPr>
          <w:rFonts w:ascii="Arial" w:hAnsi="Arial" w:cs="Arial"/>
          <w:noProof/>
          <w:sz w:val="20"/>
        </w:rPr>
        <w:t>in whole blood transfusion</w:t>
      </w:r>
      <w:r>
        <w:rPr>
          <w:rFonts w:ascii="Arial" w:hAnsi="Arial" w:cs="Arial"/>
          <w:noProof/>
          <w:sz w:val="20"/>
        </w:rPr>
        <w:t>s</w:t>
      </w:r>
      <w:r w:rsidRPr="0097210D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 xml:space="preserve">in </w:t>
      </w:r>
      <w:r w:rsidR="00832F26">
        <w:rPr>
          <w:rFonts w:ascii="Arial" w:hAnsi="Arial" w:cs="Arial"/>
          <w:noProof/>
          <w:sz w:val="20"/>
        </w:rPr>
        <w:t>2020</w:t>
      </w:r>
      <w:r>
        <w:rPr>
          <w:rFonts w:ascii="Arial" w:hAnsi="Arial" w:cs="Arial"/>
          <w:noProof/>
          <w:sz w:val="20"/>
        </w:rPr>
        <w:t xml:space="preserve">, driven primarily by a facility in </w:t>
      </w:r>
      <w:r w:rsidR="00655170">
        <w:rPr>
          <w:rFonts w:ascii="Arial" w:hAnsi="Arial" w:cs="Arial"/>
          <w:noProof/>
          <w:sz w:val="20"/>
        </w:rPr>
        <w:t>bed size group (</w:t>
      </w:r>
      <w:r>
        <w:rPr>
          <w:rFonts w:ascii="Arial" w:hAnsi="Arial" w:cs="Arial"/>
          <w:noProof/>
          <w:sz w:val="20"/>
        </w:rPr>
        <w:t>BSG</w:t>
      </w:r>
      <w:r w:rsidR="00655170">
        <w:rPr>
          <w:rFonts w:ascii="Arial" w:hAnsi="Arial" w:cs="Arial"/>
          <w:noProof/>
          <w:sz w:val="20"/>
        </w:rPr>
        <w:t>)</w:t>
      </w:r>
      <w:r>
        <w:rPr>
          <w:rFonts w:ascii="Arial" w:hAnsi="Arial" w:cs="Arial"/>
          <w:noProof/>
          <w:sz w:val="20"/>
        </w:rPr>
        <w:t xml:space="preserve"> 3 (≥ 300 beds) that began a low-titer</w:t>
      </w:r>
      <w:r w:rsidR="00655170">
        <w:rPr>
          <w:rFonts w:ascii="Arial" w:hAnsi="Arial" w:cs="Arial"/>
          <w:noProof/>
          <w:sz w:val="20"/>
        </w:rPr>
        <w:t>,</w:t>
      </w:r>
      <w:r>
        <w:rPr>
          <w:rFonts w:ascii="Arial" w:hAnsi="Arial" w:cs="Arial"/>
          <w:noProof/>
          <w:sz w:val="20"/>
        </w:rPr>
        <w:t xml:space="preserve"> </w:t>
      </w:r>
      <w:r w:rsidR="00655170">
        <w:rPr>
          <w:rFonts w:ascii="Arial" w:hAnsi="Arial" w:cs="Arial"/>
          <w:noProof/>
          <w:sz w:val="20"/>
        </w:rPr>
        <w:t xml:space="preserve">type </w:t>
      </w:r>
      <w:r>
        <w:rPr>
          <w:rFonts w:ascii="Arial" w:hAnsi="Arial" w:cs="Arial"/>
          <w:noProof/>
          <w:sz w:val="20"/>
        </w:rPr>
        <w:t xml:space="preserve">O </w:t>
      </w:r>
      <w:r w:rsidR="00655170">
        <w:rPr>
          <w:rFonts w:ascii="Arial" w:hAnsi="Arial" w:cs="Arial"/>
          <w:noProof/>
          <w:sz w:val="20"/>
        </w:rPr>
        <w:t xml:space="preserve">positive </w:t>
      </w:r>
      <w:r>
        <w:rPr>
          <w:rFonts w:ascii="Arial" w:hAnsi="Arial" w:cs="Arial"/>
          <w:noProof/>
          <w:sz w:val="20"/>
        </w:rPr>
        <w:t>whole blood emergency release program</w:t>
      </w:r>
      <w:r w:rsidR="00832F26">
        <w:rPr>
          <w:rFonts w:ascii="Arial" w:hAnsi="Arial" w:cs="Arial"/>
          <w:noProof/>
          <w:sz w:val="20"/>
        </w:rPr>
        <w:t xml:space="preserve"> in 2019</w:t>
      </w:r>
      <w:r>
        <w:rPr>
          <w:rFonts w:ascii="Arial" w:hAnsi="Arial" w:cs="Arial"/>
          <w:noProof/>
          <w:sz w:val="20"/>
        </w:rPr>
        <w:t>.</w:t>
      </w:r>
      <w:r w:rsidR="00061025">
        <w:rPr>
          <w:rFonts w:ascii="Arial" w:hAnsi="Arial" w:cs="Arial"/>
          <w:noProof/>
          <w:sz w:val="20"/>
        </w:rPr>
        <w:t xml:space="preserve"> </w:t>
      </w:r>
    </w:p>
    <w:p w14:paraId="4A23FE7E" w14:textId="77777777" w:rsidR="004657B4" w:rsidRDefault="004657B4" w:rsidP="004657B4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61E6FB9E" w14:textId="132BFC6F" w:rsidR="004657B4" w:rsidRDefault="004657B4" w:rsidP="004657B4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 w:rsidRPr="004657B4">
        <w:rPr>
          <w:rFonts w:ascii="Arial" w:hAnsi="Arial" w:cs="Arial"/>
          <w:noProof/>
          <w:sz w:val="20"/>
        </w:rPr>
        <w:t>Febrile non-hemolytic transfusion reaction</w:t>
      </w:r>
      <w:r>
        <w:rPr>
          <w:rFonts w:ascii="Arial" w:hAnsi="Arial" w:cs="Arial"/>
          <w:noProof/>
          <w:sz w:val="20"/>
        </w:rPr>
        <w:t>s</w:t>
      </w:r>
      <w:r w:rsidRPr="004657B4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 xml:space="preserve">(FNHTRs) continue to comprise the </w:t>
      </w:r>
      <w:r w:rsidR="00655170">
        <w:rPr>
          <w:rFonts w:ascii="Arial" w:hAnsi="Arial" w:cs="Arial"/>
          <w:noProof/>
          <w:sz w:val="20"/>
        </w:rPr>
        <w:t xml:space="preserve">largest </w:t>
      </w:r>
      <w:r>
        <w:rPr>
          <w:rFonts w:ascii="Arial" w:hAnsi="Arial" w:cs="Arial"/>
          <w:noProof/>
          <w:sz w:val="20"/>
        </w:rPr>
        <w:t>number of adverse reactions.</w:t>
      </w:r>
    </w:p>
    <w:p w14:paraId="754FC00D" w14:textId="77777777" w:rsidR="004657B4" w:rsidRDefault="004657B4" w:rsidP="004657B4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6F89A2CD" w14:textId="4DA0A5BA" w:rsidR="00FE453C" w:rsidRDefault="00FD7E38" w:rsidP="00BA27D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The rate of all adverse reactions decreased from 18.5 per 10,000 products transfused in 2019, to 15.4 per 10,000 products transfused in 2020. </w:t>
      </w:r>
    </w:p>
    <w:p w14:paraId="4063A75F" w14:textId="77777777" w:rsidR="00BA27D6" w:rsidRPr="00BA27D6" w:rsidRDefault="00BA27D6" w:rsidP="00BA27D6">
      <w:pPr>
        <w:pStyle w:val="ListParagraph"/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424888A5" w14:textId="53C7F80E" w:rsidR="005A45BA" w:rsidRPr="000A7619" w:rsidRDefault="002C6C0A" w:rsidP="000A7619">
      <w:pPr>
        <w:numPr>
          <w:ilvl w:val="0"/>
          <w:numId w:val="7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68% of </w:t>
      </w:r>
      <w:r w:rsidR="00655170">
        <w:rPr>
          <w:rFonts w:ascii="Arial" w:hAnsi="Arial" w:cs="Arial"/>
          <w:noProof/>
          <w:sz w:val="20"/>
          <w:szCs w:val="20"/>
        </w:rPr>
        <w:t>transfusion-associated dyspnea (</w:t>
      </w:r>
      <w:r>
        <w:rPr>
          <w:rFonts w:ascii="Arial" w:hAnsi="Arial" w:cs="Arial"/>
          <w:noProof/>
          <w:sz w:val="20"/>
          <w:szCs w:val="20"/>
        </w:rPr>
        <w:t>TAD</w:t>
      </w:r>
      <w:r w:rsidR="00655170">
        <w:rPr>
          <w:rFonts w:ascii="Arial" w:hAnsi="Arial" w:cs="Arial"/>
          <w:noProof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 xml:space="preserve"> cases in 2020 were reported by two faciliies in BSG 3.</w:t>
      </w:r>
    </w:p>
    <w:p w14:paraId="6180DB85" w14:textId="77777777" w:rsidR="004657B4" w:rsidRPr="00BA27D6" w:rsidRDefault="004657B4" w:rsidP="004657B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4A5637B6" w14:textId="55527221" w:rsidR="002C49F0" w:rsidRDefault="004657B4" w:rsidP="000A7619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P</w:t>
      </w:r>
      <w:r w:rsidRPr="00437553">
        <w:rPr>
          <w:rFonts w:ascii="Arial" w:hAnsi="Arial" w:cs="Arial"/>
          <w:noProof/>
          <w:sz w:val="20"/>
        </w:rPr>
        <w:t>latelets continue to be the blood product associated with</w:t>
      </w:r>
      <w:r w:rsidR="00310CD4">
        <w:rPr>
          <w:rFonts w:ascii="Arial" w:hAnsi="Arial" w:cs="Arial"/>
          <w:noProof/>
          <w:sz w:val="20"/>
        </w:rPr>
        <w:t xml:space="preserve"> both </w:t>
      </w:r>
      <w:r w:rsidRPr="00437553">
        <w:rPr>
          <w:rFonts w:ascii="Arial" w:hAnsi="Arial" w:cs="Arial"/>
          <w:noProof/>
          <w:sz w:val="20"/>
        </w:rPr>
        <w:t xml:space="preserve">the highest </w:t>
      </w:r>
      <w:r w:rsidR="00310CD4">
        <w:rPr>
          <w:rFonts w:ascii="Arial" w:hAnsi="Arial" w:cs="Arial"/>
          <w:noProof/>
          <w:sz w:val="20"/>
        </w:rPr>
        <w:t xml:space="preserve">and most variable </w:t>
      </w:r>
      <w:r w:rsidRPr="00437553">
        <w:rPr>
          <w:rFonts w:ascii="Arial" w:hAnsi="Arial" w:cs="Arial"/>
          <w:noProof/>
          <w:sz w:val="20"/>
        </w:rPr>
        <w:t>rate of adverse reactions</w:t>
      </w:r>
      <w:r w:rsidR="00AD29D1">
        <w:rPr>
          <w:rFonts w:ascii="Arial" w:hAnsi="Arial" w:cs="Arial"/>
          <w:noProof/>
          <w:sz w:val="20"/>
        </w:rPr>
        <w:t xml:space="preserve"> </w:t>
      </w:r>
      <w:r w:rsidRPr="00437553">
        <w:rPr>
          <w:rFonts w:ascii="Arial" w:hAnsi="Arial" w:cs="Arial"/>
          <w:noProof/>
          <w:sz w:val="20"/>
        </w:rPr>
        <w:t>over time</w:t>
      </w:r>
      <w:r w:rsidR="00700C40">
        <w:rPr>
          <w:rFonts w:ascii="Arial" w:hAnsi="Arial" w:cs="Arial"/>
          <w:noProof/>
          <w:sz w:val="20"/>
        </w:rPr>
        <w:t>,</w:t>
      </w:r>
      <w:r w:rsidRPr="00437553">
        <w:rPr>
          <w:rFonts w:ascii="Arial" w:hAnsi="Arial" w:cs="Arial"/>
          <w:noProof/>
          <w:sz w:val="20"/>
        </w:rPr>
        <w:t xml:space="preserve"> </w:t>
      </w:r>
      <w:r w:rsidR="00655170">
        <w:rPr>
          <w:rFonts w:ascii="Arial" w:hAnsi="Arial" w:cs="Arial"/>
          <w:noProof/>
          <w:sz w:val="20"/>
        </w:rPr>
        <w:t>compared to</w:t>
      </w:r>
      <w:r w:rsidRPr="00437553">
        <w:rPr>
          <w:rFonts w:ascii="Arial" w:hAnsi="Arial" w:cs="Arial"/>
          <w:noProof/>
          <w:sz w:val="20"/>
        </w:rPr>
        <w:t xml:space="preserve"> other blood product types.</w:t>
      </w:r>
    </w:p>
    <w:p w14:paraId="385EAA02" w14:textId="77777777" w:rsidR="000A7619" w:rsidRPr="000A7619" w:rsidRDefault="000A7619" w:rsidP="000A7619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27A2B352" w14:textId="02C87BD1" w:rsidR="00A70050" w:rsidRDefault="00D86494" w:rsidP="00843A04">
      <w:pPr>
        <w:spacing w:after="0" w:line="240" w:lineRule="auto"/>
        <w:ind w:left="720"/>
        <w:rPr>
          <w:rFonts w:ascii="Arial" w:eastAsia="Arial" w:hAnsi="Arial" w:cs="Arial"/>
          <w:b/>
          <w:bCs/>
          <w:spacing w:val="-1"/>
          <w:sz w:val="20"/>
          <w:szCs w:val="20"/>
        </w:rPr>
      </w:pPr>
      <w:proofErr w:type="gramStart"/>
      <w:r>
        <w:rPr>
          <w:rFonts w:ascii="Arial" w:hAnsi="Arial" w:cs="Arial"/>
          <w:sz w:val="20"/>
        </w:rPr>
        <w:t xml:space="preserve">In </w:t>
      </w:r>
      <w:r w:rsidR="004C1525">
        <w:rPr>
          <w:rFonts w:ascii="Arial" w:hAnsi="Arial" w:cs="Arial"/>
          <w:sz w:val="20"/>
        </w:rPr>
        <w:t>an effort to</w:t>
      </w:r>
      <w:proofErr w:type="gramEnd"/>
      <w:r w:rsidR="004C1525">
        <w:rPr>
          <w:rFonts w:ascii="Arial" w:hAnsi="Arial" w:cs="Arial"/>
          <w:sz w:val="20"/>
        </w:rPr>
        <w:t xml:space="preserve"> capture data on a novel blood product introduced in 2020</w:t>
      </w:r>
      <w:r>
        <w:rPr>
          <w:rFonts w:ascii="Arial" w:hAnsi="Arial" w:cs="Arial"/>
          <w:sz w:val="20"/>
        </w:rPr>
        <w:t xml:space="preserve">, </w:t>
      </w:r>
      <w:r w:rsidR="004C1525">
        <w:rPr>
          <w:rFonts w:ascii="Arial" w:hAnsi="Arial" w:cs="Arial"/>
          <w:sz w:val="20"/>
        </w:rPr>
        <w:t>Massachusetts facilities began</w:t>
      </w:r>
      <w:r>
        <w:rPr>
          <w:rFonts w:ascii="Arial" w:hAnsi="Arial" w:cs="Arial"/>
          <w:sz w:val="20"/>
        </w:rPr>
        <w:t xml:space="preserve"> </w:t>
      </w:r>
      <w:r w:rsidR="004C1525">
        <w:rPr>
          <w:rFonts w:ascii="Arial" w:hAnsi="Arial" w:cs="Arial"/>
          <w:sz w:val="20"/>
        </w:rPr>
        <w:t>reporting</w:t>
      </w:r>
      <w:r>
        <w:rPr>
          <w:rFonts w:ascii="Arial" w:hAnsi="Arial" w:cs="Arial"/>
          <w:sz w:val="20"/>
        </w:rPr>
        <w:t xml:space="preserve"> data </w:t>
      </w:r>
      <w:r w:rsidR="004C1525">
        <w:rPr>
          <w:rFonts w:ascii="Arial" w:hAnsi="Arial" w:cs="Arial"/>
          <w:sz w:val="20"/>
        </w:rPr>
        <w:t xml:space="preserve">in NHSN </w:t>
      </w:r>
      <w:r>
        <w:rPr>
          <w:rFonts w:ascii="Arial" w:hAnsi="Arial" w:cs="Arial"/>
          <w:sz w:val="20"/>
        </w:rPr>
        <w:t xml:space="preserve">on </w:t>
      </w:r>
      <w:r w:rsidR="00134915" w:rsidRPr="00134915">
        <w:rPr>
          <w:rFonts w:ascii="Arial" w:hAnsi="Arial" w:cs="Arial"/>
          <w:sz w:val="20"/>
        </w:rPr>
        <w:t xml:space="preserve">COVID-19 Convalescent Plasma </w:t>
      </w:r>
      <w:r>
        <w:rPr>
          <w:rFonts w:ascii="Arial" w:hAnsi="Arial" w:cs="Arial"/>
          <w:sz w:val="20"/>
        </w:rPr>
        <w:t xml:space="preserve">(CCP) use. There were </w:t>
      </w:r>
      <w:bookmarkStart w:id="3" w:name="_Hlk81307168"/>
      <w:r>
        <w:rPr>
          <w:rFonts w:ascii="Arial" w:hAnsi="Arial" w:cs="Arial"/>
          <w:sz w:val="20"/>
        </w:rPr>
        <w:t xml:space="preserve">2,732 and 1,027 units of CCP transfused in 2020 and 2021, respectively. </w:t>
      </w:r>
      <w:r w:rsidR="00833399">
        <w:rPr>
          <w:rFonts w:ascii="Arial" w:hAnsi="Arial" w:cs="Arial"/>
          <w:sz w:val="20"/>
        </w:rPr>
        <w:t xml:space="preserve">During this </w:t>
      </w:r>
      <w:r w:rsidR="00E72C8D">
        <w:rPr>
          <w:rFonts w:ascii="Arial" w:hAnsi="Arial" w:cs="Arial"/>
          <w:sz w:val="20"/>
        </w:rPr>
        <w:t>2-year</w:t>
      </w:r>
      <w:r w:rsidR="00833399">
        <w:rPr>
          <w:rFonts w:ascii="Arial" w:hAnsi="Arial" w:cs="Arial"/>
          <w:sz w:val="20"/>
        </w:rPr>
        <w:t xml:space="preserve"> period t</w:t>
      </w:r>
      <w:r w:rsidR="000A7619">
        <w:rPr>
          <w:rFonts w:ascii="Arial" w:hAnsi="Arial" w:cs="Arial"/>
          <w:sz w:val="20"/>
        </w:rPr>
        <w:t>here were 6 non-severe adverse reactions associated with CCP transfusion, 3 of these being FNHTR</w:t>
      </w:r>
      <w:r w:rsidR="00061025">
        <w:rPr>
          <w:rFonts w:ascii="Arial" w:hAnsi="Arial" w:cs="Arial"/>
          <w:sz w:val="20"/>
        </w:rPr>
        <w:t>s</w:t>
      </w:r>
      <w:r w:rsidR="000A7619">
        <w:rPr>
          <w:rFonts w:ascii="Arial" w:hAnsi="Arial" w:cs="Arial"/>
          <w:sz w:val="20"/>
        </w:rPr>
        <w:t xml:space="preserve">. </w:t>
      </w:r>
      <w:bookmarkEnd w:id="3"/>
    </w:p>
    <w:p w14:paraId="39274D41" w14:textId="77777777" w:rsidR="00026955" w:rsidRDefault="00026955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3BA69D53" w14:textId="77777777" w:rsidR="00DB2DC7" w:rsidRDefault="00DB2DC7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F03EB2C" w14:textId="1C840BD9" w:rsidR="00DB2DC7" w:rsidRDefault="00DB2DC7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10C733A4" w14:textId="2AB86F3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008FD72C" w14:textId="293E50F5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56B493A8" w14:textId="68917267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EDEBDD3" w14:textId="32250A6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520D5847" w14:textId="6500787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5E1AD49C" w14:textId="465B3AE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34EFFF78" w14:textId="77777777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036BE008" w14:textId="77777777" w:rsidR="00DB2DC7" w:rsidRDefault="00DB2DC7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7283353F" w14:textId="52FE1493" w:rsidR="00DB2DC7" w:rsidRP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spacing w:val="-1"/>
          <w:sz w:val="16"/>
          <w:szCs w:val="16"/>
        </w:rPr>
      </w:pPr>
      <w:r w:rsidRPr="00843A04">
        <w:rPr>
          <w:rFonts w:ascii="Arial" w:eastAsia="Arial" w:hAnsi="Arial" w:cs="Arial"/>
          <w:b/>
          <w:bCs/>
          <w:spacing w:val="-1"/>
          <w:sz w:val="16"/>
          <w:szCs w:val="16"/>
          <w:vertAlign w:val="superscript"/>
        </w:rPr>
        <w:t xml:space="preserve">1 </w:t>
      </w:r>
      <w:r w:rsidRPr="00843A04">
        <w:rPr>
          <w:rFonts w:ascii="Arial" w:hAnsi="Arial" w:cs="Arial"/>
          <w:bCs/>
          <w:sz w:val="16"/>
          <w:szCs w:val="16"/>
        </w:rPr>
        <w:t>Kracalik, I, Mowla, S, Katz, L, Cumming, M, Sapiano, MRP, Basavaraju, SV. Impact of the early coronavirus disease 2019 pandemic on blood utilization in the United States: A time-series analysis of data reported to the National Healthcare Safety Network Hemovigilance Module. Transfusion. 2021; 61: S36– S43. https://doi.org/10.1111/trf.16451</w:t>
      </w:r>
    </w:p>
    <w:p w14:paraId="27C61054" w14:textId="2E9E9BB0" w:rsidR="004657B4" w:rsidRDefault="004657B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lastRenderedPageBreak/>
        <w:t>Technical Notes</w:t>
      </w:r>
    </w:p>
    <w:p w14:paraId="746D418D" w14:textId="77777777" w:rsidR="004657B4" w:rsidRPr="00E447AD" w:rsidRDefault="004657B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sz w:val="20"/>
          <w:szCs w:val="20"/>
        </w:rPr>
      </w:pPr>
    </w:p>
    <w:p w14:paraId="1E78B2AA" w14:textId="77777777" w:rsidR="00632BA9" w:rsidRDefault="00632BA9" w:rsidP="00632BA9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The following are inclusion criteria for </w:t>
      </w:r>
      <w:r w:rsidR="000C017B">
        <w:rPr>
          <w:rFonts w:ascii="Arial" w:hAnsi="Arial" w:cs="Arial"/>
          <w:sz w:val="20"/>
          <w:szCs w:val="20"/>
        </w:rPr>
        <w:t xml:space="preserve">the </w:t>
      </w:r>
      <w:r w:rsidRPr="00E447AD">
        <w:rPr>
          <w:rFonts w:ascii="Arial" w:hAnsi="Arial" w:cs="Arial"/>
          <w:sz w:val="20"/>
          <w:szCs w:val="20"/>
        </w:rPr>
        <w:t xml:space="preserve">adverse reactions </w:t>
      </w:r>
      <w:r w:rsidR="000C017B">
        <w:rPr>
          <w:rFonts w:ascii="Arial" w:hAnsi="Arial" w:cs="Arial"/>
          <w:sz w:val="20"/>
          <w:szCs w:val="20"/>
        </w:rPr>
        <w:t xml:space="preserve">included </w:t>
      </w:r>
      <w:r w:rsidRPr="00E447AD">
        <w:rPr>
          <w:rFonts w:ascii="Arial" w:hAnsi="Arial" w:cs="Arial"/>
          <w:sz w:val="20"/>
          <w:szCs w:val="20"/>
        </w:rPr>
        <w:t>in this report:</w:t>
      </w:r>
    </w:p>
    <w:p w14:paraId="176AE1BA" w14:textId="77777777" w:rsidR="004657B4" w:rsidRPr="00E447AD" w:rsidRDefault="004657B4" w:rsidP="00632BA9">
      <w:pPr>
        <w:pStyle w:val="NoSpacing"/>
        <w:rPr>
          <w:rFonts w:ascii="Arial" w:hAnsi="Arial" w:cs="Arial"/>
          <w:sz w:val="20"/>
          <w:szCs w:val="20"/>
        </w:rPr>
      </w:pPr>
    </w:p>
    <w:p w14:paraId="7A62585C" w14:textId="77777777" w:rsidR="00632BA9" w:rsidRPr="00E447AD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 xml:space="preserve">Case criteria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>reaction must either definitively or probably meet the NHSN case reporting criteria</w:t>
      </w:r>
    </w:p>
    <w:p w14:paraId="29E4BFAD" w14:textId="77777777" w:rsidR="00632BA9" w:rsidRPr="00E447AD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>Imputability</w:t>
      </w:r>
      <w:r w:rsidRPr="00E447AD">
        <w:rPr>
          <w:rFonts w:ascii="Arial" w:eastAsia="Times New Roman" w:hAnsi="Arial" w:cs="Arial"/>
          <w:sz w:val="20"/>
          <w:szCs w:val="20"/>
        </w:rPr>
        <w:t xml:space="preserve"> 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 xml:space="preserve">reaction must definitely, probably, or possibly meet </w:t>
      </w:r>
      <w:r w:rsidR="00020320" w:rsidRPr="00E447AD">
        <w:rPr>
          <w:rFonts w:ascii="Arial" w:eastAsia="Times New Roman" w:hAnsi="Arial" w:cs="Arial"/>
          <w:sz w:val="20"/>
          <w:szCs w:val="20"/>
        </w:rPr>
        <w:t xml:space="preserve">NHSN </w:t>
      </w:r>
      <w:r w:rsidRPr="00E447AD">
        <w:rPr>
          <w:rFonts w:ascii="Arial" w:eastAsia="Times New Roman" w:hAnsi="Arial" w:cs="Arial"/>
          <w:sz w:val="20"/>
          <w:szCs w:val="20"/>
        </w:rPr>
        <w:t>imputability criteria</w:t>
      </w:r>
    </w:p>
    <w:p w14:paraId="479A2C3C" w14:textId="77777777" w:rsidR="00632BA9" w:rsidRPr="00E447AD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 xml:space="preserve">Reaction type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>reaction must be one of twelve specified types</w:t>
      </w:r>
      <w:r w:rsidR="003F7CD1">
        <w:rPr>
          <w:rFonts w:ascii="Arial" w:eastAsia="Times New Roman" w:hAnsi="Arial" w:cs="Arial"/>
          <w:sz w:val="20"/>
          <w:szCs w:val="20"/>
        </w:rPr>
        <w:t xml:space="preserve"> in NHSN</w:t>
      </w:r>
      <w:r w:rsidRPr="00E447AD">
        <w:rPr>
          <w:rFonts w:ascii="Arial" w:eastAsia="Times New Roman" w:hAnsi="Arial" w:cs="Arial"/>
          <w:sz w:val="20"/>
          <w:szCs w:val="20"/>
        </w:rPr>
        <w:t>, excluding “Other” and “Unknown”</w:t>
      </w:r>
    </w:p>
    <w:p w14:paraId="009FD237" w14:textId="77777777" w:rsidR="00632BA9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 xml:space="preserve">Allergic reactions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Pr="00E447AD">
        <w:rPr>
          <w:rFonts w:ascii="Arial" w:eastAsia="Times New Roman" w:hAnsi="Arial" w:cs="Arial"/>
          <w:i/>
          <w:sz w:val="20"/>
          <w:szCs w:val="20"/>
        </w:rPr>
        <w:t>non-severe</w:t>
      </w:r>
      <w:r w:rsidRPr="00E447AD">
        <w:rPr>
          <w:rFonts w:ascii="Arial" w:eastAsia="Times New Roman" w:hAnsi="Arial" w:cs="Arial"/>
          <w:sz w:val="20"/>
          <w:szCs w:val="20"/>
        </w:rPr>
        <w:t xml:space="preserve"> allergic reactions are excluded from analysis </w:t>
      </w:r>
      <w:r w:rsidR="003F7CD1">
        <w:rPr>
          <w:rFonts w:ascii="Arial" w:eastAsia="Times New Roman" w:hAnsi="Arial" w:cs="Arial"/>
          <w:sz w:val="20"/>
          <w:szCs w:val="20"/>
        </w:rPr>
        <w:t xml:space="preserve">and </w:t>
      </w:r>
      <w:r w:rsidR="00E40583">
        <w:rPr>
          <w:rFonts w:ascii="Arial" w:eastAsia="Times New Roman" w:hAnsi="Arial" w:cs="Arial"/>
          <w:sz w:val="20"/>
          <w:szCs w:val="20"/>
        </w:rPr>
        <w:t>reporting is not</w:t>
      </w:r>
      <w:r w:rsidR="003F7CD1">
        <w:rPr>
          <w:rFonts w:ascii="Arial" w:eastAsia="Times New Roman" w:hAnsi="Arial" w:cs="Arial"/>
          <w:sz w:val="20"/>
          <w:szCs w:val="20"/>
        </w:rPr>
        <w:t xml:space="preserve"> require</w:t>
      </w:r>
      <w:r w:rsidR="00E40583">
        <w:rPr>
          <w:rFonts w:ascii="Arial" w:eastAsia="Times New Roman" w:hAnsi="Arial" w:cs="Arial"/>
          <w:sz w:val="20"/>
          <w:szCs w:val="20"/>
        </w:rPr>
        <w:t>d</w:t>
      </w:r>
    </w:p>
    <w:p w14:paraId="0E504859" w14:textId="77777777" w:rsidR="004657B4" w:rsidRDefault="004657B4" w:rsidP="00D828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3E8191" w14:textId="25784A55" w:rsidR="00614868" w:rsidRPr="00614868" w:rsidRDefault="00D8283E" w:rsidP="008F690D">
      <w:pPr>
        <w:spacing w:after="0" w:line="240" w:lineRule="auto"/>
      </w:pPr>
      <w:r w:rsidRPr="00D8283E">
        <w:rPr>
          <w:rFonts w:ascii="Arial" w:eastAsia="Times New Roman" w:hAnsi="Arial" w:cs="Arial"/>
          <w:sz w:val="20"/>
          <w:szCs w:val="20"/>
        </w:rPr>
        <w:t>Current reaction</w:t>
      </w:r>
      <w:r>
        <w:rPr>
          <w:rFonts w:ascii="Arial" w:eastAsia="Times New Roman" w:hAnsi="Arial" w:cs="Arial"/>
          <w:sz w:val="20"/>
          <w:szCs w:val="20"/>
        </w:rPr>
        <w:t xml:space="preserve"> definitions and imputability criteria can be found at the following link:</w:t>
      </w:r>
      <w:r w:rsidRPr="00D8283E">
        <w:rPr>
          <w:rFonts w:ascii="Arial" w:eastAsia="Times New Roman" w:hAnsi="Arial" w:cs="Arial"/>
          <w:sz w:val="20"/>
          <w:szCs w:val="20"/>
        </w:rPr>
        <w:t xml:space="preserve"> </w:t>
      </w:r>
      <w:hyperlink r:id="rId12" w:history="1">
        <w:r w:rsidRPr="00696369">
          <w:rPr>
            <w:rStyle w:val="Hyperlink"/>
            <w:rFonts w:ascii="Arial" w:hAnsi="Arial" w:cs="Arial"/>
            <w:sz w:val="20"/>
          </w:rPr>
          <w:t>https://www.cdc.gov/nhsn/PDFs/Biovigilance/BV-HV-protocol-current.pdf</w:t>
        </w:r>
      </w:hyperlink>
      <w:r w:rsidR="00C514B5" w:rsidRPr="00696369">
        <w:rPr>
          <w:rStyle w:val="Hyperlink"/>
          <w:rFonts w:ascii="Arial" w:hAnsi="Arial" w:cs="Arial"/>
          <w:sz w:val="20"/>
        </w:rPr>
        <w:t>.</w:t>
      </w:r>
    </w:p>
    <w:p w14:paraId="3DED2C4D" w14:textId="09110C86" w:rsidR="004657B4" w:rsidRPr="00E447AD" w:rsidRDefault="004657B4" w:rsidP="009D1461">
      <w:r w:rsidRPr="008F690D">
        <w:rPr>
          <w:rFonts w:ascii="Arial" w:hAnsi="Arial" w:cs="Arial"/>
          <w:sz w:val="20"/>
        </w:rPr>
        <w:br w:type="page"/>
      </w:r>
      <w:r w:rsidRPr="009D1461">
        <w:rPr>
          <w:rFonts w:ascii="Arial" w:hAnsi="Arial" w:cs="Arial"/>
          <w:b/>
          <w:bCs/>
        </w:rPr>
        <w:lastRenderedPageBreak/>
        <w:t>Data Summary</w:t>
      </w:r>
    </w:p>
    <w:p w14:paraId="4EC9637C" w14:textId="5EE9B459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E447AD">
        <w:rPr>
          <w:rFonts w:ascii="Arial" w:hAnsi="Arial" w:cs="Arial"/>
          <w:sz w:val="20"/>
        </w:rPr>
        <w:t>This report in</w:t>
      </w:r>
      <w:r>
        <w:rPr>
          <w:rFonts w:ascii="Arial" w:hAnsi="Arial" w:cs="Arial"/>
          <w:sz w:val="20"/>
        </w:rPr>
        <w:t xml:space="preserve">cludes data submitted by all </w:t>
      </w:r>
      <w:r w:rsidR="000A7619" w:rsidRPr="00820DB5">
        <w:rPr>
          <w:rFonts w:ascii="Arial" w:hAnsi="Arial" w:cs="Arial"/>
          <w:sz w:val="20"/>
        </w:rPr>
        <w:t>6</w:t>
      </w:r>
      <w:r w:rsidR="000A7619">
        <w:rPr>
          <w:rFonts w:ascii="Arial" w:hAnsi="Arial" w:cs="Arial"/>
          <w:sz w:val="20"/>
        </w:rPr>
        <w:t>7</w:t>
      </w:r>
      <w:r w:rsidR="000A7619" w:rsidRPr="00E447AD">
        <w:rPr>
          <w:rFonts w:ascii="Arial" w:hAnsi="Arial" w:cs="Arial"/>
          <w:sz w:val="20"/>
        </w:rPr>
        <w:t xml:space="preserve"> </w:t>
      </w:r>
      <w:r w:rsidRPr="00E447AD">
        <w:rPr>
          <w:rFonts w:ascii="Arial" w:hAnsi="Arial" w:cs="Arial"/>
          <w:sz w:val="20"/>
        </w:rPr>
        <w:t>blood banks</w:t>
      </w:r>
      <w:r>
        <w:rPr>
          <w:rFonts w:ascii="Arial" w:hAnsi="Arial" w:cs="Arial"/>
          <w:sz w:val="20"/>
        </w:rPr>
        <w:t xml:space="preserve"> licensed in</w:t>
      </w:r>
      <w:r w:rsidRPr="00E447AD">
        <w:rPr>
          <w:rFonts w:ascii="Arial" w:hAnsi="Arial" w:cs="Arial"/>
          <w:sz w:val="20"/>
        </w:rPr>
        <w:t xml:space="preserve"> Massachusetts.</w:t>
      </w:r>
      <w:r w:rsidR="00FF371E" w:rsidRPr="00FF371E">
        <w:rPr>
          <w:rFonts w:ascii="Arial" w:hAnsi="Arial" w:cs="Arial"/>
          <w:sz w:val="20"/>
        </w:rPr>
        <w:t xml:space="preserve"> Submission of data through the NHSN Hemovigilance Module is a regulatory requirement under 105 CMR 135.120 for all blood banks and transfusion services in Massachusetts. </w:t>
      </w:r>
      <w:r w:rsidRPr="00E447AD">
        <w:rPr>
          <w:rFonts w:ascii="Arial" w:hAnsi="Arial" w:cs="Arial"/>
          <w:sz w:val="20"/>
        </w:rPr>
        <w:t xml:space="preserve">Complete denominator and adverse reaction data were submitted by </w:t>
      </w:r>
      <w:r w:rsidR="006F4183">
        <w:rPr>
          <w:rFonts w:ascii="Arial" w:hAnsi="Arial" w:cs="Arial"/>
          <w:sz w:val="20"/>
        </w:rPr>
        <w:t xml:space="preserve">66 </w:t>
      </w:r>
      <w:r w:rsidRPr="00E447AD">
        <w:rPr>
          <w:rFonts w:ascii="Arial" w:hAnsi="Arial" w:cs="Arial"/>
          <w:sz w:val="20"/>
        </w:rPr>
        <w:t>facilities for all months covered.</w:t>
      </w:r>
      <w:r w:rsidR="006F4183">
        <w:rPr>
          <w:rFonts w:ascii="Arial" w:hAnsi="Arial" w:cs="Arial"/>
          <w:sz w:val="20"/>
        </w:rPr>
        <w:t xml:space="preserve"> One facility closed in 2020 but reported data to NHSN through June.</w:t>
      </w:r>
      <w:r w:rsidRPr="00E447AD">
        <w:rPr>
          <w:rFonts w:ascii="Arial" w:hAnsi="Arial" w:cs="Arial"/>
          <w:sz w:val="20"/>
        </w:rPr>
        <w:t xml:space="preserve"> Facilities were stratified into three bed size groups</w:t>
      </w:r>
      <w:r>
        <w:rPr>
          <w:rFonts w:ascii="Arial" w:hAnsi="Arial" w:cs="Arial"/>
          <w:sz w:val="20"/>
        </w:rPr>
        <w:t xml:space="preserve"> for this report</w:t>
      </w:r>
      <w:r w:rsidRPr="00E447AD">
        <w:rPr>
          <w:rFonts w:ascii="Arial" w:hAnsi="Arial" w:cs="Arial"/>
          <w:sz w:val="20"/>
        </w:rPr>
        <w:t xml:space="preserve">. </w:t>
      </w:r>
    </w:p>
    <w:p w14:paraId="1EFA59E6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05579BD5" w14:textId="0505529B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Responses to a </w:t>
      </w:r>
      <w:r w:rsidRPr="00E447AD">
        <w:rPr>
          <w:rFonts w:ascii="Arial" w:hAnsi="Arial" w:cs="Arial"/>
          <w:sz w:val="20"/>
        </w:rPr>
        <w:t xml:space="preserve">NHSN </w:t>
      </w:r>
      <w:r>
        <w:rPr>
          <w:rFonts w:ascii="Arial" w:hAnsi="Arial" w:cs="Arial"/>
          <w:sz w:val="20"/>
        </w:rPr>
        <w:t>a</w:t>
      </w:r>
      <w:r w:rsidRPr="00E447AD">
        <w:rPr>
          <w:rFonts w:ascii="Arial" w:hAnsi="Arial" w:cs="Arial"/>
          <w:sz w:val="20"/>
        </w:rPr>
        <w:t xml:space="preserve">nnual </w:t>
      </w:r>
      <w:r>
        <w:rPr>
          <w:rFonts w:ascii="Arial" w:hAnsi="Arial" w:cs="Arial"/>
          <w:sz w:val="20"/>
        </w:rPr>
        <w:t>f</w:t>
      </w:r>
      <w:r w:rsidRPr="00E447AD">
        <w:rPr>
          <w:rFonts w:ascii="Arial" w:hAnsi="Arial" w:cs="Arial"/>
          <w:sz w:val="20"/>
        </w:rPr>
        <w:t xml:space="preserve">acility </w:t>
      </w:r>
      <w:r>
        <w:rPr>
          <w:rFonts w:ascii="Arial" w:hAnsi="Arial" w:cs="Arial"/>
          <w:sz w:val="20"/>
        </w:rPr>
        <w:t>s</w:t>
      </w:r>
      <w:r w:rsidRPr="00E447AD">
        <w:rPr>
          <w:rFonts w:ascii="Arial" w:hAnsi="Arial" w:cs="Arial"/>
          <w:sz w:val="20"/>
        </w:rPr>
        <w:t xml:space="preserve">urvey, </w:t>
      </w:r>
      <w:r>
        <w:rPr>
          <w:rFonts w:ascii="Arial" w:hAnsi="Arial" w:cs="Arial"/>
          <w:sz w:val="20"/>
        </w:rPr>
        <w:t xml:space="preserve">which describe </w:t>
      </w:r>
      <w:r w:rsidRPr="00E447AD">
        <w:rPr>
          <w:rFonts w:ascii="Arial" w:hAnsi="Arial" w:cs="Arial"/>
          <w:sz w:val="20"/>
        </w:rPr>
        <w:t>facility characteristics, w</w:t>
      </w:r>
      <w:r>
        <w:rPr>
          <w:rFonts w:ascii="Arial" w:hAnsi="Arial" w:cs="Arial"/>
          <w:sz w:val="20"/>
        </w:rPr>
        <w:t>ere</w:t>
      </w:r>
      <w:r w:rsidRPr="00E447AD">
        <w:rPr>
          <w:rFonts w:ascii="Arial" w:hAnsi="Arial" w:cs="Arial"/>
          <w:sz w:val="20"/>
        </w:rPr>
        <w:t xml:space="preserve"> provided by </w:t>
      </w:r>
      <w:r w:rsidR="00C76591">
        <w:rPr>
          <w:rFonts w:ascii="Arial" w:hAnsi="Arial" w:cs="Arial"/>
          <w:sz w:val="20"/>
        </w:rPr>
        <w:t xml:space="preserve">50 </w:t>
      </w:r>
      <w:r w:rsidRPr="00E447AD">
        <w:rPr>
          <w:rFonts w:ascii="Arial" w:hAnsi="Arial" w:cs="Arial"/>
          <w:sz w:val="20"/>
        </w:rPr>
        <w:t>blood banks. For th</w:t>
      </w:r>
      <w:r w:rsidR="00DF391A">
        <w:rPr>
          <w:rFonts w:ascii="Arial" w:hAnsi="Arial" w:cs="Arial"/>
          <w:sz w:val="20"/>
        </w:rPr>
        <w:t xml:space="preserve">e </w:t>
      </w:r>
      <w:r w:rsidR="00C76591">
        <w:rPr>
          <w:rFonts w:ascii="Arial" w:hAnsi="Arial" w:cs="Arial"/>
          <w:sz w:val="20"/>
        </w:rPr>
        <w:t>17</w:t>
      </w:r>
      <w:r w:rsidR="00C76591" w:rsidRPr="00E447AD">
        <w:rPr>
          <w:rFonts w:ascii="Arial" w:hAnsi="Arial" w:cs="Arial"/>
          <w:sz w:val="20"/>
        </w:rPr>
        <w:t xml:space="preserve"> </w:t>
      </w:r>
      <w:r w:rsidRPr="00E447AD">
        <w:rPr>
          <w:rFonts w:ascii="Arial" w:hAnsi="Arial" w:cs="Arial"/>
          <w:sz w:val="20"/>
        </w:rPr>
        <w:t xml:space="preserve">facilities that did not submit a </w:t>
      </w:r>
      <w:r w:rsidR="00C76591">
        <w:rPr>
          <w:rFonts w:ascii="Arial" w:hAnsi="Arial" w:cs="Arial"/>
          <w:sz w:val="20"/>
        </w:rPr>
        <w:t>2020</w:t>
      </w:r>
      <w:r w:rsidR="00C76591" w:rsidRPr="00E447AD">
        <w:rPr>
          <w:rFonts w:ascii="Arial" w:hAnsi="Arial" w:cs="Arial"/>
          <w:sz w:val="20"/>
        </w:rPr>
        <w:t xml:space="preserve"> </w:t>
      </w:r>
      <w:r w:rsidRPr="00E447AD">
        <w:rPr>
          <w:rFonts w:ascii="Arial" w:hAnsi="Arial" w:cs="Arial"/>
          <w:sz w:val="20"/>
        </w:rPr>
        <w:t xml:space="preserve">annual facility survey, the </w:t>
      </w:r>
      <w:r w:rsidR="00C76591">
        <w:rPr>
          <w:rFonts w:ascii="Arial" w:hAnsi="Arial" w:cs="Arial"/>
          <w:sz w:val="20"/>
        </w:rPr>
        <w:t xml:space="preserve">2019 </w:t>
      </w:r>
      <w:r w:rsidR="00D17C18">
        <w:rPr>
          <w:rFonts w:ascii="Arial" w:hAnsi="Arial" w:cs="Arial"/>
          <w:sz w:val="20"/>
        </w:rPr>
        <w:t xml:space="preserve">annual facility survey </w:t>
      </w:r>
      <w:r w:rsidR="00655170">
        <w:rPr>
          <w:rFonts w:ascii="Arial" w:hAnsi="Arial" w:cs="Arial"/>
          <w:sz w:val="20"/>
        </w:rPr>
        <w:t xml:space="preserve">data were </w:t>
      </w:r>
      <w:r w:rsidR="00D17C18">
        <w:rPr>
          <w:rFonts w:ascii="Arial" w:hAnsi="Arial" w:cs="Arial"/>
          <w:sz w:val="20"/>
        </w:rPr>
        <w:t>used</w:t>
      </w:r>
      <w:r w:rsidRPr="00E447AD">
        <w:rPr>
          <w:rFonts w:ascii="Arial" w:hAnsi="Arial" w:cs="Arial"/>
          <w:sz w:val="20"/>
        </w:rPr>
        <w:t xml:space="preserve">. Bed size characteristics from the </w:t>
      </w:r>
      <w:r>
        <w:rPr>
          <w:rFonts w:ascii="Arial" w:hAnsi="Arial" w:cs="Arial"/>
          <w:sz w:val="20"/>
        </w:rPr>
        <w:t>a</w:t>
      </w:r>
      <w:r w:rsidRPr="00E447AD">
        <w:rPr>
          <w:rFonts w:ascii="Arial" w:hAnsi="Arial" w:cs="Arial"/>
          <w:sz w:val="20"/>
        </w:rPr>
        <w:t xml:space="preserve">nnual </w:t>
      </w:r>
      <w:r>
        <w:rPr>
          <w:rFonts w:ascii="Arial" w:hAnsi="Arial" w:cs="Arial"/>
          <w:sz w:val="20"/>
        </w:rPr>
        <w:t>f</w:t>
      </w:r>
      <w:r w:rsidRPr="00E447AD">
        <w:rPr>
          <w:rFonts w:ascii="Arial" w:hAnsi="Arial" w:cs="Arial"/>
          <w:sz w:val="20"/>
        </w:rPr>
        <w:t xml:space="preserve">acility </w:t>
      </w:r>
      <w:r>
        <w:rPr>
          <w:rFonts w:ascii="Arial" w:hAnsi="Arial" w:cs="Arial"/>
          <w:sz w:val="20"/>
        </w:rPr>
        <w:t>s</w:t>
      </w:r>
      <w:r w:rsidRPr="00E447AD">
        <w:rPr>
          <w:rFonts w:ascii="Arial" w:hAnsi="Arial" w:cs="Arial"/>
          <w:sz w:val="20"/>
        </w:rPr>
        <w:t xml:space="preserve">urvey data can be found in Table 1. </w:t>
      </w:r>
      <w:r w:rsidRPr="00820DB5">
        <w:rPr>
          <w:rFonts w:ascii="Arial" w:hAnsi="Arial" w:cs="Arial"/>
          <w:sz w:val="20"/>
        </w:rPr>
        <w:t>Eighty-</w:t>
      </w:r>
      <w:r w:rsidR="00567CB3">
        <w:rPr>
          <w:rFonts w:ascii="Arial" w:hAnsi="Arial" w:cs="Arial"/>
          <w:sz w:val="20"/>
        </w:rPr>
        <w:t>seven</w:t>
      </w:r>
      <w:r w:rsidR="00567CB3" w:rsidRPr="00820DB5">
        <w:rPr>
          <w:rFonts w:ascii="Arial" w:hAnsi="Arial" w:cs="Arial"/>
          <w:sz w:val="20"/>
        </w:rPr>
        <w:t xml:space="preserve"> </w:t>
      </w:r>
      <w:r w:rsidRPr="00820DB5">
        <w:rPr>
          <w:rFonts w:ascii="Arial" w:hAnsi="Arial" w:cs="Arial"/>
          <w:sz w:val="20"/>
        </w:rPr>
        <w:t xml:space="preserve">percent of facilities were College of American Pathologists (CAP) accredited, </w:t>
      </w:r>
      <w:r w:rsidR="00567CB3" w:rsidRPr="00820DB5">
        <w:rPr>
          <w:rFonts w:ascii="Arial" w:hAnsi="Arial" w:cs="Arial"/>
          <w:sz w:val="20"/>
        </w:rPr>
        <w:t>5</w:t>
      </w:r>
      <w:r w:rsidR="00567CB3">
        <w:rPr>
          <w:rFonts w:ascii="Arial" w:hAnsi="Arial" w:cs="Arial"/>
          <w:sz w:val="20"/>
        </w:rPr>
        <w:t>2</w:t>
      </w:r>
      <w:r w:rsidRPr="00820DB5">
        <w:rPr>
          <w:rFonts w:ascii="Arial" w:hAnsi="Arial" w:cs="Arial"/>
          <w:sz w:val="20"/>
        </w:rPr>
        <w:t xml:space="preserve">% were accredited by AABB, and </w:t>
      </w:r>
      <w:r w:rsidR="00567CB3">
        <w:rPr>
          <w:rFonts w:ascii="Arial" w:hAnsi="Arial" w:cs="Arial"/>
          <w:sz w:val="20"/>
        </w:rPr>
        <w:t>46</w:t>
      </w:r>
      <w:r w:rsidRPr="00820DB5">
        <w:rPr>
          <w:rFonts w:ascii="Arial" w:hAnsi="Arial" w:cs="Arial"/>
          <w:sz w:val="20"/>
        </w:rPr>
        <w:t>% indicated accreditation by the Joint Commission.</w:t>
      </w:r>
      <w:r w:rsidRPr="00E447AD">
        <w:rPr>
          <w:rFonts w:ascii="Arial" w:hAnsi="Arial" w:cs="Arial"/>
          <w:sz w:val="20"/>
        </w:rPr>
        <w:t xml:space="preserve"> </w:t>
      </w:r>
    </w:p>
    <w:p w14:paraId="0D01F49A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1F117098" w14:textId="1A95BBF3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E447AD">
        <w:rPr>
          <w:rFonts w:ascii="Arial" w:hAnsi="Arial" w:cs="Arial"/>
          <w:sz w:val="20"/>
        </w:rPr>
        <w:t xml:space="preserve">The volume of blood products transfused by Massachusetts blood banks varied widely. The number of </w:t>
      </w:r>
      <w:r w:rsidRPr="00A935C8">
        <w:rPr>
          <w:rFonts w:ascii="Arial" w:hAnsi="Arial" w:cs="Arial"/>
          <w:sz w:val="20"/>
        </w:rPr>
        <w:t xml:space="preserve">whole blood units transfused </w:t>
      </w:r>
      <w:r w:rsidRPr="00E447AD">
        <w:rPr>
          <w:rFonts w:ascii="Arial" w:hAnsi="Arial" w:cs="Arial"/>
          <w:sz w:val="20"/>
        </w:rPr>
        <w:t xml:space="preserve">statewide </w:t>
      </w:r>
      <w:r w:rsidR="00A935C8">
        <w:rPr>
          <w:rFonts w:ascii="Arial" w:hAnsi="Arial" w:cs="Arial"/>
          <w:sz w:val="20"/>
        </w:rPr>
        <w:t>increased by</w:t>
      </w:r>
      <w:r w:rsidRPr="00E447AD">
        <w:rPr>
          <w:rFonts w:ascii="Arial" w:hAnsi="Arial" w:cs="Arial"/>
          <w:sz w:val="20"/>
        </w:rPr>
        <w:t xml:space="preserve"> </w:t>
      </w:r>
      <w:r w:rsidR="00120B57">
        <w:rPr>
          <w:rFonts w:ascii="Arial" w:hAnsi="Arial" w:cs="Arial"/>
          <w:sz w:val="20"/>
        </w:rPr>
        <w:t>55</w:t>
      </w:r>
      <w:r w:rsidRPr="00A935C8">
        <w:rPr>
          <w:rFonts w:ascii="Arial" w:hAnsi="Arial" w:cs="Arial"/>
          <w:sz w:val="20"/>
        </w:rPr>
        <w:t>%</w:t>
      </w:r>
      <w:r w:rsidRPr="00E447AD">
        <w:rPr>
          <w:rFonts w:ascii="Arial" w:hAnsi="Arial" w:cs="Arial"/>
          <w:sz w:val="20"/>
        </w:rPr>
        <w:t xml:space="preserve"> from </w:t>
      </w:r>
      <w:r w:rsidR="00120B57" w:rsidRPr="00E447AD">
        <w:rPr>
          <w:rFonts w:ascii="Arial" w:hAnsi="Arial" w:cs="Arial"/>
          <w:sz w:val="20"/>
        </w:rPr>
        <w:t>201</w:t>
      </w:r>
      <w:r w:rsidR="00120B57">
        <w:rPr>
          <w:rFonts w:ascii="Arial" w:hAnsi="Arial" w:cs="Arial"/>
          <w:sz w:val="20"/>
        </w:rPr>
        <w:t>9</w:t>
      </w:r>
      <w:r w:rsidR="00120B57" w:rsidRPr="00E447AD">
        <w:rPr>
          <w:rFonts w:ascii="Arial" w:hAnsi="Arial" w:cs="Arial"/>
          <w:sz w:val="20"/>
        </w:rPr>
        <w:t xml:space="preserve"> </w:t>
      </w:r>
      <w:r w:rsidRPr="00E447AD">
        <w:rPr>
          <w:rFonts w:ascii="Arial" w:hAnsi="Arial" w:cs="Arial"/>
          <w:sz w:val="20"/>
        </w:rPr>
        <w:t xml:space="preserve">to </w:t>
      </w:r>
      <w:r w:rsidR="00120B57">
        <w:rPr>
          <w:rFonts w:ascii="Arial" w:hAnsi="Arial" w:cs="Arial"/>
          <w:sz w:val="20"/>
        </w:rPr>
        <w:t>2020</w:t>
      </w:r>
      <w:r w:rsidRPr="00E447AD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Only </w:t>
      </w:r>
      <w:r w:rsidR="00005414">
        <w:rPr>
          <w:rFonts w:ascii="Arial" w:hAnsi="Arial" w:cs="Arial"/>
          <w:sz w:val="20"/>
        </w:rPr>
        <w:t>five</w:t>
      </w:r>
      <w:r w:rsidR="00120B5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</w:t>
      </w:r>
      <w:r w:rsidRPr="00E447AD">
        <w:rPr>
          <w:rFonts w:ascii="Arial" w:hAnsi="Arial" w:cs="Arial"/>
          <w:sz w:val="20"/>
        </w:rPr>
        <w:t xml:space="preserve">acilities transfused whole blood in </w:t>
      </w:r>
      <w:r w:rsidR="00120B57">
        <w:rPr>
          <w:rFonts w:ascii="Arial" w:hAnsi="Arial" w:cs="Arial"/>
          <w:sz w:val="20"/>
        </w:rPr>
        <w:t>2020</w:t>
      </w:r>
      <w:r w:rsidRPr="00E447AD">
        <w:rPr>
          <w:rFonts w:ascii="Arial" w:hAnsi="Arial" w:cs="Arial"/>
          <w:sz w:val="20"/>
        </w:rPr>
        <w:t>, and</w:t>
      </w:r>
      <w:r w:rsidR="005574E2">
        <w:rPr>
          <w:rFonts w:ascii="Arial" w:hAnsi="Arial" w:cs="Arial"/>
          <w:sz w:val="20"/>
        </w:rPr>
        <w:t xml:space="preserve"> one facility in BSG 3</w:t>
      </w:r>
      <w:r w:rsidR="00120B57">
        <w:rPr>
          <w:rFonts w:ascii="Arial" w:hAnsi="Arial" w:cs="Arial"/>
          <w:sz w:val="20"/>
        </w:rPr>
        <w:t xml:space="preserve"> </w:t>
      </w:r>
      <w:r w:rsidR="00005414">
        <w:rPr>
          <w:rFonts w:ascii="Arial" w:hAnsi="Arial" w:cs="Arial"/>
          <w:sz w:val="20"/>
        </w:rPr>
        <w:t>was</w:t>
      </w:r>
      <w:r w:rsidR="00120B57">
        <w:rPr>
          <w:rFonts w:ascii="Arial" w:hAnsi="Arial" w:cs="Arial"/>
          <w:sz w:val="20"/>
        </w:rPr>
        <w:t xml:space="preserve"> responsible for 78% of </w:t>
      </w:r>
      <w:r w:rsidR="00795C15">
        <w:rPr>
          <w:rFonts w:ascii="Arial" w:hAnsi="Arial" w:cs="Arial"/>
          <w:sz w:val="20"/>
        </w:rPr>
        <w:t xml:space="preserve">the </w:t>
      </w:r>
      <w:r w:rsidR="00120B57">
        <w:rPr>
          <w:rFonts w:ascii="Arial" w:hAnsi="Arial" w:cs="Arial"/>
          <w:sz w:val="20"/>
        </w:rPr>
        <w:t xml:space="preserve">whole blood </w:t>
      </w:r>
      <w:r w:rsidR="00795C15">
        <w:rPr>
          <w:rFonts w:ascii="Arial" w:hAnsi="Arial" w:cs="Arial"/>
          <w:sz w:val="20"/>
        </w:rPr>
        <w:t xml:space="preserve">units </w:t>
      </w:r>
      <w:r w:rsidR="00120B57">
        <w:rPr>
          <w:rFonts w:ascii="Arial" w:hAnsi="Arial" w:cs="Arial"/>
          <w:sz w:val="20"/>
        </w:rPr>
        <w:t>transfused in the state.</w:t>
      </w:r>
      <w:r w:rsidR="005574E2">
        <w:rPr>
          <w:rFonts w:ascii="Arial" w:hAnsi="Arial" w:cs="Arial"/>
          <w:sz w:val="20"/>
        </w:rPr>
        <w:t xml:space="preserve"> </w:t>
      </w:r>
      <w:r w:rsidR="00005414">
        <w:rPr>
          <w:rFonts w:ascii="Arial" w:hAnsi="Arial" w:cs="Arial"/>
          <w:sz w:val="20"/>
        </w:rPr>
        <w:t xml:space="preserve">All but one of the 67 blood banks </w:t>
      </w:r>
      <w:r w:rsidRPr="00A935C8">
        <w:rPr>
          <w:rFonts w:ascii="Arial" w:hAnsi="Arial" w:cs="Arial"/>
          <w:sz w:val="20"/>
        </w:rPr>
        <w:t xml:space="preserve">attempted to issue only leukocyte-reduced or leuko-poor cellular components. </w:t>
      </w:r>
      <w:r w:rsidR="00F51868">
        <w:rPr>
          <w:rFonts w:ascii="Arial" w:hAnsi="Arial" w:cs="Arial"/>
          <w:sz w:val="20"/>
        </w:rPr>
        <w:t>Eleven</w:t>
      </w:r>
      <w:r w:rsidR="00F51868" w:rsidRPr="00A935C8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>(</w:t>
      </w:r>
      <w:r w:rsidR="00A935C8" w:rsidRPr="00A935C8">
        <w:rPr>
          <w:rFonts w:ascii="Arial" w:hAnsi="Arial" w:cs="Arial"/>
          <w:sz w:val="20"/>
        </w:rPr>
        <w:t>1</w:t>
      </w:r>
      <w:r w:rsidR="00F51868">
        <w:rPr>
          <w:rFonts w:ascii="Arial" w:hAnsi="Arial" w:cs="Arial"/>
          <w:sz w:val="20"/>
        </w:rPr>
        <w:t>6</w:t>
      </w:r>
      <w:r w:rsidRPr="00A935C8">
        <w:rPr>
          <w:rFonts w:ascii="Arial" w:hAnsi="Arial" w:cs="Arial"/>
          <w:sz w:val="20"/>
        </w:rPr>
        <w:t xml:space="preserve">%) blood banks collected blood at their facility and </w:t>
      </w:r>
      <w:r w:rsidR="00A935C8" w:rsidRPr="00A935C8">
        <w:rPr>
          <w:rFonts w:ascii="Arial" w:hAnsi="Arial" w:cs="Arial"/>
          <w:sz w:val="20"/>
        </w:rPr>
        <w:t>seven</w:t>
      </w:r>
      <w:r w:rsidRPr="00A935C8">
        <w:rPr>
          <w:rFonts w:ascii="Arial" w:hAnsi="Arial" w:cs="Arial"/>
          <w:sz w:val="20"/>
        </w:rPr>
        <w:t xml:space="preserve"> (1</w:t>
      </w:r>
      <w:r w:rsidR="00A935C8" w:rsidRPr="00A935C8">
        <w:rPr>
          <w:rFonts w:ascii="Arial" w:hAnsi="Arial" w:cs="Arial"/>
          <w:sz w:val="20"/>
        </w:rPr>
        <w:t>0</w:t>
      </w:r>
      <w:r w:rsidRPr="00A935C8">
        <w:rPr>
          <w:rFonts w:ascii="Arial" w:hAnsi="Arial" w:cs="Arial"/>
          <w:sz w:val="20"/>
        </w:rPr>
        <w:t>%) performed point of issue bacterial testing on platelets prior to transfusion.</w:t>
      </w:r>
      <w:r w:rsidRPr="00E447AD">
        <w:rPr>
          <w:rFonts w:ascii="Arial" w:hAnsi="Arial" w:cs="Arial"/>
          <w:sz w:val="20"/>
        </w:rPr>
        <w:t xml:space="preserve"> </w:t>
      </w:r>
      <w:r w:rsidR="00BC5AB1">
        <w:rPr>
          <w:rFonts w:ascii="Arial" w:hAnsi="Arial" w:cs="Arial"/>
          <w:sz w:val="20"/>
        </w:rPr>
        <w:t>The number of blood banks collecting blood in 2020 decreased by just one facility, from the previous year.</w:t>
      </w:r>
    </w:p>
    <w:p w14:paraId="7B1936FB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115F2B21" w14:textId="4DA634B2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E447AD">
        <w:rPr>
          <w:rFonts w:ascii="Arial" w:hAnsi="Arial" w:cs="Arial"/>
          <w:sz w:val="20"/>
        </w:rPr>
        <w:t>The number of</w:t>
      </w:r>
      <w:r>
        <w:rPr>
          <w:rFonts w:ascii="Arial" w:hAnsi="Arial" w:cs="Arial"/>
          <w:sz w:val="20"/>
        </w:rPr>
        <w:t xml:space="preserve"> red blood cell</w:t>
      </w:r>
      <w:r w:rsidRPr="00E447AD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 xml:space="preserve">(RBC) type and screen procedures performed by Massachusetts blood banks ranged from </w:t>
      </w:r>
      <w:r w:rsidR="002F319C">
        <w:rPr>
          <w:rFonts w:ascii="Arial" w:hAnsi="Arial" w:cs="Arial"/>
          <w:sz w:val="20"/>
        </w:rPr>
        <w:t>218</w:t>
      </w:r>
      <w:r w:rsidR="002F319C" w:rsidRPr="00A935C8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 xml:space="preserve">to </w:t>
      </w:r>
      <w:r w:rsidR="002F319C">
        <w:rPr>
          <w:rFonts w:ascii="Arial" w:hAnsi="Arial" w:cs="Arial"/>
          <w:sz w:val="20"/>
        </w:rPr>
        <w:t>80,022</w:t>
      </w:r>
      <w:r w:rsidRPr="00A935C8">
        <w:rPr>
          <w:rFonts w:ascii="Arial" w:hAnsi="Arial" w:cs="Arial"/>
          <w:sz w:val="20"/>
        </w:rPr>
        <w:t xml:space="preserve"> (mean: 9,</w:t>
      </w:r>
      <w:r w:rsidR="002F319C">
        <w:rPr>
          <w:rFonts w:ascii="Arial" w:hAnsi="Arial" w:cs="Arial"/>
          <w:sz w:val="20"/>
        </w:rPr>
        <w:t>490</w:t>
      </w:r>
      <w:r w:rsidRPr="00A935C8">
        <w:rPr>
          <w:rFonts w:ascii="Arial" w:hAnsi="Arial" w:cs="Arial"/>
          <w:sz w:val="20"/>
        </w:rPr>
        <w:t xml:space="preserve">) and RBC crossmatches ranged from </w:t>
      </w:r>
      <w:r w:rsidR="002F319C">
        <w:rPr>
          <w:rFonts w:ascii="Arial" w:hAnsi="Arial" w:cs="Arial"/>
          <w:sz w:val="20"/>
        </w:rPr>
        <w:t>148</w:t>
      </w:r>
      <w:r w:rsidR="002F319C" w:rsidRPr="00A935C8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 xml:space="preserve">to </w:t>
      </w:r>
      <w:r w:rsidR="002F319C">
        <w:rPr>
          <w:rFonts w:ascii="Arial" w:hAnsi="Arial" w:cs="Arial"/>
          <w:sz w:val="20"/>
        </w:rPr>
        <w:t>54,127</w:t>
      </w:r>
      <w:r w:rsidRPr="00A935C8">
        <w:rPr>
          <w:rFonts w:ascii="Arial" w:hAnsi="Arial" w:cs="Arial"/>
          <w:sz w:val="20"/>
        </w:rPr>
        <w:t xml:space="preserve"> (mean: 5,</w:t>
      </w:r>
      <w:r w:rsidR="002F319C">
        <w:rPr>
          <w:rFonts w:ascii="Arial" w:hAnsi="Arial" w:cs="Arial"/>
          <w:sz w:val="20"/>
        </w:rPr>
        <w:t>423</w:t>
      </w:r>
      <w:r w:rsidR="00A935C8" w:rsidRPr="00A935C8">
        <w:rPr>
          <w:rFonts w:ascii="Arial" w:hAnsi="Arial" w:cs="Arial"/>
          <w:sz w:val="20"/>
        </w:rPr>
        <w:t>)</w:t>
      </w:r>
      <w:r w:rsidRPr="00A935C8">
        <w:rPr>
          <w:rFonts w:ascii="Arial" w:hAnsi="Arial" w:cs="Arial"/>
          <w:sz w:val="20"/>
        </w:rPr>
        <w:t xml:space="preserve">. </w:t>
      </w:r>
      <w:r w:rsidRPr="00E447AD">
        <w:rPr>
          <w:rFonts w:ascii="Arial" w:hAnsi="Arial" w:cs="Arial"/>
          <w:sz w:val="20"/>
        </w:rPr>
        <w:t xml:space="preserve">The number of products transfused </w:t>
      </w:r>
      <w:r>
        <w:rPr>
          <w:rFonts w:ascii="Arial" w:hAnsi="Arial" w:cs="Arial"/>
          <w:sz w:val="20"/>
        </w:rPr>
        <w:t xml:space="preserve">statewide </w:t>
      </w:r>
      <w:r w:rsidR="004363C4">
        <w:rPr>
          <w:rFonts w:ascii="Arial" w:hAnsi="Arial" w:cs="Arial"/>
          <w:sz w:val="20"/>
        </w:rPr>
        <w:t>decreased from an</w:t>
      </w:r>
      <w:r w:rsidRPr="00E447AD">
        <w:rPr>
          <w:rFonts w:ascii="Arial" w:hAnsi="Arial" w:cs="Arial"/>
          <w:sz w:val="20"/>
        </w:rPr>
        <w:t xml:space="preserve"> averag</w:t>
      </w:r>
      <w:r w:rsidR="004363C4">
        <w:rPr>
          <w:rFonts w:ascii="Arial" w:hAnsi="Arial" w:cs="Arial"/>
          <w:sz w:val="20"/>
        </w:rPr>
        <w:t>e of</w:t>
      </w:r>
      <w:r w:rsidRPr="00E447AD">
        <w:rPr>
          <w:rFonts w:ascii="Arial" w:hAnsi="Arial" w:cs="Arial"/>
          <w:sz w:val="20"/>
        </w:rPr>
        <w:t xml:space="preserve"> </w:t>
      </w:r>
      <w:r w:rsidR="00CD6F50">
        <w:rPr>
          <w:rFonts w:ascii="Arial" w:hAnsi="Arial" w:cs="Arial"/>
          <w:sz w:val="20"/>
        </w:rPr>
        <w:t>30,361</w:t>
      </w:r>
      <w:r w:rsidRPr="00E447AD">
        <w:rPr>
          <w:rFonts w:ascii="Arial" w:hAnsi="Arial" w:cs="Arial"/>
          <w:sz w:val="20"/>
        </w:rPr>
        <w:t xml:space="preserve"> products per month</w:t>
      </w:r>
      <w:r w:rsidR="004363C4">
        <w:rPr>
          <w:rFonts w:ascii="Arial" w:hAnsi="Arial" w:cs="Arial"/>
          <w:sz w:val="20"/>
        </w:rPr>
        <w:t xml:space="preserve"> in 2019</w:t>
      </w:r>
      <w:r w:rsidR="00CD7B21">
        <w:rPr>
          <w:rFonts w:ascii="Arial" w:hAnsi="Arial" w:cs="Arial"/>
          <w:sz w:val="20"/>
        </w:rPr>
        <w:t xml:space="preserve"> to 29,047 products per month in 2020</w:t>
      </w:r>
      <w:r w:rsidRPr="00E447AD">
        <w:rPr>
          <w:rFonts w:ascii="Arial" w:hAnsi="Arial" w:cs="Arial"/>
          <w:sz w:val="20"/>
        </w:rPr>
        <w:t xml:space="preserve">. </w:t>
      </w:r>
      <w:r w:rsidRPr="00CD6F50">
        <w:rPr>
          <w:rFonts w:ascii="Arial" w:hAnsi="Arial" w:cs="Arial"/>
          <w:sz w:val="20"/>
        </w:rPr>
        <w:t xml:space="preserve">The monthly average number of discarded products </w:t>
      </w:r>
      <w:r w:rsidR="00CD7B21">
        <w:rPr>
          <w:rFonts w:ascii="Arial" w:hAnsi="Arial" w:cs="Arial"/>
          <w:sz w:val="20"/>
        </w:rPr>
        <w:t>decreased by less than 1%</w:t>
      </w:r>
      <w:r w:rsidR="00884488">
        <w:rPr>
          <w:rFonts w:ascii="Arial" w:hAnsi="Arial" w:cs="Arial"/>
          <w:sz w:val="20"/>
        </w:rPr>
        <w:t>,</w:t>
      </w:r>
      <w:r w:rsidR="00CD7B21">
        <w:rPr>
          <w:rFonts w:ascii="Arial" w:hAnsi="Arial" w:cs="Arial"/>
          <w:sz w:val="20"/>
        </w:rPr>
        <w:t xml:space="preserve"> from 2,016 products discarded in 2019 to 2,003 products discarded in 2020. </w:t>
      </w:r>
    </w:p>
    <w:p w14:paraId="0B0652DB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0CA54213" w14:textId="7B00442B" w:rsidR="004657B4" w:rsidRPr="00E447AD" w:rsidRDefault="00764829" w:rsidP="004657B4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Two</w:t>
      </w:r>
      <w:r w:rsidRPr="00EE7266">
        <w:rPr>
          <w:rFonts w:ascii="Arial" w:hAnsi="Arial" w:cs="Arial"/>
          <w:sz w:val="20"/>
        </w:rPr>
        <w:t xml:space="preserve"> </w:t>
      </w:r>
      <w:r w:rsidR="004657B4" w:rsidRPr="00EE7266">
        <w:rPr>
          <w:rFonts w:ascii="Arial" w:hAnsi="Arial" w:cs="Arial"/>
          <w:sz w:val="20"/>
        </w:rPr>
        <w:t xml:space="preserve">transfusion-transmitted infections were reported in </w:t>
      </w:r>
      <w:r w:rsidRPr="00EE7266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20</w:t>
      </w:r>
      <w:r w:rsidR="004657B4" w:rsidRPr="00EE7266">
        <w:rPr>
          <w:rFonts w:ascii="Arial" w:hAnsi="Arial" w:cs="Arial"/>
          <w:sz w:val="20"/>
        </w:rPr>
        <w:t xml:space="preserve">, </w:t>
      </w:r>
      <w:r w:rsidR="00EE7266" w:rsidRPr="00EE7266">
        <w:rPr>
          <w:rFonts w:ascii="Arial" w:hAnsi="Arial" w:cs="Arial"/>
          <w:sz w:val="20"/>
        </w:rPr>
        <w:t xml:space="preserve">one </w:t>
      </w:r>
      <w:r w:rsidR="004657B4" w:rsidRPr="00EE7266">
        <w:rPr>
          <w:rFonts w:ascii="Arial" w:hAnsi="Arial" w:cs="Arial"/>
          <w:sz w:val="20"/>
        </w:rPr>
        <w:t>of which w</w:t>
      </w:r>
      <w:r w:rsidR="00EE7266" w:rsidRPr="00EE7266">
        <w:rPr>
          <w:rFonts w:ascii="Arial" w:hAnsi="Arial" w:cs="Arial"/>
          <w:sz w:val="20"/>
        </w:rPr>
        <w:t xml:space="preserve">as a </w:t>
      </w:r>
      <w:r w:rsidR="004657B4" w:rsidRPr="00EE7266">
        <w:rPr>
          <w:rFonts w:ascii="Arial" w:hAnsi="Arial" w:cs="Arial"/>
          <w:i/>
          <w:sz w:val="20"/>
        </w:rPr>
        <w:t>Babesia microti</w:t>
      </w:r>
      <w:r w:rsidR="004657B4" w:rsidRPr="00EE7266">
        <w:rPr>
          <w:rFonts w:ascii="Arial" w:hAnsi="Arial" w:cs="Arial"/>
          <w:sz w:val="20"/>
        </w:rPr>
        <w:t xml:space="preserve"> infection associated with transfused RBCs.</w:t>
      </w:r>
      <w:r w:rsidR="004657B4" w:rsidRPr="00E447AD">
        <w:rPr>
          <w:rFonts w:ascii="Arial" w:hAnsi="Arial" w:cs="Arial"/>
          <w:sz w:val="20"/>
        </w:rPr>
        <w:t xml:space="preserve"> The </w:t>
      </w:r>
      <w:r>
        <w:rPr>
          <w:rFonts w:ascii="Arial" w:hAnsi="Arial" w:cs="Arial"/>
          <w:sz w:val="20"/>
        </w:rPr>
        <w:t>2020</w:t>
      </w:r>
      <w:r w:rsidRPr="00E447AD">
        <w:rPr>
          <w:rFonts w:ascii="Arial" w:hAnsi="Arial" w:cs="Arial"/>
          <w:sz w:val="20"/>
        </w:rPr>
        <w:t xml:space="preserve"> </w:t>
      </w:r>
      <w:r w:rsidR="004657B4" w:rsidRPr="00E447AD">
        <w:rPr>
          <w:rFonts w:ascii="Arial" w:hAnsi="Arial" w:cs="Arial"/>
          <w:sz w:val="20"/>
        </w:rPr>
        <w:t xml:space="preserve">rate of </w:t>
      </w:r>
      <w:r w:rsidR="004657B4" w:rsidRPr="00EE7266">
        <w:rPr>
          <w:rFonts w:ascii="Arial" w:hAnsi="Arial" w:cs="Arial"/>
          <w:sz w:val="20"/>
        </w:rPr>
        <w:t>transfusion-transmitted infections in Massachusetts was 0.</w:t>
      </w:r>
      <w:r w:rsidRPr="00EE7266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6</w:t>
      </w:r>
      <w:r w:rsidRPr="00EE7266">
        <w:rPr>
          <w:rFonts w:ascii="Arial" w:hAnsi="Arial" w:cs="Arial"/>
          <w:sz w:val="20"/>
        </w:rPr>
        <w:t xml:space="preserve"> </w:t>
      </w:r>
      <w:r w:rsidR="004657B4" w:rsidRPr="00EE7266">
        <w:rPr>
          <w:rFonts w:ascii="Arial" w:hAnsi="Arial" w:cs="Arial"/>
          <w:sz w:val="20"/>
        </w:rPr>
        <w:t>infections per 10,000 products transfused.</w:t>
      </w:r>
    </w:p>
    <w:p w14:paraId="3AE49451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6E1AB0DA" w14:textId="7FF00A80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0A76D9">
        <w:rPr>
          <w:rFonts w:ascii="Arial" w:hAnsi="Arial" w:cs="Arial"/>
          <w:sz w:val="20"/>
        </w:rPr>
        <w:t xml:space="preserve">In </w:t>
      </w:r>
      <w:r w:rsidR="00764829">
        <w:rPr>
          <w:rFonts w:ascii="Arial" w:hAnsi="Arial" w:cs="Arial"/>
          <w:sz w:val="20"/>
        </w:rPr>
        <w:t>2020</w:t>
      </w:r>
      <w:r w:rsidRPr="000A76D9">
        <w:rPr>
          <w:rFonts w:ascii="Arial" w:hAnsi="Arial" w:cs="Arial"/>
          <w:sz w:val="20"/>
        </w:rPr>
        <w:t xml:space="preserve">, there were </w:t>
      </w:r>
      <w:r w:rsidR="00764829">
        <w:rPr>
          <w:rFonts w:ascii="Arial" w:hAnsi="Arial" w:cs="Arial"/>
          <w:sz w:val="20"/>
        </w:rPr>
        <w:t>352,891</w:t>
      </w:r>
      <w:r w:rsidRPr="000A76D9">
        <w:rPr>
          <w:rFonts w:ascii="Arial" w:hAnsi="Arial" w:cs="Arial"/>
          <w:sz w:val="20"/>
        </w:rPr>
        <w:t xml:space="preserve"> blood products transfused</w:t>
      </w:r>
      <w:r w:rsidR="004363C4">
        <w:rPr>
          <w:rFonts w:ascii="Arial" w:hAnsi="Arial" w:cs="Arial"/>
          <w:sz w:val="20"/>
        </w:rPr>
        <w:t xml:space="preserve"> and</w:t>
      </w:r>
      <w:r w:rsidRPr="000A76D9">
        <w:rPr>
          <w:rFonts w:ascii="Arial" w:hAnsi="Arial" w:cs="Arial"/>
          <w:sz w:val="20"/>
        </w:rPr>
        <w:t xml:space="preserve"> a total of </w:t>
      </w:r>
      <w:r w:rsidR="00764829">
        <w:rPr>
          <w:rFonts w:ascii="Arial" w:hAnsi="Arial" w:cs="Arial"/>
          <w:sz w:val="20"/>
        </w:rPr>
        <w:t>545</w:t>
      </w:r>
      <w:r w:rsidR="00764829" w:rsidRPr="000A76D9">
        <w:rPr>
          <w:rFonts w:ascii="Arial" w:hAnsi="Arial" w:cs="Arial"/>
          <w:sz w:val="20"/>
        </w:rPr>
        <w:t xml:space="preserve"> </w:t>
      </w:r>
      <w:r w:rsidRPr="000A76D9">
        <w:rPr>
          <w:rFonts w:ascii="Arial" w:hAnsi="Arial" w:cs="Arial"/>
          <w:sz w:val="20"/>
        </w:rPr>
        <w:t xml:space="preserve">adverse reactions classified as possibly, probably, or </w:t>
      </w:r>
      <w:r w:rsidR="009B1AEC">
        <w:rPr>
          <w:rFonts w:ascii="Arial" w:hAnsi="Arial" w:cs="Arial"/>
          <w:sz w:val="20"/>
        </w:rPr>
        <w:t xml:space="preserve">definitely </w:t>
      </w:r>
      <w:r w:rsidR="009B1AEC" w:rsidRPr="000A76D9">
        <w:rPr>
          <w:rFonts w:ascii="Arial" w:hAnsi="Arial" w:cs="Arial"/>
          <w:sz w:val="20"/>
        </w:rPr>
        <w:t>related</w:t>
      </w:r>
      <w:r w:rsidR="005C67EC">
        <w:rPr>
          <w:rFonts w:ascii="Arial" w:hAnsi="Arial" w:cs="Arial"/>
          <w:sz w:val="20"/>
        </w:rPr>
        <w:t xml:space="preserve"> to transfusion</w:t>
      </w:r>
      <w:r w:rsidRPr="000A76D9">
        <w:rPr>
          <w:rFonts w:ascii="Arial" w:hAnsi="Arial" w:cs="Arial"/>
          <w:sz w:val="20"/>
        </w:rPr>
        <w:t xml:space="preserve">, yielding an overall reaction rate of </w:t>
      </w:r>
      <w:r w:rsidR="00764829">
        <w:rPr>
          <w:rFonts w:ascii="Arial" w:hAnsi="Arial" w:cs="Arial"/>
          <w:sz w:val="20"/>
        </w:rPr>
        <w:t>15.4</w:t>
      </w:r>
      <w:r w:rsidRPr="000A76D9">
        <w:rPr>
          <w:rFonts w:ascii="Arial" w:hAnsi="Arial" w:cs="Arial"/>
          <w:sz w:val="20"/>
        </w:rPr>
        <w:t xml:space="preserve"> reactions per 10,000 products transfused.</w:t>
      </w:r>
      <w:r w:rsidRPr="00E447AD">
        <w:rPr>
          <w:rFonts w:ascii="Arial" w:hAnsi="Arial" w:cs="Arial"/>
          <w:sz w:val="20"/>
        </w:rPr>
        <w:t xml:space="preserve"> </w:t>
      </w:r>
      <w:r w:rsidR="0081627D">
        <w:rPr>
          <w:rFonts w:ascii="Arial" w:hAnsi="Arial" w:cs="Arial"/>
          <w:sz w:val="20"/>
        </w:rPr>
        <w:t>Forty</w:t>
      </w:r>
      <w:r w:rsidR="00764829">
        <w:rPr>
          <w:rFonts w:ascii="Arial" w:hAnsi="Arial" w:cs="Arial"/>
          <w:sz w:val="20"/>
        </w:rPr>
        <w:t>-five</w:t>
      </w:r>
      <w:r w:rsidRPr="009376C9">
        <w:rPr>
          <w:rFonts w:ascii="Arial" w:hAnsi="Arial" w:cs="Arial"/>
          <w:sz w:val="20"/>
        </w:rPr>
        <w:t xml:space="preserve"> (</w:t>
      </w:r>
      <w:r w:rsidR="00764829">
        <w:rPr>
          <w:rFonts w:ascii="Arial" w:hAnsi="Arial" w:cs="Arial"/>
          <w:sz w:val="20"/>
        </w:rPr>
        <w:t>8</w:t>
      </w:r>
      <w:r w:rsidRPr="009376C9">
        <w:rPr>
          <w:rFonts w:ascii="Arial" w:hAnsi="Arial" w:cs="Arial"/>
          <w:sz w:val="20"/>
        </w:rPr>
        <w:t>%) of the reported reactions were considered serious or life-threatening, and</w:t>
      </w:r>
      <w:r w:rsidR="000624AD">
        <w:rPr>
          <w:rFonts w:ascii="Arial" w:hAnsi="Arial" w:cs="Arial"/>
          <w:sz w:val="20"/>
        </w:rPr>
        <w:t xml:space="preserve"> one of the reactions was fatal</w:t>
      </w:r>
      <w:r w:rsidRPr="00E447AD">
        <w:rPr>
          <w:rFonts w:ascii="Arial" w:hAnsi="Arial" w:cs="Arial"/>
          <w:sz w:val="20"/>
        </w:rPr>
        <w:t xml:space="preserve">. Febrile non-hemolytic reactions </w:t>
      </w:r>
      <w:r>
        <w:rPr>
          <w:rFonts w:ascii="Arial" w:hAnsi="Arial" w:cs="Arial"/>
          <w:sz w:val="20"/>
        </w:rPr>
        <w:t xml:space="preserve">(FNHTRs) </w:t>
      </w:r>
      <w:r w:rsidRPr="00E447AD">
        <w:rPr>
          <w:rFonts w:ascii="Arial" w:hAnsi="Arial" w:cs="Arial"/>
          <w:sz w:val="20"/>
        </w:rPr>
        <w:t xml:space="preserve">were reported more frequently than other reaction types, making </w:t>
      </w:r>
      <w:r w:rsidRPr="000A76D9">
        <w:rPr>
          <w:rFonts w:ascii="Arial" w:hAnsi="Arial" w:cs="Arial"/>
          <w:sz w:val="20"/>
        </w:rPr>
        <w:t xml:space="preserve">up </w:t>
      </w:r>
      <w:r w:rsidR="00764829" w:rsidRPr="000A76D9">
        <w:rPr>
          <w:rFonts w:ascii="Arial" w:hAnsi="Arial" w:cs="Arial"/>
          <w:sz w:val="20"/>
        </w:rPr>
        <w:t>7</w:t>
      </w:r>
      <w:r w:rsidR="00764829">
        <w:rPr>
          <w:rFonts w:ascii="Arial" w:hAnsi="Arial" w:cs="Arial"/>
          <w:sz w:val="20"/>
        </w:rPr>
        <w:t>5</w:t>
      </w:r>
      <w:r w:rsidRPr="000A76D9">
        <w:rPr>
          <w:rFonts w:ascii="Arial" w:hAnsi="Arial" w:cs="Arial"/>
          <w:sz w:val="20"/>
        </w:rPr>
        <w:t xml:space="preserve">% </w:t>
      </w:r>
      <w:r w:rsidRPr="00E447AD">
        <w:rPr>
          <w:rFonts w:ascii="Arial" w:hAnsi="Arial" w:cs="Arial"/>
          <w:sz w:val="20"/>
        </w:rPr>
        <w:t>of all adverse reactions reported.</w:t>
      </w:r>
    </w:p>
    <w:p w14:paraId="10FF9BB3" w14:textId="7433B9BC" w:rsidR="004657B4" w:rsidRDefault="004657B4" w:rsidP="004657B4">
      <w:pPr>
        <w:pStyle w:val="NoSpacing"/>
        <w:rPr>
          <w:rFonts w:ascii="Arial" w:eastAsia="Arial" w:hAnsi="Arial" w:cs="Times New Roman"/>
          <w:b/>
          <w:bCs/>
          <w:sz w:val="20"/>
        </w:rPr>
      </w:pPr>
    </w:p>
    <w:p w14:paraId="7F6955BB" w14:textId="584E7500" w:rsidR="005C01FD" w:rsidRPr="008F690D" w:rsidRDefault="005C01FD" w:rsidP="004657B4">
      <w:pPr>
        <w:pStyle w:val="NoSpacing"/>
        <w:rPr>
          <w:rFonts w:ascii="Arial" w:eastAsia="Arial" w:hAnsi="Arial" w:cs="Times New Roman"/>
          <w:sz w:val="20"/>
        </w:rPr>
      </w:pPr>
      <w:r w:rsidRPr="008F690D">
        <w:rPr>
          <w:rFonts w:ascii="Arial" w:eastAsia="Arial" w:hAnsi="Arial" w:cs="Times New Roman"/>
          <w:b/>
          <w:bCs/>
          <w:i/>
          <w:iCs/>
          <w:sz w:val="20"/>
        </w:rPr>
        <w:t>New</w:t>
      </w:r>
      <w:r>
        <w:rPr>
          <w:rFonts w:ascii="Arial" w:eastAsia="Arial" w:hAnsi="Arial" w:cs="Times New Roman"/>
          <w:sz w:val="20"/>
        </w:rPr>
        <w:t xml:space="preserve"> to th</w:t>
      </w:r>
      <w:r w:rsidR="007E7BD7">
        <w:rPr>
          <w:rFonts w:ascii="Arial" w:eastAsia="Arial" w:hAnsi="Arial" w:cs="Times New Roman"/>
          <w:sz w:val="20"/>
        </w:rPr>
        <w:t>is</w:t>
      </w:r>
      <w:r>
        <w:rPr>
          <w:rFonts w:ascii="Arial" w:eastAsia="Arial" w:hAnsi="Arial" w:cs="Times New Roman"/>
          <w:sz w:val="20"/>
        </w:rPr>
        <w:t xml:space="preserve"> annual report is </w:t>
      </w:r>
      <w:r w:rsidR="007E7BD7">
        <w:rPr>
          <w:rFonts w:ascii="Arial" w:eastAsia="Arial" w:hAnsi="Arial" w:cs="Times New Roman"/>
          <w:sz w:val="20"/>
        </w:rPr>
        <w:t xml:space="preserve">the inclusion of </w:t>
      </w:r>
      <w:r>
        <w:rPr>
          <w:rFonts w:ascii="Arial" w:eastAsia="Arial" w:hAnsi="Arial" w:cs="Times New Roman"/>
          <w:sz w:val="20"/>
        </w:rPr>
        <w:t xml:space="preserve">pathogen reduced denominator and adverse reaction data. </w:t>
      </w:r>
      <w:r w:rsidR="001F0CB3">
        <w:rPr>
          <w:rFonts w:ascii="Arial" w:eastAsia="Arial" w:hAnsi="Arial" w:cs="Times New Roman"/>
          <w:sz w:val="20"/>
        </w:rPr>
        <w:t xml:space="preserve">In 2020, pathogen reduced products </w:t>
      </w:r>
      <w:r w:rsidR="009B1AEC">
        <w:rPr>
          <w:rFonts w:ascii="Arial" w:eastAsia="Arial" w:hAnsi="Arial" w:cs="Times New Roman"/>
          <w:sz w:val="20"/>
        </w:rPr>
        <w:t>contributed 1</w:t>
      </w:r>
      <w:r w:rsidR="001F0CB3">
        <w:rPr>
          <w:rFonts w:ascii="Arial" w:eastAsia="Arial" w:hAnsi="Arial" w:cs="Times New Roman"/>
          <w:sz w:val="20"/>
        </w:rPr>
        <w:t xml:space="preserve">% of total products transfused for the year. </w:t>
      </w:r>
      <w:r w:rsidR="00841C57">
        <w:rPr>
          <w:rFonts w:ascii="Arial" w:eastAsia="Arial" w:hAnsi="Arial" w:cs="Times New Roman"/>
          <w:sz w:val="20"/>
        </w:rPr>
        <w:t>All</w:t>
      </w:r>
      <w:r w:rsidR="001F0CB3">
        <w:rPr>
          <w:rFonts w:ascii="Arial" w:eastAsia="Arial" w:hAnsi="Arial" w:cs="Times New Roman"/>
          <w:sz w:val="20"/>
        </w:rPr>
        <w:t xml:space="preserve"> pathogen reduced products </w:t>
      </w:r>
      <w:r w:rsidR="00841C57">
        <w:rPr>
          <w:rFonts w:ascii="Arial" w:eastAsia="Arial" w:hAnsi="Arial" w:cs="Times New Roman"/>
          <w:sz w:val="20"/>
        </w:rPr>
        <w:t>transfused</w:t>
      </w:r>
      <w:r w:rsidR="001F0CB3">
        <w:rPr>
          <w:rFonts w:ascii="Arial" w:eastAsia="Arial" w:hAnsi="Arial" w:cs="Times New Roman"/>
          <w:sz w:val="20"/>
        </w:rPr>
        <w:t xml:space="preserve"> were psoralen</w:t>
      </w:r>
      <w:r w:rsidR="007E7BD7">
        <w:rPr>
          <w:rFonts w:ascii="Arial" w:eastAsia="Arial" w:hAnsi="Arial" w:cs="Times New Roman"/>
          <w:sz w:val="20"/>
        </w:rPr>
        <w:t>-</w:t>
      </w:r>
      <w:r w:rsidR="001F0CB3">
        <w:rPr>
          <w:rFonts w:ascii="Arial" w:eastAsia="Arial" w:hAnsi="Arial" w:cs="Times New Roman"/>
          <w:sz w:val="20"/>
        </w:rPr>
        <w:t xml:space="preserve">treated platelets. </w:t>
      </w:r>
      <w:r w:rsidR="000B69FA">
        <w:rPr>
          <w:rFonts w:ascii="Arial" w:eastAsia="Arial" w:hAnsi="Arial" w:cs="Times New Roman"/>
          <w:sz w:val="20"/>
        </w:rPr>
        <w:t>There were 10 adverse reactions associated with pathogen reduced products, with a rate of 28.11 per 10,000 pathogen reduced products transfused.</w:t>
      </w:r>
      <w:r w:rsidR="004516EB">
        <w:rPr>
          <w:rFonts w:ascii="Arial" w:eastAsia="Arial" w:hAnsi="Arial" w:cs="Times New Roman"/>
          <w:sz w:val="20"/>
        </w:rPr>
        <w:t xml:space="preserve"> Pathogen reduced products were transfused by just </w:t>
      </w:r>
      <w:r w:rsidR="00C42E34">
        <w:rPr>
          <w:rFonts w:ascii="Arial" w:eastAsia="Arial" w:hAnsi="Arial" w:cs="Times New Roman"/>
          <w:sz w:val="20"/>
        </w:rPr>
        <w:t>20</w:t>
      </w:r>
      <w:r w:rsidR="004516EB">
        <w:rPr>
          <w:rFonts w:ascii="Arial" w:eastAsia="Arial" w:hAnsi="Arial" w:cs="Times New Roman"/>
          <w:sz w:val="20"/>
        </w:rPr>
        <w:t xml:space="preserve"> facilities.</w:t>
      </w:r>
    </w:p>
    <w:p w14:paraId="3904E949" w14:textId="771BCF9F" w:rsidR="004657B4" w:rsidRPr="00AE709A" w:rsidRDefault="004657B4" w:rsidP="004657B4">
      <w:pPr>
        <w:pStyle w:val="NoSpacing"/>
        <w:rPr>
          <w:rFonts w:ascii="Arial" w:eastAsia="Arial" w:hAnsi="Arial" w:cs="Times New Roman"/>
          <w:b/>
          <w:bCs/>
          <w:strike/>
          <w:sz w:val="20"/>
        </w:rPr>
      </w:pPr>
    </w:p>
    <w:p w14:paraId="0C766566" w14:textId="77777777" w:rsidR="004657B4" w:rsidRDefault="004657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1C9F4C" w14:textId="77777777" w:rsidR="00632BA9" w:rsidRPr="00E447AD" w:rsidRDefault="004657B4" w:rsidP="00632BA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</w:t>
      </w:r>
      <w:r w:rsidR="00E40583">
        <w:rPr>
          <w:rFonts w:ascii="Arial" w:hAnsi="Arial" w:cs="Arial"/>
          <w:sz w:val="20"/>
          <w:szCs w:val="20"/>
        </w:rPr>
        <w:t>T</w:t>
      </w:r>
      <w:r w:rsidR="00E40583" w:rsidRPr="00E447AD">
        <w:rPr>
          <w:rFonts w:ascii="Arial" w:hAnsi="Arial" w:cs="Arial"/>
          <w:sz w:val="20"/>
          <w:szCs w:val="20"/>
        </w:rPr>
        <w:t xml:space="preserve">echnical </w:t>
      </w:r>
      <w:r w:rsidR="00E40583">
        <w:rPr>
          <w:rFonts w:ascii="Arial" w:hAnsi="Arial" w:cs="Arial"/>
          <w:sz w:val="20"/>
          <w:szCs w:val="20"/>
        </w:rPr>
        <w:t>A</w:t>
      </w:r>
      <w:r w:rsidR="00E40583" w:rsidRPr="00E447AD">
        <w:rPr>
          <w:rFonts w:ascii="Arial" w:hAnsi="Arial" w:cs="Arial"/>
          <w:sz w:val="20"/>
          <w:szCs w:val="20"/>
        </w:rPr>
        <w:t xml:space="preserve">dvisory </w:t>
      </w:r>
      <w:r w:rsidR="00E40583">
        <w:rPr>
          <w:rFonts w:ascii="Arial" w:hAnsi="Arial" w:cs="Arial"/>
          <w:sz w:val="20"/>
          <w:szCs w:val="20"/>
        </w:rPr>
        <w:t>G</w:t>
      </w:r>
      <w:r w:rsidR="00E40583" w:rsidRPr="00E447AD">
        <w:rPr>
          <w:rFonts w:ascii="Arial" w:hAnsi="Arial" w:cs="Arial"/>
          <w:sz w:val="20"/>
          <w:szCs w:val="20"/>
        </w:rPr>
        <w:t>roup</w:t>
      </w:r>
      <w:r w:rsidR="00E40583"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>(TAG) was established in June 2014 to provide guidance to the</w:t>
      </w:r>
      <w:r w:rsidR="00632BA9" w:rsidRPr="00E447AD">
        <w:rPr>
          <w:rFonts w:ascii="Arial" w:hAnsi="Arial" w:cs="Arial"/>
          <w:spacing w:val="41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>Massachusetts Department of Public Health (MDPH)</w:t>
      </w:r>
      <w:r w:rsidR="00632BA9" w:rsidRPr="00E447AD">
        <w:rPr>
          <w:rFonts w:ascii="Arial" w:hAnsi="Arial" w:cs="Arial"/>
          <w:spacing w:val="1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 xml:space="preserve">in the </w:t>
      </w:r>
      <w:r w:rsidR="003F7CD1">
        <w:rPr>
          <w:rFonts w:ascii="Arial" w:hAnsi="Arial" w:cs="Arial"/>
          <w:sz w:val="20"/>
          <w:szCs w:val="20"/>
        </w:rPr>
        <w:t xml:space="preserve">analysis and </w:t>
      </w:r>
      <w:r w:rsidR="00632BA9" w:rsidRPr="00E447AD">
        <w:rPr>
          <w:rFonts w:ascii="Arial" w:hAnsi="Arial" w:cs="Arial"/>
          <w:sz w:val="20"/>
          <w:szCs w:val="20"/>
        </w:rPr>
        <w:t xml:space="preserve">use of </w:t>
      </w:r>
      <w:r w:rsidR="000C017B">
        <w:rPr>
          <w:rFonts w:ascii="Arial" w:hAnsi="Arial" w:cs="Arial"/>
          <w:sz w:val="20"/>
          <w:szCs w:val="20"/>
        </w:rPr>
        <w:t xml:space="preserve">statewide </w:t>
      </w:r>
      <w:r w:rsidR="00E40583">
        <w:rPr>
          <w:rFonts w:ascii="Arial" w:hAnsi="Arial" w:cs="Arial"/>
          <w:sz w:val="20"/>
          <w:szCs w:val="20"/>
        </w:rPr>
        <w:t>h</w:t>
      </w:r>
      <w:r w:rsidR="00E40583" w:rsidRPr="00E447AD">
        <w:rPr>
          <w:rFonts w:ascii="Arial" w:hAnsi="Arial" w:cs="Arial"/>
          <w:sz w:val="20"/>
          <w:szCs w:val="20"/>
        </w:rPr>
        <w:t xml:space="preserve">emovigilance </w:t>
      </w:r>
      <w:r w:rsidR="000C017B">
        <w:rPr>
          <w:rFonts w:ascii="Arial" w:hAnsi="Arial" w:cs="Arial"/>
          <w:sz w:val="20"/>
          <w:szCs w:val="20"/>
        </w:rPr>
        <w:t>data</w:t>
      </w:r>
      <w:r w:rsidR="00632BA9" w:rsidRPr="00E447AD">
        <w:rPr>
          <w:rFonts w:ascii="Arial" w:hAnsi="Arial" w:cs="Arial"/>
          <w:sz w:val="20"/>
          <w:szCs w:val="20"/>
        </w:rPr>
        <w:t>.</w:t>
      </w:r>
    </w:p>
    <w:p w14:paraId="2617E4A7" w14:textId="77777777" w:rsidR="00D51CE3" w:rsidRPr="00E447AD" w:rsidRDefault="00D51CE3" w:rsidP="00052D68">
      <w:pPr>
        <w:widowControl w:val="0"/>
        <w:spacing w:after="0" w:line="240" w:lineRule="auto"/>
        <w:rPr>
          <w:rFonts w:ascii="Arial" w:eastAsia="Arial" w:hAnsi="Arial" w:cs="Arial"/>
          <w:spacing w:val="-1"/>
          <w:sz w:val="20"/>
          <w:szCs w:val="20"/>
          <w:u w:val="single"/>
        </w:rPr>
      </w:pPr>
    </w:p>
    <w:p w14:paraId="7DAB9D6D" w14:textId="77777777" w:rsidR="00052D68" w:rsidRPr="00E447AD" w:rsidRDefault="00052D68" w:rsidP="00052D68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Current members </w:t>
      </w:r>
      <w:r w:rsidRPr="00E447AD">
        <w:rPr>
          <w:rFonts w:ascii="Arial" w:eastAsia="Arial" w:hAnsi="Arial" w:cs="Arial"/>
          <w:sz w:val="20"/>
          <w:szCs w:val="20"/>
          <w:u w:val="single"/>
        </w:rPr>
        <w:t>of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the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TAG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are:</w:t>
      </w:r>
    </w:p>
    <w:p w14:paraId="3BC358BB" w14:textId="77777777" w:rsidR="00FD10D9" w:rsidRPr="00E447AD" w:rsidRDefault="00FD10D9" w:rsidP="00052D68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502FDAC5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  <w:sectPr w:rsidR="00D51CE3" w:rsidRPr="00E447AD" w:rsidSect="00D51CE3">
          <w:pgSz w:w="12240" w:h="15840"/>
          <w:pgMar w:top="960" w:right="1340" w:bottom="280" w:left="1320" w:header="720" w:footer="720" w:gutter="0"/>
          <w:cols w:space="720"/>
          <w:docGrid w:linePitch="299"/>
        </w:sectPr>
      </w:pPr>
    </w:p>
    <w:p w14:paraId="56E8936D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Chester Andrzejewski, Jr., PhD, MD, FCAP</w:t>
      </w:r>
    </w:p>
    <w:p w14:paraId="336CB0F6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Medical Director</w:t>
      </w:r>
    </w:p>
    <w:p w14:paraId="6BCDAA93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System Transfusion Medicine/Blood Banking and</w:t>
      </w:r>
    </w:p>
    <w:p w14:paraId="4C15C81B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Apheresis Medicine Services</w:t>
      </w:r>
    </w:p>
    <w:p w14:paraId="7AAA93A3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Baystate Health/ Baystate Medical Center</w:t>
      </w:r>
    </w:p>
    <w:p w14:paraId="7CEEE0A1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32C699C" w14:textId="01EAC3FF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Christina Brandeburg, MPH</w:t>
      </w:r>
      <w:r w:rsidR="000E1486">
        <w:rPr>
          <w:rFonts w:ascii="Arial" w:hAnsi="Arial" w:cs="Arial"/>
          <w:b/>
          <w:sz w:val="20"/>
          <w:szCs w:val="20"/>
        </w:rPr>
        <w:t>, CIC</w:t>
      </w:r>
    </w:p>
    <w:p w14:paraId="09DC7FE2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6B22BE77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 w:rsidR="00E40583">
        <w:rPr>
          <w:rFonts w:ascii="Arial" w:hAnsi="Arial" w:cs="Arial"/>
          <w:sz w:val="20"/>
          <w:szCs w:val="20"/>
        </w:rPr>
        <w:t xml:space="preserve"> and Laboratory Sciences</w:t>
      </w:r>
    </w:p>
    <w:p w14:paraId="2EF1D25E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0E2032CC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4497D00" w14:textId="313475F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Melissa Cumming, MS</w:t>
      </w:r>
      <w:r w:rsidR="000E1486">
        <w:rPr>
          <w:rFonts w:ascii="Arial" w:hAnsi="Arial" w:cs="Arial"/>
          <w:b/>
          <w:sz w:val="20"/>
          <w:szCs w:val="20"/>
        </w:rPr>
        <w:t>, CIC</w:t>
      </w:r>
      <w:r w:rsidRPr="00E447AD">
        <w:rPr>
          <w:rFonts w:ascii="Arial" w:hAnsi="Arial" w:cs="Arial"/>
          <w:b/>
          <w:sz w:val="20"/>
          <w:szCs w:val="20"/>
        </w:rPr>
        <w:t xml:space="preserve"> </w:t>
      </w:r>
    </w:p>
    <w:p w14:paraId="124D2805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3504F214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Hemovigilance Coordinator</w:t>
      </w:r>
    </w:p>
    <w:p w14:paraId="19C7ADD4" w14:textId="77777777" w:rsidR="00D51CE3" w:rsidRPr="00E447AD" w:rsidRDefault="00E4058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1C645936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50BF3320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219298B" w14:textId="6939B189" w:rsidR="00D51CE3" w:rsidRPr="00E447AD" w:rsidRDefault="00CD7B21" w:rsidP="00D51CE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Ashley Iannone</w:t>
      </w:r>
      <w:r w:rsidR="006F4183">
        <w:rPr>
          <w:rFonts w:ascii="Arial" w:hAnsi="Arial" w:cs="Arial"/>
          <w:b/>
          <w:sz w:val="20"/>
          <w:szCs w:val="20"/>
        </w:rPr>
        <w:t>,</w:t>
      </w:r>
      <w:r w:rsidR="00D51CE3" w:rsidRPr="00E447AD">
        <w:rPr>
          <w:rFonts w:ascii="Arial" w:hAnsi="Arial" w:cs="Arial"/>
          <w:b/>
          <w:sz w:val="20"/>
          <w:szCs w:val="20"/>
        </w:rPr>
        <w:t xml:space="preserve"> MPH</w:t>
      </w:r>
      <w:r w:rsidR="000E1486">
        <w:rPr>
          <w:rFonts w:ascii="Arial" w:hAnsi="Arial" w:cs="Arial"/>
          <w:b/>
          <w:sz w:val="20"/>
          <w:szCs w:val="20"/>
        </w:rPr>
        <w:t xml:space="preserve"> </w:t>
      </w:r>
    </w:p>
    <w:p w14:paraId="2A5B87F3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147B2F93" w14:textId="77777777" w:rsidR="00E40583" w:rsidRPr="00E447AD" w:rsidRDefault="00E4058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54DCDA04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37A4AD76" w14:textId="530878B5" w:rsidR="00D51CE3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70B90FF" w14:textId="3D634B2F" w:rsidR="00CD7B21" w:rsidRDefault="00CD7B21" w:rsidP="00D51CE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Jordan Schultz, MPH</w:t>
      </w:r>
    </w:p>
    <w:p w14:paraId="2EC338D4" w14:textId="77777777" w:rsidR="00CD7B21" w:rsidRPr="00E447AD" w:rsidRDefault="00CD7B21" w:rsidP="00CD7B21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1267DB49" w14:textId="77777777" w:rsidR="00CD7B21" w:rsidRPr="00E447AD" w:rsidRDefault="00CD7B21" w:rsidP="00CD7B21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355430D3" w14:textId="77777777" w:rsidR="00CD7B21" w:rsidRPr="00E447AD" w:rsidRDefault="00CD7B21" w:rsidP="00CD7B21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25480C03" w14:textId="77777777" w:rsidR="00CD7B21" w:rsidRPr="00E447AD" w:rsidRDefault="00CD7B21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39F51D2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Alfred DeMaria, Jr., MD</w:t>
      </w:r>
    </w:p>
    <w:p w14:paraId="5212C9D8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Medical </w:t>
      </w:r>
      <w:r w:rsidR="00172F10" w:rsidRPr="00E447AD">
        <w:rPr>
          <w:rFonts w:ascii="Arial" w:hAnsi="Arial" w:cs="Arial"/>
          <w:sz w:val="20"/>
          <w:szCs w:val="20"/>
        </w:rPr>
        <w:t>and Laboratory Consultant</w:t>
      </w:r>
    </w:p>
    <w:p w14:paraId="35D6342B" w14:textId="77777777" w:rsidR="00E40583" w:rsidRPr="00E447AD" w:rsidRDefault="00E4058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759C2125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01B08C3F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D00ED7A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Elzbieta Griffiths, MD</w:t>
      </w:r>
    </w:p>
    <w:p w14:paraId="57A3620C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Medical Director, Blood Bank, </w:t>
      </w:r>
    </w:p>
    <w:p w14:paraId="31F55986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Donor Center and Coagulation</w:t>
      </w:r>
    </w:p>
    <w:p w14:paraId="2C784A7D" w14:textId="71D6F312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Surgical Pathologist</w:t>
      </w:r>
      <w:r w:rsidR="00795C15">
        <w:rPr>
          <w:rFonts w:ascii="Arial" w:hAnsi="Arial" w:cs="Arial"/>
          <w:sz w:val="20"/>
          <w:szCs w:val="20"/>
        </w:rPr>
        <w:t>,</w:t>
      </w:r>
      <w:r w:rsidRPr="00E447AD">
        <w:rPr>
          <w:rFonts w:ascii="Arial" w:hAnsi="Arial" w:cs="Arial"/>
          <w:sz w:val="20"/>
          <w:szCs w:val="20"/>
        </w:rPr>
        <w:t xml:space="preserve"> Mount Auburn Hospital</w:t>
      </w:r>
    </w:p>
    <w:p w14:paraId="1DCE6AF7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2EA3922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E9E980E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53C2E98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0D4716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1107E9A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0D59429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CA1EE45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B3E985E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B683D0B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8FAA23D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22EF6CC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EBEB484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52025E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D5C36E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5B46B6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7E67491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Michele Herman, MT (ASCP)</w:t>
      </w:r>
    </w:p>
    <w:p w14:paraId="7F129C43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Compliance Officer - Transfusion Medicine </w:t>
      </w:r>
    </w:p>
    <w:p w14:paraId="0801C262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Beth Israel Deaconess Medical Center</w:t>
      </w:r>
    </w:p>
    <w:p w14:paraId="468AEFCF" w14:textId="77777777" w:rsidR="004657B4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B1EB99B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Kimberly Knox, RN, MHA, CIC</w:t>
      </w:r>
    </w:p>
    <w:p w14:paraId="44C34E3E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Infection Prevention and Control Coordinator </w:t>
      </w:r>
    </w:p>
    <w:p w14:paraId="139D7FAF" w14:textId="77777777" w:rsidR="004657B4" w:rsidRPr="00E447AD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Milford Regional Medical Center</w:t>
      </w:r>
    </w:p>
    <w:p w14:paraId="1C382A47" w14:textId="77777777" w:rsidR="004657B4" w:rsidRPr="00E447AD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1BAA722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Eileen McHale, RN, BSN</w:t>
      </w:r>
    </w:p>
    <w:p w14:paraId="60AA85D0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Healthcare Associated Infection Coordinator </w:t>
      </w:r>
    </w:p>
    <w:p w14:paraId="08DC5AD3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Bureau of Health Care Safety and Quality </w:t>
      </w:r>
    </w:p>
    <w:p w14:paraId="08951777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5AB1D64B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</w:p>
    <w:p w14:paraId="7376DF92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bCs/>
          <w:sz w:val="20"/>
          <w:szCs w:val="20"/>
        </w:rPr>
        <w:t xml:space="preserve">Lynne O’Hearn, </w:t>
      </w:r>
      <w:r w:rsidRPr="00E447AD">
        <w:rPr>
          <w:rFonts w:ascii="Arial" w:hAnsi="Arial" w:cs="Arial"/>
          <w:b/>
          <w:sz w:val="20"/>
          <w:szCs w:val="20"/>
        </w:rPr>
        <w:t>MT (ASCP)</w:t>
      </w:r>
    </w:p>
    <w:p w14:paraId="326BEC8F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Transfusion Safety Officer</w:t>
      </w:r>
    </w:p>
    <w:p w14:paraId="715F01FD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Baystate Medical Center</w:t>
      </w:r>
    </w:p>
    <w:p w14:paraId="64DC3128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</w:p>
    <w:p w14:paraId="6E56BB3F" w14:textId="77777777" w:rsidR="004657B4" w:rsidRPr="00E447AD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 xml:space="preserve">Jorge Rios, MD </w:t>
      </w:r>
    </w:p>
    <w:p w14:paraId="105A596C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Medical Director</w:t>
      </w:r>
    </w:p>
    <w:p w14:paraId="75254FAF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American Red Cross Blood Services </w:t>
      </w:r>
    </w:p>
    <w:p w14:paraId="336EE968" w14:textId="77777777" w:rsidR="004657B4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Region</w:t>
      </w:r>
    </w:p>
    <w:p w14:paraId="40FD05EF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</w:p>
    <w:p w14:paraId="45D982C8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Lynne Uhl, MD</w:t>
      </w:r>
    </w:p>
    <w:p w14:paraId="447B0E25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Vice Chair and Division Director for Laboratory and Transfusion Medicine</w:t>
      </w:r>
    </w:p>
    <w:p w14:paraId="3FDA72F7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Beth Israel Deaconess Medical Center</w:t>
      </w:r>
    </w:p>
    <w:p w14:paraId="3A79392F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76E953C" w14:textId="0608ACC0" w:rsidR="00D643D8" w:rsidRDefault="00D643D8" w:rsidP="00D51CE3">
      <w:pPr>
        <w:pStyle w:val="NoSpacing"/>
        <w:rPr>
          <w:rFonts w:ascii="Arial" w:hAnsi="Arial" w:cs="Arial"/>
          <w:b/>
          <w:sz w:val="20"/>
          <w:szCs w:val="20"/>
        </w:rPr>
      </w:pPr>
      <w:bookmarkStart w:id="4" w:name="_Hlk44259613"/>
      <w:r>
        <w:rPr>
          <w:rFonts w:ascii="Arial" w:hAnsi="Arial" w:cs="Arial"/>
          <w:b/>
          <w:sz w:val="20"/>
          <w:szCs w:val="20"/>
        </w:rPr>
        <w:t>Jason Viau</w:t>
      </w:r>
      <w:r w:rsidR="000E1486">
        <w:rPr>
          <w:rFonts w:ascii="Arial" w:hAnsi="Arial" w:cs="Arial"/>
          <w:b/>
          <w:sz w:val="20"/>
          <w:szCs w:val="20"/>
        </w:rPr>
        <w:t>, BS, MT (ASCP)</w:t>
      </w:r>
    </w:p>
    <w:p w14:paraId="02EF6C9E" w14:textId="31B498A2" w:rsidR="00D643D8" w:rsidRPr="006718C8" w:rsidRDefault="006718C8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B716CD">
        <w:rPr>
          <w:rFonts w:ascii="Arial" w:hAnsi="Arial" w:cs="Arial"/>
          <w:sz w:val="20"/>
          <w:szCs w:val="20"/>
        </w:rPr>
        <w:t>Senior Medical Technologist II, Blood Bank</w:t>
      </w:r>
    </w:p>
    <w:p w14:paraId="0290CCBA" w14:textId="7F182B17" w:rsidR="00D643D8" w:rsidRDefault="006718C8" w:rsidP="00D51CE3">
      <w:pPr>
        <w:pStyle w:val="NoSpacing"/>
        <w:rPr>
          <w:rFonts w:ascii="Arial" w:hAnsi="Arial" w:cs="Arial"/>
          <w:sz w:val="20"/>
          <w:szCs w:val="20"/>
        </w:rPr>
      </w:pPr>
      <w:r w:rsidRPr="00B716CD">
        <w:rPr>
          <w:rFonts w:ascii="Arial" w:hAnsi="Arial" w:cs="Arial"/>
          <w:sz w:val="20"/>
          <w:szCs w:val="20"/>
        </w:rPr>
        <w:t>Lahey Hospital &amp; Medical Center</w:t>
      </w:r>
    </w:p>
    <w:p w14:paraId="28499A8E" w14:textId="7FBCF725" w:rsidR="006718C8" w:rsidRPr="006718C8" w:rsidRDefault="006718C8" w:rsidP="00D51CE3">
      <w:pPr>
        <w:pStyle w:val="NoSpacing"/>
        <w:rPr>
          <w:rFonts w:ascii="Arial" w:hAnsi="Arial" w:cs="Arial"/>
          <w:sz w:val="20"/>
          <w:szCs w:val="20"/>
        </w:rPr>
      </w:pPr>
      <w:r w:rsidRPr="006718C8">
        <w:rPr>
          <w:rFonts w:ascii="Arial" w:hAnsi="Arial" w:cs="Arial"/>
          <w:sz w:val="20"/>
          <w:szCs w:val="20"/>
        </w:rPr>
        <w:t>President</w:t>
      </w:r>
    </w:p>
    <w:p w14:paraId="0F6246B9" w14:textId="13D1CFAE" w:rsidR="006718C8" w:rsidRPr="006718C8" w:rsidRDefault="006718C8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6718C8">
        <w:rPr>
          <w:rFonts w:ascii="Arial" w:hAnsi="Arial" w:cs="Arial"/>
          <w:sz w:val="20"/>
          <w:szCs w:val="20"/>
        </w:rPr>
        <w:t>Massachusetts Association of Blood Banks</w:t>
      </w:r>
    </w:p>
    <w:bookmarkEnd w:id="4"/>
    <w:p w14:paraId="1AED67ED" w14:textId="77777777" w:rsidR="00D643D8" w:rsidRDefault="00D643D8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793968A" w14:textId="080AA1CA" w:rsidR="00C514B5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 xml:space="preserve">Pamela Waksmonski, MS, MT (ASCP), </w:t>
      </w:r>
    </w:p>
    <w:p w14:paraId="54031D80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PMP, CRA</w:t>
      </w:r>
    </w:p>
    <w:p w14:paraId="168F8A86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Clinical Lab</w:t>
      </w:r>
      <w:r w:rsidR="00E40583">
        <w:rPr>
          <w:rFonts w:ascii="Arial" w:hAnsi="Arial" w:cs="Arial"/>
          <w:sz w:val="20"/>
          <w:szCs w:val="20"/>
        </w:rPr>
        <w:t>oratory</w:t>
      </w:r>
      <w:r w:rsidRPr="00E447AD">
        <w:rPr>
          <w:rFonts w:ascii="Arial" w:hAnsi="Arial" w:cs="Arial"/>
          <w:sz w:val="20"/>
          <w:szCs w:val="20"/>
        </w:rPr>
        <w:t xml:space="preserve"> Program Manager</w:t>
      </w:r>
    </w:p>
    <w:p w14:paraId="1BC1F40C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Bureau of Health Care Safety and Quality </w:t>
      </w:r>
    </w:p>
    <w:p w14:paraId="7ABC4121" w14:textId="77777777" w:rsidR="00FF371E" w:rsidRDefault="00D51CE3" w:rsidP="00052D68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</w:t>
      </w:r>
      <w:r w:rsidR="00FF371E">
        <w:rPr>
          <w:rFonts w:ascii="Arial" w:hAnsi="Arial" w:cs="Arial"/>
          <w:sz w:val="20"/>
          <w:szCs w:val="20"/>
        </w:rPr>
        <w:t>alth</w:t>
      </w:r>
    </w:p>
    <w:p w14:paraId="231B87DA" w14:textId="77777777" w:rsidR="00FF371E" w:rsidRDefault="00FF371E" w:rsidP="00052D68">
      <w:pPr>
        <w:pStyle w:val="NoSpacing"/>
        <w:rPr>
          <w:rFonts w:ascii="Arial" w:hAnsi="Arial" w:cs="Arial"/>
          <w:sz w:val="20"/>
          <w:szCs w:val="20"/>
        </w:rPr>
      </w:pPr>
    </w:p>
    <w:p w14:paraId="72376938" w14:textId="77777777" w:rsidR="00FF371E" w:rsidRPr="00E447AD" w:rsidRDefault="00FF371E" w:rsidP="00052D68">
      <w:pPr>
        <w:pStyle w:val="NoSpacing"/>
        <w:rPr>
          <w:rFonts w:ascii="Arial" w:hAnsi="Arial" w:cs="Arial"/>
          <w:sz w:val="20"/>
          <w:szCs w:val="20"/>
        </w:rPr>
        <w:sectPr w:rsidR="00FF371E" w:rsidRPr="00E447AD" w:rsidSect="00D51CE3">
          <w:type w:val="continuous"/>
          <w:pgSz w:w="12240" w:h="15840"/>
          <w:pgMar w:top="960" w:right="1340" w:bottom="280" w:left="1320" w:header="720" w:footer="720" w:gutter="0"/>
          <w:cols w:num="2" w:space="720"/>
          <w:docGrid w:linePitch="299"/>
        </w:sectPr>
      </w:pPr>
    </w:p>
    <w:p w14:paraId="52CC7DEE" w14:textId="77777777" w:rsidR="009C5B19" w:rsidRDefault="009C5B19" w:rsidP="00FF371E">
      <w:pPr>
        <w:widowControl w:val="0"/>
        <w:spacing w:before="48" w:after="0" w:line="240" w:lineRule="auto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  <w:bookmarkStart w:id="5" w:name="_Toc516748490"/>
      <w:bookmarkStart w:id="6" w:name="_TOC_250001"/>
      <w:r>
        <w:rPr>
          <w:rFonts w:ascii="Arial" w:eastAsia="Arial" w:hAnsi="Arial" w:cs="Times New Roman"/>
          <w:b/>
          <w:bCs/>
          <w:sz w:val="28"/>
          <w:szCs w:val="28"/>
        </w:rPr>
        <w:lastRenderedPageBreak/>
        <w:t>Table of Contents</w:t>
      </w:r>
      <w:bookmarkEnd w:id="5"/>
    </w:p>
    <w:p w14:paraId="0A080595" w14:textId="77777777" w:rsidR="00ED0FE1" w:rsidRDefault="00ED0FE1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70CACABE" w14:textId="1FD6A00B" w:rsidR="00AD0380" w:rsidRDefault="00AD0380" w:rsidP="00931AF8">
      <w:pPr>
        <w:pStyle w:val="TOC1"/>
      </w:pPr>
      <w:r w:rsidRPr="00ED0FE1">
        <w:t>List of abbreviations</w:t>
      </w:r>
      <w:r w:rsidRPr="00ED0FE1">
        <w:tab/>
        <w:t>6</w:t>
      </w:r>
    </w:p>
    <w:p w14:paraId="2ED0BBE8" w14:textId="166FB072" w:rsidR="00D95973" w:rsidRDefault="00ED1CBD" w:rsidP="00931AF8">
      <w:pPr>
        <w:pStyle w:val="TOC1"/>
      </w:pPr>
      <w:r>
        <w:t xml:space="preserve">Table 1: </w:t>
      </w:r>
      <w:r w:rsidR="00E447AD">
        <w:t>Bed Size Characteristics</w:t>
      </w:r>
      <w:r w:rsidR="00FE39B5">
        <w:t xml:space="preserve"> </w:t>
      </w:r>
      <w:r>
        <w:t xml:space="preserve">from the </w:t>
      </w:r>
      <w:r w:rsidR="007A7C75">
        <w:t>2020</w:t>
      </w:r>
      <w:r>
        <w:t xml:space="preserve"> Annual Facility Survey……………………………</w:t>
      </w:r>
      <w:r w:rsidR="00845828">
        <w:t>…..</w:t>
      </w:r>
      <w:r w:rsidR="002D766B">
        <w:t>7</w:t>
      </w:r>
    </w:p>
    <w:p w14:paraId="18C587E1" w14:textId="55D0B9DD" w:rsidR="00AD0380" w:rsidRDefault="00E92D46" w:rsidP="00931AF8">
      <w:pPr>
        <w:pStyle w:val="TOC1"/>
      </w:pPr>
      <w:r>
        <w:t xml:space="preserve">Figure 1: </w:t>
      </w:r>
      <w:r w:rsidR="00AD0380" w:rsidRPr="00ED0FE1">
        <w:t>Volume of Blood Products Transfused</w:t>
      </w:r>
      <w:r>
        <w:t xml:space="preserve"> </w:t>
      </w:r>
      <w:r w:rsidR="00C514B5">
        <w:t xml:space="preserve">in </w:t>
      </w:r>
      <w:r>
        <w:t>Massachusetts, 201</w:t>
      </w:r>
      <w:r w:rsidR="007A7C75">
        <w:t>8</w:t>
      </w:r>
      <w:r>
        <w:t>-20</w:t>
      </w:r>
      <w:r w:rsidR="007A7C75">
        <w:t>20</w:t>
      </w:r>
      <w:r w:rsidR="00AD0380" w:rsidRPr="00ED0FE1">
        <w:tab/>
      </w:r>
      <w:r w:rsidR="002D766B">
        <w:t>8</w:t>
      </w:r>
    </w:p>
    <w:p w14:paraId="6CFA78FC" w14:textId="0699D965" w:rsidR="00AD0380" w:rsidRDefault="00E92D46" w:rsidP="00931AF8">
      <w:pPr>
        <w:pStyle w:val="TOC1"/>
      </w:pPr>
      <w:r>
        <w:t xml:space="preserve">Table 2: </w:t>
      </w:r>
      <w:r w:rsidR="00AD0380" w:rsidRPr="00ED0FE1">
        <w:t>Transfusion Volume by Bed Size Group, Product Type, and Year, 201</w:t>
      </w:r>
      <w:r w:rsidR="00931AF8">
        <w:t>8</w:t>
      </w:r>
      <w:r w:rsidR="00AD0380" w:rsidRPr="00ED0FE1">
        <w:t>-20</w:t>
      </w:r>
      <w:r w:rsidR="00931AF8">
        <w:t>20</w:t>
      </w:r>
      <w:r w:rsidR="00AD0380" w:rsidRPr="00ED0FE1">
        <w:t xml:space="preserve"> </w:t>
      </w:r>
      <w:r w:rsidR="00AD0380" w:rsidRPr="00ED0FE1">
        <w:tab/>
      </w:r>
      <w:r w:rsidR="002D766B">
        <w:t>9</w:t>
      </w:r>
    </w:p>
    <w:p w14:paraId="494B1E16" w14:textId="2ED1D141" w:rsidR="00552AA2" w:rsidRPr="00CA0266" w:rsidRDefault="00552AA2" w:rsidP="008F690D">
      <w:r w:rsidRPr="008F690D">
        <w:rPr>
          <w:rFonts w:ascii="Arial" w:hAnsi="Arial" w:cs="Arial"/>
          <w:b/>
          <w:bCs/>
          <w:sz w:val="20"/>
          <w:szCs w:val="20"/>
        </w:rPr>
        <w:t>Table 3: Volume of Pathogen Reduced Products Transfused in Massachusetts, 2018-2020..…</w:t>
      </w:r>
      <w:r>
        <w:rPr>
          <w:rFonts w:ascii="Arial" w:hAnsi="Arial" w:cs="Arial"/>
          <w:b/>
          <w:bCs/>
          <w:sz w:val="20"/>
          <w:szCs w:val="20"/>
        </w:rPr>
        <w:t>…..</w:t>
      </w:r>
      <w:r w:rsidRPr="008F690D">
        <w:rPr>
          <w:rFonts w:ascii="Arial" w:hAnsi="Arial" w:cs="Arial"/>
          <w:b/>
          <w:bCs/>
          <w:sz w:val="20"/>
          <w:szCs w:val="20"/>
        </w:rPr>
        <w:t>10</w:t>
      </w:r>
    </w:p>
    <w:p w14:paraId="600048DE" w14:textId="0D685610" w:rsidR="00AD0380" w:rsidRPr="00ED0FE1" w:rsidRDefault="00E92D46" w:rsidP="00931AF8">
      <w:pPr>
        <w:pStyle w:val="TOC1"/>
      </w:pPr>
      <w:r>
        <w:t xml:space="preserve">Figure 2: </w:t>
      </w:r>
      <w:r w:rsidR="00AD0380" w:rsidRPr="00ED0FE1">
        <w:t>Volume of Blood Products Discarded</w:t>
      </w:r>
      <w:r w:rsidR="00C514B5">
        <w:t xml:space="preserve"> in</w:t>
      </w:r>
      <w:r>
        <w:t xml:space="preserve"> Massachusetts, 201</w:t>
      </w:r>
      <w:r w:rsidR="00931AF8">
        <w:t>8</w:t>
      </w:r>
      <w:r>
        <w:t>-20</w:t>
      </w:r>
      <w:r w:rsidR="00931AF8">
        <w:t>20</w:t>
      </w:r>
      <w:r w:rsidR="00AD0380" w:rsidRPr="00ED0FE1">
        <w:tab/>
      </w:r>
      <w:r w:rsidR="00552AA2" w:rsidRPr="00ED0FE1">
        <w:t>1</w:t>
      </w:r>
      <w:r w:rsidR="00552AA2">
        <w:t>1</w:t>
      </w:r>
    </w:p>
    <w:p w14:paraId="05F84717" w14:textId="59BB598C" w:rsidR="00AD0380" w:rsidRPr="00ED0FE1" w:rsidRDefault="00E92D46" w:rsidP="00931AF8">
      <w:pPr>
        <w:pStyle w:val="TOC1"/>
      </w:pPr>
      <w:r>
        <w:t xml:space="preserve">Table </w:t>
      </w:r>
      <w:r w:rsidR="00552AA2">
        <w:t>4</w:t>
      </w:r>
      <w:r>
        <w:t xml:space="preserve">: </w:t>
      </w:r>
      <w:r w:rsidR="00D95973">
        <w:t>Number and Ratio of Discarded Products by Type and Bed Size Group, 20</w:t>
      </w:r>
      <w:r w:rsidR="00931AF8">
        <w:t>20</w:t>
      </w:r>
      <w:r w:rsidR="00D95973">
        <w:t>………….....</w:t>
      </w:r>
      <w:r w:rsidR="00552AA2">
        <w:t>12</w:t>
      </w:r>
    </w:p>
    <w:p w14:paraId="20CBFA0D" w14:textId="766646DB" w:rsidR="00E92D46" w:rsidRDefault="00E92D46" w:rsidP="00931AF8">
      <w:pPr>
        <w:pStyle w:val="TOC1"/>
      </w:pPr>
      <w:r>
        <w:t xml:space="preserve">Table </w:t>
      </w:r>
      <w:r w:rsidR="00552AA2">
        <w:t>5</w:t>
      </w:r>
      <w:r>
        <w:t xml:space="preserve">: Number of Adverse Reactions </w:t>
      </w:r>
      <w:r w:rsidR="00B65082">
        <w:t xml:space="preserve">in </w:t>
      </w:r>
      <w:r w:rsidR="00D95973">
        <w:t>Massachusetts, 201</w:t>
      </w:r>
      <w:r w:rsidR="00931AF8">
        <w:t>9</w:t>
      </w:r>
      <w:r w:rsidR="00D95973">
        <w:t>-20</w:t>
      </w:r>
      <w:r w:rsidR="00931AF8">
        <w:t>20</w:t>
      </w:r>
      <w:r w:rsidR="00D95973">
        <w:t>………………………………….</w:t>
      </w:r>
      <w:r w:rsidR="00552AA2">
        <w:t>13</w:t>
      </w:r>
    </w:p>
    <w:p w14:paraId="3A8FD987" w14:textId="4CB93D4A" w:rsidR="00552AA2" w:rsidRPr="00CA0266" w:rsidRDefault="00552AA2" w:rsidP="008F690D">
      <w:r w:rsidRPr="008F690D">
        <w:rPr>
          <w:rFonts w:ascii="Arial" w:hAnsi="Arial" w:cs="Arial"/>
          <w:b/>
          <w:bCs/>
          <w:sz w:val="20"/>
          <w:szCs w:val="20"/>
        </w:rPr>
        <w:t>Table 6: Number of Adverse Reactions Associated with Pathogen Reduced Products in Massachusetts, 201</w:t>
      </w:r>
      <w:r>
        <w:rPr>
          <w:rFonts w:ascii="Arial" w:hAnsi="Arial" w:cs="Arial"/>
          <w:b/>
          <w:bCs/>
          <w:sz w:val="20"/>
          <w:szCs w:val="20"/>
        </w:rPr>
        <w:t>9-</w:t>
      </w:r>
      <w:r w:rsidRPr="008F690D">
        <w:rPr>
          <w:rFonts w:ascii="Arial" w:hAnsi="Arial" w:cs="Arial"/>
          <w:b/>
          <w:bCs/>
          <w:sz w:val="20"/>
          <w:szCs w:val="20"/>
        </w:rPr>
        <w:t>202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8F690D">
        <w:rPr>
          <w:rFonts w:ascii="Arial" w:hAnsi="Arial" w:cs="Arial"/>
          <w:b/>
          <w:bCs/>
          <w:sz w:val="20"/>
          <w:szCs w:val="20"/>
        </w:rPr>
        <w:t>…………………..…………………………………………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…..</w:t>
      </w:r>
      <w:r w:rsidRPr="008F690D">
        <w:rPr>
          <w:rFonts w:ascii="Arial" w:hAnsi="Arial" w:cs="Arial"/>
          <w:b/>
          <w:bCs/>
          <w:sz w:val="20"/>
          <w:szCs w:val="20"/>
        </w:rPr>
        <w:t>……</w:t>
      </w:r>
      <w:r>
        <w:rPr>
          <w:rFonts w:ascii="Arial" w:hAnsi="Arial" w:cs="Arial"/>
          <w:b/>
          <w:bCs/>
          <w:sz w:val="20"/>
          <w:szCs w:val="20"/>
        </w:rPr>
        <w:t>…..</w:t>
      </w:r>
      <w:r w:rsidRPr="008F690D">
        <w:rPr>
          <w:rFonts w:ascii="Arial" w:hAnsi="Arial" w:cs="Arial"/>
          <w:b/>
          <w:bCs/>
          <w:sz w:val="20"/>
          <w:szCs w:val="20"/>
        </w:rPr>
        <w:t>………….1</w:t>
      </w:r>
      <w:r w:rsidR="000158B1">
        <w:rPr>
          <w:rFonts w:ascii="Arial" w:hAnsi="Arial" w:cs="Arial"/>
          <w:b/>
          <w:bCs/>
          <w:sz w:val="20"/>
          <w:szCs w:val="20"/>
        </w:rPr>
        <w:t>3</w:t>
      </w:r>
    </w:p>
    <w:p w14:paraId="4C447D25" w14:textId="6877CD30" w:rsidR="00AD0380" w:rsidRPr="00ED0FE1" w:rsidRDefault="00E92D46" w:rsidP="00931AF8">
      <w:pPr>
        <w:pStyle w:val="TOC1"/>
      </w:pPr>
      <w:r>
        <w:t xml:space="preserve">Table </w:t>
      </w:r>
      <w:r w:rsidR="00552AA2">
        <w:t>7</w:t>
      </w:r>
      <w:r>
        <w:t xml:space="preserve">: </w:t>
      </w:r>
      <w:r w:rsidR="00AD0380" w:rsidRPr="00ED0FE1">
        <w:t>Number of Adverse Reactions by Type, Age Group, and Gender</w:t>
      </w:r>
      <w:r w:rsidR="00D95973">
        <w:t>, 20</w:t>
      </w:r>
      <w:r w:rsidR="00931AF8">
        <w:t>20</w:t>
      </w:r>
      <w:r w:rsidR="00D95973">
        <w:t>……………………..</w:t>
      </w:r>
      <w:r w:rsidR="00552AA2">
        <w:t>1</w:t>
      </w:r>
      <w:r w:rsidR="002B31BA">
        <w:t>4</w:t>
      </w:r>
    </w:p>
    <w:p w14:paraId="7A81C5A9" w14:textId="2A058E45" w:rsidR="00AD0380" w:rsidRPr="00ED0FE1" w:rsidRDefault="00E92D46" w:rsidP="00931AF8">
      <w:pPr>
        <w:pStyle w:val="TOC1"/>
      </w:pPr>
      <w:r>
        <w:t xml:space="preserve">Table </w:t>
      </w:r>
      <w:r w:rsidR="00552AA2">
        <w:t>8</w:t>
      </w:r>
      <w:r>
        <w:t xml:space="preserve">: </w:t>
      </w:r>
      <w:r w:rsidR="00AD0380" w:rsidRPr="00ED0FE1">
        <w:t>Summary of Transfusion-transmitted Infections</w:t>
      </w:r>
      <w:r>
        <w:t xml:space="preserve"> </w:t>
      </w:r>
      <w:r w:rsidR="00C514B5">
        <w:t xml:space="preserve">in </w:t>
      </w:r>
      <w:r>
        <w:t>Massachusetts</w:t>
      </w:r>
      <w:r w:rsidR="00F21359">
        <w:t>,</w:t>
      </w:r>
      <w:r>
        <w:t xml:space="preserve"> 20</w:t>
      </w:r>
      <w:r w:rsidR="00931AF8">
        <w:t>20</w:t>
      </w:r>
      <w:r w:rsidR="00AD0380" w:rsidRPr="00ED0FE1">
        <w:tab/>
      </w:r>
      <w:r w:rsidR="00552AA2" w:rsidRPr="00ED0FE1">
        <w:t>1</w:t>
      </w:r>
      <w:r w:rsidR="002B31BA">
        <w:t>5</w:t>
      </w:r>
    </w:p>
    <w:p w14:paraId="5F88E0B3" w14:textId="56EDD97E" w:rsidR="00AD0380" w:rsidRPr="00E92D46" w:rsidRDefault="00E92D46" w:rsidP="00931AF8">
      <w:pPr>
        <w:pStyle w:val="TOC1"/>
      </w:pPr>
      <w:r>
        <w:t xml:space="preserve">Figure 3: </w:t>
      </w:r>
      <w:hyperlink w:anchor="_TOC_250000" w:history="1">
        <w:r w:rsidR="00AD0380" w:rsidRPr="00E92D46">
          <w:rPr>
            <w:rStyle w:val="Hyperlink"/>
            <w:color w:val="auto"/>
            <w:u w:val="none"/>
          </w:rPr>
          <w:t>Rates of Adverse Reactions per 10,000 Transfused Products</w:t>
        </w:r>
      </w:hyperlink>
      <w:r w:rsidR="00AD0380" w:rsidRPr="00E92D46">
        <w:t xml:space="preserve"> by Product Type</w:t>
      </w:r>
      <w:r w:rsidR="00D95973">
        <w:t>………….</w:t>
      </w:r>
      <w:r w:rsidR="00552AA2" w:rsidRPr="00E92D46">
        <w:t>1</w:t>
      </w:r>
      <w:r w:rsidR="002B31BA">
        <w:t>6</w:t>
      </w:r>
    </w:p>
    <w:p w14:paraId="21211A0E" w14:textId="3416187E" w:rsidR="00AD0380" w:rsidRPr="00ED0FE1" w:rsidRDefault="00E92D46" w:rsidP="00931AF8">
      <w:pPr>
        <w:pStyle w:val="TOC1"/>
      </w:pPr>
      <w:r>
        <w:t xml:space="preserve">Figure 4: </w:t>
      </w:r>
      <w:r w:rsidR="00AD0380" w:rsidRPr="00ED0FE1">
        <w:t xml:space="preserve">Rates of Adverse Reactions per 10,000 Transfused Products by Bed Size </w:t>
      </w:r>
      <w:r w:rsidR="00AD0380">
        <w:t>G</w:t>
      </w:r>
      <w:r w:rsidR="00AD0380" w:rsidRPr="00ED0FE1">
        <w:t>roup</w:t>
      </w:r>
      <w:r w:rsidR="00D95973">
        <w:t>……….</w:t>
      </w:r>
      <w:r w:rsidR="00552AA2" w:rsidRPr="00ED0FE1">
        <w:t>1</w:t>
      </w:r>
      <w:r w:rsidR="002B31BA">
        <w:t>7</w:t>
      </w:r>
    </w:p>
    <w:p w14:paraId="0DF15B90" w14:textId="0345E4DC" w:rsidR="00AD0380" w:rsidRDefault="00E92D46" w:rsidP="00931AF8">
      <w:pPr>
        <w:pStyle w:val="TOC1"/>
      </w:pPr>
      <w:r>
        <w:t xml:space="preserve">Table </w:t>
      </w:r>
      <w:r w:rsidR="00552AA2">
        <w:t>9</w:t>
      </w:r>
      <w:r>
        <w:t xml:space="preserve">: </w:t>
      </w:r>
      <w:r w:rsidR="00AD0380" w:rsidRPr="00ED0FE1">
        <w:t>Rates of Adverse Reactions per 10,000 Total Units</w:t>
      </w:r>
      <w:r>
        <w:t xml:space="preserve"> </w:t>
      </w:r>
      <w:r w:rsidR="00AD0380" w:rsidRPr="00ED0FE1">
        <w:t>Transfused</w:t>
      </w:r>
      <w:r>
        <w:t xml:space="preserve"> </w:t>
      </w:r>
      <w:r w:rsidR="00AD0380" w:rsidRPr="00ED0FE1">
        <w:t>by Component Type</w:t>
      </w:r>
      <w:r w:rsidR="002D766B">
        <w:t>……</w:t>
      </w:r>
      <w:r w:rsidR="00552AA2" w:rsidRPr="00ED0FE1">
        <w:t>1</w:t>
      </w:r>
      <w:r w:rsidR="002B31BA">
        <w:t>8</w:t>
      </w:r>
    </w:p>
    <w:p w14:paraId="3B1984CB" w14:textId="09493DBC" w:rsidR="00552AA2" w:rsidRPr="00CA0266" w:rsidRDefault="00552AA2" w:rsidP="008F690D">
      <w:r w:rsidRPr="008F690D">
        <w:rPr>
          <w:rFonts w:ascii="Arial" w:hAnsi="Arial" w:cs="Arial"/>
          <w:b/>
          <w:bCs/>
          <w:sz w:val="20"/>
          <w:szCs w:val="20"/>
        </w:rPr>
        <w:t>Table 10: Rates of Adverse Reactions per 10,000 Total Units of Pathogen Reduced Products Transfused, 2018-20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8F690D">
        <w:rPr>
          <w:rFonts w:ascii="Arial" w:hAnsi="Arial" w:cs="Arial"/>
          <w:b/>
          <w:bCs/>
          <w:sz w:val="20"/>
          <w:szCs w:val="20"/>
        </w:rPr>
        <w:t>…………………..……………………………………………..………..…</w:t>
      </w:r>
      <w:r>
        <w:rPr>
          <w:rFonts w:ascii="Arial" w:hAnsi="Arial" w:cs="Arial"/>
          <w:b/>
          <w:bCs/>
          <w:sz w:val="20"/>
          <w:szCs w:val="20"/>
        </w:rPr>
        <w:t>..</w:t>
      </w:r>
      <w:r w:rsidRPr="008F690D">
        <w:rPr>
          <w:rFonts w:ascii="Arial" w:hAnsi="Arial" w:cs="Arial"/>
          <w:b/>
          <w:bCs/>
          <w:sz w:val="20"/>
          <w:szCs w:val="20"/>
        </w:rPr>
        <w:t>……….….</w:t>
      </w:r>
      <w:r w:rsidR="002B31BA">
        <w:rPr>
          <w:rFonts w:ascii="Arial" w:hAnsi="Arial" w:cs="Arial"/>
          <w:b/>
          <w:bCs/>
          <w:sz w:val="20"/>
          <w:szCs w:val="20"/>
        </w:rPr>
        <w:t>19</w:t>
      </w:r>
    </w:p>
    <w:p w14:paraId="5DB7120D" w14:textId="003EC9AC" w:rsidR="00CD7B21" w:rsidRDefault="00CD7B21" w:rsidP="00332F8E">
      <w:pPr>
        <w:rPr>
          <w:rFonts w:ascii="Arial" w:hAnsi="Arial" w:cs="Arial"/>
          <w:b/>
          <w:bCs/>
          <w:sz w:val="20"/>
          <w:szCs w:val="20"/>
        </w:rPr>
      </w:pPr>
      <w:r w:rsidRPr="00332F8E">
        <w:rPr>
          <w:rFonts w:ascii="Arial" w:hAnsi="Arial" w:cs="Arial"/>
          <w:b/>
          <w:bCs/>
          <w:sz w:val="20"/>
          <w:szCs w:val="20"/>
        </w:rPr>
        <w:t xml:space="preserve">Appendix A: </w:t>
      </w:r>
      <w:r w:rsidR="00332F8E" w:rsidRPr="00332F8E">
        <w:rPr>
          <w:rFonts w:ascii="Arial" w:hAnsi="Arial" w:cs="Arial"/>
          <w:b/>
          <w:bCs/>
          <w:sz w:val="20"/>
          <w:szCs w:val="20"/>
        </w:rPr>
        <w:t>COVID-19 Convalescent Plasma Supplemental……………………………………………</w:t>
      </w:r>
      <w:r w:rsidR="002D766B">
        <w:rPr>
          <w:rFonts w:ascii="Arial" w:hAnsi="Arial" w:cs="Arial"/>
          <w:b/>
          <w:bCs/>
          <w:sz w:val="20"/>
          <w:szCs w:val="20"/>
        </w:rPr>
        <w:t>.</w:t>
      </w:r>
      <w:r w:rsidR="00552AA2">
        <w:rPr>
          <w:rFonts w:ascii="Arial" w:hAnsi="Arial" w:cs="Arial"/>
          <w:b/>
          <w:bCs/>
          <w:sz w:val="20"/>
          <w:szCs w:val="20"/>
        </w:rPr>
        <w:t>2</w:t>
      </w:r>
      <w:r w:rsidR="002B31BA">
        <w:rPr>
          <w:rFonts w:ascii="Arial" w:hAnsi="Arial" w:cs="Arial"/>
          <w:b/>
          <w:bCs/>
          <w:sz w:val="20"/>
          <w:szCs w:val="20"/>
        </w:rPr>
        <w:t>0</w:t>
      </w:r>
    </w:p>
    <w:p w14:paraId="7F5259EF" w14:textId="77777777" w:rsidR="00ED0FE1" w:rsidRDefault="00ED0FE1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15510FA0" w14:textId="77777777" w:rsidR="009C5B19" w:rsidRDefault="009C5B19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61D132E2" w14:textId="77777777" w:rsidR="009C5B19" w:rsidRDefault="009C5B19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3199E610" w14:textId="77777777" w:rsidR="009C5B19" w:rsidRDefault="009C5B19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781BC51B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5C65A015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41BB2876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440C00BF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1B857CFA" w14:textId="4AA65A0B" w:rsidR="00290706" w:rsidRDefault="00290706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6AD93820" w14:textId="4BCC758E" w:rsidR="00332F8E" w:rsidRDefault="00332F8E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7DC6972F" w14:textId="46A2D4AB" w:rsidR="00332F8E" w:rsidRDefault="00332F8E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6FC581DB" w14:textId="07139151" w:rsidR="00332F8E" w:rsidRDefault="00332F8E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4CC7A6AB" w14:textId="77777777" w:rsidR="00513C76" w:rsidRPr="0097210D" w:rsidRDefault="00513C76" w:rsidP="00FA05EB">
      <w:pPr>
        <w:widowControl w:val="0"/>
        <w:spacing w:before="48" w:after="0" w:line="240" w:lineRule="auto"/>
        <w:jc w:val="center"/>
        <w:outlineLvl w:val="0"/>
        <w:rPr>
          <w:rFonts w:ascii="Arial" w:eastAsia="Arial" w:hAnsi="Arial" w:cs="Times New Roman"/>
          <w:sz w:val="28"/>
          <w:szCs w:val="28"/>
        </w:rPr>
      </w:pPr>
      <w:bookmarkStart w:id="7" w:name="_Toc516748491"/>
      <w:r w:rsidRPr="0097210D">
        <w:rPr>
          <w:rFonts w:ascii="Arial" w:eastAsia="Arial" w:hAnsi="Arial" w:cs="Times New Roman"/>
          <w:b/>
          <w:bCs/>
          <w:sz w:val="28"/>
          <w:szCs w:val="28"/>
        </w:rPr>
        <w:lastRenderedPageBreak/>
        <w:t>List</w:t>
      </w:r>
      <w:r w:rsidRPr="0097210D">
        <w:rPr>
          <w:rFonts w:ascii="Arial" w:eastAsia="Arial" w:hAnsi="Arial" w:cs="Times New Roman"/>
          <w:b/>
          <w:bCs/>
          <w:spacing w:val="-13"/>
          <w:sz w:val="28"/>
          <w:szCs w:val="28"/>
        </w:rPr>
        <w:t xml:space="preserve"> </w:t>
      </w:r>
      <w:r w:rsidRPr="0097210D">
        <w:rPr>
          <w:rFonts w:ascii="Arial" w:eastAsia="Arial" w:hAnsi="Arial" w:cs="Times New Roman"/>
          <w:b/>
          <w:bCs/>
          <w:sz w:val="28"/>
          <w:szCs w:val="28"/>
        </w:rPr>
        <w:t>of</w:t>
      </w:r>
      <w:r w:rsidRPr="0097210D">
        <w:rPr>
          <w:rFonts w:ascii="Arial" w:eastAsia="Arial" w:hAnsi="Arial" w:cs="Times New Roman"/>
          <w:b/>
          <w:bCs/>
          <w:spacing w:val="-13"/>
          <w:sz w:val="28"/>
          <w:szCs w:val="28"/>
        </w:rPr>
        <w:t xml:space="preserve"> </w:t>
      </w:r>
      <w:r w:rsidR="0097210D" w:rsidRPr="0097210D">
        <w:rPr>
          <w:rFonts w:ascii="Arial" w:eastAsia="Arial" w:hAnsi="Arial" w:cs="Times New Roman"/>
          <w:b/>
          <w:bCs/>
          <w:sz w:val="28"/>
          <w:szCs w:val="28"/>
        </w:rPr>
        <w:t>A</w:t>
      </w:r>
      <w:r w:rsidRPr="0097210D">
        <w:rPr>
          <w:rFonts w:ascii="Arial" w:eastAsia="Arial" w:hAnsi="Arial" w:cs="Times New Roman"/>
          <w:b/>
          <w:bCs/>
          <w:sz w:val="28"/>
          <w:szCs w:val="28"/>
        </w:rPr>
        <w:t>bbreviations</w:t>
      </w:r>
      <w:bookmarkEnd w:id="6"/>
      <w:bookmarkEnd w:id="7"/>
    </w:p>
    <w:p w14:paraId="2251CEDB" w14:textId="77777777" w:rsidR="00513C76" w:rsidRPr="00513C76" w:rsidRDefault="00513C76" w:rsidP="00513C76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z w:val="27"/>
          <w:szCs w:val="27"/>
        </w:rPr>
      </w:pPr>
    </w:p>
    <w:p w14:paraId="37796E24" w14:textId="5E0E24F4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AABB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="00E72C8D">
        <w:rPr>
          <w:rFonts w:ascii="Arial" w:eastAsia="Arial" w:hAnsi="Arial" w:cs="Arial"/>
          <w:spacing w:val="-1"/>
          <w:szCs w:val="24"/>
        </w:rPr>
        <w:t>Association for the Advancement of Blood and Biotherapies</w:t>
      </w:r>
    </w:p>
    <w:p w14:paraId="488338F7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Acute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6D2D260F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ALLERG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Allergic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7819EE7A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CAP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College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of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American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Pathologists</w:t>
      </w:r>
    </w:p>
    <w:p w14:paraId="15DEC738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DHTR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Delayed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1E8D5D6D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DSTR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Delayed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serologic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3045ED46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FNHTR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Febrile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non-hemolytic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05AC65A2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Hypotensive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41C3AB1A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PTP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Post-transfusion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purpura</w:t>
      </w:r>
    </w:p>
    <w:p w14:paraId="0A87E794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TJC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The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Joint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Commission</w:t>
      </w:r>
    </w:p>
    <w:p w14:paraId="1ACBD828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TACO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Transfusion-associated</w:t>
      </w:r>
      <w:r w:rsidRPr="007B0128">
        <w:rPr>
          <w:rFonts w:ascii="Arial" w:eastAsia="Arial" w:hAnsi="Arial" w:cs="Arial"/>
          <w:spacing w:val="1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circulatory</w:t>
      </w:r>
      <w:r w:rsidRPr="007B0128">
        <w:rPr>
          <w:rFonts w:ascii="Arial" w:eastAsia="Arial" w:hAnsi="Arial" w:cs="Arial"/>
          <w:spacing w:val="1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overload</w:t>
      </w:r>
    </w:p>
    <w:p w14:paraId="193043A3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TAD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Transfusion-associated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dyspnea</w:t>
      </w:r>
    </w:p>
    <w:p w14:paraId="6B9F742B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zCs w:val="24"/>
        </w:rPr>
        <w:t>TAGVHD – Transfusion-associated</w:t>
      </w:r>
      <w:r w:rsidRPr="007B0128">
        <w:rPr>
          <w:rFonts w:ascii="Arial" w:eastAsia="Arial" w:hAnsi="Arial" w:cs="Arial"/>
          <w:spacing w:val="-1"/>
          <w:szCs w:val="24"/>
        </w:rPr>
        <w:t xml:space="preserve"> </w:t>
      </w:r>
      <w:r w:rsidRPr="007B0128">
        <w:rPr>
          <w:rFonts w:ascii="Arial" w:eastAsia="Arial" w:hAnsi="Arial" w:cs="Arial"/>
          <w:szCs w:val="24"/>
        </w:rPr>
        <w:t>graft versus host disease</w:t>
      </w:r>
    </w:p>
    <w:p w14:paraId="5F38790D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TRALI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Transfusion-related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acute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lung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injury</w:t>
      </w:r>
    </w:p>
    <w:p w14:paraId="1488C310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zCs w:val="24"/>
        </w:rPr>
        <w:t>TTI – Transfusion-transmitted infection</w:t>
      </w:r>
    </w:p>
    <w:p w14:paraId="5DB00065" w14:textId="77777777" w:rsidR="00052D68" w:rsidRDefault="00052D68" w:rsidP="00052D68">
      <w:pPr>
        <w:pStyle w:val="NoSpacing"/>
      </w:pPr>
    </w:p>
    <w:p w14:paraId="440C1CC0" w14:textId="77777777" w:rsidR="00D51CE3" w:rsidRDefault="00D51CE3" w:rsidP="00052D68">
      <w:pPr>
        <w:pStyle w:val="NoSpacing"/>
      </w:pPr>
    </w:p>
    <w:p w14:paraId="1FB7C778" w14:textId="77777777" w:rsidR="00D51CE3" w:rsidRDefault="00D51CE3" w:rsidP="00052D68">
      <w:pPr>
        <w:pStyle w:val="NoSpacing"/>
      </w:pPr>
    </w:p>
    <w:p w14:paraId="686C18A3" w14:textId="77777777" w:rsidR="00D51CE3" w:rsidRDefault="00D51CE3" w:rsidP="00052D68">
      <w:pPr>
        <w:pStyle w:val="NoSpacing"/>
      </w:pPr>
    </w:p>
    <w:p w14:paraId="15FA2173" w14:textId="77777777" w:rsidR="00290706" w:rsidRDefault="00290706" w:rsidP="00052D68">
      <w:pPr>
        <w:pStyle w:val="NoSpacing"/>
      </w:pPr>
    </w:p>
    <w:p w14:paraId="37E1F266" w14:textId="77777777" w:rsidR="00290706" w:rsidRDefault="00290706" w:rsidP="00052D68">
      <w:pPr>
        <w:pStyle w:val="NoSpacing"/>
      </w:pPr>
    </w:p>
    <w:p w14:paraId="721D00AD" w14:textId="77777777" w:rsidR="00290706" w:rsidRDefault="00290706" w:rsidP="00052D68">
      <w:pPr>
        <w:pStyle w:val="NoSpacing"/>
      </w:pPr>
    </w:p>
    <w:p w14:paraId="5DAFF3F1" w14:textId="77777777" w:rsidR="00290706" w:rsidRDefault="00290706" w:rsidP="00052D68">
      <w:pPr>
        <w:pStyle w:val="NoSpacing"/>
      </w:pPr>
    </w:p>
    <w:p w14:paraId="422E5192" w14:textId="77777777" w:rsidR="00290706" w:rsidRDefault="00290706" w:rsidP="00052D68">
      <w:pPr>
        <w:pStyle w:val="NoSpacing"/>
      </w:pPr>
    </w:p>
    <w:p w14:paraId="05FC32E5" w14:textId="77777777" w:rsidR="00290706" w:rsidRDefault="00290706" w:rsidP="00052D68">
      <w:pPr>
        <w:pStyle w:val="NoSpacing"/>
      </w:pPr>
    </w:p>
    <w:p w14:paraId="37394166" w14:textId="77777777" w:rsidR="00290706" w:rsidRDefault="00290706" w:rsidP="00052D68">
      <w:pPr>
        <w:pStyle w:val="NoSpacing"/>
      </w:pPr>
    </w:p>
    <w:p w14:paraId="2A8EC777" w14:textId="77777777" w:rsidR="00290706" w:rsidRDefault="00290706" w:rsidP="00052D68">
      <w:pPr>
        <w:pStyle w:val="NoSpacing"/>
      </w:pPr>
    </w:p>
    <w:p w14:paraId="4286D8CD" w14:textId="77777777" w:rsidR="00290706" w:rsidRDefault="00290706" w:rsidP="00052D68">
      <w:pPr>
        <w:pStyle w:val="NoSpacing"/>
      </w:pPr>
    </w:p>
    <w:p w14:paraId="4A380FA2" w14:textId="77777777" w:rsidR="00290706" w:rsidRDefault="00290706" w:rsidP="00052D68">
      <w:pPr>
        <w:pStyle w:val="NoSpacing"/>
      </w:pPr>
    </w:p>
    <w:p w14:paraId="63BC878D" w14:textId="77777777" w:rsidR="00290706" w:rsidRDefault="00290706" w:rsidP="00052D68">
      <w:pPr>
        <w:pStyle w:val="NoSpacing"/>
        <w:sectPr w:rsidR="00290706" w:rsidSect="00290706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866E41" w14:textId="6BA738FB" w:rsidR="00082EAB" w:rsidRDefault="00A52A7B" w:rsidP="00082EAB">
      <w:pPr>
        <w:pStyle w:val="NoSpacing"/>
        <w:jc w:val="center"/>
        <w:rPr>
          <w:rFonts w:ascii="Arial" w:hAnsi="Arial" w:cs="Arial"/>
          <w:b/>
          <w:sz w:val="28"/>
        </w:rPr>
      </w:pPr>
      <w:r w:rsidRPr="00A52A7B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AC15259" wp14:editId="1F7BF907">
            <wp:simplePos x="0" y="0"/>
            <wp:positionH relativeFrom="margin">
              <wp:align>center</wp:align>
            </wp:positionH>
            <wp:positionV relativeFrom="paragraph">
              <wp:posOffset>288290</wp:posOffset>
            </wp:positionV>
            <wp:extent cx="8546298" cy="3581400"/>
            <wp:effectExtent l="0" t="0" r="762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6298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_Hlk81301690"/>
      <w:r w:rsidR="00E447AD" w:rsidRPr="00E447AD">
        <w:rPr>
          <w:rFonts w:ascii="Arial" w:hAnsi="Arial" w:cs="Arial"/>
          <w:b/>
          <w:sz w:val="28"/>
        </w:rPr>
        <w:t xml:space="preserve">Table 1: Bed </w:t>
      </w:r>
      <w:r w:rsidR="0097210D">
        <w:rPr>
          <w:rFonts w:ascii="Arial" w:hAnsi="Arial" w:cs="Arial"/>
          <w:b/>
          <w:sz w:val="28"/>
        </w:rPr>
        <w:t>Size C</w:t>
      </w:r>
      <w:r w:rsidR="00E447AD" w:rsidRPr="00E447AD">
        <w:rPr>
          <w:rFonts w:ascii="Arial" w:hAnsi="Arial" w:cs="Arial"/>
          <w:b/>
          <w:sz w:val="28"/>
        </w:rPr>
        <w:t xml:space="preserve">haracteristics from the </w:t>
      </w:r>
      <w:r w:rsidR="007A7C75">
        <w:rPr>
          <w:rFonts w:ascii="Arial" w:hAnsi="Arial" w:cs="Arial"/>
          <w:b/>
          <w:sz w:val="28"/>
        </w:rPr>
        <w:t>2020</w:t>
      </w:r>
      <w:r w:rsidR="00E447AD" w:rsidRPr="00E447AD">
        <w:rPr>
          <w:rFonts w:ascii="Arial" w:hAnsi="Arial" w:cs="Arial"/>
          <w:b/>
          <w:sz w:val="28"/>
        </w:rPr>
        <w:t xml:space="preserve"> Annual Facility Survey</w:t>
      </w:r>
      <w:bookmarkEnd w:id="8"/>
    </w:p>
    <w:p w14:paraId="0CD6A536" w14:textId="301BB015" w:rsidR="00E447AD" w:rsidRPr="008D60E2" w:rsidRDefault="00E92D46" w:rsidP="00A52A7B">
      <w:pPr>
        <w:pStyle w:val="NoSpacing"/>
        <w:ind w:left="-270"/>
        <w:rPr>
          <w:rFonts w:ascii="Arial" w:hAnsi="Arial" w:cs="Arial"/>
          <w:b/>
          <w:sz w:val="28"/>
        </w:rPr>
      </w:pPr>
      <w:r w:rsidRPr="00E447AD">
        <w:rPr>
          <w:rFonts w:ascii="Arial" w:hAnsi="Arial" w:cs="Arial"/>
          <w:sz w:val="20"/>
        </w:rPr>
        <w:t xml:space="preserve">For those facilities that did not submit a </w:t>
      </w:r>
      <w:r w:rsidR="007A7C75">
        <w:rPr>
          <w:rFonts w:ascii="Arial" w:hAnsi="Arial" w:cs="Arial"/>
          <w:sz w:val="20"/>
        </w:rPr>
        <w:t>2020</w:t>
      </w:r>
      <w:r w:rsidRPr="00E447AD">
        <w:rPr>
          <w:rFonts w:ascii="Arial" w:hAnsi="Arial" w:cs="Arial"/>
          <w:sz w:val="20"/>
        </w:rPr>
        <w:t xml:space="preserve"> annual facility survey, the most recent prior year submission was used.</w:t>
      </w:r>
    </w:p>
    <w:p w14:paraId="218CCF6D" w14:textId="77777777" w:rsidR="00E92D46" w:rsidRDefault="00E92D46" w:rsidP="00E447AD">
      <w:pPr>
        <w:pStyle w:val="NoSpacing"/>
        <w:rPr>
          <w:rFonts w:ascii="Arial" w:hAnsi="Arial" w:cs="Arial"/>
          <w:sz w:val="20"/>
        </w:rPr>
      </w:pPr>
    </w:p>
    <w:p w14:paraId="31FE5507" w14:textId="77777777" w:rsidR="00FC5AAA" w:rsidRDefault="00FC5AAA" w:rsidP="00E447AD">
      <w:pPr>
        <w:pStyle w:val="NoSpacing"/>
        <w:rPr>
          <w:rFonts w:ascii="Arial" w:hAnsi="Arial" w:cs="Arial"/>
          <w:sz w:val="20"/>
        </w:rPr>
      </w:pPr>
    </w:p>
    <w:p w14:paraId="0510AB83" w14:textId="5E4644A3" w:rsidR="00FC5AAA" w:rsidRDefault="00FC5AAA" w:rsidP="00E447AD">
      <w:pPr>
        <w:pStyle w:val="NoSpacing"/>
        <w:rPr>
          <w:rFonts w:ascii="Arial" w:hAnsi="Arial" w:cs="Arial"/>
          <w:sz w:val="20"/>
        </w:rPr>
      </w:pPr>
    </w:p>
    <w:p w14:paraId="48C40518" w14:textId="2304486E" w:rsidR="00AE709A" w:rsidRDefault="00AE709A" w:rsidP="00E447AD">
      <w:pPr>
        <w:pStyle w:val="NoSpacing"/>
        <w:rPr>
          <w:rFonts w:ascii="Arial" w:hAnsi="Arial" w:cs="Arial"/>
          <w:sz w:val="20"/>
        </w:rPr>
      </w:pPr>
    </w:p>
    <w:p w14:paraId="765B6E36" w14:textId="7F5AB4B4" w:rsidR="00AE709A" w:rsidRDefault="00AE709A" w:rsidP="00E447AD">
      <w:pPr>
        <w:pStyle w:val="NoSpacing"/>
        <w:rPr>
          <w:rFonts w:ascii="Arial" w:hAnsi="Arial" w:cs="Arial"/>
          <w:sz w:val="20"/>
        </w:rPr>
      </w:pPr>
    </w:p>
    <w:p w14:paraId="55D35A25" w14:textId="77777777" w:rsidR="007A7C75" w:rsidRDefault="007A7C75" w:rsidP="00E447AD">
      <w:pPr>
        <w:pStyle w:val="NoSpacing"/>
        <w:rPr>
          <w:rFonts w:ascii="Arial" w:hAnsi="Arial" w:cs="Arial"/>
          <w:sz w:val="20"/>
        </w:rPr>
      </w:pPr>
    </w:p>
    <w:p w14:paraId="45AB3231" w14:textId="536F890A" w:rsidR="001B6590" w:rsidRDefault="001B6590" w:rsidP="00197A0E">
      <w:pPr>
        <w:pStyle w:val="NoSpacing"/>
        <w:jc w:val="center"/>
        <w:rPr>
          <w:rFonts w:ascii="Arial" w:hAnsi="Arial" w:cs="Arial"/>
          <w:b/>
          <w:sz w:val="28"/>
        </w:rPr>
      </w:pPr>
    </w:p>
    <w:p w14:paraId="78E9310D" w14:textId="4B10EA1C" w:rsidR="008D60E2" w:rsidRDefault="008D60E2" w:rsidP="00197A0E">
      <w:pPr>
        <w:pStyle w:val="NoSpacing"/>
        <w:jc w:val="center"/>
        <w:rPr>
          <w:rFonts w:ascii="Arial" w:hAnsi="Arial" w:cs="Arial"/>
          <w:b/>
          <w:sz w:val="28"/>
        </w:rPr>
      </w:pPr>
    </w:p>
    <w:p w14:paraId="62F20B16" w14:textId="77777777" w:rsidR="00082EAB" w:rsidRDefault="00082EAB" w:rsidP="00197A0E">
      <w:pPr>
        <w:pStyle w:val="NoSpacing"/>
        <w:jc w:val="center"/>
        <w:rPr>
          <w:rFonts w:ascii="Arial" w:hAnsi="Arial" w:cs="Arial"/>
          <w:b/>
          <w:sz w:val="28"/>
        </w:rPr>
      </w:pPr>
    </w:p>
    <w:p w14:paraId="4DDA63E9" w14:textId="4E37CDFE" w:rsidR="008D60E2" w:rsidRDefault="008D60E2" w:rsidP="00197A0E">
      <w:pPr>
        <w:pStyle w:val="NoSpacing"/>
        <w:jc w:val="center"/>
        <w:rPr>
          <w:rFonts w:ascii="Arial" w:hAnsi="Arial" w:cs="Arial"/>
          <w:b/>
          <w:sz w:val="28"/>
        </w:rPr>
      </w:pPr>
    </w:p>
    <w:p w14:paraId="2EC96E50" w14:textId="44560C65" w:rsidR="00197A0E" w:rsidRDefault="008D779E" w:rsidP="00197A0E">
      <w:pPr>
        <w:pStyle w:val="NoSpacing"/>
        <w:jc w:val="center"/>
        <w:rPr>
          <w:rFonts w:ascii="Arial" w:hAnsi="Arial" w:cs="Arial"/>
          <w:b/>
          <w:sz w:val="28"/>
        </w:rPr>
      </w:pPr>
      <w:bookmarkStart w:id="9" w:name="_Hlk81301565"/>
      <w:r>
        <w:rPr>
          <w:rFonts w:ascii="Arial" w:hAnsi="Arial" w:cs="Arial"/>
          <w:b/>
          <w:sz w:val="28"/>
        </w:rPr>
        <w:lastRenderedPageBreak/>
        <w:t>F</w:t>
      </w:r>
      <w:r w:rsidR="00197A0E" w:rsidRPr="00197A0E">
        <w:rPr>
          <w:rFonts w:ascii="Arial" w:hAnsi="Arial" w:cs="Arial"/>
          <w:b/>
          <w:sz w:val="28"/>
        </w:rPr>
        <w:t>igure 1: Volume of Blood Products Transfused</w:t>
      </w:r>
      <w:r w:rsidR="00C514B5">
        <w:rPr>
          <w:rFonts w:ascii="Arial" w:hAnsi="Arial" w:cs="Arial"/>
          <w:b/>
          <w:sz w:val="28"/>
        </w:rPr>
        <w:t xml:space="preserve"> in</w:t>
      </w:r>
      <w:r w:rsidR="00197A0E" w:rsidRPr="00197A0E">
        <w:rPr>
          <w:rFonts w:ascii="Arial" w:hAnsi="Arial" w:cs="Arial"/>
          <w:b/>
          <w:sz w:val="28"/>
        </w:rPr>
        <w:t xml:space="preserve"> Massachusetts, 201</w:t>
      </w:r>
      <w:r w:rsidR="007A7C75">
        <w:rPr>
          <w:rFonts w:ascii="Arial" w:hAnsi="Arial" w:cs="Arial"/>
          <w:b/>
          <w:sz w:val="28"/>
        </w:rPr>
        <w:t>8</w:t>
      </w:r>
      <w:r w:rsidR="00197A0E" w:rsidRPr="00197A0E">
        <w:rPr>
          <w:rFonts w:ascii="Arial" w:hAnsi="Arial" w:cs="Arial"/>
          <w:b/>
          <w:sz w:val="28"/>
        </w:rPr>
        <w:t>-20</w:t>
      </w:r>
      <w:r w:rsidR="007A7C75">
        <w:rPr>
          <w:rFonts w:ascii="Arial" w:hAnsi="Arial" w:cs="Arial"/>
          <w:b/>
          <w:sz w:val="28"/>
        </w:rPr>
        <w:t>20</w:t>
      </w:r>
    </w:p>
    <w:bookmarkEnd w:id="9"/>
    <w:p w14:paraId="0099B36E" w14:textId="77777777" w:rsidR="00C97906" w:rsidRPr="00CD50CB" w:rsidRDefault="00C97906" w:rsidP="00197A0E">
      <w:pPr>
        <w:pStyle w:val="NoSpacing"/>
        <w:jc w:val="center"/>
        <w:rPr>
          <w:rFonts w:ascii="Arial" w:hAnsi="Arial" w:cs="Arial"/>
          <w:b/>
          <w:sz w:val="20"/>
        </w:rPr>
      </w:pPr>
    </w:p>
    <w:p w14:paraId="23853790" w14:textId="59C60D30" w:rsidR="00197A0E" w:rsidRDefault="007A7C75" w:rsidP="00C97906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1DF4E1F3" wp14:editId="2ECC5346">
            <wp:extent cx="6386287" cy="487680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90087" cy="487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2271A" w14:textId="60388A1A" w:rsidR="008D60E2" w:rsidRDefault="00197A0E" w:rsidP="007A7C75">
      <w:pPr>
        <w:pStyle w:val="NoSpacing"/>
        <w:spacing w:before="120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</w:t>
      </w:r>
      <w:r w:rsidR="00401F11">
        <w:rPr>
          <w:rFonts w:ascii="Arial" w:hAnsi="Arial" w:cs="Arial"/>
          <w:sz w:val="20"/>
        </w:rPr>
        <w:t>2018</w:t>
      </w:r>
      <w:r>
        <w:rPr>
          <w:rFonts w:ascii="Arial" w:hAnsi="Arial" w:cs="Arial"/>
          <w:sz w:val="20"/>
        </w:rPr>
        <w:t xml:space="preserve">, </w:t>
      </w:r>
      <w:r w:rsidR="00401F11">
        <w:rPr>
          <w:rFonts w:ascii="Arial" w:hAnsi="Arial" w:cs="Arial"/>
          <w:sz w:val="20"/>
        </w:rPr>
        <w:t>69</w:t>
      </w:r>
      <w:r>
        <w:rPr>
          <w:rFonts w:ascii="Arial" w:hAnsi="Arial" w:cs="Arial"/>
          <w:sz w:val="20"/>
        </w:rPr>
        <w:t xml:space="preserve"> facilities reported NHSN Hemovigilance data. In </w:t>
      </w:r>
      <w:r w:rsidR="00401F11">
        <w:rPr>
          <w:rFonts w:ascii="Arial" w:hAnsi="Arial" w:cs="Arial"/>
          <w:sz w:val="20"/>
        </w:rPr>
        <w:t>2019,</w:t>
      </w:r>
      <w:r>
        <w:rPr>
          <w:rFonts w:ascii="Arial" w:hAnsi="Arial" w:cs="Arial"/>
          <w:sz w:val="20"/>
        </w:rPr>
        <w:t xml:space="preserve"> 6</w:t>
      </w:r>
      <w:r w:rsidR="00401F11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facilities </w:t>
      </w:r>
      <w:r w:rsidR="00803D0A">
        <w:rPr>
          <w:rFonts w:ascii="Arial" w:hAnsi="Arial" w:cs="Arial"/>
          <w:sz w:val="20"/>
        </w:rPr>
        <w:t>reported</w:t>
      </w:r>
      <w:r w:rsidR="002E1B54">
        <w:rPr>
          <w:rFonts w:ascii="Arial" w:hAnsi="Arial" w:cs="Arial"/>
          <w:sz w:val="20"/>
        </w:rPr>
        <w:t>.</w:t>
      </w:r>
      <w:r w:rsidR="007A7C75">
        <w:rPr>
          <w:rFonts w:ascii="Arial" w:hAnsi="Arial" w:cs="Arial"/>
          <w:sz w:val="20"/>
        </w:rPr>
        <w:t xml:space="preserve"> </w:t>
      </w:r>
      <w:r w:rsidR="002E1B54">
        <w:rPr>
          <w:rFonts w:ascii="Arial" w:hAnsi="Arial" w:cs="Arial"/>
          <w:sz w:val="20"/>
        </w:rPr>
        <w:t>I</w:t>
      </w:r>
      <w:r w:rsidR="007A7C75">
        <w:rPr>
          <w:rFonts w:ascii="Arial" w:hAnsi="Arial" w:cs="Arial"/>
          <w:sz w:val="20"/>
        </w:rPr>
        <w:t xml:space="preserve">n 2020, 67 facilities </w:t>
      </w:r>
      <w:r w:rsidR="00803D0A">
        <w:rPr>
          <w:rFonts w:ascii="Arial" w:hAnsi="Arial" w:cs="Arial"/>
          <w:sz w:val="20"/>
        </w:rPr>
        <w:t>reported.</w:t>
      </w:r>
    </w:p>
    <w:p w14:paraId="56015527" w14:textId="67227DBF" w:rsidR="001B6590" w:rsidRDefault="001B6590" w:rsidP="008F690D">
      <w:pPr>
        <w:pStyle w:val="NoSpacing"/>
        <w:rPr>
          <w:rFonts w:ascii="Arial" w:hAnsi="Arial" w:cs="Arial"/>
          <w:b/>
          <w:sz w:val="28"/>
        </w:rPr>
      </w:pPr>
    </w:p>
    <w:p w14:paraId="4CBCE90C" w14:textId="77777777" w:rsidR="00594441" w:rsidRDefault="00594441">
      <w:pPr>
        <w:rPr>
          <w:rFonts w:ascii="Arial" w:hAnsi="Arial" w:cs="Arial"/>
          <w:b/>
          <w:sz w:val="28"/>
        </w:rPr>
      </w:pPr>
      <w:bookmarkStart w:id="10" w:name="_Hlk81301571"/>
      <w:r>
        <w:rPr>
          <w:rFonts w:ascii="Arial" w:hAnsi="Arial" w:cs="Arial"/>
          <w:b/>
          <w:sz w:val="28"/>
        </w:rPr>
        <w:br w:type="page"/>
      </w:r>
    </w:p>
    <w:p w14:paraId="412C5E4A" w14:textId="5E9D1F0C" w:rsidR="00197A0E" w:rsidRDefault="00197A0E" w:rsidP="00A56016">
      <w:pPr>
        <w:pStyle w:val="NoSpacing"/>
        <w:jc w:val="center"/>
        <w:rPr>
          <w:rFonts w:ascii="Arial" w:hAnsi="Arial" w:cs="Arial"/>
          <w:b/>
          <w:sz w:val="28"/>
        </w:rPr>
      </w:pPr>
      <w:r w:rsidRPr="00197A0E">
        <w:rPr>
          <w:rFonts w:ascii="Arial" w:hAnsi="Arial" w:cs="Arial"/>
          <w:b/>
          <w:sz w:val="28"/>
        </w:rPr>
        <w:lastRenderedPageBreak/>
        <w:t>Table 2: Transfusion Volume by Bed Size Group, Product Type, and Year, 201</w:t>
      </w:r>
      <w:r w:rsidR="008D60E2">
        <w:rPr>
          <w:rFonts w:ascii="Arial" w:hAnsi="Arial" w:cs="Arial"/>
          <w:b/>
          <w:sz w:val="28"/>
        </w:rPr>
        <w:t>8</w:t>
      </w:r>
      <w:r w:rsidRPr="00197A0E">
        <w:rPr>
          <w:rFonts w:ascii="Arial" w:hAnsi="Arial" w:cs="Arial"/>
          <w:b/>
          <w:sz w:val="28"/>
        </w:rPr>
        <w:t>-20</w:t>
      </w:r>
      <w:r w:rsidR="008D60E2">
        <w:rPr>
          <w:rFonts w:ascii="Arial" w:hAnsi="Arial" w:cs="Arial"/>
          <w:b/>
          <w:sz w:val="28"/>
        </w:rPr>
        <w:t>20</w:t>
      </w:r>
    </w:p>
    <w:bookmarkEnd w:id="10"/>
    <w:p w14:paraId="5E2A0B7B" w14:textId="77777777" w:rsidR="00A56016" w:rsidRDefault="00A56016" w:rsidP="008A0319">
      <w:pPr>
        <w:pStyle w:val="NoSpacing"/>
        <w:rPr>
          <w:rFonts w:ascii="Arial" w:hAnsi="Arial" w:cs="Arial"/>
          <w:b/>
          <w:sz w:val="20"/>
        </w:rPr>
      </w:pPr>
    </w:p>
    <w:p w14:paraId="0E075C48" w14:textId="4A5BD5CF" w:rsidR="00DA7145" w:rsidRPr="00DA7145" w:rsidRDefault="008D60E2" w:rsidP="00A56016">
      <w:pPr>
        <w:pStyle w:val="NoSpacing"/>
        <w:jc w:val="center"/>
        <w:rPr>
          <w:rFonts w:ascii="Arial" w:hAnsi="Arial" w:cs="Arial"/>
          <w:b/>
          <w:sz w:val="20"/>
        </w:rPr>
      </w:pPr>
      <w:r w:rsidRPr="008D60E2">
        <w:rPr>
          <w:noProof/>
        </w:rPr>
        <w:drawing>
          <wp:inline distT="0" distB="0" distL="0" distR="0" wp14:anchorId="369C9213" wp14:editId="222331FE">
            <wp:extent cx="7880953" cy="39306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445" cy="393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436CD" w14:textId="6B7CDC82" w:rsidR="00401F11" w:rsidRDefault="00D17C18" w:rsidP="00D038D5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CD5C49">
        <w:rPr>
          <w:rFonts w:ascii="Arial" w:hAnsi="Arial" w:cs="Arial"/>
          <w:sz w:val="20"/>
        </w:rPr>
        <w:t>*</w:t>
      </w:r>
      <w:r w:rsidR="00D302FD">
        <w:rPr>
          <w:rFonts w:ascii="Arial" w:hAnsi="Arial" w:cs="Arial"/>
          <w:sz w:val="20"/>
        </w:rPr>
        <w:t xml:space="preserve"> </w:t>
      </w:r>
      <w:r w:rsidR="00401F11">
        <w:rPr>
          <w:rFonts w:ascii="Arial" w:hAnsi="Arial" w:cs="Arial"/>
          <w:sz w:val="20"/>
        </w:rPr>
        <w:t>In 2018, 17 facilities were in Bed Size Group 1, 37 in Bed Size Group 2, and 15 in Bed Size Group 3.</w:t>
      </w:r>
    </w:p>
    <w:p w14:paraId="19371963" w14:textId="3FBDB2B0" w:rsidR="00361A23" w:rsidRDefault="00D17C18" w:rsidP="00D038D5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CD5C49">
        <w:rPr>
          <w:rFonts w:ascii="Arial" w:hAnsi="Arial" w:cs="Arial"/>
          <w:sz w:val="20"/>
        </w:rPr>
        <w:t>**</w:t>
      </w:r>
      <w:r w:rsidR="00401F11">
        <w:rPr>
          <w:rFonts w:ascii="Arial" w:hAnsi="Arial" w:cs="Arial"/>
          <w:sz w:val="20"/>
        </w:rPr>
        <w:t xml:space="preserve">In 2019, 15 facilities were in Bed Size Group 1, 38 in Bed Size Group 2, </w:t>
      </w:r>
      <w:r w:rsidR="00D711FE">
        <w:rPr>
          <w:rFonts w:ascii="Arial" w:hAnsi="Arial" w:cs="Arial"/>
          <w:sz w:val="20"/>
        </w:rPr>
        <w:t xml:space="preserve">and </w:t>
      </w:r>
      <w:r w:rsidR="00401F11">
        <w:rPr>
          <w:rFonts w:ascii="Arial" w:hAnsi="Arial" w:cs="Arial"/>
          <w:sz w:val="20"/>
        </w:rPr>
        <w:t>15 in Bed Size Group 3.</w:t>
      </w:r>
    </w:p>
    <w:p w14:paraId="7A5BF2F8" w14:textId="3C22C8CF" w:rsidR="008D60E2" w:rsidRDefault="008D60E2" w:rsidP="00D038D5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***In 2020, 14 facilities were in Bed Size Group 1, 40 in Bed Size Group 2, and 13 in Bed Size Group 3.</w:t>
      </w:r>
    </w:p>
    <w:p w14:paraId="4C01C128" w14:textId="77777777" w:rsidR="008D60E2" w:rsidRDefault="008D60E2" w:rsidP="00D17C18">
      <w:pPr>
        <w:pStyle w:val="NoSpacing"/>
        <w:spacing w:before="80"/>
        <w:rPr>
          <w:rFonts w:ascii="Arial" w:hAnsi="Arial" w:cs="Arial"/>
          <w:sz w:val="20"/>
        </w:rPr>
      </w:pPr>
    </w:p>
    <w:p w14:paraId="71D5A64E" w14:textId="3655D0C4" w:rsidR="00E07D33" w:rsidRDefault="00D17C18" w:rsidP="00D17C18">
      <w:pPr>
        <w:pStyle w:val="NoSpacing"/>
        <w:spacing w:before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197A0E">
        <w:rPr>
          <w:rFonts w:ascii="Arial" w:hAnsi="Arial" w:cs="Arial"/>
          <w:sz w:val="20"/>
        </w:rPr>
        <w:t xml:space="preserve">Bed Size Group categorization was assigned based </w:t>
      </w:r>
      <w:r w:rsidR="00D302FD">
        <w:rPr>
          <w:rFonts w:ascii="Arial" w:hAnsi="Arial" w:cs="Arial"/>
          <w:sz w:val="20"/>
        </w:rPr>
        <w:t xml:space="preserve">on </w:t>
      </w:r>
      <w:r w:rsidR="00197A0E">
        <w:rPr>
          <w:rFonts w:ascii="Arial" w:hAnsi="Arial" w:cs="Arial"/>
          <w:sz w:val="20"/>
        </w:rPr>
        <w:t xml:space="preserve">the corresponding year’s annual facility survey. </w:t>
      </w:r>
    </w:p>
    <w:p w14:paraId="54C74A06" w14:textId="0C2CAF69" w:rsidR="008D779E" w:rsidRDefault="008D779E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2951F463" w14:textId="48193801" w:rsidR="001B6590" w:rsidRDefault="001B6590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0A86677E" w14:textId="45029460" w:rsidR="001B6590" w:rsidRDefault="001B6590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2B697C3B" w14:textId="0AFB565D" w:rsidR="001C518D" w:rsidRDefault="001C518D" w:rsidP="001C518D">
      <w:pPr>
        <w:pStyle w:val="NoSpacing"/>
        <w:jc w:val="center"/>
        <w:rPr>
          <w:rFonts w:ascii="Arial" w:hAnsi="Arial" w:cs="Arial"/>
          <w:b/>
          <w:sz w:val="28"/>
        </w:rPr>
      </w:pPr>
      <w:bookmarkStart w:id="11" w:name="_Hlk81301660"/>
      <w:r w:rsidRPr="00197A0E">
        <w:rPr>
          <w:rFonts w:ascii="Arial" w:hAnsi="Arial" w:cs="Arial"/>
          <w:b/>
          <w:sz w:val="28"/>
        </w:rPr>
        <w:lastRenderedPageBreak/>
        <w:t xml:space="preserve">Table </w:t>
      </w:r>
      <w:r>
        <w:rPr>
          <w:rFonts w:ascii="Arial" w:hAnsi="Arial" w:cs="Arial"/>
          <w:b/>
          <w:sz w:val="28"/>
        </w:rPr>
        <w:t>3</w:t>
      </w:r>
      <w:r w:rsidRPr="00197A0E">
        <w:rPr>
          <w:rFonts w:ascii="Arial" w:hAnsi="Arial" w:cs="Arial"/>
          <w:b/>
          <w:sz w:val="28"/>
        </w:rPr>
        <w:t xml:space="preserve">: Volume </w:t>
      </w:r>
      <w:r>
        <w:rPr>
          <w:rFonts w:ascii="Arial" w:hAnsi="Arial" w:cs="Arial"/>
          <w:b/>
          <w:sz w:val="28"/>
        </w:rPr>
        <w:t xml:space="preserve">of Pathogen Reduced Products Transfused in </w:t>
      </w:r>
      <w:r w:rsidRPr="00197A0E">
        <w:rPr>
          <w:rFonts w:ascii="Arial" w:hAnsi="Arial" w:cs="Arial"/>
          <w:b/>
          <w:sz w:val="28"/>
        </w:rPr>
        <w:t>Massachusetts</w:t>
      </w:r>
      <w:r>
        <w:rPr>
          <w:rFonts w:ascii="Arial" w:hAnsi="Arial" w:cs="Arial"/>
          <w:b/>
          <w:sz w:val="28"/>
        </w:rPr>
        <w:t>, 2018-2020</w:t>
      </w:r>
    </w:p>
    <w:bookmarkEnd w:id="11"/>
    <w:p w14:paraId="672CECB9" w14:textId="4182653A" w:rsidR="001C518D" w:rsidRDefault="001C518D" w:rsidP="001C518D">
      <w:pPr>
        <w:pStyle w:val="NoSpacing"/>
        <w:jc w:val="center"/>
        <w:rPr>
          <w:rFonts w:ascii="Arial" w:hAnsi="Arial" w:cs="Arial"/>
          <w:b/>
          <w:sz w:val="28"/>
        </w:rPr>
      </w:pPr>
    </w:p>
    <w:p w14:paraId="42722AC0" w14:textId="1F54E150" w:rsidR="001C518D" w:rsidRDefault="001C518D" w:rsidP="001C518D">
      <w:pPr>
        <w:pStyle w:val="NoSpacing"/>
        <w:jc w:val="center"/>
        <w:rPr>
          <w:rFonts w:ascii="Arial" w:hAnsi="Arial" w:cs="Arial"/>
          <w:b/>
          <w:sz w:val="28"/>
        </w:rPr>
      </w:pPr>
      <w:r w:rsidRPr="001C518D">
        <w:rPr>
          <w:noProof/>
        </w:rPr>
        <w:drawing>
          <wp:inline distT="0" distB="0" distL="0" distR="0" wp14:anchorId="28BE698E" wp14:editId="5568D916">
            <wp:extent cx="6543675" cy="1557161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873" cy="156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30BBB" w14:textId="02E5CB25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44AF057C" w14:textId="097244FD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7FCD4758" w14:textId="0136E5F8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32211D42" w14:textId="3B6C2F5D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4061E594" w14:textId="06B13862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57CCC45E" w14:textId="65962FE6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4DB87E05" w14:textId="39C75C22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302667C8" w14:textId="4C683EEB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5642A05A" w14:textId="550E7483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26989AEF" w14:textId="477C9864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11EF1ECE" w14:textId="1D7D7C96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72213F5C" w14:textId="0088A775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158CF0E0" w14:textId="5B016BC9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6090DC04" w14:textId="30556D74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5854D979" w14:textId="4A27EB18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7872E662" w14:textId="6AFD48AB" w:rsidR="001C518D" w:rsidRDefault="001C518D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348569C0" w14:textId="77777777" w:rsidR="001C518D" w:rsidRDefault="001C518D" w:rsidP="008F690D">
      <w:pPr>
        <w:pStyle w:val="NoSpacing"/>
        <w:spacing w:before="80"/>
        <w:jc w:val="center"/>
        <w:rPr>
          <w:rFonts w:ascii="Arial" w:hAnsi="Arial" w:cs="Arial"/>
          <w:sz w:val="20"/>
        </w:rPr>
      </w:pPr>
    </w:p>
    <w:p w14:paraId="2D1FFF23" w14:textId="77777777" w:rsidR="00931AF8" w:rsidRDefault="00931A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C59F925" w14:textId="2EAFE63A" w:rsidR="009C2742" w:rsidRDefault="009C2742" w:rsidP="001C518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12" w:name="_Hlk81301679"/>
      <w:r w:rsidRPr="009C2742">
        <w:rPr>
          <w:rFonts w:ascii="Arial" w:hAnsi="Arial" w:cs="Arial"/>
          <w:b/>
          <w:sz w:val="28"/>
          <w:szCs w:val="28"/>
        </w:rPr>
        <w:lastRenderedPageBreak/>
        <w:t>Figure 2</w:t>
      </w:r>
      <w:bookmarkStart w:id="13" w:name="_Hlk81301672"/>
      <w:r w:rsidRPr="009C2742">
        <w:rPr>
          <w:rFonts w:ascii="Arial" w:hAnsi="Arial" w:cs="Arial"/>
          <w:b/>
          <w:sz w:val="28"/>
          <w:szCs w:val="28"/>
        </w:rPr>
        <w:t>: Volume of Blood Products Discarded</w:t>
      </w:r>
      <w:r w:rsidR="00D302FD">
        <w:rPr>
          <w:rFonts w:ascii="Arial" w:hAnsi="Arial" w:cs="Arial"/>
          <w:b/>
          <w:sz w:val="28"/>
          <w:szCs w:val="28"/>
        </w:rPr>
        <w:t xml:space="preserve"> in</w:t>
      </w:r>
      <w:r w:rsidRPr="009C2742">
        <w:rPr>
          <w:rFonts w:ascii="Arial" w:hAnsi="Arial" w:cs="Arial"/>
          <w:b/>
          <w:sz w:val="28"/>
          <w:szCs w:val="28"/>
        </w:rPr>
        <w:t xml:space="preserve"> Massachusetts, 201</w:t>
      </w:r>
      <w:r w:rsidR="008D60E2">
        <w:rPr>
          <w:rFonts w:ascii="Arial" w:hAnsi="Arial" w:cs="Arial"/>
          <w:b/>
          <w:sz w:val="28"/>
          <w:szCs w:val="28"/>
        </w:rPr>
        <w:t>8</w:t>
      </w:r>
      <w:r w:rsidRPr="009C2742">
        <w:rPr>
          <w:rFonts w:ascii="Arial" w:hAnsi="Arial" w:cs="Arial"/>
          <w:b/>
          <w:sz w:val="28"/>
          <w:szCs w:val="28"/>
        </w:rPr>
        <w:t>-20</w:t>
      </w:r>
      <w:r w:rsidR="008D60E2">
        <w:rPr>
          <w:rFonts w:ascii="Arial" w:hAnsi="Arial" w:cs="Arial"/>
          <w:b/>
          <w:sz w:val="28"/>
          <w:szCs w:val="28"/>
        </w:rPr>
        <w:t>20</w:t>
      </w:r>
      <w:bookmarkEnd w:id="13"/>
    </w:p>
    <w:bookmarkEnd w:id="12"/>
    <w:p w14:paraId="12B7CF32" w14:textId="77777777" w:rsidR="00AE67A4" w:rsidRPr="00CD50CB" w:rsidRDefault="00AE67A4" w:rsidP="009C2742">
      <w:pPr>
        <w:pStyle w:val="NoSpacing"/>
        <w:jc w:val="center"/>
        <w:rPr>
          <w:rFonts w:ascii="Arial" w:hAnsi="Arial" w:cs="Arial"/>
          <w:b/>
          <w:sz w:val="20"/>
          <w:szCs w:val="28"/>
        </w:rPr>
      </w:pPr>
    </w:p>
    <w:p w14:paraId="309460F8" w14:textId="20BF7C42" w:rsidR="009C2742" w:rsidRDefault="008D60E2" w:rsidP="005529AE">
      <w:pPr>
        <w:pStyle w:val="NoSpacing"/>
        <w:jc w:val="center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6D0EB56F" wp14:editId="68534BC6">
            <wp:extent cx="6231813" cy="4775907"/>
            <wp:effectExtent l="0" t="0" r="0" b="571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93CDC4E-4072-4BC8-B8F8-5EE0C4FF14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93CDC4E-4072-4BC8-B8F8-5EE0C4FF14C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813" cy="477590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939E6C7" w14:textId="062E58F5" w:rsidR="00803D0A" w:rsidRDefault="00A56016" w:rsidP="00803D0A">
      <w:pPr>
        <w:pStyle w:val="NoSpacing"/>
        <w:spacing w:before="120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803D0A">
        <w:rPr>
          <w:rFonts w:ascii="Arial" w:hAnsi="Arial" w:cs="Arial"/>
          <w:sz w:val="20"/>
        </w:rPr>
        <w:t>In 2018, 69 facilities reported NHSN Hemovigilance data. In 2019, 68 facilities reported, in 2020, 67 facilities reported.</w:t>
      </w:r>
    </w:p>
    <w:p w14:paraId="7C52D1DF" w14:textId="685B04CB" w:rsidR="000E3923" w:rsidRDefault="000E3923" w:rsidP="00803D0A">
      <w:pPr>
        <w:pStyle w:val="NoSpacing"/>
        <w:spacing w:before="120"/>
        <w:rPr>
          <w:rFonts w:ascii="Arial" w:hAnsi="Arial" w:cs="Arial"/>
          <w:sz w:val="20"/>
        </w:rPr>
      </w:pPr>
    </w:p>
    <w:p w14:paraId="06D3E0DA" w14:textId="77777777" w:rsidR="00803D0A" w:rsidRDefault="00803D0A" w:rsidP="00803D0A">
      <w:pPr>
        <w:pStyle w:val="NoSpacing"/>
        <w:spacing w:before="120"/>
        <w:rPr>
          <w:rFonts w:ascii="Arial" w:hAnsi="Arial" w:cs="Arial"/>
          <w:sz w:val="20"/>
        </w:rPr>
      </w:pPr>
    </w:p>
    <w:p w14:paraId="6CE0796C" w14:textId="6ABE07EF" w:rsidR="00C01123" w:rsidRDefault="004631E8" w:rsidP="00C01123">
      <w:pPr>
        <w:pStyle w:val="NoSpacing"/>
        <w:jc w:val="center"/>
        <w:rPr>
          <w:rFonts w:ascii="Arial" w:hAnsi="Arial" w:cs="Arial"/>
          <w:b/>
          <w:sz w:val="28"/>
        </w:rPr>
      </w:pPr>
      <w:bookmarkStart w:id="14" w:name="_Hlk81301730"/>
      <w:r w:rsidRPr="004631E8">
        <w:rPr>
          <w:rFonts w:ascii="Arial" w:hAnsi="Arial" w:cs="Arial"/>
          <w:b/>
          <w:sz w:val="28"/>
        </w:rPr>
        <w:lastRenderedPageBreak/>
        <w:t xml:space="preserve">Table </w:t>
      </w:r>
      <w:r w:rsidR="001C518D">
        <w:rPr>
          <w:rFonts w:ascii="Arial" w:hAnsi="Arial" w:cs="Arial"/>
          <w:b/>
          <w:sz w:val="28"/>
        </w:rPr>
        <w:t>4</w:t>
      </w:r>
      <w:r w:rsidRPr="004631E8">
        <w:rPr>
          <w:rFonts w:ascii="Arial" w:hAnsi="Arial" w:cs="Arial"/>
          <w:b/>
          <w:sz w:val="28"/>
        </w:rPr>
        <w:t>: Number and Ratio of Discarded Products</w:t>
      </w:r>
    </w:p>
    <w:p w14:paraId="0EBCAC97" w14:textId="5FE748CB" w:rsidR="004631E8" w:rsidRDefault="004631E8" w:rsidP="00C01123">
      <w:pPr>
        <w:pStyle w:val="NoSpacing"/>
        <w:jc w:val="center"/>
        <w:rPr>
          <w:rFonts w:ascii="Arial" w:hAnsi="Arial" w:cs="Arial"/>
          <w:b/>
          <w:sz w:val="28"/>
        </w:rPr>
      </w:pPr>
      <w:r w:rsidRPr="004631E8">
        <w:rPr>
          <w:rFonts w:ascii="Arial" w:hAnsi="Arial" w:cs="Arial"/>
          <w:b/>
          <w:sz w:val="28"/>
        </w:rPr>
        <w:t>by Type and Bed Size Group Massachusetts, 20</w:t>
      </w:r>
      <w:r w:rsidR="00803D0A">
        <w:rPr>
          <w:rFonts w:ascii="Arial" w:hAnsi="Arial" w:cs="Arial"/>
          <w:b/>
          <w:sz w:val="28"/>
        </w:rPr>
        <w:t>20</w:t>
      </w:r>
      <w:r w:rsidR="00F21359">
        <w:rPr>
          <w:rFonts w:ascii="Arial" w:hAnsi="Arial" w:cs="Arial"/>
          <w:b/>
          <w:sz w:val="28"/>
        </w:rPr>
        <w:t xml:space="preserve"> (N=6</w:t>
      </w:r>
      <w:r w:rsidR="00803D0A">
        <w:rPr>
          <w:rFonts w:ascii="Arial" w:hAnsi="Arial" w:cs="Arial"/>
          <w:b/>
          <w:sz w:val="28"/>
        </w:rPr>
        <w:t>7</w:t>
      </w:r>
      <w:r w:rsidR="00F21359">
        <w:rPr>
          <w:rFonts w:ascii="Arial" w:hAnsi="Arial" w:cs="Arial"/>
          <w:b/>
          <w:sz w:val="28"/>
        </w:rPr>
        <w:t xml:space="preserve"> facilities)</w:t>
      </w:r>
    </w:p>
    <w:bookmarkEnd w:id="14"/>
    <w:p w14:paraId="46E08929" w14:textId="77777777" w:rsidR="00803D0A" w:rsidRPr="005A45BA" w:rsidRDefault="00803D0A" w:rsidP="00C01123">
      <w:pPr>
        <w:pStyle w:val="NoSpacing"/>
        <w:jc w:val="center"/>
        <w:rPr>
          <w:rFonts w:ascii="Arial" w:hAnsi="Arial" w:cs="Arial"/>
          <w:b/>
          <w:sz w:val="28"/>
        </w:rPr>
      </w:pPr>
    </w:p>
    <w:p w14:paraId="52FDD570" w14:textId="2681DA26" w:rsidR="00803D0A" w:rsidRPr="00803D0A" w:rsidRDefault="00803D0A" w:rsidP="00803D0A">
      <w:pPr>
        <w:pStyle w:val="NoSpacing"/>
        <w:jc w:val="center"/>
        <w:rPr>
          <w:rFonts w:ascii="Arial" w:hAnsi="Arial" w:cs="Arial"/>
          <w:b/>
          <w:sz w:val="20"/>
        </w:rPr>
      </w:pPr>
      <w:r w:rsidRPr="00803D0A">
        <w:rPr>
          <w:noProof/>
        </w:rPr>
        <w:drawing>
          <wp:inline distT="0" distB="0" distL="0" distR="0" wp14:anchorId="52A40739" wp14:editId="088033EF">
            <wp:extent cx="5741035" cy="394398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DF46E" w14:textId="5147FF6A" w:rsidR="004631E8" w:rsidRDefault="00803D0A" w:rsidP="00803D0A">
      <w:pPr>
        <w:pStyle w:val="NoSpacing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4631E8">
        <w:rPr>
          <w:rFonts w:ascii="Arial" w:hAnsi="Arial" w:cs="Arial"/>
          <w:sz w:val="20"/>
        </w:rPr>
        <w:t xml:space="preserve">* </w:t>
      </w:r>
      <w:r w:rsidR="00E27471">
        <w:rPr>
          <w:rFonts w:ascii="Arial" w:hAnsi="Arial" w:cs="Arial"/>
          <w:sz w:val="20"/>
        </w:rPr>
        <w:t>D</w:t>
      </w:r>
      <w:r w:rsidR="004631E8">
        <w:rPr>
          <w:rFonts w:ascii="Arial" w:hAnsi="Arial" w:cs="Arial"/>
          <w:sz w:val="20"/>
        </w:rPr>
        <w:t xml:space="preserve">iscard ratio </w:t>
      </w:r>
      <w:r w:rsidR="00E27471">
        <w:rPr>
          <w:rFonts w:ascii="Arial" w:hAnsi="Arial" w:cs="Arial"/>
          <w:sz w:val="20"/>
        </w:rPr>
        <w:t>=</w:t>
      </w:r>
      <w:r w:rsidR="004631E8">
        <w:rPr>
          <w:rFonts w:ascii="Arial" w:hAnsi="Arial" w:cs="Arial"/>
          <w:sz w:val="20"/>
        </w:rPr>
        <w:t xml:space="preserve"> the number of </w:t>
      </w:r>
      <w:r w:rsidR="00B844D8">
        <w:rPr>
          <w:rFonts w:ascii="Arial" w:hAnsi="Arial" w:cs="Arial"/>
          <w:sz w:val="20"/>
        </w:rPr>
        <w:t xml:space="preserve">products </w:t>
      </w:r>
      <w:r w:rsidR="004631E8">
        <w:rPr>
          <w:rFonts w:ascii="Arial" w:hAnsi="Arial" w:cs="Arial"/>
          <w:sz w:val="20"/>
        </w:rPr>
        <w:t>discarded for every 100 products transfused.</w:t>
      </w:r>
    </w:p>
    <w:p w14:paraId="0DD6E6FF" w14:textId="77777777" w:rsidR="00D15CB5" w:rsidRDefault="00D15CB5" w:rsidP="00FE39B5">
      <w:pPr>
        <w:pStyle w:val="NoSpacing"/>
        <w:spacing w:before="120"/>
        <w:ind w:left="1440" w:firstLine="720"/>
        <w:rPr>
          <w:rFonts w:ascii="Arial" w:hAnsi="Arial" w:cs="Arial"/>
          <w:sz w:val="20"/>
        </w:rPr>
      </w:pPr>
    </w:p>
    <w:p w14:paraId="08687F9C" w14:textId="5E9AB7F3" w:rsidR="00A56016" w:rsidRDefault="00A56016" w:rsidP="00FE39B5">
      <w:pPr>
        <w:pStyle w:val="NoSpacing"/>
        <w:spacing w:before="120"/>
        <w:ind w:left="1440" w:firstLine="720"/>
        <w:rPr>
          <w:rFonts w:ascii="Arial" w:hAnsi="Arial" w:cs="Arial"/>
          <w:sz w:val="20"/>
        </w:rPr>
      </w:pPr>
    </w:p>
    <w:p w14:paraId="708FBE70" w14:textId="5589D4BC" w:rsidR="00803D0A" w:rsidRDefault="00803D0A" w:rsidP="00FE39B5">
      <w:pPr>
        <w:pStyle w:val="NoSpacing"/>
        <w:spacing w:before="120"/>
        <w:ind w:left="1440" w:firstLine="720"/>
        <w:rPr>
          <w:rFonts w:ascii="Arial" w:hAnsi="Arial" w:cs="Arial"/>
          <w:sz w:val="20"/>
        </w:rPr>
      </w:pPr>
    </w:p>
    <w:p w14:paraId="23B3087D" w14:textId="77777777" w:rsidR="00803D0A" w:rsidRDefault="00803D0A" w:rsidP="00FE39B5">
      <w:pPr>
        <w:pStyle w:val="NoSpacing"/>
        <w:spacing w:before="120"/>
        <w:ind w:left="1440" w:firstLine="720"/>
        <w:rPr>
          <w:rFonts w:ascii="Arial" w:hAnsi="Arial" w:cs="Arial"/>
          <w:sz w:val="20"/>
        </w:rPr>
      </w:pPr>
    </w:p>
    <w:p w14:paraId="2BF43547" w14:textId="77777777" w:rsidR="00AC592C" w:rsidRDefault="00AC592C" w:rsidP="00AA259D">
      <w:pPr>
        <w:pStyle w:val="NoSpacing"/>
        <w:ind w:left="1440" w:firstLine="720"/>
        <w:rPr>
          <w:rFonts w:ascii="Arial" w:hAnsi="Arial" w:cs="Arial"/>
          <w:sz w:val="20"/>
        </w:rPr>
      </w:pPr>
    </w:p>
    <w:p w14:paraId="52ACA1B5" w14:textId="3710FF9D" w:rsidR="00AF248D" w:rsidRPr="00AF248D" w:rsidRDefault="00AF248D" w:rsidP="004631E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15" w:name="_Hlk81302094"/>
      <w:r w:rsidRPr="00AF248D">
        <w:rPr>
          <w:rFonts w:ascii="Arial" w:hAnsi="Arial" w:cs="Arial"/>
          <w:b/>
          <w:sz w:val="28"/>
          <w:szCs w:val="28"/>
        </w:rPr>
        <w:lastRenderedPageBreak/>
        <w:t xml:space="preserve">Table </w:t>
      </w:r>
      <w:r w:rsidR="001C518D">
        <w:rPr>
          <w:rFonts w:ascii="Arial" w:hAnsi="Arial" w:cs="Arial"/>
          <w:b/>
          <w:sz w:val="28"/>
          <w:szCs w:val="28"/>
        </w:rPr>
        <w:t>5</w:t>
      </w:r>
      <w:r w:rsidRPr="00AF248D">
        <w:rPr>
          <w:rFonts w:ascii="Arial" w:hAnsi="Arial" w:cs="Arial"/>
          <w:b/>
          <w:sz w:val="28"/>
          <w:szCs w:val="28"/>
        </w:rPr>
        <w:t xml:space="preserve">: Number of Adverse Reactions </w:t>
      </w:r>
      <w:r w:rsidR="00995785">
        <w:rPr>
          <w:rFonts w:ascii="Arial" w:hAnsi="Arial" w:cs="Arial"/>
          <w:b/>
          <w:sz w:val="28"/>
          <w:szCs w:val="28"/>
        </w:rPr>
        <w:t xml:space="preserve">in </w:t>
      </w:r>
      <w:r w:rsidRPr="00AF248D">
        <w:rPr>
          <w:rFonts w:ascii="Arial" w:hAnsi="Arial" w:cs="Arial"/>
          <w:b/>
          <w:sz w:val="28"/>
          <w:szCs w:val="28"/>
        </w:rPr>
        <w:t>Massachusetts, 201</w:t>
      </w:r>
      <w:r w:rsidR="00803D0A">
        <w:rPr>
          <w:rFonts w:ascii="Arial" w:hAnsi="Arial" w:cs="Arial"/>
          <w:b/>
          <w:sz w:val="28"/>
          <w:szCs w:val="28"/>
        </w:rPr>
        <w:t>9</w:t>
      </w:r>
      <w:r w:rsidRPr="00AF248D">
        <w:rPr>
          <w:rFonts w:ascii="Arial" w:hAnsi="Arial" w:cs="Arial"/>
          <w:b/>
          <w:sz w:val="28"/>
          <w:szCs w:val="28"/>
        </w:rPr>
        <w:t>-20</w:t>
      </w:r>
      <w:r w:rsidR="00803D0A">
        <w:rPr>
          <w:rFonts w:ascii="Arial" w:hAnsi="Arial" w:cs="Arial"/>
          <w:b/>
          <w:sz w:val="28"/>
          <w:szCs w:val="28"/>
        </w:rPr>
        <w:t>20</w:t>
      </w:r>
      <w:bookmarkEnd w:id="15"/>
    </w:p>
    <w:p w14:paraId="43C49071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66E62A45" w14:textId="69DBC578" w:rsidR="00B75860" w:rsidRDefault="00803D0A" w:rsidP="001B6590">
      <w:pPr>
        <w:pStyle w:val="NoSpacing"/>
        <w:jc w:val="center"/>
        <w:rPr>
          <w:rFonts w:ascii="Arial" w:hAnsi="Arial" w:cs="Arial"/>
          <w:sz w:val="20"/>
        </w:rPr>
      </w:pPr>
      <w:r w:rsidRPr="00803D0A">
        <w:rPr>
          <w:noProof/>
        </w:rPr>
        <w:drawing>
          <wp:inline distT="0" distB="0" distL="0" distR="0" wp14:anchorId="29D2A806" wp14:editId="23B8F035">
            <wp:extent cx="3551274" cy="238608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49" cy="239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09680" w14:textId="7E1E76F6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71C6C0D0" w14:textId="70DFD8BB" w:rsidR="008F690D" w:rsidRDefault="008F690D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568A70CC" w14:textId="77777777" w:rsidR="008F690D" w:rsidRDefault="008F690D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1728C098" w14:textId="77777777" w:rsidR="00B75860" w:rsidRDefault="00B75860" w:rsidP="008F690D">
      <w:pPr>
        <w:pStyle w:val="NoSpacing"/>
        <w:rPr>
          <w:rFonts w:ascii="Arial" w:hAnsi="Arial" w:cs="Arial"/>
          <w:sz w:val="20"/>
        </w:rPr>
      </w:pPr>
      <w:bookmarkStart w:id="16" w:name="_Hlk81302288"/>
    </w:p>
    <w:p w14:paraId="6618BB13" w14:textId="1CA97B2A" w:rsidR="001C518D" w:rsidRPr="00AF248D" w:rsidRDefault="001C518D" w:rsidP="001C518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F248D">
        <w:rPr>
          <w:rFonts w:ascii="Arial" w:hAnsi="Arial" w:cs="Arial"/>
          <w:b/>
          <w:sz w:val="28"/>
          <w:szCs w:val="28"/>
        </w:rPr>
        <w:t xml:space="preserve">Table </w:t>
      </w:r>
      <w:r>
        <w:rPr>
          <w:rFonts w:ascii="Arial" w:hAnsi="Arial" w:cs="Arial"/>
          <w:b/>
          <w:sz w:val="28"/>
          <w:szCs w:val="28"/>
        </w:rPr>
        <w:t>6</w:t>
      </w:r>
      <w:r w:rsidRPr="00AF248D">
        <w:rPr>
          <w:rFonts w:ascii="Arial" w:hAnsi="Arial" w:cs="Arial"/>
          <w:b/>
          <w:sz w:val="28"/>
          <w:szCs w:val="28"/>
        </w:rPr>
        <w:t>: Number of Adverse Reactions</w:t>
      </w:r>
      <w:r>
        <w:rPr>
          <w:rFonts w:ascii="Arial" w:hAnsi="Arial" w:cs="Arial"/>
          <w:b/>
          <w:sz w:val="28"/>
          <w:szCs w:val="28"/>
        </w:rPr>
        <w:t xml:space="preserve"> Associated with Pathogen Reduced Products</w:t>
      </w:r>
      <w:r w:rsidRPr="00AF24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in </w:t>
      </w:r>
      <w:r w:rsidRPr="00AF248D">
        <w:rPr>
          <w:rFonts w:ascii="Arial" w:hAnsi="Arial" w:cs="Arial"/>
          <w:b/>
          <w:sz w:val="28"/>
          <w:szCs w:val="28"/>
        </w:rPr>
        <w:t>Massachusetts, 201</w:t>
      </w:r>
      <w:r>
        <w:rPr>
          <w:rFonts w:ascii="Arial" w:hAnsi="Arial" w:cs="Arial"/>
          <w:b/>
          <w:sz w:val="28"/>
          <w:szCs w:val="28"/>
        </w:rPr>
        <w:t>9</w:t>
      </w:r>
      <w:r w:rsidRPr="00AF248D">
        <w:rPr>
          <w:rFonts w:ascii="Arial" w:hAnsi="Arial" w:cs="Arial"/>
          <w:b/>
          <w:sz w:val="28"/>
          <w:szCs w:val="28"/>
        </w:rPr>
        <w:t>-20</w:t>
      </w:r>
      <w:r>
        <w:rPr>
          <w:rFonts w:ascii="Arial" w:hAnsi="Arial" w:cs="Arial"/>
          <w:b/>
          <w:sz w:val="28"/>
          <w:szCs w:val="28"/>
        </w:rPr>
        <w:t>20</w:t>
      </w:r>
    </w:p>
    <w:bookmarkEnd w:id="16"/>
    <w:p w14:paraId="3B6508F0" w14:textId="612D48E6" w:rsidR="001C518D" w:rsidRDefault="00A52A7B" w:rsidP="008F690D">
      <w:pPr>
        <w:pStyle w:val="NoSpacing"/>
        <w:rPr>
          <w:rFonts w:ascii="Arial" w:hAnsi="Arial" w:cs="Arial"/>
          <w:b/>
          <w:sz w:val="28"/>
        </w:rPr>
      </w:pPr>
      <w:r w:rsidRPr="00A52A7B">
        <w:rPr>
          <w:noProof/>
        </w:rPr>
        <w:drawing>
          <wp:anchor distT="0" distB="0" distL="114300" distR="114300" simplePos="0" relativeHeight="251670528" behindDoc="0" locked="0" layoutInCell="1" allowOverlap="1" wp14:anchorId="68983DA3" wp14:editId="13F376BA">
            <wp:simplePos x="0" y="0"/>
            <wp:positionH relativeFrom="margin">
              <wp:align>center</wp:align>
            </wp:positionH>
            <wp:positionV relativeFrom="paragraph">
              <wp:posOffset>180030</wp:posOffset>
            </wp:positionV>
            <wp:extent cx="3997325" cy="1511935"/>
            <wp:effectExtent l="0" t="0" r="317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F6838" w14:textId="553586F4" w:rsidR="001C518D" w:rsidRDefault="00A52A7B" w:rsidP="009C2742">
      <w:pPr>
        <w:pStyle w:val="NoSpacing"/>
        <w:jc w:val="center"/>
        <w:rPr>
          <w:rFonts w:ascii="Arial" w:hAnsi="Arial" w:cs="Arial"/>
          <w:b/>
          <w:sz w:val="28"/>
        </w:rPr>
      </w:pPr>
      <w:r w:rsidRPr="00A52A7B">
        <w:rPr>
          <w:rFonts w:ascii="Arial" w:hAnsi="Arial" w:cs="Arial"/>
          <w:b/>
          <w:sz w:val="28"/>
        </w:rPr>
        <w:t xml:space="preserve"> </w:t>
      </w:r>
    </w:p>
    <w:p w14:paraId="648DB1D9" w14:textId="77777777" w:rsidR="00A52A7B" w:rsidRDefault="001C518D" w:rsidP="009C274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</w:p>
    <w:p w14:paraId="5593CADF" w14:textId="77777777" w:rsidR="00A52A7B" w:rsidRDefault="00A52A7B" w:rsidP="009C274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</w:p>
    <w:p w14:paraId="5B00B939" w14:textId="77777777" w:rsidR="00A52A7B" w:rsidRDefault="00A52A7B" w:rsidP="009C274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</w:p>
    <w:p w14:paraId="2164075A" w14:textId="77777777" w:rsidR="00A52A7B" w:rsidRDefault="00A52A7B" w:rsidP="009C274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</w:p>
    <w:p w14:paraId="25258236" w14:textId="77777777" w:rsidR="00A52A7B" w:rsidRDefault="00A52A7B" w:rsidP="009C274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</w:p>
    <w:p w14:paraId="659128D2" w14:textId="77777777" w:rsidR="00A52A7B" w:rsidRDefault="00A52A7B" w:rsidP="009C274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</w:p>
    <w:p w14:paraId="55839459" w14:textId="77777777" w:rsidR="00A52A7B" w:rsidRDefault="00A52A7B" w:rsidP="009C274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</w:p>
    <w:p w14:paraId="1BCCEFFB" w14:textId="77777777" w:rsidR="00A52A7B" w:rsidRDefault="00A52A7B" w:rsidP="00A52A7B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682E9F52" w14:textId="77777777" w:rsidR="008F690D" w:rsidRDefault="008F690D" w:rsidP="009C274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</w:p>
    <w:p w14:paraId="3E7C4833" w14:textId="5D6C7C60" w:rsidR="001C518D" w:rsidRPr="008F690D" w:rsidRDefault="001C518D" w:rsidP="009C274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  <w:r w:rsidRPr="008F690D">
        <w:rPr>
          <w:rFonts w:ascii="Arial" w:hAnsi="Arial" w:cs="Arial"/>
          <w:bCs/>
          <w:sz w:val="20"/>
          <w:szCs w:val="20"/>
        </w:rPr>
        <w:t>*</w:t>
      </w:r>
      <w:r w:rsidR="00594441">
        <w:rPr>
          <w:rFonts w:ascii="Arial" w:hAnsi="Arial" w:cs="Arial"/>
          <w:bCs/>
          <w:sz w:val="20"/>
          <w:szCs w:val="20"/>
        </w:rPr>
        <w:t>A</w:t>
      </w:r>
      <w:r w:rsidRPr="008F690D">
        <w:rPr>
          <w:rFonts w:ascii="Arial" w:hAnsi="Arial" w:cs="Arial"/>
          <w:bCs/>
          <w:sz w:val="20"/>
          <w:szCs w:val="20"/>
        </w:rPr>
        <w:t xml:space="preserve">ll </w:t>
      </w:r>
      <w:r w:rsidR="009B1AEC" w:rsidRPr="008F690D">
        <w:rPr>
          <w:rFonts w:ascii="Arial" w:hAnsi="Arial" w:cs="Arial"/>
          <w:bCs/>
          <w:sz w:val="20"/>
          <w:szCs w:val="20"/>
        </w:rPr>
        <w:t>ARs</w:t>
      </w:r>
      <w:r w:rsidRPr="008F690D">
        <w:rPr>
          <w:rFonts w:ascii="Arial" w:hAnsi="Arial" w:cs="Arial"/>
          <w:bCs/>
          <w:sz w:val="20"/>
          <w:szCs w:val="20"/>
        </w:rPr>
        <w:t xml:space="preserve"> were associated with </w:t>
      </w:r>
      <w:r w:rsidRPr="001C518D">
        <w:rPr>
          <w:rFonts w:ascii="Arial" w:hAnsi="Arial" w:cs="Arial"/>
          <w:bCs/>
          <w:sz w:val="20"/>
          <w:szCs w:val="20"/>
        </w:rPr>
        <w:t>apheresis</w:t>
      </w:r>
      <w:r w:rsidRPr="008F690D">
        <w:rPr>
          <w:rFonts w:ascii="Arial" w:hAnsi="Arial" w:cs="Arial"/>
          <w:bCs/>
          <w:sz w:val="20"/>
          <w:szCs w:val="20"/>
        </w:rPr>
        <w:t xml:space="preserve"> derived, psoralen</w:t>
      </w:r>
      <w:r w:rsidR="004516EB">
        <w:rPr>
          <w:rFonts w:ascii="Arial" w:hAnsi="Arial" w:cs="Arial"/>
          <w:bCs/>
          <w:sz w:val="20"/>
          <w:szCs w:val="20"/>
        </w:rPr>
        <w:t>-</w:t>
      </w:r>
      <w:r w:rsidRPr="008F690D">
        <w:rPr>
          <w:rFonts w:ascii="Arial" w:hAnsi="Arial" w:cs="Arial"/>
          <w:bCs/>
          <w:sz w:val="20"/>
          <w:szCs w:val="20"/>
        </w:rPr>
        <w:t>treated platelets.</w:t>
      </w:r>
    </w:p>
    <w:p w14:paraId="7BB1F166" w14:textId="77777777" w:rsidR="008F690D" w:rsidRDefault="008F690D" w:rsidP="008F690D">
      <w:pPr>
        <w:pStyle w:val="NoSpacing"/>
        <w:rPr>
          <w:rFonts w:ascii="Arial" w:hAnsi="Arial" w:cs="Arial"/>
          <w:b/>
          <w:sz w:val="28"/>
        </w:rPr>
      </w:pPr>
    </w:p>
    <w:p w14:paraId="1171567F" w14:textId="5BFD0C51" w:rsidR="00F21359" w:rsidRDefault="00F21359" w:rsidP="009C2742">
      <w:pPr>
        <w:pStyle w:val="NoSpacing"/>
        <w:jc w:val="center"/>
        <w:rPr>
          <w:rFonts w:ascii="Arial" w:hAnsi="Arial" w:cs="Arial"/>
          <w:b/>
          <w:sz w:val="28"/>
        </w:rPr>
      </w:pPr>
      <w:bookmarkStart w:id="17" w:name="_Hlk81302309"/>
      <w:r w:rsidRPr="00F21359">
        <w:rPr>
          <w:rFonts w:ascii="Arial" w:hAnsi="Arial" w:cs="Arial"/>
          <w:b/>
          <w:sz w:val="28"/>
        </w:rPr>
        <w:lastRenderedPageBreak/>
        <w:t xml:space="preserve">Table </w:t>
      </w:r>
      <w:r w:rsidR="001C518D">
        <w:rPr>
          <w:rFonts w:ascii="Arial" w:hAnsi="Arial" w:cs="Arial"/>
          <w:b/>
          <w:sz w:val="28"/>
        </w:rPr>
        <w:t>7</w:t>
      </w:r>
      <w:r w:rsidRPr="00F21359">
        <w:rPr>
          <w:rFonts w:ascii="Arial" w:hAnsi="Arial" w:cs="Arial"/>
          <w:b/>
          <w:sz w:val="28"/>
        </w:rPr>
        <w:t>: Number of Adverse Reactions</w:t>
      </w:r>
    </w:p>
    <w:p w14:paraId="7FF2C7B8" w14:textId="77777777" w:rsidR="00803D0A" w:rsidRDefault="00803D0A" w:rsidP="00803D0A">
      <w:pPr>
        <w:pStyle w:val="NoSpacing"/>
        <w:jc w:val="center"/>
        <w:rPr>
          <w:rFonts w:ascii="Arial" w:hAnsi="Arial" w:cs="Arial"/>
          <w:b/>
          <w:sz w:val="28"/>
        </w:rPr>
      </w:pPr>
      <w:r w:rsidRPr="00803D0A">
        <w:rPr>
          <w:noProof/>
        </w:rPr>
        <w:drawing>
          <wp:anchor distT="0" distB="0" distL="114300" distR="114300" simplePos="0" relativeHeight="251657216" behindDoc="0" locked="0" layoutInCell="1" allowOverlap="1" wp14:anchorId="23FC0FB1" wp14:editId="14BB8037">
            <wp:simplePos x="0" y="0"/>
            <wp:positionH relativeFrom="margin">
              <wp:align>center</wp:align>
            </wp:positionH>
            <wp:positionV relativeFrom="paragraph">
              <wp:posOffset>293370</wp:posOffset>
            </wp:positionV>
            <wp:extent cx="8973820" cy="1977390"/>
            <wp:effectExtent l="0" t="0" r="0" b="38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82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359" w:rsidRPr="00F21359">
        <w:rPr>
          <w:rFonts w:ascii="Arial" w:hAnsi="Arial" w:cs="Arial"/>
          <w:b/>
          <w:sz w:val="28"/>
        </w:rPr>
        <w:t xml:space="preserve"> by Type, Age Group, and Gender </w:t>
      </w:r>
      <w:r w:rsidR="005F289A">
        <w:rPr>
          <w:rFonts w:ascii="Arial" w:hAnsi="Arial" w:cs="Arial"/>
          <w:b/>
          <w:sz w:val="28"/>
        </w:rPr>
        <w:t xml:space="preserve">in </w:t>
      </w:r>
      <w:r w:rsidR="00F21359" w:rsidRPr="00F21359">
        <w:rPr>
          <w:rFonts w:ascii="Arial" w:hAnsi="Arial" w:cs="Arial"/>
          <w:b/>
          <w:sz w:val="28"/>
        </w:rPr>
        <w:t>Massachusetts</w:t>
      </w:r>
      <w:r w:rsidR="00F21359">
        <w:rPr>
          <w:rFonts w:ascii="Arial" w:hAnsi="Arial" w:cs="Arial"/>
          <w:b/>
          <w:sz w:val="28"/>
        </w:rPr>
        <w:t xml:space="preserve">, </w:t>
      </w:r>
      <w:r w:rsidR="00F21359" w:rsidRPr="00F21359">
        <w:rPr>
          <w:rFonts w:ascii="Arial" w:hAnsi="Arial" w:cs="Arial"/>
          <w:b/>
          <w:sz w:val="28"/>
        </w:rPr>
        <w:t>20</w:t>
      </w:r>
      <w:r>
        <w:rPr>
          <w:rFonts w:ascii="Arial" w:hAnsi="Arial" w:cs="Arial"/>
          <w:b/>
          <w:sz w:val="28"/>
        </w:rPr>
        <w:t>20</w:t>
      </w:r>
    </w:p>
    <w:bookmarkEnd w:id="17"/>
    <w:p w14:paraId="66BAF5EA" w14:textId="48451780" w:rsidR="00F21359" w:rsidRPr="00803D0A" w:rsidRDefault="00803D0A" w:rsidP="008F690D">
      <w:pPr>
        <w:pStyle w:val="NoSpacing"/>
        <w:ind w:left="-630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0"/>
        </w:rPr>
        <w:t xml:space="preserve"> </w:t>
      </w:r>
      <w:r w:rsidR="00F21359">
        <w:rPr>
          <w:rFonts w:ascii="Arial" w:hAnsi="Arial" w:cs="Arial"/>
          <w:sz w:val="20"/>
        </w:rPr>
        <w:t>Non-severe allergic reactions were excluded from analyses.</w:t>
      </w:r>
    </w:p>
    <w:p w14:paraId="2D78FA16" w14:textId="48A67EEB" w:rsidR="00F21359" w:rsidRDefault="00F21359" w:rsidP="00E7299C">
      <w:pPr>
        <w:pStyle w:val="NoSpacing"/>
        <w:spacing w:before="120"/>
        <w:rPr>
          <w:rFonts w:ascii="Arial" w:hAnsi="Arial" w:cs="Arial"/>
          <w:sz w:val="20"/>
        </w:rPr>
      </w:pPr>
    </w:p>
    <w:p w14:paraId="151EDCEF" w14:textId="77777777" w:rsidR="00F21359" w:rsidRDefault="00F21359" w:rsidP="00E7299C">
      <w:pPr>
        <w:pStyle w:val="NoSpacing"/>
        <w:rPr>
          <w:rFonts w:ascii="Arial" w:hAnsi="Arial" w:cs="Arial"/>
          <w:sz w:val="20"/>
        </w:rPr>
      </w:pPr>
    </w:p>
    <w:p w14:paraId="5C0E867A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3449E55D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11F101F8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5E5511F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965FDC9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8C5D499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879BD7B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16717F7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B0F1103" w14:textId="365FEAFE" w:rsidR="00AC592C" w:rsidRDefault="00AC592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18C6E226" w14:textId="77777777" w:rsidR="00E56C40" w:rsidRDefault="00E56C40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5C0C4EFE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5F3F5B3C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1C9BFB65" w14:textId="77777777" w:rsidR="00E7299C" w:rsidRDefault="00E7299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7080911" w14:textId="1DA36849" w:rsidR="00CD50CB" w:rsidRDefault="00CD50CB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0E489BE" w14:textId="77777777" w:rsidR="00803D0A" w:rsidRDefault="00803D0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A508D91" w14:textId="77777777" w:rsidR="00E7299C" w:rsidRDefault="00E7299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F53DCF2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F50380F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538372F0" w14:textId="77777777" w:rsidR="005F289A" w:rsidRDefault="005F289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4DD32B5" w14:textId="36302BFD" w:rsidR="00F21359" w:rsidRDefault="00A52A7B" w:rsidP="00F2135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52A7B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7C53EB9" wp14:editId="2749DACC">
            <wp:simplePos x="0" y="0"/>
            <wp:positionH relativeFrom="margin">
              <wp:posOffset>-499745</wp:posOffset>
            </wp:positionH>
            <wp:positionV relativeFrom="paragraph">
              <wp:posOffset>274955</wp:posOffset>
            </wp:positionV>
            <wp:extent cx="9073515" cy="95631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351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8" w:name="_Hlk81302490"/>
      <w:r w:rsidR="00F21359" w:rsidRPr="00B36169">
        <w:rPr>
          <w:rFonts w:ascii="Arial" w:hAnsi="Arial" w:cs="Arial"/>
          <w:b/>
          <w:sz w:val="28"/>
          <w:szCs w:val="28"/>
        </w:rPr>
        <w:t xml:space="preserve">Table </w:t>
      </w:r>
      <w:r w:rsidR="001C518D">
        <w:rPr>
          <w:rFonts w:ascii="Arial" w:hAnsi="Arial" w:cs="Arial"/>
          <w:b/>
          <w:sz w:val="28"/>
          <w:szCs w:val="28"/>
        </w:rPr>
        <w:t>8</w:t>
      </w:r>
      <w:r w:rsidR="00F21359" w:rsidRPr="00B36169">
        <w:rPr>
          <w:rFonts w:ascii="Arial" w:hAnsi="Arial" w:cs="Arial"/>
          <w:b/>
          <w:sz w:val="28"/>
          <w:szCs w:val="28"/>
        </w:rPr>
        <w:t xml:space="preserve">: Summary of Transfusion-transmitted infections </w:t>
      </w:r>
      <w:r w:rsidR="00372BED">
        <w:rPr>
          <w:rFonts w:ascii="Arial" w:hAnsi="Arial" w:cs="Arial"/>
          <w:b/>
          <w:sz w:val="28"/>
          <w:szCs w:val="28"/>
        </w:rPr>
        <w:t xml:space="preserve">in </w:t>
      </w:r>
      <w:r w:rsidR="00F21359" w:rsidRPr="00B36169">
        <w:rPr>
          <w:rFonts w:ascii="Arial" w:hAnsi="Arial" w:cs="Arial"/>
          <w:b/>
          <w:sz w:val="28"/>
          <w:szCs w:val="28"/>
        </w:rPr>
        <w:t xml:space="preserve">Massachusetts, </w:t>
      </w:r>
      <w:r w:rsidR="00082EAB">
        <w:rPr>
          <w:rFonts w:ascii="Arial" w:hAnsi="Arial" w:cs="Arial"/>
          <w:b/>
          <w:sz w:val="28"/>
          <w:szCs w:val="28"/>
        </w:rPr>
        <w:t>20</w:t>
      </w:r>
      <w:bookmarkEnd w:id="18"/>
      <w:r w:rsidR="00082EAB">
        <w:rPr>
          <w:rFonts w:ascii="Arial" w:hAnsi="Arial" w:cs="Arial"/>
          <w:b/>
          <w:sz w:val="28"/>
          <w:szCs w:val="28"/>
        </w:rPr>
        <w:t>20</w:t>
      </w:r>
    </w:p>
    <w:p w14:paraId="64EF3B91" w14:textId="6602978B" w:rsidR="00F460CA" w:rsidRPr="00AA6AC0" w:rsidRDefault="00F460CA" w:rsidP="00F21359">
      <w:pPr>
        <w:pStyle w:val="NoSpacing"/>
        <w:jc w:val="center"/>
        <w:rPr>
          <w:rFonts w:ascii="Arial" w:hAnsi="Arial" w:cs="Arial"/>
          <w:sz w:val="28"/>
        </w:rPr>
      </w:pPr>
    </w:p>
    <w:p w14:paraId="016AFFA0" w14:textId="3981AC88" w:rsidR="00B36169" w:rsidRDefault="00B36169" w:rsidP="00E7299C">
      <w:pPr>
        <w:pStyle w:val="NoSpacing"/>
        <w:rPr>
          <w:rFonts w:ascii="Arial" w:hAnsi="Arial" w:cs="Arial"/>
          <w:sz w:val="20"/>
        </w:rPr>
      </w:pPr>
    </w:p>
    <w:p w14:paraId="00DD5420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5F10F8A" w14:textId="277C4A7D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BEE0426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521FD53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40012A0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11D743D1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A516B8A" w14:textId="61F8B26D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1CE1E19B" w14:textId="4BAE965B" w:rsidR="00803D0A" w:rsidRDefault="00803D0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3CAFE80" w14:textId="1D921505" w:rsidR="00803D0A" w:rsidRDefault="00803D0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83D3437" w14:textId="2F08DBD4" w:rsidR="00803D0A" w:rsidRDefault="00803D0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1E61030" w14:textId="7207AF71" w:rsidR="00803D0A" w:rsidRDefault="00803D0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BE27020" w14:textId="28F43F96" w:rsidR="00803D0A" w:rsidRDefault="00803D0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F90277D" w14:textId="0847E3C5" w:rsidR="00803D0A" w:rsidRDefault="00803D0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8F9ABB2" w14:textId="77777777" w:rsidR="00803D0A" w:rsidRDefault="00803D0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09752F7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856B2A8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3110CAA6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C3B0045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E863939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E4E17BF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4F1E4A3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EDD0A93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50EB5635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F5720EB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C96C643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3F40F1F3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398EC9A0" w14:textId="77777777" w:rsidR="005F289A" w:rsidRDefault="005F289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3416CEA" w14:textId="43617DFB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E2ADC6E" w14:textId="77777777" w:rsidR="001B6590" w:rsidRDefault="001B6590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D28DBCF" w14:textId="77777777" w:rsidR="00B36169" w:rsidRDefault="00B36169" w:rsidP="00F21359">
      <w:pPr>
        <w:pStyle w:val="NoSpacing"/>
        <w:jc w:val="center"/>
        <w:rPr>
          <w:rFonts w:ascii="Arial" w:hAnsi="Arial" w:cs="Arial"/>
          <w:b/>
          <w:sz w:val="28"/>
        </w:rPr>
      </w:pPr>
      <w:bookmarkStart w:id="19" w:name="_Hlk81302499"/>
      <w:r w:rsidRPr="00B36169">
        <w:rPr>
          <w:rFonts w:ascii="Arial" w:hAnsi="Arial" w:cs="Arial"/>
          <w:b/>
          <w:sz w:val="28"/>
        </w:rPr>
        <w:lastRenderedPageBreak/>
        <w:t xml:space="preserve">Figure 3: Rates of Adverse Reactions per 10,000 Transfused Products </w:t>
      </w:r>
    </w:p>
    <w:p w14:paraId="338562BA" w14:textId="551ADA9D" w:rsidR="00B36169" w:rsidRDefault="00B36169" w:rsidP="00F21359">
      <w:pPr>
        <w:pStyle w:val="NoSpacing"/>
        <w:jc w:val="center"/>
        <w:rPr>
          <w:rFonts w:ascii="Arial" w:hAnsi="Arial" w:cs="Arial"/>
          <w:b/>
          <w:sz w:val="20"/>
        </w:rPr>
      </w:pPr>
      <w:r w:rsidRPr="00B36169">
        <w:rPr>
          <w:rFonts w:ascii="Arial" w:hAnsi="Arial" w:cs="Arial"/>
          <w:b/>
          <w:sz w:val="28"/>
        </w:rPr>
        <w:t>by Product Type</w:t>
      </w:r>
      <w:r w:rsidR="00372BED">
        <w:rPr>
          <w:rFonts w:ascii="Arial" w:hAnsi="Arial" w:cs="Arial"/>
          <w:b/>
          <w:sz w:val="28"/>
        </w:rPr>
        <w:t xml:space="preserve"> in</w:t>
      </w:r>
      <w:r w:rsidRPr="00B36169">
        <w:rPr>
          <w:rFonts w:ascii="Arial" w:hAnsi="Arial" w:cs="Arial"/>
          <w:b/>
          <w:sz w:val="28"/>
        </w:rPr>
        <w:t xml:space="preserve"> Massachusetts, 201</w:t>
      </w:r>
      <w:r w:rsidR="00803D0A">
        <w:rPr>
          <w:rFonts w:ascii="Arial" w:hAnsi="Arial" w:cs="Arial"/>
          <w:b/>
          <w:sz w:val="28"/>
        </w:rPr>
        <w:t>9</w:t>
      </w:r>
      <w:r w:rsidRPr="00B36169">
        <w:rPr>
          <w:rFonts w:ascii="Arial" w:hAnsi="Arial" w:cs="Arial"/>
          <w:b/>
          <w:sz w:val="28"/>
        </w:rPr>
        <w:t>-20</w:t>
      </w:r>
      <w:r w:rsidR="00803D0A">
        <w:rPr>
          <w:rFonts w:ascii="Arial" w:hAnsi="Arial" w:cs="Arial"/>
          <w:b/>
          <w:sz w:val="28"/>
        </w:rPr>
        <w:t>20</w:t>
      </w:r>
    </w:p>
    <w:bookmarkEnd w:id="19"/>
    <w:p w14:paraId="1F29464D" w14:textId="77777777" w:rsidR="00CD50CB" w:rsidRPr="00CD50CB" w:rsidRDefault="00CD50CB" w:rsidP="00F21359">
      <w:pPr>
        <w:pStyle w:val="NoSpacing"/>
        <w:jc w:val="center"/>
        <w:rPr>
          <w:rFonts w:ascii="Arial" w:hAnsi="Arial" w:cs="Arial"/>
          <w:b/>
          <w:sz w:val="20"/>
        </w:rPr>
      </w:pPr>
    </w:p>
    <w:p w14:paraId="0D7AAB74" w14:textId="791169E9" w:rsidR="00B36169" w:rsidRDefault="00803D0A" w:rsidP="00AF458B">
      <w:pPr>
        <w:pStyle w:val="NoSpacing"/>
        <w:jc w:val="center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2C190A27" wp14:editId="57A75368">
            <wp:extent cx="5613400" cy="4340225"/>
            <wp:effectExtent l="0" t="0" r="6350" b="3175"/>
            <wp:docPr id="2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3A32CA3-3734-4EEB-9477-D61A18F9FC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C3A32CA3-3734-4EEB-9477-D61A18F9FC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340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F1244CB" w14:textId="2AD63C13" w:rsidR="000150CA" w:rsidRDefault="00AC592C" w:rsidP="000150CA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AF458B">
        <w:rPr>
          <w:rFonts w:ascii="Arial" w:hAnsi="Arial" w:cs="Arial"/>
          <w:sz w:val="20"/>
        </w:rPr>
        <w:t xml:space="preserve"> </w:t>
      </w:r>
      <w:r w:rsidR="00A56016">
        <w:rPr>
          <w:rFonts w:ascii="Arial" w:hAnsi="Arial" w:cs="Arial"/>
          <w:sz w:val="20"/>
        </w:rPr>
        <w:tab/>
      </w:r>
      <w:r w:rsidR="000150CA">
        <w:rPr>
          <w:rFonts w:ascii="Arial" w:hAnsi="Arial" w:cs="Arial"/>
          <w:sz w:val="20"/>
        </w:rPr>
        <w:tab/>
        <w:t xml:space="preserve">           In 2018, 69 facilities reported NHSN Hemovigilance data. In 2019, 68 facilities reported</w:t>
      </w:r>
      <w:r w:rsidR="002E1B54">
        <w:rPr>
          <w:rFonts w:ascii="Arial" w:hAnsi="Arial" w:cs="Arial"/>
          <w:sz w:val="20"/>
        </w:rPr>
        <w:t>.</w:t>
      </w:r>
      <w:r w:rsidR="000150CA">
        <w:rPr>
          <w:rFonts w:ascii="Arial" w:hAnsi="Arial" w:cs="Arial"/>
          <w:sz w:val="20"/>
        </w:rPr>
        <w:t xml:space="preserve"> </w:t>
      </w:r>
      <w:r w:rsidR="002E1B54">
        <w:rPr>
          <w:rFonts w:ascii="Arial" w:hAnsi="Arial" w:cs="Arial"/>
          <w:sz w:val="20"/>
        </w:rPr>
        <w:t>I</w:t>
      </w:r>
      <w:r w:rsidR="000150CA">
        <w:rPr>
          <w:rFonts w:ascii="Arial" w:hAnsi="Arial" w:cs="Arial"/>
          <w:sz w:val="20"/>
        </w:rPr>
        <w:t xml:space="preserve">n 2020, </w:t>
      </w:r>
    </w:p>
    <w:p w14:paraId="36102C73" w14:textId="0EA209A4" w:rsidR="00A56016" w:rsidRDefault="000150CA" w:rsidP="000150CA">
      <w:pPr>
        <w:pStyle w:val="NoSpacing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67 facilities reported.</w:t>
      </w:r>
    </w:p>
    <w:p w14:paraId="796B391D" w14:textId="5991BE9B" w:rsidR="00B36169" w:rsidRDefault="00B36169" w:rsidP="000150CA">
      <w:pPr>
        <w:pStyle w:val="NoSpacing"/>
        <w:rPr>
          <w:rFonts w:ascii="Arial" w:hAnsi="Arial" w:cs="Arial"/>
          <w:sz w:val="20"/>
        </w:rPr>
      </w:pPr>
    </w:p>
    <w:p w14:paraId="474A37AB" w14:textId="05468287" w:rsidR="000150CA" w:rsidRDefault="000150CA" w:rsidP="000150CA">
      <w:pPr>
        <w:pStyle w:val="NoSpacing"/>
        <w:rPr>
          <w:rFonts w:ascii="Arial" w:hAnsi="Arial" w:cs="Arial"/>
          <w:sz w:val="20"/>
        </w:rPr>
      </w:pPr>
    </w:p>
    <w:p w14:paraId="7D0A1BA1" w14:textId="77777777" w:rsidR="000150CA" w:rsidRDefault="000150CA" w:rsidP="000150CA">
      <w:pPr>
        <w:pStyle w:val="NoSpacing"/>
        <w:rPr>
          <w:rFonts w:ascii="Arial" w:hAnsi="Arial" w:cs="Arial"/>
          <w:sz w:val="20"/>
        </w:rPr>
      </w:pPr>
    </w:p>
    <w:p w14:paraId="322904D6" w14:textId="77777777" w:rsidR="001B6590" w:rsidRDefault="001B6590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17B0280" w14:textId="77777777" w:rsidR="00B36169" w:rsidRDefault="00B36169" w:rsidP="00F21359">
      <w:pPr>
        <w:pStyle w:val="NoSpacing"/>
        <w:jc w:val="center"/>
        <w:rPr>
          <w:rFonts w:ascii="Arial" w:hAnsi="Arial" w:cs="Arial"/>
          <w:b/>
          <w:sz w:val="28"/>
        </w:rPr>
      </w:pPr>
      <w:bookmarkStart w:id="20" w:name="_Hlk81302607"/>
      <w:r w:rsidRPr="00B36169">
        <w:rPr>
          <w:rFonts w:ascii="Arial" w:hAnsi="Arial" w:cs="Arial"/>
          <w:b/>
          <w:sz w:val="28"/>
        </w:rPr>
        <w:lastRenderedPageBreak/>
        <w:t xml:space="preserve">Figure 4: Rates of Adverse Reactions per 10,000 Transfused Products </w:t>
      </w:r>
    </w:p>
    <w:p w14:paraId="071BB0CF" w14:textId="03B6E548" w:rsidR="00B36169" w:rsidRPr="00B36169" w:rsidRDefault="00372BED" w:rsidP="00F21359">
      <w:pPr>
        <w:pStyle w:val="NoSpacing"/>
        <w:jc w:val="center"/>
        <w:rPr>
          <w:rFonts w:ascii="Arial" w:hAnsi="Arial" w:cs="Arial"/>
          <w:b/>
          <w:sz w:val="28"/>
        </w:rPr>
      </w:pPr>
      <w:r w:rsidRPr="00B36169">
        <w:rPr>
          <w:rFonts w:ascii="Arial" w:hAnsi="Arial" w:cs="Arial"/>
          <w:b/>
          <w:sz w:val="28"/>
        </w:rPr>
        <w:t>B</w:t>
      </w:r>
      <w:r w:rsidR="00B36169" w:rsidRPr="00B36169">
        <w:rPr>
          <w:rFonts w:ascii="Arial" w:hAnsi="Arial" w:cs="Arial"/>
          <w:b/>
          <w:sz w:val="28"/>
        </w:rPr>
        <w:t>y Bed Size Group</w:t>
      </w:r>
      <w:r>
        <w:rPr>
          <w:rFonts w:ascii="Arial" w:hAnsi="Arial" w:cs="Arial"/>
          <w:b/>
          <w:sz w:val="28"/>
        </w:rPr>
        <w:t xml:space="preserve"> in</w:t>
      </w:r>
      <w:r w:rsidR="00B36169" w:rsidRPr="00B36169">
        <w:rPr>
          <w:rFonts w:ascii="Arial" w:hAnsi="Arial" w:cs="Arial"/>
          <w:b/>
          <w:sz w:val="28"/>
        </w:rPr>
        <w:t xml:space="preserve"> Massachusetts, 201</w:t>
      </w:r>
      <w:r w:rsidR="000150CA">
        <w:rPr>
          <w:rFonts w:ascii="Arial" w:hAnsi="Arial" w:cs="Arial"/>
          <w:b/>
          <w:sz w:val="28"/>
        </w:rPr>
        <w:t>9</w:t>
      </w:r>
      <w:r w:rsidR="00B36169" w:rsidRPr="00B36169">
        <w:rPr>
          <w:rFonts w:ascii="Arial" w:hAnsi="Arial" w:cs="Arial"/>
          <w:b/>
          <w:sz w:val="28"/>
        </w:rPr>
        <w:t>-20</w:t>
      </w:r>
      <w:r w:rsidR="000150CA">
        <w:rPr>
          <w:rFonts w:ascii="Arial" w:hAnsi="Arial" w:cs="Arial"/>
          <w:b/>
          <w:sz w:val="28"/>
        </w:rPr>
        <w:t>20</w:t>
      </w:r>
    </w:p>
    <w:bookmarkEnd w:id="20"/>
    <w:p w14:paraId="4C5AB38A" w14:textId="77777777" w:rsidR="00B36169" w:rsidRPr="00CD50CB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EA693C4" w14:textId="2AEB48E9" w:rsidR="00B36169" w:rsidRDefault="000150CA" w:rsidP="00AA6AC0">
      <w:pPr>
        <w:pStyle w:val="NoSpacing"/>
        <w:jc w:val="center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1F58E751" wp14:editId="6F996EBA">
            <wp:extent cx="5661329" cy="4294210"/>
            <wp:effectExtent l="0" t="0" r="0" b="0"/>
            <wp:docPr id="2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0E09836-71F7-4651-B84F-8CC40F4E8C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0E09836-71F7-4651-B84F-8CC40F4E8C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972" cy="430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071F1" w14:textId="501886C1" w:rsidR="000150CA" w:rsidRDefault="00AA6AC0" w:rsidP="000150CA">
      <w:pPr>
        <w:pStyle w:val="NoSpacing"/>
        <w:rPr>
          <w:rFonts w:ascii="Arial" w:hAnsi="Arial" w:cs="Arial"/>
          <w:sz w:val="20"/>
        </w:rPr>
      </w:pPr>
      <w:r>
        <w:tab/>
      </w:r>
      <w:r w:rsidR="000150CA">
        <w:tab/>
        <w:t xml:space="preserve">           </w:t>
      </w:r>
      <w:r w:rsidR="000150CA">
        <w:rPr>
          <w:rFonts w:ascii="Arial" w:hAnsi="Arial" w:cs="Arial"/>
          <w:sz w:val="20"/>
        </w:rPr>
        <w:t>In 2018, 69 facilities reported NHSN Hemovigilance data. In 2019, 68 facilities reported</w:t>
      </w:r>
      <w:r w:rsidR="002E1B54">
        <w:rPr>
          <w:rFonts w:ascii="Arial" w:hAnsi="Arial" w:cs="Arial"/>
          <w:sz w:val="20"/>
        </w:rPr>
        <w:t>.</w:t>
      </w:r>
      <w:r w:rsidR="000150CA">
        <w:rPr>
          <w:rFonts w:ascii="Arial" w:hAnsi="Arial" w:cs="Arial"/>
          <w:sz w:val="20"/>
        </w:rPr>
        <w:t xml:space="preserve"> </w:t>
      </w:r>
      <w:r w:rsidR="002E1B54">
        <w:rPr>
          <w:rFonts w:ascii="Arial" w:hAnsi="Arial" w:cs="Arial"/>
          <w:sz w:val="20"/>
        </w:rPr>
        <w:t>I</w:t>
      </w:r>
      <w:r w:rsidR="000150CA">
        <w:rPr>
          <w:rFonts w:ascii="Arial" w:hAnsi="Arial" w:cs="Arial"/>
          <w:sz w:val="20"/>
        </w:rPr>
        <w:t xml:space="preserve">n 2020, 67 </w:t>
      </w:r>
    </w:p>
    <w:p w14:paraId="6476CC3A" w14:textId="42588922" w:rsidR="000150CA" w:rsidRDefault="000150CA" w:rsidP="000150CA">
      <w:pPr>
        <w:pStyle w:val="NoSpacing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facilities reported.</w:t>
      </w:r>
    </w:p>
    <w:p w14:paraId="288A1C62" w14:textId="3C85BBD1" w:rsidR="00AA6AC0" w:rsidRPr="00AA6AC0" w:rsidRDefault="00AA6AC0" w:rsidP="005F289A">
      <w:pPr>
        <w:pStyle w:val="NoSpacing"/>
        <w:spacing w:before="120"/>
        <w:rPr>
          <w:rFonts w:ascii="Arial" w:hAnsi="Arial" w:cs="Arial"/>
        </w:rPr>
      </w:pPr>
    </w:p>
    <w:p w14:paraId="0703A148" w14:textId="07D2DE3C" w:rsidR="001B6590" w:rsidRDefault="001B6590" w:rsidP="00300264">
      <w:pPr>
        <w:pStyle w:val="NoSpacing"/>
        <w:jc w:val="center"/>
        <w:rPr>
          <w:rFonts w:ascii="Arial" w:hAnsi="Arial" w:cs="Arial"/>
          <w:b/>
          <w:sz w:val="28"/>
        </w:rPr>
      </w:pPr>
    </w:p>
    <w:p w14:paraId="3FA46941" w14:textId="77777777" w:rsidR="000150CA" w:rsidRDefault="000150CA" w:rsidP="00300264">
      <w:pPr>
        <w:pStyle w:val="NoSpacing"/>
        <w:jc w:val="center"/>
        <w:rPr>
          <w:rFonts w:ascii="Arial" w:hAnsi="Arial" w:cs="Arial"/>
          <w:b/>
          <w:sz w:val="28"/>
        </w:rPr>
      </w:pPr>
    </w:p>
    <w:p w14:paraId="5523F9FC" w14:textId="57F66FC1" w:rsidR="00372BED" w:rsidRDefault="00B36169" w:rsidP="00300264">
      <w:pPr>
        <w:pStyle w:val="NoSpacing"/>
        <w:jc w:val="center"/>
        <w:rPr>
          <w:rFonts w:ascii="Arial" w:hAnsi="Arial" w:cs="Arial"/>
          <w:b/>
          <w:sz w:val="28"/>
        </w:rPr>
      </w:pPr>
      <w:bookmarkStart w:id="21" w:name="_Hlk81302771"/>
      <w:r w:rsidRPr="00300264">
        <w:rPr>
          <w:rFonts w:ascii="Arial" w:hAnsi="Arial" w:cs="Arial"/>
          <w:b/>
          <w:sz w:val="28"/>
        </w:rPr>
        <w:lastRenderedPageBreak/>
        <w:t xml:space="preserve">Table </w:t>
      </w:r>
      <w:r w:rsidR="001C518D">
        <w:rPr>
          <w:rFonts w:ascii="Arial" w:hAnsi="Arial" w:cs="Arial"/>
          <w:b/>
          <w:sz w:val="28"/>
        </w:rPr>
        <w:t>9</w:t>
      </w:r>
      <w:r w:rsidRPr="00300264">
        <w:rPr>
          <w:rFonts w:ascii="Arial" w:hAnsi="Arial" w:cs="Arial"/>
          <w:b/>
          <w:sz w:val="28"/>
        </w:rPr>
        <w:t xml:space="preserve">: Rates of Adverse Reactions per 10,000 Total Units (Full and Aliquot) </w:t>
      </w:r>
    </w:p>
    <w:p w14:paraId="363BC665" w14:textId="242A308F" w:rsidR="008F690D" w:rsidRDefault="000150CA" w:rsidP="00363420">
      <w:pPr>
        <w:pStyle w:val="NoSpacing"/>
        <w:jc w:val="center"/>
        <w:rPr>
          <w:rFonts w:ascii="Arial" w:hAnsi="Arial" w:cs="Arial"/>
          <w:b/>
          <w:sz w:val="28"/>
        </w:rPr>
      </w:pPr>
      <w:r w:rsidRPr="000150CA">
        <w:rPr>
          <w:noProof/>
        </w:rPr>
        <w:drawing>
          <wp:anchor distT="0" distB="0" distL="114300" distR="114300" simplePos="0" relativeHeight="251663360" behindDoc="0" locked="0" layoutInCell="1" allowOverlap="1" wp14:anchorId="3A1056C9" wp14:editId="267AF184">
            <wp:simplePos x="0" y="0"/>
            <wp:positionH relativeFrom="margin">
              <wp:align>center</wp:align>
            </wp:positionH>
            <wp:positionV relativeFrom="paragraph">
              <wp:posOffset>311785</wp:posOffset>
            </wp:positionV>
            <wp:extent cx="9801225" cy="4362450"/>
            <wp:effectExtent l="0" t="0" r="952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169" w:rsidRPr="00300264">
        <w:rPr>
          <w:rFonts w:ascii="Arial" w:hAnsi="Arial" w:cs="Arial"/>
          <w:b/>
          <w:sz w:val="28"/>
        </w:rPr>
        <w:t>Transfused</w:t>
      </w:r>
      <w:r w:rsidR="005F289A">
        <w:rPr>
          <w:rFonts w:ascii="Arial" w:hAnsi="Arial" w:cs="Arial"/>
          <w:b/>
          <w:sz w:val="28"/>
        </w:rPr>
        <w:t xml:space="preserve"> </w:t>
      </w:r>
      <w:r w:rsidR="00B36169" w:rsidRPr="00300264">
        <w:rPr>
          <w:rFonts w:ascii="Arial" w:hAnsi="Arial" w:cs="Arial"/>
          <w:b/>
          <w:sz w:val="28"/>
        </w:rPr>
        <w:t>by Component Type, 20</w:t>
      </w:r>
      <w:r>
        <w:rPr>
          <w:rFonts w:ascii="Arial" w:hAnsi="Arial" w:cs="Arial"/>
          <w:b/>
          <w:sz w:val="28"/>
        </w:rPr>
        <w:t>20</w:t>
      </w:r>
      <w:r w:rsidR="00992815">
        <w:rPr>
          <w:rFonts w:ascii="Arial" w:hAnsi="Arial" w:cs="Arial"/>
          <w:b/>
          <w:sz w:val="28"/>
        </w:rPr>
        <w:t xml:space="preserve"> </w:t>
      </w:r>
    </w:p>
    <w:bookmarkEnd w:id="21"/>
    <w:p w14:paraId="3D81C717" w14:textId="08B304ED" w:rsidR="00B61FE3" w:rsidRPr="00363420" w:rsidRDefault="00363420" w:rsidP="008F690D">
      <w:pPr>
        <w:pStyle w:val="NoSpacing"/>
        <w:ind w:left="-126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noProof/>
          <w:sz w:val="18"/>
          <w:szCs w:val="20"/>
        </w:rPr>
        <w:t>Eleven</w:t>
      </w:r>
      <w:r w:rsidR="006D7D9E" w:rsidRPr="00363420">
        <w:rPr>
          <w:rFonts w:ascii="Arial" w:hAnsi="Arial" w:cs="Arial"/>
          <w:noProof/>
          <w:sz w:val="18"/>
          <w:szCs w:val="20"/>
        </w:rPr>
        <w:t xml:space="preserve"> adverse reactions were </w:t>
      </w:r>
      <w:r w:rsidR="009B56D4" w:rsidRPr="00363420">
        <w:rPr>
          <w:rFonts w:ascii="Arial" w:hAnsi="Arial" w:cs="Arial"/>
          <w:noProof/>
          <w:sz w:val="18"/>
          <w:szCs w:val="20"/>
        </w:rPr>
        <w:t>associated with an</w:t>
      </w:r>
      <w:r w:rsidR="006D7D9E" w:rsidRPr="00363420">
        <w:rPr>
          <w:rFonts w:ascii="Arial" w:hAnsi="Arial" w:cs="Arial"/>
          <w:noProof/>
          <w:sz w:val="18"/>
          <w:szCs w:val="20"/>
        </w:rPr>
        <w:t xml:space="preserve"> “unknown” transfused blood product. These reactions were included in the overall adverse reaction rate calculations, but were excluded from component-specific rate calculations. </w:t>
      </w:r>
      <w:r>
        <w:rPr>
          <w:rFonts w:ascii="Arial" w:hAnsi="Arial" w:cs="Arial"/>
          <w:noProof/>
          <w:sz w:val="18"/>
          <w:szCs w:val="20"/>
        </w:rPr>
        <w:t>Two Allergic reactions, 6</w:t>
      </w:r>
      <w:r w:rsidR="00B61FE3" w:rsidRPr="00363420">
        <w:rPr>
          <w:rFonts w:ascii="Arial" w:hAnsi="Arial" w:cs="Arial"/>
          <w:noProof/>
          <w:sz w:val="18"/>
          <w:szCs w:val="20"/>
        </w:rPr>
        <w:t xml:space="preserve"> FNHTRs, </w:t>
      </w:r>
      <w:r>
        <w:rPr>
          <w:rFonts w:ascii="Arial" w:hAnsi="Arial" w:cs="Arial"/>
          <w:noProof/>
          <w:sz w:val="18"/>
          <w:szCs w:val="20"/>
        </w:rPr>
        <w:t xml:space="preserve">2 </w:t>
      </w:r>
      <w:r w:rsidR="00B61FE3" w:rsidRPr="00363420">
        <w:rPr>
          <w:rFonts w:ascii="Arial" w:hAnsi="Arial" w:cs="Arial"/>
          <w:noProof/>
          <w:sz w:val="18"/>
          <w:szCs w:val="20"/>
        </w:rPr>
        <w:t>TACOs, and 1 TAD reported an “unknown” blood product implicated.</w:t>
      </w:r>
    </w:p>
    <w:p w14:paraId="06D97218" w14:textId="314EF743" w:rsidR="009A0FE9" w:rsidRDefault="009A0FE9" w:rsidP="00300264">
      <w:pPr>
        <w:pStyle w:val="NoSpacing"/>
        <w:jc w:val="center"/>
        <w:rPr>
          <w:rFonts w:ascii="Arial" w:hAnsi="Arial" w:cs="Arial"/>
          <w:b/>
          <w:sz w:val="28"/>
        </w:rPr>
      </w:pPr>
    </w:p>
    <w:p w14:paraId="3E009A8F" w14:textId="77777777" w:rsidR="001C518D" w:rsidRDefault="001C518D" w:rsidP="007149BC">
      <w:pPr>
        <w:rPr>
          <w:rFonts w:ascii="Arial" w:hAnsi="Arial" w:cs="Arial"/>
          <w:b/>
          <w:sz w:val="28"/>
        </w:rPr>
      </w:pPr>
    </w:p>
    <w:p w14:paraId="3526ED5E" w14:textId="0029E798" w:rsidR="001C518D" w:rsidRDefault="00065319" w:rsidP="00E439C4">
      <w:pPr>
        <w:jc w:val="center"/>
        <w:rPr>
          <w:rFonts w:ascii="Arial" w:hAnsi="Arial" w:cs="Arial"/>
          <w:b/>
          <w:sz w:val="28"/>
        </w:rPr>
      </w:pPr>
      <w:bookmarkStart w:id="22" w:name="_Hlk81303194"/>
      <w:r w:rsidRPr="00065319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927414F" wp14:editId="625B25BA">
            <wp:simplePos x="0" y="0"/>
            <wp:positionH relativeFrom="margin">
              <wp:align>center</wp:align>
            </wp:positionH>
            <wp:positionV relativeFrom="paragraph">
              <wp:posOffset>621665</wp:posOffset>
            </wp:positionV>
            <wp:extent cx="9005033" cy="1143000"/>
            <wp:effectExtent l="0" t="0" r="571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033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9C4" w:rsidRPr="00300264">
        <w:rPr>
          <w:rFonts w:ascii="Arial" w:hAnsi="Arial" w:cs="Arial"/>
          <w:b/>
          <w:sz w:val="28"/>
        </w:rPr>
        <w:t xml:space="preserve">Table </w:t>
      </w:r>
      <w:r w:rsidR="00E439C4">
        <w:rPr>
          <w:rFonts w:ascii="Arial" w:hAnsi="Arial" w:cs="Arial"/>
          <w:b/>
          <w:sz w:val="28"/>
        </w:rPr>
        <w:t>10</w:t>
      </w:r>
      <w:r w:rsidR="00E439C4" w:rsidRPr="00300264">
        <w:rPr>
          <w:rFonts w:ascii="Arial" w:hAnsi="Arial" w:cs="Arial"/>
          <w:b/>
          <w:sz w:val="28"/>
        </w:rPr>
        <w:t>: Rates of Adverse Reactions per 10,000 Total Units</w:t>
      </w:r>
      <w:r w:rsidR="00E439C4">
        <w:rPr>
          <w:rFonts w:ascii="Arial" w:hAnsi="Arial" w:cs="Arial"/>
          <w:b/>
          <w:sz w:val="28"/>
        </w:rPr>
        <w:t xml:space="preserve"> of Pathogen Reduced </w:t>
      </w:r>
      <w:r w:rsidR="00552AA2">
        <w:rPr>
          <w:rFonts w:ascii="Arial" w:hAnsi="Arial" w:cs="Arial"/>
          <w:b/>
          <w:sz w:val="28"/>
        </w:rPr>
        <w:t xml:space="preserve">Products </w:t>
      </w:r>
      <w:r w:rsidR="008F690D">
        <w:rPr>
          <w:rFonts w:ascii="Arial" w:hAnsi="Arial" w:cs="Arial"/>
          <w:b/>
          <w:sz w:val="28"/>
        </w:rPr>
        <w:t>Transfused,</w:t>
      </w:r>
      <w:r w:rsidR="00E439C4">
        <w:rPr>
          <w:rFonts w:ascii="Arial" w:hAnsi="Arial" w:cs="Arial"/>
          <w:b/>
          <w:sz w:val="28"/>
        </w:rPr>
        <w:t xml:space="preserve"> 2018-2020</w:t>
      </w:r>
    </w:p>
    <w:bookmarkEnd w:id="22"/>
    <w:p w14:paraId="3D8BD444" w14:textId="1854555B" w:rsidR="00E439C4" w:rsidRDefault="00630ACB" w:rsidP="00065319">
      <w:pPr>
        <w:ind w:left="-6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All adverse reactions were associated with apheresis </w:t>
      </w:r>
      <w:r w:rsidR="00D512A5">
        <w:rPr>
          <w:rFonts w:ascii="Arial" w:hAnsi="Arial" w:cs="Arial"/>
          <w:bCs/>
          <w:sz w:val="20"/>
          <w:szCs w:val="20"/>
        </w:rPr>
        <w:t>derived;</w:t>
      </w:r>
      <w:r>
        <w:rPr>
          <w:rFonts w:ascii="Arial" w:hAnsi="Arial" w:cs="Arial"/>
          <w:bCs/>
          <w:sz w:val="20"/>
          <w:szCs w:val="20"/>
        </w:rPr>
        <w:t xml:space="preserve"> psoralen treated platelets. In 2018 and 2019, </w:t>
      </w:r>
      <w:r w:rsidR="00552AA2">
        <w:rPr>
          <w:rFonts w:ascii="Arial" w:hAnsi="Arial" w:cs="Arial"/>
          <w:bCs/>
          <w:sz w:val="20"/>
          <w:szCs w:val="20"/>
        </w:rPr>
        <w:t>these were the</w:t>
      </w:r>
      <w:r>
        <w:rPr>
          <w:rFonts w:ascii="Arial" w:hAnsi="Arial" w:cs="Arial"/>
          <w:bCs/>
          <w:sz w:val="20"/>
          <w:szCs w:val="20"/>
        </w:rPr>
        <w:t xml:space="preserve"> only pathogen reduced products transfused, but in 2020, 149 units of whole blood derived, psoralen treated platelets were </w:t>
      </w:r>
      <w:r w:rsidR="00552AA2">
        <w:rPr>
          <w:rFonts w:ascii="Arial" w:hAnsi="Arial" w:cs="Arial"/>
          <w:bCs/>
          <w:sz w:val="20"/>
          <w:szCs w:val="20"/>
        </w:rPr>
        <w:t xml:space="preserve">also </w:t>
      </w:r>
      <w:r>
        <w:rPr>
          <w:rFonts w:ascii="Arial" w:hAnsi="Arial" w:cs="Arial"/>
          <w:bCs/>
          <w:sz w:val="20"/>
          <w:szCs w:val="20"/>
        </w:rPr>
        <w:t xml:space="preserve">transfused. </w:t>
      </w:r>
    </w:p>
    <w:p w14:paraId="253328DD" w14:textId="77777777" w:rsidR="00065319" w:rsidRDefault="00065319" w:rsidP="008F690D">
      <w:pPr>
        <w:ind w:left="-630"/>
        <w:rPr>
          <w:rFonts w:ascii="Arial" w:hAnsi="Arial" w:cs="Arial"/>
          <w:bCs/>
          <w:sz w:val="20"/>
          <w:szCs w:val="20"/>
        </w:rPr>
      </w:pPr>
    </w:p>
    <w:p w14:paraId="17436CD9" w14:textId="77777777" w:rsidR="00065319" w:rsidRPr="008F690D" w:rsidRDefault="00065319" w:rsidP="008F690D">
      <w:pPr>
        <w:rPr>
          <w:rFonts w:ascii="Arial" w:hAnsi="Arial" w:cs="Arial"/>
          <w:bCs/>
          <w:sz w:val="20"/>
          <w:szCs w:val="20"/>
        </w:rPr>
      </w:pPr>
    </w:p>
    <w:p w14:paraId="7165E065" w14:textId="4E609751" w:rsidR="00E439C4" w:rsidRDefault="00E439C4" w:rsidP="008F690D">
      <w:pPr>
        <w:jc w:val="center"/>
        <w:rPr>
          <w:rFonts w:ascii="Arial" w:hAnsi="Arial" w:cs="Arial"/>
          <w:b/>
          <w:sz w:val="28"/>
        </w:rPr>
        <w:sectPr w:rsidR="00E439C4" w:rsidSect="008259E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B907804" w14:textId="25DDB6CA" w:rsidR="007149BC" w:rsidRDefault="002D766B" w:rsidP="002D766B">
      <w:pPr>
        <w:rPr>
          <w:rFonts w:ascii="Arial" w:hAnsi="Arial" w:cs="Arial"/>
          <w:b/>
          <w:sz w:val="28"/>
        </w:rPr>
      </w:pPr>
      <w:bookmarkStart w:id="23" w:name="_Hlk81303287"/>
      <w:r>
        <w:rPr>
          <w:rFonts w:ascii="Arial" w:hAnsi="Arial" w:cs="Arial"/>
          <w:b/>
          <w:sz w:val="28"/>
        </w:rPr>
        <w:lastRenderedPageBreak/>
        <w:t xml:space="preserve">APPENDIX A: </w:t>
      </w:r>
      <w:r w:rsidR="00134915" w:rsidRPr="00134915">
        <w:rPr>
          <w:rFonts w:ascii="Arial" w:hAnsi="Arial" w:cs="Arial"/>
          <w:b/>
          <w:sz w:val="28"/>
        </w:rPr>
        <w:t xml:space="preserve">COVID-19 Convalescent Plasma </w:t>
      </w:r>
      <w:r>
        <w:rPr>
          <w:rFonts w:ascii="Arial" w:hAnsi="Arial" w:cs="Arial"/>
          <w:b/>
          <w:sz w:val="28"/>
        </w:rPr>
        <w:t xml:space="preserve">Supplemental </w:t>
      </w:r>
    </w:p>
    <w:bookmarkEnd w:id="23"/>
    <w:p w14:paraId="6334704E" w14:textId="73071BAC" w:rsidR="00DC3557" w:rsidRDefault="00DC3557" w:rsidP="002D766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 2020, Massachusetts required blood banks to record the volume of COVID convalescent plasma (CCP) transfused at their facilities. The data presented in this </w:t>
      </w:r>
      <w:r w:rsidR="009B1AEC">
        <w:rPr>
          <w:rFonts w:ascii="Arial" w:hAnsi="Arial" w:cs="Arial"/>
          <w:bCs/>
          <w:sz w:val="20"/>
          <w:szCs w:val="20"/>
        </w:rPr>
        <w:t>supplemental</w:t>
      </w:r>
      <w:r w:rsidR="003A4781">
        <w:rPr>
          <w:rFonts w:ascii="Arial" w:hAnsi="Arial" w:cs="Arial"/>
          <w:bCs/>
          <w:sz w:val="20"/>
          <w:szCs w:val="20"/>
        </w:rPr>
        <w:t xml:space="preserve"> appendix</w:t>
      </w:r>
      <w:r w:rsidR="009B1AEC">
        <w:rPr>
          <w:rFonts w:ascii="Arial" w:hAnsi="Arial" w:cs="Arial"/>
          <w:bCs/>
          <w:sz w:val="20"/>
          <w:szCs w:val="20"/>
        </w:rPr>
        <w:t xml:space="preserve"> include</w:t>
      </w:r>
      <w:r>
        <w:rPr>
          <w:rFonts w:ascii="Arial" w:hAnsi="Arial" w:cs="Arial"/>
          <w:bCs/>
          <w:sz w:val="20"/>
          <w:szCs w:val="20"/>
        </w:rPr>
        <w:t xml:space="preserve"> CCP transfused from January of 2020 to June of 2021</w:t>
      </w:r>
      <w:r w:rsidR="000D7E10">
        <w:rPr>
          <w:rFonts w:ascii="Arial" w:hAnsi="Arial" w:cs="Arial"/>
          <w:bCs/>
          <w:sz w:val="20"/>
          <w:szCs w:val="20"/>
        </w:rPr>
        <w:t>, when the transfusion of CCP dropped to zero use</w:t>
      </w:r>
      <w:r>
        <w:rPr>
          <w:rFonts w:ascii="Arial" w:hAnsi="Arial" w:cs="Arial"/>
          <w:bCs/>
          <w:sz w:val="20"/>
          <w:szCs w:val="20"/>
        </w:rPr>
        <w:t xml:space="preserve">. In 2020, 2,732 units of CCP were transfused, </w:t>
      </w:r>
      <w:r w:rsidR="002E1B54">
        <w:rPr>
          <w:rFonts w:ascii="Arial" w:hAnsi="Arial" w:cs="Arial"/>
          <w:bCs/>
          <w:sz w:val="20"/>
          <w:szCs w:val="20"/>
        </w:rPr>
        <w:t xml:space="preserve">and </w:t>
      </w:r>
      <w:r>
        <w:rPr>
          <w:rFonts w:ascii="Arial" w:hAnsi="Arial" w:cs="Arial"/>
          <w:bCs/>
          <w:sz w:val="20"/>
          <w:szCs w:val="20"/>
        </w:rPr>
        <w:t xml:space="preserve">over 800 units were transfused in December of that year. So far in 2021, 1,027 units of CCP have been transfused. </w:t>
      </w:r>
    </w:p>
    <w:p w14:paraId="4F2C1933" w14:textId="17F60F3D" w:rsidR="00DC3557" w:rsidRDefault="00DC3557" w:rsidP="002D766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Six adverse reactions have been associated with CCP transfusions, including 3 FNHTRs, 2 TADs, and 1 TACO. All ARs were non</w:t>
      </w:r>
      <w:r w:rsidR="002E1B54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 xml:space="preserve">severe. </w:t>
      </w:r>
    </w:p>
    <w:p w14:paraId="167E9F64" w14:textId="071EBF62" w:rsidR="00DC3557" w:rsidRPr="00E35993" w:rsidRDefault="00DC3557" w:rsidP="00E35993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Figure</w:t>
      </w:r>
      <w:r w:rsidRPr="00B36169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A-1</w:t>
      </w:r>
      <w:r w:rsidRPr="00B36169"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b/>
          <w:sz w:val="28"/>
        </w:rPr>
        <w:t>Volume of CCP transfused from 2020-2021</w:t>
      </w:r>
      <w:r w:rsidR="008F690D">
        <w:rPr>
          <w:rFonts w:ascii="Arial" w:hAnsi="Arial" w:cs="Arial"/>
          <w:b/>
          <w:sz w:val="28"/>
        </w:rPr>
        <w:t xml:space="preserve"> compared to Confirmed COVID-19 Cases</w:t>
      </w:r>
    </w:p>
    <w:p w14:paraId="46C1A4FB" w14:textId="74BD96CE" w:rsidR="00DC3557" w:rsidRDefault="000E1E03" w:rsidP="002D766B">
      <w:pPr>
        <w:rPr>
          <w:rFonts w:ascii="Arial" w:hAnsi="Arial" w:cs="Arial"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24F4952" wp14:editId="1D19B860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5010150" cy="3827780"/>
            <wp:effectExtent l="0" t="0" r="0" b="1270"/>
            <wp:wrapSquare wrapText="bothSides"/>
            <wp:docPr id="9" name="Picture 2" descr="Chart, histo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1EA19D0-4585-4942-BCA7-5B461488A5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hart, histogram&#10;&#10;Description automatically generated">
                      <a:extLst>
                        <a:ext uri="{FF2B5EF4-FFF2-40B4-BE49-F238E27FC236}">
                          <a16:creationId xmlns:a16="http://schemas.microsoft.com/office/drawing/2014/main" id="{31EA19D0-4585-4942-BCA7-5B461488A5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82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9A323" w14:textId="0A3E0C13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20D95F75" w14:textId="12EC9672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1AC6BD73" w14:textId="77777777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2C25C334" w14:textId="6C353AF5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3AA9C7FB" w14:textId="1272B460" w:rsidR="002D766B" w:rsidRDefault="002D766B" w:rsidP="002D766B">
      <w:pPr>
        <w:rPr>
          <w:rFonts w:ascii="Arial" w:hAnsi="Arial" w:cs="Arial"/>
          <w:bCs/>
          <w:sz w:val="18"/>
          <w:szCs w:val="18"/>
        </w:rPr>
      </w:pPr>
    </w:p>
    <w:p w14:paraId="557E72B5" w14:textId="13FD787C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7E03F3A0" w14:textId="78A6455F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1DC03E48" w14:textId="732211DE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7D1456F3" w14:textId="1058984C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31D7645E" w14:textId="2F322BF0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32CC5C19" w14:textId="64F5F09D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4A1CA674" w14:textId="482A8DCD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238ECD43" w14:textId="38654A5F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20E2FFD9" w14:textId="3F7DD96F" w:rsidR="00DC3557" w:rsidRDefault="00DC3557" w:rsidP="002D766B">
      <w:pPr>
        <w:rPr>
          <w:rFonts w:ascii="Arial" w:hAnsi="Arial" w:cs="Arial"/>
          <w:bCs/>
          <w:sz w:val="18"/>
          <w:szCs w:val="18"/>
        </w:rPr>
      </w:pPr>
    </w:p>
    <w:p w14:paraId="0AA16714" w14:textId="36312546" w:rsidR="00DC3557" w:rsidRPr="008F690D" w:rsidRDefault="00E35993" w:rsidP="00E35993">
      <w:pPr>
        <w:pStyle w:val="NoSpacing"/>
        <w:jc w:val="center"/>
        <w:rPr>
          <w:rFonts w:ascii="Arial" w:hAnsi="Arial" w:cs="Arial"/>
          <w:b/>
          <w:sz w:val="28"/>
        </w:rPr>
      </w:pPr>
      <w:r w:rsidRPr="00DC3557">
        <w:rPr>
          <w:noProof/>
        </w:rPr>
        <w:drawing>
          <wp:anchor distT="0" distB="0" distL="114300" distR="114300" simplePos="0" relativeHeight="251665408" behindDoc="0" locked="0" layoutInCell="1" allowOverlap="1" wp14:anchorId="62F7583C" wp14:editId="632C5120">
            <wp:simplePos x="0" y="0"/>
            <wp:positionH relativeFrom="margin">
              <wp:align>right</wp:align>
            </wp:positionH>
            <wp:positionV relativeFrom="paragraph">
              <wp:posOffset>469900</wp:posOffset>
            </wp:positionV>
            <wp:extent cx="5619750" cy="10763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3557">
        <w:rPr>
          <w:rFonts w:ascii="Arial" w:hAnsi="Arial" w:cs="Arial"/>
          <w:b/>
          <w:sz w:val="28"/>
        </w:rPr>
        <w:t>Table</w:t>
      </w:r>
      <w:r w:rsidR="00DC3557" w:rsidRPr="00B36169">
        <w:rPr>
          <w:rFonts w:ascii="Arial" w:hAnsi="Arial" w:cs="Arial"/>
          <w:b/>
          <w:sz w:val="28"/>
        </w:rPr>
        <w:t xml:space="preserve"> </w:t>
      </w:r>
      <w:r w:rsidR="00DC3557">
        <w:rPr>
          <w:rFonts w:ascii="Arial" w:hAnsi="Arial" w:cs="Arial"/>
          <w:b/>
          <w:sz w:val="28"/>
        </w:rPr>
        <w:t>A-1</w:t>
      </w:r>
      <w:r w:rsidR="00DC3557" w:rsidRPr="00B36169">
        <w:rPr>
          <w:rFonts w:ascii="Arial" w:hAnsi="Arial" w:cs="Arial"/>
          <w:b/>
          <w:sz w:val="28"/>
        </w:rPr>
        <w:t xml:space="preserve">: </w:t>
      </w:r>
      <w:r w:rsidR="00DC3557">
        <w:rPr>
          <w:rFonts w:ascii="Arial" w:hAnsi="Arial" w:cs="Arial"/>
          <w:b/>
          <w:sz w:val="28"/>
        </w:rPr>
        <w:t>Adverse Reactions Associated with transfusion of CCP from 2020-2021</w:t>
      </w:r>
    </w:p>
    <w:p w14:paraId="1EA383FC" w14:textId="157BAE83" w:rsidR="00DC3557" w:rsidRDefault="00DC3557" w:rsidP="00E35993">
      <w:pPr>
        <w:rPr>
          <w:rFonts w:ascii="Arial" w:hAnsi="Arial" w:cs="Arial"/>
          <w:bCs/>
          <w:sz w:val="18"/>
          <w:szCs w:val="18"/>
        </w:rPr>
      </w:pPr>
    </w:p>
    <w:p w14:paraId="44E29A5A" w14:textId="7071698B" w:rsidR="000461F2" w:rsidRPr="00843A04" w:rsidRDefault="000461F2" w:rsidP="00E35993">
      <w:pPr>
        <w:rPr>
          <w:rFonts w:ascii="Arial" w:hAnsi="Arial" w:cs="Arial"/>
          <w:bCs/>
          <w:sz w:val="28"/>
          <w:szCs w:val="28"/>
        </w:rPr>
      </w:pPr>
      <w:r w:rsidRPr="00843A04">
        <w:rPr>
          <w:rFonts w:ascii="Arial" w:hAnsi="Arial" w:cs="Arial"/>
          <w:bCs/>
          <w:sz w:val="28"/>
          <w:szCs w:val="28"/>
        </w:rPr>
        <w:lastRenderedPageBreak/>
        <w:t xml:space="preserve">References </w:t>
      </w:r>
    </w:p>
    <w:p w14:paraId="49EAE205" w14:textId="382D81DF" w:rsidR="000461F2" w:rsidRPr="00843A04" w:rsidRDefault="000461F2" w:rsidP="00843A04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0"/>
          <w:szCs w:val="20"/>
        </w:rPr>
      </w:pPr>
      <w:bookmarkStart w:id="24" w:name="_Hlk85560573"/>
      <w:r w:rsidRPr="00843A04">
        <w:rPr>
          <w:rFonts w:ascii="Arial" w:hAnsi="Arial" w:cs="Arial"/>
          <w:bCs/>
          <w:sz w:val="20"/>
          <w:szCs w:val="20"/>
        </w:rPr>
        <w:t>Kracalik, I, Mowla, S, Katz, L, Cumming, M, Sapiano, MRP, Basavaraju, SV. Impact of the early coronavirus disease 2019 pandemic on blood utilization in the United States: A time-series analysis of data reported to the National Healthcare Safety Network Hemovigilance Module. Transfusion. 2021; 61: S36– S43. https://doi.org/10.1111/trf.16451</w:t>
      </w:r>
      <w:bookmarkEnd w:id="24"/>
    </w:p>
    <w:sectPr w:rsidR="000461F2" w:rsidRPr="00843A04" w:rsidSect="0071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DE6" w14:textId="77777777" w:rsidR="00081BB6" w:rsidRDefault="00081BB6" w:rsidP="00FD10D9">
      <w:pPr>
        <w:spacing w:after="0" w:line="240" w:lineRule="auto"/>
      </w:pPr>
      <w:r>
        <w:separator/>
      </w:r>
    </w:p>
  </w:endnote>
  <w:endnote w:type="continuationSeparator" w:id="0">
    <w:p w14:paraId="4871BE30" w14:textId="77777777" w:rsidR="00081BB6" w:rsidRDefault="00081BB6" w:rsidP="00FD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404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AEEB8" w14:textId="77777777" w:rsidR="00696369" w:rsidRDefault="006963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B5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7A4FAE3" w14:textId="3FB356D6" w:rsidR="00696369" w:rsidRPr="00056A94" w:rsidRDefault="00696369" w:rsidP="00197A0E">
    <w:pPr>
      <w:pStyle w:val="Footer"/>
      <w:jc w:val="center"/>
      <w:rPr>
        <w:rFonts w:ascii="Arial" w:hAnsi="Arial" w:cs="Arial"/>
        <w:sz w:val="20"/>
      </w:rPr>
    </w:pPr>
    <w:r w:rsidRPr="00056A94">
      <w:rPr>
        <w:rFonts w:ascii="Arial" w:hAnsi="Arial" w:cs="Arial"/>
        <w:sz w:val="20"/>
      </w:rPr>
      <w:t xml:space="preserve">Data are current as of </w:t>
    </w:r>
    <w:r w:rsidR="007A7C75">
      <w:rPr>
        <w:rFonts w:ascii="Arial" w:hAnsi="Arial" w:cs="Arial"/>
        <w:sz w:val="20"/>
      </w:rPr>
      <w:t>July</w:t>
    </w:r>
    <w:r w:rsidR="004A1256">
      <w:rPr>
        <w:rFonts w:ascii="Arial" w:hAnsi="Arial" w:cs="Arial"/>
        <w:sz w:val="20"/>
      </w:rPr>
      <w:t xml:space="preserve"> 2</w:t>
    </w:r>
    <w:r w:rsidR="007A7C75">
      <w:rPr>
        <w:rFonts w:ascii="Arial" w:hAnsi="Arial" w:cs="Arial"/>
        <w:sz w:val="20"/>
      </w:rPr>
      <w:t>1</w:t>
    </w:r>
    <w:r w:rsidR="004A1256">
      <w:rPr>
        <w:rFonts w:ascii="Arial" w:hAnsi="Arial" w:cs="Arial"/>
        <w:sz w:val="20"/>
      </w:rPr>
      <w:t>, 202</w:t>
    </w:r>
    <w:r w:rsidR="007A7C75">
      <w:rPr>
        <w:rFonts w:ascii="Arial" w:hAnsi="Arial" w:cs="Arial"/>
        <w:sz w:val="20"/>
      </w:rPr>
      <w:t>1</w:t>
    </w:r>
    <w:r w:rsidRPr="00056A94">
      <w:rPr>
        <w:rFonts w:ascii="Arial" w:hAnsi="Arial" w:cs="Arial"/>
        <w:sz w:val="20"/>
      </w:rPr>
      <w:t xml:space="preserve"> and are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AA09" w14:textId="77777777" w:rsidR="00081BB6" w:rsidRDefault="00081BB6" w:rsidP="00FD10D9">
      <w:pPr>
        <w:spacing w:after="0" w:line="240" w:lineRule="auto"/>
      </w:pPr>
      <w:r>
        <w:separator/>
      </w:r>
    </w:p>
  </w:footnote>
  <w:footnote w:type="continuationSeparator" w:id="0">
    <w:p w14:paraId="1B5454B1" w14:textId="77777777" w:rsidR="00081BB6" w:rsidRDefault="00081BB6" w:rsidP="00FD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8084" w14:textId="77777777" w:rsidR="00696369" w:rsidRDefault="00696369">
    <w:pPr>
      <w:pStyle w:val="Header"/>
    </w:pPr>
  </w:p>
  <w:p w14:paraId="46CD0AF0" w14:textId="77777777" w:rsidR="00696369" w:rsidRDefault="00696369">
    <w:pPr>
      <w:pStyle w:val="Header"/>
    </w:pPr>
  </w:p>
  <w:p w14:paraId="432981DD" w14:textId="77777777" w:rsidR="00696369" w:rsidRDefault="00696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7F8"/>
    <w:multiLevelType w:val="hybridMultilevel"/>
    <w:tmpl w:val="B2260FEA"/>
    <w:lvl w:ilvl="0" w:tplc="DE16B604">
      <w:start w:val="1"/>
      <w:numFmt w:val="bullet"/>
      <w:lvlText w:val=""/>
      <w:lvlJc w:val="left"/>
      <w:pPr>
        <w:ind w:left="480" w:hanging="361"/>
      </w:pPr>
      <w:rPr>
        <w:rFonts w:ascii="Symbol" w:eastAsia="Symbol" w:hAnsi="Symbol" w:hint="default"/>
        <w:sz w:val="24"/>
        <w:szCs w:val="24"/>
      </w:rPr>
    </w:lvl>
    <w:lvl w:ilvl="1" w:tplc="3756592A">
      <w:start w:val="1"/>
      <w:numFmt w:val="bullet"/>
      <w:lvlText w:val="•"/>
      <w:lvlJc w:val="left"/>
      <w:pPr>
        <w:ind w:left="760" w:hanging="361"/>
      </w:pPr>
      <w:rPr>
        <w:rFonts w:hint="default"/>
      </w:rPr>
    </w:lvl>
    <w:lvl w:ilvl="2" w:tplc="37668E44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3BEAD16E">
      <w:start w:val="1"/>
      <w:numFmt w:val="bullet"/>
      <w:lvlText w:val="•"/>
      <w:lvlJc w:val="left"/>
      <w:pPr>
        <w:ind w:left="2452" w:hanging="361"/>
      </w:pPr>
      <w:rPr>
        <w:rFonts w:hint="default"/>
      </w:rPr>
    </w:lvl>
    <w:lvl w:ilvl="4" w:tplc="0B148142">
      <w:start w:val="1"/>
      <w:numFmt w:val="bullet"/>
      <w:lvlText w:val="•"/>
      <w:lvlJc w:val="left"/>
      <w:pPr>
        <w:ind w:left="3365" w:hanging="361"/>
      </w:pPr>
      <w:rPr>
        <w:rFonts w:hint="default"/>
      </w:rPr>
    </w:lvl>
    <w:lvl w:ilvl="5" w:tplc="45788DC2">
      <w:start w:val="1"/>
      <w:numFmt w:val="bullet"/>
      <w:lvlText w:val="•"/>
      <w:lvlJc w:val="left"/>
      <w:pPr>
        <w:ind w:left="4277" w:hanging="361"/>
      </w:pPr>
      <w:rPr>
        <w:rFonts w:hint="default"/>
      </w:rPr>
    </w:lvl>
    <w:lvl w:ilvl="6" w:tplc="BDF85728">
      <w:start w:val="1"/>
      <w:numFmt w:val="bullet"/>
      <w:lvlText w:val="•"/>
      <w:lvlJc w:val="left"/>
      <w:pPr>
        <w:ind w:left="5190" w:hanging="361"/>
      </w:pPr>
      <w:rPr>
        <w:rFonts w:hint="default"/>
      </w:rPr>
    </w:lvl>
    <w:lvl w:ilvl="7" w:tplc="29063C54">
      <w:start w:val="1"/>
      <w:numFmt w:val="bullet"/>
      <w:lvlText w:val="•"/>
      <w:lvlJc w:val="left"/>
      <w:pPr>
        <w:ind w:left="6102" w:hanging="361"/>
      </w:pPr>
      <w:rPr>
        <w:rFonts w:hint="default"/>
      </w:rPr>
    </w:lvl>
    <w:lvl w:ilvl="8" w:tplc="BAD644E4">
      <w:start w:val="1"/>
      <w:numFmt w:val="bullet"/>
      <w:lvlText w:val="•"/>
      <w:lvlJc w:val="left"/>
      <w:pPr>
        <w:ind w:left="7015" w:hanging="361"/>
      </w:pPr>
      <w:rPr>
        <w:rFonts w:hint="default"/>
      </w:rPr>
    </w:lvl>
  </w:abstractNum>
  <w:abstractNum w:abstractNumId="1" w15:restartNumberingAfterBreak="0">
    <w:nsid w:val="19352EDA"/>
    <w:multiLevelType w:val="hybridMultilevel"/>
    <w:tmpl w:val="5876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3EBC"/>
    <w:multiLevelType w:val="hybridMultilevel"/>
    <w:tmpl w:val="82F0C0F6"/>
    <w:lvl w:ilvl="0" w:tplc="F4528A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4076E"/>
    <w:multiLevelType w:val="hybridMultilevel"/>
    <w:tmpl w:val="F632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0FC3"/>
    <w:multiLevelType w:val="hybridMultilevel"/>
    <w:tmpl w:val="C3148994"/>
    <w:lvl w:ilvl="0" w:tplc="DE16B6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F33D8"/>
    <w:multiLevelType w:val="hybridMultilevel"/>
    <w:tmpl w:val="FF2E1E8E"/>
    <w:lvl w:ilvl="0" w:tplc="95A8EC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1B7F0E"/>
    <w:multiLevelType w:val="hybridMultilevel"/>
    <w:tmpl w:val="48DA2C7E"/>
    <w:lvl w:ilvl="0" w:tplc="AAA2A1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43721"/>
    <w:multiLevelType w:val="multilevel"/>
    <w:tmpl w:val="33BE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545B3"/>
    <w:multiLevelType w:val="hybridMultilevel"/>
    <w:tmpl w:val="BA5C0860"/>
    <w:lvl w:ilvl="0" w:tplc="A0F6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5109C"/>
    <w:multiLevelType w:val="hybridMultilevel"/>
    <w:tmpl w:val="B9C0A892"/>
    <w:lvl w:ilvl="0" w:tplc="8E50392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B454771E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58F06810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BD68D620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34A2AF2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89169828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B8064030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DB5AAF40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97F28844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0" w15:restartNumberingAfterBreak="0">
    <w:nsid w:val="616A6E00"/>
    <w:multiLevelType w:val="hybridMultilevel"/>
    <w:tmpl w:val="9E6E72DE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66E4088A"/>
    <w:multiLevelType w:val="hybridMultilevel"/>
    <w:tmpl w:val="284EC68E"/>
    <w:lvl w:ilvl="0" w:tplc="EE68CA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68"/>
    <w:rsid w:val="00002B11"/>
    <w:rsid w:val="00005414"/>
    <w:rsid w:val="00014C6C"/>
    <w:rsid w:val="000150CA"/>
    <w:rsid w:val="000158B1"/>
    <w:rsid w:val="00020320"/>
    <w:rsid w:val="00026955"/>
    <w:rsid w:val="00026B45"/>
    <w:rsid w:val="000319C8"/>
    <w:rsid w:val="00043A2A"/>
    <w:rsid w:val="00045F73"/>
    <w:rsid w:val="000461F2"/>
    <w:rsid w:val="00052D68"/>
    <w:rsid w:val="00056A94"/>
    <w:rsid w:val="00061025"/>
    <w:rsid w:val="000624AD"/>
    <w:rsid w:val="00065319"/>
    <w:rsid w:val="00067DC0"/>
    <w:rsid w:val="00081BB6"/>
    <w:rsid w:val="00082EAB"/>
    <w:rsid w:val="00085EA6"/>
    <w:rsid w:val="00086CBC"/>
    <w:rsid w:val="00095EC8"/>
    <w:rsid w:val="000A0625"/>
    <w:rsid w:val="000A7619"/>
    <w:rsid w:val="000A76D9"/>
    <w:rsid w:val="000A7FA7"/>
    <w:rsid w:val="000B69FA"/>
    <w:rsid w:val="000C017B"/>
    <w:rsid w:val="000C3506"/>
    <w:rsid w:val="000D0D25"/>
    <w:rsid w:val="000D4BBF"/>
    <w:rsid w:val="000D7E10"/>
    <w:rsid w:val="000E1486"/>
    <w:rsid w:val="000E1E03"/>
    <w:rsid w:val="000E3923"/>
    <w:rsid w:val="000E5371"/>
    <w:rsid w:val="000F1EBA"/>
    <w:rsid w:val="000F4CA3"/>
    <w:rsid w:val="000F6101"/>
    <w:rsid w:val="0010142A"/>
    <w:rsid w:val="00110F3F"/>
    <w:rsid w:val="00111A53"/>
    <w:rsid w:val="00111D71"/>
    <w:rsid w:val="00116FF2"/>
    <w:rsid w:val="00117B9F"/>
    <w:rsid w:val="001200AE"/>
    <w:rsid w:val="00120B57"/>
    <w:rsid w:val="00134915"/>
    <w:rsid w:val="00152EEB"/>
    <w:rsid w:val="00160A76"/>
    <w:rsid w:val="00172F10"/>
    <w:rsid w:val="00173478"/>
    <w:rsid w:val="001848C2"/>
    <w:rsid w:val="00184E48"/>
    <w:rsid w:val="00197A0E"/>
    <w:rsid w:val="001B2700"/>
    <w:rsid w:val="001B6590"/>
    <w:rsid w:val="001C518D"/>
    <w:rsid w:val="001D43AF"/>
    <w:rsid w:val="001F0CB3"/>
    <w:rsid w:val="0021247F"/>
    <w:rsid w:val="002233BA"/>
    <w:rsid w:val="00235FE1"/>
    <w:rsid w:val="00237673"/>
    <w:rsid w:val="00251AC0"/>
    <w:rsid w:val="00253B06"/>
    <w:rsid w:val="0025692B"/>
    <w:rsid w:val="00270882"/>
    <w:rsid w:val="00274E48"/>
    <w:rsid w:val="00286421"/>
    <w:rsid w:val="00290706"/>
    <w:rsid w:val="002A451B"/>
    <w:rsid w:val="002B31BA"/>
    <w:rsid w:val="002B6578"/>
    <w:rsid w:val="002C49F0"/>
    <w:rsid w:val="002C5176"/>
    <w:rsid w:val="002C6C0A"/>
    <w:rsid w:val="002D052B"/>
    <w:rsid w:val="002D0903"/>
    <w:rsid w:val="002D19F0"/>
    <w:rsid w:val="002D766B"/>
    <w:rsid w:val="002E1B54"/>
    <w:rsid w:val="002E5C2C"/>
    <w:rsid w:val="002E6C7F"/>
    <w:rsid w:val="002F319C"/>
    <w:rsid w:val="002F5354"/>
    <w:rsid w:val="00300264"/>
    <w:rsid w:val="00305B70"/>
    <w:rsid w:val="00310CD4"/>
    <w:rsid w:val="0031599C"/>
    <w:rsid w:val="00332F8E"/>
    <w:rsid w:val="00335A4F"/>
    <w:rsid w:val="00336008"/>
    <w:rsid w:val="00352632"/>
    <w:rsid w:val="00355003"/>
    <w:rsid w:val="0036097F"/>
    <w:rsid w:val="00361A23"/>
    <w:rsid w:val="00363420"/>
    <w:rsid w:val="0036589C"/>
    <w:rsid w:val="0037019E"/>
    <w:rsid w:val="00372BED"/>
    <w:rsid w:val="00396AF9"/>
    <w:rsid w:val="003A40F4"/>
    <w:rsid w:val="003A4781"/>
    <w:rsid w:val="003B2B1A"/>
    <w:rsid w:val="003E0FCC"/>
    <w:rsid w:val="003E6CCC"/>
    <w:rsid w:val="003F7CD1"/>
    <w:rsid w:val="00401F11"/>
    <w:rsid w:val="004022E7"/>
    <w:rsid w:val="00422BF7"/>
    <w:rsid w:val="00430101"/>
    <w:rsid w:val="004353CF"/>
    <w:rsid w:val="004363C4"/>
    <w:rsid w:val="00437553"/>
    <w:rsid w:val="0044762E"/>
    <w:rsid w:val="004516EB"/>
    <w:rsid w:val="004578EC"/>
    <w:rsid w:val="004631E8"/>
    <w:rsid w:val="004657B4"/>
    <w:rsid w:val="00471649"/>
    <w:rsid w:val="0047188C"/>
    <w:rsid w:val="00477EE3"/>
    <w:rsid w:val="0048653D"/>
    <w:rsid w:val="004908B7"/>
    <w:rsid w:val="00492CFB"/>
    <w:rsid w:val="004A1256"/>
    <w:rsid w:val="004A6033"/>
    <w:rsid w:val="004C1525"/>
    <w:rsid w:val="004D58F6"/>
    <w:rsid w:val="004E3995"/>
    <w:rsid w:val="004F060C"/>
    <w:rsid w:val="004F0A64"/>
    <w:rsid w:val="004F1171"/>
    <w:rsid w:val="004F6D17"/>
    <w:rsid w:val="00513665"/>
    <w:rsid w:val="00513C76"/>
    <w:rsid w:val="005403CC"/>
    <w:rsid w:val="00542B5C"/>
    <w:rsid w:val="0055145E"/>
    <w:rsid w:val="005529AE"/>
    <w:rsid w:val="00552AA2"/>
    <w:rsid w:val="00554FEA"/>
    <w:rsid w:val="005574E2"/>
    <w:rsid w:val="00567CB3"/>
    <w:rsid w:val="00570D83"/>
    <w:rsid w:val="00591FB5"/>
    <w:rsid w:val="00594441"/>
    <w:rsid w:val="005A45BA"/>
    <w:rsid w:val="005C01FD"/>
    <w:rsid w:val="005C67EC"/>
    <w:rsid w:val="005E4896"/>
    <w:rsid w:val="005E5E1E"/>
    <w:rsid w:val="005F289A"/>
    <w:rsid w:val="00600C42"/>
    <w:rsid w:val="00614868"/>
    <w:rsid w:val="0062086C"/>
    <w:rsid w:val="00621FC2"/>
    <w:rsid w:val="00630ACB"/>
    <w:rsid w:val="00631FC0"/>
    <w:rsid w:val="00632BA9"/>
    <w:rsid w:val="00633E9F"/>
    <w:rsid w:val="00634E93"/>
    <w:rsid w:val="00640223"/>
    <w:rsid w:val="00644943"/>
    <w:rsid w:val="00655170"/>
    <w:rsid w:val="0066024F"/>
    <w:rsid w:val="0066605F"/>
    <w:rsid w:val="00666897"/>
    <w:rsid w:val="006718C8"/>
    <w:rsid w:val="00676523"/>
    <w:rsid w:val="00685F4A"/>
    <w:rsid w:val="00696369"/>
    <w:rsid w:val="006B4002"/>
    <w:rsid w:val="006C24C9"/>
    <w:rsid w:val="006C30E9"/>
    <w:rsid w:val="006D7D9E"/>
    <w:rsid w:val="006F0AC0"/>
    <w:rsid w:val="006F1548"/>
    <w:rsid w:val="006F1653"/>
    <w:rsid w:val="006F17E4"/>
    <w:rsid w:val="006F4183"/>
    <w:rsid w:val="00700C40"/>
    <w:rsid w:val="0070178D"/>
    <w:rsid w:val="00707786"/>
    <w:rsid w:val="007149BC"/>
    <w:rsid w:val="00717BD3"/>
    <w:rsid w:val="007444F4"/>
    <w:rsid w:val="007576E8"/>
    <w:rsid w:val="00764829"/>
    <w:rsid w:val="007814C2"/>
    <w:rsid w:val="00795C15"/>
    <w:rsid w:val="00796939"/>
    <w:rsid w:val="007A2541"/>
    <w:rsid w:val="007A7C75"/>
    <w:rsid w:val="007B0128"/>
    <w:rsid w:val="007D15F0"/>
    <w:rsid w:val="007E7BD7"/>
    <w:rsid w:val="007F5C7E"/>
    <w:rsid w:val="00803D0A"/>
    <w:rsid w:val="008078C5"/>
    <w:rsid w:val="008134BE"/>
    <w:rsid w:val="0081627D"/>
    <w:rsid w:val="00817FE1"/>
    <w:rsid w:val="00820DB5"/>
    <w:rsid w:val="008259EB"/>
    <w:rsid w:val="00832F26"/>
    <w:rsid w:val="00833399"/>
    <w:rsid w:val="00841C57"/>
    <w:rsid w:val="008431DE"/>
    <w:rsid w:val="00843A04"/>
    <w:rsid w:val="00845828"/>
    <w:rsid w:val="008730B7"/>
    <w:rsid w:val="008769D8"/>
    <w:rsid w:val="00880D3D"/>
    <w:rsid w:val="00882237"/>
    <w:rsid w:val="00884488"/>
    <w:rsid w:val="00893F0C"/>
    <w:rsid w:val="00894038"/>
    <w:rsid w:val="008A0319"/>
    <w:rsid w:val="008B07BD"/>
    <w:rsid w:val="008B12E4"/>
    <w:rsid w:val="008B6538"/>
    <w:rsid w:val="008B7C03"/>
    <w:rsid w:val="008C61CE"/>
    <w:rsid w:val="008D0287"/>
    <w:rsid w:val="008D60E2"/>
    <w:rsid w:val="008D779E"/>
    <w:rsid w:val="008F690D"/>
    <w:rsid w:val="00907BAA"/>
    <w:rsid w:val="00914384"/>
    <w:rsid w:val="00925B33"/>
    <w:rsid w:val="00931AF8"/>
    <w:rsid w:val="009376C9"/>
    <w:rsid w:val="0094618B"/>
    <w:rsid w:val="0097210D"/>
    <w:rsid w:val="00974DB0"/>
    <w:rsid w:val="00983939"/>
    <w:rsid w:val="00984FDB"/>
    <w:rsid w:val="00987BC5"/>
    <w:rsid w:val="00992815"/>
    <w:rsid w:val="00995785"/>
    <w:rsid w:val="009A0654"/>
    <w:rsid w:val="009A0FE9"/>
    <w:rsid w:val="009A5E90"/>
    <w:rsid w:val="009B17EA"/>
    <w:rsid w:val="009B1AEC"/>
    <w:rsid w:val="009B35AB"/>
    <w:rsid w:val="009B503A"/>
    <w:rsid w:val="009B56D4"/>
    <w:rsid w:val="009C2742"/>
    <w:rsid w:val="009C5B19"/>
    <w:rsid w:val="009D1461"/>
    <w:rsid w:val="009E32A8"/>
    <w:rsid w:val="009E543F"/>
    <w:rsid w:val="009F1FBC"/>
    <w:rsid w:val="00A33773"/>
    <w:rsid w:val="00A41B6C"/>
    <w:rsid w:val="00A52A7B"/>
    <w:rsid w:val="00A56016"/>
    <w:rsid w:val="00A5757D"/>
    <w:rsid w:val="00A628E0"/>
    <w:rsid w:val="00A645C9"/>
    <w:rsid w:val="00A70050"/>
    <w:rsid w:val="00A80497"/>
    <w:rsid w:val="00A813D2"/>
    <w:rsid w:val="00A929D7"/>
    <w:rsid w:val="00A935C8"/>
    <w:rsid w:val="00A95393"/>
    <w:rsid w:val="00A97F77"/>
    <w:rsid w:val="00AA15E5"/>
    <w:rsid w:val="00AA259D"/>
    <w:rsid w:val="00AA3BA9"/>
    <w:rsid w:val="00AA6AC0"/>
    <w:rsid w:val="00AC1275"/>
    <w:rsid w:val="00AC592C"/>
    <w:rsid w:val="00AD0380"/>
    <w:rsid w:val="00AD29D1"/>
    <w:rsid w:val="00AE43C3"/>
    <w:rsid w:val="00AE67A4"/>
    <w:rsid w:val="00AE709A"/>
    <w:rsid w:val="00AF248D"/>
    <w:rsid w:val="00AF458B"/>
    <w:rsid w:val="00AF60D5"/>
    <w:rsid w:val="00AF615C"/>
    <w:rsid w:val="00B11684"/>
    <w:rsid w:val="00B162CC"/>
    <w:rsid w:val="00B36169"/>
    <w:rsid w:val="00B527A8"/>
    <w:rsid w:val="00B61FE3"/>
    <w:rsid w:val="00B65082"/>
    <w:rsid w:val="00B716CD"/>
    <w:rsid w:val="00B7213D"/>
    <w:rsid w:val="00B75860"/>
    <w:rsid w:val="00B844D8"/>
    <w:rsid w:val="00B92343"/>
    <w:rsid w:val="00B92DEC"/>
    <w:rsid w:val="00BA09B3"/>
    <w:rsid w:val="00BA27D6"/>
    <w:rsid w:val="00BB749B"/>
    <w:rsid w:val="00BC5AB1"/>
    <w:rsid w:val="00BD10CC"/>
    <w:rsid w:val="00BD52FE"/>
    <w:rsid w:val="00BE39BE"/>
    <w:rsid w:val="00C01123"/>
    <w:rsid w:val="00C158FF"/>
    <w:rsid w:val="00C3573F"/>
    <w:rsid w:val="00C363DC"/>
    <w:rsid w:val="00C4186B"/>
    <w:rsid w:val="00C42D95"/>
    <w:rsid w:val="00C42E34"/>
    <w:rsid w:val="00C514B5"/>
    <w:rsid w:val="00C745F3"/>
    <w:rsid w:val="00C76591"/>
    <w:rsid w:val="00C97906"/>
    <w:rsid w:val="00CA0266"/>
    <w:rsid w:val="00CA17BA"/>
    <w:rsid w:val="00CA1F8F"/>
    <w:rsid w:val="00CB313F"/>
    <w:rsid w:val="00CB3279"/>
    <w:rsid w:val="00CC4C1F"/>
    <w:rsid w:val="00CD50CB"/>
    <w:rsid w:val="00CD5C49"/>
    <w:rsid w:val="00CD6F50"/>
    <w:rsid w:val="00CD7B21"/>
    <w:rsid w:val="00CE2D7E"/>
    <w:rsid w:val="00CF4641"/>
    <w:rsid w:val="00D038D5"/>
    <w:rsid w:val="00D04FA8"/>
    <w:rsid w:val="00D14ED8"/>
    <w:rsid w:val="00D15A95"/>
    <w:rsid w:val="00D15CB5"/>
    <w:rsid w:val="00D17C18"/>
    <w:rsid w:val="00D205F4"/>
    <w:rsid w:val="00D302FD"/>
    <w:rsid w:val="00D4685D"/>
    <w:rsid w:val="00D50D06"/>
    <w:rsid w:val="00D512A5"/>
    <w:rsid w:val="00D51CE3"/>
    <w:rsid w:val="00D61ECF"/>
    <w:rsid w:val="00D643D8"/>
    <w:rsid w:val="00D711FE"/>
    <w:rsid w:val="00D8283E"/>
    <w:rsid w:val="00D86494"/>
    <w:rsid w:val="00D95973"/>
    <w:rsid w:val="00D96DB3"/>
    <w:rsid w:val="00DA7145"/>
    <w:rsid w:val="00DB2DC7"/>
    <w:rsid w:val="00DC3557"/>
    <w:rsid w:val="00DC35F4"/>
    <w:rsid w:val="00DC6609"/>
    <w:rsid w:val="00DF391A"/>
    <w:rsid w:val="00E027D1"/>
    <w:rsid w:val="00E05357"/>
    <w:rsid w:val="00E07D33"/>
    <w:rsid w:val="00E15F75"/>
    <w:rsid w:val="00E16AED"/>
    <w:rsid w:val="00E27471"/>
    <w:rsid w:val="00E35993"/>
    <w:rsid w:val="00E40583"/>
    <w:rsid w:val="00E410CA"/>
    <w:rsid w:val="00E439C4"/>
    <w:rsid w:val="00E447AD"/>
    <w:rsid w:val="00E5376D"/>
    <w:rsid w:val="00E55070"/>
    <w:rsid w:val="00E56C40"/>
    <w:rsid w:val="00E5705A"/>
    <w:rsid w:val="00E578C6"/>
    <w:rsid w:val="00E6446B"/>
    <w:rsid w:val="00E65705"/>
    <w:rsid w:val="00E71946"/>
    <w:rsid w:val="00E7299C"/>
    <w:rsid w:val="00E72C8D"/>
    <w:rsid w:val="00E74131"/>
    <w:rsid w:val="00E92D46"/>
    <w:rsid w:val="00EA1C3C"/>
    <w:rsid w:val="00EA3F1A"/>
    <w:rsid w:val="00EA6521"/>
    <w:rsid w:val="00EA7419"/>
    <w:rsid w:val="00EA76E2"/>
    <w:rsid w:val="00ED0FE1"/>
    <w:rsid w:val="00ED1CBD"/>
    <w:rsid w:val="00ED4CFD"/>
    <w:rsid w:val="00EE7266"/>
    <w:rsid w:val="00EF0405"/>
    <w:rsid w:val="00EF6EEE"/>
    <w:rsid w:val="00F21359"/>
    <w:rsid w:val="00F23CCE"/>
    <w:rsid w:val="00F460CA"/>
    <w:rsid w:val="00F51868"/>
    <w:rsid w:val="00F57664"/>
    <w:rsid w:val="00F6320D"/>
    <w:rsid w:val="00F64E41"/>
    <w:rsid w:val="00F65E1B"/>
    <w:rsid w:val="00F72037"/>
    <w:rsid w:val="00F727BB"/>
    <w:rsid w:val="00F75B93"/>
    <w:rsid w:val="00F75D27"/>
    <w:rsid w:val="00F82D6B"/>
    <w:rsid w:val="00F96D9D"/>
    <w:rsid w:val="00FA05EB"/>
    <w:rsid w:val="00FA24CF"/>
    <w:rsid w:val="00FA5689"/>
    <w:rsid w:val="00FA5E3D"/>
    <w:rsid w:val="00FB22F9"/>
    <w:rsid w:val="00FB69B5"/>
    <w:rsid w:val="00FC5AAA"/>
    <w:rsid w:val="00FD0C8E"/>
    <w:rsid w:val="00FD10D9"/>
    <w:rsid w:val="00FD60D6"/>
    <w:rsid w:val="00FD7E38"/>
    <w:rsid w:val="00FE39B5"/>
    <w:rsid w:val="00FE453C"/>
    <w:rsid w:val="00FF056C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1E65"/>
  <w15:docId w15:val="{E0843FFB-9C16-4A32-A868-9A07B7C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A7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2D6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0A7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A7FA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31AF8"/>
    <w:pPr>
      <w:tabs>
        <w:tab w:val="right" w:leader="dot" w:pos="9350"/>
      </w:tabs>
      <w:spacing w:after="100" w:line="360" w:lineRule="auto"/>
    </w:pPr>
    <w:rPr>
      <w:rFonts w:ascii="Arial" w:hAnsi="Arial" w:cs="Arial"/>
      <w:b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A7FA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A7FA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A7F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3CC"/>
    <w:pPr>
      <w:ind w:left="720"/>
      <w:contextualSpacing/>
    </w:pPr>
  </w:style>
  <w:style w:type="character" w:styleId="Strong">
    <w:name w:val="Strong"/>
    <w:uiPriority w:val="22"/>
    <w:qFormat/>
    <w:rsid w:val="00477EE3"/>
    <w:rPr>
      <w:b/>
      <w:bCs/>
    </w:rPr>
  </w:style>
  <w:style w:type="paragraph" w:styleId="NormalWeb">
    <w:name w:val="Normal (Web)"/>
    <w:basedOn w:val="Normal"/>
    <w:uiPriority w:val="99"/>
    <w:unhideWhenUsed/>
    <w:rsid w:val="00477EE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77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C2721">
    <w:name w:val="SC2721"/>
    <w:uiPriority w:val="99"/>
    <w:rsid w:val="00477EE3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6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4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0D9"/>
  </w:style>
  <w:style w:type="paragraph" w:styleId="Footer">
    <w:name w:val="footer"/>
    <w:basedOn w:val="Normal"/>
    <w:link w:val="FooterChar"/>
    <w:uiPriority w:val="99"/>
    <w:unhideWhenUsed/>
    <w:rsid w:val="00FD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0D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F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5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02F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7BC5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7C7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659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0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5.emf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yperlink" Target="https://www.cdc.gov/nhsn/PDFs/Biovigilance/BV-HV-protocol-current.pdf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e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lissa.cumming@mass.gov" TargetMode="External"/><Relationship Id="rId24" Type="http://schemas.openxmlformats.org/officeDocument/2006/relationships/image" Target="media/image11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10" Type="http://schemas.openxmlformats.org/officeDocument/2006/relationships/hyperlink" Target="mailto:Ashley.a.iannone@mass.gov" TargetMode="Externa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reporting-requirements-for-blood-banks-and-hemovigilance-in-massachusetts" TargetMode="External"/><Relationship Id="rId14" Type="http://schemas.openxmlformats.org/officeDocument/2006/relationships/footer" Target="footer1.xm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A9C6-B051-3B47-A39D-6EE466E6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2252</Words>
  <Characters>14844</Characters>
  <Application>Microsoft Office Word</Application>
  <DocSecurity>0</DocSecurity>
  <Lines>824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DeJesus, Alexandra (DPH)</dc:creator>
  <cp:keywords/>
  <dc:description/>
  <cp:lastModifiedBy>Cumming, Melissa (DPH)</cp:lastModifiedBy>
  <cp:revision>2</cp:revision>
  <cp:lastPrinted>2019-06-11T14:02:00Z</cp:lastPrinted>
  <dcterms:created xsi:type="dcterms:W3CDTF">2021-10-19T22:34:00Z</dcterms:created>
  <dcterms:modified xsi:type="dcterms:W3CDTF">2021-10-19T22:34:00Z</dcterms:modified>
</cp:coreProperties>
</file>