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6E" w:rsidRDefault="00BF046E" w:rsidP="00BF046E">
      <w:bookmarkStart w:id="0" w:name="_GoBack"/>
      <w:bookmarkEnd w:id="0"/>
      <w:r>
        <w:t>COMMONWEALTH OF MASSACHUSETTS</w:t>
      </w:r>
    </w:p>
    <w:p w:rsidR="00BF046E" w:rsidRDefault="00BF046E" w:rsidP="00BF046E">
      <w:proofErr w:type="gramStart"/>
      <w:r>
        <w:t>Suffolk, ss.</w:t>
      </w:r>
      <w:proofErr w:type="gramEnd"/>
      <w:r>
        <w:tab/>
      </w:r>
      <w:r>
        <w:tab/>
      </w:r>
      <w:r>
        <w:tab/>
      </w:r>
      <w:r>
        <w:tab/>
      </w:r>
      <w:r>
        <w:tab/>
      </w:r>
      <w:r>
        <w:tab/>
      </w:r>
      <w:r w:rsidR="00514107">
        <w:t xml:space="preserve">      </w:t>
      </w:r>
      <w:r>
        <w:t>Division of Administrative Law Appeals</w:t>
      </w:r>
    </w:p>
    <w:p w:rsidR="00BF046E" w:rsidRDefault="00BF046E" w:rsidP="00BF046E">
      <w:pPr>
        <w:jc w:val="left"/>
      </w:pPr>
      <w:r>
        <w:t>_______________________________________</w:t>
      </w:r>
    </w:p>
    <w:p w:rsidR="00BF046E" w:rsidRPr="00F168B3" w:rsidRDefault="00BF046E" w:rsidP="00F168B3">
      <w:pPr>
        <w:spacing w:line="240" w:lineRule="auto"/>
        <w:jc w:val="left"/>
        <w:rPr>
          <w:b/>
        </w:rPr>
      </w:pPr>
      <w:r w:rsidRPr="00F168B3">
        <w:rPr>
          <w:b/>
        </w:rPr>
        <w:t>Donna Henry,</w:t>
      </w:r>
      <w:r w:rsidR="00F168B3" w:rsidRPr="00F168B3">
        <w:rPr>
          <w:b/>
        </w:rPr>
        <w:tab/>
      </w:r>
      <w:r w:rsidR="00F168B3" w:rsidRPr="00F168B3">
        <w:rPr>
          <w:b/>
        </w:rPr>
        <w:tab/>
      </w:r>
      <w:r w:rsidR="00F168B3" w:rsidRPr="00F168B3">
        <w:rPr>
          <w:b/>
        </w:rPr>
        <w:tab/>
      </w:r>
      <w:r w:rsidR="00F168B3" w:rsidRPr="00F168B3">
        <w:rPr>
          <w:b/>
        </w:rPr>
        <w:tab/>
      </w:r>
      <w:r w:rsidR="00F168B3">
        <w:rPr>
          <w:b/>
        </w:rPr>
        <w:t xml:space="preserve">  </w:t>
      </w:r>
      <w:r w:rsidR="00F168B3">
        <w:rPr>
          <w:b/>
        </w:rPr>
        <w:tab/>
        <w:t xml:space="preserve">   </w:t>
      </w:r>
      <w:r w:rsidR="00F168B3">
        <w:rPr>
          <w:b/>
        </w:rPr>
        <w:tab/>
      </w:r>
      <w:r w:rsidR="00F168B3">
        <w:rPr>
          <w:b/>
        </w:rPr>
        <w:tab/>
        <w:t xml:space="preserve">          </w:t>
      </w:r>
      <w:r w:rsidR="00F168B3" w:rsidRPr="00F168B3">
        <w:t>Docket</w:t>
      </w:r>
      <w:r w:rsidR="00F168B3">
        <w:t xml:space="preserve"> No. CR-14-530</w:t>
      </w:r>
    </w:p>
    <w:p w:rsidR="00BF046E" w:rsidRDefault="00BF046E" w:rsidP="00BF046E">
      <w:pPr>
        <w:spacing w:line="240" w:lineRule="auto"/>
        <w:jc w:val="left"/>
      </w:pPr>
      <w:r w:rsidRPr="00BF046E">
        <w:tab/>
        <w:t>Petitioner</w:t>
      </w:r>
    </w:p>
    <w:p w:rsidR="00AD48DC" w:rsidRDefault="00AD48DC" w:rsidP="00BF046E">
      <w:pPr>
        <w:spacing w:line="240" w:lineRule="auto"/>
        <w:jc w:val="left"/>
      </w:pPr>
    </w:p>
    <w:p w:rsidR="00BF046E" w:rsidRDefault="00BF046E" w:rsidP="00BF046E">
      <w:pPr>
        <w:spacing w:line="240" w:lineRule="auto"/>
        <w:jc w:val="left"/>
      </w:pPr>
      <w:r>
        <w:tab/>
      </w:r>
      <w:r>
        <w:tab/>
      </w:r>
      <w:proofErr w:type="gramStart"/>
      <w:r>
        <w:t>v</w:t>
      </w:r>
      <w:proofErr w:type="gramEnd"/>
      <w:r>
        <w:t>.</w:t>
      </w:r>
    </w:p>
    <w:p w:rsidR="00BF046E" w:rsidRDefault="00BF046E" w:rsidP="00BF046E">
      <w:pPr>
        <w:spacing w:line="240" w:lineRule="auto"/>
        <w:jc w:val="left"/>
      </w:pPr>
    </w:p>
    <w:p w:rsidR="00BF046E" w:rsidRDefault="00BF046E" w:rsidP="00BF046E">
      <w:pPr>
        <w:spacing w:line="240" w:lineRule="auto"/>
        <w:jc w:val="left"/>
        <w:rPr>
          <w:b/>
        </w:rPr>
      </w:pPr>
      <w:r>
        <w:rPr>
          <w:b/>
        </w:rPr>
        <w:t>State Board of Retirement,</w:t>
      </w:r>
    </w:p>
    <w:p w:rsidR="00BF046E" w:rsidRDefault="00BF046E" w:rsidP="00BF046E">
      <w:pPr>
        <w:spacing w:line="240" w:lineRule="auto"/>
        <w:jc w:val="left"/>
      </w:pPr>
      <w:r>
        <w:rPr>
          <w:b/>
        </w:rPr>
        <w:tab/>
      </w:r>
      <w:r>
        <w:t>Respondent</w:t>
      </w:r>
    </w:p>
    <w:p w:rsidR="00BF046E" w:rsidRDefault="00BF046E" w:rsidP="00BF046E">
      <w:pPr>
        <w:jc w:val="left"/>
      </w:pPr>
      <w:r>
        <w:t>_______________________________________</w:t>
      </w:r>
    </w:p>
    <w:p w:rsidR="00BF046E" w:rsidRDefault="00BF046E" w:rsidP="00BF046E">
      <w:pPr>
        <w:spacing w:line="240" w:lineRule="auto"/>
        <w:jc w:val="left"/>
        <w:rPr>
          <w:b/>
        </w:rPr>
      </w:pPr>
      <w:r>
        <w:rPr>
          <w:b/>
        </w:rPr>
        <w:t>Appearance for Petitioner:</w:t>
      </w:r>
    </w:p>
    <w:p w:rsidR="00BF046E" w:rsidRDefault="00BF046E" w:rsidP="00BF046E">
      <w:pPr>
        <w:spacing w:line="240" w:lineRule="auto"/>
        <w:jc w:val="left"/>
        <w:rPr>
          <w:b/>
        </w:rPr>
      </w:pPr>
    </w:p>
    <w:p w:rsidR="00BF046E" w:rsidRDefault="00BF046E" w:rsidP="00BF046E">
      <w:pPr>
        <w:spacing w:line="240" w:lineRule="auto"/>
        <w:jc w:val="left"/>
      </w:pPr>
      <w:r>
        <w:rPr>
          <w:b/>
        </w:rPr>
        <w:t>Boaz N. Levin</w:t>
      </w:r>
      <w:r w:rsidR="007861D1">
        <w:rPr>
          <w:b/>
        </w:rPr>
        <w:t>, Esq.</w:t>
      </w:r>
    </w:p>
    <w:p w:rsidR="00BF046E" w:rsidRDefault="00BF046E" w:rsidP="00BF046E">
      <w:pPr>
        <w:spacing w:line="240" w:lineRule="auto"/>
        <w:jc w:val="left"/>
      </w:pPr>
      <w:r>
        <w:t>KECHES LAW GROUP, P.C.</w:t>
      </w:r>
    </w:p>
    <w:p w:rsidR="00BF046E" w:rsidRDefault="00BF046E" w:rsidP="00BF046E">
      <w:pPr>
        <w:spacing w:line="240" w:lineRule="auto"/>
        <w:jc w:val="left"/>
      </w:pPr>
      <w:r>
        <w:t>122 Dean Street</w:t>
      </w:r>
    </w:p>
    <w:p w:rsidR="00BF046E" w:rsidRDefault="00BF046E" w:rsidP="00BF046E">
      <w:pPr>
        <w:spacing w:line="240" w:lineRule="auto"/>
        <w:jc w:val="left"/>
      </w:pPr>
      <w:r>
        <w:t>Taunton, MA 027</w:t>
      </w:r>
    </w:p>
    <w:p w:rsidR="00BF046E" w:rsidRDefault="00BF046E" w:rsidP="00BF046E">
      <w:pPr>
        <w:spacing w:line="240" w:lineRule="auto"/>
        <w:jc w:val="left"/>
      </w:pPr>
    </w:p>
    <w:p w:rsidR="00BF046E" w:rsidRDefault="00BF046E" w:rsidP="00BF046E">
      <w:pPr>
        <w:spacing w:line="240" w:lineRule="auto"/>
        <w:jc w:val="left"/>
        <w:rPr>
          <w:b/>
        </w:rPr>
      </w:pPr>
      <w:r>
        <w:rPr>
          <w:b/>
        </w:rPr>
        <w:t>Appearance for Respondent</w:t>
      </w:r>
    </w:p>
    <w:p w:rsidR="007861D1" w:rsidRDefault="007861D1" w:rsidP="00BF046E">
      <w:pPr>
        <w:spacing w:line="240" w:lineRule="auto"/>
        <w:jc w:val="left"/>
        <w:rPr>
          <w:b/>
        </w:rPr>
      </w:pPr>
    </w:p>
    <w:p w:rsidR="00BF046E" w:rsidRDefault="009252EA" w:rsidP="00BF046E">
      <w:pPr>
        <w:spacing w:line="240" w:lineRule="auto"/>
        <w:jc w:val="left"/>
      </w:pPr>
      <w:r>
        <w:rPr>
          <w:b/>
        </w:rPr>
        <w:t>Melinda E. Troy</w:t>
      </w:r>
      <w:r w:rsidR="007861D1">
        <w:rPr>
          <w:b/>
        </w:rPr>
        <w:t>, Esq.</w:t>
      </w:r>
    </w:p>
    <w:p w:rsidR="009252EA" w:rsidRDefault="007861D1" w:rsidP="00BF046E">
      <w:pPr>
        <w:spacing w:line="240" w:lineRule="auto"/>
        <w:jc w:val="left"/>
      </w:pPr>
      <w:r>
        <w:t>State Board of Retirement</w:t>
      </w:r>
    </w:p>
    <w:p w:rsidR="009252EA" w:rsidRDefault="009252EA" w:rsidP="00BF046E">
      <w:pPr>
        <w:spacing w:line="240" w:lineRule="auto"/>
        <w:jc w:val="left"/>
      </w:pPr>
      <w:r>
        <w:t>One Winter Street, 8</w:t>
      </w:r>
      <w:r w:rsidRPr="009252EA">
        <w:rPr>
          <w:vertAlign w:val="superscript"/>
        </w:rPr>
        <w:t>th</w:t>
      </w:r>
      <w:r>
        <w:t xml:space="preserve"> Floor</w:t>
      </w:r>
    </w:p>
    <w:p w:rsidR="009252EA" w:rsidRDefault="009252EA" w:rsidP="00BF046E">
      <w:pPr>
        <w:spacing w:line="240" w:lineRule="auto"/>
        <w:jc w:val="left"/>
      </w:pPr>
      <w:r>
        <w:t>Boston, MA 02108</w:t>
      </w:r>
    </w:p>
    <w:p w:rsidR="009252EA" w:rsidRDefault="009252EA" w:rsidP="00BF046E">
      <w:pPr>
        <w:spacing w:line="240" w:lineRule="auto"/>
        <w:jc w:val="left"/>
      </w:pPr>
    </w:p>
    <w:p w:rsidR="009252EA" w:rsidRDefault="009252EA" w:rsidP="00BF046E">
      <w:pPr>
        <w:spacing w:line="240" w:lineRule="auto"/>
        <w:jc w:val="left"/>
      </w:pPr>
      <w:r>
        <w:rPr>
          <w:b/>
        </w:rPr>
        <w:t>Administrative Magistrate</w:t>
      </w:r>
      <w:r w:rsidR="00B403F8">
        <w:rPr>
          <w:b/>
        </w:rPr>
        <w:t>:</w:t>
      </w:r>
    </w:p>
    <w:p w:rsidR="009252EA" w:rsidRDefault="009252EA" w:rsidP="00BF046E">
      <w:pPr>
        <w:spacing w:line="240" w:lineRule="auto"/>
        <w:jc w:val="left"/>
      </w:pPr>
    </w:p>
    <w:p w:rsidR="009252EA" w:rsidRDefault="009252EA" w:rsidP="00BF046E">
      <w:pPr>
        <w:spacing w:line="240" w:lineRule="auto"/>
        <w:jc w:val="left"/>
      </w:pPr>
      <w:r>
        <w:t>Bonney Cashin</w:t>
      </w:r>
    </w:p>
    <w:p w:rsidR="009252EA" w:rsidRDefault="009252EA" w:rsidP="00BF046E">
      <w:pPr>
        <w:spacing w:line="240" w:lineRule="auto"/>
        <w:jc w:val="left"/>
      </w:pPr>
    </w:p>
    <w:p w:rsidR="009252EA" w:rsidRDefault="009252EA" w:rsidP="009252EA">
      <w:pPr>
        <w:rPr>
          <w:b/>
        </w:rPr>
      </w:pPr>
      <w:r>
        <w:rPr>
          <w:b/>
        </w:rPr>
        <w:t>SUMMARY OF DECISION</w:t>
      </w:r>
    </w:p>
    <w:p w:rsidR="009252EA" w:rsidRDefault="009252EA" w:rsidP="000F3D4E">
      <w:pPr>
        <w:spacing w:line="240" w:lineRule="auto"/>
        <w:jc w:val="left"/>
      </w:pPr>
      <w:r>
        <w:t xml:space="preserve">Medical panel did not lack pertinent facts or apply an erroneous standard when it determined that </w:t>
      </w:r>
      <w:r w:rsidR="00AD48DC">
        <w:t>petitioner</w:t>
      </w:r>
      <w:r>
        <w:t xml:space="preserve"> was not incapable</w:t>
      </w:r>
      <w:r w:rsidR="00312AC9">
        <w:t xml:space="preserve"> of performing her job duties of</w:t>
      </w:r>
      <w:r>
        <w:t xml:space="preserve"> </w:t>
      </w:r>
      <w:r w:rsidR="00275A84">
        <w:t>Support Staff, Cambridge District Court for</w:t>
      </w:r>
      <w:r>
        <w:t xml:space="preserve"> the Middlesex County District Attorney’</w:t>
      </w:r>
      <w:r w:rsidR="00DE57F2">
        <w:t>s O</w:t>
      </w:r>
      <w:r w:rsidR="00F64299">
        <w:t xml:space="preserve">ffice because the </w:t>
      </w:r>
      <w:r w:rsidR="00876036">
        <w:t xml:space="preserve">medical </w:t>
      </w:r>
      <w:r w:rsidR="00F64299">
        <w:t xml:space="preserve">panel had access to </w:t>
      </w:r>
      <w:r w:rsidR="00AD48DC">
        <w:t xml:space="preserve">petitioner’s </w:t>
      </w:r>
      <w:r w:rsidR="00F64299">
        <w:t>relevant medical reco</w:t>
      </w:r>
      <w:r w:rsidR="00093617">
        <w:t xml:space="preserve">rds, her job description, and </w:t>
      </w:r>
      <w:r w:rsidR="00876036">
        <w:t xml:space="preserve">panel members </w:t>
      </w:r>
      <w:r w:rsidR="00AD48DC">
        <w:t xml:space="preserve">were able to </w:t>
      </w:r>
      <w:r w:rsidR="00093617">
        <w:t>examine</w:t>
      </w:r>
      <w:r w:rsidR="00F64299">
        <w:t xml:space="preserve"> </w:t>
      </w:r>
      <w:r w:rsidR="00AD48DC">
        <w:t>her</w:t>
      </w:r>
      <w:r w:rsidR="00093617">
        <w:t>.</w:t>
      </w:r>
      <w:r>
        <w:t xml:space="preserve"> </w:t>
      </w:r>
      <w:r w:rsidR="00AD48DC">
        <w:t xml:space="preserve">Following </w:t>
      </w:r>
      <w:r w:rsidR="00876036">
        <w:t xml:space="preserve">receipt of </w:t>
      </w:r>
      <w:r w:rsidR="00AD48DC">
        <w:t>a request for clarification by t</w:t>
      </w:r>
      <w:r>
        <w:t xml:space="preserve">he </w:t>
      </w:r>
      <w:r w:rsidR="00AD48DC">
        <w:t xml:space="preserve">State Board of Retirement, the </w:t>
      </w:r>
      <w:r>
        <w:t>medical panel reviewed the correct job description</w:t>
      </w:r>
      <w:r w:rsidR="00F64299">
        <w:t xml:space="preserve"> </w:t>
      </w:r>
      <w:r w:rsidR="00960FA5">
        <w:t>and</w:t>
      </w:r>
      <w:r w:rsidR="00AD48DC">
        <w:t xml:space="preserve"> an</w:t>
      </w:r>
      <w:r w:rsidR="00960FA5">
        <w:t xml:space="preserve"> operative report of </w:t>
      </w:r>
      <w:r w:rsidR="00AD48DC">
        <w:t xml:space="preserve">petitioner’s </w:t>
      </w:r>
      <w:r w:rsidR="00960FA5">
        <w:t>surgery</w:t>
      </w:r>
      <w:r w:rsidR="00876036">
        <w:t xml:space="preserve">, considered the additional information, </w:t>
      </w:r>
      <w:r>
        <w:t xml:space="preserve">and </w:t>
      </w:r>
      <w:r w:rsidR="00AD48DC">
        <w:t xml:space="preserve">relied on its </w:t>
      </w:r>
      <w:r>
        <w:t xml:space="preserve">initial </w:t>
      </w:r>
      <w:r w:rsidR="00911BFF">
        <w:t>opinion</w:t>
      </w:r>
      <w:r w:rsidR="00AD48DC">
        <w:t>.</w:t>
      </w:r>
    </w:p>
    <w:p w:rsidR="000F3D4E" w:rsidRDefault="000F3D4E" w:rsidP="000F3D4E">
      <w:pPr>
        <w:spacing w:line="240" w:lineRule="auto"/>
        <w:jc w:val="left"/>
      </w:pPr>
    </w:p>
    <w:p w:rsidR="00F64299" w:rsidRDefault="00F64299" w:rsidP="000F3D4E">
      <w:pPr>
        <w:spacing w:line="240" w:lineRule="auto"/>
        <w:jc w:val="left"/>
      </w:pPr>
    </w:p>
    <w:p w:rsidR="00F64299" w:rsidRDefault="00F64299" w:rsidP="000F3D4E">
      <w:pPr>
        <w:spacing w:line="240" w:lineRule="auto"/>
        <w:jc w:val="left"/>
      </w:pPr>
    </w:p>
    <w:p w:rsidR="00F64299" w:rsidRDefault="00F64299" w:rsidP="000F3D4E">
      <w:pPr>
        <w:spacing w:line="240" w:lineRule="auto"/>
        <w:jc w:val="left"/>
      </w:pPr>
    </w:p>
    <w:p w:rsidR="009252EA" w:rsidRDefault="009252EA" w:rsidP="009252EA">
      <w:pPr>
        <w:rPr>
          <w:b/>
        </w:rPr>
      </w:pPr>
      <w:r>
        <w:rPr>
          <w:b/>
        </w:rPr>
        <w:lastRenderedPageBreak/>
        <w:t>DECISION</w:t>
      </w:r>
    </w:p>
    <w:p w:rsidR="009252EA" w:rsidRDefault="009252EA" w:rsidP="009252EA">
      <w:r>
        <w:t>INTRODUCTION</w:t>
      </w:r>
    </w:p>
    <w:p w:rsidR="009252EA" w:rsidRDefault="005B600D" w:rsidP="005B600D">
      <w:pPr>
        <w:ind w:firstLine="720"/>
        <w:jc w:val="left"/>
      </w:pPr>
      <w:r>
        <w:t>Donna H</w:t>
      </w:r>
      <w:r w:rsidR="009252EA">
        <w:t xml:space="preserve">enry appeals the </w:t>
      </w:r>
      <w:r w:rsidR="00911BFF">
        <w:t xml:space="preserve">September 25, 2014 </w:t>
      </w:r>
      <w:r w:rsidR="009252EA">
        <w:t>decision of the State Board of Ret</w:t>
      </w:r>
      <w:r>
        <w:t>irement to deny he</w:t>
      </w:r>
      <w:r w:rsidR="004014DD">
        <w:t xml:space="preserve">r accidental disability </w:t>
      </w:r>
      <w:r w:rsidR="003E510A">
        <w:t xml:space="preserve">retirement </w:t>
      </w:r>
      <w:r w:rsidR="004014DD">
        <w:t>a</w:t>
      </w:r>
      <w:r w:rsidR="003E510A">
        <w:t>p</w:t>
      </w:r>
      <w:r w:rsidR="004014DD">
        <w:t>plication</w:t>
      </w:r>
      <w:r>
        <w:t xml:space="preserve"> regarding an accident that occurred on May</w:t>
      </w:r>
      <w:r w:rsidR="00615961">
        <w:t xml:space="preserve"> 23,</w:t>
      </w:r>
      <w:r>
        <w:t xml:space="preserve"> 2011. </w:t>
      </w:r>
      <w:r w:rsidR="00911BFF">
        <w:t xml:space="preserve">She </w:t>
      </w:r>
      <w:r>
        <w:t xml:space="preserve">was evaluated by an impartial panel of doctors who determined </w:t>
      </w:r>
      <w:r w:rsidR="00911BFF">
        <w:t xml:space="preserve">that </w:t>
      </w:r>
      <w:r>
        <w:t>her injury did n</w:t>
      </w:r>
      <w:r w:rsidR="002B49F4">
        <w:t>ot impede her from doing the essential duties of her position</w:t>
      </w:r>
      <w:r>
        <w:t>. Ms. Henry asser</w:t>
      </w:r>
      <w:r w:rsidR="00292B6B">
        <w:t xml:space="preserve">ts that the panel erred in its evaluation because it </w:t>
      </w:r>
      <w:r w:rsidR="00911BFF">
        <w:t xml:space="preserve">initially </w:t>
      </w:r>
      <w:r w:rsidR="00292B6B">
        <w:t>was</w:t>
      </w:r>
      <w:r>
        <w:t xml:space="preserve"> pr</w:t>
      </w:r>
      <w:r w:rsidR="00911BFF">
        <w:t>ovided</w:t>
      </w:r>
      <w:r>
        <w:t xml:space="preserve"> </w:t>
      </w:r>
      <w:r w:rsidR="00911BFF">
        <w:t>an</w:t>
      </w:r>
      <w:r>
        <w:t xml:space="preserve"> incorrect job description</w:t>
      </w:r>
      <w:r w:rsidR="001A4AD5">
        <w:t xml:space="preserve"> and lacked </w:t>
      </w:r>
      <w:r w:rsidR="00911BFF">
        <w:t>an</w:t>
      </w:r>
      <w:r w:rsidR="001A4AD5">
        <w:t xml:space="preserve"> operative report from her surgery</w:t>
      </w:r>
      <w:r w:rsidR="002B49F4">
        <w:t xml:space="preserve">. The State Board of Retirement submitted the accurate job description </w:t>
      </w:r>
      <w:r w:rsidR="00AB77F1">
        <w:t xml:space="preserve">and operative report </w:t>
      </w:r>
      <w:r w:rsidR="002B49F4">
        <w:t xml:space="preserve">to the </w:t>
      </w:r>
      <w:r w:rsidR="00AB77F1">
        <w:t xml:space="preserve">medical </w:t>
      </w:r>
      <w:r w:rsidR="002B49F4">
        <w:t>panel with a re</w:t>
      </w:r>
      <w:r w:rsidR="00292B6B">
        <w:t xml:space="preserve">quest </w:t>
      </w:r>
      <w:r w:rsidR="00AB77F1">
        <w:t>for</w:t>
      </w:r>
      <w:r w:rsidR="00292B6B">
        <w:t xml:space="preserve"> clarification</w:t>
      </w:r>
      <w:r w:rsidR="00AB77F1">
        <w:t>,</w:t>
      </w:r>
      <w:r w:rsidR="00292B6B">
        <w:t xml:space="preserve"> asking it to confirm its</w:t>
      </w:r>
      <w:r w:rsidR="002B49F4">
        <w:t xml:space="preserve"> initial findings – which </w:t>
      </w:r>
      <w:r w:rsidR="00AB77F1">
        <w:t>the panel</w:t>
      </w:r>
      <w:r w:rsidR="002B49F4">
        <w:t xml:space="preserve"> did</w:t>
      </w:r>
      <w:r w:rsidR="00600862">
        <w:t>.</w:t>
      </w:r>
    </w:p>
    <w:p w:rsidR="005B600D" w:rsidRDefault="00AB77F1" w:rsidP="005B600D">
      <w:pPr>
        <w:ind w:firstLine="720"/>
        <w:jc w:val="left"/>
      </w:pPr>
      <w:r>
        <w:t>On February 2, 2016, I held a</w:t>
      </w:r>
      <w:r w:rsidR="005B600D">
        <w:t xml:space="preserve"> hearing </w:t>
      </w:r>
      <w:r w:rsidR="0099240B">
        <w:t xml:space="preserve">and digitally recorded </w:t>
      </w:r>
      <w:r>
        <w:t>it</w:t>
      </w:r>
      <w:r w:rsidR="00512452">
        <w:t>. At issue was</w:t>
      </w:r>
      <w:r w:rsidR="005B600D">
        <w:t xml:space="preserve"> whether or not Ms. Henry was entitled to a new evaluation with a different medical panel. </w:t>
      </w:r>
      <w:r>
        <w:t>I admitted 11</w:t>
      </w:r>
      <w:r w:rsidR="005B600D">
        <w:t xml:space="preserve"> exhibits</w:t>
      </w:r>
      <w:r>
        <w:t>.</w:t>
      </w:r>
      <w:r w:rsidR="005B600D">
        <w:t xml:space="preserve"> </w:t>
      </w:r>
      <w:r w:rsidR="00600862">
        <w:t>Ms. Henry was the only witness.</w:t>
      </w:r>
    </w:p>
    <w:p w:rsidR="009252EA" w:rsidRDefault="009252EA" w:rsidP="009252EA"/>
    <w:p w:rsidR="009252EA" w:rsidRDefault="009252EA" w:rsidP="009252EA">
      <w:r>
        <w:t>FINDINGS OF FACT</w:t>
      </w:r>
    </w:p>
    <w:p w:rsidR="00181BA9" w:rsidRDefault="00181BA9" w:rsidP="00181BA9">
      <w:pPr>
        <w:jc w:val="both"/>
      </w:pPr>
      <w:r>
        <w:t>Based on the evidence in the record, I make the following findings of fact:</w:t>
      </w:r>
    </w:p>
    <w:p w:rsidR="00600862" w:rsidRDefault="00DE57F2" w:rsidP="00512452">
      <w:pPr>
        <w:pStyle w:val="ListParagraph"/>
        <w:numPr>
          <w:ilvl w:val="0"/>
          <w:numId w:val="1"/>
        </w:numPr>
        <w:ind w:left="0" w:firstLine="720"/>
        <w:jc w:val="left"/>
      </w:pPr>
      <w:r>
        <w:t>Ms.</w:t>
      </w:r>
      <w:r w:rsidR="00600862">
        <w:t xml:space="preserve"> Henry was born </w:t>
      </w:r>
      <w:r w:rsidR="00512452">
        <w:t>in</w:t>
      </w:r>
      <w:r w:rsidR="00600862">
        <w:t xml:space="preserve"> 1957</w:t>
      </w:r>
      <w:r>
        <w:t>. (Exh. 6)</w:t>
      </w:r>
      <w:r w:rsidR="00647D7F">
        <w:t>.</w:t>
      </w:r>
    </w:p>
    <w:p w:rsidR="00DE57F2" w:rsidRDefault="00DE57F2" w:rsidP="00512452">
      <w:pPr>
        <w:pStyle w:val="ListParagraph"/>
        <w:numPr>
          <w:ilvl w:val="0"/>
          <w:numId w:val="1"/>
        </w:numPr>
        <w:ind w:left="0" w:firstLine="720"/>
        <w:jc w:val="left"/>
      </w:pPr>
      <w:r>
        <w:t xml:space="preserve">Ms. Henry </w:t>
      </w:r>
      <w:r w:rsidR="00275A84">
        <w:t>worked</w:t>
      </w:r>
      <w:r w:rsidR="00A00281" w:rsidRPr="00A00281">
        <w:t xml:space="preserve"> </w:t>
      </w:r>
      <w:r w:rsidR="00A00281">
        <w:t>for the Middlesex County District Attorney’s Office</w:t>
      </w:r>
      <w:r w:rsidR="00512452" w:rsidRPr="00512452">
        <w:t xml:space="preserve"> </w:t>
      </w:r>
      <w:r w:rsidR="00512452">
        <w:t>from November 12, 1996 until sometime in 2013</w:t>
      </w:r>
      <w:r w:rsidR="00275A84">
        <w:t xml:space="preserve"> </w:t>
      </w:r>
      <w:r w:rsidR="00512452">
        <w:t>under</w:t>
      </w:r>
      <w:r w:rsidR="00A00281">
        <w:t xml:space="preserve"> the job title of</w:t>
      </w:r>
      <w:r w:rsidR="00275A84">
        <w:t xml:space="preserve"> Support Staff,</w:t>
      </w:r>
      <w:r w:rsidR="000F3D4E">
        <w:t xml:space="preserve"> Cambridge District Court</w:t>
      </w:r>
      <w:r>
        <w:t>. (Exh. 6; Henry Test.)</w:t>
      </w:r>
      <w:r w:rsidR="00647D7F">
        <w:t>.</w:t>
      </w:r>
      <w:r w:rsidR="00A00281">
        <w:t xml:space="preserve"> </w:t>
      </w:r>
    </w:p>
    <w:p w:rsidR="00DE57F2" w:rsidRDefault="00DE57F2" w:rsidP="00512452">
      <w:pPr>
        <w:pStyle w:val="ListParagraph"/>
        <w:numPr>
          <w:ilvl w:val="0"/>
          <w:numId w:val="1"/>
        </w:numPr>
        <w:ind w:left="0" w:firstLine="720"/>
        <w:jc w:val="left"/>
      </w:pPr>
      <w:r>
        <w:t xml:space="preserve">Her official job </w:t>
      </w:r>
      <w:r w:rsidR="00876036">
        <w:t xml:space="preserve">duties </w:t>
      </w:r>
      <w:r>
        <w:t>included:</w:t>
      </w:r>
      <w:r w:rsidR="00876036">
        <w:t xml:space="preserve"> data entry, document scanning and duplication, case preparation, file management, and general office and administrative support.</w:t>
      </w:r>
      <w:r w:rsidR="00615961">
        <w:t xml:space="preserve"> (Exh. 9)</w:t>
      </w:r>
      <w:r w:rsidR="00647D7F">
        <w:t>.</w:t>
      </w:r>
    </w:p>
    <w:p w:rsidR="00615961" w:rsidRDefault="00615961" w:rsidP="00512452">
      <w:pPr>
        <w:pStyle w:val="ListParagraph"/>
        <w:numPr>
          <w:ilvl w:val="0"/>
          <w:numId w:val="1"/>
        </w:numPr>
        <w:ind w:left="0" w:firstLine="720"/>
        <w:jc w:val="left"/>
      </w:pPr>
      <w:r>
        <w:lastRenderedPageBreak/>
        <w:t>On May 23, 2011</w:t>
      </w:r>
      <w:r w:rsidR="00647D7F">
        <w:t>,</w:t>
      </w:r>
      <w:r>
        <w:t xml:space="preserve"> while organizing files </w:t>
      </w:r>
      <w:r w:rsidR="00647D7F">
        <w:t xml:space="preserve">in a file cabinet, </w:t>
      </w:r>
      <w:r>
        <w:t xml:space="preserve">Ms. Henry </w:t>
      </w:r>
      <w:r w:rsidR="00F02D98">
        <w:t>“</w:t>
      </w:r>
      <w:r>
        <w:t>pulled something</w:t>
      </w:r>
      <w:r w:rsidR="00F02D98">
        <w:t>”</w:t>
      </w:r>
      <w:r>
        <w:t xml:space="preserve"> </w:t>
      </w:r>
      <w:r w:rsidR="002A142D">
        <w:t xml:space="preserve">or “heard something </w:t>
      </w:r>
      <w:proofErr w:type="gramStart"/>
      <w:r w:rsidR="002A142D">
        <w:t>tear</w:t>
      </w:r>
      <w:proofErr w:type="gramEnd"/>
      <w:r w:rsidR="002A142D">
        <w:t xml:space="preserve">” </w:t>
      </w:r>
      <w:r>
        <w:t>in her right arm</w:t>
      </w:r>
      <w:r w:rsidR="00512452">
        <w:t xml:space="preserve">. Her injury </w:t>
      </w:r>
      <w:r w:rsidR="000F3D4E">
        <w:t xml:space="preserve">was </w:t>
      </w:r>
      <w:r w:rsidR="00512452">
        <w:t>described</w:t>
      </w:r>
      <w:r w:rsidR="000F3D4E">
        <w:t xml:space="preserve"> as </w:t>
      </w:r>
      <w:r w:rsidR="00512452">
        <w:t xml:space="preserve">a </w:t>
      </w:r>
      <w:r w:rsidR="000F3D4E">
        <w:t>potential strain; the severity of the injury was originally noted as “small.</w:t>
      </w:r>
      <w:r w:rsidR="009951D7">
        <w:t>”</w:t>
      </w:r>
      <w:r w:rsidR="000F3D4E">
        <w:t xml:space="preserve"> (Exh. 6</w:t>
      </w:r>
      <w:r w:rsidR="002A142D">
        <w:t>; Henry Test</w:t>
      </w:r>
      <w:r w:rsidR="00AB77F1">
        <w:t>.</w:t>
      </w:r>
      <w:r>
        <w:t>)</w:t>
      </w:r>
      <w:r w:rsidR="00647D7F">
        <w:t>.</w:t>
      </w:r>
    </w:p>
    <w:p w:rsidR="004C7365" w:rsidRDefault="00B42A47" w:rsidP="00512452">
      <w:pPr>
        <w:pStyle w:val="ListParagraph"/>
        <w:numPr>
          <w:ilvl w:val="0"/>
          <w:numId w:val="1"/>
        </w:numPr>
        <w:ind w:left="0" w:firstLine="720"/>
        <w:jc w:val="left"/>
      </w:pPr>
      <w:r>
        <w:t>O</w:t>
      </w:r>
      <w:r w:rsidR="006736E6">
        <w:t>n June</w:t>
      </w:r>
      <w:r>
        <w:t xml:space="preserve"> 9</w:t>
      </w:r>
      <w:r w:rsidR="006736E6">
        <w:t>, 2011</w:t>
      </w:r>
      <w:r w:rsidR="00A05F33">
        <w:t>,</w:t>
      </w:r>
      <w:r w:rsidR="006736E6">
        <w:t xml:space="preserve"> </w:t>
      </w:r>
      <w:r w:rsidR="009951D7">
        <w:t xml:space="preserve">she was examined by </w:t>
      </w:r>
      <w:r>
        <w:t>Joel A</w:t>
      </w:r>
      <w:r w:rsidR="00512452">
        <w:t>.</w:t>
      </w:r>
      <w:r>
        <w:t xml:space="preserve"> Saperstein</w:t>
      </w:r>
      <w:r w:rsidR="009951D7">
        <w:t>, M.D.,</w:t>
      </w:r>
      <w:r>
        <w:t xml:space="preserve"> </w:t>
      </w:r>
      <w:r w:rsidR="00512452">
        <w:t xml:space="preserve">an orthopedist, </w:t>
      </w:r>
      <w:r>
        <w:t xml:space="preserve">who diagnosed her with tendinitis of her right hip and shoulder with an early frozen shoulder syndrome with restraint and impingement; </w:t>
      </w:r>
      <w:r w:rsidR="00512452">
        <w:t xml:space="preserve">he gave her </w:t>
      </w:r>
      <w:r>
        <w:t xml:space="preserve">a steroid injection and </w:t>
      </w:r>
      <w:r w:rsidR="00512452">
        <w:t xml:space="preserve">recommended </w:t>
      </w:r>
      <w:r>
        <w:t>physical therapy. (Exh. 11)</w:t>
      </w:r>
      <w:r w:rsidR="00512452">
        <w:t>.</w:t>
      </w:r>
    </w:p>
    <w:p w:rsidR="00B42A47" w:rsidRDefault="00B42A47" w:rsidP="00512452">
      <w:pPr>
        <w:pStyle w:val="ListParagraph"/>
        <w:numPr>
          <w:ilvl w:val="0"/>
          <w:numId w:val="1"/>
        </w:numPr>
        <w:ind w:left="0" w:firstLine="720"/>
        <w:jc w:val="left"/>
      </w:pPr>
      <w:r>
        <w:t>On July 12, 2011</w:t>
      </w:r>
      <w:r w:rsidR="00A05F33">
        <w:t>,</w:t>
      </w:r>
      <w:r>
        <w:t xml:space="preserve"> she presented wi</w:t>
      </w:r>
      <w:r w:rsidR="009951D7">
        <w:t xml:space="preserve">th </w:t>
      </w:r>
      <w:r w:rsidR="003C2B4F">
        <w:t xml:space="preserve">continuing </w:t>
      </w:r>
      <w:r w:rsidR="009951D7">
        <w:t>pain</w:t>
      </w:r>
      <w:r w:rsidR="003C2B4F">
        <w:t xml:space="preserve"> that could </w:t>
      </w:r>
      <w:r w:rsidR="00A81827">
        <w:t xml:space="preserve">have been </w:t>
      </w:r>
      <w:r w:rsidR="003C2B4F">
        <w:t>sciatica.</w:t>
      </w:r>
      <w:r>
        <w:t xml:space="preserve"> (Exh. 11).</w:t>
      </w:r>
    </w:p>
    <w:p w:rsidR="00624310" w:rsidRDefault="00624310" w:rsidP="00512452">
      <w:pPr>
        <w:pStyle w:val="ListParagraph"/>
        <w:numPr>
          <w:ilvl w:val="0"/>
          <w:numId w:val="1"/>
        </w:numPr>
        <w:ind w:left="0" w:firstLine="720"/>
        <w:jc w:val="left"/>
      </w:pPr>
      <w:r>
        <w:t>Effective September 1, 2011, Ms. Henry was placed on leave from her position at the district Attorney’s Office. (</w:t>
      </w:r>
      <w:proofErr w:type="spellStart"/>
      <w:r>
        <w:t>Exhs</w:t>
      </w:r>
      <w:proofErr w:type="spellEnd"/>
      <w:r>
        <w:t>. 5, 6, 11).</w:t>
      </w:r>
    </w:p>
    <w:p w:rsidR="00B42A47" w:rsidRDefault="007A360B" w:rsidP="00512452">
      <w:pPr>
        <w:pStyle w:val="ListParagraph"/>
        <w:numPr>
          <w:ilvl w:val="0"/>
          <w:numId w:val="1"/>
        </w:numPr>
        <w:ind w:left="0" w:firstLine="720"/>
        <w:jc w:val="left"/>
      </w:pPr>
      <w:r>
        <w:t xml:space="preserve"> </w:t>
      </w:r>
      <w:r w:rsidR="00B42A47">
        <w:t>On September 7, 2011</w:t>
      </w:r>
      <w:r w:rsidR="00A05F33">
        <w:t>,</w:t>
      </w:r>
      <w:r w:rsidR="00B42A47">
        <w:t xml:space="preserve"> Dr. Saperstein </w:t>
      </w:r>
      <w:r w:rsidR="00122AA5">
        <w:t xml:space="preserve">reported that Ms. Henry had limited motion of the </w:t>
      </w:r>
      <w:r w:rsidR="006007A5">
        <w:t xml:space="preserve">right </w:t>
      </w:r>
      <w:r w:rsidR="00122AA5">
        <w:t>shoulder wi</w:t>
      </w:r>
      <w:r w:rsidR="008E261A">
        <w:t>th more visceral pain; his treatment</w:t>
      </w:r>
      <w:r w:rsidR="00122AA5">
        <w:t xml:space="preserve"> was another steroid injection with physical therapy and an MRI recommendation. (</w:t>
      </w:r>
      <w:proofErr w:type="spellStart"/>
      <w:r w:rsidR="00122AA5">
        <w:t>Exh</w:t>
      </w:r>
      <w:r w:rsidR="003C2B4F">
        <w:t>s</w:t>
      </w:r>
      <w:proofErr w:type="spellEnd"/>
      <w:r w:rsidR="00122AA5">
        <w:t xml:space="preserve">. </w:t>
      </w:r>
      <w:r w:rsidR="003C2B4F">
        <w:t xml:space="preserve">6, </w:t>
      </w:r>
      <w:r w:rsidR="00122AA5">
        <w:t>11).</w:t>
      </w:r>
    </w:p>
    <w:p w:rsidR="00122AA5" w:rsidRDefault="00122AA5" w:rsidP="00512452">
      <w:pPr>
        <w:pStyle w:val="ListParagraph"/>
        <w:numPr>
          <w:ilvl w:val="0"/>
          <w:numId w:val="1"/>
        </w:numPr>
        <w:ind w:left="0" w:firstLine="720"/>
        <w:jc w:val="left"/>
      </w:pPr>
      <w:r>
        <w:t>On September 21, 2011</w:t>
      </w:r>
      <w:r w:rsidR="00A05F33">
        <w:t>,</w:t>
      </w:r>
      <w:r>
        <w:t xml:space="preserve"> Ms. Henry told Dr. Saperstein </w:t>
      </w:r>
      <w:r w:rsidR="006007A5">
        <w:t xml:space="preserve">that </w:t>
      </w:r>
      <w:r>
        <w:t>the</w:t>
      </w:r>
      <w:r w:rsidR="008E261A">
        <w:t xml:space="preserve"> limited motion and discomfort </w:t>
      </w:r>
      <w:r w:rsidR="006007A5">
        <w:t xml:space="preserve">in her shoulder </w:t>
      </w:r>
      <w:r w:rsidR="00AB77F1">
        <w:t xml:space="preserve">had </w:t>
      </w:r>
      <w:r>
        <w:t>hinder</w:t>
      </w:r>
      <w:r w:rsidR="006007A5">
        <w:t>ed</w:t>
      </w:r>
      <w:r>
        <w:t xml:space="preserve"> her job</w:t>
      </w:r>
      <w:r w:rsidR="006007A5">
        <w:t xml:space="preserve"> performance</w:t>
      </w:r>
      <w:r>
        <w:t xml:space="preserve">; </w:t>
      </w:r>
      <w:r w:rsidR="008E261A">
        <w:t xml:space="preserve">he prescribed </w:t>
      </w:r>
      <w:r>
        <w:t xml:space="preserve">more physical therapy and </w:t>
      </w:r>
      <w:r w:rsidR="006007A5">
        <w:t>anti-</w:t>
      </w:r>
      <w:r>
        <w:t>inflammatory drugs</w:t>
      </w:r>
      <w:r w:rsidR="006007A5">
        <w:t>. He recommended</w:t>
      </w:r>
      <w:r>
        <w:t xml:space="preserve"> an MRI to rule out </w:t>
      </w:r>
      <w:r w:rsidR="006007A5">
        <w:t xml:space="preserve">the need for </w:t>
      </w:r>
      <w:r>
        <w:t>surgery. (Exh. 11).</w:t>
      </w:r>
    </w:p>
    <w:p w:rsidR="009C1089" w:rsidRDefault="008170DD" w:rsidP="00512452">
      <w:pPr>
        <w:pStyle w:val="ListParagraph"/>
        <w:numPr>
          <w:ilvl w:val="0"/>
          <w:numId w:val="1"/>
        </w:numPr>
        <w:ind w:left="0" w:firstLine="720"/>
        <w:jc w:val="left"/>
      </w:pPr>
      <w:r>
        <w:t xml:space="preserve">On </w:t>
      </w:r>
      <w:r w:rsidR="009C1089">
        <w:t>September 23, 2011</w:t>
      </w:r>
      <w:r w:rsidR="00A05F33">
        <w:t>,</w:t>
      </w:r>
      <w:r w:rsidR="009C1089">
        <w:t xml:space="preserve"> Ms. Henry began receiving worker’s compensation. (</w:t>
      </w:r>
      <w:proofErr w:type="spellStart"/>
      <w:r w:rsidR="009C1089">
        <w:t>Exh</w:t>
      </w:r>
      <w:r w:rsidR="00624310">
        <w:t>s</w:t>
      </w:r>
      <w:proofErr w:type="spellEnd"/>
      <w:r w:rsidR="009C1089">
        <w:t xml:space="preserve">. </w:t>
      </w:r>
      <w:r w:rsidR="00624310">
        <w:t xml:space="preserve">5, </w:t>
      </w:r>
      <w:r w:rsidR="009C1089">
        <w:t>11).</w:t>
      </w:r>
    </w:p>
    <w:p w:rsidR="00122AA5" w:rsidRDefault="00122AA5" w:rsidP="00512452">
      <w:pPr>
        <w:pStyle w:val="ListParagraph"/>
        <w:numPr>
          <w:ilvl w:val="0"/>
          <w:numId w:val="1"/>
        </w:numPr>
        <w:ind w:left="0" w:firstLine="720"/>
        <w:jc w:val="left"/>
      </w:pPr>
      <w:r>
        <w:t>On October 12, 2011</w:t>
      </w:r>
      <w:r w:rsidR="00A05F33">
        <w:t>,</w:t>
      </w:r>
      <w:r w:rsidR="008E261A">
        <w:t xml:space="preserve"> </w:t>
      </w:r>
      <w:r w:rsidR="004155F9">
        <w:t xml:space="preserve">following an MRI on October 5, 2011, </w:t>
      </w:r>
      <w:r w:rsidR="008E261A">
        <w:t>Dr. Saperstein revised</w:t>
      </w:r>
      <w:r>
        <w:t xml:space="preserve"> </w:t>
      </w:r>
      <w:r w:rsidR="004155F9">
        <w:t>his</w:t>
      </w:r>
      <w:r>
        <w:t xml:space="preserve"> diagnosis </w:t>
      </w:r>
      <w:r w:rsidR="008E261A">
        <w:t>from tendinitis to an intra</w:t>
      </w:r>
      <w:r>
        <w:t>sub</w:t>
      </w:r>
      <w:r w:rsidR="008E261A">
        <w:t xml:space="preserve">stance tear of the rotator cuff. Dr. Saperstein </w:t>
      </w:r>
      <w:r w:rsidR="008E261A">
        <w:lastRenderedPageBreak/>
        <w:t>pr</w:t>
      </w:r>
      <w:r w:rsidR="004155F9">
        <w:t>ovided</w:t>
      </w:r>
      <w:r w:rsidR="008E261A">
        <w:t xml:space="preserve"> </w:t>
      </w:r>
      <w:r w:rsidR="004155F9">
        <w:t xml:space="preserve">a </w:t>
      </w:r>
      <w:r w:rsidR="008E261A">
        <w:t>steroid</w:t>
      </w:r>
      <w:r w:rsidR="004155F9">
        <w:t xml:space="preserve"> injection</w:t>
      </w:r>
      <w:r w:rsidR="008E261A">
        <w:t xml:space="preserve"> and </w:t>
      </w:r>
      <w:r w:rsidR="004155F9">
        <w:t xml:space="preserve">told Ms. Henry </w:t>
      </w:r>
      <w:r>
        <w:t>that if she didn’t improve</w:t>
      </w:r>
      <w:r w:rsidR="00AB77F1">
        <w:t>,</w:t>
      </w:r>
      <w:r>
        <w:t xml:space="preserve"> she would be </w:t>
      </w:r>
      <w:r w:rsidR="004155F9">
        <w:t xml:space="preserve">evaluated </w:t>
      </w:r>
      <w:r>
        <w:t>for surgery. (Exh. 11).</w:t>
      </w:r>
    </w:p>
    <w:p w:rsidR="00122AA5" w:rsidRDefault="00122AA5" w:rsidP="00512452">
      <w:pPr>
        <w:pStyle w:val="ListParagraph"/>
        <w:numPr>
          <w:ilvl w:val="0"/>
          <w:numId w:val="1"/>
        </w:numPr>
        <w:ind w:left="0" w:firstLine="720"/>
        <w:jc w:val="left"/>
      </w:pPr>
      <w:r>
        <w:t>On November 2, 2011</w:t>
      </w:r>
      <w:r w:rsidR="00A05F33">
        <w:t>,</w:t>
      </w:r>
      <w:r>
        <w:t xml:space="preserve"> Dr. Saperstein recommended Ms. Henry be screened for surgery. (Exh. 11).</w:t>
      </w:r>
    </w:p>
    <w:p w:rsidR="00FF2B42" w:rsidRDefault="004155F9" w:rsidP="00512452">
      <w:pPr>
        <w:pStyle w:val="ListParagraph"/>
        <w:numPr>
          <w:ilvl w:val="0"/>
          <w:numId w:val="1"/>
        </w:numPr>
        <w:ind w:left="0" w:firstLine="720"/>
        <w:jc w:val="left"/>
      </w:pPr>
      <w:r>
        <w:t>O</w:t>
      </w:r>
      <w:r w:rsidR="00CF6AFA">
        <w:t xml:space="preserve">n </w:t>
      </w:r>
      <w:r>
        <w:t xml:space="preserve">November 29, </w:t>
      </w:r>
      <w:r w:rsidR="00CF6AFA">
        <w:t xml:space="preserve">2011, Ms. Henry </w:t>
      </w:r>
      <w:r>
        <w:t>saw</w:t>
      </w:r>
      <w:r w:rsidR="003171B2">
        <w:t xml:space="preserve"> </w:t>
      </w:r>
      <w:r w:rsidR="00FF2B42">
        <w:t>Christian Anders</w:t>
      </w:r>
      <w:r w:rsidR="001E672A">
        <w:t>e</w:t>
      </w:r>
      <w:r w:rsidR="00FF2B42">
        <w:t>n</w:t>
      </w:r>
      <w:r w:rsidR="003171B2">
        <w:t>, M.D.</w:t>
      </w:r>
      <w:r>
        <w:t xml:space="preserve">, an orthopedist, </w:t>
      </w:r>
      <w:r w:rsidR="00C32733">
        <w:t xml:space="preserve">who </w:t>
      </w:r>
      <w:r>
        <w:t>diagnosed a “large partial-thickness tear of the supraspinatus” and “a partial split tear off of the superior labrum</w:t>
      </w:r>
      <w:r w:rsidR="006D5078">
        <w:t>,</w:t>
      </w:r>
      <w:r>
        <w:t>”</w:t>
      </w:r>
      <w:r w:rsidR="006D5078">
        <w:t xml:space="preserve"> the latter of which did not appear on the MRI, but was consistent with h</w:t>
      </w:r>
      <w:r w:rsidR="00AB77F1">
        <w:t>is</w:t>
      </w:r>
      <w:r w:rsidR="006D5078">
        <w:t xml:space="preserve"> clinical findings.</w:t>
      </w:r>
      <w:r w:rsidR="00C32733">
        <w:t xml:space="preserve"> (Exh. 11).</w:t>
      </w:r>
    </w:p>
    <w:p w:rsidR="00C32733" w:rsidRDefault="00C32733" w:rsidP="00512452">
      <w:pPr>
        <w:pStyle w:val="ListParagraph"/>
        <w:numPr>
          <w:ilvl w:val="0"/>
          <w:numId w:val="1"/>
        </w:numPr>
        <w:ind w:left="0" w:firstLine="720"/>
        <w:jc w:val="left"/>
      </w:pPr>
      <w:r>
        <w:t>On January 12, 201</w:t>
      </w:r>
      <w:r w:rsidR="001D5B53">
        <w:t>2</w:t>
      </w:r>
      <w:r w:rsidR="00A05F33">
        <w:t>,</w:t>
      </w:r>
      <w:r>
        <w:t xml:space="preserve"> </w:t>
      </w:r>
      <w:r w:rsidR="003171B2">
        <w:t>Dr. Anders</w:t>
      </w:r>
      <w:r w:rsidR="001D5B53">
        <w:t>e</w:t>
      </w:r>
      <w:r w:rsidR="003171B2">
        <w:t xml:space="preserve">n </w:t>
      </w:r>
      <w:r w:rsidR="001E6E25">
        <w:t xml:space="preserve">noted surgery would be delayed until Ms. Henry’s diabetes was under control.  He </w:t>
      </w:r>
      <w:r w:rsidR="003171B2">
        <w:t>inje</w:t>
      </w:r>
      <w:r>
        <w:t>cted</w:t>
      </w:r>
      <w:r w:rsidR="003171B2">
        <w:t xml:space="preserve"> </w:t>
      </w:r>
      <w:r w:rsidR="001D5B53">
        <w:t>M</w:t>
      </w:r>
      <w:r w:rsidR="001E6E25">
        <w:t>s</w:t>
      </w:r>
      <w:r w:rsidR="001D5B53">
        <w:t xml:space="preserve">. Henry’s shoulder </w:t>
      </w:r>
      <w:r>
        <w:t>with cortisone</w:t>
      </w:r>
      <w:r w:rsidR="001D5B53">
        <w:t>,</w:t>
      </w:r>
      <w:r>
        <w:t xml:space="preserve"> which </w:t>
      </w:r>
      <w:r w:rsidR="001D5B53">
        <w:t xml:space="preserve">relieved </w:t>
      </w:r>
      <w:r>
        <w:t xml:space="preserve">her </w:t>
      </w:r>
      <w:r w:rsidR="009C1089">
        <w:t xml:space="preserve">symptoms for </w:t>
      </w:r>
      <w:r w:rsidR="001E6E25">
        <w:t xml:space="preserve">about five </w:t>
      </w:r>
      <w:r w:rsidR="009C1089">
        <w:t>weeks. (Exh. 11).</w:t>
      </w:r>
    </w:p>
    <w:p w:rsidR="00615961" w:rsidRDefault="004361BD" w:rsidP="00512452">
      <w:pPr>
        <w:pStyle w:val="ListParagraph"/>
        <w:numPr>
          <w:ilvl w:val="0"/>
          <w:numId w:val="1"/>
        </w:numPr>
        <w:ind w:left="0" w:firstLine="720"/>
        <w:jc w:val="left"/>
      </w:pPr>
      <w:r>
        <w:t>On March 5, 2012</w:t>
      </w:r>
      <w:r w:rsidR="00A05F33">
        <w:t>,</w:t>
      </w:r>
      <w:r>
        <w:t xml:space="preserve"> </w:t>
      </w:r>
      <w:r w:rsidR="00FF2B42">
        <w:t xml:space="preserve">Kenneth </w:t>
      </w:r>
      <w:proofErr w:type="spellStart"/>
      <w:r w:rsidR="00FF2B42">
        <w:t>Polivy</w:t>
      </w:r>
      <w:proofErr w:type="spellEnd"/>
      <w:r>
        <w:t>, M.D.</w:t>
      </w:r>
      <w:r w:rsidR="00FF2B42">
        <w:t xml:space="preserve"> </w:t>
      </w:r>
      <w:r w:rsidR="001E6E25">
        <w:t xml:space="preserve">saw </w:t>
      </w:r>
      <w:r w:rsidR="00FF2B42">
        <w:t xml:space="preserve">Ms. Henry </w:t>
      </w:r>
      <w:r w:rsidR="001E6E25">
        <w:t>for an independent medical evaluation associated with her worker’s compensation claim. W</w:t>
      </w:r>
      <w:r w:rsidR="009C1089">
        <w:t>hile her shoulder had not fully improved, her r</w:t>
      </w:r>
      <w:r>
        <w:t xml:space="preserve">ange of motion was </w:t>
      </w:r>
      <w:r w:rsidR="001E6E25">
        <w:t>80-90 degrees</w:t>
      </w:r>
      <w:r w:rsidR="001B2C37">
        <w:t xml:space="preserve">, </w:t>
      </w:r>
      <w:r>
        <w:t>and he determined</w:t>
      </w:r>
      <w:r w:rsidR="009C1089">
        <w:t xml:space="preserve"> she </w:t>
      </w:r>
      <w:r w:rsidR="001B2C37">
        <w:t xml:space="preserve">could return to work in a sedentary position </w:t>
      </w:r>
      <w:r w:rsidR="009C1089">
        <w:t>with limiting conditions (i.e.</w:t>
      </w:r>
      <w:r w:rsidR="001B2C37">
        <w:t>,</w:t>
      </w:r>
      <w:r w:rsidR="009C1089">
        <w:t xml:space="preserve"> using a headset to answer the phone)</w:t>
      </w:r>
      <w:r w:rsidR="001B2C37">
        <w:t>.</w:t>
      </w:r>
      <w:r w:rsidR="009C1089">
        <w:t xml:space="preserve"> </w:t>
      </w:r>
      <w:r w:rsidR="001B2C37">
        <w:t>S</w:t>
      </w:r>
      <w:r w:rsidR="009C1089">
        <w:t>urgery</w:t>
      </w:r>
      <w:r w:rsidR="001B2C37">
        <w:t xml:space="preserve"> may not resolve her pain, and, given her uncontrolled diabetes, she was not </w:t>
      </w:r>
      <w:r w:rsidR="00610FAA">
        <w:t xml:space="preserve">then </w:t>
      </w:r>
      <w:r w:rsidR="001B2C37">
        <w:t>a candidate</w:t>
      </w:r>
      <w:r w:rsidR="00AB77F1">
        <w:t xml:space="preserve"> for it</w:t>
      </w:r>
      <w:r w:rsidR="001B2C37">
        <w:t>.</w:t>
      </w:r>
      <w:r w:rsidR="00FF2B42">
        <w:t xml:space="preserve"> (Exh. 11).</w:t>
      </w:r>
    </w:p>
    <w:p w:rsidR="009C1089" w:rsidRDefault="009C1089" w:rsidP="00512452">
      <w:pPr>
        <w:pStyle w:val="ListParagraph"/>
        <w:numPr>
          <w:ilvl w:val="0"/>
          <w:numId w:val="1"/>
        </w:numPr>
        <w:ind w:left="0" w:firstLine="720"/>
        <w:jc w:val="left"/>
      </w:pPr>
      <w:r>
        <w:t>On March 16, 2012</w:t>
      </w:r>
      <w:r w:rsidR="00A05F33">
        <w:t>,</w:t>
      </w:r>
      <w:r>
        <w:t xml:space="preserve"> Ms. Henry was issued a “return to work” notice from </w:t>
      </w:r>
      <w:r w:rsidR="00610FAA">
        <w:t>H</w:t>
      </w:r>
      <w:r>
        <w:t xml:space="preserve">uman </w:t>
      </w:r>
      <w:r w:rsidR="00610FAA">
        <w:t>R</w:t>
      </w:r>
      <w:r>
        <w:t xml:space="preserve">esources </w:t>
      </w:r>
      <w:r w:rsidR="008170DD">
        <w:t>with the offer of reverting to a “light duty” variation</w:t>
      </w:r>
      <w:r w:rsidR="00610FAA">
        <w:t xml:space="preserve"> with no lifting</w:t>
      </w:r>
      <w:r w:rsidR="008170DD">
        <w:t>; she would need to return by March 26, 2012</w:t>
      </w:r>
      <w:r w:rsidR="00E35ED0">
        <w:t>.</w:t>
      </w:r>
      <w:r w:rsidR="00510154">
        <w:t xml:space="preserve"> (Exh. 5)</w:t>
      </w:r>
      <w:r w:rsidR="009E57E6">
        <w:t>.</w:t>
      </w:r>
    </w:p>
    <w:p w:rsidR="00510154" w:rsidRDefault="00510154" w:rsidP="00512452">
      <w:pPr>
        <w:pStyle w:val="ListParagraph"/>
        <w:numPr>
          <w:ilvl w:val="0"/>
          <w:numId w:val="1"/>
        </w:numPr>
        <w:ind w:left="0" w:firstLine="720"/>
        <w:jc w:val="left"/>
      </w:pPr>
      <w:r>
        <w:t>On March 28, 2012</w:t>
      </w:r>
      <w:r w:rsidR="00A05F33">
        <w:t>,</w:t>
      </w:r>
      <w:r>
        <w:t xml:space="preserve"> Human Resources </w:t>
      </w:r>
      <w:r w:rsidR="00610FAA">
        <w:t xml:space="preserve">notified Ms. Henry’s employer </w:t>
      </w:r>
      <w:r>
        <w:t>that her worker’s compensation would be terminated</w:t>
      </w:r>
      <w:r w:rsidR="00610FAA">
        <w:t xml:space="preserve"> on April 6, 2012 because the medical information was insufficient to support a finding of </w:t>
      </w:r>
      <w:proofErr w:type="gramStart"/>
      <w:r w:rsidR="00610FAA">
        <w:t>disability,</w:t>
      </w:r>
      <w:proofErr w:type="gramEnd"/>
      <w:r w:rsidR="00610FAA">
        <w:t xml:space="preserve"> Ms. Henry’s disability was not related to her </w:t>
      </w:r>
      <w:r w:rsidR="00610FAA">
        <w:lastRenderedPageBreak/>
        <w:t>work injury, the independent medical evaluation found her able to do light duty work, which was available to her</w:t>
      </w:r>
      <w:r>
        <w:t xml:space="preserve">. </w:t>
      </w:r>
      <w:r w:rsidR="00610FAA">
        <w:rPr>
          <w:rStyle w:val="FootnoteReference"/>
        </w:rPr>
        <w:footnoteReference w:id="1"/>
      </w:r>
      <w:r w:rsidR="00AB77F1">
        <w:t xml:space="preserve"> </w:t>
      </w:r>
      <w:r>
        <w:t>(</w:t>
      </w:r>
      <w:proofErr w:type="spellStart"/>
      <w:r>
        <w:t>Exh</w:t>
      </w:r>
      <w:proofErr w:type="spellEnd"/>
      <w:r>
        <w:t>. 6)</w:t>
      </w:r>
      <w:r w:rsidR="009E57E6">
        <w:t>.</w:t>
      </w:r>
    </w:p>
    <w:p w:rsidR="00E35ED0" w:rsidRDefault="00CC68A1" w:rsidP="00512452">
      <w:pPr>
        <w:pStyle w:val="ListParagraph"/>
        <w:numPr>
          <w:ilvl w:val="0"/>
          <w:numId w:val="1"/>
        </w:numPr>
        <w:ind w:left="0" w:firstLine="720"/>
        <w:jc w:val="left"/>
      </w:pPr>
      <w:r>
        <w:t>Ms. Henry saw a psychologist from</w:t>
      </w:r>
      <w:r w:rsidR="00E35ED0">
        <w:t xml:space="preserve"> April </w:t>
      </w:r>
      <w:r>
        <w:t xml:space="preserve">11, </w:t>
      </w:r>
      <w:r w:rsidR="00E35ED0">
        <w:t>2012</w:t>
      </w:r>
      <w:r>
        <w:t xml:space="preserve"> through September 28, 2012. She was treated for depression resulting from her work injury</w:t>
      </w:r>
      <w:r w:rsidR="00152B40">
        <w:t xml:space="preserve"> and lack of mobility and for her difficulty completing tasks of daily living</w:t>
      </w:r>
      <w:r>
        <w:t xml:space="preserve">. </w:t>
      </w:r>
      <w:r w:rsidR="00E35ED0">
        <w:t>(</w:t>
      </w:r>
      <w:proofErr w:type="spellStart"/>
      <w:r w:rsidR="00E35ED0">
        <w:t>Exh</w:t>
      </w:r>
      <w:proofErr w:type="spellEnd"/>
      <w:r w:rsidR="00E35ED0">
        <w:t>. 11).</w:t>
      </w:r>
    </w:p>
    <w:p w:rsidR="00FF2B42" w:rsidRDefault="00721522" w:rsidP="00512452">
      <w:pPr>
        <w:pStyle w:val="ListParagraph"/>
        <w:numPr>
          <w:ilvl w:val="0"/>
          <w:numId w:val="1"/>
        </w:numPr>
        <w:ind w:left="0" w:firstLine="720"/>
        <w:jc w:val="left"/>
      </w:pPr>
      <w:r>
        <w:t>On June 12</w:t>
      </w:r>
      <w:r w:rsidR="00FF2B42">
        <w:t>, 2012</w:t>
      </w:r>
      <w:r w:rsidR="00A05F33">
        <w:t>,</w:t>
      </w:r>
      <w:r w:rsidR="00FF2B42">
        <w:t xml:space="preserve"> Dr. Polivy reevaluated her and </w:t>
      </w:r>
      <w:r w:rsidR="008170DD">
        <w:t xml:space="preserve">diagnosed her with adhesive capsulitis in the </w:t>
      </w:r>
      <w:r w:rsidR="00152B40">
        <w:t xml:space="preserve">right </w:t>
      </w:r>
      <w:r w:rsidR="008170DD">
        <w:t>shoulder with rotator cuff tendinitis; she was deemed a candidate for surgery</w:t>
      </w:r>
      <w:r w:rsidR="00152B40">
        <w:t>.</w:t>
      </w:r>
      <w:r w:rsidR="008170DD">
        <w:t xml:space="preserve"> </w:t>
      </w:r>
      <w:r w:rsidR="00152B40">
        <w:t xml:space="preserve">Her work injury was the major cause of her need for ongoing treatment. She was able to do sedentary work. </w:t>
      </w:r>
      <w:r w:rsidR="008170DD">
        <w:t>(</w:t>
      </w:r>
      <w:proofErr w:type="spellStart"/>
      <w:r w:rsidR="008170DD">
        <w:t>Exh</w:t>
      </w:r>
      <w:proofErr w:type="spellEnd"/>
      <w:r w:rsidR="008170DD">
        <w:t>. 11).</w:t>
      </w:r>
    </w:p>
    <w:p w:rsidR="00152B40" w:rsidRDefault="00152B40" w:rsidP="00512452">
      <w:pPr>
        <w:pStyle w:val="ListParagraph"/>
        <w:numPr>
          <w:ilvl w:val="0"/>
          <w:numId w:val="1"/>
        </w:numPr>
        <w:ind w:left="0" w:firstLine="720"/>
        <w:jc w:val="left"/>
      </w:pPr>
      <w:r>
        <w:t>At a hearing on August 29, 2012, Ms. Henry prevailed at her worker’s compensation hearing and was awarded benefits. (</w:t>
      </w:r>
      <w:proofErr w:type="spellStart"/>
      <w:r>
        <w:t>Exh</w:t>
      </w:r>
      <w:proofErr w:type="spellEnd"/>
      <w:r>
        <w:t>. 11).</w:t>
      </w:r>
    </w:p>
    <w:p w:rsidR="001E672A" w:rsidRDefault="001E672A" w:rsidP="00512452">
      <w:pPr>
        <w:pStyle w:val="ListParagraph"/>
        <w:numPr>
          <w:ilvl w:val="0"/>
          <w:numId w:val="1"/>
        </w:numPr>
        <w:ind w:left="0" w:firstLine="720"/>
        <w:jc w:val="left"/>
      </w:pPr>
      <w:r>
        <w:t>On November 30, 2012</w:t>
      </w:r>
      <w:r w:rsidR="00A05F33">
        <w:t>,</w:t>
      </w:r>
      <w:r>
        <w:t xml:space="preserve"> Ms. Henry underwent rotator cuff repair surgery. (Exh. 11).</w:t>
      </w:r>
    </w:p>
    <w:p w:rsidR="006D3663" w:rsidRDefault="00E02904" w:rsidP="00512452">
      <w:pPr>
        <w:pStyle w:val="ListParagraph"/>
        <w:numPr>
          <w:ilvl w:val="0"/>
          <w:numId w:val="1"/>
        </w:numPr>
        <w:ind w:left="0" w:firstLine="720"/>
        <w:jc w:val="left"/>
      </w:pPr>
      <w:r>
        <w:t>Following surgery, Ms. Henry followed up with Dr. Andersen and attended physical therapy.  Her pain decreased from constant to dull, and her range of motion increased.</w:t>
      </w:r>
      <w:r w:rsidR="006D3663">
        <w:t xml:space="preserve"> (Exh. 11).</w:t>
      </w:r>
    </w:p>
    <w:p w:rsidR="006D3663" w:rsidRDefault="00E02904" w:rsidP="00512452">
      <w:pPr>
        <w:pStyle w:val="ListParagraph"/>
        <w:numPr>
          <w:ilvl w:val="0"/>
          <w:numId w:val="1"/>
        </w:numPr>
        <w:ind w:left="0" w:firstLine="720"/>
        <w:jc w:val="left"/>
      </w:pPr>
      <w:r>
        <w:t>By April 13, 2013, Dr. Anderson reported “remarkably improved range of motion” with discomfort a</w:t>
      </w:r>
      <w:r w:rsidR="00AB77F1">
        <w:t>t</w:t>
      </w:r>
      <w:r>
        <w:t xml:space="preserve"> the extremes and modest weakness</w:t>
      </w:r>
      <w:r w:rsidR="002E1215">
        <w:t xml:space="preserve"> with some movements, as expected</w:t>
      </w:r>
      <w:r>
        <w:t xml:space="preserve">. </w:t>
      </w:r>
      <w:r w:rsidR="006D3663">
        <w:t>(</w:t>
      </w:r>
      <w:proofErr w:type="spellStart"/>
      <w:r w:rsidR="006D3663">
        <w:t>Exh</w:t>
      </w:r>
      <w:proofErr w:type="spellEnd"/>
      <w:r w:rsidR="006D3663">
        <w:t>. 11).</w:t>
      </w:r>
    </w:p>
    <w:p w:rsidR="006D3663" w:rsidRDefault="002E1215" w:rsidP="00512452">
      <w:pPr>
        <w:pStyle w:val="ListParagraph"/>
        <w:numPr>
          <w:ilvl w:val="0"/>
          <w:numId w:val="1"/>
        </w:numPr>
        <w:ind w:left="0" w:firstLine="720"/>
        <w:jc w:val="left"/>
      </w:pPr>
      <w:r>
        <w:t xml:space="preserve">On April 22, 2013, Ms. Henry’s physical therapist reported her improved range of motion and moderate functional restrictions; she recommended continued skilled physical therapy to maximize functional strength for </w:t>
      </w:r>
      <w:r w:rsidR="00633DA7">
        <w:t>Ms. Henry’s</w:t>
      </w:r>
      <w:r>
        <w:t xml:space="preserve"> return to work duties. (</w:t>
      </w:r>
      <w:proofErr w:type="spellStart"/>
      <w:r w:rsidR="006D3663">
        <w:t>Exh</w:t>
      </w:r>
      <w:proofErr w:type="spellEnd"/>
      <w:r w:rsidR="006D3663">
        <w:t>. 11).</w:t>
      </w:r>
    </w:p>
    <w:p w:rsidR="00A54AF7" w:rsidRDefault="00A54AF7" w:rsidP="00512452">
      <w:pPr>
        <w:pStyle w:val="ListParagraph"/>
        <w:numPr>
          <w:ilvl w:val="0"/>
          <w:numId w:val="1"/>
        </w:numPr>
        <w:ind w:left="0" w:firstLine="720"/>
        <w:jc w:val="left"/>
      </w:pPr>
      <w:r>
        <w:lastRenderedPageBreak/>
        <w:t>On March 14, 2013</w:t>
      </w:r>
      <w:r w:rsidR="00A05F33">
        <w:t>,</w:t>
      </w:r>
      <w:r>
        <w:t xml:space="preserve"> </w:t>
      </w:r>
      <w:r w:rsidR="00FF7E5E">
        <w:t xml:space="preserve">Hillel </w:t>
      </w:r>
      <w:proofErr w:type="spellStart"/>
      <w:r w:rsidR="00FF7E5E">
        <w:t>Skoff</w:t>
      </w:r>
      <w:proofErr w:type="spellEnd"/>
      <w:r w:rsidR="003F38C7">
        <w:t>, M.D.</w:t>
      </w:r>
      <w:r w:rsidR="00633DA7">
        <w:t xml:space="preserve">, </w:t>
      </w:r>
      <w:r w:rsidR="00FF7E5E">
        <w:t>a</w:t>
      </w:r>
      <w:r w:rsidR="00633DA7">
        <w:t>n orthopedist and h</w:t>
      </w:r>
      <w:r w:rsidR="00FF7E5E">
        <w:t xml:space="preserve">and, </w:t>
      </w:r>
      <w:r w:rsidR="00633DA7">
        <w:t>w</w:t>
      </w:r>
      <w:r w:rsidR="00FF7E5E">
        <w:t xml:space="preserve">rist, </w:t>
      </w:r>
      <w:r w:rsidR="00633DA7">
        <w:t>e</w:t>
      </w:r>
      <w:r w:rsidR="00FF7E5E">
        <w:t xml:space="preserve">lbow </w:t>
      </w:r>
      <w:r w:rsidR="00633DA7">
        <w:t>and s</w:t>
      </w:r>
      <w:r w:rsidR="00FF7E5E">
        <w:t xml:space="preserve">houlder </w:t>
      </w:r>
      <w:r w:rsidR="00633DA7">
        <w:t>s</w:t>
      </w:r>
      <w:r w:rsidR="00FF7E5E">
        <w:t>pecialist</w:t>
      </w:r>
      <w:r w:rsidR="00633DA7">
        <w:t xml:space="preserve"> conducted an impartial medical examination to </w:t>
      </w:r>
      <w:r w:rsidR="00FF7E5E">
        <w:t>e</w:t>
      </w:r>
      <w:r w:rsidR="003F38C7">
        <w:t>valuate Ms. Henry</w:t>
      </w:r>
      <w:r w:rsidR="00633DA7">
        <w:t xml:space="preserve">. </w:t>
      </w:r>
      <w:r w:rsidR="00127581">
        <w:t>H</w:t>
      </w:r>
      <w:r w:rsidR="003F38C7">
        <w:t>e</w:t>
      </w:r>
      <w:r w:rsidR="00FF7E5E">
        <w:t xml:space="preserve"> found that her condition was causally related to her injury at work </w:t>
      </w:r>
      <w:r w:rsidR="00127581">
        <w:t xml:space="preserve">and that </w:t>
      </w:r>
      <w:r w:rsidR="00FF7E5E">
        <w:t xml:space="preserve">she </w:t>
      </w:r>
      <w:r w:rsidR="00633DA7">
        <w:t xml:space="preserve">had some work capacity </w:t>
      </w:r>
      <w:r w:rsidR="00127581">
        <w:t xml:space="preserve">but </w:t>
      </w:r>
      <w:r w:rsidR="00633DA7">
        <w:t xml:space="preserve">with </w:t>
      </w:r>
      <w:r w:rsidR="00127581">
        <w:t xml:space="preserve">the </w:t>
      </w:r>
      <w:r w:rsidR="00633DA7">
        <w:t>limitations of no lifting and no carrying with the upper right limb</w:t>
      </w:r>
      <w:r w:rsidR="00FF7E5E">
        <w:t>. (Exh. 11).</w:t>
      </w:r>
    </w:p>
    <w:p w:rsidR="00615961" w:rsidRDefault="00615961" w:rsidP="00512452">
      <w:pPr>
        <w:pStyle w:val="ListParagraph"/>
        <w:numPr>
          <w:ilvl w:val="0"/>
          <w:numId w:val="1"/>
        </w:numPr>
        <w:ind w:left="0" w:firstLine="720"/>
        <w:jc w:val="left"/>
      </w:pPr>
      <w:r>
        <w:t>On July 15, 2013</w:t>
      </w:r>
      <w:r w:rsidR="00A05F33">
        <w:t>,</w:t>
      </w:r>
      <w:r w:rsidR="00647D7F">
        <w:t xml:space="preserve"> Ms. Henry applied for </w:t>
      </w:r>
      <w:r w:rsidR="00633DA7">
        <w:t>a</w:t>
      </w:r>
      <w:r w:rsidR="00647D7F">
        <w:t xml:space="preserve">ccidental </w:t>
      </w:r>
      <w:r w:rsidR="00633DA7">
        <w:t>d</w:t>
      </w:r>
      <w:r w:rsidR="00F07356">
        <w:t xml:space="preserve">isability </w:t>
      </w:r>
      <w:r w:rsidR="00633DA7">
        <w:t>r</w:t>
      </w:r>
      <w:r w:rsidR="00647D7F">
        <w:t>etirement benefits with the State Board of Retirement. (Exh. 3).</w:t>
      </w:r>
    </w:p>
    <w:p w:rsidR="00647D7F" w:rsidRDefault="00154791" w:rsidP="00512452">
      <w:pPr>
        <w:pStyle w:val="ListParagraph"/>
        <w:numPr>
          <w:ilvl w:val="0"/>
          <w:numId w:val="1"/>
        </w:numPr>
        <w:ind w:left="0" w:firstLine="720"/>
        <w:jc w:val="left"/>
      </w:pPr>
      <w:r>
        <w:t>On March 7</w:t>
      </w:r>
      <w:r w:rsidR="00647D7F">
        <w:t xml:space="preserve">, 2014, </w:t>
      </w:r>
      <w:r>
        <w:t xml:space="preserve">a regional medical panel </w:t>
      </w:r>
      <w:r w:rsidR="00EB304D">
        <w:t>comprised of two orthopedic surgeons, Glen Ross, M.D. and Louis A. Bley, M.D.</w:t>
      </w:r>
      <w:r w:rsidR="00E31B24">
        <w:t>,</w:t>
      </w:r>
      <w:r w:rsidR="00EB304D">
        <w:t xml:space="preserve"> and a doctor of pain management, Eduard A. </w:t>
      </w:r>
      <w:proofErr w:type="spellStart"/>
      <w:r w:rsidR="00EB304D">
        <w:t>Vaynberg</w:t>
      </w:r>
      <w:proofErr w:type="spellEnd"/>
      <w:r w:rsidR="00E31B24">
        <w:t>,</w:t>
      </w:r>
      <w:r w:rsidR="00633DA7">
        <w:t xml:space="preserve"> M.D.,</w:t>
      </w:r>
      <w:r w:rsidR="00EB304D">
        <w:t xml:space="preserve"> </w:t>
      </w:r>
      <w:r>
        <w:t>examined Ms. Henry</w:t>
      </w:r>
      <w:r w:rsidR="00647D7F">
        <w:t>. (Exh. 7).</w:t>
      </w:r>
    </w:p>
    <w:p w:rsidR="00FE202A" w:rsidRDefault="00FE202A" w:rsidP="00512452">
      <w:pPr>
        <w:pStyle w:val="ListParagraph"/>
        <w:numPr>
          <w:ilvl w:val="0"/>
          <w:numId w:val="1"/>
        </w:numPr>
        <w:ind w:left="0" w:firstLine="720"/>
        <w:jc w:val="left"/>
      </w:pPr>
      <w:r>
        <w:t xml:space="preserve">The medical panel reviewed </w:t>
      </w:r>
      <w:r w:rsidR="00C01B9B">
        <w:t>a Support Staff</w:t>
      </w:r>
      <w:r>
        <w:t xml:space="preserve"> job description</w:t>
      </w:r>
      <w:r w:rsidR="00C01B9B">
        <w:t xml:space="preserve"> provided to it</w:t>
      </w:r>
      <w:r w:rsidR="00633DA7">
        <w:t>,</w:t>
      </w:r>
      <w:r>
        <w:t xml:space="preserve"> which </w:t>
      </w:r>
      <w:r w:rsidR="00C01B9B">
        <w:t xml:space="preserve">was modified for </w:t>
      </w:r>
      <w:r>
        <w:t xml:space="preserve">light duty. </w:t>
      </w:r>
      <w:r w:rsidR="00C01B9B">
        <w:t xml:space="preserve">It essentially described a receptionist’s position and did not include responsibility for file management. </w:t>
      </w:r>
      <w:r>
        <w:t>(</w:t>
      </w:r>
      <w:proofErr w:type="spellStart"/>
      <w:r>
        <w:t>Exh</w:t>
      </w:r>
      <w:r w:rsidR="00C01B9B">
        <w:t>s</w:t>
      </w:r>
      <w:proofErr w:type="spellEnd"/>
      <w:r>
        <w:t xml:space="preserve">. </w:t>
      </w:r>
      <w:r w:rsidR="00C01B9B">
        <w:t xml:space="preserve">5, </w:t>
      </w:r>
      <w:r>
        <w:t>8).</w:t>
      </w:r>
    </w:p>
    <w:p w:rsidR="00C01B9B" w:rsidRDefault="00BF2356" w:rsidP="00512452">
      <w:pPr>
        <w:pStyle w:val="ListParagraph"/>
        <w:numPr>
          <w:ilvl w:val="0"/>
          <w:numId w:val="1"/>
        </w:numPr>
        <w:ind w:left="0" w:firstLine="720"/>
        <w:jc w:val="left"/>
      </w:pPr>
      <w:r>
        <w:t>The</w:t>
      </w:r>
      <w:r w:rsidR="001E3EFC">
        <w:t xml:space="preserve"> medical</w:t>
      </w:r>
      <w:r>
        <w:t xml:space="preserve"> panel </w:t>
      </w:r>
      <w:r w:rsidR="00EE65A1">
        <w:t xml:space="preserve">examined Ms. Henry, asked her questions, and </w:t>
      </w:r>
      <w:r w:rsidR="00633DA7">
        <w:t xml:space="preserve">reviewed </w:t>
      </w:r>
      <w:r w:rsidR="00EE65A1">
        <w:t>her</w:t>
      </w:r>
      <w:r>
        <w:t xml:space="preserve"> medical records</w:t>
      </w:r>
      <w:r w:rsidR="00EE65A1">
        <w:t>, which did not include th</w:t>
      </w:r>
      <w:r w:rsidR="00D25B6B">
        <w:t>e operative report</w:t>
      </w:r>
      <w:r w:rsidR="00C800AB">
        <w:t xml:space="preserve"> of Ms. Henry’s November 2012 surgery</w:t>
      </w:r>
      <w:r w:rsidR="00EE65A1">
        <w:t>.</w:t>
      </w:r>
      <w:r>
        <w:t xml:space="preserve"> (</w:t>
      </w:r>
      <w:proofErr w:type="spellStart"/>
      <w:r>
        <w:t>Exh</w:t>
      </w:r>
      <w:r w:rsidR="00127581">
        <w:t>s</w:t>
      </w:r>
      <w:proofErr w:type="spellEnd"/>
      <w:r>
        <w:t>. 8</w:t>
      </w:r>
      <w:r w:rsidR="00AB77F1">
        <w:t>,</w:t>
      </w:r>
      <w:r w:rsidR="00127581">
        <w:t xml:space="preserve"> 9, 10</w:t>
      </w:r>
      <w:r w:rsidR="00AB77F1">
        <w:t>;</w:t>
      </w:r>
      <w:r>
        <w:t xml:space="preserve"> Henry Test.)</w:t>
      </w:r>
      <w:r w:rsidR="00EE65A1">
        <w:t>.</w:t>
      </w:r>
    </w:p>
    <w:p w:rsidR="00BF2356" w:rsidRDefault="00D25B6B" w:rsidP="00512452">
      <w:pPr>
        <w:pStyle w:val="ListParagraph"/>
        <w:numPr>
          <w:ilvl w:val="0"/>
          <w:numId w:val="1"/>
        </w:numPr>
        <w:ind w:left="0" w:firstLine="720"/>
        <w:jc w:val="left"/>
      </w:pPr>
      <w:r>
        <w:t>Ms. Henry told the medical panel that</w:t>
      </w:r>
      <w:r w:rsidR="00403412">
        <w:t xml:space="preserve"> her job</w:t>
      </w:r>
      <w:r w:rsidR="00321B36">
        <w:t xml:space="preserve"> involved frequent lifting </w:t>
      </w:r>
      <w:r w:rsidR="00127581">
        <w:t xml:space="preserve">and carrying of </w:t>
      </w:r>
      <w:r>
        <w:t>several</w:t>
      </w:r>
      <w:r w:rsidR="00321B36">
        <w:t xml:space="preserve"> files </w:t>
      </w:r>
      <w:r>
        <w:t>that varied in size</w:t>
      </w:r>
      <w:r w:rsidR="00BF2356">
        <w:t>. (</w:t>
      </w:r>
      <w:r w:rsidR="00321B36">
        <w:t xml:space="preserve">Exh. 8; </w:t>
      </w:r>
      <w:r w:rsidR="00BF2356">
        <w:t>Henry Test.)</w:t>
      </w:r>
      <w:r w:rsidR="00C01B9B">
        <w:t>.</w:t>
      </w:r>
    </w:p>
    <w:p w:rsidR="00321B36" w:rsidRDefault="00321B36" w:rsidP="00512452">
      <w:pPr>
        <w:pStyle w:val="ListParagraph"/>
        <w:numPr>
          <w:ilvl w:val="0"/>
          <w:numId w:val="1"/>
        </w:numPr>
        <w:ind w:left="0" w:firstLine="720"/>
        <w:jc w:val="left"/>
      </w:pPr>
      <w:r>
        <w:t xml:space="preserve">The </w:t>
      </w:r>
      <w:r w:rsidR="00381060">
        <w:t xml:space="preserve">medical </w:t>
      </w:r>
      <w:r>
        <w:t xml:space="preserve">panel </w:t>
      </w:r>
      <w:r w:rsidR="00C01B9B">
        <w:t xml:space="preserve">estimated that </w:t>
      </w:r>
      <w:r w:rsidR="00610DED">
        <w:t xml:space="preserve">the files weighed </w:t>
      </w:r>
      <w:r w:rsidR="00144C9E">
        <w:t xml:space="preserve">about </w:t>
      </w:r>
      <w:r w:rsidR="00610DED">
        <w:t>five to ten pounds. (Exh. 8)</w:t>
      </w:r>
      <w:r w:rsidR="00C01B9B">
        <w:t>.</w:t>
      </w:r>
    </w:p>
    <w:p w:rsidR="005E0DF0" w:rsidRDefault="005E0DF0" w:rsidP="00512452">
      <w:pPr>
        <w:pStyle w:val="ListParagraph"/>
        <w:numPr>
          <w:ilvl w:val="0"/>
          <w:numId w:val="1"/>
        </w:numPr>
        <w:ind w:left="0" w:firstLine="720"/>
        <w:jc w:val="left"/>
      </w:pPr>
      <w:r>
        <w:t>Ms. Henry estimated the files on average weighed ten to fifteen pounds. (Henry Test.).</w:t>
      </w:r>
    </w:p>
    <w:p w:rsidR="00FE202A" w:rsidRDefault="00610DED" w:rsidP="00512452">
      <w:pPr>
        <w:pStyle w:val="ListParagraph"/>
        <w:numPr>
          <w:ilvl w:val="0"/>
          <w:numId w:val="1"/>
        </w:numPr>
        <w:ind w:left="0" w:firstLine="720"/>
        <w:jc w:val="left"/>
      </w:pPr>
      <w:r>
        <w:t xml:space="preserve">The </w:t>
      </w:r>
      <w:r w:rsidR="003F18D5">
        <w:t xml:space="preserve">medical </w:t>
      </w:r>
      <w:r>
        <w:t xml:space="preserve">panel </w:t>
      </w:r>
      <w:r w:rsidR="006D07A2">
        <w:t xml:space="preserve">noted </w:t>
      </w:r>
      <w:r>
        <w:t xml:space="preserve">that lifting and carrying </w:t>
      </w:r>
      <w:r w:rsidR="00EC310C">
        <w:t xml:space="preserve">five to ten pounds of </w:t>
      </w:r>
      <w:r>
        <w:t xml:space="preserve">files </w:t>
      </w:r>
      <w:proofErr w:type="gramStart"/>
      <w:r>
        <w:t>should require</w:t>
      </w:r>
      <w:proofErr w:type="gramEnd"/>
      <w:r>
        <w:t xml:space="preserve"> </w:t>
      </w:r>
      <w:r w:rsidR="00144C9E">
        <w:t xml:space="preserve">only </w:t>
      </w:r>
      <w:r w:rsidR="00EC310C">
        <w:t xml:space="preserve">use of the </w:t>
      </w:r>
      <w:r>
        <w:t xml:space="preserve">elbow and not </w:t>
      </w:r>
      <w:r w:rsidR="00EC310C">
        <w:t xml:space="preserve">the </w:t>
      </w:r>
      <w:r>
        <w:t>shoulder</w:t>
      </w:r>
      <w:r w:rsidR="00EC310C">
        <w:t>, nor should it require overhead use</w:t>
      </w:r>
      <w:r>
        <w:t>. (Exh. 8).</w:t>
      </w:r>
      <w:r w:rsidR="00FE202A">
        <w:t xml:space="preserve"> </w:t>
      </w:r>
    </w:p>
    <w:p w:rsidR="000D71EC" w:rsidRDefault="000D71EC" w:rsidP="00512452">
      <w:pPr>
        <w:pStyle w:val="ListParagraph"/>
        <w:numPr>
          <w:ilvl w:val="0"/>
          <w:numId w:val="1"/>
        </w:numPr>
        <w:ind w:left="0" w:firstLine="720"/>
        <w:jc w:val="left"/>
      </w:pPr>
      <w:r>
        <w:lastRenderedPageBreak/>
        <w:t xml:space="preserve">Despite not having the operative report, the medical panel was able to </w:t>
      </w:r>
      <w:r w:rsidR="00144C9E">
        <w:t xml:space="preserve">determine </w:t>
      </w:r>
      <w:r>
        <w:t xml:space="preserve">from other records and </w:t>
      </w:r>
      <w:r w:rsidR="00EC310C">
        <w:t xml:space="preserve">from questioning </w:t>
      </w:r>
      <w:r w:rsidR="00144C9E">
        <w:t>Ms. Henry</w:t>
      </w:r>
      <w:r>
        <w:t xml:space="preserve"> that the surgery helped</w:t>
      </w:r>
      <w:r w:rsidR="00AB77F1">
        <w:t xml:space="preserve"> her</w:t>
      </w:r>
      <w:r>
        <w:t>. (Exh. 8</w:t>
      </w:r>
      <w:r w:rsidR="00144C9E">
        <w:t>; Henry Test.</w:t>
      </w:r>
      <w:r>
        <w:t>).</w:t>
      </w:r>
    </w:p>
    <w:p w:rsidR="0019135E" w:rsidRDefault="00144C9E" w:rsidP="00512452">
      <w:pPr>
        <w:pStyle w:val="ListParagraph"/>
        <w:numPr>
          <w:ilvl w:val="0"/>
          <w:numId w:val="1"/>
        </w:numPr>
        <w:ind w:left="0" w:firstLine="720"/>
        <w:jc w:val="left"/>
      </w:pPr>
      <w:r>
        <w:t>On March 28, 2014, t</w:t>
      </w:r>
      <w:r w:rsidR="007D18E2">
        <w:t>he</w:t>
      </w:r>
      <w:r w:rsidR="002F675E">
        <w:t xml:space="preserve"> medical</w:t>
      </w:r>
      <w:r w:rsidR="007D18E2">
        <w:t xml:space="preserve"> panel </w:t>
      </w:r>
      <w:r>
        <w:t>transmitted its</w:t>
      </w:r>
      <w:r w:rsidR="007D18E2">
        <w:t xml:space="preserve"> report to the </w:t>
      </w:r>
      <w:r w:rsidR="00A83059">
        <w:t xml:space="preserve">Public Employee Retirement Administration Commission (PERAC) who relayed </w:t>
      </w:r>
      <w:r w:rsidR="00AB77F1">
        <w:t>its</w:t>
      </w:r>
      <w:r w:rsidR="00A83059">
        <w:t xml:space="preserve"> findings to the State Board of Retirement</w:t>
      </w:r>
      <w:r w:rsidR="007D18E2">
        <w:t>. (Exh. 8).</w:t>
      </w:r>
    </w:p>
    <w:p w:rsidR="007D18E2" w:rsidRDefault="00B74D6B" w:rsidP="00512452">
      <w:pPr>
        <w:pStyle w:val="ListParagraph"/>
        <w:numPr>
          <w:ilvl w:val="0"/>
          <w:numId w:val="1"/>
        </w:numPr>
        <w:ind w:left="0" w:firstLine="720"/>
        <w:jc w:val="left"/>
      </w:pPr>
      <w:r>
        <w:t>On April 18, 2014, the</w:t>
      </w:r>
      <w:r w:rsidR="00471513">
        <w:t xml:space="preserve"> Board</w:t>
      </w:r>
      <w:r>
        <w:t xml:space="preserve"> </w:t>
      </w:r>
      <w:r w:rsidR="00B003F5">
        <w:t>sought</w:t>
      </w:r>
      <w:r w:rsidR="00471513">
        <w:t xml:space="preserve"> clarification </w:t>
      </w:r>
      <w:r w:rsidR="00B003F5">
        <w:t xml:space="preserve">from </w:t>
      </w:r>
      <w:r w:rsidR="00471513">
        <w:t xml:space="preserve">the </w:t>
      </w:r>
      <w:r w:rsidR="000C6A66">
        <w:t xml:space="preserve">medical </w:t>
      </w:r>
      <w:r w:rsidR="00471513">
        <w:t>panel</w:t>
      </w:r>
      <w:r w:rsidR="003F2047">
        <w:t xml:space="preserve"> because </w:t>
      </w:r>
      <w:r w:rsidR="004F3652">
        <w:t xml:space="preserve">the </w:t>
      </w:r>
      <w:r w:rsidR="00471513">
        <w:t>“light duty”</w:t>
      </w:r>
      <w:r w:rsidR="004F3652">
        <w:t xml:space="preserve"> variation of the position </w:t>
      </w:r>
      <w:r w:rsidR="00471513">
        <w:t>was not the position held by Ms. Henry</w:t>
      </w:r>
      <w:r w:rsidR="007D18E2">
        <w:t xml:space="preserve">. </w:t>
      </w:r>
      <w:r w:rsidR="00C800AB">
        <w:t xml:space="preserve">The Board also sent the operative report </w:t>
      </w:r>
      <w:r w:rsidR="00144C9E">
        <w:t>to</w:t>
      </w:r>
      <w:r w:rsidR="00C800AB">
        <w:t xml:space="preserve"> the medical panel </w:t>
      </w:r>
      <w:r w:rsidR="00144C9E">
        <w:t xml:space="preserve">for its </w:t>
      </w:r>
      <w:r w:rsidR="00C800AB">
        <w:t xml:space="preserve">review. </w:t>
      </w:r>
      <w:r w:rsidR="007D18E2">
        <w:t>(Exh. 9)</w:t>
      </w:r>
      <w:r w:rsidR="005976B7">
        <w:t>.</w:t>
      </w:r>
    </w:p>
    <w:p w:rsidR="00471513" w:rsidRDefault="004E5432" w:rsidP="00512452">
      <w:pPr>
        <w:pStyle w:val="ListParagraph"/>
        <w:numPr>
          <w:ilvl w:val="0"/>
          <w:numId w:val="1"/>
        </w:numPr>
        <w:ind w:left="0" w:firstLine="720"/>
        <w:jc w:val="left"/>
      </w:pPr>
      <w:r>
        <w:t xml:space="preserve">The </w:t>
      </w:r>
      <w:r w:rsidR="00CD753A">
        <w:t xml:space="preserve">medical </w:t>
      </w:r>
      <w:r>
        <w:t>panel</w:t>
      </w:r>
      <w:r w:rsidR="00471513">
        <w:t xml:space="preserve"> re-evaluate</w:t>
      </w:r>
      <w:r w:rsidR="00C800AB">
        <w:t>d</w:t>
      </w:r>
      <w:r w:rsidR="00A12AC9">
        <w:t xml:space="preserve"> its</w:t>
      </w:r>
      <w:r w:rsidR="00471513">
        <w:t xml:space="preserve"> findings with respect only </w:t>
      </w:r>
      <w:r w:rsidR="00144C9E">
        <w:t xml:space="preserve">to </w:t>
      </w:r>
      <w:r w:rsidR="00471513">
        <w:t xml:space="preserve">the job description </w:t>
      </w:r>
      <w:r w:rsidR="00144C9E">
        <w:t>that mat</w:t>
      </w:r>
      <w:r w:rsidR="00471513">
        <w:t>ch</w:t>
      </w:r>
      <w:r w:rsidR="00144C9E">
        <w:t>ed</w:t>
      </w:r>
      <w:r w:rsidR="00471513">
        <w:t xml:space="preserve"> the position Ms. Henry held </w:t>
      </w:r>
      <w:r w:rsidR="00CD753A">
        <w:t>and</w:t>
      </w:r>
      <w:r w:rsidR="00471513">
        <w:t xml:space="preserve"> the operative report. (Exh. </w:t>
      </w:r>
      <w:r w:rsidR="00144C9E">
        <w:t>10</w:t>
      </w:r>
      <w:r w:rsidR="00471513">
        <w:t>).</w:t>
      </w:r>
    </w:p>
    <w:p w:rsidR="005976B7" w:rsidRDefault="005976B7" w:rsidP="00512452">
      <w:pPr>
        <w:pStyle w:val="ListParagraph"/>
        <w:numPr>
          <w:ilvl w:val="0"/>
          <w:numId w:val="1"/>
        </w:numPr>
        <w:ind w:left="0" w:firstLine="720"/>
        <w:jc w:val="left"/>
      </w:pPr>
      <w:r>
        <w:t xml:space="preserve">The </w:t>
      </w:r>
      <w:r w:rsidR="00144C9E">
        <w:t xml:space="preserve">medical </w:t>
      </w:r>
      <w:r>
        <w:t xml:space="preserve">panel did not contact Ms. Henry </w:t>
      </w:r>
      <w:r w:rsidR="00527774">
        <w:t>after its interview and examination on March 7, 2013</w:t>
      </w:r>
      <w:r>
        <w:t>. (Henry Test.)</w:t>
      </w:r>
    </w:p>
    <w:p w:rsidR="005976B7" w:rsidRDefault="005976B7" w:rsidP="00512452">
      <w:pPr>
        <w:pStyle w:val="ListParagraph"/>
        <w:numPr>
          <w:ilvl w:val="0"/>
          <w:numId w:val="1"/>
        </w:numPr>
        <w:ind w:left="0" w:firstLine="720"/>
        <w:jc w:val="left"/>
      </w:pPr>
      <w:r>
        <w:t>On May 26, 2014, the</w:t>
      </w:r>
      <w:r w:rsidR="00DE4005">
        <w:t xml:space="preserve"> medical</w:t>
      </w:r>
      <w:r>
        <w:t xml:space="preserve"> panel </w:t>
      </w:r>
      <w:r w:rsidR="00144C9E">
        <w:t xml:space="preserve">transmitted an addendum to its original evaluation.  </w:t>
      </w:r>
      <w:r w:rsidR="00E15291">
        <w:t xml:space="preserve">It </w:t>
      </w:r>
      <w:r>
        <w:t>confirm</w:t>
      </w:r>
      <w:r w:rsidR="00E15291">
        <w:t>ed</w:t>
      </w:r>
      <w:r>
        <w:t xml:space="preserve"> that</w:t>
      </w:r>
      <w:r w:rsidR="00E15291">
        <w:t>,</w:t>
      </w:r>
      <w:r>
        <w:t xml:space="preserve"> after reviewing both the operative report of Ms. Henry’s surgery and h</w:t>
      </w:r>
      <w:r w:rsidR="00DE4005">
        <w:t>er proper job description, its</w:t>
      </w:r>
      <w:r>
        <w:t xml:space="preserve"> </w:t>
      </w:r>
      <w:r w:rsidR="00E15291">
        <w:t>opinion</w:t>
      </w:r>
      <w:r>
        <w:t xml:space="preserve"> remain</w:t>
      </w:r>
      <w:r w:rsidR="00E15291">
        <w:t>ed</w:t>
      </w:r>
      <w:r>
        <w:t xml:space="preserve"> unchanged.</w:t>
      </w:r>
      <w:r w:rsidR="00347D58">
        <w:t xml:space="preserve"> </w:t>
      </w:r>
      <w:r w:rsidR="00E15291">
        <w:t xml:space="preserve">The medical panel explained that </w:t>
      </w:r>
      <w:r w:rsidR="00347D58">
        <w:t>Ms. Henry’s job description d</w:t>
      </w:r>
      <w:r w:rsidR="00E15291">
        <w:t>id</w:t>
      </w:r>
      <w:r w:rsidR="00347D58">
        <w:t xml:space="preserve"> not indicate any </w:t>
      </w:r>
      <w:r w:rsidR="00E15291">
        <w:t xml:space="preserve">significant </w:t>
      </w:r>
      <w:r w:rsidR="00347D58">
        <w:t xml:space="preserve">lifting requirements and the tears to her rotator cuff were </w:t>
      </w:r>
      <w:r w:rsidR="00E15291">
        <w:t xml:space="preserve">not </w:t>
      </w:r>
      <w:r w:rsidR="00347D58">
        <w:t>massive o</w:t>
      </w:r>
      <w:r w:rsidR="00E15291">
        <w:t>r</w:t>
      </w:r>
      <w:r w:rsidR="00347D58">
        <w:t xml:space="preserve"> significant in size</w:t>
      </w:r>
      <w:r w:rsidR="00856955">
        <w:t>.</w:t>
      </w:r>
      <w:r>
        <w:t xml:space="preserve"> </w:t>
      </w:r>
      <w:r w:rsidR="000D71EC">
        <w:t xml:space="preserve">The operative report confirmed the medical panel’s previous opinion regarding her surgery. </w:t>
      </w:r>
      <w:r>
        <w:t>(Exh. 10).</w:t>
      </w:r>
    </w:p>
    <w:p w:rsidR="005976B7" w:rsidRDefault="005976B7" w:rsidP="00512452">
      <w:pPr>
        <w:pStyle w:val="ListParagraph"/>
        <w:numPr>
          <w:ilvl w:val="0"/>
          <w:numId w:val="1"/>
        </w:numPr>
        <w:ind w:left="0" w:firstLine="720"/>
        <w:jc w:val="left"/>
      </w:pPr>
      <w:r>
        <w:t>O</w:t>
      </w:r>
      <w:r w:rsidR="00C80CDC">
        <w:t xml:space="preserve">n September 25, 2014, the </w:t>
      </w:r>
      <w:r>
        <w:t xml:space="preserve">Board issued its denial of Ms. Henry’s </w:t>
      </w:r>
      <w:r w:rsidR="00E15291">
        <w:t>a</w:t>
      </w:r>
      <w:r>
        <w:t>ccidental</w:t>
      </w:r>
      <w:r w:rsidR="0000410D">
        <w:t xml:space="preserve"> </w:t>
      </w:r>
      <w:r w:rsidR="00E15291">
        <w:t>d</w:t>
      </w:r>
      <w:r w:rsidR="0000410D">
        <w:t>isability</w:t>
      </w:r>
      <w:r>
        <w:t xml:space="preserve"> </w:t>
      </w:r>
      <w:r w:rsidR="00E15291">
        <w:t>r</w:t>
      </w:r>
      <w:r>
        <w:t xml:space="preserve">etirement </w:t>
      </w:r>
      <w:r w:rsidR="0000410D">
        <w:t>application</w:t>
      </w:r>
      <w:r>
        <w:t>. (Exh. 1)</w:t>
      </w:r>
      <w:r w:rsidR="00275A84">
        <w:t>.</w:t>
      </w:r>
    </w:p>
    <w:p w:rsidR="00C80CDC" w:rsidRDefault="00C80CDC" w:rsidP="00512452">
      <w:pPr>
        <w:pStyle w:val="ListParagraph"/>
        <w:numPr>
          <w:ilvl w:val="0"/>
          <w:numId w:val="1"/>
        </w:numPr>
        <w:ind w:left="0" w:firstLine="720"/>
        <w:jc w:val="left"/>
      </w:pPr>
      <w:r>
        <w:t>On October 3, 2014, Ms. Henry timely appealed the Board’s decision. (Exh. 2).</w:t>
      </w:r>
    </w:p>
    <w:p w:rsidR="00EC310C" w:rsidRDefault="00EC310C" w:rsidP="009252EA">
      <w:pPr>
        <w:rPr>
          <w:b/>
        </w:rPr>
      </w:pPr>
    </w:p>
    <w:p w:rsidR="009252EA" w:rsidRPr="00B138BB" w:rsidRDefault="00F7094F" w:rsidP="009252EA">
      <w:pPr>
        <w:rPr>
          <w:b/>
        </w:rPr>
      </w:pPr>
      <w:r w:rsidRPr="00B138BB">
        <w:rPr>
          <w:b/>
        </w:rPr>
        <w:lastRenderedPageBreak/>
        <w:t>DISCUSSION</w:t>
      </w:r>
    </w:p>
    <w:p w:rsidR="000D76F0" w:rsidRDefault="000D76F0" w:rsidP="000D76F0">
      <w:pPr>
        <w:ind w:firstLine="720"/>
        <w:jc w:val="left"/>
      </w:pPr>
      <w:r>
        <w:t xml:space="preserve">G.L. c 32, § 7(1) sets out the conditions for allowance of an accidental disability retirement application. </w:t>
      </w:r>
      <w:r w:rsidRPr="00F32619">
        <w:rPr>
          <w:i/>
        </w:rPr>
        <w:t>See Malden Ret. Bd</w:t>
      </w:r>
      <w:r>
        <w:rPr>
          <w:i/>
        </w:rPr>
        <w:t>.</w:t>
      </w:r>
      <w:r w:rsidRPr="00F32619">
        <w:rPr>
          <w:i/>
        </w:rPr>
        <w:t xml:space="preserve"> v. Contributory Ret. App. Bd</w:t>
      </w:r>
      <w:r>
        <w:t>., 1 Mass. App. Ct. 420, 422-23 (1970) (setting forth the statutory requirements for approval of accidental disability retirement application). G.L. c. 32, § 6(3</w:t>
      </w:r>
      <w:proofErr w:type="gramStart"/>
      <w:r>
        <w:t>)(</w:t>
      </w:r>
      <w:proofErr w:type="gramEnd"/>
      <w:r>
        <w:t>a) requires that a three-physician regional medical panel, after examining an accidental disability retirement applicant, issue a certificate as to (1) the applicant’s physical or mental incapacity for duty, (2) the likelihood that the incapacity is permanent, and (3) “whether or not the disability is such as might be the natural and proximate result of the accident or hazard undergone on account of which retirement is claimed.” G.L. c. 32, § 6(3</w:t>
      </w:r>
      <w:proofErr w:type="gramStart"/>
      <w:r>
        <w:t>)(</w:t>
      </w:r>
      <w:proofErr w:type="gramEnd"/>
      <w:r>
        <w:t xml:space="preserve">a); </w:t>
      </w:r>
      <w:r w:rsidRPr="003748B6">
        <w:rPr>
          <w:i/>
        </w:rPr>
        <w:t xml:space="preserve">see also </w:t>
      </w:r>
      <w:r w:rsidRPr="00F32619">
        <w:rPr>
          <w:i/>
        </w:rPr>
        <w:t>Malden Ret. Bd</w:t>
      </w:r>
      <w:r>
        <w:t xml:space="preserve">., 1 Mass. App. Ct. at 423.  </w:t>
      </w:r>
    </w:p>
    <w:p w:rsidR="000D76F0" w:rsidRPr="001005AA" w:rsidRDefault="000D76F0" w:rsidP="000D76F0">
      <w:pPr>
        <w:ind w:firstLine="720"/>
        <w:jc w:val="left"/>
      </w:pPr>
      <w:r>
        <w:t xml:space="preserve">The purpose of the medical panel examination and certificate is to “vest in the medical panel the responsibility for determining medical questions which are beyond the common knowledge and experience of the members of the local [retirement] board.” </w:t>
      </w:r>
      <w:proofErr w:type="gramStart"/>
      <w:r w:rsidRPr="00F32619">
        <w:rPr>
          <w:i/>
        </w:rPr>
        <w:t>Malden Ret. Bd</w:t>
      </w:r>
      <w:r>
        <w:t>., 1 Mass. App. Ct. at 423.</w:t>
      </w:r>
      <w:proofErr w:type="gramEnd"/>
      <w:r>
        <w:t xml:space="preserve"> Once the regional medical panel issues a proper certificate, the local retirement board is bound by the medical panel’s conclusion when a majority of the doctors on the panel responds in the negative to any of the three questions presented, unless the medical panel employed an erroneous medical standard in reaching its conclusions or lacked pertinent facts when it made its determination.  </w:t>
      </w:r>
      <w:r w:rsidRPr="001005AA">
        <w:rPr>
          <w:i/>
        </w:rPr>
        <w:t>See id</w:t>
      </w:r>
      <w:r>
        <w:t xml:space="preserve">. </w:t>
      </w:r>
      <w:proofErr w:type="gramStart"/>
      <w:r>
        <w:t>at</w:t>
      </w:r>
      <w:proofErr w:type="gramEnd"/>
      <w:r>
        <w:t xml:space="preserve"> 423 n.6, 424.</w:t>
      </w:r>
    </w:p>
    <w:p w:rsidR="000D76F0" w:rsidRDefault="000D76F0" w:rsidP="000D76F0">
      <w:pPr>
        <w:jc w:val="left"/>
      </w:pPr>
      <w:r>
        <w:tab/>
        <w:t>The medical panel concluded that Ms. Henry was not physically incapable of performing the essential duties of her job as described in her current job description; that is, the panel answered the first question in the negative.</w:t>
      </w:r>
      <w:r>
        <w:rPr>
          <w:rStyle w:val="FootnoteReference"/>
        </w:rPr>
        <w:footnoteReference w:id="2"/>
      </w:r>
      <w:r>
        <w:t xml:space="preserve"> In order to overcome the medical panel’s negative certificate, Ms. Henry must prove, by a preponderance of the evidence, that it used an erroneous </w:t>
      </w:r>
      <w:r>
        <w:lastRenderedPageBreak/>
        <w:t xml:space="preserve">standard or lacked pertinent information. </w:t>
      </w:r>
      <w:proofErr w:type="gramStart"/>
      <w:r w:rsidRPr="00815B13">
        <w:rPr>
          <w:i/>
        </w:rPr>
        <w:t>Retirement Bd. of Revere v. Contributory Ret. App</w:t>
      </w:r>
      <w:r>
        <w:rPr>
          <w:i/>
        </w:rPr>
        <w:t>.</w:t>
      </w:r>
      <w:r w:rsidRPr="00815B13">
        <w:rPr>
          <w:i/>
        </w:rPr>
        <w:t xml:space="preserve"> Bd.</w:t>
      </w:r>
      <w:r>
        <w:t>, 36 Mass. App. Ct. 99, 106 (1994).</w:t>
      </w:r>
      <w:proofErr w:type="gramEnd"/>
      <w:r>
        <w:t xml:space="preserve">  </w:t>
      </w:r>
    </w:p>
    <w:p w:rsidR="00694D3D" w:rsidRDefault="00116228" w:rsidP="00A33A27">
      <w:pPr>
        <w:ind w:firstLine="720"/>
        <w:jc w:val="left"/>
      </w:pPr>
      <w:r>
        <w:t xml:space="preserve">When the </w:t>
      </w:r>
      <w:r w:rsidR="00392AD2">
        <w:t xml:space="preserve">medical </w:t>
      </w:r>
      <w:r>
        <w:t xml:space="preserve">panel </w:t>
      </w:r>
      <w:r w:rsidR="00B138BB">
        <w:t xml:space="preserve">examined </w:t>
      </w:r>
      <w:r>
        <w:t>Ms. Henry,</w:t>
      </w:r>
      <w:r w:rsidR="00C03D90">
        <w:t xml:space="preserve"> </w:t>
      </w:r>
      <w:r w:rsidR="00EC310C">
        <w:t>it</w:t>
      </w:r>
      <w:r w:rsidR="0037004A">
        <w:t xml:space="preserve"> </w:t>
      </w:r>
      <w:r w:rsidR="00EB20F5">
        <w:t xml:space="preserve">tested </w:t>
      </w:r>
      <w:r w:rsidR="0037004A">
        <w:t>he</w:t>
      </w:r>
      <w:r w:rsidR="00EB20F5">
        <w:t>r</w:t>
      </w:r>
      <w:r w:rsidR="0037004A">
        <w:t xml:space="preserve"> </w:t>
      </w:r>
      <w:r w:rsidR="00861312">
        <w:t>shoulder</w:t>
      </w:r>
      <w:r w:rsidR="00A81827">
        <w:t>’s</w:t>
      </w:r>
      <w:r w:rsidR="00861312">
        <w:t xml:space="preserve"> and arm’s </w:t>
      </w:r>
      <w:r w:rsidR="0037004A">
        <w:t>range of motion and</w:t>
      </w:r>
      <w:r w:rsidR="003C5860">
        <w:t xml:space="preserve"> </w:t>
      </w:r>
      <w:r w:rsidR="0037004A">
        <w:t xml:space="preserve">strength. </w:t>
      </w:r>
      <w:r w:rsidR="00694D3D">
        <w:t xml:space="preserve">The medical panel’s initial report stated that Ms. Henry showed modest loss of range of motion. </w:t>
      </w:r>
    </w:p>
    <w:p w:rsidR="00C03D90" w:rsidRDefault="0037004A" w:rsidP="00A33A27">
      <w:pPr>
        <w:ind w:firstLine="720"/>
        <w:jc w:val="left"/>
      </w:pPr>
      <w:r>
        <w:t>T</w:t>
      </w:r>
      <w:r w:rsidR="00116228">
        <w:t>he</w:t>
      </w:r>
      <w:r w:rsidR="00694D3D">
        <w:t xml:space="preserve"> medical panel</w:t>
      </w:r>
      <w:r w:rsidR="00116228">
        <w:t xml:space="preserve"> asked </w:t>
      </w:r>
      <w:r w:rsidR="00861312">
        <w:t xml:space="preserve">her </w:t>
      </w:r>
      <w:r w:rsidR="00116228">
        <w:t xml:space="preserve">about the </w:t>
      </w:r>
      <w:r w:rsidR="00861312">
        <w:t xml:space="preserve">cause and </w:t>
      </w:r>
      <w:r w:rsidR="00116228">
        <w:t xml:space="preserve">extent of her </w:t>
      </w:r>
      <w:r w:rsidR="00C03D90">
        <w:t>injury and her job duties</w:t>
      </w:r>
      <w:r w:rsidR="00B138BB">
        <w:t xml:space="preserve">. </w:t>
      </w:r>
      <w:r w:rsidR="00861312">
        <w:t>Ms. Henry</w:t>
      </w:r>
      <w:r w:rsidR="00C03D90">
        <w:t xml:space="preserve"> </w:t>
      </w:r>
      <w:r w:rsidR="00B138BB">
        <w:t xml:space="preserve">explained that her duties included removing case folders from </w:t>
      </w:r>
      <w:r w:rsidR="00694D3D">
        <w:t>a</w:t>
      </w:r>
      <w:r w:rsidR="00B138BB">
        <w:t xml:space="preserve"> filing cabinet and refiling them. </w:t>
      </w:r>
      <w:r w:rsidR="00694D3D">
        <w:t>W</w:t>
      </w:r>
      <w:r w:rsidR="00C03D90">
        <w:t>hile filing case</w:t>
      </w:r>
      <w:r w:rsidR="00694D3D">
        <w:t xml:space="preserve"> folders</w:t>
      </w:r>
      <w:r w:rsidR="00C03D90">
        <w:t xml:space="preserve"> is</w:t>
      </w:r>
      <w:r w:rsidR="007026F7">
        <w:t xml:space="preserve"> </w:t>
      </w:r>
      <w:r w:rsidR="00C03D90">
        <w:t>n</w:t>
      </w:r>
      <w:r w:rsidR="007026F7">
        <w:t>o</w:t>
      </w:r>
      <w:r w:rsidR="00C03D90">
        <w:t xml:space="preserve">t </w:t>
      </w:r>
      <w:r w:rsidR="00694D3D">
        <w:t xml:space="preserve">a </w:t>
      </w:r>
      <w:r w:rsidR="007026F7">
        <w:t>listed</w:t>
      </w:r>
      <w:r w:rsidR="00C03D90">
        <w:t xml:space="preserve"> </w:t>
      </w:r>
      <w:r w:rsidR="00694D3D">
        <w:t>duty</w:t>
      </w:r>
      <w:r w:rsidR="00B138BB">
        <w:t xml:space="preserve"> </w:t>
      </w:r>
      <w:r w:rsidR="00C03D90">
        <w:t xml:space="preserve">in </w:t>
      </w:r>
      <w:r w:rsidR="00B138BB">
        <w:t xml:space="preserve">her </w:t>
      </w:r>
      <w:r w:rsidR="00C03D90">
        <w:t>job description</w:t>
      </w:r>
      <w:r w:rsidR="00385017">
        <w:t>,</w:t>
      </w:r>
      <w:r w:rsidR="00C03D90">
        <w:t xml:space="preserve"> </w:t>
      </w:r>
      <w:r w:rsidR="00694D3D">
        <w:t>Ms. Henry</w:t>
      </w:r>
      <w:r w:rsidR="00B138BB">
        <w:t xml:space="preserve"> is </w:t>
      </w:r>
      <w:r w:rsidR="007026F7">
        <w:t>require</w:t>
      </w:r>
      <w:r w:rsidR="00B138BB">
        <w:t>d</w:t>
      </w:r>
      <w:r w:rsidR="007026F7">
        <w:t xml:space="preserve"> </w:t>
      </w:r>
      <w:r w:rsidR="00B138BB">
        <w:t>to</w:t>
      </w:r>
      <w:r w:rsidR="007026F7">
        <w:t xml:space="preserve"> manage</w:t>
      </w:r>
      <w:r w:rsidR="00C03D90">
        <w:t xml:space="preserve"> files</w:t>
      </w:r>
      <w:r w:rsidR="00694D3D">
        <w:t>, and the medical panel understood what this duty entails</w:t>
      </w:r>
      <w:r w:rsidR="00C03D90">
        <w:t>.</w:t>
      </w:r>
      <w:r w:rsidR="007026F7">
        <w:t xml:space="preserve"> </w:t>
      </w:r>
      <w:r w:rsidR="00C03D90">
        <w:t>The</w:t>
      </w:r>
      <w:r w:rsidR="007026F7">
        <w:t xml:space="preserve"> medical</w:t>
      </w:r>
      <w:r>
        <w:t xml:space="preserve"> panel</w:t>
      </w:r>
      <w:r w:rsidR="00C03D90">
        <w:t xml:space="preserve"> also </w:t>
      </w:r>
      <w:r w:rsidR="00694D3D">
        <w:t xml:space="preserve">understood </w:t>
      </w:r>
      <w:r>
        <w:t>that</w:t>
      </w:r>
      <w:r w:rsidR="00AB77F1">
        <w:t>,</w:t>
      </w:r>
      <w:r>
        <w:t xml:space="preserve"> </w:t>
      </w:r>
      <w:r w:rsidR="00861312">
        <w:t xml:space="preserve">while </w:t>
      </w:r>
      <w:r w:rsidR="00694D3D">
        <w:t xml:space="preserve">her </w:t>
      </w:r>
      <w:r w:rsidR="00B13247">
        <w:t>job description</w:t>
      </w:r>
      <w:r w:rsidR="00694D3D">
        <w:t xml:space="preserve"> did not require </w:t>
      </w:r>
      <w:r w:rsidR="00AB77F1">
        <w:t>an</w:t>
      </w:r>
      <w:r w:rsidR="00861312">
        <w:t xml:space="preserve"> ability to </w:t>
      </w:r>
      <w:r w:rsidR="00694D3D">
        <w:t xml:space="preserve">lift </w:t>
      </w:r>
      <w:r w:rsidR="00AB77F1">
        <w:t xml:space="preserve">objects of </w:t>
      </w:r>
      <w:r w:rsidR="00694D3D">
        <w:t xml:space="preserve">a particular weight, carrying files involves lifting them. The panel estimated the </w:t>
      </w:r>
      <w:r w:rsidR="005E0DF0">
        <w:t>files weighed</w:t>
      </w:r>
      <w:r w:rsidR="00694D3D">
        <w:t xml:space="preserve"> five to ten pounds, which is close to M</w:t>
      </w:r>
      <w:r w:rsidR="00861312">
        <w:t>s</w:t>
      </w:r>
      <w:r w:rsidR="00694D3D">
        <w:t>. Henry’s estimated weight of ten to fifteen pounds.</w:t>
      </w:r>
      <w:r w:rsidR="008A0C8D">
        <w:t xml:space="preserve"> The medical panel</w:t>
      </w:r>
      <w:r w:rsidR="00C03D90">
        <w:t xml:space="preserve"> determined that</w:t>
      </w:r>
      <w:r w:rsidR="00694D3D">
        <w:t>,</w:t>
      </w:r>
      <w:r w:rsidR="00C03D90">
        <w:t xml:space="preserve"> based on </w:t>
      </w:r>
      <w:r w:rsidR="00694D3D">
        <w:t xml:space="preserve">Ms. Henry’s answers to questions and on the job description it was provided, </w:t>
      </w:r>
      <w:r w:rsidR="00C03D90">
        <w:t xml:space="preserve">she was </w:t>
      </w:r>
      <w:r>
        <w:t>capable of performing the essential duties of her job.</w:t>
      </w:r>
    </w:p>
    <w:p w:rsidR="00CF436B" w:rsidRDefault="00275A84" w:rsidP="00A33A27">
      <w:pPr>
        <w:ind w:firstLine="720"/>
        <w:jc w:val="left"/>
      </w:pPr>
      <w:r>
        <w:t xml:space="preserve">However, the </w:t>
      </w:r>
      <w:r w:rsidR="0030193E">
        <w:t xml:space="preserve">job description initially provided to the </w:t>
      </w:r>
      <w:r w:rsidR="00861312">
        <w:t xml:space="preserve">medical </w:t>
      </w:r>
      <w:r w:rsidR="0030193E">
        <w:t xml:space="preserve">panel was not for the job Ms. Henry </w:t>
      </w:r>
      <w:r w:rsidR="00861312">
        <w:t>was performing</w:t>
      </w:r>
      <w:r w:rsidR="0030193E">
        <w:t xml:space="preserve"> before her injury. </w:t>
      </w:r>
      <w:r w:rsidR="00861312">
        <w:t>Rather i</w:t>
      </w:r>
      <w:r w:rsidR="0030193E">
        <w:t xml:space="preserve">t described </w:t>
      </w:r>
      <w:r w:rsidR="00CF436B">
        <w:t xml:space="preserve">a support staff position modified for light duty. </w:t>
      </w:r>
    </w:p>
    <w:p w:rsidR="00116228" w:rsidRDefault="00406119" w:rsidP="00A33A27">
      <w:pPr>
        <w:ind w:firstLine="720"/>
        <w:jc w:val="left"/>
      </w:pPr>
      <w:r>
        <w:t>The B</w:t>
      </w:r>
      <w:r w:rsidR="00275A84">
        <w:t xml:space="preserve">oard </w:t>
      </w:r>
      <w:r w:rsidR="00906988">
        <w:t xml:space="preserve">recognized the error and provided the medical panel with the correct job description. It also provided the medical panel with a copy of the operative report for Ms. Henry’s shoulder surgery. The Board asked the medical panel to </w:t>
      </w:r>
      <w:r w:rsidR="00A81827">
        <w:t xml:space="preserve">revisit </w:t>
      </w:r>
      <w:r w:rsidR="00906988">
        <w:t>its opinion</w:t>
      </w:r>
      <w:r w:rsidR="005E0DF0">
        <w:t>,</w:t>
      </w:r>
      <w:r w:rsidR="00906988">
        <w:t xml:space="preserve"> taking into account the correct job description and the operative report.  </w:t>
      </w:r>
    </w:p>
    <w:p w:rsidR="00A43592" w:rsidRDefault="00406119" w:rsidP="00A33A27">
      <w:pPr>
        <w:ind w:firstLine="720"/>
        <w:jc w:val="left"/>
      </w:pPr>
      <w:r>
        <w:t xml:space="preserve">Ms. Henry argues that she should have been re-examined when the medical panel received the operative report and the correct job description. However, an additional </w:t>
      </w:r>
      <w:r w:rsidR="00906988">
        <w:t xml:space="preserve">physical </w:t>
      </w:r>
      <w:r>
        <w:lastRenderedPageBreak/>
        <w:t xml:space="preserve">examination </w:t>
      </w:r>
      <w:r w:rsidR="005E0DF0">
        <w:t xml:space="preserve">and interview </w:t>
      </w:r>
      <w:r w:rsidR="006E03D3">
        <w:t xml:space="preserve">would </w:t>
      </w:r>
      <w:r w:rsidR="00906988">
        <w:t xml:space="preserve">not </w:t>
      </w:r>
      <w:r w:rsidR="006E03D3">
        <w:t xml:space="preserve">have </w:t>
      </w:r>
      <w:r w:rsidR="00906988">
        <w:t>provided any new information. Ms. Henry described her job duties based on the correct job description</w:t>
      </w:r>
      <w:r w:rsidR="00A43592">
        <w:t xml:space="preserve">, which was the job she had performed </w:t>
      </w:r>
      <w:r w:rsidR="00E578E0">
        <w:t>prior to her injury.</w:t>
      </w:r>
      <w:r w:rsidR="00A43592">
        <w:t xml:space="preserve">  </w:t>
      </w:r>
    </w:p>
    <w:p w:rsidR="00E85258" w:rsidRDefault="003C7921" w:rsidP="00A33A27">
      <w:pPr>
        <w:ind w:firstLine="720"/>
        <w:jc w:val="left"/>
      </w:pPr>
      <w:r>
        <w:t>Even though the medical panel</w:t>
      </w:r>
      <w:r w:rsidR="005C17C9">
        <w:t xml:space="preserve"> </w:t>
      </w:r>
      <w:r w:rsidR="00E578E0">
        <w:t xml:space="preserve">initially </w:t>
      </w:r>
      <w:r w:rsidR="005C17C9">
        <w:t>lack</w:t>
      </w:r>
      <w:r>
        <w:t>ed</w:t>
      </w:r>
      <w:r w:rsidR="005C17C9">
        <w:t xml:space="preserve"> the operative report from </w:t>
      </w:r>
      <w:r w:rsidR="00E578E0">
        <w:t>her</w:t>
      </w:r>
      <w:r w:rsidR="005C17C9">
        <w:t xml:space="preserve"> surgery, </w:t>
      </w:r>
      <w:r w:rsidR="00E578E0">
        <w:t xml:space="preserve">it </w:t>
      </w:r>
      <w:r w:rsidR="005C17C9">
        <w:t>review</w:t>
      </w:r>
      <w:r w:rsidR="00E578E0">
        <w:t>ed</w:t>
      </w:r>
      <w:r w:rsidR="005C17C9">
        <w:t xml:space="preserve"> the</w:t>
      </w:r>
      <w:r w:rsidR="001E26EF">
        <w:t xml:space="preserve"> chronology of </w:t>
      </w:r>
      <w:r w:rsidR="00E578E0">
        <w:t xml:space="preserve">Ms. Henry’s </w:t>
      </w:r>
      <w:r w:rsidR="001E26EF">
        <w:t xml:space="preserve">treatment and </w:t>
      </w:r>
      <w:r w:rsidR="005E0DF0">
        <w:t xml:space="preserve">the </w:t>
      </w:r>
      <w:r w:rsidR="00E578E0">
        <w:t xml:space="preserve">various </w:t>
      </w:r>
      <w:r w:rsidR="001E26EF">
        <w:t>medical</w:t>
      </w:r>
      <w:r w:rsidR="00E578E0">
        <w:t xml:space="preserve"> opinions about her condition</w:t>
      </w:r>
      <w:r w:rsidR="001E26EF">
        <w:t>.</w:t>
      </w:r>
      <w:r w:rsidR="006E03D3">
        <w:t xml:space="preserve"> </w:t>
      </w:r>
      <w:r w:rsidR="00E578E0">
        <w:t>T</w:t>
      </w:r>
      <w:r w:rsidR="00FE27C9">
        <w:t xml:space="preserve">he operative report </w:t>
      </w:r>
      <w:r w:rsidR="00E578E0">
        <w:t xml:space="preserve">simply </w:t>
      </w:r>
      <w:r w:rsidR="00FE27C9">
        <w:t xml:space="preserve">confirmed the </w:t>
      </w:r>
      <w:r w:rsidR="00E578E0">
        <w:t xml:space="preserve">medical </w:t>
      </w:r>
      <w:proofErr w:type="gramStart"/>
      <w:r w:rsidR="00FE27C9">
        <w:t>panel</w:t>
      </w:r>
      <w:r w:rsidR="00E578E0">
        <w:t>’s understanding</w:t>
      </w:r>
      <w:proofErr w:type="gramEnd"/>
      <w:r w:rsidR="00E578E0">
        <w:t xml:space="preserve"> of what it learned from Ms. Henry and her medical records.</w:t>
      </w:r>
      <w:r w:rsidR="00FE27C9">
        <w:t xml:space="preserve">  </w:t>
      </w:r>
    </w:p>
    <w:p w:rsidR="00C3715F" w:rsidRDefault="00677857" w:rsidP="009D10CD">
      <w:pPr>
        <w:ind w:firstLine="720"/>
        <w:jc w:val="left"/>
      </w:pPr>
      <w:r>
        <w:t xml:space="preserve">Ms. Henry failed to prove that the </w:t>
      </w:r>
      <w:r w:rsidR="00D10398">
        <w:t xml:space="preserve">medical </w:t>
      </w:r>
      <w:r>
        <w:t xml:space="preserve">panel </w:t>
      </w:r>
      <w:r w:rsidR="00D10398">
        <w:t xml:space="preserve">applied an erroneous standard or </w:t>
      </w:r>
      <w:r>
        <w:t>lacked pertinent facts</w:t>
      </w:r>
      <w:r w:rsidR="00D10398">
        <w:t>.</w:t>
      </w:r>
      <w:r>
        <w:t xml:space="preserve"> </w:t>
      </w:r>
      <w:r w:rsidR="00F02CDD">
        <w:t xml:space="preserve">The </w:t>
      </w:r>
      <w:r w:rsidR="00D10398">
        <w:t xml:space="preserve">medical </w:t>
      </w:r>
      <w:r w:rsidR="00F02CDD">
        <w:t xml:space="preserve">panel’s ultimate decision was based on Ms. Henry’s correct job description and </w:t>
      </w:r>
      <w:r w:rsidR="00D10398">
        <w:t xml:space="preserve">her </w:t>
      </w:r>
      <w:r w:rsidR="00F02CDD">
        <w:t>complete medical records and history.</w:t>
      </w:r>
    </w:p>
    <w:p w:rsidR="00FA4EEB" w:rsidRDefault="00FA4EEB" w:rsidP="00FA4EEB">
      <w:pPr>
        <w:ind w:firstLine="720"/>
        <w:jc w:val="left"/>
      </w:pPr>
      <w:r>
        <w:t xml:space="preserve">Ms. Henry’s request for a new medical panel </w:t>
      </w:r>
      <w:r w:rsidR="0031089A">
        <w:t>is</w:t>
      </w:r>
      <w:r>
        <w:t xml:space="preserve"> denied. </w:t>
      </w:r>
      <w:r w:rsidR="00F02CDD">
        <w:t>The Board’s denial of Ms. Henry’s application is affirmed.</w:t>
      </w:r>
    </w:p>
    <w:p w:rsidR="00EB20F5" w:rsidRDefault="00EB20F5" w:rsidP="00FA4EEB">
      <w:pPr>
        <w:jc w:val="left"/>
      </w:pPr>
    </w:p>
    <w:p w:rsidR="00FA4EEB" w:rsidRDefault="00FA4EEB" w:rsidP="0031089A">
      <w:pPr>
        <w:spacing w:line="240" w:lineRule="auto"/>
        <w:ind w:left="5040"/>
        <w:jc w:val="both"/>
      </w:pPr>
      <w:r>
        <w:t>DIVISION OF ADMINISTRATIVE</w:t>
      </w:r>
    </w:p>
    <w:p w:rsidR="00FA4EEB" w:rsidRDefault="00FA4EEB" w:rsidP="0031089A">
      <w:pPr>
        <w:spacing w:line="240" w:lineRule="auto"/>
        <w:ind w:left="5040"/>
        <w:jc w:val="left"/>
      </w:pPr>
      <w:r>
        <w:t>LAW APPEALS</w:t>
      </w:r>
    </w:p>
    <w:p w:rsidR="00FA4EEB" w:rsidRDefault="00FA4EEB" w:rsidP="0031089A">
      <w:pPr>
        <w:spacing w:line="240" w:lineRule="auto"/>
        <w:ind w:left="10080" w:firstLine="720"/>
        <w:jc w:val="left"/>
      </w:pPr>
    </w:p>
    <w:p w:rsidR="00FA4EEB" w:rsidRDefault="00FA4EEB" w:rsidP="0031089A">
      <w:pPr>
        <w:spacing w:line="240" w:lineRule="auto"/>
        <w:ind w:left="10080" w:firstLine="720"/>
        <w:jc w:val="left"/>
      </w:pPr>
    </w:p>
    <w:p w:rsidR="00FA4EEB" w:rsidRDefault="00FA4EEB" w:rsidP="0031089A">
      <w:pPr>
        <w:spacing w:line="240" w:lineRule="auto"/>
        <w:ind w:left="5040"/>
        <w:jc w:val="left"/>
      </w:pPr>
      <w:r>
        <w:t>______________________________</w:t>
      </w:r>
    </w:p>
    <w:p w:rsidR="00FA4EEB" w:rsidRDefault="00FA4EEB" w:rsidP="0031089A">
      <w:pPr>
        <w:spacing w:line="240" w:lineRule="auto"/>
        <w:ind w:left="5040"/>
        <w:jc w:val="left"/>
      </w:pPr>
      <w:r>
        <w:t>Bonney Cashin</w:t>
      </w:r>
    </w:p>
    <w:p w:rsidR="00FA4EEB" w:rsidRDefault="00FA4EEB" w:rsidP="0031089A">
      <w:pPr>
        <w:spacing w:line="240" w:lineRule="auto"/>
        <w:ind w:left="5040"/>
        <w:jc w:val="left"/>
      </w:pPr>
      <w:r>
        <w:t>Administrative Magistrate</w:t>
      </w:r>
    </w:p>
    <w:p w:rsidR="0031089A" w:rsidRDefault="0031089A" w:rsidP="00FA4EEB">
      <w:pPr>
        <w:spacing w:line="240" w:lineRule="auto"/>
        <w:jc w:val="both"/>
      </w:pPr>
    </w:p>
    <w:p w:rsidR="0031089A" w:rsidRDefault="0031089A" w:rsidP="00FA4EEB">
      <w:pPr>
        <w:spacing w:line="240" w:lineRule="auto"/>
        <w:jc w:val="both"/>
      </w:pPr>
    </w:p>
    <w:p w:rsidR="00FA4EEB" w:rsidRPr="00A40D75" w:rsidRDefault="00FA4EEB" w:rsidP="00FA4EEB">
      <w:pPr>
        <w:spacing w:line="240" w:lineRule="auto"/>
        <w:jc w:val="both"/>
      </w:pPr>
      <w:r>
        <w:t>Dated:</w:t>
      </w:r>
      <w:r w:rsidR="0031089A">
        <w:t xml:space="preserve"> October</w:t>
      </w:r>
      <w:r w:rsidR="005E0DF0">
        <w:t xml:space="preserve"> </w:t>
      </w:r>
      <w:r w:rsidR="00A81827">
        <w:t>21</w:t>
      </w:r>
      <w:r w:rsidR="0031089A">
        <w:t>, 2016</w:t>
      </w:r>
    </w:p>
    <w:sectPr w:rsidR="00FA4EEB" w:rsidRPr="00A40D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02" w:rsidRDefault="00884802" w:rsidP="006660BE">
      <w:pPr>
        <w:spacing w:line="240" w:lineRule="auto"/>
      </w:pPr>
      <w:r>
        <w:separator/>
      </w:r>
    </w:p>
  </w:endnote>
  <w:endnote w:type="continuationSeparator" w:id="0">
    <w:p w:rsidR="00884802" w:rsidRDefault="00884802" w:rsidP="00666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08605"/>
      <w:docPartObj>
        <w:docPartGallery w:val="Page Numbers (Bottom of Page)"/>
        <w:docPartUnique/>
      </w:docPartObj>
    </w:sdtPr>
    <w:sdtEndPr>
      <w:rPr>
        <w:noProof/>
      </w:rPr>
    </w:sdtEndPr>
    <w:sdtContent>
      <w:p w:rsidR="006660BE" w:rsidRDefault="006660BE">
        <w:pPr>
          <w:pStyle w:val="Footer"/>
        </w:pPr>
        <w:r>
          <w:fldChar w:fldCharType="begin"/>
        </w:r>
        <w:r>
          <w:instrText xml:space="preserve"> PAGE   \* MERGEFORMAT </w:instrText>
        </w:r>
        <w:r>
          <w:fldChar w:fldCharType="separate"/>
        </w:r>
        <w:r w:rsidR="00326702">
          <w:rPr>
            <w:noProof/>
          </w:rPr>
          <w:t>1</w:t>
        </w:r>
        <w:r>
          <w:rPr>
            <w:noProof/>
          </w:rPr>
          <w:fldChar w:fldCharType="end"/>
        </w:r>
      </w:p>
    </w:sdtContent>
  </w:sdt>
  <w:p w:rsidR="006660BE" w:rsidRDefault="00666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02" w:rsidRDefault="00884802" w:rsidP="006660BE">
      <w:pPr>
        <w:spacing w:line="240" w:lineRule="auto"/>
      </w:pPr>
      <w:r>
        <w:separator/>
      </w:r>
    </w:p>
  </w:footnote>
  <w:footnote w:type="continuationSeparator" w:id="0">
    <w:p w:rsidR="00884802" w:rsidRDefault="00884802" w:rsidP="006660BE">
      <w:pPr>
        <w:spacing w:line="240" w:lineRule="auto"/>
      </w:pPr>
      <w:r>
        <w:continuationSeparator/>
      </w:r>
    </w:p>
  </w:footnote>
  <w:footnote w:id="1">
    <w:p w:rsidR="00610FAA" w:rsidRDefault="00610FAA" w:rsidP="008D0A36">
      <w:pPr>
        <w:pStyle w:val="FootnoteText"/>
        <w:jc w:val="left"/>
      </w:pPr>
      <w:r>
        <w:rPr>
          <w:rStyle w:val="FootnoteReference"/>
        </w:rPr>
        <w:footnoteRef/>
      </w:r>
      <w:r>
        <w:t xml:space="preserve"> </w:t>
      </w:r>
      <w:r w:rsidR="00152B40">
        <w:t>The termination form provides these conclusion</w:t>
      </w:r>
      <w:r w:rsidR="00E02904">
        <w:t>s</w:t>
      </w:r>
      <w:r w:rsidR="00152B40">
        <w:t xml:space="preserve">, but no facts supporting </w:t>
      </w:r>
      <w:r w:rsidR="00E02904">
        <w:t xml:space="preserve">the </w:t>
      </w:r>
      <w:r w:rsidR="00152B40">
        <w:t>finding</w:t>
      </w:r>
      <w:r w:rsidR="00E02904">
        <w:t xml:space="preserve"> of</w:t>
      </w:r>
      <w:r w:rsidR="00152B40">
        <w:t xml:space="preserve"> no disability and lack of causation.  </w:t>
      </w:r>
    </w:p>
  </w:footnote>
  <w:footnote w:id="2">
    <w:p w:rsidR="000D76F0" w:rsidRDefault="000D76F0" w:rsidP="00B138BB">
      <w:pPr>
        <w:pStyle w:val="FootnoteText"/>
        <w:jc w:val="left"/>
      </w:pPr>
      <w:r>
        <w:rPr>
          <w:rStyle w:val="FootnoteReference"/>
        </w:rPr>
        <w:footnoteRef/>
      </w:r>
      <w:r>
        <w:t xml:space="preserve"> As noted on the medical panel certificate form, once a medical panel answers “no” to one of the three questions, it need not answer questions that follow.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3D5C"/>
    <w:multiLevelType w:val="hybridMultilevel"/>
    <w:tmpl w:val="E3C810C4"/>
    <w:lvl w:ilvl="0" w:tplc="2EA246E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6E"/>
    <w:rsid w:val="00000E00"/>
    <w:rsid w:val="0000410D"/>
    <w:rsid w:val="000237AD"/>
    <w:rsid w:val="00027E4C"/>
    <w:rsid w:val="00051D1A"/>
    <w:rsid w:val="00076942"/>
    <w:rsid w:val="00093617"/>
    <w:rsid w:val="000C6A66"/>
    <w:rsid w:val="000D71EC"/>
    <w:rsid w:val="000D76F0"/>
    <w:rsid w:val="000F176B"/>
    <w:rsid w:val="000F3D4E"/>
    <w:rsid w:val="00116228"/>
    <w:rsid w:val="00122AA5"/>
    <w:rsid w:val="00127581"/>
    <w:rsid w:val="00144C9E"/>
    <w:rsid w:val="00152B40"/>
    <w:rsid w:val="00154791"/>
    <w:rsid w:val="00161FFE"/>
    <w:rsid w:val="00181BA9"/>
    <w:rsid w:val="0019135E"/>
    <w:rsid w:val="001A4AD5"/>
    <w:rsid w:val="001B2C37"/>
    <w:rsid w:val="001D5B53"/>
    <w:rsid w:val="001E26EF"/>
    <w:rsid w:val="001E3EFC"/>
    <w:rsid w:val="001E672A"/>
    <w:rsid w:val="001E6E25"/>
    <w:rsid w:val="00214A7D"/>
    <w:rsid w:val="00254F74"/>
    <w:rsid w:val="0026373D"/>
    <w:rsid w:val="00275A84"/>
    <w:rsid w:val="00292369"/>
    <w:rsid w:val="00292B6B"/>
    <w:rsid w:val="002A142D"/>
    <w:rsid w:val="002B49F4"/>
    <w:rsid w:val="002D5348"/>
    <w:rsid w:val="002E1215"/>
    <w:rsid w:val="002F675E"/>
    <w:rsid w:val="003003D8"/>
    <w:rsid w:val="0030193E"/>
    <w:rsid w:val="0031089A"/>
    <w:rsid w:val="003111FD"/>
    <w:rsid w:val="00312AC9"/>
    <w:rsid w:val="003171B2"/>
    <w:rsid w:val="00321B36"/>
    <w:rsid w:val="00325078"/>
    <w:rsid w:val="00326702"/>
    <w:rsid w:val="00347D58"/>
    <w:rsid w:val="0037004A"/>
    <w:rsid w:val="00381060"/>
    <w:rsid w:val="00385017"/>
    <w:rsid w:val="00392AD2"/>
    <w:rsid w:val="003B1AFE"/>
    <w:rsid w:val="003C2B4F"/>
    <w:rsid w:val="003C5860"/>
    <w:rsid w:val="003C7921"/>
    <w:rsid w:val="003E510A"/>
    <w:rsid w:val="003F18D5"/>
    <w:rsid w:val="003F2047"/>
    <w:rsid w:val="003F2B81"/>
    <w:rsid w:val="003F38C7"/>
    <w:rsid w:val="003F59EE"/>
    <w:rsid w:val="004014DD"/>
    <w:rsid w:val="00403412"/>
    <w:rsid w:val="00406119"/>
    <w:rsid w:val="004155F9"/>
    <w:rsid w:val="004361BD"/>
    <w:rsid w:val="004571A3"/>
    <w:rsid w:val="004708B3"/>
    <w:rsid w:val="00471513"/>
    <w:rsid w:val="004C7365"/>
    <w:rsid w:val="004E0B5E"/>
    <w:rsid w:val="004E5432"/>
    <w:rsid w:val="004F3652"/>
    <w:rsid w:val="00510154"/>
    <w:rsid w:val="00512452"/>
    <w:rsid w:val="00514107"/>
    <w:rsid w:val="00527774"/>
    <w:rsid w:val="00536814"/>
    <w:rsid w:val="005412B9"/>
    <w:rsid w:val="005822A4"/>
    <w:rsid w:val="005976B7"/>
    <w:rsid w:val="005A4D77"/>
    <w:rsid w:val="005B600D"/>
    <w:rsid w:val="005C17C9"/>
    <w:rsid w:val="005D462F"/>
    <w:rsid w:val="005E0A4B"/>
    <w:rsid w:val="005E0DF0"/>
    <w:rsid w:val="006007A5"/>
    <w:rsid w:val="00600862"/>
    <w:rsid w:val="00610DED"/>
    <w:rsid w:val="00610FAA"/>
    <w:rsid w:val="00615961"/>
    <w:rsid w:val="00624310"/>
    <w:rsid w:val="00633DA7"/>
    <w:rsid w:val="00647D7F"/>
    <w:rsid w:val="00651EBB"/>
    <w:rsid w:val="006660BE"/>
    <w:rsid w:val="006736E6"/>
    <w:rsid w:val="00677857"/>
    <w:rsid w:val="0069105E"/>
    <w:rsid w:val="00694D3D"/>
    <w:rsid w:val="00697332"/>
    <w:rsid w:val="006C0DA3"/>
    <w:rsid w:val="006D07A2"/>
    <w:rsid w:val="006D3663"/>
    <w:rsid w:val="006D5078"/>
    <w:rsid w:val="006D59B8"/>
    <w:rsid w:val="006E03D3"/>
    <w:rsid w:val="007026F7"/>
    <w:rsid w:val="007064AD"/>
    <w:rsid w:val="00721522"/>
    <w:rsid w:val="007442A5"/>
    <w:rsid w:val="007861D1"/>
    <w:rsid w:val="007A360B"/>
    <w:rsid w:val="007D18E2"/>
    <w:rsid w:val="0080251A"/>
    <w:rsid w:val="00813734"/>
    <w:rsid w:val="008170DD"/>
    <w:rsid w:val="00856955"/>
    <w:rsid w:val="00861312"/>
    <w:rsid w:val="00876036"/>
    <w:rsid w:val="00884802"/>
    <w:rsid w:val="008951CC"/>
    <w:rsid w:val="008A0C8D"/>
    <w:rsid w:val="008C2507"/>
    <w:rsid w:val="008D0A36"/>
    <w:rsid w:val="008E261A"/>
    <w:rsid w:val="00906988"/>
    <w:rsid w:val="00911BFF"/>
    <w:rsid w:val="009252EA"/>
    <w:rsid w:val="00947AA0"/>
    <w:rsid w:val="00960FA5"/>
    <w:rsid w:val="0099240B"/>
    <w:rsid w:val="009951D7"/>
    <w:rsid w:val="009C1089"/>
    <w:rsid w:val="009D10CD"/>
    <w:rsid w:val="009E57E6"/>
    <w:rsid w:val="00A00281"/>
    <w:rsid w:val="00A05F33"/>
    <w:rsid w:val="00A12AC9"/>
    <w:rsid w:val="00A33A27"/>
    <w:rsid w:val="00A40D75"/>
    <w:rsid w:val="00A43592"/>
    <w:rsid w:val="00A54AF7"/>
    <w:rsid w:val="00A62CAE"/>
    <w:rsid w:val="00A81827"/>
    <w:rsid w:val="00A83059"/>
    <w:rsid w:val="00AB77F1"/>
    <w:rsid w:val="00AD48DC"/>
    <w:rsid w:val="00AD5F6A"/>
    <w:rsid w:val="00AE34E1"/>
    <w:rsid w:val="00AE57C5"/>
    <w:rsid w:val="00AF0D17"/>
    <w:rsid w:val="00B003F5"/>
    <w:rsid w:val="00B13247"/>
    <w:rsid w:val="00B138BB"/>
    <w:rsid w:val="00B22FA8"/>
    <w:rsid w:val="00B403F8"/>
    <w:rsid w:val="00B42A47"/>
    <w:rsid w:val="00B73FBF"/>
    <w:rsid w:val="00B74D6B"/>
    <w:rsid w:val="00BA457C"/>
    <w:rsid w:val="00BF046E"/>
    <w:rsid w:val="00BF2356"/>
    <w:rsid w:val="00C00625"/>
    <w:rsid w:val="00C01B9B"/>
    <w:rsid w:val="00C03D90"/>
    <w:rsid w:val="00C32733"/>
    <w:rsid w:val="00C3715F"/>
    <w:rsid w:val="00C42FF5"/>
    <w:rsid w:val="00C800AB"/>
    <w:rsid w:val="00C80CDC"/>
    <w:rsid w:val="00C87F7E"/>
    <w:rsid w:val="00C94C7B"/>
    <w:rsid w:val="00CB0A0C"/>
    <w:rsid w:val="00CB140D"/>
    <w:rsid w:val="00CC68A1"/>
    <w:rsid w:val="00CD753A"/>
    <w:rsid w:val="00CE3944"/>
    <w:rsid w:val="00CE41F8"/>
    <w:rsid w:val="00CE75B2"/>
    <w:rsid w:val="00CF3E15"/>
    <w:rsid w:val="00CF436B"/>
    <w:rsid w:val="00CF6AFA"/>
    <w:rsid w:val="00D04732"/>
    <w:rsid w:val="00D10398"/>
    <w:rsid w:val="00D12EBE"/>
    <w:rsid w:val="00D25B6B"/>
    <w:rsid w:val="00DD129B"/>
    <w:rsid w:val="00DE26D2"/>
    <w:rsid w:val="00DE4005"/>
    <w:rsid w:val="00DE57F2"/>
    <w:rsid w:val="00DF2D95"/>
    <w:rsid w:val="00E02904"/>
    <w:rsid w:val="00E06905"/>
    <w:rsid w:val="00E12148"/>
    <w:rsid w:val="00E15291"/>
    <w:rsid w:val="00E21983"/>
    <w:rsid w:val="00E31B24"/>
    <w:rsid w:val="00E35ED0"/>
    <w:rsid w:val="00E36FB8"/>
    <w:rsid w:val="00E578E0"/>
    <w:rsid w:val="00E85258"/>
    <w:rsid w:val="00EB20F5"/>
    <w:rsid w:val="00EB304D"/>
    <w:rsid w:val="00EC053C"/>
    <w:rsid w:val="00EC310C"/>
    <w:rsid w:val="00EE65A1"/>
    <w:rsid w:val="00F02CDD"/>
    <w:rsid w:val="00F02D98"/>
    <w:rsid w:val="00F07356"/>
    <w:rsid w:val="00F154F1"/>
    <w:rsid w:val="00F168B3"/>
    <w:rsid w:val="00F370CE"/>
    <w:rsid w:val="00F64299"/>
    <w:rsid w:val="00F7094F"/>
    <w:rsid w:val="00FA4EEB"/>
    <w:rsid w:val="00FC497D"/>
    <w:rsid w:val="00FE202A"/>
    <w:rsid w:val="00FE27C9"/>
    <w:rsid w:val="00FE44B5"/>
    <w:rsid w:val="00FF2B42"/>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62"/>
    <w:pPr>
      <w:ind w:left="720"/>
      <w:contextualSpacing/>
    </w:pPr>
  </w:style>
  <w:style w:type="paragraph" w:styleId="Header">
    <w:name w:val="header"/>
    <w:basedOn w:val="Normal"/>
    <w:link w:val="HeaderChar"/>
    <w:uiPriority w:val="99"/>
    <w:unhideWhenUsed/>
    <w:rsid w:val="006660BE"/>
    <w:pPr>
      <w:tabs>
        <w:tab w:val="center" w:pos="4680"/>
        <w:tab w:val="right" w:pos="9360"/>
      </w:tabs>
      <w:spacing w:line="240" w:lineRule="auto"/>
    </w:pPr>
  </w:style>
  <w:style w:type="character" w:customStyle="1" w:styleId="HeaderChar">
    <w:name w:val="Header Char"/>
    <w:basedOn w:val="DefaultParagraphFont"/>
    <w:link w:val="Header"/>
    <w:uiPriority w:val="99"/>
    <w:rsid w:val="006660BE"/>
  </w:style>
  <w:style w:type="paragraph" w:styleId="Footer">
    <w:name w:val="footer"/>
    <w:basedOn w:val="Normal"/>
    <w:link w:val="FooterChar"/>
    <w:uiPriority w:val="99"/>
    <w:unhideWhenUsed/>
    <w:rsid w:val="006660BE"/>
    <w:pPr>
      <w:tabs>
        <w:tab w:val="center" w:pos="4680"/>
        <w:tab w:val="right" w:pos="9360"/>
      </w:tabs>
      <w:spacing w:line="240" w:lineRule="auto"/>
    </w:pPr>
  </w:style>
  <w:style w:type="character" w:customStyle="1" w:styleId="FooterChar">
    <w:name w:val="Footer Char"/>
    <w:basedOn w:val="DefaultParagraphFont"/>
    <w:link w:val="Footer"/>
    <w:uiPriority w:val="99"/>
    <w:rsid w:val="006660BE"/>
  </w:style>
  <w:style w:type="paragraph" w:styleId="FootnoteText">
    <w:name w:val="footnote text"/>
    <w:basedOn w:val="Normal"/>
    <w:link w:val="FootnoteTextChar"/>
    <w:unhideWhenUsed/>
    <w:rsid w:val="00610FAA"/>
    <w:pPr>
      <w:spacing w:line="240" w:lineRule="auto"/>
    </w:pPr>
    <w:rPr>
      <w:sz w:val="20"/>
      <w:szCs w:val="20"/>
    </w:rPr>
  </w:style>
  <w:style w:type="character" w:customStyle="1" w:styleId="FootnoteTextChar">
    <w:name w:val="Footnote Text Char"/>
    <w:basedOn w:val="DefaultParagraphFont"/>
    <w:link w:val="FootnoteText"/>
    <w:rsid w:val="00610FAA"/>
    <w:rPr>
      <w:sz w:val="20"/>
      <w:szCs w:val="20"/>
    </w:rPr>
  </w:style>
  <w:style w:type="character" w:styleId="FootnoteReference">
    <w:name w:val="footnote reference"/>
    <w:basedOn w:val="DefaultParagraphFont"/>
    <w:unhideWhenUsed/>
    <w:rsid w:val="00610FAA"/>
    <w:rPr>
      <w:vertAlign w:val="superscript"/>
    </w:rPr>
  </w:style>
  <w:style w:type="paragraph" w:styleId="BalloonText">
    <w:name w:val="Balloon Text"/>
    <w:basedOn w:val="Normal"/>
    <w:link w:val="BalloonTextChar"/>
    <w:uiPriority w:val="99"/>
    <w:semiHidden/>
    <w:unhideWhenUsed/>
    <w:rsid w:val="00B138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8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62"/>
    <w:pPr>
      <w:ind w:left="720"/>
      <w:contextualSpacing/>
    </w:pPr>
  </w:style>
  <w:style w:type="paragraph" w:styleId="Header">
    <w:name w:val="header"/>
    <w:basedOn w:val="Normal"/>
    <w:link w:val="HeaderChar"/>
    <w:uiPriority w:val="99"/>
    <w:unhideWhenUsed/>
    <w:rsid w:val="006660BE"/>
    <w:pPr>
      <w:tabs>
        <w:tab w:val="center" w:pos="4680"/>
        <w:tab w:val="right" w:pos="9360"/>
      </w:tabs>
      <w:spacing w:line="240" w:lineRule="auto"/>
    </w:pPr>
  </w:style>
  <w:style w:type="character" w:customStyle="1" w:styleId="HeaderChar">
    <w:name w:val="Header Char"/>
    <w:basedOn w:val="DefaultParagraphFont"/>
    <w:link w:val="Header"/>
    <w:uiPriority w:val="99"/>
    <w:rsid w:val="006660BE"/>
  </w:style>
  <w:style w:type="paragraph" w:styleId="Footer">
    <w:name w:val="footer"/>
    <w:basedOn w:val="Normal"/>
    <w:link w:val="FooterChar"/>
    <w:uiPriority w:val="99"/>
    <w:unhideWhenUsed/>
    <w:rsid w:val="006660BE"/>
    <w:pPr>
      <w:tabs>
        <w:tab w:val="center" w:pos="4680"/>
        <w:tab w:val="right" w:pos="9360"/>
      </w:tabs>
      <w:spacing w:line="240" w:lineRule="auto"/>
    </w:pPr>
  </w:style>
  <w:style w:type="character" w:customStyle="1" w:styleId="FooterChar">
    <w:name w:val="Footer Char"/>
    <w:basedOn w:val="DefaultParagraphFont"/>
    <w:link w:val="Footer"/>
    <w:uiPriority w:val="99"/>
    <w:rsid w:val="006660BE"/>
  </w:style>
  <w:style w:type="paragraph" w:styleId="FootnoteText">
    <w:name w:val="footnote text"/>
    <w:basedOn w:val="Normal"/>
    <w:link w:val="FootnoteTextChar"/>
    <w:unhideWhenUsed/>
    <w:rsid w:val="00610FAA"/>
    <w:pPr>
      <w:spacing w:line="240" w:lineRule="auto"/>
    </w:pPr>
    <w:rPr>
      <w:sz w:val="20"/>
      <w:szCs w:val="20"/>
    </w:rPr>
  </w:style>
  <w:style w:type="character" w:customStyle="1" w:styleId="FootnoteTextChar">
    <w:name w:val="Footnote Text Char"/>
    <w:basedOn w:val="DefaultParagraphFont"/>
    <w:link w:val="FootnoteText"/>
    <w:rsid w:val="00610FAA"/>
    <w:rPr>
      <w:sz w:val="20"/>
      <w:szCs w:val="20"/>
    </w:rPr>
  </w:style>
  <w:style w:type="character" w:styleId="FootnoteReference">
    <w:name w:val="footnote reference"/>
    <w:basedOn w:val="DefaultParagraphFont"/>
    <w:unhideWhenUsed/>
    <w:rsid w:val="00610FAA"/>
    <w:rPr>
      <w:vertAlign w:val="superscript"/>
    </w:rPr>
  </w:style>
  <w:style w:type="paragraph" w:styleId="BalloonText">
    <w:name w:val="Balloon Text"/>
    <w:basedOn w:val="Normal"/>
    <w:link w:val="BalloonTextChar"/>
    <w:uiPriority w:val="99"/>
    <w:semiHidden/>
    <w:unhideWhenUsed/>
    <w:rsid w:val="00B138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1BD65-B27B-47C8-B2A3-D168C19A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2016-12-06T19:28:00Z</dcterms:created>
  <dc:creator>ANF</dc:creator>
  <lastModifiedBy>ANF</lastModifiedBy>
  <lastPrinted>2016-10-17T18:18:00Z</lastPrinted>
  <dcterms:modified xsi:type="dcterms:W3CDTF">2016-12-06T19:28:00Z</dcterms:modified>
  <revision>2</revision>
</coreProperties>
</file>