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115B" w14:textId="06D13ACB" w:rsidR="00E72BEA" w:rsidRDefault="00132107" w:rsidP="00E72BEA">
      <w:pPr>
        <w:pStyle w:val="Header"/>
        <w:outlineLvl w:val="0"/>
        <w:rPr>
          <w:rFonts w:ascii="Arial" w:hAnsi="Arial" w:cs="Arial"/>
          <w:color w:val="152355"/>
          <w:sz w:val="22"/>
          <w:szCs w:val="22"/>
        </w:rPr>
      </w:pPr>
      <w:r>
        <w:rPr>
          <w:noProof/>
        </w:rPr>
        <w:drawing>
          <wp:anchor distT="0" distB="0" distL="114300" distR="114300" simplePos="0" relativeHeight="251659264" behindDoc="1" locked="0" layoutInCell="1" allowOverlap="1" wp14:anchorId="287051DF" wp14:editId="259964DC">
            <wp:simplePos x="0" y="0"/>
            <wp:positionH relativeFrom="column">
              <wp:posOffset>5930900</wp:posOffset>
            </wp:positionH>
            <wp:positionV relativeFrom="page">
              <wp:posOffset>114300</wp:posOffset>
            </wp:positionV>
            <wp:extent cx="908050" cy="908050"/>
            <wp:effectExtent l="0" t="0" r="635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BBC">
        <w:rPr>
          <w:rFonts w:ascii="Arial" w:hAnsi="Arial" w:cs="Arial"/>
          <w:noProof/>
          <w:sz w:val="22"/>
          <w:szCs w:val="22"/>
        </w:rPr>
        <mc:AlternateContent>
          <mc:Choice Requires="wps">
            <w:drawing>
              <wp:anchor distT="0" distB="0" distL="114300" distR="114300" simplePos="0" relativeHeight="251655167" behindDoc="0" locked="0" layoutInCell="1" allowOverlap="1" wp14:anchorId="7FA7143B" wp14:editId="3DD69731">
                <wp:simplePos x="0" y="0"/>
                <wp:positionH relativeFrom="page">
                  <wp:posOffset>273051</wp:posOffset>
                </wp:positionH>
                <wp:positionV relativeFrom="paragraph">
                  <wp:posOffset>-1079500</wp:posOffset>
                </wp:positionV>
                <wp:extent cx="5943600" cy="12617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469AF" w14:textId="77777777" w:rsidR="00E72BEA" w:rsidRDefault="0012598D" w:rsidP="0012598D">
                            <w:pPr>
                              <w:jc w:val="right"/>
                              <w:rPr>
                                <w:rFonts w:ascii="Arial" w:hAnsi="Arial" w:cs="Arial"/>
                                <w:b/>
                                <w:bCs/>
                                <w:color w:val="F2F2F2"/>
                                <w:sz w:val="20"/>
                                <w:szCs w:val="20"/>
                              </w:rPr>
                            </w:pPr>
                            <w:r>
                              <w:rPr>
                                <w:rFonts w:ascii="Arial" w:hAnsi="Arial" w:cs="Arial"/>
                                <w:b/>
                                <w:bCs/>
                                <w:color w:val="F2F2F2"/>
                                <w:sz w:val="72"/>
                                <w:szCs w:val="72"/>
                              </w:rPr>
                              <w:t xml:space="preserve">  </w:t>
                            </w:r>
                          </w:p>
                          <w:p w14:paraId="0561CDA3" w14:textId="184121C6" w:rsidR="009069F9" w:rsidRDefault="00E77C87" w:rsidP="00CA00E0">
                            <w:pPr>
                              <w:rPr>
                                <w:rFonts w:ascii="Arial" w:hAnsi="Arial" w:cs="Arial"/>
                                <w:sz w:val="72"/>
                                <w:szCs w:val="72"/>
                              </w:rPr>
                            </w:pPr>
                            <w:r>
                              <w:rPr>
                                <w:rFonts w:ascii="Arial" w:hAnsi="Arial" w:cs="Arial"/>
                                <w:b/>
                                <w:bCs/>
                                <w:color w:val="F2F2F2"/>
                                <w:sz w:val="72"/>
                                <w:szCs w:val="72"/>
                              </w:rPr>
                              <w:t>Hepatitis C</w:t>
                            </w:r>
                            <w:r w:rsidR="00AC7F02">
                              <w:rPr>
                                <w:rFonts w:ascii="Arial" w:hAnsi="Arial" w:cs="Arial"/>
                                <w:sz w:val="72"/>
                                <w:szCs w:val="72"/>
                              </w:rPr>
                              <w:t xml:space="preserve">   </w:t>
                            </w:r>
                            <w:r w:rsidR="006D44C0">
                              <w:rPr>
                                <w:rFonts w:ascii="Arial" w:hAnsi="Arial" w:cs="Arial"/>
                                <w:sz w:val="72"/>
                                <w:szCs w:val="72"/>
                              </w:rPr>
                              <w:tab/>
                            </w:r>
                          </w:p>
                          <w:p w14:paraId="6F8728D3" w14:textId="790312A0" w:rsidR="00AC7F02" w:rsidRPr="000A7D78" w:rsidRDefault="00AC7F02" w:rsidP="00CA00E0">
                            <w:pPr>
                              <w:rPr>
                                <w:rFonts w:ascii="Arial" w:hAnsi="Arial" w:cs="Arial"/>
                                <w:b/>
                                <w:bCs/>
                                <w:color w:val="F2F2F2"/>
                                <w:sz w:val="96"/>
                                <w:szCs w:val="96"/>
                              </w:rPr>
                            </w:pPr>
                            <w:r w:rsidRPr="000A7D78">
                              <w:rPr>
                                <w:rFonts w:ascii="Arial" w:eastAsia="Calibri" w:hAnsi="Arial" w:cs="Arial"/>
                                <w:b/>
                                <w:bCs/>
                                <w:color w:val="FFFFFF"/>
                                <w:sz w:val="28"/>
                                <w:szCs w:val="28"/>
                              </w:rPr>
                              <w:t>H</w:t>
                            </w:r>
                            <w:r w:rsidR="00857E7D">
                              <w:rPr>
                                <w:rFonts w:ascii="Arial" w:eastAsia="Calibri" w:hAnsi="Arial" w:cs="Arial"/>
                                <w:b/>
                                <w:bCs/>
                                <w:color w:val="FFFFFF"/>
                                <w:sz w:val="28"/>
                                <w:szCs w:val="28"/>
                              </w:rPr>
                              <w:t xml:space="preserve">epatitis </w:t>
                            </w:r>
                            <w:r w:rsidRPr="000A7D78">
                              <w:rPr>
                                <w:rFonts w:ascii="Arial" w:eastAsia="Calibri" w:hAnsi="Arial" w:cs="Arial"/>
                                <w:b/>
                                <w:bCs/>
                                <w:color w:val="FFFFFF"/>
                                <w:sz w:val="28"/>
                                <w:szCs w:val="28"/>
                              </w:rPr>
                              <w:t>C</w:t>
                            </w:r>
                            <w:r w:rsidR="00857E7D">
                              <w:rPr>
                                <w:rFonts w:ascii="Arial" w:eastAsia="Calibri" w:hAnsi="Arial" w:cs="Arial"/>
                                <w:b/>
                                <w:bCs/>
                                <w:color w:val="FFFFFF"/>
                                <w:sz w:val="28"/>
                                <w:szCs w:val="28"/>
                              </w:rPr>
                              <w:t xml:space="preserve"> </w:t>
                            </w:r>
                            <w:r w:rsidRPr="000A7D78">
                              <w:rPr>
                                <w:rFonts w:ascii="Arial" w:eastAsia="Calibri" w:hAnsi="Arial" w:cs="Arial"/>
                                <w:b/>
                                <w:bCs/>
                                <w:color w:val="FFFFFF"/>
                                <w:sz w:val="28"/>
                                <w:szCs w:val="28"/>
                              </w:rPr>
                              <w:t>V</w:t>
                            </w:r>
                            <w:r w:rsidR="00857E7D">
                              <w:rPr>
                                <w:rFonts w:ascii="Arial" w:eastAsia="Calibri" w:hAnsi="Arial" w:cs="Arial"/>
                                <w:b/>
                                <w:bCs/>
                                <w:color w:val="FFFFFF"/>
                                <w:sz w:val="28"/>
                                <w:szCs w:val="28"/>
                              </w:rPr>
                              <w:t>irus (HCV)</w:t>
                            </w:r>
                            <w:r w:rsidRPr="000A7D78">
                              <w:rPr>
                                <w:rFonts w:ascii="Arial" w:eastAsia="Calibri" w:hAnsi="Arial" w:cs="Arial"/>
                                <w:b/>
                                <w:bCs/>
                                <w:color w:val="FFFFFF"/>
                                <w:sz w:val="28"/>
                                <w:szCs w:val="28"/>
                              </w:rPr>
                              <w:t xml:space="preserve"> Testing and Treatment in Massachusetts:</w:t>
                            </w:r>
                          </w:p>
                          <w:p w14:paraId="2F362715" w14:textId="7309188E" w:rsidR="00AC7F02" w:rsidRPr="000A7D78" w:rsidRDefault="00EE7DE5" w:rsidP="00CA00E0">
                            <w:pPr>
                              <w:rPr>
                                <w:rFonts w:ascii="Arial" w:eastAsia="Calibri" w:hAnsi="Arial" w:cs="Arial"/>
                                <w:b/>
                                <w:bCs/>
                                <w:color w:val="FFFFFF"/>
                                <w:sz w:val="28"/>
                                <w:szCs w:val="28"/>
                              </w:rPr>
                            </w:pPr>
                            <w:r w:rsidRPr="000A7D78">
                              <w:rPr>
                                <w:rFonts w:ascii="Arial" w:eastAsia="Calibri" w:hAnsi="Arial" w:cs="Arial"/>
                                <w:b/>
                                <w:bCs/>
                                <w:color w:val="FFFFFF"/>
                                <w:sz w:val="28"/>
                                <w:szCs w:val="28"/>
                              </w:rPr>
                              <w:t xml:space="preserve">Key </w:t>
                            </w:r>
                            <w:r w:rsidR="00AC7F02" w:rsidRPr="000A7D78">
                              <w:rPr>
                                <w:rFonts w:ascii="Arial" w:eastAsia="Calibri" w:hAnsi="Arial" w:cs="Arial"/>
                                <w:b/>
                                <w:bCs/>
                                <w:color w:val="FFFFFF"/>
                                <w:sz w:val="28"/>
                                <w:szCs w:val="28"/>
                              </w:rPr>
                              <w:t>Findings from Analysis of Medical Claims Data, 2016-2020</w:t>
                            </w:r>
                          </w:p>
                          <w:p w14:paraId="4B8610FE" w14:textId="77777777" w:rsidR="0012598D" w:rsidRPr="00AC7F02" w:rsidRDefault="0012598D" w:rsidP="00CA00E0">
                            <w:pPr>
                              <w:rPr>
                                <w:rFonts w:ascii="Calibri" w:eastAsia="Calibri" w:hAnsi="Calibri"/>
                                <w:b/>
                                <w:bCs/>
                              </w:rPr>
                            </w:pPr>
                          </w:p>
                          <w:p w14:paraId="7146BB3C" w14:textId="77777777" w:rsidR="00884FF4" w:rsidRPr="00AC7F02" w:rsidRDefault="00884FF4" w:rsidP="00026F57">
                            <w:pPr>
                              <w:pStyle w:val="BIDTitle"/>
                              <w:spacing w:before="120"/>
                              <w:rPr>
                                <w:rFonts w:ascii="Arial" w:hAnsi="Arial" w:cs="Arial"/>
                                <w:sz w:val="24"/>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7143B" id="_x0000_t202" coordsize="21600,21600" o:spt="202" path="m,l,21600r21600,l21600,xe">
                <v:stroke joinstyle="miter"/>
                <v:path gradientshapeok="t" o:connecttype="rect"/>
              </v:shapetype>
              <v:shape id="Text Box 3" o:spid="_x0000_s1026" type="#_x0000_t202" style="position:absolute;margin-left:21.5pt;margin-top:-85pt;width:468pt;height:99.35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Gm7gEAAMcDAAAOAAAAZHJzL2Uyb0RvYy54bWysU21v0zAQ/o7Ef7D8nSbpusKiptPYNIQ0&#10;BtLGD7g6TmOR+MzZbVJ+PWenKwW+Ib5Yvhc/99xz59X12Hdir8kbtJUsZrkU2iqsjd1W8uvz/Zt3&#10;UvgAtoYOra7kQXt5vX79ajW4Us+xxa7WJBjE+nJwlWxDcGWWedXqHvwMnbYcbJB6CGzSNqsJBkbv&#10;u2ye58tsQKododLes/duCsp1wm8arcLnpvE6iK6SzC2kk9K5iWe2XkG5JXCtUUca8A8sejCWi56g&#10;7iCA2JH5C6o3itBjE2YK+wybxiideuBuivyPbp5acDr1wuJ4d5LJ/z9Y9bj/QsLUlVxKYaHnET3r&#10;MYj3OIqLqM7gfMlJT47TwshunnLq1LsHVN+8sHjbgt3qGyIcWg01syviy+zs6YTjI8hm+IQ1l4Fd&#10;wAQ0NtRH6VgMweg8pcNpMpGKYufl1eJimXNIcayYL4u3i8tUA8qX5458+KCxF/FSSeLRJ3jYP/gQ&#10;6UD5khKrWbw3XZfG39nfHJwYPYl+ZDxxD+NmPMqxwfrAjRBO28Tbz5cW6YcUA29SJf33HZCWovto&#10;WYyrYrGIq3du0LmxOTfAKoaqZJBiut6GaV13jsy25UqT/BZvWMDGpNai0hOrI2/eltTxcbPjOp7b&#10;KevX/1v/BAAA//8DAFBLAwQUAAYACAAAACEAhSIWp94AAAAKAQAADwAAAGRycy9kb3ducmV2Lnht&#10;bEyPzU7DMBCE70i8g7VI3Fqn5cdpGqdCRTwABYmrE7txVHsdxc4PfXqWE9xmtKPZb8rD4h2bzBC7&#10;gBI26wyYwSboDlsJnx9vqxxYTAq1cgGNhG8T4VDd3pSq0GHGdzOdUsuoBGOhJNiU+oLz2FjjVVyH&#10;3iDdzmHwKpEdWq4HNVO5d3ybZc/cqw7pg1W9OVrTXE6jl9Bcx9f82NXTfBVfol6sezqjk/L+bnnZ&#10;A0tmSX9h+MUndKiIqQ4j6sichMcHmpIkrDYiI0WJndiRqCVscwG8Kvn/CdUPAAAA//8DAFBLAQIt&#10;ABQABgAIAAAAIQC2gziS/gAAAOEBAAATAAAAAAAAAAAAAAAAAAAAAABbQ29udGVudF9UeXBlc10u&#10;eG1sUEsBAi0AFAAGAAgAAAAhADj9If/WAAAAlAEAAAsAAAAAAAAAAAAAAAAALwEAAF9yZWxzLy5y&#10;ZWxzUEsBAi0AFAAGAAgAAAAhAM6FAabuAQAAxwMAAA4AAAAAAAAAAAAAAAAALgIAAGRycy9lMm9E&#10;b2MueG1sUEsBAi0AFAAGAAgAAAAhAIUiFqfeAAAACgEAAA8AAAAAAAAAAAAAAAAASAQAAGRycy9k&#10;b3ducmV2LnhtbFBLBQYAAAAABAAEAPMAAABTBQAAAAA=&#10;" filled="f" stroked="f">
                <v:textbox inset=",7.2pt,,7.2pt">
                  <w:txbxContent>
                    <w:p w14:paraId="44F469AF" w14:textId="77777777" w:rsidR="00E72BEA" w:rsidRDefault="0012598D" w:rsidP="0012598D">
                      <w:pPr>
                        <w:jc w:val="right"/>
                        <w:rPr>
                          <w:rFonts w:ascii="Arial" w:hAnsi="Arial" w:cs="Arial"/>
                          <w:b/>
                          <w:bCs/>
                          <w:color w:val="F2F2F2"/>
                          <w:sz w:val="20"/>
                          <w:szCs w:val="20"/>
                        </w:rPr>
                      </w:pPr>
                      <w:r>
                        <w:rPr>
                          <w:rFonts w:ascii="Arial" w:hAnsi="Arial" w:cs="Arial"/>
                          <w:b/>
                          <w:bCs/>
                          <w:color w:val="F2F2F2"/>
                          <w:sz w:val="72"/>
                          <w:szCs w:val="72"/>
                        </w:rPr>
                        <w:t xml:space="preserve">  </w:t>
                      </w:r>
                    </w:p>
                    <w:p w14:paraId="0561CDA3" w14:textId="184121C6" w:rsidR="009069F9" w:rsidRDefault="00E77C87" w:rsidP="00CA00E0">
                      <w:pPr>
                        <w:rPr>
                          <w:rFonts w:ascii="Arial" w:hAnsi="Arial" w:cs="Arial"/>
                          <w:sz w:val="72"/>
                          <w:szCs w:val="72"/>
                        </w:rPr>
                      </w:pPr>
                      <w:r>
                        <w:rPr>
                          <w:rFonts w:ascii="Arial" w:hAnsi="Arial" w:cs="Arial"/>
                          <w:b/>
                          <w:bCs/>
                          <w:color w:val="F2F2F2"/>
                          <w:sz w:val="72"/>
                          <w:szCs w:val="72"/>
                        </w:rPr>
                        <w:t>Hepatitis C</w:t>
                      </w:r>
                      <w:r w:rsidR="00AC7F02">
                        <w:rPr>
                          <w:rFonts w:ascii="Arial" w:hAnsi="Arial" w:cs="Arial"/>
                          <w:sz w:val="72"/>
                          <w:szCs w:val="72"/>
                        </w:rPr>
                        <w:t xml:space="preserve">   </w:t>
                      </w:r>
                      <w:r w:rsidR="006D44C0">
                        <w:rPr>
                          <w:rFonts w:ascii="Arial" w:hAnsi="Arial" w:cs="Arial"/>
                          <w:sz w:val="72"/>
                          <w:szCs w:val="72"/>
                        </w:rPr>
                        <w:tab/>
                      </w:r>
                    </w:p>
                    <w:p w14:paraId="6F8728D3" w14:textId="790312A0" w:rsidR="00AC7F02" w:rsidRPr="000A7D78" w:rsidRDefault="00AC7F02" w:rsidP="00CA00E0">
                      <w:pPr>
                        <w:rPr>
                          <w:rFonts w:ascii="Arial" w:hAnsi="Arial" w:cs="Arial"/>
                          <w:b/>
                          <w:bCs/>
                          <w:color w:val="F2F2F2"/>
                          <w:sz w:val="96"/>
                          <w:szCs w:val="96"/>
                        </w:rPr>
                      </w:pPr>
                      <w:r w:rsidRPr="000A7D78">
                        <w:rPr>
                          <w:rFonts w:ascii="Arial" w:eastAsia="Calibri" w:hAnsi="Arial" w:cs="Arial"/>
                          <w:b/>
                          <w:bCs/>
                          <w:color w:val="FFFFFF"/>
                          <w:sz w:val="28"/>
                          <w:szCs w:val="28"/>
                        </w:rPr>
                        <w:t>H</w:t>
                      </w:r>
                      <w:r w:rsidR="00857E7D">
                        <w:rPr>
                          <w:rFonts w:ascii="Arial" w:eastAsia="Calibri" w:hAnsi="Arial" w:cs="Arial"/>
                          <w:b/>
                          <w:bCs/>
                          <w:color w:val="FFFFFF"/>
                          <w:sz w:val="28"/>
                          <w:szCs w:val="28"/>
                        </w:rPr>
                        <w:t xml:space="preserve">epatitis </w:t>
                      </w:r>
                      <w:r w:rsidRPr="000A7D78">
                        <w:rPr>
                          <w:rFonts w:ascii="Arial" w:eastAsia="Calibri" w:hAnsi="Arial" w:cs="Arial"/>
                          <w:b/>
                          <w:bCs/>
                          <w:color w:val="FFFFFF"/>
                          <w:sz w:val="28"/>
                          <w:szCs w:val="28"/>
                        </w:rPr>
                        <w:t>C</w:t>
                      </w:r>
                      <w:r w:rsidR="00857E7D">
                        <w:rPr>
                          <w:rFonts w:ascii="Arial" w:eastAsia="Calibri" w:hAnsi="Arial" w:cs="Arial"/>
                          <w:b/>
                          <w:bCs/>
                          <w:color w:val="FFFFFF"/>
                          <w:sz w:val="28"/>
                          <w:szCs w:val="28"/>
                        </w:rPr>
                        <w:t xml:space="preserve"> </w:t>
                      </w:r>
                      <w:r w:rsidRPr="000A7D78">
                        <w:rPr>
                          <w:rFonts w:ascii="Arial" w:eastAsia="Calibri" w:hAnsi="Arial" w:cs="Arial"/>
                          <w:b/>
                          <w:bCs/>
                          <w:color w:val="FFFFFF"/>
                          <w:sz w:val="28"/>
                          <w:szCs w:val="28"/>
                        </w:rPr>
                        <w:t>V</w:t>
                      </w:r>
                      <w:r w:rsidR="00857E7D">
                        <w:rPr>
                          <w:rFonts w:ascii="Arial" w:eastAsia="Calibri" w:hAnsi="Arial" w:cs="Arial"/>
                          <w:b/>
                          <w:bCs/>
                          <w:color w:val="FFFFFF"/>
                          <w:sz w:val="28"/>
                          <w:szCs w:val="28"/>
                        </w:rPr>
                        <w:t>irus (HCV)</w:t>
                      </w:r>
                      <w:r w:rsidRPr="000A7D78">
                        <w:rPr>
                          <w:rFonts w:ascii="Arial" w:eastAsia="Calibri" w:hAnsi="Arial" w:cs="Arial"/>
                          <w:b/>
                          <w:bCs/>
                          <w:color w:val="FFFFFF"/>
                          <w:sz w:val="28"/>
                          <w:szCs w:val="28"/>
                        </w:rPr>
                        <w:t xml:space="preserve"> Testing and Treatment in Massachusetts:</w:t>
                      </w:r>
                    </w:p>
                    <w:p w14:paraId="2F362715" w14:textId="7309188E" w:rsidR="00AC7F02" w:rsidRPr="000A7D78" w:rsidRDefault="00EE7DE5" w:rsidP="00CA00E0">
                      <w:pPr>
                        <w:rPr>
                          <w:rFonts w:ascii="Arial" w:eastAsia="Calibri" w:hAnsi="Arial" w:cs="Arial"/>
                          <w:b/>
                          <w:bCs/>
                          <w:color w:val="FFFFFF"/>
                          <w:sz w:val="28"/>
                          <w:szCs w:val="28"/>
                        </w:rPr>
                      </w:pPr>
                      <w:r w:rsidRPr="000A7D78">
                        <w:rPr>
                          <w:rFonts w:ascii="Arial" w:eastAsia="Calibri" w:hAnsi="Arial" w:cs="Arial"/>
                          <w:b/>
                          <w:bCs/>
                          <w:color w:val="FFFFFF"/>
                          <w:sz w:val="28"/>
                          <w:szCs w:val="28"/>
                        </w:rPr>
                        <w:t xml:space="preserve">Key </w:t>
                      </w:r>
                      <w:r w:rsidR="00AC7F02" w:rsidRPr="000A7D78">
                        <w:rPr>
                          <w:rFonts w:ascii="Arial" w:eastAsia="Calibri" w:hAnsi="Arial" w:cs="Arial"/>
                          <w:b/>
                          <w:bCs/>
                          <w:color w:val="FFFFFF"/>
                          <w:sz w:val="28"/>
                          <w:szCs w:val="28"/>
                        </w:rPr>
                        <w:t>Findings from Analysis of Medical Claims Data, 2016-2020</w:t>
                      </w:r>
                    </w:p>
                    <w:p w14:paraId="4B8610FE" w14:textId="77777777" w:rsidR="0012598D" w:rsidRPr="00AC7F02" w:rsidRDefault="0012598D" w:rsidP="00CA00E0">
                      <w:pPr>
                        <w:rPr>
                          <w:rFonts w:ascii="Calibri" w:eastAsia="Calibri" w:hAnsi="Calibri"/>
                          <w:b/>
                          <w:bCs/>
                        </w:rPr>
                      </w:pPr>
                    </w:p>
                    <w:p w14:paraId="7146BB3C" w14:textId="77777777" w:rsidR="00884FF4" w:rsidRPr="00AC7F02" w:rsidRDefault="00884FF4" w:rsidP="00026F57">
                      <w:pPr>
                        <w:pStyle w:val="BIDTitle"/>
                        <w:spacing w:before="120"/>
                        <w:rPr>
                          <w:rFonts w:ascii="Arial" w:hAnsi="Arial" w:cs="Arial"/>
                          <w:sz w:val="24"/>
                          <w:szCs w:val="24"/>
                        </w:rPr>
                      </w:pPr>
                    </w:p>
                  </w:txbxContent>
                </v:textbox>
                <w10:wrap anchorx="page"/>
              </v:shape>
            </w:pict>
          </mc:Fallback>
        </mc:AlternateContent>
      </w:r>
      <w:r w:rsidR="00FF7D7D" w:rsidRPr="00943BBC">
        <w:rPr>
          <w:rFonts w:ascii="Arial" w:hAnsi="Arial" w:cs="Arial"/>
          <w:noProof/>
          <w:sz w:val="22"/>
          <w:szCs w:val="22"/>
        </w:rPr>
        <mc:AlternateContent>
          <mc:Choice Requires="wps">
            <w:drawing>
              <wp:anchor distT="0" distB="0" distL="114300" distR="114300" simplePos="0" relativeHeight="251656192" behindDoc="1" locked="0" layoutInCell="1" allowOverlap="1" wp14:anchorId="47C01CC2" wp14:editId="5EC2DEE7">
                <wp:simplePos x="0" y="0"/>
                <wp:positionH relativeFrom="page">
                  <wp:align>left</wp:align>
                </wp:positionH>
                <wp:positionV relativeFrom="page">
                  <wp:align>top</wp:align>
                </wp:positionV>
                <wp:extent cx="7772400" cy="1123950"/>
                <wp:effectExtent l="0" t="0" r="19050" b="19050"/>
                <wp:wrapNone/>
                <wp:docPr id="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23950"/>
                        </a:xfrm>
                        <a:prstGeom prst="rect">
                          <a:avLst/>
                        </a:prstGeom>
                        <a:solidFill>
                          <a:srgbClr val="055994"/>
                        </a:solidFill>
                        <a:ln>
                          <a:solidFill>
                            <a:srgbClr val="055994"/>
                          </a:solidFill>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73AE15" id="Rectangle 1" o:spid="_x0000_s1026" alt="&quot;&quot;" style="position:absolute;margin-left:0;margin-top:0;width:612pt;height:88.5pt;z-index:-2516602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VAwIAABUEAAAOAAAAZHJzL2Uyb0RvYy54bWysU8GO0zAQvSPxD5bvNEm3pTRqulp1tQhp&#10;gRULH+A6TmLheMzYbVq+nrHTlgK3FRcrLzPz/ObNeHV76A3bK/QabMWLSc6ZshJqbduKf/v68OYd&#10;Zz4IWwsDVlX8qDy/Xb9+tRpcqabQgakVMiKxvhxcxbsQXJllXnaqF34CTlkKNoC9CASxzWoUA7H3&#10;Jpvm+dtsAKwdglTe09/7McjXib9plAyfm8arwEzFSVtIJ6ZzG89svRJli8J1Wp5kiBeo6IW2dOmF&#10;6l4EwXao/6HqtUTw0ISJhD6DptFSpR6omyL/q5vnTjiVeiFzvLvY5P8frfy0f0Km64rfcGZFTyP6&#10;QqYJ2xrFimjP4HxJWc/uCWOD3j2C/O6ZhU1HWeoOEYZOiZpEpfzsj4IIPJWy7fARamIXuwDJqUOD&#10;fSQkD9ghDeR4GYg6BCbp52KxmM5ympukWFFMb5bzNLJMlOdyhz68V9Cz+FFxJPGJXuwffSD5lHpO&#10;SfLB6PpBG5MAttuNQbYXcTvm8+VyFjumEn+dZuzLKolnLFVpEU96zo6Mzm6hPpI7CONm0kuijw7w&#10;J2cDbWXF/Y+dQMWZ+WDJ4WUxm8U1TmA2X0wJ4HVkex0RVhJVxWVAzkawCePy7xzqtqO7iuSWhTua&#10;S6OTY1HhqIu8iIB2L7lyeidxua9xyvr9mte/AAAA//8DAFBLAwQUAAYACAAAACEALdWhNdkAAAAG&#10;AQAADwAAAGRycy9kb3ducmV2LnhtbEyPzU7DQAyE70i8w8pI3OiGCFoUsqlQBTcEou0DuFnnR931&#10;RtltE94elwtcLI/GGn9Trmfv1JnG2Ac2cL/IQBHXwfbcGtjv3u6eQMWEbNEFJgPfFGFdXV+VWNgw&#10;8Redt6lVEsKxQANdSkOhdaw78hgXYSAWrwmjxyRybLUdcZJw73SeZUvtsWf50OFAm47q4/bkDbzq&#10;5rF5/7SbafJ62Vokd9x9GHN7M788g0o0p79juOALOlTCdAgntlE5A1Ik/c6Ll+cPog+yrVYZ6KrU&#10;//GrHwAAAP//AwBQSwECLQAUAAYACAAAACEAtoM4kv4AAADhAQAAEwAAAAAAAAAAAAAAAAAAAAAA&#10;W0NvbnRlbnRfVHlwZXNdLnhtbFBLAQItABQABgAIAAAAIQA4/SH/1gAAAJQBAAALAAAAAAAAAAAA&#10;AAAAAC8BAABfcmVscy8ucmVsc1BLAQItABQABgAIAAAAIQD3+7lVAwIAABUEAAAOAAAAAAAAAAAA&#10;AAAAAC4CAABkcnMvZTJvRG9jLnhtbFBLAQItABQABgAIAAAAIQAt1aE12QAAAAYBAAAPAAAAAAAA&#10;AAAAAAAAAF0EAABkcnMvZG93bnJldi54bWxQSwUGAAAAAAQABADzAAAAYwUAAAAA&#10;" fillcolor="#055994" strokecolor="#055994">
                <w10:wrap anchorx="page" anchory="page"/>
              </v:rect>
            </w:pict>
          </mc:Fallback>
        </mc:AlternateContent>
      </w:r>
    </w:p>
    <w:p w14:paraId="0832162E" w14:textId="0A204212" w:rsidR="00D75992" w:rsidRPr="000A7D78" w:rsidRDefault="00E72BEA" w:rsidP="000A7D78">
      <w:pPr>
        <w:pStyle w:val="Header"/>
        <w:spacing w:before="240" w:after="120"/>
        <w:ind w:right="-180"/>
        <w:jc w:val="right"/>
        <w:outlineLvl w:val="0"/>
        <w:rPr>
          <w:rFonts w:ascii="Arial" w:hAnsi="Arial" w:cs="Arial"/>
          <w:color w:val="032E53"/>
          <w:sz w:val="22"/>
          <w:szCs w:val="22"/>
        </w:rPr>
      </w:pPr>
      <w:r>
        <w:rPr>
          <w:rFonts w:ascii="Arial" w:hAnsi="Arial" w:cs="Arial"/>
          <w:color w:val="152355"/>
          <w:sz w:val="22"/>
          <w:szCs w:val="22"/>
        </w:rPr>
        <w:tab/>
      </w:r>
      <w:r w:rsidR="004129A0" w:rsidRPr="000A7D78">
        <w:rPr>
          <w:rFonts w:ascii="Arial" w:hAnsi="Arial" w:cs="Arial"/>
          <w:b/>
          <w:bCs/>
          <w:color w:val="032E53"/>
          <w:sz w:val="22"/>
          <w:szCs w:val="22"/>
        </w:rPr>
        <w:t>August</w:t>
      </w:r>
      <w:r w:rsidRPr="000A7D78">
        <w:rPr>
          <w:rFonts w:ascii="Arial" w:hAnsi="Arial" w:cs="Arial"/>
          <w:b/>
          <w:bCs/>
          <w:color w:val="032E53"/>
          <w:sz w:val="22"/>
          <w:szCs w:val="22"/>
        </w:rPr>
        <w:t xml:space="preserve"> 20</w:t>
      </w:r>
      <w:r w:rsidR="00EE7DE5" w:rsidRPr="000A7D78">
        <w:rPr>
          <w:rFonts w:ascii="Arial" w:hAnsi="Arial" w:cs="Arial"/>
          <w:b/>
          <w:bCs/>
          <w:color w:val="032E53"/>
          <w:sz w:val="22"/>
          <w:szCs w:val="22"/>
        </w:rPr>
        <w:t>23</w:t>
      </w:r>
    </w:p>
    <w:p w14:paraId="2150372D" w14:textId="6FEFEA42" w:rsidR="00EE7DE5" w:rsidRPr="000A7D78" w:rsidRDefault="00884485" w:rsidP="00EE7DE5">
      <w:pPr>
        <w:spacing w:after="160" w:line="259" w:lineRule="auto"/>
        <w:rPr>
          <w:rFonts w:ascii="Arial" w:eastAsia="Calibri" w:hAnsi="Arial" w:cs="Arial"/>
        </w:rPr>
      </w:pPr>
      <w:r>
        <w:rPr>
          <w:rFonts w:ascii="Arial" w:eastAsia="Calibri" w:hAnsi="Arial" w:cs="Arial"/>
        </w:rPr>
        <w:t>T</w:t>
      </w:r>
      <w:r w:rsidR="000A7D78">
        <w:rPr>
          <w:rFonts w:ascii="Arial" w:eastAsia="Calibri" w:hAnsi="Arial" w:cs="Arial"/>
        </w:rPr>
        <w:t>he Massachusetts Department of Public Health estimates</w:t>
      </w:r>
      <w:r w:rsidR="00D75992">
        <w:rPr>
          <w:rFonts w:ascii="Arial" w:eastAsia="Calibri" w:hAnsi="Arial" w:cs="Arial"/>
        </w:rPr>
        <w:t xml:space="preserve"> </w:t>
      </w:r>
      <w:r w:rsidR="00EE7DE5" w:rsidRPr="000A7D78">
        <w:rPr>
          <w:rFonts w:ascii="Arial" w:eastAsia="Calibri" w:hAnsi="Arial" w:cs="Arial"/>
        </w:rPr>
        <w:t>that there are 250,000 people in Massachusetts with hepatitis C infection. Treatment for HCV infection is curative for more than 95% of people and requires only 8-12 weeks of simple oral therapy.</w:t>
      </w:r>
      <w:r w:rsidR="000A7D78">
        <w:rPr>
          <w:rFonts w:ascii="Arial" w:eastAsia="Calibri" w:hAnsi="Arial" w:cs="Arial"/>
        </w:rPr>
        <w:t xml:space="preserve"> </w:t>
      </w:r>
      <w:r w:rsidR="00EE7DE5" w:rsidRPr="000A7D78">
        <w:rPr>
          <w:rFonts w:ascii="Arial" w:eastAsia="Calibri" w:hAnsi="Arial" w:cs="Arial"/>
        </w:rPr>
        <w:t xml:space="preserve">Testing is critical </w:t>
      </w:r>
      <w:r w:rsidR="00EA4BAB">
        <w:rPr>
          <w:rFonts w:ascii="Arial" w:eastAsia="Calibri" w:hAnsi="Arial" w:cs="Arial"/>
        </w:rPr>
        <w:t>in</w:t>
      </w:r>
      <w:r w:rsidR="00EE7DE5" w:rsidRPr="000A7D78">
        <w:rPr>
          <w:rFonts w:ascii="Arial" w:eastAsia="Calibri" w:hAnsi="Arial" w:cs="Arial"/>
        </w:rPr>
        <w:t xml:space="preserve"> engag</w:t>
      </w:r>
      <w:r w:rsidR="00EA4BAB">
        <w:rPr>
          <w:rFonts w:ascii="Arial" w:eastAsia="Calibri" w:hAnsi="Arial" w:cs="Arial"/>
        </w:rPr>
        <w:t>ing</w:t>
      </w:r>
      <w:r w:rsidR="00EE7DE5" w:rsidRPr="000A7D78">
        <w:rPr>
          <w:rFonts w:ascii="Arial" w:eastAsia="Calibri" w:hAnsi="Arial" w:cs="Arial"/>
        </w:rPr>
        <w:t xml:space="preserve"> people in treatment and prevent</w:t>
      </w:r>
      <w:r w:rsidR="00EA4BAB">
        <w:rPr>
          <w:rFonts w:ascii="Arial" w:eastAsia="Calibri" w:hAnsi="Arial" w:cs="Arial"/>
        </w:rPr>
        <w:t>ing</w:t>
      </w:r>
      <w:r w:rsidR="00EE7DE5" w:rsidRPr="000A7D78">
        <w:rPr>
          <w:rFonts w:ascii="Arial" w:eastAsia="Calibri" w:hAnsi="Arial" w:cs="Arial"/>
        </w:rPr>
        <w:t xml:space="preserve"> transmission. </w:t>
      </w:r>
    </w:p>
    <w:p w14:paraId="1D618939" w14:textId="613811D4" w:rsidR="00EE7DE5" w:rsidRPr="000A7D78" w:rsidRDefault="00EE7DE5" w:rsidP="00EE7DE5">
      <w:pPr>
        <w:spacing w:after="160" w:line="259" w:lineRule="auto"/>
        <w:rPr>
          <w:rFonts w:ascii="Arial" w:eastAsia="Calibri" w:hAnsi="Arial" w:cs="Arial"/>
        </w:rPr>
      </w:pPr>
      <w:r w:rsidRPr="000A7D78">
        <w:rPr>
          <w:rFonts w:ascii="Arial" w:eastAsia="Calibri" w:hAnsi="Arial" w:cs="Arial"/>
        </w:rPr>
        <w:t xml:space="preserve">To assess testing for and treatment of HCV infection, the Massachusetts Department of Public, in collaboration with </w:t>
      </w:r>
      <w:r w:rsidRPr="000A7D78">
        <w:rPr>
          <w:rFonts w:ascii="Arial" w:eastAsia="Calibri" w:hAnsi="Arial" w:cs="Arial"/>
          <w:i/>
          <w:iCs/>
        </w:rPr>
        <w:t>for</w:t>
      </w:r>
      <w:r w:rsidRPr="000A7D78">
        <w:rPr>
          <w:rFonts w:ascii="Arial" w:eastAsia="Calibri" w:hAnsi="Arial" w:cs="Arial"/>
        </w:rPr>
        <w:t>Health Consulting at UMass Chan Medical School (formerly Commonwealth Medicine), undertook analysis of medical claims data using the Massachusetts All-Payers Claims Database (APCD v10.0), which includes claims for the years 2016-2020. Massachusetts has near universal health insurance coverage, and the APCD is the most comprehensive source of health claims data from public and private payers in the state. Key findings from this analysis are presented below.</w:t>
      </w:r>
    </w:p>
    <w:p w14:paraId="67568A1A" w14:textId="402C9E5B" w:rsidR="00EE7DE5" w:rsidRPr="000A7D78" w:rsidRDefault="00EE7DE5" w:rsidP="00EE7DE5">
      <w:pPr>
        <w:spacing w:after="160" w:line="259" w:lineRule="auto"/>
        <w:rPr>
          <w:rFonts w:ascii="Arial" w:eastAsia="Calibri" w:hAnsi="Arial" w:cs="Arial"/>
        </w:rPr>
      </w:pPr>
      <w:r w:rsidRPr="000A7D78">
        <w:rPr>
          <w:rFonts w:ascii="Arial" w:eastAsia="Calibri" w:hAnsi="Arial" w:cs="Arial"/>
          <w:b/>
          <w:bCs/>
        </w:rPr>
        <w:t xml:space="preserve">Testing for HCV </w:t>
      </w:r>
      <w:r w:rsidR="001E59A6" w:rsidRPr="000A7D78">
        <w:rPr>
          <w:rFonts w:ascii="Arial" w:eastAsia="Calibri" w:hAnsi="Arial" w:cs="Arial"/>
          <w:b/>
          <w:bCs/>
        </w:rPr>
        <w:t xml:space="preserve">Infection is </w:t>
      </w:r>
      <w:r w:rsidR="004129A0" w:rsidRPr="000A7D78">
        <w:rPr>
          <w:rFonts w:ascii="Arial" w:eastAsia="Calibri" w:hAnsi="Arial" w:cs="Arial"/>
          <w:b/>
          <w:bCs/>
        </w:rPr>
        <w:t xml:space="preserve">not </w:t>
      </w:r>
      <w:r w:rsidR="001E59A6" w:rsidRPr="000A7D78">
        <w:rPr>
          <w:rFonts w:ascii="Arial" w:eastAsia="Calibri" w:hAnsi="Arial" w:cs="Arial"/>
          <w:b/>
          <w:bCs/>
        </w:rPr>
        <w:t>sufficient</w:t>
      </w:r>
      <w:r w:rsidRPr="000A7D78">
        <w:rPr>
          <w:rFonts w:ascii="Arial" w:eastAsia="Calibri" w:hAnsi="Arial" w:cs="Arial"/>
          <w:b/>
          <w:bCs/>
        </w:rPr>
        <w:t>.</w:t>
      </w:r>
      <w:r w:rsidRPr="000A7D78">
        <w:rPr>
          <w:rFonts w:ascii="Arial" w:eastAsia="Calibri" w:hAnsi="Arial" w:cs="Arial"/>
        </w:rPr>
        <w:t xml:space="preserve"> Between 2016 and 2020, </w:t>
      </w:r>
      <w:r w:rsidR="006D44C0" w:rsidRPr="000A7D78">
        <w:rPr>
          <w:rFonts w:ascii="Arial" w:eastAsia="Calibri" w:hAnsi="Arial" w:cs="Arial"/>
        </w:rPr>
        <w:t xml:space="preserve">analysis </w:t>
      </w:r>
      <w:r w:rsidR="004129A0" w:rsidRPr="000A7D78">
        <w:rPr>
          <w:rFonts w:ascii="Arial" w:eastAsia="Calibri" w:hAnsi="Arial" w:cs="Arial"/>
        </w:rPr>
        <w:t>shows</w:t>
      </w:r>
      <w:r w:rsidRPr="000A7D78">
        <w:rPr>
          <w:rFonts w:ascii="Arial" w:eastAsia="Calibri" w:hAnsi="Arial" w:cs="Arial"/>
        </w:rPr>
        <w:t xml:space="preserve"> that cumulatively, only 13.7% of residents had been tested at least once for HCV infection, and 2.3% had been tested two or more times. During this same period, approximately 3%-3.5% of </w:t>
      </w:r>
      <w:r w:rsidR="00567B6F">
        <w:rPr>
          <w:rFonts w:ascii="Arial" w:eastAsia="Calibri" w:hAnsi="Arial" w:cs="Arial"/>
        </w:rPr>
        <w:t>Massachusetts</w:t>
      </w:r>
      <w:r w:rsidRPr="000A7D78">
        <w:rPr>
          <w:rFonts w:ascii="Arial" w:eastAsia="Calibri" w:hAnsi="Arial" w:cs="Arial"/>
        </w:rPr>
        <w:t xml:space="preserve"> residents were tested each year.   </w:t>
      </w:r>
    </w:p>
    <w:p w14:paraId="6BA5E4CE" w14:textId="545C5CCB" w:rsidR="00406321" w:rsidRPr="000A7D78" w:rsidRDefault="00EE7DE5" w:rsidP="000A7D78">
      <w:pPr>
        <w:spacing w:after="240" w:line="259" w:lineRule="auto"/>
        <w:rPr>
          <w:rFonts w:ascii="Arial" w:eastAsia="Calibri" w:hAnsi="Arial" w:cs="Arial"/>
        </w:rPr>
      </w:pPr>
      <w:r w:rsidRPr="000A7D78">
        <w:rPr>
          <w:rFonts w:ascii="Arial" w:eastAsia="Calibri" w:hAnsi="Arial" w:cs="Arial"/>
        </w:rPr>
        <w:t xml:space="preserve">Testing uptake varied by age, gender, and payer type (Figure 1). In 2020, individuals ages 19-34 years and 35-44 years had the highest percentage of testing with 4.5% and 4.4% tested, respectively. A higher percentage (3.5%) of females </w:t>
      </w:r>
      <w:r w:rsidR="002C16C8">
        <w:rPr>
          <w:rFonts w:ascii="Arial" w:eastAsia="Calibri" w:hAnsi="Arial" w:cs="Arial"/>
        </w:rPr>
        <w:t>were</w:t>
      </w:r>
      <w:r w:rsidR="002C16C8" w:rsidRPr="000A7D78">
        <w:rPr>
          <w:rFonts w:ascii="Arial" w:eastAsia="Calibri" w:hAnsi="Arial" w:cs="Arial"/>
        </w:rPr>
        <w:t xml:space="preserve"> </w:t>
      </w:r>
      <w:r w:rsidRPr="000A7D78">
        <w:rPr>
          <w:rFonts w:ascii="Arial" w:eastAsia="Calibri" w:hAnsi="Arial" w:cs="Arial"/>
        </w:rPr>
        <w:t xml:space="preserve">tested compared to males (2.3%). A higher percentage of MassHealth members (3.7%) were tested for HCV infection, compared to </w:t>
      </w:r>
      <w:r w:rsidR="001E59A6" w:rsidRPr="000A7D78">
        <w:rPr>
          <w:rFonts w:ascii="Arial" w:eastAsia="Calibri" w:hAnsi="Arial" w:cs="Arial"/>
        </w:rPr>
        <w:t>those</w:t>
      </w:r>
      <w:r w:rsidRPr="000A7D78">
        <w:rPr>
          <w:rFonts w:ascii="Arial" w:eastAsia="Calibri" w:hAnsi="Arial" w:cs="Arial"/>
        </w:rPr>
        <w:t xml:space="preserve"> with private health insurance (3.1%).  </w:t>
      </w:r>
    </w:p>
    <w:p w14:paraId="2B73B293" w14:textId="4C1CFAA9" w:rsidR="008F0D9A" w:rsidRDefault="008F0D9A" w:rsidP="00EE7DE5">
      <w:pPr>
        <w:spacing w:after="160" w:line="259" w:lineRule="auto"/>
        <w:rPr>
          <w:rFonts w:ascii="Arial" w:eastAsia="Calibri" w:hAnsi="Arial" w:cs="Arial"/>
        </w:rPr>
      </w:pPr>
      <w:r w:rsidRPr="000A7D78">
        <w:rPr>
          <w:rFonts w:ascii="Arial" w:eastAsia="Calibri" w:hAnsi="Arial" w:cs="Arial"/>
          <w:noProof/>
        </w:rPr>
        <w:drawing>
          <wp:anchor distT="0" distB="0" distL="114300" distR="114300" simplePos="0" relativeHeight="251661312" behindDoc="0" locked="0" layoutInCell="1" allowOverlap="1" wp14:anchorId="301C2C19" wp14:editId="4E24CC67">
            <wp:simplePos x="0" y="0"/>
            <wp:positionH relativeFrom="margin">
              <wp:align>right</wp:align>
            </wp:positionH>
            <wp:positionV relativeFrom="paragraph">
              <wp:posOffset>194945</wp:posOffset>
            </wp:positionV>
            <wp:extent cx="5356860" cy="2020570"/>
            <wp:effectExtent l="0" t="0" r="0" b="0"/>
            <wp:wrapSquare wrapText="bothSides"/>
            <wp:docPr id="4" name="Picture 4" descr="Figure 1 shows the percentage of individuals tested for HCV infection according to gender, age, and health insurance type for the year 2020.  The Y axis is the percentage of people tested for HCV, the X axis is age.  Four lines represent percent tested by gender and insurance ty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shows the percentage of individuals tested for HCV infection according to gender, age, and health insurance type for the year 2020.  The Y axis is the percentage of people tested for HCV, the X axis is age.  Four lines represent percent tested by gender and insurance typ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2020570"/>
                    </a:xfrm>
                    <a:prstGeom prst="rect">
                      <a:avLst/>
                    </a:prstGeom>
                    <a:noFill/>
                  </pic:spPr>
                </pic:pic>
              </a:graphicData>
            </a:graphic>
            <wp14:sizeRelH relativeFrom="margin">
              <wp14:pctWidth>0</wp14:pctWidth>
            </wp14:sizeRelH>
            <wp14:sizeRelV relativeFrom="margin">
              <wp14:pctHeight>0</wp14:pctHeight>
            </wp14:sizeRelV>
          </wp:anchor>
        </w:drawing>
      </w:r>
    </w:p>
    <w:p w14:paraId="6912485E" w14:textId="77777777" w:rsidR="00342DD6" w:rsidRDefault="00342DD6" w:rsidP="00EE7DE5">
      <w:pPr>
        <w:spacing w:after="160" w:line="259" w:lineRule="auto"/>
        <w:rPr>
          <w:rFonts w:ascii="Arial" w:eastAsia="Calibri" w:hAnsi="Arial" w:cs="Arial"/>
        </w:rPr>
      </w:pPr>
    </w:p>
    <w:p w14:paraId="2CDDB538" w14:textId="77777777" w:rsidR="00342DD6" w:rsidRDefault="00342DD6" w:rsidP="00EE7DE5">
      <w:pPr>
        <w:spacing w:after="160" w:line="259" w:lineRule="auto"/>
        <w:rPr>
          <w:rFonts w:ascii="Arial" w:eastAsia="Calibri" w:hAnsi="Arial" w:cs="Arial"/>
        </w:rPr>
      </w:pPr>
    </w:p>
    <w:p w14:paraId="0797E107" w14:textId="77777777" w:rsidR="00946585" w:rsidRDefault="00946585" w:rsidP="00946585">
      <w:pPr>
        <w:spacing w:after="160" w:line="259" w:lineRule="auto"/>
        <w:rPr>
          <w:rFonts w:ascii="Arial" w:eastAsia="Calibri" w:hAnsi="Arial" w:cs="Arial"/>
        </w:rPr>
      </w:pPr>
      <w:r w:rsidRPr="000A7D78">
        <w:rPr>
          <w:rFonts w:ascii="Arial" w:eastAsia="Calibri" w:hAnsi="Arial" w:cs="Arial"/>
        </w:rPr>
        <w:t xml:space="preserve">Figure 1. Percentage of HCV Testing by Age, Gender, and Payer Type </w:t>
      </w:r>
    </w:p>
    <w:p w14:paraId="08862FDC" w14:textId="77777777" w:rsidR="00342DD6" w:rsidRDefault="00342DD6" w:rsidP="00EE7DE5">
      <w:pPr>
        <w:spacing w:after="160" w:line="259" w:lineRule="auto"/>
        <w:rPr>
          <w:rFonts w:ascii="Arial" w:eastAsia="Calibri" w:hAnsi="Arial" w:cs="Arial"/>
        </w:rPr>
      </w:pPr>
    </w:p>
    <w:p w14:paraId="6299B874" w14:textId="15898712" w:rsidR="004129A0" w:rsidRPr="000A7D78" w:rsidRDefault="00EE7DE5" w:rsidP="00EE7DE5">
      <w:pPr>
        <w:spacing w:after="160" w:line="259" w:lineRule="auto"/>
        <w:rPr>
          <w:rFonts w:ascii="Arial" w:eastAsia="Calibri" w:hAnsi="Arial" w:cs="Arial"/>
        </w:rPr>
      </w:pPr>
      <w:r w:rsidRPr="000A7D78">
        <w:rPr>
          <w:rFonts w:ascii="Arial" w:eastAsia="Calibri" w:hAnsi="Arial" w:cs="Arial"/>
        </w:rPr>
        <w:t>MassHealth members were also more likely than individuals with private insurance to be tested multiple times (Figure 2</w:t>
      </w:r>
      <w:r w:rsidR="00114075">
        <w:rPr>
          <w:rFonts w:ascii="Arial" w:eastAsia="Calibri" w:hAnsi="Arial" w:cs="Arial"/>
        </w:rPr>
        <w:t xml:space="preserve"> on next page</w:t>
      </w:r>
      <w:r w:rsidRPr="000A7D78">
        <w:rPr>
          <w:rFonts w:ascii="Arial" w:eastAsia="Calibri" w:hAnsi="Arial" w:cs="Arial"/>
        </w:rPr>
        <w:t xml:space="preserve">).  </w:t>
      </w:r>
    </w:p>
    <w:p w14:paraId="3E46224B" w14:textId="77777777" w:rsidR="004129A0" w:rsidRPr="000A7D78" w:rsidRDefault="004129A0" w:rsidP="00EE7DE5">
      <w:pPr>
        <w:spacing w:after="160" w:line="259" w:lineRule="auto"/>
        <w:rPr>
          <w:rFonts w:ascii="Arial" w:eastAsia="Calibri" w:hAnsi="Arial" w:cs="Arial"/>
        </w:rPr>
      </w:pPr>
    </w:p>
    <w:p w14:paraId="18436B24" w14:textId="77777777" w:rsidR="00845D0B" w:rsidRDefault="00845D0B" w:rsidP="00EE7DE5">
      <w:pPr>
        <w:spacing w:after="160" w:line="259" w:lineRule="auto"/>
        <w:rPr>
          <w:rFonts w:ascii="Arial" w:eastAsia="Calibri" w:hAnsi="Arial" w:cs="Arial"/>
        </w:rPr>
      </w:pPr>
    </w:p>
    <w:p w14:paraId="7F78ED3C" w14:textId="67B986B8" w:rsidR="00845D0B" w:rsidRPr="008153F2" w:rsidRDefault="0096241B" w:rsidP="00845D0B">
      <w:pPr>
        <w:spacing w:after="160" w:line="259" w:lineRule="auto"/>
        <w:rPr>
          <w:rFonts w:ascii="Arial" w:eastAsia="Calibri" w:hAnsi="Arial" w:cs="Arial"/>
        </w:rPr>
      </w:pPr>
      <w:r w:rsidRPr="000A7D78">
        <w:rPr>
          <w:rFonts w:ascii="Arial" w:eastAsia="Calibri" w:hAnsi="Arial" w:cs="Arial"/>
          <w:noProof/>
        </w:rPr>
        <w:lastRenderedPageBreak/>
        <w:drawing>
          <wp:anchor distT="0" distB="0" distL="114300" distR="114300" simplePos="0" relativeHeight="251660288" behindDoc="0" locked="0" layoutInCell="1" allowOverlap="1" wp14:anchorId="4BE3A49B" wp14:editId="0E5DBC91">
            <wp:simplePos x="0" y="0"/>
            <wp:positionH relativeFrom="margin">
              <wp:posOffset>1356360</wp:posOffset>
            </wp:positionH>
            <wp:positionV relativeFrom="page">
              <wp:posOffset>464820</wp:posOffset>
            </wp:positionV>
            <wp:extent cx="5276215" cy="2446020"/>
            <wp:effectExtent l="0" t="0" r="635" b="0"/>
            <wp:wrapSquare wrapText="bothSides"/>
            <wp:docPr id="5" name="Picture 5" descr="Figure 2 illustrates the percent of total persons tested for HCV infection multiple times according to age, gender, and payer type. There are 4 sets of columns.  The first two sets of columns illustrates the percentage of privately insured individuals; one group of columns displays females, by age and the other males by age.  The 3rd and 4th sets of columns illustrate MassHealth members.  The 3rd group displays females by age, and the 4th group displays males by age.  The legend indicates which portion of each bar refers to 1 test, 2 tests, 3 tests, 4 tests, and 5 or more te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illustrates the percent of total persons tested for HCV infection multiple times according to age, gender, and payer type. There are 4 sets of columns.  The first two sets of columns illustrates the percentage of privately insured individuals; one group of columns displays females, by age and the other males by age.  The 3rd and 4th sets of columns illustrate MassHealth members.  The 3rd group displays females by age, and the 4th group displays males by age.  The legend indicates which portion of each bar refers to 1 test, 2 tests, 3 tests, 4 tests, and 5 or more test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215" cy="24460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Calibri" w:hAnsi="Arial" w:cs="Arial"/>
        </w:rPr>
        <w:br/>
      </w:r>
      <w:r w:rsidR="00845D0B" w:rsidRPr="008153F2">
        <w:rPr>
          <w:rFonts w:ascii="Arial" w:eastAsia="Calibri" w:hAnsi="Arial" w:cs="Arial"/>
        </w:rPr>
        <w:t xml:space="preserve">Figure 2. MA Residents with Multiple Lifetime HCV Tests, </w:t>
      </w:r>
      <w:r w:rsidR="00D56730">
        <w:rPr>
          <w:rFonts w:ascii="Arial" w:eastAsia="Calibri" w:hAnsi="Arial" w:cs="Arial"/>
        </w:rPr>
        <w:br/>
      </w:r>
      <w:r w:rsidR="00845D0B" w:rsidRPr="008153F2">
        <w:rPr>
          <w:rFonts w:ascii="Arial" w:eastAsia="Calibri" w:hAnsi="Arial" w:cs="Arial"/>
        </w:rPr>
        <w:t xml:space="preserve">2016-2020 by Age, Gender, </w:t>
      </w:r>
      <w:r w:rsidR="00D56730">
        <w:rPr>
          <w:rFonts w:ascii="Arial" w:eastAsia="Calibri" w:hAnsi="Arial" w:cs="Arial"/>
        </w:rPr>
        <w:br/>
      </w:r>
      <w:r w:rsidR="00845D0B" w:rsidRPr="008153F2">
        <w:rPr>
          <w:rFonts w:ascii="Arial" w:eastAsia="Calibri" w:hAnsi="Arial" w:cs="Arial"/>
        </w:rPr>
        <w:t>and Payer Type</w:t>
      </w:r>
    </w:p>
    <w:p w14:paraId="4832D442" w14:textId="77777777" w:rsidR="00845D0B" w:rsidRDefault="00845D0B" w:rsidP="00EE7DE5">
      <w:pPr>
        <w:spacing w:after="160" w:line="259" w:lineRule="auto"/>
        <w:rPr>
          <w:rFonts w:ascii="Arial" w:eastAsia="Calibri" w:hAnsi="Arial" w:cs="Arial"/>
          <w:b/>
          <w:bCs/>
        </w:rPr>
      </w:pPr>
    </w:p>
    <w:p w14:paraId="7EF88E3A" w14:textId="2AE9DE0A" w:rsidR="00EE7DE5" w:rsidRPr="000A7D78" w:rsidRDefault="0096241B" w:rsidP="000A7D78">
      <w:pPr>
        <w:spacing w:before="360" w:after="160" w:line="259" w:lineRule="auto"/>
        <w:rPr>
          <w:rFonts w:ascii="Arial" w:eastAsia="Calibri" w:hAnsi="Arial" w:cs="Arial"/>
        </w:rPr>
      </w:pPr>
      <w:r>
        <w:rPr>
          <w:rFonts w:ascii="Arial" w:eastAsia="Calibri" w:hAnsi="Arial" w:cs="Arial"/>
          <w:b/>
          <w:bCs/>
        </w:rPr>
        <w:br/>
      </w:r>
      <w:r w:rsidR="00EE7DE5" w:rsidRPr="000A7D78">
        <w:rPr>
          <w:rFonts w:ascii="Arial" w:eastAsia="Calibri" w:hAnsi="Arial" w:cs="Arial"/>
          <w:b/>
          <w:bCs/>
        </w:rPr>
        <w:t xml:space="preserve">Treatment for HCV </w:t>
      </w:r>
      <w:r w:rsidR="00DC0618">
        <w:rPr>
          <w:rFonts w:ascii="Arial" w:eastAsia="Calibri" w:hAnsi="Arial" w:cs="Arial"/>
          <w:b/>
          <w:bCs/>
        </w:rPr>
        <w:t>i</w:t>
      </w:r>
      <w:r w:rsidR="00EE7DE5" w:rsidRPr="000A7D78">
        <w:rPr>
          <w:rFonts w:ascii="Arial" w:eastAsia="Calibri" w:hAnsi="Arial" w:cs="Arial"/>
          <w:b/>
          <w:bCs/>
        </w:rPr>
        <w:t>nfection</w:t>
      </w:r>
      <w:r w:rsidR="00DC0618">
        <w:rPr>
          <w:rFonts w:ascii="Arial" w:eastAsia="Calibri" w:hAnsi="Arial" w:cs="Arial"/>
          <w:b/>
          <w:bCs/>
        </w:rPr>
        <w:t>:</w:t>
      </w:r>
      <w:r w:rsidR="00EE7DE5" w:rsidRPr="000A7D78">
        <w:rPr>
          <w:rFonts w:ascii="Arial" w:eastAsia="Calibri" w:hAnsi="Arial" w:cs="Arial"/>
          <w:b/>
          <w:bCs/>
        </w:rPr>
        <w:t xml:space="preserve"> </w:t>
      </w:r>
      <w:r w:rsidR="00EE7DE5" w:rsidRPr="000A7D78">
        <w:rPr>
          <w:rFonts w:ascii="Arial" w:eastAsia="Calibri" w:hAnsi="Arial" w:cs="Arial"/>
        </w:rPr>
        <w:t xml:space="preserve">To examine treatment uptake, we used Current Procedural Terminology (CPT) codes to identify all testing. National Drug Codes (NDC) </w:t>
      </w:r>
      <w:r w:rsidR="00E80262">
        <w:rPr>
          <w:rFonts w:ascii="Arial" w:eastAsia="Calibri" w:hAnsi="Arial" w:cs="Arial"/>
        </w:rPr>
        <w:t>were</w:t>
      </w:r>
      <w:r w:rsidR="00E80262" w:rsidRPr="000A7D78">
        <w:rPr>
          <w:rFonts w:ascii="Arial" w:eastAsia="Calibri" w:hAnsi="Arial" w:cs="Arial"/>
        </w:rPr>
        <w:t xml:space="preserve"> </w:t>
      </w:r>
      <w:r w:rsidR="00EE7DE5" w:rsidRPr="000A7D78">
        <w:rPr>
          <w:rFonts w:ascii="Arial" w:eastAsia="Calibri" w:hAnsi="Arial" w:cs="Arial"/>
        </w:rPr>
        <w:t xml:space="preserve">used to identify Direct Acting Antivirals (DAA). </w:t>
      </w:r>
      <w:r w:rsidR="00406321" w:rsidRPr="000A7D78">
        <w:rPr>
          <w:rFonts w:ascii="Arial" w:eastAsia="Calibri" w:hAnsi="Arial" w:cs="Arial"/>
        </w:rPr>
        <w:t>Bec</w:t>
      </w:r>
      <w:r w:rsidR="00EE7DE5" w:rsidRPr="000A7D78">
        <w:rPr>
          <w:rFonts w:ascii="Arial" w:eastAsia="Calibri" w:hAnsi="Arial" w:cs="Arial"/>
        </w:rPr>
        <w:t>ause claims data do not include test results, we used RNA test</w:t>
      </w:r>
      <w:r w:rsidR="004129A0" w:rsidRPr="000A7D78">
        <w:rPr>
          <w:rFonts w:ascii="Arial" w:eastAsia="Calibri" w:hAnsi="Arial" w:cs="Arial"/>
        </w:rPr>
        <w:t>s</w:t>
      </w:r>
      <w:r w:rsidR="00884485">
        <w:rPr>
          <w:rFonts w:ascii="Arial" w:eastAsia="Calibri" w:hAnsi="Arial" w:cs="Arial"/>
        </w:rPr>
        <w:t xml:space="preserve"> performed</w:t>
      </w:r>
      <w:r w:rsidR="00EE7DE5" w:rsidRPr="000A7D78">
        <w:rPr>
          <w:rFonts w:ascii="Arial" w:eastAsia="Calibri" w:hAnsi="Arial" w:cs="Arial"/>
        </w:rPr>
        <w:t xml:space="preserve"> and medication dispensed to impute HCV infection status. </w:t>
      </w:r>
      <w:r w:rsidR="00406321" w:rsidRPr="000A7D78">
        <w:rPr>
          <w:rFonts w:ascii="Arial" w:eastAsia="Calibri" w:hAnsi="Arial" w:cs="Arial"/>
        </w:rPr>
        <w:t>Among</w:t>
      </w:r>
      <w:r w:rsidR="00EE7DE5" w:rsidRPr="000A7D78">
        <w:rPr>
          <w:rFonts w:ascii="Arial" w:eastAsia="Calibri" w:hAnsi="Arial" w:cs="Arial"/>
        </w:rPr>
        <w:t xml:space="preserve"> the 247,843 individuals receiving an HCV antibody test in 2019, RNA testing was performed for 4.9%</w:t>
      </w:r>
      <w:r w:rsidR="006D44C0" w:rsidRPr="000A7D78">
        <w:rPr>
          <w:rFonts w:ascii="Arial" w:eastAsia="Calibri" w:hAnsi="Arial" w:cs="Arial"/>
        </w:rPr>
        <w:t xml:space="preserve"> </w:t>
      </w:r>
      <w:r w:rsidR="00EE7DE5" w:rsidRPr="000A7D78">
        <w:rPr>
          <w:rFonts w:ascii="Arial" w:eastAsia="Calibri" w:hAnsi="Arial" w:cs="Arial"/>
        </w:rPr>
        <w:t>suggesting a positive</w:t>
      </w:r>
      <w:r w:rsidR="00567B6F">
        <w:rPr>
          <w:rFonts w:ascii="Arial" w:eastAsia="Calibri" w:hAnsi="Arial" w:cs="Arial"/>
        </w:rPr>
        <w:t xml:space="preserve"> antibody </w:t>
      </w:r>
      <w:r w:rsidR="00EE7DE5" w:rsidRPr="000A7D78">
        <w:rPr>
          <w:rFonts w:ascii="Arial" w:eastAsia="Calibri" w:hAnsi="Arial" w:cs="Arial"/>
        </w:rPr>
        <w:t xml:space="preserve">result. </w:t>
      </w:r>
      <w:r w:rsidR="004129A0" w:rsidRPr="000A7D78">
        <w:rPr>
          <w:rFonts w:ascii="Arial" w:eastAsia="Calibri" w:hAnsi="Arial" w:cs="Arial"/>
        </w:rPr>
        <w:t>Of</w:t>
      </w:r>
      <w:r w:rsidR="00EE7DE5" w:rsidRPr="000A7D78">
        <w:rPr>
          <w:rFonts w:ascii="Arial" w:eastAsia="Calibri" w:hAnsi="Arial" w:cs="Arial"/>
        </w:rPr>
        <w:t xml:space="preserve"> those with RNA test</w:t>
      </w:r>
      <w:r w:rsidR="004129A0" w:rsidRPr="000A7D78">
        <w:rPr>
          <w:rFonts w:ascii="Arial" w:eastAsia="Calibri" w:hAnsi="Arial" w:cs="Arial"/>
        </w:rPr>
        <w:t>s</w:t>
      </w:r>
      <w:r w:rsidR="00EE7DE5" w:rsidRPr="000A7D78">
        <w:rPr>
          <w:rFonts w:ascii="Arial" w:eastAsia="Calibri" w:hAnsi="Arial" w:cs="Arial"/>
        </w:rPr>
        <w:t xml:space="preserve"> performed, HCV genotyping was performed for 24.5% suggesting a positive RNA test result and intent to treat. Of those</w:t>
      </w:r>
      <w:r w:rsidR="00567B6F">
        <w:rPr>
          <w:rFonts w:ascii="Arial" w:eastAsia="Calibri" w:hAnsi="Arial" w:cs="Arial"/>
        </w:rPr>
        <w:t xml:space="preserve"> with </w:t>
      </w:r>
      <w:r w:rsidR="00EE7DE5" w:rsidRPr="000A7D78">
        <w:rPr>
          <w:rFonts w:ascii="Arial" w:eastAsia="Calibri" w:hAnsi="Arial" w:cs="Arial"/>
        </w:rPr>
        <w:t>genotype tests performed, only 40.7% were treated (i.e.</w:t>
      </w:r>
      <w:r w:rsidR="00E80262">
        <w:rPr>
          <w:rFonts w:ascii="Arial" w:eastAsia="Calibri" w:hAnsi="Arial" w:cs="Arial"/>
        </w:rPr>
        <w:t>,</w:t>
      </w:r>
      <w:r w:rsidR="00EE7DE5" w:rsidRPr="000A7D78">
        <w:rPr>
          <w:rFonts w:ascii="Arial" w:eastAsia="Calibri" w:hAnsi="Arial" w:cs="Arial"/>
        </w:rPr>
        <w:t xml:space="preserve"> DAA dispensed) within </w:t>
      </w:r>
      <w:r w:rsidR="00406321" w:rsidRPr="000A7D78">
        <w:rPr>
          <w:rFonts w:ascii="Arial" w:eastAsia="Calibri" w:hAnsi="Arial" w:cs="Arial"/>
        </w:rPr>
        <w:t>one</w:t>
      </w:r>
      <w:r w:rsidR="00EE7DE5" w:rsidRPr="000A7D78">
        <w:rPr>
          <w:rFonts w:ascii="Arial" w:eastAsia="Calibri" w:hAnsi="Arial" w:cs="Arial"/>
        </w:rPr>
        <w:t xml:space="preserve"> year.  </w:t>
      </w:r>
    </w:p>
    <w:p w14:paraId="20754B19" w14:textId="5826024B" w:rsidR="00EE7DE5" w:rsidRPr="000A7D78" w:rsidRDefault="00EE7DE5" w:rsidP="00EE7DE5">
      <w:pPr>
        <w:spacing w:after="160" w:line="259" w:lineRule="auto"/>
        <w:rPr>
          <w:rFonts w:ascii="Arial" w:eastAsia="Calibri" w:hAnsi="Arial" w:cs="Arial"/>
        </w:rPr>
      </w:pPr>
      <w:r w:rsidRPr="000A7D78">
        <w:rPr>
          <w:rFonts w:ascii="Arial" w:eastAsia="Calibri" w:hAnsi="Arial" w:cs="Arial"/>
          <w:b/>
          <w:bCs/>
        </w:rPr>
        <w:t>Recommendations</w:t>
      </w:r>
      <w:r w:rsidR="00E80262">
        <w:rPr>
          <w:rFonts w:ascii="Arial" w:eastAsia="Calibri" w:hAnsi="Arial" w:cs="Arial"/>
          <w:b/>
          <w:bCs/>
        </w:rPr>
        <w:t>:</w:t>
      </w:r>
      <w:r w:rsidRPr="000A7D78">
        <w:rPr>
          <w:rFonts w:ascii="Arial" w:eastAsia="Calibri" w:hAnsi="Arial" w:cs="Arial"/>
          <w:b/>
          <w:bCs/>
        </w:rPr>
        <w:t xml:space="preserve"> </w:t>
      </w:r>
      <w:r w:rsidRPr="000A7D78">
        <w:rPr>
          <w:rFonts w:ascii="Arial" w:eastAsia="Calibri" w:hAnsi="Arial" w:cs="Arial"/>
        </w:rPr>
        <w:t xml:space="preserve">Since 2020, </w:t>
      </w:r>
      <w:hyperlink r:id="rId13" w:anchor="B1_down">
        <w:r w:rsidRPr="000A7D78">
          <w:rPr>
            <w:rFonts w:ascii="Arial" w:eastAsia="Calibri" w:hAnsi="Arial" w:cs="Arial"/>
            <w:color w:val="055994"/>
            <w:u w:val="single"/>
          </w:rPr>
          <w:t>CDC has recommended</w:t>
        </w:r>
      </w:hyperlink>
      <w:r w:rsidRPr="000A7D78">
        <w:rPr>
          <w:rFonts w:ascii="Arial" w:eastAsia="Calibri" w:hAnsi="Arial" w:cs="Arial"/>
        </w:rPr>
        <w:t xml:space="preserve"> </w:t>
      </w:r>
      <w:r w:rsidR="00E80262">
        <w:rPr>
          <w:rFonts w:ascii="Arial" w:eastAsia="Calibri" w:hAnsi="Arial" w:cs="Arial"/>
        </w:rPr>
        <w:t>one</w:t>
      </w:r>
      <w:r w:rsidRPr="000A7D78">
        <w:rPr>
          <w:rFonts w:ascii="Arial" w:eastAsia="Calibri" w:hAnsi="Arial" w:cs="Arial"/>
        </w:rPr>
        <w:t xml:space="preserve">-time testing for HCV infection for </w:t>
      </w:r>
      <w:r w:rsidRPr="000A7D78">
        <w:rPr>
          <w:rFonts w:ascii="Arial" w:eastAsia="Calibri" w:hAnsi="Arial" w:cs="Arial"/>
          <w:i/>
          <w:iCs/>
        </w:rPr>
        <w:t>all</w:t>
      </w:r>
      <w:r w:rsidRPr="000A7D78">
        <w:rPr>
          <w:rFonts w:ascii="Arial" w:eastAsia="Calibri" w:hAnsi="Arial" w:cs="Arial"/>
          <w:b/>
          <w:bCs/>
        </w:rPr>
        <w:t xml:space="preserve"> </w:t>
      </w:r>
      <w:r w:rsidRPr="000A7D78">
        <w:rPr>
          <w:rFonts w:ascii="Arial" w:eastAsia="Calibri" w:hAnsi="Arial" w:cs="Arial"/>
        </w:rPr>
        <w:t xml:space="preserve">adults, and periodic testing for other individuals based on risk exposure. Treatment for HCV infection is curative for more than 95% of people and requires only 8-12 weeks of simple oral therapy. </w:t>
      </w:r>
    </w:p>
    <w:p w14:paraId="4ECEB3A8" w14:textId="482EB6C5" w:rsidR="00EE7DE5" w:rsidRPr="000A7D78" w:rsidRDefault="00EE7DE5" w:rsidP="00EE7DE5">
      <w:pPr>
        <w:spacing w:after="160" w:line="259" w:lineRule="auto"/>
        <w:rPr>
          <w:rFonts w:ascii="Arial" w:eastAsia="Calibri" w:hAnsi="Arial" w:cs="Arial"/>
        </w:rPr>
      </w:pPr>
      <w:r w:rsidRPr="000A7D78">
        <w:rPr>
          <w:rFonts w:ascii="Arial" w:eastAsia="Calibri" w:hAnsi="Arial" w:cs="Arial"/>
        </w:rPr>
        <w:t xml:space="preserve">Clinicians are urged to increase testing for HCV infection, including conducting repeat tests for individuals with ongoing risk for infection. Supplemental HCV RNA testing is necessary to identify current HCV infection and start treatment. Clinicians are encouraged to adopt the recommended testing algorithm and order reflex to RNA testing for all antibody positive test results. Antibody and RNA testing should be performed on samples collected from a single draw rather than requiring patients to return a second time. </w:t>
      </w:r>
    </w:p>
    <w:p w14:paraId="6ACF08FF" w14:textId="432672EB" w:rsidR="00EE7DE5" w:rsidRPr="000A7D78" w:rsidRDefault="00EE7DE5" w:rsidP="00EE7DE5">
      <w:pPr>
        <w:spacing w:after="160" w:line="259" w:lineRule="auto"/>
        <w:rPr>
          <w:rFonts w:ascii="Arial" w:eastAsia="Calibri" w:hAnsi="Arial" w:cs="Arial"/>
        </w:rPr>
      </w:pPr>
      <w:r w:rsidRPr="000A7D78">
        <w:rPr>
          <w:rFonts w:ascii="Arial" w:eastAsia="Calibri" w:hAnsi="Arial" w:cs="Arial"/>
        </w:rPr>
        <w:t xml:space="preserve">Clinicians are urged to </w:t>
      </w:r>
      <w:r w:rsidR="004129A0" w:rsidRPr="000A7D78">
        <w:rPr>
          <w:rFonts w:ascii="Arial" w:eastAsia="Calibri" w:hAnsi="Arial" w:cs="Arial"/>
        </w:rPr>
        <w:t xml:space="preserve">start </w:t>
      </w:r>
      <w:r w:rsidRPr="000A7D78">
        <w:rPr>
          <w:rFonts w:ascii="Arial" w:eastAsia="Calibri" w:hAnsi="Arial" w:cs="Arial"/>
        </w:rPr>
        <w:t xml:space="preserve">treatment for HCV infection following diagnosis. For most people, treatment for HCV infection is uncomplicated and highly effective. There is no need to wait for potential viral clearance. </w:t>
      </w:r>
    </w:p>
    <w:p w14:paraId="36081BAF" w14:textId="2B95FFDD" w:rsidR="00A2530F" w:rsidRDefault="00EE7DE5" w:rsidP="000A7D78">
      <w:pPr>
        <w:spacing w:after="120" w:line="259" w:lineRule="auto"/>
        <w:rPr>
          <w:rFonts w:ascii="Arial" w:hAnsi="Arial" w:cs="Arial"/>
        </w:rPr>
      </w:pPr>
      <w:r w:rsidRPr="000A7D78">
        <w:rPr>
          <w:rFonts w:ascii="Arial" w:eastAsia="Calibri" w:hAnsi="Arial" w:cs="Arial"/>
          <w:b/>
          <w:bCs/>
        </w:rPr>
        <w:t>Resources</w:t>
      </w:r>
      <w:r w:rsidR="009E279F">
        <w:rPr>
          <w:rFonts w:ascii="Arial" w:eastAsia="Calibri" w:hAnsi="Arial" w:cs="Arial"/>
          <w:b/>
          <w:bCs/>
        </w:rPr>
        <w:t>:</w:t>
      </w:r>
      <w:r w:rsidR="004129A0" w:rsidRPr="000A7D78">
        <w:rPr>
          <w:rFonts w:ascii="Arial" w:hAnsi="Arial" w:cs="Arial"/>
        </w:rPr>
        <w:t xml:space="preserve">                                                                                                                                            </w:t>
      </w:r>
    </w:p>
    <w:p w14:paraId="44243125" w14:textId="66A5C136" w:rsidR="00EE7DE5" w:rsidRPr="000A7D78" w:rsidRDefault="00EE7DE5" w:rsidP="000A7D78">
      <w:pPr>
        <w:pStyle w:val="ListParagraph"/>
        <w:numPr>
          <w:ilvl w:val="0"/>
          <w:numId w:val="39"/>
        </w:numPr>
        <w:spacing w:after="60"/>
        <w:ind w:left="547"/>
        <w:rPr>
          <w:rFonts w:ascii="Arial" w:hAnsi="Arial" w:cs="Arial"/>
        </w:rPr>
      </w:pPr>
      <w:r w:rsidRPr="000A7D78">
        <w:rPr>
          <w:rFonts w:ascii="Arial" w:hAnsi="Arial" w:cs="Arial"/>
        </w:rPr>
        <w:t xml:space="preserve">CDC testing recommendations: </w:t>
      </w:r>
      <w:hyperlink r:id="rId14" w:anchor="B1_down" w:history="1">
        <w:r w:rsidRPr="000A7D78">
          <w:rPr>
            <w:rFonts w:ascii="Arial" w:hAnsi="Arial" w:cs="Arial"/>
            <w:color w:val="055994"/>
            <w:u w:val="single"/>
          </w:rPr>
          <w:t>cdc.gov/</w:t>
        </w:r>
        <w:proofErr w:type="spellStart"/>
        <w:r w:rsidRPr="000A7D78">
          <w:rPr>
            <w:rFonts w:ascii="Arial" w:hAnsi="Arial" w:cs="Arial"/>
            <w:color w:val="055994"/>
            <w:u w:val="single"/>
          </w:rPr>
          <w:t>mmwr</w:t>
        </w:r>
        <w:proofErr w:type="spellEnd"/>
        <w:r w:rsidRPr="000A7D78">
          <w:rPr>
            <w:rFonts w:ascii="Arial" w:hAnsi="Arial" w:cs="Arial"/>
            <w:color w:val="055994"/>
            <w:u w:val="single"/>
          </w:rPr>
          <w:t>/volumes/69/</w:t>
        </w:r>
        <w:proofErr w:type="spellStart"/>
        <w:r w:rsidRPr="000A7D78">
          <w:rPr>
            <w:rFonts w:ascii="Arial" w:hAnsi="Arial" w:cs="Arial"/>
            <w:color w:val="055994"/>
            <w:u w:val="single"/>
          </w:rPr>
          <w:t>rr</w:t>
        </w:r>
        <w:proofErr w:type="spellEnd"/>
        <w:r w:rsidRPr="000A7D78">
          <w:rPr>
            <w:rFonts w:ascii="Arial" w:hAnsi="Arial" w:cs="Arial"/>
            <w:color w:val="055994"/>
            <w:u w:val="single"/>
          </w:rPr>
          <w:t>/rr6902a1.htm#B1_down</w:t>
        </w:r>
      </w:hyperlink>
    </w:p>
    <w:p w14:paraId="3B7E3BA6" w14:textId="7504C797" w:rsidR="00EE7DE5" w:rsidRPr="000A7D78" w:rsidRDefault="00EE7DE5" w:rsidP="000A7D78">
      <w:pPr>
        <w:pStyle w:val="ListParagraph"/>
        <w:numPr>
          <w:ilvl w:val="0"/>
          <w:numId w:val="39"/>
        </w:numPr>
        <w:spacing w:after="60"/>
        <w:ind w:left="547"/>
        <w:rPr>
          <w:rFonts w:ascii="Arial" w:eastAsia="Calibri" w:hAnsi="Arial" w:cs="Arial"/>
          <w:color w:val="0000FF"/>
          <w:u w:val="single"/>
        </w:rPr>
      </w:pPr>
      <w:r w:rsidRPr="000A7D78">
        <w:rPr>
          <w:rFonts w:ascii="Arial" w:eastAsia="Calibri" w:hAnsi="Arial" w:cs="Arial"/>
        </w:rPr>
        <w:t xml:space="preserve">Recommended </w:t>
      </w:r>
      <w:r w:rsidR="00D3304B">
        <w:rPr>
          <w:rFonts w:ascii="Arial" w:eastAsia="Calibri" w:hAnsi="Arial" w:cs="Arial"/>
        </w:rPr>
        <w:t>t</w:t>
      </w:r>
      <w:r w:rsidRPr="000A7D78">
        <w:rPr>
          <w:rFonts w:ascii="Arial" w:eastAsia="Calibri" w:hAnsi="Arial" w:cs="Arial"/>
        </w:rPr>
        <w:t>est</w:t>
      </w:r>
      <w:r w:rsidR="00406321" w:rsidRPr="000A7D78">
        <w:rPr>
          <w:rFonts w:ascii="Arial" w:eastAsia="Calibri" w:hAnsi="Arial" w:cs="Arial"/>
        </w:rPr>
        <w:t>ing</w:t>
      </w:r>
      <w:r w:rsidRPr="000A7D78">
        <w:rPr>
          <w:rFonts w:ascii="Arial" w:eastAsia="Calibri" w:hAnsi="Arial" w:cs="Arial"/>
        </w:rPr>
        <w:t xml:space="preserve"> </w:t>
      </w:r>
      <w:r w:rsidR="00D3304B">
        <w:rPr>
          <w:rFonts w:ascii="Arial" w:eastAsia="Calibri" w:hAnsi="Arial" w:cs="Arial"/>
        </w:rPr>
        <w:t>s</w:t>
      </w:r>
      <w:r w:rsidRPr="000A7D78">
        <w:rPr>
          <w:rFonts w:ascii="Arial" w:eastAsia="Calibri" w:hAnsi="Arial" w:cs="Arial"/>
        </w:rPr>
        <w:t>equence</w:t>
      </w:r>
      <w:r w:rsidR="00406321" w:rsidRPr="000A7D78">
        <w:rPr>
          <w:rFonts w:ascii="Arial" w:eastAsia="Calibri" w:hAnsi="Arial" w:cs="Arial"/>
        </w:rPr>
        <w:t xml:space="preserve">: </w:t>
      </w:r>
      <w:hyperlink r:id="rId15" w:history="1">
        <w:r w:rsidR="00406321" w:rsidRPr="000A7D78">
          <w:rPr>
            <w:rStyle w:val="Hyperlink"/>
            <w:rFonts w:ascii="Arial" w:eastAsia="Calibri" w:hAnsi="Arial" w:cs="Arial"/>
            <w:color w:val="055994"/>
          </w:rPr>
          <w:t>cdc.gov/hepatitis/</w:t>
        </w:r>
        <w:proofErr w:type="spellStart"/>
        <w:r w:rsidR="00406321" w:rsidRPr="000A7D78">
          <w:rPr>
            <w:rStyle w:val="Hyperlink"/>
            <w:rFonts w:ascii="Arial" w:eastAsia="Calibri" w:hAnsi="Arial" w:cs="Arial"/>
            <w:color w:val="055994"/>
          </w:rPr>
          <w:t>hcv</w:t>
        </w:r>
        <w:proofErr w:type="spellEnd"/>
        <w:r w:rsidR="00406321" w:rsidRPr="000A7D78">
          <w:rPr>
            <w:rStyle w:val="Hyperlink"/>
            <w:rFonts w:ascii="Arial" w:eastAsia="Calibri" w:hAnsi="Arial" w:cs="Arial"/>
            <w:color w:val="055994"/>
          </w:rPr>
          <w:t>/pdfs/hcv_flow.pdf</w:t>
        </w:r>
      </w:hyperlink>
    </w:p>
    <w:p w14:paraId="74C315A9" w14:textId="17F65BF9" w:rsidR="00EE7DE5" w:rsidRPr="000A7D78" w:rsidRDefault="00EE7DE5" w:rsidP="000A7D78">
      <w:pPr>
        <w:pStyle w:val="ListParagraph"/>
        <w:numPr>
          <w:ilvl w:val="0"/>
          <w:numId w:val="39"/>
        </w:numPr>
        <w:spacing w:after="60"/>
        <w:ind w:left="547"/>
        <w:rPr>
          <w:rFonts w:ascii="Arial" w:hAnsi="Arial" w:cs="Arial"/>
          <w:color w:val="0000FF"/>
          <w:u w:val="single"/>
        </w:rPr>
      </w:pPr>
      <w:r w:rsidRPr="000A7D78">
        <w:rPr>
          <w:rFonts w:ascii="Arial" w:hAnsi="Arial" w:cs="Arial"/>
        </w:rPr>
        <w:t>Updated operational guidance for HCV testing:</w:t>
      </w:r>
      <w:r w:rsidR="00D3304B">
        <w:rPr>
          <w:rFonts w:ascii="Arial" w:hAnsi="Arial" w:cs="Arial"/>
        </w:rPr>
        <w:t xml:space="preserve"> </w:t>
      </w:r>
      <w:hyperlink r:id="rId16" w:history="1">
        <w:r w:rsidRPr="000A7D78">
          <w:rPr>
            <w:rFonts w:ascii="Arial" w:hAnsi="Arial" w:cs="Arial"/>
            <w:color w:val="055994"/>
            <w:u w:val="single"/>
          </w:rPr>
          <w:t>cdc.gov/</w:t>
        </w:r>
        <w:proofErr w:type="spellStart"/>
        <w:r w:rsidRPr="000A7D78">
          <w:rPr>
            <w:rFonts w:ascii="Arial" w:hAnsi="Arial" w:cs="Arial"/>
            <w:color w:val="055994"/>
            <w:u w:val="single"/>
          </w:rPr>
          <w:t>mmwr</w:t>
        </w:r>
        <w:proofErr w:type="spellEnd"/>
        <w:r w:rsidRPr="000A7D78">
          <w:rPr>
            <w:rFonts w:ascii="Arial" w:hAnsi="Arial" w:cs="Arial"/>
            <w:color w:val="055994"/>
            <w:u w:val="single"/>
          </w:rPr>
          <w:t>/volumes/72/</w:t>
        </w:r>
        <w:proofErr w:type="spellStart"/>
        <w:r w:rsidRPr="000A7D78">
          <w:rPr>
            <w:rFonts w:ascii="Arial" w:hAnsi="Arial" w:cs="Arial"/>
            <w:color w:val="055994"/>
            <w:u w:val="single"/>
          </w:rPr>
          <w:t>wr</w:t>
        </w:r>
        <w:proofErr w:type="spellEnd"/>
        <w:r w:rsidRPr="000A7D78">
          <w:rPr>
            <w:rFonts w:ascii="Arial" w:hAnsi="Arial" w:cs="Arial"/>
            <w:color w:val="055994"/>
            <w:u w:val="single"/>
          </w:rPr>
          <w:t>/mm7228a2.htm</w:t>
        </w:r>
      </w:hyperlink>
    </w:p>
    <w:p w14:paraId="7B22E3BC" w14:textId="49226C36" w:rsidR="00EE7DE5" w:rsidRPr="000A7D78" w:rsidRDefault="00EE7DE5" w:rsidP="000A7D78">
      <w:pPr>
        <w:pStyle w:val="ListParagraph"/>
        <w:numPr>
          <w:ilvl w:val="0"/>
          <w:numId w:val="39"/>
        </w:numPr>
        <w:tabs>
          <w:tab w:val="left" w:pos="0"/>
        </w:tabs>
        <w:spacing w:after="60"/>
        <w:ind w:left="547" w:right="547"/>
        <w:rPr>
          <w:rFonts w:ascii="Arial" w:hAnsi="Arial" w:cs="Arial"/>
          <w:color w:val="0000FF"/>
          <w:u w:val="single"/>
        </w:rPr>
      </w:pPr>
      <w:r w:rsidRPr="000A7D78">
        <w:rPr>
          <w:rFonts w:ascii="Arial" w:hAnsi="Arial" w:cs="Arial"/>
        </w:rPr>
        <w:t xml:space="preserve">HCV infection treatment guidelines: </w:t>
      </w:r>
      <w:hyperlink r:id="rId17" w:history="1">
        <w:r w:rsidRPr="000A7D78">
          <w:rPr>
            <w:rFonts w:ascii="Arial" w:hAnsi="Arial" w:cs="Arial"/>
            <w:color w:val="055994"/>
            <w:u w:val="single"/>
          </w:rPr>
          <w:t>hcvguidelines.org</w:t>
        </w:r>
      </w:hyperlink>
    </w:p>
    <w:p w14:paraId="0618C76B" w14:textId="7E78B75B" w:rsidR="00765B48" w:rsidRPr="002A16AF" w:rsidRDefault="00EE7DE5" w:rsidP="000A7D78">
      <w:pPr>
        <w:pStyle w:val="ListParagraph"/>
        <w:numPr>
          <w:ilvl w:val="0"/>
          <w:numId w:val="39"/>
        </w:numPr>
        <w:tabs>
          <w:tab w:val="left" w:pos="0"/>
        </w:tabs>
        <w:spacing w:after="60"/>
        <w:ind w:left="547" w:right="547"/>
        <w:outlineLvl w:val="0"/>
        <w:rPr>
          <w:rFonts w:ascii="Arial" w:hAnsi="Arial" w:cs="Arial"/>
        </w:rPr>
      </w:pPr>
      <w:r w:rsidRPr="000A7D78">
        <w:rPr>
          <w:rFonts w:ascii="Arial" w:hAnsi="Arial" w:cs="Arial"/>
        </w:rPr>
        <w:t xml:space="preserve">Toolkit for hepatitis testing and treatment in primary care: </w:t>
      </w:r>
      <w:hyperlink r:id="rId18" w:history="1">
        <w:r w:rsidRPr="000A7D78">
          <w:rPr>
            <w:rFonts w:ascii="Arial" w:hAnsi="Arial" w:cs="Arial"/>
            <w:color w:val="055994"/>
            <w:u w:val="single"/>
          </w:rPr>
          <w:t>mass.gov/info-details/enhancing-hepatitis-c-testing-and-treatment-for-young-injection-drug-users</w:t>
        </w:r>
      </w:hyperlink>
      <w:r w:rsidR="00406321" w:rsidRPr="000A7D78">
        <w:rPr>
          <w:rFonts w:ascii="Arial" w:hAnsi="Arial" w:cs="Arial"/>
          <w:color w:val="055994"/>
          <w:u w:val="single"/>
        </w:rPr>
        <w:t xml:space="preserve"> </w:t>
      </w:r>
    </w:p>
    <w:sectPr w:rsidR="00765B48" w:rsidRPr="002A16AF" w:rsidSect="0033495B">
      <w:footerReference w:type="default" r:id="rId19"/>
      <w:pgSz w:w="12240" w:h="15840"/>
      <w:pgMar w:top="1440" w:right="720" w:bottom="1152"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E49C" w14:textId="77777777" w:rsidR="005B1A7D" w:rsidRDefault="005B1A7D" w:rsidP="00505F11">
      <w:r>
        <w:separator/>
      </w:r>
    </w:p>
  </w:endnote>
  <w:endnote w:type="continuationSeparator" w:id="0">
    <w:p w14:paraId="2E2AE3B5" w14:textId="77777777" w:rsidR="005B1A7D" w:rsidRDefault="005B1A7D"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4B2F" w14:textId="03E84EC8" w:rsidR="00884FF4" w:rsidRPr="006B4670" w:rsidRDefault="00927FDC" w:rsidP="009755FD">
    <w:pPr>
      <w:pStyle w:val="Footer"/>
      <w:ind w:left="720" w:hanging="1170"/>
      <w:jc w:val="center"/>
      <w:rPr>
        <w:rFonts w:ascii="Calibri" w:hAnsi="Calibri"/>
        <w:color w:val="032E53"/>
        <w:sz w:val="20"/>
        <w:szCs w:val="20"/>
      </w:rPr>
    </w:pPr>
    <w:r w:rsidRPr="006B4670">
      <w:rPr>
        <w:noProof/>
        <w:color w:val="032E53"/>
      </w:rPr>
      <w:drawing>
        <wp:anchor distT="0" distB="0" distL="114300" distR="114300" simplePos="0" relativeHeight="251657216" behindDoc="1" locked="0" layoutInCell="1" allowOverlap="1" wp14:anchorId="2F07E85D" wp14:editId="08BF1A4D">
          <wp:simplePos x="0" y="0"/>
          <wp:positionH relativeFrom="page">
            <wp:posOffset>3746500</wp:posOffset>
          </wp:positionH>
          <wp:positionV relativeFrom="page">
            <wp:posOffset>9455150</wp:posOffset>
          </wp:positionV>
          <wp:extent cx="283210" cy="283210"/>
          <wp:effectExtent l="0" t="0" r="2540" b="254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4670">
      <w:rPr>
        <w:noProof/>
        <w:color w:val="032E53"/>
      </w:rPr>
      <mc:AlternateContent>
        <mc:Choice Requires="wps">
          <w:drawing>
            <wp:anchor distT="0" distB="0" distL="114300" distR="114300" simplePos="0" relativeHeight="251658240" behindDoc="1" locked="0" layoutInCell="1" allowOverlap="1" wp14:anchorId="5D69F54D" wp14:editId="2660AF4D">
              <wp:simplePos x="0" y="0"/>
              <wp:positionH relativeFrom="page">
                <wp:posOffset>445770</wp:posOffset>
              </wp:positionH>
              <wp:positionV relativeFrom="page">
                <wp:posOffset>9235440</wp:posOffset>
              </wp:positionV>
              <wp:extent cx="6858000" cy="0"/>
              <wp:effectExtent l="7620" t="5715" r="11430" b="13335"/>
              <wp:wrapNone/>
              <wp:docPr id="1"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9C5D9"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j50QEAAIUDAAAOAAAAZHJzL2Uyb0RvYy54bWysU8GO2yAQvVfqPyDujZ2svEqtOHvIdnvZ&#10;tpGy/YAJYBsVMwhInPx9BxKn2+5t1QsCZubx5r1h9XAaDDsqHzTahs9nJWfKCpTadg3/+fL0aclZ&#10;iGAlGLSq4WcV+MP644fV6Gq1wB6NVJ4RiA316Brex+jqogiiVwOEGTplKdiiHyDS0XeF9DAS+mCK&#10;RVneFyN66TwKFQLdPl6CfJ3x21aJ+KNtg4rMNJy4xbz6vO7TWqxXUHceXK/FlQa8g8UA2tKjN6hH&#10;iMAOXr+BGrTwGLCNM4FDgW2rhco9UDfz8p9udj04lXshcYK7yRT+H6z4ftx6piV5x5mFgSzaRQ+6&#10;6yPboLUkIHp2l3QaXagpfWO3PnUqTnbnnlH8Cszipgfbqcz35ewIZJ4qir9K0iE4em0/fkNJOXCI&#10;mEU7tX5IkCQHO2Vvzjdv1CkyQZf3y2pZlmShmGIF1FOh8yF+VTiwtGm40TbJBjUcn0NMRKCeUtK1&#10;xSdtTLbeWDY2/HO1qHJBQKNlCqa04Lv9xnh2BBqeebW4q6rcFUVep3k8WJnBegXyy3UfQZvLnh43&#10;NuGpPI9XRpMaF133KM9bP0lGXmfO17lMw/T6nIX983vWvwEAAP//AwBQSwMEFAAGAAgAAAAhALX1&#10;M1LdAAAADQEAAA8AAABkcnMvZG93bnJldi54bWxMj8FOwzAMhu9IvENkJC6IpZu6MZWmE0LiwJEx&#10;pB3dxmszGqdqsrZ7e9IDgqM///r9Od9NthUD9d44VrBcJCCIK6cN1woOn2+PWxA+IGtsHZOCK3nY&#10;Fbc3OWbajfxBwz7UIpawz1BBE0KXSemrhiz6heuI4+7keoshjn0tdY9jLLetXCXJRlo0HC802NFr&#10;Q9X3/mIVHLfvw1kfxypMp4ev63kwclMape7vppdnEIGm8BeGWT+qQxGdSndh7UWr4ClZxWTk6TpN&#10;QcyJ5Xpm5S+TRS7/f1H8AAAA//8DAFBLAQItABQABgAIAAAAIQC2gziS/gAAAOEBAAATAAAAAAAA&#10;AAAAAAAAAAAAAABbQ29udGVudF9UeXBlc10ueG1sUEsBAi0AFAAGAAgAAAAhADj9If/WAAAAlAEA&#10;AAsAAAAAAAAAAAAAAAAALwEAAF9yZWxzLy5yZWxzUEsBAi0AFAAGAAgAAAAhAAjWiPnRAQAAhQMA&#10;AA4AAAAAAAAAAAAAAAAALgIAAGRycy9lMm9Eb2MueG1sUEsBAi0AFAAGAAgAAAAhALX1M1LdAAAA&#10;DQEAAA8AAAAAAAAAAAAAAAAAKwQAAGRycy9kb3ducmV2LnhtbFBLBQYAAAAABAAEAPMAAAA1BQAA&#10;AAA=&#10;" strokecolor="#152355">
              <v:shadow opacity="24903f" origin=",.5" offset="0,.55556mm"/>
              <w10:wrap anchorx="page" anchory="page"/>
            </v:line>
          </w:pict>
        </mc:Fallback>
      </mc:AlternateContent>
    </w:r>
    <w:r w:rsidR="00884FF4" w:rsidRPr="006B4670">
      <w:rPr>
        <w:rFonts w:ascii="Calibri" w:hAnsi="Calibri"/>
        <w:color w:val="032E53"/>
        <w:sz w:val="20"/>
        <w:szCs w:val="20"/>
      </w:rPr>
      <w:t xml:space="preserve">Massachusetts Department of Public Health | Bureau of Infectious Disease </w:t>
    </w:r>
    <w:r w:rsidR="00676F3D" w:rsidRPr="006B4670">
      <w:rPr>
        <w:rFonts w:ascii="Calibri" w:hAnsi="Calibri"/>
        <w:color w:val="032E53"/>
        <w:sz w:val="20"/>
        <w:szCs w:val="20"/>
      </w:rPr>
      <w:t>and Laboratory Sciences</w:t>
    </w:r>
    <w:r w:rsidR="00065619" w:rsidRPr="006B4670">
      <w:rPr>
        <w:rFonts w:ascii="Calibri" w:hAnsi="Calibri"/>
        <w:color w:val="032E53"/>
        <w:sz w:val="20"/>
        <w:szCs w:val="20"/>
      </w:rPr>
      <w:t xml:space="preserve"> | mass.gov/BIDLS</w:t>
    </w:r>
    <w:r w:rsidR="00B17EA3" w:rsidRPr="006B4670">
      <w:rPr>
        <w:rFonts w:ascii="Calibri" w:hAnsi="Calibri"/>
        <w:color w:val="032E53"/>
        <w:sz w:val="20"/>
        <w:szCs w:val="20"/>
      </w:rPr>
      <w:t xml:space="preserve"> </w:t>
    </w:r>
    <w:r w:rsidR="00065619" w:rsidRPr="006B4670">
      <w:rPr>
        <w:rFonts w:ascii="Calibri" w:hAnsi="Calibri"/>
        <w:color w:val="032E53"/>
        <w:sz w:val="20"/>
        <w:szCs w:val="20"/>
      </w:rPr>
      <w:t>| 617-983-6550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DF99" w14:textId="77777777" w:rsidR="005B1A7D" w:rsidRDefault="005B1A7D" w:rsidP="00505F11">
      <w:r>
        <w:separator/>
      </w:r>
    </w:p>
  </w:footnote>
  <w:footnote w:type="continuationSeparator" w:id="0">
    <w:p w14:paraId="7D075574" w14:textId="77777777" w:rsidR="005B1A7D" w:rsidRDefault="005B1A7D" w:rsidP="0050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EA"/>
    <w:multiLevelType w:val="multilevel"/>
    <w:tmpl w:val="062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16F0B"/>
    <w:multiLevelType w:val="hybridMultilevel"/>
    <w:tmpl w:val="79AC61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D1660B"/>
    <w:multiLevelType w:val="hybridMultilevel"/>
    <w:tmpl w:val="DB3405DA"/>
    <w:lvl w:ilvl="0" w:tplc="FB0A599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89A319E"/>
    <w:multiLevelType w:val="multilevel"/>
    <w:tmpl w:val="6F70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2182C"/>
    <w:multiLevelType w:val="hybridMultilevel"/>
    <w:tmpl w:val="2B00297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14E30CDE"/>
    <w:multiLevelType w:val="hybridMultilevel"/>
    <w:tmpl w:val="8B24563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193541A0"/>
    <w:multiLevelType w:val="multilevel"/>
    <w:tmpl w:val="AAA8A2EA"/>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9B6B63"/>
    <w:multiLevelType w:val="multilevel"/>
    <w:tmpl w:val="94D8BC5E"/>
    <w:lvl w:ilvl="0">
      <w:start w:val="1"/>
      <w:numFmt w:val="bullet"/>
      <w:lvlText w:val=""/>
      <w:lvlJc w:val="left"/>
      <w:pPr>
        <w:tabs>
          <w:tab w:val="num" w:pos="540"/>
        </w:tabs>
        <w:ind w:left="540" w:hanging="360"/>
      </w:pPr>
      <w:rPr>
        <w:rFonts w:ascii="Symbol" w:hAnsi="Symbol" w:hint="default"/>
        <w:color w:val="000000"/>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C6605F"/>
    <w:multiLevelType w:val="hybridMultilevel"/>
    <w:tmpl w:val="DD382FBA"/>
    <w:lvl w:ilvl="0" w:tplc="04090001">
      <w:start w:val="1"/>
      <w:numFmt w:val="bullet"/>
      <w:lvlText w:val=""/>
      <w:lvlJc w:val="left"/>
      <w:pPr>
        <w:tabs>
          <w:tab w:val="num" w:pos="547"/>
        </w:tabs>
        <w:ind w:left="547" w:hanging="360"/>
      </w:pPr>
      <w:rPr>
        <w:rFonts w:ascii="Symbol" w:hAnsi="Symbol" w:hint="default"/>
      </w:rPr>
    </w:lvl>
    <w:lvl w:ilvl="1" w:tplc="04090003" w:tentative="1">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9" w15:restartNumberingAfterBreak="0">
    <w:nsid w:val="28DA6BFE"/>
    <w:multiLevelType w:val="hybridMultilevel"/>
    <w:tmpl w:val="A18E6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8804A8"/>
    <w:multiLevelType w:val="hybridMultilevel"/>
    <w:tmpl w:val="830603D0"/>
    <w:lvl w:ilvl="0" w:tplc="2FC8735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956228"/>
    <w:multiLevelType w:val="multilevel"/>
    <w:tmpl w:val="FBB26C1A"/>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F464F3A"/>
    <w:multiLevelType w:val="hybridMultilevel"/>
    <w:tmpl w:val="49048BFC"/>
    <w:lvl w:ilvl="0" w:tplc="3B4C4C50">
      <w:start w:val="1"/>
      <w:numFmt w:val="bullet"/>
      <w:lvlText w:val=""/>
      <w:lvlJc w:val="left"/>
      <w:pPr>
        <w:tabs>
          <w:tab w:val="num" w:pos="540"/>
        </w:tabs>
        <w:ind w:left="54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31BC3150"/>
    <w:multiLevelType w:val="hybridMultilevel"/>
    <w:tmpl w:val="16DE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E7BC6"/>
    <w:multiLevelType w:val="hybridMultilevel"/>
    <w:tmpl w:val="6A383ECA"/>
    <w:lvl w:ilvl="0" w:tplc="3B0ED108">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C274A"/>
    <w:multiLevelType w:val="hybridMultilevel"/>
    <w:tmpl w:val="07BC05C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7" w15:restartNumberingAfterBreak="0">
    <w:nsid w:val="3D8F596B"/>
    <w:multiLevelType w:val="multilevel"/>
    <w:tmpl w:val="DD382FBA"/>
    <w:lvl w:ilvl="0">
      <w:start w:val="1"/>
      <w:numFmt w:val="bullet"/>
      <w:lvlText w:val=""/>
      <w:lvlJc w:val="left"/>
      <w:pPr>
        <w:tabs>
          <w:tab w:val="num" w:pos="547"/>
        </w:tabs>
        <w:ind w:left="547" w:hanging="360"/>
      </w:pPr>
      <w:rPr>
        <w:rFonts w:ascii="Symbol" w:hAnsi="Symbol" w:hint="default"/>
      </w:rPr>
    </w:lvl>
    <w:lvl w:ilvl="1">
      <w:start w:val="1"/>
      <w:numFmt w:val="bullet"/>
      <w:lvlText w:val="o"/>
      <w:lvlJc w:val="left"/>
      <w:pPr>
        <w:tabs>
          <w:tab w:val="num" w:pos="1267"/>
        </w:tabs>
        <w:ind w:left="1267" w:hanging="360"/>
      </w:pPr>
      <w:rPr>
        <w:rFonts w:ascii="Courier New" w:hAnsi="Courier New" w:cs="Courier New" w:hint="default"/>
      </w:rPr>
    </w:lvl>
    <w:lvl w:ilvl="2">
      <w:start w:val="1"/>
      <w:numFmt w:val="bullet"/>
      <w:lvlText w:val=""/>
      <w:lvlJc w:val="left"/>
      <w:pPr>
        <w:tabs>
          <w:tab w:val="num" w:pos="1987"/>
        </w:tabs>
        <w:ind w:left="1987" w:hanging="360"/>
      </w:pPr>
      <w:rPr>
        <w:rFonts w:ascii="Wingdings" w:hAnsi="Wingdings" w:hint="default"/>
      </w:rPr>
    </w:lvl>
    <w:lvl w:ilvl="3">
      <w:start w:val="1"/>
      <w:numFmt w:val="bullet"/>
      <w:lvlText w:val=""/>
      <w:lvlJc w:val="left"/>
      <w:pPr>
        <w:tabs>
          <w:tab w:val="num" w:pos="2707"/>
        </w:tabs>
        <w:ind w:left="2707" w:hanging="360"/>
      </w:pPr>
      <w:rPr>
        <w:rFonts w:ascii="Symbol" w:hAnsi="Symbol" w:hint="default"/>
      </w:rPr>
    </w:lvl>
    <w:lvl w:ilvl="4">
      <w:start w:val="1"/>
      <w:numFmt w:val="bullet"/>
      <w:lvlText w:val="o"/>
      <w:lvlJc w:val="left"/>
      <w:pPr>
        <w:tabs>
          <w:tab w:val="num" w:pos="3427"/>
        </w:tabs>
        <w:ind w:left="3427" w:hanging="360"/>
      </w:pPr>
      <w:rPr>
        <w:rFonts w:ascii="Courier New" w:hAnsi="Courier New" w:cs="Courier New" w:hint="default"/>
      </w:rPr>
    </w:lvl>
    <w:lvl w:ilvl="5">
      <w:start w:val="1"/>
      <w:numFmt w:val="bullet"/>
      <w:lvlText w:val=""/>
      <w:lvlJc w:val="left"/>
      <w:pPr>
        <w:tabs>
          <w:tab w:val="num" w:pos="4147"/>
        </w:tabs>
        <w:ind w:left="4147" w:hanging="360"/>
      </w:pPr>
      <w:rPr>
        <w:rFonts w:ascii="Wingdings" w:hAnsi="Wingdings" w:hint="default"/>
      </w:rPr>
    </w:lvl>
    <w:lvl w:ilvl="6">
      <w:start w:val="1"/>
      <w:numFmt w:val="bullet"/>
      <w:lvlText w:val=""/>
      <w:lvlJc w:val="left"/>
      <w:pPr>
        <w:tabs>
          <w:tab w:val="num" w:pos="4867"/>
        </w:tabs>
        <w:ind w:left="4867" w:hanging="360"/>
      </w:pPr>
      <w:rPr>
        <w:rFonts w:ascii="Symbol" w:hAnsi="Symbol" w:hint="default"/>
      </w:rPr>
    </w:lvl>
    <w:lvl w:ilvl="7">
      <w:start w:val="1"/>
      <w:numFmt w:val="bullet"/>
      <w:lvlText w:val="o"/>
      <w:lvlJc w:val="left"/>
      <w:pPr>
        <w:tabs>
          <w:tab w:val="num" w:pos="5587"/>
        </w:tabs>
        <w:ind w:left="5587" w:hanging="360"/>
      </w:pPr>
      <w:rPr>
        <w:rFonts w:ascii="Courier New" w:hAnsi="Courier New" w:cs="Courier New" w:hint="default"/>
      </w:rPr>
    </w:lvl>
    <w:lvl w:ilvl="8">
      <w:start w:val="1"/>
      <w:numFmt w:val="bullet"/>
      <w:lvlText w:val=""/>
      <w:lvlJc w:val="left"/>
      <w:pPr>
        <w:tabs>
          <w:tab w:val="num" w:pos="6307"/>
        </w:tabs>
        <w:ind w:left="6307" w:hanging="360"/>
      </w:pPr>
      <w:rPr>
        <w:rFonts w:ascii="Wingdings" w:hAnsi="Wingdings" w:hint="default"/>
      </w:rPr>
    </w:lvl>
  </w:abstractNum>
  <w:abstractNum w:abstractNumId="18" w15:restartNumberingAfterBreak="0">
    <w:nsid w:val="41813912"/>
    <w:multiLevelType w:val="hybridMultilevel"/>
    <w:tmpl w:val="6756EE1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4A974385"/>
    <w:multiLevelType w:val="hybridMultilevel"/>
    <w:tmpl w:val="FBB26C1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4AD21A0D"/>
    <w:multiLevelType w:val="hybridMultilevel"/>
    <w:tmpl w:val="3906F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514326A"/>
    <w:multiLevelType w:val="hybridMultilevel"/>
    <w:tmpl w:val="AAA8A2E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5AE96542"/>
    <w:multiLevelType w:val="multilevel"/>
    <w:tmpl w:val="79AC61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B517FD"/>
    <w:multiLevelType w:val="hybridMultilevel"/>
    <w:tmpl w:val="94D8BC5E"/>
    <w:lvl w:ilvl="0" w:tplc="0162867C">
      <w:start w:val="1"/>
      <w:numFmt w:val="bullet"/>
      <w:lvlText w:val=""/>
      <w:lvlJc w:val="left"/>
      <w:pPr>
        <w:tabs>
          <w:tab w:val="num" w:pos="540"/>
        </w:tabs>
        <w:ind w:left="540" w:hanging="360"/>
      </w:pPr>
      <w:rPr>
        <w:rFonts w:ascii="Symbol" w:hAnsi="Symbol" w:hint="default"/>
        <w:color w:val="000000"/>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421949"/>
    <w:multiLevelType w:val="multilevel"/>
    <w:tmpl w:val="FBB26C1A"/>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28" w15:restartNumberingAfterBreak="0">
    <w:nsid w:val="6358745D"/>
    <w:multiLevelType w:val="hybridMultilevel"/>
    <w:tmpl w:val="DB3405DA"/>
    <w:lvl w:ilvl="0" w:tplc="FB0A599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C780D48"/>
    <w:multiLevelType w:val="hybridMultilevel"/>
    <w:tmpl w:val="8D6E2492"/>
    <w:lvl w:ilvl="0" w:tplc="3B4C4C50">
      <w:start w:val="1"/>
      <w:numFmt w:val="bullet"/>
      <w:lvlText w:val=""/>
      <w:lvlJc w:val="left"/>
      <w:pPr>
        <w:tabs>
          <w:tab w:val="num" w:pos="540"/>
        </w:tabs>
        <w:ind w:left="54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622038"/>
    <w:multiLevelType w:val="hybridMultilevel"/>
    <w:tmpl w:val="974A8348"/>
    <w:lvl w:ilvl="0" w:tplc="60CE3A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01950D6"/>
    <w:multiLevelType w:val="hybridMultilevel"/>
    <w:tmpl w:val="06DEEA6A"/>
    <w:lvl w:ilvl="0" w:tplc="554477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4175E"/>
    <w:multiLevelType w:val="hybridMultilevel"/>
    <w:tmpl w:val="27EC0FE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5" w15:restartNumberingAfterBreak="0">
    <w:nsid w:val="78010E40"/>
    <w:multiLevelType w:val="hybridMultilevel"/>
    <w:tmpl w:val="CBAAB96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788E32FB"/>
    <w:multiLevelType w:val="hybridMultilevel"/>
    <w:tmpl w:val="435C7F28"/>
    <w:lvl w:ilvl="0" w:tplc="FB0A5996">
      <w:start w:val="1"/>
      <w:numFmt w:val="bullet"/>
      <w:lvlText w:val=""/>
      <w:lvlJc w:val="left"/>
      <w:pPr>
        <w:tabs>
          <w:tab w:val="num" w:pos="1620"/>
        </w:tabs>
        <w:ind w:left="16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8" w15:restartNumberingAfterBreak="0">
    <w:nsid w:val="7C2B4E3D"/>
    <w:multiLevelType w:val="hybridMultilevel"/>
    <w:tmpl w:val="794A6982"/>
    <w:lvl w:ilvl="0" w:tplc="3F449784">
      <w:start w:val="1"/>
      <w:numFmt w:val="bullet"/>
      <w:lvlText w:val=""/>
      <w:lvlJc w:val="left"/>
      <w:pPr>
        <w:tabs>
          <w:tab w:val="num" w:pos="540"/>
        </w:tabs>
        <w:ind w:left="540" w:hanging="360"/>
      </w:pPr>
      <w:rPr>
        <w:rFonts w:ascii="Symbol" w:hAnsi="Symbol" w:hint="default"/>
        <w:color w:val="000000"/>
        <w:spacing w:val="0"/>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4"/>
  </w:num>
  <w:num w:numId="3">
    <w:abstractNumId w:val="19"/>
  </w:num>
  <w:num w:numId="4">
    <w:abstractNumId w:val="30"/>
  </w:num>
  <w:num w:numId="5">
    <w:abstractNumId w:val="22"/>
  </w:num>
  <w:num w:numId="6">
    <w:abstractNumId w:val="37"/>
  </w:num>
  <w:num w:numId="7">
    <w:abstractNumId w:val="21"/>
  </w:num>
  <w:num w:numId="8">
    <w:abstractNumId w:val="29"/>
  </w:num>
  <w:num w:numId="9">
    <w:abstractNumId w:val="15"/>
  </w:num>
  <w:num w:numId="10">
    <w:abstractNumId w:val="35"/>
  </w:num>
  <w:num w:numId="11">
    <w:abstractNumId w:val="10"/>
  </w:num>
  <w:num w:numId="12">
    <w:abstractNumId w:val="9"/>
  </w:num>
  <w:num w:numId="13">
    <w:abstractNumId w:val="32"/>
  </w:num>
  <w:num w:numId="14">
    <w:abstractNumId w:val="28"/>
  </w:num>
  <w:num w:numId="15">
    <w:abstractNumId w:val="2"/>
  </w:num>
  <w:num w:numId="16">
    <w:abstractNumId w:val="36"/>
  </w:num>
  <w:num w:numId="17">
    <w:abstractNumId w:val="8"/>
  </w:num>
  <w:num w:numId="18">
    <w:abstractNumId w:val="17"/>
  </w:num>
  <w:num w:numId="19">
    <w:abstractNumId w:val="20"/>
  </w:num>
  <w:num w:numId="20">
    <w:abstractNumId w:val="27"/>
  </w:num>
  <w:num w:numId="21">
    <w:abstractNumId w:val="11"/>
  </w:num>
  <w:num w:numId="22">
    <w:abstractNumId w:val="1"/>
  </w:num>
  <w:num w:numId="23">
    <w:abstractNumId w:val="25"/>
  </w:num>
  <w:num w:numId="24">
    <w:abstractNumId w:val="23"/>
  </w:num>
  <w:num w:numId="25">
    <w:abstractNumId w:val="6"/>
  </w:num>
  <w:num w:numId="26">
    <w:abstractNumId w:val="26"/>
  </w:num>
  <w:num w:numId="27">
    <w:abstractNumId w:val="31"/>
  </w:num>
  <w:num w:numId="28">
    <w:abstractNumId w:val="7"/>
  </w:num>
  <w:num w:numId="29">
    <w:abstractNumId w:val="38"/>
  </w:num>
  <w:num w:numId="30">
    <w:abstractNumId w:val="12"/>
  </w:num>
  <w:num w:numId="31">
    <w:abstractNumId w:val="0"/>
  </w:num>
  <w:num w:numId="32">
    <w:abstractNumId w:val="3"/>
  </w:num>
  <w:num w:numId="33">
    <w:abstractNumId w:val="14"/>
  </w:num>
  <w:num w:numId="34">
    <w:abstractNumId w:val="18"/>
  </w:num>
  <w:num w:numId="35">
    <w:abstractNumId w:val="5"/>
  </w:num>
  <w:num w:numId="36">
    <w:abstractNumId w:val="34"/>
  </w:num>
  <w:num w:numId="37">
    <w:abstractNumId w:val="4"/>
  </w:num>
  <w:num w:numId="38">
    <w:abstractNumId w:val="1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139A0"/>
    <w:rsid w:val="00016504"/>
    <w:rsid w:val="000250CA"/>
    <w:rsid w:val="00026F57"/>
    <w:rsid w:val="00045F48"/>
    <w:rsid w:val="00051487"/>
    <w:rsid w:val="0005432B"/>
    <w:rsid w:val="00065619"/>
    <w:rsid w:val="00073E6D"/>
    <w:rsid w:val="00077AD1"/>
    <w:rsid w:val="00091A64"/>
    <w:rsid w:val="00092BF9"/>
    <w:rsid w:val="000A7D78"/>
    <w:rsid w:val="000B5C48"/>
    <w:rsid w:val="000C3688"/>
    <w:rsid w:val="000C48E2"/>
    <w:rsid w:val="000F47B1"/>
    <w:rsid w:val="001014BD"/>
    <w:rsid w:val="001048A9"/>
    <w:rsid w:val="00114075"/>
    <w:rsid w:val="0011494D"/>
    <w:rsid w:val="00116275"/>
    <w:rsid w:val="0012598D"/>
    <w:rsid w:val="00127168"/>
    <w:rsid w:val="00132107"/>
    <w:rsid w:val="00137E85"/>
    <w:rsid w:val="00154AAA"/>
    <w:rsid w:val="00157CB0"/>
    <w:rsid w:val="001673A6"/>
    <w:rsid w:val="00170595"/>
    <w:rsid w:val="00174D16"/>
    <w:rsid w:val="00183940"/>
    <w:rsid w:val="00184F9E"/>
    <w:rsid w:val="0019056B"/>
    <w:rsid w:val="00192C97"/>
    <w:rsid w:val="001A0372"/>
    <w:rsid w:val="001A5E1E"/>
    <w:rsid w:val="001A6485"/>
    <w:rsid w:val="001B4B1C"/>
    <w:rsid w:val="001D0038"/>
    <w:rsid w:val="001D1347"/>
    <w:rsid w:val="001D722C"/>
    <w:rsid w:val="001D7BE1"/>
    <w:rsid w:val="001E49F3"/>
    <w:rsid w:val="001E59A6"/>
    <w:rsid w:val="001F1C8F"/>
    <w:rsid w:val="001F25CC"/>
    <w:rsid w:val="001F40CF"/>
    <w:rsid w:val="001F53DE"/>
    <w:rsid w:val="0023276E"/>
    <w:rsid w:val="00237185"/>
    <w:rsid w:val="00252B85"/>
    <w:rsid w:val="00256482"/>
    <w:rsid w:val="00274D23"/>
    <w:rsid w:val="002A16AF"/>
    <w:rsid w:val="002B4E3F"/>
    <w:rsid w:val="002C16C8"/>
    <w:rsid w:val="002F7030"/>
    <w:rsid w:val="00307714"/>
    <w:rsid w:val="00310C51"/>
    <w:rsid w:val="0032238D"/>
    <w:rsid w:val="00324893"/>
    <w:rsid w:val="00331E84"/>
    <w:rsid w:val="0033495B"/>
    <w:rsid w:val="00342DD6"/>
    <w:rsid w:val="0034488A"/>
    <w:rsid w:val="00376A3A"/>
    <w:rsid w:val="00377B75"/>
    <w:rsid w:val="003867D7"/>
    <w:rsid w:val="003A10AE"/>
    <w:rsid w:val="003B5723"/>
    <w:rsid w:val="003C6297"/>
    <w:rsid w:val="003C6767"/>
    <w:rsid w:val="003C719E"/>
    <w:rsid w:val="003E1683"/>
    <w:rsid w:val="004013C5"/>
    <w:rsid w:val="00406321"/>
    <w:rsid w:val="00411573"/>
    <w:rsid w:val="004129A0"/>
    <w:rsid w:val="00413ED2"/>
    <w:rsid w:val="004151EA"/>
    <w:rsid w:val="00421BFE"/>
    <w:rsid w:val="00434098"/>
    <w:rsid w:val="00441C32"/>
    <w:rsid w:val="0046174F"/>
    <w:rsid w:val="00466550"/>
    <w:rsid w:val="00471A6E"/>
    <w:rsid w:val="0048736A"/>
    <w:rsid w:val="0049761A"/>
    <w:rsid w:val="004A13E8"/>
    <w:rsid w:val="004A3765"/>
    <w:rsid w:val="004D3832"/>
    <w:rsid w:val="004D4590"/>
    <w:rsid w:val="004E0513"/>
    <w:rsid w:val="004E1A6C"/>
    <w:rsid w:val="004E7E59"/>
    <w:rsid w:val="004E7F42"/>
    <w:rsid w:val="004F011B"/>
    <w:rsid w:val="00505F11"/>
    <w:rsid w:val="00531063"/>
    <w:rsid w:val="00567B6F"/>
    <w:rsid w:val="005759BB"/>
    <w:rsid w:val="0058196F"/>
    <w:rsid w:val="00581A11"/>
    <w:rsid w:val="005900F5"/>
    <w:rsid w:val="00595DF8"/>
    <w:rsid w:val="005B1A7D"/>
    <w:rsid w:val="005B730E"/>
    <w:rsid w:val="005D30B1"/>
    <w:rsid w:val="005E1CC6"/>
    <w:rsid w:val="00602974"/>
    <w:rsid w:val="00615F65"/>
    <w:rsid w:val="006200EC"/>
    <w:rsid w:val="0062415D"/>
    <w:rsid w:val="00632896"/>
    <w:rsid w:val="006342BF"/>
    <w:rsid w:val="0064512D"/>
    <w:rsid w:val="00646EAD"/>
    <w:rsid w:val="00664B4F"/>
    <w:rsid w:val="0067260E"/>
    <w:rsid w:val="0067630F"/>
    <w:rsid w:val="00676F3D"/>
    <w:rsid w:val="0068159D"/>
    <w:rsid w:val="00682845"/>
    <w:rsid w:val="00686841"/>
    <w:rsid w:val="00693C93"/>
    <w:rsid w:val="006B3124"/>
    <w:rsid w:val="006B4670"/>
    <w:rsid w:val="006B54F0"/>
    <w:rsid w:val="006B5CBF"/>
    <w:rsid w:val="006C0DA6"/>
    <w:rsid w:val="006C2722"/>
    <w:rsid w:val="006C65EF"/>
    <w:rsid w:val="006D0262"/>
    <w:rsid w:val="006D0DA8"/>
    <w:rsid w:val="006D44C0"/>
    <w:rsid w:val="006E2168"/>
    <w:rsid w:val="006E6DFE"/>
    <w:rsid w:val="00700739"/>
    <w:rsid w:val="00726CE6"/>
    <w:rsid w:val="00760F6B"/>
    <w:rsid w:val="00764C1B"/>
    <w:rsid w:val="00765B48"/>
    <w:rsid w:val="00766A5B"/>
    <w:rsid w:val="007725A0"/>
    <w:rsid w:val="0078191C"/>
    <w:rsid w:val="00787F38"/>
    <w:rsid w:val="007929F2"/>
    <w:rsid w:val="00793085"/>
    <w:rsid w:val="00793F7D"/>
    <w:rsid w:val="00795176"/>
    <w:rsid w:val="007A09B5"/>
    <w:rsid w:val="007B0A8A"/>
    <w:rsid w:val="007C1982"/>
    <w:rsid w:val="007E6D26"/>
    <w:rsid w:val="007E7AEB"/>
    <w:rsid w:val="0080154D"/>
    <w:rsid w:val="00804D66"/>
    <w:rsid w:val="00813F1C"/>
    <w:rsid w:val="00816D46"/>
    <w:rsid w:val="0082334C"/>
    <w:rsid w:val="00836AAF"/>
    <w:rsid w:val="008416CE"/>
    <w:rsid w:val="00845D0B"/>
    <w:rsid w:val="00851510"/>
    <w:rsid w:val="00857E7D"/>
    <w:rsid w:val="00876D26"/>
    <w:rsid w:val="00884485"/>
    <w:rsid w:val="00884FF4"/>
    <w:rsid w:val="00892CF7"/>
    <w:rsid w:val="00893204"/>
    <w:rsid w:val="00893990"/>
    <w:rsid w:val="008B58C2"/>
    <w:rsid w:val="008B7BDD"/>
    <w:rsid w:val="008C6A43"/>
    <w:rsid w:val="008D6F70"/>
    <w:rsid w:val="008E1D08"/>
    <w:rsid w:val="008F0D9A"/>
    <w:rsid w:val="0090304B"/>
    <w:rsid w:val="009069F9"/>
    <w:rsid w:val="00910611"/>
    <w:rsid w:val="00912228"/>
    <w:rsid w:val="00913595"/>
    <w:rsid w:val="00927FDC"/>
    <w:rsid w:val="00943BBC"/>
    <w:rsid w:val="00946585"/>
    <w:rsid w:val="00950FF6"/>
    <w:rsid w:val="0096241B"/>
    <w:rsid w:val="00970549"/>
    <w:rsid w:val="009755FD"/>
    <w:rsid w:val="00976479"/>
    <w:rsid w:val="009871FD"/>
    <w:rsid w:val="009A46CD"/>
    <w:rsid w:val="009B2513"/>
    <w:rsid w:val="009E279F"/>
    <w:rsid w:val="009F519F"/>
    <w:rsid w:val="009F6773"/>
    <w:rsid w:val="00A13A87"/>
    <w:rsid w:val="00A20070"/>
    <w:rsid w:val="00A21270"/>
    <w:rsid w:val="00A217E1"/>
    <w:rsid w:val="00A2530F"/>
    <w:rsid w:val="00A414E7"/>
    <w:rsid w:val="00A52888"/>
    <w:rsid w:val="00A72390"/>
    <w:rsid w:val="00A80B89"/>
    <w:rsid w:val="00A84404"/>
    <w:rsid w:val="00A953FE"/>
    <w:rsid w:val="00AC7F02"/>
    <w:rsid w:val="00AF17D9"/>
    <w:rsid w:val="00AF25BB"/>
    <w:rsid w:val="00B054FC"/>
    <w:rsid w:val="00B061BA"/>
    <w:rsid w:val="00B17EA3"/>
    <w:rsid w:val="00B419E5"/>
    <w:rsid w:val="00B434C1"/>
    <w:rsid w:val="00B44D65"/>
    <w:rsid w:val="00B50DF1"/>
    <w:rsid w:val="00B56875"/>
    <w:rsid w:val="00B575A4"/>
    <w:rsid w:val="00B80390"/>
    <w:rsid w:val="00BC027D"/>
    <w:rsid w:val="00BD4807"/>
    <w:rsid w:val="00BD564B"/>
    <w:rsid w:val="00BD79D3"/>
    <w:rsid w:val="00BE5024"/>
    <w:rsid w:val="00BF13F3"/>
    <w:rsid w:val="00BF1B96"/>
    <w:rsid w:val="00C17402"/>
    <w:rsid w:val="00C3010E"/>
    <w:rsid w:val="00C40829"/>
    <w:rsid w:val="00C4175D"/>
    <w:rsid w:val="00C56795"/>
    <w:rsid w:val="00C5721C"/>
    <w:rsid w:val="00C6483D"/>
    <w:rsid w:val="00C64D7C"/>
    <w:rsid w:val="00C70ADE"/>
    <w:rsid w:val="00C77CC8"/>
    <w:rsid w:val="00C85494"/>
    <w:rsid w:val="00C8644F"/>
    <w:rsid w:val="00CA00E0"/>
    <w:rsid w:val="00CA715D"/>
    <w:rsid w:val="00CB77BE"/>
    <w:rsid w:val="00CD2587"/>
    <w:rsid w:val="00CE4286"/>
    <w:rsid w:val="00CF09B2"/>
    <w:rsid w:val="00CF7C84"/>
    <w:rsid w:val="00D03C5C"/>
    <w:rsid w:val="00D0423E"/>
    <w:rsid w:val="00D3304B"/>
    <w:rsid w:val="00D536E7"/>
    <w:rsid w:val="00D56730"/>
    <w:rsid w:val="00D62C60"/>
    <w:rsid w:val="00D6497A"/>
    <w:rsid w:val="00D74A8D"/>
    <w:rsid w:val="00D75992"/>
    <w:rsid w:val="00D8414C"/>
    <w:rsid w:val="00D92289"/>
    <w:rsid w:val="00D922FA"/>
    <w:rsid w:val="00DA0970"/>
    <w:rsid w:val="00DC0618"/>
    <w:rsid w:val="00DE001F"/>
    <w:rsid w:val="00DE35BD"/>
    <w:rsid w:val="00DE764E"/>
    <w:rsid w:val="00DE79D4"/>
    <w:rsid w:val="00DF0F5F"/>
    <w:rsid w:val="00DF31B2"/>
    <w:rsid w:val="00E01016"/>
    <w:rsid w:val="00E04E4B"/>
    <w:rsid w:val="00E16197"/>
    <w:rsid w:val="00E16847"/>
    <w:rsid w:val="00E2785F"/>
    <w:rsid w:val="00E3189E"/>
    <w:rsid w:val="00E332B8"/>
    <w:rsid w:val="00E72BEA"/>
    <w:rsid w:val="00E77C87"/>
    <w:rsid w:val="00E80262"/>
    <w:rsid w:val="00E94BF2"/>
    <w:rsid w:val="00EA2DF4"/>
    <w:rsid w:val="00EA4BAB"/>
    <w:rsid w:val="00EB57BA"/>
    <w:rsid w:val="00EB57C3"/>
    <w:rsid w:val="00EC472B"/>
    <w:rsid w:val="00EC4733"/>
    <w:rsid w:val="00ED0AA2"/>
    <w:rsid w:val="00EE7DE5"/>
    <w:rsid w:val="00EF6890"/>
    <w:rsid w:val="00F109D1"/>
    <w:rsid w:val="00F348A7"/>
    <w:rsid w:val="00F40D58"/>
    <w:rsid w:val="00F415AA"/>
    <w:rsid w:val="00F45FFF"/>
    <w:rsid w:val="00F54ECD"/>
    <w:rsid w:val="00F5521E"/>
    <w:rsid w:val="00F7376C"/>
    <w:rsid w:val="00F7404B"/>
    <w:rsid w:val="00F80AAF"/>
    <w:rsid w:val="00F82AB6"/>
    <w:rsid w:val="00F83E07"/>
    <w:rsid w:val="00FB77BF"/>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52355"/>
    </o:shapedefaults>
    <o:shapelayout v:ext="edit">
      <o:idmap v:ext="edit" data="2"/>
    </o:shapelayout>
  </w:shapeDefaults>
  <w:decimalSymbol w:val="."/>
  <w:listSeparator w:val=","/>
  <w14:docId w14:val="6BC6F3CC"/>
  <w15:chartTrackingRefBased/>
  <w15:docId w15:val="{1153200A-4D85-4C03-8874-14154456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85"/>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ascii="Times New Roman" w:eastAsia="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ascii="CG Times" w:hAnsi="CG Times"/>
      <w:b/>
      <w:bCs/>
      <w:sz w:val="23"/>
      <w:szCs w:val="23"/>
    </w:rPr>
  </w:style>
  <w:style w:type="character" w:styleId="Strong">
    <w:name w:val="Strong"/>
    <w:qFormat/>
    <w:rsid w:val="005E1CC6"/>
    <w:rPr>
      <w:rFonts w:cs="Times New Roman"/>
      <w:b/>
      <w:bCs/>
    </w:rPr>
  </w:style>
  <w:style w:type="paragraph" w:styleId="DocumentMap">
    <w:name w:val="Document Map"/>
    <w:basedOn w:val="Normal"/>
    <w:semiHidden/>
    <w:rsid w:val="00D922FA"/>
    <w:pPr>
      <w:shd w:val="clear" w:color="auto" w:fill="000080"/>
    </w:pPr>
    <w:rPr>
      <w:rFonts w:ascii="Tahoma" w:hAnsi="Tahoma" w:cs="Tahoma"/>
      <w:sz w:val="20"/>
      <w:szCs w:val="20"/>
    </w:rPr>
  </w:style>
  <w:style w:type="paragraph" w:styleId="BalloonText">
    <w:name w:val="Balloon Text"/>
    <w:basedOn w:val="Normal"/>
    <w:semiHidden/>
    <w:rsid w:val="001D722C"/>
    <w:rPr>
      <w:rFonts w:ascii="Tahoma" w:hAnsi="Tahoma" w:cs="Tahoma"/>
      <w:sz w:val="16"/>
      <w:szCs w:val="16"/>
    </w:rPr>
  </w:style>
  <w:style w:type="character" w:styleId="UnresolvedMention">
    <w:name w:val="Unresolved Mention"/>
    <w:uiPriority w:val="99"/>
    <w:semiHidden/>
    <w:unhideWhenUsed/>
    <w:rsid w:val="00693C93"/>
    <w:rPr>
      <w:color w:val="605E5C"/>
      <w:shd w:val="clear" w:color="auto" w:fill="E1DFDD"/>
    </w:rPr>
  </w:style>
  <w:style w:type="character" w:styleId="CommentReference">
    <w:name w:val="annotation reference"/>
    <w:uiPriority w:val="99"/>
    <w:semiHidden/>
    <w:unhideWhenUsed/>
    <w:rsid w:val="00310C51"/>
    <w:rPr>
      <w:sz w:val="16"/>
      <w:szCs w:val="16"/>
    </w:rPr>
  </w:style>
  <w:style w:type="paragraph" w:styleId="CommentText">
    <w:name w:val="annotation text"/>
    <w:basedOn w:val="Normal"/>
    <w:link w:val="CommentTextChar"/>
    <w:uiPriority w:val="99"/>
    <w:unhideWhenUsed/>
    <w:rsid w:val="00310C51"/>
    <w:rPr>
      <w:sz w:val="20"/>
      <w:szCs w:val="20"/>
    </w:rPr>
  </w:style>
  <w:style w:type="character" w:customStyle="1" w:styleId="CommentTextChar">
    <w:name w:val="Comment Text Char"/>
    <w:basedOn w:val="DefaultParagraphFont"/>
    <w:link w:val="CommentText"/>
    <w:uiPriority w:val="99"/>
    <w:rsid w:val="00310C51"/>
  </w:style>
  <w:style w:type="paragraph" w:styleId="CommentSubject">
    <w:name w:val="annotation subject"/>
    <w:basedOn w:val="CommentText"/>
    <w:next w:val="CommentText"/>
    <w:link w:val="CommentSubjectChar"/>
    <w:uiPriority w:val="99"/>
    <w:semiHidden/>
    <w:unhideWhenUsed/>
    <w:rsid w:val="00310C51"/>
    <w:rPr>
      <w:b/>
      <w:bCs/>
    </w:rPr>
  </w:style>
  <w:style w:type="character" w:customStyle="1" w:styleId="CommentSubjectChar">
    <w:name w:val="Comment Subject Char"/>
    <w:link w:val="CommentSubject"/>
    <w:uiPriority w:val="99"/>
    <w:semiHidden/>
    <w:rsid w:val="00310C51"/>
    <w:rPr>
      <w:b/>
      <w:bCs/>
    </w:rPr>
  </w:style>
  <w:style w:type="paragraph" w:styleId="Revision">
    <w:name w:val="Revision"/>
    <w:hidden/>
    <w:uiPriority w:val="99"/>
    <w:semiHidden/>
    <w:rsid w:val="00664B4F"/>
    <w:rPr>
      <w:sz w:val="24"/>
      <w:szCs w:val="24"/>
    </w:rPr>
  </w:style>
  <w:style w:type="character" w:customStyle="1" w:styleId="cf01">
    <w:name w:val="cf01"/>
    <w:rsid w:val="00D8414C"/>
    <w:rPr>
      <w:rFonts w:ascii="Segoe UI" w:hAnsi="Segoe UI" w:cs="Segoe UI" w:hint="default"/>
      <w:sz w:val="18"/>
      <w:szCs w:val="18"/>
    </w:rPr>
  </w:style>
  <w:style w:type="character" w:styleId="FollowedHyperlink">
    <w:name w:val="FollowedHyperlink"/>
    <w:uiPriority w:val="99"/>
    <w:semiHidden/>
    <w:unhideWhenUsed/>
    <w:rsid w:val="00813F1C"/>
    <w:rPr>
      <w:color w:val="954F72"/>
      <w:u w:val="single"/>
    </w:rPr>
  </w:style>
  <w:style w:type="paragraph" w:styleId="EndnoteText">
    <w:name w:val="endnote text"/>
    <w:basedOn w:val="Normal"/>
    <w:link w:val="EndnoteTextChar"/>
    <w:uiPriority w:val="99"/>
    <w:semiHidden/>
    <w:unhideWhenUsed/>
    <w:rsid w:val="008B58C2"/>
    <w:rPr>
      <w:rFonts w:ascii="Calibri" w:eastAsia="Calibri" w:hAnsi="Calibri"/>
      <w:sz w:val="20"/>
      <w:szCs w:val="20"/>
    </w:rPr>
  </w:style>
  <w:style w:type="character" w:customStyle="1" w:styleId="EndnoteTextChar">
    <w:name w:val="Endnote Text Char"/>
    <w:link w:val="EndnoteText"/>
    <w:uiPriority w:val="99"/>
    <w:semiHidden/>
    <w:rsid w:val="008B58C2"/>
    <w:rPr>
      <w:rFonts w:ascii="Calibri" w:eastAsia="Calibri" w:hAnsi="Calibri"/>
    </w:rPr>
  </w:style>
  <w:style w:type="character" w:styleId="EndnoteReference">
    <w:name w:val="endnote reference"/>
    <w:uiPriority w:val="99"/>
    <w:semiHidden/>
    <w:unhideWhenUsed/>
    <w:rsid w:val="008B5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36">
      <w:bodyDiv w:val="1"/>
      <w:marLeft w:val="0"/>
      <w:marRight w:val="0"/>
      <w:marTop w:val="0"/>
      <w:marBottom w:val="0"/>
      <w:divBdr>
        <w:top w:val="none" w:sz="0" w:space="0" w:color="auto"/>
        <w:left w:val="none" w:sz="0" w:space="0" w:color="auto"/>
        <w:bottom w:val="none" w:sz="0" w:space="0" w:color="auto"/>
        <w:right w:val="none" w:sz="0" w:space="0" w:color="auto"/>
      </w:divBdr>
    </w:div>
    <w:div w:id="324165862">
      <w:bodyDiv w:val="1"/>
      <w:marLeft w:val="0"/>
      <w:marRight w:val="0"/>
      <w:marTop w:val="0"/>
      <w:marBottom w:val="0"/>
      <w:divBdr>
        <w:top w:val="none" w:sz="0" w:space="0" w:color="auto"/>
        <w:left w:val="none" w:sz="0" w:space="0" w:color="auto"/>
        <w:bottom w:val="none" w:sz="0" w:space="0" w:color="auto"/>
        <w:right w:val="none" w:sz="0" w:space="0" w:color="auto"/>
      </w:divBdr>
    </w:div>
    <w:div w:id="325326855">
      <w:bodyDiv w:val="1"/>
      <w:marLeft w:val="0"/>
      <w:marRight w:val="0"/>
      <w:marTop w:val="0"/>
      <w:marBottom w:val="0"/>
      <w:divBdr>
        <w:top w:val="none" w:sz="0" w:space="0" w:color="auto"/>
        <w:left w:val="none" w:sz="0" w:space="0" w:color="auto"/>
        <w:bottom w:val="none" w:sz="0" w:space="0" w:color="auto"/>
        <w:right w:val="none" w:sz="0" w:space="0" w:color="auto"/>
      </w:divBdr>
    </w:div>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448085000">
      <w:bodyDiv w:val="1"/>
      <w:marLeft w:val="0"/>
      <w:marRight w:val="0"/>
      <w:marTop w:val="0"/>
      <w:marBottom w:val="0"/>
      <w:divBdr>
        <w:top w:val="none" w:sz="0" w:space="0" w:color="auto"/>
        <w:left w:val="none" w:sz="0" w:space="0" w:color="auto"/>
        <w:bottom w:val="none" w:sz="0" w:space="0" w:color="auto"/>
        <w:right w:val="none" w:sz="0" w:space="0" w:color="auto"/>
      </w:divBdr>
    </w:div>
    <w:div w:id="689842128">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382749233">
      <w:bodyDiv w:val="1"/>
      <w:marLeft w:val="0"/>
      <w:marRight w:val="0"/>
      <w:marTop w:val="0"/>
      <w:marBottom w:val="0"/>
      <w:divBdr>
        <w:top w:val="none" w:sz="0" w:space="0" w:color="auto"/>
        <w:left w:val="none" w:sz="0" w:space="0" w:color="auto"/>
        <w:bottom w:val="none" w:sz="0" w:space="0" w:color="auto"/>
        <w:right w:val="none" w:sz="0" w:space="0" w:color="auto"/>
      </w:divBdr>
    </w:div>
    <w:div w:id="1401294821">
      <w:bodyDiv w:val="1"/>
      <w:marLeft w:val="0"/>
      <w:marRight w:val="0"/>
      <w:marTop w:val="0"/>
      <w:marBottom w:val="0"/>
      <w:divBdr>
        <w:top w:val="none" w:sz="0" w:space="0" w:color="auto"/>
        <w:left w:val="none" w:sz="0" w:space="0" w:color="auto"/>
        <w:bottom w:val="none" w:sz="0" w:space="0" w:color="auto"/>
        <w:right w:val="none" w:sz="0" w:space="0" w:color="auto"/>
      </w:divBdr>
    </w:div>
    <w:div w:id="1483428296">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597983480">
      <w:bodyDiv w:val="1"/>
      <w:marLeft w:val="0"/>
      <w:marRight w:val="0"/>
      <w:marTop w:val="0"/>
      <w:marBottom w:val="0"/>
      <w:divBdr>
        <w:top w:val="none" w:sz="0" w:space="0" w:color="auto"/>
        <w:left w:val="none" w:sz="0" w:space="0" w:color="auto"/>
        <w:bottom w:val="none" w:sz="0" w:space="0" w:color="auto"/>
        <w:right w:val="none" w:sz="0" w:space="0" w:color="auto"/>
      </w:divBdr>
    </w:div>
    <w:div w:id="1815753634">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mmwr/volumes/69/rr/rr6902a1.htm" TargetMode="External"/><Relationship Id="rId18" Type="http://schemas.openxmlformats.org/officeDocument/2006/relationships/hyperlink" Target="https://www.mass.gov/info-details/enhancing-hepatitis-c-testing-and-treatment-for-young-injection-drug-us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hcvguidelines.org" TargetMode="External"/><Relationship Id="rId2" Type="http://schemas.openxmlformats.org/officeDocument/2006/relationships/customXml" Target="../customXml/item2.xml"/><Relationship Id="rId16" Type="http://schemas.openxmlformats.org/officeDocument/2006/relationships/hyperlink" Target="https://www.cdc.gov/mmwr/volumes/72/wr/mm7228a2.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dc.gov/hepatitis/hcv/pdfs/hcv_flow.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mmwr/volumes/69/rr/rr6902a1.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5" ma:contentTypeDescription="Create a new document." ma:contentTypeScope="" ma:versionID="d3a18929cf64ecef4375e587bb7f83fc">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e1bec69a0c15a00fc885ce11f22baf65"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4A071-65C2-41C2-AF3C-FF06E68894CC}">
  <ds:schemaRefs>
    <ds:schemaRef ds:uri="http://schemas.microsoft.com/sharepoint/v3/contenttype/forms"/>
  </ds:schemaRefs>
</ds:datastoreItem>
</file>

<file path=customXml/itemProps2.xml><?xml version="1.0" encoding="utf-8"?>
<ds:datastoreItem xmlns:ds="http://schemas.openxmlformats.org/officeDocument/2006/customXml" ds:itemID="{1BE1AAE9-AB02-4DE2-83F7-EFE35311D4E9}">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0EBC44B5-A87B-45DA-A385-AA89C3541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April 2014 | Page 1 of 3</vt:lpstr>
    </vt:vector>
  </TitlesOfParts>
  <Company>Massachusetts Department of Public Health</Company>
  <LinksUpToDate>false</LinksUpToDate>
  <CharactersWithSpaces>4799</CharactersWithSpaces>
  <SharedDoc>false</SharedDoc>
  <HLinks>
    <vt:vector size="36" baseType="variant">
      <vt:variant>
        <vt:i4>786435</vt:i4>
      </vt:variant>
      <vt:variant>
        <vt:i4>21</vt:i4>
      </vt:variant>
      <vt:variant>
        <vt:i4>0</vt:i4>
      </vt:variant>
      <vt:variant>
        <vt:i4>5</vt:i4>
      </vt:variant>
      <vt:variant>
        <vt:lpwstr>https://www.mass.gov/info-details/enhancing-hepatitis-c-testing-and-treatment-for-young-injection-drug-users</vt:lpwstr>
      </vt:variant>
      <vt:variant>
        <vt:lpwstr/>
      </vt:variant>
      <vt:variant>
        <vt:i4>4128822</vt:i4>
      </vt:variant>
      <vt:variant>
        <vt:i4>18</vt:i4>
      </vt:variant>
      <vt:variant>
        <vt:i4>0</vt:i4>
      </vt:variant>
      <vt:variant>
        <vt:i4>5</vt:i4>
      </vt:variant>
      <vt:variant>
        <vt:lpwstr>https://www.hcvguidelines.org/</vt:lpwstr>
      </vt:variant>
      <vt:variant>
        <vt:lpwstr/>
      </vt:variant>
      <vt:variant>
        <vt:i4>6291555</vt:i4>
      </vt:variant>
      <vt:variant>
        <vt:i4>15</vt:i4>
      </vt:variant>
      <vt:variant>
        <vt:i4>0</vt:i4>
      </vt:variant>
      <vt:variant>
        <vt:i4>5</vt:i4>
      </vt:variant>
      <vt:variant>
        <vt:lpwstr>https://www.cdc.gov/mmwr/volumes/72/wr/mm7228a2.htm</vt:lpwstr>
      </vt:variant>
      <vt:variant>
        <vt:lpwstr/>
      </vt:variant>
      <vt:variant>
        <vt:i4>7274570</vt:i4>
      </vt:variant>
      <vt:variant>
        <vt:i4>12</vt:i4>
      </vt:variant>
      <vt:variant>
        <vt:i4>0</vt:i4>
      </vt:variant>
      <vt:variant>
        <vt:i4>5</vt:i4>
      </vt:variant>
      <vt:variant>
        <vt:lpwstr>https://www.cdc.gov/hepatitis/hcv/pdfs/hcv_flow.pdf</vt:lpwstr>
      </vt:variant>
      <vt:variant>
        <vt:lpwstr/>
      </vt:variant>
      <vt:variant>
        <vt:i4>6225954</vt:i4>
      </vt:variant>
      <vt:variant>
        <vt:i4>9</vt:i4>
      </vt:variant>
      <vt:variant>
        <vt:i4>0</vt:i4>
      </vt:variant>
      <vt:variant>
        <vt:i4>5</vt:i4>
      </vt:variant>
      <vt:variant>
        <vt:lpwstr>https://www.cdc.gov/mmwr/volumes/69/rr/rr6902a1.htm</vt:lpwstr>
      </vt:variant>
      <vt:variant>
        <vt:lpwstr>B1_down</vt:lpwstr>
      </vt:variant>
      <vt:variant>
        <vt:i4>6225954</vt:i4>
      </vt:variant>
      <vt:variant>
        <vt:i4>6</vt:i4>
      </vt:variant>
      <vt:variant>
        <vt:i4>0</vt:i4>
      </vt:variant>
      <vt:variant>
        <vt:i4>5</vt:i4>
      </vt:variant>
      <vt:variant>
        <vt:lpwstr>https://www.cdc.gov/mmwr/volumes/69/rr/rr6902a1.htm</vt:lpwstr>
      </vt:variant>
      <vt:variant>
        <vt:lpwstr>B1_down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C Virus (HCV) Testing and Treatment in Massachusetts:</dc:title>
  <dc:subject/>
  <dc:creator>Sheila Erimez;MDPH</dc:creator>
  <cp:keywords/>
  <cp:lastModifiedBy>Yeaple, Jennifer (DPH)</cp:lastModifiedBy>
  <cp:revision>2</cp:revision>
  <cp:lastPrinted>2015-03-13T18:42:00Z</cp:lastPrinted>
  <dcterms:created xsi:type="dcterms:W3CDTF">2023-09-18T21:10:00Z</dcterms:created>
  <dcterms:modified xsi:type="dcterms:W3CDTF">2023-09-18T21:10:00Z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