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B584" w14:textId="06FC7E4C" w:rsidR="00816E4D" w:rsidRDefault="008E646A" w:rsidP="008E646A">
      <w:pPr>
        <w:spacing w:after="0"/>
      </w:pPr>
      <w:r>
        <w:t xml:space="preserve">The Commonwealth of Massachusetts continues to take steps to ensure access to COVID-19 at-home rapid antigen test kits, which are a critical tool to mitigate transmission of </w:t>
      </w:r>
      <w:r w:rsidR="00182A31">
        <w:t>COVID-19</w:t>
      </w:r>
      <w:r>
        <w:t xml:space="preserve">. As demand </w:t>
      </w:r>
      <w:r w:rsidR="0021218F">
        <w:t xml:space="preserve">for these test kits </w:t>
      </w:r>
      <w:r>
        <w:t xml:space="preserve">remains high across the country, the Operational Services Division (OSD) is sharing this update to ensure </w:t>
      </w:r>
      <w:r w:rsidR="00261EBD">
        <w:t>that buyers such as municipalities, educational institutions, and other entities</w:t>
      </w:r>
      <w:r>
        <w:t xml:space="preserve"> understand </w:t>
      </w:r>
      <w:r w:rsidR="00261EBD">
        <w:t>all options</w:t>
      </w:r>
      <w:r>
        <w:t xml:space="preserve"> available to them.</w:t>
      </w:r>
      <w:r w:rsidR="00261EBD">
        <w:t xml:space="preserve"> </w:t>
      </w:r>
      <w:r w:rsidR="007E6C5C">
        <w:t>This guidance is for these entities looking to purchase rapid test kits for distribution to their constituents, not individuals looking to purchase test kits.</w:t>
      </w:r>
    </w:p>
    <w:p w14:paraId="1DD9D75F" w14:textId="49281780" w:rsidR="008E646A" w:rsidRDefault="008E646A" w:rsidP="008E646A">
      <w:pPr>
        <w:spacing w:after="0"/>
      </w:pPr>
    </w:p>
    <w:p w14:paraId="221A67FD" w14:textId="080F27F8" w:rsidR="008E646A" w:rsidRDefault="008E646A" w:rsidP="008E646A">
      <w:pPr>
        <w:spacing w:after="0"/>
      </w:pPr>
      <w:r>
        <w:t xml:space="preserve">On December 13, 2021, the Baker-Polito Administration </w:t>
      </w:r>
      <w:hyperlink r:id="rId5" w:history="1">
        <w:r w:rsidRPr="00182A31">
          <w:rPr>
            <w:rStyle w:val="Hyperlink"/>
          </w:rPr>
          <w:t>announced</w:t>
        </w:r>
      </w:hyperlink>
      <w:r>
        <w:t xml:space="preserve"> that it </w:t>
      </w:r>
      <w:r w:rsidRPr="008E646A">
        <w:t xml:space="preserve">secured 2.1 million iHealth Labs over-the-counter at-home rapid antigen tests that </w:t>
      </w:r>
      <w:r>
        <w:t>were</w:t>
      </w:r>
      <w:r w:rsidRPr="008E646A">
        <w:t xml:space="preserve"> delivered to 102 </w:t>
      </w:r>
      <w:r>
        <w:t>cities and towns</w:t>
      </w:r>
      <w:r w:rsidRPr="008E646A">
        <w:t xml:space="preserve"> </w:t>
      </w:r>
      <w:r w:rsidR="00182A31">
        <w:t xml:space="preserve">in Massachusetts </w:t>
      </w:r>
      <w:r w:rsidRPr="008E646A">
        <w:t>with the highest percentage of families below the poverty level</w:t>
      </w:r>
      <w:r w:rsidR="00182A31">
        <w:t>, according to US Census data</w:t>
      </w:r>
      <w:r w:rsidRPr="008E646A">
        <w:t>.</w:t>
      </w:r>
      <w:r>
        <w:t xml:space="preserve"> These kits were delivered to those communities free of charge, as part of a focus on </w:t>
      </w:r>
      <w:r w:rsidRPr="008E646A">
        <w:t>increasing access for individuals and families who are facing financial hardship</w:t>
      </w:r>
      <w:r>
        <w:t>.</w:t>
      </w:r>
    </w:p>
    <w:p w14:paraId="2A03CD46" w14:textId="7BFD5BA6" w:rsidR="008E646A" w:rsidRDefault="008E646A" w:rsidP="008E646A">
      <w:pPr>
        <w:spacing w:after="0"/>
      </w:pPr>
    </w:p>
    <w:p w14:paraId="41B1DF66" w14:textId="35F12BC8" w:rsidR="008E646A" w:rsidRDefault="008E646A" w:rsidP="008E646A">
      <w:pPr>
        <w:spacing w:after="0"/>
      </w:pPr>
      <w:r>
        <w:t xml:space="preserve">In addition to that one-time distribution, OSD </w:t>
      </w:r>
      <w:r w:rsidR="00841B9C">
        <w:t>also</w:t>
      </w:r>
      <w:r w:rsidR="00C32461">
        <w:t xml:space="preserve"> is</w:t>
      </w:r>
      <w:r w:rsidR="00841B9C">
        <w:t xml:space="preserve"> making </w:t>
      </w:r>
      <w:r w:rsidR="00476945">
        <w:t>buyers</w:t>
      </w:r>
      <w:r w:rsidR="00841B9C">
        <w:t xml:space="preserve"> aware of several other options to purchase these test kits for distribution to their constituents</w:t>
      </w:r>
      <w:r w:rsidR="00476945">
        <w:t xml:space="preserve">. Municipalities are eligible to utilize </w:t>
      </w:r>
      <w:r w:rsidR="002A18F8">
        <w:t xml:space="preserve">available </w:t>
      </w:r>
      <w:r w:rsidR="00476945">
        <w:t>American Rescue Plan Act (ARPA) funds to purchase these test kits. Given the high demand across the country, and the level of interest from a wide range of entities</w:t>
      </w:r>
      <w:r w:rsidR="002B7245">
        <w:t xml:space="preserve"> </w:t>
      </w:r>
      <w:r w:rsidR="00476945">
        <w:t xml:space="preserve">in purchasing these test kits, </w:t>
      </w:r>
      <w:r w:rsidR="00ED3D6B">
        <w:t>OSD recommends that buyers review their options and take steps toward making orders should they be interested in purchasing these products.</w:t>
      </w:r>
    </w:p>
    <w:p w14:paraId="13B64BE8" w14:textId="538ACD76" w:rsidR="00841B9C" w:rsidRDefault="00841B9C" w:rsidP="008E646A">
      <w:pPr>
        <w:spacing w:after="0"/>
      </w:pPr>
    </w:p>
    <w:p w14:paraId="0EF8FAF7" w14:textId="3A1C180A" w:rsidR="00841B9C" w:rsidRDefault="00841B9C" w:rsidP="008E646A">
      <w:pPr>
        <w:spacing w:after="0"/>
        <w:rPr>
          <w:b/>
          <w:bCs/>
        </w:rPr>
      </w:pPr>
      <w:r w:rsidRPr="00841B9C">
        <w:rPr>
          <w:b/>
          <w:bCs/>
        </w:rPr>
        <w:t>COVID-19 Rapid Test Kits Available Direct from Manufacturer</w:t>
      </w:r>
      <w:r w:rsidR="00261EBD">
        <w:rPr>
          <w:b/>
          <w:bCs/>
        </w:rPr>
        <w:t>s</w:t>
      </w:r>
    </w:p>
    <w:p w14:paraId="62D2F8D2" w14:textId="77777777" w:rsidR="00ED3D6B" w:rsidRPr="00841B9C" w:rsidRDefault="00ED3D6B" w:rsidP="008E646A">
      <w:pPr>
        <w:spacing w:after="0"/>
        <w:rPr>
          <w:b/>
          <w:bCs/>
        </w:rPr>
      </w:pPr>
    </w:p>
    <w:p w14:paraId="1D5C4C2B" w14:textId="33D1A134" w:rsidR="008E646A" w:rsidRDefault="00261EBD" w:rsidP="008E646A">
      <w:pPr>
        <w:spacing w:after="0"/>
      </w:pPr>
      <w:r>
        <w:t xml:space="preserve">The Commonwealth has been soliciting </w:t>
      </w:r>
      <w:r w:rsidRPr="00261EBD">
        <w:t>bids for COVID-19 at-home rapid antigen test kits directly from manufacturers through the newly established HSP41 Category 10 Statewide Contract</w:t>
      </w:r>
      <w:r>
        <w:t xml:space="preserve"> (SWC)</w:t>
      </w:r>
      <w:r w:rsidRPr="00261EBD">
        <w:t xml:space="preserve">. According to the </w:t>
      </w:r>
      <w:r w:rsidR="00476945">
        <w:t>b</w:t>
      </w:r>
      <w:r w:rsidRPr="00261EBD">
        <w:t xml:space="preserve">id </w:t>
      </w:r>
      <w:r w:rsidR="00476945">
        <w:t>s</w:t>
      </w:r>
      <w:r w:rsidRPr="00261EBD">
        <w:t>olicitation, all test</w:t>
      </w:r>
      <w:r w:rsidR="00476945">
        <w:t xml:space="preserve"> kits</w:t>
      </w:r>
      <w:r w:rsidRPr="00261EBD">
        <w:t xml:space="preserve"> offered through this contract must have an Emergency Use Authorization (EUA) from the U.S. Food and Drug Administration (FDA) and be approved for non-prescription, at-home use.</w:t>
      </w:r>
    </w:p>
    <w:p w14:paraId="763428D1" w14:textId="0B75ED18" w:rsidR="00261EBD" w:rsidRDefault="00261EBD" w:rsidP="008E646A">
      <w:pPr>
        <w:spacing w:after="0"/>
      </w:pPr>
    </w:p>
    <w:p w14:paraId="4D8BA33D" w14:textId="30B00217" w:rsidR="007D46F1" w:rsidRDefault="00261EBD" w:rsidP="00C050EA">
      <w:pPr>
        <w:spacing w:after="0"/>
      </w:pPr>
      <w:r>
        <w:t>As of this week, three manufacturers have been added to this new SWC category:</w:t>
      </w:r>
      <w:r w:rsidR="00620D1E" w:rsidRPr="00620D1E">
        <w:t xml:space="preserve"> </w:t>
      </w:r>
      <w:proofErr w:type="spellStart"/>
      <w:r w:rsidR="009C3FD3">
        <w:t>Ellume</w:t>
      </w:r>
      <w:proofErr w:type="spellEnd"/>
      <w:r w:rsidR="009C3FD3">
        <w:t xml:space="preserve"> USA LLC</w:t>
      </w:r>
      <w:r w:rsidR="000B4566">
        <w:t>,</w:t>
      </w:r>
      <w:r w:rsidR="00C050EA">
        <w:t xml:space="preserve"> </w:t>
      </w:r>
      <w:proofErr w:type="spellStart"/>
      <w:r w:rsidR="009C3FD3">
        <w:t>iHealth</w:t>
      </w:r>
      <w:proofErr w:type="spellEnd"/>
      <w:r w:rsidR="009C3FD3">
        <w:t xml:space="preserve"> Labs, Inc.</w:t>
      </w:r>
      <w:r w:rsidR="00C050EA">
        <w:t xml:space="preserve">, and </w:t>
      </w:r>
      <w:proofErr w:type="spellStart"/>
      <w:r w:rsidR="00C050EA" w:rsidRPr="00C050EA">
        <w:t>Intrivo</w:t>
      </w:r>
      <w:proofErr w:type="spellEnd"/>
      <w:r w:rsidR="00C050EA" w:rsidRPr="00C050EA">
        <w:t xml:space="preserve"> </w:t>
      </w:r>
      <w:r w:rsidR="009C3FD3">
        <w:t>Diagnostics</w:t>
      </w:r>
      <w:r w:rsidR="003017C1">
        <w:t>, Inc.</w:t>
      </w:r>
      <w:r w:rsidR="00C050EA">
        <w:t>.</w:t>
      </w:r>
      <w:r w:rsidR="007D46F1">
        <w:br/>
      </w:r>
    </w:p>
    <w:p w14:paraId="206B1F5E" w14:textId="134B8842" w:rsidR="00411F18" w:rsidRDefault="00620D1E" w:rsidP="00C050EA">
      <w:r w:rsidRPr="00620D1E">
        <w:t>Additional manufacturers are expected to be added to this contract category through the bid posting/rolling enrollment period, which closes in March 2022.</w:t>
      </w:r>
      <w:r w:rsidR="00261EBD">
        <w:t xml:space="preserve"> </w:t>
      </w:r>
      <w:r w:rsidR="00127A7D">
        <w:t>Based on manufacturer requirements, including minimum order requirements, this option may not work for all buyers.</w:t>
      </w:r>
    </w:p>
    <w:p w14:paraId="7092A406" w14:textId="44AB6B65" w:rsidR="00C050EA" w:rsidRDefault="00C050EA" w:rsidP="008E646A">
      <w:pPr>
        <w:spacing w:after="0"/>
      </w:pPr>
    </w:p>
    <w:p w14:paraId="7F43ED36" w14:textId="563517E3" w:rsidR="00C050EA" w:rsidRDefault="00C050EA" w:rsidP="008E646A">
      <w:pPr>
        <w:spacing w:after="0"/>
      </w:pPr>
      <w:r w:rsidRPr="00500442">
        <w:rPr>
          <w:b/>
          <w:bCs/>
          <w:u w:val="single"/>
        </w:rPr>
        <w:t xml:space="preserve">Click here to access the </w:t>
      </w:r>
      <w:hyperlink r:id="rId6" w:history="1">
        <w:r w:rsidRPr="00500442">
          <w:rPr>
            <w:rStyle w:val="Hyperlink"/>
            <w:b/>
            <w:bCs/>
          </w:rPr>
          <w:t xml:space="preserve">Contract User </w:t>
        </w:r>
        <w:r w:rsidR="00F86DCD" w:rsidRPr="00500442">
          <w:rPr>
            <w:rStyle w:val="Hyperlink"/>
            <w:b/>
            <w:bCs/>
          </w:rPr>
          <w:t>Guide</w:t>
        </w:r>
      </w:hyperlink>
      <w:r w:rsidRPr="009407A4">
        <w:t>.</w:t>
      </w:r>
      <w:r>
        <w:br/>
      </w:r>
    </w:p>
    <w:p w14:paraId="7C0C6C66" w14:textId="1EE0CB7D" w:rsidR="00C050EA" w:rsidRDefault="00C050EA" w:rsidP="008E646A">
      <w:pPr>
        <w:spacing w:after="0"/>
      </w:pPr>
      <w:r>
        <w:t>Use the links below to begin the ordering process for each contract:</w:t>
      </w:r>
    </w:p>
    <w:bookmarkStart w:id="0" w:name="_Hlk91669979"/>
    <w:p w14:paraId="4DE0FA5F" w14:textId="040B4FB1" w:rsidR="00C050EA" w:rsidRPr="009407A4" w:rsidRDefault="000B4566" w:rsidP="00C050EA">
      <w:pPr>
        <w:pStyle w:val="ListParagraph"/>
        <w:numPr>
          <w:ilvl w:val="0"/>
          <w:numId w:val="4"/>
        </w:numPr>
        <w:rPr>
          <w:u w:val="single"/>
        </w:rPr>
      </w:pPr>
      <w:r w:rsidRPr="009407A4">
        <w:rPr>
          <w:u w:val="single"/>
        </w:rPr>
        <w:fldChar w:fldCharType="begin"/>
      </w:r>
      <w:r w:rsidR="00465F6A" w:rsidRPr="009407A4">
        <w:rPr>
          <w:u w:val="single"/>
        </w:rPr>
        <w:instrText>HYPERLINK "https://www.commbuys.com/bso/external/purchaseorder/poSummary.sdo?docId=PO-22-1080-OSD03-SRC01-24081&amp;releaseNbr=0&amp;external=true&amp;parentUrl=close"</w:instrText>
      </w:r>
      <w:r w:rsidRPr="009407A4">
        <w:rPr>
          <w:u w:val="single"/>
        </w:rPr>
        <w:fldChar w:fldCharType="separate"/>
      </w:r>
      <w:proofErr w:type="spellStart"/>
      <w:r w:rsidR="00C050EA" w:rsidRPr="009407A4">
        <w:rPr>
          <w:rStyle w:val="Hyperlink"/>
        </w:rPr>
        <w:t>Ellume</w:t>
      </w:r>
      <w:proofErr w:type="spellEnd"/>
      <w:r w:rsidR="00C050EA" w:rsidRPr="009407A4">
        <w:rPr>
          <w:rStyle w:val="Hyperlink"/>
        </w:rPr>
        <w:t xml:space="preserve"> USA LLC</w:t>
      </w:r>
      <w:r w:rsidRPr="009407A4">
        <w:rPr>
          <w:u w:val="single"/>
        </w:rPr>
        <w:fldChar w:fldCharType="end"/>
      </w:r>
      <w:r w:rsidR="00F86DCD" w:rsidRPr="009407A4">
        <w:rPr>
          <w:u w:val="single"/>
        </w:rPr>
        <w:t xml:space="preserve"> </w:t>
      </w:r>
    </w:p>
    <w:p w14:paraId="2DF7B79B" w14:textId="5FA5CABC" w:rsidR="00C050EA" w:rsidRPr="009407A4" w:rsidRDefault="00465F6A" w:rsidP="00C050EA">
      <w:pPr>
        <w:pStyle w:val="ListParagraph"/>
        <w:numPr>
          <w:ilvl w:val="0"/>
          <w:numId w:val="4"/>
        </w:numPr>
        <w:rPr>
          <w:rStyle w:val="Hyperlink"/>
        </w:rPr>
      </w:pPr>
      <w:r w:rsidRPr="009407A4">
        <w:rPr>
          <w:u w:val="single"/>
        </w:rPr>
        <w:fldChar w:fldCharType="begin"/>
      </w:r>
      <w:r w:rsidRPr="009407A4">
        <w:rPr>
          <w:u w:val="single"/>
        </w:rPr>
        <w:instrText xml:space="preserve"> HYPERLINK "https://www.commbuys.com/bso/external/purchaseorder/poSummary.sdo?docId=PO-22-1080-OSD03-SRC01-24080&amp;releaseNbr=0&amp;external=true&amp;parentUrl=close" </w:instrText>
      </w:r>
      <w:r w:rsidRPr="009407A4">
        <w:rPr>
          <w:u w:val="single"/>
        </w:rPr>
        <w:fldChar w:fldCharType="separate"/>
      </w:r>
      <w:proofErr w:type="spellStart"/>
      <w:r w:rsidR="00C050EA" w:rsidRPr="009407A4">
        <w:rPr>
          <w:rStyle w:val="Hyperlink"/>
        </w:rPr>
        <w:t>iHealth</w:t>
      </w:r>
      <w:proofErr w:type="spellEnd"/>
      <w:r w:rsidR="00C050EA" w:rsidRPr="009407A4">
        <w:rPr>
          <w:rStyle w:val="Hyperlink"/>
        </w:rPr>
        <w:t xml:space="preserve"> Labs, Inc.</w:t>
      </w:r>
    </w:p>
    <w:p w14:paraId="30EB4C75" w14:textId="5E011042" w:rsidR="00C050EA" w:rsidRPr="009407A4" w:rsidRDefault="00465F6A" w:rsidP="00C050EA">
      <w:pPr>
        <w:pStyle w:val="ListParagraph"/>
        <w:numPr>
          <w:ilvl w:val="0"/>
          <w:numId w:val="4"/>
        </w:numPr>
        <w:rPr>
          <w:u w:val="single"/>
        </w:rPr>
      </w:pPr>
      <w:r w:rsidRPr="009407A4">
        <w:rPr>
          <w:u w:val="single"/>
        </w:rPr>
        <w:fldChar w:fldCharType="end"/>
      </w:r>
      <w:hyperlink r:id="rId7" w:history="1">
        <w:proofErr w:type="spellStart"/>
        <w:r w:rsidR="00C050EA" w:rsidRPr="009407A4">
          <w:rPr>
            <w:rStyle w:val="Hyperlink"/>
          </w:rPr>
          <w:t>Intrivo</w:t>
        </w:r>
        <w:proofErr w:type="spellEnd"/>
        <w:r w:rsidR="00C050EA" w:rsidRPr="009407A4">
          <w:rPr>
            <w:rStyle w:val="Hyperlink"/>
          </w:rPr>
          <w:t xml:space="preserve"> Diagnostics</w:t>
        </w:r>
      </w:hyperlink>
    </w:p>
    <w:bookmarkEnd w:id="0"/>
    <w:p w14:paraId="360F7E88" w14:textId="58309AA0" w:rsidR="00261EBD" w:rsidRDefault="00261EBD" w:rsidP="008E646A">
      <w:pPr>
        <w:spacing w:after="0"/>
      </w:pPr>
    </w:p>
    <w:p w14:paraId="5BA8C9B6" w14:textId="35CA54DA" w:rsidR="00476945" w:rsidRPr="00476945" w:rsidRDefault="00476945" w:rsidP="008E646A">
      <w:pPr>
        <w:spacing w:after="0"/>
        <w:rPr>
          <w:b/>
          <w:bCs/>
        </w:rPr>
      </w:pPr>
      <w:r w:rsidRPr="00476945">
        <w:rPr>
          <w:b/>
          <w:bCs/>
        </w:rPr>
        <w:t>COVID-19 Rapid Test Kits Available from Distributors</w:t>
      </w:r>
    </w:p>
    <w:p w14:paraId="2E25F747" w14:textId="77777777" w:rsidR="00476945" w:rsidRDefault="00476945" w:rsidP="008E646A">
      <w:pPr>
        <w:spacing w:after="0"/>
      </w:pPr>
    </w:p>
    <w:p w14:paraId="17160F38" w14:textId="231FD6CC" w:rsidR="00476945" w:rsidRDefault="00476945" w:rsidP="00476945">
      <w:pPr>
        <w:spacing w:after="0" w:line="240" w:lineRule="auto"/>
      </w:pPr>
      <w:r>
        <w:lastRenderedPageBreak/>
        <w:t xml:space="preserve">To help meet immediate needs, there also are distributors on existing </w:t>
      </w:r>
      <w:r w:rsidR="00411F18">
        <w:t>s</w:t>
      </w:r>
      <w:r>
        <w:t xml:space="preserve">tatewide </w:t>
      </w:r>
      <w:r w:rsidR="00411F18">
        <w:t>c</w:t>
      </w:r>
      <w:r>
        <w:t xml:space="preserve">ontracts that offer COVID-19 at-home rapid antigen test kits. Combined, these contracts feature multiple vendors/distributors who are ready to serve your needs: </w:t>
      </w:r>
    </w:p>
    <w:p w14:paraId="44528905" w14:textId="3F1A63CB" w:rsidR="00476945" w:rsidRDefault="00476945" w:rsidP="00476945">
      <w:pPr>
        <w:spacing w:after="0" w:line="240" w:lineRule="auto"/>
      </w:pPr>
    </w:p>
    <w:p w14:paraId="4514A677" w14:textId="77777777" w:rsidR="00F86DCD" w:rsidRDefault="00D401EA" w:rsidP="007D46F1">
      <w:hyperlink r:id="rId8" w:history="1">
        <w:r w:rsidR="00620D1E" w:rsidRPr="00B97735">
          <w:rPr>
            <w:rStyle w:val="Hyperlink"/>
          </w:rPr>
          <w:t>HSP40</w:t>
        </w:r>
      </w:hyperlink>
      <w:r w:rsidR="00620D1E">
        <w:t xml:space="preserve"> –</w:t>
      </w:r>
      <w:r w:rsidR="00620D1E" w:rsidRPr="00B97735">
        <w:t xml:space="preserve"> Medical Commodities</w:t>
      </w:r>
      <w:r w:rsidR="00A554FF">
        <w:t xml:space="preserve">, </w:t>
      </w:r>
      <w:r w:rsidR="00620D1E">
        <w:t>Direct purchase from one distributor/vendor</w:t>
      </w:r>
      <w:r w:rsidR="00A554FF">
        <w:t>:</w:t>
      </w:r>
    </w:p>
    <w:p w14:paraId="3C3C67DC" w14:textId="43F0F9CC" w:rsidR="007D46F1" w:rsidRDefault="00620D1E" w:rsidP="00F86DCD">
      <w:pPr>
        <w:pStyle w:val="ListParagraph"/>
        <w:numPr>
          <w:ilvl w:val="0"/>
          <w:numId w:val="5"/>
        </w:numPr>
      </w:pPr>
      <w:r>
        <w:t>McKesson Medical-Surgical Minnesota Supply</w:t>
      </w:r>
    </w:p>
    <w:p w14:paraId="0EABF256" w14:textId="77777777" w:rsidR="00F86DCD" w:rsidRDefault="00F86DCD" w:rsidP="00465F6A">
      <w:pPr>
        <w:pStyle w:val="ListParagraph"/>
        <w:ind w:left="720" w:firstLine="0"/>
      </w:pPr>
    </w:p>
    <w:p w14:paraId="7356BB19" w14:textId="5EFA1D21" w:rsidR="00A554FF" w:rsidRDefault="00D401EA" w:rsidP="007D46F1">
      <w:hyperlink r:id="rId9" w:history="1">
        <w:r w:rsidR="00A554FF" w:rsidRPr="00793073">
          <w:rPr>
            <w:rStyle w:val="Hyperlink"/>
          </w:rPr>
          <w:t>HSP41</w:t>
        </w:r>
      </w:hyperlink>
      <w:r w:rsidR="00A554FF">
        <w:t xml:space="preserve"> – </w:t>
      </w:r>
      <w:r w:rsidR="00A554FF" w:rsidRPr="00B97735">
        <w:t>Laboratory Supplies &amp; Equipment</w:t>
      </w:r>
      <w:r w:rsidR="00A554FF">
        <w:t xml:space="preserve">, </w:t>
      </w:r>
      <w:r w:rsidR="00A554FF" w:rsidRPr="00B97735">
        <w:t>Category 3</w:t>
      </w:r>
      <w:r w:rsidR="00A554FF">
        <w:t xml:space="preserve">, </w:t>
      </w:r>
      <w:r w:rsidR="00A554FF" w:rsidRPr="00B97735">
        <w:t>Clinical Diagnostics Products &amp; Supplies</w:t>
      </w:r>
      <w:r w:rsidR="00A554FF">
        <w:t xml:space="preserve">, Direct purchase from two distributors/vendors: </w:t>
      </w:r>
    </w:p>
    <w:p w14:paraId="6EF3036A" w14:textId="77777777" w:rsidR="00A554FF" w:rsidRDefault="00620D1E" w:rsidP="00620D1E">
      <w:pPr>
        <w:pStyle w:val="ListParagraph"/>
        <w:numPr>
          <w:ilvl w:val="0"/>
          <w:numId w:val="3"/>
        </w:numPr>
      </w:pPr>
      <w:proofErr w:type="spellStart"/>
      <w:r>
        <w:t>TransMed</w:t>
      </w:r>
      <w:proofErr w:type="spellEnd"/>
      <w:r>
        <w:t xml:space="preserve"> USA</w:t>
      </w:r>
    </w:p>
    <w:p w14:paraId="26F55B08" w14:textId="29CF6E3D" w:rsidR="00431DC8" w:rsidRDefault="00620D1E" w:rsidP="00431DC8">
      <w:pPr>
        <w:pStyle w:val="ListParagraph"/>
        <w:numPr>
          <w:ilvl w:val="0"/>
          <w:numId w:val="3"/>
        </w:numPr>
      </w:pPr>
      <w:proofErr w:type="spellStart"/>
      <w:r>
        <w:t>Westnet</w:t>
      </w:r>
      <w:proofErr w:type="spellEnd"/>
      <w:r w:rsidR="00431DC8">
        <w:br/>
      </w:r>
    </w:p>
    <w:p w14:paraId="36937DF2" w14:textId="4271D261" w:rsidR="00A554FF" w:rsidRDefault="00D401EA" w:rsidP="00431DC8">
      <w:hyperlink r:id="rId10" w:history="1">
        <w:r w:rsidR="00A554FF" w:rsidRPr="00793073">
          <w:rPr>
            <w:rStyle w:val="Hyperlink"/>
          </w:rPr>
          <w:t>HLS06</w:t>
        </w:r>
      </w:hyperlink>
      <w:r w:rsidR="00A554FF">
        <w:t xml:space="preserve"> – </w:t>
      </w:r>
      <w:r w:rsidR="00A554FF" w:rsidRPr="00793073">
        <w:t>Homeland Security and Public Safety</w:t>
      </w:r>
      <w:r w:rsidR="00A554FF">
        <w:t>, Direct purchase from two distributors/vendors:</w:t>
      </w:r>
    </w:p>
    <w:p w14:paraId="30F7778F" w14:textId="77777777" w:rsidR="00A554FF" w:rsidRDefault="00620D1E" w:rsidP="00A554FF">
      <w:pPr>
        <w:pStyle w:val="ListParagraph"/>
        <w:numPr>
          <w:ilvl w:val="0"/>
          <w:numId w:val="3"/>
        </w:numPr>
      </w:pPr>
      <w:r>
        <w:t>Merrow Manufacturing, LLC</w:t>
      </w:r>
    </w:p>
    <w:p w14:paraId="321E64C9" w14:textId="6B10C169" w:rsidR="00620D1E" w:rsidRDefault="00620D1E" w:rsidP="00A554FF">
      <w:pPr>
        <w:pStyle w:val="ListParagraph"/>
        <w:numPr>
          <w:ilvl w:val="0"/>
          <w:numId w:val="3"/>
        </w:numPr>
      </w:pPr>
      <w:proofErr w:type="spellStart"/>
      <w:r>
        <w:t>Safeware</w:t>
      </w:r>
      <w:proofErr w:type="spellEnd"/>
      <w:r>
        <w:t>, Inc.</w:t>
      </w:r>
    </w:p>
    <w:p w14:paraId="71BDF149" w14:textId="77777777" w:rsidR="00476945" w:rsidRDefault="00476945" w:rsidP="00476945">
      <w:pPr>
        <w:pStyle w:val="BodyText"/>
      </w:pPr>
    </w:p>
    <w:p w14:paraId="3EFB47A3" w14:textId="5B86C82A" w:rsidR="00182A31" w:rsidRDefault="00182A31" w:rsidP="008E646A">
      <w:pPr>
        <w:spacing w:after="0"/>
      </w:pPr>
      <w:r>
        <w:t>These contracts make test kits available to buyers via distributors. Further details about how to take advantage of these contracts are laid out below.</w:t>
      </w:r>
    </w:p>
    <w:p w14:paraId="63426F9C" w14:textId="4A0483F3" w:rsidR="00261EBD" w:rsidRDefault="00261EBD" w:rsidP="00182A31">
      <w:pPr>
        <w:spacing w:after="0"/>
      </w:pPr>
    </w:p>
    <w:p w14:paraId="477755BC" w14:textId="12549F7E" w:rsidR="002B7245" w:rsidRDefault="00D401EA" w:rsidP="00465F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hyperlink r:id="rId11" w:history="1">
        <w:r w:rsidR="002B7245" w:rsidRPr="00465F6A">
          <w:rPr>
            <w:rStyle w:val="Hyperlink"/>
            <w:b/>
            <w:bCs/>
            <w:sz w:val="24"/>
            <w:szCs w:val="24"/>
          </w:rPr>
          <w:t xml:space="preserve">Click here to view to the </w:t>
        </w:r>
        <w:r w:rsidR="003F5FAF">
          <w:rPr>
            <w:rStyle w:val="Hyperlink"/>
            <w:b/>
            <w:bCs/>
            <w:sz w:val="24"/>
            <w:szCs w:val="24"/>
          </w:rPr>
          <w:t>R</w:t>
        </w:r>
        <w:r w:rsidR="002B7245" w:rsidRPr="00465F6A">
          <w:rPr>
            <w:rStyle w:val="Hyperlink"/>
            <w:b/>
            <w:bCs/>
            <w:sz w:val="24"/>
            <w:szCs w:val="24"/>
          </w:rPr>
          <w:t xml:space="preserve">esource </w:t>
        </w:r>
        <w:r w:rsidR="003F5FAF">
          <w:rPr>
            <w:rStyle w:val="Hyperlink"/>
            <w:b/>
            <w:bCs/>
            <w:sz w:val="24"/>
            <w:szCs w:val="24"/>
          </w:rPr>
          <w:t>G</w:t>
        </w:r>
        <w:r w:rsidR="002B7245" w:rsidRPr="00465F6A">
          <w:rPr>
            <w:rStyle w:val="Hyperlink"/>
            <w:b/>
            <w:bCs/>
            <w:sz w:val="24"/>
            <w:szCs w:val="24"/>
          </w:rPr>
          <w:t>uide</w:t>
        </w:r>
      </w:hyperlink>
      <w:r w:rsidR="002B7245" w:rsidRPr="00465F6A">
        <w:rPr>
          <w:b/>
          <w:bCs/>
          <w:sz w:val="24"/>
          <w:szCs w:val="24"/>
        </w:rPr>
        <w:t xml:space="preserve"> for manufacturer and distributor contact information, test name, pricing, and availability.</w:t>
      </w:r>
    </w:p>
    <w:p w14:paraId="6ED66486" w14:textId="4E2A15B0" w:rsidR="005771BF" w:rsidRPr="00465F6A" w:rsidRDefault="005771BF" w:rsidP="00465F6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 resources and information are available on the </w:t>
      </w:r>
      <w:hyperlink r:id="rId12" w:history="1">
        <w:r w:rsidRPr="005771BF">
          <w:rPr>
            <w:rStyle w:val="Hyperlink"/>
            <w:b/>
            <w:bCs/>
            <w:sz w:val="24"/>
            <w:szCs w:val="24"/>
          </w:rPr>
          <w:t>OSD pages on mass.gov</w:t>
        </w:r>
      </w:hyperlink>
    </w:p>
    <w:p w14:paraId="2A46EE13" w14:textId="77777777" w:rsidR="002B7245" w:rsidRDefault="002B7245" w:rsidP="00182A31">
      <w:pPr>
        <w:spacing w:after="0"/>
      </w:pPr>
    </w:p>
    <w:p w14:paraId="30F90552" w14:textId="77777777" w:rsidR="002A18F8" w:rsidRDefault="002A18F8" w:rsidP="002A18F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03F42"/>
          <w:sz w:val="18"/>
          <w:szCs w:val="18"/>
        </w:rPr>
      </w:pPr>
      <w:bookmarkStart w:id="1" w:name="_Hlk91673470"/>
      <w:r>
        <w:rPr>
          <w:rFonts w:ascii="Calibri" w:hAnsi="Calibri" w:cs="Calibri"/>
          <w:b/>
          <w:bCs/>
          <w:color w:val="403F42"/>
          <w:sz w:val="18"/>
          <w:szCs w:val="18"/>
        </w:rPr>
        <w:t>Upcoming Webinar!</w:t>
      </w:r>
    </w:p>
    <w:p w14:paraId="5C4DEFFB" w14:textId="77777777" w:rsidR="002A18F8" w:rsidRDefault="002A18F8" w:rsidP="002A18F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03F42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403F42"/>
          <w:sz w:val="18"/>
          <w:szCs w:val="18"/>
        </w:rPr>
        <w:t>Best Practices for Ordering COVID-19 Rapid Antigen Test Kits</w:t>
      </w:r>
    </w:p>
    <w:p w14:paraId="34FC5E2E" w14:textId="77777777" w:rsidR="002A18F8" w:rsidRDefault="002A18F8" w:rsidP="002A18F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03F42"/>
          <w:sz w:val="18"/>
          <w:szCs w:val="18"/>
        </w:rPr>
      </w:pPr>
      <w:r>
        <w:rPr>
          <w:rFonts w:ascii="Calibri" w:hAnsi="Calibri" w:cs="Calibri"/>
          <w:color w:val="403F42"/>
          <w:sz w:val="18"/>
          <w:szCs w:val="18"/>
        </w:rPr>
        <w:t>Sign up to attend our upcoming webinar that will review the various options available to buyers and guidance for purchasing.</w:t>
      </w:r>
    </w:p>
    <w:p w14:paraId="50B5D710" w14:textId="77777777" w:rsidR="002A18F8" w:rsidRDefault="002A18F8" w:rsidP="002A18F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03F42"/>
          <w:sz w:val="18"/>
          <w:szCs w:val="18"/>
        </w:rPr>
      </w:pPr>
      <w:r>
        <w:rPr>
          <w:rFonts w:ascii="Calibri" w:hAnsi="Calibri" w:cs="Calibri"/>
          <w:b/>
          <w:bCs/>
          <w:color w:val="403F42"/>
          <w:sz w:val="18"/>
          <w:szCs w:val="18"/>
        </w:rPr>
        <w:t>Date</w:t>
      </w:r>
      <w:r>
        <w:rPr>
          <w:rFonts w:ascii="Calibri" w:hAnsi="Calibri" w:cs="Calibri"/>
          <w:color w:val="403F42"/>
          <w:sz w:val="18"/>
          <w:szCs w:val="18"/>
        </w:rPr>
        <w:t>: Thursday, January 6, 2022</w:t>
      </w:r>
    </w:p>
    <w:p w14:paraId="6B085E2C" w14:textId="77777777" w:rsidR="002A18F8" w:rsidRDefault="002A18F8" w:rsidP="002A18F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03F42"/>
          <w:sz w:val="18"/>
          <w:szCs w:val="18"/>
        </w:rPr>
      </w:pPr>
      <w:r>
        <w:rPr>
          <w:rFonts w:ascii="Calibri" w:hAnsi="Calibri" w:cs="Calibri"/>
          <w:b/>
          <w:bCs/>
          <w:color w:val="403F42"/>
          <w:sz w:val="18"/>
          <w:szCs w:val="18"/>
        </w:rPr>
        <w:t>Time</w:t>
      </w:r>
      <w:r>
        <w:rPr>
          <w:rFonts w:ascii="Calibri" w:hAnsi="Calibri" w:cs="Calibri"/>
          <w:color w:val="403F42"/>
          <w:sz w:val="18"/>
          <w:szCs w:val="18"/>
        </w:rPr>
        <w:t>: 1:00 - 1:45 p.m.</w:t>
      </w:r>
    </w:p>
    <w:p w14:paraId="3B11A443" w14:textId="269A233F" w:rsidR="002A18F8" w:rsidRPr="0065029D" w:rsidRDefault="0065029D" w:rsidP="002A18F8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403F42"/>
          <w:sz w:val="18"/>
          <w:szCs w:val="18"/>
        </w:rPr>
        <w:fldChar w:fldCharType="begin"/>
      </w:r>
      <w:r>
        <w:rPr>
          <w:rFonts w:ascii="Calibri" w:hAnsi="Calibri" w:cs="Calibri"/>
          <w:color w:val="403F42"/>
          <w:sz w:val="18"/>
          <w:szCs w:val="18"/>
        </w:rPr>
        <w:instrText xml:space="preserve"> HYPERLINK "https://attendee.gotowebinar.com/register/3686731077697187596" \t "_blank" </w:instrText>
      </w:r>
      <w:r>
        <w:rPr>
          <w:rFonts w:ascii="Calibri" w:hAnsi="Calibri" w:cs="Calibri"/>
          <w:color w:val="403F42"/>
          <w:sz w:val="18"/>
          <w:szCs w:val="18"/>
        </w:rPr>
        <w:fldChar w:fldCharType="separate"/>
      </w:r>
      <w:r w:rsidR="002A18F8" w:rsidRPr="0065029D">
        <w:rPr>
          <w:rStyle w:val="Hyperlink"/>
          <w:rFonts w:ascii="Calibri" w:hAnsi="Calibri" w:cs="Calibri"/>
          <w:sz w:val="18"/>
          <w:szCs w:val="18"/>
        </w:rPr>
        <w:t>REGISTER</w:t>
      </w:r>
    </w:p>
    <w:p w14:paraId="0D384693" w14:textId="20E8AD9D" w:rsidR="002A18F8" w:rsidRDefault="0065029D" w:rsidP="00ED3D6B">
      <w:pPr>
        <w:spacing w:after="0" w:line="240" w:lineRule="auto"/>
        <w:rPr>
          <w:b/>
          <w:bCs/>
        </w:rPr>
      </w:pPr>
      <w:r>
        <w:rPr>
          <w:rFonts w:ascii="Calibri" w:eastAsia="Times New Roman" w:hAnsi="Calibri" w:cs="Calibri"/>
          <w:color w:val="403F42"/>
          <w:sz w:val="18"/>
          <w:szCs w:val="18"/>
        </w:rPr>
        <w:fldChar w:fldCharType="end"/>
      </w:r>
    </w:p>
    <w:bookmarkEnd w:id="1"/>
    <w:p w14:paraId="4463EEB2" w14:textId="4B8A219C" w:rsidR="00ED3D6B" w:rsidRPr="0086452A" w:rsidRDefault="00ED3D6B" w:rsidP="00ED3D6B">
      <w:pPr>
        <w:spacing w:after="0" w:line="240" w:lineRule="auto"/>
        <w:rPr>
          <w:b/>
          <w:bCs/>
        </w:rPr>
      </w:pPr>
      <w:r w:rsidRPr="0086452A">
        <w:rPr>
          <w:b/>
          <w:bCs/>
        </w:rPr>
        <w:t>Ancillary Goods Available for Purchase or Rent</w:t>
      </w:r>
    </w:p>
    <w:p w14:paraId="48C8EEA4" w14:textId="77777777" w:rsidR="00ED3D6B" w:rsidRDefault="00ED3D6B" w:rsidP="00ED3D6B">
      <w:pPr>
        <w:spacing w:after="0" w:line="240" w:lineRule="auto"/>
      </w:pPr>
    </w:p>
    <w:p w14:paraId="5F77EA75" w14:textId="34B827D5" w:rsidR="00ED3D6B" w:rsidRDefault="00ED3D6B" w:rsidP="00ED3D6B">
      <w:pPr>
        <w:spacing w:after="0" w:line="240" w:lineRule="auto"/>
      </w:pPr>
      <w:r>
        <w:t xml:space="preserve">OSD has received inquiries about items needed by communities to establish temporary outdoor facilities to distribute </w:t>
      </w:r>
      <w:r w:rsidR="00411F18">
        <w:t>COVID-19 at-home rapid antigen test kits</w:t>
      </w:r>
      <w:r>
        <w:t>. Related items are available for purchase and rental through OSD’s Statewide Contracts.</w:t>
      </w:r>
    </w:p>
    <w:p w14:paraId="166A8564" w14:textId="77777777" w:rsidR="00ED3D6B" w:rsidRDefault="00ED3D6B" w:rsidP="00ED3D6B">
      <w:pPr>
        <w:spacing w:after="0" w:line="240" w:lineRule="auto"/>
      </w:pPr>
    </w:p>
    <w:p w14:paraId="0F8BFC9C" w14:textId="77777777" w:rsidR="00ED3D6B" w:rsidRDefault="00ED3D6B" w:rsidP="00ED3D6B">
      <w:pPr>
        <w:pStyle w:val="ListParagraph"/>
        <w:numPr>
          <w:ilvl w:val="0"/>
          <w:numId w:val="2"/>
        </w:numPr>
      </w:pPr>
      <w:r>
        <w:t xml:space="preserve">Purchases </w:t>
      </w:r>
    </w:p>
    <w:p w14:paraId="0866B7C1" w14:textId="00204EE2" w:rsidR="00ED3D6B" w:rsidRDefault="00ED3D6B" w:rsidP="00ED3D6B">
      <w:pPr>
        <w:pStyle w:val="ListParagraph"/>
        <w:numPr>
          <w:ilvl w:val="1"/>
          <w:numId w:val="2"/>
        </w:numPr>
      </w:pPr>
      <w:r>
        <w:t xml:space="preserve">Tents and </w:t>
      </w:r>
      <w:r w:rsidR="00B16B72">
        <w:t>Traffic Cones</w:t>
      </w:r>
      <w:r>
        <w:t xml:space="preserve">: </w:t>
      </w:r>
      <w:hyperlink r:id="rId13" w:history="1">
        <w:r w:rsidRPr="009734DC">
          <w:rPr>
            <w:rStyle w:val="Hyperlink"/>
          </w:rPr>
          <w:t>HLS06</w:t>
        </w:r>
      </w:hyperlink>
    </w:p>
    <w:p w14:paraId="67A41ABD" w14:textId="21651677" w:rsidR="00ED3D6B" w:rsidRDefault="00ED3D6B" w:rsidP="00ED3D6B">
      <w:pPr>
        <w:pStyle w:val="ListParagraph"/>
        <w:numPr>
          <w:ilvl w:val="1"/>
          <w:numId w:val="2"/>
        </w:numPr>
      </w:pPr>
      <w:r>
        <w:t xml:space="preserve">Generators: </w:t>
      </w:r>
      <w:hyperlink r:id="rId14" w:history="1">
        <w:r w:rsidRPr="009734DC">
          <w:rPr>
            <w:rStyle w:val="Hyperlink"/>
          </w:rPr>
          <w:t>FAC100</w:t>
        </w:r>
      </w:hyperlink>
      <w:r>
        <w:t xml:space="preserve">, </w:t>
      </w:r>
      <w:hyperlink r:id="rId15" w:history="1">
        <w:r w:rsidRPr="009734DC">
          <w:rPr>
            <w:rStyle w:val="Hyperlink"/>
          </w:rPr>
          <w:t>FAC101</w:t>
        </w:r>
      </w:hyperlink>
      <w:r>
        <w:t xml:space="preserve">, </w:t>
      </w:r>
      <w:hyperlink r:id="rId16" w:history="1">
        <w:r w:rsidRPr="009734DC">
          <w:rPr>
            <w:rStyle w:val="Hyperlink"/>
          </w:rPr>
          <w:t>FAC105</w:t>
        </w:r>
      </w:hyperlink>
    </w:p>
    <w:p w14:paraId="7F28DC3D" w14:textId="77777777" w:rsidR="007D57C8" w:rsidRDefault="00ED3D6B" w:rsidP="00ED3D6B">
      <w:pPr>
        <w:pStyle w:val="ListParagraph"/>
        <w:numPr>
          <w:ilvl w:val="0"/>
          <w:numId w:val="2"/>
        </w:numPr>
      </w:pPr>
      <w:r>
        <w:t xml:space="preserve">Rentals </w:t>
      </w:r>
    </w:p>
    <w:p w14:paraId="1DA2A445" w14:textId="7BB923E9" w:rsidR="00ED3D6B" w:rsidRDefault="00ED3D6B" w:rsidP="009407A4">
      <w:pPr>
        <w:pStyle w:val="ListParagraph"/>
        <w:numPr>
          <w:ilvl w:val="1"/>
          <w:numId w:val="2"/>
        </w:numPr>
      </w:pPr>
      <w:r>
        <w:t>Tents, Chairs, Tables, Generators, Heating Units, Light Towers, Portable Potties, among many items</w:t>
      </w:r>
      <w:r w:rsidR="007D57C8">
        <w:t xml:space="preserve">: </w:t>
      </w:r>
      <w:hyperlink r:id="rId17" w:history="1">
        <w:r w:rsidR="007D57C8" w:rsidRPr="009734DC">
          <w:rPr>
            <w:rStyle w:val="Hyperlink"/>
          </w:rPr>
          <w:t>FAC112</w:t>
        </w:r>
      </w:hyperlink>
      <w:r w:rsidR="007D57C8">
        <w:t>:</w:t>
      </w:r>
      <w:r>
        <w:t>.</w:t>
      </w:r>
    </w:p>
    <w:p w14:paraId="1E410259" w14:textId="1F7574EF" w:rsidR="007D57C8" w:rsidRDefault="007D57C8" w:rsidP="009407A4">
      <w:pPr>
        <w:pStyle w:val="ListParagraph"/>
        <w:numPr>
          <w:ilvl w:val="1"/>
          <w:numId w:val="2"/>
        </w:numPr>
      </w:pPr>
      <w:r>
        <w:t xml:space="preserve">Fences: </w:t>
      </w:r>
      <w:hyperlink r:id="rId18" w:history="1">
        <w:r w:rsidRPr="004B3763">
          <w:rPr>
            <w:rStyle w:val="Hyperlink"/>
          </w:rPr>
          <w:t>FAC93</w:t>
        </w:r>
      </w:hyperlink>
    </w:p>
    <w:p w14:paraId="0384BC38" w14:textId="77777777" w:rsidR="00ED3D6B" w:rsidRDefault="00ED3D6B" w:rsidP="00ED3D6B">
      <w:pPr>
        <w:pStyle w:val="ListParagraph"/>
        <w:ind w:left="720" w:firstLine="0"/>
      </w:pPr>
    </w:p>
    <w:p w14:paraId="050711F4" w14:textId="4EB5FCD8" w:rsidR="00ED3D6B" w:rsidRDefault="00ED3D6B" w:rsidP="00ED3D6B">
      <w:pPr>
        <w:pStyle w:val="BodyText"/>
        <w:ind w:right="153"/>
      </w:pPr>
      <w:r>
        <w:t>Please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OSD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continuous contact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contracted manufacturers and SWC</w:t>
      </w:r>
      <w:r>
        <w:rPr>
          <w:spacing w:val="-1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rPr>
          <w:spacing w:val="-3"/>
        </w:rPr>
        <w:lastRenderedPageBreak/>
        <w:t xml:space="preserve">regarding inventory and delivery status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will remain in contact with our buyers, to </w:t>
      </w:r>
      <w:r w:rsidR="00733038">
        <w:t xml:space="preserve">keep buyers </w:t>
      </w:r>
      <w:r>
        <w:t>appr</w:t>
      </w:r>
      <w:r w:rsidR="00733038">
        <w:t>a</w:t>
      </w:r>
      <w:r>
        <w:t>ised of developments and updates to assist in obtaining the needed materials. We thank you for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patience.</w:t>
      </w:r>
    </w:p>
    <w:p w14:paraId="225F7DA5" w14:textId="77777777" w:rsidR="00ED3D6B" w:rsidRPr="00182A31" w:rsidRDefault="00ED3D6B" w:rsidP="00182A31">
      <w:pPr>
        <w:spacing w:after="0"/>
      </w:pPr>
    </w:p>
    <w:p w14:paraId="34837EFA" w14:textId="77777777" w:rsidR="00261EBD" w:rsidRPr="00BE4A24" w:rsidRDefault="00261EBD" w:rsidP="00261EBD">
      <w:pPr>
        <w:spacing w:after="0" w:line="240" w:lineRule="auto"/>
        <w:rPr>
          <w:b/>
          <w:bCs/>
        </w:rPr>
      </w:pPr>
      <w:r w:rsidRPr="00BE4A24">
        <w:rPr>
          <w:b/>
          <w:bCs/>
        </w:rPr>
        <w:t>OSD Recommendations for Ordering</w:t>
      </w:r>
    </w:p>
    <w:p w14:paraId="33AB0B7F" w14:textId="77777777" w:rsidR="00261EBD" w:rsidRDefault="00261EBD" w:rsidP="00261EBD">
      <w:pPr>
        <w:pStyle w:val="BodyText"/>
      </w:pPr>
    </w:p>
    <w:p w14:paraId="43E4D656" w14:textId="56971282" w:rsidR="00261EBD" w:rsidRDefault="00261EBD" w:rsidP="00261EBD">
      <w:pPr>
        <w:pStyle w:val="BodyText"/>
      </w:pPr>
      <w:r>
        <w:t xml:space="preserve">To assist buyers in acquiring </w:t>
      </w:r>
      <w:r w:rsidR="00411F18">
        <w:t>COVID-19 at-home rapid antigen test kits</w:t>
      </w:r>
      <w:r>
        <w:t>, OSD</w:t>
      </w:r>
      <w:r>
        <w:rPr>
          <w:spacing w:val="-2"/>
        </w:rPr>
        <w:t xml:space="preserve"> </w:t>
      </w:r>
      <w:r>
        <w:t>recommends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actions:</w:t>
      </w:r>
    </w:p>
    <w:p w14:paraId="3CFF7ADB" w14:textId="77777777" w:rsidR="00261EBD" w:rsidRDefault="00261EBD" w:rsidP="00261EBD">
      <w:pPr>
        <w:pStyle w:val="BodyText"/>
      </w:pPr>
    </w:p>
    <w:p w14:paraId="301906B1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262" w:hanging="360"/>
      </w:pPr>
      <w:r>
        <w:t xml:space="preserve">Each contract has specific instructions for ordering goods. Using the process outlined in the Contract User Guide for each contract, submit your pricing request or Request for Quotes (RFQ). </w:t>
      </w:r>
    </w:p>
    <w:p w14:paraId="4B2273B1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262" w:hanging="360"/>
      </w:pPr>
      <w:r>
        <w:t>Request price quotes/place orders in accordance with your normal procurement process: COMMBUYS for Executive Departments and</w:t>
      </w:r>
      <w:r>
        <w:rPr>
          <w:spacing w:val="-47"/>
        </w:rPr>
        <w:t xml:space="preserve">      </w:t>
      </w:r>
      <w:r>
        <w:t>COMMBUYS‐enabled entities; or contacting SWC Vendors directly for eligible entities that are not</w:t>
      </w:r>
      <w:r>
        <w:rPr>
          <w:spacing w:val="1"/>
        </w:rPr>
        <w:t xml:space="preserve"> </w:t>
      </w:r>
      <w:r>
        <w:t>COMMBUYS‐enabled.</w:t>
      </w:r>
    </w:p>
    <w:p w14:paraId="03BD1A68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262" w:hanging="360"/>
      </w:pPr>
      <w:r>
        <w:t>Specify that the Tests requested must have an Emergency Use Authorization (EUA) from the U.S. Food and Drug Administration (FDA) and be approved for non-prescription, at-home use.</w:t>
      </w:r>
    </w:p>
    <w:p w14:paraId="08AAB7BD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262" w:hanging="360"/>
      </w:pPr>
      <w:r>
        <w:t xml:space="preserve">Contact multiple manufacturers and vendors to obtain price quotes. The demand for Rapid Antigen Test Kits is high and inventories are changing rapidly. </w:t>
      </w:r>
    </w:p>
    <w:p w14:paraId="18578ABB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262" w:hanging="360"/>
      </w:pPr>
      <w:r>
        <w:t>Review all price quotes and place an order with the vendor(s) who meet your due diligence requirements based on product availability, cost, and need.</w:t>
      </w:r>
    </w:p>
    <w:p w14:paraId="7171DCD5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262" w:hanging="360"/>
      </w:pPr>
      <w:r>
        <w:t xml:space="preserve">Be sure to order </w:t>
      </w:r>
      <w:r>
        <w:rPr>
          <w:b/>
          <w:i/>
        </w:rPr>
        <w:t xml:space="preserve">now </w:t>
      </w:r>
      <w:r>
        <w:t xml:space="preserve">for the items needed today and </w:t>
      </w:r>
      <w:proofErr w:type="gramStart"/>
      <w:r>
        <w:t>in the near future</w:t>
      </w:r>
      <w:proofErr w:type="gramEnd"/>
      <w:r>
        <w:t xml:space="preserve">. </w:t>
      </w:r>
    </w:p>
    <w:p w14:paraId="3831BA5C" w14:textId="77777777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/>
      </w:pPr>
      <w:r>
        <w:t>Be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orders 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needs change.</w:t>
      </w:r>
    </w:p>
    <w:p w14:paraId="66C73350" w14:textId="5F3E7D3D" w:rsidR="00261EBD" w:rsidRDefault="00261EBD" w:rsidP="00261EBD">
      <w:pPr>
        <w:pStyle w:val="ListParagraph"/>
        <w:numPr>
          <w:ilvl w:val="0"/>
          <w:numId w:val="1"/>
        </w:numPr>
        <w:tabs>
          <w:tab w:val="left" w:pos="1140"/>
        </w:tabs>
        <w:ind w:left="360" w:right="520" w:hanging="360"/>
      </w:pPr>
      <w:r>
        <w:t>Entities eligible to purchase and procure goods and services from OSD’s Statewide Contracts (not</w:t>
      </w:r>
      <w:r>
        <w:rPr>
          <w:spacing w:val="1"/>
        </w:rPr>
        <w:t xml:space="preserve"> </w:t>
      </w:r>
      <w:r>
        <w:t>Executive Departments) are reminded to conduct procurements in accordance with all laws and</w:t>
      </w:r>
      <w:r>
        <w:rPr>
          <w:spacing w:val="1"/>
        </w:rPr>
        <w:t xml:space="preserve"> </w:t>
      </w:r>
      <w:r>
        <w:t>regulations that pertain to that entity (</w:t>
      </w:r>
      <w:hyperlink r:id="rId19" w:history="1">
        <w:r w:rsidRPr="000B4566">
          <w:rPr>
            <w:rStyle w:val="Hyperlink"/>
          </w:rPr>
          <w:t>Chapter 30B</w:t>
        </w:r>
      </w:hyperlink>
      <w:r>
        <w:rPr>
          <w:color w:val="0000FF"/>
        </w:rPr>
        <w:t xml:space="preserve"> </w:t>
      </w:r>
      <w:r>
        <w:t xml:space="preserve">for municipal organizations, as an example). </w:t>
      </w:r>
      <w:proofErr w:type="gramStart"/>
      <w:r>
        <w:t xml:space="preserve">Check </w:t>
      </w:r>
      <w:r>
        <w:rPr>
          <w:spacing w:val="-48"/>
        </w:rPr>
        <w:t xml:space="preserve"> </w:t>
      </w:r>
      <w:r>
        <w:t>with</w:t>
      </w:r>
      <w:proofErr w:type="gramEnd"/>
      <w:r>
        <w:rPr>
          <w:spacing w:val="-2"/>
        </w:rPr>
        <w:t xml:space="preserve"> </w:t>
      </w:r>
      <w:r>
        <w:t>your local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advice.</w:t>
      </w:r>
    </w:p>
    <w:p w14:paraId="7B577A41" w14:textId="5481D64F" w:rsidR="00763B36" w:rsidRDefault="00763B36" w:rsidP="00763B36">
      <w:pPr>
        <w:tabs>
          <w:tab w:val="left" w:pos="1140"/>
        </w:tabs>
        <w:ind w:right="520"/>
      </w:pPr>
    </w:p>
    <w:p w14:paraId="495700F6" w14:textId="77777777" w:rsidR="00763B36" w:rsidRPr="004E31F0" w:rsidRDefault="00763B36" w:rsidP="00763B36">
      <w:pPr>
        <w:rPr>
          <w:b/>
          <w:bCs/>
        </w:rPr>
      </w:pPr>
      <w:r w:rsidRPr="004E31F0">
        <w:rPr>
          <w:b/>
          <w:bCs/>
        </w:rPr>
        <w:t>Who is eligible to order:</w:t>
      </w:r>
    </w:p>
    <w:p w14:paraId="29CCB45D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Cities, towns, districts, counties, and other political subdivisions</w:t>
      </w:r>
    </w:p>
    <w:p w14:paraId="2D300E4E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Executive, Legislative, and Judicial Branches, including all departments and elected offices therein</w:t>
      </w:r>
    </w:p>
    <w:p w14:paraId="27A19ADB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Independent public authorities, commissions, and quasi-public agencies</w:t>
      </w:r>
    </w:p>
    <w:p w14:paraId="7DBE9933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Local public libraries, public school districts, private schools, charter schools, and early childhood centers</w:t>
      </w:r>
    </w:p>
    <w:p w14:paraId="14082AF9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Public hospitals owned by the Commonwealth of Massachusetts</w:t>
      </w:r>
    </w:p>
    <w:p w14:paraId="1865463C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Public and private institutions of higher education</w:t>
      </w:r>
    </w:p>
    <w:p w14:paraId="004432FC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Public purchasing cooperatives</w:t>
      </w:r>
    </w:p>
    <w:p w14:paraId="53649017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 xml:space="preserve">Non-profits in either of the below </w:t>
      </w:r>
      <w:proofErr w:type="gramStart"/>
      <w:r>
        <w:t>categories, if</w:t>
      </w:r>
      <w:proofErr w:type="gramEnd"/>
      <w:r>
        <w:t xml:space="preserve"> they are registered with OSD as listed here</w:t>
      </w:r>
    </w:p>
    <w:p w14:paraId="53F89214" w14:textId="77777777" w:rsidR="00763B36" w:rsidRDefault="00763B36" w:rsidP="00763B36">
      <w:pPr>
        <w:pStyle w:val="ListParagraph"/>
        <w:widowControl/>
        <w:numPr>
          <w:ilvl w:val="1"/>
          <w:numId w:val="6"/>
        </w:numPr>
        <w:autoSpaceDE/>
        <w:autoSpaceDN/>
        <w:contextualSpacing/>
      </w:pPr>
      <w:r>
        <w:t>Non-profit human and social service providers under contract with the Commonwealth; and</w:t>
      </w:r>
    </w:p>
    <w:p w14:paraId="0208FBAF" w14:textId="77777777" w:rsidR="00763B36" w:rsidRDefault="00763B36" w:rsidP="00763B36">
      <w:pPr>
        <w:pStyle w:val="ListParagraph"/>
        <w:widowControl/>
        <w:numPr>
          <w:ilvl w:val="1"/>
          <w:numId w:val="6"/>
        </w:numPr>
        <w:autoSpaceDE/>
        <w:autoSpaceDN/>
        <w:contextualSpacing/>
      </w:pPr>
      <w:r>
        <w:t>Other non-profit organizations receiving public funding from state, federal, or local governments in the form of appropriated funds, grants, or contracts.</w:t>
      </w:r>
    </w:p>
    <w:p w14:paraId="2DAC2A10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Other states and territories with no prior approval by the State Purchasing Agent</w:t>
      </w:r>
    </w:p>
    <w:p w14:paraId="40D67837" w14:textId="77777777" w:rsidR="00763B36" w:rsidRDefault="00763B36" w:rsidP="00763B36">
      <w:pPr>
        <w:pStyle w:val="ListParagraph"/>
        <w:widowControl/>
        <w:numPr>
          <w:ilvl w:val="0"/>
          <w:numId w:val="6"/>
        </w:numPr>
        <w:autoSpaceDE/>
        <w:autoSpaceDN/>
        <w:contextualSpacing/>
      </w:pPr>
      <w:r>
        <w:t>Other entities when designated in writing by the State Purchasing Agent (individual cities and towns or school districts in other states where the entire state is not authorized to purchase)</w:t>
      </w:r>
    </w:p>
    <w:p w14:paraId="14077CA1" w14:textId="77777777" w:rsidR="00763B36" w:rsidRDefault="00763B36" w:rsidP="00763B36">
      <w:pPr>
        <w:tabs>
          <w:tab w:val="left" w:pos="1140"/>
        </w:tabs>
        <w:ind w:right="520"/>
      </w:pPr>
    </w:p>
    <w:p w14:paraId="7C457371" w14:textId="7670275A" w:rsidR="00182A31" w:rsidRDefault="00182A31" w:rsidP="00182A31">
      <w:pPr>
        <w:spacing w:after="0"/>
      </w:pPr>
    </w:p>
    <w:p w14:paraId="703290BF" w14:textId="05DB14F7" w:rsidR="00182A31" w:rsidRDefault="00261EBD" w:rsidP="00733038">
      <w:pPr>
        <w:pStyle w:val="ListParagraph"/>
        <w:ind w:left="0" w:firstLine="0"/>
      </w:pPr>
      <w:r>
        <w:t xml:space="preserve">Questions? Please contact the OSD Help Desk at </w:t>
      </w:r>
      <w:hyperlink r:id="rId20" w:history="1">
        <w:r w:rsidRPr="003264E3">
          <w:rPr>
            <w:rStyle w:val="Hyperlink"/>
          </w:rPr>
          <w:t>osdhelpdesk@mass.gov</w:t>
        </w:r>
      </w:hyperlink>
      <w:r>
        <w:t xml:space="preserve"> or at 1-888-627-8283</w:t>
      </w:r>
      <w:r w:rsidR="00B16B72">
        <w:t>.</w:t>
      </w:r>
    </w:p>
    <w:sectPr w:rsidR="00182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4A6"/>
    <w:multiLevelType w:val="hybridMultilevel"/>
    <w:tmpl w:val="01A09A08"/>
    <w:lvl w:ilvl="0" w:tplc="C850314A">
      <w:start w:val="1"/>
      <w:numFmt w:val="decimal"/>
      <w:lvlText w:val="%1."/>
      <w:lvlJc w:val="left"/>
      <w:pPr>
        <w:ind w:left="1139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32823686">
      <w:numFmt w:val="bullet"/>
      <w:lvlText w:val="•"/>
      <w:lvlJc w:val="left"/>
      <w:pPr>
        <w:ind w:left="2106" w:hanging="361"/>
      </w:pPr>
      <w:rPr>
        <w:rFonts w:hint="default"/>
      </w:rPr>
    </w:lvl>
    <w:lvl w:ilvl="2" w:tplc="2528EF60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D28CF86E">
      <w:numFmt w:val="bullet"/>
      <w:lvlText w:val="•"/>
      <w:lvlJc w:val="left"/>
      <w:pPr>
        <w:ind w:left="4038" w:hanging="361"/>
      </w:pPr>
      <w:rPr>
        <w:rFonts w:hint="default"/>
      </w:rPr>
    </w:lvl>
    <w:lvl w:ilvl="4" w:tplc="55F27FF0">
      <w:numFmt w:val="bullet"/>
      <w:lvlText w:val="•"/>
      <w:lvlJc w:val="left"/>
      <w:pPr>
        <w:ind w:left="5004" w:hanging="361"/>
      </w:pPr>
      <w:rPr>
        <w:rFonts w:hint="default"/>
      </w:rPr>
    </w:lvl>
    <w:lvl w:ilvl="5" w:tplc="9A10D2E8"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99B08580">
      <w:numFmt w:val="bullet"/>
      <w:lvlText w:val="•"/>
      <w:lvlJc w:val="left"/>
      <w:pPr>
        <w:ind w:left="6936" w:hanging="361"/>
      </w:pPr>
      <w:rPr>
        <w:rFonts w:hint="default"/>
      </w:rPr>
    </w:lvl>
    <w:lvl w:ilvl="7" w:tplc="F3BC15FA">
      <w:numFmt w:val="bullet"/>
      <w:lvlText w:val="•"/>
      <w:lvlJc w:val="left"/>
      <w:pPr>
        <w:ind w:left="7902" w:hanging="361"/>
      </w:pPr>
      <w:rPr>
        <w:rFonts w:hint="default"/>
      </w:rPr>
    </w:lvl>
    <w:lvl w:ilvl="8" w:tplc="70CA8738">
      <w:numFmt w:val="bullet"/>
      <w:lvlText w:val="•"/>
      <w:lvlJc w:val="left"/>
      <w:pPr>
        <w:ind w:left="8868" w:hanging="361"/>
      </w:pPr>
      <w:rPr>
        <w:rFonts w:hint="default"/>
      </w:rPr>
    </w:lvl>
  </w:abstractNum>
  <w:abstractNum w:abstractNumId="1" w15:restartNumberingAfterBreak="0">
    <w:nsid w:val="2E7E5963"/>
    <w:multiLevelType w:val="hybridMultilevel"/>
    <w:tmpl w:val="EC28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51CBE"/>
    <w:multiLevelType w:val="hybridMultilevel"/>
    <w:tmpl w:val="C522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008E2"/>
    <w:multiLevelType w:val="hybridMultilevel"/>
    <w:tmpl w:val="0A6C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D6C"/>
    <w:multiLevelType w:val="hybridMultilevel"/>
    <w:tmpl w:val="308C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027F3"/>
    <w:multiLevelType w:val="hybridMultilevel"/>
    <w:tmpl w:val="AE74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6A"/>
    <w:rsid w:val="000A55DF"/>
    <w:rsid w:val="000B4566"/>
    <w:rsid w:val="000D1D90"/>
    <w:rsid w:val="00127A7D"/>
    <w:rsid w:val="00182A31"/>
    <w:rsid w:val="00205B04"/>
    <w:rsid w:val="0021218F"/>
    <w:rsid w:val="00261EBD"/>
    <w:rsid w:val="002A18F8"/>
    <w:rsid w:val="002B7245"/>
    <w:rsid w:val="003017C1"/>
    <w:rsid w:val="003F5FAF"/>
    <w:rsid w:val="00411F18"/>
    <w:rsid w:val="00423525"/>
    <w:rsid w:val="00431DC8"/>
    <w:rsid w:val="00465F6A"/>
    <w:rsid w:val="00476945"/>
    <w:rsid w:val="004B3763"/>
    <w:rsid w:val="00500442"/>
    <w:rsid w:val="005771BF"/>
    <w:rsid w:val="00620D1E"/>
    <w:rsid w:val="0065029D"/>
    <w:rsid w:val="006B68EC"/>
    <w:rsid w:val="00733038"/>
    <w:rsid w:val="00763B36"/>
    <w:rsid w:val="007D46F1"/>
    <w:rsid w:val="007D57C8"/>
    <w:rsid w:val="007E6C5C"/>
    <w:rsid w:val="00816E4D"/>
    <w:rsid w:val="00841B9C"/>
    <w:rsid w:val="00861DDE"/>
    <w:rsid w:val="008E646A"/>
    <w:rsid w:val="00921EB8"/>
    <w:rsid w:val="009407A4"/>
    <w:rsid w:val="009734DC"/>
    <w:rsid w:val="009C3FD3"/>
    <w:rsid w:val="00A554FF"/>
    <w:rsid w:val="00B16B72"/>
    <w:rsid w:val="00B748F1"/>
    <w:rsid w:val="00C050EA"/>
    <w:rsid w:val="00C32461"/>
    <w:rsid w:val="00D401EA"/>
    <w:rsid w:val="00E80DD3"/>
    <w:rsid w:val="00ED3D6B"/>
    <w:rsid w:val="00F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A1D4"/>
  <w15:chartTrackingRefBased/>
  <w15:docId w15:val="{209315CB-B869-4C7E-A038-6234D5CD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46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6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46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352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61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1EBD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61EBD"/>
    <w:pPr>
      <w:widowControl w:val="0"/>
      <w:autoSpaceDE w:val="0"/>
      <w:autoSpaceDN w:val="0"/>
      <w:spacing w:after="0" w:line="240" w:lineRule="auto"/>
      <w:ind w:left="1680" w:hanging="361"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hsp40/download" TargetMode="External"/><Relationship Id="rId13" Type="http://schemas.openxmlformats.org/officeDocument/2006/relationships/hyperlink" Target="https://www.mass.gov/doc/hls06/download" TargetMode="External"/><Relationship Id="rId18" Type="http://schemas.openxmlformats.org/officeDocument/2006/relationships/hyperlink" Target="https://www.mass.gov/doc/fac93/downloa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mmbuys.com/bso/external/purchaseorder/poSummary.sdo?docId=PO-22-1080-OSD03-SRC01-24129&amp;releaseNbr=0&amp;external=true&amp;parentUrl=close" TargetMode="External"/><Relationship Id="rId12" Type="http://schemas.openxmlformats.org/officeDocument/2006/relationships/hyperlink" Target="https://www.mass.gov/info-details/covid-19-statewide-contract-resources-for-antigen-test-kits" TargetMode="External"/><Relationship Id="rId17" Type="http://schemas.openxmlformats.org/officeDocument/2006/relationships/hyperlink" Target="https://www.mass.gov/doc/fac112/downl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doc/fac105/download" TargetMode="External"/><Relationship Id="rId20" Type="http://schemas.openxmlformats.org/officeDocument/2006/relationships/hyperlink" Target="mailto:osdhelpdesk@mass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ss.gov/media/2386436/download" TargetMode="External"/><Relationship Id="rId11" Type="http://schemas.openxmlformats.org/officeDocument/2006/relationships/hyperlink" Target="https://files.constantcontact.com/666eaa93201/46ad86f6-b4fe-4933-a4a3-aeddd73a5584.xlsx" TargetMode="External"/><Relationship Id="rId5" Type="http://schemas.openxmlformats.org/officeDocument/2006/relationships/hyperlink" Target="https://www.mass.gov/news/baker-polito-administration-announces-21-million-at-home-covid-tests-for-102-high-need-communities" TargetMode="External"/><Relationship Id="rId15" Type="http://schemas.openxmlformats.org/officeDocument/2006/relationships/hyperlink" Target="https://www.mass.gov/doc/fac101/download" TargetMode="External"/><Relationship Id="rId10" Type="http://schemas.openxmlformats.org/officeDocument/2006/relationships/hyperlink" Target="https://www.mass.gov/doc/hls06/download" TargetMode="External"/><Relationship Id="rId19" Type="http://schemas.openxmlformats.org/officeDocument/2006/relationships/hyperlink" Target="https://www.mass.gov/doc/the-chapter-30b-manual-procuring-supplies-services-and-real-property-legal-requirements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hsp41/download" TargetMode="External"/><Relationship Id="rId14" Type="http://schemas.openxmlformats.org/officeDocument/2006/relationships/hyperlink" Target="https://www.mass.gov/doc/fac100/downlo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MacCormack, Terry (GOV)</dc:creator>
  <cp:keywords/>
  <dc:description/>
  <cp:lastModifiedBy>Briand, Dayva</cp:lastModifiedBy>
  <cp:revision>2</cp:revision>
  <dcterms:created xsi:type="dcterms:W3CDTF">2021-12-30T14:16:00Z</dcterms:created>
  <dcterms:modified xsi:type="dcterms:W3CDTF">2021-12-30T14:16:00Z</dcterms:modified>
</cp:coreProperties>
</file>