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9FF" w:rsidRPr="00B214FE" w:rsidRDefault="00B214FE" w:rsidP="00B214FE">
      <w:pPr>
        <w:jc w:val="right"/>
        <w:rPr>
          <w:b/>
          <w:color w:val="953735"/>
          <w:sz w:val="36"/>
          <w:szCs w:val="36"/>
        </w:rPr>
      </w:pPr>
      <w:r>
        <w:rPr>
          <w:b/>
          <w:noProof/>
          <w:color w:val="953735"/>
          <w:sz w:val="36"/>
          <w:szCs w:val="3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-112395</wp:posOffset>
            </wp:positionV>
            <wp:extent cx="1213485" cy="1213485"/>
            <wp:effectExtent l="0" t="0" r="5715" b="5715"/>
            <wp:wrapTight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21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825" w:rsidRPr="00B214FE">
        <w:rPr>
          <w:b/>
          <w:color w:val="953735"/>
          <w:sz w:val="36"/>
          <w:szCs w:val="36"/>
        </w:rPr>
        <w:t xml:space="preserve">Human Granulocytic </w:t>
      </w:r>
      <w:proofErr w:type="spellStart"/>
      <w:r w:rsidR="00AF3825" w:rsidRPr="00B214FE">
        <w:rPr>
          <w:b/>
          <w:color w:val="953735"/>
          <w:sz w:val="36"/>
          <w:szCs w:val="36"/>
        </w:rPr>
        <w:t>Anaplasmosis</w:t>
      </w:r>
      <w:proofErr w:type="spellEnd"/>
      <w:r w:rsidR="00AF3825" w:rsidRPr="00B214FE">
        <w:rPr>
          <w:b/>
          <w:color w:val="953735"/>
          <w:sz w:val="36"/>
          <w:szCs w:val="36"/>
        </w:rPr>
        <w:t xml:space="preserve"> (HGA)</w:t>
      </w:r>
      <w:r w:rsidR="0059721E" w:rsidRPr="00B214FE">
        <w:rPr>
          <w:b/>
          <w:color w:val="953735"/>
          <w:sz w:val="36"/>
          <w:szCs w:val="36"/>
        </w:rPr>
        <w:t xml:space="preserve"> </w:t>
      </w:r>
    </w:p>
    <w:p w:rsidR="00E832FA" w:rsidRPr="00B214FE" w:rsidRDefault="0059721E" w:rsidP="00B214FE">
      <w:pPr>
        <w:jc w:val="right"/>
        <w:rPr>
          <w:b/>
          <w:color w:val="953735"/>
          <w:sz w:val="36"/>
          <w:szCs w:val="36"/>
        </w:rPr>
      </w:pPr>
      <w:r w:rsidRPr="00B214FE">
        <w:rPr>
          <w:b/>
          <w:color w:val="953735"/>
          <w:sz w:val="36"/>
          <w:szCs w:val="36"/>
        </w:rPr>
        <w:t xml:space="preserve">Surveillance in Massachusetts, </w:t>
      </w:r>
      <w:r w:rsidR="00256D91" w:rsidRPr="00B214FE">
        <w:rPr>
          <w:b/>
          <w:color w:val="953735"/>
          <w:sz w:val="36"/>
          <w:szCs w:val="36"/>
        </w:rPr>
        <w:t>201</w:t>
      </w:r>
      <w:r w:rsidR="003F0B88" w:rsidRPr="00B214FE">
        <w:rPr>
          <w:b/>
          <w:color w:val="953735"/>
          <w:sz w:val="36"/>
          <w:szCs w:val="36"/>
        </w:rPr>
        <w:t>7</w:t>
      </w:r>
    </w:p>
    <w:p w:rsidR="000639FF" w:rsidRPr="00B214FE" w:rsidRDefault="0059721E" w:rsidP="00B214FE">
      <w:pPr>
        <w:jc w:val="right"/>
        <w:rPr>
          <w:b/>
          <w:color w:val="953735"/>
          <w:sz w:val="36"/>
          <w:szCs w:val="40"/>
        </w:rPr>
      </w:pPr>
      <w:r w:rsidRPr="00B214FE">
        <w:rPr>
          <w:b/>
          <w:color w:val="953735"/>
          <w:sz w:val="36"/>
          <w:szCs w:val="40"/>
        </w:rPr>
        <w:t>Massachusetts Department of Public Health</w:t>
      </w:r>
      <w:r w:rsidR="00135342" w:rsidRPr="00B214FE">
        <w:rPr>
          <w:b/>
          <w:color w:val="953735"/>
          <w:sz w:val="36"/>
          <w:szCs w:val="40"/>
        </w:rPr>
        <w:t xml:space="preserve"> </w:t>
      </w:r>
    </w:p>
    <w:p w:rsidR="000639FF" w:rsidRPr="00B214FE" w:rsidRDefault="000639FF" w:rsidP="00B214FE">
      <w:pPr>
        <w:jc w:val="right"/>
        <w:rPr>
          <w:rFonts w:ascii="Calibri" w:eastAsiaTheme="minorHAnsi" w:hAnsi="Calibri" w:cstheme="minorBidi"/>
          <w:b/>
          <w:color w:val="953735"/>
          <w:sz w:val="40"/>
          <w:szCs w:val="32"/>
        </w:rPr>
      </w:pPr>
      <w:r w:rsidRPr="00B214FE">
        <w:rPr>
          <w:rFonts w:eastAsiaTheme="minorHAnsi"/>
          <w:b/>
          <w:color w:val="953735"/>
          <w:sz w:val="28"/>
          <w:szCs w:val="28"/>
        </w:rPr>
        <w:t>Bureau of Infect</w:t>
      </w:r>
      <w:bookmarkStart w:id="0" w:name="_GoBack"/>
      <w:bookmarkEnd w:id="0"/>
      <w:r w:rsidRPr="00B214FE">
        <w:rPr>
          <w:rFonts w:eastAsiaTheme="minorHAnsi"/>
          <w:b/>
          <w:color w:val="953735"/>
          <w:sz w:val="28"/>
          <w:szCs w:val="28"/>
        </w:rPr>
        <w:t>ious Disease and Laboratory Sciences</w:t>
      </w:r>
    </w:p>
    <w:p w:rsidR="00135342" w:rsidRPr="00D95123" w:rsidRDefault="00135342" w:rsidP="0059721E">
      <w:pPr>
        <w:jc w:val="center"/>
        <w:rPr>
          <w:b/>
          <w:color w:val="80008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35342" w:rsidRPr="00B85300" w:rsidRDefault="00135342" w:rsidP="00135342">
      <w:pPr>
        <w:jc w:val="center"/>
        <w:rPr>
          <w:sz w:val="18"/>
          <w:szCs w:val="18"/>
        </w:rPr>
      </w:pPr>
      <w:r w:rsidRPr="00B85300">
        <w:rPr>
          <w:sz w:val="22"/>
          <w:szCs w:val="22"/>
        </w:rPr>
        <w:t>Investigatio</w:t>
      </w:r>
      <w:r>
        <w:rPr>
          <w:sz w:val="22"/>
          <w:szCs w:val="22"/>
        </w:rPr>
        <w:t>n of suspect cases of HGA</w:t>
      </w:r>
      <w:r w:rsidR="00F226F4">
        <w:rPr>
          <w:sz w:val="22"/>
          <w:szCs w:val="22"/>
        </w:rPr>
        <w:t>,</w:t>
      </w:r>
      <w:r w:rsidRPr="00B8530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and the collection of clinical and exposure data </w:t>
      </w:r>
      <w:r w:rsidRPr="00B85300">
        <w:rPr>
          <w:sz w:val="22"/>
          <w:szCs w:val="22"/>
        </w:rPr>
        <w:t xml:space="preserve">by local public health enables MDPH </w:t>
      </w:r>
      <w:r>
        <w:rPr>
          <w:sz w:val="22"/>
          <w:szCs w:val="22"/>
        </w:rPr>
        <w:t>to analyze trends and provide this surveillance summary.</w:t>
      </w:r>
    </w:p>
    <w:p w:rsidR="0059721E" w:rsidRDefault="00D95123" w:rsidP="0059721E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21C256" wp14:editId="02291CC9">
                <wp:simplePos x="0" y="0"/>
                <wp:positionH relativeFrom="column">
                  <wp:posOffset>-457200</wp:posOffset>
                </wp:positionH>
                <wp:positionV relativeFrom="paragraph">
                  <wp:posOffset>101600</wp:posOffset>
                </wp:positionV>
                <wp:extent cx="6629400" cy="3238500"/>
                <wp:effectExtent l="9525" t="6350" r="9525" b="1270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23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688D" w:rsidRDefault="000F1081" w:rsidP="00B2688D">
                            <w:pPr>
                              <w:ind w:left="36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201</w:t>
                            </w:r>
                            <w:r w:rsidR="003F0B8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="001533AE" w:rsidRPr="0033216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46334" w:rsidRPr="0033216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Surveillance </w:t>
                            </w:r>
                            <w:r w:rsidR="00B2688D" w:rsidRPr="00332165">
                              <w:rPr>
                                <w:b/>
                                <w:sz w:val="28"/>
                                <w:szCs w:val="28"/>
                              </w:rPr>
                              <w:t>Highlights</w:t>
                            </w:r>
                          </w:p>
                          <w:p w:rsidR="00AF3825" w:rsidRPr="004F4EF2" w:rsidRDefault="00AF3825" w:rsidP="00B2688D">
                            <w:pPr>
                              <w:ind w:left="360"/>
                              <w:jc w:val="center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B2688D" w:rsidRPr="000669D1" w:rsidRDefault="00BF69BD" w:rsidP="00B2688D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1,209</w:t>
                            </w:r>
                            <w:r w:rsidR="00B2688D" w:rsidRPr="000669D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56D91">
                              <w:rPr>
                                <w:sz w:val="22"/>
                                <w:szCs w:val="22"/>
                              </w:rPr>
                              <w:t xml:space="preserve">confirmed </w:t>
                            </w:r>
                            <w:r w:rsidR="00864F9C">
                              <w:rPr>
                                <w:sz w:val="22"/>
                                <w:szCs w:val="22"/>
                              </w:rPr>
                              <w:t xml:space="preserve">and probable </w:t>
                            </w:r>
                            <w:r w:rsidR="00D7412E" w:rsidRPr="000669D1">
                              <w:rPr>
                                <w:sz w:val="22"/>
                                <w:szCs w:val="22"/>
                              </w:rPr>
                              <w:t xml:space="preserve">cases of </w:t>
                            </w:r>
                            <w:r w:rsidR="00AF3825" w:rsidRPr="000669D1">
                              <w:rPr>
                                <w:sz w:val="22"/>
                                <w:szCs w:val="22"/>
                              </w:rPr>
                              <w:t>HGA</w:t>
                            </w:r>
                            <w:r w:rsidR="00B2688D" w:rsidRPr="000669D1">
                              <w:rPr>
                                <w:sz w:val="22"/>
                                <w:szCs w:val="22"/>
                              </w:rPr>
                              <w:t xml:space="preserve"> were reported </w:t>
                            </w:r>
                            <w:r w:rsidR="00FD241B" w:rsidRPr="000669D1">
                              <w:rPr>
                                <w:sz w:val="22"/>
                                <w:szCs w:val="22"/>
                              </w:rPr>
                              <w:t xml:space="preserve">in </w:t>
                            </w:r>
                            <w:r w:rsidR="00D7412E" w:rsidRPr="000669D1">
                              <w:rPr>
                                <w:sz w:val="22"/>
                                <w:szCs w:val="22"/>
                              </w:rPr>
                              <w:t xml:space="preserve">Massachusetts </w:t>
                            </w:r>
                            <w:r w:rsidR="00FD241B" w:rsidRPr="000669D1">
                              <w:rPr>
                                <w:sz w:val="22"/>
                                <w:szCs w:val="22"/>
                              </w:rPr>
                              <w:t xml:space="preserve">in </w:t>
                            </w:r>
                            <w:r w:rsidR="0028584F" w:rsidRPr="000669D1">
                              <w:rPr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7</w:t>
                            </w:r>
                            <w:r w:rsidR="007B2E6A"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r w:rsidR="00211C44">
                              <w:rPr>
                                <w:sz w:val="22"/>
                                <w:szCs w:val="22"/>
                              </w:rPr>
                              <w:t xml:space="preserve"> a</w:t>
                            </w:r>
                            <w:r w:rsidR="00034AA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4713E">
                              <w:rPr>
                                <w:sz w:val="22"/>
                                <w:szCs w:val="22"/>
                              </w:rPr>
                              <w:t>38</w:t>
                            </w:r>
                            <w:r w:rsidR="00B0086B">
                              <w:rPr>
                                <w:sz w:val="22"/>
                                <w:szCs w:val="22"/>
                              </w:rPr>
                              <w:t xml:space="preserve">% </w:t>
                            </w:r>
                            <w:r w:rsidR="00211C44">
                              <w:rPr>
                                <w:sz w:val="22"/>
                                <w:szCs w:val="22"/>
                              </w:rPr>
                              <w:t xml:space="preserve">increase over </w:t>
                            </w:r>
                            <w:r w:rsidR="0072291B" w:rsidRPr="000669D1">
                              <w:rPr>
                                <w:sz w:val="22"/>
                                <w:szCs w:val="22"/>
                              </w:rPr>
                              <w:t>201</w:t>
                            </w:r>
                            <w:r w:rsidR="00CD597F"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  <w:r w:rsidR="00F879C2" w:rsidRPr="000669D1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="00C6605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340F0">
                              <w:rPr>
                                <w:sz w:val="22"/>
                                <w:szCs w:val="22"/>
                              </w:rPr>
                              <w:t xml:space="preserve">Overall </w:t>
                            </w:r>
                            <w:r w:rsidR="007D02B2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="00947D76" w:rsidRPr="007B1E38"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r w:rsidR="007D02B2">
                              <w:rPr>
                                <w:sz w:val="22"/>
                                <w:szCs w:val="22"/>
                              </w:rPr>
                              <w:t>473</w:t>
                            </w:r>
                            <w:r w:rsidR="00907A0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47D99">
                              <w:rPr>
                                <w:sz w:val="22"/>
                                <w:szCs w:val="22"/>
                              </w:rPr>
                              <w:t>suspect cases</w:t>
                            </w:r>
                            <w:r w:rsidR="00211C44">
                              <w:rPr>
                                <w:sz w:val="22"/>
                                <w:szCs w:val="22"/>
                              </w:rPr>
                              <w:t xml:space="preserve"> of HGA</w:t>
                            </w:r>
                            <w:r w:rsidR="00747D99">
                              <w:rPr>
                                <w:sz w:val="22"/>
                                <w:szCs w:val="22"/>
                              </w:rPr>
                              <w:t xml:space="preserve"> were investigated.</w:t>
                            </w:r>
                          </w:p>
                          <w:p w:rsidR="00B2688D" w:rsidRPr="000669D1" w:rsidRDefault="00B2688D" w:rsidP="00B2688D">
                            <w:pPr>
                              <w:ind w:left="36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6A4F1D" w:rsidRPr="007605FC" w:rsidRDefault="00211C44" w:rsidP="006A4F1D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7605FC">
                              <w:rPr>
                                <w:sz w:val="22"/>
                                <w:szCs w:val="22"/>
                              </w:rPr>
                              <w:t xml:space="preserve">Statewide, HGA incidence increased from </w:t>
                            </w:r>
                            <w:r w:rsidR="004F0FA1">
                              <w:rPr>
                                <w:sz w:val="22"/>
                                <w:szCs w:val="22"/>
                              </w:rPr>
                              <w:t>13.3</w:t>
                            </w:r>
                            <w:r w:rsidRPr="007605FC">
                              <w:rPr>
                                <w:sz w:val="22"/>
                                <w:szCs w:val="22"/>
                              </w:rPr>
                              <w:t xml:space="preserve"> to</w:t>
                            </w:r>
                            <w:r w:rsidR="004F0FA1">
                              <w:rPr>
                                <w:sz w:val="22"/>
                                <w:szCs w:val="22"/>
                              </w:rPr>
                              <w:t xml:space="preserve"> 18.4</w:t>
                            </w:r>
                            <w:r w:rsidR="0092224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F4EF2" w:rsidRPr="007605FC">
                              <w:rPr>
                                <w:sz w:val="22"/>
                                <w:szCs w:val="22"/>
                              </w:rPr>
                              <w:t>cases per 100,000 residents</w:t>
                            </w:r>
                            <w:r w:rsidR="007605FC" w:rsidRPr="007605FC"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7605FC" w:rsidRPr="00EC4445">
                              <w:rPr>
                                <w:sz w:val="22"/>
                                <w:szCs w:val="22"/>
                              </w:rPr>
                              <w:t xml:space="preserve">The counties with the highest incidence </w:t>
                            </w:r>
                            <w:r w:rsidR="00293C5C">
                              <w:rPr>
                                <w:sz w:val="22"/>
                                <w:szCs w:val="22"/>
                              </w:rPr>
                              <w:t>are</w:t>
                            </w:r>
                            <w:r w:rsidR="007605FC" w:rsidRPr="00EC4445">
                              <w:rPr>
                                <w:sz w:val="22"/>
                                <w:szCs w:val="22"/>
                              </w:rPr>
                              <w:t xml:space="preserve"> Barnstable, Berkshire, Dukes</w:t>
                            </w:r>
                            <w:r w:rsidR="00227B0D">
                              <w:rPr>
                                <w:sz w:val="22"/>
                                <w:szCs w:val="22"/>
                              </w:rPr>
                              <w:t>, Franklin</w:t>
                            </w:r>
                            <w:r w:rsidR="007605FC" w:rsidRPr="00EC4445">
                              <w:rPr>
                                <w:sz w:val="22"/>
                                <w:szCs w:val="22"/>
                              </w:rPr>
                              <w:t>, Nantucket and Plymouth</w:t>
                            </w:r>
                            <w:r w:rsidR="00181E4E" w:rsidRPr="007605FC"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7C5704">
                              <w:rPr>
                                <w:sz w:val="22"/>
                                <w:szCs w:val="22"/>
                              </w:rPr>
                              <w:t>Berkshire</w:t>
                            </w:r>
                            <w:r w:rsidR="007B2E6A">
                              <w:rPr>
                                <w:sz w:val="22"/>
                                <w:szCs w:val="22"/>
                              </w:rPr>
                              <w:t xml:space="preserve"> County</w:t>
                            </w:r>
                            <w:r w:rsidR="00181E4E" w:rsidRPr="007605FC">
                              <w:rPr>
                                <w:sz w:val="22"/>
                                <w:szCs w:val="22"/>
                              </w:rPr>
                              <w:t xml:space="preserve"> had the greatest change in incidence, from </w:t>
                            </w:r>
                            <w:r w:rsidR="007C5704">
                              <w:rPr>
                                <w:sz w:val="22"/>
                                <w:szCs w:val="22"/>
                              </w:rPr>
                              <w:t>66</w:t>
                            </w:r>
                            <w:r w:rsidR="007B1E38">
                              <w:rPr>
                                <w:sz w:val="22"/>
                                <w:szCs w:val="22"/>
                              </w:rPr>
                              <w:t>.3</w:t>
                            </w:r>
                            <w:r w:rsidR="00947D76">
                              <w:rPr>
                                <w:sz w:val="22"/>
                                <w:szCs w:val="22"/>
                              </w:rPr>
                              <w:t xml:space="preserve"> to</w:t>
                            </w:r>
                            <w:r w:rsidR="00374A3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C5704">
                              <w:rPr>
                                <w:sz w:val="22"/>
                                <w:szCs w:val="22"/>
                              </w:rPr>
                              <w:t>133.4</w:t>
                            </w:r>
                            <w:r w:rsidR="00947D7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47D76" w:rsidRPr="007605FC">
                              <w:rPr>
                                <w:sz w:val="22"/>
                                <w:szCs w:val="22"/>
                              </w:rPr>
                              <w:t>cases</w:t>
                            </w:r>
                            <w:r w:rsidR="00181E4E" w:rsidRPr="007605FC">
                              <w:rPr>
                                <w:sz w:val="22"/>
                                <w:szCs w:val="22"/>
                              </w:rPr>
                              <w:t xml:space="preserve"> per 100,000 residents.</w:t>
                            </w:r>
                          </w:p>
                          <w:p w:rsidR="006A4F1D" w:rsidRPr="000669D1" w:rsidRDefault="006A4F1D" w:rsidP="006A4F1D">
                            <w:pPr>
                              <w:ind w:left="36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2688D" w:rsidRPr="000669D1" w:rsidRDefault="00AF3825" w:rsidP="0033409F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0669D1">
                              <w:rPr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181E4E">
                              <w:rPr>
                                <w:sz w:val="22"/>
                                <w:szCs w:val="22"/>
                              </w:rPr>
                              <w:t>majority of</w:t>
                            </w:r>
                            <w:r w:rsidRPr="000669D1">
                              <w:rPr>
                                <w:sz w:val="22"/>
                                <w:szCs w:val="22"/>
                              </w:rPr>
                              <w:t xml:space="preserve"> cases </w:t>
                            </w:r>
                            <w:r w:rsidR="00D62901" w:rsidRPr="000669D1">
                              <w:rPr>
                                <w:sz w:val="22"/>
                                <w:szCs w:val="22"/>
                              </w:rPr>
                              <w:t>occurred</w:t>
                            </w:r>
                            <w:r w:rsidR="00B2688D" w:rsidRPr="000669D1">
                              <w:rPr>
                                <w:sz w:val="22"/>
                                <w:szCs w:val="22"/>
                              </w:rPr>
                              <w:t xml:space="preserve"> in </w:t>
                            </w:r>
                            <w:r w:rsidR="004A5FF9" w:rsidRPr="000669D1">
                              <w:rPr>
                                <w:sz w:val="22"/>
                                <w:szCs w:val="22"/>
                              </w:rPr>
                              <w:t xml:space="preserve">May, </w:t>
                            </w:r>
                            <w:r w:rsidR="007A5190" w:rsidRPr="000669D1">
                              <w:rPr>
                                <w:sz w:val="22"/>
                                <w:szCs w:val="22"/>
                              </w:rPr>
                              <w:t>June</w:t>
                            </w:r>
                            <w:r w:rsidR="004A5FF9" w:rsidRPr="000669D1"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r w:rsidR="007A5190" w:rsidRPr="000669D1">
                              <w:rPr>
                                <w:sz w:val="22"/>
                                <w:szCs w:val="22"/>
                              </w:rPr>
                              <w:t xml:space="preserve"> and July</w:t>
                            </w:r>
                            <w:r w:rsidR="00747379"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r w:rsidR="00181E4E">
                              <w:rPr>
                                <w:sz w:val="22"/>
                                <w:szCs w:val="22"/>
                              </w:rPr>
                              <w:t xml:space="preserve"> with </w:t>
                            </w:r>
                            <w:r w:rsidR="007C5704">
                              <w:rPr>
                                <w:sz w:val="22"/>
                                <w:szCs w:val="22"/>
                              </w:rPr>
                              <w:t>only 45%</w:t>
                            </w:r>
                            <w:r w:rsidR="00274239" w:rsidRPr="000669D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7641F" w:rsidRPr="000669D1">
                              <w:rPr>
                                <w:sz w:val="22"/>
                                <w:szCs w:val="22"/>
                              </w:rPr>
                              <w:t xml:space="preserve">of cases </w:t>
                            </w:r>
                            <w:r w:rsidR="00181E4E">
                              <w:rPr>
                                <w:sz w:val="22"/>
                                <w:szCs w:val="22"/>
                              </w:rPr>
                              <w:t xml:space="preserve">reporting awareness of a </w:t>
                            </w:r>
                            <w:r w:rsidR="00274239" w:rsidRPr="000669D1">
                              <w:rPr>
                                <w:sz w:val="22"/>
                                <w:szCs w:val="22"/>
                              </w:rPr>
                              <w:t>recent tick bite</w:t>
                            </w:r>
                            <w:r w:rsidR="0033409F" w:rsidRPr="000669D1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33409F" w:rsidRPr="000669D1" w:rsidRDefault="0033409F" w:rsidP="0033409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747D99" w:rsidRPr="00747D99" w:rsidRDefault="00747D99" w:rsidP="00747D99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747D99">
                              <w:rPr>
                                <w:sz w:val="22"/>
                                <w:szCs w:val="22"/>
                              </w:rPr>
                              <w:t xml:space="preserve">People </w:t>
                            </w:r>
                            <w:r w:rsidR="00F905BF">
                              <w:rPr>
                                <w:sz w:val="22"/>
                                <w:szCs w:val="22"/>
                              </w:rPr>
                              <w:t xml:space="preserve">aged 60 </w:t>
                            </w:r>
                            <w:r w:rsidR="009163F5">
                              <w:rPr>
                                <w:sz w:val="22"/>
                                <w:szCs w:val="22"/>
                              </w:rPr>
                              <w:t xml:space="preserve">years </w:t>
                            </w:r>
                            <w:r w:rsidR="00F905BF">
                              <w:rPr>
                                <w:sz w:val="22"/>
                                <w:szCs w:val="22"/>
                              </w:rPr>
                              <w:t xml:space="preserve">and over </w:t>
                            </w:r>
                            <w:r w:rsidRPr="00747D99">
                              <w:rPr>
                                <w:sz w:val="22"/>
                                <w:szCs w:val="22"/>
                              </w:rPr>
                              <w:t>continue to be at greate</w:t>
                            </w:r>
                            <w:r w:rsidR="00374A3C">
                              <w:rPr>
                                <w:sz w:val="22"/>
                                <w:szCs w:val="22"/>
                              </w:rPr>
                              <w:t>st risk for clinical disease (</w:t>
                            </w:r>
                            <w:r w:rsidR="00553A57"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  <w:r w:rsidR="00F07BDE"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% of</w:t>
                            </w:r>
                            <w:r w:rsidRPr="00747D99">
                              <w:rPr>
                                <w:sz w:val="22"/>
                                <w:szCs w:val="22"/>
                              </w:rPr>
                              <w:t xml:space="preserve"> patients identified with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HGA</w:t>
                            </w:r>
                            <w:r w:rsidR="00181E4E">
                              <w:rPr>
                                <w:sz w:val="22"/>
                                <w:szCs w:val="22"/>
                              </w:rPr>
                              <w:t xml:space="preserve"> were</w:t>
                            </w:r>
                            <w:r w:rsidRPr="00747D9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53A57">
                              <w:rPr>
                                <w:sz w:val="22"/>
                                <w:szCs w:val="22"/>
                              </w:rPr>
                              <w:t xml:space="preserve">60 or </w:t>
                            </w:r>
                            <w:r w:rsidRPr="00747D99">
                              <w:rPr>
                                <w:sz w:val="22"/>
                                <w:szCs w:val="22"/>
                              </w:rPr>
                              <w:t>over) and</w:t>
                            </w:r>
                            <w:r w:rsidR="00374A3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40589">
                              <w:rPr>
                                <w:sz w:val="22"/>
                                <w:szCs w:val="22"/>
                              </w:rPr>
                              <w:t>64</w:t>
                            </w:r>
                            <w:r w:rsidR="00181E4E">
                              <w:rPr>
                                <w:sz w:val="22"/>
                                <w:szCs w:val="22"/>
                              </w:rPr>
                              <w:t>%</w:t>
                            </w:r>
                            <w:r w:rsidRPr="00747D99">
                              <w:rPr>
                                <w:sz w:val="22"/>
                                <w:szCs w:val="22"/>
                              </w:rPr>
                              <w:t xml:space="preserve"> of all cases were male.</w:t>
                            </w:r>
                            <w:r w:rsidR="00374A3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124252" w:rsidRPr="000669D1" w:rsidRDefault="00124252" w:rsidP="0012425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2688D" w:rsidRPr="00181E4E" w:rsidRDefault="00540589" w:rsidP="00181E4E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Nearly o</w:t>
                            </w:r>
                            <w:r w:rsidR="009F2E86">
                              <w:rPr>
                                <w:sz w:val="22"/>
                                <w:szCs w:val="22"/>
                              </w:rPr>
                              <w:t>ne out of three patients with HGA (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29</w:t>
                            </w:r>
                            <w:r w:rsidR="00124252" w:rsidRPr="000669D1">
                              <w:rPr>
                                <w:sz w:val="22"/>
                                <w:szCs w:val="22"/>
                              </w:rPr>
                              <w:t>%</w:t>
                            </w:r>
                            <w:r w:rsidR="009F2E86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r w:rsidR="00124252" w:rsidRPr="000669D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340F0" w:rsidRPr="000669D1">
                              <w:rPr>
                                <w:sz w:val="22"/>
                                <w:szCs w:val="22"/>
                              </w:rPr>
                              <w:t>was</w:t>
                            </w:r>
                            <w:r w:rsidR="00124252" w:rsidRPr="000669D1">
                              <w:rPr>
                                <w:sz w:val="22"/>
                                <w:szCs w:val="22"/>
                              </w:rPr>
                              <w:t xml:space="preserve"> hospitalized.</w:t>
                            </w:r>
                            <w:r w:rsidR="009706A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81E4E" w:rsidRPr="000669D1">
                              <w:rPr>
                                <w:sz w:val="22"/>
                                <w:szCs w:val="22"/>
                              </w:rPr>
                              <w:t xml:space="preserve">The symptoms </w:t>
                            </w:r>
                            <w:r w:rsidR="00181E4E">
                              <w:rPr>
                                <w:sz w:val="22"/>
                                <w:szCs w:val="22"/>
                              </w:rPr>
                              <w:t>most commonly reported</w:t>
                            </w:r>
                            <w:r w:rsidR="00181E4E" w:rsidRPr="000669D1">
                              <w:rPr>
                                <w:sz w:val="22"/>
                                <w:szCs w:val="22"/>
                              </w:rPr>
                              <w:t xml:space="preserve"> included fever (</w:t>
                            </w:r>
                            <w:r w:rsidR="00F905BF">
                              <w:rPr>
                                <w:sz w:val="22"/>
                                <w:szCs w:val="22"/>
                              </w:rPr>
                              <w:t>93</w:t>
                            </w:r>
                            <w:r w:rsidR="00181E4E" w:rsidRPr="000669D1">
                              <w:rPr>
                                <w:sz w:val="22"/>
                                <w:szCs w:val="22"/>
                              </w:rPr>
                              <w:t xml:space="preserve">%), </w:t>
                            </w:r>
                            <w:r w:rsidR="00374A3C">
                              <w:rPr>
                                <w:sz w:val="22"/>
                                <w:szCs w:val="22"/>
                              </w:rPr>
                              <w:t>malaise (</w:t>
                            </w:r>
                            <w:r w:rsidR="00A573E8">
                              <w:rPr>
                                <w:sz w:val="22"/>
                                <w:szCs w:val="22"/>
                              </w:rPr>
                              <w:t>7</w:t>
                            </w:r>
                            <w:r w:rsidR="0055102D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="00181E4E">
                              <w:rPr>
                                <w:sz w:val="22"/>
                                <w:szCs w:val="22"/>
                              </w:rPr>
                              <w:t>%</w:t>
                            </w:r>
                            <w:r w:rsidR="00374A3C">
                              <w:rPr>
                                <w:sz w:val="22"/>
                                <w:szCs w:val="22"/>
                              </w:rPr>
                              <w:t>), and muscle aches and pain (</w:t>
                            </w:r>
                            <w:r w:rsidR="00162FD5">
                              <w:rPr>
                                <w:sz w:val="22"/>
                                <w:szCs w:val="22"/>
                              </w:rPr>
                              <w:t>63</w:t>
                            </w:r>
                            <w:r w:rsidR="00181E4E">
                              <w:rPr>
                                <w:sz w:val="22"/>
                                <w:szCs w:val="22"/>
                              </w:rPr>
                              <w:t>%).</w:t>
                            </w:r>
                            <w:r w:rsidR="00B340F0">
                              <w:rPr>
                                <w:sz w:val="22"/>
                                <w:szCs w:val="22"/>
                              </w:rPr>
                              <w:t xml:space="preserve"> There </w:t>
                            </w:r>
                            <w:r w:rsidR="007E0411">
                              <w:rPr>
                                <w:sz w:val="22"/>
                                <w:szCs w:val="22"/>
                              </w:rPr>
                              <w:t>were</w:t>
                            </w:r>
                            <w:r w:rsidR="00B340F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53EDC">
                              <w:rPr>
                                <w:sz w:val="22"/>
                                <w:szCs w:val="22"/>
                              </w:rPr>
                              <w:t>three</w:t>
                            </w:r>
                            <w:r w:rsidR="00B340F0">
                              <w:rPr>
                                <w:sz w:val="22"/>
                                <w:szCs w:val="22"/>
                              </w:rPr>
                              <w:t xml:space="preserve"> fatalit</w:t>
                            </w:r>
                            <w:r w:rsidR="007E0411">
                              <w:rPr>
                                <w:sz w:val="22"/>
                                <w:szCs w:val="22"/>
                              </w:rPr>
                              <w:t>ies</w:t>
                            </w:r>
                            <w:r w:rsidR="00B340F0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AF1602" w:rsidRPr="000669D1" w:rsidRDefault="00AF1602" w:rsidP="00AF160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274239" w:rsidRPr="002577E7" w:rsidRDefault="00AF1602" w:rsidP="00E12AE3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553A57">
                              <w:rPr>
                                <w:sz w:val="22"/>
                                <w:szCs w:val="22"/>
                              </w:rPr>
                              <w:t xml:space="preserve">For more information about HGA and other tick-borne diseases, including things you can do to keep you and your loved ones safe, please visit </w:t>
                            </w:r>
                            <w:hyperlink r:id="rId10" w:history="1">
                              <w:r w:rsidRPr="00553A57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www.mass.gov/dph/tick</w:t>
                              </w:r>
                            </w:hyperlink>
                            <w:r w:rsidRPr="00553A57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36pt;margin-top:8pt;width:522pt;height:2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k17LwIAAFEEAAAOAAAAZHJzL2Uyb0RvYy54bWysVNuO0zAQfUfiHyy/06TZtrRR09XSpQhp&#10;uUi7fIDjOImF4zG222T5esZO2w3whsiD5fGMj8+cmcn2dugUOQnrJOiCzmcpJUJzqKRuCvrt6fBm&#10;TYnzTFdMgRYFfRaO3u5ev9r2JhcZtKAqYQmCaJf3pqCt9yZPEsdb0TE3AyM0OmuwHfNo2iapLOsR&#10;vVNJlqarpAdbGQtcOIen96OT7iJ+XQvuv9S1E56ogiI3H1cb1zKsyW7L8sYy00p+psH+gUXHpMZH&#10;r1D3zDNytPIvqE5yCw5qP+PQJVDXkouYA2YzT//I5rFlRsRcUBxnrjK5/wfLP5++WiIrrB0lmnVY&#10;oicxePIOBrIO6vTG5Rj0aDDMD3gcIkOmzjwA/+6Ihn3LdCPurIW+FaxCdvNwM5lcHXFcACn7T1Dh&#10;M+zoIQINte0CIIpBEB2r9HytTKDC8XC1yjaLFF0cfTfZzXqJRniD5Zfrxjr/QUBHwqagFksf4dnp&#10;wfkx9BIS6YOS1UEqFQ3blHtlyYlhmxzid0Z30zClSV/QzTJbjgpMfW4KsU7TdH0h+BtEJz32u5Jd&#10;QUPQmAXLg27vdYU0We6ZVOMes1P6LGTQblTRD+WAgUHdEqpnlNTC2Nc4h7hpwf6kpMeeLqj7cWRW&#10;UKI+aizLZr5YhCGIxmL5NkPDTj3l1MM0R6iCekrG7d6Pg3M0VjYtvjQ2goY7LGUto8gvrM68sW9j&#10;mc4zFgZjaseolz/B7hcAAAD//wMAUEsDBBQABgAIAAAAIQAWCPhQ2wAAAAoBAAAPAAAAZHJzL2Rv&#10;d25yZXYueG1sTE9NS8NAEL0L/odlBG/txoCNidkUKQoetRbE2zY7JsHsbMhOmvTfO3rR0/A+ePNe&#10;uV18r044xi6QgZt1AgqpDq6jxsDh7Wl1ByqyJWf7QGjgjBG21eVFaQsXZnrF054bJSEUC2ugZR4K&#10;rWPdordxHQYk0T7D6C0LHBvtRjtLuO91miQb7W1H8qG1A+5arL/2kzfwPmd5Mr1kOe9iPfDH85ke&#10;D50x11fLwz0oxoX/zPBTX6pDJZ2OYSIXVW9glaWyhUXYyBVD/kscDdymwuiq1P8nVN8AAAD//wMA&#10;UEsBAi0AFAAGAAgAAAAhALaDOJL+AAAA4QEAABMAAAAAAAAAAAAAAAAAAAAAAFtDb250ZW50X1R5&#10;cGVzXS54bWxQSwECLQAUAAYACAAAACEAOP0h/9YAAACUAQAACwAAAAAAAAAAAAAAAAAvAQAAX3Jl&#10;bHMvLnJlbHNQSwECLQAUAAYACAAAACEA+fpNey8CAABRBAAADgAAAAAAAAAAAAAAAAAuAgAAZHJz&#10;L2Uyb0RvYy54bWxQSwECLQAUAAYACAAAACEAFgj4UNsAAAAKAQAADwAAAAAAAAAAAAAAAACJBAAA&#10;ZHJzL2Rvd25yZXYueG1sUEsFBgAAAAAEAAQA8wAAAJEFAAAAAA==&#10;" strokecolor="purple">
                <v:textbox>
                  <w:txbxContent>
                    <w:p w:rsidR="00B2688D" w:rsidRDefault="000F1081" w:rsidP="00B2688D">
                      <w:pPr>
                        <w:ind w:left="36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201</w:t>
                      </w:r>
                      <w:r w:rsidR="003F0B8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 w:rsidR="001533AE" w:rsidRPr="00332165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46334" w:rsidRPr="00332165">
                        <w:rPr>
                          <w:b/>
                          <w:sz w:val="28"/>
                          <w:szCs w:val="28"/>
                        </w:rPr>
                        <w:t xml:space="preserve">Surveillance </w:t>
                      </w:r>
                      <w:r w:rsidR="00B2688D" w:rsidRPr="00332165">
                        <w:rPr>
                          <w:b/>
                          <w:sz w:val="28"/>
                          <w:szCs w:val="28"/>
                        </w:rPr>
                        <w:t>Highlights</w:t>
                      </w:r>
                    </w:p>
                    <w:p w:rsidR="00AF3825" w:rsidRPr="004F4EF2" w:rsidRDefault="00AF3825" w:rsidP="00B2688D">
                      <w:pPr>
                        <w:ind w:left="360"/>
                        <w:jc w:val="center"/>
                        <w:rPr>
                          <w:b/>
                          <w:sz w:val="8"/>
                          <w:szCs w:val="8"/>
                        </w:rPr>
                      </w:pPr>
                    </w:p>
                    <w:p w:rsidR="00B2688D" w:rsidRPr="000669D1" w:rsidRDefault="00BF69BD" w:rsidP="00B2688D">
                      <w:pPr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2"/>
                        </w:rPr>
                      </w:pPr>
                      <w:bookmarkStart w:id="1" w:name="_GoBack"/>
                      <w:bookmarkEnd w:id="1"/>
                      <w:r>
                        <w:rPr>
                          <w:sz w:val="22"/>
                          <w:szCs w:val="22"/>
                        </w:rPr>
                        <w:t>1,209</w:t>
                      </w:r>
                      <w:r w:rsidR="00B2688D" w:rsidRPr="000669D1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256D91">
                        <w:rPr>
                          <w:sz w:val="22"/>
                          <w:szCs w:val="22"/>
                        </w:rPr>
                        <w:t xml:space="preserve">confirmed </w:t>
                      </w:r>
                      <w:r w:rsidR="00864F9C">
                        <w:rPr>
                          <w:sz w:val="22"/>
                          <w:szCs w:val="22"/>
                        </w:rPr>
                        <w:t xml:space="preserve">and probable </w:t>
                      </w:r>
                      <w:r w:rsidR="00D7412E" w:rsidRPr="000669D1">
                        <w:rPr>
                          <w:sz w:val="22"/>
                          <w:szCs w:val="22"/>
                        </w:rPr>
                        <w:t xml:space="preserve">cases of </w:t>
                      </w:r>
                      <w:r w:rsidR="00AF3825" w:rsidRPr="000669D1">
                        <w:rPr>
                          <w:sz w:val="22"/>
                          <w:szCs w:val="22"/>
                        </w:rPr>
                        <w:t>HGA</w:t>
                      </w:r>
                      <w:r w:rsidR="00B2688D" w:rsidRPr="000669D1">
                        <w:rPr>
                          <w:sz w:val="22"/>
                          <w:szCs w:val="22"/>
                        </w:rPr>
                        <w:t xml:space="preserve"> were reported </w:t>
                      </w:r>
                      <w:r w:rsidR="00FD241B" w:rsidRPr="000669D1">
                        <w:rPr>
                          <w:sz w:val="22"/>
                          <w:szCs w:val="22"/>
                        </w:rPr>
                        <w:t xml:space="preserve">in </w:t>
                      </w:r>
                      <w:r w:rsidR="00D7412E" w:rsidRPr="000669D1">
                        <w:rPr>
                          <w:sz w:val="22"/>
                          <w:szCs w:val="22"/>
                        </w:rPr>
                        <w:t xml:space="preserve">Massachusetts </w:t>
                      </w:r>
                      <w:r w:rsidR="00FD241B" w:rsidRPr="000669D1">
                        <w:rPr>
                          <w:sz w:val="22"/>
                          <w:szCs w:val="22"/>
                        </w:rPr>
                        <w:t xml:space="preserve">in </w:t>
                      </w:r>
                      <w:r w:rsidR="0028584F" w:rsidRPr="000669D1">
                        <w:rPr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sz w:val="22"/>
                          <w:szCs w:val="22"/>
                        </w:rPr>
                        <w:t>7</w:t>
                      </w:r>
                      <w:r w:rsidR="007B2E6A">
                        <w:rPr>
                          <w:sz w:val="22"/>
                          <w:szCs w:val="22"/>
                        </w:rPr>
                        <w:t>,</w:t>
                      </w:r>
                      <w:r w:rsidR="00211C44">
                        <w:rPr>
                          <w:sz w:val="22"/>
                          <w:szCs w:val="22"/>
                        </w:rPr>
                        <w:t xml:space="preserve"> a</w:t>
                      </w:r>
                      <w:r w:rsidR="00034AA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4713E">
                        <w:rPr>
                          <w:sz w:val="22"/>
                          <w:szCs w:val="22"/>
                        </w:rPr>
                        <w:t>38</w:t>
                      </w:r>
                      <w:r w:rsidR="00B0086B">
                        <w:rPr>
                          <w:sz w:val="22"/>
                          <w:szCs w:val="22"/>
                        </w:rPr>
                        <w:t xml:space="preserve">% </w:t>
                      </w:r>
                      <w:r w:rsidR="00211C44">
                        <w:rPr>
                          <w:sz w:val="22"/>
                          <w:szCs w:val="22"/>
                        </w:rPr>
                        <w:t xml:space="preserve">increase over </w:t>
                      </w:r>
                      <w:r w:rsidR="0072291B" w:rsidRPr="000669D1">
                        <w:rPr>
                          <w:sz w:val="22"/>
                          <w:szCs w:val="22"/>
                        </w:rPr>
                        <w:t>201</w:t>
                      </w:r>
                      <w:r w:rsidR="00CD597F">
                        <w:rPr>
                          <w:sz w:val="22"/>
                          <w:szCs w:val="22"/>
                        </w:rPr>
                        <w:t>6</w:t>
                      </w:r>
                      <w:r w:rsidR="00F879C2" w:rsidRPr="000669D1">
                        <w:rPr>
                          <w:sz w:val="22"/>
                          <w:szCs w:val="22"/>
                        </w:rPr>
                        <w:t>.</w:t>
                      </w:r>
                      <w:r w:rsidR="00C66054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340F0">
                        <w:rPr>
                          <w:sz w:val="22"/>
                          <w:szCs w:val="22"/>
                        </w:rPr>
                        <w:t xml:space="preserve">Overall </w:t>
                      </w:r>
                      <w:r w:rsidR="007D02B2">
                        <w:rPr>
                          <w:sz w:val="22"/>
                          <w:szCs w:val="22"/>
                        </w:rPr>
                        <w:t>2</w:t>
                      </w:r>
                      <w:r w:rsidR="00947D76" w:rsidRPr="007B1E38">
                        <w:rPr>
                          <w:sz w:val="22"/>
                          <w:szCs w:val="22"/>
                        </w:rPr>
                        <w:t>,</w:t>
                      </w:r>
                      <w:r w:rsidR="007D02B2">
                        <w:rPr>
                          <w:sz w:val="22"/>
                          <w:szCs w:val="22"/>
                        </w:rPr>
                        <w:t>473</w:t>
                      </w:r>
                      <w:r w:rsidR="00907A01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747D99">
                        <w:rPr>
                          <w:sz w:val="22"/>
                          <w:szCs w:val="22"/>
                        </w:rPr>
                        <w:t>suspect cases</w:t>
                      </w:r>
                      <w:r w:rsidR="00211C44">
                        <w:rPr>
                          <w:sz w:val="22"/>
                          <w:szCs w:val="22"/>
                        </w:rPr>
                        <w:t xml:space="preserve"> of HGA</w:t>
                      </w:r>
                      <w:r w:rsidR="00747D99">
                        <w:rPr>
                          <w:sz w:val="22"/>
                          <w:szCs w:val="22"/>
                        </w:rPr>
                        <w:t xml:space="preserve"> were investigated.</w:t>
                      </w:r>
                    </w:p>
                    <w:p w:rsidR="00B2688D" w:rsidRPr="000669D1" w:rsidRDefault="00B2688D" w:rsidP="00B2688D">
                      <w:pPr>
                        <w:ind w:left="360"/>
                        <w:rPr>
                          <w:sz w:val="12"/>
                          <w:szCs w:val="12"/>
                        </w:rPr>
                      </w:pPr>
                    </w:p>
                    <w:p w:rsidR="006A4F1D" w:rsidRPr="007605FC" w:rsidRDefault="00211C44" w:rsidP="006A4F1D">
                      <w:pPr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2"/>
                        </w:rPr>
                      </w:pPr>
                      <w:r w:rsidRPr="007605FC">
                        <w:rPr>
                          <w:sz w:val="22"/>
                          <w:szCs w:val="22"/>
                        </w:rPr>
                        <w:t xml:space="preserve">Statewide, HGA incidence increased from </w:t>
                      </w:r>
                      <w:r w:rsidR="004F0FA1">
                        <w:rPr>
                          <w:sz w:val="22"/>
                          <w:szCs w:val="22"/>
                        </w:rPr>
                        <w:t>13.3</w:t>
                      </w:r>
                      <w:r w:rsidRPr="007605FC">
                        <w:rPr>
                          <w:sz w:val="22"/>
                          <w:szCs w:val="22"/>
                        </w:rPr>
                        <w:t xml:space="preserve"> to</w:t>
                      </w:r>
                      <w:r w:rsidR="004F0FA1">
                        <w:rPr>
                          <w:sz w:val="22"/>
                          <w:szCs w:val="22"/>
                        </w:rPr>
                        <w:t xml:space="preserve"> 18.4</w:t>
                      </w:r>
                      <w:r w:rsidR="00922243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4F4EF2" w:rsidRPr="007605FC">
                        <w:rPr>
                          <w:sz w:val="22"/>
                          <w:szCs w:val="22"/>
                        </w:rPr>
                        <w:t>cases per 100,000 residents</w:t>
                      </w:r>
                      <w:r w:rsidR="007605FC" w:rsidRPr="007605FC">
                        <w:rPr>
                          <w:sz w:val="22"/>
                          <w:szCs w:val="22"/>
                        </w:rPr>
                        <w:t xml:space="preserve">. </w:t>
                      </w:r>
                      <w:r w:rsidR="007605FC" w:rsidRPr="00EC4445">
                        <w:rPr>
                          <w:sz w:val="22"/>
                          <w:szCs w:val="22"/>
                        </w:rPr>
                        <w:t xml:space="preserve">The counties with the highest incidence </w:t>
                      </w:r>
                      <w:r w:rsidR="00293C5C">
                        <w:rPr>
                          <w:sz w:val="22"/>
                          <w:szCs w:val="22"/>
                        </w:rPr>
                        <w:t>are</w:t>
                      </w:r>
                      <w:r w:rsidR="007605FC" w:rsidRPr="00EC4445">
                        <w:rPr>
                          <w:sz w:val="22"/>
                          <w:szCs w:val="22"/>
                        </w:rPr>
                        <w:t xml:space="preserve"> Barnstable, Berkshire, Dukes</w:t>
                      </w:r>
                      <w:r w:rsidR="00227B0D">
                        <w:rPr>
                          <w:sz w:val="22"/>
                          <w:szCs w:val="22"/>
                        </w:rPr>
                        <w:t>, Franklin</w:t>
                      </w:r>
                      <w:r w:rsidR="007605FC" w:rsidRPr="00EC4445">
                        <w:rPr>
                          <w:sz w:val="22"/>
                          <w:szCs w:val="22"/>
                        </w:rPr>
                        <w:t>, Nantucket and Plymouth</w:t>
                      </w:r>
                      <w:r w:rsidR="00181E4E" w:rsidRPr="007605FC">
                        <w:rPr>
                          <w:sz w:val="22"/>
                          <w:szCs w:val="22"/>
                        </w:rPr>
                        <w:t xml:space="preserve">. </w:t>
                      </w:r>
                      <w:r w:rsidR="007C5704">
                        <w:rPr>
                          <w:sz w:val="22"/>
                          <w:szCs w:val="22"/>
                        </w:rPr>
                        <w:t>Berkshire</w:t>
                      </w:r>
                      <w:r w:rsidR="007B2E6A">
                        <w:rPr>
                          <w:sz w:val="22"/>
                          <w:szCs w:val="22"/>
                        </w:rPr>
                        <w:t xml:space="preserve"> County</w:t>
                      </w:r>
                      <w:r w:rsidR="00181E4E" w:rsidRPr="007605FC">
                        <w:rPr>
                          <w:sz w:val="22"/>
                          <w:szCs w:val="22"/>
                        </w:rPr>
                        <w:t xml:space="preserve"> had the greatest change in incidence, from </w:t>
                      </w:r>
                      <w:r w:rsidR="007C5704">
                        <w:rPr>
                          <w:sz w:val="22"/>
                          <w:szCs w:val="22"/>
                        </w:rPr>
                        <w:t>66</w:t>
                      </w:r>
                      <w:r w:rsidR="007B1E38">
                        <w:rPr>
                          <w:sz w:val="22"/>
                          <w:szCs w:val="22"/>
                        </w:rPr>
                        <w:t>.3</w:t>
                      </w:r>
                      <w:r w:rsidR="00947D76">
                        <w:rPr>
                          <w:sz w:val="22"/>
                          <w:szCs w:val="22"/>
                        </w:rPr>
                        <w:t xml:space="preserve"> to</w:t>
                      </w:r>
                      <w:r w:rsidR="00374A3C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7C5704">
                        <w:rPr>
                          <w:sz w:val="22"/>
                          <w:szCs w:val="22"/>
                        </w:rPr>
                        <w:t>133.4</w:t>
                      </w:r>
                      <w:r w:rsidR="00947D76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947D76" w:rsidRPr="007605FC">
                        <w:rPr>
                          <w:sz w:val="22"/>
                          <w:szCs w:val="22"/>
                        </w:rPr>
                        <w:t>cases</w:t>
                      </w:r>
                      <w:r w:rsidR="00181E4E" w:rsidRPr="007605FC">
                        <w:rPr>
                          <w:sz w:val="22"/>
                          <w:szCs w:val="22"/>
                        </w:rPr>
                        <w:t xml:space="preserve"> per 100,000 residents.</w:t>
                      </w:r>
                    </w:p>
                    <w:p w:rsidR="006A4F1D" w:rsidRPr="000669D1" w:rsidRDefault="006A4F1D" w:rsidP="006A4F1D">
                      <w:pPr>
                        <w:ind w:left="360"/>
                        <w:rPr>
                          <w:sz w:val="12"/>
                          <w:szCs w:val="12"/>
                        </w:rPr>
                      </w:pPr>
                    </w:p>
                    <w:p w:rsidR="00B2688D" w:rsidRPr="000669D1" w:rsidRDefault="00AF3825" w:rsidP="0033409F">
                      <w:pPr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2"/>
                        </w:rPr>
                      </w:pPr>
                      <w:r w:rsidRPr="000669D1">
                        <w:rPr>
                          <w:sz w:val="22"/>
                          <w:szCs w:val="22"/>
                        </w:rPr>
                        <w:t xml:space="preserve">The </w:t>
                      </w:r>
                      <w:r w:rsidR="00181E4E">
                        <w:rPr>
                          <w:sz w:val="22"/>
                          <w:szCs w:val="22"/>
                        </w:rPr>
                        <w:t>majority of</w:t>
                      </w:r>
                      <w:r w:rsidRPr="000669D1">
                        <w:rPr>
                          <w:sz w:val="22"/>
                          <w:szCs w:val="22"/>
                        </w:rPr>
                        <w:t xml:space="preserve"> cases </w:t>
                      </w:r>
                      <w:r w:rsidR="00D62901" w:rsidRPr="000669D1">
                        <w:rPr>
                          <w:sz w:val="22"/>
                          <w:szCs w:val="22"/>
                        </w:rPr>
                        <w:t>occurred</w:t>
                      </w:r>
                      <w:r w:rsidR="00B2688D" w:rsidRPr="000669D1">
                        <w:rPr>
                          <w:sz w:val="22"/>
                          <w:szCs w:val="22"/>
                        </w:rPr>
                        <w:t xml:space="preserve"> in </w:t>
                      </w:r>
                      <w:r w:rsidR="004A5FF9" w:rsidRPr="000669D1">
                        <w:rPr>
                          <w:sz w:val="22"/>
                          <w:szCs w:val="22"/>
                        </w:rPr>
                        <w:t xml:space="preserve">May, </w:t>
                      </w:r>
                      <w:r w:rsidR="007A5190" w:rsidRPr="000669D1">
                        <w:rPr>
                          <w:sz w:val="22"/>
                          <w:szCs w:val="22"/>
                        </w:rPr>
                        <w:t>June</w:t>
                      </w:r>
                      <w:r w:rsidR="004A5FF9" w:rsidRPr="000669D1">
                        <w:rPr>
                          <w:sz w:val="22"/>
                          <w:szCs w:val="22"/>
                        </w:rPr>
                        <w:t>,</w:t>
                      </w:r>
                      <w:r w:rsidR="007A5190" w:rsidRPr="000669D1">
                        <w:rPr>
                          <w:sz w:val="22"/>
                          <w:szCs w:val="22"/>
                        </w:rPr>
                        <w:t xml:space="preserve"> and July</w:t>
                      </w:r>
                      <w:r w:rsidR="00747379">
                        <w:rPr>
                          <w:sz w:val="22"/>
                          <w:szCs w:val="22"/>
                        </w:rPr>
                        <w:t>,</w:t>
                      </w:r>
                      <w:r w:rsidR="00181E4E">
                        <w:rPr>
                          <w:sz w:val="22"/>
                          <w:szCs w:val="22"/>
                        </w:rPr>
                        <w:t xml:space="preserve"> with </w:t>
                      </w:r>
                      <w:r w:rsidR="007C5704">
                        <w:rPr>
                          <w:sz w:val="22"/>
                          <w:szCs w:val="22"/>
                        </w:rPr>
                        <w:t>only 45%</w:t>
                      </w:r>
                      <w:r w:rsidR="00274239" w:rsidRPr="000669D1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07641F" w:rsidRPr="000669D1">
                        <w:rPr>
                          <w:sz w:val="22"/>
                          <w:szCs w:val="22"/>
                        </w:rPr>
                        <w:t xml:space="preserve">of cases </w:t>
                      </w:r>
                      <w:r w:rsidR="00181E4E">
                        <w:rPr>
                          <w:sz w:val="22"/>
                          <w:szCs w:val="22"/>
                        </w:rPr>
                        <w:t xml:space="preserve">reporting awareness of a </w:t>
                      </w:r>
                      <w:r w:rsidR="00274239" w:rsidRPr="000669D1">
                        <w:rPr>
                          <w:sz w:val="22"/>
                          <w:szCs w:val="22"/>
                        </w:rPr>
                        <w:t>recent tick bite</w:t>
                      </w:r>
                      <w:r w:rsidR="0033409F" w:rsidRPr="000669D1">
                        <w:rPr>
                          <w:sz w:val="22"/>
                          <w:szCs w:val="22"/>
                        </w:rPr>
                        <w:t>.</w:t>
                      </w:r>
                    </w:p>
                    <w:p w:rsidR="0033409F" w:rsidRPr="000669D1" w:rsidRDefault="0033409F" w:rsidP="0033409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747D99" w:rsidRPr="00747D99" w:rsidRDefault="00747D99" w:rsidP="00747D99">
                      <w:pPr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2"/>
                        </w:rPr>
                      </w:pPr>
                      <w:r w:rsidRPr="00747D99">
                        <w:rPr>
                          <w:sz w:val="22"/>
                          <w:szCs w:val="22"/>
                        </w:rPr>
                        <w:t xml:space="preserve">People </w:t>
                      </w:r>
                      <w:r w:rsidR="00F905BF">
                        <w:rPr>
                          <w:sz w:val="22"/>
                          <w:szCs w:val="22"/>
                        </w:rPr>
                        <w:t xml:space="preserve">aged 60 </w:t>
                      </w:r>
                      <w:r w:rsidR="009163F5">
                        <w:rPr>
                          <w:sz w:val="22"/>
                          <w:szCs w:val="22"/>
                        </w:rPr>
                        <w:t xml:space="preserve">years </w:t>
                      </w:r>
                      <w:r w:rsidR="00F905BF">
                        <w:rPr>
                          <w:sz w:val="22"/>
                          <w:szCs w:val="22"/>
                        </w:rPr>
                        <w:t xml:space="preserve">and over </w:t>
                      </w:r>
                      <w:r w:rsidRPr="00747D99">
                        <w:rPr>
                          <w:sz w:val="22"/>
                          <w:szCs w:val="22"/>
                        </w:rPr>
                        <w:t>continue to be at greate</w:t>
                      </w:r>
                      <w:r w:rsidR="00374A3C">
                        <w:rPr>
                          <w:sz w:val="22"/>
                          <w:szCs w:val="22"/>
                        </w:rPr>
                        <w:t>st risk for clinical disease (</w:t>
                      </w:r>
                      <w:r w:rsidR="00553A57">
                        <w:rPr>
                          <w:sz w:val="22"/>
                          <w:szCs w:val="22"/>
                        </w:rPr>
                        <w:t>5</w:t>
                      </w:r>
                      <w:r w:rsidR="00F07BDE">
                        <w:rPr>
                          <w:sz w:val="22"/>
                          <w:szCs w:val="22"/>
                        </w:rPr>
                        <w:t>6</w:t>
                      </w:r>
                      <w:r>
                        <w:rPr>
                          <w:sz w:val="22"/>
                          <w:szCs w:val="22"/>
                        </w:rPr>
                        <w:t>% of</w:t>
                      </w:r>
                      <w:r w:rsidRPr="00747D99">
                        <w:rPr>
                          <w:sz w:val="22"/>
                          <w:szCs w:val="22"/>
                        </w:rPr>
                        <w:t xml:space="preserve"> patients identified with </w:t>
                      </w:r>
                      <w:r>
                        <w:rPr>
                          <w:sz w:val="22"/>
                          <w:szCs w:val="22"/>
                        </w:rPr>
                        <w:t>HGA</w:t>
                      </w:r>
                      <w:r w:rsidR="00181E4E">
                        <w:rPr>
                          <w:sz w:val="22"/>
                          <w:szCs w:val="22"/>
                        </w:rPr>
                        <w:t xml:space="preserve"> were</w:t>
                      </w:r>
                      <w:r w:rsidRPr="00747D99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53A57">
                        <w:rPr>
                          <w:sz w:val="22"/>
                          <w:szCs w:val="22"/>
                        </w:rPr>
                        <w:t xml:space="preserve">60 or </w:t>
                      </w:r>
                      <w:r w:rsidRPr="00747D99">
                        <w:rPr>
                          <w:sz w:val="22"/>
                          <w:szCs w:val="22"/>
                        </w:rPr>
                        <w:t>over) and</w:t>
                      </w:r>
                      <w:r w:rsidR="00374A3C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40589">
                        <w:rPr>
                          <w:sz w:val="22"/>
                          <w:szCs w:val="22"/>
                        </w:rPr>
                        <w:t>64</w:t>
                      </w:r>
                      <w:r w:rsidR="00181E4E">
                        <w:rPr>
                          <w:sz w:val="22"/>
                          <w:szCs w:val="22"/>
                        </w:rPr>
                        <w:t>%</w:t>
                      </w:r>
                      <w:r w:rsidRPr="00747D99">
                        <w:rPr>
                          <w:sz w:val="22"/>
                          <w:szCs w:val="22"/>
                        </w:rPr>
                        <w:t xml:space="preserve"> of all cases were male.</w:t>
                      </w:r>
                      <w:r w:rsidR="00374A3C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124252" w:rsidRPr="000669D1" w:rsidRDefault="00124252" w:rsidP="00124252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B2688D" w:rsidRPr="00181E4E" w:rsidRDefault="00540589" w:rsidP="00181E4E">
                      <w:pPr>
                        <w:numPr>
                          <w:ilvl w:val="0"/>
                          <w:numId w:val="10"/>
                        </w:numPr>
                        <w:rPr>
                          <w:color w:val="FF0000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Nearly o</w:t>
                      </w:r>
                      <w:r w:rsidR="009F2E86">
                        <w:rPr>
                          <w:sz w:val="22"/>
                          <w:szCs w:val="22"/>
                        </w:rPr>
                        <w:t>ne out of three patients with HGA (</w:t>
                      </w:r>
                      <w:r>
                        <w:rPr>
                          <w:sz w:val="22"/>
                          <w:szCs w:val="22"/>
                        </w:rPr>
                        <w:t>29</w:t>
                      </w:r>
                      <w:r w:rsidR="00124252" w:rsidRPr="000669D1">
                        <w:rPr>
                          <w:sz w:val="22"/>
                          <w:szCs w:val="22"/>
                        </w:rPr>
                        <w:t>%</w:t>
                      </w:r>
                      <w:r w:rsidR="009F2E86">
                        <w:rPr>
                          <w:sz w:val="22"/>
                          <w:szCs w:val="22"/>
                        </w:rPr>
                        <w:t>)</w:t>
                      </w:r>
                      <w:r w:rsidR="00124252" w:rsidRPr="000669D1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340F0" w:rsidRPr="000669D1">
                        <w:rPr>
                          <w:sz w:val="22"/>
                          <w:szCs w:val="22"/>
                        </w:rPr>
                        <w:t>was</w:t>
                      </w:r>
                      <w:r w:rsidR="00124252" w:rsidRPr="000669D1">
                        <w:rPr>
                          <w:sz w:val="22"/>
                          <w:szCs w:val="22"/>
                        </w:rPr>
                        <w:t xml:space="preserve"> hospitalized.</w:t>
                      </w:r>
                      <w:r w:rsidR="009706A3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181E4E" w:rsidRPr="000669D1">
                        <w:rPr>
                          <w:sz w:val="22"/>
                          <w:szCs w:val="22"/>
                        </w:rPr>
                        <w:t xml:space="preserve">The symptoms </w:t>
                      </w:r>
                      <w:r w:rsidR="00181E4E">
                        <w:rPr>
                          <w:sz w:val="22"/>
                          <w:szCs w:val="22"/>
                        </w:rPr>
                        <w:t>most commonly reported</w:t>
                      </w:r>
                      <w:r w:rsidR="00181E4E" w:rsidRPr="000669D1">
                        <w:rPr>
                          <w:sz w:val="22"/>
                          <w:szCs w:val="22"/>
                        </w:rPr>
                        <w:t xml:space="preserve"> included fever (</w:t>
                      </w:r>
                      <w:r w:rsidR="00F905BF">
                        <w:rPr>
                          <w:sz w:val="22"/>
                          <w:szCs w:val="22"/>
                        </w:rPr>
                        <w:t>93</w:t>
                      </w:r>
                      <w:r w:rsidR="00181E4E" w:rsidRPr="000669D1">
                        <w:rPr>
                          <w:sz w:val="22"/>
                          <w:szCs w:val="22"/>
                        </w:rPr>
                        <w:t xml:space="preserve">%), </w:t>
                      </w:r>
                      <w:r w:rsidR="00374A3C">
                        <w:rPr>
                          <w:sz w:val="22"/>
                          <w:szCs w:val="22"/>
                        </w:rPr>
                        <w:t>malaise (</w:t>
                      </w:r>
                      <w:r w:rsidR="00A573E8">
                        <w:rPr>
                          <w:sz w:val="22"/>
                          <w:szCs w:val="22"/>
                        </w:rPr>
                        <w:t>7</w:t>
                      </w:r>
                      <w:r w:rsidR="0055102D">
                        <w:rPr>
                          <w:sz w:val="22"/>
                          <w:szCs w:val="22"/>
                        </w:rPr>
                        <w:t>2</w:t>
                      </w:r>
                      <w:r w:rsidR="00181E4E">
                        <w:rPr>
                          <w:sz w:val="22"/>
                          <w:szCs w:val="22"/>
                        </w:rPr>
                        <w:t>%</w:t>
                      </w:r>
                      <w:r w:rsidR="00374A3C">
                        <w:rPr>
                          <w:sz w:val="22"/>
                          <w:szCs w:val="22"/>
                        </w:rPr>
                        <w:t>), and muscle aches and pain (</w:t>
                      </w:r>
                      <w:r w:rsidR="00162FD5">
                        <w:rPr>
                          <w:sz w:val="22"/>
                          <w:szCs w:val="22"/>
                        </w:rPr>
                        <w:t>63</w:t>
                      </w:r>
                      <w:r w:rsidR="00181E4E">
                        <w:rPr>
                          <w:sz w:val="22"/>
                          <w:szCs w:val="22"/>
                        </w:rPr>
                        <w:t>%).</w:t>
                      </w:r>
                      <w:r w:rsidR="00B340F0">
                        <w:rPr>
                          <w:sz w:val="22"/>
                          <w:szCs w:val="22"/>
                        </w:rPr>
                        <w:t xml:space="preserve"> There </w:t>
                      </w:r>
                      <w:r w:rsidR="007E0411">
                        <w:rPr>
                          <w:sz w:val="22"/>
                          <w:szCs w:val="22"/>
                        </w:rPr>
                        <w:t>were</w:t>
                      </w:r>
                      <w:r w:rsidR="00B340F0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53EDC">
                        <w:rPr>
                          <w:sz w:val="22"/>
                          <w:szCs w:val="22"/>
                        </w:rPr>
                        <w:t>three</w:t>
                      </w:r>
                      <w:r w:rsidR="00B340F0">
                        <w:rPr>
                          <w:sz w:val="22"/>
                          <w:szCs w:val="22"/>
                        </w:rPr>
                        <w:t xml:space="preserve"> fatalit</w:t>
                      </w:r>
                      <w:r w:rsidR="007E0411">
                        <w:rPr>
                          <w:sz w:val="22"/>
                          <w:szCs w:val="22"/>
                        </w:rPr>
                        <w:t>ies</w:t>
                      </w:r>
                      <w:r w:rsidR="00B340F0">
                        <w:rPr>
                          <w:sz w:val="22"/>
                          <w:szCs w:val="22"/>
                        </w:rPr>
                        <w:t>.</w:t>
                      </w:r>
                    </w:p>
                    <w:p w:rsidR="00AF1602" w:rsidRPr="000669D1" w:rsidRDefault="00AF1602" w:rsidP="00AF1602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274239" w:rsidRPr="002577E7" w:rsidRDefault="00AF1602" w:rsidP="00E12AE3">
                      <w:pPr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2"/>
                        </w:rPr>
                      </w:pPr>
                      <w:r w:rsidRPr="00553A57">
                        <w:rPr>
                          <w:sz w:val="22"/>
                          <w:szCs w:val="22"/>
                        </w:rPr>
                        <w:t xml:space="preserve">For more information about HGA and other tick-borne diseases, including things you can do to keep you and your loved ones safe, please visit </w:t>
                      </w:r>
                      <w:hyperlink r:id="rId11" w:history="1">
                        <w:r w:rsidRPr="00553A57">
                          <w:rPr>
                            <w:rStyle w:val="Hyperlink"/>
                            <w:sz w:val="22"/>
                            <w:szCs w:val="22"/>
                          </w:rPr>
                          <w:t>www.mass.gov/dph/tick</w:t>
                        </w:r>
                      </w:hyperlink>
                      <w:r w:rsidRPr="00553A57"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59721E" w:rsidRDefault="0059721E" w:rsidP="0059721E">
      <w:pPr>
        <w:jc w:val="center"/>
        <w:rPr>
          <w:b/>
          <w:sz w:val="40"/>
          <w:szCs w:val="40"/>
        </w:rPr>
      </w:pPr>
    </w:p>
    <w:p w:rsidR="0059721E" w:rsidRDefault="0059721E" w:rsidP="0059721E">
      <w:pPr>
        <w:jc w:val="center"/>
        <w:rPr>
          <w:b/>
          <w:sz w:val="40"/>
          <w:szCs w:val="40"/>
        </w:rPr>
      </w:pPr>
    </w:p>
    <w:p w:rsidR="0059721E" w:rsidRDefault="0059721E" w:rsidP="0059721E">
      <w:pPr>
        <w:jc w:val="center"/>
        <w:rPr>
          <w:b/>
          <w:sz w:val="40"/>
          <w:szCs w:val="40"/>
        </w:rPr>
      </w:pPr>
    </w:p>
    <w:p w:rsidR="0059721E" w:rsidRDefault="0059721E" w:rsidP="0059721E">
      <w:pPr>
        <w:jc w:val="center"/>
        <w:rPr>
          <w:b/>
          <w:sz w:val="40"/>
          <w:szCs w:val="40"/>
        </w:rPr>
      </w:pPr>
    </w:p>
    <w:p w:rsidR="0059721E" w:rsidRDefault="0059721E" w:rsidP="0059721E">
      <w:pPr>
        <w:jc w:val="center"/>
        <w:rPr>
          <w:b/>
          <w:sz w:val="40"/>
          <w:szCs w:val="40"/>
        </w:rPr>
      </w:pPr>
    </w:p>
    <w:p w:rsidR="0059721E" w:rsidRDefault="0059721E" w:rsidP="0059721E">
      <w:pPr>
        <w:jc w:val="center"/>
        <w:rPr>
          <w:b/>
          <w:sz w:val="40"/>
          <w:szCs w:val="40"/>
        </w:rPr>
      </w:pPr>
    </w:p>
    <w:p w:rsidR="0059721E" w:rsidRDefault="0059721E" w:rsidP="0059721E">
      <w:pPr>
        <w:jc w:val="center"/>
        <w:rPr>
          <w:b/>
          <w:sz w:val="40"/>
          <w:szCs w:val="40"/>
        </w:rPr>
      </w:pPr>
    </w:p>
    <w:p w:rsidR="00346334" w:rsidRDefault="00346334" w:rsidP="00B2688D">
      <w:pPr>
        <w:rPr>
          <w:b/>
          <w:sz w:val="40"/>
          <w:szCs w:val="40"/>
        </w:rPr>
      </w:pPr>
    </w:p>
    <w:p w:rsidR="00346334" w:rsidRDefault="00D95123" w:rsidP="00B2688D">
      <w:pPr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mc:AlternateContent>
          <mc:Choice Requires="wpc">
            <w:drawing>
              <wp:inline distT="0" distB="0" distL="0" distR="0" wp14:anchorId="7E41FFB1" wp14:editId="44FB1DBE">
                <wp:extent cx="114300" cy="114300"/>
                <wp:effectExtent l="0" t="0" r="0" b="0"/>
                <wp:docPr id="296" name="Canvas 2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id="Canvas 296" o:spid="_x0000_s1026" editas="canvas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BcqFKTZAAAAAwEAAA8AAABkcnMv&#10;ZG93bnJldi54bWxMj09Lw0AQxe+C32EZwYu0m/qnhDSbIoIgggdbhR4n2TEb3Z0N2U0bv71be9DL&#10;DI83vPm9cj05K/Y0hM6zgsU8A0HceN1xq+Bt+zjLQYSIrNF6JgXfFGBdnZ+VWGh/4Ffab2IrUgiH&#10;AhWYGPtCytAYchjmvidO3ocfHMYkh1bqAQ8p3Fl5nWVL6bDj9MFgTw+Gmq/N6BQ8N8urz0U97lz+&#10;8m5u7uzuKW5vlbq8mO5XICJN8e8YjvgJHarEVPuRdRBWQSoSf+fRy5OqT1tWpfzPXv0AAAD//wMA&#10;UEsBAi0AFAAGAAgAAAAhALaDOJL+AAAA4QEAABMAAAAAAAAAAAAAAAAAAAAAAFtDb250ZW50X1R5&#10;cGVzXS54bWxQSwECLQAUAAYACAAAACEAOP0h/9YAAACUAQAACwAAAAAAAAAAAAAAAAAvAQAAX3Jl&#10;bHMvLnJlbHNQSwECLQAUAAYACAAAACEAYfAgixQBAAA+AgAADgAAAAAAAAAAAAAAAAAuAgAAZHJz&#10;L2Uyb0RvYy54bWxQSwECLQAUAAYACAAAACEAFyoUpNkAAAADAQAADwAAAAAAAAAAAAAAAABuAwAA&#10;ZHJzL2Rvd25yZXYueG1sUEsFBgAAAAAEAAQA8wAAAHQEAAAAAA==&#10;">
                <v:shape id="_x0000_s1027" type="#_x0000_t75" style="position:absolute;width:114300;height:11430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AF1602" w:rsidRDefault="00AF1602" w:rsidP="00B2688D">
      <w:pPr>
        <w:rPr>
          <w:b/>
          <w:sz w:val="40"/>
          <w:szCs w:val="40"/>
        </w:rPr>
      </w:pPr>
    </w:p>
    <w:p w:rsidR="002577E7" w:rsidRDefault="006A6DDD" w:rsidP="00B2688D">
      <w:r>
        <w:t xml:space="preserve"> </w:t>
      </w:r>
    </w:p>
    <w:p w:rsidR="00AF1602" w:rsidRPr="00B73228" w:rsidRDefault="00AF1602" w:rsidP="00B2688D">
      <w:pPr>
        <w:rPr>
          <w:sz w:val="20"/>
          <w:szCs w:val="20"/>
        </w:rPr>
      </w:pPr>
    </w:p>
    <w:p w:rsidR="00D678F1" w:rsidRPr="00AF1602" w:rsidRDefault="0007641F" w:rsidP="00D678F1">
      <w:pPr>
        <w:ind w:left="-630"/>
      </w:pPr>
      <w:r w:rsidRPr="00C56DBB">
        <w:t xml:space="preserve">The map below illustrates HGA incidence rates per 100,000 </w:t>
      </w:r>
      <w:r w:rsidR="009163F5">
        <w:t xml:space="preserve">population </w:t>
      </w:r>
      <w:r w:rsidRPr="00C56DBB">
        <w:t xml:space="preserve">by city and town </w:t>
      </w:r>
      <w:r w:rsidR="00D7412E" w:rsidRPr="00C56DBB">
        <w:t xml:space="preserve">of residence </w:t>
      </w:r>
      <w:r w:rsidRPr="00C56DBB">
        <w:t>in Massachusetts</w:t>
      </w:r>
      <w:r w:rsidR="00B41185">
        <w:t xml:space="preserve"> from 201</w:t>
      </w:r>
      <w:r w:rsidR="00361B67">
        <w:t>3</w:t>
      </w:r>
      <w:r w:rsidR="00DE3FF0">
        <w:t>-</w:t>
      </w:r>
      <w:r w:rsidR="00830720">
        <w:t>201</w:t>
      </w:r>
      <w:r w:rsidR="00361B67">
        <w:t>7</w:t>
      </w:r>
      <w:r w:rsidR="009706A3">
        <w:t xml:space="preserve">. </w:t>
      </w:r>
      <w:r w:rsidRPr="00C56DBB">
        <w:t xml:space="preserve">Areas of highest incidence </w:t>
      </w:r>
      <w:r w:rsidRPr="00D678F1">
        <w:t xml:space="preserve">include southern </w:t>
      </w:r>
      <w:r w:rsidR="00D54542" w:rsidRPr="00D678F1">
        <w:t xml:space="preserve">and western </w:t>
      </w:r>
      <w:r w:rsidRPr="00D678F1">
        <w:t>Berkshire County</w:t>
      </w:r>
      <w:r w:rsidR="004D732E" w:rsidRPr="00D678F1">
        <w:t xml:space="preserve">, </w:t>
      </w:r>
      <w:r w:rsidR="00B73228" w:rsidRPr="00D678F1">
        <w:t>Southeastern Massachusetts</w:t>
      </w:r>
      <w:r w:rsidR="00901187" w:rsidRPr="00D678F1">
        <w:t>,</w:t>
      </w:r>
      <w:r w:rsidR="00B73228" w:rsidRPr="00D678F1">
        <w:t xml:space="preserve"> </w:t>
      </w:r>
      <w:r w:rsidR="00247C8E" w:rsidRPr="00D678F1">
        <w:t>Cape Cod and the Islands</w:t>
      </w:r>
      <w:r w:rsidR="009C04ED" w:rsidRPr="00D678F1">
        <w:t>.</w:t>
      </w:r>
      <w:r w:rsidR="00286122" w:rsidRPr="00D678F1">
        <w:t xml:space="preserve"> Many locations within</w:t>
      </w:r>
      <w:r w:rsidR="009976E6" w:rsidRPr="00D678F1">
        <w:t xml:space="preserve"> </w:t>
      </w:r>
      <w:r w:rsidR="00D54542" w:rsidRPr="00D678F1">
        <w:t>Central Essex</w:t>
      </w:r>
      <w:r w:rsidR="009976E6" w:rsidRPr="00D678F1">
        <w:t xml:space="preserve">, </w:t>
      </w:r>
      <w:r w:rsidR="00B73228" w:rsidRPr="00D678F1">
        <w:t xml:space="preserve">Norfolk </w:t>
      </w:r>
      <w:r w:rsidR="009976E6" w:rsidRPr="00D678F1">
        <w:t xml:space="preserve">and </w:t>
      </w:r>
      <w:r w:rsidR="00D54542" w:rsidRPr="00D678F1">
        <w:t>Middlesex</w:t>
      </w:r>
      <w:r w:rsidR="009976E6" w:rsidRPr="00D678F1">
        <w:t xml:space="preserve"> </w:t>
      </w:r>
      <w:r w:rsidR="00286122" w:rsidRPr="00D678F1">
        <w:t>Counties</w:t>
      </w:r>
      <w:r w:rsidR="00B73228" w:rsidRPr="00D678F1">
        <w:t xml:space="preserve"> </w:t>
      </w:r>
      <w:r w:rsidR="009976E6" w:rsidRPr="00D678F1">
        <w:t>also had</w:t>
      </w:r>
      <w:r w:rsidR="009706A3" w:rsidRPr="00D678F1">
        <w:t xml:space="preserve"> areas of elevated incidence.</w:t>
      </w:r>
      <w:r w:rsidR="009706A3">
        <w:t xml:space="preserve"> </w:t>
      </w:r>
    </w:p>
    <w:tbl>
      <w:tblPr>
        <w:tblpPr w:leftFromText="180" w:rightFromText="180" w:vertAnchor="text" w:horzAnchor="margin" w:tblpXSpec="right" w:tblpY="110"/>
        <w:tblW w:w="429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1260"/>
        <w:gridCol w:w="1215"/>
      </w:tblGrid>
      <w:tr w:rsidR="00D56F34" w:rsidRPr="005E6C86" w:rsidTr="00333306">
        <w:trPr>
          <w:trHeight w:val="649"/>
        </w:trPr>
        <w:tc>
          <w:tcPr>
            <w:tcW w:w="1818" w:type="dxa"/>
            <w:shd w:val="clear" w:color="auto" w:fill="auto"/>
          </w:tcPr>
          <w:p w:rsidR="00D56F34" w:rsidRPr="005E6C86" w:rsidRDefault="00D56F34" w:rsidP="005E6C86">
            <w:pPr>
              <w:jc w:val="center"/>
              <w:rPr>
                <w:b/>
                <w:sz w:val="20"/>
                <w:szCs w:val="20"/>
              </w:rPr>
            </w:pPr>
            <w:r w:rsidRPr="005E6C86">
              <w:rPr>
                <w:b/>
                <w:bCs/>
                <w:sz w:val="20"/>
                <w:szCs w:val="20"/>
              </w:rPr>
              <w:t>County</w:t>
            </w:r>
          </w:p>
        </w:tc>
        <w:tc>
          <w:tcPr>
            <w:tcW w:w="1260" w:type="dxa"/>
            <w:shd w:val="clear" w:color="auto" w:fill="auto"/>
          </w:tcPr>
          <w:p w:rsidR="00D56F34" w:rsidRDefault="00D737FF" w:rsidP="005E6C86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201</w:t>
            </w:r>
            <w:r w:rsidR="00713EB5">
              <w:rPr>
                <w:b/>
                <w:bCs/>
                <w:sz w:val="17"/>
                <w:szCs w:val="17"/>
              </w:rPr>
              <w:t>7</w:t>
            </w:r>
            <w:r w:rsidR="0038470B">
              <w:rPr>
                <w:b/>
                <w:bCs/>
                <w:sz w:val="17"/>
                <w:szCs w:val="17"/>
              </w:rPr>
              <w:t xml:space="preserve"> Cases</w:t>
            </w:r>
          </w:p>
          <w:p w:rsidR="0038470B" w:rsidRPr="0038470B" w:rsidRDefault="0038470B" w:rsidP="005E6C86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Confirmed and Probable</w:t>
            </w:r>
          </w:p>
        </w:tc>
        <w:tc>
          <w:tcPr>
            <w:tcW w:w="1215" w:type="dxa"/>
            <w:shd w:val="clear" w:color="auto" w:fill="auto"/>
          </w:tcPr>
          <w:p w:rsidR="00D56F34" w:rsidRPr="0038470B" w:rsidRDefault="0038470B" w:rsidP="005E6C86">
            <w:pPr>
              <w:jc w:val="center"/>
              <w:rPr>
                <w:b/>
                <w:bCs/>
                <w:sz w:val="18"/>
                <w:szCs w:val="18"/>
              </w:rPr>
            </w:pPr>
            <w:r w:rsidRPr="0038470B">
              <w:rPr>
                <w:b/>
                <w:bCs/>
                <w:sz w:val="18"/>
                <w:szCs w:val="18"/>
              </w:rPr>
              <w:t>201</w:t>
            </w:r>
            <w:r w:rsidR="00713EB5">
              <w:rPr>
                <w:b/>
                <w:bCs/>
                <w:sz w:val="18"/>
                <w:szCs w:val="18"/>
              </w:rPr>
              <w:t>7</w:t>
            </w:r>
          </w:p>
          <w:p w:rsidR="00D56F34" w:rsidRPr="005E6C86" w:rsidRDefault="0038470B" w:rsidP="005E6C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Incidence Rate</w:t>
            </w:r>
            <w:r w:rsidR="00333306">
              <w:rPr>
                <w:b/>
                <w:bCs/>
                <w:sz w:val="18"/>
                <w:szCs w:val="18"/>
              </w:rPr>
              <w:t xml:space="preserve"> </w:t>
            </w:r>
            <w:r w:rsidR="00D56F34" w:rsidRPr="0038470B">
              <w:rPr>
                <w:b/>
                <w:bCs/>
                <w:sz w:val="18"/>
                <w:szCs w:val="18"/>
              </w:rPr>
              <w:t>per 100,000</w:t>
            </w:r>
          </w:p>
        </w:tc>
      </w:tr>
      <w:tr w:rsidR="00034AAF" w:rsidRPr="005E6C86" w:rsidTr="00333306">
        <w:trPr>
          <w:trHeight w:val="242"/>
        </w:trPr>
        <w:tc>
          <w:tcPr>
            <w:tcW w:w="1818" w:type="dxa"/>
            <w:shd w:val="clear" w:color="auto" w:fill="auto"/>
          </w:tcPr>
          <w:p w:rsidR="00034AAF" w:rsidRPr="005E6C86" w:rsidRDefault="00034AAF" w:rsidP="005E6C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Barnstable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034AAF" w:rsidRPr="00A90018" w:rsidRDefault="00333306" w:rsidP="004842AB">
            <w:pPr>
              <w:jc w:val="right"/>
              <w:rPr>
                <w:sz w:val="20"/>
                <w:szCs w:val="20"/>
              </w:rPr>
            </w:pPr>
            <w:r w:rsidRPr="00A90018">
              <w:rPr>
                <w:sz w:val="20"/>
                <w:szCs w:val="20"/>
              </w:rPr>
              <w:t>66</w:t>
            </w:r>
          </w:p>
        </w:tc>
        <w:tc>
          <w:tcPr>
            <w:tcW w:w="1215" w:type="dxa"/>
            <w:shd w:val="clear" w:color="auto" w:fill="auto"/>
            <w:vAlign w:val="bottom"/>
          </w:tcPr>
          <w:p w:rsidR="00034AAF" w:rsidRPr="00A90018" w:rsidRDefault="00333306" w:rsidP="004842AB">
            <w:pPr>
              <w:jc w:val="right"/>
              <w:rPr>
                <w:sz w:val="20"/>
                <w:szCs w:val="20"/>
              </w:rPr>
            </w:pPr>
            <w:r w:rsidRPr="00A90018">
              <w:rPr>
                <w:sz w:val="20"/>
                <w:szCs w:val="20"/>
              </w:rPr>
              <w:t>30.6</w:t>
            </w:r>
          </w:p>
        </w:tc>
      </w:tr>
      <w:tr w:rsidR="00034AAF" w:rsidRPr="005E6C86" w:rsidTr="00333306">
        <w:trPr>
          <w:trHeight w:val="242"/>
        </w:trPr>
        <w:tc>
          <w:tcPr>
            <w:tcW w:w="1818" w:type="dxa"/>
            <w:shd w:val="clear" w:color="auto" w:fill="auto"/>
          </w:tcPr>
          <w:p w:rsidR="00034AAF" w:rsidRPr="005E6C86" w:rsidRDefault="00034AAF" w:rsidP="005E6C86">
            <w:pPr>
              <w:rPr>
                <w:sz w:val="20"/>
                <w:szCs w:val="20"/>
              </w:rPr>
            </w:pPr>
            <w:smartTag w:uri="urn:schemas-microsoft-com:office:smarttags" w:element="place">
              <w:r w:rsidRPr="005E6C86">
                <w:rPr>
                  <w:sz w:val="20"/>
                  <w:szCs w:val="20"/>
                </w:rPr>
                <w:t>Berkshire</w:t>
              </w:r>
            </w:smartTag>
          </w:p>
        </w:tc>
        <w:tc>
          <w:tcPr>
            <w:tcW w:w="1260" w:type="dxa"/>
            <w:shd w:val="clear" w:color="auto" w:fill="auto"/>
            <w:vAlign w:val="bottom"/>
          </w:tcPr>
          <w:p w:rsidR="00034AAF" w:rsidRPr="00A90018" w:rsidRDefault="00333306" w:rsidP="004842AB">
            <w:pPr>
              <w:jc w:val="right"/>
              <w:rPr>
                <w:sz w:val="20"/>
                <w:szCs w:val="20"/>
              </w:rPr>
            </w:pPr>
            <w:r w:rsidRPr="00A90018">
              <w:rPr>
                <w:sz w:val="20"/>
                <w:szCs w:val="20"/>
              </w:rPr>
              <w:t>175</w:t>
            </w:r>
          </w:p>
        </w:tc>
        <w:tc>
          <w:tcPr>
            <w:tcW w:w="1215" w:type="dxa"/>
            <w:shd w:val="clear" w:color="auto" w:fill="auto"/>
            <w:vAlign w:val="bottom"/>
          </w:tcPr>
          <w:p w:rsidR="00034AAF" w:rsidRPr="00A90018" w:rsidRDefault="00333306" w:rsidP="004842AB">
            <w:pPr>
              <w:jc w:val="right"/>
              <w:rPr>
                <w:sz w:val="20"/>
                <w:szCs w:val="20"/>
              </w:rPr>
            </w:pPr>
            <w:r w:rsidRPr="00A90018">
              <w:rPr>
                <w:sz w:val="20"/>
                <w:szCs w:val="20"/>
              </w:rPr>
              <w:t>133.4</w:t>
            </w:r>
          </w:p>
        </w:tc>
      </w:tr>
      <w:tr w:rsidR="00034AAF" w:rsidRPr="005E6C86" w:rsidTr="00333306">
        <w:trPr>
          <w:trHeight w:val="242"/>
        </w:trPr>
        <w:tc>
          <w:tcPr>
            <w:tcW w:w="1818" w:type="dxa"/>
            <w:shd w:val="clear" w:color="auto" w:fill="auto"/>
          </w:tcPr>
          <w:p w:rsidR="00034AAF" w:rsidRPr="005E6C86" w:rsidRDefault="00034AAF" w:rsidP="005E6C86">
            <w:pPr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5E6C86">
                  <w:rPr>
                    <w:sz w:val="20"/>
                    <w:szCs w:val="20"/>
                  </w:rPr>
                  <w:t>Bristol</w:t>
                </w:r>
              </w:smartTag>
            </w:smartTag>
          </w:p>
        </w:tc>
        <w:tc>
          <w:tcPr>
            <w:tcW w:w="1260" w:type="dxa"/>
            <w:shd w:val="clear" w:color="auto" w:fill="auto"/>
            <w:vAlign w:val="bottom"/>
          </w:tcPr>
          <w:p w:rsidR="00034AAF" w:rsidRPr="00A90018" w:rsidRDefault="00333306" w:rsidP="004842AB">
            <w:pPr>
              <w:jc w:val="right"/>
              <w:rPr>
                <w:sz w:val="20"/>
                <w:szCs w:val="20"/>
              </w:rPr>
            </w:pPr>
            <w:r w:rsidRPr="00A90018">
              <w:rPr>
                <w:sz w:val="20"/>
                <w:szCs w:val="20"/>
              </w:rPr>
              <w:t>91</w:t>
            </w:r>
          </w:p>
        </w:tc>
        <w:tc>
          <w:tcPr>
            <w:tcW w:w="1215" w:type="dxa"/>
            <w:shd w:val="clear" w:color="auto" w:fill="auto"/>
            <w:vAlign w:val="bottom"/>
          </w:tcPr>
          <w:p w:rsidR="00034AAF" w:rsidRPr="00A90018" w:rsidRDefault="00333306" w:rsidP="004842AB">
            <w:pPr>
              <w:jc w:val="right"/>
              <w:rPr>
                <w:sz w:val="20"/>
                <w:szCs w:val="20"/>
              </w:rPr>
            </w:pPr>
            <w:r w:rsidRPr="00A90018">
              <w:rPr>
                <w:sz w:val="20"/>
                <w:szCs w:val="20"/>
              </w:rPr>
              <w:t>16.6</w:t>
            </w:r>
          </w:p>
        </w:tc>
      </w:tr>
      <w:tr w:rsidR="00034AAF" w:rsidRPr="005E6C86" w:rsidTr="00333306">
        <w:trPr>
          <w:trHeight w:val="242"/>
        </w:trPr>
        <w:tc>
          <w:tcPr>
            <w:tcW w:w="1818" w:type="dxa"/>
            <w:shd w:val="clear" w:color="auto" w:fill="auto"/>
          </w:tcPr>
          <w:p w:rsidR="00034AAF" w:rsidRPr="005E6C86" w:rsidRDefault="00034AAF" w:rsidP="003012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Dukes</w:t>
            </w:r>
            <w:r w:rsidR="00333306">
              <w:rPr>
                <w:sz w:val="20"/>
                <w:szCs w:val="20"/>
              </w:rPr>
              <w:t xml:space="preserve"> &amp; Nantucket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034AAF" w:rsidRPr="00A90018" w:rsidRDefault="00333306" w:rsidP="004842AB">
            <w:pPr>
              <w:jc w:val="right"/>
              <w:rPr>
                <w:sz w:val="20"/>
                <w:szCs w:val="20"/>
              </w:rPr>
            </w:pPr>
            <w:r w:rsidRPr="00A90018">
              <w:rPr>
                <w:sz w:val="20"/>
                <w:szCs w:val="20"/>
              </w:rPr>
              <w:t>11</w:t>
            </w:r>
          </w:p>
        </w:tc>
        <w:tc>
          <w:tcPr>
            <w:tcW w:w="1215" w:type="dxa"/>
            <w:shd w:val="clear" w:color="auto" w:fill="auto"/>
            <w:vAlign w:val="bottom"/>
          </w:tcPr>
          <w:p w:rsidR="00034AAF" w:rsidRPr="00A90018" w:rsidRDefault="00333306" w:rsidP="004842AB">
            <w:pPr>
              <w:jc w:val="right"/>
              <w:rPr>
                <w:sz w:val="20"/>
                <w:szCs w:val="20"/>
              </w:rPr>
            </w:pPr>
            <w:r w:rsidRPr="00A90018">
              <w:rPr>
                <w:sz w:val="20"/>
                <w:szCs w:val="20"/>
              </w:rPr>
              <w:t>41.2</w:t>
            </w:r>
          </w:p>
        </w:tc>
      </w:tr>
      <w:tr w:rsidR="00034AAF" w:rsidRPr="005E6C86" w:rsidTr="00333306">
        <w:trPr>
          <w:trHeight w:val="242"/>
        </w:trPr>
        <w:tc>
          <w:tcPr>
            <w:tcW w:w="1818" w:type="dxa"/>
            <w:shd w:val="clear" w:color="auto" w:fill="auto"/>
          </w:tcPr>
          <w:p w:rsidR="00034AAF" w:rsidRPr="005E6C86" w:rsidRDefault="00034AAF" w:rsidP="005E6C86">
            <w:pPr>
              <w:rPr>
                <w:sz w:val="20"/>
                <w:szCs w:val="20"/>
              </w:rPr>
            </w:pPr>
            <w:r w:rsidRPr="005E6C86">
              <w:rPr>
                <w:sz w:val="20"/>
                <w:szCs w:val="20"/>
              </w:rPr>
              <w:t>Essex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034AAF" w:rsidRPr="00A90018" w:rsidRDefault="00333306" w:rsidP="004842AB">
            <w:pPr>
              <w:jc w:val="right"/>
              <w:rPr>
                <w:sz w:val="20"/>
                <w:szCs w:val="20"/>
              </w:rPr>
            </w:pPr>
            <w:r w:rsidRPr="00A90018">
              <w:rPr>
                <w:sz w:val="20"/>
                <w:szCs w:val="20"/>
              </w:rPr>
              <w:t>73</w:t>
            </w:r>
          </w:p>
        </w:tc>
        <w:tc>
          <w:tcPr>
            <w:tcW w:w="1215" w:type="dxa"/>
            <w:shd w:val="clear" w:color="auto" w:fill="auto"/>
            <w:vAlign w:val="bottom"/>
          </w:tcPr>
          <w:p w:rsidR="00034AAF" w:rsidRPr="00A90018" w:rsidRDefault="00333306" w:rsidP="004842AB">
            <w:pPr>
              <w:jc w:val="right"/>
              <w:rPr>
                <w:sz w:val="20"/>
                <w:szCs w:val="20"/>
              </w:rPr>
            </w:pPr>
            <w:r w:rsidRPr="00A90018">
              <w:rPr>
                <w:sz w:val="20"/>
                <w:szCs w:val="20"/>
              </w:rPr>
              <w:t>9.8</w:t>
            </w:r>
          </w:p>
        </w:tc>
      </w:tr>
      <w:tr w:rsidR="00034AAF" w:rsidRPr="005E6C86" w:rsidTr="00333306">
        <w:trPr>
          <w:trHeight w:val="242"/>
        </w:trPr>
        <w:tc>
          <w:tcPr>
            <w:tcW w:w="1818" w:type="dxa"/>
            <w:shd w:val="clear" w:color="auto" w:fill="auto"/>
          </w:tcPr>
          <w:p w:rsidR="00034AAF" w:rsidRPr="005E6C86" w:rsidRDefault="00034AAF" w:rsidP="005E6C86">
            <w:pPr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5E6C86">
                  <w:rPr>
                    <w:sz w:val="20"/>
                    <w:szCs w:val="20"/>
                  </w:rPr>
                  <w:t>Franklin</w:t>
                </w:r>
              </w:smartTag>
            </w:smartTag>
          </w:p>
        </w:tc>
        <w:tc>
          <w:tcPr>
            <w:tcW w:w="1260" w:type="dxa"/>
            <w:shd w:val="clear" w:color="auto" w:fill="auto"/>
            <w:vAlign w:val="bottom"/>
          </w:tcPr>
          <w:p w:rsidR="00034AAF" w:rsidRPr="00A90018" w:rsidRDefault="00333306" w:rsidP="004842AB">
            <w:pPr>
              <w:jc w:val="right"/>
              <w:rPr>
                <w:sz w:val="20"/>
                <w:szCs w:val="20"/>
              </w:rPr>
            </w:pPr>
            <w:r w:rsidRPr="00A90018">
              <w:rPr>
                <w:sz w:val="20"/>
                <w:szCs w:val="20"/>
              </w:rPr>
              <w:t>27</w:t>
            </w:r>
          </w:p>
        </w:tc>
        <w:tc>
          <w:tcPr>
            <w:tcW w:w="1215" w:type="dxa"/>
            <w:shd w:val="clear" w:color="auto" w:fill="auto"/>
            <w:vAlign w:val="bottom"/>
          </w:tcPr>
          <w:p w:rsidR="00034AAF" w:rsidRPr="00A90018" w:rsidRDefault="00AF63A7" w:rsidP="004842AB">
            <w:pPr>
              <w:jc w:val="right"/>
              <w:rPr>
                <w:sz w:val="20"/>
                <w:szCs w:val="20"/>
              </w:rPr>
            </w:pPr>
            <w:r w:rsidRPr="00A90018">
              <w:rPr>
                <w:sz w:val="20"/>
                <w:szCs w:val="20"/>
              </w:rPr>
              <w:t>37.8</w:t>
            </w:r>
          </w:p>
        </w:tc>
      </w:tr>
      <w:tr w:rsidR="00034AAF" w:rsidRPr="005E6C86" w:rsidTr="00333306">
        <w:trPr>
          <w:trHeight w:val="242"/>
        </w:trPr>
        <w:tc>
          <w:tcPr>
            <w:tcW w:w="1818" w:type="dxa"/>
            <w:shd w:val="clear" w:color="auto" w:fill="auto"/>
          </w:tcPr>
          <w:p w:rsidR="00034AAF" w:rsidRPr="005E6C86" w:rsidRDefault="00034AAF" w:rsidP="005E6C86">
            <w:pPr>
              <w:rPr>
                <w:sz w:val="20"/>
                <w:szCs w:val="20"/>
              </w:rPr>
            </w:pPr>
            <w:r w:rsidRPr="005E6C86">
              <w:rPr>
                <w:sz w:val="20"/>
                <w:szCs w:val="20"/>
              </w:rPr>
              <w:t>Hampden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034AAF" w:rsidRPr="00A90018" w:rsidRDefault="000E1590" w:rsidP="004842AB">
            <w:pPr>
              <w:jc w:val="right"/>
              <w:rPr>
                <w:sz w:val="20"/>
                <w:szCs w:val="20"/>
              </w:rPr>
            </w:pPr>
            <w:r w:rsidRPr="00A90018">
              <w:rPr>
                <w:sz w:val="20"/>
                <w:szCs w:val="20"/>
              </w:rPr>
              <w:t>18</w:t>
            </w:r>
          </w:p>
        </w:tc>
        <w:tc>
          <w:tcPr>
            <w:tcW w:w="1215" w:type="dxa"/>
            <w:shd w:val="clear" w:color="auto" w:fill="auto"/>
            <w:vAlign w:val="bottom"/>
          </w:tcPr>
          <w:p w:rsidR="00034AAF" w:rsidRPr="00A90018" w:rsidRDefault="000E1590" w:rsidP="004842AB">
            <w:pPr>
              <w:jc w:val="right"/>
              <w:rPr>
                <w:sz w:val="20"/>
                <w:szCs w:val="20"/>
              </w:rPr>
            </w:pPr>
            <w:r w:rsidRPr="00A90018">
              <w:rPr>
                <w:sz w:val="20"/>
                <w:szCs w:val="20"/>
              </w:rPr>
              <w:t>3.9</w:t>
            </w:r>
          </w:p>
        </w:tc>
      </w:tr>
      <w:tr w:rsidR="00034AAF" w:rsidRPr="005E6C86" w:rsidTr="00333306">
        <w:trPr>
          <w:trHeight w:val="242"/>
        </w:trPr>
        <w:tc>
          <w:tcPr>
            <w:tcW w:w="1818" w:type="dxa"/>
            <w:shd w:val="clear" w:color="auto" w:fill="auto"/>
          </w:tcPr>
          <w:p w:rsidR="00034AAF" w:rsidRPr="005E6C86" w:rsidRDefault="00034AAF" w:rsidP="005E6C86">
            <w:pPr>
              <w:rPr>
                <w:sz w:val="20"/>
                <w:szCs w:val="20"/>
              </w:rPr>
            </w:pPr>
            <w:r w:rsidRPr="005E6C86">
              <w:rPr>
                <w:sz w:val="20"/>
                <w:szCs w:val="20"/>
              </w:rPr>
              <w:t>Hampshire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034AAF" w:rsidRPr="00A90018" w:rsidRDefault="000E1590" w:rsidP="004842AB">
            <w:pPr>
              <w:jc w:val="right"/>
              <w:rPr>
                <w:sz w:val="20"/>
                <w:szCs w:val="20"/>
              </w:rPr>
            </w:pPr>
            <w:r w:rsidRPr="00A90018">
              <w:rPr>
                <w:sz w:val="20"/>
                <w:szCs w:val="20"/>
              </w:rPr>
              <w:t>30</w:t>
            </w:r>
          </w:p>
        </w:tc>
        <w:tc>
          <w:tcPr>
            <w:tcW w:w="1215" w:type="dxa"/>
            <w:shd w:val="clear" w:color="auto" w:fill="auto"/>
            <w:vAlign w:val="bottom"/>
          </w:tcPr>
          <w:p w:rsidR="00034AAF" w:rsidRPr="00A90018" w:rsidRDefault="000E1590" w:rsidP="004842AB">
            <w:pPr>
              <w:jc w:val="right"/>
              <w:rPr>
                <w:sz w:val="20"/>
                <w:szCs w:val="20"/>
              </w:rPr>
            </w:pPr>
            <w:r w:rsidRPr="00A90018">
              <w:rPr>
                <w:sz w:val="20"/>
                <w:szCs w:val="20"/>
              </w:rPr>
              <w:t>19.0</w:t>
            </w:r>
          </w:p>
        </w:tc>
      </w:tr>
      <w:tr w:rsidR="00034AAF" w:rsidRPr="005E6C86" w:rsidTr="00333306">
        <w:trPr>
          <w:trHeight w:val="242"/>
        </w:trPr>
        <w:tc>
          <w:tcPr>
            <w:tcW w:w="1818" w:type="dxa"/>
            <w:shd w:val="clear" w:color="auto" w:fill="auto"/>
          </w:tcPr>
          <w:p w:rsidR="00034AAF" w:rsidRPr="005E6C86" w:rsidRDefault="00034AAF" w:rsidP="005E6C86">
            <w:pPr>
              <w:rPr>
                <w:sz w:val="20"/>
                <w:szCs w:val="20"/>
              </w:rPr>
            </w:pPr>
            <w:r w:rsidRPr="005E6C86">
              <w:rPr>
                <w:sz w:val="20"/>
                <w:szCs w:val="20"/>
              </w:rPr>
              <w:t>Middlesex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034AAF" w:rsidRPr="00A90018" w:rsidRDefault="000E1590" w:rsidP="004842AB">
            <w:pPr>
              <w:jc w:val="right"/>
              <w:rPr>
                <w:sz w:val="20"/>
                <w:szCs w:val="20"/>
              </w:rPr>
            </w:pPr>
            <w:r w:rsidRPr="00A90018">
              <w:rPr>
                <w:sz w:val="20"/>
                <w:szCs w:val="20"/>
              </w:rPr>
              <w:t>282</w:t>
            </w:r>
          </w:p>
        </w:tc>
        <w:tc>
          <w:tcPr>
            <w:tcW w:w="1215" w:type="dxa"/>
            <w:shd w:val="clear" w:color="auto" w:fill="auto"/>
            <w:vAlign w:val="bottom"/>
          </w:tcPr>
          <w:p w:rsidR="00034AAF" w:rsidRPr="00A90018" w:rsidRDefault="000E1590" w:rsidP="004842AB">
            <w:pPr>
              <w:jc w:val="right"/>
              <w:rPr>
                <w:sz w:val="20"/>
                <w:szCs w:val="20"/>
              </w:rPr>
            </w:pPr>
            <w:r w:rsidRPr="00A90018">
              <w:rPr>
                <w:sz w:val="20"/>
                <w:szCs w:val="20"/>
              </w:rPr>
              <w:t>18.8</w:t>
            </w:r>
          </w:p>
        </w:tc>
      </w:tr>
      <w:tr w:rsidR="00034AAF" w:rsidRPr="005E6C86" w:rsidTr="00333306">
        <w:trPr>
          <w:trHeight w:val="242"/>
        </w:trPr>
        <w:tc>
          <w:tcPr>
            <w:tcW w:w="1818" w:type="dxa"/>
            <w:shd w:val="clear" w:color="auto" w:fill="auto"/>
          </w:tcPr>
          <w:p w:rsidR="00034AAF" w:rsidRPr="005E6C86" w:rsidRDefault="00034AAF" w:rsidP="005E6C86">
            <w:pPr>
              <w:rPr>
                <w:sz w:val="20"/>
                <w:szCs w:val="20"/>
              </w:rPr>
            </w:pPr>
            <w:r w:rsidRPr="005E6C86">
              <w:rPr>
                <w:sz w:val="20"/>
                <w:szCs w:val="20"/>
              </w:rPr>
              <w:t>Norfolk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034AAF" w:rsidRPr="00A90018" w:rsidRDefault="000E1590" w:rsidP="004842AB">
            <w:pPr>
              <w:jc w:val="right"/>
              <w:rPr>
                <w:sz w:val="20"/>
                <w:szCs w:val="20"/>
              </w:rPr>
            </w:pPr>
            <w:r w:rsidRPr="00A90018">
              <w:rPr>
                <w:sz w:val="20"/>
                <w:szCs w:val="20"/>
              </w:rPr>
              <w:t>88</w:t>
            </w:r>
          </w:p>
        </w:tc>
        <w:tc>
          <w:tcPr>
            <w:tcW w:w="1215" w:type="dxa"/>
            <w:shd w:val="clear" w:color="auto" w:fill="auto"/>
            <w:vAlign w:val="bottom"/>
          </w:tcPr>
          <w:p w:rsidR="00034AAF" w:rsidRPr="00A90018" w:rsidRDefault="000E1590" w:rsidP="004842AB">
            <w:pPr>
              <w:jc w:val="right"/>
              <w:rPr>
                <w:sz w:val="20"/>
                <w:szCs w:val="20"/>
              </w:rPr>
            </w:pPr>
            <w:r w:rsidRPr="00A90018">
              <w:rPr>
                <w:sz w:val="20"/>
                <w:szCs w:val="20"/>
              </w:rPr>
              <w:t>13.1</w:t>
            </w:r>
          </w:p>
        </w:tc>
      </w:tr>
      <w:tr w:rsidR="00034AAF" w:rsidRPr="005E6C86" w:rsidTr="00333306">
        <w:trPr>
          <w:trHeight w:val="242"/>
        </w:trPr>
        <w:tc>
          <w:tcPr>
            <w:tcW w:w="1818" w:type="dxa"/>
            <w:shd w:val="clear" w:color="auto" w:fill="auto"/>
          </w:tcPr>
          <w:p w:rsidR="00034AAF" w:rsidRPr="005E6C86" w:rsidRDefault="00034AAF" w:rsidP="005E6C86">
            <w:pPr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5E6C86">
                  <w:rPr>
                    <w:sz w:val="20"/>
                    <w:szCs w:val="20"/>
                  </w:rPr>
                  <w:t>Plymouth</w:t>
                </w:r>
              </w:smartTag>
            </w:smartTag>
          </w:p>
        </w:tc>
        <w:tc>
          <w:tcPr>
            <w:tcW w:w="1260" w:type="dxa"/>
            <w:shd w:val="clear" w:color="auto" w:fill="auto"/>
            <w:vAlign w:val="bottom"/>
          </w:tcPr>
          <w:p w:rsidR="00034AAF" w:rsidRPr="00A90018" w:rsidRDefault="000E1590" w:rsidP="004842AB">
            <w:pPr>
              <w:jc w:val="right"/>
              <w:rPr>
                <w:sz w:val="20"/>
                <w:szCs w:val="20"/>
              </w:rPr>
            </w:pPr>
            <w:r w:rsidRPr="00A90018">
              <w:rPr>
                <w:sz w:val="20"/>
                <w:szCs w:val="20"/>
              </w:rPr>
              <w:t>178</w:t>
            </w:r>
          </w:p>
        </w:tc>
        <w:tc>
          <w:tcPr>
            <w:tcW w:w="1215" w:type="dxa"/>
            <w:shd w:val="clear" w:color="auto" w:fill="auto"/>
            <w:vAlign w:val="bottom"/>
          </w:tcPr>
          <w:p w:rsidR="00034AAF" w:rsidRPr="00A90018" w:rsidRDefault="000E1590" w:rsidP="004842AB">
            <w:pPr>
              <w:jc w:val="right"/>
              <w:rPr>
                <w:sz w:val="20"/>
                <w:szCs w:val="20"/>
              </w:rPr>
            </w:pPr>
            <w:r w:rsidRPr="00A90018">
              <w:rPr>
                <w:sz w:val="20"/>
                <w:szCs w:val="20"/>
              </w:rPr>
              <w:t>36.0</w:t>
            </w:r>
          </w:p>
        </w:tc>
      </w:tr>
      <w:tr w:rsidR="00034AAF" w:rsidRPr="005E6C86" w:rsidTr="00333306">
        <w:trPr>
          <w:trHeight w:val="242"/>
        </w:trPr>
        <w:tc>
          <w:tcPr>
            <w:tcW w:w="1818" w:type="dxa"/>
            <w:shd w:val="clear" w:color="auto" w:fill="auto"/>
          </w:tcPr>
          <w:p w:rsidR="00034AAF" w:rsidRPr="005E6C86" w:rsidRDefault="00034AAF" w:rsidP="005E6C86">
            <w:pPr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5E6C86">
                  <w:rPr>
                    <w:sz w:val="20"/>
                    <w:szCs w:val="20"/>
                  </w:rPr>
                  <w:t>Suffolk</w:t>
                </w:r>
              </w:smartTag>
            </w:smartTag>
          </w:p>
        </w:tc>
        <w:tc>
          <w:tcPr>
            <w:tcW w:w="1260" w:type="dxa"/>
            <w:shd w:val="clear" w:color="auto" w:fill="auto"/>
            <w:vAlign w:val="bottom"/>
          </w:tcPr>
          <w:p w:rsidR="00034AAF" w:rsidRPr="00A90018" w:rsidRDefault="000E1590" w:rsidP="004842AB">
            <w:pPr>
              <w:jc w:val="right"/>
              <w:rPr>
                <w:sz w:val="20"/>
                <w:szCs w:val="20"/>
              </w:rPr>
            </w:pPr>
            <w:r w:rsidRPr="00A90018">
              <w:rPr>
                <w:sz w:val="20"/>
                <w:szCs w:val="20"/>
              </w:rPr>
              <w:t>12</w:t>
            </w:r>
          </w:p>
        </w:tc>
        <w:tc>
          <w:tcPr>
            <w:tcW w:w="1215" w:type="dxa"/>
            <w:shd w:val="clear" w:color="auto" w:fill="auto"/>
            <w:vAlign w:val="bottom"/>
          </w:tcPr>
          <w:p w:rsidR="00034AAF" w:rsidRPr="00A90018" w:rsidRDefault="000E1590" w:rsidP="004842AB">
            <w:pPr>
              <w:jc w:val="right"/>
              <w:rPr>
                <w:sz w:val="20"/>
                <w:szCs w:val="20"/>
              </w:rPr>
            </w:pPr>
            <w:r w:rsidRPr="00A90018">
              <w:rPr>
                <w:sz w:val="20"/>
                <w:szCs w:val="20"/>
              </w:rPr>
              <w:t>1.7</w:t>
            </w:r>
          </w:p>
        </w:tc>
      </w:tr>
      <w:tr w:rsidR="00034AAF" w:rsidRPr="005E6C86" w:rsidTr="00333306">
        <w:trPr>
          <w:trHeight w:val="242"/>
        </w:trPr>
        <w:tc>
          <w:tcPr>
            <w:tcW w:w="1818" w:type="dxa"/>
            <w:shd w:val="clear" w:color="auto" w:fill="auto"/>
          </w:tcPr>
          <w:p w:rsidR="00034AAF" w:rsidRPr="005E6C86" w:rsidRDefault="00034AAF" w:rsidP="005E6C86">
            <w:pPr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5E6C86">
                  <w:rPr>
                    <w:sz w:val="20"/>
                    <w:szCs w:val="20"/>
                  </w:rPr>
                  <w:t>Worcester</w:t>
                </w:r>
              </w:smartTag>
            </w:smartTag>
          </w:p>
        </w:tc>
        <w:tc>
          <w:tcPr>
            <w:tcW w:w="1260" w:type="dxa"/>
            <w:shd w:val="clear" w:color="auto" w:fill="auto"/>
            <w:vAlign w:val="bottom"/>
          </w:tcPr>
          <w:p w:rsidR="00034AAF" w:rsidRPr="00A90018" w:rsidRDefault="000E1590" w:rsidP="004842AB">
            <w:pPr>
              <w:jc w:val="right"/>
              <w:rPr>
                <w:sz w:val="20"/>
                <w:szCs w:val="20"/>
              </w:rPr>
            </w:pPr>
            <w:r w:rsidRPr="00A90018">
              <w:rPr>
                <w:sz w:val="20"/>
                <w:szCs w:val="20"/>
              </w:rPr>
              <w:t>153</w:t>
            </w:r>
          </w:p>
        </w:tc>
        <w:tc>
          <w:tcPr>
            <w:tcW w:w="1215" w:type="dxa"/>
            <w:shd w:val="clear" w:color="auto" w:fill="auto"/>
            <w:vAlign w:val="bottom"/>
          </w:tcPr>
          <w:p w:rsidR="00034AAF" w:rsidRPr="00A90018" w:rsidRDefault="000E1590" w:rsidP="004842AB">
            <w:pPr>
              <w:jc w:val="right"/>
              <w:rPr>
                <w:sz w:val="20"/>
                <w:szCs w:val="20"/>
              </w:rPr>
            </w:pPr>
            <w:r w:rsidRPr="00A90018">
              <w:rPr>
                <w:sz w:val="20"/>
                <w:szCs w:val="20"/>
              </w:rPr>
              <w:t>19.2</w:t>
            </w:r>
          </w:p>
        </w:tc>
      </w:tr>
      <w:tr w:rsidR="00034AAF" w:rsidRPr="005E6C86" w:rsidTr="00333306">
        <w:trPr>
          <w:trHeight w:val="242"/>
        </w:trPr>
        <w:tc>
          <w:tcPr>
            <w:tcW w:w="1818" w:type="dxa"/>
            <w:shd w:val="clear" w:color="auto" w:fill="auto"/>
          </w:tcPr>
          <w:p w:rsidR="00034AAF" w:rsidRPr="005E6C86" w:rsidRDefault="00034AAF" w:rsidP="005E6C86">
            <w:pPr>
              <w:rPr>
                <w:b/>
                <w:sz w:val="20"/>
                <w:szCs w:val="20"/>
              </w:rPr>
            </w:pPr>
            <w:r w:rsidRPr="005E6C86">
              <w:rPr>
                <w:b/>
                <w:sz w:val="20"/>
                <w:szCs w:val="20"/>
              </w:rPr>
              <w:t>State Total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034AAF" w:rsidRPr="00A90018" w:rsidRDefault="000E1590" w:rsidP="004842AB">
            <w:pPr>
              <w:jc w:val="right"/>
              <w:rPr>
                <w:b/>
                <w:sz w:val="20"/>
                <w:szCs w:val="20"/>
              </w:rPr>
            </w:pPr>
            <w:r w:rsidRPr="00A90018">
              <w:rPr>
                <w:b/>
                <w:sz w:val="20"/>
                <w:szCs w:val="20"/>
              </w:rPr>
              <w:t>1,204</w:t>
            </w:r>
          </w:p>
        </w:tc>
        <w:tc>
          <w:tcPr>
            <w:tcW w:w="1215" w:type="dxa"/>
            <w:shd w:val="clear" w:color="auto" w:fill="auto"/>
            <w:vAlign w:val="bottom"/>
          </w:tcPr>
          <w:p w:rsidR="00034AAF" w:rsidRPr="00A90018" w:rsidRDefault="000E1590" w:rsidP="004842AB">
            <w:pPr>
              <w:jc w:val="right"/>
              <w:rPr>
                <w:b/>
                <w:sz w:val="20"/>
                <w:szCs w:val="20"/>
              </w:rPr>
            </w:pPr>
            <w:r w:rsidRPr="00A90018">
              <w:rPr>
                <w:b/>
                <w:sz w:val="20"/>
                <w:szCs w:val="20"/>
              </w:rPr>
              <w:t>18.4</w:t>
            </w:r>
          </w:p>
        </w:tc>
      </w:tr>
    </w:tbl>
    <w:p w:rsidR="00D678F1" w:rsidRDefault="00D678F1" w:rsidP="00D678F1">
      <w:pPr>
        <w:tabs>
          <w:tab w:val="left" w:pos="1840"/>
        </w:tabs>
        <w:rPr>
          <w:b/>
        </w:rPr>
      </w:pPr>
      <w:r w:rsidRPr="00D678F1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A5950A" wp14:editId="6B5362CB">
                <wp:simplePos x="0" y="0"/>
                <wp:positionH relativeFrom="column">
                  <wp:posOffset>3228974</wp:posOffset>
                </wp:positionH>
                <wp:positionV relativeFrom="paragraph">
                  <wp:posOffset>-23495</wp:posOffset>
                </wp:positionV>
                <wp:extent cx="2771775" cy="1403985"/>
                <wp:effectExtent l="0" t="0" r="9525" b="76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8F1" w:rsidRPr="00D678F1" w:rsidRDefault="00D678F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Note: 5 cases with unknown address have been excluded from this table.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54.25pt;margin-top:-1.85pt;width:218.2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p5kJQIAACUEAAAOAAAAZHJzL2Uyb0RvYy54bWysU9tu2zAMfR+wfxD0vvjSZE6MOEWXLsOA&#10;7gK0+wBZlmNhsqhJSuzs60fJaZptb8P0IJAieUQekuvbsVfkKKyToCuazVJKhObQSL2v6Len3Zsl&#10;Jc4z3TAFWlT0JBy93bx+tR5MKXLoQDXCEgTRrhxMRTvvTZkkjneiZ24GRmg0tmB75lG1+6SxbED0&#10;XiV5mr5NBrCNscCFc/h6PxnpJuK3reD+S9s64YmqKObm423jXYc72axZubfMdJKf02D/kEXPpMZP&#10;L1D3zDNysPIvqF5yCw5aP+PQJ9C2kotYA1aTpX9U89gxI2ItSI4zF5rc/4Pln49fLZFNRW/SghLN&#10;emzSkxg9eQcjyQM/g3Eluj0adPQjPmOfY63OPAD/7oiGbcf0XtxZC0MnWIP5ZSEyuQqdcFwAqYdP&#10;0OA37OAhAo2t7QN5SAdBdOzT6dKbkArHx7wosqJYUMLRls3Tm9VyEf9g5XO4sc5/ENCTIFTUYvMj&#10;PDs+OB/SYeWzS/jNgZLNTioVFbuvt8qSI8NB2cVzRv/NTWkyVHS1yBcRWUOIjzPUS4+DrGRf0WUa&#10;TghnZaDjvW6i7JlUk4yZKH3mJ1AykePHeoytiOQF7mpoTkiYhWlucc9Q6MD+pGTAma2o+3FgVlCi&#10;PmokfZXN52HIozJfFDkq9tpSX1uY5ghVUU/JJG59XIxIh7nD5uxkpO0lk3PKOIuRzfPehGG/1qPX&#10;y3ZvfgEAAP//AwBQSwMEFAAGAAgAAAAhAMtXP+vgAAAACgEAAA8AAABkcnMvZG93bnJldi54bWxM&#10;j8FOwzAQRO9I/IO1SNxap6WhJcSpKiouHJBakODoxps4wl5btpuGv8ec4Ljap5k39Xayho0Y4uBI&#10;wGJeAENqnRqoF/D+9jzbAItJkpLGEQr4xgjb5vqqlpVyFzrgeEw9yyEUKylAp+QrzmOr0co4dx4p&#10;/zoXrEz5DD1XQV5yuDV8WRT33MqBcoOWHp80tl/HsxXwYfWg9uH1s1Nm3L90u9JPwQtxezPtHoEl&#10;nNIfDL/6WR2a7HRyZ1KRGQFlsSkzKmB2twaWgYdVmcedBCwX6xXwpub/JzQ/AAAA//8DAFBLAQIt&#10;ABQABgAIAAAAIQC2gziS/gAAAOEBAAATAAAAAAAAAAAAAAAAAAAAAABbQ29udGVudF9UeXBlc10u&#10;eG1sUEsBAi0AFAAGAAgAAAAhADj9If/WAAAAlAEAAAsAAAAAAAAAAAAAAAAALwEAAF9yZWxzLy5y&#10;ZWxzUEsBAi0AFAAGAAgAAAAhANRenmQlAgAAJQQAAA4AAAAAAAAAAAAAAAAALgIAAGRycy9lMm9E&#10;b2MueG1sUEsBAi0AFAAGAAgAAAAhAMtXP+vgAAAACgEAAA8AAAAAAAAAAAAAAAAAfwQAAGRycy9k&#10;b3ducmV2LnhtbFBLBQYAAAAABAAEAPMAAACMBQAAAAA=&#10;" stroked="f">
                <v:textbox style="mso-fit-shape-to-text:t">
                  <w:txbxContent>
                    <w:p w:rsidR="00D678F1" w:rsidRPr="00D678F1" w:rsidRDefault="00D678F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Note: 5 cases with unknown address have been excluded from this table.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13FB9C7F" wp14:editId="36AF5D93">
            <wp:simplePos x="0" y="0"/>
            <wp:positionH relativeFrom="column">
              <wp:posOffset>-645795</wp:posOffset>
            </wp:positionH>
            <wp:positionV relativeFrom="paragraph">
              <wp:posOffset>69215</wp:posOffset>
            </wp:positionV>
            <wp:extent cx="3769360" cy="2912110"/>
            <wp:effectExtent l="0" t="0" r="2540" b="2540"/>
            <wp:wrapTight wrapText="bothSides">
              <wp:wrapPolygon edited="0">
                <wp:start x="0" y="0"/>
                <wp:lineTo x="0" y="21478"/>
                <wp:lineTo x="21505" y="21478"/>
                <wp:lineTo x="21505" y="0"/>
                <wp:lineTo x="0" y="0"/>
              </wp:wrapPolygon>
            </wp:wrapTight>
            <wp:docPr id="10" name="Picture 10" descr="J:\EPI\Zoonoses\Tickborne\Annual Tickborne QA and Reporting\Surveillance statistics and summaries\2017\maps\hga_map_2017_UNSUPPRESS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:\EPI\Zoonoses\Tickborne\Annual Tickborne QA and Reporting\Surveillance statistics and summaries\2017\maps\hga_map_2017_UNSUPPRESSED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360" cy="291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097">
        <w:rPr>
          <w:b/>
        </w:rPr>
        <w:tab/>
      </w:r>
      <w:r w:rsidR="00990097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678F1" w:rsidRDefault="00D678F1" w:rsidP="00D678F1">
      <w:pPr>
        <w:tabs>
          <w:tab w:val="left" w:pos="1840"/>
        </w:tabs>
        <w:ind w:left="-630"/>
        <w:rPr>
          <w:b/>
        </w:rPr>
      </w:pPr>
    </w:p>
    <w:p w:rsidR="00D00067" w:rsidRPr="004237E6" w:rsidRDefault="008372F1" w:rsidP="00D678F1">
      <w:pPr>
        <w:tabs>
          <w:tab w:val="left" w:pos="1840"/>
        </w:tabs>
        <w:ind w:left="-630"/>
        <w:rPr>
          <w:sz w:val="20"/>
          <w:szCs w:val="20"/>
        </w:rPr>
      </w:pPr>
      <w:proofErr w:type="gramStart"/>
      <w:r>
        <w:rPr>
          <w:b/>
        </w:rPr>
        <w:lastRenderedPageBreak/>
        <w:t>Figu</w:t>
      </w:r>
      <w:r w:rsidR="008B1C54">
        <w:rPr>
          <w:b/>
        </w:rPr>
        <w:t>re 1.</w:t>
      </w:r>
      <w:proofErr w:type="gramEnd"/>
      <w:r w:rsidR="008B1C54">
        <w:rPr>
          <w:b/>
        </w:rPr>
        <w:t xml:space="preserve"> </w:t>
      </w:r>
    </w:p>
    <w:p w:rsidR="00332165" w:rsidRPr="00E26C7E" w:rsidRDefault="00736EB6" w:rsidP="009936FD">
      <w:pPr>
        <w:tabs>
          <w:tab w:val="left" w:pos="1840"/>
        </w:tabs>
        <w:rPr>
          <w:b/>
        </w:rPr>
      </w:pPr>
      <w:r>
        <w:rPr>
          <w:b/>
          <w:noProof/>
        </w:rPr>
        <w:drawing>
          <wp:inline distT="0" distB="0" distL="0" distR="0">
            <wp:extent cx="5934990" cy="2562225"/>
            <wp:effectExtent l="0" t="0" r="889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ga by month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65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EB6" w:rsidRDefault="00736EB6" w:rsidP="00776939">
      <w:pPr>
        <w:tabs>
          <w:tab w:val="left" w:pos="5920"/>
        </w:tabs>
        <w:rPr>
          <w:b/>
        </w:rPr>
      </w:pPr>
    </w:p>
    <w:p w:rsidR="0043711B" w:rsidRDefault="008372F1" w:rsidP="00776939">
      <w:pPr>
        <w:tabs>
          <w:tab w:val="left" w:pos="5920"/>
        </w:tabs>
      </w:pPr>
      <w:proofErr w:type="gramStart"/>
      <w:r>
        <w:rPr>
          <w:b/>
        </w:rPr>
        <w:t>Figure 2.</w:t>
      </w:r>
      <w:proofErr w:type="gramEnd"/>
      <w:r w:rsidR="0043711B" w:rsidRPr="0043711B">
        <w:t xml:space="preserve"> </w:t>
      </w:r>
    </w:p>
    <w:p w:rsidR="008372F1" w:rsidRDefault="009F0E94" w:rsidP="00040305">
      <w:pPr>
        <w:tabs>
          <w:tab w:val="left" w:pos="5920"/>
        </w:tabs>
        <w:rPr>
          <w:b/>
        </w:rPr>
      </w:pPr>
      <w:r>
        <w:rPr>
          <w:b/>
          <w:noProof/>
        </w:rPr>
        <w:drawing>
          <wp:inline distT="0" distB="0" distL="0" distR="0">
            <wp:extent cx="5935963" cy="2647950"/>
            <wp:effectExtent l="0" t="0" r="825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ga ir by age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1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0305">
        <w:rPr>
          <w:b/>
        </w:rPr>
        <w:tab/>
      </w:r>
    </w:p>
    <w:p w:rsidR="006D3C59" w:rsidRDefault="00A42718" w:rsidP="00590900">
      <w:pPr>
        <w:rPr>
          <w:b/>
        </w:rPr>
      </w:pPr>
      <w:proofErr w:type="gramStart"/>
      <w:r w:rsidRPr="00A42718">
        <w:rPr>
          <w:b/>
        </w:rPr>
        <w:t>Figure 3.</w:t>
      </w:r>
      <w:proofErr w:type="gramEnd"/>
    </w:p>
    <w:p w:rsidR="00A42718" w:rsidRPr="0093585A" w:rsidRDefault="007A34FE" w:rsidP="00590900">
      <w:pPr>
        <w:rPr>
          <w:b/>
        </w:rPr>
      </w:pPr>
      <w:r>
        <w:rPr>
          <w:b/>
          <w:noProof/>
        </w:rPr>
        <w:drawing>
          <wp:inline distT="0" distB="0" distL="0" distR="0">
            <wp:extent cx="5939704" cy="2847975"/>
            <wp:effectExtent l="0" t="0" r="444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ga by year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9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2718" w:rsidRPr="0093585A" w:rsidSect="006A4F1D">
      <w:footerReference w:type="default" r:id="rId16"/>
      <w:pgSz w:w="12240" w:h="15840"/>
      <w:pgMar w:top="432" w:right="1440" w:bottom="1008" w:left="1440" w:header="36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A2A" w:rsidRDefault="005D3A2A">
      <w:r>
        <w:separator/>
      </w:r>
    </w:p>
  </w:endnote>
  <w:endnote w:type="continuationSeparator" w:id="0">
    <w:p w:rsidR="005D3A2A" w:rsidRDefault="005D3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FCB" w:rsidRDefault="000B0E62">
    <w:pPr>
      <w:pStyle w:val="Footer"/>
    </w:pPr>
    <w:r>
      <w:rPr>
        <w:sz w:val="23"/>
        <w:szCs w:val="23"/>
      </w:rPr>
      <w:t xml:space="preserve">Data as of </w:t>
    </w:r>
    <w:r w:rsidR="00C80010">
      <w:rPr>
        <w:sz w:val="23"/>
        <w:szCs w:val="23"/>
      </w:rPr>
      <w:t>June 4, 2018</w:t>
    </w:r>
    <w:r>
      <w:rPr>
        <w:sz w:val="23"/>
        <w:szCs w:val="23"/>
      </w:rPr>
      <w:t xml:space="preserve"> and are subject to change.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A2A" w:rsidRDefault="005D3A2A">
      <w:r>
        <w:separator/>
      </w:r>
    </w:p>
  </w:footnote>
  <w:footnote w:type="continuationSeparator" w:id="0">
    <w:p w:rsidR="005D3A2A" w:rsidRDefault="005D3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4.75pt;height:24.75pt" o:bullet="t">
        <v:imagedata r:id="rId1" o:title="smalltick"/>
      </v:shape>
    </w:pict>
  </w:numPicBullet>
  <w:abstractNum w:abstractNumId="0">
    <w:nsid w:val="07AD234B"/>
    <w:multiLevelType w:val="hybridMultilevel"/>
    <w:tmpl w:val="67C69700"/>
    <w:lvl w:ilvl="0" w:tplc="6B4CA78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3EB534">
      <w:start w:val="14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88C95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B68B3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3484B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021FA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1E15D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CA5FF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72F85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DE58CD"/>
    <w:multiLevelType w:val="hybridMultilevel"/>
    <w:tmpl w:val="D390BB2A"/>
    <w:lvl w:ilvl="0" w:tplc="B4F21B5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5E286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52445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5A9C9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5802A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1CB7D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14FCF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6CC0F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7215C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FA7D4E"/>
    <w:multiLevelType w:val="hybridMultilevel"/>
    <w:tmpl w:val="F5EC2398"/>
    <w:lvl w:ilvl="0" w:tplc="EB7A3E1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F0AD1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AE7AA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12198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2E80E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A82E8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42841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D0319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E6B6F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D31D87"/>
    <w:multiLevelType w:val="hybridMultilevel"/>
    <w:tmpl w:val="112AE048"/>
    <w:lvl w:ilvl="0" w:tplc="B23AEA1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584334">
      <w:start w:val="14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8B71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98AD1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B6578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08AC6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60BF2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92128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C81BD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512774"/>
    <w:multiLevelType w:val="hybridMultilevel"/>
    <w:tmpl w:val="6F70761A"/>
    <w:lvl w:ilvl="0" w:tplc="39F4B45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4404D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8E491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BC1DC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D6713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FE549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88A16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AEED7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E654D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590649"/>
    <w:multiLevelType w:val="multilevel"/>
    <w:tmpl w:val="B2AE5C7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8D26EC"/>
    <w:multiLevelType w:val="hybridMultilevel"/>
    <w:tmpl w:val="B2AE5C72"/>
    <w:lvl w:ilvl="0" w:tplc="E230F8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CD1F92"/>
    <w:multiLevelType w:val="hybridMultilevel"/>
    <w:tmpl w:val="A0D814EE"/>
    <w:lvl w:ilvl="0" w:tplc="343654F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B08C76">
      <w:start w:val="14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085B0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EC3CD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124CC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1E634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B4994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BC506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BE7FC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D15EAC"/>
    <w:multiLevelType w:val="hybridMultilevel"/>
    <w:tmpl w:val="1862EA1C"/>
    <w:lvl w:ilvl="0" w:tplc="84D0A9E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2EFEF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A0D8C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184B0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3C543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16FA1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68D37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600BF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686FC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2606B6"/>
    <w:multiLevelType w:val="hybridMultilevel"/>
    <w:tmpl w:val="23329C82"/>
    <w:lvl w:ilvl="0" w:tplc="CB7CEEB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E6C3D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5254B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A2F9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46BBF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6AB28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C0AE0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2A576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88C21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F0B2CB1"/>
    <w:multiLevelType w:val="hybridMultilevel"/>
    <w:tmpl w:val="5F42D33A"/>
    <w:lvl w:ilvl="0" w:tplc="EB3261A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868D68">
      <w:start w:val="14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4CF70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146CE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5A545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0880A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C8C1A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AE60D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9E8D8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7"/>
  </w:num>
  <w:num w:numId="5">
    <w:abstractNumId w:val="8"/>
  </w:num>
  <w:num w:numId="6">
    <w:abstractNumId w:val="4"/>
  </w:num>
  <w:num w:numId="7">
    <w:abstractNumId w:val="2"/>
  </w:num>
  <w:num w:numId="8">
    <w:abstractNumId w:val="1"/>
  </w:num>
  <w:num w:numId="9">
    <w:abstractNumId w:val="9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21E"/>
    <w:rsid w:val="00003B89"/>
    <w:rsid w:val="000119AA"/>
    <w:rsid w:val="00012102"/>
    <w:rsid w:val="00020276"/>
    <w:rsid w:val="00020F3D"/>
    <w:rsid w:val="000255DA"/>
    <w:rsid w:val="00034AAF"/>
    <w:rsid w:val="0003716C"/>
    <w:rsid w:val="00040305"/>
    <w:rsid w:val="0004532C"/>
    <w:rsid w:val="00053C0F"/>
    <w:rsid w:val="00062DD3"/>
    <w:rsid w:val="000639FF"/>
    <w:rsid w:val="000669D1"/>
    <w:rsid w:val="0007641F"/>
    <w:rsid w:val="000778C5"/>
    <w:rsid w:val="00081E51"/>
    <w:rsid w:val="0008509F"/>
    <w:rsid w:val="000A4B1E"/>
    <w:rsid w:val="000B0E62"/>
    <w:rsid w:val="000E1590"/>
    <w:rsid w:val="000E54EE"/>
    <w:rsid w:val="000F1081"/>
    <w:rsid w:val="000F2B7A"/>
    <w:rsid w:val="00103B7A"/>
    <w:rsid w:val="00124252"/>
    <w:rsid w:val="00130F37"/>
    <w:rsid w:val="00135342"/>
    <w:rsid w:val="001359D1"/>
    <w:rsid w:val="001533AE"/>
    <w:rsid w:val="00157501"/>
    <w:rsid w:val="00162FD5"/>
    <w:rsid w:val="00170F23"/>
    <w:rsid w:val="0017318B"/>
    <w:rsid w:val="00181E4E"/>
    <w:rsid w:val="001830F1"/>
    <w:rsid w:val="001A4054"/>
    <w:rsid w:val="001B145B"/>
    <w:rsid w:val="001B69FF"/>
    <w:rsid w:val="001B6F5F"/>
    <w:rsid w:val="001D256E"/>
    <w:rsid w:val="001E5DD4"/>
    <w:rsid w:val="001E7299"/>
    <w:rsid w:val="001F3FDA"/>
    <w:rsid w:val="0020201B"/>
    <w:rsid w:val="00211C44"/>
    <w:rsid w:val="002122B6"/>
    <w:rsid w:val="00214527"/>
    <w:rsid w:val="00216656"/>
    <w:rsid w:val="00227B0D"/>
    <w:rsid w:val="00231A6B"/>
    <w:rsid w:val="002327CA"/>
    <w:rsid w:val="00247C8E"/>
    <w:rsid w:val="0025352E"/>
    <w:rsid w:val="00256D91"/>
    <w:rsid w:val="002577E7"/>
    <w:rsid w:val="00262BDE"/>
    <w:rsid w:val="002655AA"/>
    <w:rsid w:val="00266624"/>
    <w:rsid w:val="00272CC9"/>
    <w:rsid w:val="00274239"/>
    <w:rsid w:val="00275DC0"/>
    <w:rsid w:val="00277A03"/>
    <w:rsid w:val="0028584F"/>
    <w:rsid w:val="00286122"/>
    <w:rsid w:val="00290FCB"/>
    <w:rsid w:val="0029326C"/>
    <w:rsid w:val="00293C5C"/>
    <w:rsid w:val="00297A8A"/>
    <w:rsid w:val="002A0DFC"/>
    <w:rsid w:val="002A5E28"/>
    <w:rsid w:val="002B2CC9"/>
    <w:rsid w:val="002C2132"/>
    <w:rsid w:val="002E65C0"/>
    <w:rsid w:val="003012B8"/>
    <w:rsid w:val="003050C9"/>
    <w:rsid w:val="003079C8"/>
    <w:rsid w:val="00311BFE"/>
    <w:rsid w:val="00321C41"/>
    <w:rsid w:val="003265EA"/>
    <w:rsid w:val="0032703D"/>
    <w:rsid w:val="0032783F"/>
    <w:rsid w:val="00332165"/>
    <w:rsid w:val="00333306"/>
    <w:rsid w:val="0033409F"/>
    <w:rsid w:val="00344FA3"/>
    <w:rsid w:val="00346334"/>
    <w:rsid w:val="0034748C"/>
    <w:rsid w:val="00350A7C"/>
    <w:rsid w:val="00361B67"/>
    <w:rsid w:val="00364B4F"/>
    <w:rsid w:val="0036611D"/>
    <w:rsid w:val="00374A3C"/>
    <w:rsid w:val="00374F48"/>
    <w:rsid w:val="0038470B"/>
    <w:rsid w:val="003A277D"/>
    <w:rsid w:val="003A2C44"/>
    <w:rsid w:val="003A6562"/>
    <w:rsid w:val="003C75D3"/>
    <w:rsid w:val="003D025B"/>
    <w:rsid w:val="003D29D2"/>
    <w:rsid w:val="003D5792"/>
    <w:rsid w:val="003F0B88"/>
    <w:rsid w:val="003F37BD"/>
    <w:rsid w:val="0041078C"/>
    <w:rsid w:val="0042198A"/>
    <w:rsid w:val="00421FFC"/>
    <w:rsid w:val="004237E6"/>
    <w:rsid w:val="00424695"/>
    <w:rsid w:val="004357D9"/>
    <w:rsid w:val="0043711B"/>
    <w:rsid w:val="00443E83"/>
    <w:rsid w:val="00444BA2"/>
    <w:rsid w:val="00444F4F"/>
    <w:rsid w:val="00455EEA"/>
    <w:rsid w:val="00456DEE"/>
    <w:rsid w:val="00460ECD"/>
    <w:rsid w:val="004842AB"/>
    <w:rsid w:val="0048588F"/>
    <w:rsid w:val="004A2894"/>
    <w:rsid w:val="004A5FF9"/>
    <w:rsid w:val="004B1E11"/>
    <w:rsid w:val="004B5590"/>
    <w:rsid w:val="004B6FCE"/>
    <w:rsid w:val="004B7C6A"/>
    <w:rsid w:val="004D06AA"/>
    <w:rsid w:val="004D732E"/>
    <w:rsid w:val="004E3FF8"/>
    <w:rsid w:val="004F0FA1"/>
    <w:rsid w:val="004F4EF2"/>
    <w:rsid w:val="00504728"/>
    <w:rsid w:val="00512AE6"/>
    <w:rsid w:val="00516C21"/>
    <w:rsid w:val="0052541D"/>
    <w:rsid w:val="00540589"/>
    <w:rsid w:val="00546016"/>
    <w:rsid w:val="005475F6"/>
    <w:rsid w:val="00550BE8"/>
    <w:rsid w:val="0055102D"/>
    <w:rsid w:val="00553A57"/>
    <w:rsid w:val="00553EDC"/>
    <w:rsid w:val="0055466B"/>
    <w:rsid w:val="0056004B"/>
    <w:rsid w:val="00567A25"/>
    <w:rsid w:val="00574F3D"/>
    <w:rsid w:val="00582999"/>
    <w:rsid w:val="00583806"/>
    <w:rsid w:val="00590900"/>
    <w:rsid w:val="005931A5"/>
    <w:rsid w:val="0059721E"/>
    <w:rsid w:val="005A450E"/>
    <w:rsid w:val="005B2165"/>
    <w:rsid w:val="005C1214"/>
    <w:rsid w:val="005C62C7"/>
    <w:rsid w:val="005C6AB9"/>
    <w:rsid w:val="005D3A2A"/>
    <w:rsid w:val="005E2981"/>
    <w:rsid w:val="005E692C"/>
    <w:rsid w:val="005E6C86"/>
    <w:rsid w:val="005E7BED"/>
    <w:rsid w:val="006073F9"/>
    <w:rsid w:val="006078B0"/>
    <w:rsid w:val="006104DB"/>
    <w:rsid w:val="0061183A"/>
    <w:rsid w:val="00615A8C"/>
    <w:rsid w:val="00615B82"/>
    <w:rsid w:val="0061686B"/>
    <w:rsid w:val="006205C3"/>
    <w:rsid w:val="00625E83"/>
    <w:rsid w:val="0063087F"/>
    <w:rsid w:val="00632831"/>
    <w:rsid w:val="00633C8E"/>
    <w:rsid w:val="00640236"/>
    <w:rsid w:val="00650202"/>
    <w:rsid w:val="006570A2"/>
    <w:rsid w:val="00661EF5"/>
    <w:rsid w:val="00662044"/>
    <w:rsid w:val="006626DD"/>
    <w:rsid w:val="006651E3"/>
    <w:rsid w:val="00671DD3"/>
    <w:rsid w:val="006810B6"/>
    <w:rsid w:val="00685D66"/>
    <w:rsid w:val="006919F1"/>
    <w:rsid w:val="00694F86"/>
    <w:rsid w:val="006A0987"/>
    <w:rsid w:val="006A0989"/>
    <w:rsid w:val="006A1677"/>
    <w:rsid w:val="006A1CD6"/>
    <w:rsid w:val="006A4F1D"/>
    <w:rsid w:val="006A6DDD"/>
    <w:rsid w:val="006B2544"/>
    <w:rsid w:val="006B2C46"/>
    <w:rsid w:val="006C25A5"/>
    <w:rsid w:val="006C27F3"/>
    <w:rsid w:val="006C5BD1"/>
    <w:rsid w:val="006D3C59"/>
    <w:rsid w:val="006D5E0F"/>
    <w:rsid w:val="006D72DB"/>
    <w:rsid w:val="006F110E"/>
    <w:rsid w:val="007114FF"/>
    <w:rsid w:val="00713EB5"/>
    <w:rsid w:val="00715A19"/>
    <w:rsid w:val="00720DD4"/>
    <w:rsid w:val="0072291B"/>
    <w:rsid w:val="00723656"/>
    <w:rsid w:val="0072390E"/>
    <w:rsid w:val="00736EB6"/>
    <w:rsid w:val="00744E4D"/>
    <w:rsid w:val="00746415"/>
    <w:rsid w:val="00747379"/>
    <w:rsid w:val="00747D99"/>
    <w:rsid w:val="00757053"/>
    <w:rsid w:val="007605FC"/>
    <w:rsid w:val="00774DA2"/>
    <w:rsid w:val="00775B34"/>
    <w:rsid w:val="00776939"/>
    <w:rsid w:val="00786696"/>
    <w:rsid w:val="007948AA"/>
    <w:rsid w:val="00796A5A"/>
    <w:rsid w:val="007A34FE"/>
    <w:rsid w:val="007A5190"/>
    <w:rsid w:val="007B1636"/>
    <w:rsid w:val="007B1E38"/>
    <w:rsid w:val="007B2E6A"/>
    <w:rsid w:val="007B3153"/>
    <w:rsid w:val="007B53E7"/>
    <w:rsid w:val="007B5948"/>
    <w:rsid w:val="007C5704"/>
    <w:rsid w:val="007C5C27"/>
    <w:rsid w:val="007D0134"/>
    <w:rsid w:val="007D02B2"/>
    <w:rsid w:val="007D435A"/>
    <w:rsid w:val="007E0411"/>
    <w:rsid w:val="007E23A8"/>
    <w:rsid w:val="007F3168"/>
    <w:rsid w:val="007F552B"/>
    <w:rsid w:val="00810172"/>
    <w:rsid w:val="0082453E"/>
    <w:rsid w:val="008251F3"/>
    <w:rsid w:val="008302CC"/>
    <w:rsid w:val="00830720"/>
    <w:rsid w:val="008372F1"/>
    <w:rsid w:val="008419B9"/>
    <w:rsid w:val="00842D3C"/>
    <w:rsid w:val="008469E4"/>
    <w:rsid w:val="00857501"/>
    <w:rsid w:val="00864F9C"/>
    <w:rsid w:val="008664C6"/>
    <w:rsid w:val="00866B9B"/>
    <w:rsid w:val="00871C2A"/>
    <w:rsid w:val="00883889"/>
    <w:rsid w:val="00883D6B"/>
    <w:rsid w:val="008856BB"/>
    <w:rsid w:val="0089328D"/>
    <w:rsid w:val="00895C39"/>
    <w:rsid w:val="00896C6E"/>
    <w:rsid w:val="008A15A5"/>
    <w:rsid w:val="008B0C9F"/>
    <w:rsid w:val="008B1C54"/>
    <w:rsid w:val="008B35B4"/>
    <w:rsid w:val="008C3BD7"/>
    <w:rsid w:val="008D4506"/>
    <w:rsid w:val="008E64A8"/>
    <w:rsid w:val="008F2B1E"/>
    <w:rsid w:val="008F5EAE"/>
    <w:rsid w:val="008F72F0"/>
    <w:rsid w:val="00901187"/>
    <w:rsid w:val="009011A2"/>
    <w:rsid w:val="009011BD"/>
    <w:rsid w:val="00907A01"/>
    <w:rsid w:val="009163F5"/>
    <w:rsid w:val="00922243"/>
    <w:rsid w:val="0093585A"/>
    <w:rsid w:val="00941056"/>
    <w:rsid w:val="00942282"/>
    <w:rsid w:val="0094524C"/>
    <w:rsid w:val="00947D76"/>
    <w:rsid w:val="00950B99"/>
    <w:rsid w:val="00960815"/>
    <w:rsid w:val="00963291"/>
    <w:rsid w:val="009706A3"/>
    <w:rsid w:val="00972553"/>
    <w:rsid w:val="00990097"/>
    <w:rsid w:val="00993443"/>
    <w:rsid w:val="009936FD"/>
    <w:rsid w:val="009945E8"/>
    <w:rsid w:val="009976E6"/>
    <w:rsid w:val="009B7500"/>
    <w:rsid w:val="009C04ED"/>
    <w:rsid w:val="009D171C"/>
    <w:rsid w:val="009D74F8"/>
    <w:rsid w:val="009E342F"/>
    <w:rsid w:val="009F0E94"/>
    <w:rsid w:val="009F2E86"/>
    <w:rsid w:val="00A00400"/>
    <w:rsid w:val="00A00ADC"/>
    <w:rsid w:val="00A06309"/>
    <w:rsid w:val="00A238E5"/>
    <w:rsid w:val="00A42718"/>
    <w:rsid w:val="00A42F8F"/>
    <w:rsid w:val="00A436E2"/>
    <w:rsid w:val="00A573E8"/>
    <w:rsid w:val="00A624F7"/>
    <w:rsid w:val="00A63BAA"/>
    <w:rsid w:val="00A8717A"/>
    <w:rsid w:val="00A90018"/>
    <w:rsid w:val="00A91D8E"/>
    <w:rsid w:val="00A9661E"/>
    <w:rsid w:val="00AB18E4"/>
    <w:rsid w:val="00AB70DE"/>
    <w:rsid w:val="00AB791B"/>
    <w:rsid w:val="00AC4AE6"/>
    <w:rsid w:val="00AE373E"/>
    <w:rsid w:val="00AE5716"/>
    <w:rsid w:val="00AF0BB1"/>
    <w:rsid w:val="00AF15BF"/>
    <w:rsid w:val="00AF1602"/>
    <w:rsid w:val="00AF3825"/>
    <w:rsid w:val="00AF63A7"/>
    <w:rsid w:val="00B0086B"/>
    <w:rsid w:val="00B061A3"/>
    <w:rsid w:val="00B208B5"/>
    <w:rsid w:val="00B214FE"/>
    <w:rsid w:val="00B25530"/>
    <w:rsid w:val="00B2688D"/>
    <w:rsid w:val="00B30614"/>
    <w:rsid w:val="00B31624"/>
    <w:rsid w:val="00B340F0"/>
    <w:rsid w:val="00B41185"/>
    <w:rsid w:val="00B4713E"/>
    <w:rsid w:val="00B52E35"/>
    <w:rsid w:val="00B603D0"/>
    <w:rsid w:val="00B66CF9"/>
    <w:rsid w:val="00B67744"/>
    <w:rsid w:val="00B73228"/>
    <w:rsid w:val="00B87180"/>
    <w:rsid w:val="00B95977"/>
    <w:rsid w:val="00BB0A86"/>
    <w:rsid w:val="00BB22B4"/>
    <w:rsid w:val="00BD29C8"/>
    <w:rsid w:val="00BD2CBA"/>
    <w:rsid w:val="00BD4F7C"/>
    <w:rsid w:val="00BD622E"/>
    <w:rsid w:val="00BF69BD"/>
    <w:rsid w:val="00C04340"/>
    <w:rsid w:val="00C12CC9"/>
    <w:rsid w:val="00C14E77"/>
    <w:rsid w:val="00C15D72"/>
    <w:rsid w:val="00C20D15"/>
    <w:rsid w:val="00C210B9"/>
    <w:rsid w:val="00C33451"/>
    <w:rsid w:val="00C400EC"/>
    <w:rsid w:val="00C40BFD"/>
    <w:rsid w:val="00C56DBB"/>
    <w:rsid w:val="00C64E6B"/>
    <w:rsid w:val="00C66054"/>
    <w:rsid w:val="00C70A5D"/>
    <w:rsid w:val="00C770CB"/>
    <w:rsid w:val="00C80010"/>
    <w:rsid w:val="00C80750"/>
    <w:rsid w:val="00C84F47"/>
    <w:rsid w:val="00CA397A"/>
    <w:rsid w:val="00CA553D"/>
    <w:rsid w:val="00CB752E"/>
    <w:rsid w:val="00CC3BC1"/>
    <w:rsid w:val="00CC54BA"/>
    <w:rsid w:val="00CD597F"/>
    <w:rsid w:val="00CE1140"/>
    <w:rsid w:val="00CF6549"/>
    <w:rsid w:val="00D00067"/>
    <w:rsid w:val="00D006F7"/>
    <w:rsid w:val="00D0565B"/>
    <w:rsid w:val="00D061B9"/>
    <w:rsid w:val="00D10B99"/>
    <w:rsid w:val="00D12052"/>
    <w:rsid w:val="00D24B11"/>
    <w:rsid w:val="00D3479D"/>
    <w:rsid w:val="00D43970"/>
    <w:rsid w:val="00D523D7"/>
    <w:rsid w:val="00D54542"/>
    <w:rsid w:val="00D56F34"/>
    <w:rsid w:val="00D574F4"/>
    <w:rsid w:val="00D57DA2"/>
    <w:rsid w:val="00D62901"/>
    <w:rsid w:val="00D678F1"/>
    <w:rsid w:val="00D737FF"/>
    <w:rsid w:val="00D7412E"/>
    <w:rsid w:val="00D77D9D"/>
    <w:rsid w:val="00D821D0"/>
    <w:rsid w:val="00D91861"/>
    <w:rsid w:val="00D931E9"/>
    <w:rsid w:val="00D95123"/>
    <w:rsid w:val="00DB3863"/>
    <w:rsid w:val="00DB3BEA"/>
    <w:rsid w:val="00DC0088"/>
    <w:rsid w:val="00DD059F"/>
    <w:rsid w:val="00DD3A4A"/>
    <w:rsid w:val="00DE0FBA"/>
    <w:rsid w:val="00DE3FF0"/>
    <w:rsid w:val="00DF50E9"/>
    <w:rsid w:val="00DF67B8"/>
    <w:rsid w:val="00E04E1E"/>
    <w:rsid w:val="00E10118"/>
    <w:rsid w:val="00E12AE3"/>
    <w:rsid w:val="00E26C7E"/>
    <w:rsid w:val="00E37812"/>
    <w:rsid w:val="00E40187"/>
    <w:rsid w:val="00E4519A"/>
    <w:rsid w:val="00E60DC0"/>
    <w:rsid w:val="00E62C23"/>
    <w:rsid w:val="00E67984"/>
    <w:rsid w:val="00E71F0D"/>
    <w:rsid w:val="00E832FA"/>
    <w:rsid w:val="00E8779A"/>
    <w:rsid w:val="00E9696F"/>
    <w:rsid w:val="00EC33B4"/>
    <w:rsid w:val="00EC4445"/>
    <w:rsid w:val="00ED4E68"/>
    <w:rsid w:val="00ED752D"/>
    <w:rsid w:val="00EF5AB7"/>
    <w:rsid w:val="00F05418"/>
    <w:rsid w:val="00F05E5C"/>
    <w:rsid w:val="00F07BDE"/>
    <w:rsid w:val="00F213A5"/>
    <w:rsid w:val="00F226F4"/>
    <w:rsid w:val="00F32CE1"/>
    <w:rsid w:val="00F37B4E"/>
    <w:rsid w:val="00F37F79"/>
    <w:rsid w:val="00F4083E"/>
    <w:rsid w:val="00F43793"/>
    <w:rsid w:val="00F43EE0"/>
    <w:rsid w:val="00F4492E"/>
    <w:rsid w:val="00F516C0"/>
    <w:rsid w:val="00F544D0"/>
    <w:rsid w:val="00F558ED"/>
    <w:rsid w:val="00F70817"/>
    <w:rsid w:val="00F73F87"/>
    <w:rsid w:val="00F751E0"/>
    <w:rsid w:val="00F757E0"/>
    <w:rsid w:val="00F85DAB"/>
    <w:rsid w:val="00F86DAA"/>
    <w:rsid w:val="00F879C2"/>
    <w:rsid w:val="00F905BF"/>
    <w:rsid w:val="00F92A3D"/>
    <w:rsid w:val="00FA5D6C"/>
    <w:rsid w:val="00FB0E90"/>
    <w:rsid w:val="00FB2CA4"/>
    <w:rsid w:val="00FB39E9"/>
    <w:rsid w:val="00FD241B"/>
    <w:rsid w:val="00FE0C8B"/>
    <w:rsid w:val="00FE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F37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90F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0FCB"/>
    <w:pPr>
      <w:tabs>
        <w:tab w:val="center" w:pos="4320"/>
        <w:tab w:val="right" w:pos="8640"/>
      </w:tabs>
    </w:pPr>
  </w:style>
  <w:style w:type="table" w:styleId="TableElegant">
    <w:name w:val="Table Elegant"/>
    <w:basedOn w:val="TableNormal"/>
    <w:rsid w:val="005C12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27423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AF1602"/>
    <w:rPr>
      <w:color w:val="0000FF"/>
      <w:u w:val="single"/>
    </w:rPr>
  </w:style>
  <w:style w:type="character" w:styleId="CommentReference">
    <w:name w:val="annotation reference"/>
    <w:semiHidden/>
    <w:rsid w:val="001B69FF"/>
    <w:rPr>
      <w:sz w:val="16"/>
      <w:szCs w:val="16"/>
    </w:rPr>
  </w:style>
  <w:style w:type="paragraph" w:styleId="CommentText">
    <w:name w:val="annotation text"/>
    <w:basedOn w:val="Normal"/>
    <w:semiHidden/>
    <w:rsid w:val="001B69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B69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F37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90F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0FCB"/>
    <w:pPr>
      <w:tabs>
        <w:tab w:val="center" w:pos="4320"/>
        <w:tab w:val="right" w:pos="8640"/>
      </w:tabs>
    </w:pPr>
  </w:style>
  <w:style w:type="table" w:styleId="TableElegant">
    <w:name w:val="Table Elegant"/>
    <w:basedOn w:val="TableNormal"/>
    <w:rsid w:val="005C12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27423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AF1602"/>
    <w:rPr>
      <w:color w:val="0000FF"/>
      <w:u w:val="single"/>
    </w:rPr>
  </w:style>
  <w:style w:type="character" w:styleId="CommentReference">
    <w:name w:val="annotation reference"/>
    <w:semiHidden/>
    <w:rsid w:val="001B69FF"/>
    <w:rPr>
      <w:sz w:val="16"/>
      <w:szCs w:val="16"/>
    </w:rPr>
  </w:style>
  <w:style w:type="paragraph" w:styleId="CommentText">
    <w:name w:val="annotation text"/>
    <w:basedOn w:val="Normal"/>
    <w:semiHidden/>
    <w:rsid w:val="001B69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B69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8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0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2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1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0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5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7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6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7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0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ss.gov/dph/tick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hyperlink" Target="http://www.mass.gov/dph/tic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37307-3FC7-4E8C-BCB5-93D516DDF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162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Lyme Disease Surveillance in Massachusetts, 2005</vt:lpstr>
    </vt:vector>
  </TitlesOfParts>
  <Company>Department of Public Health</Company>
  <LinksUpToDate>false</LinksUpToDate>
  <CharactersWithSpaces>1127</CharactersWithSpaces>
  <SharedDoc>false</SharedDoc>
  <HLinks>
    <vt:vector size="6" baseType="variant">
      <vt:variant>
        <vt:i4>393288</vt:i4>
      </vt:variant>
      <vt:variant>
        <vt:i4>0</vt:i4>
      </vt:variant>
      <vt:variant>
        <vt:i4>0</vt:i4>
      </vt:variant>
      <vt:variant>
        <vt:i4>5</vt:i4>
      </vt:variant>
      <vt:variant>
        <vt:lpwstr>http://www.mass.gov/dph/tick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HGA Surveillance in Massachusetts, 2017</dc:title>
  <dc:creator>SSoliva</dc:creator>
  <cp:keywords>HGA;Massachusetts</cp:keywords>
  <cp:lastModifiedBy> JY</cp:lastModifiedBy>
  <cp:revision>4</cp:revision>
  <cp:lastPrinted>2016-04-22T14:45:00Z</cp:lastPrinted>
  <dcterms:created xsi:type="dcterms:W3CDTF">2019-04-23T14:41:00Z</dcterms:created>
  <dcterms:modified xsi:type="dcterms:W3CDTF">2019-04-23T16:22:00Z</dcterms:modified>
</cp:coreProperties>
</file>