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06A8" w14:textId="05DD4FF8" w:rsidR="003475EE" w:rsidRPr="00174B9D" w:rsidRDefault="004B10A2" w:rsidP="00174B9D">
      <w:pPr>
        <w:pStyle w:val="Heading1"/>
      </w:pPr>
      <w:r>
        <w:rPr>
          <w:noProof/>
        </w:rPr>
        <mc:AlternateContent>
          <mc:Choice Requires="wps">
            <w:drawing>
              <wp:anchor distT="0" distB="0" distL="114300" distR="114300" simplePos="0" relativeHeight="251657216" behindDoc="0" locked="0" layoutInCell="1" allowOverlap="1" wp14:anchorId="7C7033B8" wp14:editId="1B00B99C">
                <wp:simplePos x="0" y="0"/>
                <wp:positionH relativeFrom="page">
                  <wp:align>center</wp:align>
                </wp:positionH>
                <wp:positionV relativeFrom="page">
                  <wp:align>center</wp:align>
                </wp:positionV>
                <wp:extent cx="5943600" cy="8229600"/>
                <wp:effectExtent l="0" t="0" r="0" b="0"/>
                <wp:wrapTopAndBottom/>
                <wp:docPr id="1748622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97EC68" w14:textId="77777777" w:rsidR="00444C98" w:rsidRDefault="00444C98" w:rsidP="00705149">
                            <w:pPr>
                              <w:jc w:val="center"/>
                              <w:rPr>
                                <w:b/>
                              </w:rPr>
                            </w:pPr>
                          </w:p>
                          <w:p w14:paraId="0C551BD0" w14:textId="77777777" w:rsidR="00444C98" w:rsidRDefault="00444C98" w:rsidP="00705149">
                            <w:pPr>
                              <w:jc w:val="center"/>
                              <w:rPr>
                                <w:b/>
                              </w:rPr>
                            </w:pPr>
                          </w:p>
                          <w:p w14:paraId="3818BFB9" w14:textId="77777777" w:rsidR="00444C98" w:rsidRPr="00705149" w:rsidRDefault="00444C98" w:rsidP="00705149">
                            <w:pPr>
                              <w:jc w:val="center"/>
                              <w:rPr>
                                <w:b/>
                                <w:sz w:val="40"/>
                              </w:rPr>
                            </w:pPr>
                            <w:r w:rsidRPr="00705149">
                              <w:rPr>
                                <w:b/>
                                <w:sz w:val="40"/>
                              </w:rPr>
                              <w:t>INDOOR AIR QUALITY</w:t>
                            </w:r>
                          </w:p>
                          <w:p w14:paraId="287FE8C9" w14:textId="77777777" w:rsidR="00444C98" w:rsidRPr="00705149" w:rsidRDefault="00444C98" w:rsidP="00705149">
                            <w:pPr>
                              <w:jc w:val="center"/>
                              <w:rPr>
                                <w:b/>
                                <w:sz w:val="40"/>
                              </w:rPr>
                            </w:pPr>
                            <w:r w:rsidRPr="00705149">
                              <w:rPr>
                                <w:b/>
                                <w:sz w:val="40"/>
                              </w:rPr>
                              <w:t>ASSESSMENT</w:t>
                            </w:r>
                          </w:p>
                          <w:p w14:paraId="4E1232EC" w14:textId="77777777" w:rsidR="00444C98" w:rsidRPr="00705149" w:rsidRDefault="00444C98" w:rsidP="00705149">
                            <w:pPr>
                              <w:jc w:val="center"/>
                              <w:rPr>
                                <w:b/>
                              </w:rPr>
                            </w:pPr>
                          </w:p>
                          <w:p w14:paraId="2B3861A6" w14:textId="77777777" w:rsidR="00444C98" w:rsidRPr="00705149" w:rsidRDefault="00444C98" w:rsidP="00705149">
                            <w:pPr>
                              <w:jc w:val="center"/>
                              <w:rPr>
                                <w:b/>
                              </w:rPr>
                            </w:pPr>
                          </w:p>
                          <w:p w14:paraId="2D06F5F2" w14:textId="77777777" w:rsidR="003E4090" w:rsidRDefault="003E4090" w:rsidP="00922AC3">
                            <w:pPr>
                              <w:jc w:val="center"/>
                              <w:rPr>
                                <w:b/>
                                <w:bCs/>
                                <w:sz w:val="28"/>
                                <w:szCs w:val="28"/>
                              </w:rPr>
                            </w:pPr>
                            <w:bookmarkStart w:id="0" w:name="_Hlk117259697"/>
                            <w:r>
                              <w:rPr>
                                <w:b/>
                                <w:bCs/>
                                <w:sz w:val="28"/>
                                <w:szCs w:val="28"/>
                              </w:rPr>
                              <w:t xml:space="preserve">Holbrook </w:t>
                            </w:r>
                            <w:r w:rsidR="00922AC3">
                              <w:rPr>
                                <w:b/>
                                <w:bCs/>
                                <w:sz w:val="28"/>
                                <w:szCs w:val="28"/>
                              </w:rPr>
                              <w:t>Regional Emergency Communications Center</w:t>
                            </w:r>
                          </w:p>
                          <w:p w14:paraId="7F161A2E" w14:textId="77777777" w:rsidR="006D3A7D" w:rsidRDefault="003E4090" w:rsidP="00411586">
                            <w:pPr>
                              <w:jc w:val="center"/>
                              <w:rPr>
                                <w:b/>
                                <w:bCs/>
                                <w:sz w:val="28"/>
                                <w:szCs w:val="28"/>
                              </w:rPr>
                            </w:pPr>
                            <w:r>
                              <w:rPr>
                                <w:b/>
                                <w:bCs/>
                                <w:sz w:val="28"/>
                                <w:szCs w:val="28"/>
                              </w:rPr>
                              <w:t>300 South Franklin Street</w:t>
                            </w:r>
                          </w:p>
                          <w:p w14:paraId="0DF74BAD" w14:textId="77777777" w:rsidR="00444C98" w:rsidRPr="00E26730" w:rsidRDefault="003E4090" w:rsidP="00411586">
                            <w:pPr>
                              <w:jc w:val="center"/>
                              <w:rPr>
                                <w:b/>
                                <w:bCs/>
                                <w:sz w:val="28"/>
                                <w:szCs w:val="28"/>
                              </w:rPr>
                            </w:pPr>
                            <w:r>
                              <w:rPr>
                                <w:b/>
                                <w:bCs/>
                                <w:sz w:val="28"/>
                                <w:szCs w:val="28"/>
                              </w:rPr>
                              <w:t>Holbrook</w:t>
                            </w:r>
                            <w:r w:rsidR="006D3A7D">
                              <w:rPr>
                                <w:b/>
                                <w:bCs/>
                                <w:sz w:val="28"/>
                                <w:szCs w:val="28"/>
                              </w:rPr>
                              <w:t>,</w:t>
                            </w:r>
                            <w:r w:rsidR="00411586" w:rsidRPr="00E26730">
                              <w:rPr>
                                <w:b/>
                                <w:bCs/>
                                <w:sz w:val="28"/>
                                <w:szCs w:val="28"/>
                              </w:rPr>
                              <w:t xml:space="preserve"> MA</w:t>
                            </w:r>
                          </w:p>
                          <w:bookmarkEnd w:id="0"/>
                          <w:p w14:paraId="631EF427" w14:textId="77777777" w:rsidR="00444C98" w:rsidRDefault="00444C98" w:rsidP="00705149">
                            <w:pPr>
                              <w:jc w:val="center"/>
                              <w:rPr>
                                <w:b/>
                                <w:bCs/>
                              </w:rPr>
                            </w:pPr>
                          </w:p>
                          <w:p w14:paraId="358960DF" w14:textId="77777777" w:rsidR="00033029" w:rsidRDefault="00033029" w:rsidP="00705149">
                            <w:pPr>
                              <w:jc w:val="center"/>
                              <w:rPr>
                                <w:b/>
                                <w:bCs/>
                              </w:rPr>
                            </w:pPr>
                          </w:p>
                          <w:p w14:paraId="725629A5" w14:textId="77777777" w:rsidR="00444C98" w:rsidRPr="00705149" w:rsidRDefault="00444C98" w:rsidP="00705149">
                            <w:pPr>
                              <w:jc w:val="center"/>
                              <w:rPr>
                                <w:b/>
                              </w:rPr>
                            </w:pPr>
                          </w:p>
                          <w:p w14:paraId="6E888896" w14:textId="77777777" w:rsidR="00444C98" w:rsidRDefault="00444C98" w:rsidP="00705149">
                            <w:pPr>
                              <w:jc w:val="center"/>
                              <w:rPr>
                                <w:b/>
                              </w:rPr>
                            </w:pPr>
                          </w:p>
                          <w:p w14:paraId="06ECE732" w14:textId="77777777" w:rsidR="00444C98" w:rsidRDefault="00444C98" w:rsidP="00705149">
                            <w:pPr>
                              <w:jc w:val="center"/>
                            </w:pPr>
                          </w:p>
                          <w:p w14:paraId="496E10A7" w14:textId="7FDE1BAA" w:rsidR="00A95A78" w:rsidRDefault="004B10A2" w:rsidP="00705149">
                            <w:pPr>
                              <w:jc w:val="center"/>
                            </w:pPr>
                            <w:r w:rsidRPr="00B731CF">
                              <w:rPr>
                                <w:noProof/>
                              </w:rPr>
                              <w:drawing>
                                <wp:inline distT="0" distB="0" distL="0" distR="0" wp14:anchorId="7E70FE78" wp14:editId="18B580F3">
                                  <wp:extent cx="4213225" cy="2806700"/>
                                  <wp:effectExtent l="0" t="0" r="0" b="0"/>
                                  <wp:docPr id="3" name="Picture 1" descr="Exterior view&#10;Holbrook Regional Emergency Communications Center&#10;300 South Franklin Street&#10;Holbrook,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xterior view&#10;Holbrook Regional Emergency Communications Center&#10;300 South Franklin Street&#10;Holbrook, MA&#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3225" cy="2806700"/>
                                          </a:xfrm>
                                          <a:prstGeom prst="rect">
                                            <a:avLst/>
                                          </a:prstGeom>
                                          <a:noFill/>
                                          <a:ln>
                                            <a:noFill/>
                                          </a:ln>
                                        </pic:spPr>
                                      </pic:pic>
                                    </a:graphicData>
                                  </a:graphic>
                                </wp:inline>
                              </w:drawing>
                            </w:r>
                          </w:p>
                          <w:p w14:paraId="1E81A5F2" w14:textId="77777777" w:rsidR="00E26730" w:rsidRDefault="00E26730" w:rsidP="00705149">
                            <w:pPr>
                              <w:jc w:val="center"/>
                            </w:pPr>
                          </w:p>
                          <w:p w14:paraId="6EC7EF21" w14:textId="77777777" w:rsidR="00F53201" w:rsidRDefault="00F53201" w:rsidP="00705149">
                            <w:pPr>
                              <w:jc w:val="center"/>
                            </w:pPr>
                          </w:p>
                          <w:p w14:paraId="072DCA5D" w14:textId="77777777" w:rsidR="00DF167A" w:rsidRDefault="00DF167A" w:rsidP="00705149">
                            <w:pPr>
                              <w:jc w:val="center"/>
                            </w:pPr>
                          </w:p>
                          <w:p w14:paraId="02B9118E" w14:textId="77777777" w:rsidR="00DF167A" w:rsidRDefault="00DF167A" w:rsidP="00705149">
                            <w:pPr>
                              <w:jc w:val="center"/>
                            </w:pPr>
                          </w:p>
                          <w:p w14:paraId="10E317CE" w14:textId="77777777" w:rsidR="00A95C43" w:rsidRDefault="00A95C43" w:rsidP="00705149">
                            <w:pPr>
                              <w:jc w:val="center"/>
                            </w:pPr>
                          </w:p>
                          <w:p w14:paraId="7314FB8C" w14:textId="77777777" w:rsidR="00DF167A" w:rsidRDefault="00DF167A" w:rsidP="00705149">
                            <w:pPr>
                              <w:jc w:val="center"/>
                            </w:pPr>
                          </w:p>
                          <w:p w14:paraId="0703262B" w14:textId="77777777" w:rsidR="00F53201" w:rsidRDefault="00F53201" w:rsidP="00705149">
                            <w:pPr>
                              <w:jc w:val="center"/>
                            </w:pPr>
                          </w:p>
                          <w:p w14:paraId="1EDC0049" w14:textId="77777777" w:rsidR="00B449EB" w:rsidRPr="00705149" w:rsidRDefault="00B449EB" w:rsidP="00705149">
                            <w:pPr>
                              <w:jc w:val="center"/>
                            </w:pPr>
                          </w:p>
                          <w:p w14:paraId="7903C0FD" w14:textId="77777777" w:rsidR="00444C98" w:rsidRPr="00705149" w:rsidRDefault="00444C98" w:rsidP="00705149">
                            <w:pPr>
                              <w:jc w:val="center"/>
                            </w:pPr>
                            <w:r w:rsidRPr="00705149">
                              <w:t>Prepared by:</w:t>
                            </w:r>
                          </w:p>
                          <w:p w14:paraId="200FAD43" w14:textId="77777777" w:rsidR="00444C98" w:rsidRPr="00705149" w:rsidRDefault="00444C98" w:rsidP="00705149">
                            <w:pPr>
                              <w:jc w:val="center"/>
                            </w:pPr>
                            <w:r w:rsidRPr="00705149">
                              <w:t>Massachusetts Department of Public Health</w:t>
                            </w:r>
                          </w:p>
                          <w:p w14:paraId="1476A6DA" w14:textId="77777777" w:rsidR="00444C98" w:rsidRPr="00705149" w:rsidRDefault="00444C98" w:rsidP="00705149">
                            <w:pPr>
                              <w:jc w:val="center"/>
                            </w:pPr>
                            <w:r w:rsidRPr="00705149">
                              <w:t xml:space="preserve">Bureau of </w:t>
                            </w:r>
                            <w:r w:rsidR="003E4090">
                              <w:t xml:space="preserve">Climate and </w:t>
                            </w:r>
                            <w:r w:rsidRPr="00705149">
                              <w:t>Environmental Health</w:t>
                            </w:r>
                          </w:p>
                          <w:p w14:paraId="26EBC5EC" w14:textId="77777777" w:rsidR="00444C98" w:rsidRPr="00705149" w:rsidRDefault="00444C98" w:rsidP="00705149">
                            <w:pPr>
                              <w:jc w:val="center"/>
                            </w:pPr>
                            <w:r w:rsidRPr="00705149">
                              <w:t>Indoor Air Quality Program</w:t>
                            </w:r>
                          </w:p>
                          <w:p w14:paraId="3E14C893" w14:textId="73A72D15" w:rsidR="00444C98" w:rsidRPr="00705149" w:rsidRDefault="007B5CCA" w:rsidP="00705149">
                            <w:pPr>
                              <w:jc w:val="center"/>
                            </w:pPr>
                            <w:r>
                              <w:t>September</w:t>
                            </w:r>
                            <w:r w:rsidR="003E4090">
                              <w:t xml:space="preserve">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033B8" id="_x0000_t202" coordsize="21600,21600" o:spt="202" path="m,l,21600r21600,l21600,xe">
                <v:stroke joinstyle="miter"/>
                <v:path gradientshapeok="t" o:connecttype="rect"/>
              </v:shapetype>
              <v:shape id="Text Box 2" o:spid="_x0000_s1026" type="#_x0000_t202" style="position:absolute;margin-left:0;margin-top:0;width:468pt;height:9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DuZ4cBACAAAD&#10;BAAADgAAAAAAAAAAAAAAAAAuAgAAZHJzL2Uyb0RvYy54bWxQSwECLQAUAAYACAAAACEA2+dKotkA&#10;AAAGAQAADwAAAAAAAAAAAAAAAABqBAAAZHJzL2Rvd25yZXYueG1sUEsFBgAAAAAEAAQA8wAAAHAF&#10;AAAAAA==&#10;" filled="f">
                <v:textbox>
                  <w:txbxContent>
                    <w:p w14:paraId="1197EC68" w14:textId="77777777" w:rsidR="00444C98" w:rsidRDefault="00444C98" w:rsidP="00705149">
                      <w:pPr>
                        <w:jc w:val="center"/>
                        <w:rPr>
                          <w:b/>
                        </w:rPr>
                      </w:pPr>
                    </w:p>
                    <w:p w14:paraId="0C551BD0" w14:textId="77777777" w:rsidR="00444C98" w:rsidRDefault="00444C98" w:rsidP="00705149">
                      <w:pPr>
                        <w:jc w:val="center"/>
                        <w:rPr>
                          <w:b/>
                        </w:rPr>
                      </w:pPr>
                    </w:p>
                    <w:p w14:paraId="3818BFB9" w14:textId="77777777" w:rsidR="00444C98" w:rsidRPr="00705149" w:rsidRDefault="00444C98" w:rsidP="00705149">
                      <w:pPr>
                        <w:jc w:val="center"/>
                        <w:rPr>
                          <w:b/>
                          <w:sz w:val="40"/>
                        </w:rPr>
                      </w:pPr>
                      <w:r w:rsidRPr="00705149">
                        <w:rPr>
                          <w:b/>
                          <w:sz w:val="40"/>
                        </w:rPr>
                        <w:t>INDOOR AIR QUALITY</w:t>
                      </w:r>
                    </w:p>
                    <w:p w14:paraId="287FE8C9" w14:textId="77777777" w:rsidR="00444C98" w:rsidRPr="00705149" w:rsidRDefault="00444C98" w:rsidP="00705149">
                      <w:pPr>
                        <w:jc w:val="center"/>
                        <w:rPr>
                          <w:b/>
                          <w:sz w:val="40"/>
                        </w:rPr>
                      </w:pPr>
                      <w:r w:rsidRPr="00705149">
                        <w:rPr>
                          <w:b/>
                          <w:sz w:val="40"/>
                        </w:rPr>
                        <w:t>ASSESSMENT</w:t>
                      </w:r>
                    </w:p>
                    <w:p w14:paraId="4E1232EC" w14:textId="77777777" w:rsidR="00444C98" w:rsidRPr="00705149" w:rsidRDefault="00444C98" w:rsidP="00705149">
                      <w:pPr>
                        <w:jc w:val="center"/>
                        <w:rPr>
                          <w:b/>
                        </w:rPr>
                      </w:pPr>
                    </w:p>
                    <w:p w14:paraId="2B3861A6" w14:textId="77777777" w:rsidR="00444C98" w:rsidRPr="00705149" w:rsidRDefault="00444C98" w:rsidP="00705149">
                      <w:pPr>
                        <w:jc w:val="center"/>
                        <w:rPr>
                          <w:b/>
                        </w:rPr>
                      </w:pPr>
                    </w:p>
                    <w:p w14:paraId="2D06F5F2" w14:textId="77777777" w:rsidR="003E4090" w:rsidRDefault="003E4090" w:rsidP="00922AC3">
                      <w:pPr>
                        <w:jc w:val="center"/>
                        <w:rPr>
                          <w:b/>
                          <w:bCs/>
                          <w:sz w:val="28"/>
                          <w:szCs w:val="28"/>
                        </w:rPr>
                      </w:pPr>
                      <w:bookmarkStart w:id="1" w:name="_Hlk117259697"/>
                      <w:r>
                        <w:rPr>
                          <w:b/>
                          <w:bCs/>
                          <w:sz w:val="28"/>
                          <w:szCs w:val="28"/>
                        </w:rPr>
                        <w:t xml:space="preserve">Holbrook </w:t>
                      </w:r>
                      <w:r w:rsidR="00922AC3">
                        <w:rPr>
                          <w:b/>
                          <w:bCs/>
                          <w:sz w:val="28"/>
                          <w:szCs w:val="28"/>
                        </w:rPr>
                        <w:t>Regional Emergency Communications Center</w:t>
                      </w:r>
                    </w:p>
                    <w:p w14:paraId="7F161A2E" w14:textId="77777777" w:rsidR="006D3A7D" w:rsidRDefault="003E4090" w:rsidP="00411586">
                      <w:pPr>
                        <w:jc w:val="center"/>
                        <w:rPr>
                          <w:b/>
                          <w:bCs/>
                          <w:sz w:val="28"/>
                          <w:szCs w:val="28"/>
                        </w:rPr>
                      </w:pPr>
                      <w:r>
                        <w:rPr>
                          <w:b/>
                          <w:bCs/>
                          <w:sz w:val="28"/>
                          <w:szCs w:val="28"/>
                        </w:rPr>
                        <w:t>300 South Franklin Street</w:t>
                      </w:r>
                    </w:p>
                    <w:p w14:paraId="0DF74BAD" w14:textId="77777777" w:rsidR="00444C98" w:rsidRPr="00E26730" w:rsidRDefault="003E4090" w:rsidP="00411586">
                      <w:pPr>
                        <w:jc w:val="center"/>
                        <w:rPr>
                          <w:b/>
                          <w:bCs/>
                          <w:sz w:val="28"/>
                          <w:szCs w:val="28"/>
                        </w:rPr>
                      </w:pPr>
                      <w:r>
                        <w:rPr>
                          <w:b/>
                          <w:bCs/>
                          <w:sz w:val="28"/>
                          <w:szCs w:val="28"/>
                        </w:rPr>
                        <w:t>Holbrook</w:t>
                      </w:r>
                      <w:r w:rsidR="006D3A7D">
                        <w:rPr>
                          <w:b/>
                          <w:bCs/>
                          <w:sz w:val="28"/>
                          <w:szCs w:val="28"/>
                        </w:rPr>
                        <w:t>,</w:t>
                      </w:r>
                      <w:r w:rsidR="00411586" w:rsidRPr="00E26730">
                        <w:rPr>
                          <w:b/>
                          <w:bCs/>
                          <w:sz w:val="28"/>
                          <w:szCs w:val="28"/>
                        </w:rPr>
                        <w:t xml:space="preserve"> MA</w:t>
                      </w:r>
                    </w:p>
                    <w:bookmarkEnd w:id="1"/>
                    <w:p w14:paraId="631EF427" w14:textId="77777777" w:rsidR="00444C98" w:rsidRDefault="00444C98" w:rsidP="00705149">
                      <w:pPr>
                        <w:jc w:val="center"/>
                        <w:rPr>
                          <w:b/>
                          <w:bCs/>
                        </w:rPr>
                      </w:pPr>
                    </w:p>
                    <w:p w14:paraId="358960DF" w14:textId="77777777" w:rsidR="00033029" w:rsidRDefault="00033029" w:rsidP="00705149">
                      <w:pPr>
                        <w:jc w:val="center"/>
                        <w:rPr>
                          <w:b/>
                          <w:bCs/>
                        </w:rPr>
                      </w:pPr>
                    </w:p>
                    <w:p w14:paraId="725629A5" w14:textId="77777777" w:rsidR="00444C98" w:rsidRPr="00705149" w:rsidRDefault="00444C98" w:rsidP="00705149">
                      <w:pPr>
                        <w:jc w:val="center"/>
                        <w:rPr>
                          <w:b/>
                        </w:rPr>
                      </w:pPr>
                    </w:p>
                    <w:p w14:paraId="6E888896" w14:textId="77777777" w:rsidR="00444C98" w:rsidRDefault="00444C98" w:rsidP="00705149">
                      <w:pPr>
                        <w:jc w:val="center"/>
                        <w:rPr>
                          <w:b/>
                        </w:rPr>
                      </w:pPr>
                    </w:p>
                    <w:p w14:paraId="06ECE732" w14:textId="77777777" w:rsidR="00444C98" w:rsidRDefault="00444C98" w:rsidP="00705149">
                      <w:pPr>
                        <w:jc w:val="center"/>
                      </w:pPr>
                    </w:p>
                    <w:p w14:paraId="496E10A7" w14:textId="7FDE1BAA" w:rsidR="00A95A78" w:rsidRDefault="004B10A2" w:rsidP="00705149">
                      <w:pPr>
                        <w:jc w:val="center"/>
                      </w:pPr>
                      <w:r w:rsidRPr="00B731CF">
                        <w:rPr>
                          <w:noProof/>
                        </w:rPr>
                        <w:drawing>
                          <wp:inline distT="0" distB="0" distL="0" distR="0" wp14:anchorId="7E70FE78" wp14:editId="18B580F3">
                            <wp:extent cx="4213225" cy="2806700"/>
                            <wp:effectExtent l="0" t="0" r="0" b="0"/>
                            <wp:docPr id="3" name="Picture 1" descr="Exterior view&#10;Holbrook Regional Emergency Communications Center&#10;300 South Franklin Street&#10;Holbrook,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xterior view&#10;Holbrook Regional Emergency Communications Center&#10;300 South Franklin Street&#10;Holbrook, MA&#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3225" cy="2806700"/>
                                    </a:xfrm>
                                    <a:prstGeom prst="rect">
                                      <a:avLst/>
                                    </a:prstGeom>
                                    <a:noFill/>
                                    <a:ln>
                                      <a:noFill/>
                                    </a:ln>
                                  </pic:spPr>
                                </pic:pic>
                              </a:graphicData>
                            </a:graphic>
                          </wp:inline>
                        </w:drawing>
                      </w:r>
                    </w:p>
                    <w:p w14:paraId="1E81A5F2" w14:textId="77777777" w:rsidR="00E26730" w:rsidRDefault="00E26730" w:rsidP="00705149">
                      <w:pPr>
                        <w:jc w:val="center"/>
                      </w:pPr>
                    </w:p>
                    <w:p w14:paraId="6EC7EF21" w14:textId="77777777" w:rsidR="00F53201" w:rsidRDefault="00F53201" w:rsidP="00705149">
                      <w:pPr>
                        <w:jc w:val="center"/>
                      </w:pPr>
                    </w:p>
                    <w:p w14:paraId="072DCA5D" w14:textId="77777777" w:rsidR="00DF167A" w:rsidRDefault="00DF167A" w:rsidP="00705149">
                      <w:pPr>
                        <w:jc w:val="center"/>
                      </w:pPr>
                    </w:p>
                    <w:p w14:paraId="02B9118E" w14:textId="77777777" w:rsidR="00DF167A" w:rsidRDefault="00DF167A" w:rsidP="00705149">
                      <w:pPr>
                        <w:jc w:val="center"/>
                      </w:pPr>
                    </w:p>
                    <w:p w14:paraId="10E317CE" w14:textId="77777777" w:rsidR="00A95C43" w:rsidRDefault="00A95C43" w:rsidP="00705149">
                      <w:pPr>
                        <w:jc w:val="center"/>
                      </w:pPr>
                    </w:p>
                    <w:p w14:paraId="7314FB8C" w14:textId="77777777" w:rsidR="00DF167A" w:rsidRDefault="00DF167A" w:rsidP="00705149">
                      <w:pPr>
                        <w:jc w:val="center"/>
                      </w:pPr>
                    </w:p>
                    <w:p w14:paraId="0703262B" w14:textId="77777777" w:rsidR="00F53201" w:rsidRDefault="00F53201" w:rsidP="00705149">
                      <w:pPr>
                        <w:jc w:val="center"/>
                      </w:pPr>
                    </w:p>
                    <w:p w14:paraId="1EDC0049" w14:textId="77777777" w:rsidR="00B449EB" w:rsidRPr="00705149" w:rsidRDefault="00B449EB" w:rsidP="00705149">
                      <w:pPr>
                        <w:jc w:val="center"/>
                      </w:pPr>
                    </w:p>
                    <w:p w14:paraId="7903C0FD" w14:textId="77777777" w:rsidR="00444C98" w:rsidRPr="00705149" w:rsidRDefault="00444C98" w:rsidP="00705149">
                      <w:pPr>
                        <w:jc w:val="center"/>
                      </w:pPr>
                      <w:r w:rsidRPr="00705149">
                        <w:t>Prepared by:</w:t>
                      </w:r>
                    </w:p>
                    <w:p w14:paraId="200FAD43" w14:textId="77777777" w:rsidR="00444C98" w:rsidRPr="00705149" w:rsidRDefault="00444C98" w:rsidP="00705149">
                      <w:pPr>
                        <w:jc w:val="center"/>
                      </w:pPr>
                      <w:r w:rsidRPr="00705149">
                        <w:t>Massachusetts Department of Public Health</w:t>
                      </w:r>
                    </w:p>
                    <w:p w14:paraId="1476A6DA" w14:textId="77777777" w:rsidR="00444C98" w:rsidRPr="00705149" w:rsidRDefault="00444C98" w:rsidP="00705149">
                      <w:pPr>
                        <w:jc w:val="center"/>
                      </w:pPr>
                      <w:r w:rsidRPr="00705149">
                        <w:t xml:space="preserve">Bureau of </w:t>
                      </w:r>
                      <w:r w:rsidR="003E4090">
                        <w:t xml:space="preserve">Climate and </w:t>
                      </w:r>
                      <w:r w:rsidRPr="00705149">
                        <w:t>Environmental Health</w:t>
                      </w:r>
                    </w:p>
                    <w:p w14:paraId="26EBC5EC" w14:textId="77777777" w:rsidR="00444C98" w:rsidRPr="00705149" w:rsidRDefault="00444C98" w:rsidP="00705149">
                      <w:pPr>
                        <w:jc w:val="center"/>
                      </w:pPr>
                      <w:r w:rsidRPr="00705149">
                        <w:t>Indoor Air Quality Program</w:t>
                      </w:r>
                    </w:p>
                    <w:p w14:paraId="3E14C893" w14:textId="73A72D15" w:rsidR="00444C98" w:rsidRPr="00705149" w:rsidRDefault="007B5CCA" w:rsidP="00705149">
                      <w:pPr>
                        <w:jc w:val="center"/>
                      </w:pPr>
                      <w:r>
                        <w:t>September</w:t>
                      </w:r>
                      <w:r w:rsidR="003E4090">
                        <w:t xml:space="preserve"> 2023</w:t>
                      </w:r>
                    </w:p>
                  </w:txbxContent>
                </v:textbox>
                <w10:wrap type="topAndBottom" anchorx="page" anchory="page"/>
              </v:shape>
            </w:pict>
          </mc:Fallback>
        </mc:AlternateContent>
      </w:r>
      <w:r w:rsidR="003475EE" w:rsidRPr="009B41B1">
        <w:br w:type="page"/>
      </w:r>
      <w:r w:rsidR="003475EE" w:rsidRPr="00174B9D">
        <w:lastRenderedPageBreak/>
        <w:t>B</w:t>
      </w:r>
      <w:r w:rsidR="000F237B" w:rsidRPr="00174B9D">
        <w:t>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D302D3" w:rsidRPr="000730C4" w14:paraId="18518468" w14:textId="77777777" w:rsidTr="000730C4">
        <w:tc>
          <w:tcPr>
            <w:tcW w:w="4680" w:type="dxa"/>
            <w:shd w:val="clear" w:color="auto" w:fill="auto"/>
            <w:vAlign w:val="center"/>
          </w:tcPr>
          <w:p w14:paraId="4AA1395E" w14:textId="77777777" w:rsidR="00D302D3" w:rsidRPr="0004785C" w:rsidRDefault="00D302D3" w:rsidP="00333D48">
            <w:pPr>
              <w:pStyle w:val="BackgroundTable"/>
            </w:pPr>
            <w:r w:rsidRPr="0004785C">
              <w:t>Building:</w:t>
            </w:r>
          </w:p>
        </w:tc>
        <w:tc>
          <w:tcPr>
            <w:tcW w:w="5058" w:type="dxa"/>
            <w:shd w:val="clear" w:color="auto" w:fill="auto"/>
            <w:vAlign w:val="center"/>
          </w:tcPr>
          <w:p w14:paraId="262298ED" w14:textId="77777777" w:rsidR="00D302D3" w:rsidRPr="000730C4" w:rsidRDefault="00922AC3" w:rsidP="00922AC3">
            <w:pPr>
              <w:pStyle w:val="BackgroundInfo"/>
              <w:rPr>
                <w:bCs/>
                <w:szCs w:val="24"/>
              </w:rPr>
            </w:pPr>
            <w:r w:rsidRPr="00922AC3">
              <w:rPr>
                <w:szCs w:val="24"/>
              </w:rPr>
              <w:t>Holbrook Regional Emergency Communications Center</w:t>
            </w:r>
            <w:r>
              <w:rPr>
                <w:b/>
                <w:bCs/>
                <w:szCs w:val="24"/>
              </w:rPr>
              <w:t xml:space="preserve"> </w:t>
            </w:r>
            <w:r w:rsidR="008E3E35">
              <w:rPr>
                <w:bCs/>
                <w:szCs w:val="24"/>
              </w:rPr>
              <w:t>(</w:t>
            </w:r>
            <w:r w:rsidR="003E4090">
              <w:rPr>
                <w:bCs/>
                <w:szCs w:val="24"/>
              </w:rPr>
              <w:t>H</w:t>
            </w:r>
            <w:r>
              <w:rPr>
                <w:bCs/>
                <w:szCs w:val="24"/>
              </w:rPr>
              <w:t>RECC</w:t>
            </w:r>
            <w:r w:rsidR="008E3E35">
              <w:rPr>
                <w:bCs/>
                <w:szCs w:val="24"/>
              </w:rPr>
              <w:t>)</w:t>
            </w:r>
          </w:p>
        </w:tc>
      </w:tr>
      <w:tr w:rsidR="00D302D3" w:rsidRPr="000730C4" w14:paraId="5DF759D7" w14:textId="77777777" w:rsidTr="000730C4">
        <w:tc>
          <w:tcPr>
            <w:tcW w:w="4680" w:type="dxa"/>
            <w:shd w:val="clear" w:color="auto" w:fill="auto"/>
            <w:vAlign w:val="center"/>
          </w:tcPr>
          <w:p w14:paraId="0A514820" w14:textId="77777777" w:rsidR="00D302D3" w:rsidRPr="0004785C" w:rsidRDefault="00D302D3" w:rsidP="00333D48">
            <w:pPr>
              <w:pStyle w:val="BackgroundTable"/>
            </w:pPr>
            <w:r w:rsidRPr="0004785C">
              <w:t>Address:</w:t>
            </w:r>
          </w:p>
        </w:tc>
        <w:tc>
          <w:tcPr>
            <w:tcW w:w="5058" w:type="dxa"/>
            <w:shd w:val="clear" w:color="auto" w:fill="auto"/>
            <w:vAlign w:val="center"/>
          </w:tcPr>
          <w:p w14:paraId="6B48ABE5" w14:textId="77777777" w:rsidR="00D302D3" w:rsidRPr="00BA4F4F" w:rsidRDefault="003E4090" w:rsidP="00B02028">
            <w:pPr>
              <w:pStyle w:val="BackgroundInfo"/>
              <w:rPr>
                <w:bCs/>
                <w:szCs w:val="24"/>
              </w:rPr>
            </w:pPr>
            <w:r>
              <w:rPr>
                <w:bCs/>
                <w:szCs w:val="24"/>
              </w:rPr>
              <w:t>300 South Franklin St</w:t>
            </w:r>
            <w:r w:rsidR="00044785">
              <w:rPr>
                <w:bCs/>
                <w:szCs w:val="24"/>
              </w:rPr>
              <w:t>reet</w:t>
            </w:r>
            <w:r>
              <w:rPr>
                <w:bCs/>
                <w:szCs w:val="24"/>
              </w:rPr>
              <w:t>, Holbrook</w:t>
            </w:r>
            <w:r w:rsidR="006D3A7D">
              <w:rPr>
                <w:bCs/>
                <w:szCs w:val="24"/>
              </w:rPr>
              <w:t>, MA</w:t>
            </w:r>
          </w:p>
        </w:tc>
      </w:tr>
      <w:tr w:rsidR="00D302D3" w:rsidRPr="000730C4" w14:paraId="56E2DC78" w14:textId="77777777" w:rsidTr="000730C4">
        <w:tc>
          <w:tcPr>
            <w:tcW w:w="4680" w:type="dxa"/>
            <w:shd w:val="clear" w:color="auto" w:fill="auto"/>
            <w:vAlign w:val="center"/>
          </w:tcPr>
          <w:p w14:paraId="753E6B70" w14:textId="77777777" w:rsidR="00D302D3" w:rsidRPr="0004785C" w:rsidRDefault="00F53201" w:rsidP="00333D48">
            <w:pPr>
              <w:pStyle w:val="BackgroundTable"/>
            </w:pPr>
            <w:r>
              <w:t>Assessment Requested by</w:t>
            </w:r>
            <w:r w:rsidR="00D302D3" w:rsidRPr="0004785C">
              <w:t>:</w:t>
            </w:r>
          </w:p>
        </w:tc>
        <w:tc>
          <w:tcPr>
            <w:tcW w:w="5058" w:type="dxa"/>
            <w:shd w:val="clear" w:color="auto" w:fill="auto"/>
            <w:vAlign w:val="center"/>
          </w:tcPr>
          <w:p w14:paraId="76AC9BD3" w14:textId="77777777" w:rsidR="00D302D3" w:rsidRPr="00CB2C25" w:rsidRDefault="005A45BE" w:rsidP="008E3E35">
            <w:pPr>
              <w:pStyle w:val="BackgroundInfo"/>
            </w:pPr>
            <w:r>
              <w:t xml:space="preserve">An assessment of the Holbrook Fire Dept (HFD) was requested by HFD staff. The HRECC evaluation was </w:t>
            </w:r>
            <w:r w:rsidR="00B059C7">
              <w:t>c</w:t>
            </w:r>
            <w:r w:rsidR="001708B9">
              <w:t>oordinated through the Holbrook Board of Health</w:t>
            </w:r>
            <w:r w:rsidR="00B059C7">
              <w:t>, HFD</w:t>
            </w:r>
            <w:r w:rsidR="001708B9">
              <w:t xml:space="preserve"> Chief Luke McFadden</w:t>
            </w:r>
            <w:r>
              <w:t>, and HRECC Director Stephan A. Hooke.</w:t>
            </w:r>
          </w:p>
        </w:tc>
      </w:tr>
      <w:tr w:rsidR="00FE38E2" w:rsidRPr="000730C4" w14:paraId="130DB3BB" w14:textId="77777777" w:rsidTr="00CC646A">
        <w:tc>
          <w:tcPr>
            <w:tcW w:w="4680" w:type="dxa"/>
            <w:shd w:val="clear" w:color="auto" w:fill="auto"/>
          </w:tcPr>
          <w:p w14:paraId="5830DA4F" w14:textId="77777777" w:rsidR="00FE38E2" w:rsidRDefault="00FE38E2" w:rsidP="00FE38E2">
            <w:pPr>
              <w:pStyle w:val="BackgroundTable"/>
            </w:pPr>
            <w:r w:rsidRPr="00AD5D95">
              <w:t>Reason for Request:</w:t>
            </w:r>
          </w:p>
        </w:tc>
        <w:tc>
          <w:tcPr>
            <w:tcW w:w="5058" w:type="dxa"/>
            <w:shd w:val="clear" w:color="auto" w:fill="auto"/>
          </w:tcPr>
          <w:p w14:paraId="6533E60F" w14:textId="77777777" w:rsidR="00FE38E2" w:rsidRDefault="00FE38E2" w:rsidP="00FE38E2">
            <w:pPr>
              <w:pStyle w:val="BackgroundInfo"/>
            </w:pPr>
            <w:r>
              <w:t>G</w:t>
            </w:r>
            <w:r w:rsidRPr="00AD5D95">
              <w:t>eneral indoor air quality (IAQ) assessment</w:t>
            </w:r>
          </w:p>
        </w:tc>
      </w:tr>
      <w:tr w:rsidR="00D302D3" w:rsidRPr="000730C4" w14:paraId="5D9D51B4" w14:textId="77777777" w:rsidTr="000730C4">
        <w:tc>
          <w:tcPr>
            <w:tcW w:w="4680" w:type="dxa"/>
            <w:shd w:val="clear" w:color="auto" w:fill="auto"/>
            <w:vAlign w:val="center"/>
          </w:tcPr>
          <w:p w14:paraId="0FB4BE17" w14:textId="77777777" w:rsidR="00D302D3" w:rsidRPr="0004785C" w:rsidRDefault="00D302D3" w:rsidP="00333D48">
            <w:pPr>
              <w:pStyle w:val="BackgroundTable"/>
            </w:pPr>
            <w:r w:rsidRPr="0004785C">
              <w:t>Date of Assessment:</w:t>
            </w:r>
          </w:p>
        </w:tc>
        <w:tc>
          <w:tcPr>
            <w:tcW w:w="5058" w:type="dxa"/>
            <w:shd w:val="clear" w:color="auto" w:fill="auto"/>
            <w:vAlign w:val="center"/>
          </w:tcPr>
          <w:p w14:paraId="23ED31D4" w14:textId="77777777" w:rsidR="00D302D3" w:rsidRPr="0004785C" w:rsidRDefault="003E4090" w:rsidP="00333D48">
            <w:pPr>
              <w:pStyle w:val="BackgroundInfo"/>
            </w:pPr>
            <w:r>
              <w:t>June 1, 2023</w:t>
            </w:r>
          </w:p>
        </w:tc>
      </w:tr>
      <w:tr w:rsidR="00540198" w:rsidRPr="000730C4" w14:paraId="50FB181C" w14:textId="77777777" w:rsidTr="00E01FBA">
        <w:trPr>
          <w:trHeight w:val="1082"/>
        </w:trPr>
        <w:tc>
          <w:tcPr>
            <w:tcW w:w="4680" w:type="dxa"/>
            <w:shd w:val="clear" w:color="auto" w:fill="auto"/>
          </w:tcPr>
          <w:p w14:paraId="77544F5D" w14:textId="77777777" w:rsidR="00540198" w:rsidRPr="005E3E95" w:rsidRDefault="00540198" w:rsidP="0059051A">
            <w:pPr>
              <w:pStyle w:val="BackgroundTable"/>
              <w:rPr>
                <w:bCs w:val="0"/>
              </w:rPr>
            </w:pPr>
            <w:r w:rsidRPr="005E3E95">
              <w:rPr>
                <w:bCs w:val="0"/>
              </w:rPr>
              <w:t xml:space="preserve">Massachusetts Department of Public Health/Bureau of </w:t>
            </w:r>
            <w:r w:rsidR="003E4090">
              <w:rPr>
                <w:bCs w:val="0"/>
              </w:rPr>
              <w:t xml:space="preserve">Climate and </w:t>
            </w:r>
            <w:r w:rsidRPr="005E3E95">
              <w:rPr>
                <w:bCs w:val="0"/>
              </w:rPr>
              <w:t>Environmental Health (MDPH/B</w:t>
            </w:r>
            <w:r w:rsidR="003E4090">
              <w:rPr>
                <w:bCs w:val="0"/>
              </w:rPr>
              <w:t>C</w:t>
            </w:r>
            <w:r w:rsidRPr="005E3E95">
              <w:rPr>
                <w:bCs w:val="0"/>
              </w:rPr>
              <w:t xml:space="preserve">EH) Staff Conducting </w:t>
            </w:r>
            <w:r w:rsidR="0059051A">
              <w:rPr>
                <w:bCs w:val="0"/>
              </w:rPr>
              <w:t>A</w:t>
            </w:r>
            <w:r w:rsidRPr="005E3E95">
              <w:rPr>
                <w:bCs w:val="0"/>
              </w:rPr>
              <w:t>ssessment:</w:t>
            </w:r>
          </w:p>
        </w:tc>
        <w:tc>
          <w:tcPr>
            <w:tcW w:w="5058" w:type="dxa"/>
            <w:shd w:val="clear" w:color="auto" w:fill="auto"/>
          </w:tcPr>
          <w:p w14:paraId="78758EFA" w14:textId="77777777" w:rsidR="00540198" w:rsidRPr="005E3E95" w:rsidRDefault="00347940" w:rsidP="003E4090">
            <w:pPr>
              <w:pStyle w:val="BackgroundTable"/>
              <w:rPr>
                <w:b w:val="0"/>
              </w:rPr>
            </w:pPr>
            <w:r>
              <w:rPr>
                <w:b w:val="0"/>
              </w:rPr>
              <w:t>Cory Holmes, Assistant Director</w:t>
            </w:r>
            <w:r w:rsidR="005E3E95" w:rsidRPr="005E3E95">
              <w:rPr>
                <w:b w:val="0"/>
              </w:rPr>
              <w:t xml:space="preserve">, </w:t>
            </w:r>
            <w:r w:rsidR="00540198" w:rsidRPr="005E3E95">
              <w:rPr>
                <w:b w:val="0"/>
              </w:rPr>
              <w:t>IAQ Program</w:t>
            </w:r>
          </w:p>
        </w:tc>
      </w:tr>
      <w:tr w:rsidR="00905C1B" w:rsidRPr="000730C4" w14:paraId="6797F49E" w14:textId="77777777" w:rsidTr="00E01FBA">
        <w:trPr>
          <w:trHeight w:val="1082"/>
        </w:trPr>
        <w:tc>
          <w:tcPr>
            <w:tcW w:w="4680" w:type="dxa"/>
            <w:shd w:val="clear" w:color="auto" w:fill="auto"/>
          </w:tcPr>
          <w:p w14:paraId="4BD8DDC9" w14:textId="77777777" w:rsidR="00905C1B" w:rsidRPr="005E3E95" w:rsidRDefault="00905C1B" w:rsidP="0059051A">
            <w:pPr>
              <w:pStyle w:val="BackgroundTable"/>
              <w:rPr>
                <w:bCs w:val="0"/>
              </w:rPr>
            </w:pPr>
            <w:r w:rsidRPr="00905C1B">
              <w:rPr>
                <w:bCs w:val="0"/>
              </w:rPr>
              <w:t>Building Description:</w:t>
            </w:r>
          </w:p>
        </w:tc>
        <w:tc>
          <w:tcPr>
            <w:tcW w:w="5058" w:type="dxa"/>
            <w:shd w:val="clear" w:color="auto" w:fill="auto"/>
          </w:tcPr>
          <w:p w14:paraId="59C14C46" w14:textId="77777777" w:rsidR="00905C1B" w:rsidRPr="00D579EF" w:rsidRDefault="00905C1B" w:rsidP="00DC2546">
            <w:pPr>
              <w:pStyle w:val="BackgroundTable"/>
              <w:rPr>
                <w:b w:val="0"/>
              </w:rPr>
            </w:pPr>
            <w:r w:rsidRPr="00D579EF">
              <w:rPr>
                <w:b w:val="0"/>
              </w:rPr>
              <w:t>Th</w:t>
            </w:r>
            <w:r w:rsidR="008E3E35" w:rsidRPr="00D579EF">
              <w:rPr>
                <w:b w:val="0"/>
              </w:rPr>
              <w:t xml:space="preserve">e </w:t>
            </w:r>
            <w:r w:rsidR="00922AC3" w:rsidRPr="00922AC3">
              <w:rPr>
                <w:b w:val="0"/>
              </w:rPr>
              <w:t>HRECC</w:t>
            </w:r>
            <w:r w:rsidR="00E72BA6">
              <w:rPr>
                <w:b w:val="0"/>
              </w:rPr>
              <w:t xml:space="preserve"> is </w:t>
            </w:r>
            <w:r w:rsidR="00922AC3">
              <w:rPr>
                <w:b w:val="0"/>
              </w:rPr>
              <w:t xml:space="preserve">a state of the art, regional communications center that provides dispatch and emergency services to six local towns. The HRECC is </w:t>
            </w:r>
            <w:r w:rsidR="00E72BA6">
              <w:rPr>
                <w:b w:val="0"/>
              </w:rPr>
              <w:t xml:space="preserve">located adjacent to the </w:t>
            </w:r>
            <w:r w:rsidR="00922AC3">
              <w:rPr>
                <w:b w:val="0"/>
              </w:rPr>
              <w:t xml:space="preserve">Holbrook Public Safety Building (HPSB) and </w:t>
            </w:r>
            <w:r w:rsidR="00E72BA6">
              <w:rPr>
                <w:b w:val="0"/>
              </w:rPr>
              <w:t>was completed in 2020</w:t>
            </w:r>
            <w:r w:rsidR="00922AC3">
              <w:rPr>
                <w:b w:val="0"/>
              </w:rPr>
              <w:t>. The space</w:t>
            </w:r>
            <w:r w:rsidR="00E72BA6">
              <w:rPr>
                <w:b w:val="0"/>
              </w:rPr>
              <w:t xml:space="preserve"> </w:t>
            </w:r>
            <w:r w:rsidR="00922AC3">
              <w:rPr>
                <w:b w:val="0"/>
              </w:rPr>
              <w:t>consists</w:t>
            </w:r>
            <w:r w:rsidR="00E72BA6">
              <w:rPr>
                <w:b w:val="0"/>
              </w:rPr>
              <w:t xml:space="preserve"> of a </w:t>
            </w:r>
            <w:r w:rsidR="00683238">
              <w:rPr>
                <w:b w:val="0"/>
              </w:rPr>
              <w:t>large</w:t>
            </w:r>
            <w:r w:rsidR="00E72BA6">
              <w:rPr>
                <w:b w:val="0"/>
              </w:rPr>
              <w:t xml:space="preserve"> communications area, </w:t>
            </w:r>
            <w:r w:rsidR="00922AC3">
              <w:rPr>
                <w:b w:val="0"/>
              </w:rPr>
              <w:t>offices</w:t>
            </w:r>
            <w:r w:rsidR="00E72BA6">
              <w:rPr>
                <w:b w:val="0"/>
              </w:rPr>
              <w:t xml:space="preserve">, </w:t>
            </w:r>
            <w:r w:rsidR="008E3E35" w:rsidRPr="00D579EF">
              <w:rPr>
                <w:b w:val="0"/>
              </w:rPr>
              <w:t>kitchen/</w:t>
            </w:r>
            <w:r w:rsidR="009B6100" w:rsidRPr="00D579EF">
              <w:rPr>
                <w:b w:val="0"/>
              </w:rPr>
              <w:t>breakroom,</w:t>
            </w:r>
            <w:r w:rsidR="008E3E35" w:rsidRPr="00D579EF">
              <w:rPr>
                <w:b w:val="0"/>
              </w:rPr>
              <w:t xml:space="preserve"> and storage areas.</w:t>
            </w:r>
            <w:r w:rsidR="00683238">
              <w:rPr>
                <w:b w:val="0"/>
              </w:rPr>
              <w:t xml:space="preserve"> Please note, the H</w:t>
            </w:r>
            <w:r w:rsidR="00B731CF">
              <w:rPr>
                <w:b w:val="0"/>
              </w:rPr>
              <w:t>F</w:t>
            </w:r>
            <w:r w:rsidR="00683238">
              <w:rPr>
                <w:b w:val="0"/>
              </w:rPr>
              <w:t xml:space="preserve">D and </w:t>
            </w:r>
            <w:r w:rsidR="00B731CF">
              <w:rPr>
                <w:b w:val="0"/>
              </w:rPr>
              <w:t>H</w:t>
            </w:r>
            <w:r w:rsidR="00115DC2">
              <w:rPr>
                <w:b w:val="0"/>
              </w:rPr>
              <w:t>olbrook Police Department (H</w:t>
            </w:r>
            <w:r w:rsidR="00B731CF">
              <w:rPr>
                <w:b w:val="0"/>
              </w:rPr>
              <w:t>PD</w:t>
            </w:r>
            <w:r w:rsidR="00D665ED">
              <w:rPr>
                <w:b w:val="0"/>
              </w:rPr>
              <w:t>)</w:t>
            </w:r>
            <w:r w:rsidR="00683238">
              <w:rPr>
                <w:b w:val="0"/>
              </w:rPr>
              <w:t xml:space="preserve"> will be the subjects of separate reports.</w:t>
            </w:r>
          </w:p>
        </w:tc>
      </w:tr>
      <w:tr w:rsidR="00905C1B" w:rsidRPr="000730C4" w14:paraId="0B6F879A" w14:textId="77777777" w:rsidTr="005513A6">
        <w:trPr>
          <w:trHeight w:val="551"/>
        </w:trPr>
        <w:tc>
          <w:tcPr>
            <w:tcW w:w="4680" w:type="dxa"/>
            <w:shd w:val="clear" w:color="auto" w:fill="auto"/>
          </w:tcPr>
          <w:p w14:paraId="4B902D69" w14:textId="77777777" w:rsidR="00905C1B" w:rsidRPr="00905C1B" w:rsidRDefault="00905C1B" w:rsidP="0059051A">
            <w:pPr>
              <w:pStyle w:val="BackgroundTable"/>
              <w:rPr>
                <w:bCs w:val="0"/>
              </w:rPr>
            </w:pPr>
            <w:r>
              <w:rPr>
                <w:bCs w:val="0"/>
              </w:rPr>
              <w:t>Windows:</w:t>
            </w:r>
          </w:p>
        </w:tc>
        <w:tc>
          <w:tcPr>
            <w:tcW w:w="5058" w:type="dxa"/>
            <w:shd w:val="clear" w:color="auto" w:fill="auto"/>
          </w:tcPr>
          <w:p w14:paraId="752AF114" w14:textId="77777777" w:rsidR="00905C1B" w:rsidRDefault="00B248EC" w:rsidP="00DC2546">
            <w:pPr>
              <w:pStyle w:val="BackgroundTable"/>
              <w:rPr>
                <w:b w:val="0"/>
              </w:rPr>
            </w:pPr>
            <w:r>
              <w:rPr>
                <w:b w:val="0"/>
              </w:rPr>
              <w:t>O</w:t>
            </w:r>
            <w:r w:rsidR="00905C1B">
              <w:rPr>
                <w:b w:val="0"/>
              </w:rPr>
              <w:t>penable</w:t>
            </w:r>
          </w:p>
        </w:tc>
      </w:tr>
    </w:tbl>
    <w:p w14:paraId="50B1D1D2" w14:textId="77777777" w:rsidR="00157427" w:rsidRPr="00157427" w:rsidRDefault="00157427" w:rsidP="00157427">
      <w:pPr>
        <w:keepNext/>
        <w:spacing w:before="600" w:line="360" w:lineRule="auto"/>
        <w:outlineLvl w:val="0"/>
        <w:rPr>
          <w:b/>
          <w:sz w:val="28"/>
        </w:rPr>
      </w:pPr>
      <w:r w:rsidRPr="00157427">
        <w:rPr>
          <w:b/>
          <w:sz w:val="28"/>
        </w:rPr>
        <w:t>M</w:t>
      </w:r>
      <w:r w:rsidR="000F237B">
        <w:rPr>
          <w:b/>
          <w:sz w:val="28"/>
        </w:rPr>
        <w:t>ETHODS</w:t>
      </w:r>
    </w:p>
    <w:p w14:paraId="50CB4BF1" w14:textId="77777777" w:rsidR="00157427" w:rsidRPr="00157427" w:rsidRDefault="00157427" w:rsidP="00157427">
      <w:pPr>
        <w:spacing w:line="360" w:lineRule="auto"/>
        <w:ind w:firstLine="720"/>
      </w:pPr>
      <w:r w:rsidRPr="00157427">
        <w:t>Please refer to the IAQ Manual for methods, sampling procedures, and interpretation of results (MDPH, 2015).</w:t>
      </w:r>
    </w:p>
    <w:p w14:paraId="222D308C" w14:textId="77777777" w:rsidR="00157427" w:rsidRPr="00157427" w:rsidRDefault="000F237B" w:rsidP="00157427">
      <w:pPr>
        <w:keepNext/>
        <w:spacing w:before="600" w:line="360" w:lineRule="auto"/>
        <w:outlineLvl w:val="0"/>
        <w:rPr>
          <w:b/>
          <w:sz w:val="28"/>
        </w:rPr>
      </w:pPr>
      <w:r>
        <w:rPr>
          <w:b/>
          <w:sz w:val="28"/>
        </w:rPr>
        <w:t>RESULTS and DISCUSSION</w:t>
      </w:r>
    </w:p>
    <w:p w14:paraId="3AAC3617" w14:textId="77777777" w:rsidR="00157427" w:rsidRDefault="00157427" w:rsidP="00157427">
      <w:pPr>
        <w:spacing w:line="360" w:lineRule="auto"/>
        <w:ind w:firstLine="720"/>
      </w:pPr>
      <w:r w:rsidRPr="00157427">
        <w:t>The following is a summary of indoor air testing results (Table 1).</w:t>
      </w:r>
    </w:p>
    <w:p w14:paraId="7BA3D1EA" w14:textId="0A88C081" w:rsidR="00157427" w:rsidRPr="00157427" w:rsidRDefault="00157427" w:rsidP="002E466B">
      <w:pPr>
        <w:numPr>
          <w:ilvl w:val="0"/>
          <w:numId w:val="34"/>
        </w:numPr>
        <w:spacing w:line="360" w:lineRule="auto"/>
      </w:pPr>
      <w:r w:rsidRPr="001A4721">
        <w:rPr>
          <w:b/>
          <w:i/>
        </w:rPr>
        <w:lastRenderedPageBreak/>
        <w:t xml:space="preserve">Carbon dioxide </w:t>
      </w:r>
      <w:r w:rsidRPr="00157427">
        <w:t xml:space="preserve">levels were </w:t>
      </w:r>
      <w:r w:rsidR="001A4721">
        <w:t>above</w:t>
      </w:r>
      <w:r w:rsidRPr="00157427">
        <w:t xml:space="preserve"> the MDPH guideline of 800 parts per million (ppm) in </w:t>
      </w:r>
      <w:r w:rsidR="001A4721">
        <w:t>two office</w:t>
      </w:r>
      <w:r w:rsidR="00CB604E">
        <w:t>s</w:t>
      </w:r>
      <w:r w:rsidRPr="00157427">
        <w:t xml:space="preserve"> surveyed</w:t>
      </w:r>
      <w:r w:rsidR="001A4721">
        <w:t xml:space="preserve"> (112 and 113)</w:t>
      </w:r>
      <w:r w:rsidR="009B1A74">
        <w:t>,</w:t>
      </w:r>
      <w:r w:rsidR="008710F3">
        <w:t xml:space="preserve"> indicating</w:t>
      </w:r>
      <w:r w:rsidR="001A4721" w:rsidRPr="001A4721">
        <w:t xml:space="preserve"> </w:t>
      </w:r>
      <w:r w:rsidR="001A4721">
        <w:t>a need for</w:t>
      </w:r>
      <w:r w:rsidR="001A4721" w:rsidRPr="001A4721">
        <w:t xml:space="preserve"> increased air exchange at the time of assessment.</w:t>
      </w:r>
    </w:p>
    <w:p w14:paraId="56B8FBBD" w14:textId="77777777" w:rsidR="00157427" w:rsidRPr="00157427" w:rsidRDefault="00157427" w:rsidP="00157427">
      <w:pPr>
        <w:numPr>
          <w:ilvl w:val="0"/>
          <w:numId w:val="34"/>
        </w:numPr>
        <w:spacing w:line="360" w:lineRule="auto"/>
      </w:pPr>
      <w:r w:rsidRPr="00157427">
        <w:rPr>
          <w:b/>
          <w:i/>
        </w:rPr>
        <w:t>Temperature</w:t>
      </w:r>
      <w:r w:rsidRPr="00157427">
        <w:t xml:space="preserve"> was </w:t>
      </w:r>
      <w:r w:rsidRPr="00B013BC">
        <w:t xml:space="preserve">within </w:t>
      </w:r>
      <w:r w:rsidRPr="00157427">
        <w:t xml:space="preserve">the MDPH recommended range of 70°F to 78°F in </w:t>
      </w:r>
      <w:r w:rsidR="001A4721">
        <w:t xml:space="preserve">all </w:t>
      </w:r>
      <w:r w:rsidRPr="00157427">
        <w:t>areas tested.</w:t>
      </w:r>
    </w:p>
    <w:p w14:paraId="119E53B6" w14:textId="77777777" w:rsidR="00157427" w:rsidRPr="00157427" w:rsidRDefault="00157427" w:rsidP="004A2BB1">
      <w:pPr>
        <w:numPr>
          <w:ilvl w:val="0"/>
          <w:numId w:val="34"/>
        </w:numPr>
        <w:spacing w:line="360" w:lineRule="auto"/>
      </w:pPr>
      <w:r w:rsidRPr="002B110F">
        <w:rPr>
          <w:b/>
          <w:i/>
        </w:rPr>
        <w:t>Relative humidity</w:t>
      </w:r>
      <w:r w:rsidRPr="00157427">
        <w:t xml:space="preserve"> was </w:t>
      </w:r>
      <w:r w:rsidR="00B013BC">
        <w:t>within</w:t>
      </w:r>
      <w:r w:rsidR="00AE03F3">
        <w:t xml:space="preserve"> </w:t>
      </w:r>
      <w:r w:rsidRPr="00157427">
        <w:t>the MDPH recommended range of 40 to 60%.</w:t>
      </w:r>
    </w:p>
    <w:p w14:paraId="01FE1CA0" w14:textId="77777777" w:rsidR="00157427" w:rsidRPr="00157427" w:rsidRDefault="00157427" w:rsidP="00157427">
      <w:pPr>
        <w:numPr>
          <w:ilvl w:val="0"/>
          <w:numId w:val="34"/>
        </w:numPr>
        <w:spacing w:line="360" w:lineRule="auto"/>
      </w:pPr>
      <w:r w:rsidRPr="00157427">
        <w:rPr>
          <w:b/>
          <w:i/>
        </w:rPr>
        <w:t>Carbon monoxide</w:t>
      </w:r>
      <w:r w:rsidRPr="00157427">
        <w:t xml:space="preserve"> levels were </w:t>
      </w:r>
      <w:r w:rsidRPr="00B013BC">
        <w:t>non-detectable</w:t>
      </w:r>
      <w:r w:rsidRPr="00157427">
        <w:t xml:space="preserve"> (ND) in all areas tested.</w:t>
      </w:r>
    </w:p>
    <w:p w14:paraId="0C9CDFC0" w14:textId="77777777" w:rsidR="00157427" w:rsidRPr="00157427" w:rsidRDefault="00157427" w:rsidP="00157427">
      <w:pPr>
        <w:numPr>
          <w:ilvl w:val="0"/>
          <w:numId w:val="34"/>
        </w:numPr>
        <w:spacing w:line="360" w:lineRule="auto"/>
      </w:pPr>
      <w:r w:rsidRPr="00157427">
        <w:rPr>
          <w:b/>
          <w:i/>
        </w:rPr>
        <w:t xml:space="preserve">Fine particulate matter (PM2.5) </w:t>
      </w:r>
      <w:r w:rsidRPr="00157427">
        <w:t xml:space="preserve">concentrations measured were </w:t>
      </w:r>
      <w:r w:rsidRPr="00B013BC">
        <w:t>below</w:t>
      </w:r>
      <w:r w:rsidRPr="00157427">
        <w:t xml:space="preserve"> the National Ambient Air Quality Standard (NAAQS) limit of 35 μg/m</w:t>
      </w:r>
      <w:r w:rsidRPr="00157427">
        <w:rPr>
          <w:vertAlign w:val="superscript"/>
        </w:rPr>
        <w:t>3</w:t>
      </w:r>
      <w:r w:rsidRPr="00157427">
        <w:t xml:space="preserve"> in all areas tested.</w:t>
      </w:r>
    </w:p>
    <w:p w14:paraId="79407003" w14:textId="77777777" w:rsidR="00157427" w:rsidRPr="00157427" w:rsidRDefault="00157427" w:rsidP="000F237B">
      <w:pPr>
        <w:pStyle w:val="Heading2"/>
      </w:pPr>
      <w:r w:rsidRPr="00157427">
        <w:t>Ventilation</w:t>
      </w:r>
    </w:p>
    <w:p w14:paraId="38161AD1" w14:textId="77777777" w:rsidR="00157427" w:rsidRPr="00157427" w:rsidRDefault="00157427" w:rsidP="00157427">
      <w:pPr>
        <w:spacing w:line="360" w:lineRule="auto"/>
        <w:ind w:firstLine="720"/>
        <w:rPr>
          <w:snapToGrid w:val="0"/>
        </w:rPr>
      </w:pPr>
      <w:r w:rsidRPr="00157427">
        <w:rPr>
          <w:snapToGrid w:val="0"/>
        </w:rPr>
        <w:t xml:space="preserve">A heating, ventilating, and air conditioning (HVAC) system has several functions. First it provides heating and, if equipped, cooling. Second, it is a source of fresh air. Finally, an HVAC system will dilute and remove </w:t>
      </w:r>
      <w:r w:rsidR="000F237B" w:rsidRPr="00157427">
        <w:rPr>
          <w:snapToGrid w:val="0"/>
        </w:rPr>
        <w:t>normally occurring</w:t>
      </w:r>
      <w:r w:rsidRPr="00157427">
        <w:rPr>
          <w:snapToGrid w:val="0"/>
        </w:rPr>
        <w:t xml:space="preserve">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430F98AB" w14:textId="7079B5F6" w:rsidR="00157427" w:rsidRPr="00157427" w:rsidRDefault="00157427" w:rsidP="00157427">
      <w:pPr>
        <w:spacing w:line="360" w:lineRule="auto"/>
        <w:ind w:firstLine="720"/>
        <w:rPr>
          <w:snapToGrid w:val="0"/>
        </w:rPr>
      </w:pPr>
      <w:r w:rsidRPr="00157427">
        <w:rPr>
          <w:snapToGrid w:val="0"/>
        </w:rPr>
        <w:t xml:space="preserve">The HVAC system consists of </w:t>
      </w:r>
      <w:r w:rsidR="001F0CBB">
        <w:rPr>
          <w:snapToGrid w:val="0"/>
        </w:rPr>
        <w:t xml:space="preserve">ceiling-mounted </w:t>
      </w:r>
      <w:r w:rsidRPr="00157427">
        <w:rPr>
          <w:snapToGrid w:val="0"/>
        </w:rPr>
        <w:t xml:space="preserve">air handling units (AHUs) </w:t>
      </w:r>
      <w:r w:rsidR="00AE03F3">
        <w:rPr>
          <w:snapToGrid w:val="0"/>
        </w:rPr>
        <w:t>(Picture 1)</w:t>
      </w:r>
      <w:r w:rsidRPr="00157427">
        <w:rPr>
          <w:snapToGrid w:val="0"/>
        </w:rPr>
        <w:t xml:space="preserve">, </w:t>
      </w:r>
      <w:r w:rsidR="00B21CC4">
        <w:rPr>
          <w:snapToGrid w:val="0"/>
        </w:rPr>
        <w:t>that</w:t>
      </w:r>
      <w:r w:rsidRPr="00157427">
        <w:rPr>
          <w:snapToGrid w:val="0"/>
        </w:rPr>
        <w:t xml:space="preserve"> draw in outside air</w:t>
      </w:r>
      <w:r w:rsidR="00B21CC4">
        <w:rPr>
          <w:snapToGrid w:val="0"/>
        </w:rPr>
        <w:t>,</w:t>
      </w:r>
      <w:r w:rsidRPr="00157427">
        <w:rPr>
          <w:snapToGrid w:val="0"/>
        </w:rPr>
        <w:t xml:space="preserve"> heat</w:t>
      </w:r>
      <w:r w:rsidR="00F97D1B">
        <w:rPr>
          <w:snapToGrid w:val="0"/>
        </w:rPr>
        <w:t>/</w:t>
      </w:r>
      <w:r w:rsidRPr="00157427">
        <w:rPr>
          <w:snapToGrid w:val="0"/>
        </w:rPr>
        <w:t>cool</w:t>
      </w:r>
      <w:r w:rsidR="00BF547A">
        <w:rPr>
          <w:snapToGrid w:val="0"/>
        </w:rPr>
        <w:t xml:space="preserve"> it</w:t>
      </w:r>
      <w:r w:rsidRPr="00157427">
        <w:rPr>
          <w:snapToGrid w:val="0"/>
        </w:rPr>
        <w:t xml:space="preserve"> </w:t>
      </w:r>
      <w:r w:rsidR="00B21CC4">
        <w:rPr>
          <w:snapToGrid w:val="0"/>
        </w:rPr>
        <w:t xml:space="preserve">and distribute </w:t>
      </w:r>
      <w:r w:rsidR="00F97D1B">
        <w:rPr>
          <w:snapToGrid w:val="0"/>
        </w:rPr>
        <w:t xml:space="preserve">it </w:t>
      </w:r>
      <w:r w:rsidR="00B21CC4">
        <w:rPr>
          <w:snapToGrid w:val="0"/>
        </w:rPr>
        <w:t>to occupied areas via</w:t>
      </w:r>
      <w:r w:rsidRPr="00157427">
        <w:rPr>
          <w:snapToGrid w:val="0"/>
        </w:rPr>
        <w:t xml:space="preserve"> </w:t>
      </w:r>
      <w:r w:rsidR="00EB570A">
        <w:rPr>
          <w:snapToGrid w:val="0"/>
        </w:rPr>
        <w:t>multi-directional supply diffusers</w:t>
      </w:r>
      <w:r w:rsidR="00B21CC4">
        <w:rPr>
          <w:snapToGrid w:val="0"/>
        </w:rPr>
        <w:t xml:space="preserve">. Air is </w:t>
      </w:r>
      <w:r>
        <w:rPr>
          <w:snapToGrid w:val="0"/>
        </w:rPr>
        <w:t xml:space="preserve">returned </w:t>
      </w:r>
      <w:r w:rsidR="00B21CC4">
        <w:rPr>
          <w:snapToGrid w:val="0"/>
        </w:rPr>
        <w:t>to the AHUs by</w:t>
      </w:r>
      <w:r>
        <w:rPr>
          <w:snapToGrid w:val="0"/>
        </w:rPr>
        <w:t xml:space="preserve"> ceiling</w:t>
      </w:r>
      <w:r w:rsidR="005C6D41">
        <w:rPr>
          <w:snapToGrid w:val="0"/>
        </w:rPr>
        <w:t>-mounted</w:t>
      </w:r>
      <w:r>
        <w:rPr>
          <w:snapToGrid w:val="0"/>
        </w:rPr>
        <w:t xml:space="preserve"> </w:t>
      </w:r>
      <w:r w:rsidR="00AE03F3">
        <w:rPr>
          <w:snapToGrid w:val="0"/>
        </w:rPr>
        <w:t xml:space="preserve">(Picture </w:t>
      </w:r>
      <w:r w:rsidR="009046EE">
        <w:rPr>
          <w:snapToGrid w:val="0"/>
        </w:rPr>
        <w:t>1</w:t>
      </w:r>
      <w:r w:rsidR="00AE03F3">
        <w:rPr>
          <w:snapToGrid w:val="0"/>
        </w:rPr>
        <w:t>)</w:t>
      </w:r>
      <w:r>
        <w:rPr>
          <w:snapToGrid w:val="0"/>
        </w:rPr>
        <w:t xml:space="preserve"> </w:t>
      </w:r>
      <w:r w:rsidR="00600AB0">
        <w:rPr>
          <w:snapToGrid w:val="0"/>
        </w:rPr>
        <w:t>or wall-mounted vents (Picture 2)</w:t>
      </w:r>
      <w:r w:rsidRPr="00157427">
        <w:rPr>
          <w:snapToGrid w:val="0"/>
        </w:rPr>
        <w:t>.</w:t>
      </w:r>
      <w:r w:rsidR="00B21CC4">
        <w:rPr>
          <w:snapToGrid w:val="0"/>
        </w:rPr>
        <w:t xml:space="preserve"> </w:t>
      </w:r>
      <w:r w:rsidRPr="006D3410">
        <w:rPr>
          <w:snapToGrid w:val="0"/>
        </w:rPr>
        <w:t>The HVAC system is controlled by digital thermostats</w:t>
      </w:r>
      <w:r w:rsidR="006D3410" w:rsidRPr="006D3410">
        <w:rPr>
          <w:snapToGrid w:val="0"/>
        </w:rPr>
        <w:t xml:space="preserve"> that feed into a computerized management system</w:t>
      </w:r>
      <w:r w:rsidR="001F30A4" w:rsidRPr="006D3410">
        <w:rPr>
          <w:snapToGrid w:val="0"/>
        </w:rPr>
        <w:t>.</w:t>
      </w:r>
      <w:r w:rsidRPr="006D3410">
        <w:rPr>
          <w:snapToGrid w:val="0"/>
        </w:rPr>
        <w:t xml:space="preserve"> The </w:t>
      </w:r>
      <w:r w:rsidR="001F30A4" w:rsidRPr="006D3410">
        <w:rPr>
          <w:snapToGrid w:val="0"/>
        </w:rPr>
        <w:t>MDPH IAQ Program</w:t>
      </w:r>
      <w:r w:rsidRPr="006D3410">
        <w:rPr>
          <w:snapToGrid w:val="0"/>
        </w:rPr>
        <w:t xml:space="preserve"> recommends that fan</w:t>
      </w:r>
      <w:r w:rsidR="00F97D1B">
        <w:rPr>
          <w:snapToGrid w:val="0"/>
        </w:rPr>
        <w:t>s</w:t>
      </w:r>
      <w:r w:rsidRPr="006D3410">
        <w:rPr>
          <w:snapToGrid w:val="0"/>
        </w:rPr>
        <w:t xml:space="preserve"> be set to the “on” setting to provide continuous circulation/filtration during occupied hours.</w:t>
      </w:r>
    </w:p>
    <w:p w14:paraId="4860C2AB" w14:textId="77777777" w:rsidR="00ED035D" w:rsidRPr="00ED035D" w:rsidRDefault="00ED035D" w:rsidP="00ED035D">
      <w:pPr>
        <w:spacing w:line="360" w:lineRule="auto"/>
        <w:ind w:firstLine="720"/>
        <w:rPr>
          <w:snapToGrid w:val="0"/>
        </w:rPr>
      </w:pPr>
      <w:r w:rsidRPr="00ED035D">
        <w:rPr>
          <w:snapToGrid w:val="0"/>
        </w:rPr>
        <w:t>AHUs have filters, which should be changed 2-4 times a year or per the manufacture</w:t>
      </w:r>
      <w:r w:rsidR="00791CAE">
        <w:rPr>
          <w:snapToGrid w:val="0"/>
        </w:rPr>
        <w:t>r</w:t>
      </w:r>
      <w:r w:rsidRPr="00ED035D">
        <w:rPr>
          <w:snapToGrid w:val="0"/>
        </w:rPr>
        <w:t xml:space="preserve">’s recommendations. Filters should be at least a Minimum Efficiency Rating Value (MERV) of 8 </w:t>
      </w:r>
      <w:r w:rsidRPr="00ED035D">
        <w:rPr>
          <w:i/>
          <w:iCs/>
          <w:snapToGrid w:val="0"/>
        </w:rPr>
        <w:t>or higher</w:t>
      </w:r>
      <w:r w:rsidR="00791CAE" w:rsidRPr="00791CAE">
        <w:rPr>
          <w:snapToGrid w:val="0"/>
        </w:rPr>
        <w:t>,</w:t>
      </w:r>
      <w:r w:rsidRPr="00791CAE">
        <w:rPr>
          <w:snapToGrid w:val="0"/>
        </w:rPr>
        <w:t xml:space="preserve"> </w:t>
      </w:r>
      <w:r w:rsidRPr="00ED035D">
        <w:rPr>
          <w:snapToGrid w:val="0"/>
        </w:rPr>
        <w:t>if they fit and the equipment can handle the pressure reductions caused by more restrictive filters.</w:t>
      </w:r>
    </w:p>
    <w:p w14:paraId="4318FF33" w14:textId="08193A74" w:rsidR="00157427" w:rsidRDefault="00FC07BB" w:rsidP="00157427">
      <w:pPr>
        <w:spacing w:line="360" w:lineRule="auto"/>
        <w:ind w:firstLine="720"/>
        <w:rPr>
          <w:snapToGrid w:val="0"/>
        </w:rPr>
      </w:pPr>
      <w:r w:rsidRPr="00157427">
        <w:rPr>
          <w:snapToGrid w:val="0"/>
        </w:rPr>
        <w:t>To</w:t>
      </w:r>
      <w:r w:rsidR="00157427" w:rsidRPr="00157427">
        <w:rPr>
          <w:snapToGrid w:val="0"/>
        </w:rPr>
        <w:t xml:space="preserve"> have proper ventilation with a mechanical ventilation system, the systems must be balanced after installation to provide an adequate amount of fresh air to the interior of a room while removing stale air from the room. It is recommended that HVAC systems be re-balanced every five years to ensure adequate air systems function (SMACNA, 1994).</w:t>
      </w:r>
    </w:p>
    <w:p w14:paraId="310322A4" w14:textId="77777777" w:rsidR="00157427" w:rsidRPr="00157427" w:rsidRDefault="00157427" w:rsidP="000F237B">
      <w:pPr>
        <w:pStyle w:val="Heading2"/>
      </w:pPr>
      <w:r w:rsidRPr="00157427">
        <w:lastRenderedPageBreak/>
        <w:t>Microbial/Moisture Concerns</w:t>
      </w:r>
    </w:p>
    <w:p w14:paraId="6054C29F" w14:textId="77777777" w:rsidR="00157427" w:rsidRDefault="001B0281" w:rsidP="001F30A4">
      <w:pPr>
        <w:spacing w:line="360" w:lineRule="auto"/>
        <w:ind w:firstLine="720"/>
        <w:rPr>
          <w:snapToGrid w:val="0"/>
        </w:rPr>
      </w:pPr>
      <w:r>
        <w:rPr>
          <w:snapToGrid w:val="0"/>
        </w:rPr>
        <w:t>No evidence of water-damaged materials or mold growth were observed during the assessment.</w:t>
      </w:r>
    </w:p>
    <w:p w14:paraId="2EBB2DD2" w14:textId="77777777" w:rsidR="00157427" w:rsidRPr="00317C66" w:rsidRDefault="00157427" w:rsidP="000F237B">
      <w:pPr>
        <w:pStyle w:val="Heading2"/>
        <w:rPr>
          <w:snapToGrid w:val="0"/>
        </w:rPr>
      </w:pPr>
      <w:r w:rsidRPr="00317C66">
        <w:rPr>
          <w:snapToGrid w:val="0"/>
        </w:rPr>
        <w:t>Other Concerns</w:t>
      </w:r>
    </w:p>
    <w:p w14:paraId="5DD9A5E2" w14:textId="6635A71A" w:rsidR="001700B8" w:rsidRPr="001700B8" w:rsidRDefault="001F30A4" w:rsidP="001700B8">
      <w:pPr>
        <w:spacing w:line="360" w:lineRule="auto"/>
        <w:ind w:firstLine="720"/>
      </w:pPr>
      <w:r w:rsidRPr="00317C66">
        <w:t xml:space="preserve">Most of the </w:t>
      </w:r>
      <w:r w:rsidR="001700B8" w:rsidRPr="00317C66">
        <w:t>floor</w:t>
      </w:r>
      <w:r w:rsidRPr="00317C66">
        <w:t xml:space="preserve">s are </w:t>
      </w:r>
      <w:r w:rsidR="001700B8" w:rsidRPr="00317C66">
        <w:t>covered with carpet squares</w:t>
      </w:r>
      <w:r w:rsidR="00317C66" w:rsidRPr="00317C66">
        <w:t xml:space="preserve">, </w:t>
      </w:r>
      <w:r w:rsidR="001B0281">
        <w:t>one</w:t>
      </w:r>
      <w:r w:rsidR="00317C66" w:rsidRPr="00317C66">
        <w:t xml:space="preserve"> area</w:t>
      </w:r>
      <w:r w:rsidR="001B0281">
        <w:t xml:space="preserve"> had</w:t>
      </w:r>
      <w:r w:rsidR="00317C66" w:rsidRPr="00317C66">
        <w:t xml:space="preserve"> wall</w:t>
      </w:r>
      <w:r w:rsidR="00FC07BB">
        <w:t>-</w:t>
      </w:r>
      <w:r w:rsidR="00317C66" w:rsidRPr="00317C66">
        <w:t>to</w:t>
      </w:r>
      <w:r w:rsidR="00FC07BB">
        <w:t>-</w:t>
      </w:r>
      <w:r w:rsidR="00317C66" w:rsidRPr="00317C66">
        <w:t>wall carpeting</w:t>
      </w:r>
      <w:r w:rsidR="001700B8" w:rsidRPr="00317C66">
        <w:t>. Carpets should be vacuumed regularly with a high efficiency particulate arrestance (HEPA) filter equipped vacuum cleaner and cleaned annually (or semi-annually in soiled/high traffic areas) in accordance with Institute of Inspection, Cleaning and Restoration Certification (IICRC) recommendations (IICRC, 2012).</w:t>
      </w:r>
    </w:p>
    <w:p w14:paraId="01BDABB8" w14:textId="57034E21" w:rsidR="00873DF1" w:rsidRDefault="00FC07BB" w:rsidP="001F30A4">
      <w:pPr>
        <w:spacing w:line="360" w:lineRule="auto"/>
        <w:ind w:firstLine="720"/>
      </w:pPr>
      <w:bookmarkStart w:id="2" w:name="_Hlk111790489"/>
      <w:r>
        <w:t>Additionally</w:t>
      </w:r>
      <w:r w:rsidR="00873DF1">
        <w:t xml:space="preserve">, some </w:t>
      </w:r>
      <w:r w:rsidR="000619D3">
        <w:t xml:space="preserve">supply, </w:t>
      </w:r>
      <w:r w:rsidR="00873DF1">
        <w:t>exhaust and return vents had accumulations of dust and debris</w:t>
      </w:r>
      <w:r w:rsidR="00DE5D1A">
        <w:t xml:space="preserve"> (Table 1)</w:t>
      </w:r>
      <w:r w:rsidR="00873DF1">
        <w:t xml:space="preserve">. </w:t>
      </w:r>
      <w:r w:rsidR="00873DF1" w:rsidRPr="00873DF1">
        <w:t>This dust</w:t>
      </w:r>
      <w:r w:rsidR="00873DF1">
        <w:t>/debris</w:t>
      </w:r>
      <w:r w:rsidR="00873DF1" w:rsidRPr="00873DF1">
        <w:t xml:space="preserve"> can be </w:t>
      </w:r>
      <w:proofErr w:type="spellStart"/>
      <w:r w:rsidR="00873DF1" w:rsidRPr="00873DF1">
        <w:t>reaerosolized</w:t>
      </w:r>
      <w:proofErr w:type="spellEnd"/>
      <w:r w:rsidR="00873DF1" w:rsidRPr="00873DF1">
        <w:t xml:space="preserve"> under certain conditions, and</w:t>
      </w:r>
      <w:r w:rsidR="00873DF1">
        <w:t xml:space="preserve"> should be cleaned periodically (e.g., during regular filter changes).</w:t>
      </w:r>
    </w:p>
    <w:bookmarkEnd w:id="2"/>
    <w:p w14:paraId="64715270" w14:textId="181B6966" w:rsidR="003475EE" w:rsidRPr="00B248EC" w:rsidRDefault="000F237B" w:rsidP="00B248EC">
      <w:pPr>
        <w:pStyle w:val="Heading1"/>
      </w:pPr>
      <w:r w:rsidRPr="00B248EC">
        <w:t xml:space="preserve">CONCLUSIONS </w:t>
      </w:r>
      <w:r w:rsidR="004812E9">
        <w:t>AND</w:t>
      </w:r>
      <w:r w:rsidRPr="00B248EC">
        <w:t xml:space="preserve"> RECOMMENDATIONS</w:t>
      </w:r>
    </w:p>
    <w:p w14:paraId="6A746D0D" w14:textId="77777777" w:rsidR="003475EE" w:rsidRDefault="00280A4E" w:rsidP="00C3385E">
      <w:pPr>
        <w:pStyle w:val="BodyText"/>
        <w:spacing w:line="360" w:lineRule="auto"/>
      </w:pPr>
      <w:r w:rsidRPr="00AB02B6">
        <w:t>In view of the findings at the time of assessment, the following recommendations are made:</w:t>
      </w:r>
    </w:p>
    <w:p w14:paraId="0F887ED1" w14:textId="77777777" w:rsidR="00873DF1" w:rsidRPr="00B07344" w:rsidRDefault="00873DF1" w:rsidP="000F237B">
      <w:pPr>
        <w:pStyle w:val="Heading3"/>
        <w:rPr>
          <w:b/>
          <w:bCs/>
          <w:i w:val="0"/>
          <w:iCs/>
        </w:rPr>
      </w:pPr>
      <w:r w:rsidRPr="00B07344">
        <w:rPr>
          <w:b/>
          <w:bCs/>
          <w:i w:val="0"/>
          <w:iCs/>
        </w:rPr>
        <w:t>Ventilation recommendations</w:t>
      </w:r>
    </w:p>
    <w:p w14:paraId="0275CB68" w14:textId="77777777" w:rsidR="00F241F0" w:rsidRPr="00873DF1" w:rsidRDefault="00F241F0" w:rsidP="00F241F0">
      <w:pPr>
        <w:pStyle w:val="BodyText"/>
        <w:numPr>
          <w:ilvl w:val="0"/>
          <w:numId w:val="37"/>
        </w:numPr>
        <w:spacing w:line="360" w:lineRule="auto"/>
        <w:ind w:hanging="540"/>
      </w:pPr>
      <w:r>
        <w:t>Continue with preventative maintenance plans for general HVAC systems.</w:t>
      </w:r>
    </w:p>
    <w:p w14:paraId="7C090016" w14:textId="77777777" w:rsidR="008B7FAD" w:rsidRPr="00B75D35" w:rsidRDefault="008B7FAD" w:rsidP="008B7FAD">
      <w:pPr>
        <w:pStyle w:val="BodyText1"/>
        <w:numPr>
          <w:ilvl w:val="0"/>
          <w:numId w:val="37"/>
        </w:numPr>
        <w:ind w:hanging="540"/>
      </w:pPr>
      <w:r w:rsidRPr="00B75D35">
        <w:t xml:space="preserve">Continue to change filters for HVAC equipment 2-4 times a year </w:t>
      </w:r>
      <w:bookmarkStart w:id="3" w:name="_Hlk107385521"/>
      <w:r w:rsidRPr="00B75D35">
        <w:t xml:space="preserve">using </w:t>
      </w:r>
      <w:r>
        <w:t xml:space="preserve">MERV 8 or </w:t>
      </w:r>
      <w:r w:rsidRPr="00B75D35">
        <w:t>the highest MERV rating the ventilation system can accommodate</w:t>
      </w:r>
      <w:bookmarkEnd w:id="3"/>
      <w:r w:rsidRPr="00B75D35">
        <w:t xml:space="preserve"> to improve air filtration as much as possible without significantly reducing airflow.</w:t>
      </w:r>
    </w:p>
    <w:p w14:paraId="00554BC0" w14:textId="77777777" w:rsidR="008B7FAD" w:rsidRDefault="008B7FAD" w:rsidP="008B7FAD">
      <w:pPr>
        <w:pStyle w:val="BodyText1"/>
        <w:numPr>
          <w:ilvl w:val="0"/>
          <w:numId w:val="37"/>
        </w:numPr>
        <w:ind w:hanging="540"/>
      </w:pPr>
      <w:r w:rsidRPr="00B75D35">
        <w:t xml:space="preserve">Clean the interior of </w:t>
      </w:r>
      <w:proofErr w:type="spellStart"/>
      <w:r w:rsidRPr="00B75D35">
        <w:t>AHUs</w:t>
      </w:r>
      <w:proofErr w:type="spellEnd"/>
      <w:r w:rsidRPr="00B75D35">
        <w:t xml:space="preserve"> </w:t>
      </w:r>
      <w:r>
        <w:t xml:space="preserve">and univents </w:t>
      </w:r>
      <w:r w:rsidRPr="00B75D35">
        <w:t>during regular filter changes.</w:t>
      </w:r>
    </w:p>
    <w:p w14:paraId="6347C39D" w14:textId="77777777" w:rsidR="008B7FAD" w:rsidRPr="007F56D3" w:rsidRDefault="008B7FAD" w:rsidP="008B7FAD">
      <w:pPr>
        <w:pStyle w:val="BodyText1"/>
        <w:numPr>
          <w:ilvl w:val="0"/>
          <w:numId w:val="37"/>
        </w:numPr>
        <w:ind w:hanging="540"/>
      </w:pPr>
      <w:r w:rsidRPr="007F56D3">
        <w:t>Periodically check exhaust vents in restrooms for draw and make adjustments/repairs as needed.</w:t>
      </w:r>
    </w:p>
    <w:p w14:paraId="53284716" w14:textId="77777777" w:rsidR="00873DF1" w:rsidRDefault="00873DF1" w:rsidP="00655205">
      <w:pPr>
        <w:pStyle w:val="BodyText"/>
        <w:numPr>
          <w:ilvl w:val="0"/>
          <w:numId w:val="37"/>
        </w:numPr>
        <w:spacing w:line="360" w:lineRule="auto"/>
        <w:ind w:hanging="540"/>
      </w:pPr>
      <w:r>
        <w:t>H</w:t>
      </w:r>
      <w:r w:rsidRPr="00873DF1">
        <w:t>ave the HVAC system balanced every 5 years in accordance with SMACNA recommendations (SMACNA, 1994).</w:t>
      </w:r>
    </w:p>
    <w:p w14:paraId="4B3BF22E" w14:textId="77777777" w:rsidR="00873DF1" w:rsidRPr="007F56D3" w:rsidRDefault="00873DF1" w:rsidP="000F237B">
      <w:pPr>
        <w:pStyle w:val="Heading3"/>
        <w:rPr>
          <w:b/>
          <w:bCs/>
          <w:i w:val="0"/>
          <w:iCs/>
        </w:rPr>
      </w:pPr>
      <w:bookmarkStart w:id="4" w:name="_Hlk114491303"/>
      <w:r w:rsidRPr="007F56D3">
        <w:rPr>
          <w:b/>
          <w:bCs/>
          <w:i w:val="0"/>
          <w:iCs/>
        </w:rPr>
        <w:lastRenderedPageBreak/>
        <w:t>Water Damage recommendations</w:t>
      </w:r>
    </w:p>
    <w:bookmarkEnd w:id="4"/>
    <w:p w14:paraId="55C6AAB9" w14:textId="77777777" w:rsidR="00FB5582" w:rsidRPr="007F56D3" w:rsidRDefault="00FB5582" w:rsidP="00DF167A">
      <w:pPr>
        <w:pStyle w:val="BodyText"/>
        <w:numPr>
          <w:ilvl w:val="0"/>
          <w:numId w:val="37"/>
        </w:numPr>
        <w:ind w:hanging="630"/>
      </w:pPr>
      <w:r w:rsidRPr="007F56D3">
        <w:t>Inspect gutters and downspouts periodically for proper drainage, make repairs as necessary.</w:t>
      </w:r>
    </w:p>
    <w:p w14:paraId="41905725" w14:textId="77777777" w:rsidR="007B3B96" w:rsidRPr="00B07344" w:rsidRDefault="007B3B96" w:rsidP="000F237B">
      <w:pPr>
        <w:pStyle w:val="Heading3"/>
        <w:rPr>
          <w:b/>
          <w:bCs/>
          <w:i w:val="0"/>
          <w:iCs/>
        </w:rPr>
      </w:pPr>
      <w:r w:rsidRPr="00B07344">
        <w:rPr>
          <w:b/>
          <w:bCs/>
          <w:i w:val="0"/>
          <w:iCs/>
        </w:rPr>
        <w:t>Other recommendations</w:t>
      </w:r>
    </w:p>
    <w:p w14:paraId="596BFB69" w14:textId="77777777" w:rsidR="007B3B96" w:rsidRDefault="007B3B96" w:rsidP="00DF167A">
      <w:pPr>
        <w:pStyle w:val="BodyText"/>
        <w:numPr>
          <w:ilvl w:val="0"/>
          <w:numId w:val="37"/>
        </w:numPr>
        <w:spacing w:line="360" w:lineRule="auto"/>
        <w:ind w:hanging="630"/>
      </w:pPr>
      <w:r w:rsidRPr="007B3B96">
        <w:t>Clean supply, return, and exhaust vents regularly to remove accumulated dust/debris.</w:t>
      </w:r>
    </w:p>
    <w:p w14:paraId="1E98C43D" w14:textId="77777777" w:rsidR="007B3B96" w:rsidRDefault="007B3B96" w:rsidP="00A95C43">
      <w:pPr>
        <w:pStyle w:val="BodyText"/>
        <w:numPr>
          <w:ilvl w:val="0"/>
          <w:numId w:val="37"/>
        </w:numPr>
        <w:spacing w:line="360" w:lineRule="auto"/>
        <w:ind w:hanging="630"/>
      </w:pPr>
      <w:r w:rsidRPr="007B3B96">
        <w:t>Clean carpeting in accordance with IICRC recommendations (IICRC, 2012); annually (or semi-annually in soiled/high traffic areas).</w:t>
      </w:r>
    </w:p>
    <w:p w14:paraId="65AD0A83" w14:textId="77777777" w:rsidR="00F241F0" w:rsidRPr="007B3B96" w:rsidRDefault="00F241F0" w:rsidP="00A95C43">
      <w:pPr>
        <w:pStyle w:val="BodyText"/>
        <w:numPr>
          <w:ilvl w:val="0"/>
          <w:numId w:val="37"/>
        </w:numPr>
        <w:spacing w:line="360" w:lineRule="auto"/>
        <w:ind w:hanging="630"/>
      </w:pPr>
      <w:r w:rsidRPr="007B3B96">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14:paraId="3A791FD4" w14:textId="77777777" w:rsidR="00873DF1" w:rsidRDefault="001D18CE" w:rsidP="00A95C43">
      <w:pPr>
        <w:numPr>
          <w:ilvl w:val="0"/>
          <w:numId w:val="37"/>
        </w:numPr>
        <w:spacing w:line="360" w:lineRule="auto"/>
        <w:ind w:hanging="720"/>
      </w:pPr>
      <w:r w:rsidRPr="001D18CE">
        <w:t xml:space="preserve">Refer to resource manual and other related IAQ documents located on the MDPH’s website for further building-wide evaluations and advice on maintaining public buildings. These documents are available at: </w:t>
      </w:r>
      <w:hyperlink r:id="rId9" w:history="1">
        <w:r w:rsidR="00655205" w:rsidRPr="0067284A">
          <w:rPr>
            <w:rStyle w:val="Hyperlink"/>
          </w:rPr>
          <w:t>http://mass.gov/dph/iaq</w:t>
        </w:r>
      </w:hyperlink>
      <w:r w:rsidRPr="001D18CE">
        <w:t>.</w:t>
      </w:r>
    </w:p>
    <w:p w14:paraId="53C6D27E" w14:textId="77777777" w:rsidR="00927E90" w:rsidRDefault="00927E90" w:rsidP="00927E90">
      <w:pPr>
        <w:pStyle w:val="BodyText"/>
        <w:spacing w:line="360" w:lineRule="auto"/>
        <w:ind w:firstLine="0"/>
        <w:jc w:val="center"/>
        <w:rPr>
          <w:b/>
        </w:rPr>
      </w:pPr>
    </w:p>
    <w:p w14:paraId="0D861ABF" w14:textId="77777777" w:rsidR="00582CC9" w:rsidRPr="00582CC9" w:rsidRDefault="00582CC9" w:rsidP="00582CC9">
      <w:pPr>
        <w:pStyle w:val="BodyText"/>
        <w:spacing w:line="360" w:lineRule="auto"/>
        <w:ind w:firstLine="0"/>
        <w:rPr>
          <w:b/>
          <w:sz w:val="28"/>
        </w:rPr>
      </w:pPr>
      <w:r>
        <w:rPr>
          <w:b/>
        </w:rPr>
        <w:br w:type="page"/>
      </w:r>
      <w:r w:rsidRPr="00582CC9">
        <w:rPr>
          <w:b/>
          <w:sz w:val="28"/>
        </w:rPr>
        <w:lastRenderedPageBreak/>
        <w:t>R</w:t>
      </w:r>
      <w:r w:rsidR="000F237B">
        <w:rPr>
          <w:b/>
          <w:sz w:val="28"/>
        </w:rPr>
        <w:t>EFERENCES</w:t>
      </w:r>
    </w:p>
    <w:p w14:paraId="6CBCC53C" w14:textId="77777777" w:rsidR="00D7725B" w:rsidRPr="00D7725B" w:rsidRDefault="00D7725B" w:rsidP="00D7725B">
      <w:pPr>
        <w:spacing w:after="240"/>
        <w:rPr>
          <w:szCs w:val="24"/>
        </w:rPr>
      </w:pPr>
      <w:r w:rsidRPr="00D7725B">
        <w:rPr>
          <w:szCs w:val="24"/>
        </w:rPr>
        <w:t>IICRC. 2012. Institute of Inspection, Cleaning and Restoration Certification. Carpet Cleaning: FAQ.</w:t>
      </w:r>
    </w:p>
    <w:p w14:paraId="20E78350" w14:textId="77777777" w:rsidR="00157427" w:rsidRDefault="00CA2793" w:rsidP="00D7725B">
      <w:pPr>
        <w:spacing w:after="240"/>
      </w:pPr>
      <w:r w:rsidRPr="00CA2793">
        <w:t xml:space="preserve">MDPH. 2015. Massachusetts Department of Public Health. “Indoor Air Quality Manual: Chapters I-III”. Available at: </w:t>
      </w:r>
      <w:hyperlink r:id="rId10" w:history="1">
        <w:r w:rsidRPr="00CA2793">
          <w:rPr>
            <w:color w:val="0000FF"/>
            <w:u w:val="single"/>
          </w:rPr>
          <w:t xml:space="preserve">Indoor air quality </w:t>
        </w:r>
        <w:r w:rsidR="001F0CBB">
          <w:rPr>
            <w:color w:val="0000FF"/>
            <w:u w:val="single"/>
          </w:rPr>
          <w:t>–</w:t>
        </w:r>
        <w:r w:rsidRPr="00CA2793">
          <w:rPr>
            <w:color w:val="0000FF"/>
            <w:u w:val="single"/>
          </w:rPr>
          <w:t xml:space="preserve"> manual and appendices | Mass.gov</w:t>
        </w:r>
      </w:hyperlink>
    </w:p>
    <w:p w14:paraId="6CA558EB" w14:textId="77777777" w:rsidR="00AE59A8" w:rsidRPr="00582CC9" w:rsidRDefault="00AE59A8" w:rsidP="00AE59A8">
      <w:pPr>
        <w:spacing w:after="240"/>
      </w:pPr>
      <w:r w:rsidRPr="00582CC9">
        <w:rPr>
          <w:szCs w:val="24"/>
        </w:rPr>
        <w:t>SMACNA. 1994. HVAC Systems Commissioning Manual. 1</w:t>
      </w:r>
      <w:r w:rsidRPr="00582CC9">
        <w:rPr>
          <w:szCs w:val="24"/>
          <w:vertAlign w:val="superscript"/>
        </w:rPr>
        <w:t>st</w:t>
      </w:r>
      <w:r w:rsidRPr="00582CC9">
        <w:rPr>
          <w:szCs w:val="24"/>
        </w:rPr>
        <w:t xml:space="preserve"> ed. Sheet Metal and Air Conditioning Contractors’ National Association, Inc., Chantilly, VA.</w:t>
      </w:r>
    </w:p>
    <w:p w14:paraId="1E512CCE" w14:textId="77777777" w:rsidR="000F237B" w:rsidRDefault="000F237B" w:rsidP="00D7725B">
      <w:pPr>
        <w:spacing w:after="240"/>
        <w:rPr>
          <w:b/>
          <w:bCs/>
        </w:rPr>
        <w:sectPr w:rsidR="000F237B" w:rsidSect="00D844EB">
          <w:footerReference w:type="default" r:id="rId11"/>
          <w:pgSz w:w="12240" w:h="15840"/>
          <w:pgMar w:top="1440" w:right="1440" w:bottom="1440" w:left="1440" w:header="720" w:footer="720" w:gutter="0"/>
          <w:cols w:space="720"/>
          <w:titlePg/>
          <w:docGrid w:linePitch="326"/>
        </w:sectPr>
      </w:pPr>
    </w:p>
    <w:p w14:paraId="2B309103" w14:textId="77777777" w:rsidR="000F237B" w:rsidRDefault="000F237B" w:rsidP="000F237B">
      <w:pPr>
        <w:rPr>
          <w:b/>
          <w:bCs/>
          <w:szCs w:val="24"/>
        </w:rPr>
      </w:pPr>
      <w:r w:rsidRPr="00703172">
        <w:rPr>
          <w:b/>
          <w:bCs/>
          <w:szCs w:val="24"/>
        </w:rPr>
        <w:lastRenderedPageBreak/>
        <w:t>Picture 1</w:t>
      </w:r>
    </w:p>
    <w:p w14:paraId="0137E015" w14:textId="77777777" w:rsidR="00EB570A" w:rsidRPr="00703172" w:rsidRDefault="00EB570A" w:rsidP="000F237B">
      <w:pPr>
        <w:rPr>
          <w:b/>
          <w:bCs/>
          <w:szCs w:val="24"/>
        </w:rPr>
      </w:pPr>
    </w:p>
    <w:p w14:paraId="579C3DC0" w14:textId="28B3D7BD" w:rsidR="000F237B" w:rsidRPr="00703172" w:rsidRDefault="004B10A2" w:rsidP="000F237B">
      <w:pPr>
        <w:jc w:val="center"/>
        <w:rPr>
          <w:b/>
          <w:bCs/>
          <w:szCs w:val="24"/>
        </w:rPr>
      </w:pPr>
      <w:r>
        <w:rPr>
          <w:noProof/>
        </w:rPr>
        <w:drawing>
          <wp:inline distT="0" distB="0" distL="0" distR="0" wp14:anchorId="777D0660" wp14:editId="2FDE2B0D">
            <wp:extent cx="4379976" cy="3291840"/>
            <wp:effectExtent l="0" t="0" r="1905" b="3810"/>
            <wp:docPr id="1" name="Picture 2" descr="Ceiling-mounted A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eiling-mounted AH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9976" cy="3291840"/>
                    </a:xfrm>
                    <a:prstGeom prst="rect">
                      <a:avLst/>
                    </a:prstGeom>
                    <a:noFill/>
                    <a:ln>
                      <a:noFill/>
                    </a:ln>
                  </pic:spPr>
                </pic:pic>
              </a:graphicData>
            </a:graphic>
          </wp:inline>
        </w:drawing>
      </w:r>
    </w:p>
    <w:p w14:paraId="1FF9CA77" w14:textId="77777777" w:rsidR="00EB570A" w:rsidRDefault="00EB570A" w:rsidP="000F237B">
      <w:pPr>
        <w:jc w:val="center"/>
        <w:rPr>
          <w:b/>
          <w:bCs/>
          <w:szCs w:val="24"/>
        </w:rPr>
      </w:pPr>
    </w:p>
    <w:p w14:paraId="4CD902C2" w14:textId="77777777" w:rsidR="00600AB0" w:rsidRPr="00703172" w:rsidRDefault="00600AB0" w:rsidP="00600AB0">
      <w:pPr>
        <w:jc w:val="center"/>
        <w:rPr>
          <w:b/>
          <w:bCs/>
          <w:szCs w:val="24"/>
        </w:rPr>
      </w:pPr>
      <w:r>
        <w:rPr>
          <w:b/>
          <w:bCs/>
          <w:szCs w:val="24"/>
        </w:rPr>
        <w:t xml:space="preserve">Ceiling-mounted </w:t>
      </w:r>
      <w:r w:rsidR="000F237B">
        <w:rPr>
          <w:b/>
          <w:bCs/>
          <w:szCs w:val="24"/>
        </w:rPr>
        <w:t>AHU</w:t>
      </w:r>
    </w:p>
    <w:p w14:paraId="3C4BA9EA" w14:textId="77777777" w:rsidR="000F237B" w:rsidRDefault="001F0CBB" w:rsidP="001F0CBB">
      <w:pPr>
        <w:rPr>
          <w:b/>
          <w:bCs/>
          <w:szCs w:val="24"/>
        </w:rPr>
      </w:pPr>
      <w:r>
        <w:rPr>
          <w:b/>
          <w:bCs/>
          <w:szCs w:val="24"/>
        </w:rPr>
        <w:t>Picture 2</w:t>
      </w:r>
    </w:p>
    <w:p w14:paraId="3DC23CE4" w14:textId="77777777" w:rsidR="001F0CBB" w:rsidRPr="00703172" w:rsidRDefault="001F0CBB" w:rsidP="001F0CBB">
      <w:pPr>
        <w:rPr>
          <w:b/>
          <w:bCs/>
          <w:szCs w:val="24"/>
        </w:rPr>
      </w:pPr>
    </w:p>
    <w:p w14:paraId="5FA6CA39" w14:textId="2C17A82D" w:rsidR="000F237B" w:rsidRDefault="004B10A2" w:rsidP="000F237B">
      <w:pPr>
        <w:jc w:val="center"/>
      </w:pPr>
      <w:r>
        <w:rPr>
          <w:noProof/>
        </w:rPr>
        <w:drawing>
          <wp:inline distT="0" distB="0" distL="0" distR="0" wp14:anchorId="126A8218" wp14:editId="74F9F57A">
            <wp:extent cx="3739896" cy="3291840"/>
            <wp:effectExtent l="0" t="0" r="0" b="3810"/>
            <wp:docPr id="80751463" name="Picture 3" descr="Wall-mounted vents and duc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1463" name="Picture 3" descr="Wall-mounted vents and ductwo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39896" cy="3291840"/>
                    </a:xfrm>
                    <a:prstGeom prst="rect">
                      <a:avLst/>
                    </a:prstGeom>
                    <a:noFill/>
                  </pic:spPr>
                </pic:pic>
              </a:graphicData>
            </a:graphic>
          </wp:inline>
        </w:drawing>
      </w:r>
    </w:p>
    <w:p w14:paraId="1CA8CCEB" w14:textId="77777777" w:rsidR="0029532B" w:rsidRDefault="0029532B" w:rsidP="00DF64D2">
      <w:pPr>
        <w:jc w:val="center"/>
        <w:rPr>
          <w:b/>
          <w:bCs/>
          <w:szCs w:val="24"/>
        </w:rPr>
      </w:pPr>
    </w:p>
    <w:p w14:paraId="6CC2F580" w14:textId="16F27370" w:rsidR="00D2095C" w:rsidRDefault="00600AB0" w:rsidP="00667901">
      <w:pPr>
        <w:jc w:val="center"/>
        <w:rPr>
          <w:b/>
          <w:bCs/>
        </w:rPr>
      </w:pPr>
      <w:r w:rsidRPr="00600AB0">
        <w:rPr>
          <w:b/>
          <w:bCs/>
        </w:rPr>
        <w:t>Wall-mounted vents and ductwork</w:t>
      </w:r>
    </w:p>
    <w:p w14:paraId="0E511D93" w14:textId="77777777" w:rsidR="000F237B" w:rsidRDefault="000F237B" w:rsidP="00D2095C">
      <w:pPr>
        <w:jc w:val="center"/>
        <w:rPr>
          <w:b/>
          <w:bCs/>
        </w:rPr>
      </w:pPr>
    </w:p>
    <w:p w14:paraId="58E83D6F" w14:textId="77777777" w:rsidR="000F237B" w:rsidRDefault="000F237B" w:rsidP="00D7725B">
      <w:pPr>
        <w:spacing w:after="240"/>
        <w:rPr>
          <w:b/>
          <w:bCs/>
        </w:rPr>
        <w:sectPr w:rsidR="000F237B">
          <w:footerReference w:type="default" r:id="rId14"/>
          <w:pgSz w:w="12240" w:h="15840"/>
          <w:pgMar w:top="1440" w:right="1440" w:bottom="1440" w:left="1440" w:header="720" w:footer="720" w:gutter="0"/>
          <w:cols w:space="720"/>
          <w:docGrid w:linePitch="360"/>
        </w:sectPr>
      </w:pPr>
    </w:p>
    <w:tbl>
      <w:tblPr>
        <w:tblW w:w="1391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829"/>
        <w:gridCol w:w="990"/>
        <w:gridCol w:w="990"/>
        <w:gridCol w:w="990"/>
        <w:gridCol w:w="1170"/>
        <w:gridCol w:w="900"/>
        <w:gridCol w:w="1080"/>
        <w:gridCol w:w="1040"/>
        <w:gridCol w:w="882"/>
        <w:gridCol w:w="936"/>
        <w:gridCol w:w="3110"/>
      </w:tblGrid>
      <w:tr w:rsidR="000F237B" w:rsidRPr="00755960" w14:paraId="66D45383" w14:textId="77777777" w:rsidTr="00DB2AEB">
        <w:trPr>
          <w:cantSplit/>
          <w:trHeight w:val="240"/>
          <w:tblHeader/>
          <w:jc w:val="center"/>
        </w:trPr>
        <w:tc>
          <w:tcPr>
            <w:tcW w:w="1829" w:type="dxa"/>
            <w:vMerge w:val="restart"/>
            <w:vAlign w:val="bottom"/>
          </w:tcPr>
          <w:p w14:paraId="6089AB88" w14:textId="77777777" w:rsidR="000F237B" w:rsidRPr="00755960" w:rsidRDefault="000F237B" w:rsidP="00DB2AEB">
            <w:pPr>
              <w:pStyle w:val="Heading1"/>
            </w:pPr>
            <w:r w:rsidRPr="00755960">
              <w:lastRenderedPageBreak/>
              <w:t>Location</w:t>
            </w:r>
          </w:p>
        </w:tc>
        <w:tc>
          <w:tcPr>
            <w:tcW w:w="990" w:type="dxa"/>
            <w:vMerge w:val="restart"/>
            <w:vAlign w:val="bottom"/>
          </w:tcPr>
          <w:p w14:paraId="1C8662F0" w14:textId="77777777" w:rsidR="000F237B" w:rsidRPr="00755960" w:rsidRDefault="000F237B" w:rsidP="00DB2AEB">
            <w:pPr>
              <w:jc w:val="center"/>
              <w:rPr>
                <w:b/>
                <w:sz w:val="18"/>
              </w:rPr>
            </w:pPr>
            <w:r w:rsidRPr="00755960">
              <w:rPr>
                <w:b/>
                <w:sz w:val="18"/>
              </w:rPr>
              <w:t>Carbon</w:t>
            </w:r>
          </w:p>
          <w:p w14:paraId="6A8E658E" w14:textId="77777777" w:rsidR="000F237B" w:rsidRPr="00755960" w:rsidRDefault="000F237B" w:rsidP="00DB2AEB">
            <w:pPr>
              <w:jc w:val="center"/>
              <w:rPr>
                <w:b/>
                <w:sz w:val="18"/>
              </w:rPr>
            </w:pPr>
            <w:r w:rsidRPr="00755960">
              <w:rPr>
                <w:b/>
                <w:sz w:val="18"/>
              </w:rPr>
              <w:t>Dioxide</w:t>
            </w:r>
          </w:p>
          <w:p w14:paraId="73DAE6A7" w14:textId="77777777" w:rsidR="000F237B" w:rsidRPr="00755960" w:rsidRDefault="000F237B" w:rsidP="00DB2AEB">
            <w:pPr>
              <w:jc w:val="center"/>
              <w:rPr>
                <w:b/>
                <w:sz w:val="18"/>
              </w:rPr>
            </w:pPr>
            <w:r w:rsidRPr="00755960">
              <w:rPr>
                <w:b/>
                <w:sz w:val="18"/>
              </w:rPr>
              <w:t>(ppm)</w:t>
            </w:r>
          </w:p>
        </w:tc>
        <w:tc>
          <w:tcPr>
            <w:tcW w:w="990" w:type="dxa"/>
            <w:vMerge w:val="restart"/>
            <w:vAlign w:val="bottom"/>
          </w:tcPr>
          <w:p w14:paraId="2FCF8E5A" w14:textId="77777777" w:rsidR="000F237B" w:rsidRPr="00755960" w:rsidRDefault="000F237B" w:rsidP="00DB2AEB">
            <w:pPr>
              <w:jc w:val="center"/>
              <w:rPr>
                <w:b/>
                <w:sz w:val="18"/>
              </w:rPr>
            </w:pPr>
            <w:r w:rsidRPr="00755960">
              <w:rPr>
                <w:b/>
                <w:sz w:val="18"/>
              </w:rPr>
              <w:t>Carbon Monoxide</w:t>
            </w:r>
          </w:p>
          <w:p w14:paraId="4894EBEF" w14:textId="77777777" w:rsidR="000F237B" w:rsidRPr="00755960" w:rsidRDefault="000F237B" w:rsidP="00DB2AEB">
            <w:pPr>
              <w:jc w:val="center"/>
              <w:rPr>
                <w:b/>
                <w:sz w:val="18"/>
              </w:rPr>
            </w:pPr>
            <w:r w:rsidRPr="00755960">
              <w:rPr>
                <w:b/>
                <w:sz w:val="18"/>
              </w:rPr>
              <w:t>(ppm)</w:t>
            </w:r>
          </w:p>
        </w:tc>
        <w:tc>
          <w:tcPr>
            <w:tcW w:w="990" w:type="dxa"/>
            <w:vMerge w:val="restart"/>
            <w:vAlign w:val="bottom"/>
          </w:tcPr>
          <w:p w14:paraId="142C167B" w14:textId="77777777" w:rsidR="000F237B" w:rsidRPr="00755960" w:rsidRDefault="000F237B" w:rsidP="00DB2AEB">
            <w:pPr>
              <w:jc w:val="center"/>
              <w:rPr>
                <w:b/>
                <w:sz w:val="18"/>
              </w:rPr>
            </w:pPr>
            <w:r w:rsidRPr="00755960">
              <w:rPr>
                <w:b/>
                <w:sz w:val="18"/>
              </w:rPr>
              <w:t>Temp</w:t>
            </w:r>
          </w:p>
          <w:p w14:paraId="7A671A50" w14:textId="77777777" w:rsidR="000F237B" w:rsidRPr="00755960" w:rsidRDefault="000F237B" w:rsidP="00DB2AEB">
            <w:pPr>
              <w:jc w:val="center"/>
              <w:rPr>
                <w:b/>
                <w:sz w:val="18"/>
              </w:rPr>
            </w:pPr>
            <w:r w:rsidRPr="00755960">
              <w:rPr>
                <w:b/>
                <w:sz w:val="18"/>
              </w:rPr>
              <w:t>(°F)</w:t>
            </w:r>
          </w:p>
        </w:tc>
        <w:tc>
          <w:tcPr>
            <w:tcW w:w="1170" w:type="dxa"/>
            <w:vMerge w:val="restart"/>
            <w:vAlign w:val="bottom"/>
          </w:tcPr>
          <w:p w14:paraId="606960A7" w14:textId="77777777" w:rsidR="000F237B" w:rsidRPr="00755960" w:rsidRDefault="000F237B" w:rsidP="00DB2AEB">
            <w:pPr>
              <w:jc w:val="center"/>
              <w:rPr>
                <w:b/>
                <w:sz w:val="18"/>
              </w:rPr>
            </w:pPr>
            <w:r w:rsidRPr="00755960">
              <w:rPr>
                <w:b/>
                <w:sz w:val="18"/>
              </w:rPr>
              <w:t>Relative</w:t>
            </w:r>
          </w:p>
          <w:p w14:paraId="45ADCE98" w14:textId="77777777" w:rsidR="000F237B" w:rsidRPr="00755960" w:rsidRDefault="000F237B" w:rsidP="00DB2AEB">
            <w:pPr>
              <w:jc w:val="center"/>
              <w:rPr>
                <w:b/>
                <w:sz w:val="18"/>
              </w:rPr>
            </w:pPr>
            <w:r w:rsidRPr="00755960">
              <w:rPr>
                <w:b/>
                <w:sz w:val="18"/>
              </w:rPr>
              <w:t>Humidity</w:t>
            </w:r>
          </w:p>
          <w:p w14:paraId="37DB7496" w14:textId="77777777" w:rsidR="000F237B" w:rsidRPr="00755960" w:rsidRDefault="000F237B" w:rsidP="00DB2AEB">
            <w:pPr>
              <w:jc w:val="center"/>
              <w:rPr>
                <w:b/>
                <w:sz w:val="18"/>
              </w:rPr>
            </w:pPr>
            <w:r w:rsidRPr="00755960">
              <w:rPr>
                <w:b/>
                <w:sz w:val="18"/>
              </w:rPr>
              <w:t>(%)</w:t>
            </w:r>
          </w:p>
        </w:tc>
        <w:tc>
          <w:tcPr>
            <w:tcW w:w="900" w:type="dxa"/>
            <w:vMerge w:val="restart"/>
            <w:vAlign w:val="bottom"/>
          </w:tcPr>
          <w:p w14:paraId="79147063" w14:textId="77777777" w:rsidR="000F237B" w:rsidRPr="00755960" w:rsidRDefault="000F237B" w:rsidP="00DB2AEB">
            <w:pPr>
              <w:jc w:val="center"/>
              <w:rPr>
                <w:b/>
                <w:sz w:val="18"/>
              </w:rPr>
            </w:pPr>
            <w:r w:rsidRPr="00755960">
              <w:rPr>
                <w:b/>
                <w:sz w:val="18"/>
              </w:rPr>
              <w:t>PM2.5</w:t>
            </w:r>
          </w:p>
          <w:p w14:paraId="20287443" w14:textId="77777777" w:rsidR="000F237B" w:rsidRPr="00755960" w:rsidRDefault="000F237B" w:rsidP="00DB2AEB">
            <w:pPr>
              <w:jc w:val="center"/>
              <w:rPr>
                <w:b/>
                <w:sz w:val="18"/>
              </w:rPr>
            </w:pPr>
            <w:r w:rsidRPr="00755960">
              <w:rPr>
                <w:b/>
                <w:sz w:val="18"/>
              </w:rPr>
              <w:t>(µg/m</w:t>
            </w:r>
            <w:r w:rsidRPr="00771CC8">
              <w:rPr>
                <w:b/>
                <w:sz w:val="18"/>
                <w:vertAlign w:val="superscript"/>
              </w:rPr>
              <w:t>3</w:t>
            </w:r>
            <w:r w:rsidRPr="00755960">
              <w:rPr>
                <w:b/>
                <w:sz w:val="18"/>
              </w:rPr>
              <w:t>)</w:t>
            </w:r>
          </w:p>
        </w:tc>
        <w:tc>
          <w:tcPr>
            <w:tcW w:w="1080" w:type="dxa"/>
            <w:vMerge w:val="restart"/>
            <w:vAlign w:val="bottom"/>
          </w:tcPr>
          <w:p w14:paraId="4B00F034" w14:textId="77777777" w:rsidR="000F237B" w:rsidRPr="00755960" w:rsidRDefault="000F237B" w:rsidP="00DB2AEB">
            <w:pPr>
              <w:jc w:val="center"/>
              <w:rPr>
                <w:b/>
                <w:sz w:val="18"/>
                <w:szCs w:val="18"/>
              </w:rPr>
            </w:pPr>
            <w:r w:rsidRPr="00755960">
              <w:rPr>
                <w:b/>
                <w:sz w:val="18"/>
                <w:szCs w:val="18"/>
              </w:rPr>
              <w:t>Occupants</w:t>
            </w:r>
          </w:p>
          <w:p w14:paraId="7E0BC7C3" w14:textId="77777777" w:rsidR="000F237B" w:rsidRPr="00755960" w:rsidRDefault="000F237B" w:rsidP="00DB2AEB">
            <w:pPr>
              <w:jc w:val="center"/>
              <w:rPr>
                <w:b/>
                <w:sz w:val="21"/>
                <w:szCs w:val="21"/>
              </w:rPr>
            </w:pPr>
            <w:r w:rsidRPr="00755960">
              <w:rPr>
                <w:b/>
                <w:sz w:val="18"/>
                <w:szCs w:val="18"/>
              </w:rPr>
              <w:t>in Room</w:t>
            </w:r>
          </w:p>
        </w:tc>
        <w:tc>
          <w:tcPr>
            <w:tcW w:w="1040" w:type="dxa"/>
            <w:vMerge w:val="restart"/>
            <w:vAlign w:val="bottom"/>
          </w:tcPr>
          <w:p w14:paraId="24FB91FB" w14:textId="77777777" w:rsidR="000F237B" w:rsidRPr="00755960" w:rsidRDefault="000F237B" w:rsidP="00DB2AEB">
            <w:pPr>
              <w:jc w:val="center"/>
              <w:rPr>
                <w:b/>
                <w:sz w:val="18"/>
              </w:rPr>
            </w:pPr>
            <w:r w:rsidRPr="00755960">
              <w:rPr>
                <w:b/>
                <w:sz w:val="18"/>
              </w:rPr>
              <w:t>Windows</w:t>
            </w:r>
          </w:p>
          <w:p w14:paraId="621C13B0" w14:textId="77777777" w:rsidR="000F237B" w:rsidRPr="00755960" w:rsidRDefault="000F237B" w:rsidP="00DB2AEB">
            <w:pPr>
              <w:jc w:val="center"/>
              <w:rPr>
                <w:b/>
                <w:sz w:val="18"/>
              </w:rPr>
            </w:pPr>
            <w:r w:rsidRPr="00755960">
              <w:rPr>
                <w:b/>
                <w:sz w:val="18"/>
              </w:rPr>
              <w:t>Openable</w:t>
            </w:r>
          </w:p>
        </w:tc>
        <w:tc>
          <w:tcPr>
            <w:tcW w:w="1818" w:type="dxa"/>
            <w:gridSpan w:val="2"/>
            <w:tcBorders>
              <w:left w:val="nil"/>
              <w:bottom w:val="nil"/>
            </w:tcBorders>
            <w:vAlign w:val="bottom"/>
          </w:tcPr>
          <w:p w14:paraId="6A2C280B" w14:textId="77777777" w:rsidR="000F237B" w:rsidRPr="00755960" w:rsidRDefault="000F237B" w:rsidP="00DB2AEB">
            <w:pPr>
              <w:ind w:left="-105"/>
              <w:jc w:val="center"/>
              <w:rPr>
                <w:b/>
                <w:sz w:val="18"/>
              </w:rPr>
            </w:pPr>
            <w:r w:rsidRPr="00755960">
              <w:rPr>
                <w:b/>
                <w:sz w:val="18"/>
              </w:rPr>
              <w:t>Ventilation</w:t>
            </w:r>
          </w:p>
        </w:tc>
        <w:tc>
          <w:tcPr>
            <w:tcW w:w="3110" w:type="dxa"/>
            <w:vMerge w:val="restart"/>
            <w:vAlign w:val="bottom"/>
          </w:tcPr>
          <w:p w14:paraId="3B09176C" w14:textId="77777777" w:rsidR="000F237B" w:rsidRPr="00755960" w:rsidRDefault="000F237B" w:rsidP="00DB2AEB">
            <w:pPr>
              <w:jc w:val="center"/>
              <w:rPr>
                <w:b/>
                <w:sz w:val="18"/>
              </w:rPr>
            </w:pPr>
            <w:r w:rsidRPr="00755960">
              <w:rPr>
                <w:b/>
                <w:sz w:val="18"/>
              </w:rPr>
              <w:t>Remarks</w:t>
            </w:r>
          </w:p>
        </w:tc>
      </w:tr>
      <w:tr w:rsidR="000F237B" w:rsidRPr="00755960" w14:paraId="6EF6E9F2" w14:textId="77777777" w:rsidTr="00DB2AEB">
        <w:trPr>
          <w:cantSplit/>
          <w:trHeight w:val="240"/>
          <w:tblHeader/>
          <w:jc w:val="center"/>
        </w:trPr>
        <w:tc>
          <w:tcPr>
            <w:tcW w:w="1829" w:type="dxa"/>
            <w:vMerge/>
          </w:tcPr>
          <w:p w14:paraId="7A94BB27" w14:textId="77777777" w:rsidR="000F237B" w:rsidRPr="00755960" w:rsidRDefault="000F237B" w:rsidP="00DB2AEB">
            <w:pPr>
              <w:rPr>
                <w:sz w:val="18"/>
              </w:rPr>
            </w:pPr>
          </w:p>
        </w:tc>
        <w:tc>
          <w:tcPr>
            <w:tcW w:w="990" w:type="dxa"/>
            <w:vMerge/>
          </w:tcPr>
          <w:p w14:paraId="36DCBCF5" w14:textId="77777777" w:rsidR="000F237B" w:rsidRPr="00755960" w:rsidRDefault="000F237B" w:rsidP="00DB2AEB">
            <w:pPr>
              <w:jc w:val="center"/>
              <w:rPr>
                <w:sz w:val="18"/>
              </w:rPr>
            </w:pPr>
          </w:p>
        </w:tc>
        <w:tc>
          <w:tcPr>
            <w:tcW w:w="990" w:type="dxa"/>
            <w:vMerge/>
          </w:tcPr>
          <w:p w14:paraId="4D49CB29" w14:textId="77777777" w:rsidR="000F237B" w:rsidRPr="00755960" w:rsidRDefault="000F237B" w:rsidP="00DB2AEB">
            <w:pPr>
              <w:jc w:val="center"/>
              <w:rPr>
                <w:b/>
                <w:sz w:val="18"/>
              </w:rPr>
            </w:pPr>
          </w:p>
        </w:tc>
        <w:tc>
          <w:tcPr>
            <w:tcW w:w="990" w:type="dxa"/>
            <w:vMerge/>
          </w:tcPr>
          <w:p w14:paraId="2303BAAA" w14:textId="77777777" w:rsidR="000F237B" w:rsidRPr="00755960" w:rsidRDefault="000F237B" w:rsidP="00DB2AEB">
            <w:pPr>
              <w:jc w:val="center"/>
              <w:rPr>
                <w:b/>
                <w:sz w:val="18"/>
              </w:rPr>
            </w:pPr>
          </w:p>
        </w:tc>
        <w:tc>
          <w:tcPr>
            <w:tcW w:w="1170" w:type="dxa"/>
            <w:vMerge/>
          </w:tcPr>
          <w:p w14:paraId="611CCC45" w14:textId="77777777" w:rsidR="000F237B" w:rsidRPr="00755960" w:rsidRDefault="000F237B" w:rsidP="00DB2AEB">
            <w:pPr>
              <w:jc w:val="center"/>
              <w:rPr>
                <w:b/>
                <w:sz w:val="18"/>
              </w:rPr>
            </w:pPr>
          </w:p>
        </w:tc>
        <w:tc>
          <w:tcPr>
            <w:tcW w:w="900" w:type="dxa"/>
            <w:vMerge/>
          </w:tcPr>
          <w:p w14:paraId="28D55BF8" w14:textId="77777777" w:rsidR="000F237B" w:rsidRPr="00755960" w:rsidRDefault="000F237B" w:rsidP="00DB2AEB">
            <w:pPr>
              <w:jc w:val="center"/>
              <w:rPr>
                <w:b/>
                <w:sz w:val="18"/>
              </w:rPr>
            </w:pPr>
          </w:p>
        </w:tc>
        <w:tc>
          <w:tcPr>
            <w:tcW w:w="1080" w:type="dxa"/>
            <w:vMerge/>
            <w:vAlign w:val="center"/>
          </w:tcPr>
          <w:p w14:paraId="1C35F7F6" w14:textId="77777777" w:rsidR="000F237B" w:rsidRPr="00755960" w:rsidRDefault="000F237B" w:rsidP="00DB2AEB">
            <w:pPr>
              <w:rPr>
                <w:b/>
                <w:sz w:val="21"/>
                <w:szCs w:val="21"/>
              </w:rPr>
            </w:pPr>
          </w:p>
        </w:tc>
        <w:tc>
          <w:tcPr>
            <w:tcW w:w="1040" w:type="dxa"/>
            <w:vMerge/>
          </w:tcPr>
          <w:p w14:paraId="5D765B0D" w14:textId="77777777" w:rsidR="000F237B" w:rsidRPr="00755960" w:rsidRDefault="000F237B" w:rsidP="00DB2AEB">
            <w:pPr>
              <w:jc w:val="center"/>
              <w:rPr>
                <w:b/>
                <w:sz w:val="18"/>
              </w:rPr>
            </w:pPr>
          </w:p>
        </w:tc>
        <w:tc>
          <w:tcPr>
            <w:tcW w:w="882" w:type="dxa"/>
            <w:tcBorders>
              <w:bottom w:val="nil"/>
            </w:tcBorders>
            <w:vAlign w:val="bottom"/>
          </w:tcPr>
          <w:p w14:paraId="208FF4E4" w14:textId="77777777" w:rsidR="000F237B" w:rsidRPr="005A4D05" w:rsidRDefault="000F237B" w:rsidP="00DB2AEB">
            <w:pPr>
              <w:jc w:val="center"/>
              <w:rPr>
                <w:sz w:val="18"/>
                <w:szCs w:val="18"/>
              </w:rPr>
            </w:pPr>
            <w:r w:rsidRPr="005A4D05">
              <w:rPr>
                <w:b/>
                <w:sz w:val="18"/>
                <w:szCs w:val="18"/>
              </w:rPr>
              <w:t>Supply</w:t>
            </w:r>
          </w:p>
        </w:tc>
        <w:tc>
          <w:tcPr>
            <w:tcW w:w="936" w:type="dxa"/>
            <w:tcBorders>
              <w:bottom w:val="nil"/>
            </w:tcBorders>
            <w:vAlign w:val="bottom"/>
          </w:tcPr>
          <w:p w14:paraId="4DB28946" w14:textId="77777777" w:rsidR="000F237B" w:rsidRPr="005A4D05" w:rsidRDefault="000F237B" w:rsidP="00DB2AEB">
            <w:pPr>
              <w:jc w:val="center"/>
              <w:rPr>
                <w:sz w:val="18"/>
                <w:szCs w:val="18"/>
              </w:rPr>
            </w:pPr>
            <w:r w:rsidRPr="005A4D05">
              <w:rPr>
                <w:b/>
                <w:sz w:val="18"/>
                <w:szCs w:val="18"/>
              </w:rPr>
              <w:t>Exhaust</w:t>
            </w:r>
          </w:p>
        </w:tc>
        <w:tc>
          <w:tcPr>
            <w:tcW w:w="3110" w:type="dxa"/>
            <w:vMerge/>
          </w:tcPr>
          <w:p w14:paraId="55490FFB" w14:textId="77777777" w:rsidR="000F237B" w:rsidRPr="00755960" w:rsidRDefault="000F237B" w:rsidP="00DB2AEB">
            <w:pPr>
              <w:rPr>
                <w:sz w:val="18"/>
              </w:rPr>
            </w:pPr>
          </w:p>
        </w:tc>
      </w:tr>
      <w:tr w:rsidR="000F237B" w:rsidRPr="00755960" w14:paraId="5F0F8D9A" w14:textId="77777777" w:rsidTr="00DB2AEB">
        <w:trPr>
          <w:cantSplit/>
          <w:trHeight w:val="560"/>
          <w:jc w:val="center"/>
        </w:trPr>
        <w:tc>
          <w:tcPr>
            <w:tcW w:w="1829" w:type="dxa"/>
            <w:vAlign w:val="center"/>
          </w:tcPr>
          <w:p w14:paraId="1179D9FC" w14:textId="77777777" w:rsidR="000F237B" w:rsidRPr="00532969" w:rsidRDefault="000F237B" w:rsidP="00DB2AEB">
            <w:pPr>
              <w:spacing w:before="60" w:after="60"/>
              <w:rPr>
                <w:sz w:val="22"/>
                <w:szCs w:val="22"/>
              </w:rPr>
            </w:pPr>
            <w:r w:rsidRPr="00532969">
              <w:rPr>
                <w:sz w:val="22"/>
                <w:szCs w:val="22"/>
              </w:rPr>
              <w:t>Background</w:t>
            </w:r>
          </w:p>
        </w:tc>
        <w:tc>
          <w:tcPr>
            <w:tcW w:w="990" w:type="dxa"/>
            <w:vAlign w:val="center"/>
          </w:tcPr>
          <w:p w14:paraId="0AAC4FC6" w14:textId="77777777" w:rsidR="000F237B" w:rsidRPr="00532969" w:rsidRDefault="00532969" w:rsidP="00DB2AEB">
            <w:pPr>
              <w:spacing w:before="60" w:after="60"/>
              <w:jc w:val="center"/>
              <w:rPr>
                <w:sz w:val="22"/>
                <w:szCs w:val="22"/>
              </w:rPr>
            </w:pPr>
            <w:r w:rsidRPr="00532969">
              <w:rPr>
                <w:sz w:val="22"/>
                <w:szCs w:val="22"/>
              </w:rPr>
              <w:t>349</w:t>
            </w:r>
          </w:p>
        </w:tc>
        <w:tc>
          <w:tcPr>
            <w:tcW w:w="990" w:type="dxa"/>
            <w:vAlign w:val="center"/>
          </w:tcPr>
          <w:p w14:paraId="0F7D0D63" w14:textId="77777777" w:rsidR="000F237B" w:rsidRPr="00532969" w:rsidRDefault="000F237B" w:rsidP="00DB2AEB">
            <w:pPr>
              <w:jc w:val="center"/>
              <w:rPr>
                <w:sz w:val="22"/>
                <w:szCs w:val="22"/>
              </w:rPr>
            </w:pPr>
            <w:r w:rsidRPr="00532969">
              <w:rPr>
                <w:sz w:val="22"/>
                <w:szCs w:val="22"/>
              </w:rPr>
              <w:t>ND</w:t>
            </w:r>
          </w:p>
        </w:tc>
        <w:tc>
          <w:tcPr>
            <w:tcW w:w="990" w:type="dxa"/>
            <w:vAlign w:val="center"/>
          </w:tcPr>
          <w:p w14:paraId="4B775A1E" w14:textId="77777777" w:rsidR="000F237B" w:rsidRPr="00532969" w:rsidRDefault="00532969" w:rsidP="00DB2AEB">
            <w:pPr>
              <w:spacing w:before="60" w:after="60"/>
              <w:jc w:val="center"/>
              <w:rPr>
                <w:sz w:val="22"/>
                <w:szCs w:val="22"/>
              </w:rPr>
            </w:pPr>
            <w:r>
              <w:rPr>
                <w:sz w:val="22"/>
                <w:szCs w:val="22"/>
              </w:rPr>
              <w:t>83</w:t>
            </w:r>
          </w:p>
        </w:tc>
        <w:tc>
          <w:tcPr>
            <w:tcW w:w="1170" w:type="dxa"/>
            <w:vAlign w:val="center"/>
          </w:tcPr>
          <w:p w14:paraId="3CC911DB" w14:textId="77777777" w:rsidR="000F237B" w:rsidRPr="00532969" w:rsidRDefault="00532969" w:rsidP="00DB2AEB">
            <w:pPr>
              <w:spacing w:before="60" w:after="60"/>
              <w:jc w:val="center"/>
              <w:rPr>
                <w:sz w:val="22"/>
                <w:szCs w:val="22"/>
              </w:rPr>
            </w:pPr>
            <w:r>
              <w:rPr>
                <w:sz w:val="22"/>
                <w:szCs w:val="22"/>
              </w:rPr>
              <w:t>60</w:t>
            </w:r>
          </w:p>
        </w:tc>
        <w:tc>
          <w:tcPr>
            <w:tcW w:w="900" w:type="dxa"/>
            <w:vAlign w:val="center"/>
          </w:tcPr>
          <w:p w14:paraId="08BEDA0D" w14:textId="77777777" w:rsidR="000F237B" w:rsidRPr="00B71DAA" w:rsidRDefault="007B37F3" w:rsidP="00DB2AEB">
            <w:pPr>
              <w:spacing w:before="60" w:after="60"/>
              <w:jc w:val="center"/>
              <w:rPr>
                <w:sz w:val="22"/>
                <w:szCs w:val="22"/>
                <w:highlight w:val="yellow"/>
              </w:rPr>
            </w:pPr>
            <w:r w:rsidRPr="007B37F3">
              <w:rPr>
                <w:sz w:val="22"/>
                <w:szCs w:val="22"/>
              </w:rPr>
              <w:t>13</w:t>
            </w:r>
          </w:p>
        </w:tc>
        <w:tc>
          <w:tcPr>
            <w:tcW w:w="1080" w:type="dxa"/>
            <w:vAlign w:val="center"/>
          </w:tcPr>
          <w:p w14:paraId="1CBFCFE2" w14:textId="77777777" w:rsidR="000F237B" w:rsidRPr="00B71DAA" w:rsidRDefault="000F237B" w:rsidP="00DB2AEB">
            <w:pPr>
              <w:jc w:val="center"/>
              <w:rPr>
                <w:sz w:val="22"/>
                <w:szCs w:val="22"/>
                <w:highlight w:val="yellow"/>
              </w:rPr>
            </w:pPr>
          </w:p>
        </w:tc>
        <w:tc>
          <w:tcPr>
            <w:tcW w:w="1040" w:type="dxa"/>
            <w:vAlign w:val="center"/>
          </w:tcPr>
          <w:p w14:paraId="0596DC8F" w14:textId="77777777" w:rsidR="000F237B" w:rsidRPr="00B71DAA" w:rsidRDefault="000F237B" w:rsidP="00DB2AEB">
            <w:pPr>
              <w:spacing w:before="60" w:after="60"/>
              <w:jc w:val="center"/>
              <w:rPr>
                <w:sz w:val="22"/>
                <w:szCs w:val="22"/>
                <w:highlight w:val="yellow"/>
              </w:rPr>
            </w:pPr>
          </w:p>
        </w:tc>
        <w:tc>
          <w:tcPr>
            <w:tcW w:w="882" w:type="dxa"/>
            <w:vAlign w:val="center"/>
          </w:tcPr>
          <w:p w14:paraId="07980A0F" w14:textId="77777777" w:rsidR="000F237B" w:rsidRPr="00B71DAA" w:rsidRDefault="000F237B" w:rsidP="00DB2AEB">
            <w:pPr>
              <w:spacing w:before="60" w:after="60"/>
              <w:jc w:val="center"/>
              <w:rPr>
                <w:sz w:val="22"/>
                <w:szCs w:val="22"/>
                <w:highlight w:val="yellow"/>
              </w:rPr>
            </w:pPr>
          </w:p>
        </w:tc>
        <w:tc>
          <w:tcPr>
            <w:tcW w:w="936" w:type="dxa"/>
            <w:vAlign w:val="center"/>
          </w:tcPr>
          <w:p w14:paraId="6EC68616" w14:textId="77777777" w:rsidR="000F237B" w:rsidRPr="00B71DAA" w:rsidRDefault="000F237B" w:rsidP="00DB2AEB">
            <w:pPr>
              <w:spacing w:before="60" w:after="60"/>
              <w:jc w:val="center"/>
              <w:rPr>
                <w:sz w:val="22"/>
                <w:szCs w:val="22"/>
                <w:highlight w:val="yellow"/>
              </w:rPr>
            </w:pPr>
          </w:p>
        </w:tc>
        <w:tc>
          <w:tcPr>
            <w:tcW w:w="3110" w:type="dxa"/>
            <w:tcBorders>
              <w:left w:val="nil"/>
            </w:tcBorders>
            <w:vAlign w:val="center"/>
          </w:tcPr>
          <w:p w14:paraId="5112F360" w14:textId="77777777" w:rsidR="000F237B" w:rsidRPr="00B71DAA" w:rsidRDefault="00532969" w:rsidP="00DB2AEB">
            <w:pPr>
              <w:spacing w:before="60" w:after="60"/>
              <w:rPr>
                <w:sz w:val="22"/>
                <w:szCs w:val="22"/>
                <w:highlight w:val="yellow"/>
              </w:rPr>
            </w:pPr>
            <w:r w:rsidRPr="00532969">
              <w:rPr>
                <w:sz w:val="22"/>
                <w:szCs w:val="22"/>
              </w:rPr>
              <w:t>Unseasonably warm and humid</w:t>
            </w:r>
          </w:p>
        </w:tc>
      </w:tr>
      <w:tr w:rsidR="00732C62" w:rsidRPr="00755960" w14:paraId="449948AC" w14:textId="77777777" w:rsidTr="00DB2AEB">
        <w:trPr>
          <w:cantSplit/>
          <w:trHeight w:val="560"/>
          <w:jc w:val="center"/>
        </w:trPr>
        <w:tc>
          <w:tcPr>
            <w:tcW w:w="1829" w:type="dxa"/>
            <w:vAlign w:val="center"/>
          </w:tcPr>
          <w:p w14:paraId="72B84414" w14:textId="77777777" w:rsidR="00732C62" w:rsidRPr="00BE7EF0" w:rsidRDefault="00A5351D" w:rsidP="00DB2AEB">
            <w:pPr>
              <w:spacing w:before="60" w:after="60"/>
              <w:rPr>
                <w:sz w:val="22"/>
                <w:szCs w:val="22"/>
              </w:rPr>
            </w:pPr>
            <w:r>
              <w:rPr>
                <w:sz w:val="22"/>
                <w:szCs w:val="22"/>
              </w:rPr>
              <w:t>Comms Center</w:t>
            </w:r>
          </w:p>
        </w:tc>
        <w:tc>
          <w:tcPr>
            <w:tcW w:w="990" w:type="dxa"/>
            <w:vAlign w:val="center"/>
          </w:tcPr>
          <w:p w14:paraId="2218AC21" w14:textId="77777777" w:rsidR="00732C62" w:rsidRPr="00BE7EF0" w:rsidRDefault="00A5351D" w:rsidP="00DB2AEB">
            <w:pPr>
              <w:spacing w:before="60" w:after="60"/>
              <w:jc w:val="center"/>
              <w:rPr>
                <w:sz w:val="22"/>
                <w:szCs w:val="22"/>
              </w:rPr>
            </w:pPr>
            <w:r>
              <w:rPr>
                <w:sz w:val="22"/>
                <w:szCs w:val="22"/>
              </w:rPr>
              <w:t>749</w:t>
            </w:r>
          </w:p>
        </w:tc>
        <w:tc>
          <w:tcPr>
            <w:tcW w:w="990" w:type="dxa"/>
            <w:vAlign w:val="center"/>
          </w:tcPr>
          <w:p w14:paraId="27902104" w14:textId="77777777" w:rsidR="00732C62" w:rsidRPr="00BE7EF0" w:rsidRDefault="00732C62" w:rsidP="00DB2AEB">
            <w:pPr>
              <w:jc w:val="center"/>
              <w:rPr>
                <w:sz w:val="22"/>
                <w:szCs w:val="22"/>
              </w:rPr>
            </w:pPr>
            <w:r>
              <w:rPr>
                <w:sz w:val="22"/>
                <w:szCs w:val="22"/>
              </w:rPr>
              <w:t>ND</w:t>
            </w:r>
          </w:p>
        </w:tc>
        <w:tc>
          <w:tcPr>
            <w:tcW w:w="990" w:type="dxa"/>
            <w:vAlign w:val="center"/>
          </w:tcPr>
          <w:p w14:paraId="5F4F64AD" w14:textId="77777777" w:rsidR="00732C62" w:rsidRPr="00BE7EF0" w:rsidRDefault="00A5351D" w:rsidP="00DB2AEB">
            <w:pPr>
              <w:spacing w:before="60" w:after="60"/>
              <w:jc w:val="center"/>
              <w:rPr>
                <w:sz w:val="22"/>
                <w:szCs w:val="22"/>
              </w:rPr>
            </w:pPr>
            <w:r>
              <w:rPr>
                <w:sz w:val="22"/>
                <w:szCs w:val="22"/>
              </w:rPr>
              <w:t>70</w:t>
            </w:r>
          </w:p>
        </w:tc>
        <w:tc>
          <w:tcPr>
            <w:tcW w:w="1170" w:type="dxa"/>
            <w:vAlign w:val="center"/>
          </w:tcPr>
          <w:p w14:paraId="03D632F8" w14:textId="77777777" w:rsidR="00732C62" w:rsidRPr="00BE7EF0" w:rsidRDefault="00A5351D" w:rsidP="00DB2AEB">
            <w:pPr>
              <w:spacing w:before="60" w:after="60"/>
              <w:jc w:val="center"/>
              <w:rPr>
                <w:sz w:val="22"/>
                <w:szCs w:val="22"/>
              </w:rPr>
            </w:pPr>
            <w:r>
              <w:rPr>
                <w:sz w:val="22"/>
                <w:szCs w:val="22"/>
              </w:rPr>
              <w:t>52</w:t>
            </w:r>
          </w:p>
        </w:tc>
        <w:tc>
          <w:tcPr>
            <w:tcW w:w="900" w:type="dxa"/>
            <w:vAlign w:val="center"/>
          </w:tcPr>
          <w:p w14:paraId="4B6DF9B5" w14:textId="77777777" w:rsidR="00732C62" w:rsidRPr="00BE7EF0" w:rsidRDefault="00A5351D" w:rsidP="00DB2AEB">
            <w:pPr>
              <w:spacing w:before="60" w:after="60"/>
              <w:jc w:val="center"/>
              <w:rPr>
                <w:sz w:val="22"/>
                <w:szCs w:val="22"/>
              </w:rPr>
            </w:pPr>
            <w:r>
              <w:rPr>
                <w:sz w:val="22"/>
                <w:szCs w:val="22"/>
              </w:rPr>
              <w:t>3</w:t>
            </w:r>
          </w:p>
        </w:tc>
        <w:tc>
          <w:tcPr>
            <w:tcW w:w="1080" w:type="dxa"/>
            <w:vAlign w:val="center"/>
          </w:tcPr>
          <w:p w14:paraId="551175A3" w14:textId="77777777" w:rsidR="00732C62" w:rsidRPr="00BE7EF0" w:rsidRDefault="00A5351D" w:rsidP="00DB2AEB">
            <w:pPr>
              <w:jc w:val="center"/>
              <w:rPr>
                <w:sz w:val="22"/>
                <w:szCs w:val="22"/>
              </w:rPr>
            </w:pPr>
            <w:r>
              <w:rPr>
                <w:sz w:val="22"/>
                <w:szCs w:val="22"/>
              </w:rPr>
              <w:t>9</w:t>
            </w:r>
          </w:p>
        </w:tc>
        <w:tc>
          <w:tcPr>
            <w:tcW w:w="1040" w:type="dxa"/>
            <w:vAlign w:val="center"/>
          </w:tcPr>
          <w:p w14:paraId="19DAC2BD" w14:textId="77777777" w:rsidR="00732C62" w:rsidRPr="00BE7EF0" w:rsidRDefault="00A5351D" w:rsidP="00DB2AEB">
            <w:pPr>
              <w:spacing w:before="60" w:after="60"/>
              <w:jc w:val="center"/>
              <w:rPr>
                <w:sz w:val="22"/>
                <w:szCs w:val="22"/>
              </w:rPr>
            </w:pPr>
            <w:r>
              <w:rPr>
                <w:sz w:val="22"/>
                <w:szCs w:val="22"/>
              </w:rPr>
              <w:t>N</w:t>
            </w:r>
          </w:p>
        </w:tc>
        <w:tc>
          <w:tcPr>
            <w:tcW w:w="882" w:type="dxa"/>
            <w:vAlign w:val="center"/>
          </w:tcPr>
          <w:p w14:paraId="786D7BF0" w14:textId="77777777" w:rsidR="00732C62" w:rsidRPr="00BE7EF0" w:rsidRDefault="00A5351D" w:rsidP="00DB2AEB">
            <w:pPr>
              <w:spacing w:before="60" w:after="60"/>
              <w:jc w:val="center"/>
              <w:rPr>
                <w:sz w:val="22"/>
                <w:szCs w:val="22"/>
              </w:rPr>
            </w:pPr>
            <w:r>
              <w:rPr>
                <w:sz w:val="22"/>
                <w:szCs w:val="22"/>
              </w:rPr>
              <w:t>Y</w:t>
            </w:r>
          </w:p>
        </w:tc>
        <w:tc>
          <w:tcPr>
            <w:tcW w:w="936" w:type="dxa"/>
            <w:vAlign w:val="center"/>
          </w:tcPr>
          <w:p w14:paraId="1B3897A2" w14:textId="77777777" w:rsidR="00732C62" w:rsidRPr="00BE7EF0" w:rsidRDefault="00A5351D" w:rsidP="00DB2AEB">
            <w:pPr>
              <w:spacing w:before="60" w:after="60"/>
              <w:jc w:val="center"/>
              <w:rPr>
                <w:sz w:val="22"/>
                <w:szCs w:val="22"/>
              </w:rPr>
            </w:pPr>
            <w:r>
              <w:rPr>
                <w:sz w:val="22"/>
                <w:szCs w:val="22"/>
              </w:rPr>
              <w:t>Y</w:t>
            </w:r>
          </w:p>
        </w:tc>
        <w:tc>
          <w:tcPr>
            <w:tcW w:w="3110" w:type="dxa"/>
            <w:tcBorders>
              <w:left w:val="nil"/>
            </w:tcBorders>
            <w:vAlign w:val="center"/>
          </w:tcPr>
          <w:p w14:paraId="651DD5A0" w14:textId="77777777" w:rsidR="00732C62" w:rsidRPr="00BE7EF0" w:rsidRDefault="00732C62" w:rsidP="00DB2AEB">
            <w:pPr>
              <w:spacing w:before="60" w:after="60"/>
              <w:rPr>
                <w:sz w:val="22"/>
                <w:szCs w:val="22"/>
              </w:rPr>
            </w:pPr>
          </w:p>
        </w:tc>
      </w:tr>
      <w:tr w:rsidR="00732C62" w:rsidRPr="00755960" w14:paraId="3B7E8F2E" w14:textId="77777777" w:rsidTr="00DB2AEB">
        <w:trPr>
          <w:cantSplit/>
          <w:trHeight w:val="560"/>
          <w:jc w:val="center"/>
        </w:trPr>
        <w:tc>
          <w:tcPr>
            <w:tcW w:w="1829" w:type="dxa"/>
            <w:vAlign w:val="center"/>
          </w:tcPr>
          <w:p w14:paraId="4785B764" w14:textId="77777777" w:rsidR="00732C62" w:rsidRDefault="00A5351D" w:rsidP="00DB2AEB">
            <w:pPr>
              <w:spacing w:before="60" w:after="60"/>
              <w:rPr>
                <w:sz w:val="22"/>
                <w:szCs w:val="22"/>
              </w:rPr>
            </w:pPr>
            <w:r>
              <w:rPr>
                <w:sz w:val="22"/>
                <w:szCs w:val="22"/>
              </w:rPr>
              <w:t>Quiet Room</w:t>
            </w:r>
          </w:p>
        </w:tc>
        <w:tc>
          <w:tcPr>
            <w:tcW w:w="990" w:type="dxa"/>
            <w:vAlign w:val="center"/>
          </w:tcPr>
          <w:p w14:paraId="6FD9470D" w14:textId="77777777" w:rsidR="00732C62" w:rsidRDefault="00A5351D" w:rsidP="00DB2AEB">
            <w:pPr>
              <w:spacing w:before="60" w:after="60"/>
              <w:jc w:val="center"/>
              <w:rPr>
                <w:sz w:val="22"/>
                <w:szCs w:val="22"/>
              </w:rPr>
            </w:pPr>
            <w:r>
              <w:rPr>
                <w:sz w:val="22"/>
                <w:szCs w:val="22"/>
              </w:rPr>
              <w:t>669</w:t>
            </w:r>
          </w:p>
        </w:tc>
        <w:tc>
          <w:tcPr>
            <w:tcW w:w="990" w:type="dxa"/>
            <w:vAlign w:val="center"/>
          </w:tcPr>
          <w:p w14:paraId="7D87A1C0" w14:textId="77777777" w:rsidR="00732C62" w:rsidRDefault="00A5351D" w:rsidP="00DB2AEB">
            <w:pPr>
              <w:jc w:val="center"/>
              <w:rPr>
                <w:sz w:val="22"/>
                <w:szCs w:val="22"/>
              </w:rPr>
            </w:pPr>
            <w:r>
              <w:rPr>
                <w:sz w:val="22"/>
                <w:szCs w:val="22"/>
              </w:rPr>
              <w:t>ND</w:t>
            </w:r>
          </w:p>
        </w:tc>
        <w:tc>
          <w:tcPr>
            <w:tcW w:w="990" w:type="dxa"/>
            <w:vAlign w:val="center"/>
          </w:tcPr>
          <w:p w14:paraId="57552F78" w14:textId="77777777" w:rsidR="00732C62" w:rsidRDefault="00A5351D" w:rsidP="00DB2AEB">
            <w:pPr>
              <w:spacing w:before="60" w:after="60"/>
              <w:jc w:val="center"/>
              <w:rPr>
                <w:sz w:val="22"/>
                <w:szCs w:val="22"/>
              </w:rPr>
            </w:pPr>
            <w:r>
              <w:rPr>
                <w:sz w:val="22"/>
                <w:szCs w:val="22"/>
              </w:rPr>
              <w:t>70</w:t>
            </w:r>
          </w:p>
        </w:tc>
        <w:tc>
          <w:tcPr>
            <w:tcW w:w="1170" w:type="dxa"/>
            <w:vAlign w:val="center"/>
          </w:tcPr>
          <w:p w14:paraId="7A0AFE02" w14:textId="77777777" w:rsidR="00732C62" w:rsidRDefault="00A5351D" w:rsidP="00DB2AEB">
            <w:pPr>
              <w:spacing w:before="60" w:after="60"/>
              <w:jc w:val="center"/>
              <w:rPr>
                <w:sz w:val="22"/>
                <w:szCs w:val="22"/>
              </w:rPr>
            </w:pPr>
            <w:r>
              <w:rPr>
                <w:sz w:val="22"/>
                <w:szCs w:val="22"/>
              </w:rPr>
              <w:t>54</w:t>
            </w:r>
          </w:p>
        </w:tc>
        <w:tc>
          <w:tcPr>
            <w:tcW w:w="900" w:type="dxa"/>
            <w:vAlign w:val="center"/>
          </w:tcPr>
          <w:p w14:paraId="12BF96C1" w14:textId="77777777" w:rsidR="00732C62" w:rsidRDefault="00A5351D" w:rsidP="00DB2AEB">
            <w:pPr>
              <w:spacing w:before="60" w:after="60"/>
              <w:jc w:val="center"/>
              <w:rPr>
                <w:sz w:val="22"/>
                <w:szCs w:val="22"/>
              </w:rPr>
            </w:pPr>
            <w:r>
              <w:rPr>
                <w:sz w:val="22"/>
                <w:szCs w:val="22"/>
              </w:rPr>
              <w:t>7</w:t>
            </w:r>
          </w:p>
        </w:tc>
        <w:tc>
          <w:tcPr>
            <w:tcW w:w="1080" w:type="dxa"/>
            <w:vAlign w:val="center"/>
          </w:tcPr>
          <w:p w14:paraId="5B071FB0" w14:textId="77777777" w:rsidR="00732C62" w:rsidRDefault="00A5351D" w:rsidP="00DB2AEB">
            <w:pPr>
              <w:jc w:val="center"/>
              <w:rPr>
                <w:sz w:val="22"/>
                <w:szCs w:val="22"/>
              </w:rPr>
            </w:pPr>
            <w:r>
              <w:rPr>
                <w:sz w:val="22"/>
                <w:szCs w:val="22"/>
              </w:rPr>
              <w:t>0</w:t>
            </w:r>
          </w:p>
        </w:tc>
        <w:tc>
          <w:tcPr>
            <w:tcW w:w="1040" w:type="dxa"/>
            <w:vAlign w:val="center"/>
          </w:tcPr>
          <w:p w14:paraId="3B5777E8" w14:textId="77777777" w:rsidR="00732C62" w:rsidRDefault="00A5351D" w:rsidP="00DB2AEB">
            <w:pPr>
              <w:spacing w:before="60" w:after="60"/>
              <w:jc w:val="center"/>
              <w:rPr>
                <w:sz w:val="22"/>
                <w:szCs w:val="22"/>
              </w:rPr>
            </w:pPr>
            <w:r>
              <w:rPr>
                <w:sz w:val="22"/>
                <w:szCs w:val="22"/>
              </w:rPr>
              <w:t>N</w:t>
            </w:r>
          </w:p>
        </w:tc>
        <w:tc>
          <w:tcPr>
            <w:tcW w:w="882" w:type="dxa"/>
            <w:vAlign w:val="center"/>
          </w:tcPr>
          <w:p w14:paraId="259FD85F" w14:textId="77777777" w:rsidR="00732C62" w:rsidRDefault="00A5351D" w:rsidP="00DB2AEB">
            <w:pPr>
              <w:spacing w:before="60" w:after="60"/>
              <w:jc w:val="center"/>
              <w:rPr>
                <w:sz w:val="22"/>
                <w:szCs w:val="22"/>
              </w:rPr>
            </w:pPr>
            <w:r>
              <w:rPr>
                <w:sz w:val="22"/>
                <w:szCs w:val="22"/>
              </w:rPr>
              <w:t>Y</w:t>
            </w:r>
          </w:p>
        </w:tc>
        <w:tc>
          <w:tcPr>
            <w:tcW w:w="936" w:type="dxa"/>
            <w:vAlign w:val="center"/>
          </w:tcPr>
          <w:p w14:paraId="003C8D3B" w14:textId="77777777" w:rsidR="00732C62" w:rsidRDefault="00A5351D" w:rsidP="00DB2AEB">
            <w:pPr>
              <w:spacing w:before="60" w:after="60"/>
              <w:jc w:val="center"/>
              <w:rPr>
                <w:sz w:val="22"/>
                <w:szCs w:val="22"/>
              </w:rPr>
            </w:pPr>
            <w:r>
              <w:rPr>
                <w:sz w:val="22"/>
                <w:szCs w:val="22"/>
              </w:rPr>
              <w:t>Y</w:t>
            </w:r>
          </w:p>
        </w:tc>
        <w:tc>
          <w:tcPr>
            <w:tcW w:w="3110" w:type="dxa"/>
            <w:tcBorders>
              <w:left w:val="nil"/>
            </w:tcBorders>
            <w:vAlign w:val="center"/>
          </w:tcPr>
          <w:p w14:paraId="2E02C64F" w14:textId="3B4CAD3A" w:rsidR="00732C62" w:rsidRDefault="00A5351D" w:rsidP="00DB2AEB">
            <w:pPr>
              <w:spacing w:before="60" w:after="60"/>
              <w:rPr>
                <w:sz w:val="22"/>
                <w:szCs w:val="22"/>
              </w:rPr>
            </w:pPr>
            <w:r>
              <w:rPr>
                <w:sz w:val="22"/>
                <w:szCs w:val="22"/>
              </w:rPr>
              <w:t>Wall</w:t>
            </w:r>
            <w:r w:rsidR="00667901">
              <w:rPr>
                <w:sz w:val="22"/>
                <w:szCs w:val="22"/>
              </w:rPr>
              <w:t>-</w:t>
            </w:r>
            <w:r>
              <w:rPr>
                <w:sz w:val="22"/>
                <w:szCs w:val="22"/>
              </w:rPr>
              <w:t>to</w:t>
            </w:r>
            <w:r w:rsidR="00667901">
              <w:rPr>
                <w:sz w:val="22"/>
                <w:szCs w:val="22"/>
              </w:rPr>
              <w:t>-</w:t>
            </w:r>
            <w:r>
              <w:rPr>
                <w:sz w:val="22"/>
                <w:szCs w:val="22"/>
              </w:rPr>
              <w:t>wall carpeting</w:t>
            </w:r>
          </w:p>
        </w:tc>
      </w:tr>
      <w:tr w:rsidR="00732C62" w:rsidRPr="00755960" w14:paraId="6E97E8BD" w14:textId="77777777" w:rsidTr="00DB2AEB">
        <w:trPr>
          <w:cantSplit/>
          <w:trHeight w:val="560"/>
          <w:jc w:val="center"/>
        </w:trPr>
        <w:tc>
          <w:tcPr>
            <w:tcW w:w="1829" w:type="dxa"/>
            <w:vAlign w:val="center"/>
          </w:tcPr>
          <w:p w14:paraId="0147AEB5" w14:textId="77777777" w:rsidR="00732C62" w:rsidRDefault="00A5351D" w:rsidP="00DB2AEB">
            <w:pPr>
              <w:spacing w:before="60" w:after="60"/>
              <w:rPr>
                <w:sz w:val="22"/>
                <w:szCs w:val="22"/>
              </w:rPr>
            </w:pPr>
            <w:r>
              <w:rPr>
                <w:sz w:val="22"/>
                <w:szCs w:val="22"/>
              </w:rPr>
              <w:t>Break Room</w:t>
            </w:r>
          </w:p>
        </w:tc>
        <w:tc>
          <w:tcPr>
            <w:tcW w:w="990" w:type="dxa"/>
            <w:vAlign w:val="center"/>
          </w:tcPr>
          <w:p w14:paraId="360604CF" w14:textId="77777777" w:rsidR="00732C62" w:rsidRDefault="00A5351D" w:rsidP="00DB2AEB">
            <w:pPr>
              <w:spacing w:before="60" w:after="60"/>
              <w:jc w:val="center"/>
              <w:rPr>
                <w:sz w:val="22"/>
                <w:szCs w:val="22"/>
              </w:rPr>
            </w:pPr>
            <w:r>
              <w:rPr>
                <w:sz w:val="22"/>
                <w:szCs w:val="22"/>
              </w:rPr>
              <w:t>709</w:t>
            </w:r>
          </w:p>
        </w:tc>
        <w:tc>
          <w:tcPr>
            <w:tcW w:w="990" w:type="dxa"/>
            <w:vAlign w:val="center"/>
          </w:tcPr>
          <w:p w14:paraId="1FF355BD" w14:textId="77777777" w:rsidR="00732C62" w:rsidRDefault="00732C62" w:rsidP="00DB2AEB">
            <w:pPr>
              <w:jc w:val="center"/>
              <w:rPr>
                <w:sz w:val="22"/>
                <w:szCs w:val="22"/>
              </w:rPr>
            </w:pPr>
            <w:r>
              <w:rPr>
                <w:sz w:val="22"/>
                <w:szCs w:val="22"/>
              </w:rPr>
              <w:t>ND</w:t>
            </w:r>
          </w:p>
        </w:tc>
        <w:tc>
          <w:tcPr>
            <w:tcW w:w="990" w:type="dxa"/>
            <w:vAlign w:val="center"/>
          </w:tcPr>
          <w:p w14:paraId="552CFF1D" w14:textId="77777777" w:rsidR="00732C62" w:rsidRDefault="00A5351D" w:rsidP="00DB2AEB">
            <w:pPr>
              <w:spacing w:before="60" w:after="60"/>
              <w:jc w:val="center"/>
              <w:rPr>
                <w:sz w:val="22"/>
                <w:szCs w:val="22"/>
              </w:rPr>
            </w:pPr>
            <w:r>
              <w:rPr>
                <w:sz w:val="22"/>
                <w:szCs w:val="22"/>
              </w:rPr>
              <w:t>70</w:t>
            </w:r>
          </w:p>
        </w:tc>
        <w:tc>
          <w:tcPr>
            <w:tcW w:w="1170" w:type="dxa"/>
            <w:vAlign w:val="center"/>
          </w:tcPr>
          <w:p w14:paraId="3A43D201" w14:textId="77777777" w:rsidR="00732C62" w:rsidRDefault="00A5351D" w:rsidP="00DB2AEB">
            <w:pPr>
              <w:spacing w:before="60" w:after="60"/>
              <w:jc w:val="center"/>
              <w:rPr>
                <w:sz w:val="22"/>
                <w:szCs w:val="22"/>
              </w:rPr>
            </w:pPr>
            <w:r>
              <w:rPr>
                <w:sz w:val="22"/>
                <w:szCs w:val="22"/>
              </w:rPr>
              <w:t>53</w:t>
            </w:r>
          </w:p>
        </w:tc>
        <w:tc>
          <w:tcPr>
            <w:tcW w:w="900" w:type="dxa"/>
            <w:vAlign w:val="center"/>
          </w:tcPr>
          <w:p w14:paraId="56DC3B5E" w14:textId="77777777" w:rsidR="00732C62" w:rsidRDefault="00A5351D" w:rsidP="00DB2AEB">
            <w:pPr>
              <w:spacing w:before="60" w:after="60"/>
              <w:jc w:val="center"/>
              <w:rPr>
                <w:sz w:val="22"/>
                <w:szCs w:val="22"/>
              </w:rPr>
            </w:pPr>
            <w:r>
              <w:rPr>
                <w:sz w:val="22"/>
                <w:szCs w:val="22"/>
              </w:rPr>
              <w:t>5</w:t>
            </w:r>
          </w:p>
        </w:tc>
        <w:tc>
          <w:tcPr>
            <w:tcW w:w="1080" w:type="dxa"/>
            <w:vAlign w:val="center"/>
          </w:tcPr>
          <w:p w14:paraId="59DE582B" w14:textId="77777777" w:rsidR="00732C62" w:rsidRDefault="00A5351D" w:rsidP="00DB2AEB">
            <w:pPr>
              <w:jc w:val="center"/>
              <w:rPr>
                <w:sz w:val="22"/>
                <w:szCs w:val="22"/>
              </w:rPr>
            </w:pPr>
            <w:r>
              <w:rPr>
                <w:sz w:val="22"/>
                <w:szCs w:val="22"/>
              </w:rPr>
              <w:t>0</w:t>
            </w:r>
          </w:p>
        </w:tc>
        <w:tc>
          <w:tcPr>
            <w:tcW w:w="1040" w:type="dxa"/>
            <w:vAlign w:val="center"/>
          </w:tcPr>
          <w:p w14:paraId="41E94D5A" w14:textId="77777777" w:rsidR="00732C62" w:rsidRDefault="00A5351D" w:rsidP="00DB2AEB">
            <w:pPr>
              <w:spacing w:before="60" w:after="60"/>
              <w:jc w:val="center"/>
              <w:rPr>
                <w:sz w:val="22"/>
                <w:szCs w:val="22"/>
              </w:rPr>
            </w:pPr>
            <w:r>
              <w:rPr>
                <w:sz w:val="22"/>
                <w:szCs w:val="22"/>
              </w:rPr>
              <w:t>Y</w:t>
            </w:r>
          </w:p>
        </w:tc>
        <w:tc>
          <w:tcPr>
            <w:tcW w:w="882" w:type="dxa"/>
            <w:vAlign w:val="center"/>
          </w:tcPr>
          <w:p w14:paraId="2E494678" w14:textId="77777777" w:rsidR="00732C62" w:rsidRDefault="00A5351D" w:rsidP="00DB2AEB">
            <w:pPr>
              <w:spacing w:before="60" w:after="60"/>
              <w:jc w:val="center"/>
              <w:rPr>
                <w:sz w:val="22"/>
                <w:szCs w:val="22"/>
              </w:rPr>
            </w:pPr>
            <w:r>
              <w:rPr>
                <w:sz w:val="22"/>
                <w:szCs w:val="22"/>
              </w:rPr>
              <w:t>Y</w:t>
            </w:r>
          </w:p>
        </w:tc>
        <w:tc>
          <w:tcPr>
            <w:tcW w:w="936" w:type="dxa"/>
            <w:vAlign w:val="center"/>
          </w:tcPr>
          <w:p w14:paraId="4C213C17" w14:textId="77777777" w:rsidR="00732C62" w:rsidRDefault="00A5351D" w:rsidP="00DB2AEB">
            <w:pPr>
              <w:spacing w:before="60" w:after="60"/>
              <w:jc w:val="center"/>
              <w:rPr>
                <w:sz w:val="22"/>
                <w:szCs w:val="22"/>
              </w:rPr>
            </w:pPr>
            <w:r>
              <w:rPr>
                <w:sz w:val="22"/>
                <w:szCs w:val="22"/>
              </w:rPr>
              <w:t>Y</w:t>
            </w:r>
          </w:p>
        </w:tc>
        <w:tc>
          <w:tcPr>
            <w:tcW w:w="3110" w:type="dxa"/>
            <w:tcBorders>
              <w:left w:val="nil"/>
            </w:tcBorders>
            <w:vAlign w:val="center"/>
          </w:tcPr>
          <w:p w14:paraId="320B17AC" w14:textId="77777777" w:rsidR="00732C62" w:rsidRDefault="00A5351D" w:rsidP="00DB2AEB">
            <w:pPr>
              <w:spacing w:before="60" w:after="60"/>
              <w:rPr>
                <w:sz w:val="22"/>
                <w:szCs w:val="22"/>
              </w:rPr>
            </w:pPr>
            <w:r>
              <w:rPr>
                <w:sz w:val="22"/>
                <w:szCs w:val="22"/>
              </w:rPr>
              <w:t>Dust/debris on vents, carpet squares</w:t>
            </w:r>
          </w:p>
        </w:tc>
      </w:tr>
      <w:tr w:rsidR="00732C62" w:rsidRPr="00755960" w14:paraId="7438E9FE" w14:textId="77777777" w:rsidTr="00DB2AEB">
        <w:trPr>
          <w:cantSplit/>
          <w:trHeight w:val="560"/>
          <w:jc w:val="center"/>
        </w:trPr>
        <w:tc>
          <w:tcPr>
            <w:tcW w:w="1829" w:type="dxa"/>
            <w:vAlign w:val="center"/>
          </w:tcPr>
          <w:p w14:paraId="54C890E5" w14:textId="77777777" w:rsidR="00732C62" w:rsidRPr="00BE7EF0" w:rsidRDefault="00A5351D" w:rsidP="00DB2AEB">
            <w:pPr>
              <w:spacing w:before="60" w:after="60"/>
              <w:rPr>
                <w:sz w:val="22"/>
                <w:szCs w:val="22"/>
              </w:rPr>
            </w:pPr>
            <w:r>
              <w:rPr>
                <w:sz w:val="22"/>
                <w:szCs w:val="22"/>
              </w:rPr>
              <w:t>113 Office</w:t>
            </w:r>
          </w:p>
        </w:tc>
        <w:tc>
          <w:tcPr>
            <w:tcW w:w="990" w:type="dxa"/>
            <w:vAlign w:val="center"/>
          </w:tcPr>
          <w:p w14:paraId="2D6B934F" w14:textId="77777777" w:rsidR="00732C62" w:rsidRPr="00BE7EF0" w:rsidRDefault="00A5351D" w:rsidP="00DB2AEB">
            <w:pPr>
              <w:spacing w:before="60" w:after="60"/>
              <w:jc w:val="center"/>
              <w:rPr>
                <w:sz w:val="22"/>
                <w:szCs w:val="22"/>
              </w:rPr>
            </w:pPr>
            <w:r>
              <w:rPr>
                <w:sz w:val="22"/>
                <w:szCs w:val="22"/>
              </w:rPr>
              <w:t>888</w:t>
            </w:r>
          </w:p>
        </w:tc>
        <w:tc>
          <w:tcPr>
            <w:tcW w:w="990" w:type="dxa"/>
            <w:vAlign w:val="center"/>
          </w:tcPr>
          <w:p w14:paraId="12FF09AE" w14:textId="77777777" w:rsidR="00732C62" w:rsidRPr="00BE7EF0" w:rsidRDefault="00732C62" w:rsidP="00DB2AEB">
            <w:pPr>
              <w:jc w:val="center"/>
              <w:rPr>
                <w:sz w:val="22"/>
                <w:szCs w:val="22"/>
              </w:rPr>
            </w:pPr>
            <w:r>
              <w:rPr>
                <w:sz w:val="22"/>
                <w:szCs w:val="22"/>
              </w:rPr>
              <w:t>ND</w:t>
            </w:r>
          </w:p>
        </w:tc>
        <w:tc>
          <w:tcPr>
            <w:tcW w:w="990" w:type="dxa"/>
            <w:vAlign w:val="center"/>
          </w:tcPr>
          <w:p w14:paraId="5D2312BA" w14:textId="77777777" w:rsidR="00732C62" w:rsidRPr="00BE7EF0" w:rsidRDefault="00A5351D" w:rsidP="00DB2AEB">
            <w:pPr>
              <w:spacing w:before="60" w:after="60"/>
              <w:jc w:val="center"/>
              <w:rPr>
                <w:sz w:val="22"/>
                <w:szCs w:val="22"/>
              </w:rPr>
            </w:pPr>
            <w:r>
              <w:rPr>
                <w:sz w:val="22"/>
                <w:szCs w:val="22"/>
              </w:rPr>
              <w:t>71</w:t>
            </w:r>
          </w:p>
        </w:tc>
        <w:tc>
          <w:tcPr>
            <w:tcW w:w="1170" w:type="dxa"/>
            <w:vAlign w:val="center"/>
          </w:tcPr>
          <w:p w14:paraId="25926474" w14:textId="77777777" w:rsidR="00732C62" w:rsidRPr="00BE7EF0" w:rsidRDefault="00A5351D" w:rsidP="00DB2AEB">
            <w:pPr>
              <w:spacing w:before="60" w:after="60"/>
              <w:jc w:val="center"/>
              <w:rPr>
                <w:sz w:val="22"/>
                <w:szCs w:val="22"/>
              </w:rPr>
            </w:pPr>
            <w:r>
              <w:rPr>
                <w:sz w:val="22"/>
                <w:szCs w:val="22"/>
              </w:rPr>
              <w:t>55</w:t>
            </w:r>
          </w:p>
        </w:tc>
        <w:tc>
          <w:tcPr>
            <w:tcW w:w="900" w:type="dxa"/>
            <w:vAlign w:val="center"/>
          </w:tcPr>
          <w:p w14:paraId="7C248BC8" w14:textId="77777777" w:rsidR="00732C62" w:rsidRPr="00BE7EF0" w:rsidRDefault="00A5351D" w:rsidP="00DB2AEB">
            <w:pPr>
              <w:spacing w:before="60" w:after="60"/>
              <w:jc w:val="center"/>
              <w:rPr>
                <w:sz w:val="22"/>
                <w:szCs w:val="22"/>
              </w:rPr>
            </w:pPr>
            <w:r>
              <w:rPr>
                <w:sz w:val="22"/>
                <w:szCs w:val="22"/>
              </w:rPr>
              <w:t>5</w:t>
            </w:r>
          </w:p>
        </w:tc>
        <w:tc>
          <w:tcPr>
            <w:tcW w:w="1080" w:type="dxa"/>
            <w:vAlign w:val="center"/>
          </w:tcPr>
          <w:p w14:paraId="2113691A" w14:textId="77777777" w:rsidR="00732C62" w:rsidRPr="00BE7EF0" w:rsidRDefault="00A5351D" w:rsidP="00DB2AEB">
            <w:pPr>
              <w:jc w:val="center"/>
              <w:rPr>
                <w:sz w:val="22"/>
                <w:szCs w:val="22"/>
              </w:rPr>
            </w:pPr>
            <w:r>
              <w:rPr>
                <w:sz w:val="22"/>
                <w:szCs w:val="22"/>
              </w:rPr>
              <w:t>0</w:t>
            </w:r>
          </w:p>
        </w:tc>
        <w:tc>
          <w:tcPr>
            <w:tcW w:w="1040" w:type="dxa"/>
            <w:vAlign w:val="center"/>
          </w:tcPr>
          <w:p w14:paraId="00B3BE3A" w14:textId="77777777" w:rsidR="00732C62" w:rsidRPr="00BE7EF0" w:rsidRDefault="00A5351D" w:rsidP="00DB2AEB">
            <w:pPr>
              <w:spacing w:before="60" w:after="60"/>
              <w:jc w:val="center"/>
              <w:rPr>
                <w:sz w:val="22"/>
                <w:szCs w:val="22"/>
              </w:rPr>
            </w:pPr>
            <w:r>
              <w:rPr>
                <w:sz w:val="22"/>
                <w:szCs w:val="22"/>
              </w:rPr>
              <w:t>Y</w:t>
            </w:r>
          </w:p>
        </w:tc>
        <w:tc>
          <w:tcPr>
            <w:tcW w:w="882" w:type="dxa"/>
            <w:vAlign w:val="center"/>
          </w:tcPr>
          <w:p w14:paraId="0A9557E4" w14:textId="77777777" w:rsidR="00732C62" w:rsidRPr="00BE7EF0" w:rsidRDefault="00A5351D" w:rsidP="00DB2AEB">
            <w:pPr>
              <w:spacing w:before="60" w:after="60"/>
              <w:jc w:val="center"/>
              <w:rPr>
                <w:sz w:val="22"/>
                <w:szCs w:val="22"/>
              </w:rPr>
            </w:pPr>
            <w:r>
              <w:rPr>
                <w:sz w:val="22"/>
                <w:szCs w:val="22"/>
              </w:rPr>
              <w:t>Y</w:t>
            </w:r>
          </w:p>
        </w:tc>
        <w:tc>
          <w:tcPr>
            <w:tcW w:w="936" w:type="dxa"/>
            <w:vAlign w:val="center"/>
          </w:tcPr>
          <w:p w14:paraId="1E598EBD" w14:textId="77777777" w:rsidR="00732C62" w:rsidRPr="00BE7EF0" w:rsidRDefault="00A5351D" w:rsidP="00DB2AEB">
            <w:pPr>
              <w:spacing w:before="60" w:after="60"/>
              <w:jc w:val="center"/>
              <w:rPr>
                <w:sz w:val="22"/>
                <w:szCs w:val="22"/>
              </w:rPr>
            </w:pPr>
            <w:r>
              <w:rPr>
                <w:sz w:val="22"/>
                <w:szCs w:val="22"/>
              </w:rPr>
              <w:t>Y</w:t>
            </w:r>
          </w:p>
        </w:tc>
        <w:tc>
          <w:tcPr>
            <w:tcW w:w="3110" w:type="dxa"/>
            <w:tcBorders>
              <w:left w:val="nil"/>
            </w:tcBorders>
            <w:vAlign w:val="center"/>
          </w:tcPr>
          <w:p w14:paraId="6CC59D85" w14:textId="77777777" w:rsidR="00732C62" w:rsidRPr="00BE7EF0" w:rsidRDefault="00A5351D" w:rsidP="00DB2AEB">
            <w:pPr>
              <w:spacing w:before="60" w:after="60"/>
              <w:rPr>
                <w:sz w:val="22"/>
                <w:szCs w:val="22"/>
              </w:rPr>
            </w:pPr>
            <w:r>
              <w:rPr>
                <w:sz w:val="22"/>
                <w:szCs w:val="22"/>
              </w:rPr>
              <w:t>Carpet squares</w:t>
            </w:r>
          </w:p>
        </w:tc>
      </w:tr>
      <w:tr w:rsidR="00732C62" w:rsidRPr="00755960" w14:paraId="28DF5354" w14:textId="77777777" w:rsidTr="00DB2AEB">
        <w:trPr>
          <w:cantSplit/>
          <w:trHeight w:val="560"/>
          <w:jc w:val="center"/>
        </w:trPr>
        <w:tc>
          <w:tcPr>
            <w:tcW w:w="1829" w:type="dxa"/>
            <w:vAlign w:val="center"/>
          </w:tcPr>
          <w:p w14:paraId="4675A272" w14:textId="77777777" w:rsidR="00732C62" w:rsidRPr="00BE7EF0" w:rsidRDefault="00A5351D" w:rsidP="00DB2AEB">
            <w:pPr>
              <w:spacing w:before="60" w:after="60"/>
              <w:rPr>
                <w:sz w:val="22"/>
                <w:szCs w:val="22"/>
              </w:rPr>
            </w:pPr>
            <w:r>
              <w:rPr>
                <w:sz w:val="22"/>
                <w:szCs w:val="22"/>
              </w:rPr>
              <w:t xml:space="preserve">112 Office </w:t>
            </w:r>
          </w:p>
        </w:tc>
        <w:tc>
          <w:tcPr>
            <w:tcW w:w="990" w:type="dxa"/>
            <w:vAlign w:val="center"/>
          </w:tcPr>
          <w:p w14:paraId="29E5BBEB" w14:textId="77777777" w:rsidR="00732C62" w:rsidRPr="00BE7EF0" w:rsidRDefault="00A5351D" w:rsidP="00DB2AEB">
            <w:pPr>
              <w:spacing w:before="60" w:after="60"/>
              <w:jc w:val="center"/>
              <w:rPr>
                <w:sz w:val="22"/>
                <w:szCs w:val="22"/>
              </w:rPr>
            </w:pPr>
            <w:r>
              <w:rPr>
                <w:sz w:val="22"/>
                <w:szCs w:val="22"/>
              </w:rPr>
              <w:t>882</w:t>
            </w:r>
          </w:p>
        </w:tc>
        <w:tc>
          <w:tcPr>
            <w:tcW w:w="990" w:type="dxa"/>
            <w:vAlign w:val="center"/>
          </w:tcPr>
          <w:p w14:paraId="6D66EB4D" w14:textId="77777777" w:rsidR="00732C62" w:rsidRPr="00BE7EF0" w:rsidRDefault="00732C62" w:rsidP="00DB2AEB">
            <w:pPr>
              <w:jc w:val="center"/>
              <w:rPr>
                <w:sz w:val="22"/>
                <w:szCs w:val="22"/>
              </w:rPr>
            </w:pPr>
            <w:r>
              <w:rPr>
                <w:sz w:val="22"/>
                <w:szCs w:val="22"/>
              </w:rPr>
              <w:t>ND</w:t>
            </w:r>
          </w:p>
        </w:tc>
        <w:tc>
          <w:tcPr>
            <w:tcW w:w="990" w:type="dxa"/>
            <w:vAlign w:val="center"/>
          </w:tcPr>
          <w:p w14:paraId="205DED60" w14:textId="77777777" w:rsidR="00732C62" w:rsidRPr="00BE7EF0" w:rsidRDefault="00A5351D" w:rsidP="00DB2AEB">
            <w:pPr>
              <w:spacing w:before="60" w:after="60"/>
              <w:jc w:val="center"/>
              <w:rPr>
                <w:sz w:val="22"/>
                <w:szCs w:val="22"/>
              </w:rPr>
            </w:pPr>
            <w:r>
              <w:rPr>
                <w:sz w:val="22"/>
                <w:szCs w:val="22"/>
              </w:rPr>
              <w:t>70</w:t>
            </w:r>
          </w:p>
        </w:tc>
        <w:tc>
          <w:tcPr>
            <w:tcW w:w="1170" w:type="dxa"/>
            <w:vAlign w:val="center"/>
          </w:tcPr>
          <w:p w14:paraId="4E682DDA" w14:textId="77777777" w:rsidR="00732C62" w:rsidRPr="00BE7EF0" w:rsidRDefault="001A4721" w:rsidP="00DB2AEB">
            <w:pPr>
              <w:spacing w:before="60" w:after="60"/>
              <w:jc w:val="center"/>
              <w:rPr>
                <w:sz w:val="22"/>
                <w:szCs w:val="22"/>
              </w:rPr>
            </w:pPr>
            <w:r>
              <w:rPr>
                <w:sz w:val="22"/>
                <w:szCs w:val="22"/>
              </w:rPr>
              <w:t>5</w:t>
            </w:r>
            <w:r w:rsidR="00A5351D">
              <w:rPr>
                <w:sz w:val="22"/>
                <w:szCs w:val="22"/>
              </w:rPr>
              <w:t>6</w:t>
            </w:r>
          </w:p>
        </w:tc>
        <w:tc>
          <w:tcPr>
            <w:tcW w:w="900" w:type="dxa"/>
            <w:vAlign w:val="center"/>
          </w:tcPr>
          <w:p w14:paraId="0DB3E3F5" w14:textId="77777777" w:rsidR="00732C62" w:rsidRPr="00BE7EF0" w:rsidRDefault="00A5351D" w:rsidP="00DB2AEB">
            <w:pPr>
              <w:spacing w:before="60" w:after="60"/>
              <w:jc w:val="center"/>
              <w:rPr>
                <w:sz w:val="22"/>
                <w:szCs w:val="22"/>
              </w:rPr>
            </w:pPr>
            <w:r>
              <w:rPr>
                <w:sz w:val="22"/>
                <w:szCs w:val="22"/>
              </w:rPr>
              <w:t>6</w:t>
            </w:r>
          </w:p>
        </w:tc>
        <w:tc>
          <w:tcPr>
            <w:tcW w:w="1080" w:type="dxa"/>
            <w:vAlign w:val="center"/>
          </w:tcPr>
          <w:p w14:paraId="493CE6B9" w14:textId="77777777" w:rsidR="00732C62" w:rsidRPr="00BE7EF0" w:rsidRDefault="00A5351D" w:rsidP="00DB2AEB">
            <w:pPr>
              <w:spacing w:before="60" w:after="60"/>
              <w:jc w:val="center"/>
              <w:rPr>
                <w:sz w:val="22"/>
                <w:szCs w:val="22"/>
              </w:rPr>
            </w:pPr>
            <w:r>
              <w:rPr>
                <w:sz w:val="22"/>
                <w:szCs w:val="22"/>
              </w:rPr>
              <w:t>1</w:t>
            </w:r>
          </w:p>
        </w:tc>
        <w:tc>
          <w:tcPr>
            <w:tcW w:w="1040" w:type="dxa"/>
            <w:vAlign w:val="center"/>
          </w:tcPr>
          <w:p w14:paraId="406C344E" w14:textId="77777777" w:rsidR="00732C62" w:rsidRPr="00BE7EF0" w:rsidRDefault="00A5351D" w:rsidP="00DB2AEB">
            <w:pPr>
              <w:spacing w:before="60" w:after="60"/>
              <w:jc w:val="center"/>
              <w:rPr>
                <w:sz w:val="22"/>
                <w:szCs w:val="22"/>
              </w:rPr>
            </w:pPr>
            <w:r>
              <w:rPr>
                <w:sz w:val="22"/>
                <w:szCs w:val="22"/>
              </w:rPr>
              <w:t>Y</w:t>
            </w:r>
          </w:p>
        </w:tc>
        <w:tc>
          <w:tcPr>
            <w:tcW w:w="882" w:type="dxa"/>
            <w:vAlign w:val="center"/>
          </w:tcPr>
          <w:p w14:paraId="121F59CC" w14:textId="77777777" w:rsidR="00732C62" w:rsidRPr="00BE7EF0" w:rsidRDefault="00A5351D" w:rsidP="00DB2AEB">
            <w:pPr>
              <w:spacing w:before="60" w:after="60"/>
              <w:jc w:val="center"/>
              <w:rPr>
                <w:sz w:val="22"/>
                <w:szCs w:val="22"/>
              </w:rPr>
            </w:pPr>
            <w:r>
              <w:rPr>
                <w:sz w:val="22"/>
                <w:szCs w:val="22"/>
              </w:rPr>
              <w:t>Y</w:t>
            </w:r>
          </w:p>
        </w:tc>
        <w:tc>
          <w:tcPr>
            <w:tcW w:w="936" w:type="dxa"/>
            <w:vAlign w:val="center"/>
          </w:tcPr>
          <w:p w14:paraId="57C4A932" w14:textId="77777777" w:rsidR="00732C62" w:rsidRPr="00BE7EF0" w:rsidRDefault="00A5351D" w:rsidP="00DB2AEB">
            <w:pPr>
              <w:spacing w:before="60" w:after="60"/>
              <w:jc w:val="center"/>
              <w:rPr>
                <w:sz w:val="22"/>
                <w:szCs w:val="22"/>
              </w:rPr>
            </w:pPr>
            <w:r>
              <w:rPr>
                <w:sz w:val="22"/>
                <w:szCs w:val="22"/>
              </w:rPr>
              <w:t>Y</w:t>
            </w:r>
          </w:p>
        </w:tc>
        <w:tc>
          <w:tcPr>
            <w:tcW w:w="3110" w:type="dxa"/>
            <w:tcBorders>
              <w:left w:val="nil"/>
            </w:tcBorders>
            <w:vAlign w:val="center"/>
          </w:tcPr>
          <w:p w14:paraId="2E9BC4F2" w14:textId="77777777" w:rsidR="00732C62" w:rsidRPr="00BE7EF0" w:rsidRDefault="00A5351D" w:rsidP="00DB2AEB">
            <w:pPr>
              <w:pStyle w:val="Header"/>
              <w:tabs>
                <w:tab w:val="left" w:pos="720"/>
              </w:tabs>
              <w:spacing w:before="60" w:after="60"/>
              <w:rPr>
                <w:sz w:val="22"/>
                <w:szCs w:val="22"/>
              </w:rPr>
            </w:pPr>
            <w:r>
              <w:rPr>
                <w:sz w:val="22"/>
                <w:szCs w:val="22"/>
              </w:rPr>
              <w:t>Carpet squares</w:t>
            </w:r>
          </w:p>
        </w:tc>
      </w:tr>
      <w:tr w:rsidR="00732C62" w:rsidRPr="00755960" w14:paraId="00ECAF06" w14:textId="77777777" w:rsidTr="00826CCD">
        <w:trPr>
          <w:cantSplit/>
          <w:trHeight w:val="534"/>
          <w:jc w:val="center"/>
        </w:trPr>
        <w:tc>
          <w:tcPr>
            <w:tcW w:w="1829" w:type="dxa"/>
            <w:vAlign w:val="center"/>
          </w:tcPr>
          <w:p w14:paraId="1A8C8812" w14:textId="77777777" w:rsidR="00732C62" w:rsidRPr="00BE7EF0" w:rsidRDefault="00A5351D" w:rsidP="00DB2AEB">
            <w:pPr>
              <w:spacing w:before="60" w:after="60"/>
              <w:rPr>
                <w:sz w:val="22"/>
                <w:szCs w:val="22"/>
              </w:rPr>
            </w:pPr>
            <w:r>
              <w:rPr>
                <w:sz w:val="22"/>
                <w:szCs w:val="22"/>
              </w:rPr>
              <w:t>Main Reception</w:t>
            </w:r>
          </w:p>
        </w:tc>
        <w:tc>
          <w:tcPr>
            <w:tcW w:w="990" w:type="dxa"/>
            <w:vAlign w:val="center"/>
          </w:tcPr>
          <w:p w14:paraId="1C4CEA1E" w14:textId="77777777" w:rsidR="00732C62" w:rsidRPr="00BE7EF0" w:rsidRDefault="00A5351D" w:rsidP="00DB2AEB">
            <w:pPr>
              <w:spacing w:before="60" w:after="60"/>
              <w:jc w:val="center"/>
              <w:rPr>
                <w:sz w:val="22"/>
                <w:szCs w:val="22"/>
              </w:rPr>
            </w:pPr>
            <w:r>
              <w:rPr>
                <w:sz w:val="22"/>
                <w:szCs w:val="22"/>
              </w:rPr>
              <w:t>740</w:t>
            </w:r>
          </w:p>
        </w:tc>
        <w:tc>
          <w:tcPr>
            <w:tcW w:w="990" w:type="dxa"/>
            <w:vAlign w:val="center"/>
          </w:tcPr>
          <w:p w14:paraId="4DBE30A1" w14:textId="77777777" w:rsidR="00732C62" w:rsidRPr="00BE7EF0" w:rsidRDefault="00732C62" w:rsidP="00DB2AEB">
            <w:pPr>
              <w:spacing w:before="60" w:after="60"/>
              <w:jc w:val="center"/>
              <w:rPr>
                <w:sz w:val="22"/>
                <w:szCs w:val="22"/>
              </w:rPr>
            </w:pPr>
            <w:r>
              <w:rPr>
                <w:sz w:val="22"/>
                <w:szCs w:val="22"/>
              </w:rPr>
              <w:t>ND</w:t>
            </w:r>
          </w:p>
        </w:tc>
        <w:tc>
          <w:tcPr>
            <w:tcW w:w="990" w:type="dxa"/>
            <w:vAlign w:val="center"/>
          </w:tcPr>
          <w:p w14:paraId="145C5F04" w14:textId="77777777" w:rsidR="00732C62" w:rsidRPr="00BE7EF0" w:rsidRDefault="00A5351D" w:rsidP="00DB2AEB">
            <w:pPr>
              <w:spacing w:before="60" w:after="60"/>
              <w:jc w:val="center"/>
              <w:rPr>
                <w:sz w:val="22"/>
                <w:szCs w:val="22"/>
              </w:rPr>
            </w:pPr>
            <w:r>
              <w:rPr>
                <w:sz w:val="22"/>
                <w:szCs w:val="22"/>
              </w:rPr>
              <w:t>71</w:t>
            </w:r>
          </w:p>
        </w:tc>
        <w:tc>
          <w:tcPr>
            <w:tcW w:w="1170" w:type="dxa"/>
            <w:vAlign w:val="center"/>
          </w:tcPr>
          <w:p w14:paraId="36B5DDB7" w14:textId="77777777" w:rsidR="00732C62" w:rsidRPr="00BE7EF0" w:rsidRDefault="00A5351D" w:rsidP="00DB2AEB">
            <w:pPr>
              <w:spacing w:before="60" w:after="60"/>
              <w:jc w:val="center"/>
              <w:rPr>
                <w:sz w:val="22"/>
                <w:szCs w:val="22"/>
              </w:rPr>
            </w:pPr>
            <w:r>
              <w:rPr>
                <w:sz w:val="22"/>
                <w:szCs w:val="22"/>
              </w:rPr>
              <w:t>56</w:t>
            </w:r>
          </w:p>
        </w:tc>
        <w:tc>
          <w:tcPr>
            <w:tcW w:w="900" w:type="dxa"/>
            <w:vAlign w:val="center"/>
          </w:tcPr>
          <w:p w14:paraId="7A079755" w14:textId="77777777" w:rsidR="00732C62" w:rsidRPr="00BE7EF0" w:rsidRDefault="00A5351D" w:rsidP="00DB2AEB">
            <w:pPr>
              <w:spacing w:before="60" w:after="60"/>
              <w:jc w:val="center"/>
              <w:rPr>
                <w:sz w:val="22"/>
                <w:szCs w:val="22"/>
              </w:rPr>
            </w:pPr>
            <w:r>
              <w:rPr>
                <w:sz w:val="22"/>
                <w:szCs w:val="22"/>
              </w:rPr>
              <w:t>8</w:t>
            </w:r>
          </w:p>
        </w:tc>
        <w:tc>
          <w:tcPr>
            <w:tcW w:w="1080" w:type="dxa"/>
            <w:vAlign w:val="center"/>
          </w:tcPr>
          <w:p w14:paraId="1045A0A0" w14:textId="77777777" w:rsidR="00732C62" w:rsidRPr="00BE7EF0" w:rsidRDefault="00A5351D" w:rsidP="00DB2AEB">
            <w:pPr>
              <w:jc w:val="center"/>
              <w:rPr>
                <w:sz w:val="22"/>
                <w:szCs w:val="22"/>
              </w:rPr>
            </w:pPr>
            <w:r>
              <w:rPr>
                <w:sz w:val="22"/>
                <w:szCs w:val="22"/>
              </w:rPr>
              <w:t>0</w:t>
            </w:r>
          </w:p>
        </w:tc>
        <w:tc>
          <w:tcPr>
            <w:tcW w:w="1040" w:type="dxa"/>
            <w:vAlign w:val="center"/>
          </w:tcPr>
          <w:p w14:paraId="5A2FE0A2" w14:textId="77777777" w:rsidR="00732C62" w:rsidRPr="00BE7EF0" w:rsidRDefault="00A5351D" w:rsidP="00DB2AEB">
            <w:pPr>
              <w:spacing w:before="60" w:after="60"/>
              <w:jc w:val="center"/>
              <w:rPr>
                <w:sz w:val="22"/>
                <w:szCs w:val="22"/>
              </w:rPr>
            </w:pPr>
            <w:r>
              <w:rPr>
                <w:sz w:val="22"/>
                <w:szCs w:val="22"/>
              </w:rPr>
              <w:t>N</w:t>
            </w:r>
          </w:p>
        </w:tc>
        <w:tc>
          <w:tcPr>
            <w:tcW w:w="882" w:type="dxa"/>
            <w:vAlign w:val="center"/>
          </w:tcPr>
          <w:p w14:paraId="79C97DC4" w14:textId="77777777" w:rsidR="00732C62" w:rsidRPr="00BE7EF0" w:rsidRDefault="00A5351D" w:rsidP="00DB2AEB">
            <w:pPr>
              <w:spacing w:before="60" w:after="60"/>
              <w:jc w:val="center"/>
              <w:rPr>
                <w:sz w:val="22"/>
                <w:szCs w:val="22"/>
              </w:rPr>
            </w:pPr>
            <w:r>
              <w:rPr>
                <w:sz w:val="22"/>
                <w:szCs w:val="22"/>
              </w:rPr>
              <w:t>Y</w:t>
            </w:r>
          </w:p>
        </w:tc>
        <w:tc>
          <w:tcPr>
            <w:tcW w:w="936" w:type="dxa"/>
            <w:vAlign w:val="center"/>
          </w:tcPr>
          <w:p w14:paraId="41EABD04" w14:textId="77777777" w:rsidR="00732C62" w:rsidRPr="00BE7EF0" w:rsidRDefault="00A5351D" w:rsidP="00DB2AEB">
            <w:pPr>
              <w:spacing w:before="60" w:after="60"/>
              <w:jc w:val="center"/>
              <w:rPr>
                <w:sz w:val="22"/>
                <w:szCs w:val="22"/>
              </w:rPr>
            </w:pPr>
            <w:r>
              <w:rPr>
                <w:sz w:val="22"/>
                <w:szCs w:val="22"/>
              </w:rPr>
              <w:t>Y</w:t>
            </w:r>
          </w:p>
        </w:tc>
        <w:tc>
          <w:tcPr>
            <w:tcW w:w="3110" w:type="dxa"/>
            <w:tcBorders>
              <w:left w:val="nil"/>
            </w:tcBorders>
            <w:vAlign w:val="center"/>
          </w:tcPr>
          <w:p w14:paraId="6562232F" w14:textId="77777777" w:rsidR="00732C62" w:rsidRPr="00BE7EF0" w:rsidRDefault="00A5351D" w:rsidP="00DB2AEB">
            <w:pPr>
              <w:spacing w:before="60" w:after="60"/>
              <w:rPr>
                <w:sz w:val="22"/>
                <w:szCs w:val="22"/>
              </w:rPr>
            </w:pPr>
            <w:r>
              <w:rPr>
                <w:sz w:val="22"/>
                <w:szCs w:val="22"/>
              </w:rPr>
              <w:t>Carpet squares</w:t>
            </w:r>
          </w:p>
        </w:tc>
      </w:tr>
    </w:tbl>
    <w:p w14:paraId="130330B4" w14:textId="77777777" w:rsidR="000F237B" w:rsidRPr="00157427" w:rsidRDefault="000F237B" w:rsidP="0071014C">
      <w:pPr>
        <w:spacing w:after="240"/>
        <w:rPr>
          <w:b/>
          <w:bCs/>
        </w:rPr>
      </w:pPr>
    </w:p>
    <w:sectPr w:rsidR="000F237B" w:rsidRPr="00157427" w:rsidSect="000F237B">
      <w:headerReference w:type="default" r:id="rId15"/>
      <w:footerReference w:type="default" r:id="rId16"/>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1BF4" w14:textId="77777777" w:rsidR="001B36CB" w:rsidRDefault="001B36CB">
      <w:r>
        <w:separator/>
      </w:r>
    </w:p>
  </w:endnote>
  <w:endnote w:type="continuationSeparator" w:id="0">
    <w:p w14:paraId="2B400E3E" w14:textId="77777777" w:rsidR="001B36CB" w:rsidRDefault="001B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9F39" w14:textId="77777777" w:rsidR="00D844EB" w:rsidRDefault="00D844EB">
    <w:pPr>
      <w:pStyle w:val="Footer"/>
      <w:jc w:val="center"/>
    </w:pPr>
    <w:r>
      <w:fldChar w:fldCharType="begin"/>
    </w:r>
    <w:r>
      <w:instrText xml:space="preserve"> PAGE   \* MERGEFORMAT </w:instrText>
    </w:r>
    <w:r>
      <w:fldChar w:fldCharType="separate"/>
    </w:r>
    <w:r>
      <w:rPr>
        <w:noProof/>
      </w:rPr>
      <w:t>2</w:t>
    </w:r>
    <w:r>
      <w:rPr>
        <w:noProof/>
      </w:rPr>
      <w:fldChar w:fldCharType="end"/>
    </w:r>
  </w:p>
  <w:p w14:paraId="2C3F2620" w14:textId="77777777" w:rsidR="00D844EB" w:rsidRDefault="00D84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19E0" w14:textId="77777777" w:rsidR="000F237B" w:rsidRDefault="000F237B">
    <w:pPr>
      <w:pStyle w:val="Footer"/>
      <w:jc w:val="center"/>
    </w:pPr>
  </w:p>
  <w:p w14:paraId="74086D7B" w14:textId="77777777" w:rsidR="000F237B" w:rsidRDefault="000F23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043" w:type="dxa"/>
      <w:jc w:val="center"/>
      <w:tblLayout w:type="fixed"/>
      <w:tblLook w:val="0000" w:firstRow="0" w:lastRow="0" w:firstColumn="0" w:lastColumn="0" w:noHBand="0" w:noVBand="0"/>
    </w:tblPr>
    <w:tblGrid>
      <w:gridCol w:w="2273"/>
      <w:gridCol w:w="3150"/>
      <w:gridCol w:w="1620"/>
    </w:tblGrid>
    <w:tr w:rsidR="00A5351D" w:rsidRPr="00F374D5" w14:paraId="7F063D08" w14:textId="77777777" w:rsidTr="00A5351D">
      <w:trPr>
        <w:trHeight w:val="300"/>
        <w:jc w:val="center"/>
      </w:trPr>
      <w:tc>
        <w:tcPr>
          <w:tcW w:w="2273" w:type="dxa"/>
          <w:tcBorders>
            <w:top w:val="nil"/>
            <w:left w:val="nil"/>
            <w:bottom w:val="nil"/>
            <w:right w:val="nil"/>
          </w:tcBorders>
          <w:shd w:val="clear" w:color="auto" w:fill="auto"/>
          <w:noWrap/>
          <w:vAlign w:val="center"/>
        </w:tcPr>
        <w:p w14:paraId="5A3FEF75" w14:textId="77777777" w:rsidR="00A5351D" w:rsidRPr="00860C0A" w:rsidRDefault="00A5351D" w:rsidP="00135B10">
          <w:pPr>
            <w:rPr>
              <w:rFonts w:ascii="Times" w:hAnsi="Times" w:cs="Times"/>
              <w:sz w:val="18"/>
            </w:rPr>
          </w:pPr>
          <w:r w:rsidRPr="00860C0A">
            <w:rPr>
              <w:rFonts w:ascii="Times" w:hAnsi="Times" w:cs="Times"/>
              <w:sz w:val="18"/>
            </w:rPr>
            <w:t>ppm = parts per million</w:t>
          </w:r>
        </w:p>
      </w:tc>
      <w:tc>
        <w:tcPr>
          <w:tcW w:w="3150" w:type="dxa"/>
          <w:tcBorders>
            <w:top w:val="nil"/>
            <w:left w:val="nil"/>
            <w:bottom w:val="nil"/>
            <w:right w:val="nil"/>
          </w:tcBorders>
          <w:shd w:val="clear" w:color="auto" w:fill="auto"/>
          <w:noWrap/>
          <w:vAlign w:val="center"/>
        </w:tcPr>
        <w:p w14:paraId="61D241A1" w14:textId="77777777" w:rsidR="00A5351D" w:rsidRPr="00860C0A" w:rsidRDefault="00A5351D" w:rsidP="00135B10">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1620" w:type="dxa"/>
          <w:tcBorders>
            <w:top w:val="nil"/>
            <w:left w:val="nil"/>
            <w:bottom w:val="nil"/>
            <w:right w:val="nil"/>
          </w:tcBorders>
          <w:shd w:val="clear" w:color="auto" w:fill="auto"/>
          <w:noWrap/>
          <w:vAlign w:val="center"/>
        </w:tcPr>
        <w:p w14:paraId="5A2CAD6E" w14:textId="77777777" w:rsidR="00A5351D" w:rsidRPr="00860C0A" w:rsidRDefault="00A5351D" w:rsidP="00135B10">
          <w:pPr>
            <w:rPr>
              <w:rFonts w:ascii="Times" w:hAnsi="Times" w:cs="Times"/>
              <w:sz w:val="18"/>
            </w:rPr>
          </w:pPr>
          <w:r w:rsidRPr="00071561">
            <w:rPr>
              <w:rFonts w:ascii="Times" w:hAnsi="Times" w:cs="Times"/>
              <w:sz w:val="18"/>
            </w:rPr>
            <w:t>ND = non detect</w:t>
          </w:r>
        </w:p>
      </w:tc>
    </w:tr>
  </w:tbl>
  <w:p w14:paraId="2D606793" w14:textId="77777777" w:rsidR="00135B10" w:rsidRDefault="00135B10" w:rsidP="00135B10">
    <w:pPr>
      <w:tabs>
        <w:tab w:val="left" w:pos="9180"/>
      </w:tabs>
      <w:rPr>
        <w:b/>
        <w:sz w:val="20"/>
      </w:rPr>
    </w:pPr>
  </w:p>
  <w:p w14:paraId="66723C0E" w14:textId="77777777" w:rsidR="00135B10" w:rsidRDefault="00135B10" w:rsidP="00135B10">
    <w:pPr>
      <w:tabs>
        <w:tab w:val="left" w:pos="9180"/>
      </w:tabs>
    </w:pPr>
    <w:r>
      <w:rPr>
        <w:b/>
        <w:sz w:val="20"/>
      </w:rPr>
      <w:t>Comfort Guidelines</w:t>
    </w:r>
  </w:p>
  <w:tbl>
    <w:tblPr>
      <w:tblW w:w="14473" w:type="dxa"/>
      <w:tblInd w:w="-70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593"/>
      <w:gridCol w:w="4860"/>
      <w:gridCol w:w="3600"/>
      <w:gridCol w:w="3420"/>
    </w:tblGrid>
    <w:tr w:rsidR="00135B10" w14:paraId="1F059E9D" w14:textId="77777777" w:rsidTr="00135B10">
      <w:tc>
        <w:tcPr>
          <w:tcW w:w="2593" w:type="dxa"/>
        </w:tcPr>
        <w:p w14:paraId="4776D421" w14:textId="77777777" w:rsidR="00135B10" w:rsidRDefault="00135B10" w:rsidP="00135B10">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860" w:type="dxa"/>
        </w:tcPr>
        <w:p w14:paraId="34B4D72C" w14:textId="77777777" w:rsidR="00135B10" w:rsidRDefault="00135B10" w:rsidP="00135B10">
          <w:pPr>
            <w:rPr>
              <w:sz w:val="20"/>
            </w:rPr>
          </w:pPr>
          <w:r>
            <w:rPr>
              <w:sz w:val="20"/>
            </w:rPr>
            <w:t>&lt; 800 ppm = preferable</w:t>
          </w:r>
        </w:p>
      </w:tc>
      <w:tc>
        <w:tcPr>
          <w:tcW w:w="3600" w:type="dxa"/>
        </w:tcPr>
        <w:p w14:paraId="18AF7D04" w14:textId="77777777" w:rsidR="00135B10" w:rsidRDefault="00135B10" w:rsidP="00135B10">
          <w:pPr>
            <w:jc w:val="right"/>
            <w:rPr>
              <w:sz w:val="20"/>
            </w:rPr>
          </w:pPr>
          <w:r>
            <w:rPr>
              <w:sz w:val="20"/>
            </w:rPr>
            <w:t>Temperature:</w:t>
          </w:r>
        </w:p>
      </w:tc>
      <w:tc>
        <w:tcPr>
          <w:tcW w:w="3420" w:type="dxa"/>
        </w:tcPr>
        <w:p w14:paraId="1F5BC79D" w14:textId="77777777" w:rsidR="00135B10" w:rsidRDefault="00135B10" w:rsidP="00135B10">
          <w:pPr>
            <w:rPr>
              <w:sz w:val="20"/>
            </w:rPr>
          </w:pPr>
          <w:r>
            <w:rPr>
              <w:sz w:val="20"/>
            </w:rPr>
            <w:t>70 - 78 °F</w:t>
          </w:r>
        </w:p>
      </w:tc>
    </w:tr>
    <w:tr w:rsidR="00135B10" w14:paraId="636050F0" w14:textId="77777777" w:rsidTr="00135B10">
      <w:tc>
        <w:tcPr>
          <w:tcW w:w="2593" w:type="dxa"/>
        </w:tcPr>
        <w:p w14:paraId="35A2B8F0" w14:textId="77777777" w:rsidR="00135B10" w:rsidRDefault="00135B10" w:rsidP="00135B10">
          <w:pPr>
            <w:jc w:val="right"/>
            <w:rPr>
              <w:sz w:val="20"/>
            </w:rPr>
          </w:pPr>
        </w:p>
      </w:tc>
      <w:tc>
        <w:tcPr>
          <w:tcW w:w="4860" w:type="dxa"/>
        </w:tcPr>
        <w:p w14:paraId="3E9DA91A" w14:textId="77777777" w:rsidR="00135B10" w:rsidRDefault="00135B10" w:rsidP="00135B10">
          <w:pPr>
            <w:rPr>
              <w:sz w:val="20"/>
            </w:rPr>
          </w:pPr>
          <w:r>
            <w:rPr>
              <w:sz w:val="20"/>
            </w:rPr>
            <w:t>&gt; 800 ppm = indicative of ventilation problems</w:t>
          </w:r>
        </w:p>
      </w:tc>
      <w:tc>
        <w:tcPr>
          <w:tcW w:w="3600" w:type="dxa"/>
        </w:tcPr>
        <w:p w14:paraId="416D2316" w14:textId="77777777" w:rsidR="00135B10" w:rsidRDefault="00135B10" w:rsidP="00135B10">
          <w:pPr>
            <w:jc w:val="right"/>
            <w:rPr>
              <w:sz w:val="20"/>
            </w:rPr>
          </w:pPr>
          <w:r>
            <w:rPr>
              <w:sz w:val="20"/>
            </w:rPr>
            <w:t>Relative Humidity:</w:t>
          </w:r>
        </w:p>
      </w:tc>
      <w:tc>
        <w:tcPr>
          <w:tcW w:w="3420" w:type="dxa"/>
        </w:tcPr>
        <w:p w14:paraId="12E7D843" w14:textId="77777777" w:rsidR="00135B10" w:rsidRDefault="00135B10" w:rsidP="00135B10">
          <w:pPr>
            <w:rPr>
              <w:sz w:val="20"/>
            </w:rPr>
          </w:pPr>
          <w:r>
            <w:rPr>
              <w:sz w:val="20"/>
            </w:rPr>
            <w:t>40 - 60%</w:t>
          </w:r>
        </w:p>
      </w:tc>
    </w:tr>
  </w:tbl>
  <w:p w14:paraId="010DF5C9" w14:textId="77777777" w:rsidR="000F237B" w:rsidRDefault="000F237B">
    <w:pPr>
      <w:pStyle w:val="Footer"/>
      <w:jc w:val="center"/>
    </w:pPr>
    <w:r>
      <w:t xml:space="preserve">Table 1, Page </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687F" w14:textId="77777777" w:rsidR="001B36CB" w:rsidRDefault="001B36CB">
      <w:r>
        <w:separator/>
      </w:r>
    </w:p>
  </w:footnote>
  <w:footnote w:type="continuationSeparator" w:id="0">
    <w:p w14:paraId="41CE1B71" w14:textId="77777777" w:rsidR="001B36CB" w:rsidRDefault="001B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60" w:type="dxa"/>
      <w:tblInd w:w="-342" w:type="dxa"/>
      <w:tblLook w:val="0000" w:firstRow="0" w:lastRow="0" w:firstColumn="0" w:lastColumn="0" w:noHBand="0" w:noVBand="0"/>
    </w:tblPr>
    <w:tblGrid>
      <w:gridCol w:w="5130"/>
      <w:gridCol w:w="3994"/>
      <w:gridCol w:w="2195"/>
      <w:gridCol w:w="2541"/>
    </w:tblGrid>
    <w:tr w:rsidR="00135B10" w14:paraId="1828E15B" w14:textId="77777777" w:rsidTr="00135B10">
      <w:trPr>
        <w:cantSplit/>
        <w:trHeight w:val="360"/>
      </w:trPr>
      <w:tc>
        <w:tcPr>
          <w:tcW w:w="11319" w:type="dxa"/>
          <w:gridSpan w:val="3"/>
        </w:tcPr>
        <w:p w14:paraId="426F6A64" w14:textId="77777777" w:rsidR="00135B10" w:rsidRPr="00AA0C96" w:rsidRDefault="00135B10" w:rsidP="00135B10">
          <w:pPr>
            <w:pStyle w:val="Header"/>
            <w:spacing w:before="60" w:after="60"/>
            <w:rPr>
              <w:b/>
              <w:sz w:val="22"/>
            </w:rPr>
          </w:pPr>
          <w:r>
            <w:rPr>
              <w:b/>
              <w:sz w:val="22"/>
            </w:rPr>
            <w:t xml:space="preserve">Location: </w:t>
          </w:r>
          <w:r w:rsidR="00A720DF" w:rsidRPr="00A720DF">
            <w:rPr>
              <w:b/>
              <w:bCs/>
              <w:sz w:val="22"/>
            </w:rPr>
            <w:t>H</w:t>
          </w:r>
          <w:r w:rsidR="00A720DF">
            <w:rPr>
              <w:b/>
              <w:bCs/>
              <w:sz w:val="22"/>
            </w:rPr>
            <w:t xml:space="preserve">olbrook </w:t>
          </w:r>
          <w:r w:rsidR="00A720DF" w:rsidRPr="00A720DF">
            <w:rPr>
              <w:b/>
              <w:bCs/>
              <w:sz w:val="22"/>
            </w:rPr>
            <w:t>R</w:t>
          </w:r>
          <w:r w:rsidR="00A720DF">
            <w:rPr>
              <w:b/>
              <w:bCs/>
              <w:sz w:val="22"/>
            </w:rPr>
            <w:t xml:space="preserve">egional </w:t>
          </w:r>
          <w:r w:rsidR="00A720DF" w:rsidRPr="00A720DF">
            <w:rPr>
              <w:b/>
              <w:bCs/>
              <w:sz w:val="22"/>
            </w:rPr>
            <w:t>E</w:t>
          </w:r>
          <w:r w:rsidR="00A720DF">
            <w:rPr>
              <w:b/>
              <w:bCs/>
              <w:sz w:val="22"/>
            </w:rPr>
            <w:t xml:space="preserve">mergency </w:t>
          </w:r>
          <w:r w:rsidR="00A720DF" w:rsidRPr="00A720DF">
            <w:rPr>
              <w:b/>
              <w:bCs/>
              <w:sz w:val="22"/>
            </w:rPr>
            <w:t>C</w:t>
          </w:r>
          <w:r w:rsidR="00A720DF">
            <w:rPr>
              <w:b/>
              <w:bCs/>
              <w:sz w:val="22"/>
            </w:rPr>
            <w:t xml:space="preserve">ommunications </w:t>
          </w:r>
          <w:r w:rsidR="00A720DF" w:rsidRPr="00A720DF">
            <w:rPr>
              <w:b/>
              <w:bCs/>
              <w:sz w:val="22"/>
            </w:rPr>
            <w:t>C</w:t>
          </w:r>
          <w:r w:rsidR="00A720DF">
            <w:rPr>
              <w:b/>
              <w:bCs/>
              <w:sz w:val="22"/>
            </w:rPr>
            <w:t>enter</w:t>
          </w:r>
        </w:p>
      </w:tc>
      <w:tc>
        <w:tcPr>
          <w:tcW w:w="2541" w:type="dxa"/>
        </w:tcPr>
        <w:p w14:paraId="475161FC" w14:textId="77777777" w:rsidR="00135B10" w:rsidRPr="00AA0C96" w:rsidRDefault="00135B10" w:rsidP="00135B10">
          <w:pPr>
            <w:pStyle w:val="Header"/>
            <w:tabs>
              <w:tab w:val="clear" w:pos="4320"/>
              <w:tab w:val="clear" w:pos="8640"/>
            </w:tabs>
            <w:spacing w:before="60" w:after="60"/>
            <w:rPr>
              <w:b/>
              <w:sz w:val="22"/>
            </w:rPr>
          </w:pPr>
          <w:r w:rsidRPr="00AA0C96">
            <w:rPr>
              <w:b/>
              <w:sz w:val="22"/>
            </w:rPr>
            <w:t>Indoor Air Results</w:t>
          </w:r>
        </w:p>
      </w:tc>
    </w:tr>
    <w:tr w:rsidR="00135B10" w14:paraId="778BF8BC" w14:textId="77777777" w:rsidTr="00145734">
      <w:trPr>
        <w:cantSplit/>
      </w:trPr>
      <w:tc>
        <w:tcPr>
          <w:tcW w:w="5130" w:type="dxa"/>
        </w:tcPr>
        <w:p w14:paraId="735A2D9B" w14:textId="77777777" w:rsidR="00135B10" w:rsidRPr="00AA0C96" w:rsidRDefault="00135B10" w:rsidP="00135B10">
          <w:pPr>
            <w:pStyle w:val="Header"/>
            <w:tabs>
              <w:tab w:val="clear" w:pos="4320"/>
              <w:tab w:val="clear" w:pos="8640"/>
            </w:tabs>
            <w:spacing w:before="60" w:after="60"/>
            <w:rPr>
              <w:b/>
              <w:sz w:val="22"/>
            </w:rPr>
          </w:pPr>
          <w:r w:rsidRPr="00AA0C96">
            <w:rPr>
              <w:b/>
              <w:sz w:val="22"/>
            </w:rPr>
            <w:t xml:space="preserve">Address: </w:t>
          </w:r>
          <w:r w:rsidR="00CC58CA">
            <w:rPr>
              <w:b/>
              <w:sz w:val="22"/>
            </w:rPr>
            <w:t>300 South Franklin St</w:t>
          </w:r>
          <w:r w:rsidR="00145734">
            <w:rPr>
              <w:b/>
              <w:sz w:val="22"/>
            </w:rPr>
            <w:t>reet</w:t>
          </w:r>
          <w:r w:rsidR="00CC58CA">
            <w:rPr>
              <w:b/>
              <w:sz w:val="22"/>
            </w:rPr>
            <w:t>, Holbrook</w:t>
          </w:r>
          <w:r w:rsidRPr="006E3113">
            <w:rPr>
              <w:b/>
              <w:sz w:val="22"/>
            </w:rPr>
            <w:t>,</w:t>
          </w:r>
          <w:r>
            <w:rPr>
              <w:b/>
              <w:sz w:val="22"/>
            </w:rPr>
            <w:t xml:space="preserve"> MA </w:t>
          </w:r>
        </w:p>
      </w:tc>
      <w:tc>
        <w:tcPr>
          <w:tcW w:w="3994" w:type="dxa"/>
        </w:tcPr>
        <w:p w14:paraId="6594936F" w14:textId="77777777" w:rsidR="00135B10" w:rsidRPr="00AA0C96" w:rsidRDefault="00135B10" w:rsidP="00135B10">
          <w:pPr>
            <w:pStyle w:val="Header"/>
            <w:tabs>
              <w:tab w:val="clear" w:pos="4320"/>
              <w:tab w:val="clear" w:pos="8640"/>
              <w:tab w:val="left" w:pos="1560"/>
              <w:tab w:val="center" w:pos="2328"/>
            </w:tabs>
            <w:spacing w:before="60" w:after="60"/>
            <w:rPr>
              <w:b/>
              <w:sz w:val="22"/>
            </w:rPr>
          </w:pPr>
          <w:r>
            <w:rPr>
              <w:b/>
              <w:sz w:val="22"/>
            </w:rPr>
            <w:tab/>
          </w:r>
          <w:r w:rsidRPr="00AA0C96">
            <w:rPr>
              <w:b/>
              <w:sz w:val="22"/>
            </w:rPr>
            <w:t>Table 1</w:t>
          </w:r>
        </w:p>
      </w:tc>
      <w:tc>
        <w:tcPr>
          <w:tcW w:w="2195" w:type="dxa"/>
        </w:tcPr>
        <w:p w14:paraId="0FE8FA8B" w14:textId="77777777" w:rsidR="00135B10" w:rsidRPr="00AA0C96" w:rsidRDefault="00135B10" w:rsidP="00135B10">
          <w:pPr>
            <w:pStyle w:val="Header"/>
            <w:tabs>
              <w:tab w:val="clear" w:pos="4320"/>
              <w:tab w:val="clear" w:pos="8640"/>
            </w:tabs>
            <w:spacing w:before="60" w:after="60"/>
            <w:rPr>
              <w:b/>
              <w:sz w:val="22"/>
            </w:rPr>
          </w:pPr>
        </w:p>
      </w:tc>
      <w:tc>
        <w:tcPr>
          <w:tcW w:w="2541" w:type="dxa"/>
        </w:tcPr>
        <w:p w14:paraId="77E06B94" w14:textId="77777777" w:rsidR="00135B10" w:rsidRPr="00AA0C96" w:rsidRDefault="00135B10" w:rsidP="00135B10">
          <w:pPr>
            <w:pStyle w:val="Header"/>
            <w:tabs>
              <w:tab w:val="clear" w:pos="4320"/>
              <w:tab w:val="clear" w:pos="8640"/>
            </w:tabs>
            <w:spacing w:before="60" w:after="60"/>
            <w:rPr>
              <w:b/>
              <w:sz w:val="22"/>
            </w:rPr>
          </w:pPr>
          <w:r w:rsidRPr="00AA0C96">
            <w:rPr>
              <w:b/>
              <w:sz w:val="22"/>
            </w:rPr>
            <w:t>Date</w:t>
          </w:r>
          <w:r>
            <w:rPr>
              <w:b/>
              <w:sz w:val="22"/>
            </w:rPr>
            <w:t xml:space="preserve">: </w:t>
          </w:r>
          <w:r w:rsidR="00CC58CA">
            <w:rPr>
              <w:b/>
              <w:sz w:val="22"/>
            </w:rPr>
            <w:t>6/1/2023</w:t>
          </w:r>
        </w:p>
      </w:tc>
    </w:tr>
  </w:tbl>
  <w:p w14:paraId="4FD23AC2" w14:textId="77777777" w:rsidR="00135B10" w:rsidRDefault="00135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15:restartNumberingAfterBreak="0">
    <w:nsid w:val="08E15F83"/>
    <w:multiLevelType w:val="hybridMultilevel"/>
    <w:tmpl w:val="F9C8116C"/>
    <w:lvl w:ilvl="0" w:tplc="C4601EC0">
      <w:start w:val="1"/>
      <w:numFmt w:val="decimal"/>
      <w:pStyle w:val="TOC6"/>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15:restartNumberingAfterBreak="0">
    <w:nsid w:val="16C126B6"/>
    <w:multiLevelType w:val="hybridMultilevel"/>
    <w:tmpl w:val="2C72888C"/>
    <w:lvl w:ilvl="0" w:tplc="4E965D2A">
      <w:start w:val="1"/>
      <w:numFmt w:val="decimal"/>
      <w:lvlText w:val="%1."/>
      <w:lvlJc w:val="righ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E346A8F"/>
    <w:multiLevelType w:val="multilevel"/>
    <w:tmpl w:val="10E2FA8C"/>
    <w:lvl w:ilvl="0">
      <w:start w:val="1"/>
      <w:numFmt w:val="decimal"/>
      <w:lvlText w:val="%1."/>
      <w:lvlJc w:val="right"/>
      <w:pPr>
        <w:tabs>
          <w:tab w:val="num" w:pos="360"/>
        </w:tabs>
        <w:ind w:left="360" w:hanging="72"/>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2001068B"/>
    <w:multiLevelType w:val="hybridMultilevel"/>
    <w:tmpl w:val="6082D91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22210CB7"/>
    <w:multiLevelType w:val="hybridMultilevel"/>
    <w:tmpl w:val="150A610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27313E01"/>
    <w:multiLevelType w:val="hybridMultilevel"/>
    <w:tmpl w:val="DBF035F0"/>
    <w:lvl w:ilvl="0" w:tplc="6AE2BF84">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77BD7"/>
    <w:multiLevelType w:val="hybridMultilevel"/>
    <w:tmpl w:val="41942FD0"/>
    <w:lvl w:ilvl="0" w:tplc="881630AC">
      <w:start w:val="1"/>
      <w:numFmt w:val="decimal"/>
      <w:pStyle w:val="BodyTextNumberedConclusion"/>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EEC5BE2"/>
    <w:multiLevelType w:val="hybridMultilevel"/>
    <w:tmpl w:val="0AA23F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D542E3"/>
    <w:multiLevelType w:val="hybridMultilevel"/>
    <w:tmpl w:val="880217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0B24EFB"/>
    <w:multiLevelType w:val="multilevel"/>
    <w:tmpl w:val="28FCADD2"/>
    <w:numStyleLink w:val="StyleBulletedSymbolsymbolLeft025Hanging025"/>
  </w:abstractNum>
  <w:abstractNum w:abstractNumId="13" w15:restartNumberingAfterBreak="0">
    <w:nsid w:val="310306A6"/>
    <w:multiLevelType w:val="singleLevel"/>
    <w:tmpl w:val="6ED8F27A"/>
    <w:lvl w:ilvl="0">
      <w:start w:val="1"/>
      <w:numFmt w:val="decimal"/>
      <w:lvlText w:val="%1."/>
      <w:legacy w:legacy="1" w:legacySpace="0" w:legacyIndent="360"/>
      <w:lvlJc w:val="left"/>
      <w:pPr>
        <w:ind w:left="360" w:hanging="360"/>
      </w:pPr>
      <w:rPr>
        <w:rFonts w:cs="Times New Roman"/>
      </w:rPr>
    </w:lvl>
  </w:abstractNum>
  <w:abstractNum w:abstractNumId="14" w15:restartNumberingAfterBreak="0">
    <w:nsid w:val="34542612"/>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5" w15:restartNumberingAfterBreak="0">
    <w:nsid w:val="356D545D"/>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6" w15:restartNumberingAfterBreak="0">
    <w:nsid w:val="40C74C09"/>
    <w:multiLevelType w:val="hybridMultilevel"/>
    <w:tmpl w:val="2EE0AA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43777C7E"/>
    <w:multiLevelType w:val="hybridMultilevel"/>
    <w:tmpl w:val="4F0E5AE4"/>
    <w:lvl w:ilvl="0" w:tplc="5630F4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F71386"/>
    <w:multiLevelType w:val="hybridMultilevel"/>
    <w:tmpl w:val="FDECD23C"/>
    <w:lvl w:ilvl="0" w:tplc="0830946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797C8F"/>
    <w:multiLevelType w:val="multilevel"/>
    <w:tmpl w:val="6322693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976746A"/>
    <w:multiLevelType w:val="hybridMultilevel"/>
    <w:tmpl w:val="93768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B9620D"/>
    <w:multiLevelType w:val="hybridMultilevel"/>
    <w:tmpl w:val="5A8E5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C6B0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15:restartNumberingAfterBreak="0">
    <w:nsid w:val="56C04F4F"/>
    <w:multiLevelType w:val="multilevel"/>
    <w:tmpl w:val="2460C25C"/>
    <w:numStyleLink w:val="StyleNumbered"/>
  </w:abstractNum>
  <w:abstractNum w:abstractNumId="25" w15:restartNumberingAfterBreak="0">
    <w:nsid w:val="57757E9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A194CAA"/>
    <w:multiLevelType w:val="hybridMultilevel"/>
    <w:tmpl w:val="A8F420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AAC311A"/>
    <w:multiLevelType w:val="singleLevel"/>
    <w:tmpl w:val="4B0683B0"/>
    <w:lvl w:ilvl="0">
      <w:start w:val="1"/>
      <w:numFmt w:val="decimal"/>
      <w:lvlText w:val="%1."/>
      <w:lvlJc w:val="right"/>
      <w:pPr>
        <w:tabs>
          <w:tab w:val="num" w:pos="360"/>
        </w:tabs>
        <w:ind w:left="360" w:hanging="216"/>
      </w:pPr>
      <w:rPr>
        <w:rFonts w:ascii="Times New Roman" w:hAnsi="Times New Roman" w:cs="Times New Roman" w:hint="default"/>
        <w:b w:val="0"/>
        <w:i w:val="0"/>
        <w:sz w:val="24"/>
        <w:szCs w:val="24"/>
      </w:rPr>
    </w:lvl>
  </w:abstractNum>
  <w:abstractNum w:abstractNumId="28" w15:restartNumberingAfterBreak="0">
    <w:nsid w:val="63B14089"/>
    <w:multiLevelType w:val="hybridMultilevel"/>
    <w:tmpl w:val="F1CCDFBA"/>
    <w:lvl w:ilvl="0" w:tplc="13E0FA9E">
      <w:start w:val="1"/>
      <w:numFmt w:val="decimal"/>
      <w:lvlText w:val="%1."/>
      <w:lvlJc w:val="right"/>
      <w:pPr>
        <w:tabs>
          <w:tab w:val="num" w:pos="1080"/>
        </w:tabs>
        <w:ind w:left="108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3F16A58"/>
    <w:multiLevelType w:val="hybridMultilevel"/>
    <w:tmpl w:val="360CF43E"/>
    <w:lvl w:ilvl="0" w:tplc="7D720DF6">
      <w:start w:val="1"/>
      <w:numFmt w:val="decimal"/>
      <w:lvlText w:val="%1."/>
      <w:lvlJc w:val="righ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30" w15:restartNumberingAfterBreak="0">
    <w:nsid w:val="69BD3284"/>
    <w:multiLevelType w:val="hybridMultilevel"/>
    <w:tmpl w:val="4A2A9B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C414E9A"/>
    <w:multiLevelType w:val="hybridMultilevel"/>
    <w:tmpl w:val="3D901730"/>
    <w:lvl w:ilvl="0" w:tplc="463828AC">
      <w:start w:val="1"/>
      <w:numFmt w:val="decimal"/>
      <w:lvlText w:val="%1."/>
      <w:lvlJc w:val="right"/>
      <w:pPr>
        <w:tabs>
          <w:tab w:val="num" w:pos="1080"/>
        </w:tabs>
        <w:ind w:left="108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15:restartNumberingAfterBreak="0">
    <w:nsid w:val="6D3D14CC"/>
    <w:multiLevelType w:val="hybridMultilevel"/>
    <w:tmpl w:val="00646BEA"/>
    <w:lvl w:ilvl="0" w:tplc="E37A4E80">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15:restartNumberingAfterBreak="0">
    <w:nsid w:val="72CE220D"/>
    <w:multiLevelType w:val="hybridMultilevel"/>
    <w:tmpl w:val="1F0ED23E"/>
    <w:lvl w:ilvl="0" w:tplc="6AE2BF84">
      <w:start w:val="1"/>
      <w:numFmt w:val="bullet"/>
      <w:lvlText w:val=""/>
      <w:lvlJc w:val="left"/>
      <w:pPr>
        <w:tabs>
          <w:tab w:val="num" w:pos="3600"/>
        </w:tabs>
        <w:ind w:left="36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9FA4AAC"/>
    <w:multiLevelType w:val="hybridMultilevel"/>
    <w:tmpl w:val="D94481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B7F09E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D17250A"/>
    <w:multiLevelType w:val="hybridMultilevel"/>
    <w:tmpl w:val="77C07148"/>
    <w:lvl w:ilvl="0" w:tplc="D2C45A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183031">
    <w:abstractNumId w:val="0"/>
  </w:num>
  <w:num w:numId="2" w16cid:durableId="19166057">
    <w:abstractNumId w:val="29"/>
  </w:num>
  <w:num w:numId="3" w16cid:durableId="1171331659">
    <w:abstractNumId w:val="13"/>
  </w:num>
  <w:num w:numId="4" w16cid:durableId="1368725439">
    <w:abstractNumId w:val="4"/>
  </w:num>
  <w:num w:numId="5" w16cid:durableId="66193351">
    <w:abstractNumId w:val="27"/>
  </w:num>
  <w:num w:numId="6" w16cid:durableId="1197422798">
    <w:abstractNumId w:val="2"/>
  </w:num>
  <w:num w:numId="7" w16cid:durableId="137112906">
    <w:abstractNumId w:val="24"/>
  </w:num>
  <w:num w:numId="8" w16cid:durableId="57561513">
    <w:abstractNumId w:val="35"/>
  </w:num>
  <w:num w:numId="9" w16cid:durableId="1523517832">
    <w:abstractNumId w:val="15"/>
  </w:num>
  <w:num w:numId="10" w16cid:durableId="879633691">
    <w:abstractNumId w:val="16"/>
  </w:num>
  <w:num w:numId="11" w16cid:durableId="1325544347">
    <w:abstractNumId w:val="6"/>
  </w:num>
  <w:num w:numId="12" w16cid:durableId="1442139603">
    <w:abstractNumId w:val="32"/>
  </w:num>
  <w:num w:numId="13" w16cid:durableId="1637376271">
    <w:abstractNumId w:val="25"/>
  </w:num>
  <w:num w:numId="14" w16cid:durableId="1013339158">
    <w:abstractNumId w:val="14"/>
  </w:num>
  <w:num w:numId="15" w16cid:durableId="1928071207">
    <w:abstractNumId w:val="1"/>
  </w:num>
  <w:num w:numId="16" w16cid:durableId="1276206844">
    <w:abstractNumId w:val="31"/>
  </w:num>
  <w:num w:numId="17" w16cid:durableId="1167986724">
    <w:abstractNumId w:val="3"/>
  </w:num>
  <w:num w:numId="18" w16cid:durableId="89476592">
    <w:abstractNumId w:val="20"/>
  </w:num>
  <w:num w:numId="19" w16cid:durableId="1645039710">
    <w:abstractNumId w:val="34"/>
  </w:num>
  <w:num w:numId="20" w16cid:durableId="786048125">
    <w:abstractNumId w:val="23"/>
  </w:num>
  <w:num w:numId="21" w16cid:durableId="1427725562">
    <w:abstractNumId w:val="10"/>
  </w:num>
  <w:num w:numId="22" w16cid:durableId="1631591830">
    <w:abstractNumId w:val="33"/>
  </w:num>
  <w:num w:numId="23" w16cid:durableId="1933276897">
    <w:abstractNumId w:val="7"/>
  </w:num>
  <w:num w:numId="24" w16cid:durableId="571358419">
    <w:abstractNumId w:val="26"/>
  </w:num>
  <w:num w:numId="25" w16cid:durableId="1476218120">
    <w:abstractNumId w:val="11"/>
  </w:num>
  <w:num w:numId="26" w16cid:durableId="2085450814">
    <w:abstractNumId w:val="5"/>
  </w:num>
  <w:num w:numId="27" w16cid:durableId="578712894">
    <w:abstractNumId w:val="28"/>
  </w:num>
  <w:num w:numId="28" w16cid:durableId="873033075">
    <w:abstractNumId w:val="9"/>
  </w:num>
  <w:num w:numId="29" w16cid:durableId="886263968">
    <w:abstractNumId w:val="21"/>
  </w:num>
  <w:num w:numId="30" w16cid:durableId="657655441">
    <w:abstractNumId w:val="30"/>
  </w:num>
  <w:num w:numId="31" w16cid:durableId="1241405522">
    <w:abstractNumId w:val="17"/>
  </w:num>
  <w:num w:numId="32" w16cid:durableId="1519857196">
    <w:abstractNumId w:val="18"/>
  </w:num>
  <w:num w:numId="33" w16cid:durableId="598761771">
    <w:abstractNumId w:val="12"/>
  </w:num>
  <w:num w:numId="34" w16cid:durableId="1187406581">
    <w:abstractNumId w:val="8"/>
  </w:num>
  <w:num w:numId="35" w16cid:durableId="1577323441">
    <w:abstractNumId w:val="19"/>
  </w:num>
  <w:num w:numId="36" w16cid:durableId="1438676245">
    <w:abstractNumId w:val="36"/>
  </w:num>
  <w:num w:numId="37" w16cid:durableId="13503720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18"/>
    <w:rsid w:val="00002752"/>
    <w:rsid w:val="00005A84"/>
    <w:rsid w:val="00010309"/>
    <w:rsid w:val="0001296A"/>
    <w:rsid w:val="000144B1"/>
    <w:rsid w:val="00022251"/>
    <w:rsid w:val="000243E2"/>
    <w:rsid w:val="0002461B"/>
    <w:rsid w:val="000310E9"/>
    <w:rsid w:val="00032478"/>
    <w:rsid w:val="00033029"/>
    <w:rsid w:val="00033928"/>
    <w:rsid w:val="000349C3"/>
    <w:rsid w:val="0003756D"/>
    <w:rsid w:val="000378A6"/>
    <w:rsid w:val="000403EA"/>
    <w:rsid w:val="000409A9"/>
    <w:rsid w:val="000410AB"/>
    <w:rsid w:val="00042B94"/>
    <w:rsid w:val="00044168"/>
    <w:rsid w:val="00044785"/>
    <w:rsid w:val="00046621"/>
    <w:rsid w:val="000476B2"/>
    <w:rsid w:val="0004785C"/>
    <w:rsid w:val="00050B61"/>
    <w:rsid w:val="00051744"/>
    <w:rsid w:val="000518CD"/>
    <w:rsid w:val="0005245F"/>
    <w:rsid w:val="0005335A"/>
    <w:rsid w:val="000534EE"/>
    <w:rsid w:val="00053C23"/>
    <w:rsid w:val="00056442"/>
    <w:rsid w:val="00060700"/>
    <w:rsid w:val="000619D3"/>
    <w:rsid w:val="0006325F"/>
    <w:rsid w:val="00064796"/>
    <w:rsid w:val="00072E18"/>
    <w:rsid w:val="000730C4"/>
    <w:rsid w:val="00074796"/>
    <w:rsid w:val="00076244"/>
    <w:rsid w:val="00077232"/>
    <w:rsid w:val="000822A5"/>
    <w:rsid w:val="0008406E"/>
    <w:rsid w:val="000853D7"/>
    <w:rsid w:val="00087AC5"/>
    <w:rsid w:val="00087FFE"/>
    <w:rsid w:val="000954F2"/>
    <w:rsid w:val="00096D99"/>
    <w:rsid w:val="00096EFF"/>
    <w:rsid w:val="000A0FC1"/>
    <w:rsid w:val="000A5846"/>
    <w:rsid w:val="000A6ABA"/>
    <w:rsid w:val="000A7B7E"/>
    <w:rsid w:val="000B70F0"/>
    <w:rsid w:val="000C00D1"/>
    <w:rsid w:val="000C069B"/>
    <w:rsid w:val="000C27E5"/>
    <w:rsid w:val="000C453B"/>
    <w:rsid w:val="000C51EA"/>
    <w:rsid w:val="000C6C7E"/>
    <w:rsid w:val="000D04A4"/>
    <w:rsid w:val="000D1120"/>
    <w:rsid w:val="000D29AD"/>
    <w:rsid w:val="000D48D8"/>
    <w:rsid w:val="000D6F4A"/>
    <w:rsid w:val="000D71C7"/>
    <w:rsid w:val="000D7FA9"/>
    <w:rsid w:val="000E3087"/>
    <w:rsid w:val="000E3155"/>
    <w:rsid w:val="000E3C85"/>
    <w:rsid w:val="000E421C"/>
    <w:rsid w:val="000E4F48"/>
    <w:rsid w:val="000E631C"/>
    <w:rsid w:val="000E756D"/>
    <w:rsid w:val="000F083D"/>
    <w:rsid w:val="000F0A04"/>
    <w:rsid w:val="000F0D14"/>
    <w:rsid w:val="000F1468"/>
    <w:rsid w:val="000F176E"/>
    <w:rsid w:val="000F237B"/>
    <w:rsid w:val="000F2B18"/>
    <w:rsid w:val="000F406E"/>
    <w:rsid w:val="000F625C"/>
    <w:rsid w:val="000F7780"/>
    <w:rsid w:val="00102A91"/>
    <w:rsid w:val="001059F0"/>
    <w:rsid w:val="001111A6"/>
    <w:rsid w:val="00113CD6"/>
    <w:rsid w:val="00115DC2"/>
    <w:rsid w:val="00117020"/>
    <w:rsid w:val="001219C4"/>
    <w:rsid w:val="001228FC"/>
    <w:rsid w:val="001229F3"/>
    <w:rsid w:val="00122B0B"/>
    <w:rsid w:val="00125402"/>
    <w:rsid w:val="0012688E"/>
    <w:rsid w:val="00130FE0"/>
    <w:rsid w:val="001334D3"/>
    <w:rsid w:val="00135B10"/>
    <w:rsid w:val="00135E78"/>
    <w:rsid w:val="001371F0"/>
    <w:rsid w:val="00137864"/>
    <w:rsid w:val="00137FF9"/>
    <w:rsid w:val="00143934"/>
    <w:rsid w:val="00145734"/>
    <w:rsid w:val="00152FA4"/>
    <w:rsid w:val="00153746"/>
    <w:rsid w:val="00154103"/>
    <w:rsid w:val="00154E72"/>
    <w:rsid w:val="00156D0C"/>
    <w:rsid w:val="00157427"/>
    <w:rsid w:val="001612C8"/>
    <w:rsid w:val="00164C73"/>
    <w:rsid w:val="001651AD"/>
    <w:rsid w:val="001700B8"/>
    <w:rsid w:val="001708B9"/>
    <w:rsid w:val="00170AA6"/>
    <w:rsid w:val="00170C10"/>
    <w:rsid w:val="00171DCE"/>
    <w:rsid w:val="001727F0"/>
    <w:rsid w:val="00173A7F"/>
    <w:rsid w:val="00173EF3"/>
    <w:rsid w:val="00173FF9"/>
    <w:rsid w:val="00174B9D"/>
    <w:rsid w:val="00176C1C"/>
    <w:rsid w:val="00180D67"/>
    <w:rsid w:val="001821EB"/>
    <w:rsid w:val="001830C6"/>
    <w:rsid w:val="00191727"/>
    <w:rsid w:val="00191EF9"/>
    <w:rsid w:val="001920E4"/>
    <w:rsid w:val="001966EF"/>
    <w:rsid w:val="001A0C85"/>
    <w:rsid w:val="001A4721"/>
    <w:rsid w:val="001A4EE7"/>
    <w:rsid w:val="001A64CA"/>
    <w:rsid w:val="001B0281"/>
    <w:rsid w:val="001B07EF"/>
    <w:rsid w:val="001B1527"/>
    <w:rsid w:val="001B3286"/>
    <w:rsid w:val="001B36CB"/>
    <w:rsid w:val="001B37C0"/>
    <w:rsid w:val="001B524D"/>
    <w:rsid w:val="001C50E5"/>
    <w:rsid w:val="001C7163"/>
    <w:rsid w:val="001D0208"/>
    <w:rsid w:val="001D18CE"/>
    <w:rsid w:val="001D392B"/>
    <w:rsid w:val="001D4C63"/>
    <w:rsid w:val="001E11A0"/>
    <w:rsid w:val="001E1C34"/>
    <w:rsid w:val="001E3902"/>
    <w:rsid w:val="001E3D37"/>
    <w:rsid w:val="001E5DC1"/>
    <w:rsid w:val="001E6D4D"/>
    <w:rsid w:val="001E7E8F"/>
    <w:rsid w:val="001F0CBB"/>
    <w:rsid w:val="001F2F62"/>
    <w:rsid w:val="001F30A4"/>
    <w:rsid w:val="001F30DD"/>
    <w:rsid w:val="00203F39"/>
    <w:rsid w:val="0020567B"/>
    <w:rsid w:val="002069FF"/>
    <w:rsid w:val="0021003D"/>
    <w:rsid w:val="00211C0D"/>
    <w:rsid w:val="00217770"/>
    <w:rsid w:val="00221039"/>
    <w:rsid w:val="00221F85"/>
    <w:rsid w:val="0022389E"/>
    <w:rsid w:val="0022723C"/>
    <w:rsid w:val="00227326"/>
    <w:rsid w:val="0023308B"/>
    <w:rsid w:val="00233650"/>
    <w:rsid w:val="002408A5"/>
    <w:rsid w:val="0024364B"/>
    <w:rsid w:val="002446CF"/>
    <w:rsid w:val="00244B0F"/>
    <w:rsid w:val="00245DFB"/>
    <w:rsid w:val="00246DBE"/>
    <w:rsid w:val="0025016D"/>
    <w:rsid w:val="002560B7"/>
    <w:rsid w:val="00257B15"/>
    <w:rsid w:val="00260FF2"/>
    <w:rsid w:val="00261986"/>
    <w:rsid w:val="00261D64"/>
    <w:rsid w:val="00263220"/>
    <w:rsid w:val="0026386C"/>
    <w:rsid w:val="00265B8A"/>
    <w:rsid w:val="0026678D"/>
    <w:rsid w:val="00266AFC"/>
    <w:rsid w:val="002671A5"/>
    <w:rsid w:val="002703EC"/>
    <w:rsid w:val="00270D4B"/>
    <w:rsid w:val="00271B53"/>
    <w:rsid w:val="00274A18"/>
    <w:rsid w:val="00275DE5"/>
    <w:rsid w:val="00275FAD"/>
    <w:rsid w:val="002762E7"/>
    <w:rsid w:val="002766B4"/>
    <w:rsid w:val="002800C0"/>
    <w:rsid w:val="00280A4E"/>
    <w:rsid w:val="002855F1"/>
    <w:rsid w:val="00286D43"/>
    <w:rsid w:val="00294605"/>
    <w:rsid w:val="0029532B"/>
    <w:rsid w:val="002961D6"/>
    <w:rsid w:val="0029781E"/>
    <w:rsid w:val="002A03AC"/>
    <w:rsid w:val="002A03AD"/>
    <w:rsid w:val="002A0E45"/>
    <w:rsid w:val="002A1E54"/>
    <w:rsid w:val="002A3B81"/>
    <w:rsid w:val="002A3C58"/>
    <w:rsid w:val="002A4951"/>
    <w:rsid w:val="002A6A7E"/>
    <w:rsid w:val="002B110F"/>
    <w:rsid w:val="002B1134"/>
    <w:rsid w:val="002B2342"/>
    <w:rsid w:val="002B4D68"/>
    <w:rsid w:val="002B52FA"/>
    <w:rsid w:val="002B6461"/>
    <w:rsid w:val="002B6B74"/>
    <w:rsid w:val="002B7962"/>
    <w:rsid w:val="002C044E"/>
    <w:rsid w:val="002C0F06"/>
    <w:rsid w:val="002C3887"/>
    <w:rsid w:val="002C39D2"/>
    <w:rsid w:val="002C3B1F"/>
    <w:rsid w:val="002C796F"/>
    <w:rsid w:val="002D046F"/>
    <w:rsid w:val="002D054F"/>
    <w:rsid w:val="002D3618"/>
    <w:rsid w:val="002D4CA8"/>
    <w:rsid w:val="002D5DA0"/>
    <w:rsid w:val="002D74E7"/>
    <w:rsid w:val="002D76A0"/>
    <w:rsid w:val="002E466B"/>
    <w:rsid w:val="002E4F56"/>
    <w:rsid w:val="002E56A1"/>
    <w:rsid w:val="002E63CF"/>
    <w:rsid w:val="002E689C"/>
    <w:rsid w:val="002F265E"/>
    <w:rsid w:val="002F3479"/>
    <w:rsid w:val="002F4148"/>
    <w:rsid w:val="00302394"/>
    <w:rsid w:val="00302947"/>
    <w:rsid w:val="003032E3"/>
    <w:rsid w:val="00306E16"/>
    <w:rsid w:val="00306FF9"/>
    <w:rsid w:val="003078F2"/>
    <w:rsid w:val="00311D6A"/>
    <w:rsid w:val="00312771"/>
    <w:rsid w:val="00316D26"/>
    <w:rsid w:val="00317C66"/>
    <w:rsid w:val="00320320"/>
    <w:rsid w:val="0032285D"/>
    <w:rsid w:val="003266A6"/>
    <w:rsid w:val="00327005"/>
    <w:rsid w:val="003304A8"/>
    <w:rsid w:val="00331884"/>
    <w:rsid w:val="003333F3"/>
    <w:rsid w:val="00333D48"/>
    <w:rsid w:val="00334BBB"/>
    <w:rsid w:val="0033716E"/>
    <w:rsid w:val="00340BB8"/>
    <w:rsid w:val="00343FA1"/>
    <w:rsid w:val="003464C5"/>
    <w:rsid w:val="003474AA"/>
    <w:rsid w:val="003475EE"/>
    <w:rsid w:val="003476DB"/>
    <w:rsid w:val="00347940"/>
    <w:rsid w:val="00353CDC"/>
    <w:rsid w:val="003541A2"/>
    <w:rsid w:val="00356F7C"/>
    <w:rsid w:val="0036046C"/>
    <w:rsid w:val="00361D75"/>
    <w:rsid w:val="00363F43"/>
    <w:rsid w:val="0036444A"/>
    <w:rsid w:val="003726F5"/>
    <w:rsid w:val="00373C27"/>
    <w:rsid w:val="003759CD"/>
    <w:rsid w:val="00376DF8"/>
    <w:rsid w:val="00376EDF"/>
    <w:rsid w:val="00381693"/>
    <w:rsid w:val="00381DC6"/>
    <w:rsid w:val="003837F3"/>
    <w:rsid w:val="0038391B"/>
    <w:rsid w:val="00385F2C"/>
    <w:rsid w:val="0038652B"/>
    <w:rsid w:val="00386B65"/>
    <w:rsid w:val="003901F4"/>
    <w:rsid w:val="00392614"/>
    <w:rsid w:val="0039406D"/>
    <w:rsid w:val="003A4E5B"/>
    <w:rsid w:val="003A5D9E"/>
    <w:rsid w:val="003B030F"/>
    <w:rsid w:val="003B0529"/>
    <w:rsid w:val="003B257A"/>
    <w:rsid w:val="003B366B"/>
    <w:rsid w:val="003B414B"/>
    <w:rsid w:val="003B652D"/>
    <w:rsid w:val="003B689F"/>
    <w:rsid w:val="003B6F9B"/>
    <w:rsid w:val="003C0BE5"/>
    <w:rsid w:val="003C3835"/>
    <w:rsid w:val="003C5DDF"/>
    <w:rsid w:val="003D0423"/>
    <w:rsid w:val="003D1B1B"/>
    <w:rsid w:val="003D20C8"/>
    <w:rsid w:val="003D41C0"/>
    <w:rsid w:val="003D5E6E"/>
    <w:rsid w:val="003E069B"/>
    <w:rsid w:val="003E16EC"/>
    <w:rsid w:val="003E1FE6"/>
    <w:rsid w:val="003E272E"/>
    <w:rsid w:val="003E4090"/>
    <w:rsid w:val="003E4A13"/>
    <w:rsid w:val="003E6478"/>
    <w:rsid w:val="003F36AE"/>
    <w:rsid w:val="003F4AD5"/>
    <w:rsid w:val="003F6B89"/>
    <w:rsid w:val="003F706A"/>
    <w:rsid w:val="00400893"/>
    <w:rsid w:val="00401119"/>
    <w:rsid w:val="00403AB2"/>
    <w:rsid w:val="00406519"/>
    <w:rsid w:val="00411586"/>
    <w:rsid w:val="00411D56"/>
    <w:rsid w:val="0041591F"/>
    <w:rsid w:val="00415A7A"/>
    <w:rsid w:val="00416040"/>
    <w:rsid w:val="004238AC"/>
    <w:rsid w:val="00423C3D"/>
    <w:rsid w:val="00430418"/>
    <w:rsid w:val="00431D5C"/>
    <w:rsid w:val="0043207D"/>
    <w:rsid w:val="004328DA"/>
    <w:rsid w:val="0043349A"/>
    <w:rsid w:val="00433BC8"/>
    <w:rsid w:val="00434514"/>
    <w:rsid w:val="00435AF3"/>
    <w:rsid w:val="00437707"/>
    <w:rsid w:val="00440823"/>
    <w:rsid w:val="0044107E"/>
    <w:rsid w:val="004439BE"/>
    <w:rsid w:val="00443BF8"/>
    <w:rsid w:val="00444C98"/>
    <w:rsid w:val="004500E9"/>
    <w:rsid w:val="00450DB7"/>
    <w:rsid w:val="0045166F"/>
    <w:rsid w:val="00453052"/>
    <w:rsid w:val="00453C41"/>
    <w:rsid w:val="004544BF"/>
    <w:rsid w:val="00460E5E"/>
    <w:rsid w:val="00460FB6"/>
    <w:rsid w:val="00461C68"/>
    <w:rsid w:val="00462C31"/>
    <w:rsid w:val="004637AF"/>
    <w:rsid w:val="004675C8"/>
    <w:rsid w:val="00467FD9"/>
    <w:rsid w:val="0047021C"/>
    <w:rsid w:val="00470DC3"/>
    <w:rsid w:val="00471939"/>
    <w:rsid w:val="00473822"/>
    <w:rsid w:val="0047527A"/>
    <w:rsid w:val="00475457"/>
    <w:rsid w:val="0047729E"/>
    <w:rsid w:val="004773D9"/>
    <w:rsid w:val="004812E9"/>
    <w:rsid w:val="00486E62"/>
    <w:rsid w:val="00487E85"/>
    <w:rsid w:val="00491323"/>
    <w:rsid w:val="004945BC"/>
    <w:rsid w:val="004A2BB1"/>
    <w:rsid w:val="004B10A2"/>
    <w:rsid w:val="004B14D6"/>
    <w:rsid w:val="004B3051"/>
    <w:rsid w:val="004B4CAE"/>
    <w:rsid w:val="004B640A"/>
    <w:rsid w:val="004C2689"/>
    <w:rsid w:val="004C352E"/>
    <w:rsid w:val="004C42BC"/>
    <w:rsid w:val="004C4A8B"/>
    <w:rsid w:val="004C55B6"/>
    <w:rsid w:val="004C591E"/>
    <w:rsid w:val="004C5C81"/>
    <w:rsid w:val="004C6317"/>
    <w:rsid w:val="004C6A7F"/>
    <w:rsid w:val="004C79AB"/>
    <w:rsid w:val="004D1A09"/>
    <w:rsid w:val="004D238C"/>
    <w:rsid w:val="004D3388"/>
    <w:rsid w:val="004D3CAB"/>
    <w:rsid w:val="004D528F"/>
    <w:rsid w:val="004D60A0"/>
    <w:rsid w:val="004D651C"/>
    <w:rsid w:val="004D7550"/>
    <w:rsid w:val="004E25C6"/>
    <w:rsid w:val="004E4D21"/>
    <w:rsid w:val="004E626A"/>
    <w:rsid w:val="004E73B1"/>
    <w:rsid w:val="004E73DE"/>
    <w:rsid w:val="004F1493"/>
    <w:rsid w:val="004F2108"/>
    <w:rsid w:val="004F6582"/>
    <w:rsid w:val="004F6DFF"/>
    <w:rsid w:val="005007F4"/>
    <w:rsid w:val="00500E1A"/>
    <w:rsid w:val="00501442"/>
    <w:rsid w:val="00501D7A"/>
    <w:rsid w:val="00502966"/>
    <w:rsid w:val="005069DF"/>
    <w:rsid w:val="00510313"/>
    <w:rsid w:val="00512064"/>
    <w:rsid w:val="00513E15"/>
    <w:rsid w:val="00520926"/>
    <w:rsid w:val="0052148B"/>
    <w:rsid w:val="0052169B"/>
    <w:rsid w:val="005230FE"/>
    <w:rsid w:val="00523C12"/>
    <w:rsid w:val="00523D1D"/>
    <w:rsid w:val="00524009"/>
    <w:rsid w:val="005256CD"/>
    <w:rsid w:val="00525B4C"/>
    <w:rsid w:val="00526FE3"/>
    <w:rsid w:val="005279FA"/>
    <w:rsid w:val="00532969"/>
    <w:rsid w:val="00533486"/>
    <w:rsid w:val="0053492F"/>
    <w:rsid w:val="00540198"/>
    <w:rsid w:val="0054042C"/>
    <w:rsid w:val="00540809"/>
    <w:rsid w:val="00542013"/>
    <w:rsid w:val="0054276A"/>
    <w:rsid w:val="00545E7C"/>
    <w:rsid w:val="00550033"/>
    <w:rsid w:val="00550B49"/>
    <w:rsid w:val="00550BD1"/>
    <w:rsid w:val="005513A6"/>
    <w:rsid w:val="00551AF2"/>
    <w:rsid w:val="00552B4C"/>
    <w:rsid w:val="00553CF7"/>
    <w:rsid w:val="00557457"/>
    <w:rsid w:val="0056010E"/>
    <w:rsid w:val="005662D2"/>
    <w:rsid w:val="0056683A"/>
    <w:rsid w:val="00567088"/>
    <w:rsid w:val="005714BD"/>
    <w:rsid w:val="00571F5C"/>
    <w:rsid w:val="005745DD"/>
    <w:rsid w:val="005756BC"/>
    <w:rsid w:val="00576F10"/>
    <w:rsid w:val="005813F7"/>
    <w:rsid w:val="00581BB9"/>
    <w:rsid w:val="00582CC9"/>
    <w:rsid w:val="00586D6C"/>
    <w:rsid w:val="0059051A"/>
    <w:rsid w:val="00592A63"/>
    <w:rsid w:val="00595254"/>
    <w:rsid w:val="00596E39"/>
    <w:rsid w:val="005979BB"/>
    <w:rsid w:val="005A083C"/>
    <w:rsid w:val="005A3773"/>
    <w:rsid w:val="005A45BE"/>
    <w:rsid w:val="005A4B39"/>
    <w:rsid w:val="005A4D05"/>
    <w:rsid w:val="005A5AF9"/>
    <w:rsid w:val="005A60A0"/>
    <w:rsid w:val="005A7B58"/>
    <w:rsid w:val="005B0032"/>
    <w:rsid w:val="005B368D"/>
    <w:rsid w:val="005B41EB"/>
    <w:rsid w:val="005B42C3"/>
    <w:rsid w:val="005B4E89"/>
    <w:rsid w:val="005B681E"/>
    <w:rsid w:val="005C0285"/>
    <w:rsid w:val="005C066F"/>
    <w:rsid w:val="005C679C"/>
    <w:rsid w:val="005C6D41"/>
    <w:rsid w:val="005D574A"/>
    <w:rsid w:val="005D5A44"/>
    <w:rsid w:val="005D75CD"/>
    <w:rsid w:val="005D78C7"/>
    <w:rsid w:val="005E3836"/>
    <w:rsid w:val="005E3E95"/>
    <w:rsid w:val="005E40FB"/>
    <w:rsid w:val="005E5C25"/>
    <w:rsid w:val="005E5ED3"/>
    <w:rsid w:val="005F28D9"/>
    <w:rsid w:val="005F482F"/>
    <w:rsid w:val="005F5275"/>
    <w:rsid w:val="005F5E0A"/>
    <w:rsid w:val="005F72F3"/>
    <w:rsid w:val="005F739E"/>
    <w:rsid w:val="00600AB0"/>
    <w:rsid w:val="00600CFE"/>
    <w:rsid w:val="00601E95"/>
    <w:rsid w:val="006063C4"/>
    <w:rsid w:val="006072E1"/>
    <w:rsid w:val="00610DD3"/>
    <w:rsid w:val="00613E96"/>
    <w:rsid w:val="00613FAC"/>
    <w:rsid w:val="00615CD6"/>
    <w:rsid w:val="006235C3"/>
    <w:rsid w:val="0062399F"/>
    <w:rsid w:val="00624148"/>
    <w:rsid w:val="0062659A"/>
    <w:rsid w:val="006265A7"/>
    <w:rsid w:val="00631CD4"/>
    <w:rsid w:val="00632695"/>
    <w:rsid w:val="00632E0F"/>
    <w:rsid w:val="00634E31"/>
    <w:rsid w:val="00635F5A"/>
    <w:rsid w:val="006376E4"/>
    <w:rsid w:val="00640153"/>
    <w:rsid w:val="00641052"/>
    <w:rsid w:val="00644629"/>
    <w:rsid w:val="006453C6"/>
    <w:rsid w:val="00646D8F"/>
    <w:rsid w:val="00647135"/>
    <w:rsid w:val="006472EB"/>
    <w:rsid w:val="00650C45"/>
    <w:rsid w:val="006547C2"/>
    <w:rsid w:val="00655205"/>
    <w:rsid w:val="0065537D"/>
    <w:rsid w:val="00660AE5"/>
    <w:rsid w:val="00661333"/>
    <w:rsid w:val="00667901"/>
    <w:rsid w:val="00676C5F"/>
    <w:rsid w:val="0068132D"/>
    <w:rsid w:val="0068185E"/>
    <w:rsid w:val="00681D27"/>
    <w:rsid w:val="00683238"/>
    <w:rsid w:val="00686DB1"/>
    <w:rsid w:val="0069012A"/>
    <w:rsid w:val="00693B5F"/>
    <w:rsid w:val="00693D0C"/>
    <w:rsid w:val="006948F0"/>
    <w:rsid w:val="00695707"/>
    <w:rsid w:val="006965A7"/>
    <w:rsid w:val="00696BB1"/>
    <w:rsid w:val="006A13BA"/>
    <w:rsid w:val="006A43CD"/>
    <w:rsid w:val="006A5781"/>
    <w:rsid w:val="006A63D7"/>
    <w:rsid w:val="006B0748"/>
    <w:rsid w:val="006B10A4"/>
    <w:rsid w:val="006B2362"/>
    <w:rsid w:val="006B2C98"/>
    <w:rsid w:val="006B63DF"/>
    <w:rsid w:val="006B70A7"/>
    <w:rsid w:val="006C088B"/>
    <w:rsid w:val="006C166F"/>
    <w:rsid w:val="006C2181"/>
    <w:rsid w:val="006C2F54"/>
    <w:rsid w:val="006C3609"/>
    <w:rsid w:val="006C4918"/>
    <w:rsid w:val="006C4EBB"/>
    <w:rsid w:val="006C58C4"/>
    <w:rsid w:val="006C5E26"/>
    <w:rsid w:val="006C7326"/>
    <w:rsid w:val="006D06BD"/>
    <w:rsid w:val="006D07C0"/>
    <w:rsid w:val="006D2037"/>
    <w:rsid w:val="006D3410"/>
    <w:rsid w:val="006D3A7D"/>
    <w:rsid w:val="006D55BE"/>
    <w:rsid w:val="006D75F0"/>
    <w:rsid w:val="006D7DE9"/>
    <w:rsid w:val="006E339F"/>
    <w:rsid w:val="006E620F"/>
    <w:rsid w:val="006E62A8"/>
    <w:rsid w:val="006E79B8"/>
    <w:rsid w:val="006F22C2"/>
    <w:rsid w:val="006F4853"/>
    <w:rsid w:val="006F69A9"/>
    <w:rsid w:val="006F6CA3"/>
    <w:rsid w:val="006F6E11"/>
    <w:rsid w:val="007006CF"/>
    <w:rsid w:val="00705149"/>
    <w:rsid w:val="007056E1"/>
    <w:rsid w:val="0071014C"/>
    <w:rsid w:val="007144FC"/>
    <w:rsid w:val="00714514"/>
    <w:rsid w:val="0072302A"/>
    <w:rsid w:val="00723452"/>
    <w:rsid w:val="00731320"/>
    <w:rsid w:val="007318EC"/>
    <w:rsid w:val="00732C62"/>
    <w:rsid w:val="0073302B"/>
    <w:rsid w:val="00734866"/>
    <w:rsid w:val="00736123"/>
    <w:rsid w:val="007366E3"/>
    <w:rsid w:val="00743EB2"/>
    <w:rsid w:val="007454EC"/>
    <w:rsid w:val="007458BD"/>
    <w:rsid w:val="00745ADF"/>
    <w:rsid w:val="0074692F"/>
    <w:rsid w:val="007471FA"/>
    <w:rsid w:val="007472E8"/>
    <w:rsid w:val="00747B28"/>
    <w:rsid w:val="0075199E"/>
    <w:rsid w:val="00753870"/>
    <w:rsid w:val="007567B0"/>
    <w:rsid w:val="00763052"/>
    <w:rsid w:val="00763640"/>
    <w:rsid w:val="00764B1B"/>
    <w:rsid w:val="00764E4B"/>
    <w:rsid w:val="007658D4"/>
    <w:rsid w:val="00770CB5"/>
    <w:rsid w:val="00771183"/>
    <w:rsid w:val="0077466D"/>
    <w:rsid w:val="00776710"/>
    <w:rsid w:val="007777C5"/>
    <w:rsid w:val="00777E20"/>
    <w:rsid w:val="007830DC"/>
    <w:rsid w:val="00783257"/>
    <w:rsid w:val="00783660"/>
    <w:rsid w:val="00784009"/>
    <w:rsid w:val="00786C8F"/>
    <w:rsid w:val="00790099"/>
    <w:rsid w:val="00790517"/>
    <w:rsid w:val="0079100D"/>
    <w:rsid w:val="00791CAE"/>
    <w:rsid w:val="007941B2"/>
    <w:rsid w:val="00796632"/>
    <w:rsid w:val="00796754"/>
    <w:rsid w:val="007A2030"/>
    <w:rsid w:val="007A4A72"/>
    <w:rsid w:val="007A4F50"/>
    <w:rsid w:val="007A5C55"/>
    <w:rsid w:val="007A5DB3"/>
    <w:rsid w:val="007A6FB8"/>
    <w:rsid w:val="007B1A07"/>
    <w:rsid w:val="007B2493"/>
    <w:rsid w:val="007B37F3"/>
    <w:rsid w:val="007B3B96"/>
    <w:rsid w:val="007B5CCA"/>
    <w:rsid w:val="007B703B"/>
    <w:rsid w:val="007B7868"/>
    <w:rsid w:val="007C0494"/>
    <w:rsid w:val="007C0B34"/>
    <w:rsid w:val="007C11C9"/>
    <w:rsid w:val="007C26D7"/>
    <w:rsid w:val="007C2E02"/>
    <w:rsid w:val="007C352A"/>
    <w:rsid w:val="007C3761"/>
    <w:rsid w:val="007C3BA0"/>
    <w:rsid w:val="007C4A18"/>
    <w:rsid w:val="007C59E9"/>
    <w:rsid w:val="007C5E18"/>
    <w:rsid w:val="007C6406"/>
    <w:rsid w:val="007C7429"/>
    <w:rsid w:val="007D0634"/>
    <w:rsid w:val="007D0C97"/>
    <w:rsid w:val="007D19D6"/>
    <w:rsid w:val="007D3555"/>
    <w:rsid w:val="007D4C09"/>
    <w:rsid w:val="007E1DA9"/>
    <w:rsid w:val="007E4CD9"/>
    <w:rsid w:val="007E55BA"/>
    <w:rsid w:val="007E5E23"/>
    <w:rsid w:val="007E6F5D"/>
    <w:rsid w:val="007F0631"/>
    <w:rsid w:val="007F17FF"/>
    <w:rsid w:val="007F3364"/>
    <w:rsid w:val="007F4B89"/>
    <w:rsid w:val="007F56D3"/>
    <w:rsid w:val="00800501"/>
    <w:rsid w:val="008021ED"/>
    <w:rsid w:val="0080369E"/>
    <w:rsid w:val="00803C2C"/>
    <w:rsid w:val="00805EE6"/>
    <w:rsid w:val="00806585"/>
    <w:rsid w:val="0080754F"/>
    <w:rsid w:val="00816D01"/>
    <w:rsid w:val="008171C8"/>
    <w:rsid w:val="00817909"/>
    <w:rsid w:val="00820C98"/>
    <w:rsid w:val="00826CCD"/>
    <w:rsid w:val="008345DF"/>
    <w:rsid w:val="0083777E"/>
    <w:rsid w:val="008415E5"/>
    <w:rsid w:val="008436CD"/>
    <w:rsid w:val="008509CD"/>
    <w:rsid w:val="0085511F"/>
    <w:rsid w:val="0085587D"/>
    <w:rsid w:val="00857C69"/>
    <w:rsid w:val="008618BE"/>
    <w:rsid w:val="008620BF"/>
    <w:rsid w:val="00864568"/>
    <w:rsid w:val="008655E0"/>
    <w:rsid w:val="00865801"/>
    <w:rsid w:val="008679F5"/>
    <w:rsid w:val="008710F3"/>
    <w:rsid w:val="00871A95"/>
    <w:rsid w:val="0087265D"/>
    <w:rsid w:val="008736CE"/>
    <w:rsid w:val="00873DF1"/>
    <w:rsid w:val="00874F64"/>
    <w:rsid w:val="0087768E"/>
    <w:rsid w:val="00877FA5"/>
    <w:rsid w:val="00880D57"/>
    <w:rsid w:val="00882CCA"/>
    <w:rsid w:val="00884392"/>
    <w:rsid w:val="00885412"/>
    <w:rsid w:val="0089005A"/>
    <w:rsid w:val="008952FD"/>
    <w:rsid w:val="00895E02"/>
    <w:rsid w:val="00896017"/>
    <w:rsid w:val="008A0102"/>
    <w:rsid w:val="008A20E8"/>
    <w:rsid w:val="008A2F27"/>
    <w:rsid w:val="008B0DD7"/>
    <w:rsid w:val="008B20A9"/>
    <w:rsid w:val="008B5D42"/>
    <w:rsid w:val="008B6C01"/>
    <w:rsid w:val="008B719E"/>
    <w:rsid w:val="008B76AE"/>
    <w:rsid w:val="008B7FAD"/>
    <w:rsid w:val="008C07B5"/>
    <w:rsid w:val="008C07DF"/>
    <w:rsid w:val="008C0B97"/>
    <w:rsid w:val="008C1B17"/>
    <w:rsid w:val="008C2BEA"/>
    <w:rsid w:val="008C32D3"/>
    <w:rsid w:val="008C3771"/>
    <w:rsid w:val="008C463F"/>
    <w:rsid w:val="008D3056"/>
    <w:rsid w:val="008D3362"/>
    <w:rsid w:val="008E0D1B"/>
    <w:rsid w:val="008E125C"/>
    <w:rsid w:val="008E2E22"/>
    <w:rsid w:val="008E2FF2"/>
    <w:rsid w:val="008E3E35"/>
    <w:rsid w:val="008F224E"/>
    <w:rsid w:val="008F2491"/>
    <w:rsid w:val="008F2856"/>
    <w:rsid w:val="008F2B60"/>
    <w:rsid w:val="008F490A"/>
    <w:rsid w:val="008F4D0A"/>
    <w:rsid w:val="008F628E"/>
    <w:rsid w:val="008F69E7"/>
    <w:rsid w:val="008F7F70"/>
    <w:rsid w:val="00902562"/>
    <w:rsid w:val="00902FC3"/>
    <w:rsid w:val="009046EE"/>
    <w:rsid w:val="00905C1B"/>
    <w:rsid w:val="00906CB6"/>
    <w:rsid w:val="009140D0"/>
    <w:rsid w:val="00915B5D"/>
    <w:rsid w:val="00917D9E"/>
    <w:rsid w:val="009205D9"/>
    <w:rsid w:val="009209F6"/>
    <w:rsid w:val="00922AC3"/>
    <w:rsid w:val="0092378F"/>
    <w:rsid w:val="0092660D"/>
    <w:rsid w:val="00927E90"/>
    <w:rsid w:val="00930151"/>
    <w:rsid w:val="00933ED8"/>
    <w:rsid w:val="00934600"/>
    <w:rsid w:val="009371A3"/>
    <w:rsid w:val="00937B15"/>
    <w:rsid w:val="009442FC"/>
    <w:rsid w:val="00945E40"/>
    <w:rsid w:val="009464A6"/>
    <w:rsid w:val="009467D9"/>
    <w:rsid w:val="009470EC"/>
    <w:rsid w:val="00950FB5"/>
    <w:rsid w:val="00951DC6"/>
    <w:rsid w:val="00952050"/>
    <w:rsid w:val="00952EE8"/>
    <w:rsid w:val="00953A47"/>
    <w:rsid w:val="00955322"/>
    <w:rsid w:val="0096068B"/>
    <w:rsid w:val="0096167D"/>
    <w:rsid w:val="009616DB"/>
    <w:rsid w:val="00962CCB"/>
    <w:rsid w:val="009644E9"/>
    <w:rsid w:val="00965358"/>
    <w:rsid w:val="00965483"/>
    <w:rsid w:val="00966F13"/>
    <w:rsid w:val="0097174B"/>
    <w:rsid w:val="00973D29"/>
    <w:rsid w:val="00974EED"/>
    <w:rsid w:val="00975324"/>
    <w:rsid w:val="009829AB"/>
    <w:rsid w:val="0098448D"/>
    <w:rsid w:val="00984AD8"/>
    <w:rsid w:val="00990E61"/>
    <w:rsid w:val="00991B18"/>
    <w:rsid w:val="009925A5"/>
    <w:rsid w:val="00994B35"/>
    <w:rsid w:val="009961BB"/>
    <w:rsid w:val="009A3877"/>
    <w:rsid w:val="009A4EC5"/>
    <w:rsid w:val="009A59A5"/>
    <w:rsid w:val="009A75C1"/>
    <w:rsid w:val="009B1A74"/>
    <w:rsid w:val="009B41B1"/>
    <w:rsid w:val="009B453E"/>
    <w:rsid w:val="009B4BCC"/>
    <w:rsid w:val="009B6100"/>
    <w:rsid w:val="009B7478"/>
    <w:rsid w:val="009B77E4"/>
    <w:rsid w:val="009C0944"/>
    <w:rsid w:val="009C20A4"/>
    <w:rsid w:val="009C3FE5"/>
    <w:rsid w:val="009C4019"/>
    <w:rsid w:val="009C7352"/>
    <w:rsid w:val="009D17C3"/>
    <w:rsid w:val="009D187D"/>
    <w:rsid w:val="009D1F4D"/>
    <w:rsid w:val="009D4684"/>
    <w:rsid w:val="009D67B7"/>
    <w:rsid w:val="009D73ED"/>
    <w:rsid w:val="009E0DF6"/>
    <w:rsid w:val="009E73C2"/>
    <w:rsid w:val="009E7900"/>
    <w:rsid w:val="009F044E"/>
    <w:rsid w:val="009F0F72"/>
    <w:rsid w:val="009F35FD"/>
    <w:rsid w:val="009F5331"/>
    <w:rsid w:val="009F5B84"/>
    <w:rsid w:val="009F6263"/>
    <w:rsid w:val="009F6AA7"/>
    <w:rsid w:val="009F7289"/>
    <w:rsid w:val="00A0221F"/>
    <w:rsid w:val="00A022B0"/>
    <w:rsid w:val="00A02981"/>
    <w:rsid w:val="00A034AF"/>
    <w:rsid w:val="00A03846"/>
    <w:rsid w:val="00A0442B"/>
    <w:rsid w:val="00A0563C"/>
    <w:rsid w:val="00A05AC3"/>
    <w:rsid w:val="00A06289"/>
    <w:rsid w:val="00A07296"/>
    <w:rsid w:val="00A134FB"/>
    <w:rsid w:val="00A163D9"/>
    <w:rsid w:val="00A177AE"/>
    <w:rsid w:val="00A22855"/>
    <w:rsid w:val="00A2689D"/>
    <w:rsid w:val="00A34616"/>
    <w:rsid w:val="00A35A70"/>
    <w:rsid w:val="00A35C17"/>
    <w:rsid w:val="00A428FC"/>
    <w:rsid w:val="00A450F4"/>
    <w:rsid w:val="00A456C2"/>
    <w:rsid w:val="00A475E0"/>
    <w:rsid w:val="00A50FF8"/>
    <w:rsid w:val="00A5351D"/>
    <w:rsid w:val="00A54FD2"/>
    <w:rsid w:val="00A572C7"/>
    <w:rsid w:val="00A62208"/>
    <w:rsid w:val="00A63318"/>
    <w:rsid w:val="00A65091"/>
    <w:rsid w:val="00A654CA"/>
    <w:rsid w:val="00A662C4"/>
    <w:rsid w:val="00A67137"/>
    <w:rsid w:val="00A6721D"/>
    <w:rsid w:val="00A7173C"/>
    <w:rsid w:val="00A720DF"/>
    <w:rsid w:val="00A73184"/>
    <w:rsid w:val="00A73492"/>
    <w:rsid w:val="00A8014D"/>
    <w:rsid w:val="00A805D1"/>
    <w:rsid w:val="00A84D34"/>
    <w:rsid w:val="00A8767A"/>
    <w:rsid w:val="00A91284"/>
    <w:rsid w:val="00A9285C"/>
    <w:rsid w:val="00A92F51"/>
    <w:rsid w:val="00A945BB"/>
    <w:rsid w:val="00A953A9"/>
    <w:rsid w:val="00A95A78"/>
    <w:rsid w:val="00A95C43"/>
    <w:rsid w:val="00A96163"/>
    <w:rsid w:val="00A96AB8"/>
    <w:rsid w:val="00A9750F"/>
    <w:rsid w:val="00AA6CC0"/>
    <w:rsid w:val="00AB02B6"/>
    <w:rsid w:val="00AB2F0B"/>
    <w:rsid w:val="00AB4144"/>
    <w:rsid w:val="00AB4DE6"/>
    <w:rsid w:val="00AB52CC"/>
    <w:rsid w:val="00AB5D3D"/>
    <w:rsid w:val="00AB5F86"/>
    <w:rsid w:val="00AC029A"/>
    <w:rsid w:val="00AC1E01"/>
    <w:rsid w:val="00AC427F"/>
    <w:rsid w:val="00AC45E8"/>
    <w:rsid w:val="00AC5134"/>
    <w:rsid w:val="00AD054B"/>
    <w:rsid w:val="00AD083D"/>
    <w:rsid w:val="00AD20D2"/>
    <w:rsid w:val="00AD24D6"/>
    <w:rsid w:val="00AD3BF2"/>
    <w:rsid w:val="00AD5B08"/>
    <w:rsid w:val="00AD7F9F"/>
    <w:rsid w:val="00AE03F3"/>
    <w:rsid w:val="00AE59A8"/>
    <w:rsid w:val="00AE6215"/>
    <w:rsid w:val="00AF002E"/>
    <w:rsid w:val="00AF194A"/>
    <w:rsid w:val="00AF1CDF"/>
    <w:rsid w:val="00AF397E"/>
    <w:rsid w:val="00B0078D"/>
    <w:rsid w:val="00B013BC"/>
    <w:rsid w:val="00B01720"/>
    <w:rsid w:val="00B02028"/>
    <w:rsid w:val="00B0247A"/>
    <w:rsid w:val="00B057CE"/>
    <w:rsid w:val="00B059C7"/>
    <w:rsid w:val="00B06AFD"/>
    <w:rsid w:val="00B06D04"/>
    <w:rsid w:val="00B07344"/>
    <w:rsid w:val="00B101C8"/>
    <w:rsid w:val="00B129AB"/>
    <w:rsid w:val="00B12F8E"/>
    <w:rsid w:val="00B1475E"/>
    <w:rsid w:val="00B14CCC"/>
    <w:rsid w:val="00B15FAC"/>
    <w:rsid w:val="00B16332"/>
    <w:rsid w:val="00B202BA"/>
    <w:rsid w:val="00B21CC4"/>
    <w:rsid w:val="00B2308F"/>
    <w:rsid w:val="00B244DB"/>
    <w:rsid w:val="00B248EC"/>
    <w:rsid w:val="00B26D17"/>
    <w:rsid w:val="00B3224F"/>
    <w:rsid w:val="00B449EB"/>
    <w:rsid w:val="00B44BAF"/>
    <w:rsid w:val="00B45401"/>
    <w:rsid w:val="00B45727"/>
    <w:rsid w:val="00B63689"/>
    <w:rsid w:val="00B63969"/>
    <w:rsid w:val="00B640E1"/>
    <w:rsid w:val="00B650BA"/>
    <w:rsid w:val="00B67F29"/>
    <w:rsid w:val="00B700F4"/>
    <w:rsid w:val="00B70BB7"/>
    <w:rsid w:val="00B7105D"/>
    <w:rsid w:val="00B71AB1"/>
    <w:rsid w:val="00B71DAA"/>
    <w:rsid w:val="00B731CF"/>
    <w:rsid w:val="00B74606"/>
    <w:rsid w:val="00B77A61"/>
    <w:rsid w:val="00B808C3"/>
    <w:rsid w:val="00B83349"/>
    <w:rsid w:val="00B84EE9"/>
    <w:rsid w:val="00B86E27"/>
    <w:rsid w:val="00B87D9E"/>
    <w:rsid w:val="00B9256B"/>
    <w:rsid w:val="00B9609C"/>
    <w:rsid w:val="00BA01D0"/>
    <w:rsid w:val="00BA0723"/>
    <w:rsid w:val="00BA188E"/>
    <w:rsid w:val="00BA32C7"/>
    <w:rsid w:val="00BA3B7E"/>
    <w:rsid w:val="00BA4F4F"/>
    <w:rsid w:val="00BB0C7C"/>
    <w:rsid w:val="00BB4797"/>
    <w:rsid w:val="00BB4A9B"/>
    <w:rsid w:val="00BB7254"/>
    <w:rsid w:val="00BC0975"/>
    <w:rsid w:val="00BD081A"/>
    <w:rsid w:val="00BD183F"/>
    <w:rsid w:val="00BD3C0C"/>
    <w:rsid w:val="00BE122E"/>
    <w:rsid w:val="00BE20B8"/>
    <w:rsid w:val="00BE274B"/>
    <w:rsid w:val="00BF0DE1"/>
    <w:rsid w:val="00BF1AD1"/>
    <w:rsid w:val="00BF3F8E"/>
    <w:rsid w:val="00BF41F0"/>
    <w:rsid w:val="00BF5024"/>
    <w:rsid w:val="00BF516E"/>
    <w:rsid w:val="00BF53A6"/>
    <w:rsid w:val="00BF547A"/>
    <w:rsid w:val="00BF5D2D"/>
    <w:rsid w:val="00BF7144"/>
    <w:rsid w:val="00C00DC8"/>
    <w:rsid w:val="00C01192"/>
    <w:rsid w:val="00C0217C"/>
    <w:rsid w:val="00C0275A"/>
    <w:rsid w:val="00C03D3C"/>
    <w:rsid w:val="00C04923"/>
    <w:rsid w:val="00C04931"/>
    <w:rsid w:val="00C06DF2"/>
    <w:rsid w:val="00C10A6B"/>
    <w:rsid w:val="00C10DCB"/>
    <w:rsid w:val="00C159B5"/>
    <w:rsid w:val="00C16B65"/>
    <w:rsid w:val="00C171A7"/>
    <w:rsid w:val="00C17346"/>
    <w:rsid w:val="00C223D2"/>
    <w:rsid w:val="00C22987"/>
    <w:rsid w:val="00C25832"/>
    <w:rsid w:val="00C3000D"/>
    <w:rsid w:val="00C32A34"/>
    <w:rsid w:val="00C3385E"/>
    <w:rsid w:val="00C35CE9"/>
    <w:rsid w:val="00C41765"/>
    <w:rsid w:val="00C42936"/>
    <w:rsid w:val="00C44473"/>
    <w:rsid w:val="00C465A1"/>
    <w:rsid w:val="00C47DF1"/>
    <w:rsid w:val="00C518F6"/>
    <w:rsid w:val="00C53617"/>
    <w:rsid w:val="00C55089"/>
    <w:rsid w:val="00C605DC"/>
    <w:rsid w:val="00C61ABF"/>
    <w:rsid w:val="00C61C6C"/>
    <w:rsid w:val="00C624C8"/>
    <w:rsid w:val="00C6458E"/>
    <w:rsid w:val="00C658F2"/>
    <w:rsid w:val="00C66ABA"/>
    <w:rsid w:val="00C66F64"/>
    <w:rsid w:val="00C70D5C"/>
    <w:rsid w:val="00C74A58"/>
    <w:rsid w:val="00C74B95"/>
    <w:rsid w:val="00C75F58"/>
    <w:rsid w:val="00C842CB"/>
    <w:rsid w:val="00C86107"/>
    <w:rsid w:val="00C86ACE"/>
    <w:rsid w:val="00C874E3"/>
    <w:rsid w:val="00C87593"/>
    <w:rsid w:val="00C87FDD"/>
    <w:rsid w:val="00C909C5"/>
    <w:rsid w:val="00C90F78"/>
    <w:rsid w:val="00C938E7"/>
    <w:rsid w:val="00C95EC2"/>
    <w:rsid w:val="00C97296"/>
    <w:rsid w:val="00CA2793"/>
    <w:rsid w:val="00CA4980"/>
    <w:rsid w:val="00CA50AE"/>
    <w:rsid w:val="00CA62B1"/>
    <w:rsid w:val="00CB2072"/>
    <w:rsid w:val="00CB2C25"/>
    <w:rsid w:val="00CB5650"/>
    <w:rsid w:val="00CB604E"/>
    <w:rsid w:val="00CB7FB1"/>
    <w:rsid w:val="00CC0689"/>
    <w:rsid w:val="00CC14E3"/>
    <w:rsid w:val="00CC23C4"/>
    <w:rsid w:val="00CC473E"/>
    <w:rsid w:val="00CC55A6"/>
    <w:rsid w:val="00CC58CA"/>
    <w:rsid w:val="00CC6085"/>
    <w:rsid w:val="00CC646A"/>
    <w:rsid w:val="00CC6C0D"/>
    <w:rsid w:val="00CC7F88"/>
    <w:rsid w:val="00CD099C"/>
    <w:rsid w:val="00CD173F"/>
    <w:rsid w:val="00CD6CED"/>
    <w:rsid w:val="00CD77C4"/>
    <w:rsid w:val="00CE0987"/>
    <w:rsid w:val="00CE1289"/>
    <w:rsid w:val="00CE4745"/>
    <w:rsid w:val="00CE7265"/>
    <w:rsid w:val="00CE7DE3"/>
    <w:rsid w:val="00CF6D47"/>
    <w:rsid w:val="00CF7EF6"/>
    <w:rsid w:val="00D006D4"/>
    <w:rsid w:val="00D01362"/>
    <w:rsid w:val="00D01F1C"/>
    <w:rsid w:val="00D039B5"/>
    <w:rsid w:val="00D05197"/>
    <w:rsid w:val="00D06395"/>
    <w:rsid w:val="00D104D1"/>
    <w:rsid w:val="00D108F8"/>
    <w:rsid w:val="00D118CF"/>
    <w:rsid w:val="00D11A7D"/>
    <w:rsid w:val="00D12B41"/>
    <w:rsid w:val="00D14785"/>
    <w:rsid w:val="00D1496F"/>
    <w:rsid w:val="00D14F3F"/>
    <w:rsid w:val="00D15B10"/>
    <w:rsid w:val="00D173E8"/>
    <w:rsid w:val="00D17ED2"/>
    <w:rsid w:val="00D2095C"/>
    <w:rsid w:val="00D21435"/>
    <w:rsid w:val="00D21AA8"/>
    <w:rsid w:val="00D22714"/>
    <w:rsid w:val="00D25AAA"/>
    <w:rsid w:val="00D2732E"/>
    <w:rsid w:val="00D302D3"/>
    <w:rsid w:val="00D31245"/>
    <w:rsid w:val="00D3316E"/>
    <w:rsid w:val="00D42EFC"/>
    <w:rsid w:val="00D431EB"/>
    <w:rsid w:val="00D4364F"/>
    <w:rsid w:val="00D5029B"/>
    <w:rsid w:val="00D506E1"/>
    <w:rsid w:val="00D53010"/>
    <w:rsid w:val="00D53A14"/>
    <w:rsid w:val="00D54B8E"/>
    <w:rsid w:val="00D54E23"/>
    <w:rsid w:val="00D579EF"/>
    <w:rsid w:val="00D62995"/>
    <w:rsid w:val="00D64430"/>
    <w:rsid w:val="00D64A60"/>
    <w:rsid w:val="00D65E76"/>
    <w:rsid w:val="00D6606C"/>
    <w:rsid w:val="00D66435"/>
    <w:rsid w:val="00D665ED"/>
    <w:rsid w:val="00D6765D"/>
    <w:rsid w:val="00D67D58"/>
    <w:rsid w:val="00D71276"/>
    <w:rsid w:val="00D718D3"/>
    <w:rsid w:val="00D71FA7"/>
    <w:rsid w:val="00D74E1C"/>
    <w:rsid w:val="00D751BF"/>
    <w:rsid w:val="00D7725B"/>
    <w:rsid w:val="00D77E51"/>
    <w:rsid w:val="00D844EB"/>
    <w:rsid w:val="00D84804"/>
    <w:rsid w:val="00D85078"/>
    <w:rsid w:val="00D90E78"/>
    <w:rsid w:val="00D92E33"/>
    <w:rsid w:val="00D94356"/>
    <w:rsid w:val="00D949ED"/>
    <w:rsid w:val="00D96B83"/>
    <w:rsid w:val="00DA0663"/>
    <w:rsid w:val="00DA25E6"/>
    <w:rsid w:val="00DA2DDE"/>
    <w:rsid w:val="00DA657E"/>
    <w:rsid w:val="00DA6B0E"/>
    <w:rsid w:val="00DA71AF"/>
    <w:rsid w:val="00DB047D"/>
    <w:rsid w:val="00DB2807"/>
    <w:rsid w:val="00DB2AEB"/>
    <w:rsid w:val="00DC00CE"/>
    <w:rsid w:val="00DC093D"/>
    <w:rsid w:val="00DC2546"/>
    <w:rsid w:val="00DC2B70"/>
    <w:rsid w:val="00DC39EC"/>
    <w:rsid w:val="00DC4481"/>
    <w:rsid w:val="00DC5290"/>
    <w:rsid w:val="00DC59EE"/>
    <w:rsid w:val="00DC6EAF"/>
    <w:rsid w:val="00DD1536"/>
    <w:rsid w:val="00DD67B3"/>
    <w:rsid w:val="00DD7001"/>
    <w:rsid w:val="00DE04DE"/>
    <w:rsid w:val="00DE2AFC"/>
    <w:rsid w:val="00DE3A85"/>
    <w:rsid w:val="00DE3EB3"/>
    <w:rsid w:val="00DE5D1A"/>
    <w:rsid w:val="00DE658C"/>
    <w:rsid w:val="00DE75C9"/>
    <w:rsid w:val="00DF167A"/>
    <w:rsid w:val="00DF48DF"/>
    <w:rsid w:val="00DF4B23"/>
    <w:rsid w:val="00DF64D2"/>
    <w:rsid w:val="00E01FBA"/>
    <w:rsid w:val="00E02828"/>
    <w:rsid w:val="00E0429A"/>
    <w:rsid w:val="00E047D1"/>
    <w:rsid w:val="00E0492A"/>
    <w:rsid w:val="00E04D34"/>
    <w:rsid w:val="00E04DEA"/>
    <w:rsid w:val="00E066B7"/>
    <w:rsid w:val="00E10CE8"/>
    <w:rsid w:val="00E1423B"/>
    <w:rsid w:val="00E214DE"/>
    <w:rsid w:val="00E223B9"/>
    <w:rsid w:val="00E226E8"/>
    <w:rsid w:val="00E247C1"/>
    <w:rsid w:val="00E24D05"/>
    <w:rsid w:val="00E24F5C"/>
    <w:rsid w:val="00E2577B"/>
    <w:rsid w:val="00E2617C"/>
    <w:rsid w:val="00E26730"/>
    <w:rsid w:val="00E27A5B"/>
    <w:rsid w:val="00E311E4"/>
    <w:rsid w:val="00E32C13"/>
    <w:rsid w:val="00E351C4"/>
    <w:rsid w:val="00E361A4"/>
    <w:rsid w:val="00E41122"/>
    <w:rsid w:val="00E41A21"/>
    <w:rsid w:val="00E41EEF"/>
    <w:rsid w:val="00E46D01"/>
    <w:rsid w:val="00E5150D"/>
    <w:rsid w:val="00E530E3"/>
    <w:rsid w:val="00E53995"/>
    <w:rsid w:val="00E53C3D"/>
    <w:rsid w:val="00E54D09"/>
    <w:rsid w:val="00E54FBA"/>
    <w:rsid w:val="00E55849"/>
    <w:rsid w:val="00E56EA5"/>
    <w:rsid w:val="00E60219"/>
    <w:rsid w:val="00E62D7F"/>
    <w:rsid w:val="00E631A0"/>
    <w:rsid w:val="00E63E2D"/>
    <w:rsid w:val="00E70084"/>
    <w:rsid w:val="00E700C3"/>
    <w:rsid w:val="00E70331"/>
    <w:rsid w:val="00E716ED"/>
    <w:rsid w:val="00E72BA6"/>
    <w:rsid w:val="00E73B89"/>
    <w:rsid w:val="00E75858"/>
    <w:rsid w:val="00E8499B"/>
    <w:rsid w:val="00E862F7"/>
    <w:rsid w:val="00E924C3"/>
    <w:rsid w:val="00E94F07"/>
    <w:rsid w:val="00E950D0"/>
    <w:rsid w:val="00E959A1"/>
    <w:rsid w:val="00E96173"/>
    <w:rsid w:val="00E96CFA"/>
    <w:rsid w:val="00E97431"/>
    <w:rsid w:val="00EA12B7"/>
    <w:rsid w:val="00EA3DA2"/>
    <w:rsid w:val="00EA5166"/>
    <w:rsid w:val="00EA5D0E"/>
    <w:rsid w:val="00EB10EC"/>
    <w:rsid w:val="00EB10ED"/>
    <w:rsid w:val="00EB16BE"/>
    <w:rsid w:val="00EB2059"/>
    <w:rsid w:val="00EB570A"/>
    <w:rsid w:val="00EB72EB"/>
    <w:rsid w:val="00EC007E"/>
    <w:rsid w:val="00EC1A7F"/>
    <w:rsid w:val="00EC21EC"/>
    <w:rsid w:val="00EC31F9"/>
    <w:rsid w:val="00EC55E4"/>
    <w:rsid w:val="00EC7CB5"/>
    <w:rsid w:val="00ED035D"/>
    <w:rsid w:val="00ED0D0B"/>
    <w:rsid w:val="00ED14E2"/>
    <w:rsid w:val="00ED3599"/>
    <w:rsid w:val="00ED5495"/>
    <w:rsid w:val="00ED74B5"/>
    <w:rsid w:val="00EE371C"/>
    <w:rsid w:val="00EE4D7C"/>
    <w:rsid w:val="00EE561D"/>
    <w:rsid w:val="00EF1C8F"/>
    <w:rsid w:val="00EF219D"/>
    <w:rsid w:val="00EF36F9"/>
    <w:rsid w:val="00EF37DB"/>
    <w:rsid w:val="00F0414E"/>
    <w:rsid w:val="00F06D8F"/>
    <w:rsid w:val="00F143D3"/>
    <w:rsid w:val="00F1483F"/>
    <w:rsid w:val="00F14B39"/>
    <w:rsid w:val="00F2145B"/>
    <w:rsid w:val="00F21E0B"/>
    <w:rsid w:val="00F241F0"/>
    <w:rsid w:val="00F252E6"/>
    <w:rsid w:val="00F2774F"/>
    <w:rsid w:val="00F32C5F"/>
    <w:rsid w:val="00F349BE"/>
    <w:rsid w:val="00F35E7D"/>
    <w:rsid w:val="00F50219"/>
    <w:rsid w:val="00F50903"/>
    <w:rsid w:val="00F52DA4"/>
    <w:rsid w:val="00F53201"/>
    <w:rsid w:val="00F6298F"/>
    <w:rsid w:val="00F64C04"/>
    <w:rsid w:val="00F6513C"/>
    <w:rsid w:val="00F65D9A"/>
    <w:rsid w:val="00F726D0"/>
    <w:rsid w:val="00F7308C"/>
    <w:rsid w:val="00F80A19"/>
    <w:rsid w:val="00F819C1"/>
    <w:rsid w:val="00F859A9"/>
    <w:rsid w:val="00F918A4"/>
    <w:rsid w:val="00F95742"/>
    <w:rsid w:val="00F97D1B"/>
    <w:rsid w:val="00FA2528"/>
    <w:rsid w:val="00FA2CB5"/>
    <w:rsid w:val="00FA5821"/>
    <w:rsid w:val="00FA5F45"/>
    <w:rsid w:val="00FA6353"/>
    <w:rsid w:val="00FA660D"/>
    <w:rsid w:val="00FA72F3"/>
    <w:rsid w:val="00FA74D2"/>
    <w:rsid w:val="00FB0AEC"/>
    <w:rsid w:val="00FB2EB0"/>
    <w:rsid w:val="00FB40EA"/>
    <w:rsid w:val="00FB5582"/>
    <w:rsid w:val="00FB58D1"/>
    <w:rsid w:val="00FB7C0E"/>
    <w:rsid w:val="00FC07BB"/>
    <w:rsid w:val="00FC0A42"/>
    <w:rsid w:val="00FC107F"/>
    <w:rsid w:val="00FC1912"/>
    <w:rsid w:val="00FC2CC4"/>
    <w:rsid w:val="00FC426D"/>
    <w:rsid w:val="00FC4E68"/>
    <w:rsid w:val="00FC5871"/>
    <w:rsid w:val="00FC66D2"/>
    <w:rsid w:val="00FC78F2"/>
    <w:rsid w:val="00FD09A5"/>
    <w:rsid w:val="00FD10DF"/>
    <w:rsid w:val="00FD224A"/>
    <w:rsid w:val="00FD23CA"/>
    <w:rsid w:val="00FD3986"/>
    <w:rsid w:val="00FD5AF2"/>
    <w:rsid w:val="00FE10D1"/>
    <w:rsid w:val="00FE38E2"/>
    <w:rsid w:val="00FE67BE"/>
    <w:rsid w:val="00FE693C"/>
    <w:rsid w:val="00FE78E7"/>
    <w:rsid w:val="00FE7FAF"/>
    <w:rsid w:val="00FF4581"/>
    <w:rsid w:val="00FF5A4B"/>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CF99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semiHidden/>
    <w:rsid w:val="001A1955"/>
    <w:rPr>
      <w:rFonts w:ascii="Calibri" w:eastAsia="Times New Roman" w:hAnsi="Calibri" w:cs="Times New Roman"/>
      <w:b/>
      <w:bCs/>
      <w:sz w:val="28"/>
      <w:szCs w:val="28"/>
    </w:rPr>
  </w:style>
  <w:style w:type="character" w:customStyle="1" w:styleId="Heading5Char">
    <w:name w:val="Heading 5 Char"/>
    <w:link w:val="Heading5"/>
    <w:uiPriority w:val="9"/>
    <w:semiHidden/>
    <w:rsid w:val="001A195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A1955"/>
    <w:rPr>
      <w:rFonts w:ascii="Calibri" w:eastAsia="Times New Roman" w:hAnsi="Calibri" w:cs="Times New Roman"/>
      <w:b/>
      <w:bCs/>
      <w:sz w:val="22"/>
      <w:szCs w:val="22"/>
    </w:rPr>
  </w:style>
  <w:style w:type="character" w:customStyle="1" w:styleId="Heading7Char">
    <w:name w:val="Heading 7 Char"/>
    <w:link w:val="Heading7"/>
    <w:uiPriority w:val="9"/>
    <w:semiHidden/>
    <w:rsid w:val="001A1955"/>
    <w:rPr>
      <w:rFonts w:ascii="Calibri" w:eastAsia="Times New Roman" w:hAnsi="Calibri" w:cs="Times New Roman"/>
      <w:sz w:val="24"/>
      <w:szCs w:val="24"/>
    </w:rPr>
  </w:style>
  <w:style w:type="character" w:customStyle="1" w:styleId="Heading8Char">
    <w:name w:val="Heading 8 Char"/>
    <w:link w:val="Heading8"/>
    <w:uiPriority w:val="9"/>
    <w:semiHidden/>
    <w:rsid w:val="001A1955"/>
    <w:rPr>
      <w:rFonts w:ascii="Calibri" w:eastAsia="Times New Roman" w:hAnsi="Calibri" w:cs="Times New Roman"/>
      <w:i/>
      <w:iCs/>
      <w:sz w:val="24"/>
      <w:szCs w:val="24"/>
    </w:rPr>
  </w:style>
  <w:style w:type="character" w:customStyle="1" w:styleId="Heading9Char">
    <w:name w:val="Heading 9 Char"/>
    <w:link w:val="Heading9"/>
    <w:uiPriority w:val="9"/>
    <w:semiHidden/>
    <w:rsid w:val="001A1955"/>
    <w:rPr>
      <w:rFonts w:ascii="Cambria" w:eastAsia="Times New Roman" w:hAnsi="Cambria" w:cs="Times New Roman"/>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15"/>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rsid w:val="00770CB5"/>
    <w:pPr>
      <w:tabs>
        <w:tab w:val="center" w:pos="4320"/>
        <w:tab w:val="right" w:pos="8640"/>
      </w:tabs>
    </w:pPr>
  </w:style>
  <w:style w:type="character" w:customStyle="1" w:styleId="HeaderChar">
    <w:name w:val="Header Char"/>
    <w:link w:val="Header"/>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6"/>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 w:type="paragraph" w:customStyle="1" w:styleId="References">
    <w:name w:val="References"/>
    <w:basedOn w:val="Normal"/>
    <w:qFormat/>
    <w:rsid w:val="001F30DD"/>
    <w:pPr>
      <w:spacing w:after="240"/>
    </w:pPr>
  </w:style>
  <w:style w:type="paragraph" w:customStyle="1" w:styleId="BodyTextNumberedConclusion">
    <w:name w:val="Body Text Numbered Conclusion"/>
    <w:basedOn w:val="BodyTextIndent2"/>
    <w:link w:val="BodyTextNumberedConclusionChar"/>
    <w:autoRedefine/>
    <w:rsid w:val="00D7725B"/>
    <w:pPr>
      <w:numPr>
        <w:numId w:val="28"/>
      </w:numPr>
      <w:tabs>
        <w:tab w:val="clear" w:pos="360"/>
      </w:tabs>
      <w:spacing w:line="360" w:lineRule="auto"/>
    </w:pPr>
  </w:style>
  <w:style w:type="character" w:styleId="UnresolvedMention">
    <w:name w:val="Unresolved Mention"/>
    <w:uiPriority w:val="99"/>
    <w:semiHidden/>
    <w:unhideWhenUsed/>
    <w:rsid w:val="00CA2793"/>
    <w:rPr>
      <w:color w:val="605E5C"/>
      <w:shd w:val="clear" w:color="auto" w:fill="E1DFDD"/>
    </w:rPr>
  </w:style>
  <w:style w:type="paragraph" w:customStyle="1" w:styleId="StaffTitleHangingIndent">
    <w:name w:val="Staff Title Hanging Indent"/>
    <w:basedOn w:val="Normal"/>
    <w:rsid w:val="00905C1B"/>
    <w:pPr>
      <w:ind w:left="252" w:hanging="252"/>
    </w:pPr>
  </w:style>
  <w:style w:type="numbering" w:customStyle="1" w:styleId="StyleBulletedSymbolsymbolLeft025Hanging025">
    <w:name w:val="Style Bulleted Symbol (symbol) Left:  0.25&quot; Hanging:  0.25&quot;"/>
    <w:basedOn w:val="NoList"/>
    <w:rsid w:val="00905C1B"/>
    <w:pPr>
      <w:numPr>
        <w:numId w:val="32"/>
      </w:numPr>
    </w:pPr>
  </w:style>
  <w:style w:type="paragraph" w:customStyle="1" w:styleId="BodyTextBulleted">
    <w:name w:val="Body Text: Bulleted"/>
    <w:basedOn w:val="Normal"/>
    <w:qFormat/>
    <w:rsid w:val="00905C1B"/>
    <w:pPr>
      <w:numPr>
        <w:numId w:val="33"/>
      </w:numPr>
      <w:spacing w:line="360" w:lineRule="auto"/>
    </w:pPr>
  </w:style>
  <w:style w:type="character" w:customStyle="1" w:styleId="BodyTextNumberedConclusionChar">
    <w:name w:val="Body Text Numbered Conclusion Char"/>
    <w:link w:val="BodyTextNumberedConclusion"/>
    <w:rsid w:val="00D7725B"/>
    <w:rPr>
      <w:sz w:val="24"/>
    </w:rPr>
  </w:style>
  <w:style w:type="paragraph" w:customStyle="1" w:styleId="BodyText1">
    <w:name w:val="Body Text1"/>
    <w:basedOn w:val="BodyText"/>
    <w:link w:val="bodytextChar0"/>
    <w:qFormat/>
    <w:rsid w:val="008B7FAD"/>
    <w:pPr>
      <w:spacing w:line="360" w:lineRule="auto"/>
      <w:ind w:left="720" w:hanging="360"/>
    </w:pPr>
  </w:style>
  <w:style w:type="character" w:customStyle="1" w:styleId="bodytextChar0">
    <w:name w:val="body text Char"/>
    <w:link w:val="BodyText1"/>
    <w:rsid w:val="008B7F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350373009">
      <w:bodyDiv w:val="1"/>
      <w:marLeft w:val="0"/>
      <w:marRight w:val="0"/>
      <w:marTop w:val="0"/>
      <w:marBottom w:val="0"/>
      <w:divBdr>
        <w:top w:val="none" w:sz="0" w:space="0" w:color="auto"/>
        <w:left w:val="none" w:sz="0" w:space="0" w:color="auto"/>
        <w:bottom w:val="none" w:sz="0" w:space="0" w:color="auto"/>
        <w:right w:val="none" w:sz="0" w:space="0" w:color="auto"/>
      </w:divBdr>
    </w:div>
    <w:div w:id="102521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lists/indoor-air-quality-manual-and-appendices" TargetMode="Externa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F6ACA-4562-4D0D-B957-D243C40B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1107</Words>
  <Characters>6385</Characters>
  <Application>Microsoft Office Word</Application>
  <DocSecurity>0</DocSecurity>
  <Lines>53</Lines>
  <Paragraphs>14</Paragraphs>
  <ScaleCrop>false</ScaleCrop>
  <Company/>
  <LinksUpToDate>false</LinksUpToDate>
  <CharactersWithSpaces>7478</CharactersWithSpaces>
  <SharedDoc>false</SharedDoc>
  <HLinks>
    <vt:vector size="12" baseType="variant">
      <vt:variant>
        <vt:i4>6422652</vt:i4>
      </vt:variant>
      <vt:variant>
        <vt:i4>3</vt:i4>
      </vt:variant>
      <vt:variant>
        <vt:i4>0</vt:i4>
      </vt:variant>
      <vt:variant>
        <vt:i4>5</vt:i4>
      </vt:variant>
      <vt:variant>
        <vt:lpwstr>https://www.mass.gov/lists/indoor-air-quality-manual-and-appendices</vt:lpwstr>
      </vt:variant>
      <vt:variant>
        <vt:lpwstr/>
      </vt:variant>
      <vt:variant>
        <vt:i4>6619247</vt:i4>
      </vt:variant>
      <vt:variant>
        <vt:i4>0</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2025-03-27T17:40:00Z</dcterms:created>
  <dcterms:modified xsi:type="dcterms:W3CDTF">2025-03-27T17:40:00Z</dcterms:modified>
</cp:coreProperties>
</file>