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250E" w14:textId="33E906BB" w:rsidR="00EC7363" w:rsidRPr="001407A1" w:rsidRDefault="001407A1" w:rsidP="00396FDE">
      <w:pPr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pt-BR"/>
        </w:rPr>
      </w:pPr>
      <w:r w:rsidRPr="001407A1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pt-BR"/>
        </w:rPr>
        <w:t>Regra Comunitária para os ambientes dos Serviços de Atendimento Domiciliar e Comunitário</w:t>
      </w:r>
    </w:p>
    <w:p w14:paraId="2FF1A4F0" w14:textId="1659C9E7" w:rsidR="00EC7363" w:rsidRPr="001407A1" w:rsidRDefault="001407A1" w:rsidP="00396FDE">
      <w:pPr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pt-BR"/>
        </w:rPr>
      </w:pPr>
      <w:r w:rsidRPr="001407A1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pt-BR"/>
        </w:rPr>
        <w:t>O que é a Regra Comunitária para os ambientes dos Serviços de Atendimento Domiciliar e Comunitário (HCBS)</w:t>
      </w:r>
      <w:r w:rsidR="00EC7363" w:rsidRPr="001407A1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pt-BR"/>
        </w:rPr>
        <w:t>?</w:t>
      </w:r>
    </w:p>
    <w:p w14:paraId="142DD109" w14:textId="77777777" w:rsidR="001407A1" w:rsidRPr="001407A1" w:rsidRDefault="001407A1" w:rsidP="001407A1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A Regra Comunitária é uma regra federal para assegurar que os participantes da dispensa de HCBS tenham acesso aos benefícios da vida em comunidade, e que eles vivenciem e recebam serviços em ambientes integrados e não institucionais.</w:t>
      </w:r>
    </w:p>
    <w:p w14:paraId="384F39BD" w14:textId="224BA3CA" w:rsidR="00EC7363" w:rsidRPr="001407A1" w:rsidRDefault="001407A1" w:rsidP="001407A1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A Regra Comunitária requer que os locais (conhecidos por “ambientes”) dos serviços de atendimento domiciliar e comunitário atendam a certas qualificações. Esta regra determina que todos os ambientes devem</w:t>
      </w:r>
      <w:r w:rsidR="00EC7363"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:</w:t>
      </w:r>
    </w:p>
    <w:p w14:paraId="2BF88829" w14:textId="60BF7491" w:rsidR="001407A1" w:rsidRPr="001407A1" w:rsidRDefault="00396FDE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pt-BR"/>
        </w:rPr>
        <w:tab/>
      </w:r>
      <w:r w:rsidR="001407A1"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Fazer parte de uma comunidade mais ampla e incentivar o amplo acesso à vida comunitária</w:t>
      </w:r>
    </w:p>
    <w:p w14:paraId="788C5B44" w14:textId="77777777" w:rsidR="001407A1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Ser a escolha da pessoa dentre uma variedade de opções disponíveis</w:t>
      </w:r>
    </w:p>
    <w:p w14:paraId="3B963FC2" w14:textId="77777777" w:rsidR="001407A1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Respeitar a privacidade, dignidade e liberdade de toda pessoa, sem coerção nem restrição</w:t>
      </w:r>
    </w:p>
    <w:p w14:paraId="0E18B94A" w14:textId="2BE7D058" w:rsidR="001407A1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Apoiar a independência de cada pessoa e sua capacidade de fazer as próprias escolhas de vida</w:t>
      </w:r>
    </w:p>
    <w:p w14:paraId="7285C60F" w14:textId="220D75AD" w:rsidR="00396FDE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Oferecer opções significativas quanto aos serviços e às pessoas que os prestam</w:t>
      </w:r>
    </w:p>
    <w:p w14:paraId="1A0BFD67" w14:textId="3B65A78A" w:rsidR="00EC7363" w:rsidRPr="001407A1" w:rsidRDefault="001407A1" w:rsidP="00396FDE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Há exigências adicionais para locais de serviço onde as pessoas moram e que são de propriedade ou operados por um prestador de serviços. Nessas casas, as pessoas devem</w:t>
      </w:r>
      <w:r w:rsidR="00EC7363"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:</w:t>
      </w:r>
    </w:p>
    <w:p w14:paraId="7DD8C4BE" w14:textId="77777777" w:rsidR="001407A1" w:rsidRPr="001407A1" w:rsidRDefault="00EC7363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pt-BR"/>
        </w:rPr>
        <w:tab/>
      </w:r>
      <w:r w:rsidR="001407A1"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Ter um contrato de aluguel ou outro documento legal que proteja seus direitos como locatárias</w:t>
      </w:r>
    </w:p>
    <w:p w14:paraId="00009C5F" w14:textId="77777777" w:rsidR="001407A1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Ter privacidade em seu próprio espaço de moradia, incluindo portas com fechadura, possibilidade de escolha de colegas de quarto e liberdade para mobiliar ou decorar o espaço</w:t>
      </w:r>
    </w:p>
    <w:p w14:paraId="327B98FE" w14:textId="77777777" w:rsidR="001407A1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Poder controlar sua própria programação diária, inclusive ter acesso à alimentação sempre que desejar</w:t>
      </w:r>
    </w:p>
    <w:p w14:paraId="4AA90FC2" w14:textId="77777777" w:rsidR="001407A1" w:rsidRPr="001407A1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Poder receber visitas a qualquer hora</w:t>
      </w:r>
    </w:p>
    <w:p w14:paraId="7C440347" w14:textId="350653EC" w:rsidR="00EC7363" w:rsidRPr="00257834" w:rsidRDefault="001407A1" w:rsidP="001407A1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257834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•</w:t>
      </w:r>
      <w:r w:rsidRPr="00257834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ab/>
        <w:t>Viver em moradias fisicamente acessíveis</w:t>
      </w:r>
    </w:p>
    <w:p w14:paraId="583EAC15" w14:textId="5E5372C0" w:rsidR="00EC7363" w:rsidRPr="001407A1" w:rsidRDefault="001407A1" w:rsidP="00396FDE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pt-BR"/>
        </w:rPr>
      </w:pPr>
      <w:r w:rsidRPr="001407A1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pt-BR"/>
        </w:rPr>
        <w:t>Outras informações importantes sobre a Regra Comunitária para HCBS.</w:t>
      </w:r>
    </w:p>
    <w:p w14:paraId="0B8BA8E0" w14:textId="77777777" w:rsidR="001407A1" w:rsidRPr="001407A1" w:rsidRDefault="001407A1" w:rsidP="00257834">
      <w:pPr>
        <w:autoSpaceDE w:val="0"/>
        <w:autoSpaceDN w:val="0"/>
        <w:adjustRightInd w:val="0"/>
        <w:spacing w:before="12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Se qualquer um desses requisitos precisar ser ajustado em um local de serviço de propriedade de um provedor, a alteração deverá basear</w:t>
      </w:r>
      <w:r w:rsidRPr="001407A1">
        <w:rPr>
          <w:rFonts w:ascii="Cambria Math" w:hAnsi="Cambria Math" w:cs="Cambria Math"/>
          <w:color w:val="000000" w:themeColor="text1"/>
          <w:kern w:val="0"/>
          <w:sz w:val="20"/>
          <w:szCs w:val="20"/>
          <w:lang w:val="pt-BR"/>
        </w:rPr>
        <w:t>‑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se nas necessidades espec</w:t>
      </w:r>
      <w:r w:rsidRPr="001407A1">
        <w:rPr>
          <w:rFonts w:ascii="HelveticaNeueLT Std" w:hAnsi="HelveticaNeueLT Std" w:cs="HelveticaNeueLT Std"/>
          <w:color w:val="000000" w:themeColor="text1"/>
          <w:kern w:val="0"/>
          <w:sz w:val="20"/>
          <w:szCs w:val="20"/>
          <w:lang w:val="pt-BR"/>
        </w:rPr>
        <w:t>í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ficas da pessoa e ser claramente documentada no plano de servi</w:t>
      </w:r>
      <w:r w:rsidRPr="001407A1">
        <w:rPr>
          <w:rFonts w:ascii="HelveticaNeueLT Std" w:hAnsi="HelveticaNeueLT Std" w:cs="HelveticaNeueLT Std"/>
          <w:color w:val="000000" w:themeColor="text1"/>
          <w:kern w:val="0"/>
          <w:sz w:val="20"/>
          <w:szCs w:val="20"/>
          <w:lang w:val="pt-BR"/>
        </w:rPr>
        <w:t>ç</w:t>
      </w: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os centrado na pessoa.</w:t>
      </w:r>
    </w:p>
    <w:p w14:paraId="07DA5925" w14:textId="77777777" w:rsidR="001407A1" w:rsidRPr="001407A1" w:rsidRDefault="001407A1" w:rsidP="00257834">
      <w:pPr>
        <w:autoSpaceDE w:val="0"/>
        <w:autoSpaceDN w:val="0"/>
        <w:adjustRightInd w:val="0"/>
        <w:spacing w:before="12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Se um participante da dispensa de HCBS em Massachusetts acreditar que um dos ambientes onde reside ou onde recebe serviços não está em conformidade com a Regra Comunitária, ele poderá apresentar uma reclamação ao estado.</w:t>
      </w:r>
    </w:p>
    <w:p w14:paraId="2495C68B" w14:textId="5698E137" w:rsidR="00B544E4" w:rsidRPr="001407A1" w:rsidRDefault="001407A1" w:rsidP="00257834">
      <w:pPr>
        <w:autoSpaceDE w:val="0"/>
        <w:autoSpaceDN w:val="0"/>
        <w:adjustRightInd w:val="0"/>
        <w:spacing w:before="12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</w:pPr>
      <w:r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 xml:space="preserve">Para saber mais sobre esta regra ou para apresentar uma reclamação, acesse </w:t>
      </w:r>
      <w:hyperlink r:id="rId5" w:history="1">
        <w:r w:rsidR="00396FDE" w:rsidRPr="001407A1">
          <w:rPr>
            <w:rStyle w:val="Hyperlink"/>
            <w:rFonts w:ascii="HelveticaNeueLT Std" w:hAnsi="HelveticaNeueLT Std" w:cs="HelveticaLTStd-Bold"/>
            <w:b/>
            <w:bCs/>
            <w:kern w:val="0"/>
            <w:sz w:val="20"/>
            <w:szCs w:val="20"/>
            <w:lang w:val="pt-BR"/>
          </w:rPr>
          <w:t>www.mass.gov/HCBSCommunityRule</w:t>
        </w:r>
      </w:hyperlink>
      <w:r w:rsidR="00EC7363" w:rsidRPr="001407A1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pt-BR"/>
        </w:rPr>
        <w:t>.</w:t>
      </w:r>
    </w:p>
    <w:p w14:paraId="7B8560AF" w14:textId="487A405F" w:rsidR="00396FDE" w:rsidRPr="00EC7363" w:rsidRDefault="00396FDE" w:rsidP="00396FDE">
      <w:pPr>
        <w:spacing w:before="600" w:after="120"/>
        <w:rPr>
          <w:rFonts w:ascii="HelveticaNeueLT Std" w:hAnsi="HelveticaNeueLT Std"/>
          <w:color w:val="000000" w:themeColor="text1"/>
        </w:rPr>
      </w:pPr>
      <w:r>
        <w:rPr>
          <w:rFonts w:ascii="HelveticaLTStd-Roman" w:hAnsi="HelveticaLTStd-Roman" w:cs="HelveticaLTStd-Roman"/>
          <w:kern w:val="0"/>
          <w:sz w:val="14"/>
          <w:szCs w:val="14"/>
        </w:rPr>
        <w:t>CRL-</w:t>
      </w:r>
      <w:r w:rsidR="001407A1">
        <w:rPr>
          <w:rFonts w:ascii="HelveticaLTStd-Roman" w:hAnsi="HelveticaLTStd-Roman" w:cs="HelveticaLTStd-Roman"/>
          <w:kern w:val="0"/>
          <w:sz w:val="14"/>
          <w:szCs w:val="14"/>
        </w:rPr>
        <w:t>PT-BR</w:t>
      </w:r>
      <w:r w:rsidR="0038425E">
        <w:rPr>
          <w:rFonts w:ascii="HelveticaLTStd-Roman" w:hAnsi="HelveticaLTStd-Roman" w:cs="HelveticaLTStd-Roman"/>
          <w:kern w:val="0"/>
          <w:sz w:val="14"/>
          <w:szCs w:val="14"/>
        </w:rPr>
        <w:t>-</w:t>
      </w:r>
      <w:r>
        <w:rPr>
          <w:rFonts w:ascii="HelveticaLTStd-Roman" w:hAnsi="HelveticaLTStd-Roman" w:cs="HelveticaLTStd-Roman"/>
          <w:kern w:val="0"/>
          <w:sz w:val="14"/>
          <w:szCs w:val="14"/>
        </w:rPr>
        <w:t>2025-09</w:t>
      </w:r>
    </w:p>
    <w:sectPr w:rsidR="00396FDE" w:rsidRPr="00EC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OldStyle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LTStd-Bl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B05"/>
    <w:multiLevelType w:val="hybridMultilevel"/>
    <w:tmpl w:val="8878E15A"/>
    <w:lvl w:ilvl="0" w:tplc="F30E06DC">
      <w:numFmt w:val="bullet"/>
      <w:lvlText w:val="•"/>
      <w:lvlJc w:val="left"/>
      <w:pPr>
        <w:ind w:left="720" w:hanging="360"/>
      </w:pPr>
      <w:rPr>
        <w:rFonts w:ascii="HelveticaNeueLT Std" w:eastAsiaTheme="minorHAnsi" w:hAnsi="HelveticaNeueLT Std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9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63"/>
    <w:rsid w:val="00005AAF"/>
    <w:rsid w:val="001407A1"/>
    <w:rsid w:val="00197ABB"/>
    <w:rsid w:val="00257834"/>
    <w:rsid w:val="002A7C9E"/>
    <w:rsid w:val="0038425E"/>
    <w:rsid w:val="00396FDE"/>
    <w:rsid w:val="005D384B"/>
    <w:rsid w:val="005F2500"/>
    <w:rsid w:val="00B24C46"/>
    <w:rsid w:val="00B544E4"/>
    <w:rsid w:val="00C94B9C"/>
    <w:rsid w:val="00CB4169"/>
    <w:rsid w:val="00E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9E4B"/>
  <w15:chartTrackingRefBased/>
  <w15:docId w15:val="{5398230A-C7E0-4DE9-A288-A65FD8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4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HCBSCommunityR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Chaineda Sterling</cp:lastModifiedBy>
  <cp:revision>4</cp:revision>
  <dcterms:created xsi:type="dcterms:W3CDTF">2025-10-08T15:06:00Z</dcterms:created>
  <dcterms:modified xsi:type="dcterms:W3CDTF">2025-10-16T19:35:00Z</dcterms:modified>
</cp:coreProperties>
</file>