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B71A3E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1130515F" w:rsidR="00F664CC" w:rsidRPr="005B27F1" w:rsidRDefault="001C5ABD" w:rsidP="005B27F1">
      <w:pPr>
        <w:pStyle w:val="Heading1"/>
      </w:pPr>
      <w:r>
        <w:t>Home Health Agency</w:t>
      </w:r>
      <w:r w:rsidR="00F664CC" w:rsidRPr="005B27F1">
        <w:t xml:space="preserve"> Bulletin </w:t>
      </w:r>
      <w:r w:rsidR="00766329">
        <w:t>66</w:t>
      </w:r>
    </w:p>
    <w:p w14:paraId="21E58117" w14:textId="68FF702D" w:rsidR="00F664CC" w:rsidRPr="00150BCC" w:rsidRDefault="001C5ABD" w:rsidP="00150BCC">
      <w:pPr>
        <w:pStyle w:val="BullsHeading"/>
      </w:pPr>
      <w:r>
        <w:t>June 2021</w:t>
      </w:r>
    </w:p>
    <w:p w14:paraId="7C961569" w14:textId="2E5CEC43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507212A4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B30E90">
        <w:t>Home Health Agencies</w:t>
      </w:r>
      <w:r w:rsidRPr="00F664CC">
        <w:t xml:space="preserve"> Participating in </w:t>
      </w:r>
      <w:proofErr w:type="spellStart"/>
      <w:r w:rsidRPr="00F664CC">
        <w:t>MassHealth</w:t>
      </w:r>
      <w:proofErr w:type="spellEnd"/>
    </w:p>
    <w:p w14:paraId="7AD423C9" w14:textId="3DE0A247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 xml:space="preserve">Daniel Tsai, Assistant Secretary for </w:t>
      </w:r>
      <w:proofErr w:type="spellStart"/>
      <w:r w:rsidR="00AA6085">
        <w:t>MassHealth</w:t>
      </w:r>
      <w:proofErr w:type="spellEnd"/>
      <w:r w:rsidR="00B71A3E">
        <w:t xml:space="preserve"> [signature of Daniel Tsai]</w:t>
      </w:r>
      <w:bookmarkStart w:id="0" w:name="_GoBack"/>
      <w:bookmarkEnd w:id="0"/>
    </w:p>
    <w:p w14:paraId="376DC8E3" w14:textId="1C1D03D7" w:rsidR="00F664CC" w:rsidRPr="001C5ABD" w:rsidRDefault="00F664CC" w:rsidP="001C5ABD">
      <w:pPr>
        <w:ind w:left="1440" w:hanging="1080"/>
        <w:rPr>
          <w:b/>
        </w:rPr>
      </w:pPr>
      <w:r w:rsidRPr="0046639C">
        <w:rPr>
          <w:b/>
        </w:rPr>
        <w:t>RE</w:t>
      </w:r>
      <w:r w:rsidRPr="00F664CC">
        <w:t>:</w:t>
      </w:r>
      <w:r w:rsidR="00BD2DAF">
        <w:tab/>
      </w:r>
      <w:proofErr w:type="spellStart"/>
      <w:r w:rsidR="001C5ABD" w:rsidRPr="00945F2E">
        <w:rPr>
          <w:b/>
        </w:rPr>
        <w:t>MassHealth</w:t>
      </w:r>
      <w:proofErr w:type="spellEnd"/>
      <w:r w:rsidR="001C5ABD">
        <w:rPr>
          <w:b/>
        </w:rPr>
        <w:t xml:space="preserve"> Comprehensive Needs Assessment Conducted Through</w:t>
      </w:r>
      <w:r w:rsidR="001C5ABD" w:rsidRPr="00945F2E">
        <w:rPr>
          <w:b/>
        </w:rPr>
        <w:t xml:space="preserve"> </w:t>
      </w:r>
      <w:r w:rsidR="001C5ABD">
        <w:rPr>
          <w:b/>
        </w:rPr>
        <w:t>Telehealth for Community Case Management Members</w:t>
      </w:r>
    </w:p>
    <w:p w14:paraId="3EF4B994" w14:textId="4D8032DD" w:rsidR="001C5ABD" w:rsidRDefault="001C5ABD" w:rsidP="001C5ABD">
      <w:pPr>
        <w:pStyle w:val="Heading2"/>
      </w:pPr>
      <w:r>
        <w:t>Introduction</w:t>
      </w:r>
    </w:p>
    <w:p w14:paraId="06031E8F" w14:textId="62B6F33B" w:rsidR="001C5ABD" w:rsidRDefault="003B14B1" w:rsidP="001C5ABD">
      <w:r>
        <w:t xml:space="preserve">Due to </w:t>
      </w:r>
      <w:r w:rsidR="001C5ABD">
        <w:t xml:space="preserve">the continued risks of COVID-19 for </w:t>
      </w:r>
      <w:proofErr w:type="spellStart"/>
      <w:r w:rsidR="001C5ABD">
        <w:t>MassHealth</w:t>
      </w:r>
      <w:proofErr w:type="spellEnd"/>
      <w:r w:rsidR="001C5ABD">
        <w:t xml:space="preserve"> members seeking and/or receiving Community Case Management (CCM) services, </w:t>
      </w:r>
      <w:proofErr w:type="spellStart"/>
      <w:r w:rsidR="001C5ABD">
        <w:t>MassHealth</w:t>
      </w:r>
      <w:proofErr w:type="spellEnd"/>
      <w:r w:rsidR="001C5ABD">
        <w:t xml:space="preserve"> is extending the period in which CCM Clinical Managers may conduct a Comprehensive Needs Assessment through telehealth (including telephone and/or live video) instead of in person. CCM Case Managers may conduct a Comprehensive Needs Assessments via telehealth through the end of </w:t>
      </w:r>
      <w:r>
        <w:t xml:space="preserve">the </w:t>
      </w:r>
      <w:r w:rsidR="001C5ABD">
        <w:t>federal</w:t>
      </w:r>
      <w:r>
        <w:t>ly</w:t>
      </w:r>
      <w:r w:rsidR="001C5ABD">
        <w:t xml:space="preserve"> declared P</w:t>
      </w:r>
      <w:r>
        <w:t xml:space="preserve">ublic </w:t>
      </w:r>
      <w:r w:rsidR="001C5ABD">
        <w:t>H</w:t>
      </w:r>
      <w:r>
        <w:t xml:space="preserve">ealth </w:t>
      </w:r>
      <w:r w:rsidR="001C5ABD">
        <w:t>E</w:t>
      </w:r>
      <w:r>
        <w:t>mergency</w:t>
      </w:r>
      <w:r w:rsidR="001C5ABD">
        <w:t>. This temporary flexibility applies to Comprehensive Needs Assessments for members seeking CCM services as well as for members requiring a reevaluation for CCM services.</w:t>
      </w:r>
    </w:p>
    <w:p w14:paraId="70FB9B81" w14:textId="3F536C15" w:rsidR="001C5ABD" w:rsidRDefault="001C5ABD" w:rsidP="001C5ABD">
      <w:proofErr w:type="spellStart"/>
      <w:r>
        <w:t>MassHealth</w:t>
      </w:r>
      <w:proofErr w:type="spellEnd"/>
      <w:r>
        <w:t xml:space="preserve"> or its designee </w:t>
      </w:r>
      <w:r w:rsidR="00FC6F68">
        <w:t xml:space="preserve">will </w:t>
      </w:r>
      <w:r>
        <w:t xml:space="preserve">make every attempt to conduct the Comprehensive Needs Assessment in person. However, this assessment </w:t>
      </w:r>
      <w:r w:rsidR="00902568">
        <w:t xml:space="preserve">may </w:t>
      </w:r>
      <w:r>
        <w:t>be completed via telehealth (including telephone and/or live video)</w:t>
      </w:r>
      <w:r w:rsidR="00FC6F68">
        <w:t xml:space="preserve"> when requested for members who report COVID-19 transmission concerns</w:t>
      </w:r>
      <w:r>
        <w:t xml:space="preserve">. </w:t>
      </w:r>
    </w:p>
    <w:p w14:paraId="369F7566" w14:textId="77777777" w:rsidR="00F664CC" w:rsidRPr="009901A7" w:rsidRDefault="00F664CC" w:rsidP="006520D3">
      <w:pPr>
        <w:pStyle w:val="Heading2"/>
        <w:spacing w:after="100"/>
      </w:pPr>
      <w:proofErr w:type="spellStart"/>
      <w:r w:rsidRPr="009901A7">
        <w:t>MassHealth</w:t>
      </w:r>
      <w:proofErr w:type="spellEnd"/>
      <w:r w:rsidRPr="009901A7">
        <w:t xml:space="preserve">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B71A3E" w:rsidP="00E27CD8">
      <w:hyperlink r:id="rId13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9536338" w14:textId="7E663745" w:rsidR="0039104C" w:rsidRDefault="0039104C" w:rsidP="00594648">
      <w:pPr>
        <w:pStyle w:val="BodyTextIndent"/>
      </w:pPr>
      <w:r>
        <w:t>If you have any questions about the information in this bulletin, please contact the Long Term Services and Supports (LTSS) Provider Service Center.</w:t>
      </w:r>
      <w:r w:rsidR="00B30E90">
        <w:t xml:space="preserve"> </w:t>
      </w:r>
      <w:r w:rsidR="00B30E90" w:rsidRPr="00B30E90">
        <w:t xml:space="preserve">The </w:t>
      </w:r>
      <w:proofErr w:type="spellStart"/>
      <w:r w:rsidR="00B30E90" w:rsidRPr="00B30E90">
        <w:t>MassHealth</w:t>
      </w:r>
      <w:proofErr w:type="spellEnd"/>
      <w:r w:rsidR="00B30E90" w:rsidRPr="00B30E90">
        <w:t xml:space="preserve"> LTSS Provider Service Center is open from 8 a.m. to 6 p.m., Monday through Friday, excluding holidays. LTSS Providers should direct their questions about this letter or other </w:t>
      </w:r>
      <w:proofErr w:type="spellStart"/>
      <w:r w:rsidR="00B30E90" w:rsidRPr="00B30E90">
        <w:t>MassHealth</w:t>
      </w:r>
      <w:proofErr w:type="spellEnd"/>
      <w:r w:rsidR="00B30E90" w:rsidRPr="00B30E90">
        <w:t xml:space="preserve"> LTSS Provider questions to the LTSS Third Party Administrator (TPA) as follows</w:t>
      </w:r>
      <w:r w:rsidR="00B30E90"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B71A3E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4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B71A3E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5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32634382" w14:textId="77777777" w:rsidR="0067618B" w:rsidRDefault="0067618B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  <w:b/>
              </w:rPr>
            </w:pPr>
          </w:p>
          <w:p w14:paraId="2521AC38" w14:textId="77777777" w:rsidR="0067618B" w:rsidRDefault="0067618B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  <w:b/>
              </w:rPr>
            </w:pPr>
          </w:p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lastRenderedPageBreak/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24DE5BF2" w14:textId="77777777" w:rsidR="0067618B" w:rsidRDefault="0067618B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</w:p>
          <w:p w14:paraId="017A1B26" w14:textId="77777777" w:rsidR="0067618B" w:rsidRDefault="0067618B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</w:p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proofErr w:type="spellStart"/>
            <w:r w:rsidRPr="0039104C">
              <w:rPr>
                <w:rFonts w:cs="Arial"/>
              </w:rPr>
              <w:lastRenderedPageBreak/>
              <w:t>MassHealth</w:t>
            </w:r>
            <w:proofErr w:type="spellEnd"/>
            <w:r w:rsidRPr="0039104C">
              <w:rPr>
                <w:rFonts w:cs="Arial"/>
              </w:rPr>
              <w:t xml:space="preserve"> LTSS</w:t>
            </w:r>
          </w:p>
          <w:p w14:paraId="1B749E61" w14:textId="2FF55194" w:rsidR="0039104C" w:rsidRPr="0039104C" w:rsidRDefault="007E299A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lastRenderedPageBreak/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92544" w14:textId="77777777" w:rsidR="009E435F" w:rsidRDefault="009E435F" w:rsidP="00E27CD8">
      <w:r>
        <w:separator/>
      </w:r>
    </w:p>
  </w:endnote>
  <w:endnote w:type="continuationSeparator" w:id="0">
    <w:p w14:paraId="7C600FEC" w14:textId="77777777" w:rsidR="009E435F" w:rsidRDefault="009E435F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47C19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11E96" w14:textId="77777777" w:rsidR="009E435F" w:rsidRDefault="009E435F" w:rsidP="00E27CD8">
      <w:r>
        <w:separator/>
      </w:r>
    </w:p>
  </w:footnote>
  <w:footnote w:type="continuationSeparator" w:id="0">
    <w:p w14:paraId="2A170D6A" w14:textId="77777777" w:rsidR="009E435F" w:rsidRDefault="009E435F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43D8AF44" w:rsidR="00AD204A" w:rsidRPr="00F664CC" w:rsidRDefault="007E299A" w:rsidP="00AD204A">
    <w:pPr>
      <w:pStyle w:val="BullsHeading"/>
    </w:pPr>
    <w:r>
      <w:t>Home Health</w:t>
    </w:r>
    <w:r w:rsidR="00AD204A" w:rsidRPr="00F664CC">
      <w:t xml:space="preserve"> Bulletin </w:t>
    </w:r>
    <w:r w:rsidR="00766329">
      <w:t>66</w:t>
    </w:r>
  </w:p>
  <w:p w14:paraId="4598925B" w14:textId="45D3D62C" w:rsidR="00AD204A" w:rsidRDefault="007E299A" w:rsidP="00AD204A">
    <w:pPr>
      <w:pStyle w:val="BullsHeading"/>
    </w:pPr>
    <w:r>
      <w:t>June 2021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71A3E">
      <w:rPr>
        <w:noProof/>
      </w:rPr>
      <w:t>2</w:t>
    </w:r>
    <w:r>
      <w:fldChar w:fldCharType="end"/>
    </w:r>
    <w:r>
      <w:t xml:space="preserve"> of </w:t>
    </w:r>
    <w:r w:rsidR="00B71A3E">
      <w:fldChar w:fldCharType="begin"/>
    </w:r>
    <w:r w:rsidR="00B71A3E">
      <w:instrText xml:space="preserve"> NUMPAGES  \* Arabic  \* MERGEFORMAT </w:instrText>
    </w:r>
    <w:r w:rsidR="00B71A3E">
      <w:fldChar w:fldCharType="separate"/>
    </w:r>
    <w:r w:rsidR="00B71A3E">
      <w:rPr>
        <w:noProof/>
      </w:rPr>
      <w:t>2</w:t>
    </w:r>
    <w:r w:rsidR="00B71A3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50BCC"/>
    <w:rsid w:val="001554E7"/>
    <w:rsid w:val="001634DD"/>
    <w:rsid w:val="001C5ABD"/>
    <w:rsid w:val="00220CB5"/>
    <w:rsid w:val="00221556"/>
    <w:rsid w:val="0028720F"/>
    <w:rsid w:val="002F2993"/>
    <w:rsid w:val="0039104C"/>
    <w:rsid w:val="003A7588"/>
    <w:rsid w:val="003B14B1"/>
    <w:rsid w:val="003E2878"/>
    <w:rsid w:val="0046639C"/>
    <w:rsid w:val="004A7718"/>
    <w:rsid w:val="004F4B9A"/>
    <w:rsid w:val="005068BD"/>
    <w:rsid w:val="00507CFF"/>
    <w:rsid w:val="0058634E"/>
    <w:rsid w:val="0059142C"/>
    <w:rsid w:val="00594648"/>
    <w:rsid w:val="005B27F1"/>
    <w:rsid w:val="005E4B62"/>
    <w:rsid w:val="005F2B69"/>
    <w:rsid w:val="00625C1F"/>
    <w:rsid w:val="006520D3"/>
    <w:rsid w:val="0067618B"/>
    <w:rsid w:val="006941BF"/>
    <w:rsid w:val="006C70F9"/>
    <w:rsid w:val="006C79CA"/>
    <w:rsid w:val="006D3F15"/>
    <w:rsid w:val="006D5DE2"/>
    <w:rsid w:val="00706438"/>
    <w:rsid w:val="00766329"/>
    <w:rsid w:val="00777A22"/>
    <w:rsid w:val="00795E06"/>
    <w:rsid w:val="007E299A"/>
    <w:rsid w:val="007F7DBF"/>
    <w:rsid w:val="00863041"/>
    <w:rsid w:val="00887ED3"/>
    <w:rsid w:val="008B6E51"/>
    <w:rsid w:val="00902568"/>
    <w:rsid w:val="00914588"/>
    <w:rsid w:val="00922F04"/>
    <w:rsid w:val="00982839"/>
    <w:rsid w:val="009E435F"/>
    <w:rsid w:val="00A50BAA"/>
    <w:rsid w:val="00A772C1"/>
    <w:rsid w:val="00A90E4D"/>
    <w:rsid w:val="00A95FC1"/>
    <w:rsid w:val="00AA6085"/>
    <w:rsid w:val="00AD204A"/>
    <w:rsid w:val="00AD6899"/>
    <w:rsid w:val="00B30E90"/>
    <w:rsid w:val="00B71A3E"/>
    <w:rsid w:val="00B73653"/>
    <w:rsid w:val="00BC3755"/>
    <w:rsid w:val="00BD2DAF"/>
    <w:rsid w:val="00C024A2"/>
    <w:rsid w:val="00CC1E11"/>
    <w:rsid w:val="00CD456D"/>
    <w:rsid w:val="00E01D80"/>
    <w:rsid w:val="00E27CD8"/>
    <w:rsid w:val="00ED497C"/>
    <w:rsid w:val="00F60574"/>
    <w:rsid w:val="00F664CC"/>
    <w:rsid w:val="00F73D6F"/>
    <w:rsid w:val="00F74F30"/>
    <w:rsid w:val="00FC6F68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email-notifications-for-masshealth-provider-bulletins-and-transmittal-lette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support@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25</TotalTime>
  <Pages>2</Pages>
  <Words>297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15</cp:revision>
  <cp:lastPrinted>2021-06-14T20:22:00Z</cp:lastPrinted>
  <dcterms:created xsi:type="dcterms:W3CDTF">2021-06-03T15:14:00Z</dcterms:created>
  <dcterms:modified xsi:type="dcterms:W3CDTF">2021-06-14T20:23:00Z</dcterms:modified>
</cp:coreProperties>
</file>