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5D82" w14:textId="77777777" w:rsidR="00571C62" w:rsidRPr="0031362E" w:rsidRDefault="00571C62">
      <w:r w:rsidRPr="0031362E">
        <w:t>Section</w:t>
      </w:r>
    </w:p>
    <w:p w14:paraId="1BE91D18" w14:textId="77777777" w:rsidR="00571C62" w:rsidRPr="00E63369" w:rsidRDefault="00571C62"/>
    <w:p w14:paraId="590DE587" w14:textId="4F6E7616" w:rsidR="00B813CA" w:rsidRPr="00E63369" w:rsidRDefault="0075436A">
      <w:r w:rsidRPr="00E63369">
        <w:t>5</w:t>
      </w:r>
      <w:r w:rsidR="007C598F" w:rsidRPr="00E63369">
        <w:t>1</w:t>
      </w:r>
      <w:r w:rsidR="00695059">
        <w:t>4</w:t>
      </w:r>
      <w:r w:rsidR="007C598F" w:rsidRPr="00E63369">
        <w:t>.01</w:t>
      </w:r>
      <w:r w:rsidR="00305661" w:rsidRPr="00E63369">
        <w:t xml:space="preserve">:  </w:t>
      </w:r>
      <w:r w:rsidR="007C598F" w:rsidRPr="00E63369">
        <w:t>General Provisions</w:t>
      </w:r>
    </w:p>
    <w:p w14:paraId="052B54A6" w14:textId="283E3859" w:rsidR="00B813CA" w:rsidRPr="00E63369" w:rsidRDefault="00B813CA">
      <w:r w:rsidRPr="00E63369">
        <w:t>51</w:t>
      </w:r>
      <w:r w:rsidR="00695059">
        <w:t>4</w:t>
      </w:r>
      <w:r w:rsidR="007C598F" w:rsidRPr="00E63369">
        <w:t>.02</w:t>
      </w:r>
      <w:r w:rsidR="00305661" w:rsidRPr="00E63369">
        <w:t xml:space="preserve">:  </w:t>
      </w:r>
      <w:r w:rsidR="007C598F" w:rsidRPr="00E63369">
        <w:t>Definitions</w:t>
      </w:r>
    </w:p>
    <w:p w14:paraId="6A5B074B" w14:textId="5B4362F2" w:rsidR="00B813CA" w:rsidRPr="00E63369" w:rsidRDefault="00B813CA">
      <w:r w:rsidRPr="00E63369">
        <w:t>51</w:t>
      </w:r>
      <w:r w:rsidR="00695059">
        <w:t>4</w:t>
      </w:r>
      <w:r w:rsidR="00617A1B" w:rsidRPr="00E63369">
        <w:t>.03</w:t>
      </w:r>
      <w:r w:rsidR="00305661" w:rsidRPr="00E63369">
        <w:t xml:space="preserve">:  </w:t>
      </w:r>
      <w:r w:rsidR="00F83D8B">
        <w:t>Hospital</w:t>
      </w:r>
      <w:r w:rsidR="00617A1B" w:rsidRPr="00E63369">
        <w:t xml:space="preserve"> </w:t>
      </w:r>
      <w:r w:rsidR="003365DF" w:rsidRPr="00E63369">
        <w:t>Groups</w:t>
      </w:r>
    </w:p>
    <w:p w14:paraId="4133C1C8" w14:textId="695F1CEE" w:rsidR="00B813CA" w:rsidRPr="00E63369" w:rsidRDefault="00B813CA">
      <w:pPr>
        <w:rPr>
          <w:u w:val="single"/>
        </w:rPr>
      </w:pPr>
      <w:r w:rsidRPr="00E63369">
        <w:t>51</w:t>
      </w:r>
      <w:r w:rsidR="00695059">
        <w:t>4</w:t>
      </w:r>
      <w:r w:rsidR="007C598F" w:rsidRPr="00E63369">
        <w:t>.0</w:t>
      </w:r>
      <w:r w:rsidR="00617A1B" w:rsidRPr="00E63369">
        <w:t>4</w:t>
      </w:r>
      <w:r w:rsidR="00305661" w:rsidRPr="00E63369">
        <w:t xml:space="preserve">:  </w:t>
      </w:r>
      <w:r w:rsidR="007C598F" w:rsidRPr="00E63369">
        <w:t xml:space="preserve">Calculation of </w:t>
      </w:r>
      <w:r w:rsidR="008A50B1">
        <w:t>Hospital Assessment</w:t>
      </w:r>
      <w:r w:rsidR="007C598F" w:rsidRPr="00E63369">
        <w:t xml:space="preserve"> </w:t>
      </w:r>
    </w:p>
    <w:p w14:paraId="799DE0F5" w14:textId="24967B95" w:rsidR="00B813CA" w:rsidRPr="00E63369" w:rsidRDefault="00B813CA">
      <w:r w:rsidRPr="00E63369">
        <w:t>51</w:t>
      </w:r>
      <w:r w:rsidR="00695059">
        <w:t>4</w:t>
      </w:r>
      <w:r w:rsidR="007C598F" w:rsidRPr="00E63369">
        <w:t>.0</w:t>
      </w:r>
      <w:r w:rsidR="00617A1B" w:rsidRPr="00E63369">
        <w:t>5</w:t>
      </w:r>
      <w:r w:rsidR="00305661" w:rsidRPr="00E63369">
        <w:t xml:space="preserve">:  </w:t>
      </w:r>
      <w:r w:rsidR="007C598F" w:rsidRPr="00E63369">
        <w:t xml:space="preserve">Payment of </w:t>
      </w:r>
      <w:r w:rsidR="008A50B1">
        <w:t>Hospital Assessment</w:t>
      </w:r>
      <w:r w:rsidR="007C598F" w:rsidRPr="00E63369">
        <w:t xml:space="preserve">  </w:t>
      </w:r>
    </w:p>
    <w:p w14:paraId="38CC05E6" w14:textId="5C2118E6" w:rsidR="00B813CA" w:rsidRPr="00E63369" w:rsidRDefault="00B813CA">
      <w:r w:rsidRPr="00E63369">
        <w:t>51</w:t>
      </w:r>
      <w:r w:rsidR="00695059">
        <w:t>4</w:t>
      </w:r>
      <w:r w:rsidR="007C598F" w:rsidRPr="00E63369">
        <w:t>.0</w:t>
      </w:r>
      <w:r w:rsidR="00617A1B" w:rsidRPr="00E63369">
        <w:t>6</w:t>
      </w:r>
      <w:r w:rsidR="00305661" w:rsidRPr="00E63369">
        <w:t xml:space="preserve">:  </w:t>
      </w:r>
      <w:r w:rsidR="007C598F" w:rsidRPr="00E63369">
        <w:t>Reporting Requirements</w:t>
      </w:r>
    </w:p>
    <w:p w14:paraId="060B1BCE" w14:textId="5C407993" w:rsidR="007C598F" w:rsidRPr="00E63369" w:rsidRDefault="00B813CA">
      <w:r w:rsidRPr="00E63369">
        <w:t>51</w:t>
      </w:r>
      <w:r w:rsidR="00695059">
        <w:t>4</w:t>
      </w:r>
      <w:r w:rsidR="007C598F" w:rsidRPr="00E63369">
        <w:t>.0</w:t>
      </w:r>
      <w:r w:rsidR="00617A1B" w:rsidRPr="00E63369">
        <w:t>7</w:t>
      </w:r>
      <w:r w:rsidR="00305661" w:rsidRPr="00E63369">
        <w:t xml:space="preserve">:  </w:t>
      </w:r>
      <w:r w:rsidR="005634F9" w:rsidRPr="00AA4FDF">
        <w:t>Severability</w:t>
      </w:r>
    </w:p>
    <w:p w14:paraId="733659BE" w14:textId="77777777" w:rsidR="00B813CA" w:rsidRPr="00E63369" w:rsidRDefault="00B813CA"/>
    <w:p w14:paraId="071DB8CD" w14:textId="0295FA10" w:rsidR="007C598F" w:rsidRPr="00E63369" w:rsidRDefault="00B813CA">
      <w:pPr>
        <w:rPr>
          <w:u w:val="single"/>
        </w:rPr>
      </w:pPr>
      <w:r w:rsidRPr="00E63369">
        <w:rPr>
          <w:u w:val="single"/>
        </w:rPr>
        <w:t>51</w:t>
      </w:r>
      <w:r w:rsidR="00890184">
        <w:rPr>
          <w:u w:val="single"/>
        </w:rPr>
        <w:t>4</w:t>
      </w:r>
      <w:r w:rsidR="007C598F" w:rsidRPr="00E63369">
        <w:rPr>
          <w:u w:val="single"/>
        </w:rPr>
        <w:t>.01</w:t>
      </w:r>
      <w:r w:rsidR="00305661" w:rsidRPr="0031362E">
        <w:rPr>
          <w:u w:val="single"/>
        </w:rPr>
        <w:t xml:space="preserve">:  </w:t>
      </w:r>
      <w:r w:rsidR="007C598F" w:rsidRPr="0031362E">
        <w:rPr>
          <w:u w:val="single"/>
        </w:rPr>
        <w:t>General Provisions</w:t>
      </w:r>
    </w:p>
    <w:p w14:paraId="1A473DCF" w14:textId="77777777" w:rsidR="007C598F" w:rsidRPr="00E63369" w:rsidRDefault="007C598F">
      <w:pPr>
        <w:rPr>
          <w:u w:val="single"/>
        </w:rPr>
      </w:pPr>
    </w:p>
    <w:p w14:paraId="6128287C" w14:textId="6DC4C007" w:rsidR="009801DA" w:rsidRDefault="009801DA" w:rsidP="009801DA">
      <w:pPr>
        <w:ind w:left="720"/>
      </w:pPr>
      <w:r w:rsidRPr="00AA4FDF">
        <w:t xml:space="preserve">(1)  </w:t>
      </w:r>
      <w:r w:rsidRPr="00AA4FDF">
        <w:rPr>
          <w:u w:val="single"/>
        </w:rPr>
        <w:t>Scope and Purpose</w:t>
      </w:r>
      <w:r w:rsidRPr="00AA4FDF">
        <w:t>.</w:t>
      </w:r>
      <w:r>
        <w:t xml:space="preserve"> </w:t>
      </w:r>
      <w:r w:rsidR="004C1C40">
        <w:t xml:space="preserve"> </w:t>
      </w:r>
      <w:r w:rsidR="00B577C9" w:rsidRPr="0031362E">
        <w:t>101</w:t>
      </w:r>
      <w:r w:rsidR="007C598F" w:rsidRPr="00E63369">
        <w:t xml:space="preserve"> CMR </w:t>
      </w:r>
      <w:r w:rsidR="00B97A2E" w:rsidRPr="00E63369">
        <w:t>5</w:t>
      </w:r>
      <w:r w:rsidR="007C598F" w:rsidRPr="00E63369">
        <w:t>1</w:t>
      </w:r>
      <w:r w:rsidR="008A50B1">
        <w:t>4</w:t>
      </w:r>
      <w:r w:rsidR="007C598F" w:rsidRPr="00E63369">
        <w:t xml:space="preserve">.00 governs the collection of </w:t>
      </w:r>
      <w:r w:rsidR="00186892">
        <w:t>the hospital assessment established under M.G.L. c. 118E, § 6</w:t>
      </w:r>
      <w:r w:rsidR="00EC3F7C">
        <w:t>7</w:t>
      </w:r>
      <w:r w:rsidR="007C598F" w:rsidRPr="00E63369">
        <w:t>.</w:t>
      </w:r>
    </w:p>
    <w:p w14:paraId="77157168" w14:textId="77777777" w:rsidR="009801DA" w:rsidRDefault="009801DA" w:rsidP="009801DA">
      <w:pPr>
        <w:ind w:left="720"/>
      </w:pPr>
    </w:p>
    <w:p w14:paraId="3A1ADD8E" w14:textId="6580DFCA" w:rsidR="007C598F" w:rsidRPr="00E63369" w:rsidRDefault="009801DA" w:rsidP="00AA4FDF">
      <w:pPr>
        <w:ind w:left="720"/>
      </w:pPr>
      <w:r w:rsidRPr="00AA4FDF">
        <w:t xml:space="preserve">(2)  </w:t>
      </w:r>
      <w:r w:rsidRPr="00AA4FDF">
        <w:rPr>
          <w:u w:val="single"/>
        </w:rPr>
        <w:t>Administrative Bulletins</w:t>
      </w:r>
      <w:r w:rsidRPr="00AA4FDF">
        <w:t>.  EOHHS may issue administrative bulletins to clarify policies, update administrative requirements, and specify information and documentation necessary to comply with 101 CMR 514.00.</w:t>
      </w:r>
    </w:p>
    <w:p w14:paraId="33B262A2" w14:textId="4C8EF844" w:rsidR="007C598F" w:rsidRPr="00E63369" w:rsidRDefault="007C598F">
      <w:pPr>
        <w:ind w:left="180"/>
      </w:pPr>
    </w:p>
    <w:p w14:paraId="593B59A5" w14:textId="08F4AA5B" w:rsidR="007C598F" w:rsidRPr="00E63369" w:rsidRDefault="00B813CA">
      <w:pPr>
        <w:rPr>
          <w:u w:val="single"/>
        </w:rPr>
      </w:pPr>
      <w:r w:rsidRPr="00E63369">
        <w:rPr>
          <w:u w:val="single"/>
        </w:rPr>
        <w:t>51</w:t>
      </w:r>
      <w:r w:rsidR="00890184">
        <w:rPr>
          <w:u w:val="single"/>
        </w:rPr>
        <w:t>4</w:t>
      </w:r>
      <w:r w:rsidR="007C598F" w:rsidRPr="00E63369">
        <w:rPr>
          <w:u w:val="single"/>
        </w:rPr>
        <w:t>.02</w:t>
      </w:r>
      <w:r w:rsidR="00305661" w:rsidRPr="0031362E">
        <w:rPr>
          <w:u w:val="single"/>
        </w:rPr>
        <w:t xml:space="preserve">:  </w:t>
      </w:r>
      <w:r w:rsidR="007C598F" w:rsidRPr="0031362E">
        <w:rPr>
          <w:u w:val="single"/>
        </w:rPr>
        <w:t>Definitions</w:t>
      </w:r>
    </w:p>
    <w:p w14:paraId="54EAECD3" w14:textId="77777777" w:rsidR="007C598F" w:rsidRPr="00E63369" w:rsidRDefault="007C598F">
      <w:pPr>
        <w:rPr>
          <w:u w:val="single"/>
        </w:rPr>
      </w:pPr>
    </w:p>
    <w:p w14:paraId="538C4B58" w14:textId="4FD67B1F" w:rsidR="007C598F" w:rsidRPr="00E63369" w:rsidRDefault="007C598F" w:rsidP="008B7D9F">
      <w:pPr>
        <w:ind w:left="720" w:firstLine="360"/>
      </w:pPr>
      <w:r w:rsidRPr="00E63369">
        <w:t xml:space="preserve">As used in </w:t>
      </w:r>
      <w:r w:rsidR="00B577C9" w:rsidRPr="00E63369">
        <w:t>101</w:t>
      </w:r>
      <w:r w:rsidRPr="00E63369">
        <w:t xml:space="preserve"> CMR </w:t>
      </w:r>
      <w:r w:rsidR="00B97A2E" w:rsidRPr="00E63369">
        <w:t>5</w:t>
      </w:r>
      <w:r w:rsidRPr="00E63369">
        <w:t>1</w:t>
      </w:r>
      <w:r w:rsidR="00FB37BC">
        <w:t>4</w:t>
      </w:r>
      <w:r w:rsidRPr="00E63369">
        <w:t xml:space="preserve">.00, unless the context </w:t>
      </w:r>
      <w:r w:rsidR="00AF42D8" w:rsidRPr="00E63369">
        <w:t xml:space="preserve">requires </w:t>
      </w:r>
      <w:r w:rsidRPr="00E63369">
        <w:t>otherwise, terms have the following meanings</w:t>
      </w:r>
      <w:r w:rsidR="006E74C6" w:rsidRPr="00E63369">
        <w:t>.</w:t>
      </w:r>
    </w:p>
    <w:p w14:paraId="48335000" w14:textId="77777777" w:rsidR="007C598F" w:rsidRPr="00E63369" w:rsidRDefault="007C598F" w:rsidP="00E63369">
      <w:pPr>
        <w:ind w:left="720"/>
      </w:pPr>
    </w:p>
    <w:p w14:paraId="2F303FF5" w14:textId="19A95C3C" w:rsidR="008F75BA" w:rsidRPr="00741B5C" w:rsidRDefault="008F75BA" w:rsidP="008F75BA">
      <w:pPr>
        <w:ind w:left="720"/>
      </w:pPr>
      <w:r w:rsidRPr="00741B5C">
        <w:rPr>
          <w:rStyle w:val="Style11ptUnderline"/>
        </w:rPr>
        <w:t>Acute Hospital</w:t>
      </w:r>
      <w:r w:rsidRPr="00741B5C">
        <w:t>.  A hospital licensed under M.G.L. c. 111, § 51 that contains a majority of medical-surgical, pediatric, obstetric, and maternity beds, as defined by the Department of Public Health.</w:t>
      </w:r>
    </w:p>
    <w:p w14:paraId="5E3AB2D6" w14:textId="77777777" w:rsidR="008F75BA" w:rsidRDefault="008F75BA" w:rsidP="00E63369">
      <w:pPr>
        <w:ind w:left="720"/>
        <w:rPr>
          <w:u w:val="single"/>
        </w:rPr>
      </w:pPr>
    </w:p>
    <w:p w14:paraId="5E12636C" w14:textId="462969DA" w:rsidR="00B53C78" w:rsidRDefault="00B53C78" w:rsidP="00B53C78">
      <w:pPr>
        <w:ind w:left="720"/>
      </w:pPr>
      <w:r w:rsidRPr="00CA79C5">
        <w:rPr>
          <w:u w:val="single"/>
        </w:rPr>
        <w:t>Assessed Charges</w:t>
      </w:r>
      <w:r>
        <w:t xml:space="preserve">.  </w:t>
      </w:r>
      <w:r w:rsidRPr="0096212A">
        <w:t xml:space="preserve">Gross </w:t>
      </w:r>
      <w:r w:rsidR="009F551D">
        <w:t>p</w:t>
      </w:r>
      <w:r w:rsidRPr="0096212A">
        <w:t xml:space="preserve">atient </w:t>
      </w:r>
      <w:r w:rsidR="009F551D">
        <w:t>s</w:t>
      </w:r>
      <w:r w:rsidRPr="0096212A">
        <w:t xml:space="preserve">ervice </w:t>
      </w:r>
      <w:r w:rsidR="009F551D">
        <w:t>r</w:t>
      </w:r>
      <w:r w:rsidRPr="0096212A">
        <w:t xml:space="preserve">evenue attributable to all </w:t>
      </w:r>
      <w:r w:rsidR="009F551D">
        <w:t>p</w:t>
      </w:r>
      <w:r w:rsidRPr="0096212A">
        <w:t xml:space="preserve">atients less </w:t>
      </w:r>
      <w:r w:rsidR="009F551D">
        <w:t>g</w:t>
      </w:r>
      <w:r w:rsidRPr="0096212A">
        <w:t xml:space="preserve">ross </w:t>
      </w:r>
      <w:r w:rsidR="009F551D">
        <w:t>p</w:t>
      </w:r>
      <w:r w:rsidRPr="0096212A">
        <w:t>atient</w:t>
      </w:r>
      <w:r w:rsidR="009F551D">
        <w:t xml:space="preserve"> s</w:t>
      </w:r>
      <w:r w:rsidRPr="0096212A">
        <w:t xml:space="preserve">ervice </w:t>
      </w:r>
      <w:r w:rsidR="009F551D">
        <w:t>r</w:t>
      </w:r>
      <w:r w:rsidRPr="0096212A">
        <w:t>evenue attributable to programs administered pursuant to Title</w:t>
      </w:r>
      <w:r>
        <w:t>s</w:t>
      </w:r>
      <w:r w:rsidRPr="0096212A">
        <w:t xml:space="preserve"> XVIII, XIX</w:t>
      </w:r>
      <w:r>
        <w:t>,</w:t>
      </w:r>
      <w:r w:rsidRPr="0096212A">
        <w:t xml:space="preserve"> and XXI of the Social Security Act</w:t>
      </w:r>
      <w:r>
        <w:t xml:space="preserve"> in </w:t>
      </w:r>
      <w:r w:rsidR="009F551D">
        <w:t>each hospital’s fiscal year 2019</w:t>
      </w:r>
      <w:r w:rsidRPr="0096212A">
        <w:t>.</w:t>
      </w:r>
    </w:p>
    <w:p w14:paraId="39C0D758" w14:textId="77777777" w:rsidR="00B53C78" w:rsidRDefault="00B53C78" w:rsidP="00B53C78">
      <w:pPr>
        <w:ind w:left="720"/>
      </w:pPr>
    </w:p>
    <w:p w14:paraId="7390F274" w14:textId="784D33DB" w:rsidR="007C598F" w:rsidRPr="00E63369" w:rsidRDefault="007C598F" w:rsidP="00B53C78">
      <w:pPr>
        <w:ind w:left="720"/>
      </w:pPr>
      <w:r w:rsidRPr="00E63369">
        <w:rPr>
          <w:u w:val="single"/>
        </w:rPr>
        <w:t>Assessment</w:t>
      </w:r>
      <w:r w:rsidRPr="00E63369">
        <w:t>.  The total payment due</w:t>
      </w:r>
      <w:r w:rsidR="00B53C78">
        <w:t xml:space="preserve"> by each hospital</w:t>
      </w:r>
      <w:r w:rsidRPr="00E63369">
        <w:t xml:space="preserve"> each </w:t>
      </w:r>
      <w:r w:rsidR="002D35A7">
        <w:t xml:space="preserve">month or </w:t>
      </w:r>
      <w:r w:rsidRPr="00E63369">
        <w:t xml:space="preserve">quarter, as set forth in </w:t>
      </w:r>
      <w:r w:rsidR="006E2152" w:rsidRPr="00E63369">
        <w:t>1</w:t>
      </w:r>
      <w:r w:rsidR="00B577C9" w:rsidRPr="00E63369">
        <w:t>01</w:t>
      </w:r>
      <w:r w:rsidRPr="00E63369">
        <w:t xml:space="preserve"> CMR </w:t>
      </w:r>
      <w:r w:rsidR="00B813CA" w:rsidRPr="00E63369">
        <w:t>5</w:t>
      </w:r>
      <w:r w:rsidRPr="00E63369">
        <w:t>1</w:t>
      </w:r>
      <w:r w:rsidR="00FB37BC">
        <w:t>4</w:t>
      </w:r>
      <w:r w:rsidR="00B3088A" w:rsidRPr="00E63369">
        <w:t>.00</w:t>
      </w:r>
      <w:r w:rsidRPr="00E63369">
        <w:t>.</w:t>
      </w:r>
    </w:p>
    <w:p w14:paraId="1AB23FE8" w14:textId="77777777" w:rsidR="007C598F" w:rsidRDefault="007C598F" w:rsidP="00E63369">
      <w:pPr>
        <w:ind w:left="720"/>
      </w:pPr>
    </w:p>
    <w:p w14:paraId="48E430DB" w14:textId="3BBA0F13" w:rsidR="008B7D9F" w:rsidRDefault="008B7D9F" w:rsidP="00E63369">
      <w:pPr>
        <w:ind w:left="720"/>
      </w:pPr>
      <w:r w:rsidRPr="008B7D9F">
        <w:rPr>
          <w:u w:val="single"/>
        </w:rPr>
        <w:t>Center for Health Information and Analysis (CHIA)</w:t>
      </w:r>
      <w:r w:rsidRPr="008B7D9F">
        <w:t xml:space="preserve">. </w:t>
      </w:r>
      <w:r>
        <w:t xml:space="preserve"> </w:t>
      </w:r>
      <w:r w:rsidRPr="008B7D9F">
        <w:t>The Center for Health Information and Analysis established under M.G.L. c. 12C</w:t>
      </w:r>
      <w:r w:rsidR="000E67C5">
        <w:t>.</w:t>
      </w:r>
    </w:p>
    <w:p w14:paraId="46AA499C" w14:textId="77777777" w:rsidR="008B7D9F" w:rsidRPr="00E63369" w:rsidRDefault="008B7D9F" w:rsidP="00E63369">
      <w:pPr>
        <w:ind w:left="720"/>
      </w:pPr>
    </w:p>
    <w:p w14:paraId="434A732F" w14:textId="35A9FCDD" w:rsidR="004A58FD" w:rsidRPr="00E63369" w:rsidRDefault="004A58FD" w:rsidP="00E63369">
      <w:pPr>
        <w:ind w:left="720"/>
      </w:pPr>
      <w:r w:rsidRPr="00E63369">
        <w:rPr>
          <w:u w:val="single"/>
        </w:rPr>
        <w:t xml:space="preserve">Centers for Medicare </w:t>
      </w:r>
      <w:r w:rsidR="004B1C94">
        <w:rPr>
          <w:u w:val="single"/>
        </w:rPr>
        <w:t>&amp;</w:t>
      </w:r>
      <w:r w:rsidR="004B1C94" w:rsidRPr="00E63369">
        <w:rPr>
          <w:u w:val="single"/>
        </w:rPr>
        <w:t xml:space="preserve"> </w:t>
      </w:r>
      <w:r w:rsidRPr="00E63369">
        <w:rPr>
          <w:u w:val="single"/>
        </w:rPr>
        <w:t>Medicaid Services</w:t>
      </w:r>
      <w:r w:rsidRPr="0031362E">
        <w:rPr>
          <w:szCs w:val="24"/>
          <w:u w:val="single"/>
        </w:rPr>
        <w:t xml:space="preserve"> (CMS)</w:t>
      </w:r>
      <w:r w:rsidR="00305661" w:rsidRPr="0031362E">
        <w:rPr>
          <w:szCs w:val="24"/>
        </w:rPr>
        <w:t xml:space="preserve">. </w:t>
      </w:r>
      <w:r w:rsidRPr="0031362E">
        <w:rPr>
          <w:szCs w:val="24"/>
        </w:rPr>
        <w:t xml:space="preserve"> </w:t>
      </w:r>
      <w:r w:rsidRPr="00E63369">
        <w:t xml:space="preserve">The federal agency under the </w:t>
      </w:r>
      <w:r w:rsidR="005D1E5E" w:rsidRPr="00E63369">
        <w:t xml:space="preserve">U.S. </w:t>
      </w:r>
      <w:r w:rsidRPr="00E63369">
        <w:t>Department of Health and Human Services that is responsible for administering the Medicare and Medicaid programs.</w:t>
      </w:r>
    </w:p>
    <w:p w14:paraId="569CB37D" w14:textId="77777777" w:rsidR="00C95249" w:rsidRPr="00E63369" w:rsidRDefault="00C95249" w:rsidP="00E63369">
      <w:pPr>
        <w:ind w:left="720"/>
        <w:rPr>
          <w:u w:val="single"/>
        </w:rPr>
      </w:pPr>
    </w:p>
    <w:p w14:paraId="549EB786" w14:textId="0E6AA758" w:rsidR="007C598F" w:rsidRPr="00E63369" w:rsidRDefault="007C598F" w:rsidP="00E63369">
      <w:pPr>
        <w:ind w:left="720"/>
      </w:pPr>
      <w:r w:rsidRPr="00E63369">
        <w:rPr>
          <w:u w:val="single"/>
        </w:rPr>
        <w:t>Department</w:t>
      </w:r>
      <w:r w:rsidR="00714A42" w:rsidRPr="00E63369">
        <w:rPr>
          <w:u w:val="single"/>
        </w:rPr>
        <w:t xml:space="preserve"> of Public Health (DPH)</w:t>
      </w:r>
      <w:r w:rsidRPr="00E63369">
        <w:t xml:space="preserve">.  </w:t>
      </w:r>
      <w:r w:rsidR="00714A42" w:rsidRPr="00E63369">
        <w:t xml:space="preserve">An agency of the Commonwealth of Massachusetts, established under </w:t>
      </w:r>
      <w:r w:rsidR="00714A42" w:rsidRPr="00E63369">
        <w:rPr>
          <w:szCs w:val="24"/>
        </w:rPr>
        <w:t>M.G.L. c. 17, §</w:t>
      </w:r>
      <w:r w:rsidR="006E74C6" w:rsidRPr="00E63369">
        <w:rPr>
          <w:szCs w:val="24"/>
        </w:rPr>
        <w:t xml:space="preserve"> </w:t>
      </w:r>
      <w:r w:rsidR="00714A42" w:rsidRPr="00E63369">
        <w:rPr>
          <w:szCs w:val="24"/>
        </w:rPr>
        <w:t>1</w:t>
      </w:r>
      <w:r w:rsidR="00714A42" w:rsidRPr="00E63369">
        <w:t>.</w:t>
      </w:r>
    </w:p>
    <w:p w14:paraId="67F365D8" w14:textId="77777777" w:rsidR="007C598F" w:rsidRPr="0031362E" w:rsidRDefault="007C598F" w:rsidP="00305661">
      <w:pPr>
        <w:ind w:left="720"/>
      </w:pPr>
    </w:p>
    <w:p w14:paraId="609A52A8" w14:textId="7F87144A" w:rsidR="00011E3A" w:rsidRPr="00E63369" w:rsidRDefault="00011E3A" w:rsidP="00890184">
      <w:pPr>
        <w:ind w:left="720"/>
        <w:rPr>
          <w:u w:val="single"/>
        </w:rPr>
      </w:pPr>
      <w:r w:rsidRPr="00E63369">
        <w:rPr>
          <w:u w:val="single"/>
        </w:rPr>
        <w:t>Executive Office of Health and Human Services (EOHHS)</w:t>
      </w:r>
      <w:r w:rsidRPr="00E63369">
        <w:t>.</w:t>
      </w:r>
      <w:r w:rsidR="00305661" w:rsidRPr="00E63369">
        <w:t xml:space="preserve"> </w:t>
      </w:r>
      <w:r w:rsidRPr="00E63369">
        <w:t xml:space="preserve"> The executive department of the Commonwealth of Massachusetts established under M.G.L. c. 6A, §</w:t>
      </w:r>
      <w:r w:rsidR="006E74C6" w:rsidRPr="00E63369">
        <w:t xml:space="preserve"> </w:t>
      </w:r>
      <w:r w:rsidRPr="00E63369">
        <w:t xml:space="preserve">2 </w:t>
      </w:r>
      <w:r w:rsidR="005D1E5E" w:rsidRPr="00E63369">
        <w:t>that,</w:t>
      </w:r>
      <w:r w:rsidRPr="00E63369">
        <w:t xml:space="preserve"> through the Department of Elder Affairs and other agencies within </w:t>
      </w:r>
      <w:r w:rsidR="00E720E2" w:rsidRPr="00E63369">
        <w:t>EOHHS</w:t>
      </w:r>
      <w:r w:rsidRPr="00E63369">
        <w:t xml:space="preserve">, as appropriate, operates and </w:t>
      </w:r>
      <w:r w:rsidRPr="00E63369">
        <w:lastRenderedPageBreak/>
        <w:t>administers the programs of medical assistance and medical benefits under M.G.L. c</w:t>
      </w:r>
      <w:r w:rsidR="00305661" w:rsidRPr="00E63369">
        <w:t>.</w:t>
      </w:r>
      <w:r w:rsidRPr="00E63369">
        <w:t xml:space="preserve"> 118E and </w:t>
      </w:r>
      <w:r w:rsidR="006E74C6" w:rsidRPr="00E63369">
        <w:t>that</w:t>
      </w:r>
      <w:r w:rsidRPr="00E63369">
        <w:t xml:space="preserve"> serves as the single state agency under section 1902(a)(5) of the Social Security Act.</w:t>
      </w:r>
    </w:p>
    <w:p w14:paraId="13D8BE34" w14:textId="77777777" w:rsidR="007C598F" w:rsidRPr="00E63369" w:rsidRDefault="007C598F" w:rsidP="00E63369">
      <w:pPr>
        <w:tabs>
          <w:tab w:val="left" w:pos="-720"/>
          <w:tab w:val="left" w:pos="0"/>
          <w:tab w:val="left" w:pos="1440"/>
          <w:tab w:val="left" w:pos="2160"/>
        </w:tabs>
        <w:suppressAutoHyphens/>
        <w:ind w:left="720"/>
        <w:rPr>
          <w:u w:val="single"/>
        </w:rPr>
      </w:pPr>
    </w:p>
    <w:p w14:paraId="0D282270" w14:textId="20CE2782" w:rsidR="008F75BA" w:rsidRDefault="008F75BA" w:rsidP="00E63369">
      <w:pPr>
        <w:tabs>
          <w:tab w:val="left" w:pos="-720"/>
          <w:tab w:val="left" w:pos="0"/>
          <w:tab w:val="left" w:pos="1440"/>
          <w:tab w:val="left" w:pos="2160"/>
        </w:tabs>
        <w:suppressAutoHyphens/>
        <w:ind w:left="720"/>
        <w:rPr>
          <w:u w:val="single"/>
        </w:rPr>
      </w:pPr>
      <w:r>
        <w:rPr>
          <w:u w:val="single"/>
        </w:rPr>
        <w:t>Fiscal Year (FY)</w:t>
      </w:r>
      <w:r w:rsidRPr="00CA79C5">
        <w:t xml:space="preserve">.  </w:t>
      </w:r>
      <w:r w:rsidR="004B1C94">
        <w:t xml:space="preserve">The </w:t>
      </w:r>
      <w:r w:rsidR="00FB2C89">
        <w:t>12-month period that hospitals use for financial reporting and budgeting.</w:t>
      </w:r>
    </w:p>
    <w:p w14:paraId="3301762C" w14:textId="21912B2D" w:rsidR="008F75BA" w:rsidRDefault="008F75BA" w:rsidP="00E63369">
      <w:pPr>
        <w:tabs>
          <w:tab w:val="left" w:pos="-720"/>
          <w:tab w:val="left" w:pos="0"/>
          <w:tab w:val="left" w:pos="1440"/>
          <w:tab w:val="left" w:pos="2160"/>
        </w:tabs>
        <w:suppressAutoHyphens/>
        <w:ind w:left="720"/>
        <w:rPr>
          <w:u w:val="single"/>
        </w:rPr>
      </w:pPr>
    </w:p>
    <w:p w14:paraId="59321A6A" w14:textId="34232BFF" w:rsidR="008F75BA" w:rsidRDefault="008F75BA" w:rsidP="008F75BA">
      <w:pPr>
        <w:ind w:left="720"/>
        <w:rPr>
          <w:spacing w:val="-3"/>
        </w:rPr>
      </w:pPr>
      <w:r w:rsidRPr="00741B5C">
        <w:rPr>
          <w:spacing w:val="-3"/>
          <w:u w:val="single"/>
        </w:rPr>
        <w:t>Gross Patient Service Revenue</w:t>
      </w:r>
      <w:r w:rsidRPr="00741B5C">
        <w:rPr>
          <w:spacing w:val="-3"/>
        </w:rPr>
        <w:t>.  The total dollar amount of a</w:t>
      </w:r>
      <w:r>
        <w:rPr>
          <w:spacing w:val="-3"/>
        </w:rPr>
        <w:t xml:space="preserve"> h</w:t>
      </w:r>
      <w:r w:rsidRPr="00741B5C">
        <w:rPr>
          <w:spacing w:val="-3"/>
        </w:rPr>
        <w:t xml:space="preserve">ospital's charges for services rendered in a </w:t>
      </w:r>
      <w:r>
        <w:rPr>
          <w:spacing w:val="-3"/>
        </w:rPr>
        <w:t xml:space="preserve">hospital’s </w:t>
      </w:r>
      <w:r w:rsidR="004B1C94">
        <w:rPr>
          <w:spacing w:val="-3"/>
        </w:rPr>
        <w:t>f</w:t>
      </w:r>
      <w:r w:rsidRPr="00741B5C">
        <w:rPr>
          <w:spacing w:val="-3"/>
        </w:rPr>
        <w:t xml:space="preserve">iscal </w:t>
      </w:r>
      <w:r w:rsidR="004B1C94">
        <w:rPr>
          <w:spacing w:val="-3"/>
        </w:rPr>
        <w:t>y</w:t>
      </w:r>
      <w:r w:rsidRPr="00741B5C">
        <w:rPr>
          <w:spacing w:val="-3"/>
        </w:rPr>
        <w:t>ear</w:t>
      </w:r>
      <w:r>
        <w:rPr>
          <w:spacing w:val="-3"/>
        </w:rPr>
        <w:t>, as reported</w:t>
      </w:r>
      <w:r w:rsidR="00A31ABB">
        <w:rPr>
          <w:spacing w:val="-3"/>
        </w:rPr>
        <w:t xml:space="preserve"> to the Center for Health Information and Analysis (CHIA)</w:t>
      </w:r>
      <w:r>
        <w:rPr>
          <w:spacing w:val="-3"/>
        </w:rPr>
        <w:t xml:space="preserve"> through </w:t>
      </w:r>
      <w:r w:rsidR="00A31ABB">
        <w:rPr>
          <w:spacing w:val="-3"/>
        </w:rPr>
        <w:t>Hospital Cost Reports in 2019</w:t>
      </w:r>
      <w:r w:rsidRPr="00741B5C">
        <w:rPr>
          <w:spacing w:val="-3"/>
        </w:rPr>
        <w:t>.</w:t>
      </w:r>
    </w:p>
    <w:p w14:paraId="62AB484A" w14:textId="29FBD8D7" w:rsidR="00A31ABB" w:rsidRDefault="00A31ABB" w:rsidP="008F75BA">
      <w:pPr>
        <w:ind w:left="720"/>
        <w:rPr>
          <w:spacing w:val="-3"/>
        </w:rPr>
      </w:pPr>
    </w:p>
    <w:p w14:paraId="1E66CD4E" w14:textId="7097CD33" w:rsidR="00A31ABB" w:rsidRPr="0027690C" w:rsidRDefault="00A31ABB" w:rsidP="00A31ABB">
      <w:pPr>
        <w:ind w:left="720"/>
        <w:rPr>
          <w:spacing w:val="-3"/>
        </w:rPr>
      </w:pPr>
      <w:r w:rsidRPr="00741B5C">
        <w:rPr>
          <w:spacing w:val="-3"/>
          <w:u w:val="single"/>
        </w:rPr>
        <w:t>Health Safety Net</w:t>
      </w:r>
      <w:r w:rsidRPr="0027690C">
        <w:rPr>
          <w:spacing w:val="-3"/>
        </w:rPr>
        <w:t xml:space="preserve">. </w:t>
      </w:r>
      <w:r>
        <w:rPr>
          <w:spacing w:val="-3"/>
        </w:rPr>
        <w:t xml:space="preserve"> </w:t>
      </w:r>
      <w:r w:rsidRPr="0027690C">
        <w:rPr>
          <w:spacing w:val="-3"/>
        </w:rPr>
        <w:t xml:space="preserve">The payment program established and administered in accordance with M.G.L. c. 118E, § 8A, and </w:t>
      </w:r>
      <w:r w:rsidR="00676B51" w:rsidRPr="0027690C">
        <w:rPr>
          <w:spacing w:val="-3"/>
        </w:rPr>
        <w:t>§§</w:t>
      </w:r>
      <w:r w:rsidR="00676B51">
        <w:rPr>
          <w:spacing w:val="-3"/>
        </w:rPr>
        <w:t xml:space="preserve"> </w:t>
      </w:r>
      <w:r w:rsidRPr="0027690C">
        <w:rPr>
          <w:spacing w:val="-3"/>
        </w:rPr>
        <w:t xml:space="preserve">64 through </w:t>
      </w:r>
      <w:r>
        <w:rPr>
          <w:spacing w:val="-3"/>
        </w:rPr>
        <w:t>69</w:t>
      </w:r>
      <w:r w:rsidRPr="0027690C">
        <w:rPr>
          <w:spacing w:val="-3"/>
        </w:rPr>
        <w:t xml:space="preserve"> and regulations promulgated thereunder, and other applicable legislation.</w:t>
      </w:r>
    </w:p>
    <w:p w14:paraId="68DEEB7F" w14:textId="77777777" w:rsidR="00A31ABB" w:rsidRPr="00741B5C" w:rsidRDefault="00A31ABB" w:rsidP="00A31ABB">
      <w:pPr>
        <w:ind w:left="720"/>
        <w:rPr>
          <w:spacing w:val="-3"/>
          <w:u w:val="single"/>
        </w:rPr>
      </w:pPr>
    </w:p>
    <w:p w14:paraId="4AFD4FE3" w14:textId="77777777" w:rsidR="00A31ABB" w:rsidRPr="00741B5C" w:rsidRDefault="00A31ABB" w:rsidP="00A31ABB">
      <w:pPr>
        <w:ind w:left="720"/>
        <w:rPr>
          <w:spacing w:val="-3"/>
        </w:rPr>
      </w:pPr>
      <w:r w:rsidRPr="00741B5C">
        <w:rPr>
          <w:spacing w:val="-3"/>
          <w:u w:val="single"/>
        </w:rPr>
        <w:t>Health Safety Net Office</w:t>
      </w:r>
      <w:r w:rsidRPr="00741B5C">
        <w:rPr>
          <w:spacing w:val="-3"/>
        </w:rPr>
        <w:t>.  The office within the Office of Medicaid established under M.G.L. c. 118E, § 65.</w:t>
      </w:r>
    </w:p>
    <w:p w14:paraId="72EE8EC1" w14:textId="77777777" w:rsidR="00A31ABB" w:rsidRPr="00741B5C" w:rsidRDefault="00A31ABB" w:rsidP="00A31ABB">
      <w:pPr>
        <w:ind w:left="720"/>
        <w:rPr>
          <w:spacing w:val="-3"/>
        </w:rPr>
      </w:pPr>
    </w:p>
    <w:p w14:paraId="44E77368" w14:textId="2D35194B" w:rsidR="00A31ABB" w:rsidRPr="00741B5C" w:rsidRDefault="00A31ABB" w:rsidP="00A31ABB">
      <w:pPr>
        <w:ind w:left="720"/>
        <w:rPr>
          <w:spacing w:val="-3"/>
        </w:rPr>
      </w:pPr>
      <w:r w:rsidRPr="00415D75">
        <w:rPr>
          <w:rStyle w:val="Style11ptUnderline"/>
        </w:rPr>
        <w:t>Health Safety Net Trust Fund</w:t>
      </w:r>
      <w:r w:rsidRPr="00741B5C">
        <w:t>.  The fund established under</w:t>
      </w:r>
      <w:r w:rsidRPr="00741B5C">
        <w:rPr>
          <w:spacing w:val="-3"/>
        </w:rPr>
        <w:t xml:space="preserve"> M.G.L. c. 118E, § 66</w:t>
      </w:r>
      <w:r w:rsidRPr="00741B5C">
        <w:t>.</w:t>
      </w:r>
    </w:p>
    <w:p w14:paraId="3DBA8C58" w14:textId="77777777" w:rsidR="00A31ABB" w:rsidRPr="00047310" w:rsidRDefault="00A31ABB" w:rsidP="00047310">
      <w:pPr>
        <w:ind w:left="720"/>
        <w:rPr>
          <w:spacing w:val="-3"/>
        </w:rPr>
      </w:pPr>
    </w:p>
    <w:p w14:paraId="1CB8FF2A" w14:textId="4B3EF122" w:rsidR="009F551D" w:rsidRPr="00CA79C5" w:rsidRDefault="009F551D" w:rsidP="00CA79C5">
      <w:pPr>
        <w:ind w:left="720"/>
        <w:rPr>
          <w:szCs w:val="22"/>
        </w:rPr>
      </w:pPr>
      <w:r w:rsidRPr="0096212A">
        <w:rPr>
          <w:szCs w:val="22"/>
          <w:u w:val="single"/>
        </w:rPr>
        <w:t>Hospital Cost Report</w:t>
      </w:r>
      <w:r w:rsidRPr="0096212A">
        <w:rPr>
          <w:szCs w:val="22"/>
        </w:rPr>
        <w:t xml:space="preserve">. </w:t>
      </w:r>
      <w:r>
        <w:rPr>
          <w:szCs w:val="22"/>
        </w:rPr>
        <w:t xml:space="preserve"> </w:t>
      </w:r>
      <w:r w:rsidRPr="0096212A">
        <w:rPr>
          <w:szCs w:val="22"/>
        </w:rPr>
        <w:t>The Massachusetts Hospital Statement of Costs, Revenues, and Statistics r</w:t>
      </w:r>
      <w:r>
        <w:rPr>
          <w:szCs w:val="22"/>
        </w:rPr>
        <w:t>equired to be r</w:t>
      </w:r>
      <w:r w:rsidRPr="0096212A">
        <w:rPr>
          <w:szCs w:val="22"/>
        </w:rPr>
        <w:t xml:space="preserve">eported to </w:t>
      </w:r>
      <w:r>
        <w:rPr>
          <w:szCs w:val="22"/>
        </w:rPr>
        <w:t xml:space="preserve">CHIA </w:t>
      </w:r>
      <w:r w:rsidRPr="0096212A">
        <w:rPr>
          <w:szCs w:val="22"/>
        </w:rPr>
        <w:t>pursuant to 957 CMR 9.00</w:t>
      </w:r>
      <w:r w:rsidR="007C3B80">
        <w:rPr>
          <w:szCs w:val="22"/>
        </w:rPr>
        <w:t xml:space="preserve">:  </w:t>
      </w:r>
      <w:r w:rsidR="007C3B80" w:rsidRPr="001D0DAB">
        <w:rPr>
          <w:i/>
          <w:iCs/>
          <w:szCs w:val="22"/>
        </w:rPr>
        <w:t>Hospital Financial Data Reporting Requirements</w:t>
      </w:r>
      <w:r w:rsidRPr="0096212A">
        <w:rPr>
          <w:szCs w:val="22"/>
        </w:rPr>
        <w:t>.</w:t>
      </w:r>
    </w:p>
    <w:p w14:paraId="7DF7DFF0" w14:textId="77777777" w:rsidR="009F551D" w:rsidRDefault="009F551D" w:rsidP="00047310">
      <w:pPr>
        <w:autoSpaceDE w:val="0"/>
        <w:autoSpaceDN w:val="0"/>
        <w:adjustRightInd w:val="0"/>
        <w:ind w:left="720"/>
        <w:rPr>
          <w:u w:val="single"/>
        </w:rPr>
      </w:pPr>
    </w:p>
    <w:p w14:paraId="26E4564B" w14:textId="2F9DE8E4" w:rsidR="004B1C94" w:rsidRDefault="00B35064" w:rsidP="00047310">
      <w:pPr>
        <w:autoSpaceDE w:val="0"/>
        <w:autoSpaceDN w:val="0"/>
        <w:adjustRightInd w:val="0"/>
        <w:ind w:left="720"/>
      </w:pPr>
      <w:r w:rsidRPr="00047310">
        <w:rPr>
          <w:u w:val="single"/>
        </w:rPr>
        <w:t>Licensee</w:t>
      </w:r>
      <w:r>
        <w:t xml:space="preserve">.  Any </w:t>
      </w:r>
      <w:r w:rsidRPr="0034267C">
        <w:t>natural person, corporation, partnership, trust, estate</w:t>
      </w:r>
      <w:r w:rsidR="004B1C94">
        <w:t>,</w:t>
      </w:r>
      <w:r w:rsidRPr="0034267C">
        <w:t xml:space="preserve"> or other legal entity holding a license to operate a</w:t>
      </w:r>
      <w:r>
        <w:t xml:space="preserve"> nonpublic acute or non-acute hospital in Massachus</w:t>
      </w:r>
      <w:r w:rsidR="004B1C94">
        <w:t>e</w:t>
      </w:r>
      <w:r>
        <w:t>tts</w:t>
      </w:r>
      <w:r w:rsidR="00890184">
        <w:t xml:space="preserve">; and, </w:t>
      </w:r>
      <w:r w:rsidRPr="0034267C">
        <w:t xml:space="preserve">in the case of a licensee that is not a natural person, </w:t>
      </w:r>
      <w:r w:rsidR="00890184">
        <w:t>includes</w:t>
      </w:r>
    </w:p>
    <w:p w14:paraId="5C590937" w14:textId="7F67AA80" w:rsidR="004B1C94" w:rsidRDefault="00B35064" w:rsidP="004B1C94">
      <w:pPr>
        <w:autoSpaceDE w:val="0"/>
        <w:autoSpaceDN w:val="0"/>
        <w:adjustRightInd w:val="0"/>
        <w:ind w:left="1080"/>
      </w:pPr>
      <w:r w:rsidRPr="0034267C">
        <w:t>(</w:t>
      </w:r>
      <w:r w:rsidR="004B1C94">
        <w:t>1</w:t>
      </w:r>
      <w:r w:rsidRPr="0034267C">
        <w:t xml:space="preserve">) </w:t>
      </w:r>
      <w:r w:rsidR="00F253DA">
        <w:t xml:space="preserve"> </w:t>
      </w:r>
      <w:r w:rsidRPr="0034267C">
        <w:t xml:space="preserve">any shareholder owning not less than </w:t>
      </w:r>
      <w:r w:rsidR="00676B51">
        <w:t>5%</w:t>
      </w:r>
      <w:r w:rsidRPr="0034267C">
        <w:t>, any officer</w:t>
      </w:r>
      <w:r w:rsidR="004B1C94">
        <w:t>,</w:t>
      </w:r>
      <w:r w:rsidRPr="0034267C">
        <w:t xml:space="preserve"> and any director of any corporate licensee;</w:t>
      </w:r>
    </w:p>
    <w:p w14:paraId="469AAB7F" w14:textId="31182289" w:rsidR="004B1C94" w:rsidRDefault="00B35064" w:rsidP="004B1C94">
      <w:pPr>
        <w:autoSpaceDE w:val="0"/>
        <w:autoSpaceDN w:val="0"/>
        <w:adjustRightInd w:val="0"/>
        <w:ind w:left="1080"/>
      </w:pPr>
      <w:r w:rsidRPr="0034267C">
        <w:t>(</w:t>
      </w:r>
      <w:r w:rsidR="004B1C94">
        <w:t>2</w:t>
      </w:r>
      <w:r w:rsidRPr="0034267C">
        <w:t xml:space="preserve">) </w:t>
      </w:r>
      <w:r w:rsidR="00F253DA">
        <w:t xml:space="preserve"> </w:t>
      </w:r>
      <w:r w:rsidRPr="0034267C">
        <w:t xml:space="preserve">any limited partner owning not less than </w:t>
      </w:r>
      <w:r w:rsidR="00676B51">
        <w:t>5%</w:t>
      </w:r>
      <w:r w:rsidRPr="0034267C">
        <w:t xml:space="preserve"> and any general partner of a partnership licensee;</w:t>
      </w:r>
    </w:p>
    <w:p w14:paraId="3E4D310D" w14:textId="30A14105" w:rsidR="004B1C94" w:rsidRDefault="00B35064" w:rsidP="004B1C94">
      <w:pPr>
        <w:autoSpaceDE w:val="0"/>
        <w:autoSpaceDN w:val="0"/>
        <w:adjustRightInd w:val="0"/>
        <w:ind w:left="1080"/>
      </w:pPr>
      <w:r w:rsidRPr="0034267C">
        <w:t>(</w:t>
      </w:r>
      <w:r w:rsidR="004B1C94">
        <w:t>3</w:t>
      </w:r>
      <w:r w:rsidRPr="0034267C">
        <w:t xml:space="preserve">) </w:t>
      </w:r>
      <w:r w:rsidR="00F253DA">
        <w:t xml:space="preserve"> </w:t>
      </w:r>
      <w:r w:rsidRPr="0034267C">
        <w:t>any trustee of any trust licensee;</w:t>
      </w:r>
    </w:p>
    <w:p w14:paraId="6CD12F94" w14:textId="2D1C5BCF" w:rsidR="004B1C94" w:rsidRDefault="00B35064" w:rsidP="004B1C94">
      <w:pPr>
        <w:autoSpaceDE w:val="0"/>
        <w:autoSpaceDN w:val="0"/>
        <w:adjustRightInd w:val="0"/>
        <w:ind w:left="1080"/>
      </w:pPr>
      <w:r w:rsidRPr="0034267C">
        <w:t>(</w:t>
      </w:r>
      <w:r w:rsidR="004B1C94">
        <w:t>4</w:t>
      </w:r>
      <w:r w:rsidRPr="0034267C">
        <w:t xml:space="preserve">) </w:t>
      </w:r>
      <w:r w:rsidR="00F253DA">
        <w:t xml:space="preserve"> </w:t>
      </w:r>
      <w:r w:rsidRPr="0034267C">
        <w:t xml:space="preserve">any sole proprietor of any licensee that is a sole proprietorship; or </w:t>
      </w:r>
    </w:p>
    <w:p w14:paraId="6AD5AAC1" w14:textId="6FDC5888" w:rsidR="008F75BA" w:rsidRPr="00047310" w:rsidRDefault="00B35064" w:rsidP="004B1C94">
      <w:pPr>
        <w:autoSpaceDE w:val="0"/>
        <w:autoSpaceDN w:val="0"/>
        <w:adjustRightInd w:val="0"/>
        <w:ind w:left="1080"/>
      </w:pPr>
      <w:r w:rsidRPr="0034267C">
        <w:t>(</w:t>
      </w:r>
      <w:r w:rsidR="004B1C94">
        <w:t>5</w:t>
      </w:r>
      <w:r w:rsidRPr="0034267C">
        <w:t xml:space="preserve">) </w:t>
      </w:r>
      <w:r w:rsidR="00F253DA">
        <w:t xml:space="preserve"> </w:t>
      </w:r>
      <w:r w:rsidRPr="0034267C">
        <w:t>any mortgagee in possession and any executor or administrator of any licensee that is an estat</w:t>
      </w:r>
      <w:r>
        <w:t>e.</w:t>
      </w:r>
    </w:p>
    <w:p w14:paraId="4F9D5CF9" w14:textId="77777777" w:rsidR="004A58FD" w:rsidRPr="00E63369" w:rsidRDefault="004A58FD" w:rsidP="00047310">
      <w:pPr>
        <w:rPr>
          <w:szCs w:val="22"/>
        </w:rPr>
      </w:pPr>
    </w:p>
    <w:p w14:paraId="45C6C816" w14:textId="157A8DCD" w:rsidR="007C598F" w:rsidRPr="00E63369" w:rsidRDefault="007C598F" w:rsidP="00890184">
      <w:pPr>
        <w:ind w:left="720"/>
      </w:pPr>
      <w:r w:rsidRPr="00E63369">
        <w:rPr>
          <w:szCs w:val="22"/>
          <w:u w:val="single"/>
        </w:rPr>
        <w:t>MassHealth</w:t>
      </w:r>
      <w:r w:rsidR="00714A42" w:rsidRPr="00E63369">
        <w:rPr>
          <w:szCs w:val="22"/>
          <w:u w:val="single"/>
        </w:rPr>
        <w:t xml:space="preserve"> Program (MassHealth)</w:t>
      </w:r>
      <w:r w:rsidRPr="00E63369">
        <w:rPr>
          <w:szCs w:val="22"/>
        </w:rPr>
        <w:t xml:space="preserve">.  The </w:t>
      </w:r>
      <w:r w:rsidR="00714A42" w:rsidRPr="00E63369">
        <w:rPr>
          <w:szCs w:val="22"/>
        </w:rPr>
        <w:t>m</w:t>
      </w:r>
      <w:r w:rsidRPr="00E63369">
        <w:rPr>
          <w:szCs w:val="22"/>
        </w:rPr>
        <w:t xml:space="preserve">edical </w:t>
      </w:r>
      <w:r w:rsidR="00714A42" w:rsidRPr="00E63369">
        <w:rPr>
          <w:szCs w:val="22"/>
        </w:rPr>
        <w:t>a</w:t>
      </w:r>
      <w:r w:rsidRPr="00E63369">
        <w:rPr>
          <w:szCs w:val="22"/>
        </w:rPr>
        <w:t xml:space="preserve">ssistance </w:t>
      </w:r>
      <w:r w:rsidR="00714A42" w:rsidRPr="00E63369">
        <w:rPr>
          <w:szCs w:val="22"/>
        </w:rPr>
        <w:t>benefits plans operated and administered by EOHHS pursuant to M.G.L. c. 118E, §</w:t>
      </w:r>
      <w:r w:rsidR="006E74C6" w:rsidRPr="00E63369">
        <w:rPr>
          <w:szCs w:val="22"/>
        </w:rPr>
        <w:t xml:space="preserve"> </w:t>
      </w:r>
      <w:r w:rsidR="00714A42" w:rsidRPr="00E63369">
        <w:rPr>
          <w:szCs w:val="22"/>
        </w:rPr>
        <w:t xml:space="preserve">1 </w:t>
      </w:r>
      <w:r w:rsidR="00714A42" w:rsidRPr="00E63369">
        <w:rPr>
          <w:i/>
          <w:szCs w:val="22"/>
        </w:rPr>
        <w:t>et seq.</w:t>
      </w:r>
      <w:r w:rsidR="00714A42" w:rsidRPr="00E63369">
        <w:rPr>
          <w:szCs w:val="22"/>
        </w:rPr>
        <w:t xml:space="preserve"> and 42 U.S.C. §</w:t>
      </w:r>
      <w:r w:rsidR="006E74C6" w:rsidRPr="00E63369">
        <w:rPr>
          <w:szCs w:val="22"/>
        </w:rPr>
        <w:t xml:space="preserve"> </w:t>
      </w:r>
      <w:r w:rsidR="00714A42" w:rsidRPr="00E63369">
        <w:rPr>
          <w:szCs w:val="22"/>
        </w:rPr>
        <w:t xml:space="preserve">1396 </w:t>
      </w:r>
      <w:r w:rsidR="00714A42" w:rsidRPr="00E63369">
        <w:rPr>
          <w:i/>
          <w:szCs w:val="22"/>
        </w:rPr>
        <w:t>et seq.</w:t>
      </w:r>
      <w:r w:rsidR="004B1C94">
        <w:rPr>
          <w:i/>
          <w:szCs w:val="22"/>
        </w:rPr>
        <w:t>,</w:t>
      </w:r>
      <w:r w:rsidR="00714A42" w:rsidRPr="00E63369">
        <w:rPr>
          <w:i/>
          <w:szCs w:val="22"/>
        </w:rPr>
        <w:t xml:space="preserve"> </w:t>
      </w:r>
      <w:r w:rsidR="0087630B" w:rsidRPr="00E63369">
        <w:rPr>
          <w:szCs w:val="22"/>
        </w:rPr>
        <w:t>Title XXI of the Social Security Act (42 U.S.C. 1397), and other applicable laws and waivers to provide and pay for medical services to eligible members (Medicaid).</w:t>
      </w:r>
    </w:p>
    <w:p w14:paraId="18E42ED0" w14:textId="77777777" w:rsidR="006B0FE1" w:rsidRPr="00E63369" w:rsidRDefault="006B0FE1" w:rsidP="00E63369">
      <w:pPr>
        <w:ind w:left="720"/>
      </w:pPr>
    </w:p>
    <w:p w14:paraId="04E49425" w14:textId="1001A41A" w:rsidR="007C598F" w:rsidRDefault="007C598F" w:rsidP="00E63369">
      <w:pPr>
        <w:ind w:left="720"/>
        <w:rPr>
          <w:szCs w:val="22"/>
        </w:rPr>
      </w:pPr>
      <w:r w:rsidRPr="00E63369">
        <w:rPr>
          <w:u w:val="single"/>
        </w:rPr>
        <w:t>Medicare</w:t>
      </w:r>
      <w:r w:rsidRPr="00E63369">
        <w:t>.</w:t>
      </w:r>
      <w:r w:rsidRPr="0031362E">
        <w:t xml:space="preserve">  </w:t>
      </w:r>
      <w:r w:rsidR="00FB0C95" w:rsidRPr="0031362E">
        <w:rPr>
          <w:szCs w:val="22"/>
        </w:rPr>
        <w:t>The</w:t>
      </w:r>
      <w:r w:rsidR="00FB0C95" w:rsidRPr="00E63369">
        <w:rPr>
          <w:shd w:val="clear" w:color="auto" w:fill="FFFFFF"/>
        </w:rPr>
        <w:t xml:space="preserve"> </w:t>
      </w:r>
      <w:r w:rsidR="00FB0C95" w:rsidRPr="0031362E">
        <w:rPr>
          <w:szCs w:val="22"/>
          <w:shd w:val="clear" w:color="auto" w:fill="FFFFFF"/>
        </w:rPr>
        <w:t>federal</w:t>
      </w:r>
      <w:r w:rsidR="0087630B" w:rsidRPr="00E63369">
        <w:rPr>
          <w:szCs w:val="22"/>
          <w:shd w:val="clear" w:color="auto" w:fill="FFFFFF"/>
        </w:rPr>
        <w:t xml:space="preserve"> health</w:t>
      </w:r>
      <w:r w:rsidR="0087630B" w:rsidRPr="00E63369">
        <w:rPr>
          <w:shd w:val="clear" w:color="auto" w:fill="FFFFFF"/>
        </w:rPr>
        <w:t xml:space="preserve"> insurance program </w:t>
      </w:r>
      <w:r w:rsidR="0087630B" w:rsidRPr="0031362E">
        <w:rPr>
          <w:szCs w:val="22"/>
          <w:shd w:val="clear" w:color="auto" w:fill="FFFFFF"/>
        </w:rPr>
        <w:t xml:space="preserve">for people who are 65 </w:t>
      </w:r>
      <w:r w:rsidR="006E74C6" w:rsidRPr="0031362E">
        <w:rPr>
          <w:szCs w:val="22"/>
          <w:shd w:val="clear" w:color="auto" w:fill="FFFFFF"/>
        </w:rPr>
        <w:t xml:space="preserve">years of age </w:t>
      </w:r>
      <w:r w:rsidR="0087630B" w:rsidRPr="00E63369">
        <w:rPr>
          <w:szCs w:val="22"/>
          <w:shd w:val="clear" w:color="auto" w:fill="FFFFFF"/>
        </w:rPr>
        <w:t xml:space="preserve">or older, certain younger people with disabilities, and people with </w:t>
      </w:r>
      <w:r w:rsidR="006E74C6" w:rsidRPr="00E63369">
        <w:rPr>
          <w:szCs w:val="22"/>
          <w:shd w:val="clear" w:color="auto" w:fill="FFFFFF"/>
        </w:rPr>
        <w:t>e</w:t>
      </w:r>
      <w:r w:rsidR="0087630B" w:rsidRPr="00E63369">
        <w:rPr>
          <w:szCs w:val="22"/>
          <w:shd w:val="clear" w:color="auto" w:fill="FFFFFF"/>
        </w:rPr>
        <w:t>nd-</w:t>
      </w:r>
      <w:r w:rsidR="006E74C6" w:rsidRPr="00E63369">
        <w:rPr>
          <w:szCs w:val="22"/>
          <w:shd w:val="clear" w:color="auto" w:fill="FFFFFF"/>
        </w:rPr>
        <w:t>s</w:t>
      </w:r>
      <w:r w:rsidR="0087630B" w:rsidRPr="00E63369">
        <w:rPr>
          <w:szCs w:val="22"/>
          <w:shd w:val="clear" w:color="auto" w:fill="FFFFFF"/>
        </w:rPr>
        <w:t xml:space="preserve">tage </w:t>
      </w:r>
      <w:r w:rsidR="006E74C6" w:rsidRPr="00E63369">
        <w:rPr>
          <w:szCs w:val="22"/>
          <w:shd w:val="clear" w:color="auto" w:fill="FFFFFF"/>
        </w:rPr>
        <w:t>r</w:t>
      </w:r>
      <w:r w:rsidR="0087630B" w:rsidRPr="00E63369">
        <w:rPr>
          <w:szCs w:val="22"/>
          <w:shd w:val="clear" w:color="auto" w:fill="FFFFFF"/>
        </w:rPr>
        <w:t xml:space="preserve">enal </w:t>
      </w:r>
      <w:r w:rsidR="006E74C6" w:rsidRPr="00E63369">
        <w:rPr>
          <w:szCs w:val="22"/>
          <w:shd w:val="clear" w:color="auto" w:fill="FFFFFF"/>
        </w:rPr>
        <w:t>d</w:t>
      </w:r>
      <w:r w:rsidR="0087630B" w:rsidRPr="00E63369">
        <w:rPr>
          <w:szCs w:val="22"/>
          <w:shd w:val="clear" w:color="auto" w:fill="FFFFFF"/>
        </w:rPr>
        <w:t>isease (permanent kidney failure requiring dialysis or a transplant, sometimes called ESRD)</w:t>
      </w:r>
      <w:r w:rsidR="00BB2E8C" w:rsidRPr="00E63369">
        <w:rPr>
          <w:color w:val="4C4C4C"/>
          <w:szCs w:val="22"/>
          <w:shd w:val="clear" w:color="auto" w:fill="FFFFFF"/>
        </w:rPr>
        <w:t xml:space="preserve"> </w:t>
      </w:r>
      <w:r w:rsidRPr="00E63369">
        <w:rPr>
          <w:szCs w:val="22"/>
        </w:rPr>
        <w:t>established by Title XVIII of the Social Security Act.</w:t>
      </w:r>
    </w:p>
    <w:p w14:paraId="6E5E668A" w14:textId="36909CF1" w:rsidR="002D35A7" w:rsidRDefault="002D35A7" w:rsidP="00E63369">
      <w:pPr>
        <w:ind w:left="720"/>
        <w:rPr>
          <w:szCs w:val="22"/>
        </w:rPr>
      </w:pPr>
    </w:p>
    <w:p w14:paraId="5013F3DB" w14:textId="5A47C0AA" w:rsidR="007C598F" w:rsidRPr="00E63369" w:rsidRDefault="002D35A7" w:rsidP="00890184">
      <w:pPr>
        <w:ind w:left="720"/>
      </w:pPr>
      <w:r>
        <w:rPr>
          <w:spacing w:val="-3"/>
          <w:u w:val="single"/>
        </w:rPr>
        <w:t>Non-</w:t>
      </w:r>
      <w:r w:rsidR="004B1C94">
        <w:rPr>
          <w:spacing w:val="-3"/>
          <w:u w:val="single"/>
        </w:rPr>
        <w:t>p</w:t>
      </w:r>
      <w:r>
        <w:rPr>
          <w:spacing w:val="-3"/>
          <w:u w:val="single"/>
        </w:rPr>
        <w:t xml:space="preserve">ublic </w:t>
      </w:r>
      <w:r w:rsidRPr="00741B5C">
        <w:rPr>
          <w:spacing w:val="-3"/>
          <w:u w:val="single"/>
        </w:rPr>
        <w:t>Gross Patient Service Revenue</w:t>
      </w:r>
      <w:r w:rsidR="00890184" w:rsidRPr="00047310">
        <w:rPr>
          <w:spacing w:val="-3"/>
        </w:rPr>
        <w:t>.</w:t>
      </w:r>
      <w:r w:rsidR="00BB7681" w:rsidRPr="00047310">
        <w:rPr>
          <w:spacing w:val="-3"/>
        </w:rPr>
        <w:t xml:space="preserve"> </w:t>
      </w:r>
      <w:r w:rsidR="00F253DA">
        <w:rPr>
          <w:spacing w:val="-3"/>
        </w:rPr>
        <w:t xml:space="preserve"> </w:t>
      </w:r>
      <w:r w:rsidR="00BB7681" w:rsidRPr="00047310">
        <w:rPr>
          <w:spacing w:val="-3"/>
        </w:rPr>
        <w:t xml:space="preserve">Total </w:t>
      </w:r>
      <w:r w:rsidR="004B1C94">
        <w:rPr>
          <w:spacing w:val="-3"/>
        </w:rPr>
        <w:t>g</w:t>
      </w:r>
      <w:r w:rsidR="00BB7681" w:rsidRPr="00047310">
        <w:rPr>
          <w:spacing w:val="-3"/>
        </w:rPr>
        <w:t xml:space="preserve">ross </w:t>
      </w:r>
      <w:r w:rsidR="004B1C94">
        <w:rPr>
          <w:spacing w:val="-3"/>
        </w:rPr>
        <w:t>p</w:t>
      </w:r>
      <w:r w:rsidR="00BB7681" w:rsidRPr="00047310">
        <w:rPr>
          <w:spacing w:val="-3"/>
        </w:rPr>
        <w:t xml:space="preserve">atient </w:t>
      </w:r>
      <w:r w:rsidR="004B1C94">
        <w:rPr>
          <w:spacing w:val="-3"/>
        </w:rPr>
        <w:t>s</w:t>
      </w:r>
      <w:r w:rsidR="00BB7681" w:rsidRPr="00047310">
        <w:rPr>
          <w:spacing w:val="-3"/>
        </w:rPr>
        <w:t xml:space="preserve">ervice </w:t>
      </w:r>
      <w:r w:rsidR="004B1C94">
        <w:rPr>
          <w:spacing w:val="-3"/>
        </w:rPr>
        <w:t>r</w:t>
      </w:r>
      <w:r w:rsidR="00BB7681" w:rsidRPr="00047310">
        <w:rPr>
          <w:spacing w:val="-3"/>
        </w:rPr>
        <w:t>evenue</w:t>
      </w:r>
      <w:r w:rsidR="00FD1E0D" w:rsidRPr="00047310">
        <w:rPr>
          <w:spacing w:val="-3"/>
        </w:rPr>
        <w:t xml:space="preserve">s (as defined in </w:t>
      </w:r>
      <w:r w:rsidR="00FD1E0D" w:rsidRPr="004B1C94">
        <w:rPr>
          <w:spacing w:val="-3"/>
          <w:u w:val="single"/>
        </w:rPr>
        <w:t>Gross Patient Service Revenue</w:t>
      </w:r>
      <w:r w:rsidR="00FD1E0D" w:rsidRPr="00047310">
        <w:rPr>
          <w:spacing w:val="-3"/>
        </w:rPr>
        <w:t>)</w:t>
      </w:r>
      <w:r w:rsidR="00BB7681" w:rsidRPr="00047310">
        <w:rPr>
          <w:spacing w:val="-3"/>
        </w:rPr>
        <w:t xml:space="preserve"> minus </w:t>
      </w:r>
      <w:r w:rsidR="004B1C94">
        <w:rPr>
          <w:spacing w:val="-3"/>
        </w:rPr>
        <w:t>g</w:t>
      </w:r>
      <w:r w:rsidR="00FD1E0D" w:rsidRPr="00047310">
        <w:rPr>
          <w:spacing w:val="-3"/>
        </w:rPr>
        <w:t xml:space="preserve">ross </w:t>
      </w:r>
      <w:r w:rsidR="004B1C94">
        <w:rPr>
          <w:spacing w:val="-3"/>
        </w:rPr>
        <w:t>p</w:t>
      </w:r>
      <w:r w:rsidR="00FD1E0D" w:rsidRPr="00047310">
        <w:rPr>
          <w:spacing w:val="-3"/>
        </w:rPr>
        <w:t xml:space="preserve">atient </w:t>
      </w:r>
      <w:r w:rsidR="004B1C94">
        <w:rPr>
          <w:spacing w:val="-3"/>
        </w:rPr>
        <w:t>s</w:t>
      </w:r>
      <w:r w:rsidR="00FD1E0D" w:rsidRPr="00047310">
        <w:rPr>
          <w:spacing w:val="-3"/>
        </w:rPr>
        <w:t xml:space="preserve">ervice </w:t>
      </w:r>
      <w:r w:rsidR="004B1C94">
        <w:rPr>
          <w:spacing w:val="-3"/>
        </w:rPr>
        <w:t>r</w:t>
      </w:r>
      <w:r w:rsidR="00FD1E0D" w:rsidRPr="00047310">
        <w:rPr>
          <w:spacing w:val="-3"/>
        </w:rPr>
        <w:t xml:space="preserve">evenues attributable to </w:t>
      </w:r>
      <w:r w:rsidR="00BB7681" w:rsidRPr="00047310">
        <w:rPr>
          <w:spacing w:val="-3"/>
        </w:rPr>
        <w:t>Medicare, Medicaid</w:t>
      </w:r>
      <w:r w:rsidR="004B1C94">
        <w:rPr>
          <w:spacing w:val="-3"/>
        </w:rPr>
        <w:t>,</w:t>
      </w:r>
      <w:r w:rsidR="00BB7681" w:rsidRPr="00047310">
        <w:rPr>
          <w:spacing w:val="-3"/>
        </w:rPr>
        <w:t xml:space="preserve"> and Out-of-state</w:t>
      </w:r>
      <w:r w:rsidR="00FD1E0D" w:rsidRPr="00047310">
        <w:rPr>
          <w:spacing w:val="-3"/>
        </w:rPr>
        <w:t xml:space="preserve"> Medicaid</w:t>
      </w:r>
      <w:r w:rsidR="00BB7681" w:rsidRPr="00047310">
        <w:rPr>
          <w:spacing w:val="-3"/>
        </w:rPr>
        <w:t>, as determined by EOHHS.</w:t>
      </w:r>
    </w:p>
    <w:p w14:paraId="65CBC0C1" w14:textId="10B08E44" w:rsidR="00A31ABB" w:rsidRDefault="00A31ABB" w:rsidP="00047310">
      <w:pPr>
        <w:autoSpaceDE w:val="0"/>
        <w:autoSpaceDN w:val="0"/>
        <w:adjustRightInd w:val="0"/>
      </w:pPr>
    </w:p>
    <w:p w14:paraId="5983B9F6" w14:textId="48A49535" w:rsidR="00A31ABB" w:rsidRDefault="00A31ABB" w:rsidP="00A31ABB">
      <w:pPr>
        <w:ind w:left="720"/>
      </w:pPr>
      <w:r>
        <w:rPr>
          <w:u w:val="single"/>
        </w:rPr>
        <w:lastRenderedPageBreak/>
        <w:t>Non-acute Hospital</w:t>
      </w:r>
      <w:r w:rsidRPr="00791C4E">
        <w:t xml:space="preserve">.  </w:t>
      </w:r>
      <w:r w:rsidRPr="00EE1FF3">
        <w:t>A nonpublic hospital that is</w:t>
      </w:r>
    </w:p>
    <w:p w14:paraId="2D81EA1C" w14:textId="05F1B877" w:rsidR="00A31ABB" w:rsidRDefault="00A31ABB" w:rsidP="00A31ABB">
      <w:pPr>
        <w:ind w:left="1080"/>
      </w:pPr>
      <w:r w:rsidRPr="00DA1205">
        <w:t>(</w:t>
      </w:r>
      <w:r w:rsidR="004B1C94">
        <w:t>1</w:t>
      </w:r>
      <w:r w:rsidRPr="00DA1205">
        <w:t xml:space="preserve">) </w:t>
      </w:r>
      <w:r>
        <w:t xml:space="preserve"> </w:t>
      </w:r>
      <w:r w:rsidRPr="00DA1205">
        <w:t xml:space="preserve">licensed by the </w:t>
      </w:r>
      <w:r>
        <w:t>D</w:t>
      </w:r>
      <w:r w:rsidRPr="00DA1205">
        <w:t>e</w:t>
      </w:r>
      <w:r>
        <w:t xml:space="preserve">partment of Public Health under </w:t>
      </w:r>
      <w:r w:rsidRPr="00DA1205">
        <w:t xml:space="preserve">M.G.L. c. 111, </w:t>
      </w:r>
      <w:r w:rsidRPr="00EE1FF3">
        <w:t>§</w:t>
      </w:r>
      <w:r w:rsidRPr="00DA1205">
        <w:t xml:space="preserve"> 51 but not defined as </w:t>
      </w:r>
      <w:r>
        <w:t>an acute-care hospital</w:t>
      </w:r>
      <w:r w:rsidRPr="00DA1205">
        <w:t xml:space="preserve"> under M.G.L. c. 111, </w:t>
      </w:r>
      <w:r w:rsidR="007C3B80" w:rsidRPr="0027690C">
        <w:rPr>
          <w:spacing w:val="-3"/>
        </w:rPr>
        <w:t>§</w:t>
      </w:r>
      <w:r w:rsidRPr="00DA1205">
        <w:t xml:space="preserve"> 25B; or</w:t>
      </w:r>
    </w:p>
    <w:p w14:paraId="6BFF028B" w14:textId="210B6922" w:rsidR="00A31ABB" w:rsidRDefault="00A31ABB" w:rsidP="00A31ABB">
      <w:pPr>
        <w:ind w:left="1080"/>
      </w:pPr>
      <w:r w:rsidRPr="00DA1205">
        <w:t>(</w:t>
      </w:r>
      <w:r w:rsidR="004B1C94">
        <w:t>2</w:t>
      </w:r>
      <w:r w:rsidRPr="00DA1205">
        <w:t>)</w:t>
      </w:r>
      <w:r>
        <w:t xml:space="preserve"> </w:t>
      </w:r>
      <w:r w:rsidRPr="00DA1205">
        <w:t xml:space="preserve"> licensed as </w:t>
      </w:r>
      <w:r>
        <w:t>an inpatient facility</w:t>
      </w:r>
      <w:r w:rsidRPr="00DA1205">
        <w:t xml:space="preserve"> by the </w:t>
      </w:r>
      <w:r>
        <w:t>D</w:t>
      </w:r>
      <w:r w:rsidRPr="00DA1205">
        <w:t xml:space="preserve">epartment of </w:t>
      </w:r>
      <w:r>
        <w:t>M</w:t>
      </w:r>
      <w:r w:rsidRPr="00DA1205">
        <w:t xml:space="preserve">ental </w:t>
      </w:r>
      <w:r>
        <w:t>H</w:t>
      </w:r>
      <w:r w:rsidRPr="00DA1205">
        <w:t xml:space="preserve">ealth </w:t>
      </w:r>
      <w:r w:rsidR="00390DD4">
        <w:t xml:space="preserve">(DMH) </w:t>
      </w:r>
      <w:r w:rsidRPr="00DA1205">
        <w:t xml:space="preserve">under M.G.L. c. 19, </w:t>
      </w:r>
      <w:r w:rsidRPr="00EE1FF3">
        <w:t>§</w:t>
      </w:r>
      <w:r w:rsidRPr="00DA1205">
        <w:t xml:space="preserve"> 19 and regulations promulgated thereunder</w:t>
      </w:r>
      <w:r w:rsidR="00390DD4">
        <w:t>,</w:t>
      </w:r>
      <w:r w:rsidRPr="00DA1205">
        <w:t xml:space="preserve"> but not categorized as Class VII licensees under the regulations</w:t>
      </w:r>
      <w:r>
        <w:t>.</w:t>
      </w:r>
    </w:p>
    <w:p w14:paraId="599623DF" w14:textId="77777777" w:rsidR="00BE1F99" w:rsidRDefault="00BE1F99" w:rsidP="00305661">
      <w:pPr>
        <w:autoSpaceDE w:val="0"/>
        <w:autoSpaceDN w:val="0"/>
        <w:adjustRightInd w:val="0"/>
        <w:ind w:left="720"/>
        <w:rPr>
          <w:u w:val="single"/>
        </w:rPr>
      </w:pPr>
    </w:p>
    <w:p w14:paraId="604E7528" w14:textId="0F619FB4" w:rsidR="00A31ABB" w:rsidRDefault="00BE1F99" w:rsidP="00305661">
      <w:pPr>
        <w:autoSpaceDE w:val="0"/>
        <w:autoSpaceDN w:val="0"/>
        <w:adjustRightInd w:val="0"/>
        <w:ind w:left="720"/>
      </w:pPr>
      <w:r>
        <w:rPr>
          <w:u w:val="single"/>
        </w:rPr>
        <w:t>Rate</w:t>
      </w:r>
      <w:r w:rsidRPr="00E63369">
        <w:rPr>
          <w:u w:val="single"/>
        </w:rPr>
        <w:t xml:space="preserve"> Year (</w:t>
      </w:r>
      <w:r>
        <w:rPr>
          <w:u w:val="single"/>
        </w:rPr>
        <w:t>R</w:t>
      </w:r>
      <w:r w:rsidRPr="00E63369">
        <w:rPr>
          <w:u w:val="single"/>
        </w:rPr>
        <w:t>Y)</w:t>
      </w:r>
      <w:r w:rsidRPr="00E63369">
        <w:t>.</w:t>
      </w:r>
      <w:r w:rsidRPr="0031362E">
        <w:t xml:space="preserve">  The </w:t>
      </w:r>
      <w:r w:rsidR="00890184">
        <w:t>12 months</w:t>
      </w:r>
      <w:r w:rsidRPr="00E63369">
        <w:t xml:space="preserve"> from </w:t>
      </w:r>
      <w:r>
        <w:t>October</w:t>
      </w:r>
      <w:r w:rsidRPr="00E63369">
        <w:t xml:space="preserve"> 1</w:t>
      </w:r>
      <w:r w:rsidRPr="00E63369">
        <w:rPr>
          <w:vertAlign w:val="superscript"/>
        </w:rPr>
        <w:t>st</w:t>
      </w:r>
      <w:r w:rsidRPr="00E63369">
        <w:t xml:space="preserve"> through </w:t>
      </w:r>
      <w:r>
        <w:t>September</w:t>
      </w:r>
      <w:r w:rsidRPr="00E63369">
        <w:t xml:space="preserve"> 30</w:t>
      </w:r>
      <w:r w:rsidRPr="00E63369">
        <w:rPr>
          <w:vertAlign w:val="superscript"/>
        </w:rPr>
        <w:t>th</w:t>
      </w:r>
      <w:r w:rsidRPr="00E63369">
        <w:t>.</w:t>
      </w:r>
    </w:p>
    <w:p w14:paraId="39461C27" w14:textId="57061772" w:rsidR="009F551D" w:rsidRDefault="009F551D" w:rsidP="00CA79C5">
      <w:pPr>
        <w:autoSpaceDE w:val="0"/>
        <w:autoSpaceDN w:val="0"/>
        <w:adjustRightInd w:val="0"/>
      </w:pPr>
    </w:p>
    <w:p w14:paraId="1FBE5CEA" w14:textId="253E66C7" w:rsidR="009F551D" w:rsidRDefault="009F551D" w:rsidP="00305661">
      <w:pPr>
        <w:autoSpaceDE w:val="0"/>
        <w:autoSpaceDN w:val="0"/>
        <w:adjustRightInd w:val="0"/>
        <w:ind w:left="720"/>
      </w:pPr>
      <w:r w:rsidRPr="00CA79C5">
        <w:rPr>
          <w:u w:val="single"/>
        </w:rPr>
        <w:t>Total Assessment Amount</w:t>
      </w:r>
      <w:r>
        <w:t>. A</w:t>
      </w:r>
      <w:r w:rsidR="00445BFE">
        <w:t xml:space="preserve"> </w:t>
      </w:r>
      <w:r w:rsidR="00445BFE" w:rsidRPr="00CA79C5">
        <w:t>fixed amount equal to $</w:t>
      </w:r>
      <w:r w:rsidR="004B7567">
        <w:t>1,484,050,000</w:t>
      </w:r>
      <w:r w:rsidR="00C8327C">
        <w:t xml:space="preserve">, </w:t>
      </w:r>
      <w:r w:rsidR="00445BFE" w:rsidRPr="00CA79C5">
        <w:t>plus 50% of the estimated cost, as determined by the Secretary of Administration and Finance, of administering the Health Safety Net and related assessments in accordance with M.G.L. c. 118E, §§ 65 to 69.</w:t>
      </w:r>
    </w:p>
    <w:p w14:paraId="43408E1C" w14:textId="77777777" w:rsidR="00B11BC4" w:rsidRPr="00E63369" w:rsidRDefault="00B11BC4" w:rsidP="00B11BC4">
      <w:pPr>
        <w:rPr>
          <w:u w:val="single"/>
        </w:rPr>
      </w:pPr>
    </w:p>
    <w:p w14:paraId="1E989E0B" w14:textId="36874167" w:rsidR="002E53A8" w:rsidRPr="00E63369" w:rsidRDefault="00B813CA">
      <w:pPr>
        <w:rPr>
          <w:u w:val="single"/>
        </w:rPr>
      </w:pPr>
      <w:r w:rsidRPr="00E63369">
        <w:rPr>
          <w:u w:val="single"/>
        </w:rPr>
        <w:t>51</w:t>
      </w:r>
      <w:r w:rsidR="006C6918">
        <w:rPr>
          <w:u w:val="single"/>
        </w:rPr>
        <w:t>4</w:t>
      </w:r>
      <w:r w:rsidR="002E53A8" w:rsidRPr="00E63369">
        <w:rPr>
          <w:u w:val="single"/>
        </w:rPr>
        <w:t>.03</w:t>
      </w:r>
      <w:r w:rsidR="009D0978" w:rsidRPr="0031362E">
        <w:rPr>
          <w:u w:val="single"/>
        </w:rPr>
        <w:t xml:space="preserve">:  </w:t>
      </w:r>
      <w:r w:rsidR="005C6347">
        <w:rPr>
          <w:u w:val="single"/>
        </w:rPr>
        <w:t>Hospital</w:t>
      </w:r>
      <w:r w:rsidR="005C6347" w:rsidRPr="00E63369">
        <w:rPr>
          <w:u w:val="single"/>
        </w:rPr>
        <w:t xml:space="preserve"> </w:t>
      </w:r>
      <w:r w:rsidR="003365DF" w:rsidRPr="00E63369">
        <w:rPr>
          <w:u w:val="single"/>
        </w:rPr>
        <w:t>Groups</w:t>
      </w:r>
    </w:p>
    <w:p w14:paraId="5FF3C59D" w14:textId="77777777" w:rsidR="002E53A8" w:rsidRPr="00E63369" w:rsidRDefault="002E53A8">
      <w:pPr>
        <w:rPr>
          <w:u w:val="single"/>
        </w:rPr>
      </w:pPr>
    </w:p>
    <w:p w14:paraId="25F10C07" w14:textId="79FD76B3" w:rsidR="002E53A8" w:rsidRPr="005C0CA1" w:rsidRDefault="002E53A8" w:rsidP="00D06E24">
      <w:pPr>
        <w:ind w:left="720"/>
      </w:pPr>
      <w:r w:rsidRPr="00E63369">
        <w:t>(1)</w:t>
      </w:r>
      <w:r w:rsidR="009D0978" w:rsidRPr="00E63369">
        <w:t xml:space="preserve"> </w:t>
      </w:r>
      <w:r w:rsidRPr="00E63369">
        <w:t xml:space="preserve"> </w:t>
      </w:r>
      <w:r w:rsidR="00EA6EA6" w:rsidRPr="00CA79C5">
        <w:rPr>
          <w:u w:val="single"/>
        </w:rPr>
        <w:t>Hospital Assessment Liability</w:t>
      </w:r>
      <w:r w:rsidR="00EA6EA6">
        <w:t xml:space="preserve">. </w:t>
      </w:r>
      <w:r w:rsidR="00335E62">
        <w:t xml:space="preserve"> </w:t>
      </w:r>
      <w:r w:rsidR="00F83D8B">
        <w:t>Hospital assessment</w:t>
      </w:r>
      <w:r w:rsidRPr="00E63369">
        <w:t xml:space="preserve"> liability w</w:t>
      </w:r>
      <w:r w:rsidR="00D06E24" w:rsidRPr="00E63369">
        <w:t xml:space="preserve">ill vary by </w:t>
      </w:r>
      <w:r w:rsidR="00F83D8B">
        <w:t>hospital</w:t>
      </w:r>
      <w:r w:rsidR="00D06E24" w:rsidRPr="00E63369">
        <w:t xml:space="preserve"> </w:t>
      </w:r>
      <w:r w:rsidR="003365DF" w:rsidRPr="00E63369">
        <w:t>group</w:t>
      </w:r>
      <w:r w:rsidR="008C2E1F">
        <w:t xml:space="preserve"> and by inpatient versus outpatient revenues</w:t>
      </w:r>
      <w:r w:rsidR="00D06E24" w:rsidRPr="00E63369">
        <w:t xml:space="preserve">. The </w:t>
      </w:r>
      <w:r w:rsidR="00E36EE2" w:rsidRPr="00335E62">
        <w:t>nine</w:t>
      </w:r>
      <w:r w:rsidR="00FB2C89" w:rsidRPr="00E63369">
        <w:t xml:space="preserve"> </w:t>
      </w:r>
      <w:r w:rsidR="003365DF" w:rsidRPr="00E63369">
        <w:t>groups</w:t>
      </w:r>
      <w:r w:rsidR="00D06E24" w:rsidRPr="00E63369">
        <w:t xml:space="preserve"> of </w:t>
      </w:r>
      <w:r w:rsidR="00F83D8B">
        <w:t>hospitals</w:t>
      </w:r>
      <w:r w:rsidR="00D06E24" w:rsidRPr="00E63369">
        <w:t xml:space="preserve"> for purposes of </w:t>
      </w:r>
      <w:r w:rsidR="00AF42D8">
        <w:t>101 CMR 51</w:t>
      </w:r>
      <w:r w:rsidR="00F83D8B">
        <w:t>4</w:t>
      </w:r>
      <w:r w:rsidR="00AF42D8">
        <w:t>.00</w:t>
      </w:r>
      <w:r w:rsidR="00D06E24" w:rsidRPr="00E63369">
        <w:t xml:space="preserve"> </w:t>
      </w:r>
      <w:r w:rsidR="009D0978" w:rsidRPr="00E63369">
        <w:t>are</w:t>
      </w:r>
      <w:r w:rsidR="00D06E24" w:rsidRPr="00E63369">
        <w:t xml:space="preserve"> defined</w:t>
      </w:r>
      <w:r w:rsidR="006C6918">
        <w:t xml:space="preserve"> as follows</w:t>
      </w:r>
      <w:r w:rsidR="00390DD4">
        <w:t>.</w:t>
      </w:r>
    </w:p>
    <w:p w14:paraId="20AF3584" w14:textId="699A311A" w:rsidR="00FB2C89" w:rsidRPr="00047310" w:rsidRDefault="005C0CA1" w:rsidP="00047310">
      <w:pPr>
        <w:spacing w:line="264" w:lineRule="auto"/>
        <w:ind w:left="1080"/>
      </w:pPr>
      <w:r>
        <w:t>(a)</w:t>
      </w:r>
      <w:r w:rsidR="008B7D9F">
        <w:t xml:space="preserve"> </w:t>
      </w:r>
      <w:r>
        <w:t xml:space="preserve"> </w:t>
      </w:r>
      <w:r w:rsidRPr="00390DD4">
        <w:rPr>
          <w:u w:val="single"/>
        </w:rPr>
        <w:t>Group I</w:t>
      </w:r>
      <w:r>
        <w:t>: A</w:t>
      </w:r>
      <w:r w:rsidR="00FB2C89" w:rsidRPr="00047310">
        <w:t xml:space="preserve">ny </w:t>
      </w:r>
      <w:r w:rsidR="00955F1C">
        <w:t xml:space="preserve">acute </w:t>
      </w:r>
      <w:r w:rsidR="00FB2C89" w:rsidRPr="00047310">
        <w:t xml:space="preserve">hospital </w:t>
      </w:r>
      <w:r w:rsidR="00200F8A">
        <w:t xml:space="preserve">that had </w:t>
      </w:r>
      <w:r w:rsidR="001C039E">
        <w:t xml:space="preserve">not less than 355 staffed beds in fiscal year 2022 as reported by CHIA and that is </w:t>
      </w:r>
      <w:r w:rsidR="00FB2C89" w:rsidRPr="00047310">
        <w:t xml:space="preserve">identified </w:t>
      </w:r>
      <w:r>
        <w:t>as a</w:t>
      </w:r>
      <w:r w:rsidR="006176D6">
        <w:t xml:space="preserve"> group 1</w:t>
      </w:r>
      <w:r>
        <w:t xml:space="preserve"> safety net hospital </w:t>
      </w:r>
      <w:r w:rsidR="00FB2C89" w:rsidRPr="00047310">
        <w:t>in the MassHealth demonstration waiver approved under subsection (a) of section 1115 of Title XI of the federal Social Security Act</w:t>
      </w:r>
      <w:r w:rsidR="00502EFB">
        <w:t xml:space="preserve"> and in effect as of October 1, 2022</w:t>
      </w:r>
      <w:r w:rsidR="006C6918">
        <w:t>.</w:t>
      </w:r>
    </w:p>
    <w:p w14:paraId="0D6F028A" w14:textId="4A26F63A" w:rsidR="001C039E" w:rsidRDefault="005C0CA1" w:rsidP="00047310">
      <w:pPr>
        <w:tabs>
          <w:tab w:val="left" w:pos="6480"/>
        </w:tabs>
        <w:spacing w:line="264" w:lineRule="auto"/>
        <w:ind w:left="1080"/>
      </w:pPr>
      <w:r>
        <w:t>(b)</w:t>
      </w:r>
      <w:r w:rsidR="008B7D9F">
        <w:t xml:space="preserve"> </w:t>
      </w:r>
      <w:r>
        <w:t xml:space="preserve"> </w:t>
      </w:r>
      <w:r w:rsidRPr="00390DD4">
        <w:rPr>
          <w:u w:val="single"/>
        </w:rPr>
        <w:t>Group II</w:t>
      </w:r>
      <w:r>
        <w:t xml:space="preserve">: </w:t>
      </w:r>
      <w:r w:rsidR="00FB2C89" w:rsidRPr="00047310">
        <w:t xml:space="preserve">Any </w:t>
      </w:r>
      <w:r w:rsidR="00955F1C">
        <w:t xml:space="preserve">acute hospital that </w:t>
      </w:r>
      <w:r w:rsidR="001C039E">
        <w:t xml:space="preserve">that had less than 355 staffed beds in fiscal year 2022 as reported by CHIA and that is </w:t>
      </w:r>
      <w:r w:rsidR="001C039E" w:rsidRPr="00047310">
        <w:t xml:space="preserve">identified </w:t>
      </w:r>
      <w:r w:rsidR="001C039E">
        <w:t xml:space="preserve">as a group 1 safety net hospital </w:t>
      </w:r>
      <w:r w:rsidR="001C039E" w:rsidRPr="00047310">
        <w:t>in the MassHealth demonstration waiver approved under subsection (a) of section 1115 of Title XI of the federal Social Security Act</w:t>
      </w:r>
      <w:r w:rsidR="001C039E">
        <w:t xml:space="preserve"> and in effect as of October 1, 2022.</w:t>
      </w:r>
    </w:p>
    <w:p w14:paraId="0A7A2B62" w14:textId="2D04C5B4" w:rsidR="00526762" w:rsidRDefault="001C039E" w:rsidP="00047310">
      <w:pPr>
        <w:tabs>
          <w:tab w:val="left" w:pos="6480"/>
        </w:tabs>
        <w:spacing w:line="264" w:lineRule="auto"/>
        <w:ind w:left="1080"/>
      </w:pPr>
      <w:r>
        <w:t xml:space="preserve">(c) </w:t>
      </w:r>
      <w:r w:rsidR="008B7D9F">
        <w:t xml:space="preserve"> </w:t>
      </w:r>
      <w:r>
        <w:t xml:space="preserve">Group III: </w:t>
      </w:r>
      <w:r w:rsidR="00526762">
        <w:t>A</w:t>
      </w:r>
      <w:r w:rsidR="00526762" w:rsidRPr="00047310">
        <w:t xml:space="preserve">ny </w:t>
      </w:r>
      <w:r w:rsidR="00526762">
        <w:t xml:space="preserve">acute </w:t>
      </w:r>
      <w:r w:rsidR="00526762" w:rsidRPr="00047310">
        <w:t xml:space="preserve">hospital </w:t>
      </w:r>
      <w:r w:rsidR="00526762">
        <w:t xml:space="preserve">that had not less than 355 staffed beds in fiscal year 2022 as reported by CHIA and that is </w:t>
      </w:r>
      <w:r w:rsidR="00526762" w:rsidRPr="00047310">
        <w:t xml:space="preserve">identified </w:t>
      </w:r>
      <w:r w:rsidR="00526762">
        <w:t xml:space="preserve">as a group </w:t>
      </w:r>
      <w:r w:rsidR="004E07BA">
        <w:t>2</w:t>
      </w:r>
      <w:r w:rsidR="00526762">
        <w:t xml:space="preserve"> safety net hospital </w:t>
      </w:r>
      <w:r w:rsidR="00526762" w:rsidRPr="00047310">
        <w:t>in the MassHealth demonstration waiver approved under subsection (a) of section 1115 of Title XI of the federal Social Security Act</w:t>
      </w:r>
      <w:r w:rsidR="00526762">
        <w:t xml:space="preserve"> and in effect as of October 1, 2022.</w:t>
      </w:r>
    </w:p>
    <w:p w14:paraId="198C04DF" w14:textId="4766F86D" w:rsidR="004E07BA" w:rsidRDefault="004E07BA" w:rsidP="00047310">
      <w:pPr>
        <w:tabs>
          <w:tab w:val="left" w:pos="6480"/>
        </w:tabs>
        <w:spacing w:line="264" w:lineRule="auto"/>
        <w:ind w:left="1080"/>
      </w:pPr>
      <w:r>
        <w:t>(d)</w:t>
      </w:r>
      <w:r w:rsidR="000E48D5">
        <w:t xml:space="preserve"> </w:t>
      </w:r>
      <w:r w:rsidR="008B7D9F">
        <w:t xml:space="preserve"> </w:t>
      </w:r>
      <w:r w:rsidR="000E48D5">
        <w:t>Group IV: A</w:t>
      </w:r>
      <w:r w:rsidR="000E48D5" w:rsidRPr="00047310">
        <w:t xml:space="preserve">ny </w:t>
      </w:r>
      <w:r w:rsidR="000E48D5">
        <w:t xml:space="preserve">acute </w:t>
      </w:r>
      <w:r w:rsidR="000E48D5" w:rsidRPr="00047310">
        <w:t xml:space="preserve">hospital </w:t>
      </w:r>
      <w:r w:rsidR="000E48D5">
        <w:t xml:space="preserve">that had less than 355 staffed beds in fiscal year 2022 as reported by CHIA and that is </w:t>
      </w:r>
      <w:r w:rsidR="000E48D5" w:rsidRPr="00047310">
        <w:t xml:space="preserve">identified </w:t>
      </w:r>
      <w:r w:rsidR="000E48D5">
        <w:t xml:space="preserve">as a group 2 safety net hospital </w:t>
      </w:r>
      <w:r w:rsidR="000E48D5" w:rsidRPr="00047310">
        <w:t>in the MassHealth demonstration waiver approved under subsection (a) of section 1115 of Title XI of the federal Social Security Act</w:t>
      </w:r>
      <w:r w:rsidR="000E48D5">
        <w:t xml:space="preserve"> and in effect as of October 1, 2022.</w:t>
      </w:r>
    </w:p>
    <w:p w14:paraId="05305D36" w14:textId="5062CE86" w:rsidR="000E48D5" w:rsidRDefault="000E48D5" w:rsidP="00047310">
      <w:pPr>
        <w:tabs>
          <w:tab w:val="left" w:pos="6480"/>
        </w:tabs>
        <w:spacing w:line="264" w:lineRule="auto"/>
        <w:ind w:left="1080"/>
      </w:pPr>
      <w:r>
        <w:t xml:space="preserve">(e) </w:t>
      </w:r>
      <w:r w:rsidR="008B7D9F">
        <w:t xml:space="preserve"> </w:t>
      </w:r>
      <w:r>
        <w:t xml:space="preserve">Group V: </w:t>
      </w:r>
      <w:r w:rsidR="00487BC5">
        <w:t>Any acute hospital that is a freestanding pediatric hospital.</w:t>
      </w:r>
    </w:p>
    <w:p w14:paraId="348B7822" w14:textId="35869D22" w:rsidR="008C2E1F" w:rsidRDefault="00487BC5" w:rsidP="00047310">
      <w:pPr>
        <w:tabs>
          <w:tab w:val="left" w:pos="6480"/>
        </w:tabs>
        <w:spacing w:line="264" w:lineRule="auto"/>
        <w:ind w:left="1080"/>
      </w:pPr>
      <w:r>
        <w:t xml:space="preserve">(f) </w:t>
      </w:r>
      <w:r w:rsidR="008B7D9F">
        <w:t xml:space="preserve"> </w:t>
      </w:r>
      <w:r>
        <w:t xml:space="preserve">Group VI: Any </w:t>
      </w:r>
      <w:r w:rsidR="006A70B1">
        <w:t xml:space="preserve">acute hospital that </w:t>
      </w:r>
      <w:r w:rsidR="00955F1C">
        <w:t xml:space="preserve">is an </w:t>
      </w:r>
      <w:r w:rsidR="00FB2C89" w:rsidRPr="00047310">
        <w:t xml:space="preserve">academic medical center, teaching hospital, or specialty hospital, as determined by </w:t>
      </w:r>
      <w:r w:rsidR="00AC380D">
        <w:t xml:space="preserve">CHIA </w:t>
      </w:r>
      <w:r w:rsidR="00FB2C89" w:rsidRPr="00047310">
        <w:t xml:space="preserve">as of September 30, 2019, but excluding any </w:t>
      </w:r>
      <w:r w:rsidR="00714097">
        <w:t xml:space="preserve">high public payer </w:t>
      </w:r>
      <w:r w:rsidR="00FB2C89" w:rsidRPr="00047310">
        <w:t>hospital</w:t>
      </w:r>
      <w:r w:rsidR="005C0CA1">
        <w:t xml:space="preserve"> </w:t>
      </w:r>
      <w:r w:rsidR="00714097">
        <w:t>as defined by CHIA</w:t>
      </w:r>
      <w:r w:rsidR="00C449A5">
        <w:t xml:space="preserve"> </w:t>
      </w:r>
      <w:r w:rsidR="003B295D">
        <w:t>or any hospital included in Group V</w:t>
      </w:r>
      <w:r w:rsidR="00FB2C89" w:rsidRPr="00047310">
        <w:t>.</w:t>
      </w:r>
    </w:p>
    <w:p w14:paraId="5730F5E2" w14:textId="0E73C850" w:rsidR="00FB2C89" w:rsidRPr="00047310" w:rsidRDefault="00B0631C" w:rsidP="00C623E8">
      <w:pPr>
        <w:tabs>
          <w:tab w:val="left" w:pos="6480"/>
        </w:tabs>
        <w:spacing w:line="264" w:lineRule="auto"/>
        <w:ind w:left="1080"/>
      </w:pPr>
      <w:r>
        <w:t xml:space="preserve">(g) </w:t>
      </w:r>
      <w:r w:rsidR="008B7D9F">
        <w:t xml:space="preserve"> </w:t>
      </w:r>
      <w:r>
        <w:t>Group VII:</w:t>
      </w:r>
      <w:r w:rsidR="00335E62">
        <w:t xml:space="preserve"> </w:t>
      </w:r>
      <w:r w:rsidR="005C0CA1">
        <w:t>A</w:t>
      </w:r>
      <w:r w:rsidR="00FB2C89" w:rsidRPr="00047310">
        <w:t xml:space="preserve">ny private </w:t>
      </w:r>
      <w:r w:rsidR="00955F1C">
        <w:t xml:space="preserve">acute </w:t>
      </w:r>
      <w:r w:rsidR="00FB2C89" w:rsidRPr="00047310">
        <w:t xml:space="preserve">hospital operating as of September 30, 2019, but excluding any hospital </w:t>
      </w:r>
      <w:r w:rsidR="00AC380D">
        <w:t>included in Group</w:t>
      </w:r>
      <w:r w:rsidR="00786597">
        <w:t>s</w:t>
      </w:r>
      <w:r w:rsidR="00AC380D">
        <w:t xml:space="preserve"> I</w:t>
      </w:r>
      <w:r w:rsidR="00955F1C">
        <w:t xml:space="preserve"> </w:t>
      </w:r>
      <w:r w:rsidR="00786597">
        <w:t>through</w:t>
      </w:r>
      <w:r w:rsidR="006F6749">
        <w:t xml:space="preserve"> VI</w:t>
      </w:r>
      <w:r w:rsidR="00FB2C89" w:rsidRPr="00047310">
        <w:t>.</w:t>
      </w:r>
    </w:p>
    <w:p w14:paraId="0C55B426" w14:textId="5A95E735" w:rsidR="00FB2C89" w:rsidRPr="00047310" w:rsidRDefault="005C1185" w:rsidP="00047310">
      <w:pPr>
        <w:spacing w:line="264" w:lineRule="auto"/>
        <w:ind w:left="1080"/>
      </w:pPr>
      <w:r>
        <w:t>(h) Group VIII</w:t>
      </w:r>
      <w:r w:rsidR="00AC380D">
        <w:t xml:space="preserve">: </w:t>
      </w:r>
      <w:r w:rsidR="00230C1E">
        <w:t xml:space="preserve">The </w:t>
      </w:r>
      <w:r w:rsidR="00CC41FF">
        <w:t>C</w:t>
      </w:r>
      <w:r w:rsidR="00230C1E">
        <w:t>ommonwealth’s only</w:t>
      </w:r>
      <w:r w:rsidR="00230C1E" w:rsidRPr="00047310">
        <w:t xml:space="preserve"> </w:t>
      </w:r>
      <w:r w:rsidR="00FB2C89" w:rsidRPr="00047310">
        <w:t>non-state-owned public hospital</w:t>
      </w:r>
      <w:r w:rsidR="00230C1E">
        <w:t>,</w:t>
      </w:r>
      <w:r w:rsidR="00047310">
        <w:t xml:space="preserve"> operating as of September 30, 2019</w:t>
      </w:r>
      <w:r w:rsidR="00230C1E">
        <w:t>.</w:t>
      </w:r>
    </w:p>
    <w:p w14:paraId="4EECCF80" w14:textId="2FBABD54" w:rsidR="00FB2C89" w:rsidRPr="00047310" w:rsidRDefault="005C1185" w:rsidP="00047310">
      <w:pPr>
        <w:spacing w:line="264" w:lineRule="auto"/>
        <w:ind w:left="1080"/>
      </w:pPr>
      <w:r w:rsidRPr="00AA4FDF">
        <w:t>(</w:t>
      </w:r>
      <w:proofErr w:type="spellStart"/>
      <w:r w:rsidRPr="00AA4FDF">
        <w:t>i</w:t>
      </w:r>
      <w:proofErr w:type="spellEnd"/>
      <w:r w:rsidRPr="00AA4FDF">
        <w:t>) Group IX</w:t>
      </w:r>
      <w:r w:rsidR="00AC380D">
        <w:t>: A</w:t>
      </w:r>
      <w:r w:rsidR="00FB2C89" w:rsidRPr="00047310">
        <w:t>ny nonpublic</w:t>
      </w:r>
      <w:r w:rsidR="00955F1C">
        <w:t xml:space="preserve"> non-acute</w:t>
      </w:r>
      <w:r w:rsidR="00FB2C89" w:rsidRPr="00047310">
        <w:t xml:space="preserve"> hospital </w:t>
      </w:r>
      <w:r w:rsidR="006A0E10">
        <w:t>operating as of September 30, 2019</w:t>
      </w:r>
      <w:r w:rsidR="00955F1C">
        <w:t>.</w:t>
      </w:r>
    </w:p>
    <w:p w14:paraId="042D29BF" w14:textId="77777777" w:rsidR="00D06E24" w:rsidRPr="00E63369" w:rsidRDefault="002E53A8" w:rsidP="00E37A7D">
      <w:r w:rsidRPr="00E63369">
        <w:tab/>
      </w:r>
    </w:p>
    <w:p w14:paraId="2EC30B35" w14:textId="03ABB829" w:rsidR="00200F9A" w:rsidRDefault="003C0B91" w:rsidP="003C0B91">
      <w:pPr>
        <w:ind w:left="720"/>
      </w:pPr>
      <w:r w:rsidRPr="00E63369">
        <w:lastRenderedPageBreak/>
        <w:t xml:space="preserve">(2) </w:t>
      </w:r>
      <w:r w:rsidR="009D0978" w:rsidRPr="00E63369">
        <w:t xml:space="preserve"> </w:t>
      </w:r>
      <w:r w:rsidR="00502EFB" w:rsidRPr="00047310">
        <w:rPr>
          <w:u w:val="single"/>
        </w:rPr>
        <w:t>Consistent Application of Assessment</w:t>
      </w:r>
      <w:r w:rsidR="00502EFB">
        <w:t xml:space="preserve">. </w:t>
      </w:r>
      <w:r w:rsidR="004C1C40">
        <w:t xml:space="preserve"> </w:t>
      </w:r>
      <w:r w:rsidR="00200F9A">
        <w:t xml:space="preserve">Hospitals will remain in the group they are in as of </w:t>
      </w:r>
      <w:r w:rsidR="00146DB1">
        <w:t>October 1, 202</w:t>
      </w:r>
      <w:r w:rsidR="00607710" w:rsidRPr="00AA4FDF">
        <w:t>4</w:t>
      </w:r>
      <w:r w:rsidR="00200F9A">
        <w:t>, and will be subject to the same assessment rate established for their group, except as follows</w:t>
      </w:r>
      <w:r w:rsidR="00CC41FF">
        <w:t>.</w:t>
      </w:r>
    </w:p>
    <w:p w14:paraId="321A19F4" w14:textId="0F9EDD98" w:rsidR="00681E86" w:rsidRDefault="00200F9A" w:rsidP="00047310">
      <w:pPr>
        <w:ind w:left="1080"/>
      </w:pPr>
      <w:r>
        <w:t xml:space="preserve">(a)  </w:t>
      </w:r>
      <w:r w:rsidRPr="00047310">
        <w:rPr>
          <w:u w:val="single"/>
        </w:rPr>
        <w:t xml:space="preserve">New </w:t>
      </w:r>
      <w:r w:rsidR="00681E86">
        <w:rPr>
          <w:u w:val="single"/>
        </w:rPr>
        <w:t xml:space="preserve">Acute </w:t>
      </w:r>
      <w:r w:rsidRPr="00047310">
        <w:rPr>
          <w:u w:val="single"/>
        </w:rPr>
        <w:t>Hospitals</w:t>
      </w:r>
      <w:r>
        <w:t xml:space="preserve">.  </w:t>
      </w:r>
      <w:r w:rsidR="004928A7" w:rsidRPr="00E63369">
        <w:t>N</w:t>
      </w:r>
      <w:r w:rsidR="003C0B91" w:rsidRPr="00E63369">
        <w:t xml:space="preserve">ew </w:t>
      </w:r>
      <w:r w:rsidR="00681E86">
        <w:t xml:space="preserve">acute </w:t>
      </w:r>
      <w:r w:rsidR="005C6347">
        <w:t>hospitals</w:t>
      </w:r>
      <w:r w:rsidR="005C6347" w:rsidRPr="00E63369">
        <w:t xml:space="preserve"> </w:t>
      </w:r>
      <w:r w:rsidR="003C0B91" w:rsidRPr="00E63369">
        <w:t xml:space="preserve">that come into operation </w:t>
      </w:r>
      <w:r w:rsidR="004928A7" w:rsidRPr="00E63369">
        <w:t>s</w:t>
      </w:r>
      <w:r w:rsidR="00B249C2" w:rsidRPr="00E63369">
        <w:t xml:space="preserve">ubsequent to </w:t>
      </w:r>
      <w:r w:rsidR="00681E86">
        <w:t>October 1, 2022</w:t>
      </w:r>
      <w:r w:rsidR="00CC41FF">
        <w:t>,</w:t>
      </w:r>
      <w:r w:rsidR="00681E86">
        <w:t xml:space="preserve"> </w:t>
      </w:r>
      <w:r w:rsidR="00D16D0D">
        <w:rPr>
          <w:iCs/>
        </w:rPr>
        <w:t>or for whom there is no FY</w:t>
      </w:r>
      <w:r w:rsidR="00681E86">
        <w:rPr>
          <w:iCs/>
        </w:rPr>
        <w:t xml:space="preserve"> </w:t>
      </w:r>
      <w:r w:rsidR="00D16D0D">
        <w:rPr>
          <w:iCs/>
        </w:rPr>
        <w:t xml:space="preserve">2019 hospital-specific gross patient service revenue </w:t>
      </w:r>
      <w:r w:rsidR="00BB7681">
        <w:rPr>
          <w:iCs/>
        </w:rPr>
        <w:t>data</w:t>
      </w:r>
      <w:r w:rsidR="00FD1E0D">
        <w:rPr>
          <w:iCs/>
        </w:rPr>
        <w:t xml:space="preserve"> (as reported by CHIA based on the annual collection of cost report data)</w:t>
      </w:r>
      <w:r w:rsidR="004928A7" w:rsidRPr="00E63369">
        <w:rPr>
          <w:iCs/>
        </w:rPr>
        <w:t xml:space="preserve">, or </w:t>
      </w:r>
      <w:r w:rsidR="00681E86">
        <w:rPr>
          <w:iCs/>
        </w:rPr>
        <w:t xml:space="preserve">acute </w:t>
      </w:r>
      <w:r w:rsidR="00F83D8B">
        <w:rPr>
          <w:iCs/>
        </w:rPr>
        <w:t>hospitals</w:t>
      </w:r>
      <w:r w:rsidR="004928A7" w:rsidRPr="00E63369">
        <w:rPr>
          <w:iCs/>
        </w:rPr>
        <w:t xml:space="preserve"> </w:t>
      </w:r>
      <w:r w:rsidR="004928A7" w:rsidRPr="00E63369">
        <w:t>otherwise not included in the approved waiver</w:t>
      </w:r>
      <w:r w:rsidR="00BD02EE" w:rsidRPr="00E63369">
        <w:t xml:space="preserve"> application</w:t>
      </w:r>
      <w:r w:rsidR="004928A7" w:rsidRPr="00E63369">
        <w:t>,</w:t>
      </w:r>
      <w:r w:rsidR="004928A7" w:rsidRPr="00E63369">
        <w:rPr>
          <w:iCs/>
        </w:rPr>
        <w:t xml:space="preserve"> </w:t>
      </w:r>
      <w:r w:rsidR="003C0B91" w:rsidRPr="00E63369">
        <w:t xml:space="preserve">will be considered </w:t>
      </w:r>
      <w:r w:rsidR="006C6918">
        <w:t>G</w:t>
      </w:r>
      <w:r w:rsidR="003365DF" w:rsidRPr="00E63369">
        <w:t>roup</w:t>
      </w:r>
      <w:r w:rsidR="003C0B91" w:rsidRPr="00E63369">
        <w:t xml:space="preserve"> </w:t>
      </w:r>
      <w:r w:rsidR="00260189">
        <w:t>VI</w:t>
      </w:r>
      <w:r w:rsidR="00FB2C89" w:rsidRPr="00E63369">
        <w:t xml:space="preserve"> </w:t>
      </w:r>
      <w:r w:rsidR="00F83D8B">
        <w:t>hospitals</w:t>
      </w:r>
      <w:r w:rsidR="006C6918">
        <w:t>, under 101 CMR 514.03(1),</w:t>
      </w:r>
      <w:r w:rsidR="003C0B91" w:rsidRPr="00E63369">
        <w:t xml:space="preserve"> until </w:t>
      </w:r>
      <w:r w:rsidR="00B11BC4" w:rsidRPr="00E63369">
        <w:t xml:space="preserve">EOHHS </w:t>
      </w:r>
      <w:r w:rsidR="003C0B91" w:rsidRPr="00E63369">
        <w:t xml:space="preserve">determines </w:t>
      </w:r>
      <w:r w:rsidR="004928A7" w:rsidRPr="00E63369">
        <w:t xml:space="preserve">the </w:t>
      </w:r>
      <w:r w:rsidR="006C6918">
        <w:t>hospital’s</w:t>
      </w:r>
      <w:r w:rsidR="006C6918" w:rsidRPr="00E63369">
        <w:t xml:space="preserve"> </w:t>
      </w:r>
      <w:r w:rsidR="004928A7" w:rsidRPr="00E63369">
        <w:t xml:space="preserve">group </w:t>
      </w:r>
      <w:r w:rsidR="003C0B91" w:rsidRPr="00E63369">
        <w:t>eligibility.</w:t>
      </w:r>
    </w:p>
    <w:p w14:paraId="79D0436A" w14:textId="5CA7C62A" w:rsidR="00EC3F7C" w:rsidRDefault="00681E86" w:rsidP="00047310">
      <w:pPr>
        <w:ind w:left="1080"/>
      </w:pPr>
      <w:r>
        <w:t xml:space="preserve">(b)  </w:t>
      </w:r>
      <w:r w:rsidRPr="00CA79C5">
        <w:rPr>
          <w:u w:val="single"/>
        </w:rPr>
        <w:t>New Non-acute Hospitals</w:t>
      </w:r>
      <w:r>
        <w:t>.  New non-acute hospitals that come into operation subsequent to October 1, 2022</w:t>
      </w:r>
      <w:r w:rsidR="00CC41FF">
        <w:t>,</w:t>
      </w:r>
      <w:r>
        <w:t xml:space="preserve"> </w:t>
      </w:r>
      <w:r>
        <w:rPr>
          <w:iCs/>
        </w:rPr>
        <w:t>or for whom there is no FY 2019 hospital-specific gross patient service revenue data (as reported by CHIA based on the annual collection of cost report data)</w:t>
      </w:r>
      <w:r w:rsidRPr="00E63369">
        <w:rPr>
          <w:iCs/>
        </w:rPr>
        <w:t xml:space="preserve">, or </w:t>
      </w:r>
      <w:r>
        <w:rPr>
          <w:iCs/>
        </w:rPr>
        <w:t>non-acute hospitals</w:t>
      </w:r>
      <w:r w:rsidRPr="00E63369">
        <w:rPr>
          <w:iCs/>
        </w:rPr>
        <w:t xml:space="preserve"> </w:t>
      </w:r>
      <w:r w:rsidRPr="00E63369">
        <w:t>otherwise not included in the approved waiver application,</w:t>
      </w:r>
      <w:r w:rsidRPr="00E63369">
        <w:rPr>
          <w:iCs/>
        </w:rPr>
        <w:t xml:space="preserve"> </w:t>
      </w:r>
      <w:r w:rsidRPr="00E63369">
        <w:t xml:space="preserve">will be considered </w:t>
      </w:r>
      <w:r>
        <w:t>G</w:t>
      </w:r>
      <w:r w:rsidRPr="00E63369">
        <w:t xml:space="preserve">roup </w:t>
      </w:r>
      <w:r w:rsidR="00260189">
        <w:t>IX</w:t>
      </w:r>
      <w:r w:rsidRPr="00E63369">
        <w:t xml:space="preserve"> </w:t>
      </w:r>
      <w:r>
        <w:t>hospitals, under 101 CMR 514.03(1),</w:t>
      </w:r>
      <w:r w:rsidRPr="00E63369">
        <w:t xml:space="preserve"> until EOHHS determines the </w:t>
      </w:r>
      <w:r>
        <w:t>hospital’s</w:t>
      </w:r>
      <w:r w:rsidRPr="00E63369">
        <w:t xml:space="preserve"> group eligibility.</w:t>
      </w:r>
    </w:p>
    <w:p w14:paraId="75C895FE" w14:textId="2B6A3112" w:rsidR="0031533C" w:rsidRDefault="00EC3F7C" w:rsidP="00047310">
      <w:pPr>
        <w:ind w:left="1080"/>
      </w:pPr>
      <w:r>
        <w:t>(</w:t>
      </w:r>
      <w:r w:rsidR="00EA0B11">
        <w:t>c</w:t>
      </w:r>
      <w:r w:rsidR="00200F9A">
        <w:t xml:space="preserve">)  </w:t>
      </w:r>
      <w:r w:rsidR="00200F9A" w:rsidRPr="00047310">
        <w:rPr>
          <w:u w:val="single"/>
        </w:rPr>
        <w:t>Hospital Closures</w:t>
      </w:r>
      <w:r w:rsidR="00200F9A">
        <w:t xml:space="preserve">. </w:t>
      </w:r>
      <w:r w:rsidR="00CC41FF">
        <w:t xml:space="preserve"> </w:t>
      </w:r>
      <w:r w:rsidR="00200F9A">
        <w:t>If a hospital subject to the assessment closes, with no successor</w:t>
      </w:r>
      <w:r w:rsidR="00F05BEA">
        <w:t xml:space="preserve"> </w:t>
      </w:r>
      <w:r w:rsidR="00200F9A">
        <w:t>in</w:t>
      </w:r>
      <w:r w:rsidR="00F05BEA">
        <w:t xml:space="preserve"> </w:t>
      </w:r>
      <w:r w:rsidR="00200F9A">
        <w:t>interest</w:t>
      </w:r>
      <w:r w:rsidR="00F05BEA">
        <w:t xml:space="preserve"> or assignee</w:t>
      </w:r>
      <w:r w:rsidR="00955F1C">
        <w:t xml:space="preserve"> as determined by EOHHS</w:t>
      </w:r>
      <w:r w:rsidR="00EA0B11">
        <w:t xml:space="preserve"> consistent with the criteria described in 101 CMR </w:t>
      </w:r>
      <w:r w:rsidR="00D35CC8">
        <w:t>5</w:t>
      </w:r>
      <w:r w:rsidR="00EA0B11">
        <w:t>14.03(2)(d)</w:t>
      </w:r>
      <w:r w:rsidR="00200F9A">
        <w:t xml:space="preserve">, </w:t>
      </w:r>
      <w:r w:rsidR="00F05BEA">
        <w:t xml:space="preserve">the former hospital </w:t>
      </w:r>
      <w:r w:rsidR="00EA0B11">
        <w:t>will</w:t>
      </w:r>
      <w:r w:rsidR="00F05BEA">
        <w:t xml:space="preserve"> no longer be subject to the assessment</w:t>
      </w:r>
      <w:r w:rsidR="00CC41FF">
        <w:t>,</w:t>
      </w:r>
      <w:r w:rsidR="00F05BEA">
        <w:t xml:space="preserve"> provided that the hospital is subject to the assessment up to and included its date of closure.</w:t>
      </w:r>
      <w:r w:rsidR="00743C27">
        <w:t xml:space="preserve"> No changes will be made to the assessment rates for remaining assessed hospitals as a result of a hospital’s closure</w:t>
      </w:r>
      <w:r w:rsidR="00F534D4">
        <w:t xml:space="preserve"> when there is no successor in interest or assignee</w:t>
      </w:r>
      <w:r w:rsidR="00743C27">
        <w:t>.</w:t>
      </w:r>
    </w:p>
    <w:p w14:paraId="6CEC9163" w14:textId="2F2F3C15" w:rsidR="00AB3340" w:rsidRDefault="00200F9A" w:rsidP="00C06045">
      <w:pPr>
        <w:ind w:left="1080"/>
      </w:pPr>
      <w:r>
        <w:t>(</w:t>
      </w:r>
      <w:r w:rsidR="00EA0B11">
        <w:t>d</w:t>
      </w:r>
      <w:r>
        <w:t xml:space="preserve">)  </w:t>
      </w:r>
      <w:r w:rsidR="00B35064" w:rsidRPr="00047310">
        <w:rPr>
          <w:u w:val="single"/>
        </w:rPr>
        <w:t>Mergers and Acquisitions</w:t>
      </w:r>
      <w:r w:rsidR="00B35064">
        <w:t>.</w:t>
      </w:r>
      <w:r w:rsidR="004C25A9">
        <w:t xml:space="preserve"> </w:t>
      </w:r>
      <w:r w:rsidR="004C25A9" w:rsidRPr="00047310">
        <w:t xml:space="preserve">The </w:t>
      </w:r>
      <w:r w:rsidR="00BC66A8">
        <w:t xml:space="preserve">original </w:t>
      </w:r>
      <w:r w:rsidR="004C25A9" w:rsidRPr="00047310">
        <w:t xml:space="preserve">assessment obligation of any hospital is applied to and </w:t>
      </w:r>
      <w:r w:rsidR="00826E04">
        <w:t xml:space="preserve">becomes </w:t>
      </w:r>
      <w:r w:rsidR="004C25A9" w:rsidRPr="00047310">
        <w:t>an obligation of any successor in interest or assignee of such hospital</w:t>
      </w:r>
      <w:r w:rsidR="00EA0B11">
        <w:t>, as determined by EOHHS</w:t>
      </w:r>
      <w:r w:rsidR="004C25A9" w:rsidRPr="00047310">
        <w:t xml:space="preserve">. A successor in interest </w:t>
      </w:r>
      <w:r w:rsidR="00EA0B11">
        <w:t>may</w:t>
      </w:r>
      <w:r w:rsidR="004C25A9" w:rsidRPr="00047310">
        <w:t xml:space="preserve"> include, but </w:t>
      </w:r>
      <w:r w:rsidR="00EA0B11">
        <w:t xml:space="preserve">is </w:t>
      </w:r>
      <w:r w:rsidR="004C25A9" w:rsidRPr="00047310">
        <w:t xml:space="preserve">not limited to, any purchaser of the assets or stock, any new licensee of an existing acute or non-acute hospital, any surviving entity resulting from merger or liquidation, </w:t>
      </w:r>
      <w:r w:rsidR="00CC41FF">
        <w:t xml:space="preserve">or </w:t>
      </w:r>
      <w:r w:rsidR="004C25A9" w:rsidRPr="00047310">
        <w:t>any receiver or any trustee of the original hospital. The assessment obligation of the successor in interest or assignee with respect to the acquired or merged hospital(s) will be equal to the assessment obligation of the affected hospitals prior to the merger or acquisition.</w:t>
      </w:r>
      <w:r w:rsidR="00F05BEA" w:rsidRPr="00F05BEA">
        <w:t xml:space="preserve"> </w:t>
      </w:r>
      <w:r w:rsidR="00F05BEA">
        <w:t xml:space="preserve">The assessment </w:t>
      </w:r>
      <w:r w:rsidR="00EA0B11">
        <w:t>will</w:t>
      </w:r>
      <w:r w:rsidR="00F05BEA">
        <w:t xml:space="preserve"> be applied to hospitals that merge, or hospitals that acquire another or are acquired, as if no such merger or acquisition occurred.</w:t>
      </w:r>
    </w:p>
    <w:p w14:paraId="46504C74" w14:textId="5F318474" w:rsidR="00DE1C27" w:rsidRDefault="00AB3340" w:rsidP="00C06045">
      <w:pPr>
        <w:ind w:left="1080"/>
      </w:pPr>
      <w:r>
        <w:t xml:space="preserve">(e)  </w:t>
      </w:r>
      <w:r w:rsidR="00370CC2" w:rsidRPr="00C623E8">
        <w:rPr>
          <w:u w:val="single"/>
        </w:rPr>
        <w:t>Multi-factorial Changes</w:t>
      </w:r>
      <w:r w:rsidR="00D96518">
        <w:t>.  The assessment obligation will follow the rules established in 101 CMR 514.03(2)</w:t>
      </w:r>
      <w:r w:rsidR="005B3667">
        <w:t>(a)</w:t>
      </w:r>
      <w:r w:rsidR="00676B51">
        <w:t xml:space="preserve"> through </w:t>
      </w:r>
      <w:r w:rsidR="005B3667">
        <w:t>(d), provided that</w:t>
      </w:r>
      <w:r w:rsidR="00DE1C27">
        <w:t>:</w:t>
      </w:r>
    </w:p>
    <w:p w14:paraId="50806445" w14:textId="152A5A67" w:rsidR="00931FB0" w:rsidRDefault="008B7D9F" w:rsidP="00DE1C27">
      <w:pPr>
        <w:ind w:left="1440"/>
      </w:pPr>
      <w:r>
        <w:t xml:space="preserve">1. </w:t>
      </w:r>
      <w:r w:rsidR="00CD5413">
        <w:t xml:space="preserve"> </w:t>
      </w:r>
      <w:r w:rsidR="00DE1C27">
        <w:t>I</w:t>
      </w:r>
      <w:r w:rsidR="00827929">
        <w:t xml:space="preserve">n the </w:t>
      </w:r>
      <w:r w:rsidR="00C06045">
        <w:t>event a</w:t>
      </w:r>
      <w:r w:rsidR="00A427E0">
        <w:t>n existing</w:t>
      </w:r>
      <w:r w:rsidR="00C06045">
        <w:t xml:space="preserve"> </w:t>
      </w:r>
      <w:r w:rsidR="003E6384">
        <w:t>hospital</w:t>
      </w:r>
      <w:r w:rsidR="00C06045">
        <w:t xml:space="preserve"> has merged</w:t>
      </w:r>
      <w:r w:rsidR="00157801">
        <w:t xml:space="preserve"> with</w:t>
      </w:r>
      <w:r w:rsidR="00C06045">
        <w:t xml:space="preserve"> or acquired </w:t>
      </w:r>
      <w:r w:rsidR="00370CC2">
        <w:t xml:space="preserve">only </w:t>
      </w:r>
      <w:r w:rsidR="003E6384">
        <w:t xml:space="preserve">a portion of another </w:t>
      </w:r>
      <w:r w:rsidR="00A427E0">
        <w:t xml:space="preserve">existing </w:t>
      </w:r>
      <w:r w:rsidR="003E6384">
        <w:t>hospital</w:t>
      </w:r>
      <w:r w:rsidR="00663024">
        <w:t xml:space="preserve"> and the </w:t>
      </w:r>
      <w:r w:rsidR="00260093">
        <w:t>two hospitals both continue to exist as hospitals</w:t>
      </w:r>
      <w:r w:rsidR="00C65A15">
        <w:t xml:space="preserve"> after the merger or acquisition</w:t>
      </w:r>
      <w:r w:rsidR="003E6384">
        <w:t xml:space="preserve">, </w:t>
      </w:r>
      <w:r w:rsidR="00126887">
        <w:t xml:space="preserve">the </w:t>
      </w:r>
      <w:r w:rsidR="00BC66A8">
        <w:t xml:space="preserve">original </w:t>
      </w:r>
      <w:r w:rsidR="003E6793">
        <w:t xml:space="preserve">assessment </w:t>
      </w:r>
      <w:r w:rsidR="00126887">
        <w:t>obligation</w:t>
      </w:r>
      <w:r w:rsidR="00300DC6">
        <w:t>s</w:t>
      </w:r>
      <w:r w:rsidR="00126887">
        <w:t xml:space="preserve"> </w:t>
      </w:r>
      <w:r w:rsidR="00BC66A8">
        <w:t>of the two</w:t>
      </w:r>
      <w:r w:rsidR="00300DC6">
        <w:t xml:space="preserve"> hospitals</w:t>
      </w:r>
      <w:r w:rsidR="00BC66A8">
        <w:t xml:space="preserve"> </w:t>
      </w:r>
      <w:r w:rsidR="00126887">
        <w:t>will be applied</w:t>
      </w:r>
      <w:r w:rsidR="003E6793">
        <w:t xml:space="preserve"> proportionally</w:t>
      </w:r>
      <w:r w:rsidR="00663024">
        <w:t xml:space="preserve"> </w:t>
      </w:r>
      <w:r w:rsidR="00260093">
        <w:t xml:space="preserve">to each hospital </w:t>
      </w:r>
      <w:r w:rsidR="00663024">
        <w:t xml:space="preserve">based on the gross patient </w:t>
      </w:r>
      <w:r w:rsidR="00C65A15">
        <w:t xml:space="preserve">service </w:t>
      </w:r>
      <w:r w:rsidR="00663024">
        <w:t>revenue attributable</w:t>
      </w:r>
      <w:r w:rsidR="003E6793">
        <w:t xml:space="preserve"> to </w:t>
      </w:r>
      <w:r w:rsidR="00D826BE">
        <w:t xml:space="preserve">each portion of each hospital </w:t>
      </w:r>
      <w:r w:rsidR="009A345E">
        <w:t>after the merger or acquisition</w:t>
      </w:r>
      <w:r w:rsidR="0073073C">
        <w:t>.</w:t>
      </w:r>
    </w:p>
    <w:p w14:paraId="45E86E58" w14:textId="0A6C5389" w:rsidR="00E317FE" w:rsidRDefault="008B7D9F" w:rsidP="00DE1C27">
      <w:pPr>
        <w:ind w:left="1440"/>
      </w:pPr>
      <w:r>
        <w:t xml:space="preserve">2. </w:t>
      </w:r>
      <w:r w:rsidR="00DE1C27">
        <w:t xml:space="preserve"> In the event that a new hospital opens and also acquires a portion or all of an existing hospital,</w:t>
      </w:r>
      <w:r w:rsidR="00573270">
        <w:t xml:space="preserve"> </w:t>
      </w:r>
      <w:r w:rsidR="00CD446F">
        <w:t>and the</w:t>
      </w:r>
      <w:r w:rsidR="000449C0">
        <w:t xml:space="preserve"> portion of the hospital that </w:t>
      </w:r>
      <w:r w:rsidR="0073073C">
        <w:t xml:space="preserve">is new accounts for </w:t>
      </w:r>
      <w:r w:rsidR="005F3D1D">
        <w:t xml:space="preserve">greater than 50% of </w:t>
      </w:r>
      <w:r w:rsidR="00B96943">
        <w:t xml:space="preserve">the gross patient service revenue of the </w:t>
      </w:r>
      <w:r w:rsidR="007A2B88">
        <w:t xml:space="preserve">total hospital entity, the hospital’s assessment obligation will be determined in accordance with 101 CMR </w:t>
      </w:r>
      <w:r w:rsidR="00C50CA3">
        <w:t>514.03(2)(a) or (b),</w:t>
      </w:r>
      <w:r w:rsidR="00507543">
        <w:t xml:space="preserve"> as applicable depending on the hospital’s status as an acute or non-acute hospital.</w:t>
      </w:r>
    </w:p>
    <w:p w14:paraId="72A010EF" w14:textId="359E3486" w:rsidR="00DE1C27" w:rsidRDefault="008B7D9F" w:rsidP="00C623E8">
      <w:pPr>
        <w:ind w:left="1440"/>
      </w:pPr>
      <w:r>
        <w:t xml:space="preserve">3. </w:t>
      </w:r>
      <w:r w:rsidR="00E317FE">
        <w:t xml:space="preserve"> In the event that a new hospital opens and also acquires a portion or all of an existing hospital, and the </w:t>
      </w:r>
      <w:r w:rsidR="00507543">
        <w:t>portion of the</w:t>
      </w:r>
      <w:r w:rsidR="00F47752">
        <w:t xml:space="preserve"> </w:t>
      </w:r>
      <w:r w:rsidR="00507543">
        <w:t xml:space="preserve">hospital that is new accounts for 50% or less of the gross patient service revenue of the total hospital entity, the hospital’s assessment obligation will be </w:t>
      </w:r>
      <w:r w:rsidR="00E33EDF">
        <w:t xml:space="preserve">equal to the portion of the assessment </w:t>
      </w:r>
      <w:r w:rsidR="00EC03B1">
        <w:t xml:space="preserve">attributable to the </w:t>
      </w:r>
      <w:r w:rsidR="00B316CE">
        <w:t xml:space="preserve">acquired </w:t>
      </w:r>
      <w:r w:rsidR="00E90D6E">
        <w:t>portion of the hospital.</w:t>
      </w:r>
    </w:p>
    <w:p w14:paraId="500E76DB" w14:textId="77777777" w:rsidR="00B813CA" w:rsidRPr="00E63369" w:rsidRDefault="00B813CA">
      <w:pPr>
        <w:rPr>
          <w:u w:val="single"/>
        </w:rPr>
      </w:pPr>
    </w:p>
    <w:p w14:paraId="55F28474" w14:textId="2E3D7E6A" w:rsidR="007C598F" w:rsidRPr="00E63369" w:rsidRDefault="00B813CA">
      <w:pPr>
        <w:ind w:left="720" w:hanging="720"/>
        <w:rPr>
          <w:u w:val="single"/>
        </w:rPr>
      </w:pPr>
      <w:r w:rsidRPr="00E63369">
        <w:rPr>
          <w:u w:val="single"/>
        </w:rPr>
        <w:t>51</w:t>
      </w:r>
      <w:r w:rsidR="00093D82">
        <w:rPr>
          <w:u w:val="single"/>
        </w:rPr>
        <w:t>4</w:t>
      </w:r>
      <w:r w:rsidR="007C598F" w:rsidRPr="00E63369">
        <w:rPr>
          <w:u w:val="single"/>
        </w:rPr>
        <w:t>.0</w:t>
      </w:r>
      <w:r w:rsidR="002E53A8" w:rsidRPr="00E63369">
        <w:rPr>
          <w:u w:val="single"/>
        </w:rPr>
        <w:t>4</w:t>
      </w:r>
      <w:r w:rsidR="009D0978" w:rsidRPr="0031362E">
        <w:rPr>
          <w:u w:val="single"/>
        </w:rPr>
        <w:t>:</w:t>
      </w:r>
      <w:r w:rsidR="007C598F" w:rsidRPr="00E63369">
        <w:rPr>
          <w:u w:val="single"/>
        </w:rPr>
        <w:t xml:space="preserve">  </w:t>
      </w:r>
      <w:r w:rsidR="007C598F" w:rsidRPr="0031362E">
        <w:rPr>
          <w:u w:val="single"/>
        </w:rPr>
        <w:t xml:space="preserve">Calculation of </w:t>
      </w:r>
      <w:r w:rsidR="008A50B1">
        <w:rPr>
          <w:u w:val="single"/>
        </w:rPr>
        <w:t>Hospital Assessment</w:t>
      </w:r>
    </w:p>
    <w:p w14:paraId="53D02843" w14:textId="77777777" w:rsidR="007C598F" w:rsidRPr="0031362E" w:rsidRDefault="007C598F">
      <w:pPr>
        <w:ind w:left="720"/>
      </w:pPr>
    </w:p>
    <w:p w14:paraId="216B6511" w14:textId="0EECACAF" w:rsidR="00AC2866" w:rsidRDefault="007C598F" w:rsidP="008D67C3">
      <w:pPr>
        <w:ind w:left="720"/>
      </w:pPr>
      <w:r w:rsidRPr="0031362E">
        <w:t xml:space="preserve">(1)  </w:t>
      </w:r>
      <w:r w:rsidR="009D499C">
        <w:t>To determine each hospital</w:t>
      </w:r>
      <w:r w:rsidR="00502EFB">
        <w:t>’s</w:t>
      </w:r>
      <w:r w:rsidR="009D499C">
        <w:t xml:space="preserve"> annual</w:t>
      </w:r>
      <w:r w:rsidR="00EA6EA6">
        <w:t xml:space="preserve"> assessment</w:t>
      </w:r>
      <w:r w:rsidR="009D499C">
        <w:t xml:space="preserve"> liability, t</w:t>
      </w:r>
      <w:r w:rsidR="002D35A7">
        <w:t xml:space="preserve">he </w:t>
      </w:r>
      <w:r w:rsidR="00502EFB">
        <w:t>assessment</w:t>
      </w:r>
      <w:r w:rsidR="002D35A7">
        <w:t xml:space="preserve"> rates </w:t>
      </w:r>
      <w:r w:rsidR="00502EFB">
        <w:t>established in 101 CMR 514.04(</w:t>
      </w:r>
      <w:r w:rsidR="00AC2866">
        <w:t>3</w:t>
      </w:r>
      <w:r w:rsidR="00502EFB">
        <w:t>)</w:t>
      </w:r>
      <w:r w:rsidR="002D35A7">
        <w:t xml:space="preserve"> are applied to a static </w:t>
      </w:r>
      <w:r w:rsidR="00CC41FF">
        <w:t>f</w:t>
      </w:r>
      <w:r w:rsidR="00502EFB">
        <w:t xml:space="preserve">iscal </w:t>
      </w:r>
      <w:r w:rsidR="00CC41FF">
        <w:t>y</w:t>
      </w:r>
      <w:r w:rsidR="00502EFB">
        <w:t xml:space="preserve">ear </w:t>
      </w:r>
      <w:r w:rsidR="002D35A7">
        <w:t>2019 dataset of non-public gross patient service revenues</w:t>
      </w:r>
      <w:r w:rsidR="00093D82">
        <w:t>, except as described in 101 CMR 514.0</w:t>
      </w:r>
      <w:r w:rsidR="00AC2866">
        <w:t>4</w:t>
      </w:r>
      <w:r w:rsidR="00093D82">
        <w:t>(2)</w:t>
      </w:r>
      <w:r w:rsidR="00E77009" w:rsidRPr="00E63369">
        <w:t>.</w:t>
      </w:r>
    </w:p>
    <w:p w14:paraId="231CB6D5" w14:textId="77777777" w:rsidR="00AC2866" w:rsidRDefault="00AC2866" w:rsidP="008D67C3">
      <w:pPr>
        <w:ind w:left="720"/>
      </w:pPr>
    </w:p>
    <w:p w14:paraId="132212E7" w14:textId="18E6E8D3" w:rsidR="00CA79C5" w:rsidRDefault="00AC2866" w:rsidP="008D67C3">
      <w:pPr>
        <w:ind w:left="720"/>
      </w:pPr>
      <w:r>
        <w:t xml:space="preserve">(2)  </w:t>
      </w:r>
      <w:r w:rsidR="00681E86">
        <w:t xml:space="preserve">For new </w:t>
      </w:r>
      <w:r>
        <w:t>acute hospitals described in 101 CMR 514.03(2)(a) and new non-acute hospitals described in 101 CMR 514.03(2)(b), the assessment rates established in 101 CMR 514.04(</w:t>
      </w:r>
      <w:r w:rsidR="00CA79C5">
        <w:t>3</w:t>
      </w:r>
      <w:r>
        <w:t>) are applied to an annual projection</w:t>
      </w:r>
      <w:r w:rsidR="00CA79C5">
        <w:t xml:space="preserve"> of non-public gross patient service revenues</w:t>
      </w:r>
      <w:r>
        <w:t>, provided by the hospital in accordance with 101 CMR 514.06(2), until such time as CHIA includes the new hospital in their release of fiscal year cost report data.</w:t>
      </w:r>
    </w:p>
    <w:p w14:paraId="2AC8905A" w14:textId="12709F10" w:rsidR="00E77009" w:rsidRDefault="00CA79C5" w:rsidP="00CA79C5">
      <w:pPr>
        <w:ind w:left="1080"/>
      </w:pPr>
      <w:r>
        <w:t xml:space="preserve">(a) </w:t>
      </w:r>
      <w:r w:rsidR="008B7D9F">
        <w:t xml:space="preserve"> </w:t>
      </w:r>
      <w:r>
        <w:t>For new acute hospitals, beginning with the first complete calendar month following th</w:t>
      </w:r>
      <w:r w:rsidR="00AC2866">
        <w:t xml:space="preserve">e date of the new </w:t>
      </w:r>
      <w:r>
        <w:t xml:space="preserve">acute </w:t>
      </w:r>
      <w:r w:rsidR="00AC2866">
        <w:t>hospital’s inclusion in CHIA’s fiscal year cost report data, the assessment rates established in 101 CMR 514.04(3)</w:t>
      </w:r>
      <w:r>
        <w:t xml:space="preserve"> are applied to the static data included in such fiscal year cost report data.</w:t>
      </w:r>
    </w:p>
    <w:p w14:paraId="3FB7E874" w14:textId="30D074F0" w:rsidR="00CA79C5" w:rsidRPr="00E63369" w:rsidRDefault="00CA79C5" w:rsidP="00CA79C5">
      <w:pPr>
        <w:ind w:left="1080"/>
      </w:pPr>
      <w:r>
        <w:t xml:space="preserve">(b) </w:t>
      </w:r>
      <w:r w:rsidR="008B7D9F">
        <w:t xml:space="preserve"> </w:t>
      </w:r>
      <w:r>
        <w:t>For new non-acute hospitals, beginning with the first complete calendar quarter following the date of the new non-acute hospital’s inclusion in CHIA’s fiscal year cost report data, the assessment rates established in 101 CMR 514.04(3) are applied to the static data included in such fiscal year cost report data.</w:t>
      </w:r>
    </w:p>
    <w:p w14:paraId="6B569CCB" w14:textId="77777777" w:rsidR="00E77009" w:rsidRPr="00E63369" w:rsidRDefault="00E77009">
      <w:pPr>
        <w:ind w:left="720"/>
      </w:pPr>
    </w:p>
    <w:p w14:paraId="5E97D7EA" w14:textId="628D78B4" w:rsidR="00093D82" w:rsidRDefault="009D0978">
      <w:pPr>
        <w:ind w:left="720"/>
      </w:pPr>
      <w:r w:rsidRPr="00E63369">
        <w:t>(</w:t>
      </w:r>
      <w:r w:rsidR="00AC2866">
        <w:t>3</w:t>
      </w:r>
      <w:r w:rsidRPr="00E63369">
        <w:t xml:space="preserve">)  </w:t>
      </w:r>
      <w:r w:rsidR="003A2F5A">
        <w:t>Beginning</w:t>
      </w:r>
      <w:r w:rsidR="00E4688B">
        <w:t xml:space="preserve"> hospital fiscal year 2025</w:t>
      </w:r>
      <w:r w:rsidR="005D1E5E" w:rsidRPr="00502EFB">
        <w:t>,</w:t>
      </w:r>
      <w:r w:rsidR="00F04086" w:rsidRPr="00502EFB">
        <w:t xml:space="preserve"> </w:t>
      </w:r>
      <w:r w:rsidR="007C598F" w:rsidRPr="00502EFB">
        <w:t xml:space="preserve">the </w:t>
      </w:r>
      <w:r w:rsidR="008A50B1" w:rsidRPr="00502EFB">
        <w:t>assessment</w:t>
      </w:r>
      <w:r w:rsidR="007C598F" w:rsidRPr="00502EFB">
        <w:t xml:space="preserve"> </w:t>
      </w:r>
      <w:r w:rsidR="00C144A6" w:rsidRPr="00502EFB">
        <w:t>will be applied as follows</w:t>
      </w:r>
      <w:r w:rsidR="008F761D" w:rsidRPr="00502EFB">
        <w:t>.</w:t>
      </w:r>
    </w:p>
    <w:p w14:paraId="74C9F840" w14:textId="2558E6B8" w:rsidR="00E77009" w:rsidRPr="00502EFB" w:rsidRDefault="00C144A6">
      <w:pPr>
        <w:ind w:left="720"/>
      </w:pPr>
      <w:r w:rsidRPr="00502EFB">
        <w:t xml:space="preserve"> </w:t>
      </w:r>
    </w:p>
    <w:tbl>
      <w:tblPr>
        <w:tblStyle w:val="TableGrid"/>
        <w:tblW w:w="9350" w:type="dxa"/>
        <w:tblLook w:val="04A0" w:firstRow="1" w:lastRow="0" w:firstColumn="1" w:lastColumn="0" w:noHBand="0" w:noVBand="1"/>
      </w:tblPr>
      <w:tblGrid>
        <w:gridCol w:w="1390"/>
        <w:gridCol w:w="3557"/>
        <w:gridCol w:w="1887"/>
        <w:gridCol w:w="2516"/>
      </w:tblGrid>
      <w:tr w:rsidR="00093D82" w:rsidRPr="00502EFB" w14:paraId="79D2D580" w14:textId="77777777" w:rsidTr="00BE2DC6">
        <w:trPr>
          <w:trHeight w:val="280"/>
        </w:trPr>
        <w:tc>
          <w:tcPr>
            <w:tcW w:w="1390" w:type="dxa"/>
            <w:noWrap/>
          </w:tcPr>
          <w:p w14:paraId="653BC04D" w14:textId="33D1A3FE" w:rsidR="00502EFB" w:rsidRDefault="00502EFB" w:rsidP="00502EFB">
            <w:pPr>
              <w:rPr>
                <w:b/>
                <w:bCs/>
                <w:szCs w:val="22"/>
              </w:rPr>
            </w:pPr>
            <w:r>
              <w:rPr>
                <w:b/>
                <w:bCs/>
                <w:szCs w:val="22"/>
              </w:rPr>
              <w:t>Assessment Group</w:t>
            </w:r>
          </w:p>
        </w:tc>
        <w:tc>
          <w:tcPr>
            <w:tcW w:w="3557" w:type="dxa"/>
          </w:tcPr>
          <w:p w14:paraId="1114F91F" w14:textId="59A04A86" w:rsidR="00502EFB" w:rsidRDefault="00502EFB" w:rsidP="002D35A7">
            <w:pPr>
              <w:rPr>
                <w:b/>
                <w:bCs/>
                <w:szCs w:val="22"/>
              </w:rPr>
            </w:pPr>
            <w:r>
              <w:rPr>
                <w:b/>
                <w:bCs/>
                <w:szCs w:val="22"/>
              </w:rPr>
              <w:t>Hospital Group Description</w:t>
            </w:r>
          </w:p>
        </w:tc>
        <w:tc>
          <w:tcPr>
            <w:tcW w:w="1887" w:type="dxa"/>
            <w:noWrap/>
          </w:tcPr>
          <w:p w14:paraId="6CA5E710" w14:textId="69BB3251" w:rsidR="00502EFB" w:rsidRPr="00502EFB" w:rsidRDefault="00502EFB" w:rsidP="002D35A7">
            <w:pPr>
              <w:rPr>
                <w:b/>
                <w:bCs/>
                <w:szCs w:val="22"/>
              </w:rPr>
            </w:pPr>
            <w:r>
              <w:rPr>
                <w:b/>
                <w:bCs/>
                <w:szCs w:val="22"/>
              </w:rPr>
              <w:t>Inpatient Assessment Rate</w:t>
            </w:r>
          </w:p>
        </w:tc>
        <w:tc>
          <w:tcPr>
            <w:tcW w:w="2516" w:type="dxa"/>
            <w:noWrap/>
          </w:tcPr>
          <w:p w14:paraId="339E319F" w14:textId="233FD9E8" w:rsidR="00502EFB" w:rsidRPr="00502EFB" w:rsidRDefault="00502EFB" w:rsidP="002D35A7">
            <w:pPr>
              <w:rPr>
                <w:b/>
                <w:bCs/>
                <w:color w:val="000000"/>
                <w:szCs w:val="22"/>
              </w:rPr>
            </w:pPr>
            <w:r>
              <w:rPr>
                <w:b/>
                <w:bCs/>
                <w:color w:val="000000"/>
                <w:szCs w:val="22"/>
              </w:rPr>
              <w:t>Outpatient Assessment Rate</w:t>
            </w:r>
          </w:p>
        </w:tc>
      </w:tr>
      <w:tr w:rsidR="00BE2DC6" w:rsidRPr="00502EFB" w14:paraId="7F73247B" w14:textId="77777777" w:rsidTr="00BE2DC6">
        <w:trPr>
          <w:trHeight w:val="280"/>
        </w:trPr>
        <w:tc>
          <w:tcPr>
            <w:tcW w:w="1390" w:type="dxa"/>
            <w:noWrap/>
            <w:hideMark/>
          </w:tcPr>
          <w:p w14:paraId="3A1600FA" w14:textId="7B3FF3ED" w:rsidR="00BE2DC6" w:rsidRPr="00047310" w:rsidRDefault="00BE2DC6" w:rsidP="00BE2DC6">
            <w:pPr>
              <w:rPr>
                <w:szCs w:val="22"/>
              </w:rPr>
            </w:pPr>
            <w:r>
              <w:rPr>
                <w:szCs w:val="22"/>
              </w:rPr>
              <w:t>Group I</w:t>
            </w:r>
          </w:p>
        </w:tc>
        <w:tc>
          <w:tcPr>
            <w:tcW w:w="3557" w:type="dxa"/>
            <w:noWrap/>
            <w:hideMark/>
          </w:tcPr>
          <w:p w14:paraId="79303C20" w14:textId="0FDA66CD" w:rsidR="00BE2DC6" w:rsidRPr="00047310" w:rsidRDefault="00BE2DC6" w:rsidP="00BE2DC6">
            <w:pPr>
              <w:rPr>
                <w:szCs w:val="22"/>
              </w:rPr>
            </w:pPr>
            <w:r>
              <w:rPr>
                <w:szCs w:val="22"/>
              </w:rPr>
              <w:t xml:space="preserve">Large Group 1 </w:t>
            </w:r>
            <w:r w:rsidRPr="00047310">
              <w:rPr>
                <w:szCs w:val="22"/>
              </w:rPr>
              <w:t>Safety Net</w:t>
            </w:r>
          </w:p>
        </w:tc>
        <w:tc>
          <w:tcPr>
            <w:tcW w:w="1887" w:type="dxa"/>
            <w:noWrap/>
            <w:hideMark/>
          </w:tcPr>
          <w:p w14:paraId="4A7F9880" w14:textId="685C89B9" w:rsidR="00BE2DC6" w:rsidRPr="00047310" w:rsidRDefault="00BE2DC6" w:rsidP="00BE2DC6">
            <w:pPr>
              <w:jc w:val="center"/>
              <w:rPr>
                <w:szCs w:val="22"/>
              </w:rPr>
            </w:pPr>
            <w:r w:rsidRPr="002737AE">
              <w:t>24.0000%</w:t>
            </w:r>
          </w:p>
        </w:tc>
        <w:tc>
          <w:tcPr>
            <w:tcW w:w="2516" w:type="dxa"/>
            <w:noWrap/>
            <w:hideMark/>
          </w:tcPr>
          <w:p w14:paraId="1C0A5087" w14:textId="411C7378" w:rsidR="00BE2DC6" w:rsidRPr="00047310" w:rsidRDefault="00BE2DC6" w:rsidP="00BE2DC6">
            <w:pPr>
              <w:jc w:val="center"/>
              <w:rPr>
                <w:szCs w:val="22"/>
              </w:rPr>
            </w:pPr>
            <w:r w:rsidRPr="002737AE">
              <w:t>5.9500%</w:t>
            </w:r>
          </w:p>
        </w:tc>
      </w:tr>
      <w:tr w:rsidR="00BE2DC6" w:rsidRPr="00502EFB" w14:paraId="7195BF8A" w14:textId="77777777" w:rsidTr="00BE2DC6">
        <w:trPr>
          <w:trHeight w:val="280"/>
        </w:trPr>
        <w:tc>
          <w:tcPr>
            <w:tcW w:w="1390" w:type="dxa"/>
            <w:noWrap/>
          </w:tcPr>
          <w:p w14:paraId="2F15A4C2" w14:textId="75C692EF" w:rsidR="00BE2DC6" w:rsidRDefault="00BE2DC6" w:rsidP="00BE2DC6">
            <w:pPr>
              <w:rPr>
                <w:szCs w:val="22"/>
              </w:rPr>
            </w:pPr>
            <w:r>
              <w:rPr>
                <w:szCs w:val="22"/>
              </w:rPr>
              <w:t>Group II</w:t>
            </w:r>
          </w:p>
        </w:tc>
        <w:tc>
          <w:tcPr>
            <w:tcW w:w="3557" w:type="dxa"/>
            <w:noWrap/>
          </w:tcPr>
          <w:p w14:paraId="6C5E7260" w14:textId="59610FC0" w:rsidR="00BE2DC6" w:rsidRDefault="00BE2DC6" w:rsidP="00BE2DC6">
            <w:pPr>
              <w:rPr>
                <w:szCs w:val="22"/>
              </w:rPr>
            </w:pPr>
            <w:r>
              <w:rPr>
                <w:szCs w:val="22"/>
              </w:rPr>
              <w:t>Small Group 1 Safety Net</w:t>
            </w:r>
          </w:p>
        </w:tc>
        <w:tc>
          <w:tcPr>
            <w:tcW w:w="1887" w:type="dxa"/>
            <w:noWrap/>
          </w:tcPr>
          <w:p w14:paraId="7E56CD26" w14:textId="5EFA165A" w:rsidR="00BE2DC6" w:rsidRPr="00047310" w:rsidRDefault="00BE2DC6" w:rsidP="00BE2DC6">
            <w:pPr>
              <w:jc w:val="center"/>
              <w:rPr>
                <w:szCs w:val="22"/>
              </w:rPr>
            </w:pPr>
            <w:r w:rsidRPr="002737AE">
              <w:t>14.5000%</w:t>
            </w:r>
          </w:p>
        </w:tc>
        <w:tc>
          <w:tcPr>
            <w:tcW w:w="2516" w:type="dxa"/>
            <w:noWrap/>
          </w:tcPr>
          <w:p w14:paraId="630929CE" w14:textId="3B38568F" w:rsidR="00BE2DC6" w:rsidRPr="00047310" w:rsidRDefault="00BE2DC6" w:rsidP="00BE2DC6">
            <w:pPr>
              <w:jc w:val="center"/>
              <w:rPr>
                <w:szCs w:val="22"/>
              </w:rPr>
            </w:pPr>
            <w:r w:rsidRPr="002737AE">
              <w:t>5.5000%</w:t>
            </w:r>
          </w:p>
        </w:tc>
      </w:tr>
      <w:tr w:rsidR="00BE2DC6" w:rsidRPr="00502EFB" w14:paraId="69C28AC9" w14:textId="77777777" w:rsidTr="00BE2DC6">
        <w:trPr>
          <w:trHeight w:val="280"/>
        </w:trPr>
        <w:tc>
          <w:tcPr>
            <w:tcW w:w="1390" w:type="dxa"/>
            <w:noWrap/>
          </w:tcPr>
          <w:p w14:paraId="6D7EBEAB" w14:textId="30E1B066" w:rsidR="00BE2DC6" w:rsidRDefault="00BE2DC6" w:rsidP="00BE2DC6">
            <w:pPr>
              <w:rPr>
                <w:szCs w:val="22"/>
              </w:rPr>
            </w:pPr>
            <w:r>
              <w:rPr>
                <w:szCs w:val="22"/>
              </w:rPr>
              <w:t>Group III</w:t>
            </w:r>
          </w:p>
        </w:tc>
        <w:tc>
          <w:tcPr>
            <w:tcW w:w="3557" w:type="dxa"/>
            <w:noWrap/>
          </w:tcPr>
          <w:p w14:paraId="326587E7" w14:textId="5C1C6FE6" w:rsidR="00BE2DC6" w:rsidRDefault="00BE2DC6" w:rsidP="00BE2DC6">
            <w:pPr>
              <w:rPr>
                <w:szCs w:val="22"/>
              </w:rPr>
            </w:pPr>
            <w:r>
              <w:rPr>
                <w:szCs w:val="22"/>
              </w:rPr>
              <w:t>Large Group 2 Safety Net</w:t>
            </w:r>
          </w:p>
        </w:tc>
        <w:tc>
          <w:tcPr>
            <w:tcW w:w="1887" w:type="dxa"/>
            <w:noWrap/>
          </w:tcPr>
          <w:p w14:paraId="7C1B8467" w14:textId="7B5D79F2" w:rsidR="00BE2DC6" w:rsidRPr="00047310" w:rsidRDefault="00BE2DC6" w:rsidP="00BE2DC6">
            <w:pPr>
              <w:jc w:val="center"/>
              <w:rPr>
                <w:szCs w:val="22"/>
              </w:rPr>
            </w:pPr>
            <w:r w:rsidRPr="002737AE">
              <w:t>18.0000%</w:t>
            </w:r>
          </w:p>
        </w:tc>
        <w:tc>
          <w:tcPr>
            <w:tcW w:w="2516" w:type="dxa"/>
            <w:noWrap/>
          </w:tcPr>
          <w:p w14:paraId="46B35B4E" w14:textId="4C1C3C7D" w:rsidR="00BE2DC6" w:rsidRPr="00047310" w:rsidRDefault="00BE2DC6" w:rsidP="00BE2DC6">
            <w:pPr>
              <w:jc w:val="center"/>
              <w:rPr>
                <w:szCs w:val="22"/>
              </w:rPr>
            </w:pPr>
            <w:r w:rsidRPr="002737AE">
              <w:t>18.2000%</w:t>
            </w:r>
          </w:p>
        </w:tc>
      </w:tr>
      <w:tr w:rsidR="00BE2DC6" w:rsidRPr="00502EFB" w14:paraId="3863C9B1" w14:textId="77777777" w:rsidTr="00BE2DC6">
        <w:trPr>
          <w:trHeight w:val="280"/>
        </w:trPr>
        <w:tc>
          <w:tcPr>
            <w:tcW w:w="1390" w:type="dxa"/>
            <w:noWrap/>
          </w:tcPr>
          <w:p w14:paraId="4AFB7663" w14:textId="30E4551F" w:rsidR="00BE2DC6" w:rsidRDefault="00BE2DC6" w:rsidP="00BE2DC6">
            <w:pPr>
              <w:rPr>
                <w:szCs w:val="22"/>
              </w:rPr>
            </w:pPr>
            <w:r>
              <w:rPr>
                <w:szCs w:val="22"/>
              </w:rPr>
              <w:t>Group IV</w:t>
            </w:r>
          </w:p>
        </w:tc>
        <w:tc>
          <w:tcPr>
            <w:tcW w:w="3557" w:type="dxa"/>
            <w:noWrap/>
          </w:tcPr>
          <w:p w14:paraId="2BF97F6B" w14:textId="18FFB0C9" w:rsidR="00BE2DC6" w:rsidRDefault="00BE2DC6" w:rsidP="00BE2DC6">
            <w:pPr>
              <w:rPr>
                <w:szCs w:val="22"/>
              </w:rPr>
            </w:pPr>
            <w:r>
              <w:rPr>
                <w:szCs w:val="22"/>
              </w:rPr>
              <w:t>Small Group 2 Safety Net</w:t>
            </w:r>
          </w:p>
        </w:tc>
        <w:tc>
          <w:tcPr>
            <w:tcW w:w="1887" w:type="dxa"/>
            <w:noWrap/>
          </w:tcPr>
          <w:p w14:paraId="1D9A0257" w14:textId="72495FBF" w:rsidR="00BE2DC6" w:rsidRPr="00047310" w:rsidRDefault="00BE2DC6" w:rsidP="00BE2DC6">
            <w:pPr>
              <w:jc w:val="center"/>
              <w:rPr>
                <w:szCs w:val="22"/>
              </w:rPr>
            </w:pPr>
            <w:r w:rsidRPr="002737AE">
              <w:t>18.0000%</w:t>
            </w:r>
          </w:p>
        </w:tc>
        <w:tc>
          <w:tcPr>
            <w:tcW w:w="2516" w:type="dxa"/>
            <w:noWrap/>
          </w:tcPr>
          <w:p w14:paraId="38588E9C" w14:textId="03EB2883" w:rsidR="00BE2DC6" w:rsidRPr="00047310" w:rsidRDefault="00BE2DC6" w:rsidP="00BE2DC6">
            <w:pPr>
              <w:jc w:val="center"/>
              <w:rPr>
                <w:szCs w:val="22"/>
              </w:rPr>
            </w:pPr>
            <w:r w:rsidRPr="002737AE">
              <w:t>10.2000%</w:t>
            </w:r>
          </w:p>
        </w:tc>
      </w:tr>
      <w:tr w:rsidR="00BE2DC6" w:rsidRPr="00502EFB" w14:paraId="15915399" w14:textId="77777777" w:rsidTr="00BE2DC6">
        <w:trPr>
          <w:trHeight w:val="280"/>
        </w:trPr>
        <w:tc>
          <w:tcPr>
            <w:tcW w:w="1390" w:type="dxa"/>
            <w:noWrap/>
          </w:tcPr>
          <w:p w14:paraId="5590648A" w14:textId="3FDAF07B" w:rsidR="00BE2DC6" w:rsidRDefault="00BE2DC6" w:rsidP="00BE2DC6">
            <w:pPr>
              <w:rPr>
                <w:szCs w:val="22"/>
              </w:rPr>
            </w:pPr>
            <w:r>
              <w:rPr>
                <w:szCs w:val="22"/>
              </w:rPr>
              <w:t>Group V</w:t>
            </w:r>
          </w:p>
        </w:tc>
        <w:tc>
          <w:tcPr>
            <w:tcW w:w="3557" w:type="dxa"/>
            <w:noWrap/>
          </w:tcPr>
          <w:p w14:paraId="1F6DF526" w14:textId="13F0A7EE" w:rsidR="00BE2DC6" w:rsidRDefault="00BE2DC6" w:rsidP="00BE2DC6">
            <w:pPr>
              <w:rPr>
                <w:szCs w:val="22"/>
              </w:rPr>
            </w:pPr>
            <w:r>
              <w:rPr>
                <w:szCs w:val="22"/>
              </w:rPr>
              <w:t>Freestanding Pediatric</w:t>
            </w:r>
          </w:p>
        </w:tc>
        <w:tc>
          <w:tcPr>
            <w:tcW w:w="1887" w:type="dxa"/>
            <w:noWrap/>
          </w:tcPr>
          <w:p w14:paraId="586285AD" w14:textId="6F7DE275" w:rsidR="00BE2DC6" w:rsidRPr="00047310" w:rsidRDefault="00BE2DC6" w:rsidP="00BE2DC6">
            <w:pPr>
              <w:jc w:val="center"/>
              <w:rPr>
                <w:szCs w:val="22"/>
              </w:rPr>
            </w:pPr>
            <w:r w:rsidRPr="002737AE">
              <w:t>4.8000%</w:t>
            </w:r>
          </w:p>
        </w:tc>
        <w:tc>
          <w:tcPr>
            <w:tcW w:w="2516" w:type="dxa"/>
            <w:noWrap/>
          </w:tcPr>
          <w:p w14:paraId="56AF13A4" w14:textId="4B659D89" w:rsidR="00BE2DC6" w:rsidRPr="00047310" w:rsidRDefault="00BE2DC6" w:rsidP="00BE2DC6">
            <w:pPr>
              <w:jc w:val="center"/>
              <w:rPr>
                <w:szCs w:val="22"/>
              </w:rPr>
            </w:pPr>
            <w:r w:rsidRPr="002737AE">
              <w:t>4.2500%</w:t>
            </w:r>
          </w:p>
        </w:tc>
      </w:tr>
      <w:tr w:rsidR="00BE2DC6" w:rsidRPr="00502EFB" w14:paraId="276DB77E" w14:textId="77777777" w:rsidTr="00BE2DC6">
        <w:trPr>
          <w:trHeight w:val="280"/>
        </w:trPr>
        <w:tc>
          <w:tcPr>
            <w:tcW w:w="1390" w:type="dxa"/>
            <w:noWrap/>
            <w:hideMark/>
          </w:tcPr>
          <w:p w14:paraId="2AB3A491" w14:textId="7B86A6B2" w:rsidR="00BE2DC6" w:rsidRPr="00047310" w:rsidRDefault="00BE2DC6" w:rsidP="00BE2DC6">
            <w:pPr>
              <w:rPr>
                <w:szCs w:val="22"/>
              </w:rPr>
            </w:pPr>
            <w:r>
              <w:rPr>
                <w:szCs w:val="22"/>
              </w:rPr>
              <w:t>Group VI</w:t>
            </w:r>
          </w:p>
        </w:tc>
        <w:tc>
          <w:tcPr>
            <w:tcW w:w="3557" w:type="dxa"/>
            <w:noWrap/>
            <w:hideMark/>
          </w:tcPr>
          <w:p w14:paraId="48BD2119" w14:textId="77777777" w:rsidR="00BE2DC6" w:rsidRPr="00047310" w:rsidRDefault="00BE2DC6" w:rsidP="00BE2DC6">
            <w:pPr>
              <w:rPr>
                <w:szCs w:val="22"/>
              </w:rPr>
            </w:pPr>
            <w:r w:rsidRPr="00047310">
              <w:rPr>
                <w:szCs w:val="22"/>
              </w:rPr>
              <w:t>Academic Medical Center, Teaching, Specialty</w:t>
            </w:r>
          </w:p>
        </w:tc>
        <w:tc>
          <w:tcPr>
            <w:tcW w:w="1887" w:type="dxa"/>
            <w:noWrap/>
            <w:hideMark/>
          </w:tcPr>
          <w:p w14:paraId="1AAB8E6E" w14:textId="77B5EE46" w:rsidR="00BE2DC6" w:rsidRPr="00047310" w:rsidRDefault="00BE2DC6" w:rsidP="00BE2DC6">
            <w:pPr>
              <w:jc w:val="center"/>
              <w:rPr>
                <w:szCs w:val="22"/>
              </w:rPr>
            </w:pPr>
            <w:r w:rsidRPr="002737AE">
              <w:t>4.7010%</w:t>
            </w:r>
          </w:p>
        </w:tc>
        <w:tc>
          <w:tcPr>
            <w:tcW w:w="2516" w:type="dxa"/>
            <w:noWrap/>
            <w:hideMark/>
          </w:tcPr>
          <w:p w14:paraId="4283DD57" w14:textId="1982FE20" w:rsidR="00BE2DC6" w:rsidRPr="00047310" w:rsidRDefault="00BE2DC6" w:rsidP="00BE2DC6">
            <w:pPr>
              <w:jc w:val="center"/>
              <w:rPr>
                <w:szCs w:val="22"/>
              </w:rPr>
            </w:pPr>
            <w:r w:rsidRPr="002737AE">
              <w:t>1.0650%</w:t>
            </w:r>
          </w:p>
        </w:tc>
      </w:tr>
      <w:tr w:rsidR="00BE2DC6" w:rsidRPr="00502EFB" w14:paraId="756CA9AD" w14:textId="77777777" w:rsidTr="00BE2DC6">
        <w:trPr>
          <w:trHeight w:val="280"/>
        </w:trPr>
        <w:tc>
          <w:tcPr>
            <w:tcW w:w="1390" w:type="dxa"/>
            <w:noWrap/>
            <w:hideMark/>
          </w:tcPr>
          <w:p w14:paraId="405C34EF" w14:textId="515BCD7E" w:rsidR="00BE2DC6" w:rsidRPr="00047310" w:rsidRDefault="00BE2DC6" w:rsidP="00BE2DC6">
            <w:pPr>
              <w:rPr>
                <w:szCs w:val="22"/>
              </w:rPr>
            </w:pPr>
            <w:r>
              <w:rPr>
                <w:szCs w:val="22"/>
              </w:rPr>
              <w:t>Group VII</w:t>
            </w:r>
          </w:p>
        </w:tc>
        <w:tc>
          <w:tcPr>
            <w:tcW w:w="3557" w:type="dxa"/>
            <w:noWrap/>
            <w:hideMark/>
          </w:tcPr>
          <w:p w14:paraId="2C678779" w14:textId="77777777" w:rsidR="00BE2DC6" w:rsidRPr="00047310" w:rsidRDefault="00BE2DC6" w:rsidP="00BE2DC6">
            <w:pPr>
              <w:rPr>
                <w:szCs w:val="22"/>
              </w:rPr>
            </w:pPr>
            <w:r w:rsidRPr="00047310">
              <w:rPr>
                <w:szCs w:val="22"/>
              </w:rPr>
              <w:t>Other Private Acute</w:t>
            </w:r>
          </w:p>
        </w:tc>
        <w:tc>
          <w:tcPr>
            <w:tcW w:w="1887" w:type="dxa"/>
            <w:noWrap/>
            <w:hideMark/>
          </w:tcPr>
          <w:p w14:paraId="1AC4EDD9" w14:textId="49E739A2" w:rsidR="00BE2DC6" w:rsidRPr="00047310" w:rsidRDefault="00BE2DC6" w:rsidP="00BE2DC6">
            <w:pPr>
              <w:jc w:val="center"/>
              <w:rPr>
                <w:szCs w:val="22"/>
              </w:rPr>
            </w:pPr>
            <w:r w:rsidRPr="002737AE">
              <w:t>8.5000%</w:t>
            </w:r>
          </w:p>
        </w:tc>
        <w:tc>
          <w:tcPr>
            <w:tcW w:w="2516" w:type="dxa"/>
            <w:noWrap/>
            <w:hideMark/>
          </w:tcPr>
          <w:p w14:paraId="0FE55CDA" w14:textId="469AD40B" w:rsidR="00BE2DC6" w:rsidRPr="00047310" w:rsidRDefault="00BE2DC6" w:rsidP="00BE2DC6">
            <w:pPr>
              <w:jc w:val="center"/>
              <w:rPr>
                <w:szCs w:val="22"/>
              </w:rPr>
            </w:pPr>
            <w:r w:rsidRPr="002737AE">
              <w:t>1.0450%</w:t>
            </w:r>
          </w:p>
        </w:tc>
      </w:tr>
      <w:tr w:rsidR="00BE2DC6" w:rsidRPr="00502EFB" w14:paraId="446DB9DA" w14:textId="77777777" w:rsidTr="00BE2DC6">
        <w:trPr>
          <w:trHeight w:val="280"/>
        </w:trPr>
        <w:tc>
          <w:tcPr>
            <w:tcW w:w="1390" w:type="dxa"/>
            <w:noWrap/>
            <w:hideMark/>
          </w:tcPr>
          <w:p w14:paraId="29356A11" w14:textId="3CC57BD1" w:rsidR="00BE2DC6" w:rsidRPr="00047310" w:rsidRDefault="00BE2DC6" w:rsidP="00BE2DC6">
            <w:pPr>
              <w:rPr>
                <w:szCs w:val="22"/>
              </w:rPr>
            </w:pPr>
            <w:r>
              <w:rPr>
                <w:szCs w:val="22"/>
              </w:rPr>
              <w:t>Group VIII</w:t>
            </w:r>
          </w:p>
        </w:tc>
        <w:tc>
          <w:tcPr>
            <w:tcW w:w="3557" w:type="dxa"/>
            <w:noWrap/>
            <w:hideMark/>
          </w:tcPr>
          <w:p w14:paraId="0132C973" w14:textId="2D73BB4E" w:rsidR="00BE2DC6" w:rsidRPr="00047310" w:rsidRDefault="00BE2DC6" w:rsidP="00BE2DC6">
            <w:pPr>
              <w:rPr>
                <w:szCs w:val="22"/>
              </w:rPr>
            </w:pPr>
            <w:r w:rsidRPr="00047310">
              <w:rPr>
                <w:szCs w:val="22"/>
              </w:rPr>
              <w:t>Non-</w:t>
            </w:r>
            <w:r>
              <w:rPr>
                <w:szCs w:val="22"/>
              </w:rPr>
              <w:t>s</w:t>
            </w:r>
            <w:r w:rsidRPr="00047310">
              <w:rPr>
                <w:szCs w:val="22"/>
              </w:rPr>
              <w:t>tate Owned Public</w:t>
            </w:r>
          </w:p>
        </w:tc>
        <w:tc>
          <w:tcPr>
            <w:tcW w:w="1887" w:type="dxa"/>
            <w:noWrap/>
            <w:hideMark/>
          </w:tcPr>
          <w:p w14:paraId="1466E7E5" w14:textId="7F2BE840" w:rsidR="00BE2DC6" w:rsidRPr="00047310" w:rsidRDefault="00BE2DC6" w:rsidP="00BE2DC6">
            <w:pPr>
              <w:jc w:val="center"/>
              <w:rPr>
                <w:szCs w:val="22"/>
              </w:rPr>
            </w:pPr>
            <w:r w:rsidRPr="002737AE">
              <w:t>1.6150%</w:t>
            </w:r>
          </w:p>
        </w:tc>
        <w:tc>
          <w:tcPr>
            <w:tcW w:w="2516" w:type="dxa"/>
            <w:noWrap/>
            <w:hideMark/>
          </w:tcPr>
          <w:p w14:paraId="4ADAE8A0" w14:textId="5279CB98" w:rsidR="00BE2DC6" w:rsidRPr="00047310" w:rsidRDefault="00BE2DC6" w:rsidP="00BE2DC6">
            <w:pPr>
              <w:jc w:val="center"/>
              <w:rPr>
                <w:szCs w:val="22"/>
              </w:rPr>
            </w:pPr>
            <w:r w:rsidRPr="002737AE">
              <w:t>1.5000%</w:t>
            </w:r>
          </w:p>
        </w:tc>
      </w:tr>
      <w:tr w:rsidR="00BE2DC6" w:rsidRPr="00502EFB" w14:paraId="51762811" w14:textId="77777777" w:rsidTr="00BE2DC6">
        <w:trPr>
          <w:trHeight w:val="280"/>
        </w:trPr>
        <w:tc>
          <w:tcPr>
            <w:tcW w:w="1390" w:type="dxa"/>
            <w:noWrap/>
            <w:hideMark/>
          </w:tcPr>
          <w:p w14:paraId="6A1F5386" w14:textId="2584793C" w:rsidR="00BE2DC6" w:rsidRPr="00047310" w:rsidRDefault="00BE2DC6" w:rsidP="00BE2DC6">
            <w:pPr>
              <w:rPr>
                <w:szCs w:val="22"/>
              </w:rPr>
            </w:pPr>
            <w:r>
              <w:rPr>
                <w:szCs w:val="22"/>
              </w:rPr>
              <w:t>Group IX</w:t>
            </w:r>
          </w:p>
        </w:tc>
        <w:tc>
          <w:tcPr>
            <w:tcW w:w="3557" w:type="dxa"/>
            <w:noWrap/>
            <w:hideMark/>
          </w:tcPr>
          <w:p w14:paraId="4ED41D29" w14:textId="77777777" w:rsidR="00BE2DC6" w:rsidRPr="00047310" w:rsidRDefault="00BE2DC6" w:rsidP="00BE2DC6">
            <w:pPr>
              <w:rPr>
                <w:szCs w:val="22"/>
              </w:rPr>
            </w:pPr>
            <w:r w:rsidRPr="00047310">
              <w:rPr>
                <w:szCs w:val="22"/>
              </w:rPr>
              <w:t>Non-Acute</w:t>
            </w:r>
          </w:p>
        </w:tc>
        <w:tc>
          <w:tcPr>
            <w:tcW w:w="1887" w:type="dxa"/>
            <w:noWrap/>
            <w:hideMark/>
          </w:tcPr>
          <w:p w14:paraId="3A6F93CC" w14:textId="662BC5AA" w:rsidR="00BE2DC6" w:rsidRPr="00047310" w:rsidRDefault="00BE2DC6" w:rsidP="00BE2DC6">
            <w:pPr>
              <w:jc w:val="center"/>
              <w:rPr>
                <w:szCs w:val="22"/>
              </w:rPr>
            </w:pPr>
            <w:r w:rsidRPr="002737AE">
              <w:t>3.3000%</w:t>
            </w:r>
          </w:p>
        </w:tc>
        <w:tc>
          <w:tcPr>
            <w:tcW w:w="2516" w:type="dxa"/>
            <w:noWrap/>
            <w:hideMark/>
          </w:tcPr>
          <w:p w14:paraId="6585D425" w14:textId="384B06EA" w:rsidR="00BE2DC6" w:rsidRPr="00047310" w:rsidRDefault="00BE2DC6" w:rsidP="00BE2DC6">
            <w:pPr>
              <w:jc w:val="center"/>
              <w:rPr>
                <w:szCs w:val="22"/>
              </w:rPr>
            </w:pPr>
            <w:r w:rsidRPr="002737AE">
              <w:t>3.3000%</w:t>
            </w:r>
          </w:p>
        </w:tc>
      </w:tr>
    </w:tbl>
    <w:p w14:paraId="244BB07D" w14:textId="6948D725" w:rsidR="00681E86" w:rsidRDefault="00681E86" w:rsidP="00CA79C5">
      <w:pPr>
        <w:tabs>
          <w:tab w:val="left" w:pos="5935"/>
        </w:tabs>
        <w:ind w:left="720"/>
      </w:pPr>
    </w:p>
    <w:p w14:paraId="04A01F1E" w14:textId="3E26A5EA" w:rsidR="0031533C" w:rsidRDefault="00681E86" w:rsidP="003365DF">
      <w:pPr>
        <w:ind w:left="720"/>
      </w:pPr>
      <w:r>
        <w:t>(</w:t>
      </w:r>
      <w:r w:rsidR="00CA79C5">
        <w:t>4</w:t>
      </w:r>
      <w:r>
        <w:t xml:space="preserve">)  </w:t>
      </w:r>
      <w:r w:rsidR="00B048CB">
        <w:t xml:space="preserve">EOHHS </w:t>
      </w:r>
      <w:r w:rsidR="00F534D4">
        <w:t>will</w:t>
      </w:r>
      <w:r w:rsidR="00B048CB">
        <w:t xml:space="preserve"> provide each hospital its total annual assessment liability, and its required monthly or quarterly assessment amounts, as applicable, prior to the due date of the first payment.</w:t>
      </w:r>
      <w:r w:rsidR="0031533C">
        <w:br w:type="page"/>
      </w:r>
    </w:p>
    <w:p w14:paraId="25AC6ED5" w14:textId="2E0A7264" w:rsidR="007C598F" w:rsidRPr="0031362E" w:rsidRDefault="00B813CA">
      <w:pPr>
        <w:rPr>
          <w:u w:val="single"/>
        </w:rPr>
      </w:pPr>
      <w:r w:rsidRPr="00E63369">
        <w:rPr>
          <w:u w:val="single"/>
        </w:rPr>
        <w:lastRenderedPageBreak/>
        <w:t>51</w:t>
      </w:r>
      <w:r w:rsidR="00E0157F">
        <w:rPr>
          <w:u w:val="single"/>
        </w:rPr>
        <w:t>4</w:t>
      </w:r>
      <w:r w:rsidR="007C598F" w:rsidRPr="00E63369">
        <w:rPr>
          <w:u w:val="single"/>
        </w:rPr>
        <w:t>.0</w:t>
      </w:r>
      <w:r w:rsidR="002E53A8" w:rsidRPr="00E63369">
        <w:rPr>
          <w:u w:val="single"/>
        </w:rPr>
        <w:t>5</w:t>
      </w:r>
      <w:r w:rsidR="009D0978" w:rsidRPr="0031362E">
        <w:rPr>
          <w:u w:val="single"/>
        </w:rPr>
        <w:t>:</w:t>
      </w:r>
      <w:r w:rsidR="007C598F" w:rsidRPr="00E63369">
        <w:rPr>
          <w:u w:val="single"/>
        </w:rPr>
        <w:t xml:space="preserve">  </w:t>
      </w:r>
      <w:r w:rsidR="007C598F" w:rsidRPr="0031362E">
        <w:rPr>
          <w:u w:val="single"/>
        </w:rPr>
        <w:t xml:space="preserve">Payment of </w:t>
      </w:r>
      <w:r w:rsidR="00E0157F">
        <w:rPr>
          <w:u w:val="single"/>
        </w:rPr>
        <w:t>Hospital Assessment</w:t>
      </w:r>
    </w:p>
    <w:p w14:paraId="6324A63C" w14:textId="77777777" w:rsidR="007C598F" w:rsidRPr="00E63369" w:rsidRDefault="007C598F">
      <w:pPr>
        <w:ind w:left="720"/>
      </w:pPr>
    </w:p>
    <w:p w14:paraId="42EFB069" w14:textId="520FCFF7" w:rsidR="00C0145B" w:rsidRDefault="007C598F">
      <w:pPr>
        <w:ind w:left="720"/>
      </w:pPr>
      <w:r w:rsidRPr="00E63369">
        <w:t xml:space="preserve">(1)  </w:t>
      </w:r>
      <w:r w:rsidR="00C0145B">
        <w:rPr>
          <w:u w:val="single"/>
        </w:rPr>
        <w:t xml:space="preserve">Acute Hospital </w:t>
      </w:r>
      <w:r w:rsidR="001611CF">
        <w:rPr>
          <w:u w:val="single"/>
        </w:rPr>
        <w:t>Monthly</w:t>
      </w:r>
      <w:r w:rsidR="001611CF" w:rsidRPr="00E63369">
        <w:rPr>
          <w:u w:val="single"/>
        </w:rPr>
        <w:t xml:space="preserve"> </w:t>
      </w:r>
      <w:r w:rsidRPr="00E63369">
        <w:rPr>
          <w:u w:val="single"/>
        </w:rPr>
        <w:t>Assessment</w:t>
      </w:r>
      <w:r w:rsidRPr="00E63369">
        <w:t xml:space="preserve">.  </w:t>
      </w:r>
      <w:r w:rsidR="00170232">
        <w:t>Beginning October 1, 2022, e</w:t>
      </w:r>
      <w:r w:rsidRPr="00E63369">
        <w:t xml:space="preserve">ach </w:t>
      </w:r>
      <w:r w:rsidR="00C0145B">
        <w:t>acute hospital</w:t>
      </w:r>
      <w:r w:rsidR="00C0145B" w:rsidRPr="00E63369">
        <w:t xml:space="preserve"> </w:t>
      </w:r>
      <w:r w:rsidR="009D0978" w:rsidRPr="00E63369">
        <w:t xml:space="preserve">must </w:t>
      </w:r>
      <w:r w:rsidRPr="00E63369">
        <w:t xml:space="preserve">pay a </w:t>
      </w:r>
      <w:r w:rsidR="001611CF">
        <w:t>monthly</w:t>
      </w:r>
      <w:r w:rsidR="001611CF" w:rsidRPr="00E63369">
        <w:t xml:space="preserve"> </w:t>
      </w:r>
      <w:r w:rsidRPr="00E63369">
        <w:t xml:space="preserve">assessment to </w:t>
      </w:r>
      <w:r w:rsidR="00C6247A" w:rsidRPr="00E63369">
        <w:t>EOHHS</w:t>
      </w:r>
      <w:r w:rsidR="00170232">
        <w:t xml:space="preserve"> </w:t>
      </w:r>
      <w:r w:rsidR="00F534D4">
        <w:t>in a form and manner specified</w:t>
      </w:r>
      <w:r w:rsidR="00170232">
        <w:t xml:space="preserve"> by the Health Safety Net Office,</w:t>
      </w:r>
      <w:r w:rsidR="001611CF">
        <w:t xml:space="preserve"> equal to one twelfth of </w:t>
      </w:r>
      <w:r w:rsidR="00E0157F">
        <w:t>its total</w:t>
      </w:r>
      <w:r w:rsidR="001611CF">
        <w:t xml:space="preserve"> annual assessment</w:t>
      </w:r>
      <w:r w:rsidR="00C0145B">
        <w:t>.</w:t>
      </w:r>
    </w:p>
    <w:p w14:paraId="004581D3" w14:textId="77777777" w:rsidR="00C0145B" w:rsidRDefault="00C0145B">
      <w:pPr>
        <w:ind w:left="720"/>
      </w:pPr>
    </w:p>
    <w:p w14:paraId="100A493B" w14:textId="38657662" w:rsidR="007C598F" w:rsidRPr="00E63369" w:rsidRDefault="00C0145B">
      <w:pPr>
        <w:ind w:left="720"/>
      </w:pPr>
      <w:r>
        <w:t xml:space="preserve">(2) </w:t>
      </w:r>
      <w:r w:rsidR="00EA6EA6">
        <w:t xml:space="preserve"> </w:t>
      </w:r>
      <w:r w:rsidRPr="00047310">
        <w:rPr>
          <w:u w:val="single"/>
        </w:rPr>
        <w:t>Non-acute Hospital Quarterly Assessment</w:t>
      </w:r>
      <w:r>
        <w:t xml:space="preserve">. </w:t>
      </w:r>
      <w:r w:rsidR="003A7C51">
        <w:t xml:space="preserve"> </w:t>
      </w:r>
      <w:r w:rsidR="00170232">
        <w:t>Beginning October 1, 2022, e</w:t>
      </w:r>
      <w:r w:rsidR="00E0157F">
        <w:t>ach non-acute hospital must pay a quarterly assessment to EOHHS</w:t>
      </w:r>
      <w:r w:rsidR="00170232">
        <w:t xml:space="preserve"> </w:t>
      </w:r>
      <w:r w:rsidR="00F534D4">
        <w:t>in a form and manner specified</w:t>
      </w:r>
      <w:r w:rsidR="00170232">
        <w:t xml:space="preserve"> by the Health Safety Net Office,</w:t>
      </w:r>
      <w:r w:rsidR="00E0157F">
        <w:t xml:space="preserve"> equal to one fourth of its total annual assessment</w:t>
      </w:r>
      <w:r w:rsidR="007C598F" w:rsidRPr="00E63369">
        <w:t>.</w:t>
      </w:r>
    </w:p>
    <w:p w14:paraId="5BB92019" w14:textId="33E036EC" w:rsidR="007C598F" w:rsidRPr="00E63369" w:rsidRDefault="007C598F">
      <w:pPr>
        <w:ind w:left="720"/>
      </w:pPr>
    </w:p>
    <w:p w14:paraId="68113A0B" w14:textId="54E3A716" w:rsidR="008F6B42" w:rsidRPr="0031362E" w:rsidRDefault="007C598F">
      <w:pPr>
        <w:ind w:left="720"/>
      </w:pPr>
      <w:r w:rsidRPr="00E63369">
        <w:t>(3)</w:t>
      </w:r>
      <w:r w:rsidR="008F6B42" w:rsidRPr="00E63369">
        <w:t xml:space="preserve"> </w:t>
      </w:r>
      <w:r w:rsidRPr="00E63369">
        <w:t xml:space="preserve"> </w:t>
      </w:r>
      <w:r w:rsidRPr="00E63369">
        <w:rPr>
          <w:u w:val="single"/>
        </w:rPr>
        <w:t>Due Date</w:t>
      </w:r>
      <w:r w:rsidRPr="00E63369">
        <w:t>.</w:t>
      </w:r>
    </w:p>
    <w:p w14:paraId="632430E4" w14:textId="1C47AF0A" w:rsidR="00C0145B" w:rsidRDefault="008F6B42" w:rsidP="00093D82">
      <w:pPr>
        <w:ind w:left="1080"/>
      </w:pPr>
      <w:r w:rsidRPr="00E63369">
        <w:t xml:space="preserve">(a)  </w:t>
      </w:r>
      <w:r w:rsidR="00C0145B">
        <w:t xml:space="preserve">Acute hospital assessment </w:t>
      </w:r>
      <w:r w:rsidR="007C598F" w:rsidRPr="00E63369">
        <w:t>payment</w:t>
      </w:r>
      <w:r w:rsidR="00C0145B">
        <w:t>s are due</w:t>
      </w:r>
      <w:r w:rsidR="001611CF">
        <w:t xml:space="preserve"> </w:t>
      </w:r>
      <w:r w:rsidR="00C0145B">
        <w:t>on a monthly basis, with each assessment payment due on</w:t>
      </w:r>
      <w:r w:rsidR="001611CF">
        <w:t xml:space="preserve"> the last day of each month.</w:t>
      </w:r>
    </w:p>
    <w:p w14:paraId="6590CB58" w14:textId="6E6A50EE" w:rsidR="00047310" w:rsidRDefault="00C0145B" w:rsidP="00E63369">
      <w:pPr>
        <w:ind w:left="1080"/>
      </w:pPr>
      <w:r>
        <w:t xml:space="preserve">(b) </w:t>
      </w:r>
      <w:r w:rsidR="008B7D9F">
        <w:t xml:space="preserve"> </w:t>
      </w:r>
      <w:r>
        <w:t>Non-acute hospital assessment payments are due on a quarterly basis, with each quarterly assessment payment due on the last day of each calendar quarter.</w:t>
      </w:r>
    </w:p>
    <w:p w14:paraId="1B0BB026" w14:textId="4BE5761B" w:rsidR="009C0AB7" w:rsidRPr="00E63369" w:rsidRDefault="008F6B42" w:rsidP="00E63369">
      <w:pPr>
        <w:ind w:left="1080"/>
      </w:pPr>
      <w:r w:rsidRPr="00E63369">
        <w:t>(</w:t>
      </w:r>
      <w:r w:rsidR="00146DB1">
        <w:t>c</w:t>
      </w:r>
      <w:r w:rsidRPr="00E63369">
        <w:t xml:space="preserve">)  </w:t>
      </w:r>
      <w:r w:rsidR="00B25893" w:rsidRPr="00E63369">
        <w:t xml:space="preserve">If </w:t>
      </w:r>
      <w:r w:rsidR="009C0AB7" w:rsidRPr="00E63369">
        <w:t xml:space="preserve">a </w:t>
      </w:r>
      <w:r w:rsidR="00F83D8B">
        <w:t>hospital</w:t>
      </w:r>
      <w:r w:rsidR="00B25893" w:rsidRPr="00E63369">
        <w:t xml:space="preserve"> closes, it</w:t>
      </w:r>
      <w:r w:rsidR="009C0AB7" w:rsidRPr="00E63369">
        <w:t xml:space="preserve"> must pay</w:t>
      </w:r>
      <w:r w:rsidR="003D62E6" w:rsidRPr="00E63369">
        <w:t xml:space="preserve"> any outstanding </w:t>
      </w:r>
      <w:r w:rsidR="008A50B1">
        <w:t>hospital assessment</w:t>
      </w:r>
      <w:r w:rsidR="003D62E6" w:rsidRPr="00E63369">
        <w:t xml:space="preserve"> obligations w</w:t>
      </w:r>
      <w:r w:rsidR="009C0AB7" w:rsidRPr="00E63369">
        <w:t>ithin 30 days of the date of closure.</w:t>
      </w:r>
      <w:r w:rsidR="001611CF">
        <w:t xml:space="preserve"> If a hospital is acquired by</w:t>
      </w:r>
      <w:r w:rsidR="0052465A">
        <w:t xml:space="preserve"> or merges with</w:t>
      </w:r>
      <w:r w:rsidR="001611CF">
        <w:t xml:space="preserve"> another hospital, any outstanding hospital assessments owed by the hospital being acquired</w:t>
      </w:r>
      <w:r w:rsidR="0052465A">
        <w:t xml:space="preserve"> or merging</w:t>
      </w:r>
      <w:r w:rsidR="001611CF">
        <w:t xml:space="preserve"> must be paid within 30 days of the date of the acquisition</w:t>
      </w:r>
      <w:r w:rsidR="0052465A">
        <w:t xml:space="preserve"> or merger</w:t>
      </w:r>
      <w:r w:rsidR="001611CF">
        <w:t>.</w:t>
      </w:r>
    </w:p>
    <w:p w14:paraId="2A716A43" w14:textId="078E3344" w:rsidR="007C598F" w:rsidRPr="00E63369" w:rsidRDefault="007C598F" w:rsidP="00E63369">
      <w:pPr>
        <w:ind w:left="720"/>
      </w:pPr>
    </w:p>
    <w:p w14:paraId="5C06589E" w14:textId="457678EA" w:rsidR="007C598F" w:rsidRPr="00E63369" w:rsidRDefault="007C598F" w:rsidP="00BD2219">
      <w:pPr>
        <w:ind w:left="720"/>
      </w:pPr>
      <w:r w:rsidRPr="00E63369">
        <w:t>(</w:t>
      </w:r>
      <w:r w:rsidR="00B3088A" w:rsidRPr="00E63369">
        <w:t>4</w:t>
      </w:r>
      <w:r w:rsidRPr="00E63369">
        <w:t xml:space="preserve">)  </w:t>
      </w:r>
      <w:r w:rsidRPr="00E63369">
        <w:rPr>
          <w:u w:val="single"/>
        </w:rPr>
        <w:t>Administration</w:t>
      </w:r>
      <w:r w:rsidRPr="00E63369">
        <w:t xml:space="preserve">.  </w:t>
      </w:r>
      <w:r w:rsidR="00760333" w:rsidRPr="00E63369">
        <w:t xml:space="preserve">EOHHS </w:t>
      </w:r>
      <w:r w:rsidR="00C0145B">
        <w:t>may</w:t>
      </w:r>
      <w:r w:rsidR="00C0145B" w:rsidRPr="00E63369">
        <w:t xml:space="preserve"> </w:t>
      </w:r>
      <w:r w:rsidR="00C0145B">
        <w:t xml:space="preserve">provide </w:t>
      </w:r>
      <w:r w:rsidR="003A7C51">
        <w:t xml:space="preserve">updates and </w:t>
      </w:r>
      <w:r w:rsidR="00C0145B">
        <w:t xml:space="preserve">further details, </w:t>
      </w:r>
      <w:r w:rsidRPr="00E63369">
        <w:t xml:space="preserve">by administrative bulletin </w:t>
      </w:r>
      <w:r w:rsidR="00C0145B">
        <w:t xml:space="preserve">or other written issuance, regarding </w:t>
      </w:r>
      <w:r w:rsidRPr="00E63369">
        <w:t xml:space="preserve">procedures for the payment and collection of the </w:t>
      </w:r>
      <w:r w:rsidR="00C0145B">
        <w:t>hospital assessment</w:t>
      </w:r>
      <w:r w:rsidRPr="00E63369">
        <w:t>.</w:t>
      </w:r>
    </w:p>
    <w:p w14:paraId="7A827BCA" w14:textId="77777777" w:rsidR="007C598F" w:rsidRPr="00E63369" w:rsidRDefault="007C598F">
      <w:pPr>
        <w:ind w:left="720"/>
      </w:pPr>
    </w:p>
    <w:p w14:paraId="4F2CBF7C" w14:textId="20144C23" w:rsidR="00EA6EA6" w:rsidRDefault="007C598F" w:rsidP="00EA6EA6">
      <w:pPr>
        <w:ind w:left="720"/>
      </w:pPr>
      <w:r w:rsidRPr="00E63369">
        <w:t>(</w:t>
      </w:r>
      <w:r w:rsidR="00B3088A" w:rsidRPr="00E63369">
        <w:t>5</w:t>
      </w:r>
      <w:r w:rsidRPr="00E63369">
        <w:t xml:space="preserve">)  </w:t>
      </w:r>
      <w:r w:rsidRPr="00E63369">
        <w:rPr>
          <w:u w:val="single"/>
        </w:rPr>
        <w:t>Interest</w:t>
      </w:r>
      <w:r w:rsidR="005E0DA6" w:rsidRPr="00E63369">
        <w:rPr>
          <w:u w:val="single"/>
        </w:rPr>
        <w:t xml:space="preserve"> and Late Fees</w:t>
      </w:r>
      <w:r w:rsidRPr="00E63369">
        <w:t>.</w:t>
      </w:r>
    </w:p>
    <w:p w14:paraId="7A8634CF" w14:textId="3B28388D" w:rsidR="007C3B80" w:rsidRDefault="00EA6EA6" w:rsidP="00CA79C5">
      <w:pPr>
        <w:ind w:left="1080"/>
      </w:pPr>
      <w:r>
        <w:t xml:space="preserve">(a)  </w:t>
      </w:r>
      <w:r w:rsidR="00760333" w:rsidRPr="0031362E">
        <w:t>EOHHS</w:t>
      </w:r>
      <w:r w:rsidR="00760333" w:rsidRPr="00E63369">
        <w:t xml:space="preserve"> </w:t>
      </w:r>
      <w:r w:rsidR="007C598F" w:rsidRPr="00E63369">
        <w:t>may assess interest and late fees on unpaid liabilities.</w:t>
      </w:r>
      <w:r w:rsidR="005E0DA6" w:rsidRPr="00E63369">
        <w:t xml:space="preserve"> </w:t>
      </w:r>
      <w:r w:rsidR="007C598F" w:rsidRPr="00E63369">
        <w:t xml:space="preserve">If a </w:t>
      </w:r>
      <w:r w:rsidR="00F83D8B">
        <w:t>hospital</w:t>
      </w:r>
      <w:r w:rsidR="007C598F" w:rsidRPr="00E63369">
        <w:t xml:space="preserve"> fails to remit an assessment </w:t>
      </w:r>
      <w:r w:rsidR="006A7009" w:rsidRPr="00E63369">
        <w:t xml:space="preserve">by the </w:t>
      </w:r>
      <w:r w:rsidR="007C598F" w:rsidRPr="00E63369">
        <w:t>due</w:t>
      </w:r>
      <w:r w:rsidR="006A7009" w:rsidRPr="00E63369">
        <w:t xml:space="preserve"> date</w:t>
      </w:r>
      <w:r w:rsidR="007C598F" w:rsidRPr="00E63369">
        <w:t xml:space="preserve">, </w:t>
      </w:r>
      <w:r w:rsidR="00760333" w:rsidRPr="00E63369">
        <w:t xml:space="preserve">EOHHS </w:t>
      </w:r>
      <w:r w:rsidR="004148CF">
        <w:t>may</w:t>
      </w:r>
      <w:r w:rsidR="004148CF" w:rsidRPr="00E63369">
        <w:t xml:space="preserve"> </w:t>
      </w:r>
      <w:r w:rsidR="007C598F" w:rsidRPr="00E63369">
        <w:t>assess interest at</w:t>
      </w:r>
      <w:r w:rsidR="003C099E" w:rsidRPr="00E63369">
        <w:t xml:space="preserve"> up to</w:t>
      </w:r>
      <w:r w:rsidR="007C598F" w:rsidRPr="00E63369">
        <w:t xml:space="preserve"> </w:t>
      </w:r>
      <w:r>
        <w:t>3</w:t>
      </w:r>
      <w:r w:rsidR="007C598F" w:rsidRPr="00E63369">
        <w:t>% per month on the outstanding balance</w:t>
      </w:r>
      <w:r w:rsidR="00760333" w:rsidRPr="00E63369">
        <w:t xml:space="preserve"> and </w:t>
      </w:r>
      <w:r w:rsidR="007C598F" w:rsidRPr="00E63369">
        <w:t xml:space="preserve">calculate the interest from the due date. </w:t>
      </w:r>
      <w:r>
        <w:t xml:space="preserve">EOHHS </w:t>
      </w:r>
      <w:r w:rsidRPr="00EA6EA6">
        <w:t xml:space="preserve">will calculate the </w:t>
      </w:r>
      <w:r>
        <w:t>interest</w:t>
      </w:r>
      <w:r w:rsidRPr="00EA6EA6">
        <w:t xml:space="preserve"> on the outstanding balance as of the due date.</w:t>
      </w:r>
    </w:p>
    <w:p w14:paraId="697AC997" w14:textId="62EE919A" w:rsidR="00EA6EA6" w:rsidRPr="00EA6EA6" w:rsidRDefault="00EA6EA6" w:rsidP="00CA79C5">
      <w:pPr>
        <w:ind w:left="1080"/>
      </w:pPr>
      <w:r>
        <w:t>(b)  EOHHS</w:t>
      </w:r>
      <w:r w:rsidRPr="00EA6EA6">
        <w:t xml:space="preserve"> may assess up to an additional 3% penalty against the outstanding balance and prior penalties for each month that a </w:t>
      </w:r>
      <w:r w:rsidR="003A7C51">
        <w:t>h</w:t>
      </w:r>
      <w:r w:rsidRPr="00EA6EA6">
        <w:t xml:space="preserve">ospital remains delinquent. </w:t>
      </w:r>
      <w:r>
        <w:t>EOHHS</w:t>
      </w:r>
      <w:r w:rsidRPr="00EA6EA6">
        <w:t xml:space="preserve"> will credit partial payments from delinquent </w:t>
      </w:r>
      <w:r w:rsidR="003A7C51">
        <w:t>h</w:t>
      </w:r>
      <w:r w:rsidRPr="00EA6EA6">
        <w:t xml:space="preserve">ospitals to the current outstanding liability. If any amount remains from the partial payment, </w:t>
      </w:r>
      <w:r>
        <w:t>EOHHS</w:t>
      </w:r>
      <w:r w:rsidRPr="00EA6EA6">
        <w:t xml:space="preserve"> will then credit such amount to the penalty amount.</w:t>
      </w:r>
    </w:p>
    <w:p w14:paraId="7AD3DEC7" w14:textId="72210CB0" w:rsidR="007C598F" w:rsidRPr="00E63369" w:rsidRDefault="00EA6EA6" w:rsidP="00CA79C5">
      <w:pPr>
        <w:ind w:left="1080"/>
      </w:pPr>
      <w:r w:rsidRPr="00EA6EA6">
        <w:t>(</w:t>
      </w:r>
      <w:r w:rsidR="0031533C">
        <w:t>c</w:t>
      </w:r>
      <w:r w:rsidRPr="00EA6EA6">
        <w:t xml:space="preserve">)  In determining the penalty amount, </w:t>
      </w:r>
      <w:r>
        <w:t>EOHHS</w:t>
      </w:r>
      <w:r w:rsidRPr="00EA6EA6">
        <w:t xml:space="preserve"> may consider factors including, but not limited to, the </w:t>
      </w:r>
      <w:r w:rsidR="003A7C51">
        <w:t>h</w:t>
      </w:r>
      <w:r w:rsidRPr="00EA6EA6">
        <w:t>ospital’s payment history, fin</w:t>
      </w:r>
      <w:r>
        <w:t>an</w:t>
      </w:r>
      <w:r w:rsidRPr="00EA6EA6">
        <w:t>cial situation, and relative share of the payments.</w:t>
      </w:r>
    </w:p>
    <w:p w14:paraId="2D1675CD" w14:textId="77777777" w:rsidR="007C598F" w:rsidRPr="00E63369" w:rsidRDefault="007C598F">
      <w:pPr>
        <w:ind w:left="720"/>
      </w:pPr>
    </w:p>
    <w:p w14:paraId="51B1F68A" w14:textId="66071B36" w:rsidR="007C598F" w:rsidRPr="00E63369" w:rsidRDefault="007C598F">
      <w:pPr>
        <w:ind w:left="720"/>
      </w:pPr>
      <w:r w:rsidRPr="00E63369">
        <w:t>(</w:t>
      </w:r>
      <w:r w:rsidR="00B3088A" w:rsidRPr="00E63369">
        <w:t>6</w:t>
      </w:r>
      <w:r w:rsidRPr="00E63369">
        <w:t xml:space="preserve">)  </w:t>
      </w:r>
      <w:r w:rsidRPr="00E63369">
        <w:rPr>
          <w:u w:val="single"/>
        </w:rPr>
        <w:t>Assessment Revenue</w:t>
      </w:r>
      <w:r w:rsidRPr="00E63369">
        <w:t xml:space="preserve">.  </w:t>
      </w:r>
      <w:r w:rsidR="00F534D4">
        <w:t>An amount equal to t</w:t>
      </w:r>
      <w:r w:rsidRPr="00E63369">
        <w:t xml:space="preserve">he total amount of assessments collected, </w:t>
      </w:r>
      <w:r w:rsidR="00F534D4">
        <w:t>plus any</w:t>
      </w:r>
      <w:r w:rsidRPr="00E63369">
        <w:t xml:space="preserve"> penalties and interest</w:t>
      </w:r>
      <w:r w:rsidR="003A7C51">
        <w:t>,</w:t>
      </w:r>
      <w:r w:rsidRPr="00E63369">
        <w:t xml:space="preserve"> </w:t>
      </w:r>
      <w:r w:rsidR="007A53A7" w:rsidRPr="00E63369">
        <w:t xml:space="preserve">will </w:t>
      </w:r>
      <w:r w:rsidRPr="00E63369">
        <w:t>be credited to</w:t>
      </w:r>
      <w:r w:rsidR="00C0145B">
        <w:t xml:space="preserve"> </w:t>
      </w:r>
      <w:r w:rsidR="0052465A">
        <w:t>the Health Safety Net Trust Fund</w:t>
      </w:r>
      <w:r w:rsidRPr="00E63369">
        <w:t>.</w:t>
      </w:r>
    </w:p>
    <w:p w14:paraId="4635CE4D" w14:textId="235AAA2F" w:rsidR="00B813CA" w:rsidRPr="00E63369" w:rsidRDefault="00B813CA"/>
    <w:p w14:paraId="19383552" w14:textId="36AACFC0" w:rsidR="007C598F" w:rsidRPr="0031362E" w:rsidRDefault="00B813CA">
      <w:pPr>
        <w:rPr>
          <w:u w:val="single"/>
        </w:rPr>
      </w:pPr>
      <w:r w:rsidRPr="00E63369">
        <w:rPr>
          <w:u w:val="single"/>
        </w:rPr>
        <w:t>51</w:t>
      </w:r>
      <w:r w:rsidR="007F79CE">
        <w:rPr>
          <w:u w:val="single"/>
        </w:rPr>
        <w:t>4</w:t>
      </w:r>
      <w:r w:rsidR="007C598F" w:rsidRPr="00E63369">
        <w:rPr>
          <w:u w:val="single"/>
        </w:rPr>
        <w:t>.0</w:t>
      </w:r>
      <w:r w:rsidR="002E53A8" w:rsidRPr="00E63369">
        <w:rPr>
          <w:u w:val="single"/>
        </w:rPr>
        <w:t>6</w:t>
      </w:r>
      <w:r w:rsidR="007A53A7" w:rsidRPr="0031362E">
        <w:rPr>
          <w:u w:val="single"/>
        </w:rPr>
        <w:t>:</w:t>
      </w:r>
      <w:r w:rsidR="007C598F" w:rsidRPr="00E63369">
        <w:rPr>
          <w:u w:val="single"/>
        </w:rPr>
        <w:t xml:space="preserve">  </w:t>
      </w:r>
      <w:r w:rsidR="007C598F" w:rsidRPr="0031362E">
        <w:rPr>
          <w:u w:val="single"/>
        </w:rPr>
        <w:t>Reporting Requirements</w:t>
      </w:r>
    </w:p>
    <w:p w14:paraId="1C625100" w14:textId="77777777" w:rsidR="007C598F" w:rsidRPr="00E63369" w:rsidRDefault="007C598F"/>
    <w:p w14:paraId="3B3F07D0" w14:textId="03ED44A4" w:rsidR="00177100" w:rsidRDefault="007C598F" w:rsidP="0031533C">
      <w:pPr>
        <w:tabs>
          <w:tab w:val="left" w:pos="720"/>
        </w:tabs>
        <w:ind w:left="720"/>
      </w:pPr>
      <w:r w:rsidRPr="00E63369">
        <w:t xml:space="preserve">(1)  </w:t>
      </w:r>
      <w:r w:rsidRPr="00E63369">
        <w:rPr>
          <w:u w:val="single"/>
        </w:rPr>
        <w:t>General</w:t>
      </w:r>
      <w:r w:rsidRPr="00E63369">
        <w:t>.</w:t>
      </w:r>
      <w:r w:rsidRPr="0031362E">
        <w:t xml:space="preserve">  Each </w:t>
      </w:r>
      <w:r w:rsidR="00F83D8B">
        <w:t>hospital</w:t>
      </w:r>
      <w:r w:rsidRPr="00E63369">
        <w:t xml:space="preserve"> </w:t>
      </w:r>
      <w:r w:rsidR="007A53A7" w:rsidRPr="00E63369">
        <w:t xml:space="preserve">must </w:t>
      </w:r>
      <w:r w:rsidRPr="00E63369">
        <w:t xml:space="preserve">file or make available information </w:t>
      </w:r>
      <w:r w:rsidR="007A53A7" w:rsidRPr="00E63369">
        <w:t xml:space="preserve">that </w:t>
      </w:r>
      <w:r w:rsidR="00760333" w:rsidRPr="00E63369">
        <w:t xml:space="preserve">EOHHS </w:t>
      </w:r>
      <w:r w:rsidRPr="00E63369">
        <w:t xml:space="preserve">deems reasonably necessary for calculating and collecting the </w:t>
      </w:r>
      <w:r w:rsidR="00F83D8B">
        <w:t>hospital assessment</w:t>
      </w:r>
      <w:r w:rsidRPr="00E63369">
        <w:t xml:space="preserve">. </w:t>
      </w:r>
      <w:r w:rsidR="00177100">
        <w:br w:type="page"/>
      </w:r>
    </w:p>
    <w:p w14:paraId="02CA280C" w14:textId="09771CD0" w:rsidR="007C598F" w:rsidRPr="00E63369" w:rsidRDefault="007F79CE" w:rsidP="0031533C">
      <w:pPr>
        <w:tabs>
          <w:tab w:val="left" w:pos="720"/>
        </w:tabs>
        <w:ind w:left="720"/>
      </w:pPr>
      <w:r>
        <w:lastRenderedPageBreak/>
        <w:t xml:space="preserve">(2)  </w:t>
      </w:r>
      <w:r w:rsidRPr="00AE3BCC">
        <w:rPr>
          <w:u w:val="single"/>
        </w:rPr>
        <w:t>Required Reporting for Hospitals with Change of Status</w:t>
      </w:r>
      <w:r>
        <w:t xml:space="preserve">.  Any new hospital, merging hospital, acquiring or acquired hospital, or closing hospital, as described in 101 CMR 514.03(2)(a) through (c), must inform EOHHS of its change in status at least </w:t>
      </w:r>
      <w:r w:rsidR="0076116B">
        <w:t>14</w:t>
      </w:r>
      <w:r>
        <w:t xml:space="preserve"> days prior to such change in status. Any new </w:t>
      </w:r>
      <w:r w:rsidR="00AC2866">
        <w:t xml:space="preserve">acute or non-acute </w:t>
      </w:r>
      <w:r>
        <w:t>hospital</w:t>
      </w:r>
      <w:r w:rsidR="00AC2866">
        <w:t>, as described in 101 CM</w:t>
      </w:r>
      <w:r w:rsidR="007B7E2F">
        <w:t>R</w:t>
      </w:r>
      <w:r w:rsidR="00AC2866">
        <w:t xml:space="preserve"> 514.03(2)(a) and (b),</w:t>
      </w:r>
      <w:r>
        <w:t xml:space="preserve"> must provide projected annual revenue information, and any additional supporting documentation as requested by EOHHS, in the form and format requested by EOHHS within 30 days of </w:t>
      </w:r>
      <w:r w:rsidR="00CA79C5">
        <w:t>beginning operations</w:t>
      </w:r>
      <w:r>
        <w:t>.</w:t>
      </w:r>
    </w:p>
    <w:p w14:paraId="206F0CEF" w14:textId="77777777" w:rsidR="007C598F" w:rsidRPr="00E63369" w:rsidRDefault="007C598F" w:rsidP="009F6E0C">
      <w:pPr>
        <w:tabs>
          <w:tab w:val="left" w:pos="720"/>
        </w:tabs>
        <w:ind w:left="720"/>
      </w:pPr>
    </w:p>
    <w:p w14:paraId="5F4FE59F" w14:textId="61EFC755" w:rsidR="007C598F" w:rsidRPr="00E63369" w:rsidRDefault="007C598F" w:rsidP="0031533C">
      <w:pPr>
        <w:tabs>
          <w:tab w:val="left" w:pos="720"/>
        </w:tabs>
        <w:ind w:left="720"/>
      </w:pPr>
      <w:r w:rsidRPr="00E63369">
        <w:t>(</w:t>
      </w:r>
      <w:r w:rsidR="0031533C">
        <w:t>3</w:t>
      </w:r>
      <w:r w:rsidRPr="00E63369">
        <w:t xml:space="preserve">)  </w:t>
      </w:r>
      <w:r w:rsidR="007F79CE">
        <w:rPr>
          <w:u w:val="single"/>
        </w:rPr>
        <w:t>Additional Documentation</w:t>
      </w:r>
      <w:r w:rsidRPr="00E63369">
        <w:t xml:space="preserve">.  Each </w:t>
      </w:r>
      <w:r w:rsidR="00F83D8B">
        <w:t>hospital</w:t>
      </w:r>
      <w:r w:rsidRPr="00E63369">
        <w:t xml:space="preserve"> must submit any additional documentation requested </w:t>
      </w:r>
      <w:r w:rsidR="00443ED1" w:rsidRPr="00E63369">
        <w:t xml:space="preserve">by </w:t>
      </w:r>
      <w:r w:rsidR="00760333" w:rsidRPr="00E63369">
        <w:t xml:space="preserve">EOHHS or its </w:t>
      </w:r>
      <w:r w:rsidR="00B97A2E" w:rsidRPr="00E63369">
        <w:t>designee</w:t>
      </w:r>
      <w:r w:rsidR="00760333" w:rsidRPr="00E63369">
        <w:t xml:space="preserve"> </w:t>
      </w:r>
      <w:r w:rsidRPr="00E63369">
        <w:t>to verify the accuracy of the data submitted.</w:t>
      </w:r>
    </w:p>
    <w:p w14:paraId="1728E978" w14:textId="77777777" w:rsidR="007C598F" w:rsidRPr="00E63369" w:rsidRDefault="007C598F" w:rsidP="0031533C">
      <w:pPr>
        <w:tabs>
          <w:tab w:val="left" w:pos="720"/>
        </w:tabs>
        <w:ind w:left="720"/>
      </w:pPr>
    </w:p>
    <w:p w14:paraId="3E0AFFEF" w14:textId="1FE3A833" w:rsidR="007C598F" w:rsidRPr="00E63369" w:rsidRDefault="007C598F" w:rsidP="0031533C">
      <w:pPr>
        <w:tabs>
          <w:tab w:val="left" w:pos="720"/>
        </w:tabs>
        <w:ind w:left="720"/>
      </w:pPr>
      <w:r w:rsidRPr="00E63369">
        <w:t>(</w:t>
      </w:r>
      <w:r w:rsidR="0031533C">
        <w:t>4</w:t>
      </w:r>
      <w:r w:rsidRPr="00E63369">
        <w:t xml:space="preserve">)  </w:t>
      </w:r>
      <w:r w:rsidRPr="00E63369">
        <w:rPr>
          <w:u w:val="single"/>
        </w:rPr>
        <w:t>Audit</w:t>
      </w:r>
      <w:r w:rsidRPr="00E63369">
        <w:t>.</w:t>
      </w:r>
      <w:r w:rsidRPr="0031362E">
        <w:t xml:space="preserve">  </w:t>
      </w:r>
      <w:r w:rsidR="00760333" w:rsidRPr="0031362E">
        <w:t xml:space="preserve">EOHHS or its </w:t>
      </w:r>
      <w:r w:rsidR="00B97A2E" w:rsidRPr="00E63369">
        <w:t>designee</w:t>
      </w:r>
      <w:r w:rsidR="00760333" w:rsidRPr="00E63369">
        <w:t xml:space="preserve"> </w:t>
      </w:r>
      <w:r w:rsidRPr="00E63369">
        <w:t xml:space="preserve">may inspect and copy the records of a </w:t>
      </w:r>
      <w:r w:rsidR="00F83D8B">
        <w:t>hospital</w:t>
      </w:r>
      <w:r w:rsidRPr="00E63369">
        <w:t xml:space="preserve"> for purposes of auditing its calculation of the assessment. If </w:t>
      </w:r>
      <w:r w:rsidR="00760333" w:rsidRPr="00E63369">
        <w:t xml:space="preserve">EOHHS or its </w:t>
      </w:r>
      <w:r w:rsidR="00B97A2E" w:rsidRPr="00E63369">
        <w:t>designee</w:t>
      </w:r>
      <w:r w:rsidR="00760333" w:rsidRPr="00E63369">
        <w:t xml:space="preserve"> </w:t>
      </w:r>
      <w:r w:rsidRPr="00E63369">
        <w:t xml:space="preserve">determines that a </w:t>
      </w:r>
      <w:r w:rsidR="00F83D8B">
        <w:t>hospital</w:t>
      </w:r>
      <w:r w:rsidRPr="00E63369">
        <w:t xml:space="preserve"> has either overpaid or underpaid the assessment, it </w:t>
      </w:r>
      <w:r w:rsidR="007A53A7" w:rsidRPr="00E63369">
        <w:t xml:space="preserve">will </w:t>
      </w:r>
      <w:r w:rsidRPr="00E63369">
        <w:t xml:space="preserve">notify the </w:t>
      </w:r>
      <w:r w:rsidR="00F83D8B">
        <w:t>hospital</w:t>
      </w:r>
      <w:r w:rsidRPr="00E63369">
        <w:t xml:space="preserve"> of the amount due or refund the overpayment.</w:t>
      </w:r>
    </w:p>
    <w:p w14:paraId="3A430702" w14:textId="77777777" w:rsidR="007C598F" w:rsidRPr="00E63369" w:rsidRDefault="007C598F" w:rsidP="009F6E0C">
      <w:pPr>
        <w:tabs>
          <w:tab w:val="left" w:pos="720"/>
        </w:tabs>
        <w:ind w:left="720"/>
      </w:pPr>
    </w:p>
    <w:p w14:paraId="09058D68" w14:textId="1C32D65A" w:rsidR="00792F35" w:rsidRDefault="007C598F" w:rsidP="00CA79C5">
      <w:pPr>
        <w:ind w:left="720"/>
      </w:pPr>
      <w:r w:rsidRPr="00E63369">
        <w:t>(</w:t>
      </w:r>
      <w:r w:rsidR="0031533C">
        <w:t>5</w:t>
      </w:r>
      <w:r w:rsidRPr="00E63369">
        <w:t xml:space="preserve">)  </w:t>
      </w:r>
      <w:r w:rsidRPr="00E63369">
        <w:rPr>
          <w:u w:val="single"/>
        </w:rPr>
        <w:t>Penalties</w:t>
      </w:r>
      <w:r w:rsidRPr="00E63369">
        <w:t xml:space="preserve">.  </w:t>
      </w:r>
      <w:r w:rsidR="00760333" w:rsidRPr="00E63369">
        <w:t xml:space="preserve">EOHHS </w:t>
      </w:r>
      <w:r w:rsidRPr="00E63369">
        <w:t xml:space="preserve">may impose a </w:t>
      </w:r>
      <w:r w:rsidRPr="00E63369">
        <w:rPr>
          <w:i/>
        </w:rPr>
        <w:t>per diem</w:t>
      </w:r>
      <w:r w:rsidRPr="0031362E">
        <w:t xml:space="preserve"> penalty of $100 per day if a </w:t>
      </w:r>
      <w:r w:rsidR="00F83D8B">
        <w:t>hospital</w:t>
      </w:r>
      <w:r w:rsidRPr="00E63369">
        <w:t xml:space="preserve"> fails to furnish documentation re</w:t>
      </w:r>
      <w:r w:rsidR="007F79CE">
        <w:t>quired or re</w:t>
      </w:r>
      <w:r w:rsidRPr="00E63369">
        <w:t xml:space="preserve">quested under </w:t>
      </w:r>
      <w:r w:rsidR="007A53A7" w:rsidRPr="00E63369">
        <w:t>101 CMR 51</w:t>
      </w:r>
      <w:r w:rsidR="00E0157F">
        <w:t>4</w:t>
      </w:r>
      <w:r w:rsidR="007A53A7" w:rsidRPr="00E63369">
        <w:t>.0</w:t>
      </w:r>
      <w:r w:rsidR="007F79CE">
        <w:t>6</w:t>
      </w:r>
      <w:r w:rsidRPr="00E63369">
        <w:t xml:space="preserve"> </w:t>
      </w:r>
      <w:r w:rsidR="007F79CE">
        <w:t>within the timeframes</w:t>
      </w:r>
      <w:r w:rsidRPr="00E63369">
        <w:t xml:space="preserve"> specified in </w:t>
      </w:r>
      <w:r w:rsidR="005E0DA6" w:rsidRPr="00E63369">
        <w:t>1</w:t>
      </w:r>
      <w:r w:rsidR="00F04086" w:rsidRPr="00E63369">
        <w:t>01</w:t>
      </w:r>
      <w:r w:rsidR="005E0DA6" w:rsidRPr="00E63369">
        <w:t xml:space="preserve"> CMR </w:t>
      </w:r>
      <w:r w:rsidR="00B97A2E" w:rsidRPr="00E63369">
        <w:t>5</w:t>
      </w:r>
      <w:r w:rsidR="005E0DA6" w:rsidRPr="00E63369">
        <w:t>1</w:t>
      </w:r>
      <w:r w:rsidR="0052465A">
        <w:t>4</w:t>
      </w:r>
      <w:r w:rsidR="005E0DA6" w:rsidRPr="00E63369">
        <w:t>.0</w:t>
      </w:r>
      <w:r w:rsidR="00950EF6" w:rsidRPr="00E63369">
        <w:t>5</w:t>
      </w:r>
      <w:r w:rsidR="005E0DA6" w:rsidRPr="00E63369">
        <w:t xml:space="preserve">(3) or as specified </w:t>
      </w:r>
      <w:r w:rsidR="00950EF6" w:rsidRPr="00E63369">
        <w:t>by</w:t>
      </w:r>
      <w:r w:rsidR="005E0DA6" w:rsidRPr="00E63369">
        <w:t xml:space="preserve"> </w:t>
      </w:r>
      <w:r w:rsidR="006570B3" w:rsidRPr="00E63369">
        <w:t>EOHHS</w:t>
      </w:r>
      <w:r w:rsidR="0002251B">
        <w:t xml:space="preserve"> upon request, or</w:t>
      </w:r>
      <w:r w:rsidR="00950EF6" w:rsidRPr="00E63369">
        <w:t xml:space="preserve"> in</w:t>
      </w:r>
      <w:r w:rsidRPr="00E63369">
        <w:t xml:space="preserve"> </w:t>
      </w:r>
      <w:r w:rsidR="002246E2" w:rsidRPr="00E63369">
        <w:t>a</w:t>
      </w:r>
      <w:r w:rsidRPr="00E63369">
        <w:t xml:space="preserve">dministrative </w:t>
      </w:r>
      <w:r w:rsidR="002246E2" w:rsidRPr="00E63369">
        <w:t>b</w:t>
      </w:r>
      <w:r w:rsidRPr="00E63369">
        <w:t>ulletins</w:t>
      </w:r>
      <w:r w:rsidR="002246E2" w:rsidRPr="00E63369">
        <w:t xml:space="preserve"> or other written issuance</w:t>
      </w:r>
      <w:r w:rsidR="00950EF6" w:rsidRPr="00E63369">
        <w:t>s</w:t>
      </w:r>
      <w:r w:rsidRPr="00E63369">
        <w:t>.</w:t>
      </w:r>
    </w:p>
    <w:p w14:paraId="62886FA4" w14:textId="26AA6F11" w:rsidR="006E75FC" w:rsidRDefault="006E75FC" w:rsidP="00CA79C5">
      <w:pPr>
        <w:ind w:left="720"/>
      </w:pPr>
    </w:p>
    <w:p w14:paraId="67A05A29" w14:textId="6E883245" w:rsidR="00434914" w:rsidRDefault="00434914" w:rsidP="00434914">
      <w:pPr>
        <w:ind w:left="720"/>
      </w:pPr>
      <w:r>
        <w:t xml:space="preserve">(6)  </w:t>
      </w:r>
      <w:r w:rsidRPr="006E75FC">
        <w:rPr>
          <w:u w:val="single"/>
        </w:rPr>
        <w:t>Enforcement Provisions</w:t>
      </w:r>
      <w:r>
        <w:t xml:space="preserve">. </w:t>
      </w:r>
      <w:r w:rsidR="00335E62">
        <w:t xml:space="preserve"> </w:t>
      </w:r>
      <w:r>
        <w:t xml:space="preserve">In addition to interest and late fees imposed pursuant to 101 CMR 514.05(5), EOHHS may take enforcement actions including, but not limited to, the following: </w:t>
      </w:r>
    </w:p>
    <w:p w14:paraId="0DAFC7BD" w14:textId="68DD6B59" w:rsidR="00434914" w:rsidRPr="00CA5847" w:rsidRDefault="00434914" w:rsidP="00434914">
      <w:pPr>
        <w:ind w:left="1080"/>
      </w:pPr>
      <w:r w:rsidRPr="00CA5847">
        <w:t>(a)</w:t>
      </w:r>
      <w:r>
        <w:t xml:space="preserve"> </w:t>
      </w:r>
      <w:r w:rsidR="007C3B80">
        <w:t xml:space="preserve"> </w:t>
      </w:r>
      <w:r w:rsidRPr="00CA5847">
        <w:t>for hospitals licensed by the department of health, notifying the department of the unpaid assessments and such information shall be considered by the department in determining suitability in accordance with section 51 of chapter 111 for the hospital or its affiliate provider entities;</w:t>
      </w:r>
    </w:p>
    <w:p w14:paraId="2B8E6644" w14:textId="6F2E720E" w:rsidR="00434914" w:rsidRDefault="00434914" w:rsidP="00434914">
      <w:pPr>
        <w:ind w:left="1080"/>
      </w:pPr>
      <w:r w:rsidRPr="00CA5847">
        <w:t>(</w:t>
      </w:r>
      <w:r>
        <w:t>b</w:t>
      </w:r>
      <w:r w:rsidRPr="00CA5847">
        <w:t xml:space="preserve">) </w:t>
      </w:r>
      <w:r w:rsidR="007C3B80">
        <w:t xml:space="preserve"> </w:t>
      </w:r>
      <w:r w:rsidRPr="00CA5847">
        <w:t xml:space="preserve">offsetting delinquent </w:t>
      </w:r>
      <w:r>
        <w:t>assessment amounts</w:t>
      </w:r>
      <w:r w:rsidRPr="00CA5847">
        <w:t xml:space="preserve"> owed, including any interest, penalties and reasonable attorneys’ fees</w:t>
      </w:r>
      <w:r>
        <w:t xml:space="preserve">, </w:t>
      </w:r>
      <w:r w:rsidRPr="00CA5847">
        <w:t>against</w:t>
      </w:r>
      <w:r>
        <w:t>:</w:t>
      </w:r>
    </w:p>
    <w:p w14:paraId="10F618EC" w14:textId="2EE7480B" w:rsidR="00434914" w:rsidRDefault="008B7D9F" w:rsidP="00C623E8">
      <w:pPr>
        <w:ind w:left="1440"/>
      </w:pPr>
      <w:r>
        <w:t xml:space="preserve">1. </w:t>
      </w:r>
      <w:r w:rsidR="00434914" w:rsidRPr="00CA5847">
        <w:t xml:space="preserve"> the</w:t>
      </w:r>
      <w:r w:rsidR="00434914">
        <w:t xml:space="preserve"> hospital’s MassHealth</w:t>
      </w:r>
      <w:r w:rsidR="00434914" w:rsidRPr="00CA5847">
        <w:t xml:space="preserve"> claims payment</w:t>
      </w:r>
      <w:r w:rsidR="00434914">
        <w:t>s</w:t>
      </w:r>
      <w:r w:rsidR="0093669E">
        <w:t>,</w:t>
      </w:r>
      <w:r w:rsidR="00434914">
        <w:t xml:space="preserve"> </w:t>
      </w:r>
      <w:r w:rsidR="0093669E">
        <w:t>MassHealth</w:t>
      </w:r>
      <w:r w:rsidR="009754CB">
        <w:t xml:space="preserve"> supplemental or incentive</w:t>
      </w:r>
      <w:r w:rsidR="0093669E">
        <w:t xml:space="preserve"> payments</w:t>
      </w:r>
      <w:r w:rsidR="009754CB">
        <w:t xml:space="preserve">, </w:t>
      </w:r>
      <w:r w:rsidR="00434914">
        <w:t>Health Safety Net payments</w:t>
      </w:r>
      <w:r w:rsidR="009754CB">
        <w:t>, or other payments that may otherwise be due to the hospital from MassHealth or the Health Safety Net,</w:t>
      </w:r>
    </w:p>
    <w:p w14:paraId="4C26BD85" w14:textId="55B5367A" w:rsidR="00434914" w:rsidRDefault="008B7D9F" w:rsidP="00434914">
      <w:pPr>
        <w:ind w:left="1440"/>
      </w:pPr>
      <w:r>
        <w:t xml:space="preserve">2. </w:t>
      </w:r>
      <w:r w:rsidR="00434914">
        <w:t xml:space="preserve"> </w:t>
      </w:r>
      <w:r w:rsidR="00434914" w:rsidRPr="00CA5847">
        <w:t>other hospitals or MassHealth-contracted entities under common ownership as the delinquent hospital</w:t>
      </w:r>
      <w:r w:rsidR="00434914">
        <w:t xml:space="preserve">, </w:t>
      </w:r>
      <w:r w:rsidR="00434914" w:rsidRPr="00CA5847">
        <w:t xml:space="preserve">or </w:t>
      </w:r>
    </w:p>
    <w:p w14:paraId="05418278" w14:textId="174BEDAD" w:rsidR="00434914" w:rsidRDefault="008B7D9F" w:rsidP="00434914">
      <w:pPr>
        <w:ind w:left="1440"/>
      </w:pPr>
      <w:r>
        <w:t xml:space="preserve">3. </w:t>
      </w:r>
      <w:r w:rsidR="00434914">
        <w:t xml:space="preserve"> </w:t>
      </w:r>
      <w:r w:rsidR="00434914" w:rsidRPr="00CA5847">
        <w:t>any successor in interest to the hospital or such provider entities under common ownershi</w:t>
      </w:r>
      <w:r w:rsidR="00434914">
        <w:t>p; or</w:t>
      </w:r>
    </w:p>
    <w:p w14:paraId="07B91CFC" w14:textId="0377CE6B" w:rsidR="00AC1BE4" w:rsidRDefault="00434914" w:rsidP="00434914">
      <w:pPr>
        <w:ind w:left="1080"/>
      </w:pPr>
      <w:r>
        <w:t>(c)</w:t>
      </w:r>
      <w:r w:rsidR="007C3B80">
        <w:t xml:space="preserve"> </w:t>
      </w:r>
      <w:r>
        <w:t xml:space="preserve"> </w:t>
      </w:r>
      <w:r w:rsidRPr="00CA5847">
        <w:t>creating, after demand for payment, a lien in favor of the commonwealth in an amount not to exceed the delinquent fees owed, including any interest, penalties and reasonable attorneys’ fees, encumbering the building in which the delinquent hospital is located, encumbering the real property upon which the delinquent hospital is located, including fixtures, equipment or goods used in the operation of the delinquent hospital, or encumbering any real property in which the delinquent hospital holds an interest</w:t>
      </w:r>
    </w:p>
    <w:p w14:paraId="3D36DF54" w14:textId="35853E6F" w:rsidR="00434914" w:rsidRPr="00CA5847" w:rsidRDefault="00AC1BE4" w:rsidP="00434914">
      <w:pPr>
        <w:ind w:left="1080"/>
      </w:pPr>
      <w:r>
        <w:t>(d)</w:t>
      </w:r>
      <w:r w:rsidR="008B7D9F">
        <w:t xml:space="preserve"> </w:t>
      </w:r>
      <w:r>
        <w:t xml:space="preserve"> </w:t>
      </w:r>
      <w:r w:rsidR="001B3963">
        <w:t>take any other action, through EOHHS or in partnership with other state agencies</w:t>
      </w:r>
      <w:r w:rsidR="00B52057">
        <w:t>,</w:t>
      </w:r>
      <w:r w:rsidR="001B3963">
        <w:t xml:space="preserve"> to collect on the delinquent debt permissible under law</w:t>
      </w:r>
      <w:r w:rsidR="00434914">
        <w:t>.</w:t>
      </w:r>
    </w:p>
    <w:p w14:paraId="3870BBAF" w14:textId="350E8BB3" w:rsidR="007C598F" w:rsidRDefault="007C598F">
      <w:pPr>
        <w:tabs>
          <w:tab w:val="left" w:pos="720"/>
        </w:tabs>
        <w:ind w:left="720"/>
      </w:pPr>
    </w:p>
    <w:p w14:paraId="0063A215" w14:textId="77777777" w:rsidR="00AA4FDF" w:rsidRDefault="00AA4FDF">
      <w:pPr>
        <w:tabs>
          <w:tab w:val="left" w:pos="720"/>
        </w:tabs>
        <w:ind w:left="720"/>
      </w:pPr>
    </w:p>
    <w:p w14:paraId="02C63C8A" w14:textId="77777777" w:rsidR="00AA4FDF" w:rsidRDefault="00AA4FDF">
      <w:pPr>
        <w:tabs>
          <w:tab w:val="left" w:pos="720"/>
        </w:tabs>
        <w:ind w:left="720"/>
      </w:pPr>
    </w:p>
    <w:p w14:paraId="3895189A" w14:textId="77777777" w:rsidR="00AA4FDF" w:rsidRPr="00E63369" w:rsidRDefault="00AA4FDF">
      <w:pPr>
        <w:tabs>
          <w:tab w:val="left" w:pos="720"/>
        </w:tabs>
        <w:ind w:left="720"/>
      </w:pPr>
    </w:p>
    <w:p w14:paraId="50B8DBF6" w14:textId="31551806" w:rsidR="007C598F" w:rsidRPr="00E63369" w:rsidRDefault="00B813CA">
      <w:pPr>
        <w:rPr>
          <w:u w:val="single"/>
        </w:rPr>
      </w:pPr>
      <w:r w:rsidRPr="00E63369">
        <w:rPr>
          <w:u w:val="single"/>
        </w:rPr>
        <w:lastRenderedPageBreak/>
        <w:t>51</w:t>
      </w:r>
      <w:r w:rsidR="00E0157F">
        <w:rPr>
          <w:u w:val="single"/>
        </w:rPr>
        <w:t>4</w:t>
      </w:r>
      <w:r w:rsidR="007C598F" w:rsidRPr="00E63369">
        <w:rPr>
          <w:u w:val="single"/>
        </w:rPr>
        <w:t>.0</w:t>
      </w:r>
      <w:r w:rsidR="002E53A8" w:rsidRPr="00E63369">
        <w:rPr>
          <w:u w:val="single"/>
        </w:rPr>
        <w:t>7</w:t>
      </w:r>
      <w:r w:rsidR="007A53A7" w:rsidRPr="0031362E">
        <w:rPr>
          <w:u w:val="single"/>
        </w:rPr>
        <w:t>:</w:t>
      </w:r>
      <w:r w:rsidR="007C598F" w:rsidRPr="00E63369">
        <w:rPr>
          <w:u w:val="single"/>
        </w:rPr>
        <w:t xml:space="preserve">   </w:t>
      </w:r>
      <w:r w:rsidR="005634F9">
        <w:rPr>
          <w:u w:val="single"/>
        </w:rPr>
        <w:t>Severability</w:t>
      </w:r>
    </w:p>
    <w:p w14:paraId="5EDB46CE" w14:textId="77777777" w:rsidR="007C598F" w:rsidRPr="0031362E" w:rsidRDefault="007C598F">
      <w:pPr>
        <w:rPr>
          <w:spacing w:val="-3"/>
        </w:rPr>
      </w:pPr>
    </w:p>
    <w:p w14:paraId="1D382FE5" w14:textId="677F51CC" w:rsidR="007C598F" w:rsidRPr="00E63369" w:rsidRDefault="007C598F">
      <w:pPr>
        <w:ind w:left="720"/>
      </w:pPr>
      <w:r w:rsidRPr="00E63369">
        <w:t xml:space="preserve">The provisions of </w:t>
      </w:r>
      <w:r w:rsidR="00443ED1" w:rsidRPr="00E63369">
        <w:t>101</w:t>
      </w:r>
      <w:r w:rsidRPr="00E63369">
        <w:t xml:space="preserve"> CMR </w:t>
      </w:r>
      <w:r w:rsidR="00443ED1" w:rsidRPr="00E63369">
        <w:t>5</w:t>
      </w:r>
      <w:r w:rsidRPr="00E63369">
        <w:t>1</w:t>
      </w:r>
      <w:r w:rsidR="00E0157F">
        <w:t>4</w:t>
      </w:r>
      <w:r w:rsidRPr="00E63369">
        <w:t xml:space="preserve">.00 are severable. If any provision or the application of any provision is held to be invalid or unconstitutional, such invalidity </w:t>
      </w:r>
      <w:r w:rsidR="007A53A7" w:rsidRPr="00E63369">
        <w:t xml:space="preserve">will </w:t>
      </w:r>
      <w:r w:rsidRPr="00E63369">
        <w:t xml:space="preserve">not be construed to affect the validity or constitutionality of any remaining provisions of </w:t>
      </w:r>
      <w:r w:rsidR="00443ED1" w:rsidRPr="00E63369">
        <w:t>101</w:t>
      </w:r>
      <w:r w:rsidRPr="00E63369">
        <w:t xml:space="preserve"> CMR </w:t>
      </w:r>
      <w:r w:rsidR="00443ED1" w:rsidRPr="00E63369">
        <w:t>5</w:t>
      </w:r>
      <w:r w:rsidRPr="00E63369">
        <w:t>1</w:t>
      </w:r>
      <w:r w:rsidR="00E0157F">
        <w:t>4</w:t>
      </w:r>
      <w:r w:rsidRPr="00E63369">
        <w:t>.00 or the application of such provisions.</w:t>
      </w:r>
    </w:p>
    <w:p w14:paraId="0F921C9E" w14:textId="77777777" w:rsidR="007C598F" w:rsidRPr="00E63369" w:rsidRDefault="007C598F">
      <w:pPr>
        <w:tabs>
          <w:tab w:val="left" w:pos="720"/>
          <w:tab w:val="left" w:pos="1440"/>
          <w:tab w:val="left" w:pos="2880"/>
          <w:tab w:val="left" w:pos="3600"/>
          <w:tab w:val="left" w:pos="4320"/>
          <w:tab w:val="left" w:pos="5040"/>
          <w:tab w:val="left" w:pos="5760"/>
          <w:tab w:val="left" w:pos="6030"/>
          <w:tab w:val="left" w:pos="6480"/>
        </w:tabs>
        <w:ind w:left="720"/>
      </w:pPr>
    </w:p>
    <w:p w14:paraId="58BEADEB" w14:textId="77777777" w:rsidR="007C598F" w:rsidRPr="00E63369" w:rsidRDefault="007C598F">
      <w:pPr>
        <w:ind w:left="720"/>
      </w:pPr>
    </w:p>
    <w:p w14:paraId="2622F766" w14:textId="77777777" w:rsidR="008E31EA" w:rsidRPr="00E63369" w:rsidRDefault="008E31EA" w:rsidP="00E63369"/>
    <w:p w14:paraId="2679D488" w14:textId="5A5A5C02" w:rsidR="007C598F" w:rsidRPr="00E63369" w:rsidRDefault="007C598F">
      <w:r w:rsidRPr="00E63369">
        <w:t>REGULATORY AUTHORITY</w:t>
      </w:r>
    </w:p>
    <w:p w14:paraId="2ADB1C08" w14:textId="77777777" w:rsidR="007C598F" w:rsidRPr="00E63369" w:rsidRDefault="007C598F"/>
    <w:p w14:paraId="32CF2258" w14:textId="0489A5E7" w:rsidR="007C598F" w:rsidRDefault="007C598F">
      <w:r w:rsidRPr="00E63369">
        <w:tab/>
      </w:r>
      <w:r w:rsidR="00B97A2E" w:rsidRPr="00E63369">
        <w:t>101</w:t>
      </w:r>
      <w:r w:rsidRPr="00E63369">
        <w:t xml:space="preserve"> CMR </w:t>
      </w:r>
      <w:r w:rsidR="00B97A2E" w:rsidRPr="00E63369">
        <w:t>5</w:t>
      </w:r>
      <w:r w:rsidRPr="00E63369">
        <w:t>1</w:t>
      </w:r>
      <w:r w:rsidR="00E0157F">
        <w:t>4</w:t>
      </w:r>
      <w:r w:rsidRPr="00E63369">
        <w:t>.00</w:t>
      </w:r>
      <w:r w:rsidR="007A53A7" w:rsidRPr="00E63369">
        <w:t xml:space="preserve">: </w:t>
      </w:r>
      <w:r w:rsidRPr="00E63369">
        <w:t xml:space="preserve"> M.G.L. c. 118</w:t>
      </w:r>
      <w:r w:rsidR="00B97A2E" w:rsidRPr="00E63369">
        <w:t>E</w:t>
      </w:r>
      <w:r w:rsidRPr="00E63369">
        <w:t>.</w:t>
      </w:r>
    </w:p>
    <w:p w14:paraId="4F654FBA" w14:textId="77777777" w:rsidR="007C598F" w:rsidRDefault="007C598F"/>
    <w:sectPr w:rsidR="007C598F" w:rsidSect="004B1C94">
      <w:headerReference w:type="even" r:id="rId8"/>
      <w:headerReference w:type="default" r:id="rId9"/>
      <w:footerReference w:type="even" r:id="rId10"/>
      <w:footerReference w:type="default" r:id="rId11"/>
      <w:headerReference w:type="first" r:id="rId12"/>
      <w:footerReference w:type="first" r:id="rId13"/>
      <w:pgSz w:w="12240" w:h="15840"/>
      <w:pgMar w:top="432" w:right="1440" w:bottom="144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00E7" w14:textId="77777777" w:rsidR="00700559" w:rsidRDefault="00700559">
      <w:r>
        <w:separator/>
      </w:r>
    </w:p>
  </w:endnote>
  <w:endnote w:type="continuationSeparator" w:id="0">
    <w:p w14:paraId="6915F79B" w14:textId="77777777" w:rsidR="00700559" w:rsidRDefault="00700559">
      <w:r>
        <w:continuationSeparator/>
      </w:r>
    </w:p>
  </w:endnote>
  <w:endnote w:type="continuationNotice" w:id="1">
    <w:p w14:paraId="57719770" w14:textId="77777777" w:rsidR="00700559" w:rsidRDefault="00700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4480" w14:textId="77777777" w:rsidR="00BD27DB" w:rsidRDefault="00BD2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FA39" w14:textId="77777777" w:rsidR="00383362" w:rsidRPr="00E63369" w:rsidRDefault="00383362">
    <w:pPr>
      <w:pStyle w:val="Footer"/>
      <w:framePr w:wrap="auto" w:vAnchor="text" w:hAnchor="margin" w:xAlign="center" w:y="1"/>
      <w:rPr>
        <w:rStyle w:val="PageNumber"/>
        <w:sz w:val="22"/>
      </w:rPr>
    </w:pPr>
    <w:r w:rsidRPr="00E63369">
      <w:rPr>
        <w:rStyle w:val="PageNumber"/>
        <w:sz w:val="22"/>
      </w:rPr>
      <w:fldChar w:fldCharType="begin"/>
    </w:r>
    <w:r w:rsidRPr="00E673F2">
      <w:rPr>
        <w:rStyle w:val="PageNumber"/>
        <w:sz w:val="22"/>
        <w:szCs w:val="22"/>
      </w:rPr>
      <w:instrText xml:space="preserve">PAGE  </w:instrText>
    </w:r>
    <w:r w:rsidRPr="00E63369">
      <w:rPr>
        <w:rStyle w:val="PageNumber"/>
        <w:sz w:val="22"/>
      </w:rPr>
      <w:fldChar w:fldCharType="separate"/>
    </w:r>
    <w:r w:rsidR="00437B31">
      <w:rPr>
        <w:rStyle w:val="PageNumber"/>
        <w:noProof/>
        <w:sz w:val="22"/>
        <w:szCs w:val="22"/>
      </w:rPr>
      <w:t>1</w:t>
    </w:r>
    <w:r w:rsidRPr="00E63369">
      <w:rPr>
        <w:rStyle w:val="PageNumber"/>
        <w:sz w:val="22"/>
      </w:rPr>
      <w:fldChar w:fldCharType="end"/>
    </w:r>
  </w:p>
  <w:p w14:paraId="15F4192D" w14:textId="77777777" w:rsidR="00383362" w:rsidRDefault="00383362">
    <w:pPr>
      <w:pStyle w:val="Footer"/>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042192"/>
      <w:docPartObj>
        <w:docPartGallery w:val="Page Numbers (Bottom of Page)"/>
        <w:docPartUnique/>
      </w:docPartObj>
    </w:sdtPr>
    <w:sdtEndPr>
      <w:rPr>
        <w:noProof/>
      </w:rPr>
    </w:sdtEndPr>
    <w:sdtContent>
      <w:p w14:paraId="4F919788" w14:textId="06B79DE7" w:rsidR="00F862ED" w:rsidRDefault="00F862ED">
        <w:pPr>
          <w:pStyle w:val="Footer"/>
          <w:jc w:val="center"/>
        </w:pPr>
        <w:r w:rsidRPr="00F862ED">
          <w:rPr>
            <w:sz w:val="22"/>
            <w:szCs w:val="22"/>
          </w:rPr>
          <w:fldChar w:fldCharType="begin"/>
        </w:r>
        <w:r w:rsidRPr="00F862ED">
          <w:rPr>
            <w:sz w:val="22"/>
            <w:szCs w:val="22"/>
          </w:rPr>
          <w:instrText xml:space="preserve"> PAGE   \* MERGEFORMAT </w:instrText>
        </w:r>
        <w:r w:rsidRPr="00F862ED">
          <w:rPr>
            <w:sz w:val="22"/>
            <w:szCs w:val="22"/>
          </w:rPr>
          <w:fldChar w:fldCharType="separate"/>
        </w:r>
        <w:r>
          <w:rPr>
            <w:noProof/>
            <w:sz w:val="22"/>
            <w:szCs w:val="22"/>
          </w:rPr>
          <w:t>1</w:t>
        </w:r>
        <w:r w:rsidRPr="00F862ED">
          <w:rPr>
            <w:noProof/>
            <w:sz w:val="22"/>
            <w:szCs w:val="22"/>
          </w:rPr>
          <w:fldChar w:fldCharType="end"/>
        </w:r>
      </w:p>
    </w:sdtContent>
  </w:sdt>
  <w:p w14:paraId="78CC4575" w14:textId="77777777" w:rsidR="00F862ED" w:rsidRDefault="00F8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D119" w14:textId="77777777" w:rsidR="00700559" w:rsidRDefault="00700559">
      <w:r>
        <w:separator/>
      </w:r>
    </w:p>
  </w:footnote>
  <w:footnote w:type="continuationSeparator" w:id="0">
    <w:p w14:paraId="34E0D453" w14:textId="77777777" w:rsidR="00700559" w:rsidRDefault="00700559">
      <w:r>
        <w:continuationSeparator/>
      </w:r>
    </w:p>
  </w:footnote>
  <w:footnote w:type="continuationNotice" w:id="1">
    <w:p w14:paraId="5E90F9FB" w14:textId="77777777" w:rsidR="00700559" w:rsidRDefault="00700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C2C3" w14:textId="77777777" w:rsidR="00BD27DB" w:rsidRDefault="00BD2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CF54" w14:textId="3A132F6B" w:rsidR="00F862ED" w:rsidRDefault="00BD27DB" w:rsidP="004B1C94">
    <w:pPr>
      <w:pStyle w:val="Header"/>
      <w:jc w:val="right"/>
      <w:rPr>
        <w:sz w:val="22"/>
        <w:szCs w:val="22"/>
      </w:rPr>
    </w:pPr>
    <w:r>
      <w:rPr>
        <w:sz w:val="22"/>
        <w:szCs w:val="22"/>
      </w:rPr>
      <w:t>Final</w:t>
    </w:r>
    <w:r w:rsidR="008B7D9F">
      <w:rPr>
        <w:sz w:val="22"/>
        <w:szCs w:val="22"/>
      </w:rPr>
      <w:t xml:space="preserve"> </w:t>
    </w:r>
    <w:r w:rsidR="004B1C94">
      <w:rPr>
        <w:sz w:val="22"/>
        <w:szCs w:val="22"/>
      </w:rPr>
      <w:t>Adoption</w:t>
    </w:r>
  </w:p>
  <w:p w14:paraId="3ECA7493" w14:textId="6AD9D37B" w:rsidR="008B7D9F" w:rsidRDefault="00BD27DB" w:rsidP="004B1C94">
    <w:pPr>
      <w:pStyle w:val="Header"/>
      <w:jc w:val="right"/>
      <w:rPr>
        <w:sz w:val="22"/>
        <w:szCs w:val="22"/>
      </w:rPr>
    </w:pPr>
    <w:r w:rsidRPr="00BD27DB">
      <w:rPr>
        <w:sz w:val="22"/>
        <w:szCs w:val="22"/>
      </w:rPr>
      <w:t>Date Published in Mass. Register</w:t>
    </w:r>
    <w:r w:rsidR="008B7D9F">
      <w:rPr>
        <w:sz w:val="22"/>
        <w:szCs w:val="22"/>
      </w:rPr>
      <w:t xml:space="preserve">: </w:t>
    </w:r>
    <w:r>
      <w:rPr>
        <w:sz w:val="22"/>
        <w:szCs w:val="22"/>
      </w:rPr>
      <w:t>April 25, 2025</w:t>
    </w:r>
    <w:r w:rsidRPr="00BD27DB">
      <w:rPr>
        <w:sz w:val="22"/>
        <w:szCs w:val="22"/>
      </w:rPr>
      <w:t xml:space="preserve"> </w:t>
    </w:r>
    <w:r>
      <w:rPr>
        <w:sz w:val="22"/>
        <w:szCs w:val="22"/>
      </w:rPr>
      <w:t>(</w:t>
    </w:r>
    <w:r w:rsidRPr="00BD27DB">
      <w:rPr>
        <w:sz w:val="22"/>
        <w:szCs w:val="22"/>
      </w:rPr>
      <w:t xml:space="preserve">effective </w:t>
    </w:r>
    <w:r w:rsidR="00335E62">
      <w:rPr>
        <w:sz w:val="22"/>
        <w:szCs w:val="22"/>
      </w:rPr>
      <w:t>February 7, 2025</w:t>
    </w:r>
    <w:r>
      <w:rPr>
        <w:sz w:val="22"/>
        <w:szCs w:val="22"/>
      </w:rPr>
      <w:t>)</w:t>
    </w:r>
  </w:p>
  <w:p w14:paraId="1FE95720" w14:textId="77777777" w:rsidR="008B7D9F" w:rsidRDefault="008B7D9F" w:rsidP="004B1C94">
    <w:pPr>
      <w:pStyle w:val="Header"/>
      <w:jc w:val="right"/>
      <w:rPr>
        <w:sz w:val="22"/>
        <w:szCs w:val="22"/>
      </w:rPr>
    </w:pPr>
  </w:p>
  <w:p w14:paraId="12A2DA5D" w14:textId="51830D2E" w:rsidR="00383362" w:rsidRPr="00E63369" w:rsidRDefault="008E31EA" w:rsidP="00E63369">
    <w:pPr>
      <w:pStyle w:val="Header"/>
      <w:jc w:val="center"/>
      <w:rPr>
        <w:sz w:val="22"/>
      </w:rPr>
    </w:pPr>
    <w:r w:rsidRPr="00B617B8">
      <w:rPr>
        <w:sz w:val="22"/>
        <w:szCs w:val="22"/>
      </w:rPr>
      <w:t>1</w:t>
    </w:r>
    <w:r>
      <w:rPr>
        <w:sz w:val="22"/>
        <w:szCs w:val="22"/>
      </w:rPr>
      <w:t>0</w:t>
    </w:r>
    <w:r w:rsidRPr="00E673F2">
      <w:rPr>
        <w:sz w:val="22"/>
        <w:szCs w:val="22"/>
      </w:rPr>
      <w:t>1 CMR:  EXECUTIVE OFFICE</w:t>
    </w:r>
    <w:r w:rsidRPr="00E63369">
      <w:rPr>
        <w:sz w:val="22"/>
      </w:rPr>
      <w:t xml:space="preserve"> OF HEALTH AND </w:t>
    </w:r>
    <w:r w:rsidRPr="00E673F2">
      <w:rPr>
        <w:sz w:val="22"/>
        <w:szCs w:val="22"/>
      </w:rPr>
      <w:t>HUMAN SERVICES</w:t>
    </w:r>
  </w:p>
  <w:p w14:paraId="0C9FD5DD" w14:textId="77777777" w:rsidR="00383362" w:rsidRPr="00E63369" w:rsidRDefault="00383362" w:rsidP="00E63369">
    <w:pPr>
      <w:pStyle w:val="Header"/>
      <w:jc w:val="center"/>
      <w:rPr>
        <w:sz w:val="22"/>
      </w:rPr>
    </w:pPr>
  </w:p>
  <w:p w14:paraId="6ADC3BFA" w14:textId="5DCBD226" w:rsidR="00383362" w:rsidRDefault="008E31EA" w:rsidP="00E673F2">
    <w:pPr>
      <w:pStyle w:val="Header"/>
      <w:jc w:val="center"/>
      <w:rPr>
        <w:sz w:val="19"/>
      </w:rPr>
    </w:pPr>
    <w:r w:rsidRPr="00E673F2">
      <w:rPr>
        <w:sz w:val="22"/>
        <w:szCs w:val="22"/>
      </w:rPr>
      <w:t>101</w:t>
    </w:r>
    <w:r w:rsidR="00383362" w:rsidRPr="00E63369">
      <w:rPr>
        <w:sz w:val="22"/>
      </w:rPr>
      <w:t xml:space="preserve"> CMR </w:t>
    </w:r>
    <w:r w:rsidRPr="00E673F2">
      <w:rPr>
        <w:sz w:val="22"/>
        <w:szCs w:val="22"/>
      </w:rPr>
      <w:t>5</w:t>
    </w:r>
    <w:r w:rsidR="00383362" w:rsidRPr="00E673F2">
      <w:rPr>
        <w:sz w:val="22"/>
        <w:szCs w:val="22"/>
      </w:rPr>
      <w:t>1</w:t>
    </w:r>
    <w:r w:rsidR="00186892">
      <w:rPr>
        <w:sz w:val="22"/>
        <w:szCs w:val="22"/>
      </w:rPr>
      <w:t>4</w:t>
    </w:r>
    <w:r w:rsidR="00383362" w:rsidRPr="00E63369">
      <w:rPr>
        <w:sz w:val="22"/>
      </w:rPr>
      <w:t xml:space="preserve">.00: </w:t>
    </w:r>
    <w:r w:rsidRPr="00E673F2">
      <w:rPr>
        <w:sz w:val="22"/>
        <w:szCs w:val="22"/>
      </w:rPr>
      <w:t xml:space="preserve"> </w:t>
    </w:r>
    <w:r w:rsidR="00186892">
      <w:rPr>
        <w:sz w:val="22"/>
      </w:rPr>
      <w:t>HOSPITAL ASSESSMENT</w:t>
    </w:r>
  </w:p>
  <w:p w14:paraId="1DF5C49B" w14:textId="77777777" w:rsidR="008E31EA" w:rsidRDefault="008E31EA">
    <w:pPr>
      <w:pStyle w:val="Header"/>
      <w:rPr>
        <w:b/>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97A7" w14:textId="17A3B9C7" w:rsidR="00C13F89" w:rsidRPr="0031362E" w:rsidRDefault="00AF42D8" w:rsidP="00E673F2">
    <w:pPr>
      <w:pStyle w:val="Header"/>
      <w:tabs>
        <w:tab w:val="clear" w:pos="4320"/>
        <w:tab w:val="clear" w:pos="8640"/>
      </w:tabs>
      <w:jc w:val="right"/>
      <w:rPr>
        <w:sz w:val="22"/>
      </w:rPr>
    </w:pPr>
    <w:r>
      <w:rPr>
        <w:sz w:val="22"/>
      </w:rPr>
      <w:t>Final</w:t>
    </w:r>
    <w:r w:rsidRPr="0031362E">
      <w:rPr>
        <w:sz w:val="22"/>
      </w:rPr>
      <w:t xml:space="preserve"> </w:t>
    </w:r>
    <w:r w:rsidR="00C13F89" w:rsidRPr="0031362E">
      <w:rPr>
        <w:sz w:val="22"/>
      </w:rPr>
      <w:t>Adoption</w:t>
    </w:r>
  </w:p>
  <w:p w14:paraId="0718DCDB" w14:textId="6E38AC5C" w:rsidR="00383362" w:rsidRPr="0031362E" w:rsidRDefault="00C13F89" w:rsidP="00E673F2">
    <w:pPr>
      <w:pStyle w:val="Header"/>
      <w:tabs>
        <w:tab w:val="clear" w:pos="4320"/>
        <w:tab w:val="clear" w:pos="8640"/>
      </w:tabs>
      <w:jc w:val="right"/>
      <w:rPr>
        <w:sz w:val="22"/>
      </w:rPr>
    </w:pPr>
    <w:r w:rsidRPr="00E63369">
      <w:rPr>
        <w:sz w:val="22"/>
      </w:rPr>
      <w:t xml:space="preserve">October </w:t>
    </w:r>
    <w:r w:rsidR="0031362E">
      <w:rPr>
        <w:sz w:val="22"/>
      </w:rPr>
      <w:t>6</w:t>
    </w:r>
    <w:r w:rsidRPr="0031362E">
      <w:rPr>
        <w:sz w:val="22"/>
      </w:rPr>
      <w:t>, 2016</w:t>
    </w:r>
  </w:p>
  <w:p w14:paraId="5FDD6259" w14:textId="77777777" w:rsidR="00C13F89" w:rsidRPr="00E63369" w:rsidRDefault="00C13F89">
    <w:pPr>
      <w:pStyle w:val="Header"/>
      <w:tabs>
        <w:tab w:val="clear" w:pos="4320"/>
        <w:tab w:val="clear" w:pos="8640"/>
      </w:tabs>
      <w:jc w:val="center"/>
      <w:rPr>
        <w:sz w:val="22"/>
      </w:rPr>
    </w:pPr>
  </w:p>
  <w:p w14:paraId="4B12D14A" w14:textId="5897E28E" w:rsidR="00383362" w:rsidRPr="00E63369" w:rsidRDefault="00B97A2E">
    <w:pPr>
      <w:pStyle w:val="Header"/>
      <w:tabs>
        <w:tab w:val="clear" w:pos="4320"/>
        <w:tab w:val="clear" w:pos="8640"/>
      </w:tabs>
      <w:jc w:val="center"/>
      <w:rPr>
        <w:b/>
        <w:sz w:val="22"/>
      </w:rPr>
    </w:pPr>
    <w:r w:rsidRPr="00E63369">
      <w:rPr>
        <w:sz w:val="22"/>
        <w:szCs w:val="22"/>
      </w:rPr>
      <w:t>101</w:t>
    </w:r>
    <w:r w:rsidR="00383362" w:rsidRPr="00E63369">
      <w:rPr>
        <w:sz w:val="22"/>
      </w:rPr>
      <w:t xml:space="preserve"> CMR:  </w:t>
    </w:r>
    <w:r w:rsidRPr="0031362E">
      <w:rPr>
        <w:sz w:val="22"/>
        <w:szCs w:val="22"/>
      </w:rPr>
      <w:t>EXECUTIVE OFFICE</w:t>
    </w:r>
    <w:r w:rsidRPr="00E63369">
      <w:rPr>
        <w:sz w:val="22"/>
      </w:rPr>
      <w:t xml:space="preserve"> OF HEALTH AND </w:t>
    </w:r>
    <w:r w:rsidRPr="0031362E">
      <w:rPr>
        <w:sz w:val="22"/>
        <w:szCs w:val="22"/>
      </w:rPr>
      <w:t>HUMAN SERVICES</w:t>
    </w:r>
  </w:p>
  <w:p w14:paraId="2BF3DF5F" w14:textId="77777777" w:rsidR="00383362" w:rsidRPr="0031362E" w:rsidRDefault="00383362">
    <w:pPr>
      <w:pStyle w:val="Header"/>
    </w:pPr>
  </w:p>
  <w:p w14:paraId="45CD1109" w14:textId="61EED288" w:rsidR="00383362" w:rsidRPr="00AF747B" w:rsidRDefault="00B577C9">
    <w:pPr>
      <w:pStyle w:val="Header"/>
      <w:tabs>
        <w:tab w:val="clear" w:pos="4320"/>
        <w:tab w:val="clear" w:pos="8640"/>
      </w:tabs>
      <w:jc w:val="center"/>
      <w:rPr>
        <w:sz w:val="22"/>
        <w:szCs w:val="22"/>
      </w:rPr>
    </w:pPr>
    <w:r w:rsidRPr="00E63369">
      <w:rPr>
        <w:sz w:val="22"/>
        <w:szCs w:val="22"/>
      </w:rPr>
      <w:t xml:space="preserve">101 </w:t>
    </w:r>
    <w:r w:rsidR="00383362" w:rsidRPr="00E63369">
      <w:rPr>
        <w:sz w:val="22"/>
        <w:szCs w:val="22"/>
      </w:rPr>
      <w:t xml:space="preserve">CMR </w:t>
    </w:r>
    <w:r w:rsidR="00B97A2E" w:rsidRPr="00E63369">
      <w:rPr>
        <w:sz w:val="22"/>
        <w:szCs w:val="22"/>
      </w:rPr>
      <w:t>5</w:t>
    </w:r>
    <w:r w:rsidR="00383362" w:rsidRPr="00E63369">
      <w:rPr>
        <w:sz w:val="22"/>
        <w:szCs w:val="22"/>
      </w:rPr>
      <w:t>12.00</w:t>
    </w:r>
    <w:r w:rsidR="007F6737" w:rsidRPr="00E63369">
      <w:rPr>
        <w:sz w:val="22"/>
        <w:szCs w:val="22"/>
      </w:rPr>
      <w:t xml:space="preserve">:  </w:t>
    </w:r>
    <w:r w:rsidR="00383362" w:rsidRPr="00E63369">
      <w:rPr>
        <w:sz w:val="22"/>
        <w:szCs w:val="22"/>
      </w:rPr>
      <w:t>NURSING FACILITY USER FEES</w:t>
    </w:r>
  </w:p>
  <w:p w14:paraId="671351B8" w14:textId="77777777" w:rsidR="00383362" w:rsidRDefault="00383362">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E7E"/>
    <w:multiLevelType w:val="hybridMultilevel"/>
    <w:tmpl w:val="3024232C"/>
    <w:lvl w:ilvl="0" w:tplc="78E0C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220B7A"/>
    <w:multiLevelType w:val="hybridMultilevel"/>
    <w:tmpl w:val="0E28908A"/>
    <w:lvl w:ilvl="0" w:tplc="FBCC50C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D452B"/>
    <w:multiLevelType w:val="hybridMultilevel"/>
    <w:tmpl w:val="5060CBEC"/>
    <w:lvl w:ilvl="0" w:tplc="77B2496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9651C"/>
    <w:multiLevelType w:val="hybridMultilevel"/>
    <w:tmpl w:val="BB08C1F6"/>
    <w:lvl w:ilvl="0" w:tplc="7FDEC7A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34512"/>
    <w:multiLevelType w:val="hybridMultilevel"/>
    <w:tmpl w:val="E830F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DB1A07"/>
    <w:multiLevelType w:val="hybridMultilevel"/>
    <w:tmpl w:val="E1B43050"/>
    <w:lvl w:ilvl="0" w:tplc="9D7E72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B2714"/>
    <w:multiLevelType w:val="hybridMultilevel"/>
    <w:tmpl w:val="88547E38"/>
    <w:lvl w:ilvl="0" w:tplc="FFFFFFFF">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B806CA8"/>
    <w:multiLevelType w:val="hybridMultilevel"/>
    <w:tmpl w:val="7A5EC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876563"/>
    <w:multiLevelType w:val="hybridMultilevel"/>
    <w:tmpl w:val="A510FEB8"/>
    <w:lvl w:ilvl="0" w:tplc="6C268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D54F7"/>
    <w:multiLevelType w:val="hybridMultilevel"/>
    <w:tmpl w:val="05083EEE"/>
    <w:lvl w:ilvl="0" w:tplc="BFC2303C">
      <w:start w:val="1"/>
      <w:numFmt w:val="upp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ED6AFC"/>
    <w:multiLevelType w:val="singleLevel"/>
    <w:tmpl w:val="07C452E8"/>
    <w:lvl w:ilvl="0">
      <w:start w:val="3"/>
      <w:numFmt w:val="decimal"/>
      <w:lvlText w:val="(%1)"/>
      <w:lvlJc w:val="left"/>
      <w:pPr>
        <w:tabs>
          <w:tab w:val="num" w:pos="1095"/>
        </w:tabs>
        <w:ind w:left="1095" w:hanging="375"/>
      </w:pPr>
      <w:rPr>
        <w:rFonts w:hint="default"/>
      </w:rPr>
    </w:lvl>
  </w:abstractNum>
  <w:abstractNum w:abstractNumId="11" w15:restartNumberingAfterBreak="0">
    <w:nsid w:val="6E370EDD"/>
    <w:multiLevelType w:val="hybridMultilevel"/>
    <w:tmpl w:val="086669DE"/>
    <w:lvl w:ilvl="0" w:tplc="05C8235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C4118"/>
    <w:multiLevelType w:val="multilevel"/>
    <w:tmpl w:val="88547E38"/>
    <w:styleLink w:val="CurrentList1"/>
    <w:lvl w:ilvl="0">
      <w:start w:val="1"/>
      <w:numFmt w:val="lowerLetter"/>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C615AC9"/>
    <w:multiLevelType w:val="hybridMultilevel"/>
    <w:tmpl w:val="A4E4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25855">
    <w:abstractNumId w:val="10"/>
  </w:num>
  <w:num w:numId="2" w16cid:durableId="947469767">
    <w:abstractNumId w:val="8"/>
  </w:num>
  <w:num w:numId="3" w16cid:durableId="1483892032">
    <w:abstractNumId w:val="2"/>
  </w:num>
  <w:num w:numId="4" w16cid:durableId="42753625">
    <w:abstractNumId w:val="13"/>
  </w:num>
  <w:num w:numId="5" w16cid:durableId="1651203496">
    <w:abstractNumId w:val="9"/>
  </w:num>
  <w:num w:numId="6" w16cid:durableId="313292541">
    <w:abstractNumId w:val="4"/>
  </w:num>
  <w:num w:numId="7" w16cid:durableId="500776058">
    <w:abstractNumId w:val="7"/>
  </w:num>
  <w:num w:numId="8" w16cid:durableId="1068773543">
    <w:abstractNumId w:val="6"/>
  </w:num>
  <w:num w:numId="9" w16cid:durableId="183978207">
    <w:abstractNumId w:val="12"/>
  </w:num>
  <w:num w:numId="10" w16cid:durableId="1940402809">
    <w:abstractNumId w:val="1"/>
  </w:num>
  <w:num w:numId="11" w16cid:durableId="2009286295">
    <w:abstractNumId w:val="5"/>
  </w:num>
  <w:num w:numId="12" w16cid:durableId="1605381736">
    <w:abstractNumId w:val="11"/>
  </w:num>
  <w:num w:numId="13" w16cid:durableId="1671831579">
    <w:abstractNumId w:val="3"/>
  </w:num>
  <w:num w:numId="14" w16cid:durableId="191353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9E"/>
    <w:rsid w:val="00001065"/>
    <w:rsid w:val="00001FAA"/>
    <w:rsid w:val="000114B2"/>
    <w:rsid w:val="00011E3A"/>
    <w:rsid w:val="00015206"/>
    <w:rsid w:val="0002251B"/>
    <w:rsid w:val="00022652"/>
    <w:rsid w:val="00032F27"/>
    <w:rsid w:val="000449C0"/>
    <w:rsid w:val="000457D3"/>
    <w:rsid w:val="000462BF"/>
    <w:rsid w:val="00047310"/>
    <w:rsid w:val="00062756"/>
    <w:rsid w:val="00066D67"/>
    <w:rsid w:val="000733FC"/>
    <w:rsid w:val="00093D82"/>
    <w:rsid w:val="0009718A"/>
    <w:rsid w:val="000B5678"/>
    <w:rsid w:val="000B598D"/>
    <w:rsid w:val="000C06E9"/>
    <w:rsid w:val="000C7AC6"/>
    <w:rsid w:val="000D04DE"/>
    <w:rsid w:val="000D1EC9"/>
    <w:rsid w:val="000E48D5"/>
    <w:rsid w:val="000E67C5"/>
    <w:rsid w:val="00104BA8"/>
    <w:rsid w:val="00110373"/>
    <w:rsid w:val="0012201C"/>
    <w:rsid w:val="00126887"/>
    <w:rsid w:val="0013299C"/>
    <w:rsid w:val="001364FB"/>
    <w:rsid w:val="00146DB1"/>
    <w:rsid w:val="00150E0E"/>
    <w:rsid w:val="00155086"/>
    <w:rsid w:val="00157801"/>
    <w:rsid w:val="00157AF9"/>
    <w:rsid w:val="001611CF"/>
    <w:rsid w:val="001670B8"/>
    <w:rsid w:val="00170232"/>
    <w:rsid w:val="00173C8A"/>
    <w:rsid w:val="00177100"/>
    <w:rsid w:val="00177554"/>
    <w:rsid w:val="00177579"/>
    <w:rsid w:val="001819F0"/>
    <w:rsid w:val="00184CC9"/>
    <w:rsid w:val="00185D5B"/>
    <w:rsid w:val="00186892"/>
    <w:rsid w:val="001876EF"/>
    <w:rsid w:val="00193D9B"/>
    <w:rsid w:val="00197A4B"/>
    <w:rsid w:val="001A17E2"/>
    <w:rsid w:val="001A66B9"/>
    <w:rsid w:val="001B3963"/>
    <w:rsid w:val="001B6012"/>
    <w:rsid w:val="001C039E"/>
    <w:rsid w:val="001C392F"/>
    <w:rsid w:val="001D0DAB"/>
    <w:rsid w:val="001E11C5"/>
    <w:rsid w:val="001E6819"/>
    <w:rsid w:val="001E6BF6"/>
    <w:rsid w:val="001F0B9D"/>
    <w:rsid w:val="001F6F0B"/>
    <w:rsid w:val="00200F8A"/>
    <w:rsid w:val="00200F9A"/>
    <w:rsid w:val="00207438"/>
    <w:rsid w:val="00211077"/>
    <w:rsid w:val="00216FC3"/>
    <w:rsid w:val="002246E2"/>
    <w:rsid w:val="002247EE"/>
    <w:rsid w:val="00227430"/>
    <w:rsid w:val="00230C1E"/>
    <w:rsid w:val="00232EC2"/>
    <w:rsid w:val="0024175B"/>
    <w:rsid w:val="00260093"/>
    <w:rsid w:val="00260189"/>
    <w:rsid w:val="0026438C"/>
    <w:rsid w:val="0026534F"/>
    <w:rsid w:val="002672B6"/>
    <w:rsid w:val="00273C34"/>
    <w:rsid w:val="00276F4E"/>
    <w:rsid w:val="00282109"/>
    <w:rsid w:val="00282669"/>
    <w:rsid w:val="00293AC6"/>
    <w:rsid w:val="002B2420"/>
    <w:rsid w:val="002B303C"/>
    <w:rsid w:val="002B3CC7"/>
    <w:rsid w:val="002C0A4D"/>
    <w:rsid w:val="002C48CB"/>
    <w:rsid w:val="002D1848"/>
    <w:rsid w:val="002D35A7"/>
    <w:rsid w:val="002D7438"/>
    <w:rsid w:val="002E53A8"/>
    <w:rsid w:val="002E7A2D"/>
    <w:rsid w:val="00300476"/>
    <w:rsid w:val="00300DC6"/>
    <w:rsid w:val="00305661"/>
    <w:rsid w:val="0031037F"/>
    <w:rsid w:val="0031289D"/>
    <w:rsid w:val="0031362E"/>
    <w:rsid w:val="00315119"/>
    <w:rsid w:val="0031533C"/>
    <w:rsid w:val="00315B67"/>
    <w:rsid w:val="00324B0E"/>
    <w:rsid w:val="0033016A"/>
    <w:rsid w:val="00332A59"/>
    <w:rsid w:val="00332FF0"/>
    <w:rsid w:val="00335E62"/>
    <w:rsid w:val="003360E7"/>
    <w:rsid w:val="003365DF"/>
    <w:rsid w:val="0034222B"/>
    <w:rsid w:val="0034267C"/>
    <w:rsid w:val="003541BA"/>
    <w:rsid w:val="00370CC2"/>
    <w:rsid w:val="003711D9"/>
    <w:rsid w:val="00374386"/>
    <w:rsid w:val="00383362"/>
    <w:rsid w:val="00390DD4"/>
    <w:rsid w:val="0039416C"/>
    <w:rsid w:val="00397E76"/>
    <w:rsid w:val="003A2F5A"/>
    <w:rsid w:val="003A7C51"/>
    <w:rsid w:val="003B295D"/>
    <w:rsid w:val="003C099E"/>
    <w:rsid w:val="003C0B91"/>
    <w:rsid w:val="003C3175"/>
    <w:rsid w:val="003C319E"/>
    <w:rsid w:val="003C7FA3"/>
    <w:rsid w:val="003D62E6"/>
    <w:rsid w:val="003E393D"/>
    <w:rsid w:val="003E6384"/>
    <w:rsid w:val="003E6793"/>
    <w:rsid w:val="00406854"/>
    <w:rsid w:val="00407B01"/>
    <w:rsid w:val="004148CF"/>
    <w:rsid w:val="00422EEE"/>
    <w:rsid w:val="0042437A"/>
    <w:rsid w:val="00434914"/>
    <w:rsid w:val="00437B31"/>
    <w:rsid w:val="00443ED1"/>
    <w:rsid w:val="00443F3D"/>
    <w:rsid w:val="00445BFE"/>
    <w:rsid w:val="004515F4"/>
    <w:rsid w:val="00452D71"/>
    <w:rsid w:val="004653DD"/>
    <w:rsid w:val="00466FC1"/>
    <w:rsid w:val="00470384"/>
    <w:rsid w:val="0047272A"/>
    <w:rsid w:val="00472BE8"/>
    <w:rsid w:val="00484D55"/>
    <w:rsid w:val="00487BC5"/>
    <w:rsid w:val="004928A7"/>
    <w:rsid w:val="00493231"/>
    <w:rsid w:val="004A3D4F"/>
    <w:rsid w:val="004A58FD"/>
    <w:rsid w:val="004A6B90"/>
    <w:rsid w:val="004B1C94"/>
    <w:rsid w:val="004B4BFB"/>
    <w:rsid w:val="004B7567"/>
    <w:rsid w:val="004C1C40"/>
    <w:rsid w:val="004C25A9"/>
    <w:rsid w:val="004C4224"/>
    <w:rsid w:val="004C6EE3"/>
    <w:rsid w:val="004D00D5"/>
    <w:rsid w:val="004D5552"/>
    <w:rsid w:val="004D56A9"/>
    <w:rsid w:val="004E07BA"/>
    <w:rsid w:val="004E6C3C"/>
    <w:rsid w:val="004E78EE"/>
    <w:rsid w:val="004F7339"/>
    <w:rsid w:val="00501977"/>
    <w:rsid w:val="00502EFB"/>
    <w:rsid w:val="00505AD2"/>
    <w:rsid w:val="00507543"/>
    <w:rsid w:val="00507DA7"/>
    <w:rsid w:val="00513922"/>
    <w:rsid w:val="00515611"/>
    <w:rsid w:val="005232D0"/>
    <w:rsid w:val="0052465A"/>
    <w:rsid w:val="00525BC7"/>
    <w:rsid w:val="00526762"/>
    <w:rsid w:val="005269B8"/>
    <w:rsid w:val="00544F8F"/>
    <w:rsid w:val="005634F9"/>
    <w:rsid w:val="0056397A"/>
    <w:rsid w:val="00571C62"/>
    <w:rsid w:val="00573270"/>
    <w:rsid w:val="005748EF"/>
    <w:rsid w:val="00582684"/>
    <w:rsid w:val="00582F4C"/>
    <w:rsid w:val="005A2EE3"/>
    <w:rsid w:val="005B0E2C"/>
    <w:rsid w:val="005B3667"/>
    <w:rsid w:val="005C05CD"/>
    <w:rsid w:val="005C0CA1"/>
    <w:rsid w:val="005C1185"/>
    <w:rsid w:val="005C3C45"/>
    <w:rsid w:val="005C6347"/>
    <w:rsid w:val="005D1E5E"/>
    <w:rsid w:val="005E025A"/>
    <w:rsid w:val="005E0DA6"/>
    <w:rsid w:val="005F3D1D"/>
    <w:rsid w:val="00607710"/>
    <w:rsid w:val="00614FF7"/>
    <w:rsid w:val="0061609A"/>
    <w:rsid w:val="006161E8"/>
    <w:rsid w:val="00616F2D"/>
    <w:rsid w:val="006176D6"/>
    <w:rsid w:val="00617A1B"/>
    <w:rsid w:val="00625166"/>
    <w:rsid w:val="0062698C"/>
    <w:rsid w:val="006345DC"/>
    <w:rsid w:val="00637337"/>
    <w:rsid w:val="00637614"/>
    <w:rsid w:val="00652DF3"/>
    <w:rsid w:val="006532B8"/>
    <w:rsid w:val="006566F4"/>
    <w:rsid w:val="006570B3"/>
    <w:rsid w:val="00662EEB"/>
    <w:rsid w:val="00662F29"/>
    <w:rsid w:val="00663024"/>
    <w:rsid w:val="00676B51"/>
    <w:rsid w:val="00681E86"/>
    <w:rsid w:val="0068369F"/>
    <w:rsid w:val="00685D9B"/>
    <w:rsid w:val="00695059"/>
    <w:rsid w:val="00697FF0"/>
    <w:rsid w:val="006A0E10"/>
    <w:rsid w:val="006A0E1C"/>
    <w:rsid w:val="006A7009"/>
    <w:rsid w:val="006A70B1"/>
    <w:rsid w:val="006B0FE1"/>
    <w:rsid w:val="006C309D"/>
    <w:rsid w:val="006C6918"/>
    <w:rsid w:val="006D07B9"/>
    <w:rsid w:val="006E2152"/>
    <w:rsid w:val="006E74C6"/>
    <w:rsid w:val="006E75FC"/>
    <w:rsid w:val="006F173C"/>
    <w:rsid w:val="006F3091"/>
    <w:rsid w:val="006F4F3C"/>
    <w:rsid w:val="006F6370"/>
    <w:rsid w:val="006F6749"/>
    <w:rsid w:val="00700559"/>
    <w:rsid w:val="007055A9"/>
    <w:rsid w:val="00705CCC"/>
    <w:rsid w:val="00707456"/>
    <w:rsid w:val="00714097"/>
    <w:rsid w:val="00714A42"/>
    <w:rsid w:val="007152F6"/>
    <w:rsid w:val="0071653A"/>
    <w:rsid w:val="00722BAD"/>
    <w:rsid w:val="0073073C"/>
    <w:rsid w:val="00731FF6"/>
    <w:rsid w:val="007372D3"/>
    <w:rsid w:val="0074284D"/>
    <w:rsid w:val="00742DD4"/>
    <w:rsid w:val="00743C27"/>
    <w:rsid w:val="0074479A"/>
    <w:rsid w:val="007467A8"/>
    <w:rsid w:val="0075436A"/>
    <w:rsid w:val="0075540E"/>
    <w:rsid w:val="00760333"/>
    <w:rsid w:val="0076116B"/>
    <w:rsid w:val="00764772"/>
    <w:rsid w:val="00765C62"/>
    <w:rsid w:val="00774872"/>
    <w:rsid w:val="007808E7"/>
    <w:rsid w:val="00786182"/>
    <w:rsid w:val="00786597"/>
    <w:rsid w:val="00792F35"/>
    <w:rsid w:val="00793345"/>
    <w:rsid w:val="00796589"/>
    <w:rsid w:val="007A2B88"/>
    <w:rsid w:val="007A53A7"/>
    <w:rsid w:val="007B3B46"/>
    <w:rsid w:val="007B7E2F"/>
    <w:rsid w:val="007C3B80"/>
    <w:rsid w:val="007C598F"/>
    <w:rsid w:val="007D6445"/>
    <w:rsid w:val="007F14E0"/>
    <w:rsid w:val="007F6737"/>
    <w:rsid w:val="007F79CE"/>
    <w:rsid w:val="00800F3A"/>
    <w:rsid w:val="00811D7F"/>
    <w:rsid w:val="00816E02"/>
    <w:rsid w:val="00826E04"/>
    <w:rsid w:val="00827929"/>
    <w:rsid w:val="0083290C"/>
    <w:rsid w:val="00843611"/>
    <w:rsid w:val="0085024E"/>
    <w:rsid w:val="0087630B"/>
    <w:rsid w:val="008832C6"/>
    <w:rsid w:val="00890184"/>
    <w:rsid w:val="00892918"/>
    <w:rsid w:val="008A50B1"/>
    <w:rsid w:val="008A5F14"/>
    <w:rsid w:val="008A72E7"/>
    <w:rsid w:val="008B45B5"/>
    <w:rsid w:val="008B7D9F"/>
    <w:rsid w:val="008C0963"/>
    <w:rsid w:val="008C2E1F"/>
    <w:rsid w:val="008C7A2A"/>
    <w:rsid w:val="008D0896"/>
    <w:rsid w:val="008D67C3"/>
    <w:rsid w:val="008D7789"/>
    <w:rsid w:val="008E1B0E"/>
    <w:rsid w:val="008E31EA"/>
    <w:rsid w:val="008F2AF8"/>
    <w:rsid w:val="008F5BD3"/>
    <w:rsid w:val="008F6B42"/>
    <w:rsid w:val="008F75BA"/>
    <w:rsid w:val="008F761D"/>
    <w:rsid w:val="008F7CB6"/>
    <w:rsid w:val="00905225"/>
    <w:rsid w:val="009153CD"/>
    <w:rsid w:val="009214A5"/>
    <w:rsid w:val="00922762"/>
    <w:rsid w:val="00931FB0"/>
    <w:rsid w:val="0093669E"/>
    <w:rsid w:val="009407AE"/>
    <w:rsid w:val="00940F53"/>
    <w:rsid w:val="009430B7"/>
    <w:rsid w:val="00943A0B"/>
    <w:rsid w:val="009440CA"/>
    <w:rsid w:val="00945018"/>
    <w:rsid w:val="00947FF0"/>
    <w:rsid w:val="00950EF6"/>
    <w:rsid w:val="00955F1C"/>
    <w:rsid w:val="00960351"/>
    <w:rsid w:val="00970BDF"/>
    <w:rsid w:val="009754CB"/>
    <w:rsid w:val="00975EF6"/>
    <w:rsid w:val="009801DA"/>
    <w:rsid w:val="009823DA"/>
    <w:rsid w:val="009909C9"/>
    <w:rsid w:val="009A04F2"/>
    <w:rsid w:val="009A13E3"/>
    <w:rsid w:val="009A345E"/>
    <w:rsid w:val="009C0AB7"/>
    <w:rsid w:val="009C1D09"/>
    <w:rsid w:val="009C5DCD"/>
    <w:rsid w:val="009D0978"/>
    <w:rsid w:val="009D2A4B"/>
    <w:rsid w:val="009D499C"/>
    <w:rsid w:val="009D59B5"/>
    <w:rsid w:val="009E755C"/>
    <w:rsid w:val="009F551D"/>
    <w:rsid w:val="009F6E0C"/>
    <w:rsid w:val="00A13068"/>
    <w:rsid w:val="00A2759A"/>
    <w:rsid w:val="00A30AD7"/>
    <w:rsid w:val="00A31ABB"/>
    <w:rsid w:val="00A427E0"/>
    <w:rsid w:val="00A81E49"/>
    <w:rsid w:val="00A86713"/>
    <w:rsid w:val="00A952D8"/>
    <w:rsid w:val="00AA0525"/>
    <w:rsid w:val="00AA4FDF"/>
    <w:rsid w:val="00AB2C26"/>
    <w:rsid w:val="00AB3340"/>
    <w:rsid w:val="00AB73A5"/>
    <w:rsid w:val="00AC1BE4"/>
    <w:rsid w:val="00AC2866"/>
    <w:rsid w:val="00AC380D"/>
    <w:rsid w:val="00AD2B3B"/>
    <w:rsid w:val="00AE2259"/>
    <w:rsid w:val="00AE3BCC"/>
    <w:rsid w:val="00AE40AD"/>
    <w:rsid w:val="00AF42D8"/>
    <w:rsid w:val="00AF747B"/>
    <w:rsid w:val="00B03FB2"/>
    <w:rsid w:val="00B048CB"/>
    <w:rsid w:val="00B0631C"/>
    <w:rsid w:val="00B07DA2"/>
    <w:rsid w:val="00B11BC4"/>
    <w:rsid w:val="00B1291F"/>
    <w:rsid w:val="00B134B8"/>
    <w:rsid w:val="00B161EB"/>
    <w:rsid w:val="00B16497"/>
    <w:rsid w:val="00B176F4"/>
    <w:rsid w:val="00B211D0"/>
    <w:rsid w:val="00B249C2"/>
    <w:rsid w:val="00B25893"/>
    <w:rsid w:val="00B3088A"/>
    <w:rsid w:val="00B316CE"/>
    <w:rsid w:val="00B35064"/>
    <w:rsid w:val="00B451EE"/>
    <w:rsid w:val="00B46E0B"/>
    <w:rsid w:val="00B52057"/>
    <w:rsid w:val="00B53C78"/>
    <w:rsid w:val="00B577C9"/>
    <w:rsid w:val="00B617B8"/>
    <w:rsid w:val="00B644AE"/>
    <w:rsid w:val="00B6542E"/>
    <w:rsid w:val="00B752DB"/>
    <w:rsid w:val="00B813CA"/>
    <w:rsid w:val="00B86367"/>
    <w:rsid w:val="00B90910"/>
    <w:rsid w:val="00B91725"/>
    <w:rsid w:val="00B91CD0"/>
    <w:rsid w:val="00B92C55"/>
    <w:rsid w:val="00B9628D"/>
    <w:rsid w:val="00B96943"/>
    <w:rsid w:val="00B97A2E"/>
    <w:rsid w:val="00BA3334"/>
    <w:rsid w:val="00BA6394"/>
    <w:rsid w:val="00BB2E8C"/>
    <w:rsid w:val="00BB7681"/>
    <w:rsid w:val="00BB7D71"/>
    <w:rsid w:val="00BC4A80"/>
    <w:rsid w:val="00BC66A8"/>
    <w:rsid w:val="00BD02EE"/>
    <w:rsid w:val="00BD2219"/>
    <w:rsid w:val="00BD27DB"/>
    <w:rsid w:val="00BD36AF"/>
    <w:rsid w:val="00BE1F99"/>
    <w:rsid w:val="00BE2DC6"/>
    <w:rsid w:val="00BE5E2B"/>
    <w:rsid w:val="00C0145B"/>
    <w:rsid w:val="00C06045"/>
    <w:rsid w:val="00C13947"/>
    <w:rsid w:val="00C13F89"/>
    <w:rsid w:val="00C144A6"/>
    <w:rsid w:val="00C42CD4"/>
    <w:rsid w:val="00C43C7F"/>
    <w:rsid w:val="00C449A5"/>
    <w:rsid w:val="00C477E5"/>
    <w:rsid w:val="00C50CA3"/>
    <w:rsid w:val="00C623E8"/>
    <w:rsid w:val="00C6247A"/>
    <w:rsid w:val="00C65A15"/>
    <w:rsid w:val="00C70E19"/>
    <w:rsid w:val="00C77588"/>
    <w:rsid w:val="00C8327C"/>
    <w:rsid w:val="00C86CD8"/>
    <w:rsid w:val="00C877D8"/>
    <w:rsid w:val="00C95249"/>
    <w:rsid w:val="00C95447"/>
    <w:rsid w:val="00C97491"/>
    <w:rsid w:val="00CA5847"/>
    <w:rsid w:val="00CA684F"/>
    <w:rsid w:val="00CA79C5"/>
    <w:rsid w:val="00CB0739"/>
    <w:rsid w:val="00CB0889"/>
    <w:rsid w:val="00CB1C85"/>
    <w:rsid w:val="00CB1D9D"/>
    <w:rsid w:val="00CC151E"/>
    <w:rsid w:val="00CC41FF"/>
    <w:rsid w:val="00CD0531"/>
    <w:rsid w:val="00CD446F"/>
    <w:rsid w:val="00CD5413"/>
    <w:rsid w:val="00CD6370"/>
    <w:rsid w:val="00CE75D9"/>
    <w:rsid w:val="00CF335E"/>
    <w:rsid w:val="00CF4409"/>
    <w:rsid w:val="00D06E24"/>
    <w:rsid w:val="00D1560B"/>
    <w:rsid w:val="00D16D0D"/>
    <w:rsid w:val="00D238E7"/>
    <w:rsid w:val="00D24243"/>
    <w:rsid w:val="00D31D08"/>
    <w:rsid w:val="00D329A9"/>
    <w:rsid w:val="00D35CC8"/>
    <w:rsid w:val="00D453CE"/>
    <w:rsid w:val="00D5610D"/>
    <w:rsid w:val="00D644BC"/>
    <w:rsid w:val="00D7235E"/>
    <w:rsid w:val="00D72ABC"/>
    <w:rsid w:val="00D826BE"/>
    <w:rsid w:val="00D96518"/>
    <w:rsid w:val="00D978A2"/>
    <w:rsid w:val="00DB3585"/>
    <w:rsid w:val="00DC1B7A"/>
    <w:rsid w:val="00DC7E11"/>
    <w:rsid w:val="00DD25B2"/>
    <w:rsid w:val="00DD4245"/>
    <w:rsid w:val="00DE1C27"/>
    <w:rsid w:val="00DE3B69"/>
    <w:rsid w:val="00DF4F97"/>
    <w:rsid w:val="00DF6D07"/>
    <w:rsid w:val="00E0157F"/>
    <w:rsid w:val="00E069A5"/>
    <w:rsid w:val="00E127AF"/>
    <w:rsid w:val="00E31254"/>
    <w:rsid w:val="00E317FE"/>
    <w:rsid w:val="00E3261D"/>
    <w:rsid w:val="00E33EDF"/>
    <w:rsid w:val="00E36EE2"/>
    <w:rsid w:val="00E37A7D"/>
    <w:rsid w:val="00E4688B"/>
    <w:rsid w:val="00E54BC9"/>
    <w:rsid w:val="00E61AA4"/>
    <w:rsid w:val="00E63369"/>
    <w:rsid w:val="00E65687"/>
    <w:rsid w:val="00E673F2"/>
    <w:rsid w:val="00E720E2"/>
    <w:rsid w:val="00E77009"/>
    <w:rsid w:val="00E77ABE"/>
    <w:rsid w:val="00E804E8"/>
    <w:rsid w:val="00E90D6E"/>
    <w:rsid w:val="00EA0B11"/>
    <w:rsid w:val="00EA5E1B"/>
    <w:rsid w:val="00EA6EA6"/>
    <w:rsid w:val="00EC03B1"/>
    <w:rsid w:val="00EC3F7C"/>
    <w:rsid w:val="00EC44ED"/>
    <w:rsid w:val="00ED3116"/>
    <w:rsid w:val="00ED60DA"/>
    <w:rsid w:val="00EF0DEC"/>
    <w:rsid w:val="00F04086"/>
    <w:rsid w:val="00F05BEA"/>
    <w:rsid w:val="00F105C2"/>
    <w:rsid w:val="00F10DF7"/>
    <w:rsid w:val="00F253DA"/>
    <w:rsid w:val="00F32B89"/>
    <w:rsid w:val="00F47752"/>
    <w:rsid w:val="00F50038"/>
    <w:rsid w:val="00F534D4"/>
    <w:rsid w:val="00F60460"/>
    <w:rsid w:val="00F62FB2"/>
    <w:rsid w:val="00F63224"/>
    <w:rsid w:val="00F70384"/>
    <w:rsid w:val="00F83D8B"/>
    <w:rsid w:val="00F83FF5"/>
    <w:rsid w:val="00F862ED"/>
    <w:rsid w:val="00F95356"/>
    <w:rsid w:val="00FB0C95"/>
    <w:rsid w:val="00FB2C89"/>
    <w:rsid w:val="00FB37BC"/>
    <w:rsid w:val="00FB5484"/>
    <w:rsid w:val="00FC1D96"/>
    <w:rsid w:val="00FC7992"/>
    <w:rsid w:val="00FD1B75"/>
    <w:rsid w:val="00FD1E0D"/>
    <w:rsid w:val="00FE00A2"/>
    <w:rsid w:val="00FE36F0"/>
    <w:rsid w:val="00FF1446"/>
    <w:rsid w:val="00FF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804A"/>
  <w15:docId w15:val="{8BCC3F22-AD1F-4BAF-80B5-3E91246C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rPr>
  </w:style>
  <w:style w:type="paragraph" w:styleId="BalloonText">
    <w:name w:val="Balloon Text"/>
    <w:basedOn w:val="Normal"/>
    <w:semiHidden/>
    <w:rsid w:val="003C099E"/>
    <w:rPr>
      <w:rFonts w:ascii="Tahoma" w:hAnsi="Tahoma" w:cs="Tahoma"/>
      <w:sz w:val="16"/>
      <w:szCs w:val="16"/>
    </w:rPr>
  </w:style>
  <w:style w:type="table" w:styleId="TableGrid">
    <w:name w:val="Table Grid"/>
    <w:basedOn w:val="TableNormal"/>
    <w:rsid w:val="00E7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365DF"/>
    <w:rPr>
      <w:sz w:val="16"/>
      <w:szCs w:val="16"/>
    </w:rPr>
  </w:style>
  <w:style w:type="paragraph" w:styleId="CommentText">
    <w:name w:val="annotation text"/>
    <w:basedOn w:val="Normal"/>
    <w:link w:val="CommentTextChar"/>
    <w:rsid w:val="003365DF"/>
    <w:rPr>
      <w:sz w:val="20"/>
    </w:rPr>
  </w:style>
  <w:style w:type="character" w:customStyle="1" w:styleId="CommentTextChar">
    <w:name w:val="Comment Text Char"/>
    <w:basedOn w:val="DefaultParagraphFont"/>
    <w:link w:val="CommentText"/>
    <w:rsid w:val="003365DF"/>
  </w:style>
  <w:style w:type="paragraph" w:styleId="CommentSubject">
    <w:name w:val="annotation subject"/>
    <w:basedOn w:val="CommentText"/>
    <w:next w:val="CommentText"/>
    <w:link w:val="CommentSubjectChar"/>
    <w:rsid w:val="003365DF"/>
    <w:rPr>
      <w:b/>
      <w:bCs/>
      <w:lang w:val="x-none" w:eastAsia="x-none"/>
    </w:rPr>
  </w:style>
  <w:style w:type="character" w:customStyle="1" w:styleId="CommentSubjectChar">
    <w:name w:val="Comment Subject Char"/>
    <w:link w:val="CommentSubject"/>
    <w:rsid w:val="003365DF"/>
    <w:rPr>
      <w:b/>
      <w:bCs/>
    </w:rPr>
  </w:style>
  <w:style w:type="paragraph" w:styleId="Revision">
    <w:name w:val="Revision"/>
    <w:hidden/>
    <w:uiPriority w:val="99"/>
    <w:semiHidden/>
    <w:rsid w:val="004A58FD"/>
    <w:rPr>
      <w:sz w:val="22"/>
    </w:rPr>
  </w:style>
  <w:style w:type="character" w:styleId="FootnoteReference">
    <w:name w:val="footnote reference"/>
    <w:uiPriority w:val="99"/>
    <w:unhideWhenUsed/>
    <w:rsid w:val="004A58FD"/>
    <w:rPr>
      <w:vertAlign w:val="superscript"/>
    </w:rPr>
  </w:style>
  <w:style w:type="character" w:customStyle="1" w:styleId="ptext-14">
    <w:name w:val="ptext-14"/>
    <w:rsid w:val="004A58FD"/>
  </w:style>
  <w:style w:type="character" w:customStyle="1" w:styleId="FooterChar">
    <w:name w:val="Footer Char"/>
    <w:basedOn w:val="DefaultParagraphFont"/>
    <w:link w:val="Footer"/>
    <w:uiPriority w:val="99"/>
    <w:rsid w:val="00F862ED"/>
  </w:style>
  <w:style w:type="character" w:customStyle="1" w:styleId="Style11ptUnderline">
    <w:name w:val="Style 11 pt Underline"/>
    <w:qFormat/>
    <w:rsid w:val="008F75BA"/>
    <w:rPr>
      <w:sz w:val="22"/>
      <w:u w:val="single"/>
    </w:rPr>
  </w:style>
  <w:style w:type="paragraph" w:styleId="ListParagraph">
    <w:name w:val="List Paragraph"/>
    <w:basedOn w:val="Normal"/>
    <w:uiPriority w:val="34"/>
    <w:qFormat/>
    <w:rsid w:val="00FB2C89"/>
    <w:pPr>
      <w:spacing w:after="200" w:line="276" w:lineRule="auto"/>
      <w:ind w:left="720"/>
      <w:contextualSpacing/>
    </w:pPr>
    <w:rPr>
      <w:rFonts w:asciiTheme="minorHAnsi" w:eastAsiaTheme="minorHAnsi" w:hAnsiTheme="minorHAnsi" w:cstheme="minorBidi"/>
      <w:szCs w:val="22"/>
    </w:rPr>
  </w:style>
  <w:style w:type="numbering" w:customStyle="1" w:styleId="CurrentList1">
    <w:name w:val="Current List1"/>
    <w:uiPriority w:val="99"/>
    <w:rsid w:val="005C0CA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7886">
      <w:bodyDiv w:val="1"/>
      <w:marLeft w:val="0"/>
      <w:marRight w:val="0"/>
      <w:marTop w:val="0"/>
      <w:marBottom w:val="0"/>
      <w:divBdr>
        <w:top w:val="none" w:sz="0" w:space="0" w:color="auto"/>
        <w:left w:val="none" w:sz="0" w:space="0" w:color="auto"/>
        <w:bottom w:val="none" w:sz="0" w:space="0" w:color="auto"/>
        <w:right w:val="none" w:sz="0" w:space="0" w:color="auto"/>
      </w:divBdr>
    </w:div>
    <w:div w:id="50675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E053D-5FC2-434A-997A-CECAF756C2A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2983</Words>
  <Characters>17006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114</vt:lpstr>
    </vt:vector>
  </TitlesOfParts>
  <Company>Microsoft</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subject/>
  <dc:creator>NPANARO</dc:creator>
  <cp:keywords/>
  <dc:description/>
  <cp:lastModifiedBy>Sousa, Pam (EHS)</cp:lastModifiedBy>
  <cp:revision>2</cp:revision>
  <cp:lastPrinted>2016-08-16T19:39:00Z</cp:lastPrinted>
  <dcterms:created xsi:type="dcterms:W3CDTF">2025-06-27T12:32:00Z</dcterms:created>
  <dcterms:modified xsi:type="dcterms:W3CDTF">2025-06-27T12:32:00Z</dcterms:modified>
</cp:coreProperties>
</file>