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176E" w14:textId="77777777" w:rsidR="009935C3" w:rsidRDefault="00552DB0">
      <w:pPr>
        <w:spacing w:before="146" w:line="414" w:lineRule="exact"/>
        <w:ind w:left="2722" w:right="2395"/>
        <w:jc w:val="center"/>
        <w:rPr>
          <w:rFonts w:ascii="Arial"/>
          <w:sz w:val="3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4815B3" wp14:editId="6E754E77">
            <wp:simplePos x="0" y="0"/>
            <wp:positionH relativeFrom="page">
              <wp:posOffset>612186</wp:posOffset>
            </wp:positionH>
            <wp:positionV relativeFrom="paragraph">
              <wp:posOffset>-3222</wp:posOffset>
            </wp:positionV>
            <wp:extent cx="898573" cy="106441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73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6"/>
        </w:rPr>
        <w:t>The Commonwealth of Massachusetts</w:t>
      </w:r>
    </w:p>
    <w:p w14:paraId="446DC99A" w14:textId="77777777" w:rsidR="009935C3" w:rsidRDefault="00552DB0">
      <w:pPr>
        <w:pStyle w:val="Heading1"/>
        <w:ind w:firstLine="0"/>
      </w:pPr>
      <w:r>
        <w:t>Executive Office of Health and Human Services Department of Public Health</w:t>
      </w:r>
    </w:p>
    <w:p w14:paraId="42DBEF56" w14:textId="77777777" w:rsidR="009935C3" w:rsidRDefault="00552DB0">
      <w:pPr>
        <w:spacing w:before="2"/>
        <w:ind w:left="3221" w:right="2885" w:hanging="1"/>
        <w:jc w:val="center"/>
        <w:rPr>
          <w:rFonts w:ascii="Arial"/>
          <w:sz w:val="28"/>
        </w:rPr>
      </w:pPr>
      <w:r>
        <w:rPr>
          <w:rFonts w:ascii="Arial"/>
          <w:sz w:val="28"/>
        </w:rPr>
        <w:t>Bureau of Health Care Safety and Quality 67 Forest Street, Marlborough, MA 01752</w:t>
      </w:r>
    </w:p>
    <w:p w14:paraId="0A79A0A5" w14:textId="77777777" w:rsidR="009935C3" w:rsidRDefault="009935C3">
      <w:pPr>
        <w:pStyle w:val="BodyText"/>
        <w:rPr>
          <w:rFonts w:ascii="Arial"/>
          <w:sz w:val="20"/>
        </w:rPr>
      </w:pPr>
    </w:p>
    <w:p w14:paraId="77148AB7" w14:textId="77777777" w:rsidR="009935C3" w:rsidRDefault="009935C3">
      <w:pPr>
        <w:pStyle w:val="BodyText"/>
        <w:spacing w:before="7"/>
        <w:rPr>
          <w:rFonts w:ascii="Arial"/>
          <w:sz w:val="18"/>
        </w:rPr>
      </w:pPr>
    </w:p>
    <w:p w14:paraId="6A1A9832" w14:textId="77777777" w:rsidR="009935C3" w:rsidRDefault="009935C3">
      <w:pPr>
        <w:rPr>
          <w:rFonts w:ascii="Arial"/>
          <w:sz w:val="18"/>
        </w:rPr>
        <w:sectPr w:rsidR="009935C3">
          <w:type w:val="continuous"/>
          <w:pgSz w:w="12240" w:h="15840"/>
          <w:pgMar w:top="560" w:right="420" w:bottom="280" w:left="540" w:header="720" w:footer="720" w:gutter="0"/>
          <w:cols w:space="720"/>
        </w:sectPr>
      </w:pPr>
    </w:p>
    <w:p w14:paraId="194DB0F9" w14:textId="77777777" w:rsidR="009935C3" w:rsidRDefault="009935C3">
      <w:pPr>
        <w:pStyle w:val="BodyText"/>
        <w:rPr>
          <w:rFonts w:ascii="Arial"/>
          <w:sz w:val="18"/>
        </w:rPr>
      </w:pPr>
    </w:p>
    <w:p w14:paraId="548B0F21" w14:textId="77777777" w:rsidR="009935C3" w:rsidRDefault="00552DB0">
      <w:pPr>
        <w:spacing w:before="158" w:line="185" w:lineRule="exact"/>
        <w:ind w:left="83" w:right="2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CHARLES D. BAKER</w:t>
      </w:r>
    </w:p>
    <w:p w14:paraId="75D05A8C" w14:textId="77777777" w:rsidR="009935C3" w:rsidRDefault="00552DB0">
      <w:pPr>
        <w:spacing w:line="162" w:lineRule="exact"/>
        <w:ind w:left="76" w:right="2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Governor</w:t>
      </w:r>
    </w:p>
    <w:p w14:paraId="552EACD6" w14:textId="77777777" w:rsidR="009935C3" w:rsidRDefault="00552DB0">
      <w:pPr>
        <w:spacing w:before="119" w:line="185" w:lineRule="exact"/>
        <w:ind w:left="80" w:right="20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KARYN 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POLITO</w:t>
      </w:r>
    </w:p>
    <w:p w14:paraId="7AA970DE" w14:textId="77777777" w:rsidR="009935C3" w:rsidRDefault="00552DB0">
      <w:pPr>
        <w:spacing w:line="162" w:lineRule="exact"/>
        <w:ind w:left="78" w:right="20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8"/>
          <w:sz w:val="14"/>
        </w:rPr>
        <w:t xml:space="preserve"> </w:t>
      </w:r>
      <w:r>
        <w:rPr>
          <w:rFonts w:ascii="Arial Rounded MT Bold"/>
          <w:sz w:val="14"/>
        </w:rPr>
        <w:t>Governor</w:t>
      </w:r>
    </w:p>
    <w:p w14:paraId="515C00C3" w14:textId="77777777" w:rsidR="009935C3" w:rsidRDefault="00552DB0">
      <w:pPr>
        <w:spacing w:before="101" w:line="185" w:lineRule="exact"/>
        <w:ind w:left="85" w:right="96"/>
        <w:jc w:val="center"/>
        <w:rPr>
          <w:rFonts w:ascii="Arial Rounded MT Bold"/>
          <w:sz w:val="16"/>
        </w:rPr>
      </w:pPr>
      <w:r>
        <w:br w:type="column"/>
      </w:r>
      <w:r>
        <w:rPr>
          <w:rFonts w:ascii="Arial Rounded MT Bold"/>
          <w:sz w:val="16"/>
        </w:rPr>
        <w:t>MARYLOU SUDDERS</w:t>
      </w:r>
    </w:p>
    <w:p w14:paraId="51962C74" w14:textId="77777777" w:rsidR="009935C3" w:rsidRDefault="00552DB0">
      <w:pPr>
        <w:spacing w:line="162" w:lineRule="exact"/>
        <w:ind w:left="79" w:right="96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Secretary</w:t>
      </w:r>
    </w:p>
    <w:p w14:paraId="09344266" w14:textId="77777777" w:rsidR="009935C3" w:rsidRDefault="00552DB0">
      <w:pPr>
        <w:spacing w:before="119"/>
        <w:ind w:left="86" w:right="96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MONICA BHAREL, MD, MPH</w:t>
      </w:r>
    </w:p>
    <w:p w14:paraId="34E3F7E1" w14:textId="77777777" w:rsidR="009935C3" w:rsidRDefault="00552DB0">
      <w:pPr>
        <w:spacing w:before="2"/>
        <w:ind w:left="79" w:right="96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Commissioner</w:t>
      </w:r>
    </w:p>
    <w:p w14:paraId="28A94EC1" w14:textId="77777777" w:rsidR="009935C3" w:rsidRDefault="009935C3">
      <w:pPr>
        <w:pStyle w:val="BodyText"/>
        <w:spacing w:before="7"/>
        <w:rPr>
          <w:rFonts w:ascii="Arial Rounded MT Bold"/>
          <w:sz w:val="13"/>
        </w:rPr>
      </w:pPr>
    </w:p>
    <w:p w14:paraId="023EF7B1" w14:textId="77777777" w:rsidR="009935C3" w:rsidRDefault="00552DB0">
      <w:pPr>
        <w:ind w:left="79" w:right="96"/>
        <w:jc w:val="center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 617-624-6000</w:t>
      </w:r>
    </w:p>
    <w:p w14:paraId="44B0EFE8" w14:textId="77777777" w:rsidR="009935C3" w:rsidRDefault="00552DB0">
      <w:pPr>
        <w:ind w:left="79" w:right="96"/>
        <w:jc w:val="center"/>
        <w:rPr>
          <w:rFonts w:ascii="Arial"/>
          <w:b/>
          <w:sz w:val="14"/>
        </w:rPr>
      </w:pPr>
      <w:hyperlink r:id="rId6">
        <w:r>
          <w:rPr>
            <w:rFonts w:ascii="Arial"/>
            <w:b/>
            <w:sz w:val="14"/>
          </w:rPr>
          <w:t>www.mass.gov/dph</w:t>
        </w:r>
      </w:hyperlink>
    </w:p>
    <w:p w14:paraId="52F0705F" w14:textId="77777777" w:rsidR="009935C3" w:rsidRDefault="009935C3">
      <w:pPr>
        <w:jc w:val="center"/>
        <w:rPr>
          <w:rFonts w:ascii="Arial"/>
          <w:sz w:val="14"/>
        </w:rPr>
        <w:sectPr w:rsidR="009935C3">
          <w:type w:val="continuous"/>
          <w:pgSz w:w="12240" w:h="15840"/>
          <w:pgMar w:top="560" w:right="420" w:bottom="280" w:left="540" w:header="720" w:footer="720" w:gutter="0"/>
          <w:cols w:num="2" w:space="720" w:equalWidth="0">
            <w:col w:w="1744" w:space="7145"/>
            <w:col w:w="2391"/>
          </w:cols>
        </w:sectPr>
      </w:pPr>
    </w:p>
    <w:p w14:paraId="6D13DC3A" w14:textId="77777777" w:rsidR="009935C3" w:rsidRDefault="009935C3">
      <w:pPr>
        <w:pStyle w:val="BodyText"/>
        <w:rPr>
          <w:rFonts w:ascii="Arial"/>
          <w:b/>
          <w:sz w:val="20"/>
        </w:rPr>
      </w:pPr>
    </w:p>
    <w:p w14:paraId="2DF4969B" w14:textId="77777777" w:rsidR="009935C3" w:rsidRDefault="009935C3">
      <w:pPr>
        <w:pStyle w:val="BodyText"/>
        <w:spacing w:before="2"/>
        <w:rPr>
          <w:rFonts w:ascii="Arial"/>
          <w:b/>
          <w:sz w:val="28"/>
        </w:rPr>
      </w:pPr>
    </w:p>
    <w:p w14:paraId="1B4283C4" w14:textId="77777777" w:rsidR="009935C3" w:rsidRDefault="00552DB0">
      <w:pPr>
        <w:spacing w:before="90"/>
        <w:ind w:left="2277" w:right="2395"/>
        <w:jc w:val="center"/>
        <w:rPr>
          <w:b/>
          <w:sz w:val="24"/>
        </w:rPr>
      </w:pPr>
      <w:r>
        <w:rPr>
          <w:b/>
          <w:sz w:val="24"/>
        </w:rPr>
        <w:t>Memorandum</w:t>
      </w:r>
    </w:p>
    <w:p w14:paraId="61C5A64E" w14:textId="77777777" w:rsidR="009935C3" w:rsidRDefault="009935C3">
      <w:pPr>
        <w:pStyle w:val="BodyText"/>
        <w:spacing w:before="7"/>
        <w:rPr>
          <w:b/>
          <w:sz w:val="23"/>
        </w:rPr>
      </w:pPr>
    </w:p>
    <w:p w14:paraId="7689EFB3" w14:textId="77777777" w:rsidR="009935C3" w:rsidRDefault="00552DB0">
      <w:pPr>
        <w:pStyle w:val="BodyText"/>
        <w:tabs>
          <w:tab w:val="left" w:pos="2340"/>
        </w:tabs>
        <w:spacing w:before="1"/>
        <w:ind w:left="2340" w:right="2311" w:hanging="1440"/>
      </w:pPr>
      <w:r>
        <w:rPr>
          <w:b/>
        </w:rPr>
        <w:t>TO:</w:t>
      </w:r>
      <w:r>
        <w:rPr>
          <w:b/>
        </w:rPr>
        <w:tab/>
      </w:r>
      <w:r>
        <w:t>Massachusetts Hospital Chief Executive Officers and Administrators Department of Mental Health</w:t>
      </w:r>
      <w:r>
        <w:rPr>
          <w:spacing w:val="-1"/>
        </w:rPr>
        <w:t xml:space="preserve"> </w:t>
      </w:r>
      <w:r>
        <w:t>Hospitals</w:t>
      </w:r>
    </w:p>
    <w:p w14:paraId="24BD9F6A" w14:textId="77777777" w:rsidR="009935C3" w:rsidRDefault="00552DB0">
      <w:pPr>
        <w:pStyle w:val="BodyText"/>
        <w:ind w:left="2340"/>
      </w:pPr>
      <w:r>
        <w:t>Department of Public Health Hospitals</w:t>
      </w:r>
    </w:p>
    <w:p w14:paraId="199962E0" w14:textId="77777777" w:rsidR="009935C3" w:rsidRDefault="009935C3">
      <w:pPr>
        <w:pStyle w:val="BodyText"/>
        <w:spacing w:before="11"/>
        <w:rPr>
          <w:sz w:val="23"/>
        </w:rPr>
      </w:pPr>
    </w:p>
    <w:p w14:paraId="2C72FC26" w14:textId="77777777" w:rsidR="009935C3" w:rsidRDefault="00552DB0">
      <w:pPr>
        <w:pStyle w:val="BodyText"/>
        <w:tabs>
          <w:tab w:val="left" w:pos="2340"/>
        </w:tabs>
        <w:ind w:left="2340" w:right="4912" w:hanging="1440"/>
      </w:pPr>
      <w:r>
        <w:rPr>
          <w:b/>
        </w:rPr>
        <w:t>FROM:</w:t>
      </w:r>
      <w:r>
        <w:rPr>
          <w:b/>
        </w:rPr>
        <w:tab/>
      </w:r>
      <w:r>
        <w:t>Elizabeth Kelley, MPH, MBA, Director Bureau of Health Care Safety and</w:t>
      </w:r>
      <w:r>
        <w:rPr>
          <w:spacing w:val="-17"/>
        </w:rPr>
        <w:t xml:space="preserve"> </w:t>
      </w:r>
      <w:r>
        <w:t>Quality</w:t>
      </w:r>
    </w:p>
    <w:p w14:paraId="5240104D" w14:textId="77777777" w:rsidR="009935C3" w:rsidRDefault="009935C3">
      <w:pPr>
        <w:pStyle w:val="BodyText"/>
      </w:pPr>
    </w:p>
    <w:p w14:paraId="7EBE3349" w14:textId="77777777" w:rsidR="009935C3" w:rsidRDefault="00552DB0">
      <w:pPr>
        <w:tabs>
          <w:tab w:val="left" w:pos="2340"/>
        </w:tabs>
        <w:ind w:left="900"/>
        <w:rPr>
          <w:sz w:val="24"/>
        </w:rPr>
      </w:pPr>
      <w:r>
        <w:rPr>
          <w:b/>
          <w:sz w:val="24"/>
        </w:rPr>
        <w:t>DATE:</w:t>
      </w:r>
      <w:r>
        <w:rPr>
          <w:b/>
          <w:sz w:val="24"/>
        </w:rPr>
        <w:tab/>
      </w:r>
      <w:r>
        <w:rPr>
          <w:sz w:val="24"/>
        </w:rPr>
        <w:t>June 6,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</w:p>
    <w:p w14:paraId="61C26523" w14:textId="77777777" w:rsidR="009935C3" w:rsidRDefault="009935C3">
      <w:pPr>
        <w:pStyle w:val="BodyText"/>
      </w:pPr>
    </w:p>
    <w:p w14:paraId="79AEE606" w14:textId="77777777" w:rsidR="009935C3" w:rsidRDefault="00552DB0">
      <w:pPr>
        <w:pStyle w:val="BodyText"/>
        <w:tabs>
          <w:tab w:val="left" w:pos="2340"/>
        </w:tabs>
        <w:ind w:left="900"/>
      </w:pPr>
      <w:r>
        <w:rPr>
          <w:b/>
        </w:rPr>
        <w:t>RE:</w:t>
      </w:r>
      <w:r>
        <w:rPr>
          <w:b/>
        </w:rPr>
        <w:tab/>
      </w:r>
      <w:r>
        <w:t>Patient Visitors in Hospitals during the COVID-19 Outbreak</w:t>
      </w:r>
    </w:p>
    <w:p w14:paraId="45BB6D1D" w14:textId="77777777" w:rsidR="009935C3" w:rsidRDefault="009935C3">
      <w:pPr>
        <w:pStyle w:val="BodyText"/>
        <w:rPr>
          <w:sz w:val="26"/>
        </w:rPr>
      </w:pPr>
    </w:p>
    <w:p w14:paraId="4255D1F8" w14:textId="77777777" w:rsidR="009935C3" w:rsidRDefault="009935C3">
      <w:pPr>
        <w:pStyle w:val="BodyText"/>
        <w:spacing w:before="1"/>
        <w:rPr>
          <w:sz w:val="22"/>
        </w:rPr>
      </w:pPr>
    </w:p>
    <w:p w14:paraId="7164E82A" w14:textId="77777777" w:rsidR="009935C3" w:rsidRDefault="00552DB0">
      <w:pPr>
        <w:pStyle w:val="BodyText"/>
        <w:ind w:left="900" w:right="1078"/>
      </w:pPr>
      <w:r>
        <w:t>The Massachusetts Department of Public Health (DPH) continues to work with state, federal</w:t>
      </w:r>
      <w:r>
        <w:rPr>
          <w:spacing w:val="-16"/>
        </w:rPr>
        <w:t xml:space="preserve"> </w:t>
      </w:r>
      <w:r>
        <w:t>an</w:t>
      </w:r>
      <w:r>
        <w:t>d local partners on the outbreak of Coronavirus Disease 2019 (COVID-19), caused by the virus SARS-CoV-2, and we continue to appreciate the essential role you have in responding to this evolving situation. This memorandum replaces the Policies and Procedure</w:t>
      </w:r>
      <w:r>
        <w:t>s for Patient Visitors in Hospitals during the COVID-19 outbreak memorandum sent on March 16,</w:t>
      </w:r>
      <w:r>
        <w:rPr>
          <w:spacing w:val="-2"/>
        </w:rPr>
        <w:t xml:space="preserve"> </w:t>
      </w:r>
      <w:r>
        <w:t>2020.</w:t>
      </w:r>
    </w:p>
    <w:p w14:paraId="472B81A1" w14:textId="77777777" w:rsidR="009935C3" w:rsidRDefault="009935C3">
      <w:pPr>
        <w:pStyle w:val="BodyText"/>
      </w:pPr>
    </w:p>
    <w:p w14:paraId="6B18C664" w14:textId="77777777" w:rsidR="009935C3" w:rsidRDefault="00552DB0">
      <w:pPr>
        <w:pStyle w:val="BodyText"/>
        <w:ind w:left="900" w:right="1078"/>
      </w:pPr>
      <w:r>
        <w:t>Pursuant to an Order issued by the Commissioner of Public Health on March 15, 2020, all hospitals are directed to implement procedures published by the Dep</w:t>
      </w:r>
      <w:r>
        <w:t>artment of Public Health to screen visitors and to restrict visitation as necessary to protect the health of patients and staff.</w:t>
      </w:r>
    </w:p>
    <w:p w14:paraId="307FE06B" w14:textId="5BCE9F87" w:rsidR="009935C3" w:rsidRDefault="00552DB0">
      <w:pPr>
        <w:pStyle w:val="BodyText"/>
        <w:ind w:left="900" w:right="1062"/>
      </w:pPr>
      <w:r>
        <w:t>The following visitation policies shall be effective June</w:t>
      </w:r>
      <w:r>
        <w:t xml:space="preserve"> 10,</w:t>
      </w:r>
      <w:r>
        <w:t xml:space="preserve"> 2020, to protect the health and safety of patients and staff duri</w:t>
      </w:r>
      <w:r>
        <w:t>ng the 2019 novel Coronavirus (COVID-19) outbreak.</w:t>
      </w:r>
    </w:p>
    <w:p w14:paraId="34D1268A" w14:textId="77777777" w:rsidR="009935C3" w:rsidRDefault="009935C3">
      <w:pPr>
        <w:pStyle w:val="BodyText"/>
      </w:pPr>
    </w:p>
    <w:p w14:paraId="56C0426A" w14:textId="77777777" w:rsidR="009935C3" w:rsidRDefault="00552DB0">
      <w:pPr>
        <w:pStyle w:val="BodyText"/>
        <w:spacing w:before="1"/>
        <w:ind w:left="900" w:right="1515"/>
        <w:jc w:val="both"/>
      </w:pPr>
      <w:r>
        <w:t>For purposes of this guidance, birth partners, parents of patients who are under the age of 18 years old, attorneys of patients and companions for patients with intellectual and/or physical disabilities a</w:t>
      </w:r>
      <w:r>
        <w:t>re not considered visitors, but must be screened.</w:t>
      </w:r>
    </w:p>
    <w:p w14:paraId="28C0C4E2" w14:textId="77777777" w:rsidR="009935C3" w:rsidRDefault="009935C3">
      <w:pPr>
        <w:pStyle w:val="BodyText"/>
      </w:pPr>
    </w:p>
    <w:p w14:paraId="064DECEB" w14:textId="77777777" w:rsidR="009935C3" w:rsidRDefault="00552DB0">
      <w:pPr>
        <w:pStyle w:val="BodyText"/>
        <w:ind w:left="900" w:right="1241"/>
      </w:pPr>
      <w:r>
        <w:t>Hospitals must screen all visitors for symptoms of possible COVID-19 infection (fever, cough, shortness of breath, sore throat, chills, myalgia, or new onset of loss of taste or smell).</w:t>
      </w:r>
    </w:p>
    <w:p w14:paraId="7686AC8A" w14:textId="77777777" w:rsidR="009935C3" w:rsidRDefault="00552DB0">
      <w:pPr>
        <w:pStyle w:val="BodyText"/>
        <w:ind w:left="900" w:right="1200"/>
      </w:pPr>
      <w:r>
        <w:t>Individuals with an</w:t>
      </w:r>
      <w:r>
        <w:t>y symptom should not be permitted into the hospital. Hospitals must require all visitors to perform hand hygiene before visiting a patient.</w:t>
      </w:r>
    </w:p>
    <w:p w14:paraId="27961AAD" w14:textId="77777777" w:rsidR="009935C3" w:rsidRDefault="009935C3">
      <w:pPr>
        <w:sectPr w:rsidR="009935C3">
          <w:type w:val="continuous"/>
          <w:pgSz w:w="12240" w:h="15840"/>
          <w:pgMar w:top="560" w:right="420" w:bottom="280" w:left="540" w:header="720" w:footer="720" w:gutter="0"/>
          <w:cols w:space="720"/>
        </w:sectPr>
      </w:pPr>
    </w:p>
    <w:p w14:paraId="448A3218" w14:textId="77777777" w:rsidR="009935C3" w:rsidRDefault="009935C3">
      <w:pPr>
        <w:pStyle w:val="BodyText"/>
        <w:spacing w:before="3"/>
        <w:rPr>
          <w:sz w:val="10"/>
        </w:rPr>
      </w:pPr>
    </w:p>
    <w:p w14:paraId="04B094FE" w14:textId="77777777" w:rsidR="009935C3" w:rsidRDefault="00552DB0">
      <w:pPr>
        <w:pStyle w:val="BodyText"/>
        <w:spacing w:before="90"/>
        <w:ind w:left="900"/>
      </w:pPr>
      <w:r>
        <w:t>Visitors are required to wear a facemask at all times while in the hospital.</w:t>
      </w:r>
    </w:p>
    <w:p w14:paraId="055098B0" w14:textId="77777777" w:rsidR="009935C3" w:rsidRDefault="009935C3">
      <w:pPr>
        <w:pStyle w:val="BodyText"/>
      </w:pPr>
    </w:p>
    <w:p w14:paraId="7FFE4531" w14:textId="77777777" w:rsidR="009935C3" w:rsidRDefault="00552DB0">
      <w:pPr>
        <w:pStyle w:val="BodyText"/>
        <w:ind w:left="900" w:right="1115"/>
      </w:pPr>
      <w:r>
        <w:t>To protect the safety of patients, a patient is allowed one visitor at a time in the hospital. No visitors under the age of 18 years old are allowed in the hospital, unless the v</w:t>
      </w:r>
      <w:r>
        <w:t>isitor is a child of a patient. People waiting to visit a patient should wait outside, rather than in hospital waiting rooms, until the time of their visit.</w:t>
      </w:r>
    </w:p>
    <w:p w14:paraId="58B15DEA" w14:textId="77777777" w:rsidR="009935C3" w:rsidRDefault="009935C3">
      <w:pPr>
        <w:pStyle w:val="BodyText"/>
      </w:pPr>
    </w:p>
    <w:p w14:paraId="276CB041" w14:textId="77777777" w:rsidR="009935C3" w:rsidRDefault="00552DB0">
      <w:pPr>
        <w:pStyle w:val="BodyText"/>
        <w:ind w:left="900" w:right="1248"/>
      </w:pPr>
      <w:r>
        <w:t>A hospital may allow for outdoor visitation in a designated space, provided the patient’s health s</w:t>
      </w:r>
      <w:r>
        <w:t>tatus permits and infection control protocols are maintained during the visit.</w:t>
      </w:r>
    </w:p>
    <w:p w14:paraId="0FB263B7" w14:textId="77777777" w:rsidR="009935C3" w:rsidRDefault="009935C3">
      <w:pPr>
        <w:pStyle w:val="BodyText"/>
      </w:pPr>
    </w:p>
    <w:p w14:paraId="49A81C80" w14:textId="77777777" w:rsidR="009935C3" w:rsidRDefault="00552DB0">
      <w:pPr>
        <w:pStyle w:val="BodyText"/>
        <w:ind w:left="900" w:right="1181"/>
      </w:pPr>
      <w:r>
        <w:t xml:space="preserve">Hospitals may prohibit visitation on a case-by-case basis if a patient tests positive or shows symptoms of COVID-19 or if visitation poses a significant infection control risk </w:t>
      </w:r>
      <w:r>
        <w:t>to the patients, visitor, or staff.</w:t>
      </w:r>
    </w:p>
    <w:p w14:paraId="515A3D1B" w14:textId="77777777" w:rsidR="009935C3" w:rsidRDefault="009935C3">
      <w:pPr>
        <w:pStyle w:val="BodyText"/>
        <w:spacing w:before="1"/>
      </w:pPr>
    </w:p>
    <w:p w14:paraId="0DE71026" w14:textId="77777777" w:rsidR="009935C3" w:rsidRDefault="00552DB0">
      <w:pPr>
        <w:pStyle w:val="BodyText"/>
        <w:ind w:left="900" w:right="1078"/>
      </w:pPr>
      <w:r>
        <w:t>In compassionate care situations, including but not limited to end-of-life-situations, decisions about visitation should be made collaboratively with the patient and loved ones, as appropriate, on a case-by-case basis.</w:t>
      </w:r>
    </w:p>
    <w:p w14:paraId="74634563" w14:textId="77777777" w:rsidR="009935C3" w:rsidRDefault="009935C3">
      <w:pPr>
        <w:pStyle w:val="BodyText"/>
      </w:pPr>
    </w:p>
    <w:p w14:paraId="1F69E106" w14:textId="77777777" w:rsidR="009935C3" w:rsidRDefault="00552DB0">
      <w:pPr>
        <w:pStyle w:val="BodyText"/>
        <w:ind w:left="900" w:right="1135"/>
      </w:pPr>
      <w:r>
        <w:t>Hospitals should continue to support alternative electronic methods for communication between patients and all other visitors, such as Skype, FaceTime, WhatsApp or Google Duo.</w:t>
      </w:r>
    </w:p>
    <w:p w14:paraId="3BEA78F9" w14:textId="77777777" w:rsidR="009935C3" w:rsidRDefault="009935C3">
      <w:pPr>
        <w:pStyle w:val="BodyText"/>
      </w:pPr>
    </w:p>
    <w:p w14:paraId="2D2FC179" w14:textId="77777777" w:rsidR="009935C3" w:rsidRDefault="00552DB0">
      <w:pPr>
        <w:pStyle w:val="BodyText"/>
        <w:ind w:left="900" w:right="1122"/>
      </w:pPr>
      <w:r>
        <w:t>Hospitals are also directed to restrict any non-essential personnel, such as s</w:t>
      </w:r>
      <w:r>
        <w:t>ales vendors, who do not provide direct care from entering the facility.</w:t>
      </w:r>
    </w:p>
    <w:p w14:paraId="1C1E10B5" w14:textId="77777777" w:rsidR="009935C3" w:rsidRDefault="009935C3">
      <w:pPr>
        <w:pStyle w:val="BodyText"/>
      </w:pPr>
    </w:p>
    <w:p w14:paraId="4873A9C0" w14:textId="77777777" w:rsidR="009935C3" w:rsidRDefault="00552DB0">
      <w:pPr>
        <w:pStyle w:val="BodyText"/>
        <w:ind w:left="900" w:right="1078"/>
      </w:pPr>
      <w:r>
        <w:t>Hospitals may prepare food onsite but, in alignment with the restaurant guidance, we would require that self-serve, unattended buffets, topping bars, drink stations, and other commun</w:t>
      </w:r>
      <w:r>
        <w:t>al serving areas remain closed. Hospitals should take appropriate measures to limit the number of individuals eating in their cafeteria so that social distancing measures can be observed.</w:t>
      </w:r>
    </w:p>
    <w:p w14:paraId="1843F4DB" w14:textId="77777777" w:rsidR="009935C3" w:rsidRDefault="009935C3">
      <w:pPr>
        <w:pStyle w:val="BodyText"/>
        <w:spacing w:before="1"/>
      </w:pPr>
    </w:p>
    <w:p w14:paraId="021541B1" w14:textId="77777777" w:rsidR="009935C3" w:rsidRDefault="00552DB0">
      <w:pPr>
        <w:pStyle w:val="BodyText"/>
        <w:ind w:left="900" w:right="1221"/>
      </w:pPr>
      <w:r>
        <w:t>DPH strongly encourages all hospitals in Massachusetts to monitor t</w:t>
      </w:r>
      <w:r>
        <w:t>he Centers for Medicare &amp; Medicaid Services (CMS) website and the Centers for Disease Control and Prevention (CDC) website for up-to-date information and resources:</w:t>
      </w:r>
    </w:p>
    <w:p w14:paraId="0485C566" w14:textId="77777777" w:rsidR="009935C3" w:rsidRDefault="00552DB0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line="237" w:lineRule="auto"/>
        <w:rPr>
          <w:sz w:val="24"/>
          <w:u w:val="none"/>
        </w:rPr>
      </w:pPr>
      <w:r>
        <w:rPr>
          <w:sz w:val="24"/>
          <w:u w:val="none"/>
        </w:rPr>
        <w:t>CMS website:</w:t>
      </w:r>
      <w:r>
        <w:rPr>
          <w:color w:val="0000FF"/>
          <w:sz w:val="24"/>
          <w:u w:val="none"/>
        </w:rPr>
        <w:t xml:space="preserve"> </w:t>
      </w:r>
      <w:hyperlink r:id="rId7">
        <w:r>
          <w:rPr>
            <w:color w:val="0000FF"/>
            <w:sz w:val="24"/>
            <w:u w:color="0000FF"/>
          </w:rPr>
          <w:t>https://www.cms.gov/About-CMS/Agency-</w:t>
        </w:r>
      </w:hyperlink>
      <w:hyperlink r:id="rId8">
        <w:r>
          <w:rPr>
            <w:color w:val="0000FF"/>
            <w:sz w:val="24"/>
            <w:u w:color="0000FF"/>
          </w:rPr>
          <w:t xml:space="preserve"> </w:t>
        </w:r>
        <w:r>
          <w:rPr>
            <w:color w:val="0000FF"/>
            <w:spacing w:val="-1"/>
            <w:sz w:val="24"/>
            <w:u w:color="0000FF"/>
          </w:rPr>
          <w:t>Information/Emergency/EPRO/Current-Emergencies/Current-Emergencies-page</w:t>
        </w:r>
      </w:hyperlink>
    </w:p>
    <w:p w14:paraId="1AF27FF9" w14:textId="77777777" w:rsidR="009935C3" w:rsidRDefault="00552DB0">
      <w:pPr>
        <w:pStyle w:val="ListParagraph"/>
        <w:numPr>
          <w:ilvl w:val="0"/>
          <w:numId w:val="1"/>
        </w:numPr>
        <w:tabs>
          <w:tab w:val="left" w:pos="1620"/>
          <w:tab w:val="left" w:pos="1621"/>
        </w:tabs>
        <w:spacing w:before="5" w:line="237" w:lineRule="auto"/>
        <w:ind w:right="2818"/>
        <w:rPr>
          <w:sz w:val="24"/>
          <w:u w:val="none"/>
        </w:rPr>
      </w:pPr>
      <w:r>
        <w:rPr>
          <w:sz w:val="24"/>
          <w:u w:val="none"/>
        </w:rPr>
        <w:t>CDC website:</w:t>
      </w:r>
      <w:r>
        <w:rPr>
          <w:color w:val="0000FF"/>
          <w:sz w:val="24"/>
          <w:u w:val="none"/>
        </w:rPr>
        <w:t xml:space="preserve"> </w:t>
      </w:r>
      <w:hyperlink r:id="rId9">
        <w:r>
          <w:rPr>
            <w:color w:val="0000FF"/>
            <w:sz w:val="24"/>
            <w:u w:color="0000FF"/>
          </w:rPr>
          <w:t>https://www.cdc.gov/coronavirus/2019-ncov</w:t>
        </w:r>
        <w:r>
          <w:rPr>
            <w:color w:val="0000FF"/>
            <w:sz w:val="24"/>
            <w:u w:color="0000FF"/>
          </w:rPr>
          <w:t>/healthcare-</w:t>
        </w:r>
      </w:hyperlink>
      <w:hyperlink r:id="rId10">
        <w:r>
          <w:rPr>
            <w:color w:val="0000FF"/>
            <w:sz w:val="24"/>
            <w:u w:color="0000FF"/>
          </w:rPr>
          <w:t xml:space="preserve"> facilities/index.html</w:t>
        </w:r>
      </w:hyperlink>
    </w:p>
    <w:p w14:paraId="64243A7A" w14:textId="77777777" w:rsidR="009935C3" w:rsidRDefault="009935C3">
      <w:pPr>
        <w:pStyle w:val="BodyText"/>
        <w:spacing w:before="2"/>
        <w:rPr>
          <w:sz w:val="16"/>
        </w:rPr>
      </w:pPr>
    </w:p>
    <w:p w14:paraId="5CE452C4" w14:textId="77777777" w:rsidR="009935C3" w:rsidRDefault="00552DB0">
      <w:pPr>
        <w:pStyle w:val="BodyText"/>
        <w:spacing w:before="90"/>
        <w:ind w:left="900" w:right="1214"/>
      </w:pPr>
      <w:r>
        <w:t>Additionally, please visit DPH’s website that provides up-to-date information on COVID-19 in Massachusetts:</w:t>
      </w:r>
      <w:r>
        <w:rPr>
          <w:spacing w:val="59"/>
        </w:rPr>
        <w:t xml:space="preserve"> </w:t>
      </w:r>
      <w:hyperlink r:id="rId11">
        <w:r>
          <w:rPr>
            <w:color w:val="0000FF"/>
            <w:u w:val="single" w:color="0000FF"/>
          </w:rPr>
          <w:t>https://www.mass.gov/2019coronavirus</w:t>
        </w:r>
      </w:hyperlink>
      <w:r>
        <w:t>.</w:t>
      </w:r>
    </w:p>
    <w:sectPr w:rsidR="009935C3">
      <w:pgSz w:w="12240" w:h="15840"/>
      <w:pgMar w:top="1500" w:right="4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36D11"/>
    <w:multiLevelType w:val="hybridMultilevel"/>
    <w:tmpl w:val="D7E03CAC"/>
    <w:lvl w:ilvl="0" w:tplc="2460F47E">
      <w:numFmt w:val="bullet"/>
      <w:lvlText w:val=""/>
      <w:lvlJc w:val="left"/>
      <w:pPr>
        <w:ind w:left="16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4D05A6A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en-US"/>
      </w:rPr>
    </w:lvl>
    <w:lvl w:ilvl="2" w:tplc="1CBE152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en-US"/>
      </w:rPr>
    </w:lvl>
    <w:lvl w:ilvl="3" w:tplc="EC2636AA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en-US"/>
      </w:rPr>
    </w:lvl>
    <w:lvl w:ilvl="4" w:tplc="A39E6FCC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en-US"/>
      </w:rPr>
    </w:lvl>
    <w:lvl w:ilvl="5" w:tplc="76C49A88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en-US"/>
      </w:rPr>
    </w:lvl>
    <w:lvl w:ilvl="6" w:tplc="EC90E924"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en-US"/>
      </w:rPr>
    </w:lvl>
    <w:lvl w:ilvl="7" w:tplc="C638DA82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en-US"/>
      </w:rPr>
    </w:lvl>
    <w:lvl w:ilvl="8" w:tplc="25B87498">
      <w:numFmt w:val="bullet"/>
      <w:lvlText w:val="•"/>
      <w:lvlJc w:val="left"/>
      <w:pPr>
        <w:ind w:left="934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5C3"/>
    <w:rsid w:val="00552DB0"/>
    <w:rsid w:val="0099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E575"/>
  <w15:docId w15:val="{D7110983-BC44-41AB-9C5F-A1C00A0A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722" w:right="2391" w:hanging="1"/>
      <w:jc w:val="center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left="1620" w:right="189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About-CMS/Agency-Information/Emergency/EPRO/Current-Emergencies/Current-Emergencies-p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ms.gov/About-CMS/Agency-Information/Emergency/EPRO/Current-Emergencies/Current-Emergencies-pa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dph" TargetMode="External"/><Relationship Id="rId11" Type="http://schemas.openxmlformats.org/officeDocument/2006/relationships/hyperlink" Target="https://www.mass.gov/2019coronaviru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dc.gov/coronavirus/2019-ncov/healthcare-facilitie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dc.gov/coronavirus/2019-ncov/healthcare-faciliti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cp:lastModifiedBy>Bichelman, Jamie E (DPH)</cp:lastModifiedBy>
  <cp:revision>2</cp:revision>
  <dcterms:created xsi:type="dcterms:W3CDTF">2021-08-02T14:06:00Z</dcterms:created>
  <dcterms:modified xsi:type="dcterms:W3CDTF">2021-08-02T14:07:00Z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2021-08-02T00:00:00Z</vt:filetime>
  </property>
</Properties>
</file>