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12C3" w:rsidR="00FB05AD" w:rsidP="00FB05AD" w:rsidRDefault="00FB05AD" w14:paraId="31CE64B9" w14:textId="727C8048">
      <w:pPr>
        <w:pStyle w:val="Title"/>
        <w:jc w:val="center"/>
        <w:rPr>
          <w:rStyle w:val="Strong"/>
          <w:rFonts w:ascii="Arial" w:hAnsi="Arial" w:eastAsia="Arial" w:cs="Arial"/>
          <w:b w:val="0"/>
          <w:bCs w:val="0"/>
        </w:rPr>
      </w:pPr>
      <w:r w:rsidRPr="30D30558" w:rsidR="00FB05AD">
        <w:rPr>
          <w:rStyle w:val="Strong"/>
          <w:rFonts w:ascii="Arial" w:hAnsi="Arial" w:eastAsia="Arial" w:cs="Arial"/>
          <w:b w:val="0"/>
          <w:bCs w:val="0"/>
        </w:rPr>
        <w:t>Housing</w:t>
      </w:r>
    </w:p>
    <w:p w:rsidR="0E0B0BB8" w:rsidP="30D30558" w:rsidRDefault="0E0B0BB8" w14:paraId="7C61C540" w14:textId="04538808">
      <w:pPr>
        <w:jc w:val="center"/>
        <w:rPr>
          <w:rFonts w:ascii="Arial" w:hAnsi="Arial" w:eastAsia="Arial" w:cs="Arial"/>
          <w:b w:val="0"/>
          <w:bCs w:val="0"/>
          <w:i w:val="0"/>
          <w:iCs w:val="0"/>
          <w:caps w:val="0"/>
          <w:smallCaps w:val="0"/>
          <w:noProof w:val="0"/>
          <w:color w:val="595959" w:themeColor="text1" w:themeTint="A6" w:themeShade="FF"/>
          <w:sz w:val="28"/>
          <w:szCs w:val="28"/>
          <w:lang w:val="en-US"/>
        </w:rPr>
      </w:pPr>
      <w:r w:rsidRPr="30D30558" w:rsidR="0E0B0BB8">
        <w:rPr>
          <w:rStyle w:val="Strong"/>
          <w:rFonts w:ascii="Arial" w:hAnsi="Arial" w:eastAsia="Arial" w:cs="Arial"/>
          <w:b w:val="0"/>
          <w:bCs w:val="0"/>
          <w:i w:val="0"/>
          <w:iCs w:val="0"/>
          <w:caps w:val="0"/>
          <w:smallCaps w:val="0"/>
          <w:noProof w:val="0"/>
          <w:color w:val="595959" w:themeColor="text1" w:themeTint="A6" w:themeShade="FF"/>
          <w:sz w:val="28"/>
          <w:szCs w:val="28"/>
          <w:lang w:val="en-US"/>
        </w:rPr>
        <w:t>Capacity Assessment Review Findings</w:t>
      </w:r>
    </w:p>
    <w:p w:rsidR="0E0B0BB8" w:rsidP="30D30558" w:rsidRDefault="0E0B0BB8" w14:paraId="3580F65F" w14:textId="308F65E6">
      <w:pPr>
        <w:rPr>
          <w:rFonts w:ascii="Arial" w:hAnsi="Arial" w:eastAsia="Arial" w:cs="Arial"/>
          <w:b w:val="0"/>
          <w:bCs w:val="0"/>
          <w:i w:val="0"/>
          <w:iCs w:val="0"/>
          <w:caps w:val="0"/>
          <w:smallCaps w:val="0"/>
          <w:noProof w:val="0"/>
          <w:color w:val="000000" w:themeColor="text1" w:themeTint="FF" w:themeShade="FF"/>
          <w:sz w:val="24"/>
          <w:szCs w:val="24"/>
          <w:lang w:val="en-US"/>
        </w:rPr>
      </w:pPr>
      <w:r w:rsidRPr="30D30558" w:rsidR="0E0B0BB8">
        <w:rPr>
          <w:rFonts w:ascii="Arial" w:hAnsi="Arial" w:eastAsia="Arial" w:cs="Arial"/>
          <w:b w:val="0"/>
          <w:bCs w:val="0"/>
          <w:i w:val="0"/>
          <w:iCs w:val="0"/>
          <w:caps w:val="0"/>
          <w:smallCaps w:val="0"/>
          <w:noProof w:val="0"/>
          <w:color w:val="000000" w:themeColor="text1" w:themeTint="FF" w:themeShade="FF"/>
          <w:sz w:val="24"/>
          <w:szCs w:val="24"/>
          <w:lang w:val="en-US"/>
        </w:rPr>
        <w:t xml:space="preserve">In the fall of 2022, the Office of Local and Regional Health conducted a Capacity Assessment of local health departments in Massachusetts to evaluate local public health's current ability to provide basic public health services based on their available resources, including staffing levels, funding, and training. The first-ever Massachusetts Local Public Health Performance Standards, which defined basic levels of services and workforce credentials and training, framed the assessment. As part of this assessment, a qualitative review of documentation </w:t>
      </w:r>
      <w:r w:rsidRPr="30D30558" w:rsidR="0E0B0BB8">
        <w:rPr>
          <w:rFonts w:ascii="Arial" w:hAnsi="Arial" w:eastAsia="Arial" w:cs="Arial"/>
          <w:b w:val="0"/>
          <w:bCs w:val="0"/>
          <w:i w:val="0"/>
          <w:iCs w:val="0"/>
          <w:caps w:val="0"/>
          <w:smallCaps w:val="0"/>
          <w:noProof w:val="0"/>
          <w:color w:val="000000" w:themeColor="text1" w:themeTint="FF" w:themeShade="FF"/>
          <w:sz w:val="24"/>
          <w:szCs w:val="24"/>
          <w:lang w:val="en-US"/>
        </w:rPr>
        <w:t>submitted</w:t>
      </w:r>
      <w:r w:rsidRPr="30D30558" w:rsidR="0E0B0BB8">
        <w:rPr>
          <w:rFonts w:ascii="Arial" w:hAnsi="Arial" w:eastAsia="Arial" w:cs="Arial"/>
          <w:b w:val="0"/>
          <w:bCs w:val="0"/>
          <w:i w:val="0"/>
          <w:iCs w:val="0"/>
          <w:caps w:val="0"/>
          <w:smallCaps w:val="0"/>
          <w:noProof w:val="0"/>
          <w:color w:val="000000" w:themeColor="text1" w:themeTint="FF" w:themeShade="FF"/>
          <w:sz w:val="24"/>
          <w:szCs w:val="24"/>
          <w:lang w:val="en-US"/>
        </w:rPr>
        <w:t xml:space="preserve"> by municipalities was conducted, focusing on various subject areas to evaluate the implementation of crucial public health services.</w:t>
      </w:r>
    </w:p>
    <w:p w:rsidR="00FB05AD" w:rsidP="00FB05AD" w:rsidRDefault="00FB05AD" w14:paraId="1DFD5FF6" w14:textId="7683C684">
      <w:pPr>
        <w:rPr>
          <w:rFonts w:ascii="Arial" w:hAnsi="Arial" w:cs="Arial"/>
        </w:rPr>
      </w:pPr>
      <w:r>
        <w:rPr>
          <w:rFonts w:ascii="Arial" w:hAnsi="Arial" w:cs="Arial"/>
        </w:rPr>
        <w:t xml:space="preserve">The housing documents included: rooming house inspections, condemnation orders, orders to correct, housing inspections, lead determination, and positive lead determinations. </w:t>
      </w:r>
    </w:p>
    <w:p w:rsidRPr="00F46FC8" w:rsidR="00FB05AD" w:rsidP="00FB05AD" w:rsidRDefault="00FB05AD" w14:paraId="3D7E91E5" w14:textId="77777777">
      <w:pPr>
        <w:pStyle w:val="Heading1"/>
        <w:rPr>
          <w:rFonts w:ascii="Arial" w:hAnsi="Arial" w:eastAsia="Arial" w:cs="Arial"/>
        </w:rPr>
      </w:pPr>
      <w:r w:rsidRPr="00F46FC8">
        <w:rPr>
          <w:rFonts w:ascii="Arial" w:hAnsi="Arial" w:eastAsia="Arial" w:cs="Arial"/>
        </w:rPr>
        <w:t>Capacity Assessment Key Findings</w:t>
      </w:r>
    </w:p>
    <w:p w:rsidRPr="00B112C3" w:rsidR="00FB05AD" w:rsidP="00FB05AD" w:rsidRDefault="00FB05AD" w14:paraId="3BAFD82E" w14:textId="74D903E7">
      <w:pPr>
        <w:pStyle w:val="Heading2"/>
        <w:rPr>
          <w:rStyle w:val="Strong"/>
          <w:rFonts w:ascii="Arial" w:hAnsi="Arial" w:cs="Arial"/>
          <w:b w:val="0"/>
          <w:bCs w:val="0"/>
        </w:rPr>
      </w:pPr>
      <w:r w:rsidRPr="00B112C3">
        <w:rPr>
          <w:rStyle w:val="Strong"/>
          <w:rFonts w:ascii="Arial" w:hAnsi="Arial" w:cs="Arial"/>
          <w:b w:val="0"/>
          <w:bCs w:val="0"/>
        </w:rPr>
        <w:t xml:space="preserve">1. </w:t>
      </w:r>
      <w:r>
        <w:rPr>
          <w:rStyle w:val="Strong"/>
          <w:rFonts w:ascii="Arial" w:hAnsi="Arial" w:cs="Arial"/>
          <w:b w:val="0"/>
          <w:bCs w:val="0"/>
        </w:rPr>
        <w:t xml:space="preserve">Thorough and Systematic Inspections </w:t>
      </w:r>
    </w:p>
    <w:p w:rsidR="008801F8" w:rsidP="008801F8" w:rsidRDefault="008801F8" w14:paraId="3290FD35" w14:textId="77777777">
      <w:pPr>
        <w:rPr>
          <w:rFonts w:ascii="Arial" w:hAnsi="Arial" w:cs="Arial"/>
        </w:rPr>
      </w:pPr>
      <w:r w:rsidRPr="008801F8">
        <w:rPr>
          <w:rFonts w:ascii="Arial" w:hAnsi="Arial" w:cs="Arial"/>
        </w:rPr>
        <w:t>Inspectors must be trained to approach inspections systematically, document each step properly, and ensure housing inspections meet legal requirements.</w:t>
      </w:r>
    </w:p>
    <w:p w:rsidRPr="008801F8" w:rsidR="008801F8" w:rsidP="008801F8" w:rsidRDefault="008801F8" w14:paraId="1F2F5AE6" w14:textId="793648BA">
      <w:pPr>
        <w:pStyle w:val="ListParagraph"/>
        <w:numPr>
          <w:ilvl w:val="0"/>
          <w:numId w:val="11"/>
        </w:numPr>
        <w:rPr>
          <w:rFonts w:ascii="Arial" w:hAnsi="Arial" w:cs="Arial"/>
        </w:rPr>
      </w:pPr>
      <w:r w:rsidRPr="008801F8">
        <w:rPr>
          <w:rFonts w:ascii="Arial" w:hAnsi="Arial" w:cs="Arial"/>
        </w:rPr>
        <w:t>Stronger orientation programs and mentorship for new inspectors can support this process.</w:t>
      </w:r>
    </w:p>
    <w:p w:rsidRPr="001C0C1E" w:rsidR="00FB05AD" w:rsidP="00FB05AD" w:rsidRDefault="00FB05AD" w14:paraId="30095A3A" w14:textId="3ABA41C0">
      <w:pPr>
        <w:pStyle w:val="Heading2"/>
        <w:rPr>
          <w:rStyle w:val="Strong"/>
          <w:rFonts w:ascii="Arial" w:hAnsi="Arial" w:cs="Arial"/>
          <w:b w:val="0"/>
          <w:bCs w:val="0"/>
        </w:rPr>
      </w:pPr>
      <w:r w:rsidRPr="001C0C1E">
        <w:rPr>
          <w:rStyle w:val="Strong"/>
          <w:rFonts w:ascii="Arial" w:hAnsi="Arial" w:cs="Arial"/>
          <w:b w:val="0"/>
          <w:bCs w:val="0"/>
        </w:rPr>
        <w:t xml:space="preserve">2. </w:t>
      </w:r>
      <w:r w:rsidR="008801F8">
        <w:rPr>
          <w:rStyle w:val="Strong"/>
          <w:rFonts w:ascii="Arial" w:hAnsi="Arial" w:cs="Arial"/>
          <w:b w:val="0"/>
          <w:bCs w:val="0"/>
        </w:rPr>
        <w:t>Citation Listing and Completeness</w:t>
      </w:r>
    </w:p>
    <w:p w:rsidR="008801F8" w:rsidP="008801F8" w:rsidRDefault="008801F8" w14:paraId="46DAE017" w14:textId="77777777">
      <w:pPr>
        <w:rPr>
          <w:rFonts w:ascii="Arial" w:hAnsi="Arial" w:cs="Arial"/>
        </w:rPr>
      </w:pPr>
      <w:r w:rsidRPr="008801F8">
        <w:rPr>
          <w:rFonts w:ascii="Arial" w:hAnsi="Arial" w:cs="Arial"/>
        </w:rPr>
        <w:t>While many inspection reports provided sufficient descriptions and details about what was observed during the inspection, they often lacked clarity, identification of hazards, and proper citation references.</w:t>
      </w:r>
    </w:p>
    <w:p w:rsidR="008801F8" w:rsidP="008801F8" w:rsidRDefault="008801F8" w14:paraId="0B36D358" w14:textId="77777777">
      <w:pPr>
        <w:pStyle w:val="ListParagraph"/>
        <w:numPr>
          <w:ilvl w:val="0"/>
          <w:numId w:val="11"/>
        </w:numPr>
        <w:rPr>
          <w:rFonts w:ascii="Arial" w:hAnsi="Arial" w:cs="Arial"/>
        </w:rPr>
      </w:pPr>
      <w:r w:rsidRPr="008801F8">
        <w:rPr>
          <w:rFonts w:ascii="Arial" w:hAnsi="Arial" w:cs="Arial"/>
        </w:rPr>
        <w:t>Identify and explain violations in accordance with the housing code requirements.</w:t>
      </w:r>
    </w:p>
    <w:p w:rsidR="008801F8" w:rsidP="008801F8" w:rsidRDefault="008801F8" w14:paraId="42481A0E" w14:textId="77777777">
      <w:pPr>
        <w:pStyle w:val="ListParagraph"/>
        <w:numPr>
          <w:ilvl w:val="0"/>
          <w:numId w:val="11"/>
        </w:numPr>
        <w:rPr>
          <w:rFonts w:ascii="Arial" w:hAnsi="Arial" w:cs="Arial"/>
        </w:rPr>
      </w:pPr>
      <w:r w:rsidRPr="008801F8">
        <w:rPr>
          <w:rFonts w:ascii="Arial" w:hAnsi="Arial" w:cs="Arial"/>
        </w:rPr>
        <w:t>Always include the citation numbers with violations.</w:t>
      </w:r>
    </w:p>
    <w:p w:rsidRPr="008801F8" w:rsidR="008801F8" w:rsidP="008801F8" w:rsidRDefault="008801F8" w14:paraId="1BAD1DFA" w14:textId="6C5CE19C">
      <w:pPr>
        <w:pStyle w:val="ListParagraph"/>
        <w:numPr>
          <w:ilvl w:val="0"/>
          <w:numId w:val="11"/>
        </w:numPr>
        <w:rPr>
          <w:rFonts w:ascii="Arial" w:hAnsi="Arial" w:cs="Arial"/>
        </w:rPr>
      </w:pPr>
      <w:r w:rsidRPr="008801F8">
        <w:rPr>
          <w:rFonts w:ascii="Arial" w:hAnsi="Arial" w:cs="Arial"/>
        </w:rPr>
        <w:t>Ensure all documentation is complete.</w:t>
      </w:r>
    </w:p>
    <w:p w:rsidRPr="00B112C3" w:rsidR="00FB05AD" w:rsidP="00FB05AD" w:rsidRDefault="00FB05AD" w14:paraId="194F2989" w14:textId="27758F2F">
      <w:pPr>
        <w:pStyle w:val="Heading2"/>
        <w:rPr>
          <w:rStyle w:val="Strong"/>
          <w:rFonts w:ascii="Arial" w:hAnsi="Arial" w:cs="Arial"/>
          <w:b w:val="0"/>
          <w:bCs w:val="0"/>
        </w:rPr>
      </w:pPr>
      <w:r w:rsidRPr="00B112C3">
        <w:rPr>
          <w:rStyle w:val="Strong"/>
          <w:rFonts w:ascii="Arial" w:hAnsi="Arial" w:cs="Arial"/>
          <w:b w:val="0"/>
          <w:bCs w:val="0"/>
        </w:rPr>
        <w:t xml:space="preserve">3. </w:t>
      </w:r>
      <w:r w:rsidR="008801F8">
        <w:rPr>
          <w:rStyle w:val="Strong"/>
          <w:rFonts w:ascii="Arial" w:hAnsi="Arial" w:cs="Arial"/>
          <w:b w:val="0"/>
          <w:bCs w:val="0"/>
        </w:rPr>
        <w:t>Inconsistent Follow-Up and Timeframes</w:t>
      </w:r>
    </w:p>
    <w:p w:rsidR="008801F8" w:rsidP="008801F8" w:rsidRDefault="008801F8" w14:paraId="30B3D622" w14:textId="77777777">
      <w:pPr>
        <w:rPr>
          <w:rFonts w:ascii="Arial" w:hAnsi="Arial" w:cs="Arial"/>
        </w:rPr>
      </w:pPr>
      <w:r w:rsidRPr="008801F8">
        <w:rPr>
          <w:rFonts w:ascii="Arial" w:hAnsi="Arial" w:cs="Arial"/>
        </w:rPr>
        <w:t>Enforcement actions and timeframes were inconsistent and sometimes not in line with the code requirements.</w:t>
      </w:r>
    </w:p>
    <w:p w:rsidR="008801F8" w:rsidP="008801F8" w:rsidRDefault="008801F8" w14:paraId="735C16CA" w14:textId="77777777">
      <w:pPr>
        <w:pStyle w:val="ListParagraph"/>
        <w:numPr>
          <w:ilvl w:val="0"/>
          <w:numId w:val="14"/>
        </w:numPr>
        <w:rPr>
          <w:rFonts w:ascii="Arial" w:hAnsi="Arial" w:cs="Arial"/>
        </w:rPr>
      </w:pPr>
      <w:r w:rsidRPr="008801F8">
        <w:rPr>
          <w:rFonts w:ascii="Arial" w:hAnsi="Arial" w:cs="Arial"/>
        </w:rPr>
        <w:t>Timelines should be assigned based on the code.</w:t>
      </w:r>
    </w:p>
    <w:p w:rsidR="008801F8" w:rsidP="008801F8" w:rsidRDefault="008801F8" w14:paraId="46479B8C" w14:textId="77777777">
      <w:pPr>
        <w:pStyle w:val="ListParagraph"/>
        <w:numPr>
          <w:ilvl w:val="0"/>
          <w:numId w:val="14"/>
        </w:numPr>
        <w:rPr>
          <w:rFonts w:ascii="Arial" w:hAnsi="Arial" w:cs="Arial"/>
        </w:rPr>
      </w:pPr>
      <w:r w:rsidRPr="008801F8">
        <w:rPr>
          <w:rFonts w:ascii="Arial" w:hAnsi="Arial" w:cs="Arial"/>
        </w:rPr>
        <w:t>Re-inspections should align with the most urgent timeline.</w:t>
      </w:r>
    </w:p>
    <w:p w:rsidRPr="008801F8" w:rsidR="008801F8" w:rsidP="008801F8" w:rsidRDefault="008801F8" w14:paraId="52B33629" w14:textId="158C6692">
      <w:pPr>
        <w:pStyle w:val="ListParagraph"/>
        <w:numPr>
          <w:ilvl w:val="0"/>
          <w:numId w:val="14"/>
        </w:numPr>
        <w:rPr>
          <w:rFonts w:ascii="Arial" w:hAnsi="Arial" w:cs="Arial"/>
        </w:rPr>
      </w:pPr>
      <w:r w:rsidRPr="008801F8">
        <w:rPr>
          <w:rFonts w:ascii="Arial" w:hAnsi="Arial" w:cs="Arial"/>
        </w:rPr>
        <w:lastRenderedPageBreak/>
        <w:t>Always provide evidence of re-inspections to show proper follow-up and enforcement.</w:t>
      </w:r>
    </w:p>
    <w:p w:rsidRPr="00B112C3" w:rsidR="00FB05AD" w:rsidP="00FB05AD" w:rsidRDefault="00FB05AD" w14:paraId="7B5B7FD0" w14:textId="1B821EDB">
      <w:pPr>
        <w:pStyle w:val="Heading2"/>
        <w:rPr>
          <w:rStyle w:val="Strong"/>
          <w:rFonts w:ascii="Arial" w:hAnsi="Arial" w:cs="Arial"/>
          <w:b w:val="0"/>
          <w:bCs w:val="0"/>
        </w:rPr>
      </w:pPr>
      <w:r>
        <w:rPr>
          <w:rStyle w:val="Strong"/>
          <w:rFonts w:ascii="Arial" w:hAnsi="Arial" w:cs="Arial"/>
          <w:b w:val="0"/>
          <w:bCs w:val="0"/>
        </w:rPr>
        <w:t>4</w:t>
      </w:r>
      <w:r w:rsidRPr="00B112C3">
        <w:rPr>
          <w:rStyle w:val="Strong"/>
          <w:rFonts w:ascii="Arial" w:hAnsi="Arial" w:cs="Arial"/>
          <w:b w:val="0"/>
          <w:bCs w:val="0"/>
        </w:rPr>
        <w:t xml:space="preserve">. </w:t>
      </w:r>
      <w:r w:rsidR="008801F8">
        <w:rPr>
          <w:rStyle w:val="Strong"/>
          <w:rFonts w:ascii="Arial" w:hAnsi="Arial" w:cs="Arial"/>
          <w:b w:val="0"/>
          <w:bCs w:val="0"/>
        </w:rPr>
        <w:t>Housing Court Compliance</w:t>
      </w:r>
    </w:p>
    <w:p w:rsidR="008801F8" w:rsidP="008801F8" w:rsidRDefault="008801F8" w14:paraId="0117A3D7" w14:textId="77777777">
      <w:pPr>
        <w:rPr>
          <w:rFonts w:ascii="Arial" w:hAnsi="Arial" w:cs="Arial"/>
        </w:rPr>
      </w:pPr>
      <w:r w:rsidRPr="008801F8">
        <w:rPr>
          <w:rFonts w:ascii="Arial" w:hAnsi="Arial" w:cs="Arial"/>
        </w:rPr>
        <w:t>Documents must contain all the correct information including signatures and follow the proper legal procedures if they are to be considered valid in court.</w:t>
      </w:r>
    </w:p>
    <w:p w:rsidR="008801F8" w:rsidP="008801F8" w:rsidRDefault="008801F8" w14:paraId="702EAF84" w14:textId="77777777">
      <w:pPr>
        <w:pStyle w:val="ListParagraph"/>
        <w:numPr>
          <w:ilvl w:val="0"/>
          <w:numId w:val="16"/>
        </w:numPr>
        <w:rPr>
          <w:rFonts w:ascii="Arial" w:hAnsi="Arial" w:cs="Arial"/>
        </w:rPr>
      </w:pPr>
      <w:r w:rsidRPr="008801F8">
        <w:rPr>
          <w:rFonts w:ascii="Arial" w:hAnsi="Arial" w:cs="Arial"/>
        </w:rPr>
        <w:t>Ensure all necessary documents include signatures.</w:t>
      </w:r>
    </w:p>
    <w:p w:rsidR="008801F8" w:rsidP="008801F8" w:rsidRDefault="008801F8" w14:paraId="6D62C5C6" w14:textId="77777777">
      <w:pPr>
        <w:pStyle w:val="ListParagraph"/>
        <w:numPr>
          <w:ilvl w:val="0"/>
          <w:numId w:val="16"/>
        </w:numPr>
        <w:rPr>
          <w:rFonts w:ascii="Arial" w:hAnsi="Arial" w:cs="Arial"/>
        </w:rPr>
      </w:pPr>
      <w:r w:rsidRPr="008801F8">
        <w:rPr>
          <w:rFonts w:ascii="Arial" w:hAnsi="Arial" w:cs="Arial"/>
        </w:rPr>
        <w:t>Ensure all documents are signed and kept on file.</w:t>
      </w:r>
    </w:p>
    <w:p w:rsidR="008801F8" w:rsidP="30D30558" w:rsidRDefault="008801F8" w14:paraId="045A8DAA" w14:textId="2CB9C261" w14:noSpellErr="1">
      <w:pPr>
        <w:pStyle w:val="ListParagraph"/>
        <w:numPr>
          <w:ilvl w:val="0"/>
          <w:numId w:val="16"/>
        </w:numPr>
        <w:spacing w:before="240" w:beforeAutospacing="off"/>
        <w:rPr>
          <w:rFonts w:ascii="Arial" w:hAnsi="Arial" w:cs="Arial"/>
        </w:rPr>
      </w:pPr>
      <w:r w:rsidRPr="30D30558" w:rsidR="008801F8">
        <w:rPr>
          <w:rFonts w:ascii="Arial" w:hAnsi="Arial" w:cs="Arial"/>
        </w:rPr>
        <w:t>Condemnation orders must be advertised for at least three out of five consecutive days in the paper of record.</w:t>
      </w:r>
    </w:p>
    <w:p w:rsidRPr="008801F8" w:rsidR="008801F8" w:rsidP="30D30558" w:rsidRDefault="008801F8" w14:paraId="140D41A9" w14:textId="643D768C" w14:noSpellErr="1">
      <w:pPr>
        <w:spacing w:before="240" w:beforeAutospacing="off"/>
        <w:rPr>
          <w:rFonts w:ascii="Arial" w:hAnsi="Arial" w:cs="Arial"/>
        </w:rPr>
      </w:pPr>
      <w:r w:rsidRPr="30D30558" w:rsidR="008801F8">
        <w:rPr>
          <w:rFonts w:ascii="Arial" w:hAnsi="Arial" w:cs="Arial"/>
        </w:rPr>
        <w:t>Effective housing documentation requires clarity and thoroughness. The most exemplary inspections were characterized by clear, organized, and concise reporting that strictly adhered to regulations in the housing code. These housing inspections left no room for confusion or ambiguity.</w:t>
      </w:r>
    </w:p>
    <w:p w:rsidR="00FB05AD" w:rsidP="00FB05AD" w:rsidRDefault="00FB05AD" w14:paraId="75531299" w14:textId="77777777">
      <w:pPr>
        <w:pStyle w:val="Heading1"/>
        <w:rPr>
          <w:rFonts w:ascii="Arial" w:hAnsi="Arial" w:eastAsia="Arial" w:cs="Arial"/>
        </w:rPr>
      </w:pPr>
      <w:r w:rsidRPr="5C6C04F0">
        <w:rPr>
          <w:rFonts w:ascii="Arial" w:hAnsi="Arial" w:eastAsia="Arial" w:cs="Arial"/>
        </w:rPr>
        <w:t>Qualitative Findings</w:t>
      </w:r>
    </w:p>
    <w:p w:rsidRPr="008801F8" w:rsidR="00FB05AD" w:rsidP="00FB05AD" w:rsidRDefault="008801F8" w14:paraId="78A986DB" w14:textId="186DE6B5">
      <w:pPr>
        <w:rPr>
          <w:rFonts w:ascii="Arial" w:hAnsi="Arial" w:eastAsia="Arial" w:cs="Arial"/>
          <w:b w:val="1"/>
          <w:bCs w:val="1"/>
          <w:color w:val="FF0000"/>
        </w:rPr>
      </w:pPr>
      <w:r w:rsidRPr="1BBA7DAF" w:rsidR="008801F8">
        <w:rPr>
          <w:rFonts w:ascii="Arial" w:hAnsi="Arial" w:eastAsia="Arial" w:cs="Arial"/>
        </w:rPr>
        <w:t xml:space="preserve">The </w:t>
      </w:r>
      <w:r w:rsidRPr="1BBA7DAF" w:rsidR="008801F8">
        <w:rPr>
          <w:rFonts w:ascii="Arial" w:hAnsi="Arial" w:eastAsia="Arial" w:cs="Arial"/>
        </w:rPr>
        <w:t>lists</w:t>
      </w:r>
      <w:r w:rsidRPr="1BBA7DAF" w:rsidR="008801F8">
        <w:rPr>
          <w:rFonts w:ascii="Arial" w:hAnsi="Arial" w:eastAsia="Arial" w:cs="Arial"/>
        </w:rPr>
        <w:t xml:space="preserve"> below outline the reasons each type of housing document did not meet the </w:t>
      </w:r>
      <w:r w:rsidRPr="1BBA7DAF" w:rsidR="008801F8">
        <w:rPr>
          <w:rFonts w:ascii="Arial" w:hAnsi="Arial" w:eastAsia="Arial" w:cs="Arial"/>
        </w:rPr>
        <w:t>proficiency</w:t>
      </w:r>
      <w:r w:rsidRPr="1BBA7DAF" w:rsidR="008801F8">
        <w:rPr>
          <w:rFonts w:ascii="Arial" w:hAnsi="Arial" w:eastAsia="Arial" w:cs="Arial"/>
        </w:rPr>
        <w:t xml:space="preserve"> standard. The most </w:t>
      </w:r>
      <w:r w:rsidRPr="1BBA7DAF" w:rsidR="008801F8">
        <w:rPr>
          <w:rFonts w:ascii="Arial" w:hAnsi="Arial" w:eastAsia="Arial" w:cs="Arial"/>
        </w:rPr>
        <w:t>frequently</w:t>
      </w:r>
      <w:r w:rsidRPr="1BBA7DAF" w:rsidR="008801F8">
        <w:rPr>
          <w:rFonts w:ascii="Arial" w:hAnsi="Arial" w:eastAsia="Arial" w:cs="Arial"/>
        </w:rPr>
        <w:t xml:space="preserve"> selected evaluation criteria are bolded </w:t>
      </w:r>
      <w:r w:rsidRPr="1BBA7DAF" w:rsidR="008801F8">
        <w:rPr>
          <w:rFonts w:ascii="Arial" w:hAnsi="Arial" w:eastAsia="Arial" w:cs="Arial"/>
        </w:rPr>
        <w:t>and ordered by frequency from greatest to least.</w:t>
      </w:r>
      <w:r w:rsidRPr="1BBA7DAF" w:rsidR="008801F8">
        <w:rPr>
          <w:rFonts w:ascii="Arial" w:hAnsi="Arial" w:eastAsia="Arial" w:cs="Arial"/>
        </w:rPr>
        <w:t xml:space="preserve"> </w:t>
      </w:r>
      <w:r w:rsidRPr="1BBA7DAF" w:rsidR="008801F8">
        <w:rPr>
          <w:rFonts w:ascii="Arial" w:hAnsi="Arial" w:eastAsia="Arial" w:cs="Arial"/>
          <w:b w:val="1"/>
          <w:bCs w:val="1"/>
        </w:rPr>
        <w:t>The most significant issue for Housing overall was the absence or incomplete of an Order to Correct, followed by a missing or insufficient reinspection.</w:t>
      </w:r>
    </w:p>
    <w:p w:rsidR="00FB05AD" w:rsidP="00FB05AD" w:rsidRDefault="00FB05AD" w14:paraId="1AA777AC" w14:textId="77777777">
      <w:pPr>
        <w:pStyle w:val="Heading2"/>
        <w:rPr>
          <w:rFonts w:ascii="Arial" w:hAnsi="Arial" w:eastAsia="Arial" w:cs="Arial"/>
        </w:rPr>
      </w:pPr>
      <w:r w:rsidRPr="5C6C04F0">
        <w:rPr>
          <w:rFonts w:ascii="Arial" w:hAnsi="Arial" w:eastAsia="Arial" w:cs="Arial"/>
        </w:rPr>
        <w:t>Backup Documentation Results</w:t>
      </w:r>
    </w:p>
    <w:p w:rsidR="00FB05AD" w:rsidP="008801F8" w:rsidRDefault="00FB05AD" w14:paraId="61470E01" w14:textId="4301CFB6">
      <w:pPr>
        <w:rPr>
          <w:rFonts w:ascii="Arial" w:hAnsi="Arial" w:eastAsia="Arial" w:cs="Arial"/>
        </w:rPr>
      </w:pPr>
      <w:r w:rsidRPr="5C6C04F0">
        <w:rPr>
          <w:rFonts w:ascii="Arial" w:hAnsi="Arial" w:eastAsia="Arial" w:cs="Arial"/>
        </w:rPr>
        <w:t xml:space="preserve">For </w:t>
      </w:r>
      <w:r w:rsidR="008801F8">
        <w:rPr>
          <w:rFonts w:ascii="Arial" w:hAnsi="Arial" w:eastAsia="Arial" w:cs="Arial"/>
        </w:rPr>
        <w:t xml:space="preserve">housing inspections, 1,465 documents were requested. Of those, 386 (26%) were submitted, and of those submitted, 234 (51%) were deemed proficient. </w:t>
      </w:r>
    </w:p>
    <w:p w:rsidR="008801F8" w:rsidP="008801F8" w:rsidRDefault="008801F8" w14:paraId="5761FB11" w14:textId="378A4DDD">
      <w:pPr>
        <w:rPr>
          <w:rFonts w:ascii="Arial" w:hAnsi="Arial" w:eastAsia="Arial" w:cs="Arial"/>
        </w:rPr>
      </w:pPr>
      <w:r>
        <w:rPr>
          <w:rFonts w:ascii="Arial" w:hAnsi="Arial" w:eastAsia="Arial" w:cs="Arial"/>
        </w:rPr>
        <w:t>For housing order to correct, 177 documents were requested. Of those, 149 (84%) were submitted, and of those submitted, 100 (67%) were deemed proficient.</w:t>
      </w:r>
    </w:p>
    <w:p w:rsidR="008801F8" w:rsidP="008801F8" w:rsidRDefault="008801F8" w14:paraId="10DBCCF5" w14:textId="4FD9DB78">
      <w:pPr>
        <w:rPr>
          <w:rFonts w:ascii="Arial" w:hAnsi="Arial" w:eastAsia="Arial" w:cs="Arial"/>
        </w:rPr>
      </w:pPr>
      <w:r>
        <w:rPr>
          <w:rFonts w:ascii="Arial" w:hAnsi="Arial" w:eastAsia="Arial" w:cs="Arial"/>
        </w:rPr>
        <w:t>For housing condemnation orders, 135 documents were requested. Of those, 113 (84%) were submitted, and of those submitted, 80 (71%) were deemed proficient.</w:t>
      </w:r>
    </w:p>
    <w:p w:rsidR="008801F8" w:rsidP="008801F8" w:rsidRDefault="008801F8" w14:paraId="7F1BA8A1" w14:textId="73C56FAB">
      <w:pPr>
        <w:rPr>
          <w:rFonts w:ascii="Arial" w:hAnsi="Arial" w:eastAsia="Arial" w:cs="Arial"/>
        </w:rPr>
      </w:pPr>
      <w:r>
        <w:rPr>
          <w:rFonts w:ascii="Arial" w:hAnsi="Arial" w:eastAsia="Arial" w:cs="Arial"/>
        </w:rPr>
        <w:t xml:space="preserve">For rooming houses, 111 documents were requested. Of those, 30 (27%) were submitted, and of those submitted, 17 (57%) were deemed proficient. </w:t>
      </w:r>
    </w:p>
    <w:p w:rsidR="008801F8" w:rsidP="008801F8" w:rsidRDefault="008801F8" w14:paraId="28F2566B" w14:textId="7859F498">
      <w:pPr>
        <w:rPr>
          <w:rFonts w:ascii="Arial" w:hAnsi="Arial" w:eastAsia="Arial" w:cs="Arial"/>
        </w:rPr>
      </w:pPr>
      <w:r>
        <w:rPr>
          <w:rFonts w:ascii="Arial" w:hAnsi="Arial" w:eastAsia="Arial" w:cs="Arial"/>
        </w:rPr>
        <w:t>For lead determinations, 110 documents were requested. Of those, 48 (44%) were submitted, and of those submitted, 35 (73%) were deemed proficient.</w:t>
      </w:r>
    </w:p>
    <w:p w:rsidRPr="0083068A" w:rsidR="008801F8" w:rsidP="008801F8" w:rsidRDefault="008801F8" w14:paraId="3B4DEBC0" w14:textId="2E0966A1">
      <w:pPr>
        <w:rPr>
          <w:rFonts w:ascii="Arial" w:hAnsi="Arial" w:eastAsia="Arial" w:cs="Arial"/>
        </w:rPr>
      </w:pPr>
      <w:r>
        <w:rPr>
          <w:rFonts w:ascii="Arial" w:hAnsi="Arial" w:eastAsia="Arial" w:cs="Arial"/>
        </w:rPr>
        <w:t xml:space="preserve">For positive lead determinations, 40 documents were requested. Of those, 27 (68%) were submitted, and of those submitted, 21 (78%) were deemed proficient. </w:t>
      </w:r>
    </w:p>
    <w:p w:rsidRPr="00114078" w:rsidR="00FB05AD" w:rsidP="00FB05AD" w:rsidRDefault="008801F8" w14:paraId="7DF12483" w14:textId="74B798B1">
      <w:pPr>
        <w:pStyle w:val="Heading2"/>
        <w:rPr>
          <w:rFonts w:ascii="Arial" w:hAnsi="Arial" w:eastAsia="Arial" w:cs="Arial"/>
        </w:rPr>
      </w:pPr>
      <w:r>
        <w:rPr>
          <w:rFonts w:ascii="Arial" w:hAnsi="Arial" w:eastAsia="Arial" w:cs="Arial"/>
        </w:rPr>
        <w:lastRenderedPageBreak/>
        <w:t>Order to Correct</w:t>
      </w:r>
      <w:r w:rsidR="00FB05AD">
        <w:rPr>
          <w:rFonts w:ascii="Arial" w:hAnsi="Arial" w:eastAsia="Arial" w:cs="Arial"/>
        </w:rPr>
        <w:t xml:space="preserve"> Documents</w:t>
      </w:r>
      <w:r w:rsidRPr="5C6C04F0" w:rsidR="00FB05AD">
        <w:rPr>
          <w:rFonts w:ascii="Arial" w:hAnsi="Arial" w:eastAsia="Arial" w:cs="Arial"/>
        </w:rPr>
        <w:t xml:space="preserve"> Evaluation Criteria</w:t>
      </w:r>
    </w:p>
    <w:p w:rsidRPr="00391F8B" w:rsidR="008801F8" w:rsidP="008801F8" w:rsidRDefault="008801F8" w14:paraId="482BE284" w14:textId="09B0D647">
      <w:pPr>
        <w:numPr>
          <w:ilvl w:val="0"/>
          <w:numId w:val="5"/>
        </w:numPr>
        <w:rPr>
          <w:rFonts w:ascii="Arial" w:hAnsi="Arial" w:eastAsia="Arial" w:cs="Arial"/>
          <w:b/>
          <w:bCs/>
        </w:rPr>
      </w:pPr>
      <w:r w:rsidRPr="00391F8B">
        <w:rPr>
          <w:rFonts w:ascii="Arial" w:hAnsi="Arial" w:eastAsia="Arial" w:cs="Arial"/>
          <w:b/>
          <w:bCs/>
        </w:rPr>
        <w:t>Order to Correct not completed or documented</w:t>
      </w:r>
    </w:p>
    <w:p w:rsidR="00FB05AD" w:rsidP="00FB05AD" w:rsidRDefault="008801F8" w14:paraId="580A0137" w14:textId="48B648C5">
      <w:pPr>
        <w:numPr>
          <w:ilvl w:val="0"/>
          <w:numId w:val="5"/>
        </w:numPr>
        <w:rPr>
          <w:rFonts w:ascii="Arial" w:hAnsi="Arial" w:eastAsia="Arial" w:cs="Arial"/>
        </w:rPr>
      </w:pPr>
      <w:r>
        <w:rPr>
          <w:rFonts w:ascii="Arial" w:hAnsi="Arial" w:eastAsia="Arial" w:cs="Arial"/>
        </w:rPr>
        <w:t>Conditions deemed to endanger without proper follow-up action</w:t>
      </w:r>
    </w:p>
    <w:p w:rsidR="008801F8" w:rsidP="00FB05AD" w:rsidRDefault="008801F8" w14:paraId="27D2BC15" w14:textId="1F7C21F0">
      <w:pPr>
        <w:numPr>
          <w:ilvl w:val="0"/>
          <w:numId w:val="5"/>
        </w:numPr>
        <w:rPr>
          <w:rFonts w:ascii="Arial" w:hAnsi="Arial" w:eastAsia="Arial" w:cs="Arial"/>
        </w:rPr>
      </w:pPr>
      <w:r>
        <w:rPr>
          <w:rFonts w:ascii="Arial" w:hAnsi="Arial" w:eastAsia="Arial" w:cs="Arial"/>
        </w:rPr>
        <w:t>Follow-up action not completed or documented</w:t>
      </w:r>
    </w:p>
    <w:p w:rsidR="008801F8" w:rsidP="00FB05AD" w:rsidRDefault="008801F8" w14:paraId="324D2623" w14:textId="13F40C26">
      <w:pPr>
        <w:numPr>
          <w:ilvl w:val="0"/>
          <w:numId w:val="5"/>
        </w:numPr>
        <w:rPr>
          <w:rFonts w:ascii="Arial" w:hAnsi="Arial" w:eastAsia="Arial" w:cs="Arial"/>
        </w:rPr>
      </w:pPr>
      <w:r>
        <w:rPr>
          <w:rFonts w:ascii="Arial" w:hAnsi="Arial" w:eastAsia="Arial" w:cs="Arial"/>
        </w:rPr>
        <w:t>Missing or insufficient reinspection documentation</w:t>
      </w:r>
    </w:p>
    <w:p w:rsidR="008801F8" w:rsidP="00FB05AD" w:rsidRDefault="008801F8" w14:paraId="78013008" w14:textId="031654DC">
      <w:pPr>
        <w:numPr>
          <w:ilvl w:val="0"/>
          <w:numId w:val="5"/>
        </w:numPr>
        <w:rPr>
          <w:rFonts w:ascii="Arial" w:hAnsi="Arial" w:eastAsia="Arial" w:cs="Arial"/>
        </w:rPr>
      </w:pPr>
      <w:r>
        <w:rPr>
          <w:rFonts w:ascii="Arial" w:hAnsi="Arial" w:eastAsia="Arial" w:cs="Arial"/>
        </w:rPr>
        <w:t>Conditions that may put residents and/or abutters at risk not properly addressed</w:t>
      </w:r>
    </w:p>
    <w:p w:rsidR="008801F8" w:rsidP="00FB05AD" w:rsidRDefault="008801F8" w14:paraId="38E25AD4" w14:textId="363F83FC">
      <w:pPr>
        <w:numPr>
          <w:ilvl w:val="0"/>
          <w:numId w:val="5"/>
        </w:numPr>
        <w:rPr>
          <w:rFonts w:ascii="Arial" w:hAnsi="Arial" w:eastAsia="Arial" w:cs="Arial"/>
        </w:rPr>
      </w:pPr>
      <w:r>
        <w:rPr>
          <w:rFonts w:ascii="Arial" w:hAnsi="Arial" w:eastAsia="Arial" w:cs="Arial"/>
        </w:rPr>
        <w:t>Conditions that may contribute to illness or hazardous living conditions not properly addressed</w:t>
      </w:r>
    </w:p>
    <w:p w:rsidR="008801F8" w:rsidP="00FB05AD" w:rsidRDefault="008801F8" w14:paraId="392DA275" w14:textId="7C5BCF28">
      <w:pPr>
        <w:numPr>
          <w:ilvl w:val="0"/>
          <w:numId w:val="5"/>
        </w:numPr>
        <w:rPr>
          <w:rFonts w:ascii="Arial" w:hAnsi="Arial" w:eastAsia="Arial" w:cs="Arial"/>
        </w:rPr>
      </w:pPr>
      <w:r>
        <w:rPr>
          <w:rFonts w:ascii="Arial" w:hAnsi="Arial" w:eastAsia="Arial" w:cs="Arial"/>
        </w:rPr>
        <w:t>Inspection Report Form does not comply with regulatory requirements</w:t>
      </w:r>
    </w:p>
    <w:p w:rsidRPr="00114078" w:rsidR="00FB05AD" w:rsidP="00FB05AD" w:rsidRDefault="008801F8" w14:paraId="39DDCEAB" w14:textId="4C35D558">
      <w:pPr>
        <w:pStyle w:val="Heading2"/>
        <w:rPr>
          <w:rFonts w:ascii="Arial" w:hAnsi="Arial" w:eastAsia="Arial" w:cs="Arial"/>
        </w:rPr>
      </w:pPr>
      <w:r>
        <w:rPr>
          <w:rFonts w:ascii="Arial" w:hAnsi="Arial" w:eastAsia="Arial" w:cs="Arial"/>
        </w:rPr>
        <w:t>Condemnation Order</w:t>
      </w:r>
      <w:r w:rsidR="00FB05AD">
        <w:rPr>
          <w:rFonts w:ascii="Arial" w:hAnsi="Arial" w:eastAsia="Arial" w:cs="Arial"/>
        </w:rPr>
        <w:t xml:space="preserve"> Documents</w:t>
      </w:r>
      <w:r w:rsidRPr="5C6C04F0" w:rsidR="00FB05AD">
        <w:rPr>
          <w:rFonts w:ascii="Arial" w:hAnsi="Arial" w:eastAsia="Arial" w:cs="Arial"/>
        </w:rPr>
        <w:t xml:space="preserve"> Evaluation Criteria</w:t>
      </w:r>
    </w:p>
    <w:p w:rsidRPr="00391F8B" w:rsidR="008801F8" w:rsidP="008801F8" w:rsidRDefault="008801F8" w14:paraId="02857102" w14:textId="21CF4608">
      <w:pPr>
        <w:numPr>
          <w:ilvl w:val="0"/>
          <w:numId w:val="18"/>
        </w:numPr>
        <w:rPr>
          <w:rFonts w:ascii="Arial" w:hAnsi="Arial" w:eastAsia="Arial" w:cs="Arial"/>
          <w:b/>
          <w:bCs/>
        </w:rPr>
      </w:pPr>
      <w:r w:rsidRPr="00391F8B">
        <w:rPr>
          <w:rFonts w:ascii="Arial" w:hAnsi="Arial" w:eastAsia="Arial" w:cs="Arial"/>
          <w:b/>
          <w:bCs/>
        </w:rPr>
        <w:t>Order to Correct not completed or documented</w:t>
      </w:r>
    </w:p>
    <w:p w:rsidR="008801F8" w:rsidP="008801F8" w:rsidRDefault="008801F8" w14:paraId="416477C2" w14:textId="43488D4B">
      <w:pPr>
        <w:numPr>
          <w:ilvl w:val="0"/>
          <w:numId w:val="18"/>
        </w:numPr>
        <w:rPr>
          <w:rFonts w:ascii="Arial" w:hAnsi="Arial" w:eastAsia="Arial" w:cs="Arial"/>
        </w:rPr>
      </w:pPr>
      <w:r>
        <w:rPr>
          <w:rFonts w:ascii="Arial" w:hAnsi="Arial" w:eastAsia="Arial" w:cs="Arial"/>
        </w:rPr>
        <w:t>Conditions that may contribute to illness or hazardous living conditions not properly addressed</w:t>
      </w:r>
    </w:p>
    <w:p w:rsidR="008801F8" w:rsidP="008801F8" w:rsidRDefault="008801F8" w14:paraId="1AA3CC30" w14:textId="06D6B50F">
      <w:pPr>
        <w:numPr>
          <w:ilvl w:val="0"/>
          <w:numId w:val="18"/>
        </w:numPr>
        <w:rPr>
          <w:rFonts w:ascii="Arial" w:hAnsi="Arial" w:eastAsia="Arial" w:cs="Arial"/>
        </w:rPr>
      </w:pPr>
      <w:r>
        <w:rPr>
          <w:rFonts w:ascii="Arial" w:hAnsi="Arial" w:eastAsia="Arial" w:cs="Arial"/>
        </w:rPr>
        <w:t>Violations that may put residents and/or abutters at risk not properly addressed</w:t>
      </w:r>
    </w:p>
    <w:p w:rsidR="008801F8" w:rsidP="008801F8" w:rsidRDefault="008801F8" w14:paraId="148B9F1A" w14:textId="61AA7AD9">
      <w:pPr>
        <w:numPr>
          <w:ilvl w:val="0"/>
          <w:numId w:val="18"/>
        </w:numPr>
        <w:rPr>
          <w:rFonts w:ascii="Arial" w:hAnsi="Arial" w:eastAsia="Arial" w:cs="Arial"/>
        </w:rPr>
      </w:pPr>
      <w:r>
        <w:rPr>
          <w:rFonts w:ascii="Arial" w:hAnsi="Arial" w:eastAsia="Arial" w:cs="Arial"/>
        </w:rPr>
        <w:t xml:space="preserve">Conditions deemed to endanger without proper follow-up action </w:t>
      </w:r>
    </w:p>
    <w:p w:rsidR="008801F8" w:rsidP="008801F8" w:rsidRDefault="008801F8" w14:paraId="486D3D8D" w14:textId="16ECA9B0">
      <w:pPr>
        <w:numPr>
          <w:ilvl w:val="0"/>
          <w:numId w:val="18"/>
        </w:numPr>
        <w:rPr>
          <w:rFonts w:ascii="Arial" w:hAnsi="Arial" w:eastAsia="Arial" w:cs="Arial"/>
        </w:rPr>
      </w:pPr>
      <w:r>
        <w:rPr>
          <w:rFonts w:ascii="Arial" w:hAnsi="Arial" w:eastAsia="Arial" w:cs="Arial"/>
        </w:rPr>
        <w:t>Inspection Report Form Required and critical fields not completed that would put residents and/or abutters at risk</w:t>
      </w:r>
    </w:p>
    <w:p w:rsidRPr="008801F8" w:rsidR="008801F8" w:rsidP="008801F8" w:rsidRDefault="008801F8" w14:paraId="14C78B68" w14:textId="794FEBFD">
      <w:pPr>
        <w:numPr>
          <w:ilvl w:val="0"/>
          <w:numId w:val="18"/>
        </w:numPr>
        <w:rPr>
          <w:rFonts w:ascii="Arial" w:hAnsi="Arial" w:eastAsia="Arial" w:cs="Arial"/>
        </w:rPr>
      </w:pPr>
      <w:r>
        <w:rPr>
          <w:rFonts w:ascii="Arial" w:hAnsi="Arial" w:eastAsia="Arial" w:cs="Arial"/>
        </w:rPr>
        <w:t>Follow-up action not completed or documented</w:t>
      </w:r>
    </w:p>
    <w:p w:rsidRPr="001C0C1E" w:rsidR="00FB05AD" w:rsidP="00FB05AD" w:rsidRDefault="008801F8" w14:paraId="4468E66F" w14:textId="71592112">
      <w:pPr>
        <w:pStyle w:val="Heading2"/>
        <w:rPr>
          <w:rFonts w:ascii="Arial" w:hAnsi="Arial" w:eastAsia="Arial" w:cs="Arial"/>
        </w:rPr>
      </w:pPr>
      <w:r>
        <w:rPr>
          <w:rFonts w:ascii="Arial" w:hAnsi="Arial" w:eastAsia="Arial" w:cs="Arial"/>
        </w:rPr>
        <w:t>Inspections 1/2/3 for 2018/19/21</w:t>
      </w:r>
      <w:r w:rsidR="00FB05AD">
        <w:rPr>
          <w:rFonts w:ascii="Arial" w:hAnsi="Arial" w:eastAsia="Arial" w:cs="Arial"/>
        </w:rPr>
        <w:t xml:space="preserve"> Documents</w:t>
      </w:r>
      <w:r w:rsidRPr="5C6C04F0" w:rsidR="00FB05AD">
        <w:rPr>
          <w:rFonts w:ascii="Arial" w:hAnsi="Arial" w:eastAsia="Arial" w:cs="Arial"/>
        </w:rPr>
        <w:t xml:space="preserve"> Evaluation Criteria</w:t>
      </w:r>
    </w:p>
    <w:p w:rsidRPr="00391F8B" w:rsidR="00FB05AD" w:rsidP="008801F8" w:rsidRDefault="008801F8" w14:paraId="16515FFA" w14:textId="0A253E68">
      <w:pPr>
        <w:numPr>
          <w:ilvl w:val="0"/>
          <w:numId w:val="7"/>
        </w:numPr>
        <w:rPr>
          <w:rFonts w:ascii="Arial" w:hAnsi="Arial" w:eastAsia="Arial" w:cs="Arial"/>
          <w:b/>
          <w:bCs/>
        </w:rPr>
      </w:pPr>
      <w:r w:rsidRPr="00391F8B">
        <w:rPr>
          <w:rFonts w:ascii="Arial" w:hAnsi="Arial" w:eastAsia="Arial" w:cs="Arial"/>
          <w:b/>
          <w:bCs/>
        </w:rPr>
        <w:t>Order to Correct not completed or documented</w:t>
      </w:r>
    </w:p>
    <w:p w:rsidRPr="00391F8B" w:rsidR="008801F8" w:rsidP="008801F8" w:rsidRDefault="008801F8" w14:paraId="74CB1A37" w14:textId="42B88349">
      <w:pPr>
        <w:numPr>
          <w:ilvl w:val="0"/>
          <w:numId w:val="7"/>
        </w:numPr>
        <w:rPr>
          <w:rFonts w:ascii="Arial" w:hAnsi="Arial" w:eastAsia="Arial" w:cs="Arial"/>
          <w:b/>
          <w:bCs/>
        </w:rPr>
      </w:pPr>
      <w:r w:rsidRPr="00391F8B">
        <w:rPr>
          <w:rFonts w:ascii="Arial" w:hAnsi="Arial" w:eastAsia="Arial" w:cs="Arial"/>
          <w:b/>
          <w:bCs/>
        </w:rPr>
        <w:t>Reinspection not completed or documented</w:t>
      </w:r>
    </w:p>
    <w:p w:rsidR="00FB05AD" w:rsidP="008801F8" w:rsidRDefault="008801F8" w14:paraId="5A695429" w14:textId="1FE3C773">
      <w:pPr>
        <w:numPr>
          <w:ilvl w:val="0"/>
          <w:numId w:val="7"/>
        </w:numPr>
        <w:rPr>
          <w:rFonts w:ascii="Arial" w:hAnsi="Arial" w:eastAsia="Arial" w:cs="Arial"/>
        </w:rPr>
      </w:pPr>
      <w:r>
        <w:rPr>
          <w:rFonts w:ascii="Arial" w:hAnsi="Arial" w:eastAsia="Arial" w:cs="Arial"/>
        </w:rPr>
        <w:t>Initial inspection not completed or documented</w:t>
      </w:r>
    </w:p>
    <w:p w:rsidR="008801F8" w:rsidP="008801F8" w:rsidRDefault="008801F8" w14:paraId="1526CAC9" w14:textId="62F687C5">
      <w:pPr>
        <w:numPr>
          <w:ilvl w:val="0"/>
          <w:numId w:val="7"/>
        </w:numPr>
        <w:rPr>
          <w:rFonts w:ascii="Arial" w:hAnsi="Arial" w:eastAsia="Arial" w:cs="Arial"/>
        </w:rPr>
      </w:pPr>
      <w:r>
        <w:rPr>
          <w:rFonts w:ascii="Arial" w:hAnsi="Arial" w:eastAsia="Arial" w:cs="Arial"/>
        </w:rPr>
        <w:t>Follow-up action not completed or documented</w:t>
      </w:r>
    </w:p>
    <w:p w:rsidR="008801F8" w:rsidP="008801F8" w:rsidRDefault="008801F8" w14:paraId="36E64F21" w14:textId="3DDFD4AA">
      <w:pPr>
        <w:numPr>
          <w:ilvl w:val="0"/>
          <w:numId w:val="7"/>
        </w:numPr>
        <w:rPr>
          <w:rFonts w:ascii="Arial" w:hAnsi="Arial" w:eastAsia="Arial" w:cs="Arial"/>
        </w:rPr>
      </w:pPr>
      <w:r>
        <w:rPr>
          <w:rFonts w:ascii="Arial" w:hAnsi="Arial" w:eastAsia="Arial" w:cs="Arial"/>
        </w:rPr>
        <w:t xml:space="preserve">Inspection report form </w:t>
      </w:r>
      <w:proofErr w:type="gramStart"/>
      <w:r>
        <w:rPr>
          <w:rFonts w:ascii="Arial" w:hAnsi="Arial" w:eastAsia="Arial" w:cs="Arial"/>
        </w:rPr>
        <w:t>required</w:t>
      </w:r>
      <w:proofErr w:type="gramEnd"/>
      <w:r>
        <w:rPr>
          <w:rFonts w:ascii="Arial" w:hAnsi="Arial" w:eastAsia="Arial" w:cs="Arial"/>
        </w:rPr>
        <w:t xml:space="preserve"> and critical fields not completed that would put residents and/or abutters at risk</w:t>
      </w:r>
    </w:p>
    <w:p w:rsidR="008801F8" w:rsidP="008801F8" w:rsidRDefault="008801F8" w14:paraId="7E52122F" w14:textId="236CD972">
      <w:pPr>
        <w:numPr>
          <w:ilvl w:val="0"/>
          <w:numId w:val="7"/>
        </w:numPr>
        <w:rPr>
          <w:rFonts w:ascii="Arial" w:hAnsi="Arial" w:eastAsia="Arial" w:cs="Arial"/>
        </w:rPr>
      </w:pPr>
      <w:r>
        <w:rPr>
          <w:rFonts w:ascii="Arial" w:hAnsi="Arial" w:eastAsia="Arial" w:cs="Arial"/>
        </w:rPr>
        <w:t>Conditions deemed to endanger without proper documented follow-up action</w:t>
      </w:r>
    </w:p>
    <w:p w:rsidR="008801F8" w:rsidP="008801F8" w:rsidRDefault="008801F8" w14:paraId="79BCE78D" w14:textId="05A80291">
      <w:pPr>
        <w:numPr>
          <w:ilvl w:val="0"/>
          <w:numId w:val="7"/>
        </w:numPr>
        <w:rPr>
          <w:rFonts w:ascii="Arial" w:hAnsi="Arial" w:eastAsia="Arial" w:cs="Arial"/>
        </w:rPr>
      </w:pPr>
      <w:r>
        <w:rPr>
          <w:rFonts w:ascii="Arial" w:hAnsi="Arial" w:eastAsia="Arial" w:cs="Arial"/>
        </w:rPr>
        <w:t>Inspection report form does not comply with regulatory requirements</w:t>
      </w:r>
    </w:p>
    <w:p w:rsidR="008801F8" w:rsidP="008801F8" w:rsidRDefault="008801F8" w14:paraId="0A5ABCB5" w14:textId="757BFF5C">
      <w:pPr>
        <w:numPr>
          <w:ilvl w:val="0"/>
          <w:numId w:val="7"/>
        </w:numPr>
        <w:rPr>
          <w:rFonts w:ascii="Arial" w:hAnsi="Arial" w:eastAsia="Arial" w:cs="Arial"/>
        </w:rPr>
      </w:pPr>
      <w:r>
        <w:rPr>
          <w:rFonts w:ascii="Arial" w:hAnsi="Arial" w:eastAsia="Arial" w:cs="Arial"/>
        </w:rPr>
        <w:t>Conditions that may contribute to illness or hazardous living conditions not properly addressed</w:t>
      </w:r>
    </w:p>
    <w:p w:rsidRPr="008801F8" w:rsidR="008801F8" w:rsidP="008801F8" w:rsidRDefault="008801F8" w14:paraId="7817C170" w14:textId="1BCEB0F7">
      <w:pPr>
        <w:numPr>
          <w:ilvl w:val="0"/>
          <w:numId w:val="7"/>
        </w:numPr>
        <w:rPr>
          <w:rFonts w:ascii="Arial" w:hAnsi="Arial" w:eastAsia="Arial" w:cs="Arial"/>
        </w:rPr>
      </w:pPr>
      <w:r>
        <w:rPr>
          <w:rFonts w:ascii="Arial" w:hAnsi="Arial" w:eastAsia="Arial" w:cs="Arial"/>
        </w:rPr>
        <w:t>Violations that may put residents and/or abutters at risk not properly addressed</w:t>
      </w:r>
    </w:p>
    <w:p w:rsidRPr="001C0C1E" w:rsidR="00FB05AD" w:rsidP="00FB05AD" w:rsidRDefault="008801F8" w14:paraId="15CE8090" w14:textId="1D452672">
      <w:pPr>
        <w:pStyle w:val="Heading2"/>
        <w:rPr>
          <w:rFonts w:ascii="Arial" w:hAnsi="Arial" w:eastAsia="Arial" w:cs="Arial"/>
        </w:rPr>
      </w:pPr>
      <w:r>
        <w:rPr>
          <w:rFonts w:ascii="Arial" w:hAnsi="Arial" w:eastAsia="Arial" w:cs="Arial"/>
        </w:rPr>
        <w:lastRenderedPageBreak/>
        <w:t>Lead Determination</w:t>
      </w:r>
      <w:r w:rsidR="00FB05AD">
        <w:rPr>
          <w:rFonts w:ascii="Arial" w:hAnsi="Arial" w:eastAsia="Arial" w:cs="Arial"/>
        </w:rPr>
        <w:t xml:space="preserve"> Documents</w:t>
      </w:r>
      <w:r w:rsidRPr="5C6C04F0" w:rsidR="00FB05AD">
        <w:rPr>
          <w:rFonts w:ascii="Arial" w:hAnsi="Arial" w:eastAsia="Arial" w:cs="Arial"/>
        </w:rPr>
        <w:t xml:space="preserve"> Evaluation Criteria</w:t>
      </w:r>
    </w:p>
    <w:p w:rsidRPr="00391F8B" w:rsidR="00FB05AD" w:rsidP="00FB05AD" w:rsidRDefault="008801F8" w14:paraId="2E26DBB8" w14:textId="0E310F02">
      <w:pPr>
        <w:numPr>
          <w:ilvl w:val="0"/>
          <w:numId w:val="8"/>
        </w:numPr>
        <w:rPr>
          <w:rFonts w:ascii="Arial" w:hAnsi="Arial" w:eastAsia="Arial" w:cs="Arial"/>
          <w:b/>
          <w:bCs/>
        </w:rPr>
      </w:pPr>
      <w:r w:rsidRPr="00391F8B">
        <w:rPr>
          <w:rFonts w:ascii="Arial" w:hAnsi="Arial" w:eastAsia="Arial" w:cs="Arial"/>
          <w:b/>
          <w:bCs/>
        </w:rPr>
        <w:t>Critical fields not completed</w:t>
      </w:r>
    </w:p>
    <w:p w:rsidR="00FB05AD" w:rsidP="008801F8" w:rsidRDefault="008801F8" w14:paraId="6188C820" w14:textId="68D1EF54">
      <w:pPr>
        <w:numPr>
          <w:ilvl w:val="0"/>
          <w:numId w:val="8"/>
        </w:numPr>
        <w:rPr>
          <w:rFonts w:ascii="Arial" w:hAnsi="Arial" w:eastAsia="Arial" w:cs="Arial"/>
        </w:rPr>
      </w:pPr>
      <w:r>
        <w:rPr>
          <w:rFonts w:ascii="Arial" w:hAnsi="Arial" w:eastAsia="Arial" w:cs="Arial"/>
        </w:rPr>
        <w:t>Inspection Report Form insufficient or not approved</w:t>
      </w:r>
    </w:p>
    <w:p w:rsidR="008801F8" w:rsidP="008801F8" w:rsidRDefault="008801F8" w14:paraId="59F155AC" w14:textId="13844D55">
      <w:pPr>
        <w:numPr>
          <w:ilvl w:val="0"/>
          <w:numId w:val="8"/>
        </w:numPr>
        <w:rPr>
          <w:rFonts w:ascii="Arial" w:hAnsi="Arial" w:eastAsia="Arial" w:cs="Arial"/>
        </w:rPr>
      </w:pPr>
      <w:r>
        <w:rPr>
          <w:rFonts w:ascii="Arial" w:hAnsi="Arial" w:eastAsia="Arial" w:cs="Arial"/>
        </w:rPr>
        <w:t>Reinspection not completed or documented</w:t>
      </w:r>
    </w:p>
    <w:p w:rsidR="008801F8" w:rsidP="008801F8" w:rsidRDefault="008801F8" w14:paraId="2EF07FDE" w14:textId="789EBBE1">
      <w:pPr>
        <w:numPr>
          <w:ilvl w:val="0"/>
          <w:numId w:val="8"/>
        </w:numPr>
        <w:rPr>
          <w:rFonts w:ascii="Arial" w:hAnsi="Arial" w:eastAsia="Arial" w:cs="Arial"/>
        </w:rPr>
      </w:pPr>
      <w:r>
        <w:rPr>
          <w:rFonts w:ascii="Arial" w:hAnsi="Arial" w:eastAsia="Arial" w:cs="Arial"/>
        </w:rPr>
        <w:t>Follow-up action not completed or documented</w:t>
      </w:r>
    </w:p>
    <w:p w:rsidRPr="008801F8" w:rsidR="008801F8" w:rsidP="008801F8" w:rsidRDefault="008801F8" w14:paraId="532BA6EC" w14:textId="27FB6D3C">
      <w:pPr>
        <w:numPr>
          <w:ilvl w:val="0"/>
          <w:numId w:val="8"/>
        </w:numPr>
        <w:rPr>
          <w:rFonts w:ascii="Arial" w:hAnsi="Arial" w:eastAsia="Arial" w:cs="Arial"/>
        </w:rPr>
      </w:pPr>
      <w:r>
        <w:rPr>
          <w:rFonts w:ascii="Arial" w:hAnsi="Arial" w:eastAsia="Arial" w:cs="Arial"/>
        </w:rPr>
        <w:t>Not conducting lead-based inspections where a child under 6 resides</w:t>
      </w:r>
    </w:p>
    <w:p w:rsidRPr="001C0C1E" w:rsidR="00FB05AD" w:rsidP="00FB05AD" w:rsidRDefault="008801F8" w14:paraId="5772540E" w14:textId="5D378A01">
      <w:pPr>
        <w:pStyle w:val="Heading2"/>
        <w:rPr>
          <w:rFonts w:ascii="Arial" w:hAnsi="Arial" w:eastAsia="Arial" w:cs="Arial"/>
        </w:rPr>
      </w:pPr>
      <w:r>
        <w:rPr>
          <w:rFonts w:ascii="Arial" w:hAnsi="Arial" w:eastAsia="Arial" w:cs="Arial"/>
        </w:rPr>
        <w:t>Positive Lead Determination Documents</w:t>
      </w:r>
      <w:r w:rsidRPr="5C6C04F0" w:rsidR="00FB05AD">
        <w:rPr>
          <w:rFonts w:ascii="Arial" w:hAnsi="Arial" w:eastAsia="Arial" w:cs="Arial"/>
        </w:rPr>
        <w:t xml:space="preserve"> Evaluation Criteria</w:t>
      </w:r>
    </w:p>
    <w:p w:rsidRPr="00391F8B" w:rsidR="00FB05AD" w:rsidP="00FB05AD" w:rsidRDefault="008801F8" w14:paraId="580F9485" w14:textId="3174F758">
      <w:pPr>
        <w:numPr>
          <w:ilvl w:val="0"/>
          <w:numId w:val="9"/>
        </w:numPr>
        <w:rPr>
          <w:b/>
          <w:bCs/>
        </w:rPr>
      </w:pPr>
      <w:r w:rsidRPr="00391F8B">
        <w:rPr>
          <w:rFonts w:ascii="Arial" w:hAnsi="Arial" w:eastAsia="Arial" w:cs="Arial"/>
          <w:b/>
          <w:bCs/>
        </w:rPr>
        <w:t>Reinspection not completed or documented</w:t>
      </w:r>
    </w:p>
    <w:p w:rsidR="008C57D9" w:rsidP="008801F8" w:rsidRDefault="008801F8" w14:paraId="373D98D3" w14:textId="4BABAC08">
      <w:pPr>
        <w:numPr>
          <w:ilvl w:val="0"/>
          <w:numId w:val="9"/>
        </w:numPr>
      </w:pPr>
      <w:r>
        <w:rPr>
          <w:rFonts w:ascii="Arial" w:hAnsi="Arial" w:eastAsia="Arial" w:cs="Arial"/>
        </w:rPr>
        <w:t>Critical fields not completed</w:t>
      </w:r>
    </w:p>
    <w:sectPr w:rsidR="008C57D9" w:rsidSect="00FB05A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9E0"/>
    <w:multiLevelType w:val="hybridMultilevel"/>
    <w:tmpl w:val="CCAC63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407B61"/>
    <w:multiLevelType w:val="hybridMultilevel"/>
    <w:tmpl w:val="65CA64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25F4D82"/>
    <w:multiLevelType w:val="hybridMultilevel"/>
    <w:tmpl w:val="6B700C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5F969C7"/>
    <w:multiLevelType w:val="multilevel"/>
    <w:tmpl w:val="88C0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C56119"/>
    <w:multiLevelType w:val="multilevel"/>
    <w:tmpl w:val="8F52EA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379291F"/>
    <w:multiLevelType w:val="multilevel"/>
    <w:tmpl w:val="9402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04298A"/>
    <w:multiLevelType w:val="multilevel"/>
    <w:tmpl w:val="9402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603251"/>
    <w:multiLevelType w:val="hybridMultilevel"/>
    <w:tmpl w:val="F8846B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3C20A4D"/>
    <w:multiLevelType w:val="multilevel"/>
    <w:tmpl w:val="88C0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911C57"/>
    <w:multiLevelType w:val="multilevel"/>
    <w:tmpl w:val="9402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8D032A"/>
    <w:multiLevelType w:val="multilevel"/>
    <w:tmpl w:val="88C0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B6482D"/>
    <w:multiLevelType w:val="multilevel"/>
    <w:tmpl w:val="9402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96366F"/>
    <w:multiLevelType w:val="hybridMultilevel"/>
    <w:tmpl w:val="4FACDC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C195860"/>
    <w:multiLevelType w:val="hybridMultilevel"/>
    <w:tmpl w:val="47BE96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01A583B"/>
    <w:multiLevelType w:val="multilevel"/>
    <w:tmpl w:val="1F3486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7E3074D"/>
    <w:multiLevelType w:val="multilevel"/>
    <w:tmpl w:val="9A38D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DF02948"/>
    <w:multiLevelType w:val="hybridMultilevel"/>
    <w:tmpl w:val="AE3811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EF66FB4"/>
    <w:multiLevelType w:val="multilevel"/>
    <w:tmpl w:val="19E855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805663672">
    <w:abstractNumId w:val="1"/>
  </w:num>
  <w:num w:numId="2" w16cid:durableId="476610292">
    <w:abstractNumId w:val="2"/>
  </w:num>
  <w:num w:numId="3" w16cid:durableId="724455628">
    <w:abstractNumId w:val="13"/>
  </w:num>
  <w:num w:numId="4" w16cid:durableId="1742211262">
    <w:abstractNumId w:val="0"/>
  </w:num>
  <w:num w:numId="5" w16cid:durableId="235555809">
    <w:abstractNumId w:val="3"/>
  </w:num>
  <w:num w:numId="6" w16cid:durableId="1880238082">
    <w:abstractNumId w:val="6"/>
  </w:num>
  <w:num w:numId="7" w16cid:durableId="1696300083">
    <w:abstractNumId w:val="9"/>
  </w:num>
  <w:num w:numId="8" w16cid:durableId="1163740101">
    <w:abstractNumId w:val="5"/>
  </w:num>
  <w:num w:numId="9" w16cid:durableId="1019889600">
    <w:abstractNumId w:val="11"/>
  </w:num>
  <w:num w:numId="10" w16cid:durableId="268198217">
    <w:abstractNumId w:val="4"/>
  </w:num>
  <w:num w:numId="11" w16cid:durableId="1969427896">
    <w:abstractNumId w:val="12"/>
  </w:num>
  <w:num w:numId="12" w16cid:durableId="1619143399">
    <w:abstractNumId w:val="14"/>
  </w:num>
  <w:num w:numId="13" w16cid:durableId="444889881">
    <w:abstractNumId w:val="15"/>
  </w:num>
  <w:num w:numId="14" w16cid:durableId="955990393">
    <w:abstractNumId w:val="16"/>
  </w:num>
  <w:num w:numId="15" w16cid:durableId="2043823152">
    <w:abstractNumId w:val="17"/>
  </w:num>
  <w:num w:numId="16" w16cid:durableId="272635099">
    <w:abstractNumId w:val="7"/>
  </w:num>
  <w:num w:numId="17" w16cid:durableId="1797917375">
    <w:abstractNumId w:val="8"/>
  </w:num>
  <w:num w:numId="18" w16cid:durableId="269497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AD"/>
    <w:rsid w:val="00210B96"/>
    <w:rsid w:val="002936F1"/>
    <w:rsid w:val="00391F8B"/>
    <w:rsid w:val="0056363C"/>
    <w:rsid w:val="00765AF2"/>
    <w:rsid w:val="008801F8"/>
    <w:rsid w:val="008C57D9"/>
    <w:rsid w:val="0098289F"/>
    <w:rsid w:val="00CF5E42"/>
    <w:rsid w:val="00D2623B"/>
    <w:rsid w:val="00FB05AD"/>
    <w:rsid w:val="00FD376A"/>
    <w:rsid w:val="0E0B0BB8"/>
    <w:rsid w:val="1BBA7DAF"/>
    <w:rsid w:val="30D3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CAF94C"/>
  <w15:chartTrackingRefBased/>
  <w15:docId w15:val="{7506EDCD-2856-834A-A45D-53D585C3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05AD"/>
    <w:pPr>
      <w:spacing w:after="160" w:line="259" w:lineRule="auto"/>
    </w:pPr>
    <w:rPr>
      <w:szCs w:val="22"/>
    </w:rPr>
  </w:style>
  <w:style w:type="paragraph" w:styleId="Heading1">
    <w:name w:val="heading 1"/>
    <w:basedOn w:val="Normal"/>
    <w:next w:val="Normal"/>
    <w:link w:val="Heading1Char"/>
    <w:uiPriority w:val="9"/>
    <w:qFormat/>
    <w:rsid w:val="00FB05A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05A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5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5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5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5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5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5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5A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B05A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FB05A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B05A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B05A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B05A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B05A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B05A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B05A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B05AD"/>
    <w:rPr>
      <w:rFonts w:eastAsiaTheme="majorEastAsia" w:cstheme="majorBidi"/>
      <w:color w:val="272727" w:themeColor="text1" w:themeTint="D8"/>
    </w:rPr>
  </w:style>
  <w:style w:type="paragraph" w:styleId="Title">
    <w:name w:val="Title"/>
    <w:basedOn w:val="Normal"/>
    <w:next w:val="Normal"/>
    <w:link w:val="TitleChar"/>
    <w:uiPriority w:val="10"/>
    <w:qFormat/>
    <w:rsid w:val="00FB05A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B05A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B05A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B0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5AD"/>
    <w:pPr>
      <w:spacing w:before="160"/>
      <w:jc w:val="center"/>
    </w:pPr>
    <w:rPr>
      <w:i/>
      <w:iCs/>
      <w:color w:val="404040" w:themeColor="text1" w:themeTint="BF"/>
    </w:rPr>
  </w:style>
  <w:style w:type="character" w:styleId="QuoteChar" w:customStyle="1">
    <w:name w:val="Quote Char"/>
    <w:basedOn w:val="DefaultParagraphFont"/>
    <w:link w:val="Quote"/>
    <w:uiPriority w:val="29"/>
    <w:rsid w:val="00FB05AD"/>
    <w:rPr>
      <w:i/>
      <w:iCs/>
      <w:color w:val="404040" w:themeColor="text1" w:themeTint="BF"/>
    </w:rPr>
  </w:style>
  <w:style w:type="paragraph" w:styleId="ListParagraph">
    <w:name w:val="List Paragraph"/>
    <w:basedOn w:val="Normal"/>
    <w:uiPriority w:val="34"/>
    <w:qFormat/>
    <w:rsid w:val="00FB05AD"/>
    <w:pPr>
      <w:ind w:left="720"/>
      <w:contextualSpacing/>
    </w:pPr>
  </w:style>
  <w:style w:type="character" w:styleId="IntenseEmphasis">
    <w:name w:val="Intense Emphasis"/>
    <w:basedOn w:val="DefaultParagraphFont"/>
    <w:uiPriority w:val="21"/>
    <w:qFormat/>
    <w:rsid w:val="00FB05AD"/>
    <w:rPr>
      <w:i/>
      <w:iCs/>
      <w:color w:val="0F4761" w:themeColor="accent1" w:themeShade="BF"/>
    </w:rPr>
  </w:style>
  <w:style w:type="paragraph" w:styleId="IntenseQuote">
    <w:name w:val="Intense Quote"/>
    <w:basedOn w:val="Normal"/>
    <w:next w:val="Normal"/>
    <w:link w:val="IntenseQuoteChar"/>
    <w:uiPriority w:val="30"/>
    <w:qFormat/>
    <w:rsid w:val="00FB05A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B05AD"/>
    <w:rPr>
      <w:i/>
      <w:iCs/>
      <w:color w:val="0F4761" w:themeColor="accent1" w:themeShade="BF"/>
    </w:rPr>
  </w:style>
  <w:style w:type="character" w:styleId="IntenseReference">
    <w:name w:val="Intense Reference"/>
    <w:basedOn w:val="DefaultParagraphFont"/>
    <w:uiPriority w:val="32"/>
    <w:qFormat/>
    <w:rsid w:val="00FB05AD"/>
    <w:rPr>
      <w:b/>
      <w:bCs/>
      <w:smallCaps/>
      <w:color w:val="0F4761" w:themeColor="accent1" w:themeShade="BF"/>
      <w:spacing w:val="5"/>
    </w:rPr>
  </w:style>
  <w:style w:type="character" w:styleId="Strong">
    <w:name w:val="Strong"/>
    <w:basedOn w:val="DefaultParagraphFont"/>
    <w:uiPriority w:val="22"/>
    <w:qFormat/>
    <w:rsid w:val="00FB05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93963">
      <w:bodyDiv w:val="1"/>
      <w:marLeft w:val="0"/>
      <w:marRight w:val="0"/>
      <w:marTop w:val="0"/>
      <w:marBottom w:val="0"/>
      <w:divBdr>
        <w:top w:val="none" w:sz="0" w:space="0" w:color="auto"/>
        <w:left w:val="none" w:sz="0" w:space="0" w:color="auto"/>
        <w:bottom w:val="none" w:sz="0" w:space="0" w:color="auto"/>
        <w:right w:val="none" w:sz="0" w:space="0" w:color="auto"/>
      </w:divBdr>
    </w:div>
    <w:div w:id="797144136">
      <w:bodyDiv w:val="1"/>
      <w:marLeft w:val="0"/>
      <w:marRight w:val="0"/>
      <w:marTop w:val="0"/>
      <w:marBottom w:val="0"/>
      <w:divBdr>
        <w:top w:val="none" w:sz="0" w:space="0" w:color="auto"/>
        <w:left w:val="none" w:sz="0" w:space="0" w:color="auto"/>
        <w:bottom w:val="none" w:sz="0" w:space="0" w:color="auto"/>
        <w:right w:val="none" w:sz="0" w:space="0" w:color="auto"/>
      </w:divBdr>
    </w:div>
    <w:div w:id="855652786">
      <w:bodyDiv w:val="1"/>
      <w:marLeft w:val="0"/>
      <w:marRight w:val="0"/>
      <w:marTop w:val="0"/>
      <w:marBottom w:val="0"/>
      <w:divBdr>
        <w:top w:val="none" w:sz="0" w:space="0" w:color="auto"/>
        <w:left w:val="none" w:sz="0" w:space="0" w:color="auto"/>
        <w:bottom w:val="none" w:sz="0" w:space="0" w:color="auto"/>
        <w:right w:val="none" w:sz="0" w:space="0" w:color="auto"/>
      </w:divBdr>
    </w:div>
    <w:div w:id="1067725910">
      <w:bodyDiv w:val="1"/>
      <w:marLeft w:val="0"/>
      <w:marRight w:val="0"/>
      <w:marTop w:val="0"/>
      <w:marBottom w:val="0"/>
      <w:divBdr>
        <w:top w:val="none" w:sz="0" w:space="0" w:color="auto"/>
        <w:left w:val="none" w:sz="0" w:space="0" w:color="auto"/>
        <w:bottom w:val="none" w:sz="0" w:space="0" w:color="auto"/>
        <w:right w:val="none" w:sz="0" w:space="0" w:color="auto"/>
      </w:divBdr>
    </w:div>
    <w:div w:id="1162769494">
      <w:bodyDiv w:val="1"/>
      <w:marLeft w:val="0"/>
      <w:marRight w:val="0"/>
      <w:marTop w:val="0"/>
      <w:marBottom w:val="0"/>
      <w:divBdr>
        <w:top w:val="none" w:sz="0" w:space="0" w:color="auto"/>
        <w:left w:val="none" w:sz="0" w:space="0" w:color="auto"/>
        <w:bottom w:val="none" w:sz="0" w:space="0" w:color="auto"/>
        <w:right w:val="none" w:sz="0" w:space="0" w:color="auto"/>
      </w:divBdr>
    </w:div>
    <w:div w:id="1544900507">
      <w:bodyDiv w:val="1"/>
      <w:marLeft w:val="0"/>
      <w:marRight w:val="0"/>
      <w:marTop w:val="0"/>
      <w:marBottom w:val="0"/>
      <w:divBdr>
        <w:top w:val="none" w:sz="0" w:space="0" w:color="auto"/>
        <w:left w:val="none" w:sz="0" w:space="0" w:color="auto"/>
        <w:bottom w:val="none" w:sz="0" w:space="0" w:color="auto"/>
        <w:right w:val="none" w:sz="0" w:space="0" w:color="auto"/>
      </w:divBdr>
    </w:div>
    <w:div w:id="1639190228">
      <w:bodyDiv w:val="1"/>
      <w:marLeft w:val="0"/>
      <w:marRight w:val="0"/>
      <w:marTop w:val="0"/>
      <w:marBottom w:val="0"/>
      <w:divBdr>
        <w:top w:val="none" w:sz="0" w:space="0" w:color="auto"/>
        <w:left w:val="none" w:sz="0" w:space="0" w:color="auto"/>
        <w:bottom w:val="none" w:sz="0" w:space="0" w:color="auto"/>
        <w:right w:val="none" w:sz="0" w:space="0" w:color="auto"/>
      </w:divBdr>
    </w:div>
    <w:div w:id="1778599826">
      <w:bodyDiv w:val="1"/>
      <w:marLeft w:val="0"/>
      <w:marRight w:val="0"/>
      <w:marTop w:val="0"/>
      <w:marBottom w:val="0"/>
      <w:divBdr>
        <w:top w:val="none" w:sz="0" w:space="0" w:color="auto"/>
        <w:left w:val="none" w:sz="0" w:space="0" w:color="auto"/>
        <w:bottom w:val="none" w:sz="0" w:space="0" w:color="auto"/>
        <w:right w:val="none" w:sz="0" w:space="0" w:color="auto"/>
      </w:divBdr>
    </w:div>
    <w:div w:id="1902398552">
      <w:bodyDiv w:val="1"/>
      <w:marLeft w:val="0"/>
      <w:marRight w:val="0"/>
      <w:marTop w:val="0"/>
      <w:marBottom w:val="0"/>
      <w:divBdr>
        <w:top w:val="none" w:sz="0" w:space="0" w:color="auto"/>
        <w:left w:val="none" w:sz="0" w:space="0" w:color="auto"/>
        <w:bottom w:val="none" w:sz="0" w:space="0" w:color="auto"/>
        <w:right w:val="none" w:sz="0" w:space="0" w:color="auto"/>
      </w:divBdr>
    </w:div>
    <w:div w:id="1904829248">
      <w:bodyDiv w:val="1"/>
      <w:marLeft w:val="0"/>
      <w:marRight w:val="0"/>
      <w:marTop w:val="0"/>
      <w:marBottom w:val="0"/>
      <w:divBdr>
        <w:top w:val="none" w:sz="0" w:space="0" w:color="auto"/>
        <w:left w:val="none" w:sz="0" w:space="0" w:color="auto"/>
        <w:bottom w:val="none" w:sz="0" w:space="0" w:color="auto"/>
        <w:right w:val="none" w:sz="0" w:space="0" w:color="auto"/>
      </w:divBdr>
    </w:div>
    <w:div w:id="1945074580">
      <w:bodyDiv w:val="1"/>
      <w:marLeft w:val="0"/>
      <w:marRight w:val="0"/>
      <w:marTop w:val="0"/>
      <w:marBottom w:val="0"/>
      <w:divBdr>
        <w:top w:val="none" w:sz="0" w:space="0" w:color="auto"/>
        <w:left w:val="none" w:sz="0" w:space="0" w:color="auto"/>
        <w:bottom w:val="none" w:sz="0" w:space="0" w:color="auto"/>
        <w:right w:val="none" w:sz="0" w:space="0" w:color="auto"/>
      </w:divBdr>
    </w:div>
    <w:div w:id="198785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3BD009BDB8EF42B036A9EFFCFFA59B" ma:contentTypeVersion="17" ma:contentTypeDescription="Create a new document." ma:contentTypeScope="" ma:versionID="c27e45b51ed16fa060b3d8b299f71bf0">
  <xsd:schema xmlns:xsd="http://www.w3.org/2001/XMLSchema" xmlns:xs="http://www.w3.org/2001/XMLSchema" xmlns:p="http://schemas.microsoft.com/office/2006/metadata/properties" xmlns:ns2="7be21a48-2ac6-4241-b11c-f13ced8f5d7f" xmlns:ns3="4d4d6b6d-c724-4828-aac0-1eea98e835d7" targetNamespace="http://schemas.microsoft.com/office/2006/metadata/properties" ma:root="true" ma:fieldsID="bc34618edd0e15ac962c2c0b55dc41dc" ns2:_="" ns3:_="">
    <xsd:import namespace="7be21a48-2ac6-4241-b11c-f13ced8f5d7f"/>
    <xsd:import namespace="4d4d6b6d-c724-4828-aac0-1eea98e835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Review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21a48-2ac6-4241-b11c-f13ced8f5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ReviewStatus" ma:index="23" nillable="true" ma:displayName="Review Status" ma:format="Dropdown" ma:internalName="ReviewStatus">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d6b6d-c724-4828-aac0-1eea98e835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af780c-0d41-4ede-bf97-511a1faba8fa}" ma:internalName="TaxCatchAll" ma:showField="CatchAllData" ma:web="4d4d6b6d-c724-4828-aac0-1eea98e83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e21a48-2ac6-4241-b11c-f13ced8f5d7f">
      <Terms xmlns="http://schemas.microsoft.com/office/infopath/2007/PartnerControls"/>
    </lcf76f155ced4ddcb4097134ff3c332f>
    <TaxCatchAll xmlns="4d4d6b6d-c724-4828-aac0-1eea98e835d7" xsi:nil="true"/>
    <ReviewStatus xmlns="7be21a48-2ac6-4241-b11c-f13ced8f5d7f" xsi:nil="true"/>
  </documentManagement>
</p:properties>
</file>

<file path=customXml/itemProps1.xml><?xml version="1.0" encoding="utf-8"?>
<ds:datastoreItem xmlns:ds="http://schemas.openxmlformats.org/officeDocument/2006/customXml" ds:itemID="{10165C03-9D9F-4FBB-A374-A9D5CFD3C92A}"/>
</file>

<file path=customXml/itemProps2.xml><?xml version="1.0" encoding="utf-8"?>
<ds:datastoreItem xmlns:ds="http://schemas.openxmlformats.org/officeDocument/2006/customXml" ds:itemID="{52F726AB-FE3E-4E4E-9F83-F534B64087F4}"/>
</file>

<file path=customXml/itemProps3.xml><?xml version="1.0" encoding="utf-8"?>
<ds:datastoreItem xmlns:ds="http://schemas.openxmlformats.org/officeDocument/2006/customXml" ds:itemID="{10525DE2-635F-4339-84AB-A0F6B1B97AB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Schultz, Haleigh</dc:creator>
  <keywords/>
  <dc:description/>
  <lastModifiedBy>Loskill, Alyssa (DPH)</lastModifiedBy>
  <revision>7</revision>
  <dcterms:created xsi:type="dcterms:W3CDTF">2024-07-24T15:53:00.0000000Z</dcterms:created>
  <dcterms:modified xsi:type="dcterms:W3CDTF">2024-07-25T16:38:29.6364766Z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0x010100F23BD009BDB8EF42B036A9EFFCFFA59B</vt:lpwstr>
  </property>
  <property fmtid="{D5CDD505-2E9C-101B-9397-08002B2CF9AE}" pid="3" name="MediaServiceImageTags">
    <vt:lpwstr/>
  </property>
</Properties>
</file>