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8EB5E" w14:textId="77777777" w:rsidR="00B83D0B" w:rsidRPr="00B83D0B" w:rsidRDefault="00B83D0B" w:rsidP="00B83D0B">
      <w:pPr>
        <w:tabs>
          <w:tab w:val="left" w:pos="1080"/>
        </w:tabs>
      </w:pPr>
      <w:r w:rsidRPr="00C26400">
        <w:rPr>
          <w:b/>
        </w:rPr>
        <w:tab/>
      </w:r>
      <w:r>
        <w:tab/>
      </w:r>
      <w:r>
        <w:tab/>
      </w:r>
    </w:p>
    <w:p w14:paraId="18FA5835" w14:textId="77777777" w:rsidR="00B83D0B" w:rsidRPr="00B83D0B" w:rsidRDefault="00B83D0B" w:rsidP="00B83D0B">
      <w:pPr>
        <w:tabs>
          <w:tab w:val="left" w:pos="1080"/>
        </w:tabs>
        <w:rPr>
          <w:b/>
          <w:sz w:val="22"/>
          <w:szCs w:val="22"/>
        </w:rPr>
      </w:pPr>
      <w:r>
        <w:t xml:space="preserve"> </w:t>
      </w:r>
      <w:r w:rsidR="00D0530F">
        <w:rPr>
          <w:noProof/>
        </w:rPr>
        <w:drawing>
          <wp:anchor distT="0" distB="0" distL="114300" distR="114300" simplePos="0" relativeHeight="251657728" behindDoc="1" locked="0" layoutInCell="1" allowOverlap="1" wp14:anchorId="768460C7" wp14:editId="4F81A3E2">
            <wp:simplePos x="0" y="0"/>
            <wp:positionH relativeFrom="column">
              <wp:posOffset>0</wp:posOffset>
            </wp:positionH>
            <wp:positionV relativeFrom="paragraph">
              <wp:posOffset>-83820</wp:posOffset>
            </wp:positionV>
            <wp:extent cx="612775" cy="745490"/>
            <wp:effectExtent l="0" t="0" r="0" b="0"/>
            <wp:wrapNone/>
            <wp:docPr id="2" name="Picture 2" descr="MA_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_Sea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</w:t>
      </w:r>
      <w:r>
        <w:tab/>
      </w:r>
    </w:p>
    <w:p w14:paraId="5716A1AD" w14:textId="77777777" w:rsidR="00B83D0B" w:rsidRPr="006F2279" w:rsidRDefault="00B83D0B" w:rsidP="00B83D0B">
      <w:pPr>
        <w:tabs>
          <w:tab w:val="left" w:pos="1080"/>
        </w:tabs>
      </w:pPr>
      <w:r>
        <w:tab/>
      </w:r>
      <w:r>
        <w:rPr>
          <w:b/>
        </w:rPr>
        <w:t>Massachusetts Department of Housing and Community Development</w:t>
      </w:r>
    </w:p>
    <w:p w14:paraId="1A453B13" w14:textId="77777777" w:rsidR="00B83D0B" w:rsidRPr="00AB1682" w:rsidRDefault="00B83D0B" w:rsidP="00B83D0B">
      <w:pPr>
        <w:tabs>
          <w:tab w:val="left" w:pos="1080"/>
        </w:tabs>
        <w:rPr>
          <w:b/>
          <w:sz w:val="22"/>
          <w:szCs w:val="22"/>
        </w:rPr>
      </w:pPr>
      <w:r>
        <w:tab/>
      </w:r>
      <w:r w:rsidRPr="00C26400">
        <w:rPr>
          <w:b/>
        </w:rPr>
        <w:t>Division of Housing Stabilization</w:t>
      </w:r>
      <w:r w:rsidRPr="00C26400">
        <w:rPr>
          <w:b/>
        </w:rPr>
        <w:tab/>
      </w:r>
      <w:r w:rsidRPr="00C26400">
        <w:rPr>
          <w:b/>
        </w:rPr>
        <w:tab/>
      </w:r>
      <w:r>
        <w:tab/>
      </w:r>
      <w:r>
        <w:tab/>
      </w:r>
    </w:p>
    <w:p w14:paraId="6CF7F77B" w14:textId="77777777" w:rsidR="00B83D0B" w:rsidRDefault="00B83D0B" w:rsidP="00B83D0B">
      <w:pPr>
        <w:tabs>
          <w:tab w:val="left" w:pos="1080"/>
        </w:tabs>
        <w:rPr>
          <w:b/>
          <w:sz w:val="28"/>
          <w:szCs w:val="28"/>
        </w:rPr>
      </w:pPr>
      <w:r>
        <w:t xml:space="preserve"> </w:t>
      </w:r>
      <w:r>
        <w:tab/>
      </w:r>
    </w:p>
    <w:p w14:paraId="7FDE10A2" w14:textId="77777777" w:rsidR="00B83D0B" w:rsidRPr="00B83D0B" w:rsidRDefault="00B83D0B" w:rsidP="00317907">
      <w:pPr>
        <w:tabs>
          <w:tab w:val="left" w:pos="720"/>
        </w:tabs>
      </w:pPr>
      <w:r w:rsidRPr="00B83D0B">
        <w:t>To:</w:t>
      </w:r>
      <w:r w:rsidRPr="00B83D0B">
        <w:tab/>
        <w:t>DHCD Field Staff</w:t>
      </w:r>
    </w:p>
    <w:p w14:paraId="053106E0" w14:textId="7B379A20" w:rsidR="00B83D0B" w:rsidRPr="00B83D0B" w:rsidRDefault="00B83D0B" w:rsidP="00317907">
      <w:pPr>
        <w:tabs>
          <w:tab w:val="left" w:pos="720"/>
        </w:tabs>
      </w:pPr>
      <w:r w:rsidRPr="00B83D0B">
        <w:t>From:</w:t>
      </w:r>
      <w:r w:rsidRPr="00B83D0B">
        <w:tab/>
      </w:r>
      <w:r w:rsidR="00461AC8">
        <w:t>Alvina Brevard</w:t>
      </w:r>
      <w:r w:rsidR="003641DF">
        <w:t>,</w:t>
      </w:r>
      <w:r w:rsidR="00EF04B6">
        <w:t xml:space="preserve"> </w:t>
      </w:r>
      <w:r w:rsidRPr="00B83D0B">
        <w:t>Director</w:t>
      </w:r>
    </w:p>
    <w:p w14:paraId="44E161C4" w14:textId="786B99A4" w:rsidR="00B83D0B" w:rsidRPr="00B83D0B" w:rsidRDefault="00317907" w:rsidP="00317907">
      <w:pPr>
        <w:tabs>
          <w:tab w:val="left" w:pos="720"/>
        </w:tabs>
      </w:pPr>
      <w:r>
        <w:t>Date:</w:t>
      </w:r>
      <w:r>
        <w:tab/>
      </w:r>
      <w:r w:rsidR="00326AEF">
        <w:t>Janu</w:t>
      </w:r>
      <w:r w:rsidR="00126E55">
        <w:t>ary</w:t>
      </w:r>
      <w:r w:rsidR="000C1624">
        <w:t xml:space="preserve"> </w:t>
      </w:r>
      <w:r w:rsidR="003D5F72">
        <w:t>20</w:t>
      </w:r>
      <w:r w:rsidR="00EF04B6">
        <w:t>, 20</w:t>
      </w:r>
      <w:r w:rsidR="00461AC8">
        <w:t>2</w:t>
      </w:r>
      <w:r w:rsidR="000367C8">
        <w:t>2</w:t>
      </w:r>
    </w:p>
    <w:p w14:paraId="1570845B" w14:textId="5AB9151C" w:rsidR="00B83D0B" w:rsidRPr="00B83D0B" w:rsidRDefault="00B83D0B" w:rsidP="00317907">
      <w:pPr>
        <w:pBdr>
          <w:bottom w:val="single" w:sz="12" w:space="1" w:color="auto"/>
        </w:pBdr>
        <w:tabs>
          <w:tab w:val="left" w:pos="720"/>
        </w:tabs>
        <w:ind w:left="720" w:hanging="720"/>
      </w:pPr>
      <w:r w:rsidRPr="00B83D0B">
        <w:t>RE:</w:t>
      </w:r>
      <w:r w:rsidRPr="00B83D0B">
        <w:tab/>
        <w:t xml:space="preserve">Housing Stabilization Notice </w:t>
      </w:r>
      <w:r w:rsidR="002A026A" w:rsidRPr="00B83D0B">
        <w:t>20</w:t>
      </w:r>
      <w:r w:rsidR="00461AC8">
        <w:t>2</w:t>
      </w:r>
      <w:r w:rsidR="000367C8">
        <w:t>2</w:t>
      </w:r>
      <w:r w:rsidRPr="00B83D0B">
        <w:t>-</w:t>
      </w:r>
      <w:r w:rsidR="003641DF">
        <w:t>01</w:t>
      </w:r>
      <w:r w:rsidR="00C43B8F">
        <w:t>,</w:t>
      </w:r>
      <w:r w:rsidR="00317907">
        <w:t xml:space="preserve"> </w:t>
      </w:r>
      <w:r w:rsidR="00EF04B6">
        <w:t xml:space="preserve">Implementation of Increase in the Federal Poverty Guidelines effective </w:t>
      </w:r>
      <w:r w:rsidR="000C1624">
        <w:t xml:space="preserve">January </w:t>
      </w:r>
      <w:r w:rsidR="00126E55">
        <w:t>1</w:t>
      </w:r>
      <w:r w:rsidR="000367C8">
        <w:t>2</w:t>
      </w:r>
      <w:r w:rsidR="007B218C">
        <w:t>, 202</w:t>
      </w:r>
      <w:r w:rsidR="000367C8">
        <w:t>2</w:t>
      </w:r>
      <w:r w:rsidR="00E822F0" w:rsidRPr="00E822F0">
        <w:t>.</w:t>
      </w:r>
    </w:p>
    <w:p w14:paraId="18925CF8" w14:textId="77777777" w:rsidR="00B83D0B" w:rsidRPr="00FD683F" w:rsidRDefault="00B83D0B" w:rsidP="00B83D0B">
      <w:pPr>
        <w:tabs>
          <w:tab w:val="left" w:pos="1080"/>
        </w:tabs>
      </w:pPr>
    </w:p>
    <w:p w14:paraId="42055BA1" w14:textId="2A4EA075" w:rsidR="006D4839" w:rsidRDefault="00EF04B6" w:rsidP="00EF04B6">
      <w:pPr>
        <w:autoSpaceDE w:val="0"/>
        <w:autoSpaceDN w:val="0"/>
        <w:adjustRightInd w:val="0"/>
        <w:spacing w:line="360" w:lineRule="auto"/>
        <w:jc w:val="both"/>
      </w:pPr>
      <w:r w:rsidRPr="00EF04B6">
        <w:rPr>
          <w:sz w:val="20"/>
          <w:szCs w:val="20"/>
        </w:rPr>
        <w:t xml:space="preserve">Effective </w:t>
      </w:r>
      <w:r w:rsidR="00126E55">
        <w:rPr>
          <w:sz w:val="20"/>
          <w:szCs w:val="20"/>
        </w:rPr>
        <w:t>January 1</w:t>
      </w:r>
      <w:r w:rsidR="000367C8">
        <w:rPr>
          <w:sz w:val="20"/>
          <w:szCs w:val="20"/>
        </w:rPr>
        <w:t>2</w:t>
      </w:r>
      <w:r w:rsidR="00126E55">
        <w:rPr>
          <w:sz w:val="20"/>
          <w:szCs w:val="20"/>
        </w:rPr>
        <w:t>, 20</w:t>
      </w:r>
      <w:r w:rsidR="007B218C">
        <w:rPr>
          <w:sz w:val="20"/>
          <w:szCs w:val="20"/>
        </w:rPr>
        <w:t>2</w:t>
      </w:r>
      <w:r w:rsidR="000367C8">
        <w:rPr>
          <w:sz w:val="20"/>
          <w:szCs w:val="20"/>
        </w:rPr>
        <w:t>2</w:t>
      </w:r>
      <w:r w:rsidRPr="00EF04B6">
        <w:rPr>
          <w:sz w:val="20"/>
          <w:szCs w:val="20"/>
        </w:rPr>
        <w:t xml:space="preserve">, the new Federal Poverty Guidelines (FPG) </w:t>
      </w:r>
      <w:r w:rsidR="00803A6B">
        <w:rPr>
          <w:sz w:val="20"/>
          <w:szCs w:val="20"/>
        </w:rPr>
        <w:t>have been implemented and</w:t>
      </w:r>
      <w:r w:rsidRPr="00EF04B6">
        <w:rPr>
          <w:sz w:val="20"/>
          <w:szCs w:val="20"/>
        </w:rPr>
        <w:t xml:space="preserve"> will be used to determine eligibility for Emergency Assistance (EA). The EA </w:t>
      </w:r>
      <w:r w:rsidR="00803A6B">
        <w:rPr>
          <w:sz w:val="20"/>
          <w:szCs w:val="20"/>
        </w:rPr>
        <w:t>income standard for</w:t>
      </w:r>
      <w:r w:rsidRPr="00EF04B6">
        <w:rPr>
          <w:sz w:val="20"/>
          <w:szCs w:val="20"/>
        </w:rPr>
        <w:t xml:space="preserve"> </w:t>
      </w:r>
      <w:r w:rsidR="00803A6B">
        <w:rPr>
          <w:sz w:val="20"/>
          <w:szCs w:val="20"/>
        </w:rPr>
        <w:t>initial eligibility</w:t>
      </w:r>
      <w:r w:rsidRPr="00EF04B6">
        <w:rPr>
          <w:sz w:val="20"/>
          <w:szCs w:val="20"/>
        </w:rPr>
        <w:t xml:space="preserve"> is 115 % of the FPG</w:t>
      </w:r>
      <w:r w:rsidR="00803A6B">
        <w:rPr>
          <w:sz w:val="20"/>
          <w:szCs w:val="20"/>
        </w:rPr>
        <w:t>, the continuing eligibility standard for remaining in EA is 200% of FPG</w:t>
      </w:r>
      <w:r w:rsidRPr="00EF04B6">
        <w:rPr>
          <w:sz w:val="20"/>
          <w:szCs w:val="20"/>
        </w:rPr>
        <w:t>. This change has been prog</w:t>
      </w:r>
      <w:r w:rsidR="005E5F50">
        <w:rPr>
          <w:sz w:val="20"/>
          <w:szCs w:val="20"/>
        </w:rPr>
        <w:t>rammed into ASIST. Below is the</w:t>
      </w:r>
      <w:r w:rsidRPr="00EF04B6">
        <w:rPr>
          <w:sz w:val="20"/>
          <w:szCs w:val="20"/>
        </w:rPr>
        <w:t xml:space="preserve"> chart to use when determining eligibility</w:t>
      </w:r>
      <w:r>
        <w:t>.</w:t>
      </w:r>
    </w:p>
    <w:p w14:paraId="6298F88B" w14:textId="77777777" w:rsidR="00EF04B6" w:rsidRDefault="00EF04B6" w:rsidP="005E5F50">
      <w:pPr>
        <w:autoSpaceDE w:val="0"/>
        <w:autoSpaceDN w:val="0"/>
        <w:adjustRightInd w:val="0"/>
        <w:spacing w:line="360" w:lineRule="auto"/>
        <w:jc w:val="both"/>
      </w:pPr>
    </w:p>
    <w:p w14:paraId="2183CA29" w14:textId="77777777" w:rsidR="00EF04B6" w:rsidRDefault="00EF04B6" w:rsidP="005E5F50">
      <w:pPr>
        <w:autoSpaceDE w:val="0"/>
        <w:autoSpaceDN w:val="0"/>
        <w:adjustRightInd w:val="0"/>
        <w:spacing w:line="360" w:lineRule="auto"/>
        <w:jc w:val="both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13"/>
        <w:gridCol w:w="2132"/>
        <w:gridCol w:w="2107"/>
      </w:tblGrid>
      <w:tr w:rsidR="00803A6B" w14:paraId="1AA78E86" w14:textId="77777777" w:rsidTr="00461AC8">
        <w:trPr>
          <w:jc w:val="center"/>
        </w:trPr>
        <w:tc>
          <w:tcPr>
            <w:tcW w:w="2213" w:type="dxa"/>
            <w:vAlign w:val="center"/>
          </w:tcPr>
          <w:p w14:paraId="57EF3C51" w14:textId="77777777" w:rsidR="00803A6B" w:rsidRPr="00EF04B6" w:rsidRDefault="00803A6B" w:rsidP="005E5F5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EF04B6">
              <w:rPr>
                <w:b/>
                <w:sz w:val="22"/>
                <w:szCs w:val="22"/>
              </w:rPr>
              <w:t>Family Size</w:t>
            </w:r>
          </w:p>
        </w:tc>
        <w:tc>
          <w:tcPr>
            <w:tcW w:w="2132" w:type="dxa"/>
            <w:vAlign w:val="center"/>
          </w:tcPr>
          <w:p w14:paraId="0FE9DCD3" w14:textId="77777777" w:rsidR="00803A6B" w:rsidRPr="00EF04B6" w:rsidRDefault="00803A6B" w:rsidP="005E5F5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EF04B6">
              <w:rPr>
                <w:b/>
                <w:sz w:val="22"/>
                <w:szCs w:val="22"/>
              </w:rPr>
              <w:t>115% of FPG EA Monthly Income</w:t>
            </w:r>
          </w:p>
          <w:p w14:paraId="19C945A0" w14:textId="77777777" w:rsidR="00803A6B" w:rsidRPr="00EF04B6" w:rsidRDefault="00803A6B" w:rsidP="005E5F5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EF04B6">
              <w:rPr>
                <w:b/>
                <w:sz w:val="22"/>
                <w:szCs w:val="22"/>
              </w:rPr>
              <w:t>Eligibility Standard</w:t>
            </w:r>
          </w:p>
        </w:tc>
        <w:tc>
          <w:tcPr>
            <w:tcW w:w="2107" w:type="dxa"/>
          </w:tcPr>
          <w:p w14:paraId="5980BCBA" w14:textId="77777777" w:rsidR="00803A6B" w:rsidRPr="00EF04B6" w:rsidRDefault="00803A6B" w:rsidP="005E5F5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</w:t>
            </w:r>
            <w:r w:rsidRPr="00EF04B6">
              <w:rPr>
                <w:b/>
                <w:sz w:val="22"/>
                <w:szCs w:val="22"/>
              </w:rPr>
              <w:t>% of FPG EA Monthly Income</w:t>
            </w:r>
          </w:p>
          <w:p w14:paraId="3AD50EDA" w14:textId="77777777" w:rsidR="00803A6B" w:rsidRPr="00EF04B6" w:rsidRDefault="00803A6B" w:rsidP="005E5F5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EF04B6">
              <w:rPr>
                <w:b/>
                <w:sz w:val="22"/>
                <w:szCs w:val="22"/>
              </w:rPr>
              <w:t>Eligibility Standard</w:t>
            </w:r>
          </w:p>
        </w:tc>
      </w:tr>
      <w:tr w:rsidR="00803A6B" w14:paraId="3D3E016C" w14:textId="77777777" w:rsidTr="00461AC8">
        <w:trPr>
          <w:jc w:val="center"/>
        </w:trPr>
        <w:tc>
          <w:tcPr>
            <w:tcW w:w="2213" w:type="dxa"/>
            <w:vAlign w:val="center"/>
          </w:tcPr>
          <w:p w14:paraId="29136F8A" w14:textId="77777777" w:rsidR="00803A6B" w:rsidRDefault="00803A6B" w:rsidP="00670902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2132" w:type="dxa"/>
          </w:tcPr>
          <w:p w14:paraId="69AAD833" w14:textId="7AC3DBFD" w:rsidR="00803A6B" w:rsidRPr="005030F8" w:rsidRDefault="003017C9" w:rsidP="00461AC8">
            <w:pPr>
              <w:jc w:val="center"/>
            </w:pPr>
            <w:r>
              <w:t>$1,302</w:t>
            </w:r>
          </w:p>
        </w:tc>
        <w:tc>
          <w:tcPr>
            <w:tcW w:w="2107" w:type="dxa"/>
          </w:tcPr>
          <w:p w14:paraId="5A34F8EA" w14:textId="01B8B2E1" w:rsidR="00803A6B" w:rsidRDefault="003017C9" w:rsidP="00670902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$2,265</w:t>
            </w:r>
          </w:p>
        </w:tc>
      </w:tr>
      <w:tr w:rsidR="00803A6B" w14:paraId="34C9F4D9" w14:textId="77777777" w:rsidTr="00461AC8">
        <w:trPr>
          <w:jc w:val="center"/>
        </w:trPr>
        <w:tc>
          <w:tcPr>
            <w:tcW w:w="2213" w:type="dxa"/>
            <w:vAlign w:val="center"/>
          </w:tcPr>
          <w:p w14:paraId="0EC972F7" w14:textId="77777777" w:rsidR="00803A6B" w:rsidRDefault="00803A6B" w:rsidP="00670902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2</w:t>
            </w:r>
          </w:p>
        </w:tc>
        <w:tc>
          <w:tcPr>
            <w:tcW w:w="2132" w:type="dxa"/>
          </w:tcPr>
          <w:p w14:paraId="614C2254" w14:textId="3DE57B7C" w:rsidR="00803A6B" w:rsidRPr="005030F8" w:rsidRDefault="003017C9" w:rsidP="00670902">
            <w:pPr>
              <w:jc w:val="center"/>
            </w:pPr>
            <w:r>
              <w:t>$1,775</w:t>
            </w:r>
          </w:p>
        </w:tc>
        <w:tc>
          <w:tcPr>
            <w:tcW w:w="2107" w:type="dxa"/>
          </w:tcPr>
          <w:p w14:paraId="40CDDDFC" w14:textId="736AA72A" w:rsidR="00803A6B" w:rsidRDefault="003017C9" w:rsidP="00670902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$3,052</w:t>
            </w:r>
          </w:p>
        </w:tc>
      </w:tr>
      <w:tr w:rsidR="00803A6B" w14:paraId="39FD98BD" w14:textId="77777777" w:rsidTr="00461AC8">
        <w:trPr>
          <w:jc w:val="center"/>
        </w:trPr>
        <w:tc>
          <w:tcPr>
            <w:tcW w:w="2213" w:type="dxa"/>
            <w:vAlign w:val="center"/>
          </w:tcPr>
          <w:p w14:paraId="42C2FCAD" w14:textId="77777777" w:rsidR="00803A6B" w:rsidRDefault="00803A6B" w:rsidP="00670902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3</w:t>
            </w:r>
          </w:p>
        </w:tc>
        <w:tc>
          <w:tcPr>
            <w:tcW w:w="2132" w:type="dxa"/>
          </w:tcPr>
          <w:p w14:paraId="4D645C80" w14:textId="4A3F2491" w:rsidR="00803A6B" w:rsidRPr="005030F8" w:rsidRDefault="003017C9" w:rsidP="00670902">
            <w:pPr>
              <w:jc w:val="center"/>
            </w:pPr>
            <w:r>
              <w:t>$2,207</w:t>
            </w:r>
          </w:p>
        </w:tc>
        <w:tc>
          <w:tcPr>
            <w:tcW w:w="2107" w:type="dxa"/>
          </w:tcPr>
          <w:p w14:paraId="1E3D8AAC" w14:textId="2F473A5B" w:rsidR="00803A6B" w:rsidRDefault="003017C9" w:rsidP="00670902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$3,838</w:t>
            </w:r>
          </w:p>
        </w:tc>
      </w:tr>
      <w:tr w:rsidR="00803A6B" w14:paraId="6EDC6FAA" w14:textId="77777777" w:rsidTr="00461AC8">
        <w:trPr>
          <w:jc w:val="center"/>
        </w:trPr>
        <w:tc>
          <w:tcPr>
            <w:tcW w:w="2213" w:type="dxa"/>
            <w:vAlign w:val="center"/>
          </w:tcPr>
          <w:p w14:paraId="50D96399" w14:textId="77777777" w:rsidR="00803A6B" w:rsidRDefault="00803A6B" w:rsidP="00670902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4</w:t>
            </w:r>
          </w:p>
        </w:tc>
        <w:tc>
          <w:tcPr>
            <w:tcW w:w="2132" w:type="dxa"/>
          </w:tcPr>
          <w:p w14:paraId="3ECED5B9" w14:textId="5E44EA48" w:rsidR="00803A6B" w:rsidRPr="005030F8" w:rsidRDefault="003017C9" w:rsidP="00670902">
            <w:pPr>
              <w:jc w:val="center"/>
            </w:pPr>
            <w:r>
              <w:t>$2,659</w:t>
            </w:r>
          </w:p>
        </w:tc>
        <w:tc>
          <w:tcPr>
            <w:tcW w:w="2107" w:type="dxa"/>
          </w:tcPr>
          <w:p w14:paraId="1FE9FEB0" w14:textId="652467E9" w:rsidR="00803A6B" w:rsidRDefault="003017C9" w:rsidP="00670902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$4,625</w:t>
            </w:r>
          </w:p>
        </w:tc>
      </w:tr>
      <w:tr w:rsidR="00803A6B" w14:paraId="3B533AB8" w14:textId="77777777" w:rsidTr="00461AC8">
        <w:trPr>
          <w:jc w:val="center"/>
        </w:trPr>
        <w:tc>
          <w:tcPr>
            <w:tcW w:w="2213" w:type="dxa"/>
            <w:vAlign w:val="center"/>
          </w:tcPr>
          <w:p w14:paraId="19B4C2C6" w14:textId="77777777" w:rsidR="00803A6B" w:rsidRDefault="00803A6B" w:rsidP="00670902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5</w:t>
            </w:r>
          </w:p>
        </w:tc>
        <w:tc>
          <w:tcPr>
            <w:tcW w:w="2132" w:type="dxa"/>
          </w:tcPr>
          <w:p w14:paraId="46A0DCB4" w14:textId="4D00CAEE" w:rsidR="00803A6B" w:rsidRPr="005030F8" w:rsidRDefault="003017C9" w:rsidP="00670902">
            <w:pPr>
              <w:jc w:val="center"/>
            </w:pPr>
            <w:r>
              <w:t>$3,112</w:t>
            </w:r>
          </w:p>
        </w:tc>
        <w:tc>
          <w:tcPr>
            <w:tcW w:w="2107" w:type="dxa"/>
          </w:tcPr>
          <w:p w14:paraId="243FB6C4" w14:textId="377B198D" w:rsidR="00803A6B" w:rsidRDefault="003017C9" w:rsidP="00461AC8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$5,412</w:t>
            </w:r>
          </w:p>
        </w:tc>
      </w:tr>
      <w:tr w:rsidR="00803A6B" w14:paraId="3CC5E134" w14:textId="77777777" w:rsidTr="00461AC8">
        <w:trPr>
          <w:jc w:val="center"/>
        </w:trPr>
        <w:tc>
          <w:tcPr>
            <w:tcW w:w="2213" w:type="dxa"/>
            <w:vAlign w:val="center"/>
          </w:tcPr>
          <w:p w14:paraId="0300838F" w14:textId="77777777" w:rsidR="00803A6B" w:rsidRDefault="00803A6B" w:rsidP="00670902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6</w:t>
            </w:r>
          </w:p>
        </w:tc>
        <w:tc>
          <w:tcPr>
            <w:tcW w:w="2132" w:type="dxa"/>
          </w:tcPr>
          <w:p w14:paraId="45C3A8D7" w14:textId="14F97C4F" w:rsidR="00803A6B" w:rsidRPr="005030F8" w:rsidRDefault="003017C9" w:rsidP="00461AC8">
            <w:pPr>
              <w:jc w:val="center"/>
            </w:pPr>
            <w:r>
              <w:t>$3,564</w:t>
            </w:r>
          </w:p>
        </w:tc>
        <w:tc>
          <w:tcPr>
            <w:tcW w:w="2107" w:type="dxa"/>
          </w:tcPr>
          <w:p w14:paraId="7E311A2B" w14:textId="457CCD81" w:rsidR="00803A6B" w:rsidRDefault="003017C9" w:rsidP="00670902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$6,198</w:t>
            </w:r>
          </w:p>
        </w:tc>
      </w:tr>
      <w:tr w:rsidR="00803A6B" w14:paraId="206FC10C" w14:textId="77777777" w:rsidTr="00461AC8">
        <w:trPr>
          <w:jc w:val="center"/>
        </w:trPr>
        <w:tc>
          <w:tcPr>
            <w:tcW w:w="2213" w:type="dxa"/>
            <w:vAlign w:val="center"/>
          </w:tcPr>
          <w:p w14:paraId="0E5D4BDB" w14:textId="77777777" w:rsidR="00803A6B" w:rsidRDefault="00803A6B" w:rsidP="00670902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7</w:t>
            </w:r>
          </w:p>
        </w:tc>
        <w:tc>
          <w:tcPr>
            <w:tcW w:w="2132" w:type="dxa"/>
          </w:tcPr>
          <w:p w14:paraId="2C33BA5F" w14:textId="0C69F2A0" w:rsidR="00803A6B" w:rsidRPr="005030F8" w:rsidRDefault="003017C9" w:rsidP="00461AC8">
            <w:pPr>
              <w:jc w:val="center"/>
            </w:pPr>
            <w:r>
              <w:t>$4,016</w:t>
            </w:r>
          </w:p>
        </w:tc>
        <w:tc>
          <w:tcPr>
            <w:tcW w:w="2107" w:type="dxa"/>
          </w:tcPr>
          <w:p w14:paraId="57818FA0" w14:textId="5C23EDA5" w:rsidR="00803A6B" w:rsidRDefault="003017C9" w:rsidP="00461AC8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$6,985</w:t>
            </w:r>
          </w:p>
        </w:tc>
      </w:tr>
      <w:tr w:rsidR="00803A6B" w14:paraId="0B6668F2" w14:textId="77777777" w:rsidTr="00461AC8">
        <w:trPr>
          <w:jc w:val="center"/>
        </w:trPr>
        <w:tc>
          <w:tcPr>
            <w:tcW w:w="2213" w:type="dxa"/>
            <w:vAlign w:val="center"/>
          </w:tcPr>
          <w:p w14:paraId="7A4DAD9E" w14:textId="77777777" w:rsidR="00803A6B" w:rsidRDefault="00803A6B" w:rsidP="00670902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8</w:t>
            </w:r>
          </w:p>
        </w:tc>
        <w:tc>
          <w:tcPr>
            <w:tcW w:w="2132" w:type="dxa"/>
          </w:tcPr>
          <w:p w14:paraId="110A7273" w14:textId="57BC239E" w:rsidR="00803A6B" w:rsidRDefault="003017C9" w:rsidP="00461AC8">
            <w:pPr>
              <w:jc w:val="center"/>
            </w:pPr>
            <w:r>
              <w:t>$4,469</w:t>
            </w:r>
          </w:p>
        </w:tc>
        <w:tc>
          <w:tcPr>
            <w:tcW w:w="2107" w:type="dxa"/>
          </w:tcPr>
          <w:p w14:paraId="58D5568E" w14:textId="37D21BDF" w:rsidR="00803A6B" w:rsidRDefault="003017C9" w:rsidP="00461AC8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$7,772</w:t>
            </w:r>
          </w:p>
        </w:tc>
      </w:tr>
      <w:tr w:rsidR="00803A6B" w14:paraId="4537E98C" w14:textId="77777777" w:rsidTr="00461AC8">
        <w:trPr>
          <w:trHeight w:val="64"/>
          <w:jc w:val="center"/>
        </w:trPr>
        <w:tc>
          <w:tcPr>
            <w:tcW w:w="2213" w:type="dxa"/>
            <w:vAlign w:val="center"/>
          </w:tcPr>
          <w:p w14:paraId="72D4B9D8" w14:textId="77777777" w:rsidR="00803A6B" w:rsidRDefault="00670902" w:rsidP="00670902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 xml:space="preserve">Per </w:t>
            </w:r>
            <w:r w:rsidR="00803A6B">
              <w:t>Add</w:t>
            </w:r>
            <w:r>
              <w:t>itional</w:t>
            </w:r>
            <w:r w:rsidR="00803A6B">
              <w:t xml:space="preserve"> Person</w:t>
            </w:r>
          </w:p>
        </w:tc>
        <w:tc>
          <w:tcPr>
            <w:tcW w:w="2132" w:type="dxa"/>
            <w:vAlign w:val="center"/>
          </w:tcPr>
          <w:p w14:paraId="65EA7A91" w14:textId="21D201A5" w:rsidR="00803A6B" w:rsidRDefault="003017C9" w:rsidP="00461AC8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$452</w:t>
            </w:r>
          </w:p>
        </w:tc>
        <w:tc>
          <w:tcPr>
            <w:tcW w:w="2107" w:type="dxa"/>
            <w:vAlign w:val="center"/>
          </w:tcPr>
          <w:p w14:paraId="6F6D0A7A" w14:textId="54F38B07" w:rsidR="00803A6B" w:rsidRDefault="003017C9" w:rsidP="00670902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$787</w:t>
            </w:r>
          </w:p>
        </w:tc>
      </w:tr>
    </w:tbl>
    <w:p w14:paraId="0D078A30" w14:textId="77777777" w:rsidR="00EF04B6" w:rsidRDefault="00EF04B6" w:rsidP="00EF04B6">
      <w:pPr>
        <w:autoSpaceDE w:val="0"/>
        <w:autoSpaceDN w:val="0"/>
        <w:adjustRightInd w:val="0"/>
        <w:spacing w:line="360" w:lineRule="auto"/>
        <w:jc w:val="both"/>
      </w:pPr>
    </w:p>
    <w:p w14:paraId="754CFD3F" w14:textId="77777777" w:rsidR="00EF04B6" w:rsidRDefault="00EF04B6" w:rsidP="00EF04B6">
      <w:pPr>
        <w:autoSpaceDE w:val="0"/>
        <w:autoSpaceDN w:val="0"/>
        <w:adjustRightInd w:val="0"/>
        <w:spacing w:line="360" w:lineRule="auto"/>
        <w:jc w:val="both"/>
        <w:rPr>
          <w:bCs/>
          <w:iCs/>
          <w:sz w:val="20"/>
          <w:szCs w:val="20"/>
        </w:rPr>
      </w:pPr>
    </w:p>
    <w:p w14:paraId="259C415D" w14:textId="77777777" w:rsidR="00EF04B6" w:rsidRPr="00EF04B6" w:rsidRDefault="00EF04B6" w:rsidP="00EF04B6">
      <w:pPr>
        <w:autoSpaceDE w:val="0"/>
        <w:autoSpaceDN w:val="0"/>
        <w:adjustRightInd w:val="0"/>
        <w:spacing w:line="360" w:lineRule="auto"/>
        <w:jc w:val="both"/>
        <w:rPr>
          <w:bCs/>
          <w:iCs/>
          <w:sz w:val="20"/>
          <w:szCs w:val="20"/>
        </w:rPr>
      </w:pPr>
      <w:r w:rsidRPr="00EF04B6">
        <w:rPr>
          <w:bCs/>
          <w:iCs/>
          <w:sz w:val="20"/>
          <w:szCs w:val="20"/>
        </w:rPr>
        <w:t xml:space="preserve">This notice supersedes all prior guidance issued by the Division of Housing Stabilization </w:t>
      </w:r>
      <w:proofErr w:type="gramStart"/>
      <w:r w:rsidRPr="00EF04B6">
        <w:rPr>
          <w:bCs/>
          <w:iCs/>
          <w:sz w:val="20"/>
          <w:szCs w:val="20"/>
        </w:rPr>
        <w:t>in regard to</w:t>
      </w:r>
      <w:proofErr w:type="gramEnd"/>
      <w:r w:rsidRPr="00EF04B6">
        <w:rPr>
          <w:bCs/>
          <w:iCs/>
          <w:sz w:val="20"/>
          <w:szCs w:val="20"/>
        </w:rPr>
        <w:t xml:space="preserve"> maximum income limits for receipt of Emergency Assistance benefits based on then current Federal Poverty Guidelines.</w:t>
      </w:r>
    </w:p>
    <w:sectPr w:rsidR="00EF04B6" w:rsidRPr="00EF04B6" w:rsidSect="000D6778">
      <w:headerReference w:type="default" r:id="rId12"/>
      <w:footerReference w:type="even" r:id="rId13"/>
      <w:footerReference w:type="default" r:id="rId14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43CC0" w14:textId="77777777" w:rsidR="00CC25DF" w:rsidRDefault="00CC25DF">
      <w:r>
        <w:separator/>
      </w:r>
    </w:p>
  </w:endnote>
  <w:endnote w:type="continuationSeparator" w:id="0">
    <w:p w14:paraId="197E56C2" w14:textId="77777777" w:rsidR="00CC25DF" w:rsidRDefault="00CC2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F0173" w14:textId="77777777" w:rsidR="007F376E" w:rsidRDefault="007F376E" w:rsidP="007C26A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C76C2D" w14:textId="77777777" w:rsidR="007F376E" w:rsidRDefault="007F37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69E55" w14:textId="77777777" w:rsidR="007F376E" w:rsidRPr="00805111" w:rsidRDefault="007F376E" w:rsidP="00805111">
    <w:pPr>
      <w:pStyle w:val="Footer"/>
      <w:jc w:val="right"/>
      <w:rPr>
        <w:sz w:val="16"/>
        <w:szCs w:val="16"/>
      </w:rPr>
    </w:pPr>
    <w:r>
      <w:rPr>
        <w:sz w:val="16"/>
        <w:szCs w:val="16"/>
      </w:rPr>
      <w:softHyphen/>
    </w:r>
    <w:r>
      <w:rPr>
        <w:sz w:val="16"/>
        <w:szCs w:val="16"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C37A7" w14:textId="77777777" w:rsidR="00CC25DF" w:rsidRDefault="00CC25DF">
      <w:r>
        <w:separator/>
      </w:r>
    </w:p>
  </w:footnote>
  <w:footnote w:type="continuationSeparator" w:id="0">
    <w:p w14:paraId="39E2AA12" w14:textId="77777777" w:rsidR="00CC25DF" w:rsidRDefault="00CC25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903DB" w14:textId="77777777" w:rsidR="007F376E" w:rsidRDefault="007F376E" w:rsidP="000561ED">
    <w:pPr>
      <w:pStyle w:val="Header"/>
    </w:pPr>
    <w:r w:rsidRPr="00B83D0B">
      <w:t>Housing Stabilization Notice 20</w:t>
    </w:r>
    <w:r>
      <w:t>12</w:t>
    </w:r>
    <w:r w:rsidRPr="00B83D0B">
      <w:t>-</w:t>
    </w:r>
    <w:r>
      <w:t>XX</w:t>
    </w:r>
  </w:p>
  <w:p w14:paraId="6BD5AB9E" w14:textId="77777777" w:rsidR="007F376E" w:rsidRDefault="007F376E" w:rsidP="000561ED">
    <w:pPr>
      <w:pStyle w:val="Header"/>
    </w:pPr>
    <w:r>
      <w:t>Guidance on Basic Verifications for Intake</w:t>
    </w:r>
  </w:p>
  <w:p w14:paraId="7F25BC0A" w14:textId="77777777" w:rsidR="007F376E" w:rsidRDefault="007F376E" w:rsidP="000561ED">
    <w:pPr>
      <w:pStyle w:val="Header"/>
    </w:pPr>
    <w:r>
      <w:t>September 17, 2012</w:t>
    </w:r>
  </w:p>
  <w:p w14:paraId="65ABBE59" w14:textId="77777777" w:rsidR="007F376E" w:rsidRPr="002B20E0" w:rsidRDefault="007F376E" w:rsidP="002B20E0">
    <w:pPr>
      <w:pStyle w:val="Footer"/>
      <w:spacing w:after="120"/>
      <w:rPr>
        <w:u w:val="single"/>
      </w:rPr>
    </w:pPr>
    <w:r w:rsidRPr="000320EE">
      <w:rPr>
        <w:u w:val="single"/>
      </w:rPr>
      <w:t xml:space="preserve">Page </w:t>
    </w:r>
    <w:r w:rsidRPr="000320EE">
      <w:rPr>
        <w:rStyle w:val="PageNumber"/>
        <w:u w:val="single"/>
      </w:rPr>
      <w:fldChar w:fldCharType="begin"/>
    </w:r>
    <w:r w:rsidRPr="000320EE">
      <w:rPr>
        <w:rStyle w:val="PageNumber"/>
        <w:u w:val="single"/>
      </w:rPr>
      <w:instrText xml:space="preserve">PAGE  </w:instrText>
    </w:r>
    <w:r w:rsidRPr="000320EE">
      <w:rPr>
        <w:rStyle w:val="PageNumber"/>
        <w:u w:val="single"/>
      </w:rPr>
      <w:fldChar w:fldCharType="separate"/>
    </w:r>
    <w:r w:rsidR="00461AC8">
      <w:rPr>
        <w:rStyle w:val="PageNumber"/>
        <w:noProof/>
        <w:u w:val="single"/>
      </w:rPr>
      <w:t>2</w:t>
    </w:r>
    <w:r w:rsidRPr="000320EE">
      <w:rPr>
        <w:rStyle w:val="PageNumber"/>
        <w:u w:val="single"/>
      </w:rPr>
      <w:fldChar w:fldCharType="end"/>
    </w:r>
    <w:r>
      <w:rPr>
        <w:rStyle w:val="PageNumber"/>
        <w:u w:val="single"/>
      </w:rPr>
      <w:t>                                                                                                         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5AA06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462717"/>
    <w:multiLevelType w:val="hybridMultilevel"/>
    <w:tmpl w:val="9596FF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836220"/>
    <w:multiLevelType w:val="hybridMultilevel"/>
    <w:tmpl w:val="274E477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68124B"/>
    <w:multiLevelType w:val="hybridMultilevel"/>
    <w:tmpl w:val="D212723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AC1D0A"/>
    <w:multiLevelType w:val="hybridMultilevel"/>
    <w:tmpl w:val="A77E27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D0B"/>
    <w:rsid w:val="000007BE"/>
    <w:rsid w:val="00004605"/>
    <w:rsid w:val="00004DB3"/>
    <w:rsid w:val="0000721C"/>
    <w:rsid w:val="0002040C"/>
    <w:rsid w:val="0003036B"/>
    <w:rsid w:val="0003413A"/>
    <w:rsid w:val="00035067"/>
    <w:rsid w:val="000367C8"/>
    <w:rsid w:val="00037B2A"/>
    <w:rsid w:val="00041D21"/>
    <w:rsid w:val="000436A1"/>
    <w:rsid w:val="000538DE"/>
    <w:rsid w:val="00054BC7"/>
    <w:rsid w:val="00055E80"/>
    <w:rsid w:val="000561ED"/>
    <w:rsid w:val="00061463"/>
    <w:rsid w:val="00072643"/>
    <w:rsid w:val="00073E03"/>
    <w:rsid w:val="00074E09"/>
    <w:rsid w:val="00075D8A"/>
    <w:rsid w:val="00080779"/>
    <w:rsid w:val="00084D85"/>
    <w:rsid w:val="0008522A"/>
    <w:rsid w:val="000869DA"/>
    <w:rsid w:val="00091DEF"/>
    <w:rsid w:val="00094B12"/>
    <w:rsid w:val="00095194"/>
    <w:rsid w:val="000A4DDE"/>
    <w:rsid w:val="000A7C30"/>
    <w:rsid w:val="000B0EE0"/>
    <w:rsid w:val="000B1609"/>
    <w:rsid w:val="000B1A85"/>
    <w:rsid w:val="000B304C"/>
    <w:rsid w:val="000B4602"/>
    <w:rsid w:val="000B4616"/>
    <w:rsid w:val="000C1624"/>
    <w:rsid w:val="000C56B4"/>
    <w:rsid w:val="000C5F28"/>
    <w:rsid w:val="000C759F"/>
    <w:rsid w:val="000D00E4"/>
    <w:rsid w:val="000D4955"/>
    <w:rsid w:val="000D57DB"/>
    <w:rsid w:val="000D6778"/>
    <w:rsid w:val="000D71CD"/>
    <w:rsid w:val="000D7680"/>
    <w:rsid w:val="000D7734"/>
    <w:rsid w:val="000E23B5"/>
    <w:rsid w:val="000E2446"/>
    <w:rsid w:val="000E37DD"/>
    <w:rsid w:val="000E3C86"/>
    <w:rsid w:val="000E4B3C"/>
    <w:rsid w:val="000E7CF3"/>
    <w:rsid w:val="000F1417"/>
    <w:rsid w:val="000F306C"/>
    <w:rsid w:val="000F75BE"/>
    <w:rsid w:val="00106D6E"/>
    <w:rsid w:val="001100C8"/>
    <w:rsid w:val="00116606"/>
    <w:rsid w:val="00116750"/>
    <w:rsid w:val="001173BD"/>
    <w:rsid w:val="00120B73"/>
    <w:rsid w:val="00120C56"/>
    <w:rsid w:val="00126E55"/>
    <w:rsid w:val="00132B6E"/>
    <w:rsid w:val="00133558"/>
    <w:rsid w:val="001356D1"/>
    <w:rsid w:val="00135BBE"/>
    <w:rsid w:val="00136594"/>
    <w:rsid w:val="00150948"/>
    <w:rsid w:val="00153C22"/>
    <w:rsid w:val="001608FD"/>
    <w:rsid w:val="00163533"/>
    <w:rsid w:val="00165451"/>
    <w:rsid w:val="00175B1B"/>
    <w:rsid w:val="0018051F"/>
    <w:rsid w:val="001805C6"/>
    <w:rsid w:val="0018127F"/>
    <w:rsid w:val="00183E62"/>
    <w:rsid w:val="00184E48"/>
    <w:rsid w:val="00192914"/>
    <w:rsid w:val="001979BD"/>
    <w:rsid w:val="001A2741"/>
    <w:rsid w:val="001B2C34"/>
    <w:rsid w:val="001B7E07"/>
    <w:rsid w:val="001C07CF"/>
    <w:rsid w:val="001C3BCF"/>
    <w:rsid w:val="001D535A"/>
    <w:rsid w:val="001D58FC"/>
    <w:rsid w:val="001D6734"/>
    <w:rsid w:val="001E0B1C"/>
    <w:rsid w:val="001E38D8"/>
    <w:rsid w:val="001E5385"/>
    <w:rsid w:val="001E5609"/>
    <w:rsid w:val="001F4197"/>
    <w:rsid w:val="00201032"/>
    <w:rsid w:val="0020721A"/>
    <w:rsid w:val="002075FF"/>
    <w:rsid w:val="002101F9"/>
    <w:rsid w:val="00215C18"/>
    <w:rsid w:val="00227276"/>
    <w:rsid w:val="00230463"/>
    <w:rsid w:val="00230DA5"/>
    <w:rsid w:val="0023138A"/>
    <w:rsid w:val="002359D8"/>
    <w:rsid w:val="00241288"/>
    <w:rsid w:val="00241791"/>
    <w:rsid w:val="00245064"/>
    <w:rsid w:val="00250456"/>
    <w:rsid w:val="00253059"/>
    <w:rsid w:val="002567C3"/>
    <w:rsid w:val="00263357"/>
    <w:rsid w:val="00266F3E"/>
    <w:rsid w:val="00267C66"/>
    <w:rsid w:val="00270657"/>
    <w:rsid w:val="00271E06"/>
    <w:rsid w:val="00284A47"/>
    <w:rsid w:val="00284F4A"/>
    <w:rsid w:val="00285D0E"/>
    <w:rsid w:val="002866E4"/>
    <w:rsid w:val="00294609"/>
    <w:rsid w:val="002A026A"/>
    <w:rsid w:val="002A48A4"/>
    <w:rsid w:val="002A6897"/>
    <w:rsid w:val="002B1A75"/>
    <w:rsid w:val="002B20E0"/>
    <w:rsid w:val="002B28D1"/>
    <w:rsid w:val="002B2B02"/>
    <w:rsid w:val="002B3D0E"/>
    <w:rsid w:val="002C1778"/>
    <w:rsid w:val="002C2110"/>
    <w:rsid w:val="002C2B45"/>
    <w:rsid w:val="002C3F78"/>
    <w:rsid w:val="002C7D5F"/>
    <w:rsid w:val="002D0605"/>
    <w:rsid w:val="002D0C68"/>
    <w:rsid w:val="002D4597"/>
    <w:rsid w:val="002D7152"/>
    <w:rsid w:val="002E1802"/>
    <w:rsid w:val="002E5B1A"/>
    <w:rsid w:val="002E68F4"/>
    <w:rsid w:val="002F1928"/>
    <w:rsid w:val="002F1F00"/>
    <w:rsid w:val="002F2A93"/>
    <w:rsid w:val="002F324E"/>
    <w:rsid w:val="002F453E"/>
    <w:rsid w:val="002F5465"/>
    <w:rsid w:val="002F78B0"/>
    <w:rsid w:val="003017C9"/>
    <w:rsid w:val="00304B32"/>
    <w:rsid w:val="00306230"/>
    <w:rsid w:val="00310918"/>
    <w:rsid w:val="00317907"/>
    <w:rsid w:val="0032253F"/>
    <w:rsid w:val="003225AD"/>
    <w:rsid w:val="00326AEF"/>
    <w:rsid w:val="00327D5E"/>
    <w:rsid w:val="00332B6D"/>
    <w:rsid w:val="00332F6A"/>
    <w:rsid w:val="00334828"/>
    <w:rsid w:val="00342C7B"/>
    <w:rsid w:val="00344F23"/>
    <w:rsid w:val="00345EBC"/>
    <w:rsid w:val="0035197F"/>
    <w:rsid w:val="00356293"/>
    <w:rsid w:val="00360D4D"/>
    <w:rsid w:val="0036166C"/>
    <w:rsid w:val="0036283A"/>
    <w:rsid w:val="00363C27"/>
    <w:rsid w:val="00363DDD"/>
    <w:rsid w:val="003641DF"/>
    <w:rsid w:val="003661E5"/>
    <w:rsid w:val="00374061"/>
    <w:rsid w:val="00374115"/>
    <w:rsid w:val="00376AE7"/>
    <w:rsid w:val="003772E6"/>
    <w:rsid w:val="00382F63"/>
    <w:rsid w:val="003934F0"/>
    <w:rsid w:val="003973A5"/>
    <w:rsid w:val="003A6A12"/>
    <w:rsid w:val="003A7033"/>
    <w:rsid w:val="003C15C4"/>
    <w:rsid w:val="003D5F72"/>
    <w:rsid w:val="003D64A4"/>
    <w:rsid w:val="003E1BD4"/>
    <w:rsid w:val="003F2751"/>
    <w:rsid w:val="003F7B1E"/>
    <w:rsid w:val="004007E1"/>
    <w:rsid w:val="00410259"/>
    <w:rsid w:val="00417CD9"/>
    <w:rsid w:val="004212B9"/>
    <w:rsid w:val="00423325"/>
    <w:rsid w:val="00425B83"/>
    <w:rsid w:val="0044468D"/>
    <w:rsid w:val="00445439"/>
    <w:rsid w:val="00455704"/>
    <w:rsid w:val="0045643A"/>
    <w:rsid w:val="00461AC8"/>
    <w:rsid w:val="00467D2A"/>
    <w:rsid w:val="00471A7F"/>
    <w:rsid w:val="00473461"/>
    <w:rsid w:val="00474DBA"/>
    <w:rsid w:val="00483E98"/>
    <w:rsid w:val="004904FA"/>
    <w:rsid w:val="004A103D"/>
    <w:rsid w:val="004A2DDC"/>
    <w:rsid w:val="004A51A6"/>
    <w:rsid w:val="004B0258"/>
    <w:rsid w:val="004B360E"/>
    <w:rsid w:val="004B431B"/>
    <w:rsid w:val="004B5AD6"/>
    <w:rsid w:val="004C44E3"/>
    <w:rsid w:val="004C5DDC"/>
    <w:rsid w:val="004C7FA0"/>
    <w:rsid w:val="004D0CB8"/>
    <w:rsid w:val="004D4305"/>
    <w:rsid w:val="004D4EF9"/>
    <w:rsid w:val="004D5B43"/>
    <w:rsid w:val="004E27F1"/>
    <w:rsid w:val="004E42F7"/>
    <w:rsid w:val="004E6486"/>
    <w:rsid w:val="004F58EF"/>
    <w:rsid w:val="004F619A"/>
    <w:rsid w:val="00500043"/>
    <w:rsid w:val="00505A46"/>
    <w:rsid w:val="00507DA8"/>
    <w:rsid w:val="00512EDE"/>
    <w:rsid w:val="00513FA8"/>
    <w:rsid w:val="00526B15"/>
    <w:rsid w:val="0052728D"/>
    <w:rsid w:val="00531388"/>
    <w:rsid w:val="00532EF1"/>
    <w:rsid w:val="0053328A"/>
    <w:rsid w:val="00533767"/>
    <w:rsid w:val="00537921"/>
    <w:rsid w:val="0054145E"/>
    <w:rsid w:val="00543467"/>
    <w:rsid w:val="005466CF"/>
    <w:rsid w:val="00550540"/>
    <w:rsid w:val="00550D8D"/>
    <w:rsid w:val="005560B8"/>
    <w:rsid w:val="00564CBB"/>
    <w:rsid w:val="00580413"/>
    <w:rsid w:val="00582278"/>
    <w:rsid w:val="00583E67"/>
    <w:rsid w:val="005904BC"/>
    <w:rsid w:val="00595510"/>
    <w:rsid w:val="005966EB"/>
    <w:rsid w:val="005A3C61"/>
    <w:rsid w:val="005A6567"/>
    <w:rsid w:val="005B21AA"/>
    <w:rsid w:val="005B3863"/>
    <w:rsid w:val="005B38C1"/>
    <w:rsid w:val="005B7E99"/>
    <w:rsid w:val="005C01F4"/>
    <w:rsid w:val="005C78A9"/>
    <w:rsid w:val="005E4633"/>
    <w:rsid w:val="005E5F50"/>
    <w:rsid w:val="005E684E"/>
    <w:rsid w:val="005E72F7"/>
    <w:rsid w:val="005E7BA8"/>
    <w:rsid w:val="005F2ADB"/>
    <w:rsid w:val="005F68C1"/>
    <w:rsid w:val="005F76D6"/>
    <w:rsid w:val="005F7A8B"/>
    <w:rsid w:val="00601F2B"/>
    <w:rsid w:val="00604818"/>
    <w:rsid w:val="006070A5"/>
    <w:rsid w:val="006140B1"/>
    <w:rsid w:val="00616738"/>
    <w:rsid w:val="00617530"/>
    <w:rsid w:val="0063224A"/>
    <w:rsid w:val="0063281D"/>
    <w:rsid w:val="00636210"/>
    <w:rsid w:val="00643495"/>
    <w:rsid w:val="006444E7"/>
    <w:rsid w:val="00646655"/>
    <w:rsid w:val="00652659"/>
    <w:rsid w:val="00652E80"/>
    <w:rsid w:val="0065409C"/>
    <w:rsid w:val="0065531D"/>
    <w:rsid w:val="00656D6E"/>
    <w:rsid w:val="00661061"/>
    <w:rsid w:val="00661EEF"/>
    <w:rsid w:val="00662F79"/>
    <w:rsid w:val="00665B9C"/>
    <w:rsid w:val="00665D26"/>
    <w:rsid w:val="00670902"/>
    <w:rsid w:val="006733E5"/>
    <w:rsid w:val="0067589B"/>
    <w:rsid w:val="00675957"/>
    <w:rsid w:val="00681121"/>
    <w:rsid w:val="00681CE9"/>
    <w:rsid w:val="00682CD7"/>
    <w:rsid w:val="00684FD4"/>
    <w:rsid w:val="006876FB"/>
    <w:rsid w:val="00690196"/>
    <w:rsid w:val="0069431B"/>
    <w:rsid w:val="006958A5"/>
    <w:rsid w:val="006A6042"/>
    <w:rsid w:val="006B19DB"/>
    <w:rsid w:val="006B29EE"/>
    <w:rsid w:val="006B7572"/>
    <w:rsid w:val="006C441B"/>
    <w:rsid w:val="006C60F1"/>
    <w:rsid w:val="006C7AAA"/>
    <w:rsid w:val="006C7CC1"/>
    <w:rsid w:val="006D0E37"/>
    <w:rsid w:val="006D1618"/>
    <w:rsid w:val="006D4839"/>
    <w:rsid w:val="006E0C12"/>
    <w:rsid w:val="006F1461"/>
    <w:rsid w:val="006F4C68"/>
    <w:rsid w:val="00706FAB"/>
    <w:rsid w:val="007158B7"/>
    <w:rsid w:val="00721718"/>
    <w:rsid w:val="00725BC6"/>
    <w:rsid w:val="00727CDB"/>
    <w:rsid w:val="00730C7A"/>
    <w:rsid w:val="0073510F"/>
    <w:rsid w:val="00744AD0"/>
    <w:rsid w:val="007505BC"/>
    <w:rsid w:val="00756BDE"/>
    <w:rsid w:val="007579F1"/>
    <w:rsid w:val="00761654"/>
    <w:rsid w:val="0077024D"/>
    <w:rsid w:val="007728CB"/>
    <w:rsid w:val="0077460B"/>
    <w:rsid w:val="00776D22"/>
    <w:rsid w:val="00785041"/>
    <w:rsid w:val="0078747C"/>
    <w:rsid w:val="007908E7"/>
    <w:rsid w:val="0079655F"/>
    <w:rsid w:val="007A3C5B"/>
    <w:rsid w:val="007B218C"/>
    <w:rsid w:val="007C055E"/>
    <w:rsid w:val="007C1FE8"/>
    <w:rsid w:val="007C26AB"/>
    <w:rsid w:val="007C2D12"/>
    <w:rsid w:val="007C379E"/>
    <w:rsid w:val="007C46F3"/>
    <w:rsid w:val="007C5063"/>
    <w:rsid w:val="007D1BBC"/>
    <w:rsid w:val="007D2124"/>
    <w:rsid w:val="007D3D54"/>
    <w:rsid w:val="007F376E"/>
    <w:rsid w:val="008016E9"/>
    <w:rsid w:val="00803A6B"/>
    <w:rsid w:val="00805111"/>
    <w:rsid w:val="008070B7"/>
    <w:rsid w:val="00807548"/>
    <w:rsid w:val="00810D4A"/>
    <w:rsid w:val="00813913"/>
    <w:rsid w:val="00813E68"/>
    <w:rsid w:val="008165B0"/>
    <w:rsid w:val="008177CE"/>
    <w:rsid w:val="00821F5D"/>
    <w:rsid w:val="00822726"/>
    <w:rsid w:val="00822A44"/>
    <w:rsid w:val="0083221C"/>
    <w:rsid w:val="008337E6"/>
    <w:rsid w:val="008359F1"/>
    <w:rsid w:val="00841F32"/>
    <w:rsid w:val="00842F3E"/>
    <w:rsid w:val="008435DC"/>
    <w:rsid w:val="00847EA8"/>
    <w:rsid w:val="008544E7"/>
    <w:rsid w:val="0086131F"/>
    <w:rsid w:val="00865DC9"/>
    <w:rsid w:val="0087010F"/>
    <w:rsid w:val="00872823"/>
    <w:rsid w:val="00873D3E"/>
    <w:rsid w:val="00873E1B"/>
    <w:rsid w:val="00874204"/>
    <w:rsid w:val="00882DBD"/>
    <w:rsid w:val="0088417A"/>
    <w:rsid w:val="00884D01"/>
    <w:rsid w:val="008912DE"/>
    <w:rsid w:val="008960D0"/>
    <w:rsid w:val="008A7DA7"/>
    <w:rsid w:val="008B0C6F"/>
    <w:rsid w:val="008B2175"/>
    <w:rsid w:val="008B3454"/>
    <w:rsid w:val="008B3966"/>
    <w:rsid w:val="008B491C"/>
    <w:rsid w:val="008B7311"/>
    <w:rsid w:val="008C04E0"/>
    <w:rsid w:val="008D37AC"/>
    <w:rsid w:val="008D5403"/>
    <w:rsid w:val="008D7683"/>
    <w:rsid w:val="008E32CB"/>
    <w:rsid w:val="008E56D3"/>
    <w:rsid w:val="008E69D2"/>
    <w:rsid w:val="008F5137"/>
    <w:rsid w:val="00901697"/>
    <w:rsid w:val="00902A84"/>
    <w:rsid w:val="00904034"/>
    <w:rsid w:val="00904727"/>
    <w:rsid w:val="009066BB"/>
    <w:rsid w:val="0091312E"/>
    <w:rsid w:val="0092239B"/>
    <w:rsid w:val="009249AA"/>
    <w:rsid w:val="00924E43"/>
    <w:rsid w:val="00930C8B"/>
    <w:rsid w:val="00932232"/>
    <w:rsid w:val="00934973"/>
    <w:rsid w:val="0093512D"/>
    <w:rsid w:val="00941BAC"/>
    <w:rsid w:val="00946155"/>
    <w:rsid w:val="00946351"/>
    <w:rsid w:val="00947592"/>
    <w:rsid w:val="00954E3D"/>
    <w:rsid w:val="009665D9"/>
    <w:rsid w:val="0096669D"/>
    <w:rsid w:val="00972377"/>
    <w:rsid w:val="00972426"/>
    <w:rsid w:val="0098430B"/>
    <w:rsid w:val="00986803"/>
    <w:rsid w:val="0099185D"/>
    <w:rsid w:val="00996D88"/>
    <w:rsid w:val="00996ED5"/>
    <w:rsid w:val="00997451"/>
    <w:rsid w:val="009A01A6"/>
    <w:rsid w:val="009A2691"/>
    <w:rsid w:val="009A3D61"/>
    <w:rsid w:val="009A3D63"/>
    <w:rsid w:val="009B2265"/>
    <w:rsid w:val="009B7746"/>
    <w:rsid w:val="009C1E4D"/>
    <w:rsid w:val="009C3AA8"/>
    <w:rsid w:val="009C3CDC"/>
    <w:rsid w:val="009C3D12"/>
    <w:rsid w:val="009D3FDA"/>
    <w:rsid w:val="009D6058"/>
    <w:rsid w:val="009D6EE6"/>
    <w:rsid w:val="009E1573"/>
    <w:rsid w:val="009F54D0"/>
    <w:rsid w:val="00A004E9"/>
    <w:rsid w:val="00A04C50"/>
    <w:rsid w:val="00A1083E"/>
    <w:rsid w:val="00A17FE3"/>
    <w:rsid w:val="00A23D66"/>
    <w:rsid w:val="00A334A5"/>
    <w:rsid w:val="00A42225"/>
    <w:rsid w:val="00A43F2B"/>
    <w:rsid w:val="00A46546"/>
    <w:rsid w:val="00A46B43"/>
    <w:rsid w:val="00A53CC7"/>
    <w:rsid w:val="00A54B5B"/>
    <w:rsid w:val="00A64A4F"/>
    <w:rsid w:val="00A64DD1"/>
    <w:rsid w:val="00A66409"/>
    <w:rsid w:val="00A668AB"/>
    <w:rsid w:val="00A712E8"/>
    <w:rsid w:val="00A75274"/>
    <w:rsid w:val="00A76529"/>
    <w:rsid w:val="00A8416B"/>
    <w:rsid w:val="00AA113A"/>
    <w:rsid w:val="00AA2BEC"/>
    <w:rsid w:val="00AA6445"/>
    <w:rsid w:val="00AA6714"/>
    <w:rsid w:val="00AA75DC"/>
    <w:rsid w:val="00AA7BAC"/>
    <w:rsid w:val="00AB04E0"/>
    <w:rsid w:val="00AD0E4C"/>
    <w:rsid w:val="00AD75B7"/>
    <w:rsid w:val="00AE63DD"/>
    <w:rsid w:val="00AE7B07"/>
    <w:rsid w:val="00AE7F45"/>
    <w:rsid w:val="00AF2326"/>
    <w:rsid w:val="00AF448A"/>
    <w:rsid w:val="00AF56B5"/>
    <w:rsid w:val="00AF56B8"/>
    <w:rsid w:val="00B03919"/>
    <w:rsid w:val="00B1053A"/>
    <w:rsid w:val="00B10BA3"/>
    <w:rsid w:val="00B152D6"/>
    <w:rsid w:val="00B229C4"/>
    <w:rsid w:val="00B3108C"/>
    <w:rsid w:val="00B3212C"/>
    <w:rsid w:val="00B349C1"/>
    <w:rsid w:val="00B3725E"/>
    <w:rsid w:val="00B43194"/>
    <w:rsid w:val="00B57EE5"/>
    <w:rsid w:val="00B603E4"/>
    <w:rsid w:val="00B63C6B"/>
    <w:rsid w:val="00B64AC9"/>
    <w:rsid w:val="00B66864"/>
    <w:rsid w:val="00B66A45"/>
    <w:rsid w:val="00B83D0B"/>
    <w:rsid w:val="00B8578A"/>
    <w:rsid w:val="00B90201"/>
    <w:rsid w:val="00B93381"/>
    <w:rsid w:val="00B93971"/>
    <w:rsid w:val="00B95C21"/>
    <w:rsid w:val="00B969E4"/>
    <w:rsid w:val="00BA35F7"/>
    <w:rsid w:val="00BA50CD"/>
    <w:rsid w:val="00BA5CB6"/>
    <w:rsid w:val="00BB13DC"/>
    <w:rsid w:val="00BB54BC"/>
    <w:rsid w:val="00BC14DF"/>
    <w:rsid w:val="00BC6EDC"/>
    <w:rsid w:val="00BD040E"/>
    <w:rsid w:val="00BD7AF0"/>
    <w:rsid w:val="00BF18CF"/>
    <w:rsid w:val="00BF262A"/>
    <w:rsid w:val="00BF3A51"/>
    <w:rsid w:val="00C009BC"/>
    <w:rsid w:val="00C07552"/>
    <w:rsid w:val="00C134F8"/>
    <w:rsid w:val="00C13E2C"/>
    <w:rsid w:val="00C15FFB"/>
    <w:rsid w:val="00C3145E"/>
    <w:rsid w:val="00C347F3"/>
    <w:rsid w:val="00C35A77"/>
    <w:rsid w:val="00C43B8F"/>
    <w:rsid w:val="00C475C7"/>
    <w:rsid w:val="00C52E26"/>
    <w:rsid w:val="00C54037"/>
    <w:rsid w:val="00C56D8B"/>
    <w:rsid w:val="00C57634"/>
    <w:rsid w:val="00C66E1E"/>
    <w:rsid w:val="00C717E5"/>
    <w:rsid w:val="00C74932"/>
    <w:rsid w:val="00C74C5F"/>
    <w:rsid w:val="00C7507A"/>
    <w:rsid w:val="00C81805"/>
    <w:rsid w:val="00C8625D"/>
    <w:rsid w:val="00C902A5"/>
    <w:rsid w:val="00CA25C5"/>
    <w:rsid w:val="00CB0FC6"/>
    <w:rsid w:val="00CB2173"/>
    <w:rsid w:val="00CB339B"/>
    <w:rsid w:val="00CC0B7E"/>
    <w:rsid w:val="00CC25DF"/>
    <w:rsid w:val="00CC290D"/>
    <w:rsid w:val="00CC29F2"/>
    <w:rsid w:val="00CC5464"/>
    <w:rsid w:val="00CC6985"/>
    <w:rsid w:val="00CC765E"/>
    <w:rsid w:val="00CD1EFE"/>
    <w:rsid w:val="00CD2020"/>
    <w:rsid w:val="00CD25BF"/>
    <w:rsid w:val="00CE086A"/>
    <w:rsid w:val="00CE138D"/>
    <w:rsid w:val="00CE18F3"/>
    <w:rsid w:val="00CE2ADB"/>
    <w:rsid w:val="00CF161D"/>
    <w:rsid w:val="00CF2707"/>
    <w:rsid w:val="00CF28A5"/>
    <w:rsid w:val="00D038D7"/>
    <w:rsid w:val="00D0530F"/>
    <w:rsid w:val="00D12ECF"/>
    <w:rsid w:val="00D12F99"/>
    <w:rsid w:val="00D13D71"/>
    <w:rsid w:val="00D32413"/>
    <w:rsid w:val="00D32841"/>
    <w:rsid w:val="00D34160"/>
    <w:rsid w:val="00D43A30"/>
    <w:rsid w:val="00D504DF"/>
    <w:rsid w:val="00D52C1E"/>
    <w:rsid w:val="00D655F4"/>
    <w:rsid w:val="00D70B94"/>
    <w:rsid w:val="00D72CE4"/>
    <w:rsid w:val="00D7596F"/>
    <w:rsid w:val="00D80FD4"/>
    <w:rsid w:val="00D81A91"/>
    <w:rsid w:val="00D81FA1"/>
    <w:rsid w:val="00D8561B"/>
    <w:rsid w:val="00D8581A"/>
    <w:rsid w:val="00D870E4"/>
    <w:rsid w:val="00D96EFA"/>
    <w:rsid w:val="00D97718"/>
    <w:rsid w:val="00D97781"/>
    <w:rsid w:val="00D97BF3"/>
    <w:rsid w:val="00DA32DA"/>
    <w:rsid w:val="00DB249E"/>
    <w:rsid w:val="00DB250C"/>
    <w:rsid w:val="00DB356D"/>
    <w:rsid w:val="00DB40CC"/>
    <w:rsid w:val="00DB4E45"/>
    <w:rsid w:val="00DC4D31"/>
    <w:rsid w:val="00DC61A7"/>
    <w:rsid w:val="00DD13D4"/>
    <w:rsid w:val="00DD40A0"/>
    <w:rsid w:val="00DD57CD"/>
    <w:rsid w:val="00DD59B3"/>
    <w:rsid w:val="00DD62EB"/>
    <w:rsid w:val="00DE1A85"/>
    <w:rsid w:val="00DE3440"/>
    <w:rsid w:val="00DF488B"/>
    <w:rsid w:val="00DF4C94"/>
    <w:rsid w:val="00E05F71"/>
    <w:rsid w:val="00E22A47"/>
    <w:rsid w:val="00E30C39"/>
    <w:rsid w:val="00E445D5"/>
    <w:rsid w:val="00E46143"/>
    <w:rsid w:val="00E5107A"/>
    <w:rsid w:val="00E53290"/>
    <w:rsid w:val="00E55406"/>
    <w:rsid w:val="00E62B69"/>
    <w:rsid w:val="00E631D1"/>
    <w:rsid w:val="00E6586C"/>
    <w:rsid w:val="00E71E4F"/>
    <w:rsid w:val="00E822F0"/>
    <w:rsid w:val="00E83800"/>
    <w:rsid w:val="00E86175"/>
    <w:rsid w:val="00E94E9B"/>
    <w:rsid w:val="00E95136"/>
    <w:rsid w:val="00E9642B"/>
    <w:rsid w:val="00EA1B75"/>
    <w:rsid w:val="00EA3C4D"/>
    <w:rsid w:val="00EA4BC1"/>
    <w:rsid w:val="00EA60BA"/>
    <w:rsid w:val="00EA7B2E"/>
    <w:rsid w:val="00EB1986"/>
    <w:rsid w:val="00EB326A"/>
    <w:rsid w:val="00EB61BB"/>
    <w:rsid w:val="00EC2B86"/>
    <w:rsid w:val="00ED7D9E"/>
    <w:rsid w:val="00EE1003"/>
    <w:rsid w:val="00EE2A5F"/>
    <w:rsid w:val="00EE477D"/>
    <w:rsid w:val="00EE5186"/>
    <w:rsid w:val="00EE6D49"/>
    <w:rsid w:val="00EF04B6"/>
    <w:rsid w:val="00EF4731"/>
    <w:rsid w:val="00F00E17"/>
    <w:rsid w:val="00F00F37"/>
    <w:rsid w:val="00F0392F"/>
    <w:rsid w:val="00F0670F"/>
    <w:rsid w:val="00F06FBF"/>
    <w:rsid w:val="00F07BEC"/>
    <w:rsid w:val="00F131E2"/>
    <w:rsid w:val="00F24D7C"/>
    <w:rsid w:val="00F2618F"/>
    <w:rsid w:val="00F335D0"/>
    <w:rsid w:val="00F35391"/>
    <w:rsid w:val="00F36320"/>
    <w:rsid w:val="00F47FF2"/>
    <w:rsid w:val="00F50DC0"/>
    <w:rsid w:val="00F55A1B"/>
    <w:rsid w:val="00F57A91"/>
    <w:rsid w:val="00F67D77"/>
    <w:rsid w:val="00F74E3C"/>
    <w:rsid w:val="00F771E3"/>
    <w:rsid w:val="00F84BC1"/>
    <w:rsid w:val="00F93180"/>
    <w:rsid w:val="00F94C30"/>
    <w:rsid w:val="00FA5E13"/>
    <w:rsid w:val="00FA62ED"/>
    <w:rsid w:val="00FB0B46"/>
    <w:rsid w:val="00FB6F76"/>
    <w:rsid w:val="00FC02A7"/>
    <w:rsid w:val="00FD066A"/>
    <w:rsid w:val="00FD2066"/>
    <w:rsid w:val="00FD2E2B"/>
    <w:rsid w:val="00FD2ECF"/>
    <w:rsid w:val="00FD61BB"/>
    <w:rsid w:val="00FD683F"/>
    <w:rsid w:val="00FE0BEF"/>
    <w:rsid w:val="00FE0DCA"/>
    <w:rsid w:val="00FE7D6A"/>
    <w:rsid w:val="00FF1B23"/>
    <w:rsid w:val="00FF367E"/>
    <w:rsid w:val="00FF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8B0C63"/>
  <w15:docId w15:val="{00C941C3-A267-4A30-A101-248B32F10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3D0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CE2ADB"/>
    <w:rPr>
      <w:i/>
      <w:iCs/>
    </w:rPr>
  </w:style>
  <w:style w:type="paragraph" w:styleId="Footer">
    <w:name w:val="footer"/>
    <w:basedOn w:val="Normal"/>
    <w:link w:val="FooterChar"/>
    <w:rsid w:val="00CE2AD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E2ADB"/>
  </w:style>
  <w:style w:type="character" w:styleId="Hyperlink">
    <w:name w:val="Hyperlink"/>
    <w:rsid w:val="00CE2ADB"/>
    <w:rPr>
      <w:color w:val="0000FF"/>
      <w:u w:val="single"/>
    </w:rPr>
  </w:style>
  <w:style w:type="paragraph" w:styleId="Header">
    <w:name w:val="header"/>
    <w:basedOn w:val="Normal"/>
    <w:link w:val="HeaderChar"/>
    <w:rsid w:val="0077460B"/>
    <w:pPr>
      <w:tabs>
        <w:tab w:val="center" w:pos="4320"/>
        <w:tab w:val="right" w:pos="8640"/>
      </w:tabs>
    </w:pPr>
  </w:style>
  <w:style w:type="character" w:customStyle="1" w:styleId="bold1">
    <w:name w:val="bold1"/>
    <w:rsid w:val="00A17FE3"/>
    <w:rPr>
      <w:b/>
      <w:bCs/>
    </w:rPr>
  </w:style>
  <w:style w:type="paragraph" w:styleId="BalloonText">
    <w:name w:val="Balloon Text"/>
    <w:basedOn w:val="Normal"/>
    <w:semiHidden/>
    <w:rsid w:val="00D13D7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13D71"/>
    <w:rPr>
      <w:sz w:val="16"/>
      <w:szCs w:val="16"/>
    </w:rPr>
  </w:style>
  <w:style w:type="paragraph" w:styleId="CommentText">
    <w:name w:val="annotation text"/>
    <w:basedOn w:val="Normal"/>
    <w:semiHidden/>
    <w:rsid w:val="00D13D7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13D71"/>
    <w:rPr>
      <w:b/>
      <w:bCs/>
    </w:rPr>
  </w:style>
  <w:style w:type="paragraph" w:styleId="EndnoteText">
    <w:name w:val="endnote text"/>
    <w:basedOn w:val="Normal"/>
    <w:semiHidden/>
    <w:rsid w:val="001608FD"/>
    <w:rPr>
      <w:sz w:val="20"/>
      <w:szCs w:val="20"/>
    </w:rPr>
  </w:style>
  <w:style w:type="character" w:styleId="EndnoteReference">
    <w:name w:val="endnote reference"/>
    <w:semiHidden/>
    <w:rsid w:val="001608FD"/>
    <w:rPr>
      <w:vertAlign w:val="superscript"/>
    </w:rPr>
  </w:style>
  <w:style w:type="paragraph" w:styleId="FootnoteText">
    <w:name w:val="footnote text"/>
    <w:basedOn w:val="Normal"/>
    <w:semiHidden/>
    <w:rsid w:val="00FC02A7"/>
    <w:rPr>
      <w:sz w:val="20"/>
      <w:szCs w:val="20"/>
    </w:rPr>
  </w:style>
  <w:style w:type="character" w:styleId="FootnoteReference">
    <w:name w:val="footnote reference"/>
    <w:semiHidden/>
    <w:rsid w:val="00FC02A7"/>
    <w:rPr>
      <w:vertAlign w:val="superscript"/>
    </w:rPr>
  </w:style>
  <w:style w:type="character" w:customStyle="1" w:styleId="FooterChar">
    <w:name w:val="Footer Char"/>
    <w:link w:val="Footer"/>
    <w:rsid w:val="000561ED"/>
    <w:rPr>
      <w:sz w:val="24"/>
      <w:szCs w:val="24"/>
    </w:rPr>
  </w:style>
  <w:style w:type="character" w:customStyle="1" w:styleId="HeaderChar">
    <w:name w:val="Header Char"/>
    <w:link w:val="Header"/>
    <w:rsid w:val="000561ED"/>
    <w:rPr>
      <w:sz w:val="24"/>
      <w:szCs w:val="24"/>
    </w:rPr>
  </w:style>
  <w:style w:type="table" w:styleId="TableGrid">
    <w:name w:val="Table Grid"/>
    <w:basedOn w:val="TableNormal"/>
    <w:rsid w:val="00EF0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67245">
      <w:bodyDiv w:val="1"/>
      <w:marLeft w:val="0"/>
      <w:marRight w:val="95"/>
      <w:marTop w:val="95"/>
      <w:marBottom w:val="9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4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4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389">
      <w:bodyDiv w:val="1"/>
      <w:marLeft w:val="0"/>
      <w:marRight w:val="95"/>
      <w:marTop w:val="95"/>
      <w:marBottom w:val="9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43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0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243468">
      <w:bodyDiv w:val="1"/>
      <w:marLeft w:val="0"/>
      <w:marRight w:val="95"/>
      <w:marTop w:val="95"/>
      <w:marBottom w:val="9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7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5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098">
      <w:bodyDiv w:val="1"/>
      <w:marLeft w:val="0"/>
      <w:marRight w:val="95"/>
      <w:marTop w:val="95"/>
      <w:marBottom w:val="9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431744">
      <w:bodyDiv w:val="1"/>
      <w:marLeft w:val="0"/>
      <w:marRight w:val="95"/>
      <w:marTop w:val="95"/>
      <w:marBottom w:val="9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0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683797">
      <w:bodyDiv w:val="1"/>
      <w:marLeft w:val="0"/>
      <w:marRight w:val="95"/>
      <w:marTop w:val="95"/>
      <w:marBottom w:val="9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5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225826">
      <w:bodyDiv w:val="1"/>
      <w:marLeft w:val="0"/>
      <w:marRight w:val="95"/>
      <w:marTop w:val="95"/>
      <w:marBottom w:val="9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6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5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9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9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611378916BF4448A2EF5968032F506" ma:contentTypeVersion="11" ma:contentTypeDescription="Create a new document." ma:contentTypeScope="" ma:versionID="39711126f6c220c7d831f108867dead8">
  <xsd:schema xmlns:xsd="http://www.w3.org/2001/XMLSchema" xmlns:xs="http://www.w3.org/2001/XMLSchema" xmlns:p="http://schemas.microsoft.com/office/2006/metadata/properties" xmlns:ns2="3269e22b-0ef0-43eb-a46a-444979305804" xmlns:ns3="7b83dbe2-6fd2-449a-a932-0d75829bf641" targetNamespace="http://schemas.microsoft.com/office/2006/metadata/properties" ma:root="true" ma:fieldsID="ccb896c58a7ad2a62f5c719d33c83f56" ns2:_="" ns3:_="">
    <xsd:import namespace="3269e22b-0ef0-43eb-a46a-444979305804"/>
    <xsd:import namespace="7b83dbe2-6fd2-449a-a932-0d75829bf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9e22b-0ef0-43eb-a46a-4449793058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3dbe2-6fd2-449a-a932-0d75829bf64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917527-B535-4BAA-9A95-FA3457B961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FE517D-225C-4BD4-AC77-AA88136990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F88BBE-E045-4737-AD23-96DCF55EB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69e22b-0ef0-43eb-a46a-444979305804"/>
    <ds:schemaRef ds:uri="7b83dbe2-6fd2-449a-a932-0d75829bf6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A4E47E-41DC-46E7-BEE7-941822188D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DHCD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Information Services</dc:creator>
  <cp:lastModifiedBy>Walleigh, Adrian (OCD)</cp:lastModifiedBy>
  <cp:revision>2</cp:revision>
  <cp:lastPrinted>2014-02-12T15:07:00Z</cp:lastPrinted>
  <dcterms:created xsi:type="dcterms:W3CDTF">2022-01-20T16:00:00Z</dcterms:created>
  <dcterms:modified xsi:type="dcterms:W3CDTF">2022-01-20T16:00:00Z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0x0101004C611378916BF4448A2EF5968032F506</vt:lpwstr>
  </property>
  <property fmtid="{D5CDD505-2E9C-101B-9397-08002B2CF9AE}" pid="3" name="Order">
    <vt:r8>17856200</vt:r8>
  </property>
</Properties>
</file>