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2853"/>
        <w:gridCol w:w="6292"/>
      </w:tblGrid>
      <w:tr w:rsidR="007D6522" w:rsidRPr="00C54786" w14:paraId="24A3B734" w14:textId="77777777" w:rsidTr="7EEF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Default="007D6522" w:rsidP="00077A0B">
            <w:pPr>
              <w:pStyle w:val="MH-CoverChart-Itemheadline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Program</w:t>
            </w:r>
            <w:r w:rsidR="00814D63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057E625A" w:rsidR="007D6522" w:rsidRPr="00132EE9" w:rsidRDefault="004748AA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Hospital</w:t>
            </w:r>
            <w:r w:rsidR="000F451E">
              <w:rPr>
                <w:color w:val="FFFFFF" w:themeColor="background1"/>
              </w:rPr>
              <w:t xml:space="preserve"> QEIP</w:t>
            </w:r>
          </w:p>
        </w:tc>
      </w:tr>
      <w:tr w:rsidR="00AF2F7D" w:rsidRPr="00C54786" w14:paraId="730F2855" w14:textId="77777777" w:rsidTr="7EEF6DAF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55010F">
              <w:rPr>
                <w:b/>
                <w:bCs w:val="0"/>
                <w:color w:val="FFFFFF" w:themeColor="background1"/>
              </w:rPr>
              <w:t>Performance Year</w:t>
            </w:r>
            <w:r w:rsidRPr="00192ED8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380E1D78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PY3</w:t>
            </w:r>
          </w:p>
        </w:tc>
      </w:tr>
      <w:tr w:rsidR="00AF2F7D" w:rsidRPr="00C54786" w14:paraId="3386894F" w14:textId="77777777" w:rsidTr="7EEF6DAF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Metric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5A65F0FD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Quality Performance Disparities Reduction</w:t>
            </w:r>
          </w:p>
        </w:tc>
      </w:tr>
      <w:tr w:rsidR="00AF2F7D" w:rsidRPr="00C54786" w14:paraId="08E98CCD" w14:textId="77777777" w:rsidTr="7EEF6DAF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Deliverable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283A2AA1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Measure Assessment Report</w:t>
            </w:r>
          </w:p>
        </w:tc>
      </w:tr>
      <w:tr w:rsidR="00AF2F7D" w:rsidRPr="00C54786" w14:paraId="27C85E90" w14:textId="77777777" w:rsidTr="7EEF6DAF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Submission Portal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3D32CB65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7EEF6DAF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 xml:space="preserve">Submission </w:t>
            </w:r>
            <w:r w:rsidR="00E27C86">
              <w:rPr>
                <w:b/>
                <w:bCs w:val="0"/>
                <w:color w:val="FFFFFF" w:themeColor="background1"/>
              </w:rPr>
              <w:t xml:space="preserve">Due </w:t>
            </w:r>
            <w:r>
              <w:rPr>
                <w:b/>
                <w:bCs w:val="0"/>
                <w:color w:val="FFFFFF" w:themeColor="background1"/>
              </w:rPr>
              <w:t>Date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1F205F84" w:rsidR="009B4F17" w:rsidRPr="00132EE9" w:rsidRDefault="006610A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November 1</w:t>
            </w:r>
            <w:r w:rsidR="00452B83">
              <w:rPr>
                <w:color w:val="FFFFFF" w:themeColor="background1"/>
                <w:sz w:val="24"/>
                <w:szCs w:val="24"/>
              </w:rPr>
              <w:t>7</w:t>
            </w:r>
            <w:r w:rsidR="00055038">
              <w:rPr>
                <w:color w:val="FFFFFF" w:themeColor="background1"/>
                <w:sz w:val="24"/>
                <w:szCs w:val="24"/>
              </w:rPr>
              <w:t>, 2025</w:t>
            </w:r>
          </w:p>
        </w:tc>
      </w:tr>
      <w:tr w:rsidR="00C14A1F" w:rsidRPr="00C54786" w14:paraId="5F626A5B" w14:textId="77777777" w:rsidTr="7EEF6DAF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0929BDE0" w14:textId="0C4AB0F8" w:rsidR="00C14A1F" w:rsidRDefault="00C14A1F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165F486" w14:textId="4EDC1916" w:rsidR="00C14A1F" w:rsidRPr="00132EE9" w:rsidRDefault="00E31C1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Entity</w:t>
            </w:r>
            <w:r w:rsidR="00BF4882" w:rsidRPr="005F2D3E">
              <w:rPr>
                <w:color w:val="FFFFFF" w:themeColor="background1"/>
              </w:rPr>
              <w:t>Abbreviation_</w:t>
            </w:r>
            <w:r w:rsidR="00055038">
              <w:rPr>
                <w:color w:val="FFFFFF" w:themeColor="background1"/>
              </w:rPr>
              <w:t>MeasureAssessmentReport</w:t>
            </w:r>
            <w:r w:rsidR="00BF4882" w:rsidRPr="005F2D3E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C14A1F" w:rsidRPr="00C54786" w14:paraId="54813048" w14:textId="77777777" w:rsidTr="7EEF6DAF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D691384" w14:textId="43398CAD" w:rsidR="00C14A1F" w:rsidRDefault="00C14A1F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531E827F" w14:textId="75FCD49C" w:rsidR="00C14A1F" w:rsidRPr="00132EE9" w:rsidRDefault="2F5F7B5E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7EEF6DAF">
              <w:rPr>
                <w:color w:val="FFFFFF" w:themeColor="background1"/>
              </w:rPr>
              <w:t>1-2</w:t>
            </w:r>
            <w:r w:rsidR="002F2861" w:rsidRPr="7EEF6DAF">
              <w:rPr>
                <w:color w:val="FFFFFF" w:themeColor="background1"/>
              </w:rPr>
              <w:t xml:space="preserve"> Pages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02B606A6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</w:p>
    <w:p w14:paraId="3384B27E" w14:textId="5B3DE558" w:rsidR="002238A4" w:rsidRDefault="002238A4" w:rsidP="000941E8">
      <w:pPr>
        <w:pStyle w:val="MHSummaryHeadline"/>
        <w:spacing w:before="500"/>
        <w:jc w:val="right"/>
      </w:pP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0E380E67" w14:textId="77777777" w:rsidR="00C41257" w:rsidRDefault="00C41257" w:rsidP="009D3A5F">
      <w:pPr>
        <w:pStyle w:val="MHSummaryHeadline"/>
        <w:spacing w:before="500"/>
      </w:pPr>
    </w:p>
    <w:p w14:paraId="656C2AB7" w14:textId="067C8E18" w:rsidR="00240F61" w:rsidRPr="00255FF0" w:rsidRDefault="00240F61" w:rsidP="00240F61">
      <w:pPr>
        <w:pStyle w:val="Heading1"/>
        <w:spacing w:before="0"/>
        <w:rPr>
          <w:color w:val="14558F" w:themeColor="accent1"/>
        </w:rPr>
      </w:pPr>
      <w:r w:rsidRPr="00255FF0">
        <w:rPr>
          <w:color w:val="14558F" w:themeColor="accent1"/>
        </w:rPr>
        <w:lastRenderedPageBreak/>
        <w:t>Reporting Template</w:t>
      </w:r>
    </w:p>
    <w:p w14:paraId="01AF98BC" w14:textId="77777777" w:rsidR="00240F61" w:rsidRPr="00240F61" w:rsidRDefault="00240F61" w:rsidP="00746BCD">
      <w:pPr>
        <w:pStyle w:val="Heading2"/>
      </w:pPr>
      <w:r w:rsidRPr="00240F61">
        <w:t>Contact Information</w:t>
      </w:r>
    </w:p>
    <w:tbl>
      <w:tblPr>
        <w:tblStyle w:val="MHLeftHeaderTable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E911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E911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E911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4ABDDE69" w14:textId="48803F65" w:rsidR="00240F61" w:rsidRDefault="00240F61" w:rsidP="00AE5A23">
      <w:pPr>
        <w:pStyle w:val="Heading2"/>
        <w:spacing w:before="400"/>
      </w:pPr>
      <w:r>
        <w:t>Introduction</w:t>
      </w:r>
      <w:r w:rsidR="2D9A5AF5">
        <w:t xml:space="preserve"> and Statewide Quality Measure Results</w:t>
      </w:r>
    </w:p>
    <w:p w14:paraId="1740A27A" w14:textId="286F3365" w:rsidR="2D9A5AF5" w:rsidRDefault="2D9A5AF5">
      <w:r>
        <w:t xml:space="preserve">Through submission of this Measure Assessment Report, Hospitals will review and assess both statewide and entity-specific stratified quality measure results to identify opportunities for disparities reduction. Hospitals will propose which measures they </w:t>
      </w:r>
      <w:r w:rsidR="24017A63">
        <w:t>plan</w:t>
      </w:r>
      <w:r>
        <w:t xml:space="preserve"> to focus </w:t>
      </w:r>
      <w:r w:rsidR="73873FD7">
        <w:t xml:space="preserve">on for disparities reduction </w:t>
      </w:r>
      <w:r>
        <w:t xml:space="preserve">efforts in PY4 and PY5. </w:t>
      </w:r>
    </w:p>
    <w:p w14:paraId="5415FD03" w14:textId="620A193B" w:rsidR="00BF4D7B" w:rsidRPr="00E35D89" w:rsidRDefault="2D9A5AF5">
      <w:r w:rsidRPr="00E35D89">
        <w:t xml:space="preserve">Below </w:t>
      </w:r>
      <w:r w:rsidR="00825733" w:rsidRPr="00E35D89">
        <w:t xml:space="preserve">is a table </w:t>
      </w:r>
      <w:r w:rsidR="5F02E72D" w:rsidRPr="00E35D89">
        <w:t>of the</w:t>
      </w:r>
      <w:r w:rsidR="00825733" w:rsidRPr="00E35D89">
        <w:t xml:space="preserve"> eligible quality measures</w:t>
      </w:r>
      <w:r w:rsidR="00BF4D7B" w:rsidRPr="00E35D89">
        <w:t xml:space="preserve"> and subpopulations with statistically significant differences </w:t>
      </w:r>
      <w:r w:rsidR="45102091" w:rsidRPr="00E35D89">
        <w:t>observed at the statewide level.</w:t>
      </w:r>
      <w:r w:rsidR="00BF4D7B" w:rsidRPr="00E35D89">
        <w:t xml:space="preserve"> </w:t>
      </w:r>
    </w:p>
    <w:p w14:paraId="4BCFE311" w14:textId="00E1AD17" w:rsidR="2D9A5AF5" w:rsidRDefault="00124A1E">
      <w:r w:rsidRPr="00E35D89">
        <w:t xml:space="preserve">The Appendix in this document includes </w:t>
      </w:r>
      <w:r w:rsidR="6751A813" w:rsidRPr="00E35D89">
        <w:t xml:space="preserve">stratified </w:t>
      </w:r>
      <w:r w:rsidRPr="00E35D89">
        <w:t>statewide data</w:t>
      </w:r>
      <w:r w:rsidR="00E35D89" w:rsidRPr="00E35D89">
        <w:t>,</w:t>
      </w:r>
      <w:r w:rsidRPr="00E35D89">
        <w:t xml:space="preserve"> and</w:t>
      </w:r>
      <w:r>
        <w:t xml:space="preserve"> </w:t>
      </w:r>
      <w:r w:rsidR="2D9A5AF5" w:rsidRPr="00F77694">
        <w:t>A</w:t>
      </w:r>
      <w:r w:rsidR="55225AF5" w:rsidRPr="00F77694">
        <w:t>ttachment 1</w:t>
      </w:r>
      <w:r w:rsidR="2D9A5AF5" w:rsidRPr="00F77694">
        <w:t xml:space="preserve"> includes</w:t>
      </w:r>
      <w:r w:rsidR="2D9A5AF5">
        <w:t xml:space="preserve"> </w:t>
      </w:r>
      <w:r w:rsidR="650D4D49">
        <w:t>stratified</w:t>
      </w:r>
      <w:r w:rsidR="2D9A5AF5">
        <w:t xml:space="preserve"> entity-level data for the </w:t>
      </w:r>
      <w:r w:rsidR="000458E8">
        <w:t>listed</w:t>
      </w:r>
      <w:r w:rsidR="2D9A5AF5">
        <w:t xml:space="preserve"> measures for reference in completing this deliverable.</w:t>
      </w:r>
    </w:p>
    <w:tbl>
      <w:tblPr>
        <w:tblStyle w:val="MHtableHeader"/>
        <w:tblW w:w="9900" w:type="dxa"/>
        <w:tblInd w:w="-5" w:type="dxa"/>
        <w:tblLook w:val="04A0" w:firstRow="1" w:lastRow="0" w:firstColumn="1" w:lastColumn="0" w:noHBand="0" w:noVBand="1"/>
      </w:tblPr>
      <w:tblGrid>
        <w:gridCol w:w="4590"/>
        <w:gridCol w:w="5310"/>
      </w:tblGrid>
      <w:tr w:rsidR="00712DE2" w:rsidRPr="00D97C4C" w14:paraId="19B2DB54" w14:textId="77777777" w:rsidTr="32ACC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90" w:type="dxa"/>
          </w:tcPr>
          <w:p w14:paraId="6A2035A0" w14:textId="1EB9AA9E" w:rsidR="00712DE2" w:rsidRPr="00D97C4C" w:rsidRDefault="009B4B6F">
            <w:pPr>
              <w:spacing w:before="40" w:after="4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7C4C">
              <w:rPr>
                <w:rFonts w:cstheme="minorHAnsi"/>
                <w:color w:val="000000" w:themeColor="text1"/>
                <w:sz w:val="20"/>
                <w:szCs w:val="20"/>
              </w:rPr>
              <w:t>Eligible Measures</w:t>
            </w:r>
          </w:p>
        </w:tc>
        <w:tc>
          <w:tcPr>
            <w:tcW w:w="5310" w:type="dxa"/>
          </w:tcPr>
          <w:p w14:paraId="70B638ED" w14:textId="429E157D" w:rsidR="00712DE2" w:rsidRPr="00D97C4C" w:rsidRDefault="009B4B6F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D97C4C">
              <w:rPr>
                <w:color w:val="000000" w:themeColor="text1"/>
                <w:sz w:val="20"/>
                <w:szCs w:val="20"/>
              </w:rPr>
              <w:t>Statistically Significant Disparities</w:t>
            </w:r>
          </w:p>
        </w:tc>
      </w:tr>
      <w:tr w:rsidR="00712DE2" w:rsidRPr="00D97C4C" w14:paraId="73EB7265" w14:textId="77777777" w:rsidTr="32ACC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D94E979" w14:textId="3000023C" w:rsidR="00712DE2" w:rsidRPr="00D97C4C" w:rsidRDefault="009B4B6F">
            <w:pPr>
              <w:pStyle w:val="MH-ChartContentText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>Cesarean Birth, NTSV (MAT-4)</w:t>
            </w:r>
          </w:p>
        </w:tc>
        <w:tc>
          <w:tcPr>
            <w:tcW w:w="5310" w:type="dxa"/>
          </w:tcPr>
          <w:p w14:paraId="54CDBD7E" w14:textId="0CC1D71A" w:rsidR="00712DE2" w:rsidRPr="00D97C4C" w:rsidRDefault="009B4B6F" w:rsidP="00807C41">
            <w:pPr>
              <w:numPr>
                <w:ilvl w:val="0"/>
                <w:numId w:val="22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>Asian (reference group) and African American</w:t>
            </w:r>
          </w:p>
        </w:tc>
      </w:tr>
      <w:tr w:rsidR="00712DE2" w:rsidRPr="00D97C4C" w14:paraId="28A73FB8" w14:textId="77777777" w:rsidTr="32ACC9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2A9094EA" w14:textId="71CD0D13" w:rsidR="00712DE2" w:rsidRPr="00D97C4C" w:rsidRDefault="009B4B6F">
            <w:pPr>
              <w:pStyle w:val="MH-ChartContentText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>AIM Severe Maternal Morbidity (SMM)</w:t>
            </w:r>
          </w:p>
        </w:tc>
        <w:tc>
          <w:tcPr>
            <w:tcW w:w="5310" w:type="dxa"/>
          </w:tcPr>
          <w:p w14:paraId="07AD912E" w14:textId="367C0BC4" w:rsidR="00712DE2" w:rsidRPr="00D97C4C" w:rsidRDefault="009B4B6F" w:rsidP="00807C41">
            <w:pPr>
              <w:numPr>
                <w:ilvl w:val="0"/>
                <w:numId w:val="22"/>
              </w:numPr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>White (reference group) and African American</w:t>
            </w:r>
          </w:p>
        </w:tc>
      </w:tr>
      <w:tr w:rsidR="00712DE2" w:rsidRPr="00D97C4C" w14:paraId="254C36BD" w14:textId="77777777" w:rsidTr="32ACC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33443D8D" w14:textId="2A7D9B94" w:rsidR="00712DE2" w:rsidRPr="00D97C4C" w:rsidRDefault="009B4B6F">
            <w:pPr>
              <w:pStyle w:val="MH-ChartContentText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 xml:space="preserve">Follow-up After ED Visit for Substance Use (FUA) – 7 and 30 Day </w:t>
            </w:r>
          </w:p>
        </w:tc>
        <w:tc>
          <w:tcPr>
            <w:tcW w:w="5310" w:type="dxa"/>
          </w:tcPr>
          <w:p w14:paraId="4DF839AD" w14:textId="68C4E2F4" w:rsidR="009B4B6F" w:rsidRPr="00F77694" w:rsidRDefault="009B4B6F" w:rsidP="00807C41">
            <w:pPr>
              <w:numPr>
                <w:ilvl w:val="0"/>
                <w:numId w:val="22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7694">
              <w:rPr>
                <w:sz w:val="20"/>
                <w:szCs w:val="20"/>
              </w:rPr>
              <w:t>Non-Hispanic (reference group) and Hispanic</w:t>
            </w:r>
          </w:p>
          <w:p w14:paraId="46C98E92" w14:textId="77777777" w:rsidR="009B4B6F" w:rsidRPr="00F77694" w:rsidRDefault="009B4B6F" w:rsidP="00807C41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7694">
              <w:rPr>
                <w:sz w:val="20"/>
                <w:szCs w:val="20"/>
              </w:rPr>
              <w:t>White (reference group) and African American</w:t>
            </w:r>
          </w:p>
          <w:p w14:paraId="3D6F4005" w14:textId="77777777" w:rsidR="009B4B6F" w:rsidRPr="00F77694" w:rsidRDefault="009B4B6F" w:rsidP="00807C41">
            <w:pPr>
              <w:numPr>
                <w:ilvl w:val="0"/>
                <w:numId w:val="22"/>
              </w:numPr>
              <w:spacing w:before="100" w:beforeAutospacing="1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7694">
              <w:rPr>
                <w:sz w:val="20"/>
                <w:szCs w:val="20"/>
              </w:rPr>
              <w:t>White (reference group) and Asian</w:t>
            </w:r>
          </w:p>
          <w:p w14:paraId="5BFA1D8B" w14:textId="17282358" w:rsidR="00712DE2" w:rsidRPr="00F77694" w:rsidRDefault="009B4B6F" w:rsidP="00807C41">
            <w:pPr>
              <w:pStyle w:val="MH-ChartContentText"/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77694">
              <w:rPr>
                <w:i/>
                <w:iCs/>
                <w:sz w:val="20"/>
                <w:szCs w:val="20"/>
              </w:rPr>
              <w:t xml:space="preserve">(equal weighting on </w:t>
            </w:r>
            <w:r w:rsidR="00E86DE2" w:rsidRPr="00F77694">
              <w:rPr>
                <w:i/>
                <w:iCs/>
                <w:sz w:val="20"/>
                <w:szCs w:val="20"/>
              </w:rPr>
              <w:t>7-day and 30-day</w:t>
            </w:r>
            <w:r w:rsidRPr="00F77694">
              <w:rPr>
                <w:i/>
                <w:iCs/>
                <w:sz w:val="20"/>
                <w:szCs w:val="20"/>
              </w:rPr>
              <w:t xml:space="preserve"> sub-measure)</w:t>
            </w:r>
          </w:p>
        </w:tc>
      </w:tr>
      <w:tr w:rsidR="00712DE2" w:rsidRPr="00D97C4C" w14:paraId="2564FEBC" w14:textId="77777777" w:rsidTr="32ACC9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7DCB0F2" w14:textId="76285BD9" w:rsidR="00712DE2" w:rsidRPr="00D97C4C" w:rsidRDefault="0068311C">
            <w:pPr>
              <w:pStyle w:val="MH-ChartContentText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 xml:space="preserve">Follow-up After Hospitalization for Mental Illness (FUH) – 7 and 30 </w:t>
            </w:r>
            <w:r w:rsidR="19746249" w:rsidRPr="60E2DDA0">
              <w:rPr>
                <w:sz w:val="20"/>
                <w:szCs w:val="20"/>
              </w:rPr>
              <w:t>D</w:t>
            </w:r>
            <w:r w:rsidRPr="60E2DDA0">
              <w:rPr>
                <w:sz w:val="20"/>
                <w:szCs w:val="20"/>
              </w:rPr>
              <w:t>ay</w:t>
            </w:r>
          </w:p>
        </w:tc>
        <w:tc>
          <w:tcPr>
            <w:tcW w:w="5310" w:type="dxa"/>
          </w:tcPr>
          <w:p w14:paraId="4462F6D3" w14:textId="3C9C6B87" w:rsidR="0068311C" w:rsidRPr="00F77694" w:rsidRDefault="0068311C" w:rsidP="00B70E80">
            <w:pPr>
              <w:numPr>
                <w:ilvl w:val="0"/>
                <w:numId w:val="23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77694">
              <w:rPr>
                <w:sz w:val="20"/>
                <w:szCs w:val="20"/>
              </w:rPr>
              <w:t>White (reference group) and African American</w:t>
            </w:r>
          </w:p>
          <w:p w14:paraId="23A3E075" w14:textId="77777777" w:rsidR="0068311C" w:rsidRPr="00F77694" w:rsidRDefault="0068311C" w:rsidP="00B70E80">
            <w:pPr>
              <w:numPr>
                <w:ilvl w:val="0"/>
                <w:numId w:val="23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77694">
              <w:rPr>
                <w:sz w:val="20"/>
                <w:szCs w:val="20"/>
              </w:rPr>
              <w:t>White (reference group) and Asian</w:t>
            </w:r>
          </w:p>
          <w:p w14:paraId="687D2E45" w14:textId="03019A40" w:rsidR="00712DE2" w:rsidRPr="00F77694" w:rsidRDefault="0068311C" w:rsidP="00B70E80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77694">
              <w:rPr>
                <w:i/>
                <w:iCs/>
                <w:sz w:val="20"/>
                <w:szCs w:val="20"/>
              </w:rPr>
              <w:t xml:space="preserve">(equal weighting on </w:t>
            </w:r>
            <w:r w:rsidR="00B70E80" w:rsidRPr="00F77694">
              <w:rPr>
                <w:i/>
                <w:iCs/>
                <w:sz w:val="20"/>
                <w:szCs w:val="20"/>
              </w:rPr>
              <w:t xml:space="preserve">7-day and 30-day </w:t>
            </w:r>
            <w:r w:rsidRPr="00F77694">
              <w:rPr>
                <w:i/>
                <w:iCs/>
                <w:sz w:val="20"/>
                <w:szCs w:val="20"/>
              </w:rPr>
              <w:t>sub-measure)</w:t>
            </w:r>
          </w:p>
        </w:tc>
      </w:tr>
      <w:tr w:rsidR="00712DE2" w:rsidRPr="00D97C4C" w14:paraId="2F8E9E9D" w14:textId="77777777" w:rsidTr="32ACC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2E8D3AD4" w14:textId="52348282" w:rsidR="00712DE2" w:rsidRPr="00D97C4C" w:rsidRDefault="00D97C4C">
            <w:pPr>
              <w:pStyle w:val="MH-ChartContentText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>Alcohol Use – Brief Intervention Provided or Offered (SUB-2)</w:t>
            </w:r>
          </w:p>
        </w:tc>
        <w:tc>
          <w:tcPr>
            <w:tcW w:w="5310" w:type="dxa"/>
          </w:tcPr>
          <w:p w14:paraId="7AD82CE1" w14:textId="77777777" w:rsidR="00D97C4C" w:rsidRPr="00D97C4C" w:rsidRDefault="00D97C4C" w:rsidP="00E86DE2">
            <w:pPr>
              <w:numPr>
                <w:ilvl w:val="0"/>
                <w:numId w:val="24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>Non-Hispanic (reference group) and Hispanic</w:t>
            </w:r>
          </w:p>
          <w:p w14:paraId="523EA807" w14:textId="77777777" w:rsidR="00D97C4C" w:rsidRPr="00D97C4C" w:rsidRDefault="00D97C4C" w:rsidP="00E86DE2">
            <w:pPr>
              <w:numPr>
                <w:ilvl w:val="0"/>
                <w:numId w:val="24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>White (reference group) and African American</w:t>
            </w:r>
          </w:p>
          <w:p w14:paraId="7B16AA42" w14:textId="48C0EAC9" w:rsidR="00712DE2" w:rsidRPr="00984F04" w:rsidRDefault="00D97C4C" w:rsidP="00E86DE2">
            <w:pPr>
              <w:numPr>
                <w:ilvl w:val="0"/>
                <w:numId w:val="24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4F04">
              <w:rPr>
                <w:sz w:val="20"/>
                <w:szCs w:val="20"/>
              </w:rPr>
              <w:t>White (reference group) and Asian</w:t>
            </w:r>
          </w:p>
        </w:tc>
      </w:tr>
    </w:tbl>
    <w:p w14:paraId="7EC1C143" w14:textId="77777777" w:rsidR="00712DE2" w:rsidRDefault="00712DE2" w:rsidP="7EEF6DAF"/>
    <w:p w14:paraId="78A35E0A" w14:textId="77410389" w:rsidR="002354FC" w:rsidRPr="0028146F" w:rsidRDefault="002354FC" w:rsidP="000F58BD">
      <w:pPr>
        <w:pStyle w:val="Heading3"/>
      </w:pPr>
      <w:bookmarkStart w:id="0" w:name="_Ref153365899"/>
      <w:r>
        <w:lastRenderedPageBreak/>
        <w:t xml:space="preserve">Section 1: </w:t>
      </w:r>
      <w:bookmarkEnd w:id="0"/>
      <w:r w:rsidR="00AE0722">
        <w:t>Assessment of Measure-</w:t>
      </w:r>
      <w:r w:rsidR="00AE0722" w:rsidRPr="0028146F">
        <w:t>level Disparities</w:t>
      </w:r>
    </w:p>
    <w:p w14:paraId="707C1FA8" w14:textId="080D2307" w:rsidR="7ADEE89D" w:rsidRDefault="7ADEE89D" w:rsidP="7EEF6DAF">
      <w:pPr>
        <w:pStyle w:val="ListNumber"/>
        <w:numPr>
          <w:ilvl w:val="0"/>
          <w:numId w:val="16"/>
        </w:numPr>
        <w:rPr>
          <w:rFonts w:ascii="Arial" w:eastAsia="Arial" w:hAnsi="Arial" w:cs="Arial"/>
          <w:color w:val="000000" w:themeColor="text1"/>
        </w:rPr>
      </w:pPr>
      <w:r w:rsidRPr="0028146F">
        <w:rPr>
          <w:rFonts w:ascii="Arial" w:eastAsia="Arial" w:hAnsi="Arial" w:cs="Arial"/>
          <w:b/>
          <w:bCs/>
          <w:color w:val="000000" w:themeColor="text1"/>
        </w:rPr>
        <w:t>Question</w:t>
      </w:r>
      <w:r w:rsidRPr="0028146F">
        <w:rPr>
          <w:rFonts w:ascii="Arial" w:eastAsia="Arial" w:hAnsi="Arial" w:cs="Arial"/>
          <w:color w:val="000000" w:themeColor="text1"/>
        </w:rPr>
        <w:t xml:space="preserve">: For each </w:t>
      </w:r>
      <w:r w:rsidR="5CAD8851" w:rsidRPr="0028146F">
        <w:rPr>
          <w:rFonts w:ascii="Arial" w:eastAsia="Arial" w:hAnsi="Arial" w:cs="Arial"/>
          <w:color w:val="000000" w:themeColor="text1"/>
        </w:rPr>
        <w:t>eligible</w:t>
      </w:r>
      <w:r w:rsidRPr="0028146F">
        <w:rPr>
          <w:rFonts w:ascii="Arial" w:eastAsia="Arial" w:hAnsi="Arial" w:cs="Arial"/>
          <w:color w:val="000000" w:themeColor="text1"/>
        </w:rPr>
        <w:t xml:space="preserve"> measure</w:t>
      </w:r>
      <w:r w:rsidR="00F82A9F" w:rsidRPr="0028146F">
        <w:rPr>
          <w:rFonts w:ascii="Arial" w:eastAsia="Arial" w:hAnsi="Arial" w:cs="Arial"/>
          <w:color w:val="000000" w:themeColor="text1"/>
        </w:rPr>
        <w:t>,</w:t>
      </w:r>
      <w:r w:rsidRPr="0028146F">
        <w:rPr>
          <w:rFonts w:ascii="Arial" w:eastAsia="Arial" w:hAnsi="Arial" w:cs="Arial"/>
          <w:color w:val="000000" w:themeColor="text1"/>
        </w:rPr>
        <w:t xml:space="preserve"> review the MassHealth</w:t>
      </w:r>
      <w:r w:rsidR="78586994" w:rsidRPr="0028146F">
        <w:rPr>
          <w:rFonts w:ascii="Arial" w:eastAsia="Arial" w:hAnsi="Arial" w:cs="Arial"/>
          <w:color w:val="000000" w:themeColor="text1"/>
        </w:rPr>
        <w:t>-</w:t>
      </w:r>
      <w:r w:rsidRPr="0028146F">
        <w:rPr>
          <w:rFonts w:ascii="Arial" w:eastAsia="Arial" w:hAnsi="Arial" w:cs="Arial"/>
          <w:color w:val="000000" w:themeColor="text1"/>
        </w:rPr>
        <w:t xml:space="preserve">provided </w:t>
      </w:r>
      <w:r w:rsidR="3EFD3354" w:rsidRPr="0028146F">
        <w:rPr>
          <w:rFonts w:ascii="Arial" w:eastAsia="Arial" w:hAnsi="Arial" w:cs="Arial"/>
          <w:color w:val="000000" w:themeColor="text1"/>
        </w:rPr>
        <w:t xml:space="preserve">statewide and entity-level </w:t>
      </w:r>
      <w:r w:rsidRPr="0028146F">
        <w:rPr>
          <w:rFonts w:ascii="Arial" w:eastAsia="Arial" w:hAnsi="Arial" w:cs="Arial"/>
          <w:color w:val="000000" w:themeColor="text1"/>
        </w:rPr>
        <w:t xml:space="preserve">stratified data. Identify </w:t>
      </w:r>
      <w:r w:rsidR="7CD561FB" w:rsidRPr="0028146F">
        <w:rPr>
          <w:rFonts w:ascii="Arial" w:eastAsia="Arial" w:hAnsi="Arial" w:cs="Arial"/>
          <w:color w:val="000000" w:themeColor="text1"/>
        </w:rPr>
        <w:t>which</w:t>
      </w:r>
      <w:r w:rsidRPr="0028146F">
        <w:rPr>
          <w:rFonts w:ascii="Arial" w:eastAsia="Arial" w:hAnsi="Arial" w:cs="Arial"/>
          <w:color w:val="000000" w:themeColor="text1"/>
        </w:rPr>
        <w:t xml:space="preserve"> measure</w:t>
      </w:r>
      <w:r w:rsidR="30EB0AB0" w:rsidRPr="0028146F">
        <w:rPr>
          <w:rFonts w:ascii="Arial" w:eastAsia="Arial" w:hAnsi="Arial" w:cs="Arial"/>
          <w:color w:val="000000" w:themeColor="text1"/>
        </w:rPr>
        <w:t>s and patient subpopulations</w:t>
      </w:r>
      <w:r w:rsidRPr="0028146F">
        <w:rPr>
          <w:rFonts w:ascii="Arial" w:eastAsia="Arial" w:hAnsi="Arial" w:cs="Arial"/>
          <w:color w:val="000000" w:themeColor="text1"/>
        </w:rPr>
        <w:t xml:space="preserve"> demonstrate an opportunity for disparities reduction</w:t>
      </w:r>
      <w:r w:rsidR="32618410" w:rsidRPr="0028146F">
        <w:rPr>
          <w:rFonts w:ascii="Arial" w:eastAsia="Arial" w:hAnsi="Arial" w:cs="Arial"/>
          <w:color w:val="000000" w:themeColor="text1"/>
        </w:rPr>
        <w:t xml:space="preserve"> </w:t>
      </w:r>
      <w:r w:rsidR="3ABFCB8A" w:rsidRPr="0028146F">
        <w:rPr>
          <w:rFonts w:ascii="Arial" w:eastAsia="Arial" w:hAnsi="Arial" w:cs="Arial"/>
          <w:color w:val="000000" w:themeColor="text1"/>
        </w:rPr>
        <w:t xml:space="preserve">at </w:t>
      </w:r>
      <w:r w:rsidR="32618410" w:rsidRPr="0028146F">
        <w:rPr>
          <w:rFonts w:ascii="Arial" w:eastAsia="Arial" w:hAnsi="Arial" w:cs="Arial"/>
          <w:color w:val="000000" w:themeColor="text1"/>
        </w:rPr>
        <w:t xml:space="preserve">your </w:t>
      </w:r>
      <w:r w:rsidR="00672665" w:rsidRPr="0028146F">
        <w:rPr>
          <w:rFonts w:ascii="Arial" w:eastAsia="Arial" w:hAnsi="Arial" w:cs="Arial"/>
          <w:color w:val="000000" w:themeColor="text1"/>
        </w:rPr>
        <w:t>hospital</w:t>
      </w:r>
      <w:r w:rsidR="00CF7E83" w:rsidRPr="0028146F">
        <w:rPr>
          <w:rFonts w:ascii="Arial" w:eastAsia="Arial" w:hAnsi="Arial" w:cs="Arial"/>
          <w:color w:val="000000" w:themeColor="text1"/>
        </w:rPr>
        <w:t xml:space="preserve"> or where your hospital </w:t>
      </w:r>
      <w:r w:rsidR="00FC1F7C" w:rsidRPr="0028146F">
        <w:rPr>
          <w:rFonts w:ascii="Arial" w:eastAsia="Arial" w:hAnsi="Arial" w:cs="Arial"/>
          <w:color w:val="000000" w:themeColor="text1"/>
        </w:rPr>
        <w:t>may contribute to improvements at the statewide level</w:t>
      </w:r>
      <w:r w:rsidR="1FCEFCCB" w:rsidRPr="0028146F">
        <w:rPr>
          <w:rFonts w:ascii="Arial" w:eastAsia="Arial" w:hAnsi="Arial" w:cs="Arial"/>
          <w:color w:val="000000" w:themeColor="text1"/>
        </w:rPr>
        <w:t>.</w:t>
      </w:r>
      <w:r w:rsidRPr="0028146F">
        <w:rPr>
          <w:rFonts w:ascii="Arial" w:eastAsia="Arial" w:hAnsi="Arial" w:cs="Arial"/>
          <w:color w:val="000000" w:themeColor="text1"/>
        </w:rPr>
        <w:t xml:space="preserve"> </w:t>
      </w:r>
      <w:r w:rsidR="722FADA4" w:rsidRPr="0028146F">
        <w:rPr>
          <w:rFonts w:ascii="Arial" w:eastAsia="Arial" w:hAnsi="Arial" w:cs="Arial"/>
          <w:color w:val="000000" w:themeColor="text1"/>
        </w:rPr>
        <w:t>P</w:t>
      </w:r>
      <w:r w:rsidRPr="0028146F">
        <w:rPr>
          <w:rFonts w:ascii="Arial" w:eastAsia="Arial" w:hAnsi="Arial" w:cs="Arial"/>
          <w:color w:val="000000" w:themeColor="text1"/>
        </w:rPr>
        <w:t xml:space="preserve">rovide </w:t>
      </w:r>
      <w:r w:rsidR="65D2A7B9" w:rsidRPr="0028146F">
        <w:rPr>
          <w:rFonts w:ascii="Arial" w:eastAsia="Arial" w:hAnsi="Arial" w:cs="Arial"/>
          <w:color w:val="000000" w:themeColor="text1"/>
        </w:rPr>
        <w:t xml:space="preserve">a </w:t>
      </w:r>
      <w:r w:rsidRPr="0028146F">
        <w:rPr>
          <w:rFonts w:ascii="Arial" w:eastAsia="Arial" w:hAnsi="Arial" w:cs="Arial"/>
          <w:color w:val="000000" w:themeColor="text1"/>
        </w:rPr>
        <w:t>rationale</w:t>
      </w:r>
      <w:r w:rsidRPr="6D3073F6">
        <w:rPr>
          <w:rFonts w:ascii="Arial" w:eastAsia="Arial" w:hAnsi="Arial" w:cs="Arial"/>
          <w:color w:val="000000" w:themeColor="text1"/>
        </w:rPr>
        <w:t xml:space="preserve"> for </w:t>
      </w:r>
      <w:r w:rsidR="27B31EC4" w:rsidRPr="6D3073F6">
        <w:rPr>
          <w:rFonts w:ascii="Arial" w:eastAsia="Arial" w:hAnsi="Arial" w:cs="Arial"/>
          <w:color w:val="000000" w:themeColor="text1"/>
        </w:rPr>
        <w:t xml:space="preserve">each </w:t>
      </w:r>
      <w:r w:rsidRPr="6D3073F6">
        <w:rPr>
          <w:rFonts w:ascii="Arial" w:eastAsia="Arial" w:hAnsi="Arial" w:cs="Arial"/>
          <w:color w:val="000000" w:themeColor="text1"/>
        </w:rPr>
        <w:t>determination</w:t>
      </w:r>
      <w:r w:rsidR="005810DB" w:rsidRPr="6D3073F6">
        <w:rPr>
          <w:rFonts w:ascii="Arial" w:eastAsia="Arial" w:hAnsi="Arial" w:cs="Arial"/>
          <w:color w:val="000000" w:themeColor="text1"/>
        </w:rPr>
        <w:t>.</w:t>
      </w:r>
    </w:p>
    <w:p w14:paraId="2FD2E8A4" w14:textId="7B9F3C24" w:rsidR="7ADEE89D" w:rsidRDefault="7ADEE89D" w:rsidP="00EC42C6">
      <w:pPr>
        <w:pStyle w:val="ListNumber"/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6D3073F6">
        <w:rPr>
          <w:rFonts w:ascii="Arial" w:eastAsia="Arial" w:hAnsi="Arial" w:cs="Arial"/>
          <w:color w:val="000000" w:themeColor="text1"/>
        </w:rPr>
        <w:t xml:space="preserve">Please be specific when providing </w:t>
      </w:r>
      <w:r w:rsidR="1EEF2404" w:rsidRPr="6D3073F6">
        <w:rPr>
          <w:rFonts w:ascii="Arial" w:eastAsia="Arial" w:hAnsi="Arial" w:cs="Arial"/>
          <w:color w:val="000000" w:themeColor="text1"/>
        </w:rPr>
        <w:t xml:space="preserve">the </w:t>
      </w:r>
      <w:r w:rsidRPr="6D3073F6">
        <w:rPr>
          <w:rFonts w:ascii="Arial" w:eastAsia="Arial" w:hAnsi="Arial" w:cs="Arial"/>
          <w:color w:val="000000" w:themeColor="text1"/>
        </w:rPr>
        <w:t>rationale for wh</w:t>
      </w:r>
      <w:r w:rsidR="5BAC9669" w:rsidRPr="6D3073F6">
        <w:rPr>
          <w:rFonts w:ascii="Arial" w:eastAsia="Arial" w:hAnsi="Arial" w:cs="Arial"/>
          <w:color w:val="000000" w:themeColor="text1"/>
        </w:rPr>
        <w:t>y</w:t>
      </w:r>
      <w:r w:rsidRPr="6D3073F6">
        <w:rPr>
          <w:rFonts w:ascii="Arial" w:eastAsia="Arial" w:hAnsi="Arial" w:cs="Arial"/>
          <w:color w:val="000000" w:themeColor="text1"/>
        </w:rPr>
        <w:t xml:space="preserve"> </w:t>
      </w:r>
      <w:r w:rsidR="617F5360" w:rsidRPr="6D3073F6">
        <w:rPr>
          <w:rFonts w:ascii="Arial" w:eastAsia="Arial" w:hAnsi="Arial" w:cs="Arial"/>
          <w:color w:val="000000" w:themeColor="text1"/>
        </w:rPr>
        <w:t xml:space="preserve">a </w:t>
      </w:r>
      <w:r w:rsidRPr="6D3073F6">
        <w:rPr>
          <w:rFonts w:ascii="Arial" w:eastAsia="Arial" w:hAnsi="Arial" w:cs="Arial"/>
          <w:color w:val="000000" w:themeColor="text1"/>
        </w:rPr>
        <w:t xml:space="preserve">measure demonstrates an opportunity for disparities reduction. </w:t>
      </w:r>
      <w:r w:rsidR="3228C4FE" w:rsidRPr="6D3073F6">
        <w:rPr>
          <w:rFonts w:ascii="Arial" w:eastAsia="Arial" w:hAnsi="Arial" w:cs="Arial"/>
          <w:color w:val="000000" w:themeColor="text1"/>
        </w:rPr>
        <w:t>Discussion items</w:t>
      </w:r>
      <w:r w:rsidRPr="6D3073F6">
        <w:rPr>
          <w:rFonts w:ascii="Arial" w:eastAsia="Arial" w:hAnsi="Arial" w:cs="Arial"/>
          <w:color w:val="000000" w:themeColor="text1"/>
        </w:rPr>
        <w:t xml:space="preserve"> may include, but </w:t>
      </w:r>
      <w:r w:rsidR="7895F263" w:rsidRPr="6D3073F6">
        <w:rPr>
          <w:rFonts w:ascii="Arial" w:eastAsia="Arial" w:hAnsi="Arial" w:cs="Arial"/>
          <w:color w:val="000000" w:themeColor="text1"/>
        </w:rPr>
        <w:t>are</w:t>
      </w:r>
      <w:r w:rsidRPr="6D3073F6">
        <w:rPr>
          <w:rFonts w:ascii="Arial" w:eastAsia="Arial" w:hAnsi="Arial" w:cs="Arial"/>
          <w:color w:val="000000" w:themeColor="text1"/>
        </w:rPr>
        <w:t xml:space="preserve"> not limited to:</w:t>
      </w:r>
    </w:p>
    <w:p w14:paraId="07CB2F1E" w14:textId="3C93A149" w:rsidR="7ADEE89D" w:rsidRDefault="63F1B6DB" w:rsidP="00EC42C6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3CEFF752">
        <w:rPr>
          <w:rFonts w:ascii="Arial" w:eastAsia="Arial" w:hAnsi="Arial" w:cs="Arial"/>
          <w:color w:val="000000" w:themeColor="text1"/>
        </w:rPr>
        <w:t>O</w:t>
      </w:r>
      <w:r w:rsidR="7ADEE89D" w:rsidRPr="3CEFF752">
        <w:rPr>
          <w:rFonts w:ascii="Arial" w:eastAsia="Arial" w:hAnsi="Arial" w:cs="Arial"/>
          <w:color w:val="000000" w:themeColor="text1"/>
        </w:rPr>
        <w:t>b</w:t>
      </w:r>
      <w:r w:rsidR="7ADEE89D" w:rsidRPr="3CEFF752">
        <w:rPr>
          <w:rFonts w:ascii="Arial" w:eastAsia="Arial" w:hAnsi="Arial" w:cs="Arial"/>
        </w:rPr>
        <w:t>served disparit</w:t>
      </w:r>
      <w:r w:rsidR="23C9B642" w:rsidRPr="3CEFF752">
        <w:rPr>
          <w:rFonts w:ascii="Arial" w:eastAsia="Arial" w:hAnsi="Arial" w:cs="Arial"/>
        </w:rPr>
        <w:t>ies</w:t>
      </w:r>
      <w:r w:rsidR="7ADEE89D" w:rsidRPr="3CEFF752">
        <w:rPr>
          <w:rFonts w:ascii="Arial" w:eastAsia="Arial" w:hAnsi="Arial" w:cs="Arial"/>
        </w:rPr>
        <w:t xml:space="preserve"> between racial or ethnic groups</w:t>
      </w:r>
      <w:r w:rsidR="006C5310">
        <w:rPr>
          <w:rFonts w:ascii="Arial" w:eastAsia="Arial" w:hAnsi="Arial" w:cs="Arial"/>
        </w:rPr>
        <w:t>;</w:t>
      </w:r>
    </w:p>
    <w:p w14:paraId="1670FA40" w14:textId="32C1F235" w:rsidR="7ADEE89D" w:rsidRDefault="5168C686" w:rsidP="00EC42C6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6D3073F6">
        <w:rPr>
          <w:rFonts w:ascii="Arial" w:eastAsia="Arial" w:hAnsi="Arial" w:cs="Arial"/>
        </w:rPr>
        <w:t>A</w:t>
      </w:r>
      <w:r w:rsidR="7ADEE89D" w:rsidRPr="00904691">
        <w:rPr>
          <w:rFonts w:ascii="Arial" w:eastAsia="Arial" w:hAnsi="Arial" w:cs="Arial"/>
        </w:rPr>
        <w:t xml:space="preserve">dditional evidence, </w:t>
      </w:r>
      <w:r w:rsidR="6FAEDCCA" w:rsidRPr="6D3073F6">
        <w:rPr>
          <w:rFonts w:ascii="Arial" w:eastAsia="Arial" w:hAnsi="Arial" w:cs="Arial"/>
        </w:rPr>
        <w:t xml:space="preserve">such as </w:t>
      </w:r>
      <w:r w:rsidR="7ADEE89D" w:rsidRPr="00904691">
        <w:rPr>
          <w:rFonts w:ascii="Arial" w:eastAsia="Arial" w:hAnsi="Arial" w:cs="Arial"/>
        </w:rPr>
        <w:t xml:space="preserve">historical </w:t>
      </w:r>
      <w:r w:rsidR="74BB5334" w:rsidRPr="6D3073F6">
        <w:rPr>
          <w:rFonts w:ascii="Arial" w:eastAsia="Arial" w:hAnsi="Arial" w:cs="Arial"/>
        </w:rPr>
        <w:t xml:space="preserve">data </w:t>
      </w:r>
      <w:r w:rsidR="5144CF61" w:rsidRPr="6D3073F6">
        <w:rPr>
          <w:rFonts w:ascii="Arial" w:eastAsia="Arial" w:hAnsi="Arial" w:cs="Arial"/>
        </w:rPr>
        <w:t>from</w:t>
      </w:r>
      <w:r w:rsidR="7ADEE89D" w:rsidRPr="00904691">
        <w:rPr>
          <w:rFonts w:ascii="Arial" w:eastAsia="Arial" w:hAnsi="Arial" w:cs="Arial"/>
        </w:rPr>
        <w:t xml:space="preserve"> </w:t>
      </w:r>
      <w:r w:rsidR="10A661A0" w:rsidRPr="6D3073F6">
        <w:rPr>
          <w:rFonts w:ascii="Arial" w:eastAsia="Arial" w:hAnsi="Arial" w:cs="Arial"/>
        </w:rPr>
        <w:t xml:space="preserve">your </w:t>
      </w:r>
      <w:r w:rsidR="7ADEE89D" w:rsidRPr="00904691">
        <w:rPr>
          <w:rFonts w:ascii="Arial" w:eastAsia="Arial" w:hAnsi="Arial" w:cs="Arial"/>
        </w:rPr>
        <w:t>entit</w:t>
      </w:r>
      <w:r w:rsidR="65494374" w:rsidRPr="6D3073F6">
        <w:rPr>
          <w:rFonts w:ascii="Arial" w:eastAsia="Arial" w:hAnsi="Arial" w:cs="Arial"/>
        </w:rPr>
        <w:t>y</w:t>
      </w:r>
      <w:r w:rsidR="7ADEE89D" w:rsidRPr="6D3073F6">
        <w:rPr>
          <w:rFonts w:ascii="Arial" w:eastAsia="Arial" w:hAnsi="Arial" w:cs="Arial"/>
        </w:rPr>
        <w:t xml:space="preserve"> </w:t>
      </w:r>
      <w:r w:rsidR="4A18C61E" w:rsidRPr="6D3073F6">
        <w:rPr>
          <w:rFonts w:ascii="Arial" w:eastAsia="Arial" w:hAnsi="Arial" w:cs="Arial"/>
        </w:rPr>
        <w:t xml:space="preserve">demonstrating </w:t>
      </w:r>
      <w:r w:rsidR="7ADEE89D" w:rsidRPr="6D3073F6">
        <w:rPr>
          <w:rFonts w:ascii="Arial" w:eastAsia="Arial" w:hAnsi="Arial" w:cs="Arial"/>
        </w:rPr>
        <w:t>disparit</w:t>
      </w:r>
      <w:r w:rsidR="49137DE1" w:rsidRPr="6D3073F6">
        <w:rPr>
          <w:rFonts w:ascii="Arial" w:eastAsia="Arial" w:hAnsi="Arial" w:cs="Arial"/>
        </w:rPr>
        <w:t>ies</w:t>
      </w:r>
      <w:r w:rsidR="7ADEE89D" w:rsidRPr="6D3073F6">
        <w:rPr>
          <w:rFonts w:ascii="Arial" w:eastAsia="Arial" w:hAnsi="Arial" w:cs="Arial"/>
        </w:rPr>
        <w:t xml:space="preserve"> between racial or ethnic groups</w:t>
      </w:r>
      <w:r w:rsidR="006C5310">
        <w:rPr>
          <w:rFonts w:ascii="Arial" w:eastAsia="Arial" w:hAnsi="Arial" w:cs="Arial"/>
        </w:rPr>
        <w:t>;</w:t>
      </w:r>
    </w:p>
    <w:p w14:paraId="7D4B7CF1" w14:textId="56CB543A" w:rsidR="7ADEE89D" w:rsidRDefault="7F85F39C" w:rsidP="00EC42C6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6D3073F6">
        <w:rPr>
          <w:rFonts w:ascii="Arial" w:eastAsia="Arial" w:hAnsi="Arial" w:cs="Arial"/>
        </w:rPr>
        <w:t>A</w:t>
      </w:r>
      <w:r w:rsidR="7ADEE89D" w:rsidRPr="6D3073F6">
        <w:rPr>
          <w:rFonts w:ascii="Arial" w:eastAsia="Arial" w:hAnsi="Arial" w:cs="Arial"/>
        </w:rPr>
        <w:t>lign</w:t>
      </w:r>
      <w:r w:rsidR="5CB61A50" w:rsidRPr="6D3073F6">
        <w:rPr>
          <w:rFonts w:ascii="Arial" w:eastAsia="Arial" w:hAnsi="Arial" w:cs="Arial"/>
        </w:rPr>
        <w:t>ment</w:t>
      </w:r>
      <w:r w:rsidR="7ADEE89D" w:rsidRPr="6D3073F6">
        <w:rPr>
          <w:rFonts w:ascii="Arial" w:eastAsia="Arial" w:hAnsi="Arial" w:cs="Arial"/>
        </w:rPr>
        <w:t xml:space="preserve"> with the </w:t>
      </w:r>
      <w:r w:rsidR="20637BD4" w:rsidRPr="6D3073F6">
        <w:rPr>
          <w:rFonts w:ascii="Arial" w:eastAsia="Arial" w:hAnsi="Arial" w:cs="Arial"/>
        </w:rPr>
        <w:t>Hospital’s</w:t>
      </w:r>
      <w:r w:rsidR="7ADEE89D" w:rsidRPr="6D3073F6">
        <w:rPr>
          <w:rFonts w:ascii="Arial" w:eastAsia="Arial" w:hAnsi="Arial" w:cs="Arial"/>
        </w:rPr>
        <w:t xml:space="preserve"> Equity Improvement Interventions (“PIPs”) and/or </w:t>
      </w:r>
      <w:r w:rsidR="2F00C1D5" w:rsidRPr="6D3073F6">
        <w:rPr>
          <w:rFonts w:ascii="Arial" w:eastAsia="Arial" w:hAnsi="Arial" w:cs="Arial"/>
        </w:rPr>
        <w:t xml:space="preserve">your </w:t>
      </w:r>
      <w:r w:rsidR="4D2D74AE" w:rsidRPr="6D3073F6">
        <w:rPr>
          <w:rFonts w:ascii="Arial" w:eastAsia="Arial" w:hAnsi="Arial" w:cs="Arial"/>
        </w:rPr>
        <w:t>Hospital’s</w:t>
      </w:r>
      <w:r w:rsidR="7ADEE89D" w:rsidRPr="6D3073F6">
        <w:rPr>
          <w:rFonts w:ascii="Arial" w:eastAsia="Arial" w:hAnsi="Arial" w:cs="Arial"/>
        </w:rPr>
        <w:t xml:space="preserve"> key priorities for disparities reduction</w:t>
      </w:r>
      <w:r w:rsidR="006C5310">
        <w:rPr>
          <w:rFonts w:ascii="Arial" w:eastAsia="Arial" w:hAnsi="Arial" w:cs="Arial"/>
        </w:rPr>
        <w:t xml:space="preserve">; </w:t>
      </w:r>
    </w:p>
    <w:p w14:paraId="3625CF3D" w14:textId="6A7467D2" w:rsidR="7ADEE89D" w:rsidRDefault="0013AD8D" w:rsidP="00EC42C6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6D3073F6">
        <w:rPr>
          <w:rFonts w:ascii="Arial" w:eastAsia="Arial" w:hAnsi="Arial" w:cs="Arial"/>
        </w:rPr>
        <w:t>S</w:t>
      </w:r>
      <w:r w:rsidR="7ADEE89D" w:rsidRPr="6D3073F6">
        <w:rPr>
          <w:rFonts w:ascii="Arial" w:eastAsia="Arial" w:hAnsi="Arial" w:cs="Arial"/>
        </w:rPr>
        <w:t xml:space="preserve">ufficient denominator size for subpopulations to </w:t>
      </w:r>
      <w:r w:rsidR="4B6FF813" w:rsidRPr="6D3073F6">
        <w:rPr>
          <w:rFonts w:ascii="Arial" w:eastAsia="Arial" w:hAnsi="Arial" w:cs="Arial"/>
        </w:rPr>
        <w:t xml:space="preserve">allow </w:t>
      </w:r>
      <w:r w:rsidR="7ADEE89D" w:rsidRPr="6D3073F6">
        <w:rPr>
          <w:rFonts w:ascii="Arial" w:eastAsia="Arial" w:hAnsi="Arial" w:cs="Arial"/>
        </w:rPr>
        <w:t>meaningful comparison (minimum n=30)</w:t>
      </w:r>
      <w:r w:rsidR="006C5310">
        <w:rPr>
          <w:rFonts w:ascii="Arial" w:eastAsia="Arial" w:hAnsi="Arial" w:cs="Arial"/>
        </w:rPr>
        <w:t>; and/or</w:t>
      </w:r>
    </w:p>
    <w:p w14:paraId="7AD4C5BD" w14:textId="53DD0EF6" w:rsidR="7ADEE89D" w:rsidRDefault="7ADEE89D" w:rsidP="00EC42C6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6D3073F6">
        <w:rPr>
          <w:rFonts w:ascii="Arial" w:eastAsia="Arial" w:hAnsi="Arial" w:cs="Arial"/>
        </w:rPr>
        <w:t>Other</w:t>
      </w:r>
      <w:r w:rsidR="3FD2EF13" w:rsidRPr="6D3073F6">
        <w:rPr>
          <w:rFonts w:ascii="Arial" w:eastAsia="Arial" w:hAnsi="Arial" w:cs="Arial"/>
        </w:rPr>
        <w:t xml:space="preserve"> </w:t>
      </w:r>
      <w:r w:rsidR="16D3237E" w:rsidRPr="60E2DDA0">
        <w:rPr>
          <w:rFonts w:ascii="Arial" w:eastAsia="Arial" w:hAnsi="Arial" w:cs="Arial"/>
        </w:rPr>
        <w:t>r</w:t>
      </w:r>
      <w:r w:rsidR="3FD2EF13" w:rsidRPr="60E2DDA0">
        <w:rPr>
          <w:rFonts w:ascii="Arial" w:eastAsia="Arial" w:hAnsi="Arial" w:cs="Arial"/>
        </w:rPr>
        <w:t>elevant</w:t>
      </w:r>
      <w:r w:rsidR="3FD2EF13" w:rsidRPr="6D3073F6">
        <w:rPr>
          <w:rFonts w:ascii="Arial" w:eastAsia="Arial" w:hAnsi="Arial" w:cs="Arial"/>
        </w:rPr>
        <w:t xml:space="preserve"> factors.</w:t>
      </w:r>
    </w:p>
    <w:p w14:paraId="6457E751" w14:textId="77777777" w:rsidR="00901D35" w:rsidRDefault="00901D35" w:rsidP="00901D35">
      <w:pPr>
        <w:pStyle w:val="ListNumber"/>
        <w:spacing w:before="0" w:after="0" w:line="240" w:lineRule="auto"/>
        <w:rPr>
          <w:rFonts w:ascii="Arial" w:eastAsia="Arial" w:hAnsi="Arial" w:cs="Arial"/>
        </w:rPr>
      </w:pPr>
    </w:p>
    <w:tbl>
      <w:tblPr>
        <w:tblStyle w:val="MHtableHeader"/>
        <w:tblW w:w="9355" w:type="dxa"/>
        <w:tblInd w:w="715" w:type="dxa"/>
        <w:tblLook w:val="04A0" w:firstRow="1" w:lastRow="0" w:firstColumn="1" w:lastColumn="0" w:noHBand="0" w:noVBand="1"/>
      </w:tblPr>
      <w:tblGrid>
        <w:gridCol w:w="2430"/>
        <w:gridCol w:w="2250"/>
        <w:gridCol w:w="4675"/>
      </w:tblGrid>
      <w:tr w:rsidR="00901D35" w:rsidRPr="00F00742" w14:paraId="0FF3E604" w14:textId="77777777" w:rsidTr="00901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30" w:type="dxa"/>
          </w:tcPr>
          <w:p w14:paraId="3C6E037E" w14:textId="4274E6CB" w:rsidR="00901D35" w:rsidRPr="009C5CFF" w:rsidRDefault="00901D35">
            <w:pPr>
              <w:spacing w:before="40"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Measure</w:t>
            </w:r>
          </w:p>
        </w:tc>
        <w:tc>
          <w:tcPr>
            <w:tcW w:w="2250" w:type="dxa"/>
          </w:tcPr>
          <w:p w14:paraId="0CF53839" w14:textId="0AD52FD7" w:rsidR="00901D35" w:rsidRPr="75C5DCFD" w:rsidRDefault="00901D35">
            <w:pPr>
              <w:spacing w:before="4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Subpopulation(s)</w:t>
            </w:r>
          </w:p>
        </w:tc>
        <w:tc>
          <w:tcPr>
            <w:tcW w:w="4675" w:type="dxa"/>
          </w:tcPr>
          <w:p w14:paraId="6388BE28" w14:textId="4CB013DF" w:rsidR="00901D35" w:rsidRPr="009C5CFF" w:rsidRDefault="00901D35">
            <w:pPr>
              <w:spacing w:before="4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Rationale</w:t>
            </w:r>
          </w:p>
        </w:tc>
      </w:tr>
      <w:tr w:rsidR="00901D35" w:rsidRPr="00F00742" w14:paraId="385FC023" w14:textId="77777777" w:rsidTr="00901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ACBE6FF" w14:textId="39BEE2DA" w:rsidR="00901D35" w:rsidRPr="00836C7F" w:rsidRDefault="00901D35">
            <w:pPr>
              <w:pStyle w:val="MH-ChartContentText"/>
            </w:pPr>
          </w:p>
        </w:tc>
        <w:tc>
          <w:tcPr>
            <w:tcW w:w="2250" w:type="dxa"/>
          </w:tcPr>
          <w:p w14:paraId="1AA73123" w14:textId="77777777" w:rsidR="00901D35" w:rsidRPr="00836C7F" w:rsidRDefault="00901D35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5" w:type="dxa"/>
          </w:tcPr>
          <w:p w14:paraId="1B697950" w14:textId="19F727CF" w:rsidR="00901D35" w:rsidRPr="00836C7F" w:rsidRDefault="00901D35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1D35" w:rsidRPr="00F00742" w14:paraId="24F07F48" w14:textId="77777777" w:rsidTr="00901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4C5AE2E5" w14:textId="77777777" w:rsidR="00901D35" w:rsidRPr="00836C7F" w:rsidRDefault="00901D35">
            <w:pPr>
              <w:pStyle w:val="MH-ChartContentText"/>
            </w:pPr>
          </w:p>
        </w:tc>
        <w:tc>
          <w:tcPr>
            <w:tcW w:w="2250" w:type="dxa"/>
          </w:tcPr>
          <w:p w14:paraId="0B15FFA7" w14:textId="77777777" w:rsidR="00901D35" w:rsidRPr="00836C7F" w:rsidRDefault="00901D35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75" w:type="dxa"/>
          </w:tcPr>
          <w:p w14:paraId="55BF3F69" w14:textId="2B7A3A29" w:rsidR="00901D35" w:rsidRPr="00836C7F" w:rsidRDefault="00901D35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1D35" w:rsidRPr="00F00742" w14:paraId="0A22C98F" w14:textId="77777777" w:rsidTr="00901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94FA25B" w14:textId="77777777" w:rsidR="00901D35" w:rsidRPr="00836C7F" w:rsidRDefault="00901D35">
            <w:pPr>
              <w:pStyle w:val="MH-ChartContentText"/>
            </w:pPr>
          </w:p>
        </w:tc>
        <w:tc>
          <w:tcPr>
            <w:tcW w:w="2250" w:type="dxa"/>
          </w:tcPr>
          <w:p w14:paraId="3C53CC0D" w14:textId="77777777" w:rsidR="00901D35" w:rsidRPr="00836C7F" w:rsidRDefault="00901D35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5" w:type="dxa"/>
          </w:tcPr>
          <w:p w14:paraId="3F14558D" w14:textId="75AB010A" w:rsidR="00901D35" w:rsidRPr="00836C7F" w:rsidRDefault="00901D35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5D00" w:rsidRPr="00F00742" w14:paraId="455F51AF" w14:textId="77777777" w:rsidTr="00901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4161ECB" w14:textId="77777777" w:rsidR="00BA5D00" w:rsidRPr="00836C7F" w:rsidRDefault="00BA5D00">
            <w:pPr>
              <w:pStyle w:val="MH-ChartContentText"/>
            </w:pPr>
          </w:p>
        </w:tc>
        <w:tc>
          <w:tcPr>
            <w:tcW w:w="2250" w:type="dxa"/>
          </w:tcPr>
          <w:p w14:paraId="4FA815A1" w14:textId="77777777" w:rsidR="00BA5D00" w:rsidRPr="00836C7F" w:rsidRDefault="00BA5D00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75" w:type="dxa"/>
          </w:tcPr>
          <w:p w14:paraId="7E52B10E" w14:textId="77777777" w:rsidR="00BA5D00" w:rsidRPr="00836C7F" w:rsidRDefault="00BA5D00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555D02E" w14:textId="77777777" w:rsidR="00901D35" w:rsidRDefault="00901D35" w:rsidP="00901D35">
      <w:pPr>
        <w:pStyle w:val="ListNumber"/>
        <w:spacing w:before="0" w:after="0" w:line="240" w:lineRule="auto"/>
        <w:ind w:left="360"/>
        <w:rPr>
          <w:rFonts w:ascii="Arial" w:eastAsia="Arial" w:hAnsi="Arial" w:cs="Arial"/>
        </w:rPr>
      </w:pPr>
    </w:p>
    <w:p w14:paraId="047442C3" w14:textId="67BF7744" w:rsidR="7EEF6DAF" w:rsidRPr="005B2307" w:rsidRDefault="3C703BC1" w:rsidP="00904691">
      <w:pPr>
        <w:pStyle w:val="ListNumber"/>
        <w:numPr>
          <w:ilvl w:val="0"/>
          <w:numId w:val="16"/>
        </w:numPr>
        <w:rPr>
          <w:rFonts w:ascii="Arial" w:eastAsia="Arial" w:hAnsi="Arial" w:cs="Arial"/>
        </w:rPr>
      </w:pPr>
      <w:r w:rsidRPr="38ADBE49">
        <w:rPr>
          <w:rFonts w:ascii="Arial" w:eastAsia="Arial" w:hAnsi="Arial" w:cs="Arial"/>
          <w:b/>
          <w:bCs/>
        </w:rPr>
        <w:t>Question</w:t>
      </w:r>
      <w:r w:rsidRPr="38ADBE49">
        <w:rPr>
          <w:rFonts w:ascii="Arial" w:eastAsia="Arial" w:hAnsi="Arial" w:cs="Arial"/>
        </w:rPr>
        <w:t xml:space="preserve">: </w:t>
      </w:r>
      <w:r w:rsidR="31CC0AEA" w:rsidRPr="66B4C3D7">
        <w:rPr>
          <w:rFonts w:ascii="Arial" w:eastAsia="Arial" w:hAnsi="Arial" w:cs="Arial"/>
        </w:rPr>
        <w:t>Please</w:t>
      </w:r>
      <w:r w:rsidR="21D45C27" w:rsidRPr="38ADBE49">
        <w:rPr>
          <w:rFonts w:ascii="Arial" w:eastAsia="Arial" w:hAnsi="Arial" w:cs="Arial"/>
        </w:rPr>
        <w:t xml:space="preserve"> indicate</w:t>
      </w:r>
      <w:r w:rsidRPr="38ADBE49">
        <w:rPr>
          <w:rFonts w:ascii="Arial" w:eastAsia="Arial" w:hAnsi="Arial" w:cs="Arial"/>
        </w:rPr>
        <w:t xml:space="preserve"> </w:t>
      </w:r>
      <w:r w:rsidRPr="38ADBE49">
        <w:rPr>
          <w:rFonts w:ascii="Arial" w:eastAsia="Arial" w:hAnsi="Arial" w:cs="Arial"/>
          <w:b/>
          <w:bCs/>
        </w:rPr>
        <w:t>two</w:t>
      </w:r>
      <w:r w:rsidR="44B15488" w:rsidRPr="66B4C3D7">
        <w:rPr>
          <w:rFonts w:ascii="Arial" w:eastAsia="Arial" w:hAnsi="Arial" w:cs="Arial"/>
        </w:rPr>
        <w:t xml:space="preserve"> eligible q</w:t>
      </w:r>
      <w:r w:rsidRPr="38ADBE49">
        <w:rPr>
          <w:rFonts w:ascii="Arial" w:eastAsia="Arial" w:hAnsi="Arial" w:cs="Arial"/>
        </w:rPr>
        <w:t>uality measures</w:t>
      </w:r>
      <w:r w:rsidR="1440E01E" w:rsidRPr="38ADBE49">
        <w:rPr>
          <w:rFonts w:ascii="Arial" w:eastAsia="Arial" w:hAnsi="Arial" w:cs="Arial"/>
        </w:rPr>
        <w:t xml:space="preserve"> </w:t>
      </w:r>
      <w:r w:rsidR="001E2CBE">
        <w:rPr>
          <w:rFonts w:ascii="Arial" w:eastAsia="Arial" w:hAnsi="Arial" w:cs="Arial"/>
        </w:rPr>
        <w:t>that</w:t>
      </w:r>
      <w:r w:rsidR="6227917B" w:rsidRPr="38ADBE49">
        <w:rPr>
          <w:rFonts w:ascii="Arial" w:eastAsia="Arial" w:hAnsi="Arial" w:cs="Arial"/>
        </w:rPr>
        <w:t xml:space="preserve"> </w:t>
      </w:r>
      <w:r w:rsidR="33C10108" w:rsidRPr="66B4C3D7">
        <w:rPr>
          <w:rFonts w:ascii="Arial" w:eastAsia="Arial" w:hAnsi="Arial" w:cs="Arial"/>
        </w:rPr>
        <w:t>your hospital</w:t>
      </w:r>
      <w:r w:rsidR="6227917B" w:rsidRPr="66B4C3D7">
        <w:rPr>
          <w:rFonts w:ascii="Arial" w:eastAsia="Arial" w:hAnsi="Arial" w:cs="Arial"/>
        </w:rPr>
        <w:t xml:space="preserve"> plan</w:t>
      </w:r>
      <w:r w:rsidR="4099ABC9" w:rsidRPr="66B4C3D7">
        <w:rPr>
          <w:rFonts w:ascii="Arial" w:eastAsia="Arial" w:hAnsi="Arial" w:cs="Arial"/>
        </w:rPr>
        <w:t>s</w:t>
      </w:r>
      <w:r w:rsidR="6227917B" w:rsidRPr="38ADBE49">
        <w:rPr>
          <w:rFonts w:ascii="Arial" w:eastAsia="Arial" w:hAnsi="Arial" w:cs="Arial"/>
        </w:rPr>
        <w:t xml:space="preserve"> </w:t>
      </w:r>
      <w:r w:rsidRPr="38ADBE49">
        <w:rPr>
          <w:rFonts w:ascii="Arial" w:eastAsia="Arial" w:hAnsi="Arial" w:cs="Arial"/>
        </w:rPr>
        <w:t>to focus</w:t>
      </w:r>
      <w:r w:rsidR="007A528A" w:rsidRPr="38ADBE49">
        <w:rPr>
          <w:rFonts w:ascii="Arial" w:eastAsia="Arial" w:hAnsi="Arial" w:cs="Arial"/>
        </w:rPr>
        <w:t xml:space="preserve"> </w:t>
      </w:r>
      <w:r w:rsidR="3B07F735" w:rsidRPr="66B4C3D7">
        <w:rPr>
          <w:rFonts w:ascii="Arial" w:eastAsia="Arial" w:hAnsi="Arial" w:cs="Arial"/>
        </w:rPr>
        <w:t>on for</w:t>
      </w:r>
      <w:r w:rsidR="007A528A" w:rsidRPr="66B4C3D7">
        <w:rPr>
          <w:rFonts w:ascii="Arial" w:eastAsia="Arial" w:hAnsi="Arial" w:cs="Arial"/>
        </w:rPr>
        <w:t xml:space="preserve"> </w:t>
      </w:r>
      <w:r w:rsidRPr="38ADBE49">
        <w:rPr>
          <w:rFonts w:ascii="Arial" w:eastAsia="Arial" w:hAnsi="Arial" w:cs="Arial"/>
        </w:rPr>
        <w:t>disparities reduction efforts</w:t>
      </w:r>
      <w:r w:rsidR="755EAD55" w:rsidRPr="66B4C3D7">
        <w:rPr>
          <w:rFonts w:ascii="Arial" w:eastAsia="Arial" w:hAnsi="Arial" w:cs="Arial"/>
        </w:rPr>
        <w:t xml:space="preserve">, along with the rationale, in the table </w:t>
      </w:r>
      <w:r w:rsidR="755EAD55" w:rsidRPr="001E2CBE">
        <w:rPr>
          <w:rFonts w:ascii="Arial" w:eastAsia="Arial" w:hAnsi="Arial" w:cs="Arial"/>
        </w:rPr>
        <w:t>below</w:t>
      </w:r>
      <w:r w:rsidR="62975E5C" w:rsidRPr="001E2CBE">
        <w:rPr>
          <w:rFonts w:ascii="Arial" w:eastAsia="Arial" w:hAnsi="Arial" w:cs="Arial"/>
        </w:rPr>
        <w:t>.</w:t>
      </w:r>
      <w:r w:rsidRPr="001E2CBE">
        <w:rPr>
          <w:rFonts w:ascii="Arial" w:eastAsia="Arial" w:hAnsi="Arial" w:cs="Arial"/>
        </w:rPr>
        <w:t xml:space="preserve"> Please note that </w:t>
      </w:r>
      <w:r w:rsidR="00F90028" w:rsidRPr="001E2CBE">
        <w:rPr>
          <w:rFonts w:ascii="Arial" w:eastAsia="Arial" w:hAnsi="Arial" w:cs="Arial"/>
        </w:rPr>
        <w:t>if your hospital is a birthing hospital</w:t>
      </w:r>
      <w:r w:rsidR="3074619B" w:rsidRPr="60E2DDA0">
        <w:rPr>
          <w:rFonts w:ascii="Arial" w:eastAsia="Arial" w:hAnsi="Arial" w:cs="Arial"/>
        </w:rPr>
        <w:t>,</w:t>
      </w:r>
      <w:r w:rsidR="00F90028" w:rsidRPr="001E2CBE">
        <w:rPr>
          <w:rFonts w:ascii="Arial" w:eastAsia="Arial" w:hAnsi="Arial" w:cs="Arial"/>
        </w:rPr>
        <w:t xml:space="preserve"> </w:t>
      </w:r>
      <w:r w:rsidR="4C35AA98" w:rsidRPr="001E2CBE">
        <w:rPr>
          <w:rFonts w:ascii="Arial" w:eastAsia="Arial" w:hAnsi="Arial" w:cs="Arial"/>
        </w:rPr>
        <w:t>SMM</w:t>
      </w:r>
      <w:r w:rsidR="00F90028" w:rsidRPr="001E2CBE">
        <w:rPr>
          <w:rFonts w:ascii="Arial" w:eastAsia="Arial" w:hAnsi="Arial" w:cs="Arial"/>
        </w:rPr>
        <w:t xml:space="preserve"> or</w:t>
      </w:r>
      <w:r w:rsidR="4C35AA98" w:rsidRPr="001E2CBE">
        <w:rPr>
          <w:rFonts w:ascii="Arial" w:eastAsia="Arial" w:hAnsi="Arial" w:cs="Arial"/>
        </w:rPr>
        <w:t xml:space="preserve"> MAT-4</w:t>
      </w:r>
      <w:r w:rsidR="00BD6258" w:rsidRPr="001E2CBE">
        <w:rPr>
          <w:rFonts w:ascii="Arial" w:eastAsia="Arial" w:hAnsi="Arial" w:cs="Arial"/>
        </w:rPr>
        <w:t xml:space="preserve"> </w:t>
      </w:r>
      <w:r w:rsidR="40AC65DC" w:rsidRPr="001E2CBE">
        <w:rPr>
          <w:rFonts w:ascii="Arial" w:eastAsia="Arial" w:hAnsi="Arial" w:cs="Arial"/>
        </w:rPr>
        <w:t>must be one of your measures of focus. F</w:t>
      </w:r>
      <w:r w:rsidR="00EC6733" w:rsidRPr="001E2CBE">
        <w:rPr>
          <w:rFonts w:ascii="Arial" w:eastAsia="Arial" w:hAnsi="Arial" w:cs="Arial"/>
        </w:rPr>
        <w:t>or non-birthing hospitals</w:t>
      </w:r>
      <w:r w:rsidR="0C618A6B" w:rsidRPr="60E2DDA0">
        <w:rPr>
          <w:rFonts w:ascii="Arial" w:eastAsia="Arial" w:hAnsi="Arial" w:cs="Arial"/>
        </w:rPr>
        <w:t>,</w:t>
      </w:r>
      <w:r w:rsidR="00EC6733" w:rsidRPr="001E2CBE">
        <w:rPr>
          <w:rFonts w:ascii="Arial" w:eastAsia="Arial" w:hAnsi="Arial" w:cs="Arial"/>
        </w:rPr>
        <w:t xml:space="preserve"> </w:t>
      </w:r>
      <w:r w:rsidR="2DF0504F" w:rsidRPr="001E2CBE">
        <w:rPr>
          <w:rFonts w:ascii="Arial" w:eastAsia="Arial" w:hAnsi="Arial" w:cs="Arial"/>
        </w:rPr>
        <w:t>FUH</w:t>
      </w:r>
      <w:r w:rsidR="00EC6733" w:rsidRPr="001E2CBE">
        <w:rPr>
          <w:rFonts w:ascii="Arial" w:eastAsia="Arial" w:hAnsi="Arial" w:cs="Arial"/>
        </w:rPr>
        <w:t>, if applicable,</w:t>
      </w:r>
      <w:r w:rsidR="4C35AA98" w:rsidRPr="001E2CBE">
        <w:rPr>
          <w:rFonts w:ascii="Arial" w:eastAsia="Arial" w:hAnsi="Arial" w:cs="Arial"/>
        </w:rPr>
        <w:t xml:space="preserve"> must be one of the measures of focus</w:t>
      </w:r>
      <w:r w:rsidR="001E2CBE" w:rsidRPr="001E2CBE">
        <w:rPr>
          <w:rFonts w:ascii="Arial" w:eastAsia="Arial" w:hAnsi="Arial" w:cs="Arial"/>
        </w:rPr>
        <w:t>.</w:t>
      </w:r>
    </w:p>
    <w:tbl>
      <w:tblPr>
        <w:tblStyle w:val="MHtableHeader"/>
        <w:tblW w:w="9360" w:type="dxa"/>
        <w:tblInd w:w="715" w:type="dxa"/>
        <w:tblLook w:val="04A0" w:firstRow="1" w:lastRow="0" w:firstColumn="1" w:lastColumn="0" w:noHBand="0" w:noVBand="1"/>
      </w:tblPr>
      <w:tblGrid>
        <w:gridCol w:w="2430"/>
        <w:gridCol w:w="6930"/>
      </w:tblGrid>
      <w:tr w:rsidR="00EF7217" w:rsidRPr="00F00742" w14:paraId="797A0693" w14:textId="77777777" w:rsidTr="00EF7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30" w:type="dxa"/>
          </w:tcPr>
          <w:p w14:paraId="58897CCE" w14:textId="77777777" w:rsidR="00EF7217" w:rsidRPr="009C5CFF" w:rsidRDefault="00EF7217">
            <w:pPr>
              <w:spacing w:before="40" w:after="0" w:line="240" w:lineRule="auto"/>
              <w:jc w:val="center"/>
              <w:rPr>
                <w:rFonts w:cstheme="minorHAnsi"/>
                <w:color w:val="000000" w:themeColor="text1"/>
              </w:rPr>
            </w:pPr>
            <w:bookmarkStart w:id="1" w:name="_Ref153365940"/>
            <w:r>
              <w:rPr>
                <w:rFonts w:cstheme="minorHAnsi"/>
                <w:color w:val="000000" w:themeColor="text1"/>
              </w:rPr>
              <w:t>Measure</w:t>
            </w:r>
          </w:p>
        </w:tc>
        <w:tc>
          <w:tcPr>
            <w:tcW w:w="6930" w:type="dxa"/>
          </w:tcPr>
          <w:p w14:paraId="033DEB56" w14:textId="77777777" w:rsidR="00EF7217" w:rsidRPr="009C5CFF" w:rsidRDefault="00EF7217">
            <w:pPr>
              <w:spacing w:before="4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Rationale</w:t>
            </w:r>
          </w:p>
        </w:tc>
      </w:tr>
      <w:tr w:rsidR="00EF7217" w:rsidRPr="00F00742" w14:paraId="43913860" w14:textId="77777777" w:rsidTr="00EF7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595B286B" w14:textId="77777777" w:rsidR="00EF7217" w:rsidRPr="00836C7F" w:rsidRDefault="00EF7217">
            <w:pPr>
              <w:pStyle w:val="MH-ChartContentText"/>
            </w:pPr>
          </w:p>
        </w:tc>
        <w:tc>
          <w:tcPr>
            <w:tcW w:w="6930" w:type="dxa"/>
          </w:tcPr>
          <w:p w14:paraId="0DB3BE1E" w14:textId="77777777" w:rsidR="00EF7217" w:rsidRPr="00836C7F" w:rsidRDefault="00EF7217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7217" w:rsidRPr="00F00742" w14:paraId="7391F512" w14:textId="77777777" w:rsidTr="00EF72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52C8C8C" w14:textId="77777777" w:rsidR="00EF7217" w:rsidRPr="00836C7F" w:rsidRDefault="00EF7217">
            <w:pPr>
              <w:pStyle w:val="MH-ChartContentText"/>
            </w:pPr>
          </w:p>
        </w:tc>
        <w:tc>
          <w:tcPr>
            <w:tcW w:w="6930" w:type="dxa"/>
          </w:tcPr>
          <w:p w14:paraId="132E557A" w14:textId="77777777" w:rsidR="00EF7217" w:rsidRPr="00836C7F" w:rsidRDefault="00EF7217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9FF7FEE" w14:textId="2544E102" w:rsidR="008C334C" w:rsidRDefault="008C334C" w:rsidP="003823AE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</w:p>
    <w:bookmarkEnd w:id="1"/>
    <w:p w14:paraId="6B66B2AF" w14:textId="76B16B9B" w:rsidR="006A639D" w:rsidRDefault="006A639D">
      <w:pPr>
        <w:spacing w:before="0" w:after="0" w:line="240" w:lineRule="auto"/>
      </w:pPr>
    </w:p>
    <w:p w14:paraId="47BF3DFB" w14:textId="77777777" w:rsidR="004E6088" w:rsidRDefault="004E6088">
      <w:pPr>
        <w:spacing w:before="0" w:after="0" w:line="240" w:lineRule="auto"/>
      </w:pPr>
    </w:p>
    <w:p w14:paraId="00BBA92F" w14:textId="77777777" w:rsidR="004E6088" w:rsidRDefault="004E6088">
      <w:pPr>
        <w:spacing w:before="0" w:after="0" w:line="240" w:lineRule="auto"/>
      </w:pPr>
    </w:p>
    <w:p w14:paraId="17D2108D" w14:textId="77777777" w:rsidR="004E6088" w:rsidRDefault="004E6088">
      <w:pPr>
        <w:spacing w:before="0" w:after="0" w:line="240" w:lineRule="auto"/>
      </w:pPr>
    </w:p>
    <w:p w14:paraId="1CFA6106" w14:textId="7FE332B2" w:rsidR="004E6088" w:rsidRDefault="000F58BD" w:rsidP="000F58BD">
      <w:pPr>
        <w:pStyle w:val="Heading3"/>
      </w:pPr>
      <w:r>
        <w:lastRenderedPageBreak/>
        <w:t>Appendix</w:t>
      </w:r>
      <w:r w:rsidR="0070074F">
        <w:t xml:space="preserve"> A. Statewide </w:t>
      </w:r>
      <w:r w:rsidR="000E0B0E">
        <w:t>Stratified Data</w:t>
      </w:r>
    </w:p>
    <w:p w14:paraId="29D5C3B5" w14:textId="1827903E" w:rsidR="00894043" w:rsidRPr="007F6AEC" w:rsidRDefault="009754C8">
      <w:pPr>
        <w:spacing w:before="0" w:after="0" w:line="240" w:lineRule="auto"/>
        <w:rPr>
          <w:b/>
          <w:bCs/>
        </w:rPr>
      </w:pPr>
      <w:r w:rsidRPr="007F6AEC">
        <w:rPr>
          <w:b/>
          <w:bCs/>
        </w:rPr>
        <w:t>Table 1. Stratification by Ethnicity</w:t>
      </w:r>
    </w:p>
    <w:tbl>
      <w:tblPr>
        <w:tblStyle w:val="MHtableHeader"/>
        <w:tblW w:w="9900" w:type="dxa"/>
        <w:tblInd w:w="-5" w:type="dxa"/>
        <w:tblLook w:val="04A0" w:firstRow="1" w:lastRow="0" w:firstColumn="1" w:lastColumn="0" w:noHBand="0" w:noVBand="1"/>
      </w:tblPr>
      <w:tblGrid>
        <w:gridCol w:w="3600"/>
        <w:gridCol w:w="6300"/>
      </w:tblGrid>
      <w:tr w:rsidR="00894043" w:rsidRPr="00D97C4C" w14:paraId="79BF1329" w14:textId="77777777" w:rsidTr="32ACC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0" w:type="dxa"/>
          </w:tcPr>
          <w:p w14:paraId="09703C32" w14:textId="77777777" w:rsidR="00894043" w:rsidRPr="00D97C4C" w:rsidRDefault="00894043">
            <w:pPr>
              <w:spacing w:before="40" w:after="4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7C4C">
              <w:rPr>
                <w:rFonts w:cstheme="minorHAnsi"/>
                <w:color w:val="000000" w:themeColor="text1"/>
                <w:sz w:val="20"/>
                <w:szCs w:val="20"/>
              </w:rPr>
              <w:t>Eligible Measures</w:t>
            </w:r>
          </w:p>
        </w:tc>
        <w:tc>
          <w:tcPr>
            <w:tcW w:w="6300" w:type="dxa"/>
          </w:tcPr>
          <w:p w14:paraId="31C1FACB" w14:textId="17DB296F" w:rsidR="00894043" w:rsidRPr="00D97C4C" w:rsidRDefault="003A1669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Sub-population Comparison Groups</w:t>
            </w:r>
          </w:p>
        </w:tc>
      </w:tr>
      <w:tr w:rsidR="00894043" w:rsidRPr="00D97C4C" w14:paraId="47C9A68B" w14:textId="77777777" w:rsidTr="32ACC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BADCF28" w14:textId="77777777" w:rsidR="00894043" w:rsidRPr="00D97C4C" w:rsidRDefault="00894043">
            <w:pPr>
              <w:pStyle w:val="MH-ChartContentText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 xml:space="preserve">Follow-up After ED Visit for Substance Use (FUA) – 7 and 30 Day </w:t>
            </w:r>
          </w:p>
        </w:tc>
        <w:tc>
          <w:tcPr>
            <w:tcW w:w="6300" w:type="dxa"/>
          </w:tcPr>
          <w:p w14:paraId="6816DA95" w14:textId="68525327" w:rsidR="00F7262E" w:rsidRPr="00F7262E" w:rsidRDefault="00F7262E" w:rsidP="00F7262E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  <w:r w:rsidRPr="00F7262E">
              <w:rPr>
                <w:b/>
                <w:bCs/>
                <w:color w:val="0070C0"/>
                <w:sz w:val="20"/>
                <w:szCs w:val="20"/>
              </w:rPr>
              <w:t>7-Day</w:t>
            </w:r>
          </w:p>
          <w:p w14:paraId="755890E2" w14:textId="0AF9D95C" w:rsidR="00837C05" w:rsidRPr="00837C05" w:rsidRDefault="00837C05" w:rsidP="00837C05">
            <w:pPr>
              <w:numPr>
                <w:ilvl w:val="1"/>
                <w:numId w:val="24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sz w:val="20"/>
                <w:szCs w:val="20"/>
                <w:u w:val="single"/>
              </w:rPr>
              <w:t>Non-Hispanic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B242A7">
              <w:rPr>
                <w:sz w:val="20"/>
                <w:szCs w:val="20"/>
              </w:rPr>
              <w:t>37</w:t>
            </w:r>
            <w:r w:rsidR="002B3050">
              <w:rPr>
                <w:sz w:val="20"/>
                <w:szCs w:val="20"/>
              </w:rPr>
              <w:t>.0</w:t>
            </w:r>
            <w:r w:rsidR="00FE6382">
              <w:rPr>
                <w:sz w:val="20"/>
                <w:szCs w:val="20"/>
              </w:rPr>
              <w:t>%</w:t>
            </w:r>
            <w:r w:rsidRPr="00837C05">
              <w:rPr>
                <w:sz w:val="20"/>
                <w:szCs w:val="20"/>
              </w:rPr>
              <w:t xml:space="preserve"> </w:t>
            </w:r>
            <w:r w:rsidR="00851E5A">
              <w:rPr>
                <w:sz w:val="20"/>
                <w:szCs w:val="20"/>
              </w:rPr>
              <w:t>(2690/7272)</w:t>
            </w:r>
          </w:p>
          <w:p w14:paraId="72C830AA" w14:textId="5ACACAEB" w:rsidR="00AE7B8A" w:rsidRPr="009249E5" w:rsidRDefault="00AE7B8A" w:rsidP="00837C05">
            <w:pPr>
              <w:numPr>
                <w:ilvl w:val="1"/>
                <w:numId w:val="24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9249E5">
              <w:rPr>
                <w:sz w:val="20"/>
                <w:szCs w:val="20"/>
                <w:u w:val="single"/>
              </w:rPr>
              <w:t>Hispanic</w:t>
            </w:r>
            <w:r w:rsidR="006A04DA" w:rsidRPr="009249E5">
              <w:rPr>
                <w:sz w:val="20"/>
                <w:szCs w:val="20"/>
                <w:u w:val="single"/>
              </w:rPr>
              <w:t>:</w:t>
            </w:r>
            <w:r w:rsidR="009249E5">
              <w:rPr>
                <w:sz w:val="20"/>
                <w:szCs w:val="20"/>
              </w:rPr>
              <w:t xml:space="preserve"> </w:t>
            </w:r>
            <w:r w:rsidR="00955A55">
              <w:rPr>
                <w:sz w:val="20"/>
                <w:szCs w:val="20"/>
              </w:rPr>
              <w:t>29</w:t>
            </w:r>
            <w:r w:rsidR="002B3050">
              <w:rPr>
                <w:sz w:val="20"/>
                <w:szCs w:val="20"/>
              </w:rPr>
              <w:t>.0</w:t>
            </w:r>
            <w:r w:rsidR="00FE6382">
              <w:rPr>
                <w:sz w:val="20"/>
                <w:szCs w:val="20"/>
              </w:rPr>
              <w:t>%</w:t>
            </w:r>
            <w:r w:rsidR="00851E5A">
              <w:rPr>
                <w:sz w:val="20"/>
                <w:szCs w:val="20"/>
              </w:rPr>
              <w:t xml:space="preserve"> (695/2398)</w:t>
            </w:r>
          </w:p>
          <w:p w14:paraId="465610AE" w14:textId="1F9874FE" w:rsidR="00436136" w:rsidRDefault="007D1E9D" w:rsidP="00436136">
            <w:pPr>
              <w:spacing w:before="0" w:after="0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t>G</w:t>
            </w:r>
            <w:r w:rsidR="00104F38" w:rsidRPr="007D1E9D">
              <w:rPr>
                <w:b/>
                <w:bCs/>
                <w:sz w:val="20"/>
                <w:szCs w:val="20"/>
              </w:rPr>
              <w:t>ap</w:t>
            </w:r>
            <w:r w:rsidRPr="007D1E9D">
              <w:rPr>
                <w:b/>
                <w:bCs/>
                <w:sz w:val="20"/>
                <w:szCs w:val="20"/>
              </w:rPr>
              <w:t xml:space="preserve"> (statistically significant)</w:t>
            </w:r>
            <w:r w:rsidR="00837C05" w:rsidRPr="007D1E9D">
              <w:rPr>
                <w:b/>
                <w:bCs/>
                <w:sz w:val="20"/>
                <w:szCs w:val="20"/>
              </w:rPr>
              <w:t>:</w:t>
            </w:r>
            <w:r w:rsidR="006E31FF">
              <w:rPr>
                <w:sz w:val="20"/>
                <w:szCs w:val="20"/>
              </w:rPr>
              <w:t xml:space="preserve"> </w:t>
            </w:r>
            <w:r w:rsidR="00AF7140">
              <w:rPr>
                <w:sz w:val="20"/>
                <w:szCs w:val="20"/>
              </w:rPr>
              <w:t>8.0%</w:t>
            </w:r>
          </w:p>
          <w:p w14:paraId="54543FF2" w14:textId="29BCAD6E" w:rsidR="00510F23" w:rsidRPr="00F7262E" w:rsidRDefault="00510F23" w:rsidP="00436136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30</w:t>
            </w:r>
            <w:r w:rsidRPr="00F7262E">
              <w:rPr>
                <w:b/>
                <w:bCs/>
                <w:color w:val="0070C0"/>
                <w:sz w:val="20"/>
                <w:szCs w:val="20"/>
              </w:rPr>
              <w:t>-Day</w:t>
            </w:r>
          </w:p>
          <w:p w14:paraId="3F2607A6" w14:textId="55EADDB5" w:rsidR="00510F23" w:rsidRPr="00837C05" w:rsidRDefault="00510F23" w:rsidP="00510F23">
            <w:pPr>
              <w:numPr>
                <w:ilvl w:val="1"/>
                <w:numId w:val="24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sz w:val="20"/>
                <w:szCs w:val="20"/>
                <w:u w:val="single"/>
              </w:rPr>
              <w:t>Non-Hispanic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BB56DB">
              <w:rPr>
                <w:sz w:val="20"/>
                <w:szCs w:val="20"/>
              </w:rPr>
              <w:t>50</w:t>
            </w:r>
            <w:r w:rsidR="00FB53AA">
              <w:rPr>
                <w:sz w:val="20"/>
                <w:szCs w:val="20"/>
              </w:rPr>
              <w:t>.0</w:t>
            </w:r>
            <w:r w:rsidR="00FE6382">
              <w:rPr>
                <w:sz w:val="20"/>
                <w:szCs w:val="20"/>
              </w:rPr>
              <w:t>%</w:t>
            </w:r>
            <w:r w:rsidRPr="00837C05">
              <w:rPr>
                <w:sz w:val="20"/>
                <w:szCs w:val="20"/>
              </w:rPr>
              <w:t xml:space="preserve"> </w:t>
            </w:r>
            <w:r w:rsidR="00B82288">
              <w:rPr>
                <w:sz w:val="20"/>
                <w:szCs w:val="20"/>
              </w:rPr>
              <w:t>(</w:t>
            </w:r>
            <w:r w:rsidR="008A4E49">
              <w:rPr>
                <w:sz w:val="20"/>
                <w:szCs w:val="20"/>
              </w:rPr>
              <w:t>3634</w:t>
            </w:r>
            <w:r w:rsidR="00B82288">
              <w:rPr>
                <w:sz w:val="20"/>
                <w:szCs w:val="20"/>
              </w:rPr>
              <w:t>/7272)</w:t>
            </w:r>
          </w:p>
          <w:p w14:paraId="310031E3" w14:textId="5531E598" w:rsidR="00510F23" w:rsidRPr="009249E5" w:rsidRDefault="00510F23" w:rsidP="00510F23">
            <w:pPr>
              <w:numPr>
                <w:ilvl w:val="1"/>
                <w:numId w:val="24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9249E5">
              <w:rPr>
                <w:sz w:val="20"/>
                <w:szCs w:val="20"/>
                <w:u w:val="single"/>
              </w:rPr>
              <w:t>Hispanic:</w:t>
            </w:r>
            <w:r>
              <w:rPr>
                <w:sz w:val="20"/>
                <w:szCs w:val="20"/>
              </w:rPr>
              <w:t xml:space="preserve"> </w:t>
            </w:r>
            <w:r w:rsidR="00741E7E">
              <w:rPr>
                <w:sz w:val="20"/>
                <w:szCs w:val="20"/>
              </w:rPr>
              <w:t>4</w:t>
            </w:r>
            <w:r w:rsidR="00FB53AA">
              <w:rPr>
                <w:sz w:val="20"/>
                <w:szCs w:val="20"/>
              </w:rPr>
              <w:t>0.8</w:t>
            </w:r>
            <w:r w:rsidR="00FE6382">
              <w:rPr>
                <w:sz w:val="20"/>
                <w:szCs w:val="20"/>
              </w:rPr>
              <w:t>%</w:t>
            </w:r>
            <w:r w:rsidR="00BA24A0">
              <w:rPr>
                <w:sz w:val="20"/>
                <w:szCs w:val="20"/>
              </w:rPr>
              <w:t xml:space="preserve"> (</w:t>
            </w:r>
            <w:r w:rsidR="00C5526D">
              <w:rPr>
                <w:sz w:val="20"/>
                <w:szCs w:val="20"/>
              </w:rPr>
              <w:t>978</w:t>
            </w:r>
            <w:r w:rsidR="00BA24A0">
              <w:rPr>
                <w:sz w:val="20"/>
                <w:szCs w:val="20"/>
              </w:rPr>
              <w:t>/2398)</w:t>
            </w:r>
          </w:p>
          <w:p w14:paraId="6AC3D5DD" w14:textId="77777777" w:rsidR="00F7262E" w:rsidRDefault="00510F23" w:rsidP="00510F23">
            <w:pPr>
              <w:spacing w:before="0" w:after="0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t>Gap (statistically significant):</w:t>
            </w:r>
            <w:r>
              <w:rPr>
                <w:sz w:val="20"/>
                <w:szCs w:val="20"/>
              </w:rPr>
              <w:t xml:space="preserve"> </w:t>
            </w:r>
            <w:r w:rsidR="00AF7140">
              <w:rPr>
                <w:sz w:val="20"/>
                <w:szCs w:val="20"/>
              </w:rPr>
              <w:t>9.2%</w:t>
            </w:r>
          </w:p>
          <w:p w14:paraId="3C774CCA" w14:textId="7D0C71FC" w:rsidR="00FC0467" w:rsidRPr="006E31FF" w:rsidRDefault="00FC0467" w:rsidP="00510F23">
            <w:pPr>
              <w:spacing w:before="0" w:after="0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6D25" w:rsidRPr="00D97C4C" w14:paraId="70943A85" w14:textId="77777777" w:rsidTr="32ACC9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4E2762F" w14:textId="171D9DA7" w:rsidR="000B6D25" w:rsidRPr="00235BF9" w:rsidRDefault="000B6D25" w:rsidP="000B6D25">
            <w:pPr>
              <w:pStyle w:val="MH-ChartContentText"/>
              <w:rPr>
                <w:color w:val="auto"/>
                <w:sz w:val="20"/>
                <w:szCs w:val="20"/>
              </w:rPr>
            </w:pPr>
            <w:r w:rsidRPr="00235BF9">
              <w:rPr>
                <w:color w:val="auto"/>
                <w:sz w:val="20"/>
                <w:szCs w:val="20"/>
              </w:rPr>
              <w:t>Alcohol Use – Brief Intervention Provided or Offered (SUB-2)</w:t>
            </w:r>
          </w:p>
        </w:tc>
        <w:tc>
          <w:tcPr>
            <w:tcW w:w="6300" w:type="dxa"/>
          </w:tcPr>
          <w:p w14:paraId="1B035E65" w14:textId="77777777" w:rsidR="000B6D25" w:rsidRPr="00235BF9" w:rsidRDefault="000B6D25" w:rsidP="000B6D25">
            <w:pPr>
              <w:numPr>
                <w:ilvl w:val="1"/>
                <w:numId w:val="24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35BF9">
              <w:rPr>
                <w:sz w:val="20"/>
                <w:szCs w:val="20"/>
                <w:u w:val="single"/>
              </w:rPr>
              <w:t>Non-Hispanic (reference group)</w:t>
            </w:r>
            <w:r w:rsidRPr="00235BF9">
              <w:rPr>
                <w:sz w:val="20"/>
                <w:szCs w:val="20"/>
              </w:rPr>
              <w:t>: 36.9% (3010/8160)</w:t>
            </w:r>
          </w:p>
          <w:p w14:paraId="6B48FE6A" w14:textId="77777777" w:rsidR="000B6D25" w:rsidRPr="00235BF9" w:rsidRDefault="000B6D25" w:rsidP="000B6D25">
            <w:pPr>
              <w:numPr>
                <w:ilvl w:val="1"/>
                <w:numId w:val="24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35BF9">
              <w:rPr>
                <w:sz w:val="20"/>
                <w:szCs w:val="20"/>
                <w:u w:val="single"/>
              </w:rPr>
              <w:t>Hispanic:</w:t>
            </w:r>
            <w:r w:rsidRPr="00235BF9">
              <w:rPr>
                <w:sz w:val="20"/>
                <w:szCs w:val="20"/>
              </w:rPr>
              <w:t xml:space="preserve"> 19.0% (320/1686)</w:t>
            </w:r>
          </w:p>
          <w:p w14:paraId="6A550B69" w14:textId="77777777" w:rsidR="000B6D25" w:rsidRPr="00235BF9" w:rsidRDefault="000B6D25" w:rsidP="000B6D25">
            <w:pPr>
              <w:spacing w:before="0" w:after="0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35BF9">
              <w:rPr>
                <w:b/>
                <w:bCs/>
                <w:sz w:val="20"/>
                <w:szCs w:val="20"/>
              </w:rPr>
              <w:t>Gap (statistically significant): 17.9%</w:t>
            </w:r>
          </w:p>
          <w:p w14:paraId="0103244C" w14:textId="3C33C47A" w:rsidR="000B6D25" w:rsidRPr="00235BF9" w:rsidRDefault="000B6D25" w:rsidP="000B6D25">
            <w:pPr>
              <w:spacing w:before="0" w:after="0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0CF95994" w14:textId="77777777" w:rsidR="00894043" w:rsidRDefault="00894043">
      <w:pPr>
        <w:spacing w:before="0" w:after="0" w:line="240" w:lineRule="auto"/>
      </w:pPr>
    </w:p>
    <w:p w14:paraId="50C0A469" w14:textId="77777777" w:rsidR="00894043" w:rsidRDefault="00894043">
      <w:pPr>
        <w:spacing w:before="0" w:after="0" w:line="240" w:lineRule="auto"/>
      </w:pPr>
    </w:p>
    <w:p w14:paraId="1AA3DF48" w14:textId="3FD0302D" w:rsidR="009754C8" w:rsidRPr="007F6AEC" w:rsidRDefault="009754C8" w:rsidP="009754C8">
      <w:pPr>
        <w:spacing w:before="0" w:after="0" w:line="240" w:lineRule="auto"/>
        <w:rPr>
          <w:b/>
          <w:bCs/>
        </w:rPr>
      </w:pPr>
      <w:r w:rsidRPr="007F6AEC">
        <w:rPr>
          <w:b/>
          <w:bCs/>
        </w:rPr>
        <w:t xml:space="preserve">Table </w:t>
      </w:r>
      <w:r w:rsidR="00BF4912" w:rsidRPr="007F6AEC">
        <w:rPr>
          <w:b/>
          <w:bCs/>
        </w:rPr>
        <w:t>2</w:t>
      </w:r>
      <w:r w:rsidRPr="007F6AEC">
        <w:rPr>
          <w:b/>
          <w:bCs/>
        </w:rPr>
        <w:t>. Stratification by Race</w:t>
      </w:r>
    </w:p>
    <w:tbl>
      <w:tblPr>
        <w:tblStyle w:val="MHtableHeader"/>
        <w:tblW w:w="9900" w:type="dxa"/>
        <w:tblInd w:w="-5" w:type="dxa"/>
        <w:tblLook w:val="04A0" w:firstRow="1" w:lastRow="0" w:firstColumn="1" w:lastColumn="0" w:noHBand="0" w:noVBand="1"/>
      </w:tblPr>
      <w:tblGrid>
        <w:gridCol w:w="3690"/>
        <w:gridCol w:w="6210"/>
      </w:tblGrid>
      <w:tr w:rsidR="009754C8" w:rsidRPr="00D97C4C" w14:paraId="500D339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90" w:type="dxa"/>
          </w:tcPr>
          <w:p w14:paraId="1BB9959E" w14:textId="77777777" w:rsidR="009754C8" w:rsidRPr="00D97C4C" w:rsidRDefault="009754C8">
            <w:pPr>
              <w:spacing w:before="40" w:after="4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7C4C">
              <w:rPr>
                <w:rFonts w:cstheme="minorHAnsi"/>
                <w:color w:val="000000" w:themeColor="text1"/>
                <w:sz w:val="20"/>
                <w:szCs w:val="20"/>
              </w:rPr>
              <w:t>Eligible Measures</w:t>
            </w:r>
          </w:p>
        </w:tc>
        <w:tc>
          <w:tcPr>
            <w:tcW w:w="6210" w:type="dxa"/>
          </w:tcPr>
          <w:p w14:paraId="39AD7FD0" w14:textId="3E32CB6E" w:rsidR="009754C8" w:rsidRPr="00D97C4C" w:rsidRDefault="003A1669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Sub-population Comparison Groups</w:t>
            </w:r>
          </w:p>
        </w:tc>
      </w:tr>
      <w:tr w:rsidR="009754C8" w:rsidRPr="00D97C4C" w14:paraId="331888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58185CC" w14:textId="77777777" w:rsidR="009754C8" w:rsidRPr="00D97C4C" w:rsidRDefault="009754C8">
            <w:pPr>
              <w:pStyle w:val="MH-ChartContentText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>Cesarean Birth, NTSV (MAT-4)</w:t>
            </w:r>
          </w:p>
        </w:tc>
        <w:tc>
          <w:tcPr>
            <w:tcW w:w="6210" w:type="dxa"/>
          </w:tcPr>
          <w:p w14:paraId="02DAA706" w14:textId="169FA0C7" w:rsidR="00577CCF" w:rsidRPr="00837C05" w:rsidRDefault="00577CCF" w:rsidP="00577CCF">
            <w:pPr>
              <w:numPr>
                <w:ilvl w:val="1"/>
                <w:numId w:val="22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Asian</w:t>
            </w:r>
            <w:r w:rsidRPr="007D1E9D">
              <w:rPr>
                <w:sz w:val="20"/>
                <w:szCs w:val="20"/>
                <w:u w:val="single"/>
              </w:rPr>
              <w:t xml:space="preserve">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D94B76">
              <w:rPr>
                <w:sz w:val="20"/>
                <w:szCs w:val="20"/>
              </w:rPr>
              <w:t>20.0%</w:t>
            </w:r>
            <w:r w:rsidRPr="00837C05">
              <w:rPr>
                <w:sz w:val="20"/>
                <w:szCs w:val="20"/>
              </w:rPr>
              <w:t xml:space="preserve"> (</w:t>
            </w:r>
            <w:r w:rsidR="00205F4A">
              <w:rPr>
                <w:sz w:val="20"/>
                <w:szCs w:val="20"/>
              </w:rPr>
              <w:t>34/170</w:t>
            </w:r>
            <w:r w:rsidRPr="00837C05">
              <w:rPr>
                <w:sz w:val="20"/>
                <w:szCs w:val="20"/>
              </w:rPr>
              <w:t>)</w:t>
            </w:r>
          </w:p>
          <w:p w14:paraId="194636B9" w14:textId="465CADFD" w:rsidR="00577CCF" w:rsidRPr="009249E5" w:rsidRDefault="00577CCF" w:rsidP="00577CCF">
            <w:pPr>
              <w:numPr>
                <w:ilvl w:val="1"/>
                <w:numId w:val="22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African America</w:t>
            </w:r>
            <w:r w:rsidR="00210E6B">
              <w:rPr>
                <w:sz w:val="20"/>
                <w:szCs w:val="20"/>
                <w:u w:val="single"/>
              </w:rPr>
              <w:t>n</w:t>
            </w:r>
            <w:r w:rsidRPr="009249E5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92127C">
              <w:rPr>
                <w:sz w:val="20"/>
                <w:szCs w:val="20"/>
              </w:rPr>
              <w:t>31</w:t>
            </w:r>
            <w:r w:rsidR="006E5650">
              <w:rPr>
                <w:sz w:val="20"/>
                <w:szCs w:val="20"/>
              </w:rPr>
              <w:t>.1</w:t>
            </w:r>
            <w:r w:rsidR="002428CB">
              <w:rPr>
                <w:sz w:val="20"/>
                <w:szCs w:val="20"/>
              </w:rPr>
              <w:t>%</w:t>
            </w:r>
            <w:r w:rsidR="00F83975">
              <w:rPr>
                <w:sz w:val="20"/>
                <w:szCs w:val="20"/>
              </w:rPr>
              <w:t xml:space="preserve"> (214/687)</w:t>
            </w:r>
          </w:p>
          <w:p w14:paraId="66C604ED" w14:textId="77777777" w:rsidR="00577CCF" w:rsidRDefault="00577CCF" w:rsidP="00577CCF">
            <w:pPr>
              <w:spacing w:before="0" w:after="0" w:line="240" w:lineRule="auto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t>Gap (statistically significant):</w:t>
            </w:r>
            <w:r>
              <w:rPr>
                <w:sz w:val="20"/>
                <w:szCs w:val="20"/>
              </w:rPr>
              <w:t xml:space="preserve"> </w:t>
            </w:r>
            <w:r w:rsidR="00DC0858">
              <w:rPr>
                <w:sz w:val="20"/>
                <w:szCs w:val="20"/>
              </w:rPr>
              <w:t>11.1%</w:t>
            </w:r>
          </w:p>
          <w:p w14:paraId="74F69755" w14:textId="34041415" w:rsidR="008E23FE" w:rsidRPr="00D97C4C" w:rsidRDefault="008E23FE" w:rsidP="00577CCF">
            <w:pPr>
              <w:spacing w:before="0" w:after="0" w:line="240" w:lineRule="auto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54C8" w:rsidRPr="00D97C4C" w14:paraId="444402D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F47A98E" w14:textId="77777777" w:rsidR="009754C8" w:rsidRPr="00D97C4C" w:rsidRDefault="009754C8">
            <w:pPr>
              <w:pStyle w:val="MH-ChartContentText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>AIM Severe Maternal Morbidity (SMM)</w:t>
            </w:r>
          </w:p>
        </w:tc>
        <w:tc>
          <w:tcPr>
            <w:tcW w:w="6210" w:type="dxa"/>
          </w:tcPr>
          <w:p w14:paraId="54534325" w14:textId="46D17994" w:rsidR="00532F1D" w:rsidRPr="00837C05" w:rsidRDefault="00532F1D" w:rsidP="00532F1D">
            <w:pPr>
              <w:numPr>
                <w:ilvl w:val="1"/>
                <w:numId w:val="22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White</w:t>
            </w:r>
            <w:r w:rsidRPr="007D1E9D">
              <w:rPr>
                <w:sz w:val="20"/>
                <w:szCs w:val="20"/>
                <w:u w:val="single"/>
              </w:rPr>
              <w:t xml:space="preserve">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F378DA">
              <w:rPr>
                <w:sz w:val="20"/>
                <w:szCs w:val="20"/>
              </w:rPr>
              <w:t>91.5</w:t>
            </w:r>
            <w:r w:rsidRPr="00837C05">
              <w:rPr>
                <w:sz w:val="20"/>
                <w:szCs w:val="20"/>
              </w:rPr>
              <w:t xml:space="preserve"> (</w:t>
            </w:r>
            <w:r w:rsidR="000431C5">
              <w:rPr>
                <w:sz w:val="20"/>
                <w:szCs w:val="20"/>
              </w:rPr>
              <w:t>57/6228</w:t>
            </w:r>
            <w:r w:rsidRPr="00837C05">
              <w:rPr>
                <w:sz w:val="20"/>
                <w:szCs w:val="20"/>
              </w:rPr>
              <w:t>)</w:t>
            </w:r>
          </w:p>
          <w:p w14:paraId="1943C427" w14:textId="334A73E1" w:rsidR="00532F1D" w:rsidRPr="009249E5" w:rsidRDefault="00532F1D" w:rsidP="00532F1D">
            <w:pPr>
              <w:numPr>
                <w:ilvl w:val="1"/>
                <w:numId w:val="22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African American</w:t>
            </w:r>
            <w:r w:rsidRPr="009249E5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1A35DE">
              <w:rPr>
                <w:sz w:val="20"/>
                <w:szCs w:val="20"/>
              </w:rPr>
              <w:t>232.1</w:t>
            </w:r>
            <w:r w:rsidR="000431C5">
              <w:rPr>
                <w:sz w:val="20"/>
                <w:szCs w:val="20"/>
              </w:rPr>
              <w:t xml:space="preserve"> (</w:t>
            </w:r>
            <w:r w:rsidR="00165407">
              <w:rPr>
                <w:sz w:val="20"/>
                <w:szCs w:val="20"/>
              </w:rPr>
              <w:t>77/3318</w:t>
            </w:r>
            <w:r w:rsidR="000431C5">
              <w:rPr>
                <w:sz w:val="20"/>
                <w:szCs w:val="20"/>
              </w:rPr>
              <w:t>)</w:t>
            </w:r>
          </w:p>
          <w:p w14:paraId="093427E5" w14:textId="77777777" w:rsidR="00532F1D" w:rsidRDefault="00532F1D" w:rsidP="00532F1D">
            <w:pPr>
              <w:spacing w:before="0" w:after="0" w:line="240" w:lineRule="auto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t>Gap (statistically significant):</w:t>
            </w:r>
            <w:r>
              <w:rPr>
                <w:sz w:val="20"/>
                <w:szCs w:val="20"/>
              </w:rPr>
              <w:t xml:space="preserve"> 1</w:t>
            </w:r>
            <w:r w:rsidR="001A35DE">
              <w:rPr>
                <w:sz w:val="20"/>
                <w:szCs w:val="20"/>
              </w:rPr>
              <w:t>40.5</w:t>
            </w:r>
          </w:p>
          <w:p w14:paraId="0B407E90" w14:textId="26080C80" w:rsidR="008E23FE" w:rsidRPr="00D97C4C" w:rsidRDefault="008E23FE" w:rsidP="00532F1D">
            <w:pPr>
              <w:spacing w:before="0" w:after="0" w:line="240" w:lineRule="auto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54C8" w:rsidRPr="00D97C4C" w14:paraId="31EC63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002E22F1" w14:textId="77777777" w:rsidR="009754C8" w:rsidRPr="00D97C4C" w:rsidRDefault="009754C8">
            <w:pPr>
              <w:pStyle w:val="MH-ChartContentText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t xml:space="preserve">Follow-up After ED Visit for Substance Use (FUA) – 7 and 30 Day </w:t>
            </w:r>
          </w:p>
        </w:tc>
        <w:tc>
          <w:tcPr>
            <w:tcW w:w="6210" w:type="dxa"/>
          </w:tcPr>
          <w:p w14:paraId="038A724F" w14:textId="0A8458C9" w:rsidR="00D308F8" w:rsidRPr="00D308F8" w:rsidRDefault="00D308F8" w:rsidP="00D308F8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7</w:t>
            </w:r>
            <w:r w:rsidRPr="00F7262E">
              <w:rPr>
                <w:b/>
                <w:bCs/>
                <w:color w:val="0070C0"/>
                <w:sz w:val="20"/>
                <w:szCs w:val="20"/>
              </w:rPr>
              <w:t>-Day</w:t>
            </w:r>
          </w:p>
          <w:p w14:paraId="714FE137" w14:textId="4FEC246F" w:rsidR="00D308F8" w:rsidRPr="00631191" w:rsidRDefault="00D308F8" w:rsidP="00D308F8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B050"/>
                <w:sz w:val="20"/>
                <w:szCs w:val="20"/>
              </w:rPr>
            </w:pPr>
            <w:r w:rsidRPr="00631191">
              <w:rPr>
                <w:i/>
                <w:iCs/>
                <w:color w:val="00B050"/>
                <w:sz w:val="20"/>
                <w:szCs w:val="20"/>
              </w:rPr>
              <w:t xml:space="preserve">Disparity </w:t>
            </w:r>
            <w:r w:rsidR="006D7A95">
              <w:rPr>
                <w:i/>
                <w:iCs/>
                <w:color w:val="00B050"/>
                <w:sz w:val="20"/>
                <w:szCs w:val="20"/>
              </w:rPr>
              <w:t xml:space="preserve">Gap </w:t>
            </w:r>
            <w:r w:rsidRPr="00631191">
              <w:rPr>
                <w:i/>
                <w:iCs/>
                <w:color w:val="00B050"/>
                <w:sz w:val="20"/>
                <w:szCs w:val="20"/>
              </w:rPr>
              <w:t>1</w:t>
            </w:r>
          </w:p>
          <w:p w14:paraId="207FF4BE" w14:textId="6C8B9D59" w:rsidR="00D308F8" w:rsidRPr="00837C05" w:rsidRDefault="00D308F8" w:rsidP="00D308F8">
            <w:pPr>
              <w:numPr>
                <w:ilvl w:val="1"/>
                <w:numId w:val="22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White</w:t>
            </w:r>
            <w:r w:rsidRPr="007D1E9D">
              <w:rPr>
                <w:sz w:val="20"/>
                <w:szCs w:val="20"/>
                <w:u w:val="single"/>
              </w:rPr>
              <w:t xml:space="preserve">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B22BCD">
              <w:rPr>
                <w:sz w:val="20"/>
                <w:szCs w:val="20"/>
              </w:rPr>
              <w:t>4</w:t>
            </w:r>
            <w:r w:rsidR="002428CB">
              <w:rPr>
                <w:sz w:val="20"/>
                <w:szCs w:val="20"/>
              </w:rPr>
              <w:t>0.6%</w:t>
            </w:r>
            <w:r w:rsidR="00ED6350">
              <w:rPr>
                <w:sz w:val="20"/>
                <w:szCs w:val="20"/>
              </w:rPr>
              <w:t xml:space="preserve"> (2607/6427)</w:t>
            </w:r>
          </w:p>
          <w:p w14:paraId="67DCD6F1" w14:textId="371BF397" w:rsidR="00D308F8" w:rsidRPr="009249E5" w:rsidRDefault="00D308F8" w:rsidP="00D308F8">
            <w:pPr>
              <w:numPr>
                <w:ilvl w:val="1"/>
                <w:numId w:val="22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African American</w:t>
            </w:r>
            <w:r w:rsidRPr="009249E5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2428CB">
              <w:rPr>
                <w:sz w:val="20"/>
                <w:szCs w:val="20"/>
              </w:rPr>
              <w:t>24.9%</w:t>
            </w:r>
            <w:r w:rsidR="00400529">
              <w:rPr>
                <w:sz w:val="20"/>
                <w:szCs w:val="20"/>
              </w:rPr>
              <w:t xml:space="preserve"> (354/1422)</w:t>
            </w:r>
          </w:p>
          <w:p w14:paraId="1E2EC50D" w14:textId="57A4E856" w:rsidR="00D308F8" w:rsidRDefault="00D308F8" w:rsidP="00D308F8">
            <w:pPr>
              <w:spacing w:before="0" w:after="0" w:line="240" w:lineRule="auto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t>Gap (statistically significant):</w:t>
            </w:r>
            <w:r>
              <w:rPr>
                <w:sz w:val="20"/>
                <w:szCs w:val="20"/>
              </w:rPr>
              <w:t xml:space="preserve"> 1</w:t>
            </w:r>
            <w:r w:rsidR="00DF506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DF506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%</w:t>
            </w:r>
          </w:p>
          <w:p w14:paraId="034A53FA" w14:textId="77777777" w:rsidR="00D308F8" w:rsidRDefault="00D308F8" w:rsidP="00D308F8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</w:p>
          <w:p w14:paraId="55843F89" w14:textId="031694C0" w:rsidR="00D308F8" w:rsidRPr="00631191" w:rsidRDefault="00D308F8" w:rsidP="00D308F8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B050"/>
                <w:sz w:val="20"/>
                <w:szCs w:val="20"/>
              </w:rPr>
            </w:pPr>
            <w:r w:rsidRPr="00631191">
              <w:rPr>
                <w:i/>
                <w:iCs/>
                <w:color w:val="00B050"/>
                <w:sz w:val="20"/>
                <w:szCs w:val="20"/>
              </w:rPr>
              <w:t xml:space="preserve">Disparity </w:t>
            </w:r>
            <w:r w:rsidR="004B0201">
              <w:rPr>
                <w:i/>
                <w:iCs/>
                <w:color w:val="00B050"/>
                <w:sz w:val="20"/>
                <w:szCs w:val="20"/>
              </w:rPr>
              <w:t xml:space="preserve">Gap </w:t>
            </w:r>
            <w:r w:rsidRPr="00631191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  <w:p w14:paraId="4D8660EF" w14:textId="54058CB6" w:rsidR="00D308F8" w:rsidRPr="00837C05" w:rsidRDefault="00D308F8" w:rsidP="00D308F8">
            <w:pPr>
              <w:numPr>
                <w:ilvl w:val="1"/>
                <w:numId w:val="22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White</w:t>
            </w:r>
            <w:r w:rsidRPr="007D1E9D">
              <w:rPr>
                <w:sz w:val="20"/>
                <w:szCs w:val="20"/>
                <w:u w:val="single"/>
              </w:rPr>
              <w:t xml:space="preserve">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2428CB">
              <w:rPr>
                <w:sz w:val="20"/>
                <w:szCs w:val="20"/>
              </w:rPr>
              <w:t xml:space="preserve">40.6% </w:t>
            </w:r>
            <w:r w:rsidR="00400529">
              <w:rPr>
                <w:sz w:val="20"/>
                <w:szCs w:val="20"/>
              </w:rPr>
              <w:t>(2607/6427)</w:t>
            </w:r>
          </w:p>
          <w:p w14:paraId="37418C76" w14:textId="50FB7146" w:rsidR="00D308F8" w:rsidRPr="009249E5" w:rsidRDefault="00D308F8" w:rsidP="00D308F8">
            <w:pPr>
              <w:numPr>
                <w:ilvl w:val="1"/>
                <w:numId w:val="22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Asian</w:t>
            </w:r>
            <w:r w:rsidRPr="009249E5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2</w:t>
            </w:r>
            <w:r w:rsidR="00415290">
              <w:rPr>
                <w:sz w:val="20"/>
                <w:szCs w:val="20"/>
              </w:rPr>
              <w:t>2</w:t>
            </w:r>
            <w:r w:rsidR="00C6208B">
              <w:rPr>
                <w:sz w:val="20"/>
                <w:szCs w:val="20"/>
              </w:rPr>
              <w:t>.4%</w:t>
            </w:r>
            <w:r w:rsidR="00400529">
              <w:rPr>
                <w:sz w:val="20"/>
                <w:szCs w:val="20"/>
              </w:rPr>
              <w:t xml:space="preserve"> (32/143)</w:t>
            </w:r>
          </w:p>
          <w:p w14:paraId="1AFD29BC" w14:textId="71CD0BCB" w:rsidR="00D308F8" w:rsidRDefault="00D308F8" w:rsidP="00D308F8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t>Gap (statistically significant):</w:t>
            </w:r>
            <w:r>
              <w:rPr>
                <w:sz w:val="20"/>
                <w:szCs w:val="20"/>
              </w:rPr>
              <w:t xml:space="preserve"> </w:t>
            </w:r>
            <w:r w:rsidR="0041529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="00C620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%</w:t>
            </w:r>
          </w:p>
          <w:p w14:paraId="3AD11E76" w14:textId="77777777" w:rsidR="00D308F8" w:rsidRDefault="00D308F8" w:rsidP="00D308F8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</w:p>
          <w:p w14:paraId="3B487999" w14:textId="7D36CFDC" w:rsidR="00D308F8" w:rsidRPr="00D308F8" w:rsidRDefault="00D308F8" w:rsidP="00D308F8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30</w:t>
            </w:r>
            <w:r w:rsidRPr="00F7262E">
              <w:rPr>
                <w:b/>
                <w:bCs/>
                <w:color w:val="0070C0"/>
                <w:sz w:val="20"/>
                <w:szCs w:val="20"/>
              </w:rPr>
              <w:t>-Day</w:t>
            </w:r>
          </w:p>
          <w:p w14:paraId="78DA6164" w14:textId="608EAB00" w:rsidR="00D70AFE" w:rsidRPr="00631191" w:rsidRDefault="00D70AFE" w:rsidP="00D70AFE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B050"/>
                <w:sz w:val="20"/>
                <w:szCs w:val="20"/>
              </w:rPr>
            </w:pPr>
            <w:r w:rsidRPr="00631191">
              <w:rPr>
                <w:i/>
                <w:iCs/>
                <w:color w:val="00B050"/>
                <w:sz w:val="20"/>
                <w:szCs w:val="20"/>
              </w:rPr>
              <w:t xml:space="preserve">Disparity </w:t>
            </w:r>
            <w:r w:rsidR="006D7A95">
              <w:rPr>
                <w:i/>
                <w:iCs/>
                <w:color w:val="00B050"/>
                <w:sz w:val="20"/>
                <w:szCs w:val="20"/>
              </w:rPr>
              <w:t xml:space="preserve">Gap </w:t>
            </w:r>
            <w:r w:rsidRPr="00631191">
              <w:rPr>
                <w:i/>
                <w:iCs/>
                <w:color w:val="00B050"/>
                <w:sz w:val="20"/>
                <w:szCs w:val="20"/>
              </w:rPr>
              <w:t>1</w:t>
            </w:r>
          </w:p>
          <w:p w14:paraId="7A54A810" w14:textId="678DED27" w:rsidR="00D70AFE" w:rsidRPr="00837C05" w:rsidRDefault="00D70AFE" w:rsidP="00D70AFE">
            <w:pPr>
              <w:numPr>
                <w:ilvl w:val="1"/>
                <w:numId w:val="22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White</w:t>
            </w:r>
            <w:r w:rsidRPr="007D1E9D">
              <w:rPr>
                <w:sz w:val="20"/>
                <w:szCs w:val="20"/>
                <w:u w:val="single"/>
              </w:rPr>
              <w:t xml:space="preserve">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5D7BB7">
              <w:rPr>
                <w:sz w:val="20"/>
                <w:szCs w:val="20"/>
              </w:rPr>
              <w:t>53.7%</w:t>
            </w:r>
            <w:r w:rsidR="0019262C">
              <w:rPr>
                <w:sz w:val="20"/>
                <w:szCs w:val="20"/>
              </w:rPr>
              <w:t xml:space="preserve"> (3450/6427)</w:t>
            </w:r>
          </w:p>
          <w:p w14:paraId="1CC06E18" w14:textId="0FA12B95" w:rsidR="00D70AFE" w:rsidRPr="009249E5" w:rsidRDefault="00D70AFE" w:rsidP="00D70AFE">
            <w:pPr>
              <w:numPr>
                <w:ilvl w:val="1"/>
                <w:numId w:val="22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African American</w:t>
            </w:r>
            <w:r w:rsidRPr="009249E5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A311DE">
              <w:rPr>
                <w:sz w:val="20"/>
                <w:szCs w:val="20"/>
              </w:rPr>
              <w:t>37.6%</w:t>
            </w:r>
            <w:r w:rsidR="0019262C">
              <w:rPr>
                <w:sz w:val="20"/>
                <w:szCs w:val="20"/>
              </w:rPr>
              <w:t xml:space="preserve"> (</w:t>
            </w:r>
            <w:r w:rsidR="00A737D5">
              <w:rPr>
                <w:sz w:val="20"/>
                <w:szCs w:val="20"/>
              </w:rPr>
              <w:t>534/1422)</w:t>
            </w:r>
          </w:p>
          <w:p w14:paraId="1D4C4100" w14:textId="27B37A35" w:rsidR="00D70AFE" w:rsidRDefault="00D70AFE" w:rsidP="00D70AFE">
            <w:pPr>
              <w:spacing w:before="0" w:after="0" w:line="240" w:lineRule="auto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lastRenderedPageBreak/>
              <w:t>Gap (statistically significant):</w:t>
            </w:r>
            <w:r>
              <w:rPr>
                <w:sz w:val="20"/>
                <w:szCs w:val="20"/>
              </w:rPr>
              <w:t xml:space="preserve"> </w:t>
            </w:r>
            <w:r w:rsidR="007204BA">
              <w:rPr>
                <w:sz w:val="20"/>
                <w:szCs w:val="20"/>
              </w:rPr>
              <w:t>16.1%</w:t>
            </w:r>
          </w:p>
          <w:p w14:paraId="3E20B331" w14:textId="77777777" w:rsidR="00215A97" w:rsidRDefault="00215A97" w:rsidP="00215A97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</w:p>
          <w:p w14:paraId="57BFF631" w14:textId="47B8416C" w:rsidR="00D70AFE" w:rsidRPr="00631191" w:rsidRDefault="00215A97" w:rsidP="00215A97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B050"/>
                <w:sz w:val="20"/>
                <w:szCs w:val="20"/>
              </w:rPr>
            </w:pPr>
            <w:r w:rsidRPr="00631191">
              <w:rPr>
                <w:i/>
                <w:iCs/>
                <w:color w:val="00B050"/>
                <w:sz w:val="20"/>
                <w:szCs w:val="20"/>
              </w:rPr>
              <w:t xml:space="preserve">Disparity </w:t>
            </w:r>
            <w:r w:rsidR="004B0201">
              <w:rPr>
                <w:i/>
                <w:iCs/>
                <w:color w:val="00B050"/>
                <w:sz w:val="20"/>
                <w:szCs w:val="20"/>
              </w:rPr>
              <w:t xml:space="preserve">Gap </w:t>
            </w:r>
            <w:r w:rsidRPr="00631191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  <w:p w14:paraId="0AAD5372" w14:textId="6463FB99" w:rsidR="00215A97" w:rsidRPr="00837C05" w:rsidRDefault="00215A97" w:rsidP="00215A97">
            <w:pPr>
              <w:numPr>
                <w:ilvl w:val="1"/>
                <w:numId w:val="22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White</w:t>
            </w:r>
            <w:r w:rsidRPr="007D1E9D">
              <w:rPr>
                <w:sz w:val="20"/>
                <w:szCs w:val="20"/>
                <w:u w:val="single"/>
              </w:rPr>
              <w:t xml:space="preserve">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A311DE">
              <w:rPr>
                <w:sz w:val="20"/>
                <w:szCs w:val="20"/>
              </w:rPr>
              <w:t xml:space="preserve">53.7% </w:t>
            </w:r>
            <w:r w:rsidR="00A737D5">
              <w:rPr>
                <w:sz w:val="20"/>
                <w:szCs w:val="20"/>
              </w:rPr>
              <w:t>(3450/6427)</w:t>
            </w:r>
          </w:p>
          <w:p w14:paraId="3666FD87" w14:textId="3D29E454" w:rsidR="00215A97" w:rsidRPr="009249E5" w:rsidRDefault="00215A97" w:rsidP="00215A97">
            <w:pPr>
              <w:numPr>
                <w:ilvl w:val="1"/>
                <w:numId w:val="22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Asian</w:t>
            </w:r>
            <w:r w:rsidRPr="009249E5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30753F">
              <w:rPr>
                <w:sz w:val="20"/>
                <w:szCs w:val="20"/>
              </w:rPr>
              <w:t>29</w:t>
            </w:r>
            <w:r w:rsidR="00C3798A">
              <w:rPr>
                <w:sz w:val="20"/>
                <w:szCs w:val="20"/>
              </w:rPr>
              <w:t>.4%</w:t>
            </w:r>
            <w:r w:rsidR="00A737D5">
              <w:rPr>
                <w:sz w:val="20"/>
                <w:szCs w:val="20"/>
              </w:rPr>
              <w:t xml:space="preserve"> (42/143)</w:t>
            </w:r>
          </w:p>
          <w:p w14:paraId="250DE6F1" w14:textId="77777777" w:rsidR="009754C8" w:rsidRDefault="00215A97" w:rsidP="00215A97">
            <w:pPr>
              <w:spacing w:before="0" w:after="0" w:line="240" w:lineRule="auto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t>Gap (statistically significant):</w:t>
            </w:r>
            <w:r>
              <w:rPr>
                <w:sz w:val="20"/>
                <w:szCs w:val="20"/>
              </w:rPr>
              <w:t xml:space="preserve"> </w:t>
            </w:r>
            <w:r w:rsidR="00027D1E">
              <w:rPr>
                <w:sz w:val="20"/>
                <w:szCs w:val="20"/>
              </w:rPr>
              <w:t>24.3%</w:t>
            </w:r>
          </w:p>
          <w:p w14:paraId="6B9E45E5" w14:textId="77650803" w:rsidR="00D631CE" w:rsidRPr="004F1E6F" w:rsidRDefault="00D631CE" w:rsidP="00215A97">
            <w:pPr>
              <w:spacing w:before="0" w:after="0" w:line="240" w:lineRule="auto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54C8" w:rsidRPr="00D97C4C" w14:paraId="7E5AD2D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4B2AC93" w14:textId="77777777" w:rsidR="009754C8" w:rsidRPr="00D97C4C" w:rsidRDefault="009754C8">
            <w:pPr>
              <w:pStyle w:val="MH-ChartContentText"/>
              <w:rPr>
                <w:sz w:val="20"/>
                <w:szCs w:val="20"/>
              </w:rPr>
            </w:pPr>
            <w:r w:rsidRPr="00D97C4C">
              <w:rPr>
                <w:sz w:val="20"/>
                <w:szCs w:val="20"/>
              </w:rPr>
              <w:lastRenderedPageBreak/>
              <w:t>Follow-up After Hospitalization for Mental Illness (FUH) – 7 and 30 day</w:t>
            </w:r>
          </w:p>
        </w:tc>
        <w:tc>
          <w:tcPr>
            <w:tcW w:w="6210" w:type="dxa"/>
          </w:tcPr>
          <w:p w14:paraId="1203CFA8" w14:textId="0BDCDBD6" w:rsidR="007E1FCB" w:rsidRPr="007E1FCB" w:rsidRDefault="007E1FCB" w:rsidP="007E1FCB">
            <w:pPr>
              <w:spacing w:before="0" w:after="0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7</w:t>
            </w:r>
            <w:r w:rsidRPr="00F7262E">
              <w:rPr>
                <w:b/>
                <w:bCs/>
                <w:color w:val="0070C0"/>
                <w:sz w:val="20"/>
                <w:szCs w:val="20"/>
              </w:rPr>
              <w:t>-Day</w:t>
            </w:r>
          </w:p>
          <w:p w14:paraId="22B4A4B1" w14:textId="4B8FF9FD" w:rsidR="0013732C" w:rsidRPr="00631191" w:rsidRDefault="0013732C" w:rsidP="0013732C">
            <w:pPr>
              <w:spacing w:before="0" w:after="0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color w:val="00B050"/>
                <w:sz w:val="20"/>
                <w:szCs w:val="20"/>
              </w:rPr>
            </w:pPr>
            <w:r w:rsidRPr="00631191">
              <w:rPr>
                <w:i/>
                <w:iCs/>
                <w:color w:val="00B050"/>
                <w:sz w:val="20"/>
                <w:szCs w:val="20"/>
              </w:rPr>
              <w:t xml:space="preserve">Disparity </w:t>
            </w:r>
            <w:r w:rsidR="004B0201">
              <w:rPr>
                <w:i/>
                <w:iCs/>
                <w:color w:val="00B050"/>
                <w:sz w:val="20"/>
                <w:szCs w:val="20"/>
              </w:rPr>
              <w:t xml:space="preserve">Gap </w:t>
            </w:r>
            <w:r w:rsidRPr="00631191">
              <w:rPr>
                <w:i/>
                <w:iCs/>
                <w:color w:val="00B050"/>
                <w:sz w:val="20"/>
                <w:szCs w:val="20"/>
              </w:rPr>
              <w:t>1</w:t>
            </w:r>
          </w:p>
          <w:p w14:paraId="071ED63F" w14:textId="25497684" w:rsidR="0013732C" w:rsidRPr="00837C05" w:rsidRDefault="0013732C" w:rsidP="0013732C">
            <w:pPr>
              <w:numPr>
                <w:ilvl w:val="1"/>
                <w:numId w:val="23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White</w:t>
            </w:r>
            <w:r w:rsidRPr="007D1E9D">
              <w:rPr>
                <w:sz w:val="20"/>
                <w:szCs w:val="20"/>
                <w:u w:val="single"/>
              </w:rPr>
              <w:t xml:space="preserve">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FD236E">
              <w:rPr>
                <w:sz w:val="20"/>
                <w:szCs w:val="20"/>
              </w:rPr>
              <w:t>0.3</w:t>
            </w:r>
            <w:r w:rsidR="002805CD">
              <w:rPr>
                <w:sz w:val="20"/>
                <w:szCs w:val="20"/>
              </w:rPr>
              <w:t>5</w:t>
            </w:r>
            <w:r w:rsidR="009229FB">
              <w:rPr>
                <w:sz w:val="20"/>
                <w:szCs w:val="20"/>
              </w:rPr>
              <w:t xml:space="preserve"> (897/2531)</w:t>
            </w:r>
          </w:p>
          <w:p w14:paraId="450DEE5A" w14:textId="14D4011B" w:rsidR="0013732C" w:rsidRPr="009249E5" w:rsidRDefault="0013732C" w:rsidP="0013732C">
            <w:pPr>
              <w:numPr>
                <w:ilvl w:val="1"/>
                <w:numId w:val="23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African American</w:t>
            </w:r>
            <w:r w:rsidRPr="009249E5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2805CD">
              <w:rPr>
                <w:sz w:val="20"/>
                <w:szCs w:val="20"/>
              </w:rPr>
              <w:t>0.2</w:t>
            </w:r>
            <w:r w:rsidR="00DE7B03">
              <w:rPr>
                <w:sz w:val="20"/>
                <w:szCs w:val="20"/>
              </w:rPr>
              <w:t>7</w:t>
            </w:r>
            <w:r w:rsidR="009229FB">
              <w:rPr>
                <w:sz w:val="20"/>
                <w:szCs w:val="20"/>
              </w:rPr>
              <w:t xml:space="preserve"> </w:t>
            </w:r>
            <w:r w:rsidR="00126926">
              <w:rPr>
                <w:sz w:val="20"/>
                <w:szCs w:val="20"/>
              </w:rPr>
              <w:t>(139/521)</w:t>
            </w:r>
          </w:p>
          <w:p w14:paraId="427DC6C4" w14:textId="46A7CD88" w:rsidR="0013732C" w:rsidRDefault="0013732C" w:rsidP="0013732C">
            <w:pPr>
              <w:spacing w:before="0" w:after="0" w:line="240" w:lineRule="auto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t>Gap (statistically significant):</w:t>
            </w:r>
            <w:r>
              <w:rPr>
                <w:sz w:val="20"/>
                <w:szCs w:val="20"/>
              </w:rPr>
              <w:t xml:space="preserve"> </w:t>
            </w:r>
            <w:r w:rsidR="002805CD">
              <w:rPr>
                <w:sz w:val="20"/>
                <w:szCs w:val="20"/>
              </w:rPr>
              <w:t>8.8%</w:t>
            </w:r>
          </w:p>
          <w:p w14:paraId="6E3F1F66" w14:textId="77777777" w:rsidR="0013732C" w:rsidRDefault="0013732C" w:rsidP="0013732C">
            <w:pPr>
              <w:spacing w:before="0" w:after="0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</w:p>
          <w:p w14:paraId="06A46FDD" w14:textId="328E10AE" w:rsidR="0013732C" w:rsidRPr="00631191" w:rsidRDefault="0013732C" w:rsidP="0013732C">
            <w:pPr>
              <w:spacing w:before="0" w:after="0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B050"/>
                <w:sz w:val="20"/>
                <w:szCs w:val="20"/>
              </w:rPr>
            </w:pPr>
            <w:r w:rsidRPr="00631191">
              <w:rPr>
                <w:color w:val="00B050"/>
                <w:sz w:val="20"/>
                <w:szCs w:val="20"/>
              </w:rPr>
              <w:t xml:space="preserve">Disparity </w:t>
            </w:r>
            <w:r w:rsidR="004B0201">
              <w:rPr>
                <w:color w:val="00B050"/>
                <w:sz w:val="20"/>
                <w:szCs w:val="20"/>
              </w:rPr>
              <w:t xml:space="preserve">Gap </w:t>
            </w:r>
            <w:r w:rsidRPr="00631191">
              <w:rPr>
                <w:color w:val="00B050"/>
                <w:sz w:val="20"/>
                <w:szCs w:val="20"/>
              </w:rPr>
              <w:t>2</w:t>
            </w:r>
          </w:p>
          <w:p w14:paraId="6D6422A9" w14:textId="30C947B8" w:rsidR="0013732C" w:rsidRPr="00837C05" w:rsidRDefault="0013732C" w:rsidP="0013732C">
            <w:pPr>
              <w:numPr>
                <w:ilvl w:val="1"/>
                <w:numId w:val="23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White</w:t>
            </w:r>
            <w:r w:rsidRPr="007D1E9D">
              <w:rPr>
                <w:sz w:val="20"/>
                <w:szCs w:val="20"/>
                <w:u w:val="single"/>
              </w:rPr>
              <w:t xml:space="preserve">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6E20F1">
              <w:rPr>
                <w:sz w:val="20"/>
                <w:szCs w:val="20"/>
              </w:rPr>
              <w:t>0.35</w:t>
            </w:r>
            <w:r w:rsidR="00126926">
              <w:rPr>
                <w:sz w:val="20"/>
                <w:szCs w:val="20"/>
              </w:rPr>
              <w:t xml:space="preserve"> (897/2531)</w:t>
            </w:r>
          </w:p>
          <w:p w14:paraId="3592A222" w14:textId="50E9680C" w:rsidR="0013732C" w:rsidRPr="009249E5" w:rsidRDefault="0013732C" w:rsidP="0013732C">
            <w:pPr>
              <w:numPr>
                <w:ilvl w:val="1"/>
                <w:numId w:val="23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Asian</w:t>
            </w:r>
            <w:r w:rsidRPr="009249E5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6E20F1">
              <w:rPr>
                <w:sz w:val="20"/>
                <w:szCs w:val="20"/>
              </w:rPr>
              <w:t>0.1</w:t>
            </w:r>
            <w:r w:rsidR="00DE7B03">
              <w:rPr>
                <w:sz w:val="20"/>
                <w:szCs w:val="20"/>
              </w:rPr>
              <w:t>8</w:t>
            </w:r>
            <w:r w:rsidR="00126926">
              <w:rPr>
                <w:sz w:val="20"/>
                <w:szCs w:val="20"/>
              </w:rPr>
              <w:t xml:space="preserve"> (13/74)</w:t>
            </w:r>
          </w:p>
          <w:p w14:paraId="63D2ECD3" w14:textId="0B3A5B31" w:rsidR="009754C8" w:rsidRDefault="0013732C" w:rsidP="007E1FCB">
            <w:pPr>
              <w:spacing w:before="0" w:after="0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t>Gap (statistically significant):</w:t>
            </w:r>
            <w:r>
              <w:rPr>
                <w:sz w:val="20"/>
                <w:szCs w:val="20"/>
              </w:rPr>
              <w:t xml:space="preserve"> </w:t>
            </w:r>
            <w:r w:rsidR="006E20F1">
              <w:rPr>
                <w:sz w:val="20"/>
                <w:szCs w:val="20"/>
              </w:rPr>
              <w:t>17.9%</w:t>
            </w:r>
          </w:p>
          <w:p w14:paraId="411C9560" w14:textId="77777777" w:rsidR="007E1FCB" w:rsidRDefault="007E1FCB" w:rsidP="007E1FCB">
            <w:pPr>
              <w:spacing w:before="0" w:after="0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9B680F" w14:textId="619861FA" w:rsidR="007E1FCB" w:rsidRPr="00D308F8" w:rsidRDefault="009F3308" w:rsidP="007E1FCB">
            <w:pPr>
              <w:spacing w:before="0" w:after="0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30</w:t>
            </w:r>
            <w:r w:rsidR="007E1FCB" w:rsidRPr="00F7262E">
              <w:rPr>
                <w:b/>
                <w:bCs/>
                <w:color w:val="0070C0"/>
                <w:sz w:val="20"/>
                <w:szCs w:val="20"/>
              </w:rPr>
              <w:t>-Day</w:t>
            </w:r>
          </w:p>
          <w:p w14:paraId="05443B37" w14:textId="259DD4CD" w:rsidR="009F3308" w:rsidRPr="00631191" w:rsidRDefault="009F3308" w:rsidP="009F3308">
            <w:pPr>
              <w:spacing w:before="0" w:after="0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color w:val="00B050"/>
                <w:sz w:val="20"/>
                <w:szCs w:val="20"/>
              </w:rPr>
            </w:pPr>
            <w:r w:rsidRPr="00631191">
              <w:rPr>
                <w:i/>
                <w:iCs/>
                <w:color w:val="00B050"/>
                <w:sz w:val="20"/>
                <w:szCs w:val="20"/>
              </w:rPr>
              <w:t xml:space="preserve">Disparity </w:t>
            </w:r>
            <w:r w:rsidR="004B0201">
              <w:rPr>
                <w:i/>
                <w:iCs/>
                <w:color w:val="00B050"/>
                <w:sz w:val="20"/>
                <w:szCs w:val="20"/>
              </w:rPr>
              <w:t xml:space="preserve">Gap </w:t>
            </w:r>
            <w:r w:rsidRPr="00631191">
              <w:rPr>
                <w:i/>
                <w:iCs/>
                <w:color w:val="00B050"/>
                <w:sz w:val="20"/>
                <w:szCs w:val="20"/>
              </w:rPr>
              <w:t>1</w:t>
            </w:r>
          </w:p>
          <w:p w14:paraId="25A061CF" w14:textId="089C73C4" w:rsidR="009F3308" w:rsidRPr="00837C05" w:rsidRDefault="009F3308" w:rsidP="009F3308">
            <w:pPr>
              <w:numPr>
                <w:ilvl w:val="1"/>
                <w:numId w:val="23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White</w:t>
            </w:r>
            <w:r w:rsidRPr="007D1E9D">
              <w:rPr>
                <w:sz w:val="20"/>
                <w:szCs w:val="20"/>
                <w:u w:val="single"/>
              </w:rPr>
              <w:t xml:space="preserve">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670E9B">
              <w:rPr>
                <w:sz w:val="20"/>
                <w:szCs w:val="20"/>
              </w:rPr>
              <w:t>57</w:t>
            </w:r>
            <w:r w:rsidR="00F66A07">
              <w:rPr>
                <w:sz w:val="20"/>
                <w:szCs w:val="20"/>
              </w:rPr>
              <w:t>.3%</w:t>
            </w:r>
            <w:r w:rsidR="00565340">
              <w:rPr>
                <w:sz w:val="20"/>
                <w:szCs w:val="20"/>
              </w:rPr>
              <w:t xml:space="preserve"> (1451/2531)</w:t>
            </w:r>
          </w:p>
          <w:p w14:paraId="14D4F7DA" w14:textId="79A267C8" w:rsidR="009F3308" w:rsidRPr="009249E5" w:rsidRDefault="009F3308" w:rsidP="009F3308">
            <w:pPr>
              <w:numPr>
                <w:ilvl w:val="1"/>
                <w:numId w:val="23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African American</w:t>
            </w:r>
            <w:r w:rsidRPr="009249E5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F66A07">
              <w:rPr>
                <w:sz w:val="20"/>
                <w:szCs w:val="20"/>
              </w:rPr>
              <w:t>49.7%</w:t>
            </w:r>
            <w:r w:rsidR="00565340">
              <w:rPr>
                <w:sz w:val="20"/>
                <w:szCs w:val="20"/>
              </w:rPr>
              <w:t xml:space="preserve"> (259/521)</w:t>
            </w:r>
          </w:p>
          <w:p w14:paraId="49351BC5" w14:textId="4F85F248" w:rsidR="009F3308" w:rsidRDefault="009F3308" w:rsidP="009F3308">
            <w:pPr>
              <w:spacing w:before="0" w:after="0" w:line="240" w:lineRule="auto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t>Gap (statistically significant):</w:t>
            </w:r>
            <w:r w:rsidR="00670E9B">
              <w:rPr>
                <w:b/>
                <w:bCs/>
                <w:sz w:val="20"/>
                <w:szCs w:val="20"/>
              </w:rPr>
              <w:t xml:space="preserve"> </w:t>
            </w:r>
            <w:r w:rsidR="00D701C3" w:rsidRPr="00D701C3">
              <w:rPr>
                <w:sz w:val="20"/>
                <w:szCs w:val="20"/>
              </w:rPr>
              <w:t>7.6%</w:t>
            </w:r>
            <w:r>
              <w:rPr>
                <w:sz w:val="20"/>
                <w:szCs w:val="20"/>
              </w:rPr>
              <w:t xml:space="preserve"> </w:t>
            </w:r>
          </w:p>
          <w:p w14:paraId="1577298A" w14:textId="77777777" w:rsidR="009F3308" w:rsidRDefault="009F3308" w:rsidP="009F3308">
            <w:pPr>
              <w:spacing w:before="0" w:after="0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</w:p>
          <w:p w14:paraId="178145DD" w14:textId="6E1D9BB2" w:rsidR="009F3308" w:rsidRPr="00631191" w:rsidRDefault="009F3308" w:rsidP="009F3308">
            <w:pPr>
              <w:spacing w:before="0" w:after="0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B050"/>
                <w:sz w:val="20"/>
                <w:szCs w:val="20"/>
              </w:rPr>
            </w:pPr>
            <w:r w:rsidRPr="00631191">
              <w:rPr>
                <w:color w:val="00B050"/>
                <w:sz w:val="20"/>
                <w:szCs w:val="20"/>
              </w:rPr>
              <w:t>Disparity</w:t>
            </w:r>
            <w:r w:rsidR="004B0201">
              <w:rPr>
                <w:color w:val="00B050"/>
                <w:sz w:val="20"/>
                <w:szCs w:val="20"/>
              </w:rPr>
              <w:t xml:space="preserve"> Gap</w:t>
            </w:r>
            <w:r w:rsidRPr="00631191">
              <w:rPr>
                <w:color w:val="00B050"/>
                <w:sz w:val="20"/>
                <w:szCs w:val="20"/>
              </w:rPr>
              <w:t xml:space="preserve"> 2</w:t>
            </w:r>
          </w:p>
          <w:p w14:paraId="5561E1A3" w14:textId="1B33926A" w:rsidR="009F3308" w:rsidRPr="00837C05" w:rsidRDefault="009F3308" w:rsidP="009F3308">
            <w:pPr>
              <w:numPr>
                <w:ilvl w:val="1"/>
                <w:numId w:val="23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White</w:t>
            </w:r>
            <w:r w:rsidRPr="007D1E9D">
              <w:rPr>
                <w:sz w:val="20"/>
                <w:szCs w:val="20"/>
                <w:u w:val="single"/>
              </w:rPr>
              <w:t xml:space="preserve"> (reference group)</w:t>
            </w:r>
            <w:r w:rsidRPr="00837C05">
              <w:rPr>
                <w:sz w:val="20"/>
                <w:szCs w:val="20"/>
              </w:rPr>
              <w:t xml:space="preserve">: </w:t>
            </w:r>
            <w:r w:rsidR="00F66A07">
              <w:rPr>
                <w:sz w:val="20"/>
                <w:szCs w:val="20"/>
              </w:rPr>
              <w:t xml:space="preserve">57.3% </w:t>
            </w:r>
            <w:r w:rsidR="00565340">
              <w:rPr>
                <w:sz w:val="20"/>
                <w:szCs w:val="20"/>
              </w:rPr>
              <w:t>(1451/2531)</w:t>
            </w:r>
          </w:p>
          <w:p w14:paraId="271A0674" w14:textId="2848DFF9" w:rsidR="009F3308" w:rsidRPr="009249E5" w:rsidRDefault="009F3308" w:rsidP="009F3308">
            <w:pPr>
              <w:numPr>
                <w:ilvl w:val="1"/>
                <w:numId w:val="23"/>
              </w:num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Asian</w:t>
            </w:r>
            <w:r w:rsidRPr="009249E5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701C3">
              <w:rPr>
                <w:sz w:val="20"/>
                <w:szCs w:val="20"/>
              </w:rPr>
              <w:t>43</w:t>
            </w:r>
            <w:r w:rsidR="009E36B7">
              <w:rPr>
                <w:sz w:val="20"/>
                <w:szCs w:val="20"/>
              </w:rPr>
              <w:t>.2%</w:t>
            </w:r>
            <w:r w:rsidR="00565340">
              <w:rPr>
                <w:sz w:val="20"/>
                <w:szCs w:val="20"/>
              </w:rPr>
              <w:t xml:space="preserve"> (</w:t>
            </w:r>
            <w:r w:rsidR="009229FB">
              <w:rPr>
                <w:sz w:val="20"/>
                <w:szCs w:val="20"/>
              </w:rPr>
              <w:t>32/74)</w:t>
            </w:r>
          </w:p>
          <w:p w14:paraId="2C765A9F" w14:textId="15A0390C" w:rsidR="009F3308" w:rsidRDefault="009F3308" w:rsidP="009F3308">
            <w:pPr>
              <w:spacing w:before="0" w:after="0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D1E9D">
              <w:rPr>
                <w:b/>
                <w:bCs/>
                <w:sz w:val="20"/>
                <w:szCs w:val="20"/>
              </w:rPr>
              <w:t>Gap (statistically significant):</w:t>
            </w:r>
            <w:r>
              <w:rPr>
                <w:sz w:val="20"/>
                <w:szCs w:val="20"/>
              </w:rPr>
              <w:t xml:space="preserve"> </w:t>
            </w:r>
            <w:r w:rsidR="00D701C3">
              <w:rPr>
                <w:sz w:val="20"/>
                <w:szCs w:val="20"/>
              </w:rPr>
              <w:t>14.1%</w:t>
            </w:r>
          </w:p>
          <w:p w14:paraId="5F0C8518" w14:textId="5562CC31" w:rsidR="007E1FCB" w:rsidRPr="004F1E6F" w:rsidRDefault="007E1FCB" w:rsidP="007E1FCB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54C8" w:rsidRPr="00D97C4C" w14:paraId="5F8E5F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7D577C3C" w14:textId="3AECB8C9" w:rsidR="009754C8" w:rsidRPr="00D97C4C" w:rsidRDefault="009754C8">
            <w:pPr>
              <w:pStyle w:val="MH-ChartContentText"/>
              <w:rPr>
                <w:sz w:val="20"/>
                <w:szCs w:val="20"/>
              </w:rPr>
            </w:pPr>
            <w:r w:rsidRPr="001F4E25">
              <w:rPr>
                <w:color w:val="auto"/>
                <w:sz w:val="20"/>
                <w:szCs w:val="20"/>
              </w:rPr>
              <w:t>Alcohol Use – Brief Intervention Provided or Offered (SUB-2)</w:t>
            </w:r>
          </w:p>
        </w:tc>
        <w:tc>
          <w:tcPr>
            <w:tcW w:w="6210" w:type="dxa"/>
          </w:tcPr>
          <w:p w14:paraId="42F99656" w14:textId="15FD83AB" w:rsidR="0013732C" w:rsidRPr="00631191" w:rsidRDefault="0013732C" w:rsidP="0013732C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B050"/>
                <w:sz w:val="20"/>
                <w:szCs w:val="20"/>
              </w:rPr>
            </w:pPr>
            <w:r w:rsidRPr="00631191">
              <w:rPr>
                <w:i/>
                <w:iCs/>
                <w:color w:val="00B050"/>
                <w:sz w:val="20"/>
                <w:szCs w:val="20"/>
              </w:rPr>
              <w:t xml:space="preserve">Disparity </w:t>
            </w:r>
            <w:r w:rsidR="004B0201">
              <w:rPr>
                <w:i/>
                <w:iCs/>
                <w:color w:val="00B050"/>
                <w:sz w:val="20"/>
                <w:szCs w:val="20"/>
              </w:rPr>
              <w:t xml:space="preserve">Gap </w:t>
            </w:r>
            <w:r w:rsidRPr="00631191">
              <w:rPr>
                <w:i/>
                <w:iCs/>
                <w:color w:val="00B050"/>
                <w:sz w:val="20"/>
                <w:szCs w:val="20"/>
              </w:rPr>
              <w:t>1</w:t>
            </w:r>
          </w:p>
          <w:p w14:paraId="7C0940EC" w14:textId="63081951" w:rsidR="0013732C" w:rsidRPr="001F4E25" w:rsidRDefault="0013732C" w:rsidP="0013732C">
            <w:pPr>
              <w:numPr>
                <w:ilvl w:val="1"/>
                <w:numId w:val="24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4E25">
              <w:rPr>
                <w:sz w:val="20"/>
                <w:szCs w:val="20"/>
                <w:u w:val="single"/>
              </w:rPr>
              <w:t>White (reference group)</w:t>
            </w:r>
            <w:r w:rsidRPr="001F4E25">
              <w:rPr>
                <w:sz w:val="20"/>
                <w:szCs w:val="20"/>
              </w:rPr>
              <w:t xml:space="preserve">: </w:t>
            </w:r>
            <w:r w:rsidR="009C7E7B">
              <w:rPr>
                <w:sz w:val="20"/>
                <w:szCs w:val="20"/>
              </w:rPr>
              <w:t>40.</w:t>
            </w:r>
            <w:r w:rsidR="34794EFB" w:rsidRPr="32ACC9ED">
              <w:rPr>
                <w:sz w:val="20"/>
                <w:szCs w:val="20"/>
              </w:rPr>
              <w:t>5</w:t>
            </w:r>
            <w:r w:rsidR="009C7E7B">
              <w:rPr>
                <w:sz w:val="20"/>
                <w:szCs w:val="20"/>
              </w:rPr>
              <w:t>% (</w:t>
            </w:r>
            <w:r w:rsidR="00A638BB">
              <w:rPr>
                <w:sz w:val="20"/>
                <w:szCs w:val="20"/>
              </w:rPr>
              <w:t>2,714/6,706)</w:t>
            </w:r>
          </w:p>
          <w:p w14:paraId="0A0C9C38" w14:textId="6896246B" w:rsidR="0013732C" w:rsidRPr="001F4E25" w:rsidRDefault="0013732C" w:rsidP="0013732C">
            <w:pPr>
              <w:numPr>
                <w:ilvl w:val="1"/>
                <w:numId w:val="24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1F4E25">
              <w:rPr>
                <w:sz w:val="20"/>
                <w:szCs w:val="20"/>
                <w:u w:val="single"/>
              </w:rPr>
              <w:t>African American:</w:t>
            </w:r>
            <w:r w:rsidRPr="001F4E25">
              <w:rPr>
                <w:sz w:val="20"/>
                <w:szCs w:val="20"/>
              </w:rPr>
              <w:t xml:space="preserve"> </w:t>
            </w:r>
            <w:r w:rsidR="00DF2600">
              <w:rPr>
                <w:sz w:val="20"/>
                <w:szCs w:val="20"/>
              </w:rPr>
              <w:t>21.7&amp; (282/1,300)</w:t>
            </w:r>
          </w:p>
          <w:p w14:paraId="20D1B4D6" w14:textId="7C4A48B2" w:rsidR="0013732C" w:rsidRPr="001F4E25" w:rsidRDefault="0013732C" w:rsidP="0013732C">
            <w:pPr>
              <w:spacing w:before="0" w:after="0" w:line="240" w:lineRule="auto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4E25">
              <w:rPr>
                <w:b/>
                <w:bCs/>
                <w:sz w:val="20"/>
                <w:szCs w:val="20"/>
              </w:rPr>
              <w:t>Gap (statistically significant):</w:t>
            </w:r>
            <w:r w:rsidRPr="001F4E25">
              <w:rPr>
                <w:sz w:val="20"/>
                <w:szCs w:val="20"/>
              </w:rPr>
              <w:t xml:space="preserve"> </w:t>
            </w:r>
            <w:r w:rsidR="009679E4">
              <w:rPr>
                <w:sz w:val="20"/>
                <w:szCs w:val="20"/>
              </w:rPr>
              <w:t>18.8%</w:t>
            </w:r>
          </w:p>
          <w:p w14:paraId="28133AD4" w14:textId="77777777" w:rsidR="0013732C" w:rsidRDefault="0013732C" w:rsidP="0013732C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20"/>
                <w:szCs w:val="20"/>
              </w:rPr>
            </w:pPr>
          </w:p>
          <w:p w14:paraId="04C49CA1" w14:textId="23A61FDA" w:rsidR="0013732C" w:rsidRPr="00631191" w:rsidRDefault="0013732C" w:rsidP="0013732C">
            <w:pPr>
              <w:spacing w:before="0" w:after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B050"/>
                <w:sz w:val="20"/>
                <w:szCs w:val="20"/>
              </w:rPr>
            </w:pPr>
            <w:r w:rsidRPr="00631191">
              <w:rPr>
                <w:i/>
                <w:iCs/>
                <w:color w:val="00B050"/>
                <w:sz w:val="20"/>
                <w:szCs w:val="20"/>
              </w:rPr>
              <w:t xml:space="preserve">Disparity </w:t>
            </w:r>
            <w:r w:rsidR="004B0201">
              <w:rPr>
                <w:i/>
                <w:iCs/>
                <w:color w:val="00B050"/>
                <w:sz w:val="20"/>
                <w:szCs w:val="20"/>
              </w:rPr>
              <w:t xml:space="preserve">Gap </w:t>
            </w:r>
            <w:r w:rsidRPr="00631191"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  <w:p w14:paraId="05B97627" w14:textId="48C02645" w:rsidR="0013732C" w:rsidRPr="00DF2600" w:rsidRDefault="0013732C" w:rsidP="00DF2600">
            <w:pPr>
              <w:numPr>
                <w:ilvl w:val="1"/>
                <w:numId w:val="24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4E25">
              <w:rPr>
                <w:sz w:val="20"/>
                <w:szCs w:val="20"/>
                <w:u w:val="single"/>
              </w:rPr>
              <w:t>White (reference group)</w:t>
            </w:r>
            <w:r w:rsidRPr="001F4E25">
              <w:rPr>
                <w:sz w:val="20"/>
                <w:szCs w:val="20"/>
              </w:rPr>
              <w:t xml:space="preserve">: </w:t>
            </w:r>
            <w:r w:rsidR="00DF2600">
              <w:rPr>
                <w:sz w:val="20"/>
                <w:szCs w:val="20"/>
              </w:rPr>
              <w:t>40.</w:t>
            </w:r>
            <w:r w:rsidR="5D36D1DB" w:rsidRPr="32ACC9ED">
              <w:rPr>
                <w:sz w:val="20"/>
                <w:szCs w:val="20"/>
              </w:rPr>
              <w:t>5</w:t>
            </w:r>
            <w:r w:rsidR="00DF2600">
              <w:rPr>
                <w:sz w:val="20"/>
                <w:szCs w:val="20"/>
              </w:rPr>
              <w:t>% (2,714/6,706)</w:t>
            </w:r>
          </w:p>
          <w:p w14:paraId="36F66958" w14:textId="61E68FD3" w:rsidR="0013732C" w:rsidRPr="001F4E25" w:rsidRDefault="0013732C" w:rsidP="0013732C">
            <w:pPr>
              <w:numPr>
                <w:ilvl w:val="1"/>
                <w:numId w:val="24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1F4E25">
              <w:rPr>
                <w:sz w:val="20"/>
                <w:szCs w:val="20"/>
                <w:u w:val="single"/>
              </w:rPr>
              <w:t>Asian:</w:t>
            </w:r>
            <w:r w:rsidRPr="001F4E25">
              <w:rPr>
                <w:sz w:val="20"/>
                <w:szCs w:val="20"/>
              </w:rPr>
              <w:t xml:space="preserve"> </w:t>
            </w:r>
            <w:r w:rsidR="00EE65ED">
              <w:rPr>
                <w:sz w:val="20"/>
                <w:szCs w:val="20"/>
              </w:rPr>
              <w:t>19.5% (30/154)</w:t>
            </w:r>
          </w:p>
          <w:p w14:paraId="6FBDB8C5" w14:textId="548FAEB7" w:rsidR="009754C8" w:rsidRPr="001F4E25" w:rsidRDefault="0013732C" w:rsidP="0013732C">
            <w:pPr>
              <w:spacing w:before="0" w:after="0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4E25">
              <w:rPr>
                <w:b/>
                <w:bCs/>
                <w:sz w:val="20"/>
                <w:szCs w:val="20"/>
              </w:rPr>
              <w:t>Gap (statistically significant):</w:t>
            </w:r>
            <w:r w:rsidRPr="001F4E25">
              <w:rPr>
                <w:sz w:val="20"/>
                <w:szCs w:val="20"/>
              </w:rPr>
              <w:t xml:space="preserve"> </w:t>
            </w:r>
            <w:r w:rsidR="00D00D6F">
              <w:rPr>
                <w:sz w:val="20"/>
                <w:szCs w:val="20"/>
              </w:rPr>
              <w:t>21.0%</w:t>
            </w:r>
          </w:p>
          <w:p w14:paraId="1337D260" w14:textId="26343122" w:rsidR="00D631CE" w:rsidRPr="00984F04" w:rsidRDefault="00D631CE" w:rsidP="0013732C">
            <w:pPr>
              <w:spacing w:before="0" w:after="0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10DA68B" w14:textId="77777777" w:rsidR="004E6088" w:rsidRDefault="004E6088" w:rsidP="006D7A95">
      <w:pPr>
        <w:spacing w:before="0" w:after="0" w:line="240" w:lineRule="auto"/>
      </w:pPr>
    </w:p>
    <w:p w14:paraId="4B03B0A1" w14:textId="77777777" w:rsidR="001F4E25" w:rsidRDefault="001F4E25" w:rsidP="006D7A95">
      <w:pPr>
        <w:spacing w:before="0" w:after="0" w:line="240" w:lineRule="auto"/>
      </w:pPr>
    </w:p>
    <w:p w14:paraId="30292763" w14:textId="77777777" w:rsidR="000E0B0E" w:rsidRDefault="000E0B0E" w:rsidP="006D7A95">
      <w:pPr>
        <w:spacing w:before="0" w:after="0" w:line="240" w:lineRule="auto"/>
      </w:pPr>
    </w:p>
    <w:p w14:paraId="3BFC8E1E" w14:textId="536AF05C" w:rsidR="000E0B0E" w:rsidRDefault="000E0B0E" w:rsidP="000E0B0E">
      <w:pPr>
        <w:pStyle w:val="Heading3"/>
      </w:pPr>
      <w:r>
        <w:lastRenderedPageBreak/>
        <w:t>Appendix B. Hospital Stratified Data</w:t>
      </w:r>
    </w:p>
    <w:p w14:paraId="4531A21D" w14:textId="512677D7" w:rsidR="001D4E5C" w:rsidRDefault="00D65012" w:rsidP="006D7A95">
      <w:pPr>
        <w:spacing w:before="0" w:after="0" w:line="240" w:lineRule="auto"/>
      </w:pPr>
      <w:r w:rsidRPr="00986AF6">
        <w:t>Please see Attachment 1</w:t>
      </w:r>
      <w:r>
        <w:t xml:space="preserve"> for your hospital</w:t>
      </w:r>
      <w:r w:rsidR="00EB490C">
        <w:t>-specific</w:t>
      </w:r>
      <w:r>
        <w:t xml:space="preserve"> stratified data for the </w:t>
      </w:r>
      <w:r w:rsidR="00EB490C">
        <w:t>eligible</w:t>
      </w:r>
      <w:r>
        <w:t xml:space="preserve"> measures</w:t>
      </w:r>
      <w:r w:rsidR="001D4E5C">
        <w:t xml:space="preserve"> (also listed on page 2 of this document).</w:t>
      </w:r>
      <w:r>
        <w:t xml:space="preserve"> </w:t>
      </w:r>
    </w:p>
    <w:p w14:paraId="51EBAC7B" w14:textId="77777777" w:rsidR="001D4E5C" w:rsidRDefault="001D4E5C" w:rsidP="006D7A95">
      <w:pPr>
        <w:spacing w:before="0" w:after="0" w:line="240" w:lineRule="auto"/>
      </w:pPr>
    </w:p>
    <w:p w14:paraId="5774EEDE" w14:textId="3ED4462F" w:rsidR="000E0B0E" w:rsidRDefault="001052EC" w:rsidP="006D7A95">
      <w:pPr>
        <w:spacing w:before="0" w:after="0" w:line="240" w:lineRule="auto"/>
      </w:pPr>
      <w:r>
        <w:t>R</w:t>
      </w:r>
      <w:r w:rsidR="00D65012">
        <w:t xml:space="preserve">eference </w:t>
      </w:r>
      <w:r>
        <w:t>for</w:t>
      </w:r>
      <w:r w:rsidR="001D4E5C">
        <w:t xml:space="preserve"> interpreting the data</w:t>
      </w:r>
      <w:r>
        <w:t xml:space="preserve"> in Attachment 1:</w:t>
      </w:r>
    </w:p>
    <w:p w14:paraId="37CEACC8" w14:textId="1F231F2E" w:rsidR="00162640" w:rsidRDefault="000F790A" w:rsidP="00A60F6B">
      <w:pPr>
        <w:pStyle w:val="ListParagraph"/>
        <w:numPr>
          <w:ilvl w:val="0"/>
          <w:numId w:val="28"/>
        </w:numPr>
        <w:spacing w:before="0" w:after="0" w:line="240" w:lineRule="auto"/>
      </w:pPr>
      <w:r>
        <w:t xml:space="preserve">Calendar Year (CY) 2023 data </w:t>
      </w:r>
      <w:r w:rsidR="27AFDA7D">
        <w:t>is included</w:t>
      </w:r>
      <w:r>
        <w:t xml:space="preserve"> for </w:t>
      </w:r>
      <w:r w:rsidR="748DCC8B">
        <w:t xml:space="preserve">the SMM, </w:t>
      </w:r>
      <w:r w:rsidR="00162640">
        <w:t>MAT-4, FUA, FUH</w:t>
      </w:r>
      <w:r>
        <w:t xml:space="preserve"> measures, and CY 2024 </w:t>
      </w:r>
      <w:r w:rsidR="4CBAE82B">
        <w:t xml:space="preserve">data is included </w:t>
      </w:r>
      <w:r>
        <w:t xml:space="preserve">for </w:t>
      </w:r>
      <w:r w:rsidR="24CB6C25">
        <w:t xml:space="preserve">the </w:t>
      </w:r>
      <w:r>
        <w:t>SUB-2 measure.</w:t>
      </w:r>
    </w:p>
    <w:p w14:paraId="4AE96840" w14:textId="198C5612" w:rsidR="007249C8" w:rsidRPr="00011DE9" w:rsidRDefault="007249C8" w:rsidP="00A60F6B">
      <w:pPr>
        <w:pStyle w:val="ListParagraph"/>
        <w:numPr>
          <w:ilvl w:val="0"/>
          <w:numId w:val="28"/>
        </w:numPr>
        <w:spacing w:before="0" w:after="0" w:line="240" w:lineRule="auto"/>
      </w:pPr>
      <w:r w:rsidRPr="00011DE9">
        <w:t>Chart-based measures are stratified using self-reported data from the hospital’s measure submission. Claims-based measures are stratified using the Golden Table.</w:t>
      </w:r>
    </w:p>
    <w:p w14:paraId="0B32F3F9" w14:textId="7C425281" w:rsidR="00A60F6B" w:rsidRDefault="372B9AA5" w:rsidP="00A60F6B">
      <w:pPr>
        <w:pStyle w:val="ListParagraph"/>
        <w:numPr>
          <w:ilvl w:val="0"/>
          <w:numId w:val="28"/>
        </w:numPr>
        <w:spacing w:before="0" w:after="0" w:line="240" w:lineRule="auto"/>
      </w:pPr>
      <w:r w:rsidRPr="00011DE9">
        <w:t xml:space="preserve">For claims-based measures, </w:t>
      </w:r>
      <w:r w:rsidR="00272BE6" w:rsidRPr="00011DE9">
        <w:t xml:space="preserve">Numerator </w:t>
      </w:r>
      <w:r w:rsidR="00272BE6">
        <w:t xml:space="preserve">or Denominator Count is denoted as “--" </w:t>
      </w:r>
      <w:r w:rsidR="00B96DCD">
        <w:t xml:space="preserve">if cell count </w:t>
      </w:r>
      <w:r w:rsidR="003E6A2B">
        <w:t xml:space="preserve">was 12 </w:t>
      </w:r>
      <w:r w:rsidR="05DC5F51">
        <w:t xml:space="preserve">or fewer </w:t>
      </w:r>
      <w:r w:rsidR="003E6A2B">
        <w:t>for either</w:t>
      </w:r>
      <w:r w:rsidR="00A60F6B">
        <w:t xml:space="preserve"> or both counts</w:t>
      </w:r>
      <w:r w:rsidR="00813FB1">
        <w:t>.</w:t>
      </w:r>
      <w:r w:rsidR="00A60F6B">
        <w:t xml:space="preserve"> </w:t>
      </w:r>
    </w:p>
    <w:p w14:paraId="3DE8BD5C" w14:textId="7DD63425" w:rsidR="00A60F6B" w:rsidRDefault="00A60F6B" w:rsidP="00A60F6B">
      <w:pPr>
        <w:pStyle w:val="ListParagraph"/>
        <w:numPr>
          <w:ilvl w:val="1"/>
          <w:numId w:val="28"/>
        </w:numPr>
        <w:spacing w:before="0" w:after="0" w:line="240" w:lineRule="auto"/>
      </w:pPr>
      <w:r>
        <w:t xml:space="preserve">For example, if </w:t>
      </w:r>
      <w:r w:rsidR="00C35A11">
        <w:t xml:space="preserve">numerator had cell count less than 12, but denominator </w:t>
      </w:r>
      <w:r w:rsidR="007E3C01">
        <w:t>was greater</w:t>
      </w:r>
      <w:r w:rsidR="008C7E27">
        <w:t xml:space="preserve"> than 12</w:t>
      </w:r>
      <w:r w:rsidR="007E3C01">
        <w:t>, both counts were suppressed</w:t>
      </w:r>
      <w:r w:rsidR="00813FB1">
        <w:t>.</w:t>
      </w:r>
      <w:r w:rsidR="007E3C01">
        <w:t xml:space="preserve"> </w:t>
      </w:r>
    </w:p>
    <w:p w14:paraId="6EFFDFB8" w14:textId="4C1CF181" w:rsidR="00FF1E2B" w:rsidRDefault="009E63D2" w:rsidP="00A60F6B">
      <w:pPr>
        <w:pStyle w:val="ListParagraph"/>
        <w:numPr>
          <w:ilvl w:val="1"/>
          <w:numId w:val="28"/>
        </w:numPr>
        <w:spacing w:before="0" w:after="0" w:line="240" w:lineRule="auto"/>
      </w:pPr>
      <w:r w:rsidRPr="009E63D2">
        <w:t>For reference when interpreting, rates are included for measures that have the '--' designation</w:t>
      </w:r>
      <w:r w:rsidR="00AA28AB">
        <w:t>, but that notation indicates that the numerator or denominator was</w:t>
      </w:r>
      <w:r w:rsidRPr="009E63D2">
        <w:t xml:space="preserve"> 12 or less. </w:t>
      </w:r>
    </w:p>
    <w:p w14:paraId="5D2B6B3C" w14:textId="47EFBD3B" w:rsidR="001052EC" w:rsidRDefault="00B96DCD" w:rsidP="006D7A95">
      <w:pPr>
        <w:pStyle w:val="ListParagraph"/>
        <w:numPr>
          <w:ilvl w:val="0"/>
          <w:numId w:val="28"/>
        </w:numPr>
        <w:spacing w:before="0" w:after="0" w:line="240" w:lineRule="auto"/>
      </w:pPr>
      <w:r>
        <w:t>Numerator</w:t>
      </w:r>
      <w:r w:rsidR="00FD2E17">
        <w:t>,</w:t>
      </w:r>
      <w:r>
        <w:t xml:space="preserve"> Denominator Count</w:t>
      </w:r>
      <w:r w:rsidR="00FD2E17">
        <w:t>, Rate, Gap, or p-value</w:t>
      </w:r>
      <w:r>
        <w:t xml:space="preserve"> is denoted as “N/A" </w:t>
      </w:r>
      <w:r w:rsidR="00210CF6">
        <w:t>if no value is available</w:t>
      </w:r>
      <w:r w:rsidR="00813FB1">
        <w:t>.</w:t>
      </w:r>
      <w:r w:rsidR="00210CF6">
        <w:t xml:space="preserve"> </w:t>
      </w:r>
    </w:p>
    <w:p w14:paraId="5161AEA5" w14:textId="5496EF4A" w:rsidR="00674F8C" w:rsidRDefault="0065136B" w:rsidP="006D7A95">
      <w:pPr>
        <w:pStyle w:val="ListParagraph"/>
        <w:numPr>
          <w:ilvl w:val="0"/>
          <w:numId w:val="28"/>
        </w:numPr>
        <w:spacing w:before="0" w:after="0" w:line="240" w:lineRule="auto"/>
      </w:pPr>
      <w:r>
        <w:t xml:space="preserve">Under “Sub-population Comparisons,” the racial category listed first </w:t>
      </w:r>
      <w:r w:rsidR="00A372E4">
        <w:t>is the reference group while the second category is the comparison group</w:t>
      </w:r>
      <w:r w:rsidR="00243339">
        <w:t>.</w:t>
      </w:r>
    </w:p>
    <w:p w14:paraId="799E448E" w14:textId="11837468" w:rsidR="00C16155" w:rsidRDefault="005416A9" w:rsidP="005416A9">
      <w:pPr>
        <w:pStyle w:val="ListParagraph"/>
        <w:numPr>
          <w:ilvl w:val="1"/>
          <w:numId w:val="28"/>
        </w:numPr>
        <w:spacing w:before="0" w:after="0" w:line="240" w:lineRule="auto"/>
      </w:pPr>
      <w:r>
        <w:t>For example, Asian-AA, Asian is the reference group and AA is the comparison group.</w:t>
      </w:r>
    </w:p>
    <w:p w14:paraId="1539BC59" w14:textId="07227DF7" w:rsidR="17A35B31" w:rsidRPr="00011DE9" w:rsidRDefault="17A35B31" w:rsidP="60E2DDA0">
      <w:pPr>
        <w:pStyle w:val="ListParagraph"/>
        <w:numPr>
          <w:ilvl w:val="0"/>
          <w:numId w:val="28"/>
        </w:numPr>
        <w:spacing w:before="0" w:after="0" w:line="240" w:lineRule="auto"/>
      </w:pPr>
      <w:r w:rsidRPr="00011DE9">
        <w:t>Gaps with p-values less than or equal to 0.05 are statistically significant.</w:t>
      </w:r>
    </w:p>
    <w:p w14:paraId="67CAA909" w14:textId="586FBAE4" w:rsidR="00210CF6" w:rsidRDefault="00DB1BAF" w:rsidP="006D7A95">
      <w:pPr>
        <w:pStyle w:val="ListParagraph"/>
        <w:numPr>
          <w:ilvl w:val="0"/>
          <w:numId w:val="28"/>
        </w:numPr>
        <w:spacing w:before="0" w:after="0" w:line="240" w:lineRule="auto"/>
      </w:pPr>
      <w:r>
        <w:t>Abbreviations</w:t>
      </w:r>
    </w:p>
    <w:p w14:paraId="249F8A2D" w14:textId="1F53DEE8" w:rsidR="00F131FE" w:rsidRDefault="00F131FE" w:rsidP="00F131FE">
      <w:pPr>
        <w:pStyle w:val="ListParagraph"/>
        <w:numPr>
          <w:ilvl w:val="1"/>
          <w:numId w:val="28"/>
        </w:numPr>
        <w:spacing w:before="0" w:after="0" w:line="240" w:lineRule="auto"/>
      </w:pPr>
      <w:r>
        <w:t>AA = African American</w:t>
      </w:r>
    </w:p>
    <w:p w14:paraId="2D69C64C" w14:textId="0C9F5AEC" w:rsidR="00F131FE" w:rsidRDefault="00F131FE" w:rsidP="00F131FE">
      <w:pPr>
        <w:pStyle w:val="ListParagraph"/>
        <w:numPr>
          <w:ilvl w:val="1"/>
          <w:numId w:val="28"/>
        </w:numPr>
        <w:spacing w:before="0" w:after="0" w:line="240" w:lineRule="auto"/>
      </w:pPr>
      <w:r>
        <w:t>AI/AN</w:t>
      </w:r>
      <w:r w:rsidR="00674F8C">
        <w:t xml:space="preserve"> = </w:t>
      </w:r>
      <w:r w:rsidR="00674F8C" w:rsidRPr="00674F8C">
        <w:t>American Indian/Alaska Native</w:t>
      </w:r>
    </w:p>
    <w:p w14:paraId="448BC825" w14:textId="602969FF" w:rsidR="00F131FE" w:rsidRDefault="00F131FE" w:rsidP="00F131FE">
      <w:pPr>
        <w:pStyle w:val="ListParagraph"/>
        <w:numPr>
          <w:ilvl w:val="1"/>
          <w:numId w:val="28"/>
        </w:numPr>
        <w:spacing w:before="0" w:after="0" w:line="240" w:lineRule="auto"/>
      </w:pPr>
      <w:r>
        <w:t xml:space="preserve">NH/PI = Native Hawaiian/ </w:t>
      </w:r>
      <w:r w:rsidR="00C447CB">
        <w:t xml:space="preserve">Other </w:t>
      </w:r>
      <w:r>
        <w:t>Pacific Islander</w:t>
      </w:r>
    </w:p>
    <w:sectPr w:rsidR="00F131FE" w:rsidSect="00EF797E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FD11" w14:textId="77777777" w:rsidR="00E3350C" w:rsidRDefault="00E3350C" w:rsidP="00240F61">
      <w:pPr>
        <w:spacing w:before="0" w:after="0" w:line="240" w:lineRule="auto"/>
      </w:pPr>
      <w:r>
        <w:separator/>
      </w:r>
    </w:p>
  </w:endnote>
  <w:endnote w:type="continuationSeparator" w:id="0">
    <w:p w14:paraId="6118E4FE" w14:textId="77777777" w:rsidR="00E3350C" w:rsidRDefault="00E3350C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49163790" w14:textId="77777777" w:rsidR="00E3350C" w:rsidRDefault="00E335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69A68861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 xmlns:arto="http://schemas.microsoft.com/office/word/2006/arto" xmlns:a="http://schemas.openxmlformats.org/drawingml/2006/main" xmlns:adec="http://schemas.microsoft.com/office/drawing/2017/decorative">
              <w:pict>
                <v:group id="Group 237698529" style="width:612pt;height:14.4pt;mso-position-horizontal-relative:char;mso-position-vertical-relative:line" alt="&quot;&quot;" coordsize="114005,4364" coordorigin="" o:spid="_x0000_s1026" w14:anchorId="40190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5A545C6D" w:rsidR="00240F61" w:rsidRDefault="00893CA2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H</w:t>
        </w:r>
        <w:r w:rsidR="00DD2D97">
          <w:t>QEIP</w:t>
        </w:r>
        <w:r w:rsidR="006E1992">
          <w:t xml:space="preserve">: </w:t>
        </w:r>
        <w:r w:rsidR="00DD2D97">
          <w:t>PY3 Measure Assessment Report</w:t>
        </w:r>
        <w:r w:rsidR="00240F61" w:rsidRPr="003F61F7">
          <w:t xml:space="preserve"> – </w:t>
        </w:r>
        <w:r w:rsidR="00932A35" w:rsidRPr="00932A35">
          <w:t>October 10</w:t>
        </w:r>
        <w:r w:rsidR="003756A5" w:rsidRPr="00932A35">
          <w:t xml:space="preserve"> , 2025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2EC8" w14:textId="77777777" w:rsidR="00E3350C" w:rsidRDefault="00E3350C" w:rsidP="00240F61">
      <w:pPr>
        <w:spacing w:before="0" w:after="0" w:line="240" w:lineRule="auto"/>
      </w:pPr>
      <w:r>
        <w:separator/>
      </w:r>
    </w:p>
  </w:footnote>
  <w:footnote w:type="continuationSeparator" w:id="0">
    <w:p w14:paraId="1599C246" w14:textId="77777777" w:rsidR="00E3350C" w:rsidRDefault="00E3350C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1B677B30" w14:textId="77777777" w:rsidR="00E3350C" w:rsidRDefault="00E335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57C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186CB9"/>
    <w:multiLevelType w:val="hybridMultilevel"/>
    <w:tmpl w:val="735C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27DD"/>
    <w:multiLevelType w:val="hybridMultilevel"/>
    <w:tmpl w:val="FFA6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20987"/>
    <w:multiLevelType w:val="hybridMultilevel"/>
    <w:tmpl w:val="77740C26"/>
    <w:lvl w:ilvl="0" w:tplc="90105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CC5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63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D04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0B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A8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41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A23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88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B646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7B6D40"/>
    <w:multiLevelType w:val="hybridMultilevel"/>
    <w:tmpl w:val="144E6984"/>
    <w:lvl w:ilvl="0" w:tplc="572E0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E33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E9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C0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66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85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24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EB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C0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06962"/>
    <w:multiLevelType w:val="hybridMultilevel"/>
    <w:tmpl w:val="3A704B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AE049C"/>
    <w:multiLevelType w:val="hybridMultilevel"/>
    <w:tmpl w:val="772C2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7032B"/>
    <w:multiLevelType w:val="hybridMultilevel"/>
    <w:tmpl w:val="CCBA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411A9"/>
    <w:multiLevelType w:val="hybridMultilevel"/>
    <w:tmpl w:val="5F3C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D093B"/>
    <w:multiLevelType w:val="hybridMultilevel"/>
    <w:tmpl w:val="A8C4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34CF4"/>
    <w:multiLevelType w:val="hybridMultilevel"/>
    <w:tmpl w:val="E7C89C82"/>
    <w:lvl w:ilvl="0" w:tplc="C9740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CE7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08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C6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A5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CE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C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88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44F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CB39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24F0F52"/>
    <w:multiLevelType w:val="hybridMultilevel"/>
    <w:tmpl w:val="EB8A97D6"/>
    <w:lvl w:ilvl="0" w:tplc="9692C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26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C3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AB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6B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27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84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E4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EB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AB41CD"/>
    <w:multiLevelType w:val="hybridMultilevel"/>
    <w:tmpl w:val="11902DEC"/>
    <w:lvl w:ilvl="0" w:tplc="2C900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8D3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3011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81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48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A5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84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6F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62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B927372"/>
    <w:multiLevelType w:val="hybridMultilevel"/>
    <w:tmpl w:val="B53E938A"/>
    <w:lvl w:ilvl="0" w:tplc="C5140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827C29"/>
    <w:multiLevelType w:val="hybridMultilevel"/>
    <w:tmpl w:val="4736327C"/>
    <w:lvl w:ilvl="0" w:tplc="0A6E6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E0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583C5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4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2C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0C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67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66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95A76"/>
    <w:multiLevelType w:val="hybridMultilevel"/>
    <w:tmpl w:val="6A6E5D14"/>
    <w:lvl w:ilvl="0" w:tplc="4E360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A74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AD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C1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4E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EF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03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61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6575089">
    <w:abstractNumId w:val="18"/>
  </w:num>
  <w:num w:numId="2" w16cid:durableId="1279026860">
    <w:abstractNumId w:val="5"/>
  </w:num>
  <w:num w:numId="3" w16cid:durableId="1625848529">
    <w:abstractNumId w:val="5"/>
  </w:num>
  <w:num w:numId="4" w16cid:durableId="101729215">
    <w:abstractNumId w:val="0"/>
  </w:num>
  <w:num w:numId="5" w16cid:durableId="452985753">
    <w:abstractNumId w:val="5"/>
    <w:lvlOverride w:ilvl="0">
      <w:startOverride w:val="1"/>
    </w:lvlOverride>
  </w:num>
  <w:num w:numId="6" w16cid:durableId="407307695">
    <w:abstractNumId w:val="5"/>
  </w:num>
  <w:num w:numId="7" w16cid:durableId="1597253625">
    <w:abstractNumId w:val="5"/>
    <w:lvlOverride w:ilvl="0">
      <w:startOverride w:val="1"/>
    </w:lvlOverride>
  </w:num>
  <w:num w:numId="8" w16cid:durableId="1182932387">
    <w:abstractNumId w:val="7"/>
  </w:num>
  <w:num w:numId="9" w16cid:durableId="1281180226">
    <w:abstractNumId w:val="11"/>
  </w:num>
  <w:num w:numId="10" w16cid:durableId="2011759641">
    <w:abstractNumId w:val="17"/>
  </w:num>
  <w:num w:numId="11" w16cid:durableId="282077602">
    <w:abstractNumId w:val="5"/>
  </w:num>
  <w:num w:numId="12" w16cid:durableId="1925410192">
    <w:abstractNumId w:val="5"/>
  </w:num>
  <w:num w:numId="13" w16cid:durableId="1644192220">
    <w:abstractNumId w:val="2"/>
  </w:num>
  <w:num w:numId="14" w16cid:durableId="868105064">
    <w:abstractNumId w:val="5"/>
    <w:lvlOverride w:ilvl="0">
      <w:startOverride w:val="1"/>
    </w:lvlOverride>
  </w:num>
  <w:num w:numId="15" w16cid:durableId="661736440">
    <w:abstractNumId w:val="5"/>
  </w:num>
  <w:num w:numId="16" w16cid:durableId="1227453594">
    <w:abstractNumId w:val="9"/>
  </w:num>
  <w:num w:numId="17" w16cid:durableId="1574705631">
    <w:abstractNumId w:val="12"/>
  </w:num>
  <w:num w:numId="18" w16cid:durableId="1316496053">
    <w:abstractNumId w:val="1"/>
  </w:num>
  <w:num w:numId="19" w16cid:durableId="95106013">
    <w:abstractNumId w:val="14"/>
  </w:num>
  <w:num w:numId="20" w16cid:durableId="1935893503">
    <w:abstractNumId w:val="19"/>
  </w:num>
  <w:num w:numId="21" w16cid:durableId="888960593">
    <w:abstractNumId w:val="6"/>
  </w:num>
  <w:num w:numId="22" w16cid:durableId="1792700243">
    <w:abstractNumId w:val="16"/>
  </w:num>
  <w:num w:numId="23" w16cid:durableId="1881554453">
    <w:abstractNumId w:val="4"/>
  </w:num>
  <w:num w:numId="24" w16cid:durableId="1391345922">
    <w:abstractNumId w:val="15"/>
  </w:num>
  <w:num w:numId="25" w16cid:durableId="1554584405">
    <w:abstractNumId w:val="13"/>
  </w:num>
  <w:num w:numId="26" w16cid:durableId="1323243074">
    <w:abstractNumId w:val="3"/>
  </w:num>
  <w:num w:numId="27" w16cid:durableId="665082">
    <w:abstractNumId w:val="8"/>
  </w:num>
  <w:num w:numId="28" w16cid:durableId="61803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BCD"/>
    <w:rsid w:val="0000278C"/>
    <w:rsid w:val="0000301B"/>
    <w:rsid w:val="0000449F"/>
    <w:rsid w:val="00004B61"/>
    <w:rsid w:val="00005B75"/>
    <w:rsid w:val="00006597"/>
    <w:rsid w:val="00011DE9"/>
    <w:rsid w:val="00022B02"/>
    <w:rsid w:val="00023E3F"/>
    <w:rsid w:val="00027D1E"/>
    <w:rsid w:val="00031BA4"/>
    <w:rsid w:val="00036F88"/>
    <w:rsid w:val="00041679"/>
    <w:rsid w:val="000431C5"/>
    <w:rsid w:val="000458E8"/>
    <w:rsid w:val="00054670"/>
    <w:rsid w:val="00055038"/>
    <w:rsid w:val="0005626E"/>
    <w:rsid w:val="000569BB"/>
    <w:rsid w:val="0005763D"/>
    <w:rsid w:val="000625F2"/>
    <w:rsid w:val="00062A19"/>
    <w:rsid w:val="00072DE3"/>
    <w:rsid w:val="00074CF1"/>
    <w:rsid w:val="00075A70"/>
    <w:rsid w:val="00077A0B"/>
    <w:rsid w:val="0008150A"/>
    <w:rsid w:val="00081B83"/>
    <w:rsid w:val="00082505"/>
    <w:rsid w:val="00082B0C"/>
    <w:rsid w:val="000941E8"/>
    <w:rsid w:val="00096ED0"/>
    <w:rsid w:val="000A0E71"/>
    <w:rsid w:val="000A2AAE"/>
    <w:rsid w:val="000A5F8A"/>
    <w:rsid w:val="000B23CD"/>
    <w:rsid w:val="000B2D05"/>
    <w:rsid w:val="000B6D25"/>
    <w:rsid w:val="000C1B22"/>
    <w:rsid w:val="000C2043"/>
    <w:rsid w:val="000C224B"/>
    <w:rsid w:val="000C3948"/>
    <w:rsid w:val="000C4A30"/>
    <w:rsid w:val="000C6A20"/>
    <w:rsid w:val="000D0BC6"/>
    <w:rsid w:val="000D502B"/>
    <w:rsid w:val="000E0B0E"/>
    <w:rsid w:val="000E1C57"/>
    <w:rsid w:val="000E3DCE"/>
    <w:rsid w:val="000E529B"/>
    <w:rsid w:val="000F0184"/>
    <w:rsid w:val="000F3F75"/>
    <w:rsid w:val="000F451E"/>
    <w:rsid w:val="000F58BD"/>
    <w:rsid w:val="000F661B"/>
    <w:rsid w:val="000F790A"/>
    <w:rsid w:val="000F7D8A"/>
    <w:rsid w:val="00104F38"/>
    <w:rsid w:val="001052EC"/>
    <w:rsid w:val="00110B06"/>
    <w:rsid w:val="001144A4"/>
    <w:rsid w:val="0011467D"/>
    <w:rsid w:val="001200B5"/>
    <w:rsid w:val="00124A1E"/>
    <w:rsid w:val="00126926"/>
    <w:rsid w:val="00130F42"/>
    <w:rsid w:val="0013114F"/>
    <w:rsid w:val="00132EE9"/>
    <w:rsid w:val="0013732C"/>
    <w:rsid w:val="0013AD8D"/>
    <w:rsid w:val="0015742D"/>
    <w:rsid w:val="00162640"/>
    <w:rsid w:val="00165407"/>
    <w:rsid w:val="00170EF7"/>
    <w:rsid w:val="00182EEC"/>
    <w:rsid w:val="00185A3B"/>
    <w:rsid w:val="0019262C"/>
    <w:rsid w:val="00192ED8"/>
    <w:rsid w:val="001979DB"/>
    <w:rsid w:val="001A1FA3"/>
    <w:rsid w:val="001A35DE"/>
    <w:rsid w:val="001A44D4"/>
    <w:rsid w:val="001B4969"/>
    <w:rsid w:val="001B78AC"/>
    <w:rsid w:val="001C0287"/>
    <w:rsid w:val="001C5A77"/>
    <w:rsid w:val="001C749F"/>
    <w:rsid w:val="001C7863"/>
    <w:rsid w:val="001D372A"/>
    <w:rsid w:val="001D4C46"/>
    <w:rsid w:val="001D4E5C"/>
    <w:rsid w:val="001E2298"/>
    <w:rsid w:val="001E2439"/>
    <w:rsid w:val="001E2CBE"/>
    <w:rsid w:val="001E4DDE"/>
    <w:rsid w:val="001E782D"/>
    <w:rsid w:val="001F1A96"/>
    <w:rsid w:val="001F4E25"/>
    <w:rsid w:val="001F7654"/>
    <w:rsid w:val="00200EBB"/>
    <w:rsid w:val="002026C0"/>
    <w:rsid w:val="00205F4A"/>
    <w:rsid w:val="0020632C"/>
    <w:rsid w:val="00210CF6"/>
    <w:rsid w:val="00210E6B"/>
    <w:rsid w:val="00214788"/>
    <w:rsid w:val="00215A97"/>
    <w:rsid w:val="002210CB"/>
    <w:rsid w:val="002210D6"/>
    <w:rsid w:val="002238A4"/>
    <w:rsid w:val="0022503D"/>
    <w:rsid w:val="002257F1"/>
    <w:rsid w:val="00226530"/>
    <w:rsid w:val="00230490"/>
    <w:rsid w:val="0023108B"/>
    <w:rsid w:val="00234457"/>
    <w:rsid w:val="002354FC"/>
    <w:rsid w:val="00235BF9"/>
    <w:rsid w:val="002408FB"/>
    <w:rsid w:val="002409C9"/>
    <w:rsid w:val="00240F61"/>
    <w:rsid w:val="002428CB"/>
    <w:rsid w:val="00243339"/>
    <w:rsid w:val="0024541E"/>
    <w:rsid w:val="00251E4D"/>
    <w:rsid w:val="0025411A"/>
    <w:rsid w:val="00255FF0"/>
    <w:rsid w:val="00262C3C"/>
    <w:rsid w:val="00264F28"/>
    <w:rsid w:val="002673E3"/>
    <w:rsid w:val="0027113B"/>
    <w:rsid w:val="00272BE6"/>
    <w:rsid w:val="00273E1C"/>
    <w:rsid w:val="00277AD4"/>
    <w:rsid w:val="002805CD"/>
    <w:rsid w:val="0028146F"/>
    <w:rsid w:val="002856C3"/>
    <w:rsid w:val="002867FD"/>
    <w:rsid w:val="002964E8"/>
    <w:rsid w:val="002A7A4E"/>
    <w:rsid w:val="002B2143"/>
    <w:rsid w:val="002B26E8"/>
    <w:rsid w:val="002B2A76"/>
    <w:rsid w:val="002B3050"/>
    <w:rsid w:val="002B5781"/>
    <w:rsid w:val="002C18DC"/>
    <w:rsid w:val="002C560E"/>
    <w:rsid w:val="002E101C"/>
    <w:rsid w:val="002F1E98"/>
    <w:rsid w:val="002F2861"/>
    <w:rsid w:val="002F293A"/>
    <w:rsid w:val="002F3029"/>
    <w:rsid w:val="002F3DFB"/>
    <w:rsid w:val="00302123"/>
    <w:rsid w:val="0030753F"/>
    <w:rsid w:val="00307C01"/>
    <w:rsid w:val="00311020"/>
    <w:rsid w:val="0031136F"/>
    <w:rsid w:val="00315258"/>
    <w:rsid w:val="0031531B"/>
    <w:rsid w:val="00315C9A"/>
    <w:rsid w:val="003167AA"/>
    <w:rsid w:val="00321012"/>
    <w:rsid w:val="00325144"/>
    <w:rsid w:val="003251E9"/>
    <w:rsid w:val="00327C7E"/>
    <w:rsid w:val="00330578"/>
    <w:rsid w:val="003315C0"/>
    <w:rsid w:val="00333ADB"/>
    <w:rsid w:val="00335C0F"/>
    <w:rsid w:val="003403F3"/>
    <w:rsid w:val="0034318B"/>
    <w:rsid w:val="00347E91"/>
    <w:rsid w:val="00352067"/>
    <w:rsid w:val="00355350"/>
    <w:rsid w:val="00356223"/>
    <w:rsid w:val="0035735B"/>
    <w:rsid w:val="003578F3"/>
    <w:rsid w:val="0036185A"/>
    <w:rsid w:val="00365FD7"/>
    <w:rsid w:val="00366042"/>
    <w:rsid w:val="00367FD9"/>
    <w:rsid w:val="003756A5"/>
    <w:rsid w:val="00377EF9"/>
    <w:rsid w:val="003823AE"/>
    <w:rsid w:val="00391EE0"/>
    <w:rsid w:val="0039409B"/>
    <w:rsid w:val="0039596F"/>
    <w:rsid w:val="003A00D5"/>
    <w:rsid w:val="003A1669"/>
    <w:rsid w:val="003A28FF"/>
    <w:rsid w:val="003A48AE"/>
    <w:rsid w:val="003A493D"/>
    <w:rsid w:val="003A4A47"/>
    <w:rsid w:val="003B5051"/>
    <w:rsid w:val="003C5285"/>
    <w:rsid w:val="003C6140"/>
    <w:rsid w:val="003D12C8"/>
    <w:rsid w:val="003E0CFD"/>
    <w:rsid w:val="003E18E9"/>
    <w:rsid w:val="003E2151"/>
    <w:rsid w:val="003E6A2B"/>
    <w:rsid w:val="003F2938"/>
    <w:rsid w:val="003F2DA3"/>
    <w:rsid w:val="00400529"/>
    <w:rsid w:val="00401741"/>
    <w:rsid w:val="0040477D"/>
    <w:rsid w:val="004063E4"/>
    <w:rsid w:val="00412F0A"/>
    <w:rsid w:val="00415290"/>
    <w:rsid w:val="00415E98"/>
    <w:rsid w:val="004218AF"/>
    <w:rsid w:val="00424164"/>
    <w:rsid w:val="004263D2"/>
    <w:rsid w:val="00426A79"/>
    <w:rsid w:val="00436136"/>
    <w:rsid w:val="00440DC5"/>
    <w:rsid w:val="0044116F"/>
    <w:rsid w:val="00443DAE"/>
    <w:rsid w:val="004454C9"/>
    <w:rsid w:val="00446BB4"/>
    <w:rsid w:val="00452B83"/>
    <w:rsid w:val="00456754"/>
    <w:rsid w:val="00462261"/>
    <w:rsid w:val="00462524"/>
    <w:rsid w:val="00472E33"/>
    <w:rsid w:val="004748AA"/>
    <w:rsid w:val="004825B3"/>
    <w:rsid w:val="0048276A"/>
    <w:rsid w:val="00490495"/>
    <w:rsid w:val="0049411F"/>
    <w:rsid w:val="004A6F7C"/>
    <w:rsid w:val="004B0201"/>
    <w:rsid w:val="004B16DD"/>
    <w:rsid w:val="004B2198"/>
    <w:rsid w:val="004C0EF3"/>
    <w:rsid w:val="004C10FB"/>
    <w:rsid w:val="004C5704"/>
    <w:rsid w:val="004D1B1B"/>
    <w:rsid w:val="004D4A59"/>
    <w:rsid w:val="004E6088"/>
    <w:rsid w:val="004F013A"/>
    <w:rsid w:val="004F1072"/>
    <w:rsid w:val="004F10D7"/>
    <w:rsid w:val="004F1E6F"/>
    <w:rsid w:val="004F2076"/>
    <w:rsid w:val="004F3A09"/>
    <w:rsid w:val="004F3C18"/>
    <w:rsid w:val="004F47B6"/>
    <w:rsid w:val="004F53E1"/>
    <w:rsid w:val="004F70E5"/>
    <w:rsid w:val="004F72FB"/>
    <w:rsid w:val="00500F31"/>
    <w:rsid w:val="00501A14"/>
    <w:rsid w:val="00504054"/>
    <w:rsid w:val="00510F23"/>
    <w:rsid w:val="00515685"/>
    <w:rsid w:val="00524CAF"/>
    <w:rsid w:val="00532EEC"/>
    <w:rsid w:val="00532F1D"/>
    <w:rsid w:val="00534366"/>
    <w:rsid w:val="005368B2"/>
    <w:rsid w:val="005416A9"/>
    <w:rsid w:val="00543DB6"/>
    <w:rsid w:val="00546BD2"/>
    <w:rsid w:val="00546D04"/>
    <w:rsid w:val="0055010F"/>
    <w:rsid w:val="00552040"/>
    <w:rsid w:val="00553C3F"/>
    <w:rsid w:val="00561F7D"/>
    <w:rsid w:val="00565340"/>
    <w:rsid w:val="00565D35"/>
    <w:rsid w:val="00566595"/>
    <w:rsid w:val="005718CC"/>
    <w:rsid w:val="0057472F"/>
    <w:rsid w:val="00577724"/>
    <w:rsid w:val="00577CCF"/>
    <w:rsid w:val="005810DB"/>
    <w:rsid w:val="00582ECD"/>
    <w:rsid w:val="005908E6"/>
    <w:rsid w:val="00593147"/>
    <w:rsid w:val="00594571"/>
    <w:rsid w:val="00596059"/>
    <w:rsid w:val="005A1D1E"/>
    <w:rsid w:val="005A52DB"/>
    <w:rsid w:val="005A5F25"/>
    <w:rsid w:val="005A6F76"/>
    <w:rsid w:val="005B16F0"/>
    <w:rsid w:val="005B2307"/>
    <w:rsid w:val="005B32E7"/>
    <w:rsid w:val="005B3C3A"/>
    <w:rsid w:val="005B404E"/>
    <w:rsid w:val="005B7172"/>
    <w:rsid w:val="005C238F"/>
    <w:rsid w:val="005C683F"/>
    <w:rsid w:val="005D61CA"/>
    <w:rsid w:val="005D7BB7"/>
    <w:rsid w:val="005E1413"/>
    <w:rsid w:val="005E385B"/>
    <w:rsid w:val="005E6BDE"/>
    <w:rsid w:val="005F0FF3"/>
    <w:rsid w:val="005F2BDA"/>
    <w:rsid w:val="005F324F"/>
    <w:rsid w:val="0060020F"/>
    <w:rsid w:val="00602BB3"/>
    <w:rsid w:val="00610905"/>
    <w:rsid w:val="00610EF8"/>
    <w:rsid w:val="00616121"/>
    <w:rsid w:val="00616E11"/>
    <w:rsid w:val="00631191"/>
    <w:rsid w:val="00635004"/>
    <w:rsid w:val="0065136B"/>
    <w:rsid w:val="00655C82"/>
    <w:rsid w:val="00655CEF"/>
    <w:rsid w:val="006610A1"/>
    <w:rsid w:val="00662A55"/>
    <w:rsid w:val="00664ADB"/>
    <w:rsid w:val="0067084D"/>
    <w:rsid w:val="00670E9B"/>
    <w:rsid w:val="00672665"/>
    <w:rsid w:val="0067303B"/>
    <w:rsid w:val="006738C7"/>
    <w:rsid w:val="00674F8C"/>
    <w:rsid w:val="00676574"/>
    <w:rsid w:val="00682303"/>
    <w:rsid w:val="0068311C"/>
    <w:rsid w:val="00683DF8"/>
    <w:rsid w:val="0069110C"/>
    <w:rsid w:val="00691402"/>
    <w:rsid w:val="00693745"/>
    <w:rsid w:val="00695C98"/>
    <w:rsid w:val="00697F87"/>
    <w:rsid w:val="006A04DA"/>
    <w:rsid w:val="006A371D"/>
    <w:rsid w:val="006A639D"/>
    <w:rsid w:val="006A6A5A"/>
    <w:rsid w:val="006B2981"/>
    <w:rsid w:val="006B525F"/>
    <w:rsid w:val="006C09BD"/>
    <w:rsid w:val="006C3848"/>
    <w:rsid w:val="006C3F1E"/>
    <w:rsid w:val="006C43F7"/>
    <w:rsid w:val="006C5310"/>
    <w:rsid w:val="006C7185"/>
    <w:rsid w:val="006D7A95"/>
    <w:rsid w:val="006E1992"/>
    <w:rsid w:val="006E20F1"/>
    <w:rsid w:val="006E31FF"/>
    <w:rsid w:val="006E5650"/>
    <w:rsid w:val="006E6D54"/>
    <w:rsid w:val="006F7CDB"/>
    <w:rsid w:val="00700207"/>
    <w:rsid w:val="0070074F"/>
    <w:rsid w:val="00700DAE"/>
    <w:rsid w:val="00701432"/>
    <w:rsid w:val="00712DE2"/>
    <w:rsid w:val="007174C1"/>
    <w:rsid w:val="007204BA"/>
    <w:rsid w:val="0072131A"/>
    <w:rsid w:val="007249C8"/>
    <w:rsid w:val="007309FD"/>
    <w:rsid w:val="0073365E"/>
    <w:rsid w:val="00734F47"/>
    <w:rsid w:val="007376BD"/>
    <w:rsid w:val="007416FF"/>
    <w:rsid w:val="00741E7E"/>
    <w:rsid w:val="00746BCD"/>
    <w:rsid w:val="00746C1A"/>
    <w:rsid w:val="00750CC6"/>
    <w:rsid w:val="00752B83"/>
    <w:rsid w:val="00755B62"/>
    <w:rsid w:val="00761328"/>
    <w:rsid w:val="00762856"/>
    <w:rsid w:val="007944D8"/>
    <w:rsid w:val="007961CD"/>
    <w:rsid w:val="007A458B"/>
    <w:rsid w:val="007A516F"/>
    <w:rsid w:val="007A528A"/>
    <w:rsid w:val="007A631C"/>
    <w:rsid w:val="007B4C32"/>
    <w:rsid w:val="007C0628"/>
    <w:rsid w:val="007C0A52"/>
    <w:rsid w:val="007D0E05"/>
    <w:rsid w:val="007D1E9D"/>
    <w:rsid w:val="007D6522"/>
    <w:rsid w:val="007E1FCB"/>
    <w:rsid w:val="007E3C01"/>
    <w:rsid w:val="007F6777"/>
    <w:rsid w:val="007F6AEC"/>
    <w:rsid w:val="00807C41"/>
    <w:rsid w:val="00811831"/>
    <w:rsid w:val="00813FB1"/>
    <w:rsid w:val="00814CEE"/>
    <w:rsid w:val="00814D63"/>
    <w:rsid w:val="0082080D"/>
    <w:rsid w:val="00825733"/>
    <w:rsid w:val="00826F91"/>
    <w:rsid w:val="00832EF2"/>
    <w:rsid w:val="00833941"/>
    <w:rsid w:val="0083403E"/>
    <w:rsid w:val="00835064"/>
    <w:rsid w:val="0083579B"/>
    <w:rsid w:val="00836C7F"/>
    <w:rsid w:val="00837C05"/>
    <w:rsid w:val="00840AD7"/>
    <w:rsid w:val="0084192D"/>
    <w:rsid w:val="008434D8"/>
    <w:rsid w:val="0084A4DD"/>
    <w:rsid w:val="00850BF6"/>
    <w:rsid w:val="0085171F"/>
    <w:rsid w:val="00851E5A"/>
    <w:rsid w:val="008526A4"/>
    <w:rsid w:val="0085657E"/>
    <w:rsid w:val="008734EB"/>
    <w:rsid w:val="00874E51"/>
    <w:rsid w:val="008750E1"/>
    <w:rsid w:val="00881308"/>
    <w:rsid w:val="00882AA4"/>
    <w:rsid w:val="00886F61"/>
    <w:rsid w:val="00893CA2"/>
    <w:rsid w:val="00894043"/>
    <w:rsid w:val="008A1227"/>
    <w:rsid w:val="008A1309"/>
    <w:rsid w:val="008A37AE"/>
    <w:rsid w:val="008A4E49"/>
    <w:rsid w:val="008B7F17"/>
    <w:rsid w:val="008C077C"/>
    <w:rsid w:val="008C28B5"/>
    <w:rsid w:val="008C334C"/>
    <w:rsid w:val="008C5DF7"/>
    <w:rsid w:val="008C62E2"/>
    <w:rsid w:val="008C7E27"/>
    <w:rsid w:val="008D55F7"/>
    <w:rsid w:val="008E1CC6"/>
    <w:rsid w:val="008E23FE"/>
    <w:rsid w:val="008E73A4"/>
    <w:rsid w:val="008F4589"/>
    <w:rsid w:val="008F4CCD"/>
    <w:rsid w:val="008F4EAD"/>
    <w:rsid w:val="00900464"/>
    <w:rsid w:val="00901D35"/>
    <w:rsid w:val="009032E2"/>
    <w:rsid w:val="00904691"/>
    <w:rsid w:val="00904815"/>
    <w:rsid w:val="00905CFB"/>
    <w:rsid w:val="00907B9C"/>
    <w:rsid w:val="00910FD2"/>
    <w:rsid w:val="009110DF"/>
    <w:rsid w:val="009159E0"/>
    <w:rsid w:val="0092127C"/>
    <w:rsid w:val="00921744"/>
    <w:rsid w:val="009229FB"/>
    <w:rsid w:val="009249E5"/>
    <w:rsid w:val="00925DF8"/>
    <w:rsid w:val="0092757A"/>
    <w:rsid w:val="00930343"/>
    <w:rsid w:val="00932A35"/>
    <w:rsid w:val="00934215"/>
    <w:rsid w:val="009354E3"/>
    <w:rsid w:val="00943FEF"/>
    <w:rsid w:val="00946229"/>
    <w:rsid w:val="00946A22"/>
    <w:rsid w:val="00955A55"/>
    <w:rsid w:val="009679E4"/>
    <w:rsid w:val="0097352F"/>
    <w:rsid w:val="00974483"/>
    <w:rsid w:val="009754C8"/>
    <w:rsid w:val="009777C5"/>
    <w:rsid w:val="00980067"/>
    <w:rsid w:val="00984F04"/>
    <w:rsid w:val="00986246"/>
    <w:rsid w:val="0098648D"/>
    <w:rsid w:val="00986AF6"/>
    <w:rsid w:val="009903BD"/>
    <w:rsid w:val="009908F1"/>
    <w:rsid w:val="009936E7"/>
    <w:rsid w:val="00994068"/>
    <w:rsid w:val="00995D9F"/>
    <w:rsid w:val="00997310"/>
    <w:rsid w:val="009A01F5"/>
    <w:rsid w:val="009A246F"/>
    <w:rsid w:val="009B4B6F"/>
    <w:rsid w:val="009B4F17"/>
    <w:rsid w:val="009B631E"/>
    <w:rsid w:val="009B7929"/>
    <w:rsid w:val="009B7BF7"/>
    <w:rsid w:val="009C0839"/>
    <w:rsid w:val="009C43F8"/>
    <w:rsid w:val="009C5CFF"/>
    <w:rsid w:val="009C7E7B"/>
    <w:rsid w:val="009D3A5F"/>
    <w:rsid w:val="009D6B7C"/>
    <w:rsid w:val="009E0327"/>
    <w:rsid w:val="009E14CD"/>
    <w:rsid w:val="009E36B7"/>
    <w:rsid w:val="009E3E82"/>
    <w:rsid w:val="009E63D2"/>
    <w:rsid w:val="009F0060"/>
    <w:rsid w:val="009F3308"/>
    <w:rsid w:val="009F339F"/>
    <w:rsid w:val="009F468A"/>
    <w:rsid w:val="009F716E"/>
    <w:rsid w:val="009F7D4D"/>
    <w:rsid w:val="00A00E6F"/>
    <w:rsid w:val="00A01D23"/>
    <w:rsid w:val="00A02C79"/>
    <w:rsid w:val="00A10E49"/>
    <w:rsid w:val="00A10FDA"/>
    <w:rsid w:val="00A13608"/>
    <w:rsid w:val="00A13B8B"/>
    <w:rsid w:val="00A176D6"/>
    <w:rsid w:val="00A311DE"/>
    <w:rsid w:val="00A345BF"/>
    <w:rsid w:val="00A372E4"/>
    <w:rsid w:val="00A44BC5"/>
    <w:rsid w:val="00A60F6B"/>
    <w:rsid w:val="00A61CEB"/>
    <w:rsid w:val="00A61D27"/>
    <w:rsid w:val="00A638BB"/>
    <w:rsid w:val="00A737D5"/>
    <w:rsid w:val="00A83F06"/>
    <w:rsid w:val="00A90F3B"/>
    <w:rsid w:val="00A93223"/>
    <w:rsid w:val="00AA0E39"/>
    <w:rsid w:val="00AA1C6C"/>
    <w:rsid w:val="00AA2620"/>
    <w:rsid w:val="00AA28AB"/>
    <w:rsid w:val="00AA4B87"/>
    <w:rsid w:val="00AA71A5"/>
    <w:rsid w:val="00AA7CB6"/>
    <w:rsid w:val="00AB16A5"/>
    <w:rsid w:val="00AB6B97"/>
    <w:rsid w:val="00AC5385"/>
    <w:rsid w:val="00AD4B81"/>
    <w:rsid w:val="00AD68B7"/>
    <w:rsid w:val="00AE0722"/>
    <w:rsid w:val="00AE41F2"/>
    <w:rsid w:val="00AE5A23"/>
    <w:rsid w:val="00AE5B15"/>
    <w:rsid w:val="00AE7B8A"/>
    <w:rsid w:val="00AF21B8"/>
    <w:rsid w:val="00AF21DD"/>
    <w:rsid w:val="00AF2F7D"/>
    <w:rsid w:val="00AF62BA"/>
    <w:rsid w:val="00AF7140"/>
    <w:rsid w:val="00AF752A"/>
    <w:rsid w:val="00B02A6D"/>
    <w:rsid w:val="00B03EF8"/>
    <w:rsid w:val="00B15B0F"/>
    <w:rsid w:val="00B22BCD"/>
    <w:rsid w:val="00B242A7"/>
    <w:rsid w:val="00B305DC"/>
    <w:rsid w:val="00B30769"/>
    <w:rsid w:val="00B32150"/>
    <w:rsid w:val="00B35AFC"/>
    <w:rsid w:val="00B41E33"/>
    <w:rsid w:val="00B44386"/>
    <w:rsid w:val="00B554E5"/>
    <w:rsid w:val="00B56A59"/>
    <w:rsid w:val="00B6570C"/>
    <w:rsid w:val="00B67D57"/>
    <w:rsid w:val="00B704D6"/>
    <w:rsid w:val="00B70563"/>
    <w:rsid w:val="00B70E80"/>
    <w:rsid w:val="00B80492"/>
    <w:rsid w:val="00B82288"/>
    <w:rsid w:val="00B83CAA"/>
    <w:rsid w:val="00B90256"/>
    <w:rsid w:val="00B92749"/>
    <w:rsid w:val="00B93229"/>
    <w:rsid w:val="00B94DF7"/>
    <w:rsid w:val="00B96DCD"/>
    <w:rsid w:val="00B976B3"/>
    <w:rsid w:val="00BA0D47"/>
    <w:rsid w:val="00BA24A0"/>
    <w:rsid w:val="00BA45A3"/>
    <w:rsid w:val="00BA5D00"/>
    <w:rsid w:val="00BB56DB"/>
    <w:rsid w:val="00BB5F52"/>
    <w:rsid w:val="00BB6997"/>
    <w:rsid w:val="00BC2A9F"/>
    <w:rsid w:val="00BC2B6A"/>
    <w:rsid w:val="00BC3420"/>
    <w:rsid w:val="00BC3C72"/>
    <w:rsid w:val="00BC5B71"/>
    <w:rsid w:val="00BC5D59"/>
    <w:rsid w:val="00BC681F"/>
    <w:rsid w:val="00BC6FEC"/>
    <w:rsid w:val="00BD223D"/>
    <w:rsid w:val="00BD6258"/>
    <w:rsid w:val="00BD63C2"/>
    <w:rsid w:val="00BD6465"/>
    <w:rsid w:val="00BD69E3"/>
    <w:rsid w:val="00BE547F"/>
    <w:rsid w:val="00BE6B26"/>
    <w:rsid w:val="00BE6E77"/>
    <w:rsid w:val="00BE730D"/>
    <w:rsid w:val="00BF4882"/>
    <w:rsid w:val="00BF4912"/>
    <w:rsid w:val="00BF4D7B"/>
    <w:rsid w:val="00BF7582"/>
    <w:rsid w:val="00C120E5"/>
    <w:rsid w:val="00C12DDE"/>
    <w:rsid w:val="00C14448"/>
    <w:rsid w:val="00C14A1F"/>
    <w:rsid w:val="00C16155"/>
    <w:rsid w:val="00C16A73"/>
    <w:rsid w:val="00C172D4"/>
    <w:rsid w:val="00C228EA"/>
    <w:rsid w:val="00C262AB"/>
    <w:rsid w:val="00C34A34"/>
    <w:rsid w:val="00C35A11"/>
    <w:rsid w:val="00C3798A"/>
    <w:rsid w:val="00C41257"/>
    <w:rsid w:val="00C41984"/>
    <w:rsid w:val="00C41D66"/>
    <w:rsid w:val="00C447CB"/>
    <w:rsid w:val="00C4714A"/>
    <w:rsid w:val="00C540B3"/>
    <w:rsid w:val="00C5526D"/>
    <w:rsid w:val="00C6208B"/>
    <w:rsid w:val="00C629DD"/>
    <w:rsid w:val="00C63599"/>
    <w:rsid w:val="00C67E00"/>
    <w:rsid w:val="00C7474D"/>
    <w:rsid w:val="00C75704"/>
    <w:rsid w:val="00C806A3"/>
    <w:rsid w:val="00C9110A"/>
    <w:rsid w:val="00C949D2"/>
    <w:rsid w:val="00C95E96"/>
    <w:rsid w:val="00CA29A6"/>
    <w:rsid w:val="00CB52D4"/>
    <w:rsid w:val="00CC103C"/>
    <w:rsid w:val="00CC349B"/>
    <w:rsid w:val="00CC6362"/>
    <w:rsid w:val="00CC666C"/>
    <w:rsid w:val="00CC6FA8"/>
    <w:rsid w:val="00CE6F2A"/>
    <w:rsid w:val="00CF26E6"/>
    <w:rsid w:val="00CF381A"/>
    <w:rsid w:val="00CF7E83"/>
    <w:rsid w:val="00D00D6F"/>
    <w:rsid w:val="00D027A9"/>
    <w:rsid w:val="00D206EE"/>
    <w:rsid w:val="00D20CE8"/>
    <w:rsid w:val="00D23E48"/>
    <w:rsid w:val="00D27598"/>
    <w:rsid w:val="00D3069A"/>
    <w:rsid w:val="00D308F8"/>
    <w:rsid w:val="00D32B4D"/>
    <w:rsid w:val="00D37B04"/>
    <w:rsid w:val="00D4552A"/>
    <w:rsid w:val="00D5199C"/>
    <w:rsid w:val="00D5669F"/>
    <w:rsid w:val="00D56ED0"/>
    <w:rsid w:val="00D60DC6"/>
    <w:rsid w:val="00D61225"/>
    <w:rsid w:val="00D631CE"/>
    <w:rsid w:val="00D63DD4"/>
    <w:rsid w:val="00D64C1D"/>
    <w:rsid w:val="00D65012"/>
    <w:rsid w:val="00D65172"/>
    <w:rsid w:val="00D701C3"/>
    <w:rsid w:val="00D709FE"/>
    <w:rsid w:val="00D70AFE"/>
    <w:rsid w:val="00D7719F"/>
    <w:rsid w:val="00D81507"/>
    <w:rsid w:val="00D86A9D"/>
    <w:rsid w:val="00D91EEE"/>
    <w:rsid w:val="00D94B76"/>
    <w:rsid w:val="00D97C4C"/>
    <w:rsid w:val="00DA43F1"/>
    <w:rsid w:val="00DB15B9"/>
    <w:rsid w:val="00DB1BAF"/>
    <w:rsid w:val="00DB1FA8"/>
    <w:rsid w:val="00DB3CC1"/>
    <w:rsid w:val="00DB6F42"/>
    <w:rsid w:val="00DC0858"/>
    <w:rsid w:val="00DC713D"/>
    <w:rsid w:val="00DC79B2"/>
    <w:rsid w:val="00DD2D97"/>
    <w:rsid w:val="00DD4E9E"/>
    <w:rsid w:val="00DE209D"/>
    <w:rsid w:val="00DE3241"/>
    <w:rsid w:val="00DE48E8"/>
    <w:rsid w:val="00DE74A8"/>
    <w:rsid w:val="00DE7B03"/>
    <w:rsid w:val="00DF1335"/>
    <w:rsid w:val="00DF2600"/>
    <w:rsid w:val="00DF2736"/>
    <w:rsid w:val="00DF43E0"/>
    <w:rsid w:val="00DF5064"/>
    <w:rsid w:val="00E01590"/>
    <w:rsid w:val="00E15CEF"/>
    <w:rsid w:val="00E1772B"/>
    <w:rsid w:val="00E20385"/>
    <w:rsid w:val="00E23B16"/>
    <w:rsid w:val="00E259DC"/>
    <w:rsid w:val="00E26976"/>
    <w:rsid w:val="00E26CEB"/>
    <w:rsid w:val="00E27C86"/>
    <w:rsid w:val="00E31C15"/>
    <w:rsid w:val="00E31EEF"/>
    <w:rsid w:val="00E3350C"/>
    <w:rsid w:val="00E35D89"/>
    <w:rsid w:val="00E37143"/>
    <w:rsid w:val="00E445B3"/>
    <w:rsid w:val="00E45934"/>
    <w:rsid w:val="00E461A7"/>
    <w:rsid w:val="00E474C3"/>
    <w:rsid w:val="00E47A73"/>
    <w:rsid w:val="00E50967"/>
    <w:rsid w:val="00E53D73"/>
    <w:rsid w:val="00E553FF"/>
    <w:rsid w:val="00E5751B"/>
    <w:rsid w:val="00E61B3F"/>
    <w:rsid w:val="00E61E63"/>
    <w:rsid w:val="00E6382E"/>
    <w:rsid w:val="00E7335F"/>
    <w:rsid w:val="00E86DE2"/>
    <w:rsid w:val="00E87FD1"/>
    <w:rsid w:val="00E91141"/>
    <w:rsid w:val="00E935AB"/>
    <w:rsid w:val="00E93DF7"/>
    <w:rsid w:val="00E959AC"/>
    <w:rsid w:val="00E96AEF"/>
    <w:rsid w:val="00EA0BEE"/>
    <w:rsid w:val="00EA45D7"/>
    <w:rsid w:val="00EB30FF"/>
    <w:rsid w:val="00EB490C"/>
    <w:rsid w:val="00EB5830"/>
    <w:rsid w:val="00EC2E89"/>
    <w:rsid w:val="00EC42C6"/>
    <w:rsid w:val="00EC6733"/>
    <w:rsid w:val="00ED2DEE"/>
    <w:rsid w:val="00ED512E"/>
    <w:rsid w:val="00ED6350"/>
    <w:rsid w:val="00ED7702"/>
    <w:rsid w:val="00EE08F4"/>
    <w:rsid w:val="00EE65ED"/>
    <w:rsid w:val="00EE6F05"/>
    <w:rsid w:val="00EE7BF6"/>
    <w:rsid w:val="00EF63C3"/>
    <w:rsid w:val="00EF7217"/>
    <w:rsid w:val="00EF797E"/>
    <w:rsid w:val="00F00742"/>
    <w:rsid w:val="00F06202"/>
    <w:rsid w:val="00F12905"/>
    <w:rsid w:val="00F131FE"/>
    <w:rsid w:val="00F222CB"/>
    <w:rsid w:val="00F378DA"/>
    <w:rsid w:val="00F45776"/>
    <w:rsid w:val="00F518EB"/>
    <w:rsid w:val="00F537F0"/>
    <w:rsid w:val="00F6379F"/>
    <w:rsid w:val="00F667AC"/>
    <w:rsid w:val="00F66A07"/>
    <w:rsid w:val="00F66B93"/>
    <w:rsid w:val="00F67015"/>
    <w:rsid w:val="00F71761"/>
    <w:rsid w:val="00F7262E"/>
    <w:rsid w:val="00F75991"/>
    <w:rsid w:val="00F7651E"/>
    <w:rsid w:val="00F76A17"/>
    <w:rsid w:val="00F77694"/>
    <w:rsid w:val="00F77C8F"/>
    <w:rsid w:val="00F808BB"/>
    <w:rsid w:val="00F80DFC"/>
    <w:rsid w:val="00F82A9F"/>
    <w:rsid w:val="00F83975"/>
    <w:rsid w:val="00F860DB"/>
    <w:rsid w:val="00F863DD"/>
    <w:rsid w:val="00F90028"/>
    <w:rsid w:val="00F95574"/>
    <w:rsid w:val="00F97C11"/>
    <w:rsid w:val="00FA017A"/>
    <w:rsid w:val="00FA354F"/>
    <w:rsid w:val="00FB380C"/>
    <w:rsid w:val="00FB53AA"/>
    <w:rsid w:val="00FB5F96"/>
    <w:rsid w:val="00FC0467"/>
    <w:rsid w:val="00FC0609"/>
    <w:rsid w:val="00FC1BC6"/>
    <w:rsid w:val="00FC1F7C"/>
    <w:rsid w:val="00FC7447"/>
    <w:rsid w:val="00FD236E"/>
    <w:rsid w:val="00FD2E17"/>
    <w:rsid w:val="00FD6C95"/>
    <w:rsid w:val="00FE6382"/>
    <w:rsid w:val="00FF1E2B"/>
    <w:rsid w:val="00FF24A8"/>
    <w:rsid w:val="00FF6BA9"/>
    <w:rsid w:val="0231FCB5"/>
    <w:rsid w:val="03B7AA49"/>
    <w:rsid w:val="0494DE14"/>
    <w:rsid w:val="04FE6518"/>
    <w:rsid w:val="056BDD0B"/>
    <w:rsid w:val="05A0BAEF"/>
    <w:rsid w:val="05DC5F51"/>
    <w:rsid w:val="0ABECFC0"/>
    <w:rsid w:val="0B6494C8"/>
    <w:rsid w:val="0BADBDA5"/>
    <w:rsid w:val="0C618A6B"/>
    <w:rsid w:val="0CA77DB6"/>
    <w:rsid w:val="0CDE67D7"/>
    <w:rsid w:val="0DEE8E1E"/>
    <w:rsid w:val="0E1056A8"/>
    <w:rsid w:val="0E434D75"/>
    <w:rsid w:val="0EB1067A"/>
    <w:rsid w:val="0F15F068"/>
    <w:rsid w:val="10A661A0"/>
    <w:rsid w:val="119146E6"/>
    <w:rsid w:val="11924052"/>
    <w:rsid w:val="11D97764"/>
    <w:rsid w:val="12470C57"/>
    <w:rsid w:val="1262B3BF"/>
    <w:rsid w:val="12A3CF1B"/>
    <w:rsid w:val="13879C15"/>
    <w:rsid w:val="13BAAEBC"/>
    <w:rsid w:val="1406AB0E"/>
    <w:rsid w:val="143865D8"/>
    <w:rsid w:val="1440E01E"/>
    <w:rsid w:val="148E57BC"/>
    <w:rsid w:val="1511EDD4"/>
    <w:rsid w:val="16D3237E"/>
    <w:rsid w:val="176D65F6"/>
    <w:rsid w:val="17A35B31"/>
    <w:rsid w:val="18C6E21D"/>
    <w:rsid w:val="19622FE0"/>
    <w:rsid w:val="19746249"/>
    <w:rsid w:val="1C7E4FAF"/>
    <w:rsid w:val="1D0E429F"/>
    <w:rsid w:val="1D655FAB"/>
    <w:rsid w:val="1E476E5C"/>
    <w:rsid w:val="1EEF2404"/>
    <w:rsid w:val="1FCEFCCB"/>
    <w:rsid w:val="20637BD4"/>
    <w:rsid w:val="2168A062"/>
    <w:rsid w:val="21A02E7C"/>
    <w:rsid w:val="21D45C27"/>
    <w:rsid w:val="22764159"/>
    <w:rsid w:val="230F070D"/>
    <w:rsid w:val="2368BFB1"/>
    <w:rsid w:val="23C9B642"/>
    <w:rsid w:val="24017A63"/>
    <w:rsid w:val="24A38ABA"/>
    <w:rsid w:val="24CB6C25"/>
    <w:rsid w:val="253D8D0E"/>
    <w:rsid w:val="27AFDA7D"/>
    <w:rsid w:val="27B31EC4"/>
    <w:rsid w:val="292AE661"/>
    <w:rsid w:val="2969E67B"/>
    <w:rsid w:val="2AB1732D"/>
    <w:rsid w:val="2AC164F3"/>
    <w:rsid w:val="2B4DF1F9"/>
    <w:rsid w:val="2B8A83FA"/>
    <w:rsid w:val="2C5C6D65"/>
    <w:rsid w:val="2C95D655"/>
    <w:rsid w:val="2CB9D1EE"/>
    <w:rsid w:val="2D1152FA"/>
    <w:rsid w:val="2D117509"/>
    <w:rsid w:val="2D9A5AF5"/>
    <w:rsid w:val="2DF0504F"/>
    <w:rsid w:val="2E6176B2"/>
    <w:rsid w:val="2EA80E3D"/>
    <w:rsid w:val="2F00C1D5"/>
    <w:rsid w:val="2F5F7B5E"/>
    <w:rsid w:val="3074619B"/>
    <w:rsid w:val="30EB0AB0"/>
    <w:rsid w:val="31404889"/>
    <w:rsid w:val="31CC0AEA"/>
    <w:rsid w:val="3228C4FE"/>
    <w:rsid w:val="32618410"/>
    <w:rsid w:val="32ACC9ED"/>
    <w:rsid w:val="32F2A29E"/>
    <w:rsid w:val="33C10108"/>
    <w:rsid w:val="33D2D405"/>
    <w:rsid w:val="343668CC"/>
    <w:rsid w:val="3461B5C5"/>
    <w:rsid w:val="3474B39C"/>
    <w:rsid w:val="34770C0B"/>
    <w:rsid w:val="34794EFB"/>
    <w:rsid w:val="35553B60"/>
    <w:rsid w:val="372B9AA5"/>
    <w:rsid w:val="38ADBE49"/>
    <w:rsid w:val="397CBCC6"/>
    <w:rsid w:val="3A4980CC"/>
    <w:rsid w:val="3A814AE6"/>
    <w:rsid w:val="3ABFCB8A"/>
    <w:rsid w:val="3B07F735"/>
    <w:rsid w:val="3C21CE56"/>
    <w:rsid w:val="3C703BC1"/>
    <w:rsid w:val="3CEFF752"/>
    <w:rsid w:val="3D2C29E9"/>
    <w:rsid w:val="3E39E199"/>
    <w:rsid w:val="3EFD3354"/>
    <w:rsid w:val="3FD2EF13"/>
    <w:rsid w:val="4099ABC9"/>
    <w:rsid w:val="40AC65DC"/>
    <w:rsid w:val="4195DAAA"/>
    <w:rsid w:val="43373B28"/>
    <w:rsid w:val="434ADD94"/>
    <w:rsid w:val="443995A4"/>
    <w:rsid w:val="44B15488"/>
    <w:rsid w:val="44EAF5E8"/>
    <w:rsid w:val="45102091"/>
    <w:rsid w:val="4560FA73"/>
    <w:rsid w:val="4632431A"/>
    <w:rsid w:val="463DA210"/>
    <w:rsid w:val="4696F7F3"/>
    <w:rsid w:val="4753B739"/>
    <w:rsid w:val="47A7945A"/>
    <w:rsid w:val="49137DE1"/>
    <w:rsid w:val="4A18C61E"/>
    <w:rsid w:val="4A8D82AF"/>
    <w:rsid w:val="4AE57C5C"/>
    <w:rsid w:val="4B6FF813"/>
    <w:rsid w:val="4BD9879A"/>
    <w:rsid w:val="4C35AA98"/>
    <w:rsid w:val="4CBAE82B"/>
    <w:rsid w:val="4D0E24D2"/>
    <w:rsid w:val="4D2D74AE"/>
    <w:rsid w:val="4D3A1319"/>
    <w:rsid w:val="4D5D6B2E"/>
    <w:rsid w:val="4DE998E0"/>
    <w:rsid w:val="4E4F14DF"/>
    <w:rsid w:val="4ECD2C24"/>
    <w:rsid w:val="4F049E96"/>
    <w:rsid w:val="5144CF61"/>
    <w:rsid w:val="5168C686"/>
    <w:rsid w:val="55225AF5"/>
    <w:rsid w:val="58664093"/>
    <w:rsid w:val="58BA132D"/>
    <w:rsid w:val="5A559A74"/>
    <w:rsid w:val="5A905AB2"/>
    <w:rsid w:val="5B4D221A"/>
    <w:rsid w:val="5BAC9669"/>
    <w:rsid w:val="5BBDF2A1"/>
    <w:rsid w:val="5C80777A"/>
    <w:rsid w:val="5C92DB06"/>
    <w:rsid w:val="5CAD8851"/>
    <w:rsid w:val="5CB61A50"/>
    <w:rsid w:val="5CC746B1"/>
    <w:rsid w:val="5D0E8B3C"/>
    <w:rsid w:val="5D36D1DB"/>
    <w:rsid w:val="5E014FDF"/>
    <w:rsid w:val="5E7C83CB"/>
    <w:rsid w:val="5EA9D128"/>
    <w:rsid w:val="5F02E72D"/>
    <w:rsid w:val="5FAF9795"/>
    <w:rsid w:val="60E2DDA0"/>
    <w:rsid w:val="617F5360"/>
    <w:rsid w:val="6227917B"/>
    <w:rsid w:val="62975E5C"/>
    <w:rsid w:val="63560CFE"/>
    <w:rsid w:val="63F1B6DB"/>
    <w:rsid w:val="64284208"/>
    <w:rsid w:val="650D4D49"/>
    <w:rsid w:val="65494374"/>
    <w:rsid w:val="65D2A7B9"/>
    <w:rsid w:val="66B4C3D7"/>
    <w:rsid w:val="6751A813"/>
    <w:rsid w:val="67BBED20"/>
    <w:rsid w:val="68A1FF55"/>
    <w:rsid w:val="68BF4FDB"/>
    <w:rsid w:val="695DD69F"/>
    <w:rsid w:val="69CEFEF8"/>
    <w:rsid w:val="6AAA2EC8"/>
    <w:rsid w:val="6B3A57D5"/>
    <w:rsid w:val="6B5308BC"/>
    <w:rsid w:val="6CA515D6"/>
    <w:rsid w:val="6CF674FA"/>
    <w:rsid w:val="6D3073F6"/>
    <w:rsid w:val="6E271EB8"/>
    <w:rsid w:val="6F074578"/>
    <w:rsid w:val="6F349F50"/>
    <w:rsid w:val="6FAEDCCA"/>
    <w:rsid w:val="6FB470AB"/>
    <w:rsid w:val="6FCBEECA"/>
    <w:rsid w:val="722FADA4"/>
    <w:rsid w:val="73873FD7"/>
    <w:rsid w:val="7483374A"/>
    <w:rsid w:val="748DCC8B"/>
    <w:rsid w:val="7497669C"/>
    <w:rsid w:val="74BB5334"/>
    <w:rsid w:val="7546CA26"/>
    <w:rsid w:val="755EAD55"/>
    <w:rsid w:val="75CEA114"/>
    <w:rsid w:val="76507B75"/>
    <w:rsid w:val="7776D8AC"/>
    <w:rsid w:val="78586994"/>
    <w:rsid w:val="7895F263"/>
    <w:rsid w:val="78F252E7"/>
    <w:rsid w:val="797F4DA3"/>
    <w:rsid w:val="79B0E835"/>
    <w:rsid w:val="79EE88FD"/>
    <w:rsid w:val="7A1C4640"/>
    <w:rsid w:val="7A9D2AE7"/>
    <w:rsid w:val="7AC3E39B"/>
    <w:rsid w:val="7ADEE89D"/>
    <w:rsid w:val="7B4E0254"/>
    <w:rsid w:val="7CD561FB"/>
    <w:rsid w:val="7D4C32C7"/>
    <w:rsid w:val="7E341B26"/>
    <w:rsid w:val="7E92D0BD"/>
    <w:rsid w:val="7EEF6DAF"/>
    <w:rsid w:val="7F85F39C"/>
    <w:rsid w:val="7FF5F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C313E8C0-A499-4350-BD5C-E017C1DB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</w:style>
  <w:style w:type="paragraph" w:styleId="ListNumber2">
    <w:name w:val="List Number 2"/>
    <w:basedOn w:val="Normal"/>
    <w:uiPriority w:val="99"/>
    <w:unhideWhenUsed/>
    <w:rsid w:val="00836C7F"/>
    <w:pPr>
      <w:numPr>
        <w:numId w:val="8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9B631E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1A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E6E77"/>
    <w:rPr>
      <w:i/>
      <w:iCs/>
    </w:rPr>
  </w:style>
  <w:style w:type="table" w:styleId="ListTable3-Accent1">
    <w:name w:val="List Table 3 Accent 1"/>
    <w:basedOn w:val="TableNormal"/>
    <w:uiPriority w:val="48"/>
    <w:rsid w:val="005A1D1E"/>
    <w:tblPr>
      <w:tblStyleRowBandSize w:val="1"/>
      <w:tblStyleColBandSize w:val="1"/>
      <w:tblBorders>
        <w:top w:val="single" w:sz="4" w:space="0" w:color="14558F" w:themeColor="accent1"/>
        <w:left w:val="single" w:sz="4" w:space="0" w:color="14558F" w:themeColor="accent1"/>
        <w:bottom w:val="single" w:sz="4" w:space="0" w:color="14558F" w:themeColor="accent1"/>
        <w:right w:val="single" w:sz="4" w:space="0" w:color="1455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558F" w:themeColor="accent1"/>
          <w:right w:val="single" w:sz="4" w:space="0" w:color="14558F" w:themeColor="accent1"/>
        </w:tcBorders>
      </w:tcPr>
    </w:tblStylePr>
    <w:tblStylePr w:type="band1Horz">
      <w:tblPr/>
      <w:tcPr>
        <w:tcBorders>
          <w:top w:val="single" w:sz="4" w:space="0" w:color="14558F" w:themeColor="accent1"/>
          <w:bottom w:val="single" w:sz="4" w:space="0" w:color="1455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558F" w:themeColor="accent1"/>
          <w:left w:val="nil"/>
        </w:tcBorders>
      </w:tcPr>
    </w:tblStylePr>
    <w:tblStylePr w:type="swCell">
      <w:tblPr/>
      <w:tcPr>
        <w:tcBorders>
          <w:top w:val="double" w:sz="4" w:space="0" w:color="14558F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07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40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78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581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711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88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72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96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30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63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39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50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037613763d915ae8fa29bb63301399cc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0cee0f216cd659af1976c8a2b705f81d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  <UserInfo>
        <DisplayName>Harner, Nick (EHS)</DisplayName>
        <AccountId>400</AccountId>
        <AccountType/>
      </UserInfo>
      <UserInfo>
        <DisplayName>Hannon, Meaghan (EHS)</DisplayName>
        <AccountId>281</AccountId>
        <AccountType/>
      </UserInfo>
    </SharedWithUsers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2B5CF-D534-40C5-8657-84B586CE2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44</TotalTime>
  <Pages>6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Olugbenga, Ayobami (EHS)</cp:lastModifiedBy>
  <cp:revision>555</cp:revision>
  <dcterms:created xsi:type="dcterms:W3CDTF">2025-03-20T23:58:00Z</dcterms:created>
  <dcterms:modified xsi:type="dcterms:W3CDTF">2025-10-10T21:42:00Z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700d98a2-4df3-492b-98d2-cad648acb277</vt:lpwstr>
  </property>
</Properties>
</file>