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:rsidR="007B3D0F" w:rsidRDefault="007B3D0F" w:rsidP="009842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46D6" w:rsidRDefault="000D46D6" w:rsidP="009842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Pr="000D46D6" w:rsidRDefault="00B946E6" w:rsidP="00402818">
      <w:pPr>
        <w:tabs>
          <w:tab w:val="left" w:pos="0"/>
        </w:tabs>
        <w:rPr>
          <w:sz w:val="28"/>
          <w:szCs w:val="28"/>
        </w:rPr>
      </w:pPr>
      <w:r w:rsidRPr="00402818">
        <w:rPr>
          <w:rFonts w:ascii="Times New Roman" w:hAnsi="Times New Roman"/>
          <w:sz w:val="24"/>
          <w:szCs w:val="24"/>
        </w:rPr>
        <w:t xml:space="preserve">December </w:t>
      </w:r>
      <w:r w:rsidR="00B84C2F">
        <w:rPr>
          <w:rFonts w:ascii="Times New Roman" w:hAnsi="Times New Roman"/>
          <w:sz w:val="24"/>
          <w:szCs w:val="24"/>
        </w:rPr>
        <w:t>23</w:t>
      </w:r>
      <w:r w:rsidRPr="00402818">
        <w:rPr>
          <w:rFonts w:ascii="Times New Roman" w:hAnsi="Times New Roman"/>
          <w:sz w:val="24"/>
          <w:szCs w:val="24"/>
        </w:rPr>
        <w:t>, 2019</w:t>
      </w:r>
    </w:p>
    <w:p w:rsidR="000D46D6" w:rsidRP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P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18">
        <w:rPr>
          <w:rFonts w:ascii="Times New Roman" w:hAnsi="Times New Roman" w:cs="Times New Roman"/>
          <w:b/>
          <w:sz w:val="36"/>
          <w:szCs w:val="36"/>
        </w:rPr>
        <w:t xml:space="preserve">HSN </w:t>
      </w:r>
      <w:r w:rsidR="00B946E6" w:rsidRPr="00402818">
        <w:rPr>
          <w:rFonts w:ascii="Times New Roman" w:hAnsi="Times New Roman" w:cs="Times New Roman"/>
          <w:b/>
          <w:sz w:val="36"/>
          <w:szCs w:val="36"/>
        </w:rPr>
        <w:t xml:space="preserve">Claims Denial </w:t>
      </w:r>
      <w:r w:rsidR="00402818" w:rsidRPr="00402818">
        <w:rPr>
          <w:rFonts w:ascii="Times New Roman" w:hAnsi="Times New Roman" w:cs="Times New Roman"/>
          <w:b/>
          <w:sz w:val="32"/>
          <w:szCs w:val="32"/>
        </w:rPr>
        <w:t>(NUM_ICN)</w:t>
      </w:r>
    </w:p>
    <w:p w:rsidR="000D46D6" w:rsidRP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Pr="000D46D6" w:rsidRDefault="000D46D6" w:rsidP="000D46D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D6" w:rsidRPr="001E72CD" w:rsidRDefault="000D46D6" w:rsidP="000D46D6">
      <w:pPr>
        <w:rPr>
          <w:rFonts w:ascii="Times New Roman" w:hAnsi="Times New Roman"/>
          <w:sz w:val="24"/>
          <w:szCs w:val="24"/>
        </w:rPr>
      </w:pPr>
      <w:r w:rsidRPr="001E72CD">
        <w:rPr>
          <w:rFonts w:ascii="Times New Roman" w:hAnsi="Times New Roman"/>
          <w:sz w:val="24"/>
          <w:szCs w:val="24"/>
        </w:rPr>
        <w:t>Dear HSN Providers:</w:t>
      </w:r>
    </w:p>
    <w:p w:rsidR="00DB0711" w:rsidRPr="001E72CD" w:rsidRDefault="00DB0711" w:rsidP="00DB07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B0711" w:rsidRPr="001E72CD" w:rsidRDefault="00DB0711" w:rsidP="00DB07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B0711" w:rsidRPr="001E72CD" w:rsidRDefault="00DB0711" w:rsidP="00DB071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 xml:space="preserve">HSN has identified a system issue </w:t>
      </w:r>
      <w:proofErr w:type="gramStart"/>
      <w:r w:rsidRPr="001E72CD">
        <w:rPr>
          <w:rFonts w:ascii="Times New Roman" w:hAnsi="Times New Roman" w:cs="Times New Roman"/>
          <w:sz w:val="24"/>
          <w:szCs w:val="24"/>
        </w:rPr>
        <w:t>causing  NUM</w:t>
      </w:r>
      <w:proofErr w:type="gramEnd"/>
      <w:r w:rsidRPr="001E72CD">
        <w:rPr>
          <w:rFonts w:ascii="Times New Roman" w:hAnsi="Times New Roman" w:cs="Times New Roman"/>
          <w:sz w:val="24"/>
          <w:szCs w:val="24"/>
        </w:rPr>
        <w:t xml:space="preserve">_ICN edits from HSN for both 837I and 837P claims to set inappropriately.   HSN claims have </w:t>
      </w:r>
      <w:proofErr w:type="gramStart"/>
      <w:r w:rsidRPr="001E72CD">
        <w:rPr>
          <w:rFonts w:ascii="Times New Roman" w:hAnsi="Times New Roman" w:cs="Times New Roman"/>
          <w:sz w:val="24"/>
          <w:szCs w:val="24"/>
        </w:rPr>
        <w:t>been  paid</w:t>
      </w:r>
      <w:proofErr w:type="gramEnd"/>
      <w:r w:rsidRPr="001E72CD">
        <w:rPr>
          <w:rFonts w:ascii="Times New Roman" w:hAnsi="Times New Roman" w:cs="Times New Roman"/>
          <w:sz w:val="24"/>
          <w:szCs w:val="24"/>
        </w:rPr>
        <w:t xml:space="preserve"> and denied inappropriately due to an eligibility issue in our system.  HSN has implemented an internal reprocessing task to capture all claims where MassHealth has updated/changed the original claim status </w:t>
      </w:r>
      <w:proofErr w:type="gramStart"/>
      <w:r w:rsidRPr="001E72CD">
        <w:rPr>
          <w:rFonts w:ascii="Times New Roman" w:hAnsi="Times New Roman" w:cs="Times New Roman"/>
          <w:sz w:val="24"/>
          <w:szCs w:val="24"/>
        </w:rPr>
        <w:t>containing  NUM</w:t>
      </w:r>
      <w:proofErr w:type="gramEnd"/>
      <w:r w:rsidRPr="001E72CD">
        <w:rPr>
          <w:rFonts w:ascii="Times New Roman" w:hAnsi="Times New Roman" w:cs="Times New Roman"/>
          <w:sz w:val="24"/>
          <w:szCs w:val="24"/>
        </w:rPr>
        <w:t>_ICN.  Please note, though HSN has an internal process to capture such claims, HSN will continue to work with MassHealth on ensuring that future claims are processed/updated accordingly.</w:t>
      </w:r>
    </w:p>
    <w:p w:rsidR="00DB0711" w:rsidRPr="001E72CD" w:rsidRDefault="00DB0711" w:rsidP="00DB07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0711" w:rsidRPr="001E72CD" w:rsidRDefault="00DB0711" w:rsidP="00DB071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>HSN is currently working to identify claims that have either paid or denied inappropriately. Once this project is complete, HSN will send an updated notice.</w:t>
      </w:r>
    </w:p>
    <w:p w:rsidR="00DB0711" w:rsidRDefault="00DB0711" w:rsidP="00DB07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E72CD" w:rsidRPr="001E72CD" w:rsidRDefault="001E72CD" w:rsidP="00DB07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53A46" w:rsidRPr="001E72CD" w:rsidRDefault="00453A46" w:rsidP="00453A46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72CD">
        <w:rPr>
          <w:rFonts w:ascii="Times New Roman" w:hAnsi="Times New Roman" w:cs="Times New Roman"/>
          <w:b/>
          <w:sz w:val="36"/>
          <w:szCs w:val="36"/>
        </w:rPr>
        <w:t>FY 2018 Closing</w:t>
      </w:r>
    </w:p>
    <w:p w:rsidR="00453A46" w:rsidRDefault="00453A46" w:rsidP="00453A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72CD" w:rsidRPr="001E72CD" w:rsidRDefault="001E72CD" w:rsidP="00453A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A46" w:rsidRPr="001E72CD" w:rsidRDefault="00453A46" w:rsidP="00453A4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 xml:space="preserve">Providers are reminded that FY18 will be closing on September 30, 2020.  Any claims or corrections for FY18 must be completed before the Fiscal Year is closed.  </w:t>
      </w:r>
    </w:p>
    <w:p w:rsidR="00453A46" w:rsidRPr="001E72CD" w:rsidRDefault="00453A46" w:rsidP="00453A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3A46" w:rsidRPr="001E72CD" w:rsidRDefault="00453A46" w:rsidP="00453A4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>Any claims or corrections for FY18 must be completed before the FY is closed.</w:t>
      </w:r>
    </w:p>
    <w:p w:rsidR="00453A46" w:rsidRDefault="00453A46" w:rsidP="00453A4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>Any claims submitted for processing after the FY closes, will be denied by HSN, for submitting after the FY closure date.</w:t>
      </w:r>
    </w:p>
    <w:p w:rsidR="001E72CD" w:rsidRPr="001E72CD" w:rsidRDefault="001E72CD" w:rsidP="00453A4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E72CD" w:rsidRPr="001E72CD" w:rsidRDefault="001E72CD" w:rsidP="001E72C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E72CD">
        <w:rPr>
          <w:rFonts w:ascii="Times New Roman" w:hAnsi="Times New Roman" w:cs="Times New Roman"/>
          <w:sz w:val="24"/>
          <w:szCs w:val="24"/>
        </w:rPr>
        <w:t xml:space="preserve">Please contact Health Safety Net for any questions or concerns.  800-609-7232 or </w:t>
      </w:r>
      <w:hyperlink r:id="rId11" w:history="1">
        <w:r w:rsidRPr="001E72CD">
          <w:rPr>
            <w:rStyle w:val="Hyperlink"/>
            <w:rFonts w:ascii="Times New Roman" w:hAnsi="Times New Roman" w:cs="Times New Roman"/>
            <w:sz w:val="24"/>
            <w:szCs w:val="24"/>
          </w:rPr>
          <w:t>HSNHelpdesk@state.ma.us</w:t>
        </w:r>
      </w:hyperlink>
    </w:p>
    <w:p w:rsidR="00453A46" w:rsidRDefault="00453A46" w:rsidP="0040281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453A46" w:rsidRDefault="00824057" w:rsidP="00824057">
      <w:pPr>
        <w:pStyle w:val="ListParagraph"/>
        <w:tabs>
          <w:tab w:val="left" w:pos="153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2F81" w:rsidRPr="000D46D6" w:rsidRDefault="00B14C7B" w:rsidP="0040281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D46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2F81" w:rsidRPr="000D46D6" w:rsidSect="00561E8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64" w:rsidRDefault="00631864">
      <w:r>
        <w:separator/>
      </w:r>
    </w:p>
  </w:endnote>
  <w:endnote w:type="continuationSeparator" w:id="0">
    <w:p w:rsidR="00631864" w:rsidRDefault="0063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6C2816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C95B1B">
    <w:pPr>
      <w:pStyle w:val="Footer"/>
    </w:pPr>
    <w:r>
      <w:rPr>
        <w:noProof/>
      </w:rPr>
      <w:drawing>
        <wp:inline distT="0" distB="0" distL="0" distR="0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64" w:rsidRDefault="00631864">
      <w:r>
        <w:separator/>
      </w:r>
    </w:p>
  </w:footnote>
  <w:footnote w:type="continuationSeparator" w:id="0">
    <w:p w:rsidR="00631864" w:rsidRDefault="0063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631E"/>
    <w:rsid w:val="0005071E"/>
    <w:rsid w:val="00057375"/>
    <w:rsid w:val="00064F04"/>
    <w:rsid w:val="00067423"/>
    <w:rsid w:val="00081BD8"/>
    <w:rsid w:val="000843D8"/>
    <w:rsid w:val="0009722D"/>
    <w:rsid w:val="000A0EC1"/>
    <w:rsid w:val="000B6DF5"/>
    <w:rsid w:val="000D1437"/>
    <w:rsid w:val="000D46D6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427A"/>
    <w:rsid w:val="00161B83"/>
    <w:rsid w:val="00170C17"/>
    <w:rsid w:val="00181DFC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72CD"/>
    <w:rsid w:val="001E7C3D"/>
    <w:rsid w:val="001F3373"/>
    <w:rsid w:val="001F411F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21FA"/>
    <w:rsid w:val="003468F4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400E04"/>
    <w:rsid w:val="004016AD"/>
    <w:rsid w:val="00402818"/>
    <w:rsid w:val="004036E2"/>
    <w:rsid w:val="00405712"/>
    <w:rsid w:val="00441DD9"/>
    <w:rsid w:val="00452431"/>
    <w:rsid w:val="00453A46"/>
    <w:rsid w:val="00455878"/>
    <w:rsid w:val="00455EAD"/>
    <w:rsid w:val="00463745"/>
    <w:rsid w:val="00464CCB"/>
    <w:rsid w:val="0046637B"/>
    <w:rsid w:val="00466B35"/>
    <w:rsid w:val="0046769A"/>
    <w:rsid w:val="00470FFF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86E95"/>
    <w:rsid w:val="00593709"/>
    <w:rsid w:val="00595AFE"/>
    <w:rsid w:val="005A0778"/>
    <w:rsid w:val="005C4DAE"/>
    <w:rsid w:val="005E7A6B"/>
    <w:rsid w:val="00605AAA"/>
    <w:rsid w:val="006107AC"/>
    <w:rsid w:val="00613AFF"/>
    <w:rsid w:val="00627028"/>
    <w:rsid w:val="00631864"/>
    <w:rsid w:val="00635BA8"/>
    <w:rsid w:val="00652081"/>
    <w:rsid w:val="00653DED"/>
    <w:rsid w:val="006618E5"/>
    <w:rsid w:val="006926E8"/>
    <w:rsid w:val="006950AA"/>
    <w:rsid w:val="006B535E"/>
    <w:rsid w:val="006C043F"/>
    <w:rsid w:val="006C2607"/>
    <w:rsid w:val="006C2816"/>
    <w:rsid w:val="006C48CE"/>
    <w:rsid w:val="006D103F"/>
    <w:rsid w:val="006D21E8"/>
    <w:rsid w:val="006D4B7C"/>
    <w:rsid w:val="006F7489"/>
    <w:rsid w:val="0071499E"/>
    <w:rsid w:val="007202B8"/>
    <w:rsid w:val="007219A6"/>
    <w:rsid w:val="0075108C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65C3"/>
    <w:rsid w:val="00811EBE"/>
    <w:rsid w:val="008138ED"/>
    <w:rsid w:val="00820F73"/>
    <w:rsid w:val="0082262F"/>
    <w:rsid w:val="00824057"/>
    <w:rsid w:val="00825C79"/>
    <w:rsid w:val="008266B8"/>
    <w:rsid w:val="008432A4"/>
    <w:rsid w:val="00846EFD"/>
    <w:rsid w:val="008511AA"/>
    <w:rsid w:val="00854A32"/>
    <w:rsid w:val="008747C6"/>
    <w:rsid w:val="00881B6F"/>
    <w:rsid w:val="00882DB4"/>
    <w:rsid w:val="0089019B"/>
    <w:rsid w:val="008D71D0"/>
    <w:rsid w:val="008E091B"/>
    <w:rsid w:val="008F4FA2"/>
    <w:rsid w:val="008F773B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102F0"/>
    <w:rsid w:val="00A11D49"/>
    <w:rsid w:val="00A126E0"/>
    <w:rsid w:val="00A152D4"/>
    <w:rsid w:val="00A30DAF"/>
    <w:rsid w:val="00A31827"/>
    <w:rsid w:val="00A32FEA"/>
    <w:rsid w:val="00A363C5"/>
    <w:rsid w:val="00A3735C"/>
    <w:rsid w:val="00A42891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7C39"/>
    <w:rsid w:val="00B54574"/>
    <w:rsid w:val="00B66C2B"/>
    <w:rsid w:val="00B67BA9"/>
    <w:rsid w:val="00B812D0"/>
    <w:rsid w:val="00B84C2F"/>
    <w:rsid w:val="00B946E6"/>
    <w:rsid w:val="00B95039"/>
    <w:rsid w:val="00BA2175"/>
    <w:rsid w:val="00BA585A"/>
    <w:rsid w:val="00BB6F19"/>
    <w:rsid w:val="00BC138A"/>
    <w:rsid w:val="00BC16C9"/>
    <w:rsid w:val="00BC1CFA"/>
    <w:rsid w:val="00BC2804"/>
    <w:rsid w:val="00BC6121"/>
    <w:rsid w:val="00BE6C50"/>
    <w:rsid w:val="00C14E8F"/>
    <w:rsid w:val="00C151E2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711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E5BC6"/>
    <w:rsid w:val="00EE5D28"/>
    <w:rsid w:val="00F0626C"/>
    <w:rsid w:val="00F243E6"/>
    <w:rsid w:val="00F26CE0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SNHelpdesk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9EEB-5831-47FF-8AA8-8A42418A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1518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2018-03-19T18:38:00Z</cp:lastPrinted>
  <dcterms:created xsi:type="dcterms:W3CDTF">2019-12-23T20:15:00Z</dcterms:created>
  <dcterms:modified xsi:type="dcterms:W3CDTF">2019-12-23T20:15:00Z</dcterms:modified>
</cp:coreProperties>
</file>