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11727D29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1825E2">
        <w:t>December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5B8909DB" w:rsidR="00F8344A" w:rsidRPr="002D4A2C" w:rsidRDefault="001825E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122E427" w:rsidR="00216336" w:rsidRPr="002D4A2C" w:rsidRDefault="00991D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79,066</w:t>
            </w:r>
          </w:p>
        </w:tc>
        <w:tc>
          <w:tcPr>
            <w:tcW w:w="2160" w:type="dxa"/>
          </w:tcPr>
          <w:p w14:paraId="186F4DF8" w14:textId="3011E4F7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8,991</w:t>
            </w:r>
          </w:p>
        </w:tc>
        <w:tc>
          <w:tcPr>
            <w:tcW w:w="1980" w:type="dxa"/>
          </w:tcPr>
          <w:p w14:paraId="71E92A97" w14:textId="1FBDF06A" w:rsidR="00216336" w:rsidRPr="002D4A2C" w:rsidRDefault="00E84774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608,057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20ED4E1C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3"/>
            <w:r w:rsidR="001825E2">
              <w:rPr>
                <w:rFonts w:ascii="Times New Roman" w:hAnsi="Times New Roman" w:cs="Times New Roman"/>
                <w:sz w:val="24"/>
                <w:szCs w:val="24"/>
              </w:rPr>
              <w:t>96,255</w:t>
            </w:r>
          </w:p>
        </w:tc>
        <w:tc>
          <w:tcPr>
            <w:tcW w:w="2160" w:type="dxa"/>
          </w:tcPr>
          <w:p w14:paraId="4D3F8DF1" w14:textId="13C75754" w:rsidR="00216336" w:rsidRPr="00216336" w:rsidRDefault="00B25AC8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980" w:type="dxa"/>
          </w:tcPr>
          <w:p w14:paraId="292BBD18" w14:textId="1ED3DFD5" w:rsidR="00216336" w:rsidRPr="002D4A2C" w:rsidRDefault="00FF32A7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377,134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105C37E6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160" w:type="dxa"/>
          </w:tcPr>
          <w:p w14:paraId="2B3C15B8" w14:textId="205CD829" w:rsidR="009F2D5F" w:rsidRPr="00216336" w:rsidRDefault="00E44A5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8,112</w:t>
            </w:r>
          </w:p>
        </w:tc>
        <w:tc>
          <w:tcPr>
            <w:tcW w:w="1980" w:type="dxa"/>
          </w:tcPr>
          <w:p w14:paraId="7FDFC607" w14:textId="701241C7" w:rsidR="009F2D5F" w:rsidRPr="002D4A2C" w:rsidRDefault="00FF32A7" w:rsidP="00FF3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230,923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5C6C4991" w:rsidR="009F2D5F" w:rsidRPr="002D4A2C" w:rsidRDefault="001825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30,744</w:t>
            </w:r>
          </w:p>
        </w:tc>
        <w:tc>
          <w:tcPr>
            <w:tcW w:w="2160" w:type="dxa"/>
          </w:tcPr>
          <w:p w14:paraId="70F0C0D9" w14:textId="5AD7D26C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980" w:type="dxa"/>
          </w:tcPr>
          <w:p w14:paraId="57A7C8B1" w14:textId="64507D9C" w:rsidR="009F2D5F" w:rsidRPr="002D4A2C" w:rsidRDefault="00FF32A7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66,413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5805268"/>
            <w:bookmarkEnd w:id="4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1215499F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85,463</w:t>
            </w:r>
          </w:p>
        </w:tc>
        <w:tc>
          <w:tcPr>
            <w:tcW w:w="2160" w:type="dxa"/>
          </w:tcPr>
          <w:p w14:paraId="0530B0D8" w14:textId="1049BA6C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2,513</w:t>
            </w:r>
          </w:p>
        </w:tc>
        <w:tc>
          <w:tcPr>
            <w:tcW w:w="1980" w:type="dxa"/>
          </w:tcPr>
          <w:p w14:paraId="43084E0E" w14:textId="2BDDB575" w:rsidR="009F2D5F" w:rsidRPr="002D4A2C" w:rsidRDefault="00FF32A7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497,976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0A48A344" w:rsidR="009F2D5F" w:rsidRPr="002D4A2C" w:rsidRDefault="001825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376,268</w:t>
            </w:r>
          </w:p>
        </w:tc>
        <w:tc>
          <w:tcPr>
            <w:tcW w:w="2160" w:type="dxa"/>
          </w:tcPr>
          <w:p w14:paraId="0378CDAF" w14:textId="0AE89E84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9,619</w:t>
            </w:r>
          </w:p>
        </w:tc>
        <w:tc>
          <w:tcPr>
            <w:tcW w:w="1980" w:type="dxa"/>
          </w:tcPr>
          <w:p w14:paraId="1C802D17" w14:textId="482A9AB9" w:rsidR="009F2D5F" w:rsidRPr="002D4A2C" w:rsidRDefault="00FF32A7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485,887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1E86069F" w:rsidR="009F2D5F" w:rsidRPr="002D4A2C" w:rsidRDefault="00991D7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160" w:type="dxa"/>
          </w:tcPr>
          <w:p w14:paraId="52BD2673" w14:textId="2DE0193E" w:rsidR="009F2D5F" w:rsidRPr="0011227F" w:rsidRDefault="00E65B27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24E5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980" w:type="dxa"/>
          </w:tcPr>
          <w:p w14:paraId="6CF105B1" w14:textId="1BDA38BC" w:rsidR="009F2D5F" w:rsidRPr="002D4A2C" w:rsidRDefault="00FF32A7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12,089</w:t>
            </w:r>
          </w:p>
        </w:tc>
      </w:tr>
    </w:tbl>
    <w:bookmarkEnd w:id="5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27C973F5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4.84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55B331DF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98.45%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149C3E4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90.67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188D4A93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E3B0785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127902A8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99.90%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9485428" w:rsidR="00E77CE9" w:rsidRPr="002D4A2C" w:rsidRDefault="001825E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82" w:type="dxa"/>
          </w:tcPr>
          <w:p w14:paraId="56334469" w14:textId="7718E321" w:rsidR="00E77CE9" w:rsidRPr="002D4A2C" w:rsidRDefault="00EF27A7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D18A8EA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565374D4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0E7753B4" w:rsidR="00E77CE9" w:rsidRPr="005F78F4" w:rsidRDefault="001825E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78F4" w:rsidRPr="005F7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14:paraId="43D631B4" w14:textId="1CA4E279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1D803107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1962769E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F7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BF5365D" w:rsidR="009F2D5F" w:rsidRPr="002D4A2C" w:rsidRDefault="00FF0D4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4,363</w:t>
            </w:r>
          </w:p>
        </w:tc>
        <w:tc>
          <w:tcPr>
            <w:tcW w:w="2362" w:type="dxa"/>
          </w:tcPr>
          <w:p w14:paraId="7BA65904" w14:textId="5AEBE979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7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452217E2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62" w:type="dxa"/>
          </w:tcPr>
          <w:p w14:paraId="048D38D7" w14:textId="79A2CAC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76D5F65D" w:rsidR="009F2D5F" w:rsidRPr="002D4A2C" w:rsidRDefault="005D4D4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793BB812" w:rsidR="009F2D5F" w:rsidRPr="002D4A2C" w:rsidRDefault="00EF27A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07EBF259" w:rsidR="009F2D5F" w:rsidRPr="002D4A2C" w:rsidRDefault="005D4D4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725DA4A3" w:rsidR="009F2D5F" w:rsidRPr="002D4A2C" w:rsidRDefault="00EF27A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06C98B7C" w:rsidR="009F2D5F" w:rsidRPr="002D4A2C" w:rsidRDefault="005D4D4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980" w:type="dxa"/>
          </w:tcPr>
          <w:p w14:paraId="4B71C2DA" w14:textId="2C8A54E5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05D297B7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3DC94953" w:rsidR="00CE69CB" w:rsidRPr="002D4A2C" w:rsidRDefault="005D4D4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322" w:type="dxa"/>
          </w:tcPr>
          <w:p w14:paraId="3E389683" w14:textId="1AC76CBF" w:rsidR="00CE69CB" w:rsidRPr="002D4A2C" w:rsidRDefault="00EF27A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47BE2207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748399BA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F2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0562AB05" w:rsidR="009F2D5F" w:rsidRPr="002D4A2C" w:rsidRDefault="0037594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32CE2F5E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1837AAEA" w:rsidR="009F2D5F" w:rsidRPr="002D4A2C" w:rsidRDefault="005D4D4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77.85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8"/>
    </w:tbl>
    <w:p w14:paraId="43932759" w14:textId="61F0E808" w:rsidR="00965B94" w:rsidRDefault="00965B94" w:rsidP="00965B94"/>
    <w:p w14:paraId="09BCA25F" w14:textId="77777777" w:rsidR="00162198" w:rsidRDefault="00E77CE9" w:rsidP="003E14D7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0545C05D" w14:textId="0D697D92" w:rsidR="006354C4" w:rsidRPr="007B4A13" w:rsidRDefault="00353882" w:rsidP="003E14D7">
      <w:pPr>
        <w:pStyle w:val="Heading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D24E26" wp14:editId="77AA4BDD">
            <wp:extent cx="5924550" cy="4366627"/>
            <wp:effectExtent l="0" t="0" r="0" b="15240"/>
            <wp:docPr id="3" name="Chart 3" descr="MART&#10;Vehicle Complaints: 2.54%&#10;Driver Complaints: 5.93%&#10;On-Time Performance (OTP) Complaints: 21.79%&#10;Missed Appointments Complaints: 18.77%&#10;Dispatch Complaints: 1.09%&#10;Wheelchair Securement Complaints: 0.12%&#10;Member Behavior (Including member no show): 5.21%&#10;Positive Feedback: 3.63%&#10;Vendor No Show: 16.46%&#10;Vendor Early Arrival: 0.61%&#10;Other: 23.85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>
        <w:rPr>
          <w:noProof/>
        </w:rPr>
        <w:drawing>
          <wp:inline distT="0" distB="0" distL="0" distR="0" wp14:anchorId="74F76DF1" wp14:editId="7ACCED99">
            <wp:extent cx="5943600" cy="4390390"/>
            <wp:effectExtent l="0" t="0" r="0" b="0"/>
            <wp:docPr id="2" name="Chart 2" descr="GATRA&#10;Driver Complaints: 22.58%&#10;On-Time Performance (OTP) Complaints: 40.86%&#10;Missed Appointment Complaints: 12.90%&#10;Dispatch Complaints: 1.08%&#10;Vendor No Show: 22.5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2FED" w14:textId="77777777" w:rsidR="00745ED7" w:rsidRDefault="00745ED7" w:rsidP="00F6563C">
      <w:pPr>
        <w:spacing w:after="0" w:line="240" w:lineRule="auto"/>
      </w:pPr>
      <w:r>
        <w:separator/>
      </w:r>
    </w:p>
  </w:endnote>
  <w:endnote w:type="continuationSeparator" w:id="0">
    <w:p w14:paraId="58BEE7AD" w14:textId="77777777" w:rsidR="00745ED7" w:rsidRDefault="00745ED7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B59D" w14:textId="77777777" w:rsidR="00745ED7" w:rsidRDefault="00745ED7" w:rsidP="00F6563C">
      <w:pPr>
        <w:spacing w:after="0" w:line="240" w:lineRule="auto"/>
      </w:pPr>
      <w:r>
        <w:separator/>
      </w:r>
    </w:p>
  </w:footnote>
  <w:footnote w:type="continuationSeparator" w:id="0">
    <w:p w14:paraId="1479AA8B" w14:textId="77777777" w:rsidR="00745ED7" w:rsidRDefault="00745ED7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6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6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62AA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37692"/>
    <w:rsid w:val="00241DF6"/>
    <w:rsid w:val="00251808"/>
    <w:rsid w:val="00252084"/>
    <w:rsid w:val="0025225A"/>
    <w:rsid w:val="00254E9B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70E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7024"/>
    <w:rsid w:val="003C5A5B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0F51"/>
    <w:rsid w:val="00531B78"/>
    <w:rsid w:val="005361C8"/>
    <w:rsid w:val="005365BB"/>
    <w:rsid w:val="005441B3"/>
    <w:rsid w:val="0054453B"/>
    <w:rsid w:val="005577C3"/>
    <w:rsid w:val="00561B8B"/>
    <w:rsid w:val="00562A2A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0B9E"/>
    <w:rsid w:val="007D3D2D"/>
    <w:rsid w:val="007D6A6A"/>
    <w:rsid w:val="007E2672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773CF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019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55591"/>
    <w:rsid w:val="00A576DD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2DD4"/>
    <w:rsid w:val="00AC31D1"/>
    <w:rsid w:val="00AD0F0B"/>
    <w:rsid w:val="00AD337D"/>
    <w:rsid w:val="00AE1719"/>
    <w:rsid w:val="00AE41D4"/>
    <w:rsid w:val="00AE6A49"/>
    <w:rsid w:val="00AF546C"/>
    <w:rsid w:val="00B022D3"/>
    <w:rsid w:val="00B025F3"/>
    <w:rsid w:val="00B03810"/>
    <w:rsid w:val="00B05BC3"/>
    <w:rsid w:val="00B06D48"/>
    <w:rsid w:val="00B14B67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C7738"/>
    <w:rsid w:val="00FD6991"/>
    <w:rsid w:val="00FE2C83"/>
    <w:rsid w:val="00FF0D48"/>
    <w:rsid w:val="00FF32A7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35942189702171473"/>
          <c:h val="0.487697251194386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dLbl>
              <c:idx val="0"/>
              <c:layout>
                <c:manualLayout>
                  <c:x val="0.36023427939674729"/>
                  <c:y val="3.96096430354582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D2CA70A-AC6D-430C-B1B1-E2603B7515B8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7AB2D615-31C1-4883-B150-C7A10BA676A2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(21)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89-4E56-AE96-96BDD138034F}"/>
                </c:ext>
              </c:extLst>
            </c:dLbl>
            <c:dLbl>
              <c:idx val="1"/>
              <c:layout>
                <c:manualLayout>
                  <c:x val="0.24321020161868834"/>
                  <c:y val="0.122400177726475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0496FB-3DE0-4357-90A6-13BE735F75CC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EBC82B09-1EF0-4AC3-85F0-9CC5BCEBD0A3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(49)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89-4E56-AE96-96BDD138034F}"/>
                </c:ext>
              </c:extLst>
            </c:dLbl>
            <c:dLbl>
              <c:idx val="2"/>
              <c:layout>
                <c:manualLayout>
                  <c:x val="0.14402283717750716"/>
                  <c:y val="7.26961976611562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25717-42CD-4E63-8717-CE18CE75B54E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s</a:t>
                    </a:r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738CF93A-3F18-4C95-9B06-5D9273FE542C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(180)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89-4E56-AE96-96BDD138034F}"/>
                </c:ext>
              </c:extLst>
            </c:dLbl>
            <c:dLbl>
              <c:idx val="3"/>
              <c:layout>
                <c:manualLayout>
                  <c:x val="0.19683959119258002"/>
                  <c:y val="-0.15982580057074017"/>
                </c:manualLayout>
              </c:layout>
              <c:tx>
                <c:rich>
                  <a:bodyPr/>
                  <a:lstStyle/>
                  <a:p>
                    <a:fld id="{FE0D9D11-AF34-464E-B72D-8EF6680B01F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7DF4B37-2350-42C5-B96A-88A5FCC36B1D}" type="VALUE">
                      <a:rPr lang="en-US" sz="800" baseline="0"/>
                      <a:pPr/>
                      <a:t>[VALUE]</a:t>
                    </a:fld>
                    <a:r>
                      <a:rPr lang="en-US" baseline="0"/>
                      <a:t> (155)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89-4E56-AE96-96BDD138034F}"/>
                </c:ext>
              </c:extLst>
            </c:dLbl>
            <c:dLbl>
              <c:idx val="4"/>
              <c:layout>
                <c:manualLayout>
                  <c:x val="0.40485032618511113"/>
                  <c:y val="-4.767375282278196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1E134FE-5A16-4AC6-8101-7FF50175CC09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BD4BBB96-A955-406C-AC10-E4DA23812B11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89-4E56-AE96-96BDD138034F}"/>
                </c:ext>
              </c:extLst>
            </c:dLbl>
            <c:dLbl>
              <c:idx val="5"/>
              <c:layout>
                <c:manualLayout>
                  <c:x val="-0.40586964410799131"/>
                  <c:y val="-5.736259407364762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4D07B62-3D76-4766-A812-ABCD516AABC7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43594C48-8165-422D-9882-2DA01D32C07A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89-4E56-AE96-96BDD138034F}"/>
                </c:ext>
              </c:extLst>
            </c:dLbl>
            <c:dLbl>
              <c:idx val="6"/>
              <c:layout>
                <c:manualLayout>
                  <c:x val="-0.33848444185634352"/>
                  <c:y val="-0.128258509571120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E440A7-5909-4528-BC38-D98B80623683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9B107222-0299-4764-8A23-2F1EE7CC8521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(43)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89-4E56-AE96-96BDD138034F}"/>
                </c:ext>
              </c:extLst>
            </c:dLbl>
            <c:dLbl>
              <c:idx val="7"/>
              <c:layout>
                <c:manualLayout>
                  <c:x val="-0.2283947304014651"/>
                  <c:y val="-0.1861000032064054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DEA3AD7-E819-4E47-8670-27CDFB67CA66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0617D6D-748A-44AC-9D08-63AB405285FF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(30)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89-4E56-AE96-96BDD138034F}"/>
                </c:ext>
              </c:extLst>
            </c:dLbl>
            <c:dLbl>
              <c:idx val="8"/>
              <c:layout>
                <c:manualLayout>
                  <c:x val="-0.14290992564836147"/>
                  <c:y val="-0.1825168450802288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2795C4-BC91-41E7-A4E7-6ACF027EE39B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08A6FE2-5D04-4DC7-88CB-23673361971E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(136)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B89-4E56-AE96-96BDD138034F}"/>
                </c:ext>
              </c:extLst>
            </c:dLbl>
            <c:dLbl>
              <c:idx val="9"/>
              <c:layout>
                <c:manualLayout>
                  <c:x val="-0.15582415542108682"/>
                  <c:y val="-0.1340437811765676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EB023A-FD4E-473D-8534-A07D21A407D4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C3F94905-76B5-48CB-90FC-DDF7BE1BB079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B89-4E56-AE96-96BDD138034F}"/>
                </c:ext>
              </c:extLst>
            </c:dLbl>
            <c:dLbl>
              <c:idx val="10"/>
              <c:layout>
                <c:manualLayout>
                  <c:x val="0.11342025976656459"/>
                  <c:y val="0.1357988301200569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1265449-8729-429C-8242-2B9035A1028E}" type="CATEGORYNAME">
                      <a:rPr lang="en-US" sz="800">
                        <a:solidFill>
                          <a:schemeClr val="bg1"/>
                        </a:solidFill>
                      </a:rPr>
                      <a:pPr>
                        <a:defRPr sz="800">
                          <a:solidFill>
                            <a:schemeClr val="bg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chemeClr val="bg1"/>
                        </a:solidFill>
                      </a:rPr>
                      <a:t>, </a:t>
                    </a:r>
                    <a:fld id="{D8D2C8F9-B2D7-4A66-AEA1-9FA5D201076C}" type="VALUE">
                      <a:rPr lang="en-US" sz="800" baseline="0">
                        <a:solidFill>
                          <a:schemeClr val="bg1"/>
                        </a:solidFill>
                      </a:rPr>
                      <a:pPr>
                        <a:defRPr sz="800">
                          <a:solidFill>
                            <a:schemeClr val="bg1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chemeClr val="bg1"/>
                        </a:solidFill>
                      </a:rPr>
                      <a:t> (197)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7B89-4E56-AE96-96BDD13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2.5399999999999999E-2</c:v>
                </c:pt>
                <c:pt idx="1">
                  <c:v>5.9299999999999999E-2</c:v>
                </c:pt>
                <c:pt idx="2">
                  <c:v>0.21790000000000001</c:v>
                </c:pt>
                <c:pt idx="3">
                  <c:v>0.18770000000000001</c:v>
                </c:pt>
                <c:pt idx="4">
                  <c:v>1.09E-2</c:v>
                </c:pt>
                <c:pt idx="5">
                  <c:v>1.1999999999999999E-3</c:v>
                </c:pt>
                <c:pt idx="6">
                  <c:v>5.21E-2</c:v>
                </c:pt>
                <c:pt idx="7">
                  <c:v>3.6299999999999999E-2</c:v>
                </c:pt>
                <c:pt idx="8">
                  <c:v>0.1646</c:v>
                </c:pt>
                <c:pt idx="9">
                  <c:v>6.1000000000000004E-3</c:v>
                </c:pt>
                <c:pt idx="10">
                  <c:v>0.23849999999999999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456119030137312"/>
          <c:y val="0.74663625162038005"/>
          <c:w val="0.87306411457410271"/>
          <c:h val="0.25336374837962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dLbl>
              <c:idx val="0"/>
              <c:layout>
                <c:manualLayout>
                  <c:x val="-0.12951292146174037"/>
                  <c:y val="0.15657948382717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B5C53C6-E603-482C-B1E2-5DE638A45B09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02597B06-BEA4-4263-ADF9-00E92FAC8EC5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(21)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CD-444C-82ED-C29B34E26E87}"/>
                </c:ext>
              </c:extLst>
            </c:dLbl>
            <c:dLbl>
              <c:idx val="1"/>
              <c:layout>
                <c:manualLayout>
                  <c:x val="-0.14649976445252044"/>
                  <c:y val="-0.1820477224119042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03F91D-0522-4284-87D2-C586F45FEE89}" type="CATEGORYNAME">
                      <a:rPr lang="en-US">
                        <a:solidFill>
                          <a:sysClr val="windowText" lastClr="000000"/>
                        </a:solidFill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B9AE9C0-415F-4382-B7C0-D10E70E4720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(38)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09162796958073"/>
                      <c:h val="0.124656579483827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CD-444C-82ED-C29B34E26E87}"/>
                </c:ext>
              </c:extLst>
            </c:dLbl>
            <c:dLbl>
              <c:idx val="2"/>
              <c:layout>
                <c:manualLayout>
                  <c:x val="0.19014031899858672"/>
                  <c:y val="-8.58678841742988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3C3DD6-C550-4509-82CC-39172879DBF5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F8907752-A113-4DF8-8D73-6F4BDA2F7621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(12)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0192295550684"/>
                      <c:h val="0.126382352941176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DCD-444C-82ED-C29B34E26E87}"/>
                </c:ext>
              </c:extLst>
            </c:dLbl>
            <c:dLbl>
              <c:idx val="3"/>
              <c:layout>
                <c:manualLayout>
                  <c:x val="-8.8811831213406023E-2"/>
                  <c:y val="-1.8232776587045852E-2"/>
                </c:manualLayout>
              </c:layout>
              <c:tx>
                <c:rich>
                  <a:bodyPr/>
                  <a:lstStyle/>
                  <a:p>
                    <a:fld id="{2DFC391E-6D7A-4B78-9BC5-8B05C0B24B9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8FB88D0E-81DF-4065-B820-1FB72CAA7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DCD-444C-82ED-C29B34E26E87}"/>
                </c:ext>
              </c:extLst>
            </c:dLbl>
            <c:dLbl>
              <c:idx val="4"/>
              <c:layout>
                <c:manualLayout>
                  <c:x val="0.13806396796554279"/>
                  <c:y val="0.129777309077325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BA1B355-5585-4396-B6C7-88E33E35F51B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0FE94887-CC07-460A-9B86-CFE91177A73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(21)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DCD-444C-82ED-C29B34E26E87}"/>
                </c:ext>
              </c:extLst>
            </c:dLbl>
            <c:dLbl>
              <c:idx val="5"/>
              <c:layout>
                <c:manualLayout>
                  <c:x val="0.18894550440810284"/>
                  <c:y val="0.145442659991481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6CBE1E-38F9-47C4-8463-E7086736BE79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2.63% (19)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58368665455277"/>
                      <c:h val="8.795300645272971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DCD-444C-82ED-C29B34E26E87}"/>
                </c:ext>
              </c:extLst>
            </c:dLbl>
            <c:dLbl>
              <c:idx val="6"/>
              <c:layout>
                <c:manualLayout>
                  <c:x val="-0.27402012248468943"/>
                  <c:y val="8.148000519316051E-2"/>
                </c:manualLayout>
              </c:layout>
              <c:tx>
                <c:rich>
                  <a:bodyPr/>
                  <a:lstStyle/>
                  <a:p>
                    <a:fld id="{A727E4A9-250A-42C1-B208-DAF4D676B7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7AEAD08-7EEF-4C27-A405-D6C870E27E2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DCD-444C-82ED-C29B34E26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Driver Complaints</c:v>
                </c:pt>
                <c:pt idx="1">
                  <c:v>On-Time Performance (OTP) Complaint</c:v>
                </c:pt>
                <c:pt idx="2">
                  <c:v>Missed Appointment Complaints</c:v>
                </c:pt>
                <c:pt idx="3">
                  <c:v>Dispatch Complaints</c:v>
                </c:pt>
                <c:pt idx="4">
                  <c:v>Vendor No Show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 formatCode="0.00%">
                  <c:v>0.2258</c:v>
                </c:pt>
                <c:pt idx="1">
                  <c:v>0.40860000000000002</c:v>
                </c:pt>
                <c:pt idx="2">
                  <c:v>0.129</c:v>
                </c:pt>
                <c:pt idx="3" formatCode="0.00%">
                  <c:v>1.0800000000000001E-2</c:v>
                </c:pt>
                <c:pt idx="4" formatCode="0.00%">
                  <c:v>0.2258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21744189192847"/>
          <c:y val="0.80351505326540051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B3F4-D1E5-490A-B922-53A18C552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4441F-144C-4353-B31F-FE20CC8AD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D48F7-D10E-465F-8D97-6DC6FE449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E2D512-EFBE-47B6-94BA-E208B4C5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2023-02-14T15:33:00Z</dcterms:created>
  <dcterms:modified xsi:type="dcterms:W3CDTF">2023-02-14T15:33:00Z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