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Start w:id="1" w:name="_GoBack"/>
      <w:bookmarkEnd w:id="0"/>
      <w:bookmarkEnd w:id="1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547FC586" w:rsidR="00930E06" w:rsidRPr="00F45FDE" w:rsidRDefault="00FB5403" w:rsidP="0030304C">
      <w:pPr>
        <w:pStyle w:val="Heading1"/>
        <w:jc w:val="center"/>
        <w:rPr>
          <w:sz w:val="28"/>
          <w:szCs w:val="28"/>
        </w:rPr>
      </w:pPr>
      <w:r w:rsidRPr="00F45FDE">
        <w:rPr>
          <w:sz w:val="28"/>
          <w:szCs w:val="28"/>
        </w:rPr>
        <w:t>MONTHLY REPORT</w:t>
      </w:r>
      <w:r w:rsidR="00D66402" w:rsidRPr="00F45FDE">
        <w:rPr>
          <w:sz w:val="28"/>
          <w:szCs w:val="28"/>
        </w:rPr>
        <w:t xml:space="preserve"> </w:t>
      </w:r>
      <w:r w:rsidR="00A15C08" w:rsidRPr="00F45FDE">
        <w:rPr>
          <w:sz w:val="28"/>
          <w:szCs w:val="28"/>
        </w:rPr>
        <w:t>–</w:t>
      </w:r>
      <w:r w:rsidR="00D66402" w:rsidRPr="00F45FDE">
        <w:rPr>
          <w:sz w:val="28"/>
          <w:szCs w:val="28"/>
        </w:rPr>
        <w:t xml:space="preserve"> </w:t>
      </w:r>
      <w:r w:rsidR="00AB6B3C" w:rsidRPr="00F45FDE">
        <w:rPr>
          <w:sz w:val="28"/>
          <w:szCs w:val="28"/>
        </w:rPr>
        <w:t>February</w:t>
      </w:r>
      <w:r w:rsidR="00A15C08" w:rsidRPr="00F45FDE">
        <w:rPr>
          <w:sz w:val="28"/>
          <w:szCs w:val="28"/>
        </w:rPr>
        <w:t xml:space="preserve"> 202</w:t>
      </w:r>
      <w:r w:rsidR="002635BF" w:rsidRPr="00F45FDE">
        <w:rPr>
          <w:sz w:val="28"/>
          <w:szCs w:val="28"/>
        </w:rPr>
        <w:t>3</w:t>
      </w:r>
    </w:p>
    <w:p w14:paraId="48B50299" w14:textId="72A56531" w:rsidR="00D25FE5" w:rsidRPr="00F45FDE" w:rsidRDefault="00485B87" w:rsidP="0030304C">
      <w:pPr>
        <w:pStyle w:val="Heading1"/>
        <w:rPr>
          <w:color w:val="auto"/>
          <w:sz w:val="24"/>
          <w:szCs w:val="24"/>
          <w:u w:val="double"/>
        </w:rPr>
      </w:pPr>
      <w:r w:rsidRPr="00F45FDE">
        <w:rPr>
          <w:color w:val="auto"/>
          <w:sz w:val="24"/>
          <w:szCs w:val="24"/>
          <w:u w:val="double"/>
        </w:rPr>
        <w:t xml:space="preserve">1. </w:t>
      </w:r>
      <w:r w:rsidR="00F6563C" w:rsidRPr="00F45FDE">
        <w:rPr>
          <w:color w:val="auto"/>
          <w:sz w:val="24"/>
          <w:szCs w:val="24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538FCDF5" w:rsidR="00F8344A" w:rsidRPr="002D4A2C" w:rsidRDefault="00AB6B3C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February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26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0F9ECA92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Number of Trips</w:t>
            </w:r>
          </w:p>
        </w:tc>
        <w:tc>
          <w:tcPr>
            <w:tcW w:w="1980" w:type="dxa"/>
          </w:tcPr>
          <w:p w14:paraId="2192D12C" w14:textId="1442FDE1" w:rsidR="00216336" w:rsidRPr="002D4A2C" w:rsidRDefault="00991D7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6B3C">
              <w:rPr>
                <w:rFonts w:ascii="Times New Roman" w:hAnsi="Times New Roman" w:cs="Times New Roman"/>
                <w:sz w:val="24"/>
                <w:szCs w:val="24"/>
              </w:rPr>
              <w:t>37,180</w:t>
            </w:r>
          </w:p>
        </w:tc>
        <w:tc>
          <w:tcPr>
            <w:tcW w:w="2160" w:type="dxa"/>
          </w:tcPr>
          <w:p w14:paraId="186F4DF8" w14:textId="4975C673" w:rsidR="00216336" w:rsidRPr="00216336" w:rsidRDefault="004E440B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122,235</w:t>
            </w:r>
          </w:p>
        </w:tc>
        <w:tc>
          <w:tcPr>
            <w:tcW w:w="1980" w:type="dxa"/>
          </w:tcPr>
          <w:p w14:paraId="71E92A97" w14:textId="46B2890E" w:rsidR="00216336" w:rsidRPr="002D4A2C" w:rsidRDefault="00532686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559,415</w:t>
            </w:r>
          </w:p>
        </w:tc>
      </w:tr>
      <w:bookmarkEnd w:id="2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0535152B" w:rsidR="00216336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292024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3"/>
            <w:r w:rsidR="00AB6B3C">
              <w:rPr>
                <w:rFonts w:ascii="Times New Roman" w:hAnsi="Times New Roman" w:cs="Times New Roman"/>
                <w:sz w:val="24"/>
                <w:szCs w:val="24"/>
              </w:rPr>
              <w:t>70,400</w:t>
            </w:r>
          </w:p>
        </w:tc>
        <w:tc>
          <w:tcPr>
            <w:tcW w:w="2160" w:type="dxa"/>
          </w:tcPr>
          <w:p w14:paraId="4D3F8DF1" w14:textId="029CA12E" w:rsidR="00216336" w:rsidRPr="00216336" w:rsidRDefault="004E440B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77,110</w:t>
            </w:r>
          </w:p>
        </w:tc>
        <w:tc>
          <w:tcPr>
            <w:tcW w:w="1980" w:type="dxa"/>
          </w:tcPr>
          <w:p w14:paraId="292BBD18" w14:textId="4452F595" w:rsidR="00216336" w:rsidRPr="002D4A2C" w:rsidRDefault="00532686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347,510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0FB187AE" w:rsidR="009F2D5F" w:rsidRPr="002D4A2C" w:rsidRDefault="00991D7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B3C">
              <w:rPr>
                <w:rFonts w:ascii="Times New Roman" w:hAnsi="Times New Roman" w:cs="Times New Roman"/>
                <w:sz w:val="24"/>
                <w:szCs w:val="24"/>
              </w:rPr>
              <w:t>66,780</w:t>
            </w:r>
          </w:p>
        </w:tc>
        <w:tc>
          <w:tcPr>
            <w:tcW w:w="2160" w:type="dxa"/>
          </w:tcPr>
          <w:p w14:paraId="2B3C15B8" w14:textId="2460D25F" w:rsidR="009F2D5F" w:rsidRPr="00216336" w:rsidRDefault="00E44A5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440B">
              <w:rPr>
                <w:rFonts w:ascii="Times New Roman" w:hAnsi="Times New Roman" w:cs="Times New Roman"/>
                <w:sz w:val="24"/>
                <w:szCs w:val="24"/>
              </w:rPr>
              <w:t>5,125</w:t>
            </w:r>
          </w:p>
        </w:tc>
        <w:tc>
          <w:tcPr>
            <w:tcW w:w="1980" w:type="dxa"/>
          </w:tcPr>
          <w:p w14:paraId="7FDFC607" w14:textId="281A083F" w:rsidR="009F2D5F" w:rsidRPr="002D4A2C" w:rsidRDefault="00532686" w:rsidP="00FF3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211,905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391077CC" w:rsidR="009F2D5F" w:rsidRPr="002D4A2C" w:rsidRDefault="00AB6B3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28,761</w:t>
            </w:r>
          </w:p>
        </w:tc>
        <w:tc>
          <w:tcPr>
            <w:tcW w:w="2160" w:type="dxa"/>
          </w:tcPr>
          <w:p w14:paraId="70F0C0D9" w14:textId="70F56110" w:rsidR="009F2D5F" w:rsidRPr="00216336" w:rsidRDefault="00E26FC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440B">
              <w:rPr>
                <w:rFonts w:ascii="Times New Roman" w:hAnsi="Times New Roman" w:cs="Times New Roman"/>
                <w:sz w:val="24"/>
                <w:szCs w:val="24"/>
              </w:rPr>
              <w:t>3,637</w:t>
            </w:r>
          </w:p>
        </w:tc>
        <w:tc>
          <w:tcPr>
            <w:tcW w:w="1980" w:type="dxa"/>
          </w:tcPr>
          <w:p w14:paraId="57A7C8B1" w14:textId="727AE8CA" w:rsidR="009F2D5F" w:rsidRPr="002D4A2C" w:rsidRDefault="00691E13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62,398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114D239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5805268"/>
            <w:bookmarkEnd w:id="4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="00A72038"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of Requests for Rides (Demand-Response only)</w:t>
            </w:r>
          </w:p>
        </w:tc>
        <w:tc>
          <w:tcPr>
            <w:tcW w:w="1980" w:type="dxa"/>
          </w:tcPr>
          <w:p w14:paraId="00101CE2" w14:textId="307DB841" w:rsidR="009F2D5F" w:rsidRPr="002D4A2C" w:rsidRDefault="00AB6B3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293,083</w:t>
            </w:r>
          </w:p>
        </w:tc>
        <w:tc>
          <w:tcPr>
            <w:tcW w:w="2160" w:type="dxa"/>
          </w:tcPr>
          <w:p w14:paraId="0530B0D8" w14:textId="447EAB78" w:rsidR="009F2D5F" w:rsidRPr="0011227F" w:rsidRDefault="005F1CA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40B">
              <w:rPr>
                <w:rFonts w:ascii="Times New Roman" w:hAnsi="Times New Roman" w:cs="Times New Roman"/>
                <w:sz w:val="24"/>
                <w:szCs w:val="24"/>
              </w:rPr>
              <w:t>07,742</w:t>
            </w:r>
          </w:p>
        </w:tc>
        <w:tc>
          <w:tcPr>
            <w:tcW w:w="1980" w:type="dxa"/>
          </w:tcPr>
          <w:p w14:paraId="43084E0E" w14:textId="4701071C" w:rsidR="009F2D5F" w:rsidRPr="002D4A2C" w:rsidRDefault="00691E13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400,825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761FDAF3" w:rsidR="009F2D5F" w:rsidRPr="002D4A2C" w:rsidRDefault="00AB6B3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282,893</w:t>
            </w:r>
          </w:p>
        </w:tc>
        <w:tc>
          <w:tcPr>
            <w:tcW w:w="2160" w:type="dxa"/>
          </w:tcPr>
          <w:p w14:paraId="0378CDAF" w14:textId="3069EDBA" w:rsidR="009F2D5F" w:rsidRPr="0011227F" w:rsidRDefault="0053268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104,467</w:t>
            </w:r>
          </w:p>
        </w:tc>
        <w:tc>
          <w:tcPr>
            <w:tcW w:w="1980" w:type="dxa"/>
          </w:tcPr>
          <w:p w14:paraId="1C802D17" w14:textId="68D7D9D4" w:rsidR="009F2D5F" w:rsidRPr="002D4A2C" w:rsidRDefault="00691E13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387,360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0BC43F69" w:rsidR="009F2D5F" w:rsidRPr="002D4A2C" w:rsidRDefault="00AB6B3C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10,190</w:t>
            </w:r>
          </w:p>
        </w:tc>
        <w:tc>
          <w:tcPr>
            <w:tcW w:w="2160" w:type="dxa"/>
          </w:tcPr>
          <w:p w14:paraId="52BD2673" w14:textId="4F411F70" w:rsidR="009F2D5F" w:rsidRPr="0011227F" w:rsidRDefault="00532686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3,275</w:t>
            </w:r>
          </w:p>
        </w:tc>
        <w:tc>
          <w:tcPr>
            <w:tcW w:w="1980" w:type="dxa"/>
          </w:tcPr>
          <w:p w14:paraId="6CF105B1" w14:textId="595D5509" w:rsidR="009F2D5F" w:rsidRPr="002D4A2C" w:rsidRDefault="00691E13" w:rsidP="007D0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13,465</w:t>
            </w:r>
          </w:p>
        </w:tc>
      </w:tr>
    </w:tbl>
    <w:bookmarkEnd w:id="5"/>
    <w:p w14:paraId="3C58F770" w14:textId="6DFCB27C" w:rsidR="005D1BD2" w:rsidRPr="00F45FDE" w:rsidRDefault="00485B87" w:rsidP="0030304C">
      <w:pPr>
        <w:pStyle w:val="Heading1"/>
        <w:rPr>
          <w:color w:val="auto"/>
          <w:sz w:val="24"/>
          <w:szCs w:val="24"/>
          <w:u w:val="double"/>
        </w:rPr>
      </w:pPr>
      <w:r w:rsidRPr="00F45FDE">
        <w:rPr>
          <w:color w:val="auto"/>
          <w:sz w:val="24"/>
          <w:szCs w:val="24"/>
          <w:u w:val="double"/>
        </w:rPr>
        <w:t xml:space="preserve">2. </w:t>
      </w:r>
      <w:r w:rsidR="005D1BD2" w:rsidRPr="00F45FDE">
        <w:rPr>
          <w:color w:val="auto"/>
          <w:sz w:val="24"/>
          <w:szCs w:val="24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2BA70425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 On-Time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075257BE" w:rsidR="00807D4E" w:rsidRPr="00685E85" w:rsidRDefault="00AC2DD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6B3C"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  <w:r w:rsidR="00AB6B3C" w:rsidRPr="00685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2369124A" w14:textId="25808858" w:rsidR="00807D4E" w:rsidRDefault="00EB7E14" w:rsidP="00EF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  <w:r w:rsidR="005326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20C25BF7" w:rsidR="00807D4E" w:rsidRPr="00685E85" w:rsidRDefault="001825E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6B3C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1DDFB42B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5326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3788F6E7" w:rsidR="00523D38" w:rsidRPr="002D4A2C" w:rsidRDefault="004410F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47B6A666" w:rsidR="00523D38" w:rsidRPr="00DE5BAA" w:rsidRDefault="00431A2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5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6B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3D3FCEC6" w14:textId="6B15676D" w:rsidR="00523D38" w:rsidRPr="00DE5BAA" w:rsidRDefault="00EB7E1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5326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5A9F1332" w14:textId="77777777" w:rsidR="00F45FDE" w:rsidRDefault="00F45FD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DFD3D8D" w14:textId="77777777" w:rsidR="00F45FDE" w:rsidRDefault="00F45FD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23A1ACDA" w14:textId="77777777" w:rsidR="00F45FDE" w:rsidRDefault="00F45FD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372F10BB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</w:t>
      </w:r>
      <w:r w:rsidRPr="00F45FDE">
        <w:rPr>
          <w:color w:val="auto"/>
          <w:sz w:val="24"/>
          <w:szCs w:val="24"/>
          <w:u w:val="double"/>
        </w:rPr>
        <w:t xml:space="preserve">Unfulfilled </w:t>
      </w:r>
      <w:r w:rsidR="00423A76" w:rsidRPr="00F45FDE">
        <w:rPr>
          <w:color w:val="auto"/>
          <w:sz w:val="24"/>
          <w:szCs w:val="24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31550387" w:rsidR="00E77CE9" w:rsidRPr="002D4A2C" w:rsidRDefault="00F03822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="00A7203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77CE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 w:rsidR="00E77CE9"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="00E7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CE9"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 w:rsidR="00E77C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5F788496" w:rsidR="00E77CE9" w:rsidRPr="002D4A2C" w:rsidRDefault="00AB6B3C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82" w:type="dxa"/>
          </w:tcPr>
          <w:p w14:paraId="56334469" w14:textId="28B494BE" w:rsidR="00E77CE9" w:rsidRPr="002D4A2C" w:rsidRDefault="00532686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0D18A8EA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182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6384BBDB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16ACB238" w:rsidR="00E77CE9" w:rsidRPr="002D4A2C" w:rsidRDefault="00A72038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</w:t>
            </w:r>
            <w:r w:rsidR="00E77CE9">
              <w:rPr>
                <w:rFonts w:ascii="Times New Roman" w:hAnsi="Times New Roman" w:cs="Times New Roman"/>
                <w:sz w:val="24"/>
                <w:szCs w:val="24"/>
              </w:rPr>
              <w:t xml:space="preserve"> Unfulfilled Program-Based Trip Requests</w:t>
            </w:r>
            <w:r w:rsidR="00E77C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010735DB" w:rsidR="00E77CE9" w:rsidRPr="005F78F4" w:rsidRDefault="00AB6B3C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82" w:type="dxa"/>
          </w:tcPr>
          <w:p w14:paraId="43D631B4" w14:textId="3EBFD026" w:rsidR="00E77CE9" w:rsidRPr="005F78F4" w:rsidRDefault="005F78F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68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66CBE833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6B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3F9ABE0D" w:rsidR="00E77CE9" w:rsidRPr="00E84774" w:rsidRDefault="00EB7E1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F7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6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F45FDE" w:rsidRDefault="00E77CE9" w:rsidP="0030304C">
      <w:pPr>
        <w:pStyle w:val="Heading1"/>
        <w:rPr>
          <w:sz w:val="24"/>
          <w:szCs w:val="24"/>
          <w:u w:val="double"/>
        </w:rPr>
      </w:pPr>
      <w:r w:rsidRPr="00F45FDE">
        <w:rPr>
          <w:color w:val="auto"/>
          <w:sz w:val="24"/>
          <w:szCs w:val="24"/>
          <w:u w:val="double"/>
        </w:rPr>
        <w:t>4</w:t>
      </w:r>
      <w:r w:rsidR="00485B87" w:rsidRPr="00F45FDE">
        <w:rPr>
          <w:color w:val="auto"/>
          <w:sz w:val="24"/>
          <w:szCs w:val="24"/>
          <w:u w:val="double"/>
        </w:rPr>
        <w:t xml:space="preserve">. </w:t>
      </w:r>
      <w:r w:rsidR="005D1BD2" w:rsidRPr="00F45FDE">
        <w:rPr>
          <w:color w:val="auto"/>
          <w:sz w:val="24"/>
          <w:szCs w:val="24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57ECCDFF" w:rsidR="009F2D5F" w:rsidRPr="002D4A2C" w:rsidRDefault="00CC5D14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46,676</w:t>
            </w:r>
          </w:p>
        </w:tc>
        <w:tc>
          <w:tcPr>
            <w:tcW w:w="2362" w:type="dxa"/>
          </w:tcPr>
          <w:p w14:paraId="7BA65904" w14:textId="46AB3844" w:rsidR="009F2D5F" w:rsidRPr="002D4A2C" w:rsidRDefault="00335B4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686">
              <w:rPr>
                <w:rFonts w:ascii="Times New Roman" w:hAnsi="Times New Roman" w:cs="Times New Roman"/>
                <w:sz w:val="24"/>
                <w:szCs w:val="24"/>
              </w:rPr>
              <w:t>6,738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7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69BD4CDC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5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5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2" w:type="dxa"/>
          </w:tcPr>
          <w:p w14:paraId="048D38D7" w14:textId="561087D0" w:rsidR="009F2D5F" w:rsidRPr="002D4A2C" w:rsidRDefault="0053268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08F9E4A5" w:rsidR="009F2D5F" w:rsidRPr="002D4A2C" w:rsidRDefault="00782D7C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AC64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7C7C6E2B" w:rsidR="009F2D5F" w:rsidRPr="002D4A2C" w:rsidRDefault="0053268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1D2B4580" w:rsidR="009F2D5F" w:rsidRPr="002D4A2C" w:rsidRDefault="00CC5D14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17C15701" w:rsidR="009F2D5F" w:rsidRPr="002D4A2C" w:rsidRDefault="0053268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F45FDE" w:rsidRDefault="00E77CE9" w:rsidP="0030304C">
      <w:pPr>
        <w:pStyle w:val="Heading1"/>
        <w:rPr>
          <w:color w:val="auto"/>
          <w:sz w:val="24"/>
          <w:szCs w:val="24"/>
          <w:u w:val="double"/>
        </w:rPr>
      </w:pPr>
      <w:r w:rsidRPr="00F45FDE">
        <w:rPr>
          <w:color w:val="auto"/>
          <w:sz w:val="24"/>
          <w:szCs w:val="24"/>
          <w:u w:val="double"/>
        </w:rPr>
        <w:t>5.</w:t>
      </w:r>
      <w:r w:rsidR="00EF332B" w:rsidRPr="00F45FDE">
        <w:rPr>
          <w:color w:val="auto"/>
          <w:sz w:val="24"/>
          <w:szCs w:val="24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12D5AAC1" w:rsidR="009F2D5F" w:rsidRPr="002D4A2C" w:rsidRDefault="00F0382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of Inspections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5CE8EB9F" w:rsidR="009F2D5F" w:rsidRPr="002D4A2C" w:rsidRDefault="00CC5D14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980" w:type="dxa"/>
          </w:tcPr>
          <w:p w14:paraId="4B71C2DA" w14:textId="678EF2E8" w:rsidR="009F2D5F" w:rsidRPr="002D4A2C" w:rsidRDefault="0053268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4E9E0130" w:rsidR="009F2D5F" w:rsidRPr="002D4A2C" w:rsidRDefault="003538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E516A3A" w14:textId="72E8BCBB" w:rsidR="009F2D5F" w:rsidRPr="002D4A2C" w:rsidRDefault="0053268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742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F45FDE">
        <w:rPr>
          <w:color w:val="auto"/>
          <w:sz w:val="24"/>
          <w:szCs w:val="24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06816233" w:rsidR="00CE69CB" w:rsidRPr="002D4A2C" w:rsidRDefault="005D4D4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6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D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2" w:type="dxa"/>
          </w:tcPr>
          <w:p w14:paraId="3E389683" w14:textId="1494E936" w:rsidR="00CE69CB" w:rsidRPr="002D4A2C" w:rsidRDefault="00532686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380BC408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D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774B7EEA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326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15EE6BD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4BCD768A" w:rsidR="009F2D5F" w:rsidRPr="002D4A2C" w:rsidRDefault="00CC5D1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913881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2322" w:type="dxa"/>
          </w:tcPr>
          <w:p w14:paraId="12831ED5" w14:textId="5A7E0947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26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26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13DE1514" w:rsidR="009F2D5F" w:rsidRPr="002D4A2C" w:rsidRDefault="00CC5D14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bookmarkEnd w:id="8"/>
    <w:bookmarkEnd w:id="9"/>
    <w:p w14:paraId="0545C05D" w14:textId="0449A519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43166FE9">
            <wp:extent cx="6267450" cy="4385310"/>
            <wp:effectExtent l="0" t="0" r="0" b="15240"/>
            <wp:docPr id="3" name="Chart 3" descr="MART&#10;Vehicle Complaints: 1.47%&#10;Driver Complaints: 2.20%&#10;On-Time Performance (OTP) Complaints: 27.17%&#10;Missed Appointments Complaints: 16.65%&#10;Dispatch Complaints: 1.10%&#10;Wheelchair Securement Complaints: 0.12%&#10;Member Behavior (Including member no show): 14.20%&#10;Positive Feedback: 2.82%&#10;Vendor No Show: 19.09%&#10;Vendor Early Arrival: 1.10%&#10;Other: 14.08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1BBB5490">
            <wp:extent cx="6248400" cy="4199890"/>
            <wp:effectExtent l="0" t="0" r="0" b="0"/>
            <wp:docPr id="2" name="Chart 2" descr="GATRA:&#10;Vendor No Show: 31.58%&#10;Dispatch Complaints: 1.75%&#10;Missed Appointment Complaints: 3.51%&#10;On-Time Performance (OTP) Complaint: 43.86%&#10;Driver Complaints: 17.54%&#10;Vehicle Complaints: 1.75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0DAF2" w14:textId="77777777" w:rsidR="00131A55" w:rsidRDefault="00131A55" w:rsidP="00F6563C">
      <w:pPr>
        <w:spacing w:after="0" w:line="240" w:lineRule="auto"/>
      </w:pPr>
      <w:r>
        <w:separator/>
      </w:r>
    </w:p>
  </w:endnote>
  <w:endnote w:type="continuationSeparator" w:id="0">
    <w:p w14:paraId="4199E1C9" w14:textId="77777777" w:rsidR="00131A55" w:rsidRDefault="00131A55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41C0C" w14:textId="77777777" w:rsidR="00131A55" w:rsidRDefault="00131A55" w:rsidP="00F6563C">
      <w:pPr>
        <w:spacing w:after="0" w:line="240" w:lineRule="auto"/>
      </w:pPr>
      <w:r>
        <w:separator/>
      </w:r>
    </w:p>
  </w:footnote>
  <w:footnote w:type="continuationSeparator" w:id="0">
    <w:p w14:paraId="57B923BF" w14:textId="77777777" w:rsidR="00131A55" w:rsidRDefault="00131A55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F45FDE" w:rsidRDefault="00216336" w:rsidP="0021633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F45FDE">
        <w:rPr>
          <w:rFonts w:ascii="Times New Roman" w:hAnsi="Times New Roman" w:cs="Times New Roman"/>
          <w:sz w:val="18"/>
          <w:szCs w:val="18"/>
        </w:rPr>
        <w:t xml:space="preserve">Transportation provided in response to an approved request of a consumer for transportation to a covered medical service or other human service activity on an </w:t>
      </w:r>
      <w:r w:rsidR="003E14D7" w:rsidRPr="00F45FDE">
        <w:rPr>
          <w:rFonts w:ascii="Times New Roman" w:hAnsi="Times New Roman" w:cs="Times New Roman"/>
          <w:iCs/>
          <w:sz w:val="18"/>
          <w:szCs w:val="18"/>
        </w:rPr>
        <w:t>as-needed</w:t>
      </w:r>
      <w:r w:rsidRPr="00F45FDE">
        <w:rPr>
          <w:rFonts w:ascii="Times New Roman" w:hAnsi="Times New Roman" w:cs="Times New Roman"/>
          <w:sz w:val="18"/>
          <w:szCs w:val="18"/>
        </w:rPr>
        <w:t xml:space="preserve"> basis; also called PT-1 transportation, which refers to the Provider Request for Transportation (PT-1) form. </w:t>
      </w:r>
    </w:p>
  </w:footnote>
  <w:footnote w:id="2">
    <w:p w14:paraId="6B8191CE" w14:textId="4E6D032C" w:rsidR="009F2D5F" w:rsidRPr="00F45FDE" w:rsidRDefault="009F2D5F" w:rsidP="0021633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45F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45FDE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63B5745" w:rsidR="00807D4E" w:rsidRPr="00F45FDE" w:rsidRDefault="00807D4E" w:rsidP="00D66402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45F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45FDE">
        <w:rPr>
          <w:rFonts w:ascii="Times New Roman" w:hAnsi="Times New Roman" w:cs="Times New Roman"/>
          <w:sz w:val="18"/>
          <w:szCs w:val="18"/>
        </w:rPr>
        <w:t xml:space="preserve"> </w:t>
      </w:r>
      <w:r w:rsidR="003E14D7" w:rsidRPr="00F45FDE">
        <w:rPr>
          <w:rFonts w:ascii="Times New Roman" w:hAnsi="Times New Roman" w:cs="Times New Roman"/>
          <w:sz w:val="18"/>
          <w:szCs w:val="18"/>
        </w:rPr>
        <w:t xml:space="preserve">On-Time refers to trips completed without Lateness. </w:t>
      </w:r>
      <w:r w:rsidR="00B65B39" w:rsidRPr="00F45FDE">
        <w:rPr>
          <w:rFonts w:ascii="Times New Roman" w:hAnsi="Times New Roman" w:cs="Times New Roman"/>
          <w:sz w:val="18"/>
          <w:szCs w:val="18"/>
        </w:rPr>
        <w:t>Lateness</w:t>
      </w:r>
      <w:r w:rsidRPr="00F45FDE">
        <w:rPr>
          <w:rFonts w:ascii="Times New Roman" w:hAnsi="Times New Roman" w:cs="Times New Roman"/>
          <w:sz w:val="18"/>
          <w:szCs w:val="18"/>
        </w:rPr>
        <w:t xml:space="preserve"> is defined as follows:</w:t>
      </w:r>
    </w:p>
    <w:p w14:paraId="6A781DF6" w14:textId="296A3A62" w:rsidR="00807D4E" w:rsidRPr="00F45FDE" w:rsidRDefault="00807D4E" w:rsidP="00385DD0">
      <w:pPr>
        <w:pStyle w:val="FootnoteText"/>
        <w:ind w:left="288"/>
        <w:rPr>
          <w:rFonts w:ascii="Times New Roman" w:hAnsi="Times New Roman" w:cs="Times New Roman"/>
          <w:sz w:val="18"/>
          <w:szCs w:val="18"/>
        </w:rPr>
      </w:pPr>
      <w:r w:rsidRPr="00F45FDE">
        <w:rPr>
          <w:rFonts w:ascii="Times New Roman" w:hAnsi="Times New Roman" w:cs="Times New Roman"/>
          <w:sz w:val="18"/>
          <w:szCs w:val="18"/>
        </w:rPr>
        <w:t>Demand-</w:t>
      </w:r>
      <w:r w:rsidR="0066793A" w:rsidRPr="00F45FDE">
        <w:rPr>
          <w:rFonts w:ascii="Times New Roman" w:hAnsi="Times New Roman" w:cs="Times New Roman"/>
          <w:sz w:val="18"/>
          <w:szCs w:val="18"/>
        </w:rPr>
        <w:t>response</w:t>
      </w:r>
      <w:r w:rsidRPr="00F45FDE">
        <w:rPr>
          <w:rFonts w:ascii="Times New Roman" w:hAnsi="Times New Roman" w:cs="Times New Roman"/>
          <w:sz w:val="18"/>
          <w:szCs w:val="18"/>
        </w:rPr>
        <w:t xml:space="preserve"> transportation - a transportation provider </w:t>
      </w:r>
      <w:r w:rsidR="00B65B39" w:rsidRPr="00F45FDE">
        <w:rPr>
          <w:rFonts w:ascii="Times New Roman" w:hAnsi="Times New Roman" w:cs="Times New Roman"/>
          <w:sz w:val="18"/>
          <w:szCs w:val="18"/>
        </w:rPr>
        <w:t xml:space="preserve">that does not </w:t>
      </w:r>
      <w:r w:rsidRPr="00F45FDE">
        <w:rPr>
          <w:rFonts w:ascii="Times New Roman" w:hAnsi="Times New Roman" w:cs="Times New Roman"/>
          <w:sz w:val="18"/>
          <w:szCs w:val="18"/>
        </w:rPr>
        <w:t>arriv</w:t>
      </w:r>
      <w:r w:rsidR="00B65B39" w:rsidRPr="00F45FDE">
        <w:rPr>
          <w:rFonts w:ascii="Times New Roman" w:hAnsi="Times New Roman" w:cs="Times New Roman"/>
          <w:sz w:val="18"/>
          <w:szCs w:val="18"/>
        </w:rPr>
        <w:t>e</w:t>
      </w:r>
      <w:r w:rsidRPr="00F45FDE">
        <w:rPr>
          <w:rFonts w:ascii="Times New Roman" w:hAnsi="Times New Roman" w:cs="Times New Roman"/>
          <w:sz w:val="18"/>
          <w:szCs w:val="18"/>
        </w:rPr>
        <w:t xml:space="preserve"> at a consumer’s pick-up location between 10 minutes before the scheduled pick-up time and 10 minutes after the scheduled pick-up time</w:t>
      </w:r>
      <w:r w:rsidR="00B65B39" w:rsidRPr="00F45FDE">
        <w:rPr>
          <w:rFonts w:ascii="Times New Roman" w:hAnsi="Times New Roman" w:cs="Times New Roman"/>
          <w:sz w:val="18"/>
          <w:szCs w:val="18"/>
        </w:rPr>
        <w:t xml:space="preserve"> and/or does not arrive at the destination facility within 10 minutes of the scheduled time</w:t>
      </w:r>
      <w:r w:rsidRPr="00F45FDE">
        <w:rPr>
          <w:rFonts w:ascii="Times New Roman" w:hAnsi="Times New Roman" w:cs="Times New Roman"/>
          <w:sz w:val="18"/>
          <w:szCs w:val="18"/>
        </w:rPr>
        <w:t>.</w:t>
      </w:r>
    </w:p>
    <w:p w14:paraId="1D22514B" w14:textId="2B20463B" w:rsidR="00807D4E" w:rsidRPr="00F45FDE" w:rsidRDefault="00807D4E" w:rsidP="00385DD0">
      <w:pPr>
        <w:pStyle w:val="FootnoteText"/>
        <w:ind w:left="288"/>
        <w:rPr>
          <w:rFonts w:ascii="Times New Roman" w:hAnsi="Times New Roman" w:cs="Times New Roman"/>
          <w:sz w:val="18"/>
          <w:szCs w:val="18"/>
        </w:rPr>
      </w:pPr>
      <w:r w:rsidRPr="00F45FDE">
        <w:rPr>
          <w:rFonts w:ascii="Times New Roman" w:hAnsi="Times New Roman" w:cs="Times New Roman"/>
          <w:sz w:val="18"/>
          <w:szCs w:val="18"/>
        </w:rPr>
        <w:t>Program-based transportation - a transportation provider</w:t>
      </w:r>
      <w:r w:rsidR="00B65B39" w:rsidRPr="00F45FDE">
        <w:rPr>
          <w:rFonts w:ascii="Times New Roman" w:hAnsi="Times New Roman" w:cs="Times New Roman"/>
          <w:sz w:val="18"/>
          <w:szCs w:val="18"/>
        </w:rPr>
        <w:t xml:space="preserve"> that does not arrive</w:t>
      </w:r>
      <w:r w:rsidRPr="00F45FDE">
        <w:rPr>
          <w:rFonts w:ascii="Times New Roman" w:hAnsi="Times New Roman" w:cs="Times New Roman"/>
          <w:sz w:val="18"/>
          <w:szCs w:val="18"/>
        </w:rPr>
        <w:t xml:space="preserve"> at a consumer’s pick-up location and between 15 minutes before the scheduled pick-up time and 5 minutes after the scheduled pick-up time</w:t>
      </w:r>
      <w:r w:rsidR="00B65B39" w:rsidRPr="00F45FDE">
        <w:rPr>
          <w:rFonts w:ascii="Times New Roman" w:hAnsi="Times New Roman" w:cs="Times New Roman"/>
          <w:sz w:val="18"/>
          <w:szCs w:val="18"/>
        </w:rPr>
        <w:t xml:space="preserve"> and/or does not arrive at the destination facility within 10 minutes of the scheduled time.</w:t>
      </w:r>
    </w:p>
  </w:footnote>
  <w:footnote w:id="4">
    <w:p w14:paraId="3DD8C057" w14:textId="23E8B471" w:rsidR="00E77CE9" w:rsidRPr="00F45FDE" w:rsidRDefault="00E77CE9" w:rsidP="00D60B3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6" w:name="_Hlk112922349"/>
      <w:r w:rsidR="0066793A" w:rsidRPr="00F45FDE">
        <w:rPr>
          <w:rFonts w:ascii="Times New Roman" w:hAnsi="Times New Roman" w:cs="Times New Roman"/>
          <w:sz w:val="18"/>
          <w:szCs w:val="18"/>
        </w:rPr>
        <w:t>Total number of vendor no-shows plus return trip not completed</w:t>
      </w:r>
      <w:bookmarkEnd w:id="6"/>
      <w:r w:rsidRPr="00F45FDE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3F57A698" w14:textId="77777777" w:rsidR="00E77CE9" w:rsidRPr="00F45FDE" w:rsidRDefault="00E77CE9" w:rsidP="00D60B3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45F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45FDE">
        <w:rPr>
          <w:rFonts w:ascii="Times New Roman" w:hAnsi="Times New Roman" w:cs="Times New Roman"/>
          <w:sz w:val="18"/>
          <w:szCs w:val="18"/>
        </w:rPr>
        <w:t xml:space="preserve"> </w:t>
      </w:r>
      <w:r w:rsidRPr="00F45FDE">
        <w:rPr>
          <w:rFonts w:ascii="Times New Roman" w:hAnsi="Times New Roman" w:cs="Times New Roman"/>
          <w:iCs/>
          <w:sz w:val="18"/>
          <w:szCs w:val="18"/>
        </w:rPr>
        <w:t>Unfulfilled Demand-Response Ride Requests / Total Demand-Response Rides</w:t>
      </w:r>
    </w:p>
  </w:footnote>
  <w:footnote w:id="6">
    <w:p w14:paraId="209ED8A8" w14:textId="4364CF80" w:rsidR="00E77CE9" w:rsidRPr="00F45FDE" w:rsidRDefault="00E77CE9" w:rsidP="00D60B3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45F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45FDE">
        <w:rPr>
          <w:rFonts w:ascii="Times New Roman" w:hAnsi="Times New Roman" w:cs="Times New Roman"/>
          <w:sz w:val="18"/>
          <w:szCs w:val="18"/>
        </w:rPr>
        <w:t xml:space="preserve"> </w:t>
      </w:r>
      <w:r w:rsidR="0066793A" w:rsidRPr="00F45FDE">
        <w:rPr>
          <w:rFonts w:ascii="Times New Roman" w:hAnsi="Times New Roman" w:cs="Times New Roman"/>
          <w:sz w:val="18"/>
          <w:szCs w:val="18"/>
        </w:rPr>
        <w:t>Program-Based</w:t>
      </w:r>
      <w:r w:rsidRPr="00F45FDE">
        <w:rPr>
          <w:rFonts w:ascii="Times New Roman" w:hAnsi="Times New Roman" w:cs="Times New Roman"/>
          <w:sz w:val="18"/>
          <w:szCs w:val="18"/>
        </w:rPr>
        <w:t xml:space="preserve"> Trip Requests that are not implemented within 5 business days. Consumers unable to be scheduled are placed on a </w:t>
      </w:r>
      <w:r w:rsidR="0066793A" w:rsidRPr="00F45FDE">
        <w:rPr>
          <w:rFonts w:ascii="Times New Roman" w:hAnsi="Times New Roman" w:cs="Times New Roman"/>
          <w:sz w:val="18"/>
          <w:szCs w:val="18"/>
        </w:rPr>
        <w:t>waitlist</w:t>
      </w:r>
      <w:r w:rsidRPr="00F45FDE">
        <w:rPr>
          <w:rFonts w:ascii="Times New Roman" w:hAnsi="Times New Roman" w:cs="Times New Roman"/>
          <w:sz w:val="18"/>
          <w:szCs w:val="18"/>
        </w:rPr>
        <w:t xml:space="preserve">.  </w:t>
      </w:r>
    </w:p>
  </w:footnote>
  <w:footnote w:id="7">
    <w:p w14:paraId="08EA6ACB" w14:textId="77777777" w:rsidR="00E77CE9" w:rsidRPr="00F45FDE" w:rsidRDefault="00E77CE9" w:rsidP="00D60B3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45F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45FDE">
        <w:rPr>
          <w:rFonts w:ascii="Times New Roman" w:hAnsi="Times New Roman" w:cs="Times New Roman"/>
          <w:sz w:val="18"/>
          <w:szCs w:val="18"/>
        </w:rPr>
        <w:t xml:space="preserve"> </w:t>
      </w:r>
      <w:r w:rsidRPr="00F45FDE">
        <w:rPr>
          <w:rFonts w:ascii="Times New Roman" w:hAnsi="Times New Roman" w:cs="Times New Roman"/>
          <w:iCs/>
          <w:sz w:val="18"/>
          <w:szCs w:val="18"/>
        </w:rPr>
        <w:t>Unfulfilled Program-Based Ride Requests / Total Program-Based Rides</w:t>
      </w:r>
    </w:p>
  </w:footnote>
  <w:footnote w:id="8">
    <w:p w14:paraId="5D213DB7" w14:textId="6FDFE771" w:rsidR="009F2D5F" w:rsidRPr="00F45FDE" w:rsidRDefault="009F2D5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45F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45FDE">
        <w:rPr>
          <w:rFonts w:ascii="Times New Roman" w:hAnsi="Times New Roman" w:cs="Times New Roman"/>
          <w:sz w:val="18"/>
          <w:szCs w:val="18"/>
        </w:rPr>
        <w:t xml:space="preserve"> </w:t>
      </w:r>
      <w:r w:rsidRPr="00F45FDE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9">
    <w:p w14:paraId="4327521C" w14:textId="44EF92D3" w:rsidR="0004742F" w:rsidRPr="00F45FDE" w:rsidRDefault="0004742F">
      <w:pPr>
        <w:pStyle w:val="FootnoteText"/>
        <w:rPr>
          <w:sz w:val="18"/>
          <w:szCs w:val="18"/>
        </w:rPr>
      </w:pPr>
      <w:r w:rsidRPr="00F45FDE">
        <w:rPr>
          <w:rStyle w:val="FootnoteReference"/>
          <w:sz w:val="18"/>
          <w:szCs w:val="18"/>
        </w:rPr>
        <w:footnoteRef/>
      </w:r>
      <w:r w:rsidRPr="00F45FDE">
        <w:rPr>
          <w:sz w:val="18"/>
          <w:szCs w:val="18"/>
        </w:rPr>
        <w:t xml:space="preserve"> </w:t>
      </w:r>
      <w:r w:rsidR="00891DB3" w:rsidRPr="00F45FDE">
        <w:rPr>
          <w:rFonts w:ascii="Times New Roman" w:hAnsi="Times New Roman" w:cs="Times New Roman"/>
          <w:sz w:val="18"/>
          <w:szCs w:val="18"/>
        </w:rPr>
        <w:t>Check engine light removals.</w:t>
      </w:r>
    </w:p>
  </w:footnote>
  <w:footnote w:id="10">
    <w:p w14:paraId="6581B0A2" w14:textId="3B6224B2" w:rsidR="00CE69CB" w:rsidRPr="00F45FDE" w:rsidRDefault="00CE69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F45FD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45FDE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11">
    <w:p w14:paraId="4F5E0CF8" w14:textId="38CB66AB" w:rsidR="00913881" w:rsidRPr="00F45FDE" w:rsidRDefault="00913881" w:rsidP="00832FF2">
      <w:pPr>
        <w:rPr>
          <w:sz w:val="18"/>
          <w:szCs w:val="18"/>
        </w:rPr>
      </w:pPr>
      <w:r w:rsidRPr="00F45FDE">
        <w:rPr>
          <w:rStyle w:val="FootnoteReference"/>
          <w:sz w:val="18"/>
          <w:szCs w:val="18"/>
        </w:rPr>
        <w:footnoteRef/>
      </w:r>
      <w:r w:rsidRPr="00F45FDE">
        <w:rPr>
          <w:sz w:val="18"/>
          <w:szCs w:val="18"/>
        </w:rPr>
        <w:t xml:space="preserve"> </w:t>
      </w:r>
      <w:r w:rsidRPr="00F45FDE">
        <w:rPr>
          <w:rFonts w:ascii="Times New Roman" w:hAnsi="Times New Roman" w:cs="Times New Roman"/>
          <w:sz w:val="18"/>
          <w:szCs w:val="18"/>
        </w:rPr>
        <w:t xml:space="preserve">The resolution time for complaints lagged in </w:t>
      </w:r>
      <w:r w:rsidR="003168A6" w:rsidRPr="00F45FDE">
        <w:rPr>
          <w:rFonts w:ascii="Times New Roman" w:hAnsi="Times New Roman" w:cs="Times New Roman"/>
          <w:sz w:val="18"/>
          <w:szCs w:val="18"/>
        </w:rPr>
        <w:t>February</w:t>
      </w:r>
      <w:r w:rsidRPr="00F45FDE">
        <w:rPr>
          <w:rFonts w:ascii="Times New Roman" w:hAnsi="Times New Roman" w:cs="Times New Roman"/>
          <w:sz w:val="18"/>
          <w:szCs w:val="18"/>
        </w:rPr>
        <w:t>. This is directly attributed to staffing levels (two resignations)</w:t>
      </w:r>
      <w:r w:rsidR="00832FF2" w:rsidRPr="00F45FDE">
        <w:rPr>
          <w:rFonts w:ascii="Times New Roman" w:hAnsi="Times New Roman" w:cs="Times New Roman"/>
          <w:sz w:val="18"/>
          <w:szCs w:val="18"/>
        </w:rPr>
        <w:t xml:space="preserve">. “The actions we have taken are working, and the March numbers are looking good.”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12CE9"/>
    <w:rsid w:val="000324C0"/>
    <w:rsid w:val="000324F6"/>
    <w:rsid w:val="000345DE"/>
    <w:rsid w:val="00037501"/>
    <w:rsid w:val="00037FAE"/>
    <w:rsid w:val="000435C6"/>
    <w:rsid w:val="0004742F"/>
    <w:rsid w:val="0005312D"/>
    <w:rsid w:val="00053FA6"/>
    <w:rsid w:val="00056B8E"/>
    <w:rsid w:val="00060316"/>
    <w:rsid w:val="00061A24"/>
    <w:rsid w:val="00073733"/>
    <w:rsid w:val="0008211F"/>
    <w:rsid w:val="0008233E"/>
    <w:rsid w:val="0008478F"/>
    <w:rsid w:val="000850B4"/>
    <w:rsid w:val="00086A09"/>
    <w:rsid w:val="00090A27"/>
    <w:rsid w:val="00095691"/>
    <w:rsid w:val="00095789"/>
    <w:rsid w:val="000A57AD"/>
    <w:rsid w:val="000B1AD1"/>
    <w:rsid w:val="000B310F"/>
    <w:rsid w:val="000B366D"/>
    <w:rsid w:val="000C2B40"/>
    <w:rsid w:val="000C4E6D"/>
    <w:rsid w:val="000C676E"/>
    <w:rsid w:val="000D656A"/>
    <w:rsid w:val="000E15C4"/>
    <w:rsid w:val="000E1C1E"/>
    <w:rsid w:val="000F4E97"/>
    <w:rsid w:val="000F5205"/>
    <w:rsid w:val="00102220"/>
    <w:rsid w:val="00102B0A"/>
    <w:rsid w:val="00102BB4"/>
    <w:rsid w:val="00106564"/>
    <w:rsid w:val="00106EBD"/>
    <w:rsid w:val="00110254"/>
    <w:rsid w:val="001111C3"/>
    <w:rsid w:val="0011227F"/>
    <w:rsid w:val="00116599"/>
    <w:rsid w:val="00122C69"/>
    <w:rsid w:val="00122CCE"/>
    <w:rsid w:val="001247D7"/>
    <w:rsid w:val="00131A55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2333"/>
    <w:rsid w:val="00194F0E"/>
    <w:rsid w:val="001A24E7"/>
    <w:rsid w:val="001B21D3"/>
    <w:rsid w:val="001B6F47"/>
    <w:rsid w:val="001C00DC"/>
    <w:rsid w:val="001C2C25"/>
    <w:rsid w:val="001D5E10"/>
    <w:rsid w:val="001D6B2D"/>
    <w:rsid w:val="001E5EAF"/>
    <w:rsid w:val="001E62AA"/>
    <w:rsid w:val="001E7B92"/>
    <w:rsid w:val="001F1230"/>
    <w:rsid w:val="001F1F2D"/>
    <w:rsid w:val="00205B5D"/>
    <w:rsid w:val="00216336"/>
    <w:rsid w:val="002238C5"/>
    <w:rsid w:val="002246AD"/>
    <w:rsid w:val="00227FCE"/>
    <w:rsid w:val="00233EE0"/>
    <w:rsid w:val="00233F98"/>
    <w:rsid w:val="0023698B"/>
    <w:rsid w:val="00237692"/>
    <w:rsid w:val="00241DF6"/>
    <w:rsid w:val="00246004"/>
    <w:rsid w:val="00251808"/>
    <w:rsid w:val="00252084"/>
    <w:rsid w:val="0025225A"/>
    <w:rsid w:val="00254E9B"/>
    <w:rsid w:val="00260F90"/>
    <w:rsid w:val="00263043"/>
    <w:rsid w:val="002635BF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5F38"/>
    <w:rsid w:val="002B7408"/>
    <w:rsid w:val="002B7AB9"/>
    <w:rsid w:val="002C5FEB"/>
    <w:rsid w:val="002C7966"/>
    <w:rsid w:val="002D0505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30304C"/>
    <w:rsid w:val="00303099"/>
    <w:rsid w:val="003102E3"/>
    <w:rsid w:val="003104FF"/>
    <w:rsid w:val="00311F92"/>
    <w:rsid w:val="00314091"/>
    <w:rsid w:val="003166CB"/>
    <w:rsid w:val="0031670E"/>
    <w:rsid w:val="003168A6"/>
    <w:rsid w:val="003212A1"/>
    <w:rsid w:val="003330DD"/>
    <w:rsid w:val="00335B43"/>
    <w:rsid w:val="00340148"/>
    <w:rsid w:val="0034141A"/>
    <w:rsid w:val="00342640"/>
    <w:rsid w:val="0034458C"/>
    <w:rsid w:val="00346295"/>
    <w:rsid w:val="00346669"/>
    <w:rsid w:val="003473BF"/>
    <w:rsid w:val="00353245"/>
    <w:rsid w:val="00353882"/>
    <w:rsid w:val="00354EB0"/>
    <w:rsid w:val="003658BF"/>
    <w:rsid w:val="00375589"/>
    <w:rsid w:val="0037594D"/>
    <w:rsid w:val="00380112"/>
    <w:rsid w:val="00385DD0"/>
    <w:rsid w:val="003864C5"/>
    <w:rsid w:val="003B7024"/>
    <w:rsid w:val="003C5A5B"/>
    <w:rsid w:val="003C62C5"/>
    <w:rsid w:val="003C66B6"/>
    <w:rsid w:val="003D4157"/>
    <w:rsid w:val="003E14D7"/>
    <w:rsid w:val="003E40AF"/>
    <w:rsid w:val="003F2CBD"/>
    <w:rsid w:val="00402A3A"/>
    <w:rsid w:val="00403AC1"/>
    <w:rsid w:val="00404FD6"/>
    <w:rsid w:val="004056F6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B6F64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734C"/>
    <w:rsid w:val="004F7806"/>
    <w:rsid w:val="004F7C59"/>
    <w:rsid w:val="00501D41"/>
    <w:rsid w:val="00507D8B"/>
    <w:rsid w:val="005159EA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77C3"/>
    <w:rsid w:val="00561B8B"/>
    <w:rsid w:val="00562A2A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D4D42"/>
    <w:rsid w:val="005E14C9"/>
    <w:rsid w:val="005F07B5"/>
    <w:rsid w:val="005F1CAD"/>
    <w:rsid w:val="005F347F"/>
    <w:rsid w:val="005F38DC"/>
    <w:rsid w:val="005F4E6B"/>
    <w:rsid w:val="005F78F4"/>
    <w:rsid w:val="00600ADE"/>
    <w:rsid w:val="00604E0B"/>
    <w:rsid w:val="00605809"/>
    <w:rsid w:val="006129F8"/>
    <w:rsid w:val="00613772"/>
    <w:rsid w:val="00615E19"/>
    <w:rsid w:val="00626DD5"/>
    <w:rsid w:val="006354C4"/>
    <w:rsid w:val="00635A79"/>
    <w:rsid w:val="00642A63"/>
    <w:rsid w:val="00650567"/>
    <w:rsid w:val="0066157D"/>
    <w:rsid w:val="00665D25"/>
    <w:rsid w:val="00667520"/>
    <w:rsid w:val="0066793A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695C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49A"/>
    <w:rsid w:val="007526BA"/>
    <w:rsid w:val="00754373"/>
    <w:rsid w:val="00763979"/>
    <w:rsid w:val="007660CE"/>
    <w:rsid w:val="00772055"/>
    <w:rsid w:val="00774191"/>
    <w:rsid w:val="007743A8"/>
    <w:rsid w:val="0078185A"/>
    <w:rsid w:val="00782D7C"/>
    <w:rsid w:val="007908F8"/>
    <w:rsid w:val="00795392"/>
    <w:rsid w:val="007A0322"/>
    <w:rsid w:val="007A7672"/>
    <w:rsid w:val="007B4A13"/>
    <w:rsid w:val="007B7773"/>
    <w:rsid w:val="007C379D"/>
    <w:rsid w:val="007C463C"/>
    <w:rsid w:val="007C60CF"/>
    <w:rsid w:val="007C7EC1"/>
    <w:rsid w:val="007D0B9E"/>
    <w:rsid w:val="007D3D2D"/>
    <w:rsid w:val="007D6A6A"/>
    <w:rsid w:val="007E2672"/>
    <w:rsid w:val="007E65E5"/>
    <w:rsid w:val="007F24E5"/>
    <w:rsid w:val="0080499B"/>
    <w:rsid w:val="008062F4"/>
    <w:rsid w:val="008072A5"/>
    <w:rsid w:val="00807D4E"/>
    <w:rsid w:val="0081185E"/>
    <w:rsid w:val="008118F1"/>
    <w:rsid w:val="008124D9"/>
    <w:rsid w:val="00816A2E"/>
    <w:rsid w:val="008201A0"/>
    <w:rsid w:val="008202E3"/>
    <w:rsid w:val="00821A80"/>
    <w:rsid w:val="0082247E"/>
    <w:rsid w:val="00827676"/>
    <w:rsid w:val="008312D4"/>
    <w:rsid w:val="00832FF2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773CF"/>
    <w:rsid w:val="00881D50"/>
    <w:rsid w:val="0088541E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D17F3"/>
    <w:rsid w:val="008D3C79"/>
    <w:rsid w:val="008D6D10"/>
    <w:rsid w:val="008E39C0"/>
    <w:rsid w:val="008E6360"/>
    <w:rsid w:val="008E6806"/>
    <w:rsid w:val="008F0834"/>
    <w:rsid w:val="008F2A9A"/>
    <w:rsid w:val="008F2D50"/>
    <w:rsid w:val="008F51E0"/>
    <w:rsid w:val="0090074E"/>
    <w:rsid w:val="00904045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77D8"/>
    <w:rsid w:val="009407AA"/>
    <w:rsid w:val="00946F1F"/>
    <w:rsid w:val="00955B13"/>
    <w:rsid w:val="00961E9E"/>
    <w:rsid w:val="00965B94"/>
    <w:rsid w:val="009668C0"/>
    <w:rsid w:val="00975972"/>
    <w:rsid w:val="009804DA"/>
    <w:rsid w:val="00980CEC"/>
    <w:rsid w:val="0098226E"/>
    <w:rsid w:val="009868A3"/>
    <w:rsid w:val="00991D72"/>
    <w:rsid w:val="009A6295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D725B"/>
    <w:rsid w:val="009E7BD0"/>
    <w:rsid w:val="009F1019"/>
    <w:rsid w:val="009F1D4C"/>
    <w:rsid w:val="009F2D5F"/>
    <w:rsid w:val="009F3E03"/>
    <w:rsid w:val="009F4537"/>
    <w:rsid w:val="009F60C6"/>
    <w:rsid w:val="009F66CF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70160"/>
    <w:rsid w:val="00A72038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B6B3C"/>
    <w:rsid w:val="00AC0300"/>
    <w:rsid w:val="00AC2DD4"/>
    <w:rsid w:val="00AC31D1"/>
    <w:rsid w:val="00AC646A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212C"/>
    <w:rsid w:val="00B7232E"/>
    <w:rsid w:val="00B75AAE"/>
    <w:rsid w:val="00B76A3D"/>
    <w:rsid w:val="00B813A2"/>
    <w:rsid w:val="00B8692C"/>
    <w:rsid w:val="00B93033"/>
    <w:rsid w:val="00B97A24"/>
    <w:rsid w:val="00BA03FE"/>
    <w:rsid w:val="00BA05BB"/>
    <w:rsid w:val="00BA59AF"/>
    <w:rsid w:val="00BB0F6C"/>
    <w:rsid w:val="00BB3B10"/>
    <w:rsid w:val="00BB6FCD"/>
    <w:rsid w:val="00BC1CAB"/>
    <w:rsid w:val="00BC34F7"/>
    <w:rsid w:val="00BC5763"/>
    <w:rsid w:val="00BC5FB2"/>
    <w:rsid w:val="00BD0C82"/>
    <w:rsid w:val="00BD23E3"/>
    <w:rsid w:val="00BD6181"/>
    <w:rsid w:val="00BD7E40"/>
    <w:rsid w:val="00BE2731"/>
    <w:rsid w:val="00BE7625"/>
    <w:rsid w:val="00BE7B1F"/>
    <w:rsid w:val="00C04BEE"/>
    <w:rsid w:val="00C11D5F"/>
    <w:rsid w:val="00C12649"/>
    <w:rsid w:val="00C127E4"/>
    <w:rsid w:val="00C17B61"/>
    <w:rsid w:val="00C231D5"/>
    <w:rsid w:val="00C26095"/>
    <w:rsid w:val="00C27AA9"/>
    <w:rsid w:val="00C27FBC"/>
    <w:rsid w:val="00C3140F"/>
    <w:rsid w:val="00C40F3C"/>
    <w:rsid w:val="00C47FB7"/>
    <w:rsid w:val="00C536E9"/>
    <w:rsid w:val="00C53BE8"/>
    <w:rsid w:val="00C57996"/>
    <w:rsid w:val="00C6333A"/>
    <w:rsid w:val="00C6600E"/>
    <w:rsid w:val="00C669D5"/>
    <w:rsid w:val="00C74954"/>
    <w:rsid w:val="00C751DA"/>
    <w:rsid w:val="00C76FE0"/>
    <w:rsid w:val="00C77F0F"/>
    <w:rsid w:val="00C80C92"/>
    <w:rsid w:val="00C82431"/>
    <w:rsid w:val="00C851CF"/>
    <w:rsid w:val="00C92469"/>
    <w:rsid w:val="00C93A50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6B2B"/>
    <w:rsid w:val="00CE1B1D"/>
    <w:rsid w:val="00CE56A8"/>
    <w:rsid w:val="00CE69CB"/>
    <w:rsid w:val="00CF15FF"/>
    <w:rsid w:val="00CF45E6"/>
    <w:rsid w:val="00CF5343"/>
    <w:rsid w:val="00D0395A"/>
    <w:rsid w:val="00D03CB6"/>
    <w:rsid w:val="00D1339D"/>
    <w:rsid w:val="00D138E9"/>
    <w:rsid w:val="00D176A7"/>
    <w:rsid w:val="00D1772F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C64A7"/>
    <w:rsid w:val="00DD21C2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FDF"/>
    <w:rsid w:val="00E26FCF"/>
    <w:rsid w:val="00E4020B"/>
    <w:rsid w:val="00E4272C"/>
    <w:rsid w:val="00E44A53"/>
    <w:rsid w:val="00E451CE"/>
    <w:rsid w:val="00E46AED"/>
    <w:rsid w:val="00E512A3"/>
    <w:rsid w:val="00E55102"/>
    <w:rsid w:val="00E55C29"/>
    <w:rsid w:val="00E55F71"/>
    <w:rsid w:val="00E6118A"/>
    <w:rsid w:val="00E64650"/>
    <w:rsid w:val="00E65B27"/>
    <w:rsid w:val="00E7130A"/>
    <w:rsid w:val="00E71F72"/>
    <w:rsid w:val="00E74A02"/>
    <w:rsid w:val="00E752EE"/>
    <w:rsid w:val="00E77CE9"/>
    <w:rsid w:val="00E800CC"/>
    <w:rsid w:val="00E805D6"/>
    <w:rsid w:val="00E84774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F27A7"/>
    <w:rsid w:val="00EF332B"/>
    <w:rsid w:val="00EF5CA1"/>
    <w:rsid w:val="00F0073B"/>
    <w:rsid w:val="00F02B88"/>
    <w:rsid w:val="00F03822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3CF7"/>
    <w:rsid w:val="00F350ED"/>
    <w:rsid w:val="00F40304"/>
    <w:rsid w:val="00F43C43"/>
    <w:rsid w:val="00F45FDE"/>
    <w:rsid w:val="00F506E5"/>
    <w:rsid w:val="00F520BC"/>
    <w:rsid w:val="00F5299D"/>
    <w:rsid w:val="00F56F61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3E5"/>
    <w:rsid w:val="00FB1D81"/>
    <w:rsid w:val="00FB200D"/>
    <w:rsid w:val="00FB2CA8"/>
    <w:rsid w:val="00FB5403"/>
    <w:rsid w:val="00FC2CE5"/>
    <w:rsid w:val="00FC7738"/>
    <w:rsid w:val="00FD6991"/>
    <w:rsid w:val="00FE2C83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1.47E-2</c:v>
                </c:pt>
                <c:pt idx="1">
                  <c:v>2.1999999999999999E-2</c:v>
                </c:pt>
                <c:pt idx="2">
                  <c:v>0.2717</c:v>
                </c:pt>
                <c:pt idx="3">
                  <c:v>0.16650000000000001</c:v>
                </c:pt>
                <c:pt idx="4">
                  <c:v>1.0999999999999999E-2</c:v>
                </c:pt>
                <c:pt idx="5">
                  <c:v>1.1999999999999999E-3</c:v>
                </c:pt>
                <c:pt idx="6">
                  <c:v>0.14199999999999999</c:v>
                </c:pt>
                <c:pt idx="7">
                  <c:v>2.8199999999999999E-2</c:v>
                </c:pt>
                <c:pt idx="8">
                  <c:v>0.19089999999999999</c:v>
                </c:pt>
                <c:pt idx="9">
                  <c:v>1.0999999999999999E-2</c:v>
                </c:pt>
                <c:pt idx="10">
                  <c:v>0.14080000000000001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 Complaints</c:v>
                </c:pt>
                <c:pt idx="4">
                  <c:v>Dispatch Complaints</c:v>
                </c:pt>
                <c:pt idx="5">
                  <c:v>Vendor No Show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1.7500000000000002E-2</c:v>
                </c:pt>
                <c:pt idx="1">
                  <c:v>0.1754</c:v>
                </c:pt>
                <c:pt idx="2" formatCode="0%">
                  <c:v>0.43859999999999999</c:v>
                </c:pt>
                <c:pt idx="3" formatCode="0%">
                  <c:v>3.5099999999999999E-2</c:v>
                </c:pt>
                <c:pt idx="4">
                  <c:v>1.7500000000000002E-2</c:v>
                </c:pt>
                <c:pt idx="5">
                  <c:v>0.31580000000000003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2" ma:contentTypeDescription="Create a new document." ma:contentTypeScope="" ma:versionID="c7b633c3af34dbfe4fb6488c855546e9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8f6195bd45dfefc40d5e4af3c14f356c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FD789-F395-4666-8139-77802B78B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2B4123-18AC-4597-AF74-23FF2DF26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A1119-BDE9-44D2-A4A7-D45F70174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CE543D-765F-4542-A105-348A415A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2023-03-28T18:54:00Z</dcterms:created>
  <dcterms:modified xsi:type="dcterms:W3CDTF">2023-03-28T18:54:00Z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