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4F4D7FEE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34328">
        <w:t>September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F0A8739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467,096</w:t>
            </w:r>
          </w:p>
        </w:tc>
        <w:tc>
          <w:tcPr>
            <w:tcW w:w="2160" w:type="dxa"/>
          </w:tcPr>
          <w:p w14:paraId="186F4DF8" w14:textId="157DE7C5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128,953</w:t>
            </w:r>
          </w:p>
        </w:tc>
        <w:tc>
          <w:tcPr>
            <w:tcW w:w="1980" w:type="dxa"/>
          </w:tcPr>
          <w:p w14:paraId="71E92A97" w14:textId="184C68F0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596,049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4BD77B5A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275,921</w:t>
            </w:r>
          </w:p>
        </w:tc>
        <w:tc>
          <w:tcPr>
            <w:tcW w:w="2160" w:type="dxa"/>
          </w:tcPr>
          <w:p w14:paraId="4D3F8DF1" w14:textId="1CD43F69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67,856</w:t>
            </w:r>
          </w:p>
        </w:tc>
        <w:tc>
          <w:tcPr>
            <w:tcW w:w="1980" w:type="dxa"/>
          </w:tcPr>
          <w:p w14:paraId="292BBD18" w14:textId="1454EEED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343,777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1F982E36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257,282</w:t>
            </w:r>
          </w:p>
        </w:tc>
        <w:tc>
          <w:tcPr>
            <w:tcW w:w="2160" w:type="dxa"/>
          </w:tcPr>
          <w:p w14:paraId="37DF2AF8" w14:textId="6D62DEA9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64,844</w:t>
            </w:r>
          </w:p>
        </w:tc>
        <w:tc>
          <w:tcPr>
            <w:tcW w:w="1980" w:type="dxa"/>
          </w:tcPr>
          <w:p w14:paraId="07802BC9" w14:textId="24B7D8B0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322,126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51C8A344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18,639</w:t>
            </w:r>
          </w:p>
        </w:tc>
        <w:tc>
          <w:tcPr>
            <w:tcW w:w="2160" w:type="dxa"/>
          </w:tcPr>
          <w:p w14:paraId="7AE69DBF" w14:textId="016D4B9A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980" w:type="dxa"/>
          </w:tcPr>
          <w:p w14:paraId="7C3E975A" w14:textId="2430D35E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21,651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36A3E866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260,865</w:t>
            </w:r>
          </w:p>
        </w:tc>
        <w:tc>
          <w:tcPr>
            <w:tcW w:w="2160" w:type="dxa"/>
          </w:tcPr>
          <w:p w14:paraId="2B3C15B8" w14:textId="5715BACE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61,097</w:t>
            </w:r>
          </w:p>
        </w:tc>
        <w:tc>
          <w:tcPr>
            <w:tcW w:w="1980" w:type="dxa"/>
          </w:tcPr>
          <w:p w14:paraId="7FDFC607" w14:textId="47E638AC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321,962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373C593E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366,386</w:t>
            </w:r>
          </w:p>
        </w:tc>
        <w:tc>
          <w:tcPr>
            <w:tcW w:w="2160" w:type="dxa"/>
          </w:tcPr>
          <w:p w14:paraId="0530B0D8" w14:textId="281475D3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99,311</w:t>
            </w:r>
          </w:p>
        </w:tc>
        <w:tc>
          <w:tcPr>
            <w:tcW w:w="1980" w:type="dxa"/>
          </w:tcPr>
          <w:p w14:paraId="43084E0E" w14:textId="06F703DD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465,697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092FD59A" w:rsidR="00C15EB6" w:rsidRPr="00C15EB6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326,590</w:t>
            </w:r>
          </w:p>
        </w:tc>
        <w:tc>
          <w:tcPr>
            <w:tcW w:w="2160" w:type="dxa"/>
          </w:tcPr>
          <w:p w14:paraId="0378CDAF" w14:textId="79B8281E" w:rsidR="00C15EB6" w:rsidRPr="002A6F50" w:rsidRDefault="00010F25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93,252</w:t>
            </w:r>
          </w:p>
        </w:tc>
        <w:tc>
          <w:tcPr>
            <w:tcW w:w="1980" w:type="dxa"/>
          </w:tcPr>
          <w:p w14:paraId="1C802D17" w14:textId="51097A8C" w:rsidR="00C15EB6" w:rsidRPr="002D4A2C" w:rsidRDefault="00E7119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419,842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4E9BCADB" w:rsidR="00C15EB6" w:rsidRPr="00C15EB6" w:rsidRDefault="00F34328" w:rsidP="00F343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39,796</w:t>
            </w:r>
          </w:p>
        </w:tc>
        <w:tc>
          <w:tcPr>
            <w:tcW w:w="2160" w:type="dxa"/>
          </w:tcPr>
          <w:p w14:paraId="52BD2673" w14:textId="73637C7C" w:rsidR="00C15EB6" w:rsidRPr="002A6F50" w:rsidRDefault="00010F25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6,059</w:t>
            </w:r>
          </w:p>
        </w:tc>
        <w:tc>
          <w:tcPr>
            <w:tcW w:w="1980" w:type="dxa"/>
          </w:tcPr>
          <w:p w14:paraId="6CF105B1" w14:textId="394F8B47" w:rsidR="00C15EB6" w:rsidRPr="002D4A2C" w:rsidRDefault="00E71191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45,855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BA4944D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343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2253DAEF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FEE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0D792E56" w:rsidR="003118F7" w:rsidRPr="00096FE9" w:rsidRDefault="00F34328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160" w:type="dxa"/>
          </w:tcPr>
          <w:p w14:paraId="7D22DFEB" w14:textId="3B8A5ABB" w:rsidR="003118F7" w:rsidRPr="003118F7" w:rsidRDefault="00010F25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6E4FFD26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75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13ABF08E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F34328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  <w:shd w:val="clear" w:color="auto" w:fill="auto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22DB0D46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7EB2E25E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FDC783A" w:rsidR="009F2D5F" w:rsidRPr="002D4A2C" w:rsidRDefault="00C91F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328">
              <w:rPr>
                <w:rFonts w:ascii="Times New Roman" w:hAnsi="Times New Roman" w:cs="Times New Roman"/>
                <w:sz w:val="24"/>
                <w:szCs w:val="24"/>
              </w:rPr>
              <w:t>2,603</w:t>
            </w:r>
          </w:p>
        </w:tc>
        <w:tc>
          <w:tcPr>
            <w:tcW w:w="2362" w:type="dxa"/>
          </w:tcPr>
          <w:p w14:paraId="7BA65904" w14:textId="33C09414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1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D45295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1EB80991" w:rsidR="009F2D5F" w:rsidRPr="00D45295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F34328" w:rsidRPr="00D45295">
              <w:rPr>
                <w:rFonts w:ascii="Times New Roman" w:hAnsi="Times New Roman" w:cs="Times New Roman"/>
                <w:sz w:val="24"/>
                <w:szCs w:val="24"/>
              </w:rPr>
              <w:t>20:01</w:t>
            </w:r>
          </w:p>
        </w:tc>
        <w:tc>
          <w:tcPr>
            <w:tcW w:w="2362" w:type="dxa"/>
            <w:shd w:val="clear" w:color="auto" w:fill="auto"/>
          </w:tcPr>
          <w:p w14:paraId="048D38D7" w14:textId="307E73C8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01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1:02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45295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5B1A9F27" w:rsidR="009F2D5F" w:rsidRPr="00D45295" w:rsidRDefault="00F343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295">
              <w:rPr>
                <w:rFonts w:ascii="Times New Roman" w:hAnsi="Times New Roman" w:cs="Times New Roman"/>
                <w:sz w:val="24"/>
                <w:szCs w:val="24"/>
              </w:rPr>
              <w:t>31.74</w:t>
            </w:r>
            <w:r w:rsidR="000A24C0" w:rsidRPr="00D452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52AD998F" w:rsidR="009F2D5F" w:rsidRPr="002A6F50" w:rsidRDefault="00010F2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F34328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39225376" w:rsidR="009F2D5F" w:rsidRPr="002D4A2C" w:rsidRDefault="001752C2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49709749" w:rsidR="009F2D5F" w:rsidRPr="002A6F50" w:rsidRDefault="00FA57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606CECDD" w:rsidR="009F2D5F" w:rsidRPr="002D4A2C" w:rsidRDefault="001752C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14:paraId="4B71C2DA" w14:textId="16BD5C72" w:rsidR="009F2D5F" w:rsidRPr="002D4A2C" w:rsidRDefault="002A6F5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85" w:type="dxa"/>
          </w:tcPr>
          <w:p w14:paraId="664CF67E" w14:textId="1231CD21" w:rsidR="009F2D5F" w:rsidRPr="002D4A2C" w:rsidRDefault="00477C7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AFD0FF4" w:rsidR="00CE69CB" w:rsidRPr="00041757" w:rsidRDefault="0014323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322" w:type="dxa"/>
          </w:tcPr>
          <w:p w14:paraId="3E389683" w14:textId="0CABA834" w:rsidR="00CE69CB" w:rsidRPr="002A6F50" w:rsidRDefault="00010F2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A304B39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010FC156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D45295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41169C81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6BDE475A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0F25">
              <w:rPr>
                <w:rFonts w:ascii="Times New Roman" w:hAnsi="Times New Roman" w:cs="Times New Roman"/>
                <w:sz w:val="24"/>
                <w:szCs w:val="24"/>
              </w:rPr>
              <w:t>9.96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08D8D5BE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323B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D45295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25FEC84B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18BDD988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A046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43A68E35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2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643C5A02">
            <wp:extent cx="6267450" cy="4385310"/>
            <wp:effectExtent l="0" t="0" r="0" b="15240"/>
            <wp:docPr id="3" name="Chart 3" descr="MART&#10;Other: 0.00%&#10;Vendor Early Arrival: 0.17%&#10;Vendor No Show: 17.30%&#10;Positive Feedback: 0.00%&#10;Member Behavior (Including member no show): 3.33%&#10;Wheelchair Securement Complaints: 0.33%&#10;Broker Complaints: 0.33%&#10;Call Center Staff Complaints: 0.00%&#10;Dispatch Complaints: 1.00%&#10;Missed Appointments Complaints: 29.45%&#10;On-Time Performance (OTP) Complaints: 36.27%&#10;Driver Complaints: 8.99%&#10;Vehicle Complaints: 2.8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CFCBC68">
            <wp:extent cx="6248400" cy="4199890"/>
            <wp:effectExtent l="0" t="0" r="0" b="0"/>
            <wp:docPr id="2" name="Chart 2" descr="GATRA:&#10;Other: 0.00%&#10;Vendor Early Arrival: 0.00%&#10;Vendor No Show: 23.81%&#10;Positive Feedback: 0.00%&#10;Member Behavior (Including Member No-Show): 0.00%&#10;Wheelchair Securement Complaints: 0.00%&#10;Broker Complaints: 0.00%&#10;Call Center Staff Complaints: 0.00%&#10;Dispatch Complaints: 1.90%&#10;Missed Appointment Complaints: 1.90%&#10;On-Time Performance Complaints: 48.57%&#10;Driver Complaints: 18.10%&#10;Vehicle Complaints: 5.71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25DA" w14:textId="77777777" w:rsidR="006F362E" w:rsidRDefault="006F362E" w:rsidP="00F6563C">
      <w:pPr>
        <w:spacing w:after="0" w:line="240" w:lineRule="auto"/>
      </w:pPr>
      <w:r>
        <w:separator/>
      </w:r>
    </w:p>
  </w:endnote>
  <w:endnote w:type="continuationSeparator" w:id="0">
    <w:p w14:paraId="270C4BCA" w14:textId="77777777" w:rsidR="006F362E" w:rsidRDefault="006F362E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69227" w14:textId="77777777" w:rsidR="006F362E" w:rsidRDefault="006F362E" w:rsidP="00F6563C">
      <w:pPr>
        <w:spacing w:after="0" w:line="240" w:lineRule="auto"/>
      </w:pPr>
      <w:r>
        <w:separator/>
      </w:r>
    </w:p>
  </w:footnote>
  <w:footnote w:type="continuationSeparator" w:id="0">
    <w:p w14:paraId="2862B721" w14:textId="77777777" w:rsidR="006F362E" w:rsidRDefault="006F362E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5945D690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F2295">
        <w:rPr>
          <w:rFonts w:ascii="Times New Roman" w:hAnsi="Times New Roman" w:cs="Times New Roman"/>
          <w:sz w:val="18"/>
          <w:szCs w:val="18"/>
        </w:rPr>
        <w:t>4.18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C744AB">
        <w:rPr>
          <w:rFonts w:ascii="Times New Roman" w:hAnsi="Times New Roman" w:cs="Times New Roman"/>
          <w:sz w:val="18"/>
          <w:szCs w:val="18"/>
        </w:rPr>
        <w:t>8.</w:t>
      </w:r>
      <w:r w:rsidR="00BA0460">
        <w:rPr>
          <w:rFonts w:ascii="Times New Roman" w:hAnsi="Times New Roman" w:cs="Times New Roman"/>
          <w:sz w:val="18"/>
          <w:szCs w:val="18"/>
        </w:rPr>
        <w:t>92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04B458C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</w:t>
      </w:r>
      <w:r w:rsidR="001F2295">
        <w:rPr>
          <w:rFonts w:ascii="Times New Roman" w:hAnsi="Times New Roman" w:cs="Times New Roman"/>
          <w:sz w:val="18"/>
          <w:szCs w:val="18"/>
        </w:rPr>
        <w:t>3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4EE"/>
    <w:rsid w:val="00136EAF"/>
    <w:rsid w:val="0014323B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1E1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2295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77C7B"/>
    <w:rsid w:val="0048153E"/>
    <w:rsid w:val="00485B87"/>
    <w:rsid w:val="00487158"/>
    <w:rsid w:val="00487833"/>
    <w:rsid w:val="00487CF7"/>
    <w:rsid w:val="004902F7"/>
    <w:rsid w:val="00490E9E"/>
    <w:rsid w:val="00491ED4"/>
    <w:rsid w:val="0049531A"/>
    <w:rsid w:val="004976BC"/>
    <w:rsid w:val="004A1244"/>
    <w:rsid w:val="004A39F3"/>
    <w:rsid w:val="004A5219"/>
    <w:rsid w:val="004B3135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3386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362E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0FEE"/>
    <w:rsid w:val="00B813A2"/>
    <w:rsid w:val="00B86589"/>
    <w:rsid w:val="00B8692C"/>
    <w:rsid w:val="00B872AD"/>
    <w:rsid w:val="00B93033"/>
    <w:rsid w:val="00B93C87"/>
    <w:rsid w:val="00B97204"/>
    <w:rsid w:val="00B97A24"/>
    <w:rsid w:val="00BA03FE"/>
    <w:rsid w:val="00BA0460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0386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295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713"/>
    <w:rsid w:val="00FB0FF0"/>
    <w:rsid w:val="00FB13E5"/>
    <w:rsid w:val="00FB1D81"/>
    <w:rsid w:val="00FB200D"/>
    <w:rsid w:val="00FB20DF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2.8299999999999999E-2</c:v>
                </c:pt>
                <c:pt idx="1">
                  <c:v>8.9899999999999994E-2</c:v>
                </c:pt>
                <c:pt idx="2">
                  <c:v>0.36270000000000002</c:v>
                </c:pt>
                <c:pt idx="3">
                  <c:v>0.29449999999999998</c:v>
                </c:pt>
                <c:pt idx="4">
                  <c:v>0.01</c:v>
                </c:pt>
                <c:pt idx="5">
                  <c:v>0</c:v>
                </c:pt>
                <c:pt idx="6">
                  <c:v>3.3E-3</c:v>
                </c:pt>
                <c:pt idx="7">
                  <c:v>3.3E-3</c:v>
                </c:pt>
                <c:pt idx="8">
                  <c:v>3.3300000000000003E-2</c:v>
                </c:pt>
                <c:pt idx="9">
                  <c:v>0</c:v>
                </c:pt>
                <c:pt idx="10">
                  <c:v>0.17299999999999999</c:v>
                </c:pt>
                <c:pt idx="11">
                  <c:v>1.6999999999999999E-3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5.7099999999999998E-2</c:v>
                </c:pt>
                <c:pt idx="1">
                  <c:v>0.18099999999999999</c:v>
                </c:pt>
                <c:pt idx="2">
                  <c:v>0.48570000000000002</c:v>
                </c:pt>
                <c:pt idx="3">
                  <c:v>1.9E-2</c:v>
                </c:pt>
                <c:pt idx="4">
                  <c:v>1.9E-2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0.23810000000000001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2024-11-05T16:06:00Z</dcterms:created>
  <dcterms:modified xsi:type="dcterms:W3CDTF">2024-11-05T16:06:00Z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