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F" w:rsidRPr="00932278" w:rsidRDefault="00BC7E1F" w:rsidP="00932278">
      <w:pPr>
        <w:spacing w:after="0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9322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924BC10" wp14:editId="714F8D86">
            <wp:simplePos x="0" y="0"/>
            <wp:positionH relativeFrom="column">
              <wp:posOffset>-123825</wp:posOffset>
            </wp:positionH>
            <wp:positionV relativeFrom="paragraph">
              <wp:posOffset>-409575</wp:posOffset>
            </wp:positionV>
            <wp:extent cx="981075" cy="1238250"/>
            <wp:effectExtent l="0" t="0" r="9525" b="0"/>
            <wp:wrapNone/>
            <wp:docPr id="4" name="Picture 4" descr="SSEAL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EAL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278">
        <w:rPr>
          <w:rFonts w:ascii="Times New Roman" w:hAnsi="Times New Roman" w:cs="Times New Roman"/>
          <w:iCs/>
          <w:sz w:val="30"/>
          <w:szCs w:val="30"/>
        </w:rPr>
        <w:t>The Commonwealth of Massachusetts</w:t>
      </w:r>
    </w:p>
    <w:p w:rsidR="00BC7E1F" w:rsidRPr="00932278" w:rsidRDefault="00BC7E1F" w:rsidP="00932278">
      <w:pPr>
        <w:spacing w:after="0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932278">
        <w:rPr>
          <w:rFonts w:ascii="Times New Roman" w:hAnsi="Times New Roman" w:cs="Times New Roman"/>
          <w:iCs/>
          <w:sz w:val="30"/>
          <w:szCs w:val="30"/>
        </w:rPr>
        <w:t>Executive Office of Health and Human Services</w:t>
      </w:r>
    </w:p>
    <w:p w:rsidR="00BC7E1F" w:rsidRPr="00932278" w:rsidRDefault="00BC7E1F" w:rsidP="0093227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32278">
        <w:rPr>
          <w:rFonts w:ascii="Times New Roman" w:hAnsi="Times New Roman" w:cs="Times New Roman"/>
          <w:iCs/>
          <w:sz w:val="28"/>
          <w:szCs w:val="28"/>
        </w:rPr>
        <w:t>Office of Human Resources</w:t>
      </w:r>
    </w:p>
    <w:p w:rsidR="00BC7E1F" w:rsidRPr="00932278" w:rsidRDefault="00BC7E1F" w:rsidP="00BC7E1F">
      <w:pPr>
        <w:pStyle w:val="Heading2"/>
        <w:rPr>
          <w:rFonts w:ascii="Times New Roman" w:hAnsi="Times New Roman" w:cs="Times New Roman"/>
          <w:i w:val="0"/>
          <w:color w:val="auto"/>
          <w:sz w:val="18"/>
          <w:szCs w:val="28"/>
        </w:rPr>
      </w:pPr>
      <w:r w:rsidRPr="00932278">
        <w:rPr>
          <w:rFonts w:ascii="Times New Roman" w:hAnsi="Times New Roman" w:cs="Times New Roman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F5341C" wp14:editId="40DCD556">
                <wp:simplePos x="0" y="0"/>
                <wp:positionH relativeFrom="column">
                  <wp:posOffset>4914900</wp:posOffset>
                </wp:positionH>
                <wp:positionV relativeFrom="paragraph">
                  <wp:posOffset>173990</wp:posOffset>
                </wp:positionV>
                <wp:extent cx="1466850" cy="685800"/>
                <wp:effectExtent l="0" t="317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E1F" w:rsidRDefault="00BC7E1F" w:rsidP="00BC7E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8"/>
                              </w:rPr>
                            </w:pPr>
                          </w:p>
                          <w:p w:rsidR="00BC7E1F" w:rsidRDefault="00BC7E1F" w:rsidP="00BC7E1F">
                            <w:pPr>
                              <w:rPr>
                                <w:rFonts w:ascii="Bookman" w:hAnsi="Bookman"/>
                                <w:color w:val="6666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pt;margin-top:13.7pt;width:115.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" filled="f" stroked="f">
                <v:textbox>
                  <w:txbxContent>
                    <w:p w:rsidR="00BC7E1F" w:rsidRDefault="00BC7E1F" w:rsidP="00BC7E1F">
                      <w:pPr>
                        <w:jc w:val="center"/>
                        <w:rPr>
                          <w:rFonts w:ascii="Bookman" w:hAnsi="Bookman"/>
                          <w:color w:val="333399"/>
                          <w:sz w:val="8"/>
                        </w:rPr>
                      </w:pPr>
                    </w:p>
                    <w:p w:rsidR="00BC7E1F" w:rsidRDefault="00BC7E1F" w:rsidP="00BC7E1F">
                      <w:pPr>
                        <w:rPr>
                          <w:rFonts w:ascii="Bookman" w:hAnsi="Bookman"/>
                          <w:color w:val="6666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2278">
        <w:rPr>
          <w:rFonts w:ascii="Times New Roman" w:hAnsi="Times New Roman" w:cs="Times New Roman"/>
          <w:i w:val="0"/>
          <w:color w:val="auto"/>
          <w:sz w:val="18"/>
          <w:szCs w:val="28"/>
        </w:rPr>
        <w:t>600 Washington Street, 7</w:t>
      </w:r>
      <w:r w:rsidRPr="00932278">
        <w:rPr>
          <w:rFonts w:ascii="Times New Roman" w:hAnsi="Times New Roman" w:cs="Times New Roman"/>
          <w:i w:val="0"/>
          <w:color w:val="auto"/>
          <w:sz w:val="18"/>
          <w:szCs w:val="28"/>
          <w:vertAlign w:val="superscript"/>
        </w:rPr>
        <w:t>th</w:t>
      </w:r>
      <w:r w:rsidRPr="00932278">
        <w:rPr>
          <w:rFonts w:ascii="Times New Roman" w:hAnsi="Times New Roman" w:cs="Times New Roman"/>
          <w:i w:val="0"/>
          <w:color w:val="auto"/>
          <w:sz w:val="18"/>
          <w:szCs w:val="28"/>
        </w:rPr>
        <w:t xml:space="preserve"> Floor, Boston, MA  02111</w:t>
      </w:r>
    </w:p>
    <w:p w:rsidR="00BC7E1F" w:rsidRPr="00932278" w:rsidRDefault="00BC7E1F" w:rsidP="00BC7E1F">
      <w:pPr>
        <w:pStyle w:val="Heading2"/>
        <w:rPr>
          <w:rFonts w:ascii="Times New Roman" w:hAnsi="Times New Roman" w:cs="Times New Roman"/>
          <w:i w:val="0"/>
          <w:color w:val="auto"/>
          <w:sz w:val="18"/>
          <w:szCs w:val="28"/>
        </w:rPr>
      </w:pPr>
      <w:r w:rsidRPr="00932278">
        <w:rPr>
          <w:rFonts w:ascii="Times New Roman" w:hAnsi="Times New Roman" w:cs="Times New Roman"/>
          <w:i w:val="0"/>
          <w:color w:val="auto"/>
          <w:sz w:val="18"/>
          <w:szCs w:val="28"/>
        </w:rPr>
        <w:t>Phone: (800) 510-4122 Fax: (617) 348-5980</w:t>
      </w:r>
    </w:p>
    <w:p w:rsidR="00BC7E1F" w:rsidRPr="00932278" w:rsidRDefault="00BC7E1F" w:rsidP="00BC7E1F">
      <w:pPr>
        <w:pStyle w:val="Heading2"/>
        <w:rPr>
          <w:rFonts w:ascii="Times New Roman" w:hAnsi="Times New Roman" w:cs="Times New Roman"/>
          <w:i w:val="0"/>
          <w:color w:val="auto"/>
          <w:sz w:val="18"/>
          <w:szCs w:val="28"/>
        </w:rPr>
      </w:pPr>
      <w:hyperlink r:id="rId6" w:history="1">
        <w:r w:rsidRPr="00932278">
          <w:rPr>
            <w:rStyle w:val="Hyperlink"/>
            <w:rFonts w:ascii="Times New Roman" w:hAnsi="Times New Roman" w:cs="Times New Roman"/>
            <w:i w:val="0"/>
            <w:color w:val="auto"/>
            <w:sz w:val="18"/>
            <w:szCs w:val="28"/>
          </w:rPr>
          <w:t>www.mass.gov/eohhs</w:t>
        </w:r>
      </w:hyperlink>
    </w:p>
    <w:p w:rsidR="00BC7E1F" w:rsidRDefault="00BC7E1F" w:rsidP="00BC7E1F">
      <w:pPr>
        <w:pStyle w:val="Heading2"/>
        <w:rPr>
          <w:rFonts w:ascii="Bookman Old Style" w:hAnsi="Bookman Old Style" w:cs="Times New Roman"/>
          <w:i w:val="0"/>
          <w:szCs w:val="28"/>
        </w:rPr>
      </w:pPr>
      <w:r>
        <w:rPr>
          <w:rFonts w:ascii="Bookman Old Style" w:hAnsi="Bookman Old Style" w:cs="Times New Roman"/>
          <w:i w:val="0"/>
          <w:szCs w:val="28"/>
        </w:rPr>
        <w:t xml:space="preserve"> </w:t>
      </w:r>
    </w:p>
    <w:p w:rsidR="00BC7E1F" w:rsidRDefault="00BC7E1F" w:rsidP="00BC7E1F">
      <w:pPr>
        <w:rPr>
          <w:rFonts w:ascii="Bookman Old Style" w:hAnsi="Bookman Old Style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F1922A" wp14:editId="16814D39">
                <wp:simplePos x="0" y="0"/>
                <wp:positionH relativeFrom="column">
                  <wp:posOffset>-342900</wp:posOffset>
                </wp:positionH>
                <wp:positionV relativeFrom="paragraph">
                  <wp:posOffset>74930</wp:posOffset>
                </wp:positionV>
                <wp:extent cx="13970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E1F" w:rsidRPr="00932278" w:rsidRDefault="00BC7E1F" w:rsidP="00BC7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322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DEVAL L. PATRICK</w:t>
                            </w:r>
                          </w:p>
                          <w:p w:rsidR="00BC7E1F" w:rsidRPr="00932278" w:rsidRDefault="00BC7E1F" w:rsidP="00BC7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322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Governor</w:t>
                            </w:r>
                          </w:p>
                          <w:p w:rsidR="00BC7E1F" w:rsidRPr="00932278" w:rsidRDefault="00BC7E1F" w:rsidP="00BC7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322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JOHN W. POLANOWICZ</w:t>
                            </w:r>
                          </w:p>
                          <w:p w:rsidR="00BC7E1F" w:rsidRPr="00932278" w:rsidRDefault="00BC7E1F" w:rsidP="00BC7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322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Secretary</w:t>
                            </w:r>
                          </w:p>
                          <w:p w:rsidR="00BC7E1F" w:rsidRDefault="00BC7E1F" w:rsidP="00BC7E1F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</w:rPr>
                            </w:pPr>
                          </w:p>
                          <w:p w:rsidR="00BC7E1F" w:rsidRDefault="00BC7E1F" w:rsidP="00BC7E1F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7pt;margin-top:5.9pt;width:110pt;height:10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" filled="f" stroked="f">
                <v:textbox>
                  <w:txbxContent>
                    <w:p w:rsidR="00BC7E1F" w:rsidRPr="00932278" w:rsidRDefault="00BC7E1F" w:rsidP="00BC7E1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932278">
                        <w:rPr>
                          <w:rFonts w:ascii="Times New Roman" w:hAnsi="Times New Roman" w:cs="Times New Roman"/>
                          <w:sz w:val="16"/>
                        </w:rPr>
                        <w:t>DEVAL L. PATRICK</w:t>
                      </w:r>
                    </w:p>
                    <w:p w:rsidR="00BC7E1F" w:rsidRPr="00932278" w:rsidRDefault="00BC7E1F" w:rsidP="00BC7E1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932278">
                        <w:rPr>
                          <w:rFonts w:ascii="Times New Roman" w:hAnsi="Times New Roman" w:cs="Times New Roman"/>
                          <w:sz w:val="16"/>
                        </w:rPr>
                        <w:t>Governor</w:t>
                      </w:r>
                    </w:p>
                    <w:p w:rsidR="00BC7E1F" w:rsidRPr="00932278" w:rsidRDefault="00BC7E1F" w:rsidP="00BC7E1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932278">
                        <w:rPr>
                          <w:rFonts w:ascii="Times New Roman" w:hAnsi="Times New Roman" w:cs="Times New Roman"/>
                          <w:sz w:val="16"/>
                        </w:rPr>
                        <w:t>JOHN W. POLANOWICZ</w:t>
                      </w:r>
                    </w:p>
                    <w:p w:rsidR="00BC7E1F" w:rsidRPr="00932278" w:rsidRDefault="00BC7E1F" w:rsidP="00BC7E1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932278">
                        <w:rPr>
                          <w:rFonts w:ascii="Times New Roman" w:hAnsi="Times New Roman" w:cs="Times New Roman"/>
                          <w:sz w:val="16"/>
                        </w:rPr>
                        <w:t>Secretary</w:t>
                      </w:r>
                    </w:p>
                    <w:p w:rsidR="00BC7E1F" w:rsidRDefault="00BC7E1F" w:rsidP="00BC7E1F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</w:rPr>
                      </w:pPr>
                    </w:p>
                    <w:p w:rsidR="00BC7E1F" w:rsidRDefault="00BC7E1F" w:rsidP="00BC7E1F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7E1F" w:rsidRDefault="00BC7E1F" w:rsidP="00BC7E1F">
      <w:pPr>
        <w:jc w:val="center"/>
        <w:rPr>
          <w:rFonts w:ascii="Bookman Old Style" w:hAnsi="Bookman Old Style" w:cs="Arial"/>
          <w:b/>
          <w:i/>
        </w:rPr>
      </w:pPr>
    </w:p>
    <w:p w:rsidR="00BC7E1F" w:rsidRDefault="00BC7E1F" w:rsidP="00BC7E1F">
      <w:pPr>
        <w:jc w:val="center"/>
        <w:rPr>
          <w:rFonts w:ascii="Bookman Old Style" w:hAnsi="Bookman Old Style" w:cs="Arial"/>
          <w:b/>
          <w:i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Default="00510BCD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November 18, 2014</w:t>
      </w:r>
    </w:p>
    <w:p w:rsidR="00510BCD" w:rsidRDefault="00510BCD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10BCD" w:rsidRDefault="00510BCD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Dear EOHHS Agency Head: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On February 15,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2013, Governor Deval Patrick signed legislation which charged the Executive Office of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Health and Human Services (EOHHS) with promulgating regulations (101 CMR 19.00) to address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Human Service Worker safety through the implementation of the workplace violence prevention plan.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addition, this legislation required EOHHS to develop and provide workplace safety training to EOHHS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employees and programs as defined in 101 CMR 19.00.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EOHHS recognizes that workplace violence can threaten the health and safety of everyone in the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workplace. The regulations define where and to whom the requirements apply: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Human </w:t>
      </w:r>
      <w:r w:rsidRPr="00BC7E1F">
        <w:rPr>
          <w:rFonts w:ascii="Times New Roman" w:hAnsi="Times New Roman" w:cs="Times New Roman"/>
          <w:b/>
          <w:sz w:val="23"/>
          <w:szCs w:val="23"/>
        </w:rPr>
        <w:t>Service Worker</w:t>
      </w:r>
      <w:r>
        <w:rPr>
          <w:rFonts w:ascii="Times New Roman" w:hAnsi="Times New Roman" w:cs="Times New Roman"/>
          <w:sz w:val="23"/>
          <w:szCs w:val="23"/>
        </w:rPr>
        <w:t>: any person who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works for a program. This includes, but is not limited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 employees, contracted employees, interns, and volunteers.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BC7E1F">
        <w:rPr>
          <w:rFonts w:ascii="Times New Roman" w:hAnsi="Times New Roman" w:cs="Times New Roman"/>
          <w:b/>
          <w:sz w:val="23"/>
          <w:szCs w:val="23"/>
        </w:rPr>
        <w:t>Program</w:t>
      </w:r>
      <w:r>
        <w:rPr>
          <w:rFonts w:ascii="Times New Roman" w:hAnsi="Times New Roman" w:cs="Times New Roman"/>
          <w:sz w:val="23"/>
          <w:szCs w:val="23"/>
        </w:rPr>
        <w:t>: any entity operated, licensed, certified, or funded by a department, commission, office,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board, division, institution, or other entity within EOHHS under M.G.L. c. 6A, § 16 that provides direct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services to clients.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C7E1F">
        <w:rPr>
          <w:rFonts w:ascii="Times New Roman" w:hAnsi="Times New Roman" w:cs="Times New Roman"/>
          <w:b/>
          <w:sz w:val="23"/>
          <w:szCs w:val="23"/>
        </w:rPr>
        <w:t>Workplace</w:t>
      </w:r>
      <w:r>
        <w:rPr>
          <w:rFonts w:ascii="Times New Roman" w:hAnsi="Times New Roman" w:cs="Times New Roman"/>
          <w:sz w:val="23"/>
          <w:szCs w:val="23"/>
        </w:rPr>
        <w:t>: any location where business is conducted or site w</w:t>
      </w:r>
      <w:r>
        <w:rPr>
          <w:rFonts w:ascii="Times New Roman" w:hAnsi="Times New Roman" w:cs="Times New Roman"/>
          <w:sz w:val="23"/>
          <w:szCs w:val="23"/>
        </w:rPr>
        <w:t xml:space="preserve">here the human service worker is </w:t>
      </w:r>
      <w:r>
        <w:rPr>
          <w:rFonts w:ascii="Times New Roman" w:hAnsi="Times New Roman" w:cs="Times New Roman"/>
          <w:sz w:val="23"/>
          <w:szCs w:val="23"/>
        </w:rPr>
        <w:t xml:space="preserve">considered "on duty." Private vehicles used for business are included in 101 CMR 19.02: </w:t>
      </w:r>
      <w:r>
        <w:rPr>
          <w:rFonts w:ascii="Times New Roman" w:hAnsi="Times New Roman" w:cs="Times New Roman"/>
          <w:i/>
          <w:iCs/>
          <w:sz w:val="24"/>
          <w:szCs w:val="24"/>
        </w:rPr>
        <w:t>Workplace.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P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BC7E1F">
        <w:rPr>
          <w:rFonts w:ascii="Times New Roman" w:hAnsi="Times New Roman" w:cs="Times New Roman"/>
          <w:sz w:val="23"/>
          <w:szCs w:val="23"/>
          <w:u w:val="single"/>
        </w:rPr>
        <w:t>Contract Language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Workplace Violence Prevention and Crisis Response Plan regulation is being incorporated into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Required Specifications issued by the Operational Services Division. Once this language is included in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 Required Specifications, 101 CMR 19.00 will apply to any Purchase of Service client services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contract that your organization currently holds with an EOHHS Constituent Agency.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C7E1F">
        <w:rPr>
          <w:rFonts w:ascii="Times New Roman" w:hAnsi="Times New Roman" w:cs="Times New Roman"/>
          <w:sz w:val="23"/>
          <w:szCs w:val="23"/>
          <w:u w:val="single"/>
        </w:rPr>
        <w:t>101 CMR 19.00</w:t>
      </w:r>
      <w:r>
        <w:rPr>
          <w:rFonts w:ascii="Times New Roman" w:hAnsi="Times New Roman" w:cs="Times New Roman"/>
          <w:sz w:val="23"/>
          <w:szCs w:val="23"/>
        </w:rPr>
        <w:t>: 101 CMR 19.00, Workplace Violence Prevention and Crisis Response Plan, governs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procedures and criteria for workplace violence prevention and response plans for programs that provide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direct services to clients that are operated, licensed, certified or funded by a department, commission,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office, board, division, institution or other entity within the Executive Office of Health and Human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Services under M.G.L. c. 6A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16. Any direct service program that contracts with the Executive Office of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Health and Human Services (EOHHS) or the constituent </w:t>
      </w:r>
      <w:r>
        <w:rPr>
          <w:rFonts w:ascii="Times New Roman" w:hAnsi="Times New Roman" w:cs="Times New Roman"/>
          <w:sz w:val="23"/>
          <w:szCs w:val="23"/>
        </w:rPr>
        <w:lastRenderedPageBreak/>
        <w:t>agencies of EOHHS must comply with 101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CMR 19.00, including having a plan that meets the criteria set forth in 101 CMR 19.04, which is updated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annually, available electronically and provided to any Human Service Worker upon request.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regulations and response plan guidelines are available at the following address (link).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BC7E1F">
        <w:rPr>
          <w:rFonts w:ascii="Times New Roman" w:hAnsi="Times New Roman" w:cs="Times New Roman"/>
          <w:sz w:val="23"/>
          <w:szCs w:val="23"/>
          <w:u w:val="single"/>
        </w:rPr>
        <w:t>Implementation of Regulation Requirements</w:t>
      </w:r>
    </w:p>
    <w:p w:rsidR="00BC7E1F" w:rsidRP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These regulations are in effect as of </w:t>
      </w:r>
      <w:r w:rsidRPr="00BC7E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February </w:t>
      </w:r>
      <w:r w:rsidRPr="00BC7E1F">
        <w:rPr>
          <w:rFonts w:ascii="Times New Roman" w:hAnsi="Times New Roman" w:cs="Times New Roman"/>
          <w:b/>
          <w:i/>
          <w:sz w:val="25"/>
          <w:szCs w:val="25"/>
        </w:rPr>
        <w:t xml:space="preserve">15, </w:t>
      </w:r>
      <w:r w:rsidRPr="00BC7E1F">
        <w:rPr>
          <w:rFonts w:ascii="Times New Roman" w:hAnsi="Times New Roman" w:cs="Times New Roman"/>
          <w:b/>
          <w:i/>
          <w:iCs/>
          <w:sz w:val="24"/>
          <w:szCs w:val="24"/>
        </w:rPr>
        <w:t>2015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EOHHS has developed a website: </w:t>
      </w:r>
      <w:hyperlink r:id="rId7" w:history="1">
        <w:r w:rsidRPr="00FD2B86">
          <w:rPr>
            <w:rStyle w:val="Hyperlink"/>
            <w:rFonts w:ascii="Times New Roman" w:hAnsi="Times New Roman" w:cs="Times New Roman"/>
            <w:sz w:val="23"/>
            <w:szCs w:val="23"/>
          </w:rPr>
          <w:t>www.mass.gov/hhs/hsw-safety-regs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 assist programs with the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various elements of implementing these regulations, including: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Timelines for implementation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Guidelines for development and implementation of the plan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Information on Training Certification options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EOHHS Safety Training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Certification Option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Law: M.G.L. c. 3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30 of the Acts of2013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Regulations: 101 CMR 19.00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This new website will be updated periodically as new information becomes available. In the meantime,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any questions regarding the implementation of the Human Service Worker Safety Regulations can be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addressed to Denise Attwood, Director of Employee Safety and Health, at (617) 348-5077 or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Pr="00FD2B86">
          <w:rPr>
            <w:rStyle w:val="Hyperlink"/>
            <w:rFonts w:ascii="Times New Roman" w:hAnsi="Times New Roman" w:cs="Times New Roman"/>
            <w:sz w:val="23"/>
            <w:szCs w:val="23"/>
          </w:rPr>
          <w:t>denise.attwood@state.ma.us</w:t>
        </w:r>
      </w:hyperlink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Sincerely,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James Montgomery-H</w:t>
      </w:r>
      <w:r>
        <w:rPr>
          <w:rFonts w:ascii="Times New Roman" w:hAnsi="Times New Roman" w:cs="Times New Roman"/>
          <w:sz w:val="23"/>
          <w:szCs w:val="23"/>
        </w:rPr>
        <w:t>yde</w:t>
      </w:r>
    </w:p>
    <w:p w:rsidR="00BC7E1F" w:rsidRDefault="00BC7E1F" w:rsidP="00BC7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Assistant Secretary of Administration and Finance</w:t>
      </w:r>
    </w:p>
    <w:p w:rsidR="00656797" w:rsidRDefault="00BC7E1F" w:rsidP="00BC7E1F">
      <w:r>
        <w:rPr>
          <w:rFonts w:ascii="Times New Roman" w:hAnsi="Times New Roman" w:cs="Times New Roman"/>
          <w:sz w:val="23"/>
          <w:szCs w:val="23"/>
        </w:rPr>
        <w:t>Executive Office of Health and Human Services</w:t>
      </w:r>
    </w:p>
    <w:sectPr w:rsidR="0065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F"/>
    <w:rsid w:val="001B7184"/>
    <w:rsid w:val="00510BCD"/>
    <w:rsid w:val="008A2B2C"/>
    <w:rsid w:val="00932278"/>
    <w:rsid w:val="00B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C7E1F"/>
    <w:pPr>
      <w:keepNext/>
      <w:spacing w:after="0" w:line="240" w:lineRule="auto"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E1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C7E1F"/>
    <w:rPr>
      <w:rFonts w:ascii="Bookman" w:eastAsia="Times New Roman" w:hAnsi="Bookman" w:cs="Arial"/>
      <w:i/>
      <w:iCs/>
      <w:color w:val="333399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C7E1F"/>
    <w:pPr>
      <w:keepNext/>
      <w:spacing w:after="0" w:line="240" w:lineRule="auto"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E1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C7E1F"/>
    <w:rPr>
      <w:rFonts w:ascii="Bookman" w:eastAsia="Times New Roman" w:hAnsi="Bookman" w:cs="Arial"/>
      <w:i/>
      <w:iCs/>
      <w:color w:val="333399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hyperlink" TargetMode="External" Target="http://www.mass.gov/eohhs"/>
  <Relationship Id="rId7" Type="http://schemas.openxmlformats.org/officeDocument/2006/relationships/hyperlink" TargetMode="External" Target="http://www.mass.gov/hhs/hsw-safety-regs"/>
  <Relationship Id="rId8" Type="http://schemas.openxmlformats.org/officeDocument/2006/relationships/hyperlink" TargetMode="External" Target="mailto:denise.attwood@state.ma.us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2014-11-19T16:26:00Z</dcterms:created>
  <dc:creator>Pukala, Michael (EHS)</dc:creator>
  <lastModifiedBy>Pukala, Michael (EHS)</lastModifiedBy>
  <dcterms:modified xsi:type="dcterms:W3CDTF">2014-11-19T16:40:00Z</dcterms:modified>
  <revision>2</revision>
</coreProperties>
</file>