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04" w:rsidRPr="00317E33" w:rsidRDefault="00B15104" w:rsidP="00821D48">
      <w:pPr>
        <w:pStyle w:val="BodyText"/>
        <w:framePr w:w="8594" w:h="1685" w:hSpace="180" w:wrap="around" w:vAnchor="text" w:hAnchor="page" w:x="3022" w:y="-116"/>
        <w:rPr>
          <w:rFonts w:ascii="Diploma" w:hAnsi="Diploma"/>
        </w:rPr>
      </w:pPr>
      <w:smartTag w:uri="urn:schemas-microsoft-com:office:smarttags" w:element="place">
        <w:smartTag w:uri="urn:schemas-microsoft-com:office:smarttags" w:element="PlaceType">
          <w:r w:rsidRPr="00317E33">
            <w:rPr>
              <w:rFonts w:ascii="Diploma" w:hAnsi="Diploma"/>
              <w:sz w:val="32"/>
            </w:rPr>
            <w:t>Commonwealth</w:t>
          </w:r>
        </w:smartTag>
        <w:r w:rsidRPr="00317E33">
          <w:rPr>
            <w:rFonts w:ascii="Diploma" w:hAnsi="Diploma"/>
            <w:sz w:val="32"/>
          </w:rPr>
          <w:t xml:space="preserve"> of </w:t>
        </w:r>
        <w:smartTag w:uri="urn:schemas-microsoft-com:office:smarttags" w:element="PlaceName">
          <w:r w:rsidRPr="00317E33">
            <w:rPr>
              <w:rFonts w:ascii="Diploma" w:hAnsi="Diploma"/>
              <w:sz w:val="32"/>
            </w:rPr>
            <w:t>Massachusetts</w:t>
          </w:r>
        </w:smartTag>
      </w:smartTag>
    </w:p>
    <w:p w:rsidR="00B15104" w:rsidRDefault="00B15104" w:rsidP="00821D48">
      <w:pPr>
        <w:pStyle w:val="BodyText"/>
        <w:framePr w:w="8594" w:h="1685" w:hSpace="180" w:wrap="around" w:vAnchor="text" w:hAnchor="page" w:x="3022" w:y="-116"/>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rsidR="00B15104" w:rsidRDefault="00B15104" w:rsidP="00821D48">
      <w:pPr>
        <w:pStyle w:val="BodyText"/>
        <w:framePr w:w="8594" w:h="1685" w:hSpace="180" w:wrap="around" w:vAnchor="text" w:hAnchor="page" w:x="3022" w:y="-116"/>
        <w:spacing w:line="400" w:lineRule="exact"/>
        <w:rPr>
          <w:rFonts w:ascii="CG Times" w:hAnsi="CG Times"/>
        </w:rPr>
      </w:pPr>
      <w:r>
        <w:rPr>
          <w:rFonts w:ascii="CG Times" w:hAnsi="CG Times"/>
          <w:smallCaps/>
          <w:sz w:val="48"/>
        </w:rPr>
        <w:t>Community Development</w:t>
      </w:r>
    </w:p>
    <w:p w:rsidR="00B15104" w:rsidRPr="00821D48" w:rsidRDefault="00BF319E" w:rsidP="00821D48">
      <w:pPr>
        <w:pStyle w:val="Heading1"/>
        <w:framePr w:w="8594" w:h="1685" w:hSpace="180" w:wrap="around" w:vAnchor="text" w:hAnchor="page" w:x="3022" w:y="-116"/>
        <w:rPr>
          <w:color w:val="000080"/>
          <w:sz w:val="16"/>
          <w:szCs w:val="16"/>
        </w:rPr>
      </w:pPr>
      <w:r>
        <w:rPr>
          <w:rFonts w:ascii="CG Times" w:hAnsi="CG Times"/>
          <w:sz w:val="16"/>
          <w:szCs w:val="16"/>
        </w:rPr>
        <w:t xml:space="preserve">Charles D. Baker, Governor   </w:t>
      </w:r>
      <w:r>
        <w:rPr>
          <w:sz w:val="16"/>
          <w:szCs w:val="16"/>
        </w:rPr>
        <w:sym w:font="Wingdings" w:char="0075"/>
      </w:r>
      <w:r>
        <w:rPr>
          <w:rFonts w:ascii="CG Times" w:hAnsi="CG Times"/>
          <w:sz w:val="16"/>
          <w:szCs w:val="16"/>
        </w:rPr>
        <w:t xml:space="preserve">   Karyn Polito, Lieutenant Governo</w:t>
      </w:r>
      <w:r w:rsidR="00B01782">
        <w:rPr>
          <w:rFonts w:ascii="CG Times" w:hAnsi="CG Times"/>
          <w:sz w:val="16"/>
          <w:szCs w:val="16"/>
        </w:rPr>
        <w:t xml:space="preserve">r   </w:t>
      </w:r>
      <w:r w:rsidR="00B01782">
        <w:rPr>
          <w:sz w:val="16"/>
          <w:szCs w:val="16"/>
        </w:rPr>
        <w:sym w:font="Wingdings" w:char="F075"/>
      </w:r>
      <w:r w:rsidR="00240204">
        <w:rPr>
          <w:rFonts w:ascii="CG Times" w:hAnsi="CG Times"/>
          <w:sz w:val="16"/>
          <w:szCs w:val="16"/>
        </w:rPr>
        <w:t xml:space="preserve">   J</w:t>
      </w:r>
      <w:r w:rsidR="003A3372">
        <w:rPr>
          <w:rFonts w:ascii="CG Times" w:hAnsi="CG Times"/>
          <w:sz w:val="16"/>
          <w:szCs w:val="16"/>
        </w:rPr>
        <w:t>anelle Chan</w:t>
      </w:r>
      <w:r w:rsidR="00B01782">
        <w:rPr>
          <w:rFonts w:ascii="CG Times" w:hAnsi="CG Times"/>
          <w:sz w:val="16"/>
          <w:szCs w:val="16"/>
        </w:rPr>
        <w:t>, Undersecretary</w:t>
      </w:r>
    </w:p>
    <w:p w:rsidR="00B15104" w:rsidRPr="00CE2B74" w:rsidRDefault="007813A6">
      <w:pPr>
        <w:framePr w:w="10901" w:h="476" w:hSpace="245" w:vSpace="245" w:wrap="around" w:vAnchor="page" w:hAnchor="page" w:x="617" w:y="15065" w:anchorLock="1"/>
        <w:tabs>
          <w:tab w:val="left" w:pos="-720"/>
          <w:tab w:val="left" w:pos="4680"/>
          <w:tab w:val="left" w:pos="8640"/>
        </w:tabs>
        <w:suppressAutoHyphens/>
        <w:jc w:val="both"/>
        <w:rPr>
          <w:rFonts w:ascii="CG Times" w:hAnsi="CG Times" w:cs="Arial"/>
          <w:spacing w:val="-2"/>
          <w:sz w:val="18"/>
        </w:rPr>
      </w:pPr>
      <w:r>
        <w:rPr>
          <w:rFonts w:ascii="CG Times" w:hAnsi="CG Times"/>
          <w:noProof/>
        </w:rPr>
        <w:drawing>
          <wp:anchor distT="0" distB="0" distL="114300" distR="114300" simplePos="0" relativeHeight="251658240" behindDoc="0" locked="1" layoutInCell="1" allowOverlap="0">
            <wp:simplePos x="0" y="0"/>
            <wp:positionH relativeFrom="column">
              <wp:posOffset>3126740</wp:posOffset>
            </wp:positionH>
            <wp:positionV relativeFrom="page">
              <wp:posOffset>9601200</wp:posOffset>
            </wp:positionV>
            <wp:extent cx="457200" cy="239395"/>
            <wp:effectExtent l="0" t="0" r="0" b="8255"/>
            <wp:wrapTight wrapText="bothSides">
              <wp:wrapPolygon edited="0">
                <wp:start x="0" y="0"/>
                <wp:lineTo x="0" y="20626"/>
                <wp:lineTo x="20700" y="20626"/>
                <wp:lineTo x="20700" y="0"/>
                <wp:lineTo x="0" y="0"/>
              </wp:wrapPolygon>
            </wp:wrapTight>
            <wp:docPr id="13" name="Picture 13"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HC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A31919" w:rsidRPr="00CE2B74">
            <w:rPr>
              <w:rFonts w:ascii="CG Times" w:hAnsi="CG Times" w:cs="Arial"/>
              <w:spacing w:val="-2"/>
              <w:sz w:val="18"/>
            </w:rPr>
            <w:t>100 Cambridge Street, Suite 300</w:t>
          </w:r>
        </w:smartTag>
      </w:smartTag>
      <w:r w:rsidR="00B15104" w:rsidRPr="00CE2B74">
        <w:rPr>
          <w:rFonts w:ascii="CG Times" w:hAnsi="CG Times" w:cs="Arial"/>
          <w:spacing w:val="-2"/>
          <w:sz w:val="18"/>
        </w:rPr>
        <w:tab/>
      </w:r>
      <w:r w:rsidR="00B15104" w:rsidRPr="00CE2B74">
        <w:rPr>
          <w:rFonts w:ascii="CG Times" w:hAnsi="CG Times" w:cs="Arial"/>
          <w:spacing w:val="-2"/>
          <w:sz w:val="18"/>
        </w:rPr>
        <w:tab/>
        <w:t>www.mass.gov/dhcd</w:t>
      </w:r>
    </w:p>
    <w:p w:rsidR="00B15104" w:rsidRPr="00CE2B74" w:rsidRDefault="00B15104">
      <w:pPr>
        <w:framePr w:w="10901" w:h="476" w:hSpace="245" w:vSpace="245" w:wrap="around" w:vAnchor="page" w:hAnchor="page" w:x="617" w:y="15065" w:anchorLock="1"/>
        <w:tabs>
          <w:tab w:val="left" w:pos="4680"/>
          <w:tab w:val="left" w:pos="8640"/>
        </w:tabs>
        <w:rPr>
          <w:rFonts w:ascii="CG Times" w:hAnsi="CG Times"/>
          <w:vanish/>
          <w:sz w:val="18"/>
        </w:rPr>
      </w:pPr>
      <w:r w:rsidRPr="00CE2B74">
        <w:rPr>
          <w:rFonts w:ascii="CG Times" w:hAnsi="CG Times"/>
          <w:sz w:val="18"/>
        </w:rPr>
        <w:t>Boston, Massachusetts</w:t>
      </w:r>
      <w:r w:rsidR="00A31919" w:rsidRPr="00CE2B74">
        <w:rPr>
          <w:rFonts w:ascii="CG Times" w:hAnsi="CG Times"/>
          <w:sz w:val="18"/>
        </w:rPr>
        <w:t xml:space="preserve">  02114</w:t>
      </w:r>
      <w:r w:rsidRPr="00CE2B74">
        <w:rPr>
          <w:rFonts w:ascii="CG Times" w:hAnsi="CG Times"/>
          <w:sz w:val="18"/>
        </w:rPr>
        <w:tab/>
      </w:r>
      <w:r w:rsidRPr="00CE2B74">
        <w:rPr>
          <w:rFonts w:ascii="CG Times" w:hAnsi="CG Times"/>
          <w:sz w:val="18"/>
        </w:rPr>
        <w:tab/>
      </w:r>
      <w:r w:rsidR="00812E93" w:rsidRPr="00CE2B74">
        <w:rPr>
          <w:rFonts w:ascii="CG Times" w:hAnsi="CG Times"/>
          <w:sz w:val="18"/>
        </w:rPr>
        <w:t>617.573.1100</w:t>
      </w:r>
      <w:r w:rsidR="00821D48">
        <w:rPr>
          <w:rFonts w:ascii="CG Times" w:hAnsi="CG Times"/>
          <w:sz w:val="18"/>
        </w:rPr>
        <w:t xml:space="preserve">  </w:t>
      </w:r>
      <w:r w:rsidR="00821D48" w:rsidRPr="00821D48">
        <w:rPr>
          <w:rFonts w:ascii="CG Times" w:hAnsi="CG Times"/>
          <w:vanish/>
          <w:sz w:val="18"/>
        </w:rPr>
        <w:t>xxx</w:t>
      </w:r>
    </w:p>
    <w:p w:rsidR="00B15104" w:rsidRPr="00CE2B74" w:rsidRDefault="00B15104">
      <w:pPr>
        <w:ind w:left="720" w:right="720" w:firstLine="1267"/>
        <w:rPr>
          <w:rFonts w:ascii="CG Times" w:hAnsi="CG Times"/>
        </w:rPr>
        <w:sectPr w:rsidR="00B15104" w:rsidRPr="00CE2B74">
          <w:pgSz w:w="12240" w:h="15840"/>
          <w:pgMar w:top="900" w:right="1800" w:bottom="1440" w:left="1800" w:header="720" w:footer="720" w:gutter="0"/>
          <w:cols w:space="720"/>
        </w:sectPr>
      </w:pPr>
    </w:p>
    <w:p w:rsidR="00B15104" w:rsidRDefault="007813A6" w:rsidP="00F63CC6">
      <w:pPr>
        <w:pStyle w:val="Heading1"/>
        <w:sectPr w:rsidR="00B15104">
          <w:type w:val="continuous"/>
          <w:pgSz w:w="12240" w:h="15840"/>
          <w:pgMar w:top="900" w:right="900" w:bottom="1440" w:left="1080" w:header="720" w:footer="720" w:gutter="0"/>
          <w:cols w:space="720"/>
        </w:sectPr>
      </w:pPr>
      <w:r>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-1068705</wp:posOffset>
                </wp:positionV>
                <wp:extent cx="1017905"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A0E" w:rsidRDefault="007813A6" w:rsidP="00F63CC6">
                            <w:pPr>
                              <w:pStyle w:val="Heading1"/>
                            </w:pPr>
                            <w:r>
                              <w:rPr>
                                <w:noProof/>
                              </w:rPr>
                              <w:drawing>
                                <wp:inline distT="0" distB="0" distL="0" distR="0">
                                  <wp:extent cx="833120" cy="1017905"/>
                                  <wp:effectExtent l="0" t="0" r="5080"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3120" cy="1017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84.15pt;width:80.15pt;height:87.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" filled="f" stroked="f">
                <v:textbox style="mso-fit-shape-to-text:t">
                  <w:txbxContent>
                    <w:p w:rsidR="004F6A0E" w:rsidRDefault="007813A6" w:rsidP="00F63CC6">
                      <w:pPr>
                        <w:pStyle w:val="Heading1"/>
                      </w:pPr>
                      <w:r>
                        <w:rPr>
                          <w:noProof/>
                        </w:rPr>
                        <w:drawing>
                          <wp:inline distT="0" distB="0" distL="0" distR="0">
                            <wp:extent cx="833120" cy="1017905"/>
                            <wp:effectExtent l="0" t="0" r="5080"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3120" cy="1017905"/>
                                    </a:xfrm>
                                    <a:prstGeom prst="rect">
                                      <a:avLst/>
                                    </a:prstGeom>
                                    <a:noFill/>
                                    <a:ln>
                                      <a:noFill/>
                                    </a:ln>
                                  </pic:spPr>
                                </pic:pic>
                              </a:graphicData>
                            </a:graphic>
                          </wp:inline>
                        </w:drawing>
                      </w:r>
                    </w:p>
                  </w:txbxContent>
                </v:textbox>
              </v:shape>
            </w:pict>
          </mc:Fallback>
        </mc:AlternateContent>
      </w:r>
    </w:p>
    <w:p w:rsidR="00100C92" w:rsidRDefault="00100C92" w:rsidP="00100C92">
      <w:pPr>
        <w:rPr>
          <w:sz w:val="24"/>
        </w:rPr>
      </w:pPr>
    </w:p>
    <w:tbl>
      <w:tblPr>
        <w:tblW w:w="0" w:type="auto"/>
        <w:tblLayout w:type="fixed"/>
        <w:tblLook w:val="0000" w:firstRow="0" w:lastRow="0" w:firstColumn="0" w:lastColumn="0" w:noHBand="0" w:noVBand="0"/>
      </w:tblPr>
      <w:tblGrid>
        <w:gridCol w:w="1368"/>
        <w:gridCol w:w="8388"/>
      </w:tblGrid>
      <w:tr w:rsidR="00100C92">
        <w:tc>
          <w:tcPr>
            <w:tcW w:w="9756" w:type="dxa"/>
            <w:gridSpan w:val="2"/>
            <w:shd w:val="clear" w:color="auto" w:fill="auto"/>
          </w:tcPr>
          <w:p w:rsidR="00100C92" w:rsidRDefault="00100C92">
            <w:pPr>
              <w:suppressAutoHyphens/>
              <w:jc w:val="center"/>
              <w:rPr>
                <w:rFonts w:ascii="Courier" w:hAnsi="Courier"/>
                <w:sz w:val="28"/>
              </w:rPr>
            </w:pPr>
            <w:r>
              <w:rPr>
                <w:b/>
                <w:sz w:val="28"/>
              </w:rPr>
              <w:t>Memorandum</w:t>
            </w:r>
          </w:p>
        </w:tc>
      </w:tr>
      <w:tr w:rsidR="00104402">
        <w:tc>
          <w:tcPr>
            <w:tcW w:w="1368" w:type="dxa"/>
            <w:shd w:val="clear" w:color="auto" w:fill="auto"/>
          </w:tcPr>
          <w:p w:rsidR="00104402" w:rsidRDefault="00104402" w:rsidP="002219E9">
            <w:pPr>
              <w:suppressAutoHyphens/>
              <w:jc w:val="right"/>
              <w:rPr>
                <w:sz w:val="24"/>
              </w:rPr>
            </w:pPr>
            <w:r>
              <w:rPr>
                <w:sz w:val="24"/>
              </w:rPr>
              <w:t>To:</w:t>
            </w:r>
          </w:p>
        </w:tc>
        <w:tc>
          <w:tcPr>
            <w:tcW w:w="8388" w:type="dxa"/>
            <w:shd w:val="clear" w:color="auto" w:fill="auto"/>
          </w:tcPr>
          <w:p w:rsidR="00104402" w:rsidRDefault="00E63CF0" w:rsidP="00E63CF0">
            <w:pPr>
              <w:tabs>
                <w:tab w:val="left" w:pos="342"/>
              </w:tabs>
              <w:suppressAutoHyphens/>
              <w:jc w:val="both"/>
              <w:rPr>
                <w:sz w:val="24"/>
              </w:rPr>
            </w:pPr>
            <w:r>
              <w:rPr>
                <w:sz w:val="24"/>
              </w:rPr>
              <w:t xml:space="preserve">CDBG </w:t>
            </w:r>
            <w:r>
              <w:rPr>
                <w:sz w:val="24"/>
              </w:rPr>
              <w:t>Applicants</w:t>
            </w:r>
            <w:r>
              <w:rPr>
                <w:sz w:val="24"/>
              </w:rPr>
              <w:t xml:space="preserve"> and </w:t>
            </w:r>
            <w:r>
              <w:rPr>
                <w:sz w:val="24"/>
              </w:rPr>
              <w:t>Grantees</w:t>
            </w:r>
          </w:p>
        </w:tc>
      </w:tr>
      <w:tr w:rsidR="00100C92">
        <w:tc>
          <w:tcPr>
            <w:tcW w:w="1368" w:type="dxa"/>
            <w:shd w:val="clear" w:color="auto" w:fill="auto"/>
          </w:tcPr>
          <w:p w:rsidR="00100C92" w:rsidRDefault="00100C92" w:rsidP="002219E9">
            <w:pPr>
              <w:suppressAutoHyphens/>
              <w:jc w:val="right"/>
              <w:rPr>
                <w:sz w:val="24"/>
              </w:rPr>
            </w:pPr>
            <w:r>
              <w:rPr>
                <w:sz w:val="24"/>
              </w:rPr>
              <w:t>From:</w:t>
            </w:r>
          </w:p>
        </w:tc>
        <w:tc>
          <w:tcPr>
            <w:tcW w:w="8388" w:type="dxa"/>
            <w:shd w:val="clear" w:color="auto" w:fill="auto"/>
          </w:tcPr>
          <w:p w:rsidR="00100C92" w:rsidRDefault="00E63CF0" w:rsidP="004F6A0E">
            <w:pPr>
              <w:tabs>
                <w:tab w:val="left" w:pos="342"/>
              </w:tabs>
              <w:suppressAutoHyphens/>
              <w:jc w:val="both"/>
              <w:rPr>
                <w:sz w:val="24"/>
              </w:rPr>
            </w:pPr>
            <w:r>
              <w:rPr>
                <w:sz w:val="24"/>
              </w:rPr>
              <w:t>Mark Southard, Community Development Manager</w:t>
            </w:r>
          </w:p>
        </w:tc>
      </w:tr>
      <w:tr w:rsidR="00100C92">
        <w:tc>
          <w:tcPr>
            <w:tcW w:w="1368" w:type="dxa"/>
            <w:shd w:val="clear" w:color="auto" w:fill="auto"/>
          </w:tcPr>
          <w:p w:rsidR="00100C92" w:rsidRDefault="00100C92" w:rsidP="002219E9">
            <w:pPr>
              <w:suppressAutoHyphens/>
              <w:jc w:val="right"/>
              <w:rPr>
                <w:sz w:val="24"/>
              </w:rPr>
            </w:pPr>
            <w:r>
              <w:rPr>
                <w:sz w:val="24"/>
              </w:rPr>
              <w:t>Subject:</w:t>
            </w:r>
          </w:p>
        </w:tc>
        <w:tc>
          <w:tcPr>
            <w:tcW w:w="8388" w:type="dxa"/>
            <w:shd w:val="clear" w:color="auto" w:fill="auto"/>
          </w:tcPr>
          <w:p w:rsidR="00100C92" w:rsidRDefault="00E63CF0" w:rsidP="004F6A0E">
            <w:pPr>
              <w:tabs>
                <w:tab w:val="left" w:pos="342"/>
              </w:tabs>
              <w:suppressAutoHyphens/>
              <w:jc w:val="both"/>
              <w:rPr>
                <w:sz w:val="24"/>
              </w:rPr>
            </w:pPr>
            <w:r>
              <w:rPr>
                <w:sz w:val="24"/>
              </w:rPr>
              <w:t>Low and Moderate Income Data and National Objective</w:t>
            </w:r>
          </w:p>
        </w:tc>
      </w:tr>
      <w:tr w:rsidR="00D45171">
        <w:tc>
          <w:tcPr>
            <w:tcW w:w="1368" w:type="dxa"/>
            <w:tcBorders>
              <w:top w:val="nil"/>
              <w:left w:val="nil"/>
              <w:right w:val="nil"/>
            </w:tcBorders>
            <w:shd w:val="clear" w:color="auto" w:fill="auto"/>
          </w:tcPr>
          <w:p w:rsidR="00D45171" w:rsidRDefault="00D45171" w:rsidP="002219E9">
            <w:pPr>
              <w:tabs>
                <w:tab w:val="left" w:pos="-720"/>
              </w:tabs>
              <w:suppressAutoHyphens/>
              <w:jc w:val="right"/>
              <w:rPr>
                <w:sz w:val="24"/>
              </w:rPr>
            </w:pPr>
            <w:r>
              <w:rPr>
                <w:sz w:val="24"/>
              </w:rPr>
              <w:t>Date:</w:t>
            </w:r>
          </w:p>
        </w:tc>
        <w:tc>
          <w:tcPr>
            <w:tcW w:w="8388" w:type="dxa"/>
            <w:tcBorders>
              <w:top w:val="nil"/>
              <w:left w:val="nil"/>
              <w:right w:val="nil"/>
            </w:tcBorders>
            <w:shd w:val="clear" w:color="auto" w:fill="auto"/>
          </w:tcPr>
          <w:p w:rsidR="00D45171" w:rsidRDefault="00E63CF0" w:rsidP="004F6A0E">
            <w:pPr>
              <w:tabs>
                <w:tab w:val="left" w:pos="342"/>
              </w:tabs>
              <w:suppressAutoHyphens/>
              <w:jc w:val="both"/>
              <w:rPr>
                <w:sz w:val="24"/>
              </w:rPr>
            </w:pPr>
            <w:r>
              <w:rPr>
                <w:sz w:val="24"/>
              </w:rPr>
              <w:t>March 27, 2019</w:t>
            </w:r>
          </w:p>
        </w:tc>
      </w:tr>
      <w:tr w:rsidR="00100C92">
        <w:tc>
          <w:tcPr>
            <w:tcW w:w="1368" w:type="dxa"/>
            <w:tcBorders>
              <w:left w:val="nil"/>
              <w:bottom w:val="single" w:sz="6" w:space="0" w:color="auto"/>
              <w:right w:val="nil"/>
            </w:tcBorders>
            <w:shd w:val="clear" w:color="auto" w:fill="auto"/>
          </w:tcPr>
          <w:p w:rsidR="00100C92" w:rsidRDefault="00100C92" w:rsidP="002219E9">
            <w:pPr>
              <w:tabs>
                <w:tab w:val="left" w:pos="-720"/>
              </w:tabs>
              <w:suppressAutoHyphens/>
              <w:jc w:val="right"/>
              <w:rPr>
                <w:sz w:val="24"/>
              </w:rPr>
            </w:pPr>
          </w:p>
        </w:tc>
        <w:tc>
          <w:tcPr>
            <w:tcW w:w="8388" w:type="dxa"/>
            <w:tcBorders>
              <w:left w:val="nil"/>
              <w:bottom w:val="single" w:sz="6" w:space="0" w:color="auto"/>
              <w:right w:val="nil"/>
            </w:tcBorders>
            <w:shd w:val="clear" w:color="auto" w:fill="auto"/>
          </w:tcPr>
          <w:p w:rsidR="00100C92" w:rsidRDefault="00100C92" w:rsidP="00E63CF0">
            <w:pPr>
              <w:tabs>
                <w:tab w:val="left" w:pos="342"/>
              </w:tabs>
              <w:suppressAutoHyphens/>
              <w:jc w:val="both"/>
              <w:rPr>
                <w:sz w:val="24"/>
              </w:rPr>
            </w:pPr>
          </w:p>
        </w:tc>
      </w:tr>
    </w:tbl>
    <w:p w:rsidR="00100C92" w:rsidRDefault="00100C92" w:rsidP="00100C92">
      <w:pPr>
        <w:rPr>
          <w:sz w:val="24"/>
        </w:rPr>
      </w:pPr>
    </w:p>
    <w:p w:rsidR="00B15104" w:rsidRDefault="00E63CF0">
      <w:pPr>
        <w:rPr>
          <w:sz w:val="24"/>
        </w:rPr>
      </w:pPr>
      <w:r>
        <w:rPr>
          <w:sz w:val="24"/>
        </w:rPr>
        <w:t xml:space="preserve">The U.S. Department of Housing and Urban Development (HUD) has published updated Low and Moderate Income Summary Data (LMISD) based on the American Community Survey 2011-2015 5-year estimates (2015 ACS). This data replaces 2010 ACS data and is effective as of April 1, 2019. The LMISD, provided to the block group level, is used to demonstrate compliance with the CDBG national objective of providing benefit to low and moderate income persons on an area basis (LMA). HUD has described these and other changes on Notice: CPD-19-02. The new LMISD can be found at </w:t>
      </w:r>
      <w:hyperlink r:id="rId7" w:history="1">
        <w:r w:rsidRPr="00F52035">
          <w:rPr>
            <w:rStyle w:val="Hyperlink"/>
            <w:sz w:val="24"/>
          </w:rPr>
          <w:t>https://www.hudexchange.info/programs/acs-low-mod-summary-data/</w:t>
        </w:r>
      </w:hyperlink>
      <w:r>
        <w:rPr>
          <w:sz w:val="24"/>
        </w:rPr>
        <w:t>.</w:t>
      </w:r>
    </w:p>
    <w:p w:rsidR="00E63CF0" w:rsidRDefault="00E63CF0">
      <w:pPr>
        <w:rPr>
          <w:sz w:val="24"/>
        </w:rPr>
      </w:pPr>
    </w:p>
    <w:p w:rsidR="00E63CF0" w:rsidRDefault="00E63CF0">
      <w:pPr>
        <w:rPr>
          <w:sz w:val="24"/>
        </w:rPr>
      </w:pPr>
      <w:r>
        <w:rPr>
          <w:sz w:val="24"/>
        </w:rPr>
        <w:t xml:space="preserve">In addition to the updated LMISD, HUD is publishing margin of error data (MOE) for all geographies in the LMISD and additional guidance regarding confidence intervals and MOE’s that will affect local income surveys. The acceptable method for conducting income surveys is described in CPD Notice 14-013. This is also provided in Appendix C of DHCD’s CDBG Application Guidance. HUD anticipates </w:t>
      </w:r>
      <w:r w:rsidR="00532566">
        <w:rPr>
          <w:sz w:val="24"/>
        </w:rPr>
        <w:t>updating this notice to incorporate the new information in the future.</w:t>
      </w:r>
    </w:p>
    <w:p w:rsidR="00532566" w:rsidRDefault="00532566">
      <w:pPr>
        <w:rPr>
          <w:sz w:val="24"/>
        </w:rPr>
      </w:pPr>
    </w:p>
    <w:p w:rsidR="00532566" w:rsidRPr="00532566" w:rsidRDefault="00532566">
      <w:pPr>
        <w:rPr>
          <w:sz w:val="24"/>
        </w:rPr>
      </w:pPr>
      <w:r>
        <w:rPr>
          <w:sz w:val="24"/>
        </w:rPr>
        <w:t xml:space="preserve">Please note that this new LMISD </w:t>
      </w:r>
      <w:r w:rsidRPr="00532566">
        <w:rPr>
          <w:b/>
          <w:sz w:val="24"/>
        </w:rPr>
        <w:t>will not</w:t>
      </w:r>
      <w:r>
        <w:rPr>
          <w:sz w:val="24"/>
        </w:rPr>
        <w:t xml:space="preserve"> affect any information provided in the 2019 CDBG applications submitted on March 8, 2019. The applications will be evaluated for national objective purposes using the 2010 ACS data that was available at the time. However, should a project change or be modified post award, the 2015 ACS LMISD may be used to establish national objective using LMA.</w:t>
      </w:r>
      <w:bookmarkStart w:id="0" w:name="_GoBack"/>
      <w:bookmarkEnd w:id="0"/>
    </w:p>
    <w:sectPr w:rsidR="00532566" w:rsidRPr="00532566">
      <w:type w:val="continuous"/>
      <w:pgSz w:w="12240" w:h="15840"/>
      <w:pgMar w:top="900" w:right="900" w:bottom="1440" w:left="108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ploma">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xpX39SrsBWYv72j2JTDacIz3nblK/8r9XbLOdnDneqCwrWXknypFoFWKYyyGXLjBjjMbas6BQw8GYwrckRgA==" w:salt="Zp/aGjko39ID+jvjWwHDzg=="/>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08"/>
    <w:rsid w:val="00042CF3"/>
    <w:rsid w:val="00100C92"/>
    <w:rsid w:val="00104402"/>
    <w:rsid w:val="002219E9"/>
    <w:rsid w:val="00240204"/>
    <w:rsid w:val="00280808"/>
    <w:rsid w:val="00317E33"/>
    <w:rsid w:val="00322BBB"/>
    <w:rsid w:val="00381AAE"/>
    <w:rsid w:val="003A3372"/>
    <w:rsid w:val="003A46D6"/>
    <w:rsid w:val="004C457D"/>
    <w:rsid w:val="004F6A0E"/>
    <w:rsid w:val="00521022"/>
    <w:rsid w:val="00532566"/>
    <w:rsid w:val="006D23E7"/>
    <w:rsid w:val="007813A6"/>
    <w:rsid w:val="007B3077"/>
    <w:rsid w:val="00812E93"/>
    <w:rsid w:val="00821D48"/>
    <w:rsid w:val="00A31919"/>
    <w:rsid w:val="00B01782"/>
    <w:rsid w:val="00B15104"/>
    <w:rsid w:val="00B41805"/>
    <w:rsid w:val="00BD1708"/>
    <w:rsid w:val="00BF319E"/>
    <w:rsid w:val="00C86708"/>
    <w:rsid w:val="00CE2B74"/>
    <w:rsid w:val="00CF24C3"/>
    <w:rsid w:val="00D267DA"/>
    <w:rsid w:val="00D45171"/>
    <w:rsid w:val="00DC72D1"/>
    <w:rsid w:val="00E63CF0"/>
    <w:rsid w:val="00E86F42"/>
    <w:rsid w:val="00F05EBF"/>
    <w:rsid w:val="00F6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E5E9B77-960D-49A4-9EF6-1978059A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52"/>
    </w:rPr>
  </w:style>
  <w:style w:type="paragraph" w:styleId="Caption">
    <w:name w:val="caption"/>
    <w:basedOn w:val="Normal"/>
    <w:next w:val="Normal"/>
    <w:qFormat/>
    <w:rPr>
      <w:rFonts w:ascii="CG Times" w:hAnsi="CG Times"/>
      <w:spacing w:val="-3"/>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overflowPunct/>
      <w:autoSpaceDE/>
      <w:autoSpaceDN/>
      <w:adjustRightInd/>
      <w:spacing w:line="480" w:lineRule="auto"/>
      <w:ind w:firstLine="720"/>
      <w:textAlignment w:val="auto"/>
    </w:pPr>
    <w:rPr>
      <w:sz w:val="32"/>
    </w:rPr>
  </w:style>
  <w:style w:type="paragraph" w:styleId="NormalIndent">
    <w:name w:val="Normal Indent"/>
    <w:basedOn w:val="Normal"/>
    <w:pPr>
      <w:overflowPunct/>
      <w:autoSpaceDE/>
      <w:autoSpaceDN/>
      <w:adjustRightInd/>
      <w:ind w:left="720"/>
      <w:jc w:val="both"/>
      <w:textAlignment w:val="auto"/>
    </w:pPr>
    <w:rPr>
      <w:rFonts w:ascii="Arial" w:hAnsi="Arial"/>
      <w:sz w:val="22"/>
    </w:rPr>
  </w:style>
  <w:style w:type="paragraph" w:styleId="BalloonText">
    <w:name w:val="Balloon Text"/>
    <w:basedOn w:val="Normal"/>
    <w:link w:val="BalloonTextChar"/>
    <w:semiHidden/>
    <w:unhideWhenUsed/>
    <w:rsid w:val="00B01782"/>
    <w:rPr>
      <w:rFonts w:ascii="Segoe UI" w:hAnsi="Segoe UI" w:cs="Segoe UI"/>
      <w:sz w:val="18"/>
      <w:szCs w:val="18"/>
    </w:rPr>
  </w:style>
  <w:style w:type="character" w:customStyle="1" w:styleId="BalloonTextChar">
    <w:name w:val="Balloon Text Char"/>
    <w:basedOn w:val="DefaultParagraphFont"/>
    <w:link w:val="BalloonText"/>
    <w:semiHidden/>
    <w:rsid w:val="00B01782"/>
    <w:rPr>
      <w:rFonts w:ascii="Segoe UI" w:hAnsi="Segoe UI" w:cs="Segoe UI"/>
      <w:sz w:val="18"/>
      <w:szCs w:val="18"/>
    </w:rPr>
  </w:style>
  <w:style w:type="character" w:styleId="Hyperlink">
    <w:name w:val="Hyperlink"/>
    <w:basedOn w:val="DefaultParagraphFont"/>
    <w:unhideWhenUsed/>
    <w:rsid w:val="00E63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exchange.info/programs/acs-low-mod-summary-da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15283-C16B-416A-8B15-7550A0B9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288</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Southard, Mark (OCD)</dc:creator>
  <cp:lastModifiedBy>Southard, Mark (OCD)</cp:lastModifiedBy>
  <cp:revision>1</cp:revision>
  <cp:lastPrinted>2015-02-11T18:01:00Z</cp:lastPrinted>
  <dcterms:created xsi:type="dcterms:W3CDTF">2019-03-27T15:19:00Z</dcterms:created>
  <dcterms:modified xsi:type="dcterms:W3CDTF">2019-03-27T15:49:00Z</dcterms:modified>
</cp:coreProperties>
</file>