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44244" w14:textId="1ADBEA5A" w:rsidR="00F309FA" w:rsidRDefault="00A00CAC" w:rsidP="00B214FE">
      <w:pPr>
        <w:jc w:val="right"/>
        <w:rPr>
          <w:b/>
          <w:color w:val="953735"/>
          <w:sz w:val="36"/>
          <w:szCs w:val="36"/>
        </w:rPr>
      </w:pPr>
      <w:r>
        <w:rPr>
          <w:b/>
          <w:noProof/>
          <w:color w:val="953735"/>
          <w:sz w:val="36"/>
          <w:szCs w:val="36"/>
        </w:rPr>
        <w:drawing>
          <wp:anchor distT="0" distB="0" distL="114300" distR="114300" simplePos="0" relativeHeight="251661312" behindDoc="1" locked="0" layoutInCell="1" allowOverlap="1" wp14:anchorId="17BC5FE4" wp14:editId="25ECDE22">
            <wp:simplePos x="0" y="0"/>
            <wp:positionH relativeFrom="column">
              <wp:posOffset>261620</wp:posOffset>
            </wp:positionH>
            <wp:positionV relativeFrom="page">
              <wp:posOffset>31750</wp:posOffset>
            </wp:positionV>
            <wp:extent cx="914400" cy="914400"/>
            <wp:effectExtent l="0" t="0" r="0" b="0"/>
            <wp:wrapTight wrapText="bothSides">
              <wp:wrapPolygon edited="0">
                <wp:start x="6750" y="0"/>
                <wp:lineTo x="4050" y="1350"/>
                <wp:lineTo x="0" y="5400"/>
                <wp:lineTo x="0" y="15750"/>
                <wp:lineTo x="5400" y="21150"/>
                <wp:lineTo x="6750" y="21150"/>
                <wp:lineTo x="13950" y="21150"/>
                <wp:lineTo x="15750" y="21150"/>
                <wp:lineTo x="21150" y="16200"/>
                <wp:lineTo x="21150" y="5400"/>
                <wp:lineTo x="17100" y="1350"/>
                <wp:lineTo x="14400" y="0"/>
                <wp:lineTo x="675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F25AEE" w:rsidRPr="00F309FA">
        <w:rPr>
          <w:b/>
          <w:noProof/>
          <w:color w:val="953735"/>
          <w:sz w:val="36"/>
          <w:szCs w:val="36"/>
        </w:rPr>
        <mc:AlternateContent>
          <mc:Choice Requires="wps">
            <w:drawing>
              <wp:anchor distT="0" distB="0" distL="114300" distR="114300" simplePos="0" relativeHeight="251656191" behindDoc="1" locked="0" layoutInCell="1" allowOverlap="1" wp14:anchorId="73CAC149" wp14:editId="2EC8E187">
                <wp:simplePos x="0" y="0"/>
                <wp:positionH relativeFrom="page">
                  <wp:align>left</wp:align>
                </wp:positionH>
                <wp:positionV relativeFrom="page">
                  <wp:align>top</wp:align>
                </wp:positionV>
                <wp:extent cx="7772400" cy="960120"/>
                <wp:effectExtent l="0" t="0" r="0" b="0"/>
                <wp:wrapNone/>
                <wp:docPr id="307" name="Text Box 2" descr="Bureau of Infectious Disease and Laboratory Sciences&#10;Massachusetts State Public Health Laboratory&#10;305 South St.&#10;Jamaica Plain, MA 0213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0120"/>
                        </a:xfrm>
                        <a:prstGeom prst="rect">
                          <a:avLst/>
                        </a:prstGeom>
                        <a:solidFill>
                          <a:schemeClr val="accent2">
                            <a:lumMod val="75000"/>
                          </a:schemeClr>
                        </a:solidFill>
                        <a:ln w="9525">
                          <a:noFill/>
                          <a:miter lim="800000"/>
                          <a:headEnd/>
                          <a:tailEnd/>
                        </a:ln>
                      </wps:spPr>
                      <wps:txbx>
                        <w:txbxContent>
                          <w:p w14:paraId="781E6088" w14:textId="77777777" w:rsidR="00F309FA" w:rsidRPr="00F309FA" w:rsidRDefault="00F309FA" w:rsidP="00F309FA">
                            <w:pPr>
                              <w:jc w:val="right"/>
                              <w:rPr>
                                <w:rFonts w:asciiTheme="minorHAnsi" w:hAnsiTheme="minorHAnsi"/>
                                <w:b/>
                                <w:color w:val="FFFFFF" w:themeColor="background1"/>
                              </w:rPr>
                            </w:pPr>
                            <w:bookmarkStart w:id="0" w:name="_GoBack"/>
                            <w:r w:rsidRPr="00F309FA">
                              <w:rPr>
                                <w:rFonts w:asciiTheme="minorHAnsi" w:hAnsiTheme="minorHAnsi"/>
                                <w:b/>
                                <w:color w:val="FFFFFF" w:themeColor="background1"/>
                              </w:rPr>
                              <w:t>Bureau of Infectious Disease and Laboratory Sciences</w:t>
                            </w:r>
                          </w:p>
                          <w:p w14:paraId="406A2A62" w14:textId="77777777" w:rsidR="00F309FA" w:rsidRPr="00F309FA" w:rsidRDefault="00F309FA" w:rsidP="00F309FA">
                            <w:pPr>
                              <w:jc w:val="right"/>
                              <w:rPr>
                                <w:rFonts w:asciiTheme="minorHAnsi" w:hAnsiTheme="minorHAnsi"/>
                                <w:color w:val="FFFFFF" w:themeColor="background1"/>
                              </w:rPr>
                            </w:pPr>
                            <w:r w:rsidRPr="00F309FA">
                              <w:rPr>
                                <w:rFonts w:asciiTheme="minorHAnsi" w:hAnsiTheme="minorHAnsi"/>
                                <w:color w:val="FFFFFF" w:themeColor="background1"/>
                              </w:rPr>
                              <w:t>Massachusetts State Public Health Laboratory</w:t>
                            </w:r>
                          </w:p>
                          <w:p w14:paraId="43E8B782" w14:textId="77777777" w:rsidR="00F309FA" w:rsidRPr="00F309FA" w:rsidRDefault="00F309FA" w:rsidP="00F309FA">
                            <w:pPr>
                              <w:jc w:val="right"/>
                              <w:rPr>
                                <w:rFonts w:asciiTheme="minorHAnsi" w:hAnsiTheme="minorHAnsi"/>
                                <w:color w:val="FFFFFF" w:themeColor="background1"/>
                              </w:rPr>
                            </w:pPr>
                            <w:r w:rsidRPr="00F309FA">
                              <w:rPr>
                                <w:rFonts w:asciiTheme="minorHAnsi" w:hAnsiTheme="minorHAnsi"/>
                                <w:color w:val="FFFFFF" w:themeColor="background1"/>
                              </w:rPr>
                              <w:t>305 South St.</w:t>
                            </w:r>
                          </w:p>
                          <w:p w14:paraId="51D4E21F" w14:textId="77777777" w:rsidR="00F309FA" w:rsidRPr="00F309FA" w:rsidRDefault="00F309FA" w:rsidP="00F309FA">
                            <w:pPr>
                              <w:jc w:val="right"/>
                              <w:rPr>
                                <w:rFonts w:asciiTheme="minorHAnsi" w:hAnsiTheme="minorHAnsi"/>
                                <w:color w:val="FFFFFF" w:themeColor="background1"/>
                              </w:rPr>
                            </w:pPr>
                            <w:r w:rsidRPr="00F309FA">
                              <w:rPr>
                                <w:rFonts w:asciiTheme="minorHAnsi" w:hAnsiTheme="minorHAnsi"/>
                                <w:color w:val="FFFFFF" w:themeColor="background1"/>
                              </w:rPr>
                              <w:t>Jamaica Plain, MA 02130</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AC149" id="_x0000_t202" coordsize="21600,21600" o:spt="202" path="m,l,21600r21600,l21600,xe">
                <v:stroke joinstyle="miter"/>
                <v:path gradientshapeok="t" o:connecttype="rect"/>
              </v:shapetype>
              <v:shape id="Text Box 2" o:spid="_x0000_s1026" type="#_x0000_t202" alt="Bureau of Infectious Disease and Laboratory Sciences&#10;Massachusetts State Public Health Laboratory&#10;305 South St.&#10;Jamaica Plain, MA 02130&#10;" style="position:absolute;left:0;text-align:left;margin-left:0;margin-top:0;width:612pt;height:75.6pt;z-index:-25166028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" fillcolor="#943634 [2405]" stroked="f">
                <v:textbox>
                  <w:txbxContent>
                    <w:p w14:paraId="781E6088" w14:textId="77777777" w:rsidR="00F309FA" w:rsidRPr="00F309FA" w:rsidRDefault="00F309FA" w:rsidP="00F309FA">
                      <w:pPr>
                        <w:jc w:val="right"/>
                        <w:rPr>
                          <w:rFonts w:asciiTheme="minorHAnsi" w:hAnsiTheme="minorHAnsi"/>
                          <w:b/>
                          <w:color w:val="FFFFFF" w:themeColor="background1"/>
                        </w:rPr>
                      </w:pPr>
                      <w:bookmarkStart w:id="1" w:name="_GoBack"/>
                      <w:r w:rsidRPr="00F309FA">
                        <w:rPr>
                          <w:rFonts w:asciiTheme="minorHAnsi" w:hAnsiTheme="minorHAnsi"/>
                          <w:b/>
                          <w:color w:val="FFFFFF" w:themeColor="background1"/>
                        </w:rPr>
                        <w:t>Bureau of Infectious Disease and Laboratory Sciences</w:t>
                      </w:r>
                    </w:p>
                    <w:p w14:paraId="406A2A62" w14:textId="77777777" w:rsidR="00F309FA" w:rsidRPr="00F309FA" w:rsidRDefault="00F309FA" w:rsidP="00F309FA">
                      <w:pPr>
                        <w:jc w:val="right"/>
                        <w:rPr>
                          <w:rFonts w:asciiTheme="minorHAnsi" w:hAnsiTheme="minorHAnsi"/>
                          <w:color w:val="FFFFFF" w:themeColor="background1"/>
                        </w:rPr>
                      </w:pPr>
                      <w:r w:rsidRPr="00F309FA">
                        <w:rPr>
                          <w:rFonts w:asciiTheme="minorHAnsi" w:hAnsiTheme="minorHAnsi"/>
                          <w:color w:val="FFFFFF" w:themeColor="background1"/>
                        </w:rPr>
                        <w:t>Massachusetts State Public Health Laboratory</w:t>
                      </w:r>
                    </w:p>
                    <w:p w14:paraId="43E8B782" w14:textId="77777777" w:rsidR="00F309FA" w:rsidRPr="00F309FA" w:rsidRDefault="00F309FA" w:rsidP="00F309FA">
                      <w:pPr>
                        <w:jc w:val="right"/>
                        <w:rPr>
                          <w:rFonts w:asciiTheme="minorHAnsi" w:hAnsiTheme="minorHAnsi"/>
                          <w:color w:val="FFFFFF" w:themeColor="background1"/>
                        </w:rPr>
                      </w:pPr>
                      <w:r w:rsidRPr="00F309FA">
                        <w:rPr>
                          <w:rFonts w:asciiTheme="minorHAnsi" w:hAnsiTheme="minorHAnsi"/>
                          <w:color w:val="FFFFFF" w:themeColor="background1"/>
                        </w:rPr>
                        <w:t>305 South St.</w:t>
                      </w:r>
                    </w:p>
                    <w:p w14:paraId="51D4E21F" w14:textId="77777777" w:rsidR="00F309FA" w:rsidRPr="00F309FA" w:rsidRDefault="00F309FA" w:rsidP="00F309FA">
                      <w:pPr>
                        <w:jc w:val="right"/>
                        <w:rPr>
                          <w:rFonts w:asciiTheme="minorHAnsi" w:hAnsiTheme="minorHAnsi"/>
                          <w:color w:val="FFFFFF" w:themeColor="background1"/>
                        </w:rPr>
                      </w:pPr>
                      <w:r w:rsidRPr="00F309FA">
                        <w:rPr>
                          <w:rFonts w:asciiTheme="minorHAnsi" w:hAnsiTheme="minorHAnsi"/>
                          <w:color w:val="FFFFFF" w:themeColor="background1"/>
                        </w:rPr>
                        <w:t>Jamaica Plain, MA 02130</w:t>
                      </w:r>
                      <w:bookmarkEnd w:id="1"/>
                    </w:p>
                  </w:txbxContent>
                </v:textbox>
                <w10:wrap anchorx="page" anchory="page"/>
              </v:shape>
            </w:pict>
          </mc:Fallback>
        </mc:AlternateContent>
      </w:r>
    </w:p>
    <w:p w14:paraId="785EF494" w14:textId="77777777" w:rsidR="00F309FA" w:rsidRDefault="00F309FA" w:rsidP="00B214FE">
      <w:pPr>
        <w:jc w:val="right"/>
        <w:rPr>
          <w:b/>
          <w:color w:val="953735"/>
          <w:sz w:val="36"/>
          <w:szCs w:val="36"/>
        </w:rPr>
      </w:pPr>
    </w:p>
    <w:p w14:paraId="6DD9D5B6" w14:textId="77777777" w:rsidR="00E832FA" w:rsidRPr="00F309FA" w:rsidRDefault="00AF3825" w:rsidP="00F309FA">
      <w:pPr>
        <w:spacing w:before="120"/>
        <w:jc w:val="center"/>
        <w:rPr>
          <w:rFonts w:asciiTheme="minorHAnsi" w:hAnsiTheme="minorHAnsi"/>
          <w:b/>
          <w:color w:val="953735"/>
          <w:sz w:val="28"/>
          <w:szCs w:val="28"/>
        </w:rPr>
      </w:pPr>
      <w:r w:rsidRPr="00F309FA">
        <w:rPr>
          <w:rFonts w:asciiTheme="minorHAnsi" w:hAnsiTheme="minorHAnsi"/>
          <w:b/>
          <w:color w:val="953735"/>
          <w:sz w:val="28"/>
          <w:szCs w:val="28"/>
        </w:rPr>
        <w:t>Human Granulocytic Anaplasmosis (HGA)</w:t>
      </w:r>
      <w:r w:rsidR="0059721E" w:rsidRPr="00F309FA">
        <w:rPr>
          <w:rFonts w:asciiTheme="minorHAnsi" w:hAnsiTheme="minorHAnsi"/>
          <w:b/>
          <w:color w:val="953735"/>
          <w:sz w:val="28"/>
          <w:szCs w:val="28"/>
        </w:rPr>
        <w:t xml:space="preserve"> Surveillance in Massachusetts, </w:t>
      </w:r>
      <w:r w:rsidR="00256D91" w:rsidRPr="00F309FA">
        <w:rPr>
          <w:rFonts w:asciiTheme="minorHAnsi" w:hAnsiTheme="minorHAnsi"/>
          <w:b/>
          <w:color w:val="953735"/>
          <w:sz w:val="28"/>
          <w:szCs w:val="28"/>
        </w:rPr>
        <w:t>201</w:t>
      </w:r>
      <w:r w:rsidR="00383930" w:rsidRPr="00F309FA">
        <w:rPr>
          <w:rFonts w:asciiTheme="minorHAnsi" w:hAnsiTheme="minorHAnsi"/>
          <w:b/>
          <w:color w:val="953735"/>
          <w:sz w:val="28"/>
          <w:szCs w:val="28"/>
        </w:rPr>
        <w:t>8</w:t>
      </w:r>
    </w:p>
    <w:p w14:paraId="58E8A25F" w14:textId="77777777" w:rsidR="00135342" w:rsidRPr="00D95123" w:rsidRDefault="00F309FA" w:rsidP="0059721E">
      <w:pPr>
        <w:jc w:val="center"/>
        <w:rPr>
          <w:b/>
          <w:color w:val="800080"/>
          <w:sz w:val="18"/>
          <w:szCs w:val="18"/>
          <w14:shadow w14:blurRad="50800" w14:dist="38100" w14:dir="2700000" w14:sx="100000" w14:sy="100000" w14:kx="0" w14:ky="0" w14:algn="tl">
            <w14:srgbClr w14:val="000000">
              <w14:alpha w14:val="60000"/>
            </w14:srgbClr>
          </w14:shadow>
        </w:rPr>
      </w:pPr>
      <w:r>
        <w:rPr>
          <w:b/>
          <w:noProof/>
          <w:sz w:val="40"/>
          <w:szCs w:val="40"/>
        </w:rPr>
        <mc:AlternateContent>
          <mc:Choice Requires="wps">
            <w:drawing>
              <wp:anchor distT="0" distB="0" distL="114300" distR="114300" simplePos="0" relativeHeight="251657216" behindDoc="0" locked="0" layoutInCell="1" allowOverlap="1" wp14:anchorId="0841C64F" wp14:editId="5E618A3B">
                <wp:simplePos x="0" y="0"/>
                <wp:positionH relativeFrom="column">
                  <wp:posOffset>-237744</wp:posOffset>
                </wp:positionH>
                <wp:positionV relativeFrom="paragraph">
                  <wp:posOffset>104394</wp:posOffset>
                </wp:positionV>
                <wp:extent cx="7306056" cy="3502152"/>
                <wp:effectExtent l="0" t="0" r="28575" b="22225"/>
                <wp:wrapNone/>
                <wp:docPr id="1" name="Text Box 8" descr="656 confirmed and probable cases of HGA were reported in Massachusetts in 2018. Overall 1,919 suspect cases of HGA were investigated. PCR and microscopy laboratory test results indicate current infection, even in individuals not captured in case counts (Figure 3).&#10;&#10;Statewide, HGA incidence decreased from 18.4 to 10.0 cases per 100,000 residents. The counties with the highest incidence were Barnstable, Berkshire, Dukes, Franklin, Nantucket and Plymouth. Berkshire County had the greatest change in incidence, from 133.4 to 69.3 cases per 100,000 residents.&#10;&#10;The majority of cases occurred in May, June, and July, with only 40% of cases reporting awareness of a recent tick bite.&#10;&#10;People aged 60 years and over continue to be at greatest risk for clinical disease (51% of patients identified with HGA were 60 or over) and 62% of all cases were male. &#10;&#10;Approximately one out of four patients with HGA (26%) was hospitalized. The symptoms most commonly reported included fever (99%), malaise (73%), and muscle aches and pain (72%). &#10;&#10;For more information about HGA and other tick-borne diseases, please visit www.mass.gov/dph/tick.&#10;" title="2018 Surveillance Highligh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6056" cy="3502152"/>
                        </a:xfrm>
                        <a:prstGeom prst="rect">
                          <a:avLst/>
                        </a:prstGeom>
                        <a:solidFill>
                          <a:srgbClr val="FFFFFF"/>
                        </a:solidFill>
                        <a:ln w="9525">
                          <a:solidFill>
                            <a:srgbClr val="800080"/>
                          </a:solidFill>
                          <a:miter lim="800000"/>
                          <a:headEnd/>
                          <a:tailEnd/>
                        </a:ln>
                      </wps:spPr>
                      <wps:txbx>
                        <w:txbxContent>
                          <w:p w14:paraId="158126E0" w14:textId="77777777" w:rsidR="00B2688D" w:rsidRPr="00F309FA" w:rsidRDefault="000F1081" w:rsidP="00B2688D">
                            <w:pPr>
                              <w:ind w:left="360"/>
                              <w:jc w:val="center"/>
                              <w:rPr>
                                <w:rFonts w:asciiTheme="minorHAnsi" w:hAnsiTheme="minorHAnsi"/>
                                <w:b/>
                              </w:rPr>
                            </w:pPr>
                            <w:r w:rsidRPr="00F309FA">
                              <w:rPr>
                                <w:rFonts w:asciiTheme="minorHAnsi" w:hAnsiTheme="minorHAnsi"/>
                                <w:b/>
                              </w:rPr>
                              <w:t>201</w:t>
                            </w:r>
                            <w:r w:rsidR="00383930" w:rsidRPr="00F309FA">
                              <w:rPr>
                                <w:rFonts w:asciiTheme="minorHAnsi" w:hAnsiTheme="minorHAnsi"/>
                                <w:b/>
                              </w:rPr>
                              <w:t>8</w:t>
                            </w:r>
                            <w:r w:rsidR="001533AE" w:rsidRPr="00F309FA">
                              <w:rPr>
                                <w:rFonts w:asciiTheme="minorHAnsi" w:hAnsiTheme="minorHAnsi"/>
                                <w:b/>
                              </w:rPr>
                              <w:t xml:space="preserve"> </w:t>
                            </w:r>
                            <w:r w:rsidR="00346334" w:rsidRPr="00F309FA">
                              <w:rPr>
                                <w:rFonts w:asciiTheme="minorHAnsi" w:hAnsiTheme="minorHAnsi"/>
                                <w:b/>
                              </w:rPr>
                              <w:t xml:space="preserve">Surveillance </w:t>
                            </w:r>
                            <w:r w:rsidR="00B2688D" w:rsidRPr="00F309FA">
                              <w:rPr>
                                <w:rFonts w:asciiTheme="minorHAnsi" w:hAnsiTheme="minorHAnsi"/>
                                <w:b/>
                              </w:rPr>
                              <w:t>Highlights</w:t>
                            </w:r>
                          </w:p>
                          <w:p w14:paraId="16BD14F4" w14:textId="77777777" w:rsidR="00AF3825" w:rsidRPr="00F309FA" w:rsidRDefault="00AF3825" w:rsidP="00B2688D">
                            <w:pPr>
                              <w:ind w:left="360"/>
                              <w:jc w:val="center"/>
                              <w:rPr>
                                <w:rFonts w:asciiTheme="minorHAnsi" w:hAnsiTheme="minorHAnsi"/>
                                <w:b/>
                                <w:sz w:val="16"/>
                                <w:szCs w:val="16"/>
                              </w:rPr>
                            </w:pPr>
                          </w:p>
                          <w:p w14:paraId="6ED9833E" w14:textId="77777777" w:rsidR="00B2688D" w:rsidRPr="00F309FA" w:rsidRDefault="0001684E" w:rsidP="00B2688D">
                            <w:pPr>
                              <w:numPr>
                                <w:ilvl w:val="0"/>
                                <w:numId w:val="10"/>
                              </w:numPr>
                              <w:rPr>
                                <w:rFonts w:asciiTheme="minorHAnsi" w:hAnsiTheme="minorHAnsi"/>
                              </w:rPr>
                            </w:pPr>
                            <w:r w:rsidRPr="00F309FA">
                              <w:rPr>
                                <w:rFonts w:asciiTheme="minorHAnsi" w:hAnsiTheme="minorHAnsi"/>
                              </w:rPr>
                              <w:t>656</w:t>
                            </w:r>
                            <w:r w:rsidR="00B2688D" w:rsidRPr="00F309FA">
                              <w:rPr>
                                <w:rFonts w:asciiTheme="minorHAnsi" w:hAnsiTheme="minorHAnsi"/>
                              </w:rPr>
                              <w:t xml:space="preserve"> </w:t>
                            </w:r>
                            <w:r w:rsidR="00256D91" w:rsidRPr="00F309FA">
                              <w:rPr>
                                <w:rFonts w:asciiTheme="minorHAnsi" w:hAnsiTheme="minorHAnsi"/>
                              </w:rPr>
                              <w:t xml:space="preserve">confirmed </w:t>
                            </w:r>
                            <w:r w:rsidR="00864F9C" w:rsidRPr="00F309FA">
                              <w:rPr>
                                <w:rFonts w:asciiTheme="minorHAnsi" w:hAnsiTheme="minorHAnsi"/>
                              </w:rPr>
                              <w:t xml:space="preserve">and probable </w:t>
                            </w:r>
                            <w:r w:rsidR="00D7412E" w:rsidRPr="00F309FA">
                              <w:rPr>
                                <w:rFonts w:asciiTheme="minorHAnsi" w:hAnsiTheme="minorHAnsi"/>
                              </w:rPr>
                              <w:t xml:space="preserve">cases of </w:t>
                            </w:r>
                            <w:r w:rsidR="00AF3825" w:rsidRPr="00F309FA">
                              <w:rPr>
                                <w:rFonts w:asciiTheme="minorHAnsi" w:hAnsiTheme="minorHAnsi"/>
                              </w:rPr>
                              <w:t>HGA</w:t>
                            </w:r>
                            <w:r w:rsidR="00B2688D" w:rsidRPr="00F309FA">
                              <w:rPr>
                                <w:rFonts w:asciiTheme="minorHAnsi" w:hAnsiTheme="minorHAnsi"/>
                              </w:rPr>
                              <w:t xml:space="preserve"> were reported </w:t>
                            </w:r>
                            <w:r w:rsidR="00FD241B" w:rsidRPr="00F309FA">
                              <w:rPr>
                                <w:rFonts w:asciiTheme="minorHAnsi" w:hAnsiTheme="minorHAnsi"/>
                              </w:rPr>
                              <w:t xml:space="preserve">in </w:t>
                            </w:r>
                            <w:r w:rsidR="00D7412E" w:rsidRPr="00F309FA">
                              <w:rPr>
                                <w:rFonts w:asciiTheme="minorHAnsi" w:hAnsiTheme="minorHAnsi"/>
                              </w:rPr>
                              <w:t xml:space="preserve">Massachusetts </w:t>
                            </w:r>
                            <w:r w:rsidR="00FD241B" w:rsidRPr="00F309FA">
                              <w:rPr>
                                <w:rFonts w:asciiTheme="minorHAnsi" w:hAnsiTheme="minorHAnsi"/>
                              </w:rPr>
                              <w:t xml:space="preserve">in </w:t>
                            </w:r>
                            <w:r w:rsidR="0028584F" w:rsidRPr="00F309FA">
                              <w:rPr>
                                <w:rFonts w:asciiTheme="minorHAnsi" w:hAnsiTheme="minorHAnsi"/>
                              </w:rPr>
                              <w:t>201</w:t>
                            </w:r>
                            <w:r w:rsidR="006D1DB3" w:rsidRPr="00F309FA">
                              <w:rPr>
                                <w:rFonts w:asciiTheme="minorHAnsi" w:hAnsiTheme="minorHAnsi"/>
                              </w:rPr>
                              <w:t>8</w:t>
                            </w:r>
                            <w:r w:rsidR="00FC0187">
                              <w:rPr>
                                <w:rFonts w:asciiTheme="minorHAnsi" w:hAnsiTheme="minorHAnsi"/>
                              </w:rPr>
                              <w:t>.</w:t>
                            </w:r>
                            <w:r w:rsidR="00C66054" w:rsidRPr="00F309FA">
                              <w:rPr>
                                <w:rFonts w:asciiTheme="minorHAnsi" w:hAnsiTheme="minorHAnsi"/>
                              </w:rPr>
                              <w:t xml:space="preserve"> </w:t>
                            </w:r>
                            <w:r w:rsidR="00B340F0" w:rsidRPr="00F309FA">
                              <w:rPr>
                                <w:rFonts w:asciiTheme="minorHAnsi" w:hAnsiTheme="minorHAnsi"/>
                              </w:rPr>
                              <w:t xml:space="preserve">Overall </w:t>
                            </w:r>
                            <w:r w:rsidR="006F3D1B" w:rsidRPr="00F309FA">
                              <w:rPr>
                                <w:rFonts w:asciiTheme="minorHAnsi" w:hAnsiTheme="minorHAnsi"/>
                              </w:rPr>
                              <w:t>1,919</w:t>
                            </w:r>
                            <w:r w:rsidR="00907A01" w:rsidRPr="00F309FA">
                              <w:rPr>
                                <w:rFonts w:asciiTheme="minorHAnsi" w:hAnsiTheme="minorHAnsi"/>
                              </w:rPr>
                              <w:t xml:space="preserve"> </w:t>
                            </w:r>
                            <w:r w:rsidR="00747D99" w:rsidRPr="00F309FA">
                              <w:rPr>
                                <w:rFonts w:asciiTheme="minorHAnsi" w:hAnsiTheme="minorHAnsi"/>
                              </w:rPr>
                              <w:t>suspect cases</w:t>
                            </w:r>
                            <w:r w:rsidR="00211C44" w:rsidRPr="00F309FA">
                              <w:rPr>
                                <w:rFonts w:asciiTheme="minorHAnsi" w:hAnsiTheme="minorHAnsi"/>
                              </w:rPr>
                              <w:t xml:space="preserve"> of HGA</w:t>
                            </w:r>
                            <w:r w:rsidR="00747D99" w:rsidRPr="00F309FA">
                              <w:rPr>
                                <w:rFonts w:asciiTheme="minorHAnsi" w:hAnsiTheme="minorHAnsi"/>
                              </w:rPr>
                              <w:t xml:space="preserve"> were investigated.</w:t>
                            </w:r>
                            <w:r w:rsidR="00FC0187">
                              <w:rPr>
                                <w:rFonts w:asciiTheme="minorHAnsi" w:hAnsiTheme="minorHAnsi"/>
                              </w:rPr>
                              <w:t xml:space="preserve"> PCR and microscopy laboratory test results indicate current infection, even in individuals not captured in case counts (Figure 3).</w:t>
                            </w:r>
                          </w:p>
                          <w:p w14:paraId="298CE0FA" w14:textId="77777777" w:rsidR="00B2688D" w:rsidRPr="00F309FA" w:rsidRDefault="00B2688D" w:rsidP="00B2688D">
                            <w:pPr>
                              <w:ind w:left="360"/>
                              <w:rPr>
                                <w:rFonts w:asciiTheme="minorHAnsi" w:hAnsiTheme="minorHAnsi"/>
                                <w:sz w:val="16"/>
                                <w:szCs w:val="16"/>
                              </w:rPr>
                            </w:pPr>
                          </w:p>
                          <w:p w14:paraId="1C9FAF9D" w14:textId="77777777" w:rsidR="006A4F1D" w:rsidRPr="00F309FA" w:rsidRDefault="00211C44" w:rsidP="006A4F1D">
                            <w:pPr>
                              <w:numPr>
                                <w:ilvl w:val="0"/>
                                <w:numId w:val="10"/>
                              </w:numPr>
                              <w:rPr>
                                <w:rFonts w:asciiTheme="minorHAnsi" w:hAnsiTheme="minorHAnsi"/>
                              </w:rPr>
                            </w:pPr>
                            <w:r w:rsidRPr="00F309FA">
                              <w:rPr>
                                <w:rFonts w:asciiTheme="minorHAnsi" w:hAnsiTheme="minorHAnsi"/>
                              </w:rPr>
                              <w:t xml:space="preserve">Statewide, HGA incidence </w:t>
                            </w:r>
                            <w:r w:rsidR="004840B2" w:rsidRPr="00F309FA">
                              <w:rPr>
                                <w:rFonts w:asciiTheme="minorHAnsi" w:hAnsiTheme="minorHAnsi"/>
                              </w:rPr>
                              <w:t>decreased</w:t>
                            </w:r>
                            <w:r w:rsidRPr="00F309FA">
                              <w:rPr>
                                <w:rFonts w:asciiTheme="minorHAnsi" w:hAnsiTheme="minorHAnsi"/>
                              </w:rPr>
                              <w:t xml:space="preserve"> from </w:t>
                            </w:r>
                            <w:r w:rsidR="004F0FA1" w:rsidRPr="00F309FA">
                              <w:rPr>
                                <w:rFonts w:asciiTheme="minorHAnsi" w:hAnsiTheme="minorHAnsi"/>
                              </w:rPr>
                              <w:t>18.4</w:t>
                            </w:r>
                            <w:r w:rsidR="004840B2" w:rsidRPr="00F309FA">
                              <w:rPr>
                                <w:rFonts w:asciiTheme="minorHAnsi" w:hAnsiTheme="minorHAnsi"/>
                              </w:rPr>
                              <w:t xml:space="preserve"> to 10.0</w:t>
                            </w:r>
                            <w:r w:rsidR="00922243" w:rsidRPr="00F309FA">
                              <w:rPr>
                                <w:rFonts w:asciiTheme="minorHAnsi" w:hAnsiTheme="minorHAnsi"/>
                              </w:rPr>
                              <w:t xml:space="preserve"> </w:t>
                            </w:r>
                            <w:r w:rsidR="004F4EF2" w:rsidRPr="00F309FA">
                              <w:rPr>
                                <w:rFonts w:asciiTheme="minorHAnsi" w:hAnsiTheme="minorHAnsi"/>
                              </w:rPr>
                              <w:t>cases per 100,000 residents</w:t>
                            </w:r>
                            <w:r w:rsidR="007605FC" w:rsidRPr="00F309FA">
                              <w:rPr>
                                <w:rFonts w:asciiTheme="minorHAnsi" w:hAnsiTheme="minorHAnsi"/>
                              </w:rPr>
                              <w:t xml:space="preserve">. The counties with the highest incidence </w:t>
                            </w:r>
                            <w:r w:rsidR="00B55D50">
                              <w:rPr>
                                <w:rFonts w:asciiTheme="minorHAnsi" w:hAnsiTheme="minorHAnsi"/>
                              </w:rPr>
                              <w:t xml:space="preserve">were </w:t>
                            </w:r>
                            <w:r w:rsidR="007605FC" w:rsidRPr="00F309FA">
                              <w:rPr>
                                <w:rFonts w:asciiTheme="minorHAnsi" w:hAnsiTheme="minorHAnsi"/>
                              </w:rPr>
                              <w:t>Barnstable, Berkshire, Dukes</w:t>
                            </w:r>
                            <w:r w:rsidR="00227B0D" w:rsidRPr="00F309FA">
                              <w:rPr>
                                <w:rFonts w:asciiTheme="minorHAnsi" w:hAnsiTheme="minorHAnsi"/>
                              </w:rPr>
                              <w:t>, Franklin</w:t>
                            </w:r>
                            <w:r w:rsidR="007605FC" w:rsidRPr="00F309FA">
                              <w:rPr>
                                <w:rFonts w:asciiTheme="minorHAnsi" w:hAnsiTheme="minorHAnsi"/>
                              </w:rPr>
                              <w:t>, Nantucket and Plymouth</w:t>
                            </w:r>
                            <w:r w:rsidR="00181E4E" w:rsidRPr="00F309FA">
                              <w:rPr>
                                <w:rFonts w:asciiTheme="minorHAnsi" w:hAnsiTheme="minorHAnsi"/>
                              </w:rPr>
                              <w:t xml:space="preserve">. </w:t>
                            </w:r>
                            <w:r w:rsidR="007C5704" w:rsidRPr="00F309FA">
                              <w:rPr>
                                <w:rFonts w:asciiTheme="minorHAnsi" w:hAnsiTheme="minorHAnsi"/>
                              </w:rPr>
                              <w:t>Berkshire</w:t>
                            </w:r>
                            <w:r w:rsidR="007B2E6A" w:rsidRPr="00F309FA">
                              <w:rPr>
                                <w:rFonts w:asciiTheme="minorHAnsi" w:hAnsiTheme="minorHAnsi"/>
                              </w:rPr>
                              <w:t xml:space="preserve"> County</w:t>
                            </w:r>
                            <w:r w:rsidR="00181E4E" w:rsidRPr="00F309FA">
                              <w:rPr>
                                <w:rFonts w:asciiTheme="minorHAnsi" w:hAnsiTheme="minorHAnsi"/>
                              </w:rPr>
                              <w:t xml:space="preserve"> had the greatest change in incidence, from </w:t>
                            </w:r>
                            <w:r w:rsidR="007C5704" w:rsidRPr="00F309FA">
                              <w:rPr>
                                <w:rFonts w:asciiTheme="minorHAnsi" w:hAnsiTheme="minorHAnsi"/>
                              </w:rPr>
                              <w:t>133.4</w:t>
                            </w:r>
                            <w:r w:rsidR="008D2159" w:rsidRPr="00F309FA">
                              <w:rPr>
                                <w:rFonts w:asciiTheme="minorHAnsi" w:hAnsiTheme="minorHAnsi"/>
                              </w:rPr>
                              <w:t xml:space="preserve"> to 69.3</w:t>
                            </w:r>
                            <w:r w:rsidR="00947D76" w:rsidRPr="00F309FA">
                              <w:rPr>
                                <w:rFonts w:asciiTheme="minorHAnsi" w:hAnsiTheme="minorHAnsi"/>
                              </w:rPr>
                              <w:t xml:space="preserve"> cases</w:t>
                            </w:r>
                            <w:r w:rsidR="00181E4E" w:rsidRPr="00F309FA">
                              <w:rPr>
                                <w:rFonts w:asciiTheme="minorHAnsi" w:hAnsiTheme="minorHAnsi"/>
                              </w:rPr>
                              <w:t xml:space="preserve"> per 100,000 residents.</w:t>
                            </w:r>
                          </w:p>
                          <w:p w14:paraId="3520D6E1" w14:textId="77777777" w:rsidR="006A4F1D" w:rsidRPr="00F309FA" w:rsidRDefault="006A4F1D" w:rsidP="006A4F1D">
                            <w:pPr>
                              <w:ind w:left="360"/>
                              <w:rPr>
                                <w:rFonts w:asciiTheme="minorHAnsi" w:hAnsiTheme="minorHAnsi"/>
                                <w:sz w:val="16"/>
                                <w:szCs w:val="16"/>
                              </w:rPr>
                            </w:pPr>
                          </w:p>
                          <w:p w14:paraId="47E03C19" w14:textId="77777777" w:rsidR="00B2688D" w:rsidRPr="00F309FA" w:rsidRDefault="00AF3825" w:rsidP="0033409F">
                            <w:pPr>
                              <w:numPr>
                                <w:ilvl w:val="0"/>
                                <w:numId w:val="10"/>
                              </w:numPr>
                              <w:rPr>
                                <w:rFonts w:asciiTheme="minorHAnsi" w:hAnsiTheme="minorHAnsi"/>
                              </w:rPr>
                            </w:pPr>
                            <w:r w:rsidRPr="00F309FA">
                              <w:rPr>
                                <w:rFonts w:asciiTheme="minorHAnsi" w:hAnsiTheme="minorHAnsi"/>
                              </w:rPr>
                              <w:t xml:space="preserve">The </w:t>
                            </w:r>
                            <w:r w:rsidR="00181E4E" w:rsidRPr="00F309FA">
                              <w:rPr>
                                <w:rFonts w:asciiTheme="minorHAnsi" w:hAnsiTheme="minorHAnsi"/>
                              </w:rPr>
                              <w:t>majority of</w:t>
                            </w:r>
                            <w:r w:rsidRPr="00F309FA">
                              <w:rPr>
                                <w:rFonts w:asciiTheme="minorHAnsi" w:hAnsiTheme="minorHAnsi"/>
                              </w:rPr>
                              <w:t xml:space="preserve"> cases </w:t>
                            </w:r>
                            <w:r w:rsidR="00D62901" w:rsidRPr="00F309FA">
                              <w:rPr>
                                <w:rFonts w:asciiTheme="minorHAnsi" w:hAnsiTheme="minorHAnsi"/>
                              </w:rPr>
                              <w:t>occurred</w:t>
                            </w:r>
                            <w:r w:rsidR="00B2688D" w:rsidRPr="00F309FA">
                              <w:rPr>
                                <w:rFonts w:asciiTheme="minorHAnsi" w:hAnsiTheme="minorHAnsi"/>
                              </w:rPr>
                              <w:t xml:space="preserve"> in </w:t>
                            </w:r>
                            <w:r w:rsidR="004A5FF9" w:rsidRPr="00F309FA">
                              <w:rPr>
                                <w:rFonts w:asciiTheme="minorHAnsi" w:hAnsiTheme="minorHAnsi"/>
                              </w:rPr>
                              <w:t xml:space="preserve">May, </w:t>
                            </w:r>
                            <w:r w:rsidR="007A5190" w:rsidRPr="00F309FA">
                              <w:rPr>
                                <w:rFonts w:asciiTheme="minorHAnsi" w:hAnsiTheme="minorHAnsi"/>
                              </w:rPr>
                              <w:t>June</w:t>
                            </w:r>
                            <w:r w:rsidR="004A5FF9" w:rsidRPr="00F309FA">
                              <w:rPr>
                                <w:rFonts w:asciiTheme="minorHAnsi" w:hAnsiTheme="minorHAnsi"/>
                              </w:rPr>
                              <w:t>,</w:t>
                            </w:r>
                            <w:r w:rsidR="007A5190" w:rsidRPr="00F309FA">
                              <w:rPr>
                                <w:rFonts w:asciiTheme="minorHAnsi" w:hAnsiTheme="minorHAnsi"/>
                              </w:rPr>
                              <w:t xml:space="preserve"> and July</w:t>
                            </w:r>
                            <w:r w:rsidR="00747379" w:rsidRPr="00F309FA">
                              <w:rPr>
                                <w:rFonts w:asciiTheme="minorHAnsi" w:hAnsiTheme="minorHAnsi"/>
                              </w:rPr>
                              <w:t>,</w:t>
                            </w:r>
                            <w:r w:rsidR="00181E4E" w:rsidRPr="00F309FA">
                              <w:rPr>
                                <w:rFonts w:asciiTheme="minorHAnsi" w:hAnsiTheme="minorHAnsi"/>
                              </w:rPr>
                              <w:t xml:space="preserve"> with </w:t>
                            </w:r>
                            <w:r w:rsidR="007C5704" w:rsidRPr="00F309FA">
                              <w:rPr>
                                <w:rFonts w:asciiTheme="minorHAnsi" w:hAnsiTheme="minorHAnsi"/>
                              </w:rPr>
                              <w:t xml:space="preserve">only </w:t>
                            </w:r>
                            <w:r w:rsidR="00627783" w:rsidRPr="00F309FA">
                              <w:rPr>
                                <w:rFonts w:asciiTheme="minorHAnsi" w:hAnsiTheme="minorHAnsi"/>
                              </w:rPr>
                              <w:t>40</w:t>
                            </w:r>
                            <w:r w:rsidR="007C5704" w:rsidRPr="00F309FA">
                              <w:rPr>
                                <w:rFonts w:asciiTheme="minorHAnsi" w:hAnsiTheme="minorHAnsi"/>
                              </w:rPr>
                              <w:t>%</w:t>
                            </w:r>
                            <w:r w:rsidR="00274239" w:rsidRPr="00F309FA">
                              <w:rPr>
                                <w:rFonts w:asciiTheme="minorHAnsi" w:hAnsiTheme="minorHAnsi"/>
                              </w:rPr>
                              <w:t xml:space="preserve"> </w:t>
                            </w:r>
                            <w:r w:rsidR="0007641F" w:rsidRPr="00F309FA">
                              <w:rPr>
                                <w:rFonts w:asciiTheme="minorHAnsi" w:hAnsiTheme="minorHAnsi"/>
                              </w:rPr>
                              <w:t xml:space="preserve">of cases </w:t>
                            </w:r>
                            <w:r w:rsidR="00181E4E" w:rsidRPr="00F309FA">
                              <w:rPr>
                                <w:rFonts w:asciiTheme="minorHAnsi" w:hAnsiTheme="minorHAnsi"/>
                              </w:rPr>
                              <w:t xml:space="preserve">reporting awareness of a </w:t>
                            </w:r>
                            <w:r w:rsidR="00274239" w:rsidRPr="00F309FA">
                              <w:rPr>
                                <w:rFonts w:asciiTheme="minorHAnsi" w:hAnsiTheme="minorHAnsi"/>
                              </w:rPr>
                              <w:t>recent tick bite</w:t>
                            </w:r>
                            <w:r w:rsidR="0033409F" w:rsidRPr="00F309FA">
                              <w:rPr>
                                <w:rFonts w:asciiTheme="minorHAnsi" w:hAnsiTheme="minorHAnsi"/>
                              </w:rPr>
                              <w:t>.</w:t>
                            </w:r>
                          </w:p>
                          <w:p w14:paraId="006E5411" w14:textId="77777777" w:rsidR="0033409F" w:rsidRPr="00F309FA" w:rsidRDefault="0033409F" w:rsidP="0033409F">
                            <w:pPr>
                              <w:rPr>
                                <w:rFonts w:asciiTheme="minorHAnsi" w:hAnsiTheme="minorHAnsi"/>
                                <w:sz w:val="16"/>
                                <w:szCs w:val="16"/>
                              </w:rPr>
                            </w:pPr>
                          </w:p>
                          <w:p w14:paraId="239BC082" w14:textId="77777777" w:rsidR="00747D99" w:rsidRPr="00F309FA" w:rsidRDefault="00747D99" w:rsidP="00747D99">
                            <w:pPr>
                              <w:numPr>
                                <w:ilvl w:val="0"/>
                                <w:numId w:val="10"/>
                              </w:numPr>
                              <w:rPr>
                                <w:rFonts w:asciiTheme="minorHAnsi" w:hAnsiTheme="minorHAnsi"/>
                              </w:rPr>
                            </w:pPr>
                            <w:r w:rsidRPr="00F309FA">
                              <w:rPr>
                                <w:rFonts w:asciiTheme="minorHAnsi" w:hAnsiTheme="minorHAnsi"/>
                              </w:rPr>
                              <w:t xml:space="preserve">People </w:t>
                            </w:r>
                            <w:r w:rsidR="00F905BF" w:rsidRPr="00F309FA">
                              <w:rPr>
                                <w:rFonts w:asciiTheme="minorHAnsi" w:hAnsiTheme="minorHAnsi"/>
                              </w:rPr>
                              <w:t xml:space="preserve">aged 60 </w:t>
                            </w:r>
                            <w:r w:rsidR="009163F5" w:rsidRPr="00F309FA">
                              <w:rPr>
                                <w:rFonts w:asciiTheme="minorHAnsi" w:hAnsiTheme="minorHAnsi"/>
                              </w:rPr>
                              <w:t xml:space="preserve">years </w:t>
                            </w:r>
                            <w:r w:rsidR="00F905BF" w:rsidRPr="00F309FA">
                              <w:rPr>
                                <w:rFonts w:asciiTheme="minorHAnsi" w:hAnsiTheme="minorHAnsi"/>
                              </w:rPr>
                              <w:t xml:space="preserve">and over </w:t>
                            </w:r>
                            <w:r w:rsidRPr="00F309FA">
                              <w:rPr>
                                <w:rFonts w:asciiTheme="minorHAnsi" w:hAnsiTheme="minorHAnsi"/>
                              </w:rPr>
                              <w:t>continue to be at greate</w:t>
                            </w:r>
                            <w:r w:rsidR="00374A3C" w:rsidRPr="00F309FA">
                              <w:rPr>
                                <w:rFonts w:asciiTheme="minorHAnsi" w:hAnsiTheme="minorHAnsi"/>
                              </w:rPr>
                              <w:t>st risk for clinical disease (</w:t>
                            </w:r>
                            <w:r w:rsidR="00553A57" w:rsidRPr="00F309FA">
                              <w:rPr>
                                <w:rFonts w:asciiTheme="minorHAnsi" w:hAnsiTheme="minorHAnsi"/>
                              </w:rPr>
                              <w:t>5</w:t>
                            </w:r>
                            <w:r w:rsidR="00CC1AC0" w:rsidRPr="00F309FA">
                              <w:rPr>
                                <w:rFonts w:asciiTheme="minorHAnsi" w:hAnsiTheme="minorHAnsi"/>
                              </w:rPr>
                              <w:t>1</w:t>
                            </w:r>
                            <w:r w:rsidRPr="00F309FA">
                              <w:rPr>
                                <w:rFonts w:asciiTheme="minorHAnsi" w:hAnsiTheme="minorHAnsi"/>
                              </w:rPr>
                              <w:t>% of patients identified with HGA</w:t>
                            </w:r>
                            <w:r w:rsidR="00181E4E" w:rsidRPr="00F309FA">
                              <w:rPr>
                                <w:rFonts w:asciiTheme="minorHAnsi" w:hAnsiTheme="minorHAnsi"/>
                              </w:rPr>
                              <w:t xml:space="preserve"> were</w:t>
                            </w:r>
                            <w:r w:rsidRPr="00F309FA">
                              <w:rPr>
                                <w:rFonts w:asciiTheme="minorHAnsi" w:hAnsiTheme="minorHAnsi"/>
                              </w:rPr>
                              <w:t xml:space="preserve"> </w:t>
                            </w:r>
                            <w:r w:rsidR="00553A57" w:rsidRPr="00F309FA">
                              <w:rPr>
                                <w:rFonts w:asciiTheme="minorHAnsi" w:hAnsiTheme="minorHAnsi"/>
                              </w:rPr>
                              <w:t xml:space="preserve">60 or </w:t>
                            </w:r>
                            <w:r w:rsidRPr="00F309FA">
                              <w:rPr>
                                <w:rFonts w:asciiTheme="minorHAnsi" w:hAnsiTheme="minorHAnsi"/>
                              </w:rPr>
                              <w:t>over) and</w:t>
                            </w:r>
                            <w:r w:rsidR="00374A3C" w:rsidRPr="00F309FA">
                              <w:rPr>
                                <w:rFonts w:asciiTheme="minorHAnsi" w:hAnsiTheme="minorHAnsi"/>
                              </w:rPr>
                              <w:t xml:space="preserve"> </w:t>
                            </w:r>
                            <w:r w:rsidR="00540589" w:rsidRPr="00F309FA">
                              <w:rPr>
                                <w:rFonts w:asciiTheme="minorHAnsi" w:hAnsiTheme="minorHAnsi"/>
                              </w:rPr>
                              <w:t>6</w:t>
                            </w:r>
                            <w:r w:rsidR="00414D35" w:rsidRPr="00F309FA">
                              <w:rPr>
                                <w:rFonts w:asciiTheme="minorHAnsi" w:hAnsiTheme="minorHAnsi"/>
                              </w:rPr>
                              <w:t>2</w:t>
                            </w:r>
                            <w:r w:rsidR="00181E4E" w:rsidRPr="00F309FA">
                              <w:rPr>
                                <w:rFonts w:asciiTheme="minorHAnsi" w:hAnsiTheme="minorHAnsi"/>
                              </w:rPr>
                              <w:t>%</w:t>
                            </w:r>
                            <w:r w:rsidRPr="00F309FA">
                              <w:rPr>
                                <w:rFonts w:asciiTheme="minorHAnsi" w:hAnsiTheme="minorHAnsi"/>
                              </w:rPr>
                              <w:t xml:space="preserve"> of all cases were male.</w:t>
                            </w:r>
                            <w:r w:rsidR="00374A3C" w:rsidRPr="00F309FA">
                              <w:rPr>
                                <w:rFonts w:asciiTheme="minorHAnsi" w:hAnsiTheme="minorHAnsi"/>
                              </w:rPr>
                              <w:t xml:space="preserve"> </w:t>
                            </w:r>
                          </w:p>
                          <w:p w14:paraId="2934F4C6" w14:textId="77777777" w:rsidR="00124252" w:rsidRPr="00F309FA" w:rsidRDefault="00124252" w:rsidP="00124252">
                            <w:pPr>
                              <w:rPr>
                                <w:rFonts w:asciiTheme="minorHAnsi" w:hAnsiTheme="minorHAnsi"/>
                                <w:sz w:val="16"/>
                                <w:szCs w:val="16"/>
                              </w:rPr>
                            </w:pPr>
                          </w:p>
                          <w:p w14:paraId="6F9F2216" w14:textId="77777777" w:rsidR="00B2688D" w:rsidRPr="00F309FA" w:rsidRDefault="007D4D63" w:rsidP="00181E4E">
                            <w:pPr>
                              <w:numPr>
                                <w:ilvl w:val="0"/>
                                <w:numId w:val="10"/>
                              </w:numPr>
                              <w:rPr>
                                <w:rFonts w:asciiTheme="minorHAnsi" w:hAnsiTheme="minorHAnsi"/>
                                <w:color w:val="FF0000"/>
                              </w:rPr>
                            </w:pPr>
                            <w:r w:rsidRPr="00F309FA">
                              <w:rPr>
                                <w:rFonts w:asciiTheme="minorHAnsi" w:hAnsiTheme="minorHAnsi"/>
                              </w:rPr>
                              <w:t>Approximately</w:t>
                            </w:r>
                            <w:r w:rsidR="00540589" w:rsidRPr="00F309FA">
                              <w:rPr>
                                <w:rFonts w:asciiTheme="minorHAnsi" w:hAnsiTheme="minorHAnsi"/>
                              </w:rPr>
                              <w:t xml:space="preserve"> o</w:t>
                            </w:r>
                            <w:r w:rsidR="009F2E86" w:rsidRPr="00F309FA">
                              <w:rPr>
                                <w:rFonts w:asciiTheme="minorHAnsi" w:hAnsiTheme="minorHAnsi"/>
                              </w:rPr>
                              <w:t xml:space="preserve">ne out of </w:t>
                            </w:r>
                            <w:r w:rsidRPr="00F309FA">
                              <w:rPr>
                                <w:rFonts w:asciiTheme="minorHAnsi" w:hAnsiTheme="minorHAnsi"/>
                              </w:rPr>
                              <w:t>four</w:t>
                            </w:r>
                            <w:r w:rsidR="009F2E86" w:rsidRPr="00F309FA">
                              <w:rPr>
                                <w:rFonts w:asciiTheme="minorHAnsi" w:hAnsiTheme="minorHAnsi"/>
                              </w:rPr>
                              <w:t xml:space="preserve"> patients with HGA (</w:t>
                            </w:r>
                            <w:r w:rsidR="00540589" w:rsidRPr="00F309FA">
                              <w:rPr>
                                <w:rFonts w:asciiTheme="minorHAnsi" w:hAnsiTheme="minorHAnsi"/>
                              </w:rPr>
                              <w:t>2</w:t>
                            </w:r>
                            <w:r w:rsidRPr="00F309FA">
                              <w:rPr>
                                <w:rFonts w:asciiTheme="minorHAnsi" w:hAnsiTheme="minorHAnsi"/>
                              </w:rPr>
                              <w:t>6</w:t>
                            </w:r>
                            <w:r w:rsidR="00124252" w:rsidRPr="00F309FA">
                              <w:rPr>
                                <w:rFonts w:asciiTheme="minorHAnsi" w:hAnsiTheme="minorHAnsi"/>
                              </w:rPr>
                              <w:t>%</w:t>
                            </w:r>
                            <w:r w:rsidR="009F2E86" w:rsidRPr="00F309FA">
                              <w:rPr>
                                <w:rFonts w:asciiTheme="minorHAnsi" w:hAnsiTheme="minorHAnsi"/>
                              </w:rPr>
                              <w:t>)</w:t>
                            </w:r>
                            <w:r w:rsidR="00124252" w:rsidRPr="00F309FA">
                              <w:rPr>
                                <w:rFonts w:asciiTheme="minorHAnsi" w:hAnsiTheme="minorHAnsi"/>
                              </w:rPr>
                              <w:t xml:space="preserve"> </w:t>
                            </w:r>
                            <w:r w:rsidR="00B340F0" w:rsidRPr="00F309FA">
                              <w:rPr>
                                <w:rFonts w:asciiTheme="minorHAnsi" w:hAnsiTheme="minorHAnsi"/>
                              </w:rPr>
                              <w:t>was</w:t>
                            </w:r>
                            <w:r w:rsidR="00124252" w:rsidRPr="00F309FA">
                              <w:rPr>
                                <w:rFonts w:asciiTheme="minorHAnsi" w:hAnsiTheme="minorHAnsi"/>
                              </w:rPr>
                              <w:t xml:space="preserve"> hospitalized.</w:t>
                            </w:r>
                            <w:r w:rsidR="009706A3" w:rsidRPr="00F309FA">
                              <w:rPr>
                                <w:rFonts w:asciiTheme="minorHAnsi" w:hAnsiTheme="minorHAnsi"/>
                              </w:rPr>
                              <w:t xml:space="preserve"> </w:t>
                            </w:r>
                            <w:r w:rsidR="00181E4E" w:rsidRPr="00F309FA">
                              <w:rPr>
                                <w:rFonts w:asciiTheme="minorHAnsi" w:hAnsiTheme="minorHAnsi"/>
                              </w:rPr>
                              <w:t>The symptoms most commonly reported included fever (</w:t>
                            </w:r>
                            <w:r w:rsidR="0089191A" w:rsidRPr="00F309FA">
                              <w:rPr>
                                <w:rFonts w:asciiTheme="minorHAnsi" w:hAnsiTheme="minorHAnsi"/>
                              </w:rPr>
                              <w:t>99</w:t>
                            </w:r>
                            <w:r w:rsidR="00181E4E" w:rsidRPr="00F309FA">
                              <w:rPr>
                                <w:rFonts w:asciiTheme="minorHAnsi" w:hAnsiTheme="minorHAnsi"/>
                              </w:rPr>
                              <w:t xml:space="preserve">%), </w:t>
                            </w:r>
                            <w:r w:rsidR="00374A3C" w:rsidRPr="00F309FA">
                              <w:rPr>
                                <w:rFonts w:asciiTheme="minorHAnsi" w:hAnsiTheme="minorHAnsi"/>
                              </w:rPr>
                              <w:t>malaise (</w:t>
                            </w:r>
                            <w:r w:rsidR="00A573E8" w:rsidRPr="00F309FA">
                              <w:rPr>
                                <w:rFonts w:asciiTheme="minorHAnsi" w:hAnsiTheme="minorHAnsi"/>
                              </w:rPr>
                              <w:t>7</w:t>
                            </w:r>
                            <w:r w:rsidR="001651FF" w:rsidRPr="00F309FA">
                              <w:rPr>
                                <w:rFonts w:asciiTheme="minorHAnsi" w:hAnsiTheme="minorHAnsi"/>
                              </w:rPr>
                              <w:t>3</w:t>
                            </w:r>
                            <w:r w:rsidR="00181E4E" w:rsidRPr="00F309FA">
                              <w:rPr>
                                <w:rFonts w:asciiTheme="minorHAnsi" w:hAnsiTheme="minorHAnsi"/>
                              </w:rPr>
                              <w:t>%</w:t>
                            </w:r>
                            <w:r w:rsidR="00374A3C" w:rsidRPr="00F309FA">
                              <w:rPr>
                                <w:rFonts w:asciiTheme="minorHAnsi" w:hAnsiTheme="minorHAnsi"/>
                              </w:rPr>
                              <w:t>), and muscle aches and pain (</w:t>
                            </w:r>
                            <w:r w:rsidR="005B173E" w:rsidRPr="00F309FA">
                              <w:rPr>
                                <w:rFonts w:asciiTheme="minorHAnsi" w:hAnsiTheme="minorHAnsi"/>
                              </w:rPr>
                              <w:t>72</w:t>
                            </w:r>
                            <w:r w:rsidR="00181E4E" w:rsidRPr="00F309FA">
                              <w:rPr>
                                <w:rFonts w:asciiTheme="minorHAnsi" w:hAnsiTheme="minorHAnsi"/>
                              </w:rPr>
                              <w:t>%).</w:t>
                            </w:r>
                            <w:r w:rsidR="00B340F0" w:rsidRPr="00F309FA">
                              <w:rPr>
                                <w:rFonts w:asciiTheme="minorHAnsi" w:hAnsiTheme="minorHAnsi"/>
                              </w:rPr>
                              <w:t xml:space="preserve"> </w:t>
                            </w:r>
                          </w:p>
                          <w:p w14:paraId="46EB997E" w14:textId="77777777" w:rsidR="00AF1602" w:rsidRPr="00F309FA" w:rsidRDefault="00AF1602" w:rsidP="00AF1602">
                            <w:pPr>
                              <w:rPr>
                                <w:rFonts w:asciiTheme="minorHAnsi" w:hAnsiTheme="minorHAnsi"/>
                                <w:sz w:val="16"/>
                                <w:szCs w:val="16"/>
                              </w:rPr>
                            </w:pPr>
                          </w:p>
                          <w:p w14:paraId="576C63CB" w14:textId="77777777" w:rsidR="00274239" w:rsidRPr="00F309FA" w:rsidRDefault="00AF1602" w:rsidP="00E12AE3">
                            <w:pPr>
                              <w:numPr>
                                <w:ilvl w:val="0"/>
                                <w:numId w:val="10"/>
                              </w:numPr>
                              <w:rPr>
                                <w:rFonts w:asciiTheme="minorHAnsi" w:hAnsiTheme="minorHAnsi"/>
                              </w:rPr>
                            </w:pPr>
                            <w:r w:rsidRPr="00F309FA">
                              <w:rPr>
                                <w:rFonts w:asciiTheme="minorHAnsi" w:hAnsiTheme="minorHAnsi"/>
                              </w:rPr>
                              <w:t xml:space="preserve">For more information about HGA and other tick-borne diseases, please visit </w:t>
                            </w:r>
                            <w:hyperlink r:id="rId9" w:history="1">
                              <w:r w:rsidRPr="00F309FA">
                                <w:rPr>
                                  <w:rStyle w:val="Hyperlink"/>
                                  <w:rFonts w:asciiTheme="minorHAnsi" w:hAnsiTheme="minorHAnsi"/>
                                </w:rPr>
                                <w:t>www.mass.gov/dph/tick</w:t>
                              </w:r>
                            </w:hyperlink>
                            <w:r w:rsidRPr="00F309FA">
                              <w:rPr>
                                <w:rFonts w:asciiTheme="minorHAnsi" w:hAnsiTheme="minorHAn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1C64F" id="Text Box 8" o:spid="_x0000_s1027" type="#_x0000_t202" alt="Title: 2018 Surveillance Highlights - Description: 656 confirmed and probable cases of HGA were reported in Massachusetts in 2018. Overall 1,919 suspect cases of HGA were investigated. PCR and microscopy laboratory test results indicate current infection, even in individuals not captured in case counts (Figure 3).&#10;&#10;Statewide, HGA incidence decreased from 18.4 to 10.0 cases per 100,000 residents. The counties with the highest incidence were Barnstable, Berkshire, Dukes, Franklin, Nantucket and Plymouth. Berkshire County had the greatest change in incidence, from 133.4 to 69.3 cases per 100,000 residents.&#10;&#10;The majority of cases occurred in May, June, and July, with only 40% of cases reporting awareness of a recent tick bite.&#10;&#10;People aged 60 years and over continue to be at greatest risk for clinical disease (51% of patients identified with HGA were 60 or over) and 62% of all cases were male. &#10;&#10;Approximately one out of four patients with HGA (26%) was hospitalized. The symptoms most commonly reported included fever (99%), malaise (73%), and muscle aches and pain (72%). &#10;&#10;For more information about HGA and other tick-borne diseases, please visit www.mass.gov/dph/tick.&#10;" style="position:absolute;left:0;text-align:left;margin-left:-18.7pt;margin-top:8.2pt;width:575.3pt;height:2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" strokecolor="purple">
                <v:textbox>
                  <w:txbxContent>
                    <w:p w14:paraId="158126E0" w14:textId="77777777" w:rsidR="00B2688D" w:rsidRPr="00F309FA" w:rsidRDefault="000F1081" w:rsidP="00B2688D">
                      <w:pPr>
                        <w:ind w:left="360"/>
                        <w:jc w:val="center"/>
                        <w:rPr>
                          <w:rFonts w:asciiTheme="minorHAnsi" w:hAnsiTheme="minorHAnsi"/>
                          <w:b/>
                        </w:rPr>
                      </w:pPr>
                      <w:r w:rsidRPr="00F309FA">
                        <w:rPr>
                          <w:rFonts w:asciiTheme="minorHAnsi" w:hAnsiTheme="minorHAnsi"/>
                          <w:b/>
                        </w:rPr>
                        <w:t>201</w:t>
                      </w:r>
                      <w:r w:rsidR="00383930" w:rsidRPr="00F309FA">
                        <w:rPr>
                          <w:rFonts w:asciiTheme="minorHAnsi" w:hAnsiTheme="minorHAnsi"/>
                          <w:b/>
                        </w:rPr>
                        <w:t>8</w:t>
                      </w:r>
                      <w:r w:rsidR="001533AE" w:rsidRPr="00F309FA">
                        <w:rPr>
                          <w:rFonts w:asciiTheme="minorHAnsi" w:hAnsiTheme="minorHAnsi"/>
                          <w:b/>
                        </w:rPr>
                        <w:t xml:space="preserve"> </w:t>
                      </w:r>
                      <w:r w:rsidR="00346334" w:rsidRPr="00F309FA">
                        <w:rPr>
                          <w:rFonts w:asciiTheme="minorHAnsi" w:hAnsiTheme="minorHAnsi"/>
                          <w:b/>
                        </w:rPr>
                        <w:t xml:space="preserve">Surveillance </w:t>
                      </w:r>
                      <w:r w:rsidR="00B2688D" w:rsidRPr="00F309FA">
                        <w:rPr>
                          <w:rFonts w:asciiTheme="minorHAnsi" w:hAnsiTheme="minorHAnsi"/>
                          <w:b/>
                        </w:rPr>
                        <w:t>Highlights</w:t>
                      </w:r>
                    </w:p>
                    <w:p w14:paraId="16BD14F4" w14:textId="77777777" w:rsidR="00AF3825" w:rsidRPr="00F309FA" w:rsidRDefault="00AF3825" w:rsidP="00B2688D">
                      <w:pPr>
                        <w:ind w:left="360"/>
                        <w:jc w:val="center"/>
                        <w:rPr>
                          <w:rFonts w:asciiTheme="minorHAnsi" w:hAnsiTheme="minorHAnsi"/>
                          <w:b/>
                          <w:sz w:val="16"/>
                          <w:szCs w:val="16"/>
                        </w:rPr>
                      </w:pPr>
                    </w:p>
                    <w:p w14:paraId="6ED9833E" w14:textId="77777777" w:rsidR="00B2688D" w:rsidRPr="00F309FA" w:rsidRDefault="0001684E" w:rsidP="00B2688D">
                      <w:pPr>
                        <w:numPr>
                          <w:ilvl w:val="0"/>
                          <w:numId w:val="10"/>
                        </w:numPr>
                        <w:rPr>
                          <w:rFonts w:asciiTheme="minorHAnsi" w:hAnsiTheme="minorHAnsi"/>
                        </w:rPr>
                      </w:pPr>
                      <w:r w:rsidRPr="00F309FA">
                        <w:rPr>
                          <w:rFonts w:asciiTheme="minorHAnsi" w:hAnsiTheme="minorHAnsi"/>
                        </w:rPr>
                        <w:t>656</w:t>
                      </w:r>
                      <w:r w:rsidR="00B2688D" w:rsidRPr="00F309FA">
                        <w:rPr>
                          <w:rFonts w:asciiTheme="minorHAnsi" w:hAnsiTheme="minorHAnsi"/>
                        </w:rPr>
                        <w:t xml:space="preserve"> </w:t>
                      </w:r>
                      <w:r w:rsidR="00256D91" w:rsidRPr="00F309FA">
                        <w:rPr>
                          <w:rFonts w:asciiTheme="minorHAnsi" w:hAnsiTheme="minorHAnsi"/>
                        </w:rPr>
                        <w:t xml:space="preserve">confirmed </w:t>
                      </w:r>
                      <w:r w:rsidR="00864F9C" w:rsidRPr="00F309FA">
                        <w:rPr>
                          <w:rFonts w:asciiTheme="minorHAnsi" w:hAnsiTheme="minorHAnsi"/>
                        </w:rPr>
                        <w:t xml:space="preserve">and probable </w:t>
                      </w:r>
                      <w:r w:rsidR="00D7412E" w:rsidRPr="00F309FA">
                        <w:rPr>
                          <w:rFonts w:asciiTheme="minorHAnsi" w:hAnsiTheme="minorHAnsi"/>
                        </w:rPr>
                        <w:t xml:space="preserve">cases of </w:t>
                      </w:r>
                      <w:r w:rsidR="00AF3825" w:rsidRPr="00F309FA">
                        <w:rPr>
                          <w:rFonts w:asciiTheme="minorHAnsi" w:hAnsiTheme="minorHAnsi"/>
                        </w:rPr>
                        <w:t>HGA</w:t>
                      </w:r>
                      <w:r w:rsidR="00B2688D" w:rsidRPr="00F309FA">
                        <w:rPr>
                          <w:rFonts w:asciiTheme="minorHAnsi" w:hAnsiTheme="minorHAnsi"/>
                        </w:rPr>
                        <w:t xml:space="preserve"> were reported </w:t>
                      </w:r>
                      <w:r w:rsidR="00FD241B" w:rsidRPr="00F309FA">
                        <w:rPr>
                          <w:rFonts w:asciiTheme="minorHAnsi" w:hAnsiTheme="minorHAnsi"/>
                        </w:rPr>
                        <w:t xml:space="preserve">in </w:t>
                      </w:r>
                      <w:r w:rsidR="00D7412E" w:rsidRPr="00F309FA">
                        <w:rPr>
                          <w:rFonts w:asciiTheme="minorHAnsi" w:hAnsiTheme="minorHAnsi"/>
                        </w:rPr>
                        <w:t xml:space="preserve">Massachusetts </w:t>
                      </w:r>
                      <w:r w:rsidR="00FD241B" w:rsidRPr="00F309FA">
                        <w:rPr>
                          <w:rFonts w:asciiTheme="minorHAnsi" w:hAnsiTheme="minorHAnsi"/>
                        </w:rPr>
                        <w:t xml:space="preserve">in </w:t>
                      </w:r>
                      <w:r w:rsidR="0028584F" w:rsidRPr="00F309FA">
                        <w:rPr>
                          <w:rFonts w:asciiTheme="minorHAnsi" w:hAnsiTheme="minorHAnsi"/>
                        </w:rPr>
                        <w:t>201</w:t>
                      </w:r>
                      <w:r w:rsidR="006D1DB3" w:rsidRPr="00F309FA">
                        <w:rPr>
                          <w:rFonts w:asciiTheme="minorHAnsi" w:hAnsiTheme="minorHAnsi"/>
                        </w:rPr>
                        <w:t>8</w:t>
                      </w:r>
                      <w:r w:rsidR="00FC0187">
                        <w:rPr>
                          <w:rFonts w:asciiTheme="minorHAnsi" w:hAnsiTheme="minorHAnsi"/>
                        </w:rPr>
                        <w:t>.</w:t>
                      </w:r>
                      <w:r w:rsidR="00C66054" w:rsidRPr="00F309FA">
                        <w:rPr>
                          <w:rFonts w:asciiTheme="minorHAnsi" w:hAnsiTheme="minorHAnsi"/>
                        </w:rPr>
                        <w:t xml:space="preserve"> </w:t>
                      </w:r>
                      <w:r w:rsidR="00B340F0" w:rsidRPr="00F309FA">
                        <w:rPr>
                          <w:rFonts w:asciiTheme="minorHAnsi" w:hAnsiTheme="minorHAnsi"/>
                        </w:rPr>
                        <w:t xml:space="preserve">Overall </w:t>
                      </w:r>
                      <w:r w:rsidR="006F3D1B" w:rsidRPr="00F309FA">
                        <w:rPr>
                          <w:rFonts w:asciiTheme="minorHAnsi" w:hAnsiTheme="minorHAnsi"/>
                        </w:rPr>
                        <w:t>1,919</w:t>
                      </w:r>
                      <w:r w:rsidR="00907A01" w:rsidRPr="00F309FA">
                        <w:rPr>
                          <w:rFonts w:asciiTheme="minorHAnsi" w:hAnsiTheme="minorHAnsi"/>
                        </w:rPr>
                        <w:t xml:space="preserve"> </w:t>
                      </w:r>
                      <w:r w:rsidR="00747D99" w:rsidRPr="00F309FA">
                        <w:rPr>
                          <w:rFonts w:asciiTheme="minorHAnsi" w:hAnsiTheme="minorHAnsi"/>
                        </w:rPr>
                        <w:t>suspect cases</w:t>
                      </w:r>
                      <w:r w:rsidR="00211C44" w:rsidRPr="00F309FA">
                        <w:rPr>
                          <w:rFonts w:asciiTheme="minorHAnsi" w:hAnsiTheme="minorHAnsi"/>
                        </w:rPr>
                        <w:t xml:space="preserve"> of HGA</w:t>
                      </w:r>
                      <w:r w:rsidR="00747D99" w:rsidRPr="00F309FA">
                        <w:rPr>
                          <w:rFonts w:asciiTheme="minorHAnsi" w:hAnsiTheme="minorHAnsi"/>
                        </w:rPr>
                        <w:t xml:space="preserve"> were investigated.</w:t>
                      </w:r>
                      <w:r w:rsidR="00FC0187">
                        <w:rPr>
                          <w:rFonts w:asciiTheme="minorHAnsi" w:hAnsiTheme="minorHAnsi"/>
                        </w:rPr>
                        <w:t xml:space="preserve"> PCR and microscopy laboratory test results indicate current infection, even in individuals not captured in case counts (Figure 3).</w:t>
                      </w:r>
                    </w:p>
                    <w:p w14:paraId="298CE0FA" w14:textId="77777777" w:rsidR="00B2688D" w:rsidRPr="00F309FA" w:rsidRDefault="00B2688D" w:rsidP="00B2688D">
                      <w:pPr>
                        <w:ind w:left="360"/>
                        <w:rPr>
                          <w:rFonts w:asciiTheme="minorHAnsi" w:hAnsiTheme="minorHAnsi"/>
                          <w:sz w:val="16"/>
                          <w:szCs w:val="16"/>
                        </w:rPr>
                      </w:pPr>
                    </w:p>
                    <w:p w14:paraId="1C9FAF9D" w14:textId="77777777" w:rsidR="006A4F1D" w:rsidRPr="00F309FA" w:rsidRDefault="00211C44" w:rsidP="006A4F1D">
                      <w:pPr>
                        <w:numPr>
                          <w:ilvl w:val="0"/>
                          <w:numId w:val="10"/>
                        </w:numPr>
                        <w:rPr>
                          <w:rFonts w:asciiTheme="minorHAnsi" w:hAnsiTheme="minorHAnsi"/>
                        </w:rPr>
                      </w:pPr>
                      <w:r w:rsidRPr="00F309FA">
                        <w:rPr>
                          <w:rFonts w:asciiTheme="minorHAnsi" w:hAnsiTheme="minorHAnsi"/>
                        </w:rPr>
                        <w:t xml:space="preserve">Statewide, HGA incidence </w:t>
                      </w:r>
                      <w:r w:rsidR="004840B2" w:rsidRPr="00F309FA">
                        <w:rPr>
                          <w:rFonts w:asciiTheme="minorHAnsi" w:hAnsiTheme="minorHAnsi"/>
                        </w:rPr>
                        <w:t>decreased</w:t>
                      </w:r>
                      <w:r w:rsidRPr="00F309FA">
                        <w:rPr>
                          <w:rFonts w:asciiTheme="minorHAnsi" w:hAnsiTheme="minorHAnsi"/>
                        </w:rPr>
                        <w:t xml:space="preserve"> from </w:t>
                      </w:r>
                      <w:r w:rsidR="004F0FA1" w:rsidRPr="00F309FA">
                        <w:rPr>
                          <w:rFonts w:asciiTheme="minorHAnsi" w:hAnsiTheme="minorHAnsi"/>
                        </w:rPr>
                        <w:t>18.4</w:t>
                      </w:r>
                      <w:r w:rsidR="004840B2" w:rsidRPr="00F309FA">
                        <w:rPr>
                          <w:rFonts w:asciiTheme="minorHAnsi" w:hAnsiTheme="minorHAnsi"/>
                        </w:rPr>
                        <w:t xml:space="preserve"> to 10.0</w:t>
                      </w:r>
                      <w:r w:rsidR="00922243" w:rsidRPr="00F309FA">
                        <w:rPr>
                          <w:rFonts w:asciiTheme="minorHAnsi" w:hAnsiTheme="minorHAnsi"/>
                        </w:rPr>
                        <w:t xml:space="preserve"> </w:t>
                      </w:r>
                      <w:r w:rsidR="004F4EF2" w:rsidRPr="00F309FA">
                        <w:rPr>
                          <w:rFonts w:asciiTheme="minorHAnsi" w:hAnsiTheme="minorHAnsi"/>
                        </w:rPr>
                        <w:t>cases per 100,000 residents</w:t>
                      </w:r>
                      <w:r w:rsidR="007605FC" w:rsidRPr="00F309FA">
                        <w:rPr>
                          <w:rFonts w:asciiTheme="minorHAnsi" w:hAnsiTheme="minorHAnsi"/>
                        </w:rPr>
                        <w:t xml:space="preserve">. The counties with the highest incidence </w:t>
                      </w:r>
                      <w:r w:rsidR="00B55D50">
                        <w:rPr>
                          <w:rFonts w:asciiTheme="minorHAnsi" w:hAnsiTheme="minorHAnsi"/>
                        </w:rPr>
                        <w:t xml:space="preserve">were </w:t>
                      </w:r>
                      <w:r w:rsidR="007605FC" w:rsidRPr="00F309FA">
                        <w:rPr>
                          <w:rFonts w:asciiTheme="minorHAnsi" w:hAnsiTheme="minorHAnsi"/>
                        </w:rPr>
                        <w:t>Barnstable, Berkshire, Dukes</w:t>
                      </w:r>
                      <w:r w:rsidR="00227B0D" w:rsidRPr="00F309FA">
                        <w:rPr>
                          <w:rFonts w:asciiTheme="minorHAnsi" w:hAnsiTheme="minorHAnsi"/>
                        </w:rPr>
                        <w:t>, Franklin</w:t>
                      </w:r>
                      <w:r w:rsidR="007605FC" w:rsidRPr="00F309FA">
                        <w:rPr>
                          <w:rFonts w:asciiTheme="minorHAnsi" w:hAnsiTheme="minorHAnsi"/>
                        </w:rPr>
                        <w:t>, Nantucket and Plymouth</w:t>
                      </w:r>
                      <w:r w:rsidR="00181E4E" w:rsidRPr="00F309FA">
                        <w:rPr>
                          <w:rFonts w:asciiTheme="minorHAnsi" w:hAnsiTheme="minorHAnsi"/>
                        </w:rPr>
                        <w:t xml:space="preserve">. </w:t>
                      </w:r>
                      <w:r w:rsidR="007C5704" w:rsidRPr="00F309FA">
                        <w:rPr>
                          <w:rFonts w:asciiTheme="minorHAnsi" w:hAnsiTheme="minorHAnsi"/>
                        </w:rPr>
                        <w:t>Berkshire</w:t>
                      </w:r>
                      <w:r w:rsidR="007B2E6A" w:rsidRPr="00F309FA">
                        <w:rPr>
                          <w:rFonts w:asciiTheme="minorHAnsi" w:hAnsiTheme="minorHAnsi"/>
                        </w:rPr>
                        <w:t xml:space="preserve"> County</w:t>
                      </w:r>
                      <w:r w:rsidR="00181E4E" w:rsidRPr="00F309FA">
                        <w:rPr>
                          <w:rFonts w:asciiTheme="minorHAnsi" w:hAnsiTheme="minorHAnsi"/>
                        </w:rPr>
                        <w:t xml:space="preserve"> had the greatest change in incidence, from </w:t>
                      </w:r>
                      <w:r w:rsidR="007C5704" w:rsidRPr="00F309FA">
                        <w:rPr>
                          <w:rFonts w:asciiTheme="minorHAnsi" w:hAnsiTheme="minorHAnsi"/>
                        </w:rPr>
                        <w:t>133.4</w:t>
                      </w:r>
                      <w:r w:rsidR="008D2159" w:rsidRPr="00F309FA">
                        <w:rPr>
                          <w:rFonts w:asciiTheme="minorHAnsi" w:hAnsiTheme="minorHAnsi"/>
                        </w:rPr>
                        <w:t xml:space="preserve"> to 69.3</w:t>
                      </w:r>
                      <w:r w:rsidR="00947D76" w:rsidRPr="00F309FA">
                        <w:rPr>
                          <w:rFonts w:asciiTheme="minorHAnsi" w:hAnsiTheme="minorHAnsi"/>
                        </w:rPr>
                        <w:t xml:space="preserve"> cases</w:t>
                      </w:r>
                      <w:r w:rsidR="00181E4E" w:rsidRPr="00F309FA">
                        <w:rPr>
                          <w:rFonts w:asciiTheme="minorHAnsi" w:hAnsiTheme="minorHAnsi"/>
                        </w:rPr>
                        <w:t xml:space="preserve"> per 100,000 residents.</w:t>
                      </w:r>
                    </w:p>
                    <w:p w14:paraId="3520D6E1" w14:textId="77777777" w:rsidR="006A4F1D" w:rsidRPr="00F309FA" w:rsidRDefault="006A4F1D" w:rsidP="006A4F1D">
                      <w:pPr>
                        <w:ind w:left="360"/>
                        <w:rPr>
                          <w:rFonts w:asciiTheme="minorHAnsi" w:hAnsiTheme="minorHAnsi"/>
                          <w:sz w:val="16"/>
                          <w:szCs w:val="16"/>
                        </w:rPr>
                      </w:pPr>
                    </w:p>
                    <w:p w14:paraId="47E03C19" w14:textId="77777777" w:rsidR="00B2688D" w:rsidRPr="00F309FA" w:rsidRDefault="00AF3825" w:rsidP="0033409F">
                      <w:pPr>
                        <w:numPr>
                          <w:ilvl w:val="0"/>
                          <w:numId w:val="10"/>
                        </w:numPr>
                        <w:rPr>
                          <w:rFonts w:asciiTheme="minorHAnsi" w:hAnsiTheme="minorHAnsi"/>
                        </w:rPr>
                      </w:pPr>
                      <w:r w:rsidRPr="00F309FA">
                        <w:rPr>
                          <w:rFonts w:asciiTheme="minorHAnsi" w:hAnsiTheme="minorHAnsi"/>
                        </w:rPr>
                        <w:t xml:space="preserve">The </w:t>
                      </w:r>
                      <w:r w:rsidR="00181E4E" w:rsidRPr="00F309FA">
                        <w:rPr>
                          <w:rFonts w:asciiTheme="minorHAnsi" w:hAnsiTheme="minorHAnsi"/>
                        </w:rPr>
                        <w:t>majority of</w:t>
                      </w:r>
                      <w:r w:rsidRPr="00F309FA">
                        <w:rPr>
                          <w:rFonts w:asciiTheme="minorHAnsi" w:hAnsiTheme="minorHAnsi"/>
                        </w:rPr>
                        <w:t xml:space="preserve"> cases </w:t>
                      </w:r>
                      <w:r w:rsidR="00D62901" w:rsidRPr="00F309FA">
                        <w:rPr>
                          <w:rFonts w:asciiTheme="minorHAnsi" w:hAnsiTheme="minorHAnsi"/>
                        </w:rPr>
                        <w:t>occurred</w:t>
                      </w:r>
                      <w:r w:rsidR="00B2688D" w:rsidRPr="00F309FA">
                        <w:rPr>
                          <w:rFonts w:asciiTheme="minorHAnsi" w:hAnsiTheme="minorHAnsi"/>
                        </w:rPr>
                        <w:t xml:space="preserve"> in </w:t>
                      </w:r>
                      <w:r w:rsidR="004A5FF9" w:rsidRPr="00F309FA">
                        <w:rPr>
                          <w:rFonts w:asciiTheme="minorHAnsi" w:hAnsiTheme="minorHAnsi"/>
                        </w:rPr>
                        <w:t xml:space="preserve">May, </w:t>
                      </w:r>
                      <w:r w:rsidR="007A5190" w:rsidRPr="00F309FA">
                        <w:rPr>
                          <w:rFonts w:asciiTheme="minorHAnsi" w:hAnsiTheme="minorHAnsi"/>
                        </w:rPr>
                        <w:t>June</w:t>
                      </w:r>
                      <w:r w:rsidR="004A5FF9" w:rsidRPr="00F309FA">
                        <w:rPr>
                          <w:rFonts w:asciiTheme="minorHAnsi" w:hAnsiTheme="minorHAnsi"/>
                        </w:rPr>
                        <w:t>,</w:t>
                      </w:r>
                      <w:r w:rsidR="007A5190" w:rsidRPr="00F309FA">
                        <w:rPr>
                          <w:rFonts w:asciiTheme="minorHAnsi" w:hAnsiTheme="minorHAnsi"/>
                        </w:rPr>
                        <w:t xml:space="preserve"> and July</w:t>
                      </w:r>
                      <w:r w:rsidR="00747379" w:rsidRPr="00F309FA">
                        <w:rPr>
                          <w:rFonts w:asciiTheme="minorHAnsi" w:hAnsiTheme="minorHAnsi"/>
                        </w:rPr>
                        <w:t>,</w:t>
                      </w:r>
                      <w:r w:rsidR="00181E4E" w:rsidRPr="00F309FA">
                        <w:rPr>
                          <w:rFonts w:asciiTheme="minorHAnsi" w:hAnsiTheme="minorHAnsi"/>
                        </w:rPr>
                        <w:t xml:space="preserve"> with </w:t>
                      </w:r>
                      <w:r w:rsidR="007C5704" w:rsidRPr="00F309FA">
                        <w:rPr>
                          <w:rFonts w:asciiTheme="minorHAnsi" w:hAnsiTheme="minorHAnsi"/>
                        </w:rPr>
                        <w:t xml:space="preserve">only </w:t>
                      </w:r>
                      <w:r w:rsidR="00627783" w:rsidRPr="00F309FA">
                        <w:rPr>
                          <w:rFonts w:asciiTheme="minorHAnsi" w:hAnsiTheme="minorHAnsi"/>
                        </w:rPr>
                        <w:t>40</w:t>
                      </w:r>
                      <w:r w:rsidR="007C5704" w:rsidRPr="00F309FA">
                        <w:rPr>
                          <w:rFonts w:asciiTheme="minorHAnsi" w:hAnsiTheme="minorHAnsi"/>
                        </w:rPr>
                        <w:t>%</w:t>
                      </w:r>
                      <w:r w:rsidR="00274239" w:rsidRPr="00F309FA">
                        <w:rPr>
                          <w:rFonts w:asciiTheme="minorHAnsi" w:hAnsiTheme="minorHAnsi"/>
                        </w:rPr>
                        <w:t xml:space="preserve"> </w:t>
                      </w:r>
                      <w:r w:rsidR="0007641F" w:rsidRPr="00F309FA">
                        <w:rPr>
                          <w:rFonts w:asciiTheme="minorHAnsi" w:hAnsiTheme="minorHAnsi"/>
                        </w:rPr>
                        <w:t xml:space="preserve">of cases </w:t>
                      </w:r>
                      <w:r w:rsidR="00181E4E" w:rsidRPr="00F309FA">
                        <w:rPr>
                          <w:rFonts w:asciiTheme="minorHAnsi" w:hAnsiTheme="minorHAnsi"/>
                        </w:rPr>
                        <w:t xml:space="preserve">reporting awareness of a </w:t>
                      </w:r>
                      <w:r w:rsidR="00274239" w:rsidRPr="00F309FA">
                        <w:rPr>
                          <w:rFonts w:asciiTheme="minorHAnsi" w:hAnsiTheme="minorHAnsi"/>
                        </w:rPr>
                        <w:t>recent tick bite</w:t>
                      </w:r>
                      <w:r w:rsidR="0033409F" w:rsidRPr="00F309FA">
                        <w:rPr>
                          <w:rFonts w:asciiTheme="minorHAnsi" w:hAnsiTheme="minorHAnsi"/>
                        </w:rPr>
                        <w:t>.</w:t>
                      </w:r>
                    </w:p>
                    <w:p w14:paraId="006E5411" w14:textId="77777777" w:rsidR="0033409F" w:rsidRPr="00F309FA" w:rsidRDefault="0033409F" w:rsidP="0033409F">
                      <w:pPr>
                        <w:rPr>
                          <w:rFonts w:asciiTheme="minorHAnsi" w:hAnsiTheme="minorHAnsi"/>
                          <w:sz w:val="16"/>
                          <w:szCs w:val="16"/>
                        </w:rPr>
                      </w:pPr>
                    </w:p>
                    <w:p w14:paraId="239BC082" w14:textId="77777777" w:rsidR="00747D99" w:rsidRPr="00F309FA" w:rsidRDefault="00747D99" w:rsidP="00747D99">
                      <w:pPr>
                        <w:numPr>
                          <w:ilvl w:val="0"/>
                          <w:numId w:val="10"/>
                        </w:numPr>
                        <w:rPr>
                          <w:rFonts w:asciiTheme="minorHAnsi" w:hAnsiTheme="minorHAnsi"/>
                        </w:rPr>
                      </w:pPr>
                      <w:r w:rsidRPr="00F309FA">
                        <w:rPr>
                          <w:rFonts w:asciiTheme="minorHAnsi" w:hAnsiTheme="minorHAnsi"/>
                        </w:rPr>
                        <w:t xml:space="preserve">People </w:t>
                      </w:r>
                      <w:r w:rsidR="00F905BF" w:rsidRPr="00F309FA">
                        <w:rPr>
                          <w:rFonts w:asciiTheme="minorHAnsi" w:hAnsiTheme="minorHAnsi"/>
                        </w:rPr>
                        <w:t xml:space="preserve">aged 60 </w:t>
                      </w:r>
                      <w:r w:rsidR="009163F5" w:rsidRPr="00F309FA">
                        <w:rPr>
                          <w:rFonts w:asciiTheme="minorHAnsi" w:hAnsiTheme="minorHAnsi"/>
                        </w:rPr>
                        <w:t xml:space="preserve">years </w:t>
                      </w:r>
                      <w:r w:rsidR="00F905BF" w:rsidRPr="00F309FA">
                        <w:rPr>
                          <w:rFonts w:asciiTheme="minorHAnsi" w:hAnsiTheme="minorHAnsi"/>
                        </w:rPr>
                        <w:t xml:space="preserve">and over </w:t>
                      </w:r>
                      <w:r w:rsidRPr="00F309FA">
                        <w:rPr>
                          <w:rFonts w:asciiTheme="minorHAnsi" w:hAnsiTheme="minorHAnsi"/>
                        </w:rPr>
                        <w:t>continue to be at greate</w:t>
                      </w:r>
                      <w:r w:rsidR="00374A3C" w:rsidRPr="00F309FA">
                        <w:rPr>
                          <w:rFonts w:asciiTheme="minorHAnsi" w:hAnsiTheme="minorHAnsi"/>
                        </w:rPr>
                        <w:t>st risk for clinical disease (</w:t>
                      </w:r>
                      <w:r w:rsidR="00553A57" w:rsidRPr="00F309FA">
                        <w:rPr>
                          <w:rFonts w:asciiTheme="minorHAnsi" w:hAnsiTheme="minorHAnsi"/>
                        </w:rPr>
                        <w:t>5</w:t>
                      </w:r>
                      <w:r w:rsidR="00CC1AC0" w:rsidRPr="00F309FA">
                        <w:rPr>
                          <w:rFonts w:asciiTheme="minorHAnsi" w:hAnsiTheme="minorHAnsi"/>
                        </w:rPr>
                        <w:t>1</w:t>
                      </w:r>
                      <w:r w:rsidRPr="00F309FA">
                        <w:rPr>
                          <w:rFonts w:asciiTheme="minorHAnsi" w:hAnsiTheme="minorHAnsi"/>
                        </w:rPr>
                        <w:t>% of patients identified with HGA</w:t>
                      </w:r>
                      <w:r w:rsidR="00181E4E" w:rsidRPr="00F309FA">
                        <w:rPr>
                          <w:rFonts w:asciiTheme="minorHAnsi" w:hAnsiTheme="minorHAnsi"/>
                        </w:rPr>
                        <w:t xml:space="preserve"> were</w:t>
                      </w:r>
                      <w:r w:rsidRPr="00F309FA">
                        <w:rPr>
                          <w:rFonts w:asciiTheme="minorHAnsi" w:hAnsiTheme="minorHAnsi"/>
                        </w:rPr>
                        <w:t xml:space="preserve"> </w:t>
                      </w:r>
                      <w:r w:rsidR="00553A57" w:rsidRPr="00F309FA">
                        <w:rPr>
                          <w:rFonts w:asciiTheme="minorHAnsi" w:hAnsiTheme="minorHAnsi"/>
                        </w:rPr>
                        <w:t xml:space="preserve">60 or </w:t>
                      </w:r>
                      <w:r w:rsidRPr="00F309FA">
                        <w:rPr>
                          <w:rFonts w:asciiTheme="minorHAnsi" w:hAnsiTheme="minorHAnsi"/>
                        </w:rPr>
                        <w:t>over) and</w:t>
                      </w:r>
                      <w:r w:rsidR="00374A3C" w:rsidRPr="00F309FA">
                        <w:rPr>
                          <w:rFonts w:asciiTheme="minorHAnsi" w:hAnsiTheme="minorHAnsi"/>
                        </w:rPr>
                        <w:t xml:space="preserve"> </w:t>
                      </w:r>
                      <w:r w:rsidR="00540589" w:rsidRPr="00F309FA">
                        <w:rPr>
                          <w:rFonts w:asciiTheme="minorHAnsi" w:hAnsiTheme="minorHAnsi"/>
                        </w:rPr>
                        <w:t>6</w:t>
                      </w:r>
                      <w:r w:rsidR="00414D35" w:rsidRPr="00F309FA">
                        <w:rPr>
                          <w:rFonts w:asciiTheme="minorHAnsi" w:hAnsiTheme="minorHAnsi"/>
                        </w:rPr>
                        <w:t>2</w:t>
                      </w:r>
                      <w:r w:rsidR="00181E4E" w:rsidRPr="00F309FA">
                        <w:rPr>
                          <w:rFonts w:asciiTheme="minorHAnsi" w:hAnsiTheme="minorHAnsi"/>
                        </w:rPr>
                        <w:t>%</w:t>
                      </w:r>
                      <w:r w:rsidRPr="00F309FA">
                        <w:rPr>
                          <w:rFonts w:asciiTheme="minorHAnsi" w:hAnsiTheme="minorHAnsi"/>
                        </w:rPr>
                        <w:t xml:space="preserve"> of all cases were male.</w:t>
                      </w:r>
                      <w:r w:rsidR="00374A3C" w:rsidRPr="00F309FA">
                        <w:rPr>
                          <w:rFonts w:asciiTheme="minorHAnsi" w:hAnsiTheme="minorHAnsi"/>
                        </w:rPr>
                        <w:t xml:space="preserve"> </w:t>
                      </w:r>
                    </w:p>
                    <w:p w14:paraId="2934F4C6" w14:textId="77777777" w:rsidR="00124252" w:rsidRPr="00F309FA" w:rsidRDefault="00124252" w:rsidP="00124252">
                      <w:pPr>
                        <w:rPr>
                          <w:rFonts w:asciiTheme="minorHAnsi" w:hAnsiTheme="minorHAnsi"/>
                          <w:sz w:val="16"/>
                          <w:szCs w:val="16"/>
                        </w:rPr>
                      </w:pPr>
                    </w:p>
                    <w:p w14:paraId="6F9F2216" w14:textId="77777777" w:rsidR="00B2688D" w:rsidRPr="00F309FA" w:rsidRDefault="007D4D63" w:rsidP="00181E4E">
                      <w:pPr>
                        <w:numPr>
                          <w:ilvl w:val="0"/>
                          <w:numId w:val="10"/>
                        </w:numPr>
                        <w:rPr>
                          <w:rFonts w:asciiTheme="minorHAnsi" w:hAnsiTheme="minorHAnsi"/>
                          <w:color w:val="FF0000"/>
                        </w:rPr>
                      </w:pPr>
                      <w:r w:rsidRPr="00F309FA">
                        <w:rPr>
                          <w:rFonts w:asciiTheme="minorHAnsi" w:hAnsiTheme="minorHAnsi"/>
                        </w:rPr>
                        <w:t>Approximately</w:t>
                      </w:r>
                      <w:r w:rsidR="00540589" w:rsidRPr="00F309FA">
                        <w:rPr>
                          <w:rFonts w:asciiTheme="minorHAnsi" w:hAnsiTheme="minorHAnsi"/>
                        </w:rPr>
                        <w:t xml:space="preserve"> o</w:t>
                      </w:r>
                      <w:r w:rsidR="009F2E86" w:rsidRPr="00F309FA">
                        <w:rPr>
                          <w:rFonts w:asciiTheme="minorHAnsi" w:hAnsiTheme="minorHAnsi"/>
                        </w:rPr>
                        <w:t xml:space="preserve">ne out of </w:t>
                      </w:r>
                      <w:r w:rsidRPr="00F309FA">
                        <w:rPr>
                          <w:rFonts w:asciiTheme="minorHAnsi" w:hAnsiTheme="minorHAnsi"/>
                        </w:rPr>
                        <w:t>four</w:t>
                      </w:r>
                      <w:r w:rsidR="009F2E86" w:rsidRPr="00F309FA">
                        <w:rPr>
                          <w:rFonts w:asciiTheme="minorHAnsi" w:hAnsiTheme="minorHAnsi"/>
                        </w:rPr>
                        <w:t xml:space="preserve"> patients with HGA (</w:t>
                      </w:r>
                      <w:r w:rsidR="00540589" w:rsidRPr="00F309FA">
                        <w:rPr>
                          <w:rFonts w:asciiTheme="minorHAnsi" w:hAnsiTheme="minorHAnsi"/>
                        </w:rPr>
                        <w:t>2</w:t>
                      </w:r>
                      <w:r w:rsidRPr="00F309FA">
                        <w:rPr>
                          <w:rFonts w:asciiTheme="minorHAnsi" w:hAnsiTheme="minorHAnsi"/>
                        </w:rPr>
                        <w:t>6</w:t>
                      </w:r>
                      <w:r w:rsidR="00124252" w:rsidRPr="00F309FA">
                        <w:rPr>
                          <w:rFonts w:asciiTheme="minorHAnsi" w:hAnsiTheme="minorHAnsi"/>
                        </w:rPr>
                        <w:t>%</w:t>
                      </w:r>
                      <w:r w:rsidR="009F2E86" w:rsidRPr="00F309FA">
                        <w:rPr>
                          <w:rFonts w:asciiTheme="minorHAnsi" w:hAnsiTheme="minorHAnsi"/>
                        </w:rPr>
                        <w:t>)</w:t>
                      </w:r>
                      <w:r w:rsidR="00124252" w:rsidRPr="00F309FA">
                        <w:rPr>
                          <w:rFonts w:asciiTheme="minorHAnsi" w:hAnsiTheme="minorHAnsi"/>
                        </w:rPr>
                        <w:t xml:space="preserve"> </w:t>
                      </w:r>
                      <w:r w:rsidR="00B340F0" w:rsidRPr="00F309FA">
                        <w:rPr>
                          <w:rFonts w:asciiTheme="minorHAnsi" w:hAnsiTheme="minorHAnsi"/>
                        </w:rPr>
                        <w:t>was</w:t>
                      </w:r>
                      <w:r w:rsidR="00124252" w:rsidRPr="00F309FA">
                        <w:rPr>
                          <w:rFonts w:asciiTheme="minorHAnsi" w:hAnsiTheme="minorHAnsi"/>
                        </w:rPr>
                        <w:t xml:space="preserve"> hospitalized.</w:t>
                      </w:r>
                      <w:r w:rsidR="009706A3" w:rsidRPr="00F309FA">
                        <w:rPr>
                          <w:rFonts w:asciiTheme="minorHAnsi" w:hAnsiTheme="minorHAnsi"/>
                        </w:rPr>
                        <w:t xml:space="preserve"> </w:t>
                      </w:r>
                      <w:r w:rsidR="00181E4E" w:rsidRPr="00F309FA">
                        <w:rPr>
                          <w:rFonts w:asciiTheme="minorHAnsi" w:hAnsiTheme="minorHAnsi"/>
                        </w:rPr>
                        <w:t>The symptoms most commonly reported included fever (</w:t>
                      </w:r>
                      <w:r w:rsidR="0089191A" w:rsidRPr="00F309FA">
                        <w:rPr>
                          <w:rFonts w:asciiTheme="minorHAnsi" w:hAnsiTheme="minorHAnsi"/>
                        </w:rPr>
                        <w:t>99</w:t>
                      </w:r>
                      <w:r w:rsidR="00181E4E" w:rsidRPr="00F309FA">
                        <w:rPr>
                          <w:rFonts w:asciiTheme="minorHAnsi" w:hAnsiTheme="minorHAnsi"/>
                        </w:rPr>
                        <w:t xml:space="preserve">%), </w:t>
                      </w:r>
                      <w:r w:rsidR="00374A3C" w:rsidRPr="00F309FA">
                        <w:rPr>
                          <w:rFonts w:asciiTheme="minorHAnsi" w:hAnsiTheme="minorHAnsi"/>
                        </w:rPr>
                        <w:t>malaise (</w:t>
                      </w:r>
                      <w:r w:rsidR="00A573E8" w:rsidRPr="00F309FA">
                        <w:rPr>
                          <w:rFonts w:asciiTheme="minorHAnsi" w:hAnsiTheme="minorHAnsi"/>
                        </w:rPr>
                        <w:t>7</w:t>
                      </w:r>
                      <w:r w:rsidR="001651FF" w:rsidRPr="00F309FA">
                        <w:rPr>
                          <w:rFonts w:asciiTheme="minorHAnsi" w:hAnsiTheme="minorHAnsi"/>
                        </w:rPr>
                        <w:t>3</w:t>
                      </w:r>
                      <w:r w:rsidR="00181E4E" w:rsidRPr="00F309FA">
                        <w:rPr>
                          <w:rFonts w:asciiTheme="minorHAnsi" w:hAnsiTheme="minorHAnsi"/>
                        </w:rPr>
                        <w:t>%</w:t>
                      </w:r>
                      <w:r w:rsidR="00374A3C" w:rsidRPr="00F309FA">
                        <w:rPr>
                          <w:rFonts w:asciiTheme="minorHAnsi" w:hAnsiTheme="minorHAnsi"/>
                        </w:rPr>
                        <w:t>), and muscle aches and pain (</w:t>
                      </w:r>
                      <w:r w:rsidR="005B173E" w:rsidRPr="00F309FA">
                        <w:rPr>
                          <w:rFonts w:asciiTheme="minorHAnsi" w:hAnsiTheme="minorHAnsi"/>
                        </w:rPr>
                        <w:t>72</w:t>
                      </w:r>
                      <w:r w:rsidR="00181E4E" w:rsidRPr="00F309FA">
                        <w:rPr>
                          <w:rFonts w:asciiTheme="minorHAnsi" w:hAnsiTheme="minorHAnsi"/>
                        </w:rPr>
                        <w:t>%).</w:t>
                      </w:r>
                      <w:r w:rsidR="00B340F0" w:rsidRPr="00F309FA">
                        <w:rPr>
                          <w:rFonts w:asciiTheme="minorHAnsi" w:hAnsiTheme="minorHAnsi"/>
                        </w:rPr>
                        <w:t xml:space="preserve"> </w:t>
                      </w:r>
                    </w:p>
                    <w:p w14:paraId="46EB997E" w14:textId="77777777" w:rsidR="00AF1602" w:rsidRPr="00F309FA" w:rsidRDefault="00AF1602" w:rsidP="00AF1602">
                      <w:pPr>
                        <w:rPr>
                          <w:rFonts w:asciiTheme="minorHAnsi" w:hAnsiTheme="minorHAnsi"/>
                          <w:sz w:val="16"/>
                          <w:szCs w:val="16"/>
                        </w:rPr>
                      </w:pPr>
                    </w:p>
                    <w:p w14:paraId="576C63CB" w14:textId="77777777" w:rsidR="00274239" w:rsidRPr="00F309FA" w:rsidRDefault="00AF1602" w:rsidP="00E12AE3">
                      <w:pPr>
                        <w:numPr>
                          <w:ilvl w:val="0"/>
                          <w:numId w:val="10"/>
                        </w:numPr>
                        <w:rPr>
                          <w:rFonts w:asciiTheme="minorHAnsi" w:hAnsiTheme="minorHAnsi"/>
                        </w:rPr>
                      </w:pPr>
                      <w:r w:rsidRPr="00F309FA">
                        <w:rPr>
                          <w:rFonts w:asciiTheme="minorHAnsi" w:hAnsiTheme="minorHAnsi"/>
                        </w:rPr>
                        <w:t xml:space="preserve">For more information about HGA and other tick-borne diseases, please visit </w:t>
                      </w:r>
                      <w:hyperlink r:id="rId10" w:history="1">
                        <w:r w:rsidRPr="00F309FA">
                          <w:rPr>
                            <w:rStyle w:val="Hyperlink"/>
                            <w:rFonts w:asciiTheme="minorHAnsi" w:hAnsiTheme="minorHAnsi"/>
                          </w:rPr>
                          <w:t>www.mass.gov/dph/tick</w:t>
                        </w:r>
                      </w:hyperlink>
                      <w:r w:rsidRPr="00F309FA">
                        <w:rPr>
                          <w:rFonts w:asciiTheme="minorHAnsi" w:hAnsiTheme="minorHAnsi"/>
                        </w:rPr>
                        <w:t>.</w:t>
                      </w:r>
                    </w:p>
                  </w:txbxContent>
                </v:textbox>
              </v:shape>
            </w:pict>
          </mc:Fallback>
        </mc:AlternateContent>
      </w:r>
    </w:p>
    <w:p w14:paraId="6FAA0F12" w14:textId="77777777" w:rsidR="0059721E" w:rsidRDefault="0059721E" w:rsidP="0059721E">
      <w:pPr>
        <w:jc w:val="center"/>
        <w:rPr>
          <w:b/>
          <w:sz w:val="40"/>
          <w:szCs w:val="40"/>
        </w:rPr>
      </w:pPr>
    </w:p>
    <w:p w14:paraId="6A110957" w14:textId="77777777" w:rsidR="0059721E" w:rsidRDefault="0059721E" w:rsidP="0059721E">
      <w:pPr>
        <w:jc w:val="center"/>
        <w:rPr>
          <w:b/>
          <w:sz w:val="40"/>
          <w:szCs w:val="40"/>
        </w:rPr>
      </w:pPr>
    </w:p>
    <w:p w14:paraId="2AA04CB6" w14:textId="77777777" w:rsidR="0059721E" w:rsidRDefault="0059721E" w:rsidP="0059721E">
      <w:pPr>
        <w:jc w:val="center"/>
        <w:rPr>
          <w:b/>
          <w:sz w:val="40"/>
          <w:szCs w:val="40"/>
        </w:rPr>
      </w:pPr>
    </w:p>
    <w:p w14:paraId="62ABB07E" w14:textId="77777777" w:rsidR="0059721E" w:rsidRDefault="0059721E" w:rsidP="0059721E">
      <w:pPr>
        <w:jc w:val="center"/>
        <w:rPr>
          <w:b/>
          <w:sz w:val="40"/>
          <w:szCs w:val="40"/>
        </w:rPr>
      </w:pPr>
    </w:p>
    <w:p w14:paraId="6F9EAB76" w14:textId="77777777" w:rsidR="0059721E" w:rsidRDefault="0059721E" w:rsidP="0059721E">
      <w:pPr>
        <w:jc w:val="center"/>
        <w:rPr>
          <w:b/>
          <w:sz w:val="40"/>
          <w:szCs w:val="40"/>
        </w:rPr>
      </w:pPr>
    </w:p>
    <w:p w14:paraId="3524B7F7" w14:textId="77777777" w:rsidR="0059721E" w:rsidRDefault="0059721E" w:rsidP="0059721E">
      <w:pPr>
        <w:jc w:val="center"/>
        <w:rPr>
          <w:b/>
          <w:sz w:val="40"/>
          <w:szCs w:val="40"/>
        </w:rPr>
      </w:pPr>
    </w:p>
    <w:p w14:paraId="5CB2605C" w14:textId="77777777" w:rsidR="0059721E" w:rsidRDefault="0059721E" w:rsidP="0059721E">
      <w:pPr>
        <w:jc w:val="center"/>
        <w:rPr>
          <w:b/>
          <w:sz w:val="40"/>
          <w:szCs w:val="40"/>
        </w:rPr>
      </w:pPr>
    </w:p>
    <w:p w14:paraId="42279D43" w14:textId="77777777" w:rsidR="0059721E" w:rsidRDefault="0059721E" w:rsidP="0059721E">
      <w:pPr>
        <w:jc w:val="center"/>
        <w:rPr>
          <w:b/>
          <w:sz w:val="40"/>
          <w:szCs w:val="40"/>
        </w:rPr>
      </w:pPr>
    </w:p>
    <w:p w14:paraId="04C8E624" w14:textId="77777777" w:rsidR="00346334" w:rsidRDefault="00346334" w:rsidP="00B2688D">
      <w:pPr>
        <w:rPr>
          <w:b/>
          <w:sz w:val="40"/>
          <w:szCs w:val="40"/>
        </w:rPr>
      </w:pPr>
    </w:p>
    <w:p w14:paraId="2A319B8B" w14:textId="77777777" w:rsidR="00346334" w:rsidRDefault="00D95123" w:rsidP="00B2688D">
      <w:pPr>
        <w:rPr>
          <w:b/>
          <w:sz w:val="40"/>
          <w:szCs w:val="40"/>
        </w:rPr>
      </w:pPr>
      <w:r>
        <w:rPr>
          <w:b/>
          <w:noProof/>
          <w:sz w:val="40"/>
          <w:szCs w:val="40"/>
        </w:rPr>
        <mc:AlternateContent>
          <mc:Choice Requires="wpc">
            <w:drawing>
              <wp:inline distT="0" distB="0" distL="0" distR="0" wp14:anchorId="5F00E8DA" wp14:editId="40F1D0DB">
                <wp:extent cx="114300" cy="114300"/>
                <wp:effectExtent l="0" t="0" r="0" b="0"/>
                <wp:docPr id="296" name="Canvas 2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96CD3C1" id="Canvas 296"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">
                <v:shape id="_x0000_s1027" type="#_x0000_t75" style="position:absolute;width:114300;height:114300;visibility:visible;mso-wrap-style:square">
                  <v:fill o:detectmouseclick="t"/>
                  <v:path o:connecttype="none"/>
                </v:shape>
                <w10:anchorlock/>
              </v:group>
            </w:pict>
          </mc:Fallback>
        </mc:AlternateContent>
      </w:r>
    </w:p>
    <w:p w14:paraId="4C28DA45" w14:textId="77777777" w:rsidR="00AF1602" w:rsidRDefault="00AF1602" w:rsidP="00B2688D">
      <w:pPr>
        <w:rPr>
          <w:b/>
          <w:sz w:val="40"/>
          <w:szCs w:val="40"/>
        </w:rPr>
      </w:pPr>
    </w:p>
    <w:p w14:paraId="564A5A70" w14:textId="77777777" w:rsidR="002577E7" w:rsidRDefault="006A6DDD" w:rsidP="00B2688D">
      <w:r>
        <w:t xml:space="preserve"> </w:t>
      </w:r>
    </w:p>
    <w:p w14:paraId="7D7C5E90" w14:textId="77777777" w:rsidR="00AF1602" w:rsidRPr="00B73228" w:rsidRDefault="00AF1602" w:rsidP="00B2688D">
      <w:pPr>
        <w:rPr>
          <w:sz w:val="20"/>
          <w:szCs w:val="20"/>
        </w:rPr>
      </w:pPr>
    </w:p>
    <w:tbl>
      <w:tblPr>
        <w:tblpPr w:leftFromText="180" w:rightFromText="180" w:vertAnchor="text" w:horzAnchor="margin" w:tblpXSpec="right" w:tblpY="275"/>
        <w:tblW w:w="429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Caption w:val="HGA counts and incidence rates per 100,000 population by county of residence, Massachusetts, 2018."/>
        <w:tblDescription w:val="This table shows the counts and rates of HGA cases by county, and for the state as a whole, for 2018. Dukes and Nantucket counties are combined for reporting purposes. Rates range from 0.6 per 100,000 population in Suffolk county to 69.3 per 100,000 in Berkshire county. The statewide incidence rate is 10 per 100,000 population."/>
      </w:tblPr>
      <w:tblGrid>
        <w:gridCol w:w="1638"/>
        <w:gridCol w:w="1440"/>
        <w:gridCol w:w="1215"/>
      </w:tblGrid>
      <w:tr w:rsidR="005C0D4B" w:rsidRPr="005E6C86" w14:paraId="5CA48E20" w14:textId="77777777" w:rsidTr="005C0D4B">
        <w:trPr>
          <w:trHeight w:val="649"/>
        </w:trPr>
        <w:tc>
          <w:tcPr>
            <w:tcW w:w="1638" w:type="dxa"/>
            <w:shd w:val="clear" w:color="auto" w:fill="auto"/>
          </w:tcPr>
          <w:p w14:paraId="2744BF63" w14:textId="77777777" w:rsidR="005C0D4B" w:rsidRPr="005C0D4B" w:rsidRDefault="005C0D4B" w:rsidP="005C0D4B">
            <w:pPr>
              <w:jc w:val="center"/>
              <w:rPr>
                <w:rFonts w:asciiTheme="minorHAnsi" w:hAnsiTheme="minorHAnsi"/>
                <w:b/>
              </w:rPr>
            </w:pPr>
            <w:r w:rsidRPr="005C0D4B">
              <w:rPr>
                <w:rFonts w:asciiTheme="minorHAnsi" w:hAnsiTheme="minorHAnsi"/>
                <w:b/>
                <w:bCs/>
              </w:rPr>
              <w:t>County</w:t>
            </w:r>
          </w:p>
        </w:tc>
        <w:tc>
          <w:tcPr>
            <w:tcW w:w="1440" w:type="dxa"/>
            <w:shd w:val="clear" w:color="auto" w:fill="auto"/>
          </w:tcPr>
          <w:p w14:paraId="136F0339" w14:textId="77777777" w:rsidR="005C0D4B" w:rsidRPr="005C0D4B" w:rsidRDefault="005C0D4B" w:rsidP="005C0D4B">
            <w:pPr>
              <w:jc w:val="center"/>
              <w:rPr>
                <w:rFonts w:asciiTheme="minorHAnsi" w:hAnsiTheme="minorHAnsi"/>
                <w:b/>
                <w:bCs/>
              </w:rPr>
            </w:pPr>
            <w:r w:rsidRPr="005C0D4B">
              <w:rPr>
                <w:rFonts w:asciiTheme="minorHAnsi" w:hAnsiTheme="minorHAnsi"/>
                <w:b/>
                <w:bCs/>
              </w:rPr>
              <w:t>201</w:t>
            </w:r>
            <w:r>
              <w:rPr>
                <w:rFonts w:asciiTheme="minorHAnsi" w:hAnsiTheme="minorHAnsi"/>
                <w:b/>
                <w:bCs/>
              </w:rPr>
              <w:t>8</w:t>
            </w:r>
            <w:r w:rsidRPr="005C0D4B">
              <w:rPr>
                <w:rFonts w:asciiTheme="minorHAnsi" w:hAnsiTheme="minorHAnsi"/>
                <w:b/>
                <w:bCs/>
              </w:rPr>
              <w:t xml:space="preserve"> Cases</w:t>
            </w:r>
          </w:p>
          <w:p w14:paraId="24DB5569" w14:textId="77777777" w:rsidR="005C0D4B" w:rsidRPr="005C0D4B" w:rsidRDefault="005C0D4B" w:rsidP="005C0D4B">
            <w:pPr>
              <w:jc w:val="center"/>
              <w:rPr>
                <w:rFonts w:asciiTheme="minorHAnsi" w:hAnsiTheme="minorHAnsi"/>
                <w:b/>
                <w:bCs/>
              </w:rPr>
            </w:pPr>
            <w:r w:rsidRPr="005C0D4B">
              <w:rPr>
                <w:rFonts w:asciiTheme="minorHAnsi" w:hAnsiTheme="minorHAnsi"/>
                <w:b/>
                <w:bCs/>
              </w:rPr>
              <w:t>Confirmed and Probable</w:t>
            </w:r>
          </w:p>
        </w:tc>
        <w:tc>
          <w:tcPr>
            <w:tcW w:w="1215" w:type="dxa"/>
            <w:shd w:val="clear" w:color="auto" w:fill="auto"/>
          </w:tcPr>
          <w:p w14:paraId="0D685D5D" w14:textId="77777777" w:rsidR="005C0D4B" w:rsidRPr="005C0D4B" w:rsidRDefault="005C0D4B" w:rsidP="005C0D4B">
            <w:pPr>
              <w:jc w:val="center"/>
              <w:rPr>
                <w:rFonts w:asciiTheme="minorHAnsi" w:hAnsiTheme="minorHAnsi"/>
                <w:b/>
                <w:bCs/>
              </w:rPr>
            </w:pPr>
            <w:r w:rsidRPr="005C0D4B">
              <w:rPr>
                <w:rFonts w:asciiTheme="minorHAnsi" w:hAnsiTheme="minorHAnsi"/>
                <w:b/>
                <w:bCs/>
              </w:rPr>
              <w:t>201</w:t>
            </w:r>
            <w:r>
              <w:rPr>
                <w:rFonts w:asciiTheme="minorHAnsi" w:hAnsiTheme="minorHAnsi"/>
                <w:b/>
                <w:bCs/>
              </w:rPr>
              <w:t>8</w:t>
            </w:r>
          </w:p>
          <w:p w14:paraId="77D25F72" w14:textId="77777777" w:rsidR="005C0D4B" w:rsidRPr="005C0D4B" w:rsidRDefault="005C0D4B" w:rsidP="005C0D4B">
            <w:pPr>
              <w:jc w:val="center"/>
              <w:rPr>
                <w:rFonts w:asciiTheme="minorHAnsi" w:hAnsiTheme="minorHAnsi"/>
                <w:b/>
              </w:rPr>
            </w:pPr>
            <w:r w:rsidRPr="005C0D4B">
              <w:rPr>
                <w:rFonts w:asciiTheme="minorHAnsi" w:hAnsiTheme="minorHAnsi"/>
                <w:b/>
                <w:bCs/>
              </w:rPr>
              <w:t>Incidence Rate per 100,000</w:t>
            </w:r>
          </w:p>
        </w:tc>
      </w:tr>
      <w:tr w:rsidR="005C0D4B" w:rsidRPr="005E6C86" w14:paraId="1233023D" w14:textId="77777777" w:rsidTr="005C0D4B">
        <w:trPr>
          <w:trHeight w:val="242"/>
        </w:trPr>
        <w:tc>
          <w:tcPr>
            <w:tcW w:w="1638" w:type="dxa"/>
            <w:shd w:val="clear" w:color="auto" w:fill="auto"/>
          </w:tcPr>
          <w:p w14:paraId="2FED4941" w14:textId="77777777" w:rsidR="005C0D4B" w:rsidRPr="005C0D4B" w:rsidRDefault="005C0D4B" w:rsidP="005C0D4B">
            <w:pPr>
              <w:rPr>
                <w:rFonts w:asciiTheme="minorHAnsi" w:hAnsiTheme="minorHAnsi"/>
              </w:rPr>
            </w:pPr>
            <w:r w:rsidRPr="005C0D4B">
              <w:rPr>
                <w:rFonts w:asciiTheme="minorHAnsi" w:hAnsiTheme="minorHAnsi"/>
              </w:rPr>
              <w:t>Barnstable</w:t>
            </w:r>
          </w:p>
        </w:tc>
        <w:tc>
          <w:tcPr>
            <w:tcW w:w="1440" w:type="dxa"/>
            <w:shd w:val="clear" w:color="auto" w:fill="auto"/>
            <w:vAlign w:val="bottom"/>
          </w:tcPr>
          <w:p w14:paraId="3D1FFE1B" w14:textId="77777777" w:rsidR="005C0D4B" w:rsidRPr="005C0D4B" w:rsidRDefault="005C0D4B" w:rsidP="005C0D4B">
            <w:pPr>
              <w:jc w:val="center"/>
              <w:rPr>
                <w:rFonts w:asciiTheme="minorHAnsi" w:hAnsiTheme="minorHAnsi"/>
              </w:rPr>
            </w:pPr>
            <w:r w:rsidRPr="005C0D4B">
              <w:rPr>
                <w:rFonts w:asciiTheme="minorHAnsi" w:hAnsiTheme="minorHAnsi"/>
              </w:rPr>
              <w:t>43</w:t>
            </w:r>
          </w:p>
        </w:tc>
        <w:tc>
          <w:tcPr>
            <w:tcW w:w="1215" w:type="dxa"/>
            <w:shd w:val="clear" w:color="auto" w:fill="auto"/>
            <w:vAlign w:val="bottom"/>
          </w:tcPr>
          <w:p w14:paraId="0F643431" w14:textId="77777777" w:rsidR="005C0D4B" w:rsidRPr="005C0D4B" w:rsidRDefault="005C0D4B" w:rsidP="005C0D4B">
            <w:pPr>
              <w:jc w:val="center"/>
              <w:rPr>
                <w:rFonts w:asciiTheme="minorHAnsi" w:hAnsiTheme="minorHAnsi"/>
              </w:rPr>
            </w:pPr>
            <w:r w:rsidRPr="005C0D4B">
              <w:rPr>
                <w:rFonts w:asciiTheme="minorHAnsi" w:hAnsiTheme="minorHAnsi"/>
              </w:rPr>
              <w:t>19.9</w:t>
            </w:r>
          </w:p>
        </w:tc>
      </w:tr>
      <w:tr w:rsidR="005C0D4B" w:rsidRPr="005E6C86" w14:paraId="3B841105" w14:textId="77777777" w:rsidTr="005C0D4B">
        <w:trPr>
          <w:trHeight w:val="242"/>
        </w:trPr>
        <w:tc>
          <w:tcPr>
            <w:tcW w:w="1638" w:type="dxa"/>
            <w:shd w:val="clear" w:color="auto" w:fill="auto"/>
          </w:tcPr>
          <w:p w14:paraId="49E987BF" w14:textId="77777777" w:rsidR="005C0D4B" w:rsidRPr="005C0D4B" w:rsidRDefault="005C0D4B" w:rsidP="005C0D4B">
            <w:pPr>
              <w:rPr>
                <w:rFonts w:asciiTheme="minorHAnsi" w:hAnsiTheme="minorHAnsi"/>
              </w:rPr>
            </w:pPr>
            <w:r w:rsidRPr="005C0D4B">
              <w:rPr>
                <w:rFonts w:asciiTheme="minorHAnsi" w:hAnsiTheme="minorHAnsi"/>
              </w:rPr>
              <w:t>Berkshire</w:t>
            </w:r>
          </w:p>
        </w:tc>
        <w:tc>
          <w:tcPr>
            <w:tcW w:w="1440" w:type="dxa"/>
            <w:shd w:val="clear" w:color="auto" w:fill="auto"/>
            <w:vAlign w:val="bottom"/>
          </w:tcPr>
          <w:p w14:paraId="1F097CF6" w14:textId="77777777" w:rsidR="005C0D4B" w:rsidRPr="005C0D4B" w:rsidRDefault="005C0D4B" w:rsidP="005C0D4B">
            <w:pPr>
              <w:jc w:val="center"/>
              <w:rPr>
                <w:rFonts w:asciiTheme="minorHAnsi" w:hAnsiTheme="minorHAnsi"/>
              </w:rPr>
            </w:pPr>
            <w:r w:rsidRPr="005C0D4B">
              <w:rPr>
                <w:rFonts w:asciiTheme="minorHAnsi" w:hAnsiTheme="minorHAnsi"/>
              </w:rPr>
              <w:t>91</w:t>
            </w:r>
          </w:p>
        </w:tc>
        <w:tc>
          <w:tcPr>
            <w:tcW w:w="1215" w:type="dxa"/>
            <w:shd w:val="clear" w:color="auto" w:fill="auto"/>
            <w:vAlign w:val="bottom"/>
          </w:tcPr>
          <w:p w14:paraId="4A0BA349" w14:textId="77777777" w:rsidR="005C0D4B" w:rsidRPr="005C0D4B" w:rsidRDefault="005C0D4B" w:rsidP="005C0D4B">
            <w:pPr>
              <w:jc w:val="center"/>
              <w:rPr>
                <w:rFonts w:asciiTheme="minorHAnsi" w:hAnsiTheme="minorHAnsi"/>
              </w:rPr>
            </w:pPr>
            <w:r w:rsidRPr="005C0D4B">
              <w:rPr>
                <w:rFonts w:asciiTheme="minorHAnsi" w:hAnsiTheme="minorHAnsi"/>
              </w:rPr>
              <w:t>69.3</w:t>
            </w:r>
          </w:p>
        </w:tc>
      </w:tr>
      <w:tr w:rsidR="005C0D4B" w:rsidRPr="005E6C86" w14:paraId="367542EE" w14:textId="77777777" w:rsidTr="005C0D4B">
        <w:trPr>
          <w:trHeight w:val="242"/>
        </w:trPr>
        <w:tc>
          <w:tcPr>
            <w:tcW w:w="1638" w:type="dxa"/>
            <w:shd w:val="clear" w:color="auto" w:fill="auto"/>
          </w:tcPr>
          <w:p w14:paraId="548DBD10" w14:textId="77777777" w:rsidR="005C0D4B" w:rsidRPr="005C0D4B" w:rsidRDefault="005C0D4B" w:rsidP="005C0D4B">
            <w:pPr>
              <w:rPr>
                <w:rFonts w:asciiTheme="minorHAnsi" w:hAnsiTheme="minorHAnsi"/>
              </w:rPr>
            </w:pPr>
            <w:r w:rsidRPr="005C0D4B">
              <w:rPr>
                <w:rFonts w:asciiTheme="minorHAnsi" w:hAnsiTheme="minorHAnsi"/>
              </w:rPr>
              <w:t>Bristol</w:t>
            </w:r>
          </w:p>
        </w:tc>
        <w:tc>
          <w:tcPr>
            <w:tcW w:w="1440" w:type="dxa"/>
            <w:shd w:val="clear" w:color="auto" w:fill="auto"/>
            <w:vAlign w:val="bottom"/>
          </w:tcPr>
          <w:p w14:paraId="5C9AFD41" w14:textId="77777777" w:rsidR="005C0D4B" w:rsidRPr="005C0D4B" w:rsidRDefault="005C0D4B" w:rsidP="005C0D4B">
            <w:pPr>
              <w:jc w:val="center"/>
              <w:rPr>
                <w:rFonts w:asciiTheme="minorHAnsi" w:hAnsiTheme="minorHAnsi"/>
              </w:rPr>
            </w:pPr>
            <w:r w:rsidRPr="005C0D4B">
              <w:rPr>
                <w:rFonts w:asciiTheme="minorHAnsi" w:hAnsiTheme="minorHAnsi"/>
              </w:rPr>
              <w:t>47</w:t>
            </w:r>
          </w:p>
        </w:tc>
        <w:tc>
          <w:tcPr>
            <w:tcW w:w="1215" w:type="dxa"/>
            <w:shd w:val="clear" w:color="auto" w:fill="auto"/>
            <w:vAlign w:val="bottom"/>
          </w:tcPr>
          <w:p w14:paraId="40F29CC7" w14:textId="77777777" w:rsidR="005C0D4B" w:rsidRPr="005C0D4B" w:rsidRDefault="005C0D4B" w:rsidP="005C0D4B">
            <w:pPr>
              <w:jc w:val="center"/>
              <w:rPr>
                <w:rFonts w:asciiTheme="minorHAnsi" w:hAnsiTheme="minorHAnsi"/>
              </w:rPr>
            </w:pPr>
            <w:r w:rsidRPr="005C0D4B">
              <w:rPr>
                <w:rFonts w:asciiTheme="minorHAnsi" w:hAnsiTheme="minorHAnsi"/>
              </w:rPr>
              <w:t>8.6</w:t>
            </w:r>
          </w:p>
        </w:tc>
      </w:tr>
      <w:tr w:rsidR="005C0D4B" w:rsidRPr="005E6C86" w14:paraId="3E08DB08" w14:textId="77777777" w:rsidTr="005C0D4B">
        <w:trPr>
          <w:trHeight w:val="242"/>
        </w:trPr>
        <w:tc>
          <w:tcPr>
            <w:tcW w:w="1638" w:type="dxa"/>
            <w:shd w:val="clear" w:color="auto" w:fill="auto"/>
          </w:tcPr>
          <w:p w14:paraId="4B95669F" w14:textId="77777777" w:rsidR="005C0D4B" w:rsidRPr="005C0D4B" w:rsidRDefault="005C0D4B" w:rsidP="005C0D4B">
            <w:pPr>
              <w:rPr>
                <w:rFonts w:asciiTheme="minorHAnsi" w:hAnsiTheme="minorHAnsi"/>
              </w:rPr>
            </w:pPr>
            <w:r w:rsidRPr="005C0D4B">
              <w:rPr>
                <w:rFonts w:asciiTheme="minorHAnsi" w:hAnsiTheme="minorHAnsi"/>
              </w:rPr>
              <w:t>Dukes &amp; Nantucket</w:t>
            </w:r>
          </w:p>
        </w:tc>
        <w:tc>
          <w:tcPr>
            <w:tcW w:w="1440" w:type="dxa"/>
            <w:shd w:val="clear" w:color="auto" w:fill="auto"/>
            <w:vAlign w:val="bottom"/>
          </w:tcPr>
          <w:p w14:paraId="3D8ECA83" w14:textId="77777777" w:rsidR="005C0D4B" w:rsidRPr="005C0D4B" w:rsidRDefault="005C0D4B" w:rsidP="005C0D4B">
            <w:pPr>
              <w:jc w:val="center"/>
              <w:rPr>
                <w:rFonts w:asciiTheme="minorHAnsi" w:hAnsiTheme="minorHAnsi"/>
              </w:rPr>
            </w:pPr>
            <w:r w:rsidRPr="005C0D4B">
              <w:rPr>
                <w:rFonts w:asciiTheme="minorHAnsi" w:hAnsiTheme="minorHAnsi"/>
              </w:rPr>
              <w:t>4</w:t>
            </w:r>
          </w:p>
        </w:tc>
        <w:tc>
          <w:tcPr>
            <w:tcW w:w="1215" w:type="dxa"/>
            <w:shd w:val="clear" w:color="auto" w:fill="auto"/>
            <w:vAlign w:val="bottom"/>
          </w:tcPr>
          <w:p w14:paraId="29FBDAE2" w14:textId="77777777" w:rsidR="005C0D4B" w:rsidRPr="005C0D4B" w:rsidRDefault="005C0D4B" w:rsidP="005C0D4B">
            <w:pPr>
              <w:jc w:val="center"/>
              <w:rPr>
                <w:rFonts w:asciiTheme="minorHAnsi" w:hAnsiTheme="minorHAnsi"/>
              </w:rPr>
            </w:pPr>
            <w:r w:rsidRPr="005C0D4B">
              <w:rPr>
                <w:rFonts w:asciiTheme="minorHAnsi" w:hAnsiTheme="minorHAnsi"/>
              </w:rPr>
              <w:t>15.0</w:t>
            </w:r>
          </w:p>
        </w:tc>
      </w:tr>
      <w:tr w:rsidR="005C0D4B" w:rsidRPr="005E6C86" w14:paraId="035998C4" w14:textId="77777777" w:rsidTr="005C0D4B">
        <w:trPr>
          <w:trHeight w:val="242"/>
        </w:trPr>
        <w:tc>
          <w:tcPr>
            <w:tcW w:w="1638" w:type="dxa"/>
            <w:shd w:val="clear" w:color="auto" w:fill="auto"/>
          </w:tcPr>
          <w:p w14:paraId="74C78DF5" w14:textId="77777777" w:rsidR="005C0D4B" w:rsidRPr="005C0D4B" w:rsidRDefault="005C0D4B" w:rsidP="005C0D4B">
            <w:pPr>
              <w:rPr>
                <w:rFonts w:asciiTheme="minorHAnsi" w:hAnsiTheme="minorHAnsi"/>
              </w:rPr>
            </w:pPr>
            <w:r w:rsidRPr="005C0D4B">
              <w:rPr>
                <w:rFonts w:asciiTheme="minorHAnsi" w:hAnsiTheme="minorHAnsi"/>
              </w:rPr>
              <w:t>Essex</w:t>
            </w:r>
          </w:p>
        </w:tc>
        <w:tc>
          <w:tcPr>
            <w:tcW w:w="1440" w:type="dxa"/>
            <w:shd w:val="clear" w:color="auto" w:fill="auto"/>
            <w:vAlign w:val="bottom"/>
          </w:tcPr>
          <w:p w14:paraId="269DD7DB" w14:textId="77777777" w:rsidR="005C0D4B" w:rsidRPr="005C0D4B" w:rsidRDefault="005C0D4B" w:rsidP="005C0D4B">
            <w:pPr>
              <w:jc w:val="center"/>
              <w:rPr>
                <w:rFonts w:asciiTheme="minorHAnsi" w:hAnsiTheme="minorHAnsi"/>
              </w:rPr>
            </w:pPr>
            <w:r w:rsidRPr="005C0D4B">
              <w:rPr>
                <w:rFonts w:asciiTheme="minorHAnsi" w:hAnsiTheme="minorHAnsi"/>
              </w:rPr>
              <w:t>39</w:t>
            </w:r>
          </w:p>
        </w:tc>
        <w:tc>
          <w:tcPr>
            <w:tcW w:w="1215" w:type="dxa"/>
            <w:shd w:val="clear" w:color="auto" w:fill="auto"/>
            <w:vAlign w:val="bottom"/>
          </w:tcPr>
          <w:p w14:paraId="106EBD1C" w14:textId="77777777" w:rsidR="005C0D4B" w:rsidRPr="005C0D4B" w:rsidRDefault="005C0D4B" w:rsidP="005C0D4B">
            <w:pPr>
              <w:jc w:val="center"/>
              <w:rPr>
                <w:rFonts w:asciiTheme="minorHAnsi" w:hAnsiTheme="minorHAnsi"/>
              </w:rPr>
            </w:pPr>
            <w:r w:rsidRPr="005C0D4B">
              <w:rPr>
                <w:rFonts w:asciiTheme="minorHAnsi" w:hAnsiTheme="minorHAnsi"/>
              </w:rPr>
              <w:t>5.2</w:t>
            </w:r>
          </w:p>
        </w:tc>
      </w:tr>
      <w:tr w:rsidR="005C0D4B" w:rsidRPr="005E6C86" w14:paraId="1B68210A" w14:textId="77777777" w:rsidTr="005C0D4B">
        <w:trPr>
          <w:trHeight w:val="242"/>
        </w:trPr>
        <w:tc>
          <w:tcPr>
            <w:tcW w:w="1638" w:type="dxa"/>
            <w:shd w:val="clear" w:color="auto" w:fill="auto"/>
          </w:tcPr>
          <w:p w14:paraId="1F465685" w14:textId="77777777" w:rsidR="005C0D4B" w:rsidRPr="005C0D4B" w:rsidRDefault="005C0D4B" w:rsidP="005C0D4B">
            <w:pPr>
              <w:rPr>
                <w:rFonts w:asciiTheme="minorHAnsi" w:hAnsiTheme="minorHAnsi"/>
              </w:rPr>
            </w:pPr>
            <w:r w:rsidRPr="005C0D4B">
              <w:rPr>
                <w:rFonts w:asciiTheme="minorHAnsi" w:hAnsiTheme="minorHAnsi"/>
              </w:rPr>
              <w:t>Franklin</w:t>
            </w:r>
          </w:p>
        </w:tc>
        <w:tc>
          <w:tcPr>
            <w:tcW w:w="1440" w:type="dxa"/>
            <w:shd w:val="clear" w:color="auto" w:fill="auto"/>
            <w:vAlign w:val="bottom"/>
          </w:tcPr>
          <w:p w14:paraId="6871F272" w14:textId="77777777" w:rsidR="005C0D4B" w:rsidRPr="005C0D4B" w:rsidRDefault="005C0D4B" w:rsidP="005C0D4B">
            <w:pPr>
              <w:jc w:val="center"/>
              <w:rPr>
                <w:rFonts w:asciiTheme="minorHAnsi" w:hAnsiTheme="minorHAnsi"/>
              </w:rPr>
            </w:pPr>
            <w:r w:rsidRPr="005C0D4B">
              <w:rPr>
                <w:rFonts w:asciiTheme="minorHAnsi" w:hAnsiTheme="minorHAnsi"/>
              </w:rPr>
              <w:t>14</w:t>
            </w:r>
          </w:p>
        </w:tc>
        <w:tc>
          <w:tcPr>
            <w:tcW w:w="1215" w:type="dxa"/>
            <w:shd w:val="clear" w:color="auto" w:fill="auto"/>
            <w:vAlign w:val="bottom"/>
          </w:tcPr>
          <w:p w14:paraId="766F0036" w14:textId="77777777" w:rsidR="005C0D4B" w:rsidRPr="005C0D4B" w:rsidRDefault="005C0D4B" w:rsidP="005C0D4B">
            <w:pPr>
              <w:jc w:val="center"/>
              <w:rPr>
                <w:rFonts w:asciiTheme="minorHAnsi" w:hAnsiTheme="minorHAnsi"/>
              </w:rPr>
            </w:pPr>
            <w:r w:rsidRPr="005C0D4B">
              <w:rPr>
                <w:rFonts w:asciiTheme="minorHAnsi" w:hAnsiTheme="minorHAnsi"/>
              </w:rPr>
              <w:t>19.6</w:t>
            </w:r>
          </w:p>
        </w:tc>
      </w:tr>
      <w:tr w:rsidR="005C0D4B" w:rsidRPr="005E6C86" w14:paraId="2B0559F0" w14:textId="77777777" w:rsidTr="005C0D4B">
        <w:trPr>
          <w:trHeight w:val="242"/>
        </w:trPr>
        <w:tc>
          <w:tcPr>
            <w:tcW w:w="1638" w:type="dxa"/>
            <w:shd w:val="clear" w:color="auto" w:fill="auto"/>
          </w:tcPr>
          <w:p w14:paraId="04C83535" w14:textId="77777777" w:rsidR="005C0D4B" w:rsidRPr="005C0D4B" w:rsidRDefault="005C0D4B" w:rsidP="005C0D4B">
            <w:pPr>
              <w:rPr>
                <w:rFonts w:asciiTheme="minorHAnsi" w:hAnsiTheme="minorHAnsi"/>
              </w:rPr>
            </w:pPr>
            <w:r w:rsidRPr="005C0D4B">
              <w:rPr>
                <w:rFonts w:asciiTheme="minorHAnsi" w:hAnsiTheme="minorHAnsi"/>
              </w:rPr>
              <w:t>Hampden</w:t>
            </w:r>
          </w:p>
        </w:tc>
        <w:tc>
          <w:tcPr>
            <w:tcW w:w="1440" w:type="dxa"/>
            <w:shd w:val="clear" w:color="auto" w:fill="auto"/>
            <w:vAlign w:val="bottom"/>
          </w:tcPr>
          <w:p w14:paraId="0FADEB0E" w14:textId="77777777" w:rsidR="005C0D4B" w:rsidRPr="005C0D4B" w:rsidRDefault="005C0D4B" w:rsidP="005C0D4B">
            <w:pPr>
              <w:jc w:val="center"/>
              <w:rPr>
                <w:rFonts w:asciiTheme="minorHAnsi" w:hAnsiTheme="minorHAnsi"/>
              </w:rPr>
            </w:pPr>
            <w:r w:rsidRPr="005C0D4B">
              <w:rPr>
                <w:rFonts w:asciiTheme="minorHAnsi" w:hAnsiTheme="minorHAnsi"/>
              </w:rPr>
              <w:t>13</w:t>
            </w:r>
          </w:p>
        </w:tc>
        <w:tc>
          <w:tcPr>
            <w:tcW w:w="1215" w:type="dxa"/>
            <w:shd w:val="clear" w:color="auto" w:fill="auto"/>
            <w:vAlign w:val="bottom"/>
          </w:tcPr>
          <w:p w14:paraId="1E1F1F6D" w14:textId="77777777" w:rsidR="005C0D4B" w:rsidRPr="005C0D4B" w:rsidRDefault="005C0D4B" w:rsidP="005C0D4B">
            <w:pPr>
              <w:jc w:val="center"/>
              <w:rPr>
                <w:rFonts w:asciiTheme="minorHAnsi" w:hAnsiTheme="minorHAnsi"/>
              </w:rPr>
            </w:pPr>
            <w:r w:rsidRPr="005C0D4B">
              <w:rPr>
                <w:rFonts w:asciiTheme="minorHAnsi" w:hAnsiTheme="minorHAnsi"/>
              </w:rPr>
              <w:t>2.8</w:t>
            </w:r>
          </w:p>
        </w:tc>
      </w:tr>
      <w:tr w:rsidR="005C0D4B" w:rsidRPr="005E6C86" w14:paraId="7F5EB278" w14:textId="77777777" w:rsidTr="005C0D4B">
        <w:trPr>
          <w:trHeight w:val="242"/>
        </w:trPr>
        <w:tc>
          <w:tcPr>
            <w:tcW w:w="1638" w:type="dxa"/>
            <w:shd w:val="clear" w:color="auto" w:fill="auto"/>
          </w:tcPr>
          <w:p w14:paraId="07580EA7" w14:textId="77777777" w:rsidR="005C0D4B" w:rsidRPr="005C0D4B" w:rsidRDefault="005C0D4B" w:rsidP="005C0D4B">
            <w:pPr>
              <w:rPr>
                <w:rFonts w:asciiTheme="minorHAnsi" w:hAnsiTheme="minorHAnsi"/>
              </w:rPr>
            </w:pPr>
            <w:r w:rsidRPr="005C0D4B">
              <w:rPr>
                <w:rFonts w:asciiTheme="minorHAnsi" w:hAnsiTheme="minorHAnsi"/>
              </w:rPr>
              <w:t>Hampshire</w:t>
            </w:r>
          </w:p>
        </w:tc>
        <w:tc>
          <w:tcPr>
            <w:tcW w:w="1440" w:type="dxa"/>
            <w:shd w:val="clear" w:color="auto" w:fill="auto"/>
            <w:vAlign w:val="bottom"/>
          </w:tcPr>
          <w:p w14:paraId="5836D490" w14:textId="77777777" w:rsidR="005C0D4B" w:rsidRPr="005C0D4B" w:rsidRDefault="005C0D4B" w:rsidP="005C0D4B">
            <w:pPr>
              <w:jc w:val="center"/>
              <w:rPr>
                <w:rFonts w:asciiTheme="minorHAnsi" w:hAnsiTheme="minorHAnsi"/>
              </w:rPr>
            </w:pPr>
            <w:r w:rsidRPr="005C0D4B">
              <w:rPr>
                <w:rFonts w:asciiTheme="minorHAnsi" w:hAnsiTheme="minorHAnsi"/>
              </w:rPr>
              <w:t>14</w:t>
            </w:r>
          </w:p>
        </w:tc>
        <w:tc>
          <w:tcPr>
            <w:tcW w:w="1215" w:type="dxa"/>
            <w:shd w:val="clear" w:color="auto" w:fill="auto"/>
            <w:vAlign w:val="bottom"/>
          </w:tcPr>
          <w:p w14:paraId="4A85857C" w14:textId="77777777" w:rsidR="005C0D4B" w:rsidRPr="005C0D4B" w:rsidRDefault="005C0D4B" w:rsidP="005C0D4B">
            <w:pPr>
              <w:jc w:val="center"/>
              <w:rPr>
                <w:rFonts w:asciiTheme="minorHAnsi" w:hAnsiTheme="minorHAnsi"/>
              </w:rPr>
            </w:pPr>
            <w:r w:rsidRPr="005C0D4B">
              <w:rPr>
                <w:rFonts w:asciiTheme="minorHAnsi" w:hAnsiTheme="minorHAnsi"/>
              </w:rPr>
              <w:t>8.9</w:t>
            </w:r>
          </w:p>
        </w:tc>
      </w:tr>
      <w:tr w:rsidR="005C0D4B" w:rsidRPr="005E6C86" w14:paraId="3D95FEBC" w14:textId="77777777" w:rsidTr="005C0D4B">
        <w:trPr>
          <w:trHeight w:val="242"/>
        </w:trPr>
        <w:tc>
          <w:tcPr>
            <w:tcW w:w="1638" w:type="dxa"/>
            <w:shd w:val="clear" w:color="auto" w:fill="auto"/>
          </w:tcPr>
          <w:p w14:paraId="6EF1B049" w14:textId="77777777" w:rsidR="005C0D4B" w:rsidRPr="005C0D4B" w:rsidRDefault="005C0D4B" w:rsidP="005C0D4B">
            <w:pPr>
              <w:rPr>
                <w:rFonts w:asciiTheme="minorHAnsi" w:hAnsiTheme="minorHAnsi"/>
              </w:rPr>
            </w:pPr>
            <w:r w:rsidRPr="005C0D4B">
              <w:rPr>
                <w:rFonts w:asciiTheme="minorHAnsi" w:hAnsiTheme="minorHAnsi"/>
              </w:rPr>
              <w:t>Middlesex</w:t>
            </w:r>
          </w:p>
        </w:tc>
        <w:tc>
          <w:tcPr>
            <w:tcW w:w="1440" w:type="dxa"/>
            <w:shd w:val="clear" w:color="auto" w:fill="auto"/>
            <w:vAlign w:val="bottom"/>
          </w:tcPr>
          <w:p w14:paraId="4904C2C0" w14:textId="77777777" w:rsidR="005C0D4B" w:rsidRPr="005C0D4B" w:rsidRDefault="005C0D4B" w:rsidP="005C0D4B">
            <w:pPr>
              <w:jc w:val="center"/>
              <w:rPr>
                <w:rFonts w:asciiTheme="minorHAnsi" w:hAnsiTheme="minorHAnsi"/>
              </w:rPr>
            </w:pPr>
            <w:r w:rsidRPr="005C0D4B">
              <w:rPr>
                <w:rFonts w:asciiTheme="minorHAnsi" w:hAnsiTheme="minorHAnsi"/>
              </w:rPr>
              <w:t>147</w:t>
            </w:r>
          </w:p>
        </w:tc>
        <w:tc>
          <w:tcPr>
            <w:tcW w:w="1215" w:type="dxa"/>
            <w:shd w:val="clear" w:color="auto" w:fill="auto"/>
            <w:vAlign w:val="bottom"/>
          </w:tcPr>
          <w:p w14:paraId="56B01EAF" w14:textId="77777777" w:rsidR="005C0D4B" w:rsidRPr="005C0D4B" w:rsidRDefault="005C0D4B" w:rsidP="005C0D4B">
            <w:pPr>
              <w:jc w:val="center"/>
              <w:rPr>
                <w:rFonts w:asciiTheme="minorHAnsi" w:hAnsiTheme="minorHAnsi"/>
              </w:rPr>
            </w:pPr>
            <w:r w:rsidRPr="005C0D4B">
              <w:rPr>
                <w:rFonts w:asciiTheme="minorHAnsi" w:hAnsiTheme="minorHAnsi"/>
              </w:rPr>
              <w:t>9.8</w:t>
            </w:r>
          </w:p>
        </w:tc>
      </w:tr>
      <w:tr w:rsidR="005C0D4B" w:rsidRPr="005E6C86" w14:paraId="67FA4F6F" w14:textId="77777777" w:rsidTr="005C0D4B">
        <w:trPr>
          <w:trHeight w:val="242"/>
        </w:trPr>
        <w:tc>
          <w:tcPr>
            <w:tcW w:w="1638" w:type="dxa"/>
            <w:shd w:val="clear" w:color="auto" w:fill="auto"/>
          </w:tcPr>
          <w:p w14:paraId="3E5A3FFF" w14:textId="77777777" w:rsidR="005C0D4B" w:rsidRPr="005C0D4B" w:rsidRDefault="005C0D4B" w:rsidP="005C0D4B">
            <w:pPr>
              <w:rPr>
                <w:rFonts w:asciiTheme="minorHAnsi" w:hAnsiTheme="minorHAnsi"/>
              </w:rPr>
            </w:pPr>
            <w:r w:rsidRPr="005C0D4B">
              <w:rPr>
                <w:rFonts w:asciiTheme="minorHAnsi" w:hAnsiTheme="minorHAnsi"/>
              </w:rPr>
              <w:t>Norfolk</w:t>
            </w:r>
          </w:p>
        </w:tc>
        <w:tc>
          <w:tcPr>
            <w:tcW w:w="1440" w:type="dxa"/>
            <w:shd w:val="clear" w:color="auto" w:fill="auto"/>
            <w:vAlign w:val="bottom"/>
          </w:tcPr>
          <w:p w14:paraId="27560157" w14:textId="77777777" w:rsidR="005C0D4B" w:rsidRPr="005C0D4B" w:rsidRDefault="005C0D4B" w:rsidP="005C0D4B">
            <w:pPr>
              <w:jc w:val="center"/>
              <w:rPr>
                <w:rFonts w:asciiTheme="minorHAnsi" w:hAnsiTheme="minorHAnsi"/>
              </w:rPr>
            </w:pPr>
            <w:r w:rsidRPr="005C0D4B">
              <w:rPr>
                <w:rFonts w:asciiTheme="minorHAnsi" w:hAnsiTheme="minorHAnsi"/>
              </w:rPr>
              <w:t>45</w:t>
            </w:r>
          </w:p>
        </w:tc>
        <w:tc>
          <w:tcPr>
            <w:tcW w:w="1215" w:type="dxa"/>
            <w:shd w:val="clear" w:color="auto" w:fill="auto"/>
            <w:vAlign w:val="bottom"/>
          </w:tcPr>
          <w:p w14:paraId="297E2912" w14:textId="77777777" w:rsidR="005C0D4B" w:rsidRPr="005C0D4B" w:rsidRDefault="005C0D4B" w:rsidP="005C0D4B">
            <w:pPr>
              <w:jc w:val="center"/>
              <w:rPr>
                <w:rFonts w:asciiTheme="minorHAnsi" w:hAnsiTheme="minorHAnsi"/>
              </w:rPr>
            </w:pPr>
            <w:r w:rsidRPr="005C0D4B">
              <w:rPr>
                <w:rFonts w:asciiTheme="minorHAnsi" w:hAnsiTheme="minorHAnsi"/>
              </w:rPr>
              <w:t>6.7</w:t>
            </w:r>
          </w:p>
        </w:tc>
      </w:tr>
      <w:tr w:rsidR="005C0D4B" w:rsidRPr="005E6C86" w14:paraId="016BCBBD" w14:textId="77777777" w:rsidTr="005C0D4B">
        <w:trPr>
          <w:trHeight w:val="242"/>
        </w:trPr>
        <w:tc>
          <w:tcPr>
            <w:tcW w:w="1638" w:type="dxa"/>
            <w:shd w:val="clear" w:color="auto" w:fill="auto"/>
          </w:tcPr>
          <w:p w14:paraId="08C64280" w14:textId="77777777" w:rsidR="005C0D4B" w:rsidRPr="005C0D4B" w:rsidRDefault="005C0D4B" w:rsidP="005C0D4B">
            <w:pPr>
              <w:rPr>
                <w:rFonts w:asciiTheme="minorHAnsi" w:hAnsiTheme="minorHAnsi"/>
              </w:rPr>
            </w:pPr>
            <w:r w:rsidRPr="005C0D4B">
              <w:rPr>
                <w:rFonts w:asciiTheme="minorHAnsi" w:hAnsiTheme="minorHAnsi"/>
              </w:rPr>
              <w:t>Plymouth</w:t>
            </w:r>
          </w:p>
        </w:tc>
        <w:tc>
          <w:tcPr>
            <w:tcW w:w="1440" w:type="dxa"/>
            <w:shd w:val="clear" w:color="auto" w:fill="auto"/>
            <w:vAlign w:val="bottom"/>
          </w:tcPr>
          <w:p w14:paraId="38F1CE90" w14:textId="77777777" w:rsidR="005C0D4B" w:rsidRPr="005C0D4B" w:rsidRDefault="005C0D4B" w:rsidP="005C0D4B">
            <w:pPr>
              <w:jc w:val="center"/>
              <w:rPr>
                <w:rFonts w:asciiTheme="minorHAnsi" w:hAnsiTheme="minorHAnsi"/>
              </w:rPr>
            </w:pPr>
            <w:r w:rsidRPr="005C0D4B">
              <w:rPr>
                <w:rFonts w:asciiTheme="minorHAnsi" w:hAnsiTheme="minorHAnsi"/>
              </w:rPr>
              <w:t>116</w:t>
            </w:r>
          </w:p>
        </w:tc>
        <w:tc>
          <w:tcPr>
            <w:tcW w:w="1215" w:type="dxa"/>
            <w:shd w:val="clear" w:color="auto" w:fill="auto"/>
            <w:vAlign w:val="bottom"/>
          </w:tcPr>
          <w:p w14:paraId="2F8E4EA5" w14:textId="77777777" w:rsidR="005C0D4B" w:rsidRPr="005C0D4B" w:rsidRDefault="005C0D4B" w:rsidP="005C0D4B">
            <w:pPr>
              <w:jc w:val="center"/>
              <w:rPr>
                <w:rFonts w:asciiTheme="minorHAnsi" w:hAnsiTheme="minorHAnsi"/>
              </w:rPr>
            </w:pPr>
            <w:r w:rsidRPr="005C0D4B">
              <w:rPr>
                <w:rFonts w:asciiTheme="minorHAnsi" w:hAnsiTheme="minorHAnsi"/>
              </w:rPr>
              <w:t>23.4</w:t>
            </w:r>
          </w:p>
        </w:tc>
      </w:tr>
      <w:tr w:rsidR="005C0D4B" w:rsidRPr="005E6C86" w14:paraId="31458433" w14:textId="77777777" w:rsidTr="005C0D4B">
        <w:trPr>
          <w:trHeight w:val="242"/>
        </w:trPr>
        <w:tc>
          <w:tcPr>
            <w:tcW w:w="1638" w:type="dxa"/>
            <w:shd w:val="clear" w:color="auto" w:fill="auto"/>
          </w:tcPr>
          <w:p w14:paraId="1F73C331" w14:textId="77777777" w:rsidR="005C0D4B" w:rsidRPr="005C0D4B" w:rsidRDefault="005C0D4B" w:rsidP="005C0D4B">
            <w:pPr>
              <w:rPr>
                <w:rFonts w:asciiTheme="minorHAnsi" w:hAnsiTheme="minorHAnsi"/>
              </w:rPr>
            </w:pPr>
            <w:r w:rsidRPr="005C0D4B">
              <w:rPr>
                <w:rFonts w:asciiTheme="minorHAnsi" w:hAnsiTheme="minorHAnsi"/>
              </w:rPr>
              <w:t>Suffolk</w:t>
            </w:r>
          </w:p>
        </w:tc>
        <w:tc>
          <w:tcPr>
            <w:tcW w:w="1440" w:type="dxa"/>
            <w:shd w:val="clear" w:color="auto" w:fill="auto"/>
            <w:vAlign w:val="bottom"/>
          </w:tcPr>
          <w:p w14:paraId="3713E4C0" w14:textId="77777777" w:rsidR="005C0D4B" w:rsidRPr="005C0D4B" w:rsidRDefault="005C0D4B" w:rsidP="005C0D4B">
            <w:pPr>
              <w:jc w:val="center"/>
              <w:rPr>
                <w:rFonts w:asciiTheme="minorHAnsi" w:hAnsiTheme="minorHAnsi"/>
              </w:rPr>
            </w:pPr>
            <w:r w:rsidRPr="005C0D4B">
              <w:rPr>
                <w:rFonts w:asciiTheme="minorHAnsi" w:hAnsiTheme="minorHAnsi"/>
              </w:rPr>
              <w:t>4</w:t>
            </w:r>
          </w:p>
        </w:tc>
        <w:tc>
          <w:tcPr>
            <w:tcW w:w="1215" w:type="dxa"/>
            <w:shd w:val="clear" w:color="auto" w:fill="auto"/>
            <w:vAlign w:val="bottom"/>
          </w:tcPr>
          <w:p w14:paraId="113B76B4" w14:textId="77777777" w:rsidR="005C0D4B" w:rsidRPr="005C0D4B" w:rsidRDefault="005C0D4B" w:rsidP="005C0D4B">
            <w:pPr>
              <w:jc w:val="center"/>
              <w:rPr>
                <w:rFonts w:asciiTheme="minorHAnsi" w:hAnsiTheme="minorHAnsi"/>
              </w:rPr>
            </w:pPr>
            <w:r w:rsidRPr="005C0D4B">
              <w:rPr>
                <w:rFonts w:asciiTheme="minorHAnsi" w:hAnsiTheme="minorHAnsi"/>
              </w:rPr>
              <w:t>0.6</w:t>
            </w:r>
          </w:p>
        </w:tc>
      </w:tr>
      <w:tr w:rsidR="005C0D4B" w:rsidRPr="005E6C86" w14:paraId="21CF202D" w14:textId="77777777" w:rsidTr="005C0D4B">
        <w:trPr>
          <w:trHeight w:val="242"/>
        </w:trPr>
        <w:tc>
          <w:tcPr>
            <w:tcW w:w="1638" w:type="dxa"/>
            <w:shd w:val="clear" w:color="auto" w:fill="auto"/>
          </w:tcPr>
          <w:p w14:paraId="52ED63D4" w14:textId="77777777" w:rsidR="005C0D4B" w:rsidRPr="005C0D4B" w:rsidRDefault="005C0D4B" w:rsidP="005C0D4B">
            <w:pPr>
              <w:rPr>
                <w:rFonts w:asciiTheme="minorHAnsi" w:hAnsiTheme="minorHAnsi"/>
              </w:rPr>
            </w:pPr>
            <w:r w:rsidRPr="005C0D4B">
              <w:rPr>
                <w:rFonts w:asciiTheme="minorHAnsi" w:hAnsiTheme="minorHAnsi"/>
              </w:rPr>
              <w:t>Worcester</w:t>
            </w:r>
          </w:p>
        </w:tc>
        <w:tc>
          <w:tcPr>
            <w:tcW w:w="1440" w:type="dxa"/>
            <w:shd w:val="clear" w:color="auto" w:fill="auto"/>
            <w:vAlign w:val="bottom"/>
          </w:tcPr>
          <w:p w14:paraId="781BAAE8" w14:textId="77777777" w:rsidR="005C0D4B" w:rsidRPr="005C0D4B" w:rsidRDefault="005C0D4B" w:rsidP="005C0D4B">
            <w:pPr>
              <w:jc w:val="center"/>
              <w:rPr>
                <w:rFonts w:asciiTheme="minorHAnsi" w:hAnsiTheme="minorHAnsi"/>
              </w:rPr>
            </w:pPr>
            <w:r w:rsidRPr="005C0D4B">
              <w:rPr>
                <w:rFonts w:asciiTheme="minorHAnsi" w:hAnsiTheme="minorHAnsi"/>
              </w:rPr>
              <w:t>79</w:t>
            </w:r>
          </w:p>
        </w:tc>
        <w:tc>
          <w:tcPr>
            <w:tcW w:w="1215" w:type="dxa"/>
            <w:shd w:val="clear" w:color="auto" w:fill="auto"/>
            <w:vAlign w:val="bottom"/>
          </w:tcPr>
          <w:p w14:paraId="58787FE4" w14:textId="77777777" w:rsidR="005C0D4B" w:rsidRPr="005C0D4B" w:rsidRDefault="005C0D4B" w:rsidP="005C0D4B">
            <w:pPr>
              <w:jc w:val="center"/>
              <w:rPr>
                <w:rFonts w:asciiTheme="minorHAnsi" w:hAnsiTheme="minorHAnsi"/>
              </w:rPr>
            </w:pPr>
            <w:r w:rsidRPr="005C0D4B">
              <w:rPr>
                <w:rFonts w:asciiTheme="minorHAnsi" w:hAnsiTheme="minorHAnsi"/>
              </w:rPr>
              <w:t>9.9</w:t>
            </w:r>
          </w:p>
        </w:tc>
      </w:tr>
      <w:tr w:rsidR="005C0D4B" w:rsidRPr="005E6C86" w14:paraId="4F755D67" w14:textId="77777777" w:rsidTr="005C0D4B">
        <w:trPr>
          <w:trHeight w:val="242"/>
        </w:trPr>
        <w:tc>
          <w:tcPr>
            <w:tcW w:w="1638" w:type="dxa"/>
            <w:shd w:val="clear" w:color="auto" w:fill="auto"/>
          </w:tcPr>
          <w:p w14:paraId="221229BA" w14:textId="77777777" w:rsidR="005C0D4B" w:rsidRPr="005C0D4B" w:rsidRDefault="005C0D4B" w:rsidP="005C0D4B">
            <w:pPr>
              <w:rPr>
                <w:rFonts w:asciiTheme="minorHAnsi" w:hAnsiTheme="minorHAnsi"/>
                <w:b/>
              </w:rPr>
            </w:pPr>
            <w:r w:rsidRPr="005C0D4B">
              <w:rPr>
                <w:rFonts w:asciiTheme="minorHAnsi" w:hAnsiTheme="minorHAnsi"/>
                <w:b/>
              </w:rPr>
              <w:t>State Total</w:t>
            </w:r>
          </w:p>
        </w:tc>
        <w:tc>
          <w:tcPr>
            <w:tcW w:w="1440" w:type="dxa"/>
            <w:shd w:val="clear" w:color="auto" w:fill="auto"/>
            <w:vAlign w:val="bottom"/>
          </w:tcPr>
          <w:p w14:paraId="2DD79412" w14:textId="77777777" w:rsidR="005C0D4B" w:rsidRPr="005C0D4B" w:rsidRDefault="005C0D4B" w:rsidP="005C0D4B">
            <w:pPr>
              <w:jc w:val="center"/>
              <w:rPr>
                <w:rFonts w:asciiTheme="minorHAnsi" w:hAnsiTheme="minorHAnsi"/>
                <w:b/>
              </w:rPr>
            </w:pPr>
            <w:r w:rsidRPr="005C0D4B">
              <w:rPr>
                <w:rFonts w:asciiTheme="minorHAnsi" w:hAnsiTheme="minorHAnsi"/>
                <w:b/>
              </w:rPr>
              <w:t>656</w:t>
            </w:r>
          </w:p>
        </w:tc>
        <w:tc>
          <w:tcPr>
            <w:tcW w:w="1215" w:type="dxa"/>
            <w:shd w:val="clear" w:color="auto" w:fill="auto"/>
            <w:vAlign w:val="bottom"/>
          </w:tcPr>
          <w:p w14:paraId="425845AA" w14:textId="77777777" w:rsidR="005C0D4B" w:rsidRPr="005C0D4B" w:rsidRDefault="005C0D4B" w:rsidP="005C0D4B">
            <w:pPr>
              <w:jc w:val="center"/>
              <w:rPr>
                <w:rFonts w:asciiTheme="minorHAnsi" w:hAnsiTheme="minorHAnsi"/>
                <w:b/>
              </w:rPr>
            </w:pPr>
            <w:r w:rsidRPr="005C0D4B">
              <w:rPr>
                <w:rFonts w:asciiTheme="minorHAnsi" w:hAnsiTheme="minorHAnsi"/>
                <w:b/>
              </w:rPr>
              <w:t>10.0</w:t>
            </w:r>
          </w:p>
        </w:tc>
      </w:tr>
    </w:tbl>
    <w:p w14:paraId="648D1FAB" w14:textId="77777777" w:rsidR="00D678F1" w:rsidRPr="00AF1602" w:rsidRDefault="00FC0187" w:rsidP="00D678F1">
      <w:pPr>
        <w:ind w:left="-630"/>
      </w:pPr>
      <w:r>
        <w:rPr>
          <w:noProof/>
          <w:sz w:val="20"/>
          <w:szCs w:val="20"/>
        </w:rPr>
        <w:drawing>
          <wp:anchor distT="0" distB="0" distL="114300" distR="114300" simplePos="0" relativeHeight="251671552" behindDoc="1" locked="0" layoutInCell="1" allowOverlap="1" wp14:anchorId="17E63D59" wp14:editId="76CC465C">
            <wp:simplePos x="0" y="0"/>
            <wp:positionH relativeFrom="column">
              <wp:posOffset>-238125</wp:posOffset>
            </wp:positionH>
            <wp:positionV relativeFrom="paragraph">
              <wp:posOffset>208915</wp:posOffset>
            </wp:positionV>
            <wp:extent cx="4498340" cy="3044190"/>
            <wp:effectExtent l="19050" t="19050" r="16510" b="22860"/>
            <wp:wrapTight wrapText="bothSides">
              <wp:wrapPolygon edited="0">
                <wp:start x="-91" y="-135"/>
                <wp:lineTo x="-91" y="21627"/>
                <wp:lineTo x="21588" y="21627"/>
                <wp:lineTo x="21588" y="-135"/>
                <wp:lineTo x="-91" y="-135"/>
              </wp:wrapPolygon>
            </wp:wrapTight>
            <wp:docPr id="4" name="Picture 4" descr="This map of Massachusetts shows the 5-year incidence rates of HGA per 100,000 population, using 2010 census data, by city or town. Incidence varies across the state with the counties of Barnstable, Berkshire, Dukes and Nantucket having the highest rates across most of each county. Other counties with high rates in clusters of cities/towns are Essex, Franklin, Middlesex, Norfolk, Plymouth and Worcester." title="Five-year HGA incidence rates per 100,000 population by city or town of residence, Massachusetts, 20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amap2018edit.jpg"/>
                    <pic:cNvPicPr/>
                  </pic:nvPicPr>
                  <pic:blipFill rotWithShape="1">
                    <a:blip r:embed="rId11" cstate="print">
                      <a:extLst>
                        <a:ext uri="{28A0092B-C50C-407E-A947-70E740481C1C}">
                          <a14:useLocalDpi xmlns:a14="http://schemas.microsoft.com/office/drawing/2010/main" val="0"/>
                        </a:ext>
                      </a:extLst>
                    </a:blip>
                    <a:srcRect l="3036" t="14147" r="2430" b="3077"/>
                    <a:stretch/>
                  </pic:blipFill>
                  <pic:spPr bwMode="auto">
                    <a:xfrm>
                      <a:off x="0" y="0"/>
                      <a:ext cx="4498340" cy="304419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04C881" w14:textId="77777777" w:rsidR="00D678F1" w:rsidRDefault="00323C91" w:rsidP="00D678F1">
      <w:pPr>
        <w:tabs>
          <w:tab w:val="left" w:pos="1840"/>
        </w:tabs>
        <w:rPr>
          <w:b/>
        </w:rPr>
      </w:pPr>
      <w:r w:rsidRPr="005C0D4B">
        <w:rPr>
          <w:b/>
          <w:noProof/>
        </w:rPr>
        <mc:AlternateContent>
          <mc:Choice Requires="wps">
            <w:drawing>
              <wp:anchor distT="0" distB="0" distL="114300" distR="114300" simplePos="0" relativeHeight="251668480" behindDoc="0" locked="0" layoutInCell="1" allowOverlap="1" wp14:anchorId="15B43F1F" wp14:editId="3EE639F1">
                <wp:simplePos x="0" y="0"/>
                <wp:positionH relativeFrom="column">
                  <wp:posOffset>-273685</wp:posOffset>
                </wp:positionH>
                <wp:positionV relativeFrom="paragraph">
                  <wp:posOffset>10541</wp:posOffset>
                </wp:positionV>
                <wp:extent cx="4379595" cy="1403985"/>
                <wp:effectExtent l="0" t="0" r="1905"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9595" cy="1403985"/>
                        </a:xfrm>
                        <a:prstGeom prst="rect">
                          <a:avLst/>
                        </a:prstGeom>
                        <a:solidFill>
                          <a:srgbClr val="FFFFFF"/>
                        </a:solidFill>
                        <a:ln w="9525">
                          <a:noFill/>
                          <a:miter lim="800000"/>
                          <a:headEnd/>
                          <a:tailEnd/>
                        </a:ln>
                      </wps:spPr>
                      <wps:txbx>
                        <w:txbxContent>
                          <w:p w14:paraId="6DF0A527" w14:textId="77777777" w:rsidR="005C0D4B" w:rsidRPr="005C0D4B" w:rsidRDefault="005C0D4B">
                            <w:pPr>
                              <w:rPr>
                                <w:rFonts w:asciiTheme="minorHAnsi" w:hAnsiTheme="minorHAnsi"/>
                              </w:rPr>
                            </w:pPr>
                            <w:r w:rsidRPr="005C0D4B">
                              <w:rPr>
                                <w:rFonts w:asciiTheme="minorHAnsi" w:hAnsiTheme="minorHAnsi"/>
                                <w:b/>
                              </w:rPr>
                              <w:t>Map 1:</w:t>
                            </w:r>
                            <w:r w:rsidRPr="005C0D4B">
                              <w:rPr>
                                <w:rFonts w:asciiTheme="minorHAnsi" w:hAnsiTheme="minorHAnsi"/>
                              </w:rPr>
                              <w:t xml:space="preserve"> </w:t>
                            </w:r>
                            <w:r w:rsidR="00FC0187">
                              <w:rPr>
                                <w:rFonts w:asciiTheme="minorHAnsi" w:hAnsiTheme="minorHAnsi"/>
                              </w:rPr>
                              <w:t xml:space="preserve">Five-year </w:t>
                            </w:r>
                            <w:r w:rsidRPr="005C0D4B">
                              <w:rPr>
                                <w:rFonts w:asciiTheme="minorHAnsi" w:hAnsiTheme="minorHAnsi"/>
                              </w:rPr>
                              <w:t xml:space="preserve">HGA incidence rates per 100,000 population by city </w:t>
                            </w:r>
                            <w:r>
                              <w:rPr>
                                <w:rFonts w:asciiTheme="minorHAnsi" w:hAnsiTheme="minorHAnsi"/>
                              </w:rPr>
                              <w:t>or</w:t>
                            </w:r>
                            <w:r w:rsidRPr="005C0D4B">
                              <w:rPr>
                                <w:rFonts w:asciiTheme="minorHAnsi" w:hAnsiTheme="minorHAnsi"/>
                              </w:rPr>
                              <w:t xml:space="preserve"> </w:t>
                            </w:r>
                            <w:r w:rsidR="00FC0187">
                              <w:rPr>
                                <w:rFonts w:asciiTheme="minorHAnsi" w:hAnsiTheme="minorHAnsi"/>
                              </w:rPr>
                              <w:t xml:space="preserve">town of residence, </w:t>
                            </w:r>
                            <w:r w:rsidRPr="005C0D4B">
                              <w:rPr>
                                <w:rFonts w:asciiTheme="minorHAnsi" w:hAnsiTheme="minorHAnsi"/>
                              </w:rPr>
                              <w:t>Massachusetts</w:t>
                            </w:r>
                            <w:r>
                              <w:rPr>
                                <w:rFonts w:asciiTheme="minorHAnsi" w:hAnsiTheme="minorHAnsi"/>
                              </w:rPr>
                              <w:t>,</w:t>
                            </w:r>
                            <w:r w:rsidRPr="005C0D4B">
                              <w:rPr>
                                <w:rFonts w:asciiTheme="minorHAnsi" w:hAnsiTheme="minorHAnsi"/>
                              </w:rPr>
                              <w:t xml:space="preserve"> 2014-2018.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B43F1F" id="_x0000_s1028" type="#_x0000_t202" style="position:absolute;margin-left:-21.55pt;margin-top:.85pt;width:344.8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" stroked="f">
                <v:textbox style="mso-fit-shape-to-text:t">
                  <w:txbxContent>
                    <w:p w14:paraId="6DF0A527" w14:textId="77777777" w:rsidR="005C0D4B" w:rsidRPr="005C0D4B" w:rsidRDefault="005C0D4B">
                      <w:pPr>
                        <w:rPr>
                          <w:rFonts w:asciiTheme="minorHAnsi" w:hAnsiTheme="minorHAnsi"/>
                        </w:rPr>
                      </w:pPr>
                      <w:r w:rsidRPr="005C0D4B">
                        <w:rPr>
                          <w:rFonts w:asciiTheme="minorHAnsi" w:hAnsiTheme="minorHAnsi"/>
                          <w:b/>
                        </w:rPr>
                        <w:t>Map 1:</w:t>
                      </w:r>
                      <w:r w:rsidRPr="005C0D4B">
                        <w:rPr>
                          <w:rFonts w:asciiTheme="minorHAnsi" w:hAnsiTheme="minorHAnsi"/>
                        </w:rPr>
                        <w:t xml:space="preserve"> </w:t>
                      </w:r>
                      <w:r w:rsidR="00FC0187">
                        <w:rPr>
                          <w:rFonts w:asciiTheme="minorHAnsi" w:hAnsiTheme="minorHAnsi"/>
                        </w:rPr>
                        <w:t xml:space="preserve">Five-year </w:t>
                      </w:r>
                      <w:r w:rsidRPr="005C0D4B">
                        <w:rPr>
                          <w:rFonts w:asciiTheme="minorHAnsi" w:hAnsiTheme="minorHAnsi"/>
                        </w:rPr>
                        <w:t xml:space="preserve">HGA incidence rates per 100,000 population by city </w:t>
                      </w:r>
                      <w:r>
                        <w:rPr>
                          <w:rFonts w:asciiTheme="minorHAnsi" w:hAnsiTheme="minorHAnsi"/>
                        </w:rPr>
                        <w:t>or</w:t>
                      </w:r>
                      <w:r w:rsidRPr="005C0D4B">
                        <w:rPr>
                          <w:rFonts w:asciiTheme="minorHAnsi" w:hAnsiTheme="minorHAnsi"/>
                        </w:rPr>
                        <w:t xml:space="preserve"> </w:t>
                      </w:r>
                      <w:r w:rsidR="00FC0187">
                        <w:rPr>
                          <w:rFonts w:asciiTheme="minorHAnsi" w:hAnsiTheme="minorHAnsi"/>
                        </w:rPr>
                        <w:t xml:space="preserve">town of residence, </w:t>
                      </w:r>
                      <w:r w:rsidRPr="005C0D4B">
                        <w:rPr>
                          <w:rFonts w:asciiTheme="minorHAnsi" w:hAnsiTheme="minorHAnsi"/>
                        </w:rPr>
                        <w:t>Massachusetts</w:t>
                      </w:r>
                      <w:r>
                        <w:rPr>
                          <w:rFonts w:asciiTheme="minorHAnsi" w:hAnsiTheme="minorHAnsi"/>
                        </w:rPr>
                        <w:t>,</w:t>
                      </w:r>
                      <w:r w:rsidRPr="005C0D4B">
                        <w:rPr>
                          <w:rFonts w:asciiTheme="minorHAnsi" w:hAnsiTheme="minorHAnsi"/>
                        </w:rPr>
                        <w:t xml:space="preserve"> 2014-2018.</w:t>
                      </w:r>
                    </w:p>
                  </w:txbxContent>
                </v:textbox>
              </v:shape>
            </w:pict>
          </mc:Fallback>
        </mc:AlternateContent>
      </w:r>
      <w:r w:rsidR="00990097">
        <w:rPr>
          <w:b/>
        </w:rPr>
        <w:tab/>
      </w:r>
      <w:r w:rsidR="00990097">
        <w:rPr>
          <w:b/>
        </w:rPr>
        <w:tab/>
      </w:r>
      <w:r w:rsidR="00D678F1">
        <w:rPr>
          <w:b/>
        </w:rPr>
        <w:tab/>
      </w:r>
      <w:r w:rsidR="00D678F1">
        <w:rPr>
          <w:b/>
        </w:rPr>
        <w:tab/>
      </w:r>
      <w:r w:rsidR="00D678F1">
        <w:rPr>
          <w:b/>
        </w:rPr>
        <w:tab/>
      </w:r>
      <w:r w:rsidR="00D678F1">
        <w:rPr>
          <w:b/>
        </w:rPr>
        <w:tab/>
      </w:r>
    </w:p>
    <w:p w14:paraId="738CA71F" w14:textId="77777777" w:rsidR="00D678F1" w:rsidRDefault="00D678F1" w:rsidP="00D678F1">
      <w:pPr>
        <w:tabs>
          <w:tab w:val="left" w:pos="1840"/>
        </w:tabs>
        <w:ind w:left="-630"/>
        <w:rPr>
          <w:b/>
        </w:rPr>
      </w:pPr>
    </w:p>
    <w:p w14:paraId="75F43B2E" w14:textId="77777777" w:rsidR="00F309FA" w:rsidRDefault="00F309FA" w:rsidP="00D678F1">
      <w:pPr>
        <w:tabs>
          <w:tab w:val="left" w:pos="1840"/>
        </w:tabs>
        <w:ind w:left="-630"/>
        <w:rPr>
          <w:b/>
        </w:rPr>
      </w:pPr>
    </w:p>
    <w:p w14:paraId="358F5BB5" w14:textId="77777777" w:rsidR="00F309FA" w:rsidRDefault="005C0D4B" w:rsidP="00D678F1">
      <w:pPr>
        <w:tabs>
          <w:tab w:val="left" w:pos="1840"/>
        </w:tabs>
        <w:ind w:left="-630"/>
        <w:rPr>
          <w:b/>
        </w:rPr>
      </w:pPr>
      <w:r w:rsidRPr="005C0D4B">
        <w:rPr>
          <w:b/>
          <w:noProof/>
        </w:rPr>
        <mc:AlternateContent>
          <mc:Choice Requires="wps">
            <w:drawing>
              <wp:anchor distT="0" distB="0" distL="114300" distR="114300" simplePos="0" relativeHeight="251670528" behindDoc="0" locked="0" layoutInCell="1" allowOverlap="1" wp14:anchorId="21499670" wp14:editId="1F1D0FE5">
                <wp:simplePos x="0" y="0"/>
                <wp:positionH relativeFrom="column">
                  <wp:posOffset>4352544</wp:posOffset>
                </wp:positionH>
                <wp:positionV relativeFrom="paragraph">
                  <wp:posOffset>85471</wp:posOffset>
                </wp:positionV>
                <wp:extent cx="2769870" cy="640080"/>
                <wp:effectExtent l="0" t="0" r="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870" cy="640080"/>
                        </a:xfrm>
                        <a:prstGeom prst="rect">
                          <a:avLst/>
                        </a:prstGeom>
                        <a:solidFill>
                          <a:srgbClr val="FFFFFF"/>
                        </a:solidFill>
                        <a:ln w="9525">
                          <a:noFill/>
                          <a:miter lim="800000"/>
                          <a:headEnd/>
                          <a:tailEnd/>
                        </a:ln>
                      </wps:spPr>
                      <wps:txbx>
                        <w:txbxContent>
                          <w:p w14:paraId="4F2B8848" w14:textId="77777777" w:rsidR="005C0D4B" w:rsidRPr="005C0D4B" w:rsidRDefault="005C0D4B" w:rsidP="005C0D4B">
                            <w:pPr>
                              <w:rPr>
                                <w:rFonts w:asciiTheme="minorHAnsi" w:hAnsiTheme="minorHAnsi"/>
                              </w:rPr>
                            </w:pPr>
                            <w:r>
                              <w:rPr>
                                <w:rFonts w:asciiTheme="minorHAnsi" w:hAnsiTheme="minorHAnsi"/>
                                <w:b/>
                              </w:rPr>
                              <w:t>Table</w:t>
                            </w:r>
                            <w:r w:rsidRPr="005C0D4B">
                              <w:rPr>
                                <w:rFonts w:asciiTheme="minorHAnsi" w:hAnsiTheme="minorHAnsi"/>
                                <w:b/>
                              </w:rPr>
                              <w:t xml:space="preserve"> 1:</w:t>
                            </w:r>
                            <w:r w:rsidRPr="005C0D4B">
                              <w:rPr>
                                <w:rFonts w:asciiTheme="minorHAnsi" w:hAnsiTheme="minorHAnsi"/>
                              </w:rPr>
                              <w:t xml:space="preserve"> HGA</w:t>
                            </w:r>
                            <w:r>
                              <w:rPr>
                                <w:rFonts w:asciiTheme="minorHAnsi" w:hAnsiTheme="minorHAnsi"/>
                              </w:rPr>
                              <w:t xml:space="preserve"> counts and</w:t>
                            </w:r>
                            <w:r w:rsidRPr="005C0D4B">
                              <w:rPr>
                                <w:rFonts w:asciiTheme="minorHAnsi" w:hAnsiTheme="minorHAnsi"/>
                              </w:rPr>
                              <w:t xml:space="preserve"> incidence rates per 100,000 population by </w:t>
                            </w:r>
                            <w:r>
                              <w:rPr>
                                <w:rFonts w:asciiTheme="minorHAnsi" w:hAnsiTheme="minorHAnsi"/>
                              </w:rPr>
                              <w:t xml:space="preserve">county of </w:t>
                            </w:r>
                            <w:r w:rsidRPr="005C0D4B">
                              <w:rPr>
                                <w:rFonts w:asciiTheme="minorHAnsi" w:hAnsiTheme="minorHAnsi"/>
                              </w:rPr>
                              <w:t>residence</w:t>
                            </w:r>
                            <w:r w:rsidR="00E459CD">
                              <w:rPr>
                                <w:rFonts w:asciiTheme="minorHAnsi" w:hAnsiTheme="minorHAnsi"/>
                              </w:rPr>
                              <w:t>,</w:t>
                            </w:r>
                            <w:r w:rsidRPr="005C0D4B">
                              <w:rPr>
                                <w:rFonts w:asciiTheme="minorHAnsi" w:hAnsiTheme="minorHAnsi"/>
                              </w:rPr>
                              <w:t xml:space="preserve"> Massachusetts</w:t>
                            </w:r>
                            <w:r>
                              <w:rPr>
                                <w:rFonts w:asciiTheme="minorHAnsi" w:hAnsiTheme="minorHAnsi"/>
                              </w:rPr>
                              <w:t>,</w:t>
                            </w:r>
                            <w:r w:rsidRPr="005C0D4B">
                              <w:rPr>
                                <w:rFonts w:asciiTheme="minorHAnsi" w:hAnsiTheme="minorHAnsi"/>
                              </w:rPr>
                              <w:t xml:space="preserv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99670" id="_x0000_s1029" type="#_x0000_t202" style="position:absolute;left:0;text-align:left;margin-left:342.7pt;margin-top:6.75pt;width:218.1pt;height:5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" stroked="f">
                <v:textbox>
                  <w:txbxContent>
                    <w:p w14:paraId="4F2B8848" w14:textId="77777777" w:rsidR="005C0D4B" w:rsidRPr="005C0D4B" w:rsidRDefault="005C0D4B" w:rsidP="005C0D4B">
                      <w:pPr>
                        <w:rPr>
                          <w:rFonts w:asciiTheme="minorHAnsi" w:hAnsiTheme="minorHAnsi"/>
                        </w:rPr>
                      </w:pPr>
                      <w:r>
                        <w:rPr>
                          <w:rFonts w:asciiTheme="minorHAnsi" w:hAnsiTheme="minorHAnsi"/>
                          <w:b/>
                        </w:rPr>
                        <w:t>Table</w:t>
                      </w:r>
                      <w:r w:rsidRPr="005C0D4B">
                        <w:rPr>
                          <w:rFonts w:asciiTheme="minorHAnsi" w:hAnsiTheme="minorHAnsi"/>
                          <w:b/>
                        </w:rPr>
                        <w:t xml:space="preserve"> 1:</w:t>
                      </w:r>
                      <w:r w:rsidRPr="005C0D4B">
                        <w:rPr>
                          <w:rFonts w:asciiTheme="minorHAnsi" w:hAnsiTheme="minorHAnsi"/>
                        </w:rPr>
                        <w:t xml:space="preserve"> HGA</w:t>
                      </w:r>
                      <w:r>
                        <w:rPr>
                          <w:rFonts w:asciiTheme="minorHAnsi" w:hAnsiTheme="minorHAnsi"/>
                        </w:rPr>
                        <w:t xml:space="preserve"> counts and</w:t>
                      </w:r>
                      <w:r w:rsidRPr="005C0D4B">
                        <w:rPr>
                          <w:rFonts w:asciiTheme="minorHAnsi" w:hAnsiTheme="minorHAnsi"/>
                        </w:rPr>
                        <w:t xml:space="preserve"> incidence rates per 100,000 population by </w:t>
                      </w:r>
                      <w:r>
                        <w:rPr>
                          <w:rFonts w:asciiTheme="minorHAnsi" w:hAnsiTheme="minorHAnsi"/>
                        </w:rPr>
                        <w:t xml:space="preserve">county of </w:t>
                      </w:r>
                      <w:r w:rsidRPr="005C0D4B">
                        <w:rPr>
                          <w:rFonts w:asciiTheme="minorHAnsi" w:hAnsiTheme="minorHAnsi"/>
                        </w:rPr>
                        <w:t>residence</w:t>
                      </w:r>
                      <w:r w:rsidR="00E459CD">
                        <w:rPr>
                          <w:rFonts w:asciiTheme="minorHAnsi" w:hAnsiTheme="minorHAnsi"/>
                        </w:rPr>
                        <w:t>,</w:t>
                      </w:r>
                      <w:r w:rsidRPr="005C0D4B">
                        <w:rPr>
                          <w:rFonts w:asciiTheme="minorHAnsi" w:hAnsiTheme="minorHAnsi"/>
                        </w:rPr>
                        <w:t xml:space="preserve"> Massachusetts</w:t>
                      </w:r>
                      <w:r>
                        <w:rPr>
                          <w:rFonts w:asciiTheme="minorHAnsi" w:hAnsiTheme="minorHAnsi"/>
                        </w:rPr>
                        <w:t>,</w:t>
                      </w:r>
                      <w:r w:rsidRPr="005C0D4B">
                        <w:rPr>
                          <w:rFonts w:asciiTheme="minorHAnsi" w:hAnsiTheme="minorHAnsi"/>
                        </w:rPr>
                        <w:t xml:space="preserve"> 2018.</w:t>
                      </w:r>
                    </w:p>
                  </w:txbxContent>
                </v:textbox>
              </v:shape>
            </w:pict>
          </mc:Fallback>
        </mc:AlternateContent>
      </w:r>
    </w:p>
    <w:p w14:paraId="57BDFC4E" w14:textId="77777777" w:rsidR="00F309FA" w:rsidRDefault="00F309FA" w:rsidP="00D678F1">
      <w:pPr>
        <w:tabs>
          <w:tab w:val="left" w:pos="1840"/>
        </w:tabs>
        <w:ind w:left="-630"/>
        <w:rPr>
          <w:b/>
        </w:rPr>
      </w:pPr>
    </w:p>
    <w:p w14:paraId="2E85161A" w14:textId="77777777" w:rsidR="00F309FA" w:rsidRDefault="00F309FA" w:rsidP="00D678F1">
      <w:pPr>
        <w:tabs>
          <w:tab w:val="left" w:pos="1840"/>
        </w:tabs>
        <w:ind w:left="-630"/>
        <w:rPr>
          <w:b/>
        </w:rPr>
      </w:pPr>
    </w:p>
    <w:p w14:paraId="42ADAE26" w14:textId="77777777" w:rsidR="00F309FA" w:rsidRDefault="00F309FA" w:rsidP="00EB0F3A">
      <w:pPr>
        <w:tabs>
          <w:tab w:val="left" w:pos="1840"/>
        </w:tabs>
        <w:rPr>
          <w:b/>
        </w:rPr>
      </w:pPr>
    </w:p>
    <w:p w14:paraId="1BFEC551" w14:textId="77777777" w:rsidR="00D00067" w:rsidRPr="00323C91" w:rsidRDefault="008372F1" w:rsidP="00884019">
      <w:pPr>
        <w:tabs>
          <w:tab w:val="left" w:pos="1840"/>
        </w:tabs>
        <w:rPr>
          <w:rFonts w:asciiTheme="minorHAnsi" w:hAnsiTheme="minorHAnsi"/>
          <w:sz w:val="20"/>
          <w:szCs w:val="20"/>
        </w:rPr>
      </w:pPr>
      <w:r w:rsidRPr="00884019">
        <w:rPr>
          <w:rFonts w:asciiTheme="minorHAnsi" w:hAnsiTheme="minorHAnsi"/>
          <w:b/>
        </w:rPr>
        <w:lastRenderedPageBreak/>
        <w:t>Figu</w:t>
      </w:r>
      <w:r w:rsidR="008B1C54" w:rsidRPr="00884019">
        <w:rPr>
          <w:rFonts w:asciiTheme="minorHAnsi" w:hAnsiTheme="minorHAnsi"/>
          <w:b/>
        </w:rPr>
        <w:t>re 1.</w:t>
      </w:r>
      <w:r w:rsidR="00323C91">
        <w:rPr>
          <w:rFonts w:asciiTheme="minorHAnsi" w:hAnsiTheme="minorHAnsi"/>
          <w:b/>
        </w:rPr>
        <w:t xml:space="preserve"> </w:t>
      </w:r>
      <w:r w:rsidR="00323C91">
        <w:rPr>
          <w:rFonts w:asciiTheme="minorHAnsi" w:hAnsiTheme="minorHAnsi"/>
        </w:rPr>
        <w:t>Number of confirmed and probable HGA cases by month of symptom onset, Massachusetts, 2018.</w:t>
      </w:r>
    </w:p>
    <w:p w14:paraId="17E48247" w14:textId="77777777" w:rsidR="00332165" w:rsidRPr="00E26C7E" w:rsidRDefault="00323C91" w:rsidP="00884019">
      <w:pPr>
        <w:tabs>
          <w:tab w:val="left" w:pos="1840"/>
        </w:tabs>
        <w:jc w:val="center"/>
        <w:rPr>
          <w:b/>
        </w:rPr>
      </w:pPr>
      <w:r>
        <w:rPr>
          <w:b/>
          <w:noProof/>
        </w:rPr>
        <w:drawing>
          <wp:inline distT="0" distB="0" distL="0" distR="0" wp14:anchorId="38F7896D" wp14:editId="0B5FEE25">
            <wp:extent cx="5843016" cy="2375148"/>
            <wp:effectExtent l="0" t="0" r="5715" b="6350"/>
            <wp:docPr id="11" name="Picture 11" descr="This is a bar graph showing the number of HGA cases with sympton onset in each month of the year. Patients with symptom onset dates occur in every month of the year with the highest peak in May through August (peak of over 180 cases in June) and a much smaller, seocndary peak in October and November (peak of over 40 cases)." title="Number of confirmed and probable HGA cases by month of symptom onset, Massachusetts,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4427" cy="2383852"/>
                    </a:xfrm>
                    <a:prstGeom prst="rect">
                      <a:avLst/>
                    </a:prstGeom>
                    <a:noFill/>
                  </pic:spPr>
                </pic:pic>
              </a:graphicData>
            </a:graphic>
          </wp:inline>
        </w:drawing>
      </w:r>
    </w:p>
    <w:p w14:paraId="3466AD11" w14:textId="77777777" w:rsidR="00736EB6" w:rsidRPr="002976ED" w:rsidRDefault="00736EB6" w:rsidP="00884019">
      <w:pPr>
        <w:tabs>
          <w:tab w:val="left" w:pos="5920"/>
        </w:tabs>
        <w:jc w:val="center"/>
        <w:rPr>
          <w:b/>
          <w:sz w:val="16"/>
          <w:szCs w:val="16"/>
        </w:rPr>
      </w:pPr>
    </w:p>
    <w:p w14:paraId="620A45C2" w14:textId="77777777" w:rsidR="0043711B" w:rsidRPr="00884019" w:rsidRDefault="008372F1" w:rsidP="00884019">
      <w:pPr>
        <w:tabs>
          <w:tab w:val="left" w:pos="5920"/>
        </w:tabs>
        <w:rPr>
          <w:rFonts w:asciiTheme="minorHAnsi" w:hAnsiTheme="minorHAnsi"/>
        </w:rPr>
      </w:pPr>
      <w:r w:rsidRPr="00884019">
        <w:rPr>
          <w:rFonts w:asciiTheme="minorHAnsi" w:hAnsiTheme="minorHAnsi"/>
          <w:b/>
        </w:rPr>
        <w:t>Figure 2.</w:t>
      </w:r>
      <w:r w:rsidR="002976ED">
        <w:rPr>
          <w:rFonts w:asciiTheme="minorHAnsi" w:hAnsiTheme="minorHAnsi"/>
          <w:b/>
        </w:rPr>
        <w:t xml:space="preserve"> </w:t>
      </w:r>
      <w:r w:rsidR="002976ED" w:rsidRPr="002976ED">
        <w:rPr>
          <w:rFonts w:asciiTheme="minorHAnsi" w:hAnsiTheme="minorHAnsi"/>
        </w:rPr>
        <w:t>Rate (per 100,000 population) of confirmed and probable H</w:t>
      </w:r>
      <w:r w:rsidR="002976ED">
        <w:rPr>
          <w:rFonts w:asciiTheme="minorHAnsi" w:hAnsiTheme="minorHAnsi"/>
        </w:rPr>
        <w:t>GA cases by age group, Massachus</w:t>
      </w:r>
      <w:r w:rsidR="002976ED" w:rsidRPr="002976ED">
        <w:rPr>
          <w:rFonts w:asciiTheme="minorHAnsi" w:hAnsiTheme="minorHAnsi"/>
        </w:rPr>
        <w:t>etts, 2018</w:t>
      </w:r>
    </w:p>
    <w:p w14:paraId="3F23027C" w14:textId="77777777" w:rsidR="008372F1" w:rsidRDefault="002976ED" w:rsidP="00884019">
      <w:pPr>
        <w:tabs>
          <w:tab w:val="left" w:pos="5920"/>
        </w:tabs>
        <w:jc w:val="center"/>
        <w:rPr>
          <w:b/>
        </w:rPr>
      </w:pPr>
      <w:r>
        <w:rPr>
          <w:b/>
          <w:noProof/>
        </w:rPr>
        <w:drawing>
          <wp:inline distT="0" distB="0" distL="0" distR="0" wp14:anchorId="7A3FC938" wp14:editId="7C1769FE">
            <wp:extent cx="5943600" cy="2433389"/>
            <wp:effectExtent l="0" t="0" r="0" b="5080"/>
            <wp:docPr id="13" name="Picture 13" descr="This bar chart shows the age-adjusted rate of HGA cases in 5-year age intervals from &lt;5 to over 85. Rates increase with increasing age with the greatest rates occurring in people ages 55-85. The highest rates occurs in 75-79 year olds at almost 35 cases per 100,000 population." title="Rate (per 100,000 population) of confirmed and probable HGA cases by age group, Massachusetts,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5494" cy="2442353"/>
                    </a:xfrm>
                    <a:prstGeom prst="rect">
                      <a:avLst/>
                    </a:prstGeom>
                    <a:noFill/>
                  </pic:spPr>
                </pic:pic>
              </a:graphicData>
            </a:graphic>
          </wp:inline>
        </w:drawing>
      </w:r>
    </w:p>
    <w:p w14:paraId="3D23352D" w14:textId="77777777" w:rsidR="002976ED" w:rsidRPr="002976ED" w:rsidRDefault="002976ED" w:rsidP="002976ED">
      <w:pPr>
        <w:rPr>
          <w:rFonts w:asciiTheme="minorHAnsi" w:hAnsiTheme="minorHAnsi"/>
          <w:b/>
          <w:sz w:val="16"/>
          <w:szCs w:val="16"/>
        </w:rPr>
      </w:pPr>
    </w:p>
    <w:p w14:paraId="0ABBC8EE" w14:textId="77777777" w:rsidR="00A42718" w:rsidRDefault="00A42718" w:rsidP="002976ED">
      <w:pPr>
        <w:rPr>
          <w:rFonts w:asciiTheme="minorHAnsi" w:hAnsiTheme="minorHAnsi"/>
        </w:rPr>
      </w:pPr>
      <w:r w:rsidRPr="002976ED">
        <w:rPr>
          <w:rFonts w:asciiTheme="minorHAnsi" w:hAnsiTheme="minorHAnsi"/>
          <w:b/>
        </w:rPr>
        <w:t>Figure 3.</w:t>
      </w:r>
      <w:r w:rsidR="002976ED" w:rsidRPr="002976ED">
        <w:rPr>
          <w:rFonts w:asciiTheme="minorHAnsi" w:hAnsiTheme="minorHAnsi"/>
          <w:b/>
        </w:rPr>
        <w:t xml:space="preserve"> </w:t>
      </w:r>
      <w:r w:rsidR="002976ED" w:rsidRPr="002976ED">
        <w:rPr>
          <w:rFonts w:asciiTheme="minorHAnsi" w:hAnsiTheme="minorHAnsi"/>
        </w:rPr>
        <w:t>Number of confirmed and probable HGA cases by year, Massachusetts, 2014-2018</w:t>
      </w:r>
    </w:p>
    <w:p w14:paraId="6118142C" w14:textId="77777777" w:rsidR="002976ED" w:rsidRPr="002976ED" w:rsidRDefault="002976ED" w:rsidP="002976ED">
      <w:pPr>
        <w:jc w:val="center"/>
        <w:rPr>
          <w:rFonts w:asciiTheme="minorHAnsi" w:hAnsiTheme="minorHAnsi"/>
          <w:b/>
        </w:rPr>
      </w:pPr>
      <w:r>
        <w:rPr>
          <w:rFonts w:asciiTheme="minorHAnsi" w:hAnsiTheme="minorHAnsi"/>
          <w:b/>
          <w:noProof/>
        </w:rPr>
        <w:drawing>
          <wp:inline distT="0" distB="0" distL="0" distR="0" wp14:anchorId="294A30D5" wp14:editId="1E402316">
            <wp:extent cx="5896179" cy="2522323"/>
            <wp:effectExtent l="0" t="0" r="0" b="0"/>
            <wp:docPr id="14" name="Picture 14" descr="The bar chart shows the number of HGA cases by year from 2014 through 2018. Cases increase from about 600 in 2014 to over 1200 in 2017 with a subsequent decrease back to about 600 cases in 2018. This chart also shows the number of people with either a positive PCR or microscopy test for HGA, indicative of current infection, even in patients not coutned as cases. These data also show an increase from 2014-2017, with a subsequent decrease in 2018." title="Number of confirmed and probable HGA cases by year, Massachusetts, 20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8413" cy="2523279"/>
                    </a:xfrm>
                    <a:prstGeom prst="rect">
                      <a:avLst/>
                    </a:prstGeom>
                    <a:noFill/>
                  </pic:spPr>
                </pic:pic>
              </a:graphicData>
            </a:graphic>
          </wp:inline>
        </w:drawing>
      </w:r>
    </w:p>
    <w:sectPr w:rsidR="002976ED" w:rsidRPr="002976ED" w:rsidSect="00884019">
      <w:footerReference w:type="default" r:id="rId15"/>
      <w:footerReference w:type="first" r:id="rId16"/>
      <w:pgSz w:w="12240" w:h="15840"/>
      <w:pgMar w:top="720" w:right="450" w:bottom="720" w:left="720" w:header="36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F51A1" w14:textId="77777777" w:rsidR="003F5C19" w:rsidRDefault="003F5C19">
      <w:r>
        <w:separator/>
      </w:r>
    </w:p>
  </w:endnote>
  <w:endnote w:type="continuationSeparator" w:id="0">
    <w:p w14:paraId="5AA217B2" w14:textId="77777777" w:rsidR="003F5C19" w:rsidRDefault="003F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1D56" w14:textId="77777777" w:rsidR="00884019" w:rsidRPr="00884019" w:rsidRDefault="00884019" w:rsidP="00884019">
    <w:pPr>
      <w:pStyle w:val="Footer"/>
      <w:rPr>
        <w:rFonts w:asciiTheme="minorHAnsi" w:hAnsiTheme="minorHAnsi"/>
      </w:rPr>
    </w:pPr>
    <w:r w:rsidRPr="00884019">
      <w:rPr>
        <w:rFonts w:asciiTheme="minorHAnsi" w:hAnsiTheme="minorHAnsi"/>
        <w:b/>
      </w:rPr>
      <w:t>To speak to the on-call epidemiologist:</w:t>
    </w:r>
    <w:r w:rsidRPr="00884019">
      <w:rPr>
        <w:rFonts w:asciiTheme="minorHAnsi" w:hAnsiTheme="minorHAnsi"/>
      </w:rPr>
      <w:t xml:space="preserve"> (617) 983-6800</w:t>
    </w:r>
  </w:p>
  <w:p w14:paraId="1299663B" w14:textId="77777777" w:rsidR="00884019" w:rsidRPr="00884019" w:rsidRDefault="00884019" w:rsidP="00884019">
    <w:pPr>
      <w:pStyle w:val="Footer"/>
      <w:rPr>
        <w:rFonts w:asciiTheme="minorHAnsi" w:hAnsiTheme="minorHAnsi"/>
      </w:rPr>
    </w:pPr>
    <w:r w:rsidRPr="00884019">
      <w:rPr>
        <w:rFonts w:asciiTheme="minorHAnsi" w:hAnsiTheme="minorHAnsi"/>
        <w:b/>
      </w:rPr>
      <w:t>Questions about infectious disease reporting:</w:t>
    </w:r>
    <w:r w:rsidRPr="00884019">
      <w:rPr>
        <w:rFonts w:asciiTheme="minorHAnsi" w:hAnsiTheme="minorHAnsi"/>
      </w:rPr>
      <w:t xml:space="preserve"> (617) 983-6801</w:t>
    </w:r>
  </w:p>
  <w:p w14:paraId="21F38DD2" w14:textId="77777777" w:rsidR="00884019" w:rsidRPr="002976ED" w:rsidRDefault="00884019">
    <w:pPr>
      <w:pStyle w:val="Footer"/>
      <w:rPr>
        <w:rFonts w:asciiTheme="minorHAnsi" w:hAnsiTheme="minorHAnsi"/>
      </w:rPr>
    </w:pPr>
    <w:r w:rsidRPr="00884019">
      <w:rPr>
        <w:rFonts w:asciiTheme="minorHAnsi" w:hAnsiTheme="minorHAnsi"/>
        <w:b/>
      </w:rPr>
      <w:t>Requests for additional data:</w:t>
    </w:r>
    <w:r>
      <w:rPr>
        <w:rFonts w:asciiTheme="minorHAnsi" w:hAnsiTheme="minorHAnsi"/>
      </w:rPr>
      <w:t xml:space="preserve"> </w:t>
    </w:r>
    <w:r w:rsidRPr="00884019">
      <w:rPr>
        <w:rFonts w:asciiTheme="minorHAnsi" w:hAnsiTheme="minorHAnsi"/>
      </w:rPr>
      <w:t>https://www.mass.gov/infectious-disease-surveillance-reporting-and-control</w:t>
    </w:r>
  </w:p>
  <w:p w14:paraId="17948776" w14:textId="77777777" w:rsidR="00884019" w:rsidRDefault="00884019" w:rsidP="00884019">
    <w:pPr>
      <w:autoSpaceDE w:val="0"/>
      <w:autoSpaceDN w:val="0"/>
      <w:adjustRightInd w:val="0"/>
      <w:rPr>
        <w:rFonts w:ascii="Calibri" w:eastAsiaTheme="minorHAnsi" w:hAnsi="Calibri" w:cstheme="minorBidi"/>
        <w:color w:val="000000"/>
      </w:rPr>
    </w:pPr>
    <w:r w:rsidRPr="00884019">
      <w:rPr>
        <w:rFonts w:ascii="Calibri" w:hAnsi="Calibri"/>
        <w:b/>
        <w:bCs/>
        <w:color w:val="000000"/>
      </w:rPr>
      <w:t>Acknowledgments</w:t>
    </w:r>
    <w:r>
      <w:rPr>
        <w:rFonts w:ascii="Calibri" w:hAnsi="Calibri"/>
        <w:color w:val="000000"/>
      </w:rPr>
      <w:t xml:space="preserve"> </w:t>
    </w:r>
    <w:r w:rsidRPr="00884019">
      <w:rPr>
        <w:rFonts w:ascii="Calibri" w:eastAsiaTheme="minorHAnsi" w:hAnsi="Calibri" w:cstheme="minorBidi"/>
        <w:color w:val="000000"/>
      </w:rPr>
      <w:t>This report was prepared by the following MDPH staff:</w:t>
    </w:r>
    <w:r>
      <w:rPr>
        <w:rFonts w:ascii="Calibri" w:eastAsiaTheme="minorHAnsi" w:hAnsi="Calibri" w:cstheme="minorBidi"/>
        <w:color w:val="000000"/>
      </w:rPr>
      <w:t xml:space="preserve"> Tony Osinski and Matthew Osborne</w:t>
    </w:r>
  </w:p>
  <w:p w14:paraId="381D68FF" w14:textId="77777777" w:rsidR="00884019" w:rsidRPr="00884019" w:rsidRDefault="00884019" w:rsidP="00884019">
    <w:pPr>
      <w:autoSpaceDE w:val="0"/>
      <w:autoSpaceDN w:val="0"/>
      <w:adjustRightInd w:val="0"/>
      <w:rPr>
        <w:rFonts w:ascii="Calibri" w:hAnsi="Calibri"/>
        <w:color w:val="000000"/>
        <w:sz w:val="16"/>
        <w:szCs w:val="16"/>
      </w:rPr>
    </w:pPr>
  </w:p>
  <w:p w14:paraId="5B51E224" w14:textId="77777777" w:rsidR="00290FCB" w:rsidRPr="00884019" w:rsidRDefault="000B0E62">
    <w:pPr>
      <w:pStyle w:val="Footer"/>
      <w:rPr>
        <w:rFonts w:asciiTheme="minorHAnsi" w:hAnsiTheme="minorHAnsi"/>
      </w:rPr>
    </w:pPr>
    <w:r w:rsidRPr="00884019">
      <w:rPr>
        <w:rFonts w:asciiTheme="minorHAnsi" w:hAnsiTheme="minorHAnsi"/>
      </w:rPr>
      <w:t xml:space="preserve">Data as of </w:t>
    </w:r>
    <w:r w:rsidR="007F6C4C" w:rsidRPr="00884019">
      <w:rPr>
        <w:rFonts w:asciiTheme="minorHAnsi" w:hAnsiTheme="minorHAnsi"/>
      </w:rPr>
      <w:t>May 16, 2019</w:t>
    </w:r>
    <w:r w:rsidRPr="00884019">
      <w:rPr>
        <w:rFonts w:asciiTheme="minorHAnsi" w:hAnsiTheme="minorHAnsi"/>
      </w:rPr>
      <w:t xml:space="preserve"> and are subject to change.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AF28E" w14:textId="77777777" w:rsidR="00884019" w:rsidRPr="00884019" w:rsidRDefault="00884019">
    <w:pPr>
      <w:pStyle w:val="Footer"/>
      <w:rPr>
        <w:rFonts w:asciiTheme="minorHAnsi" w:hAnsiTheme="minorHAnsi"/>
      </w:rPr>
    </w:pPr>
    <w:r w:rsidRPr="00884019">
      <w:rPr>
        <w:rFonts w:asciiTheme="minorHAnsi" w:hAnsiTheme="minorHAnsi"/>
      </w:rPr>
      <w:t>Data as of May 16, 2019 and are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98B57" w14:textId="77777777" w:rsidR="003F5C19" w:rsidRDefault="003F5C19">
      <w:r>
        <w:separator/>
      </w:r>
    </w:p>
  </w:footnote>
  <w:footnote w:type="continuationSeparator" w:id="0">
    <w:p w14:paraId="23EBC245" w14:textId="77777777" w:rsidR="003F5C19" w:rsidRDefault="003F5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4.5pt;height:24.5pt" o:bullet="t">
        <v:imagedata r:id="rId1" o:title="smalltick"/>
      </v:shape>
    </w:pict>
  </w:numPicBullet>
  <w:abstractNum w:abstractNumId="0" w15:restartNumberingAfterBreak="0">
    <w:nsid w:val="07AD234B"/>
    <w:multiLevelType w:val="hybridMultilevel"/>
    <w:tmpl w:val="67C69700"/>
    <w:lvl w:ilvl="0" w:tplc="6B4CA784">
      <w:start w:val="1"/>
      <w:numFmt w:val="bullet"/>
      <w:lvlText w:val=""/>
      <w:lvlJc w:val="left"/>
      <w:pPr>
        <w:tabs>
          <w:tab w:val="num" w:pos="720"/>
        </w:tabs>
        <w:ind w:left="720" w:hanging="360"/>
      </w:pPr>
      <w:rPr>
        <w:rFonts w:ascii="Wingdings" w:hAnsi="Wingdings" w:hint="default"/>
      </w:rPr>
    </w:lvl>
    <w:lvl w:ilvl="1" w:tplc="0E3EB534">
      <w:start w:val="142"/>
      <w:numFmt w:val="bullet"/>
      <w:lvlText w:val="–"/>
      <w:lvlJc w:val="left"/>
      <w:pPr>
        <w:tabs>
          <w:tab w:val="num" w:pos="1440"/>
        </w:tabs>
        <w:ind w:left="1440" w:hanging="360"/>
      </w:pPr>
      <w:rPr>
        <w:rFonts w:ascii="Times New Roman" w:hAnsi="Times New Roman" w:hint="default"/>
      </w:rPr>
    </w:lvl>
    <w:lvl w:ilvl="2" w:tplc="0B88C95A" w:tentative="1">
      <w:start w:val="1"/>
      <w:numFmt w:val="bullet"/>
      <w:lvlText w:val=""/>
      <w:lvlJc w:val="left"/>
      <w:pPr>
        <w:tabs>
          <w:tab w:val="num" w:pos="2160"/>
        </w:tabs>
        <w:ind w:left="2160" w:hanging="360"/>
      </w:pPr>
      <w:rPr>
        <w:rFonts w:ascii="Wingdings" w:hAnsi="Wingdings" w:hint="default"/>
      </w:rPr>
    </w:lvl>
    <w:lvl w:ilvl="3" w:tplc="2EB68B3A" w:tentative="1">
      <w:start w:val="1"/>
      <w:numFmt w:val="bullet"/>
      <w:lvlText w:val=""/>
      <w:lvlJc w:val="left"/>
      <w:pPr>
        <w:tabs>
          <w:tab w:val="num" w:pos="2880"/>
        </w:tabs>
        <w:ind w:left="2880" w:hanging="360"/>
      </w:pPr>
      <w:rPr>
        <w:rFonts w:ascii="Wingdings" w:hAnsi="Wingdings" w:hint="default"/>
      </w:rPr>
    </w:lvl>
    <w:lvl w:ilvl="4" w:tplc="A83484B6" w:tentative="1">
      <w:start w:val="1"/>
      <w:numFmt w:val="bullet"/>
      <w:lvlText w:val=""/>
      <w:lvlJc w:val="left"/>
      <w:pPr>
        <w:tabs>
          <w:tab w:val="num" w:pos="3600"/>
        </w:tabs>
        <w:ind w:left="3600" w:hanging="360"/>
      </w:pPr>
      <w:rPr>
        <w:rFonts w:ascii="Wingdings" w:hAnsi="Wingdings" w:hint="default"/>
      </w:rPr>
    </w:lvl>
    <w:lvl w:ilvl="5" w:tplc="C4021FA0" w:tentative="1">
      <w:start w:val="1"/>
      <w:numFmt w:val="bullet"/>
      <w:lvlText w:val=""/>
      <w:lvlJc w:val="left"/>
      <w:pPr>
        <w:tabs>
          <w:tab w:val="num" w:pos="4320"/>
        </w:tabs>
        <w:ind w:left="4320" w:hanging="360"/>
      </w:pPr>
      <w:rPr>
        <w:rFonts w:ascii="Wingdings" w:hAnsi="Wingdings" w:hint="default"/>
      </w:rPr>
    </w:lvl>
    <w:lvl w:ilvl="6" w:tplc="C61E15D8" w:tentative="1">
      <w:start w:val="1"/>
      <w:numFmt w:val="bullet"/>
      <w:lvlText w:val=""/>
      <w:lvlJc w:val="left"/>
      <w:pPr>
        <w:tabs>
          <w:tab w:val="num" w:pos="5040"/>
        </w:tabs>
        <w:ind w:left="5040" w:hanging="360"/>
      </w:pPr>
      <w:rPr>
        <w:rFonts w:ascii="Wingdings" w:hAnsi="Wingdings" w:hint="default"/>
      </w:rPr>
    </w:lvl>
    <w:lvl w:ilvl="7" w:tplc="3CCA5FFA" w:tentative="1">
      <w:start w:val="1"/>
      <w:numFmt w:val="bullet"/>
      <w:lvlText w:val=""/>
      <w:lvlJc w:val="left"/>
      <w:pPr>
        <w:tabs>
          <w:tab w:val="num" w:pos="5760"/>
        </w:tabs>
        <w:ind w:left="5760" w:hanging="360"/>
      </w:pPr>
      <w:rPr>
        <w:rFonts w:ascii="Wingdings" w:hAnsi="Wingdings" w:hint="default"/>
      </w:rPr>
    </w:lvl>
    <w:lvl w:ilvl="8" w:tplc="7272F8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E58CD"/>
    <w:multiLevelType w:val="hybridMultilevel"/>
    <w:tmpl w:val="D390BB2A"/>
    <w:lvl w:ilvl="0" w:tplc="B4F21B52">
      <w:start w:val="1"/>
      <w:numFmt w:val="bullet"/>
      <w:lvlText w:val=""/>
      <w:lvlJc w:val="left"/>
      <w:pPr>
        <w:tabs>
          <w:tab w:val="num" w:pos="720"/>
        </w:tabs>
        <w:ind w:left="720" w:hanging="360"/>
      </w:pPr>
      <w:rPr>
        <w:rFonts w:ascii="Wingdings" w:hAnsi="Wingdings" w:hint="default"/>
      </w:rPr>
    </w:lvl>
    <w:lvl w:ilvl="1" w:tplc="995E2860" w:tentative="1">
      <w:start w:val="1"/>
      <w:numFmt w:val="bullet"/>
      <w:lvlText w:val=""/>
      <w:lvlJc w:val="left"/>
      <w:pPr>
        <w:tabs>
          <w:tab w:val="num" w:pos="1440"/>
        </w:tabs>
        <w:ind w:left="1440" w:hanging="360"/>
      </w:pPr>
      <w:rPr>
        <w:rFonts w:ascii="Wingdings" w:hAnsi="Wingdings" w:hint="default"/>
      </w:rPr>
    </w:lvl>
    <w:lvl w:ilvl="2" w:tplc="75524454" w:tentative="1">
      <w:start w:val="1"/>
      <w:numFmt w:val="bullet"/>
      <w:lvlText w:val=""/>
      <w:lvlJc w:val="left"/>
      <w:pPr>
        <w:tabs>
          <w:tab w:val="num" w:pos="2160"/>
        </w:tabs>
        <w:ind w:left="2160" w:hanging="360"/>
      </w:pPr>
      <w:rPr>
        <w:rFonts w:ascii="Wingdings" w:hAnsi="Wingdings" w:hint="default"/>
      </w:rPr>
    </w:lvl>
    <w:lvl w:ilvl="3" w:tplc="CD5A9C92" w:tentative="1">
      <w:start w:val="1"/>
      <w:numFmt w:val="bullet"/>
      <w:lvlText w:val=""/>
      <w:lvlJc w:val="left"/>
      <w:pPr>
        <w:tabs>
          <w:tab w:val="num" w:pos="2880"/>
        </w:tabs>
        <w:ind w:left="2880" w:hanging="360"/>
      </w:pPr>
      <w:rPr>
        <w:rFonts w:ascii="Wingdings" w:hAnsi="Wingdings" w:hint="default"/>
      </w:rPr>
    </w:lvl>
    <w:lvl w:ilvl="4" w:tplc="045802A0" w:tentative="1">
      <w:start w:val="1"/>
      <w:numFmt w:val="bullet"/>
      <w:lvlText w:val=""/>
      <w:lvlJc w:val="left"/>
      <w:pPr>
        <w:tabs>
          <w:tab w:val="num" w:pos="3600"/>
        </w:tabs>
        <w:ind w:left="3600" w:hanging="360"/>
      </w:pPr>
      <w:rPr>
        <w:rFonts w:ascii="Wingdings" w:hAnsi="Wingdings" w:hint="default"/>
      </w:rPr>
    </w:lvl>
    <w:lvl w:ilvl="5" w:tplc="271CB7D4" w:tentative="1">
      <w:start w:val="1"/>
      <w:numFmt w:val="bullet"/>
      <w:lvlText w:val=""/>
      <w:lvlJc w:val="left"/>
      <w:pPr>
        <w:tabs>
          <w:tab w:val="num" w:pos="4320"/>
        </w:tabs>
        <w:ind w:left="4320" w:hanging="360"/>
      </w:pPr>
      <w:rPr>
        <w:rFonts w:ascii="Wingdings" w:hAnsi="Wingdings" w:hint="default"/>
      </w:rPr>
    </w:lvl>
    <w:lvl w:ilvl="6" w:tplc="D214FCFA" w:tentative="1">
      <w:start w:val="1"/>
      <w:numFmt w:val="bullet"/>
      <w:lvlText w:val=""/>
      <w:lvlJc w:val="left"/>
      <w:pPr>
        <w:tabs>
          <w:tab w:val="num" w:pos="5040"/>
        </w:tabs>
        <w:ind w:left="5040" w:hanging="360"/>
      </w:pPr>
      <w:rPr>
        <w:rFonts w:ascii="Wingdings" w:hAnsi="Wingdings" w:hint="default"/>
      </w:rPr>
    </w:lvl>
    <w:lvl w:ilvl="7" w:tplc="8F6CC0FE" w:tentative="1">
      <w:start w:val="1"/>
      <w:numFmt w:val="bullet"/>
      <w:lvlText w:val=""/>
      <w:lvlJc w:val="left"/>
      <w:pPr>
        <w:tabs>
          <w:tab w:val="num" w:pos="5760"/>
        </w:tabs>
        <w:ind w:left="5760" w:hanging="360"/>
      </w:pPr>
      <w:rPr>
        <w:rFonts w:ascii="Wingdings" w:hAnsi="Wingdings" w:hint="default"/>
      </w:rPr>
    </w:lvl>
    <w:lvl w:ilvl="8" w:tplc="4C7215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A7D4E"/>
    <w:multiLevelType w:val="hybridMultilevel"/>
    <w:tmpl w:val="F5EC2398"/>
    <w:lvl w:ilvl="0" w:tplc="EB7A3E14">
      <w:start w:val="1"/>
      <w:numFmt w:val="bullet"/>
      <w:lvlText w:val=""/>
      <w:lvlJc w:val="left"/>
      <w:pPr>
        <w:tabs>
          <w:tab w:val="num" w:pos="720"/>
        </w:tabs>
        <w:ind w:left="720" w:hanging="360"/>
      </w:pPr>
      <w:rPr>
        <w:rFonts w:ascii="Wingdings" w:hAnsi="Wingdings" w:hint="default"/>
      </w:rPr>
    </w:lvl>
    <w:lvl w:ilvl="1" w:tplc="DAF0AD16" w:tentative="1">
      <w:start w:val="1"/>
      <w:numFmt w:val="bullet"/>
      <w:lvlText w:val=""/>
      <w:lvlJc w:val="left"/>
      <w:pPr>
        <w:tabs>
          <w:tab w:val="num" w:pos="1440"/>
        </w:tabs>
        <w:ind w:left="1440" w:hanging="360"/>
      </w:pPr>
      <w:rPr>
        <w:rFonts w:ascii="Wingdings" w:hAnsi="Wingdings" w:hint="default"/>
      </w:rPr>
    </w:lvl>
    <w:lvl w:ilvl="2" w:tplc="B0AE7AA6" w:tentative="1">
      <w:start w:val="1"/>
      <w:numFmt w:val="bullet"/>
      <w:lvlText w:val=""/>
      <w:lvlJc w:val="left"/>
      <w:pPr>
        <w:tabs>
          <w:tab w:val="num" w:pos="2160"/>
        </w:tabs>
        <w:ind w:left="2160" w:hanging="360"/>
      </w:pPr>
      <w:rPr>
        <w:rFonts w:ascii="Wingdings" w:hAnsi="Wingdings" w:hint="default"/>
      </w:rPr>
    </w:lvl>
    <w:lvl w:ilvl="3" w:tplc="D1121980" w:tentative="1">
      <w:start w:val="1"/>
      <w:numFmt w:val="bullet"/>
      <w:lvlText w:val=""/>
      <w:lvlJc w:val="left"/>
      <w:pPr>
        <w:tabs>
          <w:tab w:val="num" w:pos="2880"/>
        </w:tabs>
        <w:ind w:left="2880" w:hanging="360"/>
      </w:pPr>
      <w:rPr>
        <w:rFonts w:ascii="Wingdings" w:hAnsi="Wingdings" w:hint="default"/>
      </w:rPr>
    </w:lvl>
    <w:lvl w:ilvl="4" w:tplc="872E80E0" w:tentative="1">
      <w:start w:val="1"/>
      <w:numFmt w:val="bullet"/>
      <w:lvlText w:val=""/>
      <w:lvlJc w:val="left"/>
      <w:pPr>
        <w:tabs>
          <w:tab w:val="num" w:pos="3600"/>
        </w:tabs>
        <w:ind w:left="3600" w:hanging="360"/>
      </w:pPr>
      <w:rPr>
        <w:rFonts w:ascii="Wingdings" w:hAnsi="Wingdings" w:hint="default"/>
      </w:rPr>
    </w:lvl>
    <w:lvl w:ilvl="5" w:tplc="83A82E80" w:tentative="1">
      <w:start w:val="1"/>
      <w:numFmt w:val="bullet"/>
      <w:lvlText w:val=""/>
      <w:lvlJc w:val="left"/>
      <w:pPr>
        <w:tabs>
          <w:tab w:val="num" w:pos="4320"/>
        </w:tabs>
        <w:ind w:left="4320" w:hanging="360"/>
      </w:pPr>
      <w:rPr>
        <w:rFonts w:ascii="Wingdings" w:hAnsi="Wingdings" w:hint="default"/>
      </w:rPr>
    </w:lvl>
    <w:lvl w:ilvl="6" w:tplc="5B42841E" w:tentative="1">
      <w:start w:val="1"/>
      <w:numFmt w:val="bullet"/>
      <w:lvlText w:val=""/>
      <w:lvlJc w:val="left"/>
      <w:pPr>
        <w:tabs>
          <w:tab w:val="num" w:pos="5040"/>
        </w:tabs>
        <w:ind w:left="5040" w:hanging="360"/>
      </w:pPr>
      <w:rPr>
        <w:rFonts w:ascii="Wingdings" w:hAnsi="Wingdings" w:hint="default"/>
      </w:rPr>
    </w:lvl>
    <w:lvl w:ilvl="7" w:tplc="E0D03194" w:tentative="1">
      <w:start w:val="1"/>
      <w:numFmt w:val="bullet"/>
      <w:lvlText w:val=""/>
      <w:lvlJc w:val="left"/>
      <w:pPr>
        <w:tabs>
          <w:tab w:val="num" w:pos="5760"/>
        </w:tabs>
        <w:ind w:left="5760" w:hanging="360"/>
      </w:pPr>
      <w:rPr>
        <w:rFonts w:ascii="Wingdings" w:hAnsi="Wingdings" w:hint="default"/>
      </w:rPr>
    </w:lvl>
    <w:lvl w:ilvl="8" w:tplc="70E6B6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D31D87"/>
    <w:multiLevelType w:val="hybridMultilevel"/>
    <w:tmpl w:val="112AE048"/>
    <w:lvl w:ilvl="0" w:tplc="B23AEA10">
      <w:start w:val="1"/>
      <w:numFmt w:val="bullet"/>
      <w:lvlText w:val=""/>
      <w:lvlJc w:val="left"/>
      <w:pPr>
        <w:tabs>
          <w:tab w:val="num" w:pos="720"/>
        </w:tabs>
        <w:ind w:left="720" w:hanging="360"/>
      </w:pPr>
      <w:rPr>
        <w:rFonts w:ascii="Wingdings" w:hAnsi="Wingdings" w:hint="default"/>
      </w:rPr>
    </w:lvl>
    <w:lvl w:ilvl="1" w:tplc="18584334">
      <w:start w:val="142"/>
      <w:numFmt w:val="bullet"/>
      <w:lvlText w:val="–"/>
      <w:lvlJc w:val="left"/>
      <w:pPr>
        <w:tabs>
          <w:tab w:val="num" w:pos="1440"/>
        </w:tabs>
        <w:ind w:left="1440" w:hanging="360"/>
      </w:pPr>
      <w:rPr>
        <w:rFonts w:ascii="Times New Roman" w:hAnsi="Times New Roman" w:hint="default"/>
      </w:rPr>
    </w:lvl>
    <w:lvl w:ilvl="2" w:tplc="7158B718" w:tentative="1">
      <w:start w:val="1"/>
      <w:numFmt w:val="bullet"/>
      <w:lvlText w:val=""/>
      <w:lvlJc w:val="left"/>
      <w:pPr>
        <w:tabs>
          <w:tab w:val="num" w:pos="2160"/>
        </w:tabs>
        <w:ind w:left="2160" w:hanging="360"/>
      </w:pPr>
      <w:rPr>
        <w:rFonts w:ascii="Wingdings" w:hAnsi="Wingdings" w:hint="default"/>
      </w:rPr>
    </w:lvl>
    <w:lvl w:ilvl="3" w:tplc="B198AD10" w:tentative="1">
      <w:start w:val="1"/>
      <w:numFmt w:val="bullet"/>
      <w:lvlText w:val=""/>
      <w:lvlJc w:val="left"/>
      <w:pPr>
        <w:tabs>
          <w:tab w:val="num" w:pos="2880"/>
        </w:tabs>
        <w:ind w:left="2880" w:hanging="360"/>
      </w:pPr>
      <w:rPr>
        <w:rFonts w:ascii="Wingdings" w:hAnsi="Wingdings" w:hint="default"/>
      </w:rPr>
    </w:lvl>
    <w:lvl w:ilvl="4" w:tplc="B7B65786" w:tentative="1">
      <w:start w:val="1"/>
      <w:numFmt w:val="bullet"/>
      <w:lvlText w:val=""/>
      <w:lvlJc w:val="left"/>
      <w:pPr>
        <w:tabs>
          <w:tab w:val="num" w:pos="3600"/>
        </w:tabs>
        <w:ind w:left="3600" w:hanging="360"/>
      </w:pPr>
      <w:rPr>
        <w:rFonts w:ascii="Wingdings" w:hAnsi="Wingdings" w:hint="default"/>
      </w:rPr>
    </w:lvl>
    <w:lvl w:ilvl="5" w:tplc="2408AC6E" w:tentative="1">
      <w:start w:val="1"/>
      <w:numFmt w:val="bullet"/>
      <w:lvlText w:val=""/>
      <w:lvlJc w:val="left"/>
      <w:pPr>
        <w:tabs>
          <w:tab w:val="num" w:pos="4320"/>
        </w:tabs>
        <w:ind w:left="4320" w:hanging="360"/>
      </w:pPr>
      <w:rPr>
        <w:rFonts w:ascii="Wingdings" w:hAnsi="Wingdings" w:hint="default"/>
      </w:rPr>
    </w:lvl>
    <w:lvl w:ilvl="6" w:tplc="8960BF2E" w:tentative="1">
      <w:start w:val="1"/>
      <w:numFmt w:val="bullet"/>
      <w:lvlText w:val=""/>
      <w:lvlJc w:val="left"/>
      <w:pPr>
        <w:tabs>
          <w:tab w:val="num" w:pos="5040"/>
        </w:tabs>
        <w:ind w:left="5040" w:hanging="360"/>
      </w:pPr>
      <w:rPr>
        <w:rFonts w:ascii="Wingdings" w:hAnsi="Wingdings" w:hint="default"/>
      </w:rPr>
    </w:lvl>
    <w:lvl w:ilvl="7" w:tplc="D3921286" w:tentative="1">
      <w:start w:val="1"/>
      <w:numFmt w:val="bullet"/>
      <w:lvlText w:val=""/>
      <w:lvlJc w:val="left"/>
      <w:pPr>
        <w:tabs>
          <w:tab w:val="num" w:pos="5760"/>
        </w:tabs>
        <w:ind w:left="5760" w:hanging="360"/>
      </w:pPr>
      <w:rPr>
        <w:rFonts w:ascii="Wingdings" w:hAnsi="Wingdings" w:hint="default"/>
      </w:rPr>
    </w:lvl>
    <w:lvl w:ilvl="8" w:tplc="EEC81B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12774"/>
    <w:multiLevelType w:val="hybridMultilevel"/>
    <w:tmpl w:val="6F70761A"/>
    <w:lvl w:ilvl="0" w:tplc="39F4B456">
      <w:start w:val="1"/>
      <w:numFmt w:val="bullet"/>
      <w:lvlText w:val=""/>
      <w:lvlJc w:val="left"/>
      <w:pPr>
        <w:tabs>
          <w:tab w:val="num" w:pos="720"/>
        </w:tabs>
        <w:ind w:left="720" w:hanging="360"/>
      </w:pPr>
      <w:rPr>
        <w:rFonts w:ascii="Wingdings" w:hAnsi="Wingdings" w:hint="default"/>
      </w:rPr>
    </w:lvl>
    <w:lvl w:ilvl="1" w:tplc="BF4404DC" w:tentative="1">
      <w:start w:val="1"/>
      <w:numFmt w:val="bullet"/>
      <w:lvlText w:val=""/>
      <w:lvlJc w:val="left"/>
      <w:pPr>
        <w:tabs>
          <w:tab w:val="num" w:pos="1440"/>
        </w:tabs>
        <w:ind w:left="1440" w:hanging="360"/>
      </w:pPr>
      <w:rPr>
        <w:rFonts w:ascii="Wingdings" w:hAnsi="Wingdings" w:hint="default"/>
      </w:rPr>
    </w:lvl>
    <w:lvl w:ilvl="2" w:tplc="D88E491E" w:tentative="1">
      <w:start w:val="1"/>
      <w:numFmt w:val="bullet"/>
      <w:lvlText w:val=""/>
      <w:lvlJc w:val="left"/>
      <w:pPr>
        <w:tabs>
          <w:tab w:val="num" w:pos="2160"/>
        </w:tabs>
        <w:ind w:left="2160" w:hanging="360"/>
      </w:pPr>
      <w:rPr>
        <w:rFonts w:ascii="Wingdings" w:hAnsi="Wingdings" w:hint="default"/>
      </w:rPr>
    </w:lvl>
    <w:lvl w:ilvl="3" w:tplc="59BC1DCC" w:tentative="1">
      <w:start w:val="1"/>
      <w:numFmt w:val="bullet"/>
      <w:lvlText w:val=""/>
      <w:lvlJc w:val="left"/>
      <w:pPr>
        <w:tabs>
          <w:tab w:val="num" w:pos="2880"/>
        </w:tabs>
        <w:ind w:left="2880" w:hanging="360"/>
      </w:pPr>
      <w:rPr>
        <w:rFonts w:ascii="Wingdings" w:hAnsi="Wingdings" w:hint="default"/>
      </w:rPr>
    </w:lvl>
    <w:lvl w:ilvl="4" w:tplc="8FD67130" w:tentative="1">
      <w:start w:val="1"/>
      <w:numFmt w:val="bullet"/>
      <w:lvlText w:val=""/>
      <w:lvlJc w:val="left"/>
      <w:pPr>
        <w:tabs>
          <w:tab w:val="num" w:pos="3600"/>
        </w:tabs>
        <w:ind w:left="3600" w:hanging="360"/>
      </w:pPr>
      <w:rPr>
        <w:rFonts w:ascii="Wingdings" w:hAnsi="Wingdings" w:hint="default"/>
      </w:rPr>
    </w:lvl>
    <w:lvl w:ilvl="5" w:tplc="C5FE5494" w:tentative="1">
      <w:start w:val="1"/>
      <w:numFmt w:val="bullet"/>
      <w:lvlText w:val=""/>
      <w:lvlJc w:val="left"/>
      <w:pPr>
        <w:tabs>
          <w:tab w:val="num" w:pos="4320"/>
        </w:tabs>
        <w:ind w:left="4320" w:hanging="360"/>
      </w:pPr>
      <w:rPr>
        <w:rFonts w:ascii="Wingdings" w:hAnsi="Wingdings" w:hint="default"/>
      </w:rPr>
    </w:lvl>
    <w:lvl w:ilvl="6" w:tplc="1388A162" w:tentative="1">
      <w:start w:val="1"/>
      <w:numFmt w:val="bullet"/>
      <w:lvlText w:val=""/>
      <w:lvlJc w:val="left"/>
      <w:pPr>
        <w:tabs>
          <w:tab w:val="num" w:pos="5040"/>
        </w:tabs>
        <w:ind w:left="5040" w:hanging="360"/>
      </w:pPr>
      <w:rPr>
        <w:rFonts w:ascii="Wingdings" w:hAnsi="Wingdings" w:hint="default"/>
      </w:rPr>
    </w:lvl>
    <w:lvl w:ilvl="7" w:tplc="AEAEED70" w:tentative="1">
      <w:start w:val="1"/>
      <w:numFmt w:val="bullet"/>
      <w:lvlText w:val=""/>
      <w:lvlJc w:val="left"/>
      <w:pPr>
        <w:tabs>
          <w:tab w:val="num" w:pos="5760"/>
        </w:tabs>
        <w:ind w:left="5760" w:hanging="360"/>
      </w:pPr>
      <w:rPr>
        <w:rFonts w:ascii="Wingdings" w:hAnsi="Wingdings" w:hint="default"/>
      </w:rPr>
    </w:lvl>
    <w:lvl w:ilvl="8" w:tplc="7DE654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590649"/>
    <w:multiLevelType w:val="multilevel"/>
    <w:tmpl w:val="B2AE5C72"/>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8D26EC"/>
    <w:multiLevelType w:val="hybridMultilevel"/>
    <w:tmpl w:val="B2AE5C72"/>
    <w:lvl w:ilvl="0" w:tplc="E230F8E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CD1F92"/>
    <w:multiLevelType w:val="hybridMultilevel"/>
    <w:tmpl w:val="A0D814EE"/>
    <w:lvl w:ilvl="0" w:tplc="343654FA">
      <w:start w:val="1"/>
      <w:numFmt w:val="bullet"/>
      <w:lvlText w:val=""/>
      <w:lvlJc w:val="left"/>
      <w:pPr>
        <w:tabs>
          <w:tab w:val="num" w:pos="720"/>
        </w:tabs>
        <w:ind w:left="720" w:hanging="360"/>
      </w:pPr>
      <w:rPr>
        <w:rFonts w:ascii="Wingdings" w:hAnsi="Wingdings" w:hint="default"/>
      </w:rPr>
    </w:lvl>
    <w:lvl w:ilvl="1" w:tplc="4FB08C76">
      <w:start w:val="142"/>
      <w:numFmt w:val="bullet"/>
      <w:lvlText w:val="–"/>
      <w:lvlJc w:val="left"/>
      <w:pPr>
        <w:tabs>
          <w:tab w:val="num" w:pos="1440"/>
        </w:tabs>
        <w:ind w:left="1440" w:hanging="360"/>
      </w:pPr>
      <w:rPr>
        <w:rFonts w:ascii="Times New Roman" w:hAnsi="Times New Roman" w:hint="default"/>
      </w:rPr>
    </w:lvl>
    <w:lvl w:ilvl="2" w:tplc="F1085B0A" w:tentative="1">
      <w:start w:val="1"/>
      <w:numFmt w:val="bullet"/>
      <w:lvlText w:val=""/>
      <w:lvlJc w:val="left"/>
      <w:pPr>
        <w:tabs>
          <w:tab w:val="num" w:pos="2160"/>
        </w:tabs>
        <w:ind w:left="2160" w:hanging="360"/>
      </w:pPr>
      <w:rPr>
        <w:rFonts w:ascii="Wingdings" w:hAnsi="Wingdings" w:hint="default"/>
      </w:rPr>
    </w:lvl>
    <w:lvl w:ilvl="3" w:tplc="25EC3CD8" w:tentative="1">
      <w:start w:val="1"/>
      <w:numFmt w:val="bullet"/>
      <w:lvlText w:val=""/>
      <w:lvlJc w:val="left"/>
      <w:pPr>
        <w:tabs>
          <w:tab w:val="num" w:pos="2880"/>
        </w:tabs>
        <w:ind w:left="2880" w:hanging="360"/>
      </w:pPr>
      <w:rPr>
        <w:rFonts w:ascii="Wingdings" w:hAnsi="Wingdings" w:hint="default"/>
      </w:rPr>
    </w:lvl>
    <w:lvl w:ilvl="4" w:tplc="AB124CCC" w:tentative="1">
      <w:start w:val="1"/>
      <w:numFmt w:val="bullet"/>
      <w:lvlText w:val=""/>
      <w:lvlJc w:val="left"/>
      <w:pPr>
        <w:tabs>
          <w:tab w:val="num" w:pos="3600"/>
        </w:tabs>
        <w:ind w:left="3600" w:hanging="360"/>
      </w:pPr>
      <w:rPr>
        <w:rFonts w:ascii="Wingdings" w:hAnsi="Wingdings" w:hint="default"/>
      </w:rPr>
    </w:lvl>
    <w:lvl w:ilvl="5" w:tplc="9B1E634A" w:tentative="1">
      <w:start w:val="1"/>
      <w:numFmt w:val="bullet"/>
      <w:lvlText w:val=""/>
      <w:lvlJc w:val="left"/>
      <w:pPr>
        <w:tabs>
          <w:tab w:val="num" w:pos="4320"/>
        </w:tabs>
        <w:ind w:left="4320" w:hanging="360"/>
      </w:pPr>
      <w:rPr>
        <w:rFonts w:ascii="Wingdings" w:hAnsi="Wingdings" w:hint="default"/>
      </w:rPr>
    </w:lvl>
    <w:lvl w:ilvl="6" w:tplc="77B49940" w:tentative="1">
      <w:start w:val="1"/>
      <w:numFmt w:val="bullet"/>
      <w:lvlText w:val=""/>
      <w:lvlJc w:val="left"/>
      <w:pPr>
        <w:tabs>
          <w:tab w:val="num" w:pos="5040"/>
        </w:tabs>
        <w:ind w:left="5040" w:hanging="360"/>
      </w:pPr>
      <w:rPr>
        <w:rFonts w:ascii="Wingdings" w:hAnsi="Wingdings" w:hint="default"/>
      </w:rPr>
    </w:lvl>
    <w:lvl w:ilvl="7" w:tplc="99BC5062" w:tentative="1">
      <w:start w:val="1"/>
      <w:numFmt w:val="bullet"/>
      <w:lvlText w:val=""/>
      <w:lvlJc w:val="left"/>
      <w:pPr>
        <w:tabs>
          <w:tab w:val="num" w:pos="5760"/>
        </w:tabs>
        <w:ind w:left="5760" w:hanging="360"/>
      </w:pPr>
      <w:rPr>
        <w:rFonts w:ascii="Wingdings" w:hAnsi="Wingdings" w:hint="default"/>
      </w:rPr>
    </w:lvl>
    <w:lvl w:ilvl="8" w:tplc="44BE7F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D15EAC"/>
    <w:multiLevelType w:val="hybridMultilevel"/>
    <w:tmpl w:val="1862EA1C"/>
    <w:lvl w:ilvl="0" w:tplc="84D0A9E0">
      <w:start w:val="1"/>
      <w:numFmt w:val="bullet"/>
      <w:lvlText w:val=""/>
      <w:lvlJc w:val="left"/>
      <w:pPr>
        <w:tabs>
          <w:tab w:val="num" w:pos="720"/>
        </w:tabs>
        <w:ind w:left="720" w:hanging="360"/>
      </w:pPr>
      <w:rPr>
        <w:rFonts w:ascii="Wingdings" w:hAnsi="Wingdings" w:hint="default"/>
      </w:rPr>
    </w:lvl>
    <w:lvl w:ilvl="1" w:tplc="912EFEF6" w:tentative="1">
      <w:start w:val="1"/>
      <w:numFmt w:val="bullet"/>
      <w:lvlText w:val=""/>
      <w:lvlJc w:val="left"/>
      <w:pPr>
        <w:tabs>
          <w:tab w:val="num" w:pos="1440"/>
        </w:tabs>
        <w:ind w:left="1440" w:hanging="360"/>
      </w:pPr>
      <w:rPr>
        <w:rFonts w:ascii="Wingdings" w:hAnsi="Wingdings" w:hint="default"/>
      </w:rPr>
    </w:lvl>
    <w:lvl w:ilvl="2" w:tplc="BCA0D8C4" w:tentative="1">
      <w:start w:val="1"/>
      <w:numFmt w:val="bullet"/>
      <w:lvlText w:val=""/>
      <w:lvlJc w:val="left"/>
      <w:pPr>
        <w:tabs>
          <w:tab w:val="num" w:pos="2160"/>
        </w:tabs>
        <w:ind w:left="2160" w:hanging="360"/>
      </w:pPr>
      <w:rPr>
        <w:rFonts w:ascii="Wingdings" w:hAnsi="Wingdings" w:hint="default"/>
      </w:rPr>
    </w:lvl>
    <w:lvl w:ilvl="3" w:tplc="56184B06" w:tentative="1">
      <w:start w:val="1"/>
      <w:numFmt w:val="bullet"/>
      <w:lvlText w:val=""/>
      <w:lvlJc w:val="left"/>
      <w:pPr>
        <w:tabs>
          <w:tab w:val="num" w:pos="2880"/>
        </w:tabs>
        <w:ind w:left="2880" w:hanging="360"/>
      </w:pPr>
      <w:rPr>
        <w:rFonts w:ascii="Wingdings" w:hAnsi="Wingdings" w:hint="default"/>
      </w:rPr>
    </w:lvl>
    <w:lvl w:ilvl="4" w:tplc="A73C543C" w:tentative="1">
      <w:start w:val="1"/>
      <w:numFmt w:val="bullet"/>
      <w:lvlText w:val=""/>
      <w:lvlJc w:val="left"/>
      <w:pPr>
        <w:tabs>
          <w:tab w:val="num" w:pos="3600"/>
        </w:tabs>
        <w:ind w:left="3600" w:hanging="360"/>
      </w:pPr>
      <w:rPr>
        <w:rFonts w:ascii="Wingdings" w:hAnsi="Wingdings" w:hint="default"/>
      </w:rPr>
    </w:lvl>
    <w:lvl w:ilvl="5" w:tplc="DC16FA1A" w:tentative="1">
      <w:start w:val="1"/>
      <w:numFmt w:val="bullet"/>
      <w:lvlText w:val=""/>
      <w:lvlJc w:val="left"/>
      <w:pPr>
        <w:tabs>
          <w:tab w:val="num" w:pos="4320"/>
        </w:tabs>
        <w:ind w:left="4320" w:hanging="360"/>
      </w:pPr>
      <w:rPr>
        <w:rFonts w:ascii="Wingdings" w:hAnsi="Wingdings" w:hint="default"/>
      </w:rPr>
    </w:lvl>
    <w:lvl w:ilvl="6" w:tplc="3C68D37E" w:tentative="1">
      <w:start w:val="1"/>
      <w:numFmt w:val="bullet"/>
      <w:lvlText w:val=""/>
      <w:lvlJc w:val="left"/>
      <w:pPr>
        <w:tabs>
          <w:tab w:val="num" w:pos="5040"/>
        </w:tabs>
        <w:ind w:left="5040" w:hanging="360"/>
      </w:pPr>
      <w:rPr>
        <w:rFonts w:ascii="Wingdings" w:hAnsi="Wingdings" w:hint="default"/>
      </w:rPr>
    </w:lvl>
    <w:lvl w:ilvl="7" w:tplc="11600BFE" w:tentative="1">
      <w:start w:val="1"/>
      <w:numFmt w:val="bullet"/>
      <w:lvlText w:val=""/>
      <w:lvlJc w:val="left"/>
      <w:pPr>
        <w:tabs>
          <w:tab w:val="num" w:pos="5760"/>
        </w:tabs>
        <w:ind w:left="5760" w:hanging="360"/>
      </w:pPr>
      <w:rPr>
        <w:rFonts w:ascii="Wingdings" w:hAnsi="Wingdings" w:hint="default"/>
      </w:rPr>
    </w:lvl>
    <w:lvl w:ilvl="8" w:tplc="77686FC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2606B6"/>
    <w:multiLevelType w:val="hybridMultilevel"/>
    <w:tmpl w:val="23329C82"/>
    <w:lvl w:ilvl="0" w:tplc="CB7CEEBE">
      <w:start w:val="1"/>
      <w:numFmt w:val="bullet"/>
      <w:lvlText w:val=""/>
      <w:lvlJc w:val="left"/>
      <w:pPr>
        <w:tabs>
          <w:tab w:val="num" w:pos="720"/>
        </w:tabs>
        <w:ind w:left="720" w:hanging="360"/>
      </w:pPr>
      <w:rPr>
        <w:rFonts w:ascii="Wingdings" w:hAnsi="Wingdings" w:hint="default"/>
      </w:rPr>
    </w:lvl>
    <w:lvl w:ilvl="1" w:tplc="76E6C3DA" w:tentative="1">
      <w:start w:val="1"/>
      <w:numFmt w:val="bullet"/>
      <w:lvlText w:val=""/>
      <w:lvlJc w:val="left"/>
      <w:pPr>
        <w:tabs>
          <w:tab w:val="num" w:pos="1440"/>
        </w:tabs>
        <w:ind w:left="1440" w:hanging="360"/>
      </w:pPr>
      <w:rPr>
        <w:rFonts w:ascii="Wingdings" w:hAnsi="Wingdings" w:hint="default"/>
      </w:rPr>
    </w:lvl>
    <w:lvl w:ilvl="2" w:tplc="205254B4" w:tentative="1">
      <w:start w:val="1"/>
      <w:numFmt w:val="bullet"/>
      <w:lvlText w:val=""/>
      <w:lvlJc w:val="left"/>
      <w:pPr>
        <w:tabs>
          <w:tab w:val="num" w:pos="2160"/>
        </w:tabs>
        <w:ind w:left="2160" w:hanging="360"/>
      </w:pPr>
      <w:rPr>
        <w:rFonts w:ascii="Wingdings" w:hAnsi="Wingdings" w:hint="default"/>
      </w:rPr>
    </w:lvl>
    <w:lvl w:ilvl="3" w:tplc="FA3A2F90" w:tentative="1">
      <w:start w:val="1"/>
      <w:numFmt w:val="bullet"/>
      <w:lvlText w:val=""/>
      <w:lvlJc w:val="left"/>
      <w:pPr>
        <w:tabs>
          <w:tab w:val="num" w:pos="2880"/>
        </w:tabs>
        <w:ind w:left="2880" w:hanging="360"/>
      </w:pPr>
      <w:rPr>
        <w:rFonts w:ascii="Wingdings" w:hAnsi="Wingdings" w:hint="default"/>
      </w:rPr>
    </w:lvl>
    <w:lvl w:ilvl="4" w:tplc="1046BBFC" w:tentative="1">
      <w:start w:val="1"/>
      <w:numFmt w:val="bullet"/>
      <w:lvlText w:val=""/>
      <w:lvlJc w:val="left"/>
      <w:pPr>
        <w:tabs>
          <w:tab w:val="num" w:pos="3600"/>
        </w:tabs>
        <w:ind w:left="3600" w:hanging="360"/>
      </w:pPr>
      <w:rPr>
        <w:rFonts w:ascii="Wingdings" w:hAnsi="Wingdings" w:hint="default"/>
      </w:rPr>
    </w:lvl>
    <w:lvl w:ilvl="5" w:tplc="646AB288" w:tentative="1">
      <w:start w:val="1"/>
      <w:numFmt w:val="bullet"/>
      <w:lvlText w:val=""/>
      <w:lvlJc w:val="left"/>
      <w:pPr>
        <w:tabs>
          <w:tab w:val="num" w:pos="4320"/>
        </w:tabs>
        <w:ind w:left="4320" w:hanging="360"/>
      </w:pPr>
      <w:rPr>
        <w:rFonts w:ascii="Wingdings" w:hAnsi="Wingdings" w:hint="default"/>
      </w:rPr>
    </w:lvl>
    <w:lvl w:ilvl="6" w:tplc="93C0AE00" w:tentative="1">
      <w:start w:val="1"/>
      <w:numFmt w:val="bullet"/>
      <w:lvlText w:val=""/>
      <w:lvlJc w:val="left"/>
      <w:pPr>
        <w:tabs>
          <w:tab w:val="num" w:pos="5040"/>
        </w:tabs>
        <w:ind w:left="5040" w:hanging="360"/>
      </w:pPr>
      <w:rPr>
        <w:rFonts w:ascii="Wingdings" w:hAnsi="Wingdings" w:hint="default"/>
      </w:rPr>
    </w:lvl>
    <w:lvl w:ilvl="7" w:tplc="D52A5762" w:tentative="1">
      <w:start w:val="1"/>
      <w:numFmt w:val="bullet"/>
      <w:lvlText w:val=""/>
      <w:lvlJc w:val="left"/>
      <w:pPr>
        <w:tabs>
          <w:tab w:val="num" w:pos="5760"/>
        </w:tabs>
        <w:ind w:left="5760" w:hanging="360"/>
      </w:pPr>
      <w:rPr>
        <w:rFonts w:ascii="Wingdings" w:hAnsi="Wingdings" w:hint="default"/>
      </w:rPr>
    </w:lvl>
    <w:lvl w:ilvl="8" w:tplc="AA88C2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0B2CB1"/>
    <w:multiLevelType w:val="hybridMultilevel"/>
    <w:tmpl w:val="5F42D33A"/>
    <w:lvl w:ilvl="0" w:tplc="EB3261A4">
      <w:start w:val="1"/>
      <w:numFmt w:val="bullet"/>
      <w:lvlText w:val=""/>
      <w:lvlJc w:val="left"/>
      <w:pPr>
        <w:tabs>
          <w:tab w:val="num" w:pos="720"/>
        </w:tabs>
        <w:ind w:left="720" w:hanging="360"/>
      </w:pPr>
      <w:rPr>
        <w:rFonts w:ascii="Wingdings" w:hAnsi="Wingdings" w:hint="default"/>
      </w:rPr>
    </w:lvl>
    <w:lvl w:ilvl="1" w:tplc="4D868D68">
      <w:start w:val="142"/>
      <w:numFmt w:val="bullet"/>
      <w:lvlText w:val="–"/>
      <w:lvlJc w:val="left"/>
      <w:pPr>
        <w:tabs>
          <w:tab w:val="num" w:pos="1440"/>
        </w:tabs>
        <w:ind w:left="1440" w:hanging="360"/>
      </w:pPr>
      <w:rPr>
        <w:rFonts w:ascii="Times New Roman" w:hAnsi="Times New Roman" w:hint="default"/>
      </w:rPr>
    </w:lvl>
    <w:lvl w:ilvl="2" w:tplc="354CF700" w:tentative="1">
      <w:start w:val="1"/>
      <w:numFmt w:val="bullet"/>
      <w:lvlText w:val=""/>
      <w:lvlJc w:val="left"/>
      <w:pPr>
        <w:tabs>
          <w:tab w:val="num" w:pos="2160"/>
        </w:tabs>
        <w:ind w:left="2160" w:hanging="360"/>
      </w:pPr>
      <w:rPr>
        <w:rFonts w:ascii="Wingdings" w:hAnsi="Wingdings" w:hint="default"/>
      </w:rPr>
    </w:lvl>
    <w:lvl w:ilvl="3" w:tplc="76146CEC" w:tentative="1">
      <w:start w:val="1"/>
      <w:numFmt w:val="bullet"/>
      <w:lvlText w:val=""/>
      <w:lvlJc w:val="left"/>
      <w:pPr>
        <w:tabs>
          <w:tab w:val="num" w:pos="2880"/>
        </w:tabs>
        <w:ind w:left="2880" w:hanging="360"/>
      </w:pPr>
      <w:rPr>
        <w:rFonts w:ascii="Wingdings" w:hAnsi="Wingdings" w:hint="default"/>
      </w:rPr>
    </w:lvl>
    <w:lvl w:ilvl="4" w:tplc="175A545A" w:tentative="1">
      <w:start w:val="1"/>
      <w:numFmt w:val="bullet"/>
      <w:lvlText w:val=""/>
      <w:lvlJc w:val="left"/>
      <w:pPr>
        <w:tabs>
          <w:tab w:val="num" w:pos="3600"/>
        </w:tabs>
        <w:ind w:left="3600" w:hanging="360"/>
      </w:pPr>
      <w:rPr>
        <w:rFonts w:ascii="Wingdings" w:hAnsi="Wingdings" w:hint="default"/>
      </w:rPr>
    </w:lvl>
    <w:lvl w:ilvl="5" w:tplc="7B0880A8" w:tentative="1">
      <w:start w:val="1"/>
      <w:numFmt w:val="bullet"/>
      <w:lvlText w:val=""/>
      <w:lvlJc w:val="left"/>
      <w:pPr>
        <w:tabs>
          <w:tab w:val="num" w:pos="4320"/>
        </w:tabs>
        <w:ind w:left="4320" w:hanging="360"/>
      </w:pPr>
      <w:rPr>
        <w:rFonts w:ascii="Wingdings" w:hAnsi="Wingdings" w:hint="default"/>
      </w:rPr>
    </w:lvl>
    <w:lvl w:ilvl="6" w:tplc="1FC8C1A2" w:tentative="1">
      <w:start w:val="1"/>
      <w:numFmt w:val="bullet"/>
      <w:lvlText w:val=""/>
      <w:lvlJc w:val="left"/>
      <w:pPr>
        <w:tabs>
          <w:tab w:val="num" w:pos="5040"/>
        </w:tabs>
        <w:ind w:left="5040" w:hanging="360"/>
      </w:pPr>
      <w:rPr>
        <w:rFonts w:ascii="Wingdings" w:hAnsi="Wingdings" w:hint="default"/>
      </w:rPr>
    </w:lvl>
    <w:lvl w:ilvl="7" w:tplc="E9AE60DC" w:tentative="1">
      <w:start w:val="1"/>
      <w:numFmt w:val="bullet"/>
      <w:lvlText w:val=""/>
      <w:lvlJc w:val="left"/>
      <w:pPr>
        <w:tabs>
          <w:tab w:val="num" w:pos="5760"/>
        </w:tabs>
        <w:ind w:left="5760" w:hanging="360"/>
      </w:pPr>
      <w:rPr>
        <w:rFonts w:ascii="Wingdings" w:hAnsi="Wingdings" w:hint="default"/>
      </w:rPr>
    </w:lvl>
    <w:lvl w:ilvl="8" w:tplc="649E8D8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0"/>
  </w:num>
  <w:num w:numId="4">
    <w:abstractNumId w:val="7"/>
  </w:num>
  <w:num w:numId="5">
    <w:abstractNumId w:val="8"/>
  </w:num>
  <w:num w:numId="6">
    <w:abstractNumId w:val="4"/>
  </w:num>
  <w:num w:numId="7">
    <w:abstractNumId w:val="2"/>
  </w:num>
  <w:num w:numId="8">
    <w:abstractNumId w:val="1"/>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1E"/>
    <w:rsid w:val="00003B89"/>
    <w:rsid w:val="000119AA"/>
    <w:rsid w:val="00012102"/>
    <w:rsid w:val="0001684E"/>
    <w:rsid w:val="00020276"/>
    <w:rsid w:val="00020F3D"/>
    <w:rsid w:val="000255DA"/>
    <w:rsid w:val="00034AAF"/>
    <w:rsid w:val="0003716C"/>
    <w:rsid w:val="00040305"/>
    <w:rsid w:val="0004532C"/>
    <w:rsid w:val="00053C0F"/>
    <w:rsid w:val="00062DD3"/>
    <w:rsid w:val="000639FF"/>
    <w:rsid w:val="000669D1"/>
    <w:rsid w:val="0007641F"/>
    <w:rsid w:val="000778C5"/>
    <w:rsid w:val="00081E51"/>
    <w:rsid w:val="0008509F"/>
    <w:rsid w:val="000A4B1E"/>
    <w:rsid w:val="000B0E62"/>
    <w:rsid w:val="000E1590"/>
    <w:rsid w:val="000E54EE"/>
    <w:rsid w:val="000F1081"/>
    <w:rsid w:val="000F2B7A"/>
    <w:rsid w:val="00103B7A"/>
    <w:rsid w:val="00124252"/>
    <w:rsid w:val="00130F37"/>
    <w:rsid w:val="00135342"/>
    <w:rsid w:val="001359D1"/>
    <w:rsid w:val="001533AE"/>
    <w:rsid w:val="00157501"/>
    <w:rsid w:val="00162FD5"/>
    <w:rsid w:val="001651FF"/>
    <w:rsid w:val="00170F23"/>
    <w:rsid w:val="0017318B"/>
    <w:rsid w:val="00181E4E"/>
    <w:rsid w:val="001830F1"/>
    <w:rsid w:val="001A4054"/>
    <w:rsid w:val="001B145B"/>
    <w:rsid w:val="001B69FF"/>
    <w:rsid w:val="001B6F5F"/>
    <w:rsid w:val="001D256E"/>
    <w:rsid w:val="001E5DD4"/>
    <w:rsid w:val="001E7299"/>
    <w:rsid w:val="001F3FDA"/>
    <w:rsid w:val="0020201B"/>
    <w:rsid w:val="00211C44"/>
    <w:rsid w:val="002122B6"/>
    <w:rsid w:val="00214527"/>
    <w:rsid w:val="00216656"/>
    <w:rsid w:val="00227B0D"/>
    <w:rsid w:val="00231A6B"/>
    <w:rsid w:val="002327CA"/>
    <w:rsid w:val="0024410F"/>
    <w:rsid w:val="00247C8E"/>
    <w:rsid w:val="0025352E"/>
    <w:rsid w:val="00256D91"/>
    <w:rsid w:val="002577E7"/>
    <w:rsid w:val="00262BDE"/>
    <w:rsid w:val="002655AA"/>
    <w:rsid w:val="00266624"/>
    <w:rsid w:val="00272CC9"/>
    <w:rsid w:val="00274239"/>
    <w:rsid w:val="00275DC0"/>
    <w:rsid w:val="00277A03"/>
    <w:rsid w:val="0028584F"/>
    <w:rsid w:val="00286122"/>
    <w:rsid w:val="0029019B"/>
    <w:rsid w:val="00290FCB"/>
    <w:rsid w:val="0029326C"/>
    <w:rsid w:val="00293C5C"/>
    <w:rsid w:val="002976ED"/>
    <w:rsid w:val="00297A8A"/>
    <w:rsid w:val="002A0DFC"/>
    <w:rsid w:val="002A5E28"/>
    <w:rsid w:val="002B2CC9"/>
    <w:rsid w:val="002C2132"/>
    <w:rsid w:val="002E65C0"/>
    <w:rsid w:val="003012B8"/>
    <w:rsid w:val="003050C9"/>
    <w:rsid w:val="003079C8"/>
    <w:rsid w:val="00311BFE"/>
    <w:rsid w:val="00321C41"/>
    <w:rsid w:val="00323C91"/>
    <w:rsid w:val="003265EA"/>
    <w:rsid w:val="0032703D"/>
    <w:rsid w:val="0032783F"/>
    <w:rsid w:val="00332165"/>
    <w:rsid w:val="00333306"/>
    <w:rsid w:val="0033409F"/>
    <w:rsid w:val="00344FA3"/>
    <w:rsid w:val="00346334"/>
    <w:rsid w:val="0034748C"/>
    <w:rsid w:val="00350A7C"/>
    <w:rsid w:val="00361B67"/>
    <w:rsid w:val="00364B4F"/>
    <w:rsid w:val="0036611D"/>
    <w:rsid w:val="00374A3C"/>
    <w:rsid w:val="00374B03"/>
    <w:rsid w:val="00374F48"/>
    <w:rsid w:val="00383930"/>
    <w:rsid w:val="0038470B"/>
    <w:rsid w:val="00397273"/>
    <w:rsid w:val="003A277D"/>
    <w:rsid w:val="003A2C44"/>
    <w:rsid w:val="003A6562"/>
    <w:rsid w:val="003C75D3"/>
    <w:rsid w:val="003D025B"/>
    <w:rsid w:val="003D29D2"/>
    <w:rsid w:val="003D5792"/>
    <w:rsid w:val="003F0B88"/>
    <w:rsid w:val="003F1FD9"/>
    <w:rsid w:val="003F37BD"/>
    <w:rsid w:val="003F5C19"/>
    <w:rsid w:val="0041078C"/>
    <w:rsid w:val="00414D35"/>
    <w:rsid w:val="0042198A"/>
    <w:rsid w:val="00421FFC"/>
    <w:rsid w:val="004237E6"/>
    <w:rsid w:val="00424695"/>
    <w:rsid w:val="004357D9"/>
    <w:rsid w:val="0043711B"/>
    <w:rsid w:val="00443E83"/>
    <w:rsid w:val="00444BA2"/>
    <w:rsid w:val="00444F4F"/>
    <w:rsid w:val="00455EEA"/>
    <w:rsid w:val="00456DEE"/>
    <w:rsid w:val="00460ECD"/>
    <w:rsid w:val="004659F6"/>
    <w:rsid w:val="00477877"/>
    <w:rsid w:val="004840B2"/>
    <w:rsid w:val="004842AB"/>
    <w:rsid w:val="0048588F"/>
    <w:rsid w:val="004956AC"/>
    <w:rsid w:val="004A005B"/>
    <w:rsid w:val="004A2894"/>
    <w:rsid w:val="004A47E5"/>
    <w:rsid w:val="004A5FF9"/>
    <w:rsid w:val="004B1E11"/>
    <w:rsid w:val="004B5590"/>
    <w:rsid w:val="004B6FCE"/>
    <w:rsid w:val="004B7C6A"/>
    <w:rsid w:val="004D06AA"/>
    <w:rsid w:val="004D732E"/>
    <w:rsid w:val="004E3FF8"/>
    <w:rsid w:val="004E5EB1"/>
    <w:rsid w:val="004F0FA1"/>
    <w:rsid w:val="004F4EF2"/>
    <w:rsid w:val="00504728"/>
    <w:rsid w:val="00512AE6"/>
    <w:rsid w:val="00516C21"/>
    <w:rsid w:val="0052541D"/>
    <w:rsid w:val="00540589"/>
    <w:rsid w:val="00546016"/>
    <w:rsid w:val="005475F6"/>
    <w:rsid w:val="00550BE8"/>
    <w:rsid w:val="0055102D"/>
    <w:rsid w:val="00553A57"/>
    <w:rsid w:val="00553EDC"/>
    <w:rsid w:val="0055466B"/>
    <w:rsid w:val="0056004B"/>
    <w:rsid w:val="00567A25"/>
    <w:rsid w:val="00574F3D"/>
    <w:rsid w:val="00582999"/>
    <w:rsid w:val="00583806"/>
    <w:rsid w:val="00590900"/>
    <w:rsid w:val="005931A5"/>
    <w:rsid w:val="0059721E"/>
    <w:rsid w:val="005A450E"/>
    <w:rsid w:val="005B173E"/>
    <w:rsid w:val="005B2165"/>
    <w:rsid w:val="005C0D4B"/>
    <w:rsid w:val="005C1214"/>
    <w:rsid w:val="005C62C7"/>
    <w:rsid w:val="005C6AB9"/>
    <w:rsid w:val="005D3A2A"/>
    <w:rsid w:val="005E2981"/>
    <w:rsid w:val="005E692C"/>
    <w:rsid w:val="005E6C86"/>
    <w:rsid w:val="005E7BED"/>
    <w:rsid w:val="006073F9"/>
    <w:rsid w:val="006074A8"/>
    <w:rsid w:val="006078B0"/>
    <w:rsid w:val="006104DB"/>
    <w:rsid w:val="006105C9"/>
    <w:rsid w:val="0061183A"/>
    <w:rsid w:val="00615A8C"/>
    <w:rsid w:val="00615B82"/>
    <w:rsid w:val="0061686B"/>
    <w:rsid w:val="006205C3"/>
    <w:rsid w:val="00625E83"/>
    <w:rsid w:val="00627783"/>
    <w:rsid w:val="0063087F"/>
    <w:rsid w:val="00632831"/>
    <w:rsid w:val="00633C8E"/>
    <w:rsid w:val="0063443E"/>
    <w:rsid w:val="00640236"/>
    <w:rsid w:val="00650202"/>
    <w:rsid w:val="00650543"/>
    <w:rsid w:val="006550ED"/>
    <w:rsid w:val="006570A2"/>
    <w:rsid w:val="00661EF5"/>
    <w:rsid w:val="00662044"/>
    <w:rsid w:val="006626DD"/>
    <w:rsid w:val="006651E3"/>
    <w:rsid w:val="00671DD3"/>
    <w:rsid w:val="006810B6"/>
    <w:rsid w:val="00685D66"/>
    <w:rsid w:val="006919F1"/>
    <w:rsid w:val="00694F86"/>
    <w:rsid w:val="006A0987"/>
    <w:rsid w:val="006A0989"/>
    <w:rsid w:val="006A1677"/>
    <w:rsid w:val="006A1CD6"/>
    <w:rsid w:val="006A4F1D"/>
    <w:rsid w:val="006A6DDD"/>
    <w:rsid w:val="006B2544"/>
    <w:rsid w:val="006B2C46"/>
    <w:rsid w:val="006C25A5"/>
    <w:rsid w:val="006C27F3"/>
    <w:rsid w:val="006C5BD1"/>
    <w:rsid w:val="006D1DB3"/>
    <w:rsid w:val="006D3C59"/>
    <w:rsid w:val="006D5E0F"/>
    <w:rsid w:val="006D72DB"/>
    <w:rsid w:val="006E0060"/>
    <w:rsid w:val="006F110E"/>
    <w:rsid w:val="006F3D1B"/>
    <w:rsid w:val="007114FF"/>
    <w:rsid w:val="00713EB5"/>
    <w:rsid w:val="00715A19"/>
    <w:rsid w:val="00720DD4"/>
    <w:rsid w:val="0072291B"/>
    <w:rsid w:val="00723656"/>
    <w:rsid w:val="0072390E"/>
    <w:rsid w:val="00736EB6"/>
    <w:rsid w:val="00744E4D"/>
    <w:rsid w:val="00746415"/>
    <w:rsid w:val="00747379"/>
    <w:rsid w:val="00747D99"/>
    <w:rsid w:val="00757053"/>
    <w:rsid w:val="007605FC"/>
    <w:rsid w:val="00774DA2"/>
    <w:rsid w:val="00775B34"/>
    <w:rsid w:val="00776939"/>
    <w:rsid w:val="00786696"/>
    <w:rsid w:val="007948AA"/>
    <w:rsid w:val="00796A5A"/>
    <w:rsid w:val="007A34FE"/>
    <w:rsid w:val="007A5190"/>
    <w:rsid w:val="007B1636"/>
    <w:rsid w:val="007B1E38"/>
    <w:rsid w:val="007B2E6A"/>
    <w:rsid w:val="007B3153"/>
    <w:rsid w:val="007B53E7"/>
    <w:rsid w:val="007B5948"/>
    <w:rsid w:val="007C2BE7"/>
    <w:rsid w:val="007C5704"/>
    <w:rsid w:val="007C5C27"/>
    <w:rsid w:val="007D0134"/>
    <w:rsid w:val="007D02B2"/>
    <w:rsid w:val="007D435A"/>
    <w:rsid w:val="007D4D63"/>
    <w:rsid w:val="007E0411"/>
    <w:rsid w:val="007E23A8"/>
    <w:rsid w:val="007F1713"/>
    <w:rsid w:val="007F3168"/>
    <w:rsid w:val="007F552B"/>
    <w:rsid w:val="007F6C4C"/>
    <w:rsid w:val="00810172"/>
    <w:rsid w:val="0082453E"/>
    <w:rsid w:val="008251F3"/>
    <w:rsid w:val="008302CC"/>
    <w:rsid w:val="00830720"/>
    <w:rsid w:val="008372F1"/>
    <w:rsid w:val="008419B9"/>
    <w:rsid w:val="00842D3C"/>
    <w:rsid w:val="008469E4"/>
    <w:rsid w:val="00857501"/>
    <w:rsid w:val="00864F9C"/>
    <w:rsid w:val="008664C6"/>
    <w:rsid w:val="00866B9B"/>
    <w:rsid w:val="00871C2A"/>
    <w:rsid w:val="00883889"/>
    <w:rsid w:val="00883D6B"/>
    <w:rsid w:val="00884019"/>
    <w:rsid w:val="008856BB"/>
    <w:rsid w:val="0089191A"/>
    <w:rsid w:val="0089328D"/>
    <w:rsid w:val="00895C39"/>
    <w:rsid w:val="00896C6E"/>
    <w:rsid w:val="008A15A5"/>
    <w:rsid w:val="008B0C9F"/>
    <w:rsid w:val="008B1C54"/>
    <w:rsid w:val="008B35B4"/>
    <w:rsid w:val="008C3BD7"/>
    <w:rsid w:val="008D2159"/>
    <w:rsid w:val="008D4506"/>
    <w:rsid w:val="008E16D4"/>
    <w:rsid w:val="008E64A8"/>
    <w:rsid w:val="008F1404"/>
    <w:rsid w:val="008F2B1E"/>
    <w:rsid w:val="008F5EAE"/>
    <w:rsid w:val="008F72F0"/>
    <w:rsid w:val="00901187"/>
    <w:rsid w:val="009011A2"/>
    <w:rsid w:val="009011BD"/>
    <w:rsid w:val="00907A01"/>
    <w:rsid w:val="009163F5"/>
    <w:rsid w:val="00922243"/>
    <w:rsid w:val="0093585A"/>
    <w:rsid w:val="00941056"/>
    <w:rsid w:val="00942282"/>
    <w:rsid w:val="0094524C"/>
    <w:rsid w:val="00947D76"/>
    <w:rsid w:val="00950B99"/>
    <w:rsid w:val="00960815"/>
    <w:rsid w:val="00963291"/>
    <w:rsid w:val="009706A3"/>
    <w:rsid w:val="00972553"/>
    <w:rsid w:val="00990097"/>
    <w:rsid w:val="00993443"/>
    <w:rsid w:val="009936FD"/>
    <w:rsid w:val="009945E8"/>
    <w:rsid w:val="009976E6"/>
    <w:rsid w:val="009B7500"/>
    <w:rsid w:val="009C04ED"/>
    <w:rsid w:val="009D171C"/>
    <w:rsid w:val="009D74F8"/>
    <w:rsid w:val="009E342F"/>
    <w:rsid w:val="009F0E94"/>
    <w:rsid w:val="009F2E86"/>
    <w:rsid w:val="009F5C20"/>
    <w:rsid w:val="00A00400"/>
    <w:rsid w:val="00A00ADC"/>
    <w:rsid w:val="00A00CAC"/>
    <w:rsid w:val="00A06309"/>
    <w:rsid w:val="00A238E5"/>
    <w:rsid w:val="00A311BD"/>
    <w:rsid w:val="00A42718"/>
    <w:rsid w:val="00A42F8F"/>
    <w:rsid w:val="00A436E2"/>
    <w:rsid w:val="00A46B41"/>
    <w:rsid w:val="00A573E8"/>
    <w:rsid w:val="00A624F7"/>
    <w:rsid w:val="00A63BAA"/>
    <w:rsid w:val="00A8717A"/>
    <w:rsid w:val="00A90018"/>
    <w:rsid w:val="00A91D8E"/>
    <w:rsid w:val="00A9661E"/>
    <w:rsid w:val="00AB18E4"/>
    <w:rsid w:val="00AB70DE"/>
    <w:rsid w:val="00AB791B"/>
    <w:rsid w:val="00AC4AE6"/>
    <w:rsid w:val="00AE373E"/>
    <w:rsid w:val="00AE5716"/>
    <w:rsid w:val="00AF0BB1"/>
    <w:rsid w:val="00AF15BF"/>
    <w:rsid w:val="00AF1602"/>
    <w:rsid w:val="00AF3825"/>
    <w:rsid w:val="00AF63A7"/>
    <w:rsid w:val="00B0086B"/>
    <w:rsid w:val="00B061A3"/>
    <w:rsid w:val="00B17D41"/>
    <w:rsid w:val="00B208B5"/>
    <w:rsid w:val="00B214FE"/>
    <w:rsid w:val="00B25530"/>
    <w:rsid w:val="00B2688D"/>
    <w:rsid w:val="00B30614"/>
    <w:rsid w:val="00B31624"/>
    <w:rsid w:val="00B340F0"/>
    <w:rsid w:val="00B41185"/>
    <w:rsid w:val="00B4713E"/>
    <w:rsid w:val="00B52E35"/>
    <w:rsid w:val="00B55D50"/>
    <w:rsid w:val="00B603D0"/>
    <w:rsid w:val="00B66CF9"/>
    <w:rsid w:val="00B67744"/>
    <w:rsid w:val="00B73228"/>
    <w:rsid w:val="00B87180"/>
    <w:rsid w:val="00B95977"/>
    <w:rsid w:val="00BB0A86"/>
    <w:rsid w:val="00BB22B4"/>
    <w:rsid w:val="00BD29C8"/>
    <w:rsid w:val="00BD2CBA"/>
    <w:rsid w:val="00BD4F7C"/>
    <w:rsid w:val="00BD622E"/>
    <w:rsid w:val="00BE5424"/>
    <w:rsid w:val="00BF69BD"/>
    <w:rsid w:val="00C04340"/>
    <w:rsid w:val="00C12CC9"/>
    <w:rsid w:val="00C14E77"/>
    <w:rsid w:val="00C15D72"/>
    <w:rsid w:val="00C20D15"/>
    <w:rsid w:val="00C210B9"/>
    <w:rsid w:val="00C33451"/>
    <w:rsid w:val="00C400EC"/>
    <w:rsid w:val="00C40BFD"/>
    <w:rsid w:val="00C56DBB"/>
    <w:rsid w:val="00C64E6B"/>
    <w:rsid w:val="00C66054"/>
    <w:rsid w:val="00C70A5D"/>
    <w:rsid w:val="00C770CB"/>
    <w:rsid w:val="00C80010"/>
    <w:rsid w:val="00C80750"/>
    <w:rsid w:val="00C83FD1"/>
    <w:rsid w:val="00C84F47"/>
    <w:rsid w:val="00CA397A"/>
    <w:rsid w:val="00CA553D"/>
    <w:rsid w:val="00CB752E"/>
    <w:rsid w:val="00CC1AC0"/>
    <w:rsid w:val="00CC3BC1"/>
    <w:rsid w:val="00CC54BA"/>
    <w:rsid w:val="00CD597F"/>
    <w:rsid w:val="00CE1140"/>
    <w:rsid w:val="00CF6549"/>
    <w:rsid w:val="00D00067"/>
    <w:rsid w:val="00D006F7"/>
    <w:rsid w:val="00D0565B"/>
    <w:rsid w:val="00D061B9"/>
    <w:rsid w:val="00D10B99"/>
    <w:rsid w:val="00D12052"/>
    <w:rsid w:val="00D24B11"/>
    <w:rsid w:val="00D3479D"/>
    <w:rsid w:val="00D43970"/>
    <w:rsid w:val="00D523D7"/>
    <w:rsid w:val="00D54542"/>
    <w:rsid w:val="00D56F34"/>
    <w:rsid w:val="00D574F4"/>
    <w:rsid w:val="00D57DA2"/>
    <w:rsid w:val="00D61799"/>
    <w:rsid w:val="00D62901"/>
    <w:rsid w:val="00D678F1"/>
    <w:rsid w:val="00D737FF"/>
    <w:rsid w:val="00D7412E"/>
    <w:rsid w:val="00D77D9D"/>
    <w:rsid w:val="00D821D0"/>
    <w:rsid w:val="00D840CA"/>
    <w:rsid w:val="00D91861"/>
    <w:rsid w:val="00D931E9"/>
    <w:rsid w:val="00D95123"/>
    <w:rsid w:val="00DB3863"/>
    <w:rsid w:val="00DB3BEA"/>
    <w:rsid w:val="00DC0088"/>
    <w:rsid w:val="00DD059F"/>
    <w:rsid w:val="00DD3A4A"/>
    <w:rsid w:val="00DE0FBA"/>
    <w:rsid w:val="00DE3FF0"/>
    <w:rsid w:val="00DF50E9"/>
    <w:rsid w:val="00DF67B8"/>
    <w:rsid w:val="00E04E1E"/>
    <w:rsid w:val="00E10118"/>
    <w:rsid w:val="00E12AE3"/>
    <w:rsid w:val="00E26C7E"/>
    <w:rsid w:val="00E37812"/>
    <w:rsid w:val="00E40187"/>
    <w:rsid w:val="00E4519A"/>
    <w:rsid w:val="00E459CD"/>
    <w:rsid w:val="00E47887"/>
    <w:rsid w:val="00E60DC0"/>
    <w:rsid w:val="00E62C23"/>
    <w:rsid w:val="00E67984"/>
    <w:rsid w:val="00E71F0D"/>
    <w:rsid w:val="00E832FA"/>
    <w:rsid w:val="00E864D8"/>
    <w:rsid w:val="00E8779A"/>
    <w:rsid w:val="00E9696F"/>
    <w:rsid w:val="00EA4C32"/>
    <w:rsid w:val="00EA5A79"/>
    <w:rsid w:val="00EB0F3A"/>
    <w:rsid w:val="00EC33B4"/>
    <w:rsid w:val="00EC4445"/>
    <w:rsid w:val="00ED4E68"/>
    <w:rsid w:val="00ED752D"/>
    <w:rsid w:val="00EF4EA5"/>
    <w:rsid w:val="00EF5AB7"/>
    <w:rsid w:val="00F05418"/>
    <w:rsid w:val="00F05E5C"/>
    <w:rsid w:val="00F07BDE"/>
    <w:rsid w:val="00F213A5"/>
    <w:rsid w:val="00F226F4"/>
    <w:rsid w:val="00F25AEE"/>
    <w:rsid w:val="00F309FA"/>
    <w:rsid w:val="00F31740"/>
    <w:rsid w:val="00F32CE1"/>
    <w:rsid w:val="00F3759E"/>
    <w:rsid w:val="00F37B4E"/>
    <w:rsid w:val="00F37F79"/>
    <w:rsid w:val="00F4083E"/>
    <w:rsid w:val="00F416F8"/>
    <w:rsid w:val="00F43793"/>
    <w:rsid w:val="00F43EE0"/>
    <w:rsid w:val="00F4492E"/>
    <w:rsid w:val="00F516C0"/>
    <w:rsid w:val="00F544D0"/>
    <w:rsid w:val="00F558ED"/>
    <w:rsid w:val="00F70817"/>
    <w:rsid w:val="00F73F87"/>
    <w:rsid w:val="00F751E0"/>
    <w:rsid w:val="00F757E0"/>
    <w:rsid w:val="00F85DAB"/>
    <w:rsid w:val="00F86DAA"/>
    <w:rsid w:val="00F879C2"/>
    <w:rsid w:val="00F905BF"/>
    <w:rsid w:val="00F92A3D"/>
    <w:rsid w:val="00FA5D6C"/>
    <w:rsid w:val="00FB0E90"/>
    <w:rsid w:val="00FB2CA4"/>
    <w:rsid w:val="00FB39E9"/>
    <w:rsid w:val="00FC0187"/>
    <w:rsid w:val="00FD241B"/>
    <w:rsid w:val="00FE0C8B"/>
    <w:rsid w:val="00FE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FD5B0"/>
  <w15:docId w15:val="{8F37C054-5914-4984-876C-55BB760F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37BD"/>
    <w:rPr>
      <w:rFonts w:ascii="Tahoma" w:hAnsi="Tahoma" w:cs="Tahoma"/>
      <w:sz w:val="16"/>
      <w:szCs w:val="16"/>
    </w:rPr>
  </w:style>
  <w:style w:type="paragraph" w:styleId="Header">
    <w:name w:val="header"/>
    <w:basedOn w:val="Normal"/>
    <w:rsid w:val="00290FCB"/>
    <w:pPr>
      <w:tabs>
        <w:tab w:val="center" w:pos="4320"/>
        <w:tab w:val="right" w:pos="8640"/>
      </w:tabs>
    </w:pPr>
  </w:style>
  <w:style w:type="paragraph" w:styleId="Footer">
    <w:name w:val="footer"/>
    <w:basedOn w:val="Normal"/>
    <w:rsid w:val="00290FCB"/>
    <w:pPr>
      <w:tabs>
        <w:tab w:val="center" w:pos="4320"/>
        <w:tab w:val="right" w:pos="8640"/>
      </w:tabs>
    </w:pPr>
  </w:style>
  <w:style w:type="table" w:styleId="TableElegant">
    <w:name w:val="Table Elegant"/>
    <w:basedOn w:val="TableNormal"/>
    <w:rsid w:val="005C12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274239"/>
    <w:pPr>
      <w:autoSpaceDE w:val="0"/>
      <w:autoSpaceDN w:val="0"/>
      <w:adjustRightInd w:val="0"/>
    </w:pPr>
    <w:rPr>
      <w:color w:val="000000"/>
      <w:sz w:val="24"/>
      <w:szCs w:val="24"/>
    </w:rPr>
  </w:style>
  <w:style w:type="character" w:styleId="Hyperlink">
    <w:name w:val="Hyperlink"/>
    <w:rsid w:val="00AF1602"/>
    <w:rPr>
      <w:color w:val="0000FF"/>
      <w:u w:val="single"/>
    </w:rPr>
  </w:style>
  <w:style w:type="character" w:styleId="CommentReference">
    <w:name w:val="annotation reference"/>
    <w:semiHidden/>
    <w:rsid w:val="001B69FF"/>
    <w:rPr>
      <w:sz w:val="16"/>
      <w:szCs w:val="16"/>
    </w:rPr>
  </w:style>
  <w:style w:type="paragraph" w:styleId="CommentText">
    <w:name w:val="annotation text"/>
    <w:basedOn w:val="Normal"/>
    <w:semiHidden/>
    <w:rsid w:val="001B69FF"/>
    <w:rPr>
      <w:sz w:val="20"/>
      <w:szCs w:val="20"/>
    </w:rPr>
  </w:style>
  <w:style w:type="paragraph" w:styleId="CommentSubject">
    <w:name w:val="annotation subject"/>
    <w:basedOn w:val="CommentText"/>
    <w:next w:val="CommentText"/>
    <w:semiHidden/>
    <w:rsid w:val="001B69FF"/>
    <w:rPr>
      <w:b/>
      <w:bCs/>
    </w:rPr>
  </w:style>
  <w:style w:type="character" w:styleId="Strong">
    <w:name w:val="Strong"/>
    <w:uiPriority w:val="22"/>
    <w:qFormat/>
    <w:rsid w:val="00F309FA"/>
    <w:rPr>
      <w:b/>
      <w:bCs/>
    </w:rPr>
  </w:style>
  <w:style w:type="paragraph" w:styleId="NormalWeb">
    <w:name w:val="Normal (Web)"/>
    <w:basedOn w:val="Normal"/>
    <w:uiPriority w:val="99"/>
    <w:unhideWhenUsed/>
    <w:rsid w:val="00F309FA"/>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7528">
      <w:bodyDiv w:val="1"/>
      <w:marLeft w:val="0"/>
      <w:marRight w:val="0"/>
      <w:marTop w:val="0"/>
      <w:marBottom w:val="0"/>
      <w:divBdr>
        <w:top w:val="none" w:sz="0" w:space="0" w:color="auto"/>
        <w:left w:val="none" w:sz="0" w:space="0" w:color="auto"/>
        <w:bottom w:val="none" w:sz="0" w:space="0" w:color="auto"/>
        <w:right w:val="none" w:sz="0" w:space="0" w:color="auto"/>
      </w:divBdr>
      <w:divsChild>
        <w:div w:id="1353799943">
          <w:marLeft w:val="0"/>
          <w:marRight w:val="0"/>
          <w:marTop w:val="0"/>
          <w:marBottom w:val="0"/>
          <w:divBdr>
            <w:top w:val="none" w:sz="0" w:space="0" w:color="auto"/>
            <w:left w:val="none" w:sz="0" w:space="0" w:color="auto"/>
            <w:bottom w:val="none" w:sz="0" w:space="0" w:color="auto"/>
            <w:right w:val="none" w:sz="0" w:space="0" w:color="auto"/>
          </w:divBdr>
          <w:divsChild>
            <w:div w:id="262153896">
              <w:marLeft w:val="0"/>
              <w:marRight w:val="0"/>
              <w:marTop w:val="0"/>
              <w:marBottom w:val="0"/>
              <w:divBdr>
                <w:top w:val="none" w:sz="0" w:space="0" w:color="auto"/>
                <w:left w:val="none" w:sz="0" w:space="0" w:color="auto"/>
                <w:bottom w:val="none" w:sz="0" w:space="0" w:color="auto"/>
                <w:right w:val="none" w:sz="0" w:space="0" w:color="auto"/>
              </w:divBdr>
            </w:div>
            <w:div w:id="309987470">
              <w:marLeft w:val="0"/>
              <w:marRight w:val="0"/>
              <w:marTop w:val="0"/>
              <w:marBottom w:val="0"/>
              <w:divBdr>
                <w:top w:val="none" w:sz="0" w:space="0" w:color="auto"/>
                <w:left w:val="none" w:sz="0" w:space="0" w:color="auto"/>
                <w:bottom w:val="none" w:sz="0" w:space="0" w:color="auto"/>
                <w:right w:val="none" w:sz="0" w:space="0" w:color="auto"/>
              </w:divBdr>
            </w:div>
            <w:div w:id="822309218">
              <w:marLeft w:val="0"/>
              <w:marRight w:val="0"/>
              <w:marTop w:val="0"/>
              <w:marBottom w:val="0"/>
              <w:divBdr>
                <w:top w:val="none" w:sz="0" w:space="0" w:color="auto"/>
                <w:left w:val="none" w:sz="0" w:space="0" w:color="auto"/>
                <w:bottom w:val="none" w:sz="0" w:space="0" w:color="auto"/>
                <w:right w:val="none" w:sz="0" w:space="0" w:color="auto"/>
              </w:divBdr>
            </w:div>
            <w:div w:id="919829323">
              <w:marLeft w:val="0"/>
              <w:marRight w:val="0"/>
              <w:marTop w:val="0"/>
              <w:marBottom w:val="0"/>
              <w:divBdr>
                <w:top w:val="none" w:sz="0" w:space="0" w:color="auto"/>
                <w:left w:val="none" w:sz="0" w:space="0" w:color="auto"/>
                <w:bottom w:val="none" w:sz="0" w:space="0" w:color="auto"/>
                <w:right w:val="none" w:sz="0" w:space="0" w:color="auto"/>
              </w:divBdr>
            </w:div>
            <w:div w:id="15097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348">
      <w:bodyDiv w:val="1"/>
      <w:marLeft w:val="0"/>
      <w:marRight w:val="0"/>
      <w:marTop w:val="0"/>
      <w:marBottom w:val="0"/>
      <w:divBdr>
        <w:top w:val="none" w:sz="0" w:space="0" w:color="auto"/>
        <w:left w:val="none" w:sz="0" w:space="0" w:color="auto"/>
        <w:bottom w:val="none" w:sz="0" w:space="0" w:color="auto"/>
        <w:right w:val="none" w:sz="0" w:space="0" w:color="auto"/>
      </w:divBdr>
    </w:div>
    <w:div w:id="643857192">
      <w:bodyDiv w:val="1"/>
      <w:marLeft w:val="0"/>
      <w:marRight w:val="0"/>
      <w:marTop w:val="0"/>
      <w:marBottom w:val="0"/>
      <w:divBdr>
        <w:top w:val="none" w:sz="0" w:space="0" w:color="auto"/>
        <w:left w:val="none" w:sz="0" w:space="0" w:color="auto"/>
        <w:bottom w:val="none" w:sz="0" w:space="0" w:color="auto"/>
        <w:right w:val="none" w:sz="0" w:space="0" w:color="auto"/>
      </w:divBdr>
      <w:divsChild>
        <w:div w:id="6640227">
          <w:marLeft w:val="0"/>
          <w:marRight w:val="0"/>
          <w:marTop w:val="0"/>
          <w:marBottom w:val="0"/>
          <w:divBdr>
            <w:top w:val="none" w:sz="0" w:space="0" w:color="auto"/>
            <w:left w:val="none" w:sz="0" w:space="0" w:color="auto"/>
            <w:bottom w:val="none" w:sz="0" w:space="0" w:color="auto"/>
            <w:right w:val="none" w:sz="0" w:space="0" w:color="auto"/>
          </w:divBdr>
        </w:div>
        <w:div w:id="26756748">
          <w:marLeft w:val="0"/>
          <w:marRight w:val="0"/>
          <w:marTop w:val="0"/>
          <w:marBottom w:val="0"/>
          <w:divBdr>
            <w:top w:val="none" w:sz="0" w:space="0" w:color="auto"/>
            <w:left w:val="none" w:sz="0" w:space="0" w:color="auto"/>
            <w:bottom w:val="none" w:sz="0" w:space="0" w:color="auto"/>
            <w:right w:val="none" w:sz="0" w:space="0" w:color="auto"/>
          </w:divBdr>
        </w:div>
        <w:div w:id="163590684">
          <w:marLeft w:val="0"/>
          <w:marRight w:val="0"/>
          <w:marTop w:val="0"/>
          <w:marBottom w:val="0"/>
          <w:divBdr>
            <w:top w:val="none" w:sz="0" w:space="0" w:color="auto"/>
            <w:left w:val="none" w:sz="0" w:space="0" w:color="auto"/>
            <w:bottom w:val="none" w:sz="0" w:space="0" w:color="auto"/>
            <w:right w:val="none" w:sz="0" w:space="0" w:color="auto"/>
          </w:divBdr>
        </w:div>
        <w:div w:id="195117417">
          <w:marLeft w:val="0"/>
          <w:marRight w:val="0"/>
          <w:marTop w:val="0"/>
          <w:marBottom w:val="0"/>
          <w:divBdr>
            <w:top w:val="none" w:sz="0" w:space="0" w:color="auto"/>
            <w:left w:val="none" w:sz="0" w:space="0" w:color="auto"/>
            <w:bottom w:val="none" w:sz="0" w:space="0" w:color="auto"/>
            <w:right w:val="none" w:sz="0" w:space="0" w:color="auto"/>
          </w:divBdr>
        </w:div>
        <w:div w:id="219634671">
          <w:marLeft w:val="0"/>
          <w:marRight w:val="0"/>
          <w:marTop w:val="0"/>
          <w:marBottom w:val="0"/>
          <w:divBdr>
            <w:top w:val="none" w:sz="0" w:space="0" w:color="auto"/>
            <w:left w:val="none" w:sz="0" w:space="0" w:color="auto"/>
            <w:bottom w:val="none" w:sz="0" w:space="0" w:color="auto"/>
            <w:right w:val="none" w:sz="0" w:space="0" w:color="auto"/>
          </w:divBdr>
        </w:div>
        <w:div w:id="244653150">
          <w:marLeft w:val="0"/>
          <w:marRight w:val="0"/>
          <w:marTop w:val="0"/>
          <w:marBottom w:val="0"/>
          <w:divBdr>
            <w:top w:val="none" w:sz="0" w:space="0" w:color="auto"/>
            <w:left w:val="none" w:sz="0" w:space="0" w:color="auto"/>
            <w:bottom w:val="none" w:sz="0" w:space="0" w:color="auto"/>
            <w:right w:val="none" w:sz="0" w:space="0" w:color="auto"/>
          </w:divBdr>
        </w:div>
        <w:div w:id="326710008">
          <w:marLeft w:val="0"/>
          <w:marRight w:val="0"/>
          <w:marTop w:val="0"/>
          <w:marBottom w:val="0"/>
          <w:divBdr>
            <w:top w:val="none" w:sz="0" w:space="0" w:color="auto"/>
            <w:left w:val="none" w:sz="0" w:space="0" w:color="auto"/>
            <w:bottom w:val="none" w:sz="0" w:space="0" w:color="auto"/>
            <w:right w:val="none" w:sz="0" w:space="0" w:color="auto"/>
          </w:divBdr>
        </w:div>
        <w:div w:id="387847949">
          <w:marLeft w:val="0"/>
          <w:marRight w:val="0"/>
          <w:marTop w:val="0"/>
          <w:marBottom w:val="0"/>
          <w:divBdr>
            <w:top w:val="none" w:sz="0" w:space="0" w:color="auto"/>
            <w:left w:val="none" w:sz="0" w:space="0" w:color="auto"/>
            <w:bottom w:val="none" w:sz="0" w:space="0" w:color="auto"/>
            <w:right w:val="none" w:sz="0" w:space="0" w:color="auto"/>
          </w:divBdr>
        </w:div>
        <w:div w:id="720398280">
          <w:marLeft w:val="0"/>
          <w:marRight w:val="0"/>
          <w:marTop w:val="0"/>
          <w:marBottom w:val="0"/>
          <w:divBdr>
            <w:top w:val="none" w:sz="0" w:space="0" w:color="auto"/>
            <w:left w:val="none" w:sz="0" w:space="0" w:color="auto"/>
            <w:bottom w:val="none" w:sz="0" w:space="0" w:color="auto"/>
            <w:right w:val="none" w:sz="0" w:space="0" w:color="auto"/>
          </w:divBdr>
        </w:div>
        <w:div w:id="768742575">
          <w:marLeft w:val="0"/>
          <w:marRight w:val="0"/>
          <w:marTop w:val="0"/>
          <w:marBottom w:val="0"/>
          <w:divBdr>
            <w:top w:val="none" w:sz="0" w:space="0" w:color="auto"/>
            <w:left w:val="none" w:sz="0" w:space="0" w:color="auto"/>
            <w:bottom w:val="none" w:sz="0" w:space="0" w:color="auto"/>
            <w:right w:val="none" w:sz="0" w:space="0" w:color="auto"/>
          </w:divBdr>
        </w:div>
        <w:div w:id="1110318598">
          <w:marLeft w:val="0"/>
          <w:marRight w:val="0"/>
          <w:marTop w:val="0"/>
          <w:marBottom w:val="0"/>
          <w:divBdr>
            <w:top w:val="none" w:sz="0" w:space="0" w:color="auto"/>
            <w:left w:val="none" w:sz="0" w:space="0" w:color="auto"/>
            <w:bottom w:val="none" w:sz="0" w:space="0" w:color="auto"/>
            <w:right w:val="none" w:sz="0" w:space="0" w:color="auto"/>
          </w:divBdr>
        </w:div>
        <w:div w:id="1171607948">
          <w:marLeft w:val="0"/>
          <w:marRight w:val="0"/>
          <w:marTop w:val="0"/>
          <w:marBottom w:val="0"/>
          <w:divBdr>
            <w:top w:val="none" w:sz="0" w:space="0" w:color="auto"/>
            <w:left w:val="none" w:sz="0" w:space="0" w:color="auto"/>
            <w:bottom w:val="none" w:sz="0" w:space="0" w:color="auto"/>
            <w:right w:val="none" w:sz="0" w:space="0" w:color="auto"/>
          </w:divBdr>
        </w:div>
        <w:div w:id="1328362871">
          <w:marLeft w:val="0"/>
          <w:marRight w:val="0"/>
          <w:marTop w:val="0"/>
          <w:marBottom w:val="0"/>
          <w:divBdr>
            <w:top w:val="none" w:sz="0" w:space="0" w:color="auto"/>
            <w:left w:val="none" w:sz="0" w:space="0" w:color="auto"/>
            <w:bottom w:val="none" w:sz="0" w:space="0" w:color="auto"/>
            <w:right w:val="none" w:sz="0" w:space="0" w:color="auto"/>
          </w:divBdr>
        </w:div>
        <w:div w:id="1372152338">
          <w:marLeft w:val="0"/>
          <w:marRight w:val="0"/>
          <w:marTop w:val="0"/>
          <w:marBottom w:val="0"/>
          <w:divBdr>
            <w:top w:val="none" w:sz="0" w:space="0" w:color="auto"/>
            <w:left w:val="none" w:sz="0" w:space="0" w:color="auto"/>
            <w:bottom w:val="none" w:sz="0" w:space="0" w:color="auto"/>
            <w:right w:val="none" w:sz="0" w:space="0" w:color="auto"/>
          </w:divBdr>
        </w:div>
        <w:div w:id="1517816207">
          <w:marLeft w:val="0"/>
          <w:marRight w:val="0"/>
          <w:marTop w:val="0"/>
          <w:marBottom w:val="0"/>
          <w:divBdr>
            <w:top w:val="none" w:sz="0" w:space="0" w:color="auto"/>
            <w:left w:val="none" w:sz="0" w:space="0" w:color="auto"/>
            <w:bottom w:val="none" w:sz="0" w:space="0" w:color="auto"/>
            <w:right w:val="none" w:sz="0" w:space="0" w:color="auto"/>
          </w:divBdr>
        </w:div>
        <w:div w:id="1849053000">
          <w:marLeft w:val="0"/>
          <w:marRight w:val="0"/>
          <w:marTop w:val="0"/>
          <w:marBottom w:val="0"/>
          <w:divBdr>
            <w:top w:val="none" w:sz="0" w:space="0" w:color="auto"/>
            <w:left w:val="none" w:sz="0" w:space="0" w:color="auto"/>
            <w:bottom w:val="none" w:sz="0" w:space="0" w:color="auto"/>
            <w:right w:val="none" w:sz="0" w:space="0" w:color="auto"/>
          </w:divBdr>
        </w:div>
        <w:div w:id="1913852430">
          <w:marLeft w:val="0"/>
          <w:marRight w:val="0"/>
          <w:marTop w:val="0"/>
          <w:marBottom w:val="0"/>
          <w:divBdr>
            <w:top w:val="none" w:sz="0" w:space="0" w:color="auto"/>
            <w:left w:val="none" w:sz="0" w:space="0" w:color="auto"/>
            <w:bottom w:val="none" w:sz="0" w:space="0" w:color="auto"/>
            <w:right w:val="none" w:sz="0" w:space="0" w:color="auto"/>
          </w:divBdr>
        </w:div>
        <w:div w:id="2000035893">
          <w:marLeft w:val="0"/>
          <w:marRight w:val="0"/>
          <w:marTop w:val="0"/>
          <w:marBottom w:val="0"/>
          <w:divBdr>
            <w:top w:val="none" w:sz="0" w:space="0" w:color="auto"/>
            <w:left w:val="none" w:sz="0" w:space="0" w:color="auto"/>
            <w:bottom w:val="none" w:sz="0" w:space="0" w:color="auto"/>
            <w:right w:val="none" w:sz="0" w:space="0" w:color="auto"/>
          </w:divBdr>
        </w:div>
        <w:div w:id="2043247041">
          <w:marLeft w:val="0"/>
          <w:marRight w:val="0"/>
          <w:marTop w:val="0"/>
          <w:marBottom w:val="0"/>
          <w:divBdr>
            <w:top w:val="none" w:sz="0" w:space="0" w:color="auto"/>
            <w:left w:val="none" w:sz="0" w:space="0" w:color="auto"/>
            <w:bottom w:val="none" w:sz="0" w:space="0" w:color="auto"/>
            <w:right w:val="none" w:sz="0" w:space="0" w:color="auto"/>
          </w:divBdr>
        </w:div>
      </w:divsChild>
    </w:div>
    <w:div w:id="725299641">
      <w:bodyDiv w:val="1"/>
      <w:marLeft w:val="0"/>
      <w:marRight w:val="0"/>
      <w:marTop w:val="0"/>
      <w:marBottom w:val="0"/>
      <w:divBdr>
        <w:top w:val="none" w:sz="0" w:space="0" w:color="auto"/>
        <w:left w:val="none" w:sz="0" w:space="0" w:color="auto"/>
        <w:bottom w:val="none" w:sz="0" w:space="0" w:color="auto"/>
        <w:right w:val="none" w:sz="0" w:space="0" w:color="auto"/>
      </w:divBdr>
      <w:divsChild>
        <w:div w:id="87314292">
          <w:marLeft w:val="0"/>
          <w:marRight w:val="0"/>
          <w:marTop w:val="0"/>
          <w:marBottom w:val="0"/>
          <w:divBdr>
            <w:top w:val="none" w:sz="0" w:space="0" w:color="auto"/>
            <w:left w:val="none" w:sz="0" w:space="0" w:color="auto"/>
            <w:bottom w:val="none" w:sz="0" w:space="0" w:color="auto"/>
            <w:right w:val="none" w:sz="0" w:space="0" w:color="auto"/>
          </w:divBdr>
          <w:divsChild>
            <w:div w:id="763647439">
              <w:marLeft w:val="0"/>
              <w:marRight w:val="0"/>
              <w:marTop w:val="0"/>
              <w:marBottom w:val="0"/>
              <w:divBdr>
                <w:top w:val="none" w:sz="0" w:space="0" w:color="auto"/>
                <w:left w:val="none" w:sz="0" w:space="0" w:color="auto"/>
                <w:bottom w:val="none" w:sz="0" w:space="0" w:color="auto"/>
                <w:right w:val="none" w:sz="0" w:space="0" w:color="auto"/>
              </w:divBdr>
            </w:div>
            <w:div w:id="1330518014">
              <w:marLeft w:val="0"/>
              <w:marRight w:val="0"/>
              <w:marTop w:val="0"/>
              <w:marBottom w:val="0"/>
              <w:divBdr>
                <w:top w:val="none" w:sz="0" w:space="0" w:color="auto"/>
                <w:left w:val="none" w:sz="0" w:space="0" w:color="auto"/>
                <w:bottom w:val="none" w:sz="0" w:space="0" w:color="auto"/>
                <w:right w:val="none" w:sz="0" w:space="0" w:color="auto"/>
              </w:divBdr>
            </w:div>
            <w:div w:id="13617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8636">
      <w:bodyDiv w:val="1"/>
      <w:marLeft w:val="0"/>
      <w:marRight w:val="0"/>
      <w:marTop w:val="0"/>
      <w:marBottom w:val="0"/>
      <w:divBdr>
        <w:top w:val="none" w:sz="0" w:space="0" w:color="auto"/>
        <w:left w:val="none" w:sz="0" w:space="0" w:color="auto"/>
        <w:bottom w:val="none" w:sz="0" w:space="0" w:color="auto"/>
        <w:right w:val="none" w:sz="0" w:space="0" w:color="auto"/>
      </w:divBdr>
      <w:divsChild>
        <w:div w:id="356197491">
          <w:marLeft w:val="0"/>
          <w:marRight w:val="0"/>
          <w:marTop w:val="0"/>
          <w:marBottom w:val="0"/>
          <w:divBdr>
            <w:top w:val="none" w:sz="0" w:space="0" w:color="auto"/>
            <w:left w:val="none" w:sz="0" w:space="0" w:color="auto"/>
            <w:bottom w:val="none" w:sz="0" w:space="0" w:color="auto"/>
            <w:right w:val="none" w:sz="0" w:space="0" w:color="auto"/>
          </w:divBdr>
          <w:divsChild>
            <w:div w:id="306861560">
              <w:marLeft w:val="0"/>
              <w:marRight w:val="0"/>
              <w:marTop w:val="0"/>
              <w:marBottom w:val="0"/>
              <w:divBdr>
                <w:top w:val="none" w:sz="0" w:space="0" w:color="auto"/>
                <w:left w:val="none" w:sz="0" w:space="0" w:color="auto"/>
                <w:bottom w:val="none" w:sz="0" w:space="0" w:color="auto"/>
                <w:right w:val="none" w:sz="0" w:space="0" w:color="auto"/>
              </w:divBdr>
            </w:div>
            <w:div w:id="467285030">
              <w:marLeft w:val="0"/>
              <w:marRight w:val="0"/>
              <w:marTop w:val="0"/>
              <w:marBottom w:val="0"/>
              <w:divBdr>
                <w:top w:val="none" w:sz="0" w:space="0" w:color="auto"/>
                <w:left w:val="none" w:sz="0" w:space="0" w:color="auto"/>
                <w:bottom w:val="none" w:sz="0" w:space="0" w:color="auto"/>
                <w:right w:val="none" w:sz="0" w:space="0" w:color="auto"/>
              </w:divBdr>
            </w:div>
            <w:div w:id="994604982">
              <w:marLeft w:val="0"/>
              <w:marRight w:val="0"/>
              <w:marTop w:val="0"/>
              <w:marBottom w:val="0"/>
              <w:divBdr>
                <w:top w:val="none" w:sz="0" w:space="0" w:color="auto"/>
                <w:left w:val="none" w:sz="0" w:space="0" w:color="auto"/>
                <w:bottom w:val="none" w:sz="0" w:space="0" w:color="auto"/>
                <w:right w:val="none" w:sz="0" w:space="0" w:color="auto"/>
              </w:divBdr>
            </w:div>
            <w:div w:id="1064374030">
              <w:marLeft w:val="0"/>
              <w:marRight w:val="0"/>
              <w:marTop w:val="0"/>
              <w:marBottom w:val="0"/>
              <w:divBdr>
                <w:top w:val="none" w:sz="0" w:space="0" w:color="auto"/>
                <w:left w:val="none" w:sz="0" w:space="0" w:color="auto"/>
                <w:bottom w:val="none" w:sz="0" w:space="0" w:color="auto"/>
                <w:right w:val="none" w:sz="0" w:space="0" w:color="auto"/>
              </w:divBdr>
            </w:div>
            <w:div w:id="19470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0453">
      <w:bodyDiv w:val="1"/>
      <w:marLeft w:val="0"/>
      <w:marRight w:val="0"/>
      <w:marTop w:val="0"/>
      <w:marBottom w:val="0"/>
      <w:divBdr>
        <w:top w:val="none" w:sz="0" w:space="0" w:color="auto"/>
        <w:left w:val="none" w:sz="0" w:space="0" w:color="auto"/>
        <w:bottom w:val="none" w:sz="0" w:space="0" w:color="auto"/>
        <w:right w:val="none" w:sz="0" w:space="0" w:color="auto"/>
      </w:divBdr>
      <w:divsChild>
        <w:div w:id="688604367">
          <w:marLeft w:val="0"/>
          <w:marRight w:val="0"/>
          <w:marTop w:val="0"/>
          <w:marBottom w:val="0"/>
          <w:divBdr>
            <w:top w:val="none" w:sz="0" w:space="0" w:color="auto"/>
            <w:left w:val="none" w:sz="0" w:space="0" w:color="auto"/>
            <w:bottom w:val="none" w:sz="0" w:space="0" w:color="auto"/>
            <w:right w:val="none" w:sz="0" w:space="0" w:color="auto"/>
          </w:divBdr>
          <w:divsChild>
            <w:div w:id="1154756229">
              <w:marLeft w:val="0"/>
              <w:marRight w:val="0"/>
              <w:marTop w:val="0"/>
              <w:marBottom w:val="0"/>
              <w:divBdr>
                <w:top w:val="none" w:sz="0" w:space="0" w:color="auto"/>
                <w:left w:val="none" w:sz="0" w:space="0" w:color="auto"/>
                <w:bottom w:val="none" w:sz="0" w:space="0" w:color="auto"/>
                <w:right w:val="none" w:sz="0" w:space="0" w:color="auto"/>
              </w:divBdr>
            </w:div>
            <w:div w:id="1601376567">
              <w:marLeft w:val="0"/>
              <w:marRight w:val="0"/>
              <w:marTop w:val="0"/>
              <w:marBottom w:val="0"/>
              <w:divBdr>
                <w:top w:val="none" w:sz="0" w:space="0" w:color="auto"/>
                <w:left w:val="none" w:sz="0" w:space="0" w:color="auto"/>
                <w:bottom w:val="none" w:sz="0" w:space="0" w:color="auto"/>
                <w:right w:val="none" w:sz="0" w:space="0" w:color="auto"/>
              </w:divBdr>
            </w:div>
            <w:div w:id="187021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0339">
      <w:bodyDiv w:val="1"/>
      <w:marLeft w:val="0"/>
      <w:marRight w:val="0"/>
      <w:marTop w:val="0"/>
      <w:marBottom w:val="0"/>
      <w:divBdr>
        <w:top w:val="none" w:sz="0" w:space="0" w:color="auto"/>
        <w:left w:val="none" w:sz="0" w:space="0" w:color="auto"/>
        <w:bottom w:val="none" w:sz="0" w:space="0" w:color="auto"/>
        <w:right w:val="none" w:sz="0" w:space="0" w:color="auto"/>
      </w:divBdr>
      <w:divsChild>
        <w:div w:id="815414152">
          <w:marLeft w:val="0"/>
          <w:marRight w:val="0"/>
          <w:marTop w:val="0"/>
          <w:marBottom w:val="0"/>
          <w:divBdr>
            <w:top w:val="none" w:sz="0" w:space="0" w:color="auto"/>
            <w:left w:val="none" w:sz="0" w:space="0" w:color="auto"/>
            <w:bottom w:val="none" w:sz="0" w:space="0" w:color="auto"/>
            <w:right w:val="none" w:sz="0" w:space="0" w:color="auto"/>
          </w:divBdr>
          <w:divsChild>
            <w:div w:id="186142613">
              <w:marLeft w:val="0"/>
              <w:marRight w:val="0"/>
              <w:marTop w:val="0"/>
              <w:marBottom w:val="0"/>
              <w:divBdr>
                <w:top w:val="none" w:sz="0" w:space="0" w:color="auto"/>
                <w:left w:val="none" w:sz="0" w:space="0" w:color="auto"/>
                <w:bottom w:val="none" w:sz="0" w:space="0" w:color="auto"/>
                <w:right w:val="none" w:sz="0" w:space="0" w:color="auto"/>
              </w:divBdr>
            </w:div>
            <w:div w:id="573317634">
              <w:marLeft w:val="0"/>
              <w:marRight w:val="0"/>
              <w:marTop w:val="0"/>
              <w:marBottom w:val="0"/>
              <w:divBdr>
                <w:top w:val="none" w:sz="0" w:space="0" w:color="auto"/>
                <w:left w:val="none" w:sz="0" w:space="0" w:color="auto"/>
                <w:bottom w:val="none" w:sz="0" w:space="0" w:color="auto"/>
                <w:right w:val="none" w:sz="0" w:space="0" w:color="auto"/>
              </w:divBdr>
            </w:div>
            <w:div w:id="789276656">
              <w:marLeft w:val="0"/>
              <w:marRight w:val="0"/>
              <w:marTop w:val="0"/>
              <w:marBottom w:val="0"/>
              <w:divBdr>
                <w:top w:val="none" w:sz="0" w:space="0" w:color="auto"/>
                <w:left w:val="none" w:sz="0" w:space="0" w:color="auto"/>
                <w:bottom w:val="none" w:sz="0" w:space="0" w:color="auto"/>
                <w:right w:val="none" w:sz="0" w:space="0" w:color="auto"/>
              </w:divBdr>
            </w:div>
            <w:div w:id="1181551396">
              <w:marLeft w:val="0"/>
              <w:marRight w:val="0"/>
              <w:marTop w:val="0"/>
              <w:marBottom w:val="0"/>
              <w:divBdr>
                <w:top w:val="none" w:sz="0" w:space="0" w:color="auto"/>
                <w:left w:val="none" w:sz="0" w:space="0" w:color="auto"/>
                <w:bottom w:val="none" w:sz="0" w:space="0" w:color="auto"/>
                <w:right w:val="none" w:sz="0" w:space="0" w:color="auto"/>
              </w:divBdr>
            </w:div>
            <w:div w:id="1763909870">
              <w:marLeft w:val="0"/>
              <w:marRight w:val="0"/>
              <w:marTop w:val="0"/>
              <w:marBottom w:val="0"/>
              <w:divBdr>
                <w:top w:val="none" w:sz="0" w:space="0" w:color="auto"/>
                <w:left w:val="none" w:sz="0" w:space="0" w:color="auto"/>
                <w:bottom w:val="none" w:sz="0" w:space="0" w:color="auto"/>
                <w:right w:val="none" w:sz="0" w:space="0" w:color="auto"/>
              </w:divBdr>
            </w:div>
            <w:div w:id="21086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ss.gov/dph/tick" TargetMode="External"/><Relationship Id="rId4" Type="http://schemas.openxmlformats.org/officeDocument/2006/relationships/settings" Target="settings.xml"/><Relationship Id="rId9" Type="http://schemas.openxmlformats.org/officeDocument/2006/relationships/hyperlink" Target="http://www.mass.gov/dph/tick" TargetMode="Externa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7B94-D630-4E28-80B9-F4439820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HGA Surveillance in Massachusetts, 2017</vt:lpstr>
    </vt:vector>
  </TitlesOfParts>
  <Company>Department of Public Health</Company>
  <LinksUpToDate>false</LinksUpToDate>
  <CharactersWithSpaces>747</CharactersWithSpaces>
  <SharedDoc>false</SharedDoc>
  <HLinks>
    <vt:vector size="6" baseType="variant">
      <vt:variant>
        <vt:i4>393288</vt:i4>
      </vt:variant>
      <vt:variant>
        <vt:i4>0</vt:i4>
      </vt:variant>
      <vt:variant>
        <vt:i4>0</vt:i4>
      </vt:variant>
      <vt:variant>
        <vt:i4>5</vt:i4>
      </vt:variant>
      <vt:variant>
        <vt:lpwstr>http://www.mass.gov/dph/tick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HGA Surveillance in Massachusetts, 2017</dc:title>
  <dc:creator>SSoliva</dc:creator>
  <cp:keywords>HGA;Massachusetts</cp:keywords>
  <cp:lastModifiedBy>Brown, Catherine (DPH)</cp:lastModifiedBy>
  <cp:revision>3</cp:revision>
  <cp:lastPrinted>2016-04-22T14:45:00Z</cp:lastPrinted>
  <dcterms:created xsi:type="dcterms:W3CDTF">2020-06-14T21:14:00Z</dcterms:created>
  <dcterms:modified xsi:type="dcterms:W3CDTF">2020-06-14T21:24:00Z</dcterms:modified>
</cp:coreProperties>
</file>