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25" w:rsidRPr="00295F1A" w:rsidRDefault="002C0DBF" w:rsidP="00A35925">
      <w:pPr>
        <w:pStyle w:val="Heading1"/>
        <w:rPr>
          <w:bCs/>
        </w:rPr>
      </w:pPr>
      <w:r>
        <w:rPr>
          <w:noProof/>
          <w:lang w:eastAsia="zh-TW"/>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5943600" cy="8229600"/>
                <wp:effectExtent l="9525" t="9525" r="9525" b="952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FD51D9" w:rsidRDefault="00FD51D9" w:rsidP="00A35925">
                            <w:pPr>
                              <w:jc w:val="center"/>
                              <w:rPr>
                                <w:b/>
                                <w:sz w:val="36"/>
                              </w:rPr>
                            </w:pPr>
                          </w:p>
                          <w:p w:rsidR="00FD51D9" w:rsidRDefault="00FD51D9" w:rsidP="00A35925">
                            <w:pPr>
                              <w:jc w:val="center"/>
                              <w:rPr>
                                <w:b/>
                                <w:sz w:val="36"/>
                              </w:rPr>
                            </w:pPr>
                          </w:p>
                          <w:p w:rsidR="00FD51D9" w:rsidRPr="002D735D" w:rsidRDefault="00FD51D9" w:rsidP="00A35925">
                            <w:pPr>
                              <w:jc w:val="center"/>
                              <w:rPr>
                                <w:b/>
                                <w:sz w:val="36"/>
                              </w:rPr>
                            </w:pPr>
                            <w:r w:rsidRPr="002D735D">
                              <w:rPr>
                                <w:b/>
                                <w:sz w:val="36"/>
                              </w:rPr>
                              <w:t>INDOOR AIR QUALITY ASSESSMENT</w:t>
                            </w:r>
                          </w:p>
                          <w:p w:rsidR="00FD51D9" w:rsidRPr="002D735D" w:rsidRDefault="00FD51D9" w:rsidP="00A35925">
                            <w:pPr>
                              <w:jc w:val="center"/>
                              <w:rPr>
                                <w:b/>
                                <w:iCs/>
                              </w:rPr>
                            </w:pPr>
                          </w:p>
                          <w:p w:rsidR="00FD51D9" w:rsidRDefault="00FD51D9" w:rsidP="00A35925">
                            <w:pPr>
                              <w:jc w:val="center"/>
                              <w:rPr>
                                <w:b/>
                              </w:rPr>
                            </w:pPr>
                          </w:p>
                          <w:p w:rsidR="00FD51D9" w:rsidRPr="005D7EB8" w:rsidRDefault="001D22A8" w:rsidP="00A35925">
                            <w:pPr>
                              <w:jc w:val="center"/>
                              <w:rPr>
                                <w:b/>
                                <w:sz w:val="28"/>
                                <w:szCs w:val="28"/>
                              </w:rPr>
                            </w:pPr>
                            <w:r>
                              <w:rPr>
                                <w:b/>
                                <w:sz w:val="28"/>
                                <w:szCs w:val="28"/>
                              </w:rPr>
                              <w:t>Seekonk Human Services Department</w:t>
                            </w:r>
                          </w:p>
                          <w:p w:rsidR="00FD51D9" w:rsidRPr="00447F80" w:rsidRDefault="001D22A8" w:rsidP="00A35925">
                            <w:pPr>
                              <w:jc w:val="center"/>
                              <w:rPr>
                                <w:b/>
                                <w:sz w:val="28"/>
                                <w:szCs w:val="28"/>
                              </w:rPr>
                            </w:pPr>
                            <w:r>
                              <w:rPr>
                                <w:b/>
                                <w:sz w:val="28"/>
                                <w:szCs w:val="28"/>
                              </w:rPr>
                              <w:t xml:space="preserve">320 Pleasant </w:t>
                            </w:r>
                            <w:proofErr w:type="gramStart"/>
                            <w:r w:rsidR="00FD51D9">
                              <w:rPr>
                                <w:b/>
                                <w:sz w:val="28"/>
                                <w:szCs w:val="28"/>
                              </w:rPr>
                              <w:t>Street</w:t>
                            </w:r>
                            <w:proofErr w:type="gramEnd"/>
                          </w:p>
                          <w:p w:rsidR="00FD51D9" w:rsidRDefault="001D22A8" w:rsidP="00A35925">
                            <w:pPr>
                              <w:jc w:val="center"/>
                              <w:rPr>
                                <w:b/>
                                <w:iCs/>
                              </w:rPr>
                            </w:pPr>
                            <w:r>
                              <w:rPr>
                                <w:b/>
                                <w:sz w:val="28"/>
                                <w:szCs w:val="28"/>
                              </w:rPr>
                              <w:t>Seekonk</w:t>
                            </w:r>
                            <w:r w:rsidR="00FD51D9" w:rsidRPr="00447F80">
                              <w:rPr>
                                <w:b/>
                                <w:sz w:val="28"/>
                                <w:szCs w:val="28"/>
                              </w:rPr>
                              <w:t>, MA</w:t>
                            </w: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rPr>
                                <w:i/>
                              </w:rPr>
                            </w:pPr>
                          </w:p>
                          <w:p w:rsidR="00FD51D9" w:rsidRPr="002D735D" w:rsidRDefault="00FD51D9" w:rsidP="00A35925">
                            <w:pPr>
                              <w:jc w:val="center"/>
                              <w:rPr>
                                <w:i/>
                              </w:rPr>
                            </w:pPr>
                          </w:p>
                          <w:p w:rsidR="00FD51D9" w:rsidRPr="002D735D" w:rsidRDefault="002C0DBF" w:rsidP="00A35925">
                            <w:pPr>
                              <w:jc w:val="center"/>
                              <w:rPr>
                                <w:i/>
                              </w:rPr>
                            </w:pPr>
                            <w:bookmarkStart w:id="0" w:name="_GoBack"/>
                            <w:bookmarkEnd w:id="0"/>
                            <w:r>
                              <w:rPr>
                                <w:i/>
                                <w:noProof/>
                                <w:lang w:eastAsia="zh-TW"/>
                              </w:rPr>
                              <w:drawing>
                                <wp:inline distT="0" distB="0" distL="0" distR="0">
                                  <wp:extent cx="4267200" cy="3200400"/>
                                  <wp:effectExtent l="0" t="0" r="0" b="0"/>
                                  <wp:docPr id="6" name="Picture 6" descr="Seekonk Human Services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konk Human Services Bui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pPr>
                            <w:r w:rsidRPr="002D735D">
                              <w:t>Prepared by:</w:t>
                            </w:r>
                          </w:p>
                          <w:p w:rsidR="00FD51D9" w:rsidRPr="002D735D" w:rsidRDefault="00FD51D9" w:rsidP="00A35925">
                            <w:pPr>
                              <w:jc w:val="center"/>
                            </w:pPr>
                            <w:r w:rsidRPr="002D735D">
                              <w:t>Massachusetts Department of Public Health</w:t>
                            </w:r>
                          </w:p>
                          <w:p w:rsidR="00FD51D9" w:rsidRPr="002D735D" w:rsidRDefault="00FD51D9" w:rsidP="00A35925">
                            <w:pPr>
                              <w:jc w:val="center"/>
                            </w:pPr>
                            <w:r w:rsidRPr="002D735D">
                              <w:t>Bureau of Environmental Health</w:t>
                            </w:r>
                          </w:p>
                          <w:p w:rsidR="00FD51D9" w:rsidRPr="002D735D" w:rsidRDefault="00FD51D9" w:rsidP="00A35925">
                            <w:pPr>
                              <w:jc w:val="center"/>
                            </w:pPr>
                            <w:r w:rsidRPr="002D735D">
                              <w:t>Indoor Air Quality Program</w:t>
                            </w:r>
                          </w:p>
                          <w:p w:rsidR="00FD51D9" w:rsidRDefault="000F3321" w:rsidP="00A35925">
                            <w:pPr>
                              <w:jc w:val="center"/>
                            </w:pPr>
                            <w:r>
                              <w:t>June</w:t>
                            </w:r>
                            <w:r w:rsidR="001D22A8">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hJw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">
                <v:textbox>
                  <w:txbxContent>
                    <w:p w:rsidR="00FD51D9" w:rsidRDefault="00FD51D9" w:rsidP="00A35925">
                      <w:pPr>
                        <w:jc w:val="center"/>
                        <w:rPr>
                          <w:b/>
                          <w:sz w:val="36"/>
                        </w:rPr>
                      </w:pPr>
                    </w:p>
                    <w:p w:rsidR="00FD51D9" w:rsidRDefault="00FD51D9" w:rsidP="00A35925">
                      <w:pPr>
                        <w:jc w:val="center"/>
                        <w:rPr>
                          <w:b/>
                          <w:sz w:val="36"/>
                        </w:rPr>
                      </w:pPr>
                    </w:p>
                    <w:p w:rsidR="00FD51D9" w:rsidRPr="002D735D" w:rsidRDefault="00FD51D9" w:rsidP="00A35925">
                      <w:pPr>
                        <w:jc w:val="center"/>
                        <w:rPr>
                          <w:b/>
                          <w:sz w:val="36"/>
                        </w:rPr>
                      </w:pPr>
                      <w:r w:rsidRPr="002D735D">
                        <w:rPr>
                          <w:b/>
                          <w:sz w:val="36"/>
                        </w:rPr>
                        <w:t>INDOOR AIR QUALITY ASSESSMENT</w:t>
                      </w:r>
                    </w:p>
                    <w:p w:rsidR="00FD51D9" w:rsidRPr="002D735D" w:rsidRDefault="00FD51D9" w:rsidP="00A35925">
                      <w:pPr>
                        <w:jc w:val="center"/>
                        <w:rPr>
                          <w:b/>
                          <w:iCs/>
                        </w:rPr>
                      </w:pPr>
                    </w:p>
                    <w:p w:rsidR="00FD51D9" w:rsidRDefault="00FD51D9" w:rsidP="00A35925">
                      <w:pPr>
                        <w:jc w:val="center"/>
                        <w:rPr>
                          <w:b/>
                        </w:rPr>
                      </w:pPr>
                    </w:p>
                    <w:p w:rsidR="00FD51D9" w:rsidRPr="005D7EB8" w:rsidRDefault="001D22A8" w:rsidP="00A35925">
                      <w:pPr>
                        <w:jc w:val="center"/>
                        <w:rPr>
                          <w:b/>
                          <w:sz w:val="28"/>
                          <w:szCs w:val="28"/>
                        </w:rPr>
                      </w:pPr>
                      <w:r>
                        <w:rPr>
                          <w:b/>
                          <w:sz w:val="28"/>
                          <w:szCs w:val="28"/>
                        </w:rPr>
                        <w:t>Seekonk Human Services Department</w:t>
                      </w:r>
                    </w:p>
                    <w:p w:rsidR="00FD51D9" w:rsidRPr="00447F80" w:rsidRDefault="001D22A8" w:rsidP="00A35925">
                      <w:pPr>
                        <w:jc w:val="center"/>
                        <w:rPr>
                          <w:b/>
                          <w:sz w:val="28"/>
                          <w:szCs w:val="28"/>
                        </w:rPr>
                      </w:pPr>
                      <w:r>
                        <w:rPr>
                          <w:b/>
                          <w:sz w:val="28"/>
                          <w:szCs w:val="28"/>
                        </w:rPr>
                        <w:t xml:space="preserve">320 Pleasant </w:t>
                      </w:r>
                      <w:proofErr w:type="gramStart"/>
                      <w:r w:rsidR="00FD51D9">
                        <w:rPr>
                          <w:b/>
                          <w:sz w:val="28"/>
                          <w:szCs w:val="28"/>
                        </w:rPr>
                        <w:t>Street</w:t>
                      </w:r>
                      <w:proofErr w:type="gramEnd"/>
                    </w:p>
                    <w:p w:rsidR="00FD51D9" w:rsidRDefault="001D22A8" w:rsidP="00A35925">
                      <w:pPr>
                        <w:jc w:val="center"/>
                        <w:rPr>
                          <w:b/>
                          <w:iCs/>
                        </w:rPr>
                      </w:pPr>
                      <w:r>
                        <w:rPr>
                          <w:b/>
                          <w:sz w:val="28"/>
                          <w:szCs w:val="28"/>
                        </w:rPr>
                        <w:t>Seekonk</w:t>
                      </w:r>
                      <w:r w:rsidR="00FD51D9" w:rsidRPr="00447F80">
                        <w:rPr>
                          <w:b/>
                          <w:sz w:val="28"/>
                          <w:szCs w:val="28"/>
                        </w:rPr>
                        <w:t>, MA</w:t>
                      </w: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rPr>
                          <w:i/>
                        </w:rPr>
                      </w:pPr>
                    </w:p>
                    <w:p w:rsidR="00FD51D9" w:rsidRPr="002D735D" w:rsidRDefault="00FD51D9" w:rsidP="00A35925">
                      <w:pPr>
                        <w:jc w:val="center"/>
                        <w:rPr>
                          <w:i/>
                        </w:rPr>
                      </w:pPr>
                    </w:p>
                    <w:p w:rsidR="00FD51D9" w:rsidRPr="002D735D" w:rsidRDefault="002C0DBF" w:rsidP="00A35925">
                      <w:pPr>
                        <w:jc w:val="center"/>
                        <w:rPr>
                          <w:i/>
                        </w:rPr>
                      </w:pPr>
                      <w:bookmarkStart w:id="1" w:name="_GoBack"/>
                      <w:bookmarkEnd w:id="1"/>
                      <w:r>
                        <w:rPr>
                          <w:i/>
                          <w:noProof/>
                          <w:lang w:eastAsia="zh-TW"/>
                        </w:rPr>
                        <w:drawing>
                          <wp:inline distT="0" distB="0" distL="0" distR="0">
                            <wp:extent cx="4267200" cy="3200400"/>
                            <wp:effectExtent l="0" t="0" r="0" b="0"/>
                            <wp:docPr id="6" name="Picture 6" descr="Seekonk Human Services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konk Human Services Bui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rPr>
                          <w:i/>
                        </w:rPr>
                      </w:pPr>
                    </w:p>
                    <w:p w:rsidR="00FD51D9" w:rsidRDefault="00FD51D9" w:rsidP="00A35925">
                      <w:pPr>
                        <w:jc w:val="center"/>
                        <w:rPr>
                          <w:i/>
                        </w:rPr>
                      </w:pPr>
                    </w:p>
                    <w:p w:rsidR="00FD51D9" w:rsidRDefault="00FD51D9" w:rsidP="00A35925">
                      <w:pPr>
                        <w:jc w:val="center"/>
                        <w:rPr>
                          <w:i/>
                        </w:rPr>
                      </w:pPr>
                    </w:p>
                    <w:p w:rsidR="00FD51D9" w:rsidRPr="002D735D" w:rsidRDefault="00FD51D9" w:rsidP="00A35925">
                      <w:pPr>
                        <w:jc w:val="center"/>
                      </w:pPr>
                      <w:r w:rsidRPr="002D735D">
                        <w:t>Prepared by:</w:t>
                      </w:r>
                    </w:p>
                    <w:p w:rsidR="00FD51D9" w:rsidRPr="002D735D" w:rsidRDefault="00FD51D9" w:rsidP="00A35925">
                      <w:pPr>
                        <w:jc w:val="center"/>
                      </w:pPr>
                      <w:r w:rsidRPr="002D735D">
                        <w:t>Massachusetts Department of Public Health</w:t>
                      </w:r>
                    </w:p>
                    <w:p w:rsidR="00FD51D9" w:rsidRPr="002D735D" w:rsidRDefault="00FD51D9" w:rsidP="00A35925">
                      <w:pPr>
                        <w:jc w:val="center"/>
                      </w:pPr>
                      <w:r w:rsidRPr="002D735D">
                        <w:t>Bureau of Environmental Health</w:t>
                      </w:r>
                    </w:p>
                    <w:p w:rsidR="00FD51D9" w:rsidRPr="002D735D" w:rsidRDefault="00FD51D9" w:rsidP="00A35925">
                      <w:pPr>
                        <w:jc w:val="center"/>
                      </w:pPr>
                      <w:r w:rsidRPr="002D735D">
                        <w:t>Indoor Air Quality Program</w:t>
                      </w:r>
                    </w:p>
                    <w:p w:rsidR="00FD51D9" w:rsidRDefault="000F3321" w:rsidP="00A35925">
                      <w:pPr>
                        <w:jc w:val="center"/>
                      </w:pPr>
                      <w:r>
                        <w:t>June</w:t>
                      </w:r>
                      <w:r w:rsidR="001D22A8">
                        <w:t xml:space="preserve"> 2015</w:t>
                      </w:r>
                    </w:p>
                  </w:txbxContent>
                </v:textbox>
                <w10:wrap type="topAndBottom" anchorx="page" anchory="page"/>
              </v:shape>
            </w:pict>
          </mc:Fallback>
        </mc:AlternateContent>
      </w:r>
      <w:r w:rsidR="00A35925">
        <w:rPr>
          <w:bCs/>
        </w:rPr>
        <w:br w:type="page"/>
      </w:r>
      <w:r w:rsidR="00A35925" w:rsidRPr="00295F1A">
        <w:rPr>
          <w:bCs/>
        </w:rPr>
        <w:lastRenderedPageBreak/>
        <w:t>Background/Introduction</w:t>
      </w:r>
    </w:p>
    <w:p w:rsidR="001D22A8" w:rsidRDefault="00161A42" w:rsidP="00BA1D20">
      <w:pPr>
        <w:pStyle w:val="BodyText"/>
      </w:pPr>
      <w:r>
        <w:t xml:space="preserve">In response to a </w:t>
      </w:r>
      <w:r w:rsidR="001D22A8">
        <w:t>request by Mr. Robert Lamoureux, Superintendent, Seekonk Public Works</w:t>
      </w:r>
      <w:r>
        <w:t xml:space="preserve">, the Massachusetts Department of Public Health (MDPH), Bureau of Environmental Health (BEH) provided assistance and consultation regarding indoor air quality (IAQ) concerns </w:t>
      </w:r>
      <w:proofErr w:type="gramStart"/>
      <w:r>
        <w:t>at</w:t>
      </w:r>
      <w:proofErr w:type="gramEnd"/>
      <w:r>
        <w:t xml:space="preserve"> </w:t>
      </w:r>
      <w:r w:rsidR="001D22A8">
        <w:t>the Seekonk Human Services (SHS) office</w:t>
      </w:r>
      <w:r>
        <w:t xml:space="preserve"> located at </w:t>
      </w:r>
      <w:r w:rsidR="001D22A8">
        <w:t>320 Pleasant</w:t>
      </w:r>
      <w:r>
        <w:t xml:space="preserve"> Street, </w:t>
      </w:r>
      <w:r w:rsidR="001D22A8">
        <w:t>Seekonk</w:t>
      </w:r>
      <w:r>
        <w:t xml:space="preserve">, MA.  </w:t>
      </w:r>
      <w:r w:rsidR="00550770">
        <w:t xml:space="preserve">On </w:t>
      </w:r>
      <w:r w:rsidR="001D22A8">
        <w:t>April 16</w:t>
      </w:r>
      <w:r w:rsidR="00550770">
        <w:t>,</w:t>
      </w:r>
      <w:r w:rsidR="001D22A8">
        <w:t xml:space="preserve"> 2015,</w:t>
      </w:r>
      <w:r w:rsidR="00550770">
        <w:t xml:space="preserve"> Cory Holmes, Environmental Analyst/Regional Inspector in BEH’s IAQ Program visited the </w:t>
      </w:r>
      <w:r w:rsidR="001D22A8">
        <w:t>SH</w:t>
      </w:r>
      <w:r w:rsidR="00550770">
        <w:t>S to conduct an IAQ assessment.</w:t>
      </w:r>
    </w:p>
    <w:p w:rsidR="001D22A8" w:rsidRDefault="00BA1D20" w:rsidP="00BA1D20">
      <w:pPr>
        <w:pStyle w:val="BodyText"/>
      </w:pPr>
      <w:r w:rsidRPr="00BA1D20">
        <w:t xml:space="preserve">The </w:t>
      </w:r>
      <w:r w:rsidR="001D22A8">
        <w:t>SHS is located on the 2</w:t>
      </w:r>
      <w:r w:rsidR="001D22A8" w:rsidRPr="001D22A8">
        <w:rPr>
          <w:vertAlign w:val="superscript"/>
        </w:rPr>
        <w:t>nd</w:t>
      </w:r>
      <w:r w:rsidR="001D22A8">
        <w:t xml:space="preserve"> floor of the former Pleasant Street School, which is a two-story red brick building constructed in the early 1940s.  The </w:t>
      </w:r>
      <w:r w:rsidR="00811AF6">
        <w:t>building</w:t>
      </w:r>
      <w:r w:rsidR="001D22A8">
        <w:t xml:space="preserve"> has undergone interior renovations over the years to accommodate town offices.  The S</w:t>
      </w:r>
      <w:r w:rsidR="00C62731">
        <w:t>H</w:t>
      </w:r>
      <w:r w:rsidR="001D22A8">
        <w:t xml:space="preserve">S </w:t>
      </w:r>
      <w:r w:rsidR="0068066E">
        <w:t xml:space="preserve">space </w:t>
      </w:r>
      <w:r w:rsidR="001D22A8">
        <w:t>consist</w:t>
      </w:r>
      <w:r w:rsidR="0068066E">
        <w:t>s</w:t>
      </w:r>
      <w:r w:rsidR="001D22A8">
        <w:t xml:space="preserve"> of subdivided areas within </w:t>
      </w:r>
      <w:r w:rsidR="00F25857">
        <w:t xml:space="preserve">one large room, separated by partial (3/4 </w:t>
      </w:r>
      <w:r w:rsidR="00811AF6">
        <w:t xml:space="preserve">height </w:t>
      </w:r>
      <w:r w:rsidR="00F25857">
        <w:t>walls) to create office space.  Windows are openable</w:t>
      </w:r>
      <w:r w:rsidR="0068066E">
        <w:t>, with the exception of those with portable air conditioners (ACs) installed</w:t>
      </w:r>
      <w:r w:rsidR="00F25857">
        <w:t>.</w:t>
      </w:r>
    </w:p>
    <w:p w:rsidR="00A35925" w:rsidRPr="00295F1A" w:rsidRDefault="00A35925" w:rsidP="00A35925">
      <w:pPr>
        <w:pStyle w:val="Heading1"/>
        <w:rPr>
          <w:bCs/>
          <w:szCs w:val="28"/>
        </w:rPr>
      </w:pPr>
      <w:r w:rsidRPr="00295F1A">
        <w:rPr>
          <w:bCs/>
          <w:szCs w:val="28"/>
        </w:rPr>
        <w:t>Methods</w:t>
      </w:r>
    </w:p>
    <w:p w:rsidR="00A35925" w:rsidRPr="00E73253" w:rsidRDefault="00A35925" w:rsidP="00A35925">
      <w:pPr>
        <w:pStyle w:val="BodyText"/>
        <w:rPr>
          <w:i/>
        </w:rPr>
      </w:pPr>
      <w:r w:rsidRPr="00941BFB">
        <w:t xml:space="preserve">Air tests for carbon monoxide, carbon dioxide, temperature and relative humidity were conducted with the TSI, Q-Trak, IAQ Monitor, </w:t>
      </w:r>
      <w:proofErr w:type="gramStart"/>
      <w:r w:rsidRPr="00941BFB">
        <w:t>Model</w:t>
      </w:r>
      <w:proofErr w:type="gramEnd"/>
      <w:r w:rsidRPr="00941BFB">
        <w:t xml:space="preserve"> </w:t>
      </w:r>
      <w:r>
        <w:t xml:space="preserve">7565. </w:t>
      </w:r>
      <w:r w:rsidRPr="00941BFB">
        <w:t xml:space="preserve"> Air tests for airborne particle matter with a diameter less than 2.5 micrometers were taken with the TSI, DUSTTRA</w:t>
      </w:r>
      <w:r>
        <w:t>K™ Aerosol Monitor Model</w:t>
      </w:r>
      <w:r w:rsidR="0074355F">
        <w:t xml:space="preserve"> 8532</w:t>
      </w:r>
      <w:r>
        <w:t>.</w:t>
      </w:r>
      <w:r w:rsidR="00A6791B" w:rsidRPr="00A6791B">
        <w:t xml:space="preserve"> </w:t>
      </w:r>
      <w:r w:rsidR="00A6791B">
        <w:t xml:space="preserve"> BEH/IAQ</w:t>
      </w:r>
      <w:r w:rsidR="00A6791B" w:rsidRPr="00941BFB">
        <w:t xml:space="preserve"> staff </w:t>
      </w:r>
      <w:r w:rsidR="00A6791B">
        <w:t xml:space="preserve">also </w:t>
      </w:r>
      <w:r w:rsidR="00A6791B" w:rsidRPr="00941BFB">
        <w:t xml:space="preserve">performed </w:t>
      </w:r>
      <w:r w:rsidR="00A6791B">
        <w:t xml:space="preserve">a </w:t>
      </w:r>
      <w:r w:rsidR="00A6791B" w:rsidRPr="00941BFB">
        <w:t xml:space="preserve">visual inspection of building materials for </w:t>
      </w:r>
      <w:r w:rsidR="00A6791B">
        <w:t xml:space="preserve">water </w:t>
      </w:r>
      <w:r w:rsidR="00A6791B" w:rsidRPr="00941BFB">
        <w:t>damage and/or microbial growth</w:t>
      </w:r>
      <w:r w:rsidR="00A6791B">
        <w:t>.</w:t>
      </w:r>
      <w:r w:rsidR="00F25857">
        <w:t xml:space="preserve">  Moisture testing of water-damaged wood was conducted using a Delmhorst</w:t>
      </w:r>
      <w:r w:rsidR="00635A55" w:rsidRPr="00635A55">
        <w:t xml:space="preserve"> BD</w:t>
      </w:r>
      <w:r w:rsidR="00635A55">
        <w:t>-</w:t>
      </w:r>
      <w:r w:rsidR="00635A55" w:rsidRPr="00635A55">
        <w:t>2100 moisture meter</w:t>
      </w:r>
      <w:r w:rsidR="00635A55">
        <w:t>.</w:t>
      </w:r>
    </w:p>
    <w:p w:rsidR="00A35925" w:rsidRPr="00295F1A" w:rsidRDefault="00A35925" w:rsidP="00A35925">
      <w:pPr>
        <w:pStyle w:val="Heading1"/>
        <w:rPr>
          <w:bCs/>
          <w:szCs w:val="28"/>
        </w:rPr>
      </w:pPr>
      <w:r w:rsidRPr="00295F1A">
        <w:rPr>
          <w:bCs/>
          <w:szCs w:val="28"/>
        </w:rPr>
        <w:lastRenderedPageBreak/>
        <w:t>Results</w:t>
      </w:r>
    </w:p>
    <w:p w:rsidR="00A35925" w:rsidRPr="005B7A46" w:rsidRDefault="00A35925" w:rsidP="00A35925">
      <w:pPr>
        <w:pStyle w:val="BodyText"/>
      </w:pPr>
      <w:r>
        <w:t xml:space="preserve">The </w:t>
      </w:r>
      <w:r w:rsidR="00F25857">
        <w:t>S</w:t>
      </w:r>
      <w:r w:rsidR="00C62731">
        <w:t>H</w:t>
      </w:r>
      <w:r w:rsidR="00F25857">
        <w:t>S has a staff of 8 employees and volunteers and is visited by clients/members of the public daily</w:t>
      </w:r>
      <w:r>
        <w:t>.  Tests were taken during normal operations</w:t>
      </w:r>
      <w:r w:rsidR="00F25857">
        <w:t xml:space="preserve"> and r</w:t>
      </w:r>
      <w:r>
        <w:t>esults appear in Table 1.</w:t>
      </w:r>
    </w:p>
    <w:p w:rsidR="00A35925" w:rsidRPr="00295F1A" w:rsidRDefault="00A35925" w:rsidP="00A35925">
      <w:pPr>
        <w:pStyle w:val="Heading1"/>
        <w:rPr>
          <w:bCs/>
          <w:szCs w:val="28"/>
        </w:rPr>
      </w:pPr>
      <w:r w:rsidRPr="00295F1A">
        <w:rPr>
          <w:bCs/>
          <w:szCs w:val="28"/>
        </w:rPr>
        <w:t>Discussion</w:t>
      </w:r>
    </w:p>
    <w:p w:rsidR="00A35925" w:rsidRPr="00F36E00" w:rsidRDefault="00A35925" w:rsidP="00A35925">
      <w:pPr>
        <w:pStyle w:val="Heading2"/>
        <w:spacing w:before="60"/>
      </w:pPr>
      <w:r w:rsidRPr="00F36E00">
        <w:t>Ventilation</w:t>
      </w:r>
    </w:p>
    <w:p w:rsidR="00F05466" w:rsidRDefault="00A35925" w:rsidP="00AF101E">
      <w:pPr>
        <w:pStyle w:val="BodyText"/>
      </w:pPr>
      <w:r>
        <w:t xml:space="preserve">It can be seen from Table 1 that carbon dioxide levels were </w:t>
      </w:r>
      <w:r w:rsidR="00F05466">
        <w:t>above</w:t>
      </w:r>
      <w:r>
        <w:t xml:space="preserve"> </w:t>
      </w:r>
      <w:r w:rsidR="00FE0864">
        <w:t xml:space="preserve">800 parts per million (ppm) in </w:t>
      </w:r>
      <w:r w:rsidR="00F05466">
        <w:t>all</w:t>
      </w:r>
      <w:r>
        <w:t xml:space="preserve"> areas</w:t>
      </w:r>
      <w:r w:rsidR="00F36D73">
        <w:t xml:space="preserve"> </w:t>
      </w:r>
      <w:r w:rsidR="006C1366">
        <w:t xml:space="preserve">surveyed </w:t>
      </w:r>
      <w:r w:rsidR="00F36D73">
        <w:t xml:space="preserve">at the time of </w:t>
      </w:r>
      <w:r w:rsidR="00E97E2B">
        <w:t xml:space="preserve">the </w:t>
      </w:r>
      <w:r w:rsidR="00F36D73">
        <w:t>assessment</w:t>
      </w:r>
      <w:r>
        <w:t>,</w:t>
      </w:r>
      <w:r w:rsidR="00F36D73">
        <w:t xml:space="preserve"> </w:t>
      </w:r>
      <w:r>
        <w:t xml:space="preserve">indicating </w:t>
      </w:r>
      <w:r w:rsidR="00F05466">
        <w:t>a lack of</w:t>
      </w:r>
      <w:r w:rsidR="000D2708">
        <w:t xml:space="preserve"> </w:t>
      </w:r>
      <w:r>
        <w:t>air exchange</w:t>
      </w:r>
      <w:r w:rsidR="007B78F1">
        <w:t xml:space="preserve">.  </w:t>
      </w:r>
      <w:r w:rsidR="00F05466">
        <w:t xml:space="preserve">It is important to note that the </w:t>
      </w:r>
      <w:r w:rsidR="008C373C">
        <w:t xml:space="preserve">building </w:t>
      </w:r>
      <w:r w:rsidR="00F05466">
        <w:t xml:space="preserve">was </w:t>
      </w:r>
      <w:r w:rsidR="008C373C">
        <w:t xml:space="preserve">originally </w:t>
      </w:r>
      <w:r w:rsidR="00F05466">
        <w:t xml:space="preserve">designed to provide mechanical ventilation through the use of unit ventilators (univents), which have largely been abandoned (Picture 1).  Although </w:t>
      </w:r>
      <w:r w:rsidR="0085596C">
        <w:t xml:space="preserve">coils within the univents provide </w:t>
      </w:r>
      <w:r w:rsidR="00811AF6">
        <w:t>heat,</w:t>
      </w:r>
      <w:r w:rsidR="00F05466">
        <w:t xml:space="preserve"> the motors which draw in outside air are not operati</w:t>
      </w:r>
      <w:r w:rsidR="00FB3504">
        <w:t>onal</w:t>
      </w:r>
      <w:r w:rsidR="00F05466">
        <w:t>.</w:t>
      </w:r>
      <w:r w:rsidR="00061722">
        <w:t xml:space="preserve"> </w:t>
      </w:r>
    </w:p>
    <w:p w:rsidR="00F05466" w:rsidRDefault="00F05466" w:rsidP="00AF101E">
      <w:pPr>
        <w:pStyle w:val="BodyText"/>
      </w:pPr>
      <w:r w:rsidRPr="009949B2">
        <w:t>A univent draws air from the outdoors through a fresh air intake located on the exterior wall of the building</w:t>
      </w:r>
      <w:r>
        <w:t xml:space="preserve"> (Picture 2) </w:t>
      </w:r>
      <w:r w:rsidRPr="009949B2">
        <w:t>and returns air through an air intake located at the base of the unit.  Fresh and return air are mixed, filtered, heated and provided through an air diffuser located in the top of the unit (</w:t>
      </w:r>
      <w:hyperlink r:id="rId10" w:history="1">
        <w:r w:rsidRPr="00805C06">
          <w:rPr>
            <w:rStyle w:val="Hyperlink"/>
          </w:rPr>
          <w:t>Figure 1</w:t>
        </w:r>
      </w:hyperlink>
      <w:r w:rsidRPr="009949B2">
        <w:t>).</w:t>
      </w:r>
      <w:r>
        <w:t xml:space="preserve">  </w:t>
      </w:r>
      <w:r w:rsidR="006E4F5E">
        <w:t xml:space="preserve">Due to the age of the </w:t>
      </w:r>
      <w:r>
        <w:t>units at the S</w:t>
      </w:r>
      <w:r w:rsidR="00C62731">
        <w:t>H</w:t>
      </w:r>
      <w:r>
        <w:t xml:space="preserve">S, the amount of fresh air </w:t>
      </w:r>
      <w:r w:rsidR="006E4F5E">
        <w:t>must be</w:t>
      </w:r>
      <w:r>
        <w:t xml:space="preserve"> adjusted by hand</w:t>
      </w:r>
      <w:r w:rsidR="008C373C">
        <w:t>,</w:t>
      </w:r>
      <w:r>
        <w:t xml:space="preserve"> using a knob attached to a louver inside the unit.</w:t>
      </w:r>
      <w:r w:rsidR="00061722">
        <w:t xml:space="preserve">  Without motors to draw in outside air, fresh air being brought in by these units is limited to convection due to heating, and incidental air </w:t>
      </w:r>
      <w:r w:rsidR="00C84DA0">
        <w:t>penetration (drafts)</w:t>
      </w:r>
      <w:r w:rsidR="00061722">
        <w:t>.</w:t>
      </w:r>
    </w:p>
    <w:p w:rsidR="00AF101E" w:rsidRDefault="00F05466" w:rsidP="00AF101E">
      <w:pPr>
        <w:pStyle w:val="BodyText"/>
      </w:pPr>
      <w:r>
        <w:t xml:space="preserve">It is also </w:t>
      </w:r>
      <w:r w:rsidR="00212663">
        <w:t xml:space="preserve">important to note that </w:t>
      </w:r>
      <w:r>
        <w:t>the univents are</w:t>
      </w:r>
      <w:r w:rsidR="00212663">
        <w:t xml:space="preserve"> </w:t>
      </w:r>
      <w:r w:rsidR="00AF101E">
        <w:t>original to the building</w:t>
      </w:r>
      <w:r w:rsidR="000273F2">
        <w:t>’s</w:t>
      </w:r>
      <w:r w:rsidR="00AF101E">
        <w:t xml:space="preserve"> construction, which makes them over </w:t>
      </w:r>
      <w:r>
        <w:t>7</w:t>
      </w:r>
      <w:r w:rsidR="00AF101E">
        <w:t xml:space="preserve">0 years old.  </w:t>
      </w:r>
      <w:r w:rsidR="00E152C8">
        <w:t xml:space="preserve">Efficient function of equipment of this age is </w:t>
      </w:r>
      <w:r w:rsidR="00AF101E" w:rsidRPr="00AF101E">
        <w:t>difficult to maintain, since compatible replacement parts are often unavailable</w:t>
      </w:r>
      <w:r>
        <w:t xml:space="preserve">.  </w:t>
      </w:r>
      <w:r w:rsidR="00AF101E" w:rsidRPr="00AF101E">
        <w:t xml:space="preserve">According to the American </w:t>
      </w:r>
      <w:r w:rsidR="00AF101E" w:rsidRPr="00AF101E">
        <w:lastRenderedPageBreak/>
        <w:t>Society of Heating, Refrigeration and Air-Conditioning Engineering (ASHRAE), the service life</w:t>
      </w:r>
      <w:r w:rsidR="00AF101E" w:rsidRPr="00AF101E">
        <w:rPr>
          <w:vertAlign w:val="superscript"/>
        </w:rPr>
        <w:footnoteReference w:id="1"/>
      </w:r>
      <w:r w:rsidR="00AF101E" w:rsidRPr="00AF101E">
        <w:t xml:space="preserve"> for a unit heater, hot water or steam is 20 years, assuming routine maintenance of the equipment (ASHRAE, 1991).  Despite attempts to maintain the </w:t>
      </w:r>
      <w:r w:rsidR="00AF101E">
        <w:t>equipment</w:t>
      </w:r>
      <w:r w:rsidR="00AF101E" w:rsidRPr="00AF101E">
        <w:t xml:space="preserve">, the </w:t>
      </w:r>
      <w:r w:rsidR="00BC20EE">
        <w:t>optimal operational</w:t>
      </w:r>
      <w:r w:rsidR="00AF101E" w:rsidRPr="00AF101E">
        <w:t xml:space="preserve"> lifespan of this equipment has been exceeded.</w:t>
      </w:r>
    </w:p>
    <w:p w:rsidR="00A717E4" w:rsidRPr="00AF101E" w:rsidRDefault="00A717E4" w:rsidP="00AF101E">
      <w:pPr>
        <w:pStyle w:val="BodyText"/>
      </w:pPr>
      <w:r>
        <w:t xml:space="preserve">Exhaust ventilation was designed to be provided by vents located in closets (Picture 3).  These </w:t>
      </w:r>
      <w:r w:rsidR="003761A0">
        <w:t>exhausts</w:t>
      </w:r>
      <w:r>
        <w:t xml:space="preserve"> were not drawing air at the time of the assessment.  Without</w:t>
      </w:r>
      <w:r w:rsidRPr="009B6CDC">
        <w:t xml:space="preserve"> supply and exhaust ventilation, pollutants can build up and lead to </w:t>
      </w:r>
      <w:r>
        <w:t>IAQ</w:t>
      </w:r>
      <w:r w:rsidRPr="009B6CDC">
        <w:t xml:space="preserve"> and comfort complaints. </w:t>
      </w:r>
    </w:p>
    <w:p w:rsidR="00A35925" w:rsidRPr="00185CC0" w:rsidRDefault="00A35925" w:rsidP="00A35925">
      <w:pPr>
        <w:pStyle w:val="BodyText"/>
        <w:rPr>
          <w:highlight w:val="yellow"/>
        </w:rPr>
      </w:pPr>
      <w:r w:rsidRPr="00185CC0">
        <w:t>To maximize air exchange, the MDPH recommends that both supply and exhaust ventilation operate continuously during periods of occupancy.  In order to have proper ventilation with a mechanical supply and exhaust system, the system</w:t>
      </w:r>
      <w:r>
        <w:t>s</w:t>
      </w:r>
      <w:r w:rsidRPr="00185CC0">
        <w:t xml:space="preserve"> must be balanced to provide an adequate amount of fresh air to the interior of a room while removing stale air from the room.  It is recommended that </w:t>
      </w:r>
      <w:r>
        <w:t>heating, ventilating and air conditioning (</w:t>
      </w:r>
      <w:r w:rsidRPr="00185CC0">
        <w:t>HVAC</w:t>
      </w:r>
      <w:r>
        <w:t>)</w:t>
      </w:r>
      <w:r w:rsidRPr="00185CC0">
        <w:t xml:space="preserve"> systems be re-balanced every five years to ensure adequate air systems function </w:t>
      </w:r>
      <w:r w:rsidRPr="006631AE">
        <w:t>(SMACNA, 1994)</w:t>
      </w:r>
      <w:r w:rsidRPr="00185CC0">
        <w:t xml:space="preserve">. </w:t>
      </w:r>
      <w:r>
        <w:t xml:space="preserve"> </w:t>
      </w:r>
      <w:r w:rsidR="00631735">
        <w:t>In their current condition</w:t>
      </w:r>
      <w:r w:rsidR="008C373C">
        <w:t>,</w:t>
      </w:r>
      <w:r w:rsidR="00631735">
        <w:t xml:space="preserve"> the systems cannot be balanced.</w:t>
      </w:r>
    </w:p>
    <w:p w:rsidR="00A35925" w:rsidRDefault="00A35925" w:rsidP="00A35925">
      <w:pPr>
        <w:pStyle w:val="BodyText"/>
        <w:rPr>
          <w:snapToGrid w:val="0"/>
        </w:rPr>
      </w:pPr>
      <w:r w:rsidRPr="00292D5C">
        <w:rPr>
          <w:snapToGrid w:val="0"/>
        </w:rPr>
        <w:t xml:space="preserve">Minimum design ventilation rates are mandated by the Massachusetts State Building Code (MSBC).  Until 2011, the minimum ventilation rate in Massachusetts was higher for both occupied office spaces and general classrooms, with similar requirements for other occupied spaces (BOCA, 1993).  The current version of the MSBC, promulgated in 2011 by the </w:t>
      </w:r>
      <w:r w:rsidRPr="00A335B2">
        <w:t>State Board of Building Regulations and Standards (SBBRS)</w:t>
      </w:r>
      <w:r w:rsidRPr="00292D5C">
        <w:rPr>
          <w:snapToGrid w:val="0"/>
        </w:rPr>
        <w:t xml:space="preserve">, adopted the 2009 International Mechanical Code (IMC) to set minimum ventilation rates.  </w:t>
      </w:r>
      <w:r w:rsidRPr="00292D5C">
        <w:rPr>
          <w:b/>
          <w:snapToGrid w:val="0"/>
          <w:u w:val="single"/>
        </w:rPr>
        <w:t>Please note that the MSBC is a minimum standard that is not health-based</w:t>
      </w:r>
      <w:r w:rsidRPr="00292D5C">
        <w:rPr>
          <w:snapToGrid w:val="0"/>
        </w:rPr>
        <w:t xml:space="preserve">.  At lower rates of cubic feet per minute (cfm) per </w:t>
      </w:r>
      <w:r w:rsidRPr="00292D5C">
        <w:rPr>
          <w:snapToGrid w:val="0"/>
        </w:rPr>
        <w:lastRenderedPageBreak/>
        <w:t>occupant of fresh air, carbon dioxide levels would be expected to rise significantly.  A ventilation rate of 20 cfm per occupant of fresh air provides optimal air exchange resulting in carbon dioxide levels at or below 800 ppm in the indoor environment in each area measured.  MDPH recommends that carbon dioxide levels be maintained at 800 ppm or below.  This is because most environmental and occupational health scientists involved with research on IAQ and health effects have documented significant increases in indoor air quality complaints and/or health effects when carbon dioxide levels rise above the MDPH guidelines of 800 ppm for schools, office buildings and other occupied spaces (Sundell et al., 2011).  The ventilation must be on at all times that the room is occupied.  Providing adequate fresh air ventilation with open windows and maintaining the temperature in the comfort range during the cold weather season is impractical.  Mechanical ventilation is usually required to provide adequate fresh air ventilation.</w:t>
      </w:r>
    </w:p>
    <w:p w:rsidR="00A35925" w:rsidRPr="00941BFB" w:rsidRDefault="00A35925" w:rsidP="00A35925">
      <w:pPr>
        <w:pStyle w:val="BodyText"/>
      </w:pPr>
      <w:r w:rsidRPr="00941BFB">
        <w:t xml:space="preserve">Carbon dioxide is not a problem in and of itself.  It is used as an indicator of the adequacy of the fresh air ventilation.  As carbon dioxide levels rise, it indicates that the ventilating system is malfunctioning or the design occupancy of the room is being exceeded.  When this happens, a buildup of common indoor air pollutants can occur, leading to discomfort or health complaints.  The Occupational Safety and Health Administration (OSHA) standard for carbon dioxide is 5,000 parts per million parts of air (ppm).  Workers may be exposed to this level for 40 hours/week, based on a time-weighted average </w:t>
      </w:r>
      <w:r w:rsidRPr="006631AE">
        <w:t>(OSHA, 1997).</w:t>
      </w:r>
    </w:p>
    <w:p w:rsidR="00A35925" w:rsidRDefault="00A35925" w:rsidP="00A35925">
      <w:pPr>
        <w:pStyle w:val="BodyText"/>
      </w:pPr>
      <w:r w:rsidRPr="00941BFB">
        <w:t xml:space="preserve">The MDPH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w:t>
      </w:r>
      <w:r w:rsidRPr="00941BFB">
        <w:lastRenderedPageBreak/>
        <w:t>as respiratory, eye, nose and throat irritation, lethargy and headaches.  For more information concerning carbon diox</w:t>
      </w:r>
      <w:r>
        <w:t xml:space="preserve">ide, consult </w:t>
      </w:r>
      <w:hyperlink r:id="rId11" w:history="1">
        <w:r w:rsidRPr="00805C06">
          <w:rPr>
            <w:rStyle w:val="Hyperlink"/>
          </w:rPr>
          <w:t>Appendix A</w:t>
        </w:r>
      </w:hyperlink>
      <w:r>
        <w:t>.</w:t>
      </w:r>
    </w:p>
    <w:p w:rsidR="00A35925" w:rsidRDefault="00A35925" w:rsidP="00A35925">
      <w:pPr>
        <w:pStyle w:val="BodyText"/>
      </w:pPr>
      <w:r>
        <w:t>Indoor t</w:t>
      </w:r>
      <w:r w:rsidRPr="00C765D3">
        <w:t>emperature measurements</w:t>
      </w:r>
      <w:r w:rsidR="0017525A" w:rsidRPr="0017525A">
        <w:t xml:space="preserve"> </w:t>
      </w:r>
      <w:r w:rsidR="0017525A" w:rsidRPr="00C765D3">
        <w:t xml:space="preserve">the </w:t>
      </w:r>
      <w:r w:rsidR="0017525A">
        <w:t xml:space="preserve">day of </w:t>
      </w:r>
      <w:r w:rsidR="00E97E2B">
        <w:t xml:space="preserve">the </w:t>
      </w:r>
      <w:r w:rsidR="0017525A" w:rsidRPr="00C765D3">
        <w:t>assessment</w:t>
      </w:r>
      <w:r w:rsidRPr="00C765D3">
        <w:t xml:space="preserve"> ranged </w:t>
      </w:r>
      <w:r w:rsidRPr="00F15DD6">
        <w:t xml:space="preserve">from </w:t>
      </w:r>
      <w:r w:rsidR="00F05466">
        <w:t>70</w:t>
      </w:r>
      <w:r w:rsidRPr="002B4E49">
        <w:t xml:space="preserve"> </w:t>
      </w:r>
      <w:r w:rsidRPr="002B4E49">
        <w:sym w:font="Symbol" w:char="F0B0"/>
      </w:r>
      <w:r w:rsidRPr="002B4E49">
        <w:t>F</w:t>
      </w:r>
      <w:r w:rsidRPr="00743EA5">
        <w:t xml:space="preserve"> to </w:t>
      </w:r>
      <w:r w:rsidR="00227B51">
        <w:t>7</w:t>
      </w:r>
      <w:r w:rsidR="00F05466">
        <w:t>1</w:t>
      </w:r>
      <w:r>
        <w:t xml:space="preserve"> </w:t>
      </w:r>
      <w:r w:rsidRPr="002B4E49">
        <w:sym w:font="Symbol" w:char="F0B0"/>
      </w:r>
      <w:r w:rsidRPr="002B4E49">
        <w:t>F</w:t>
      </w:r>
      <w:r>
        <w:t xml:space="preserve"> (Table 1), which </w:t>
      </w:r>
      <w:proofErr w:type="gramStart"/>
      <w:r w:rsidRPr="00227B51">
        <w:t>were</w:t>
      </w:r>
      <w:proofErr w:type="gramEnd"/>
      <w:r w:rsidRPr="00227B51">
        <w:t xml:space="preserve"> </w:t>
      </w:r>
      <w:r w:rsidR="00227B51" w:rsidRPr="00227B51">
        <w:t>within to</w:t>
      </w:r>
      <w:r w:rsidR="00F92154">
        <w:rPr>
          <w:b/>
        </w:rPr>
        <w:t xml:space="preserve"> </w:t>
      </w:r>
      <w:r>
        <w:t xml:space="preserve">the </w:t>
      </w:r>
      <w:r w:rsidRPr="00C765D3">
        <w:t>MDPH recommended comfort range.</w:t>
      </w:r>
      <w:r>
        <w:t xml:space="preserve">  </w:t>
      </w:r>
      <w:r w:rsidRPr="00B00C6C">
        <w:t>The MDPH recommends that indoor air temperatures be maintained in a range of 70</w:t>
      </w:r>
      <w:r w:rsidRPr="008312D2">
        <w:rPr>
          <w:vertAlign w:val="superscript"/>
        </w:rPr>
        <w:t xml:space="preserve"> </w:t>
      </w:r>
      <w:r w:rsidRPr="002B4E49">
        <w:sym w:font="Symbol" w:char="F0B0"/>
      </w:r>
      <w:r w:rsidRPr="002B4E49">
        <w:t>F</w:t>
      </w:r>
      <w:r w:rsidRPr="00B00C6C">
        <w:t xml:space="preserve"> to 78</w:t>
      </w:r>
      <w:r w:rsidRPr="00B00C6C">
        <w:rPr>
          <w:vertAlign w:val="superscript"/>
        </w:rPr>
        <w:t xml:space="preserve"> </w:t>
      </w:r>
      <w:r w:rsidRPr="002B4E49">
        <w:sym w:font="Symbol" w:char="F0B0"/>
      </w:r>
      <w:r w:rsidRPr="002B4E49">
        <w:t>F</w:t>
      </w:r>
      <w:r w:rsidRPr="00B00C6C">
        <w:t xml:space="preserve"> in order to provide for the comfort of building occupants.  </w:t>
      </w:r>
      <w:r w:rsidR="00337055">
        <w:t xml:space="preserve">Temperature control complaints were expressed </w:t>
      </w:r>
      <w:r w:rsidR="00F05466">
        <w:t xml:space="preserve">in </w:t>
      </w:r>
      <w:r w:rsidR="003761A0">
        <w:t>Ms.</w:t>
      </w:r>
      <w:r w:rsidR="00F05466">
        <w:t xml:space="preserve"> DosSantos</w:t>
      </w:r>
      <w:r w:rsidR="00A063C2">
        <w:t>’s</w:t>
      </w:r>
      <w:r w:rsidR="00F05466">
        <w:t xml:space="preserve"> office, mainly reported as</w:t>
      </w:r>
      <w:r w:rsidR="0085596C">
        <w:t xml:space="preserve"> cold</w:t>
      </w:r>
      <w:r w:rsidR="00F05466">
        <w:t xml:space="preserve"> drafts from the abandoned univent.  This may indicate that the louvers, even in their “shut” position may not be </w:t>
      </w:r>
      <w:r w:rsidR="00A063C2">
        <w:t>sufficient</w:t>
      </w:r>
      <w:r w:rsidR="00F05466">
        <w:t xml:space="preserve"> to seal out drafts </w:t>
      </w:r>
      <w:r w:rsidR="00A063C2">
        <w:t xml:space="preserve">during the winter/windy conditions.  In addition, Ms. DosSantos’s office is small and her desk is located in close proximity to the unit.  </w:t>
      </w:r>
      <w:r w:rsidRPr="00B00C6C">
        <w:t xml:space="preserve">In many cases concerning indoor air quality, fluctuations of temperature in occupied spaces </w:t>
      </w:r>
      <w:r>
        <w:t xml:space="preserve">are </w:t>
      </w:r>
      <w:r w:rsidRPr="00B00C6C">
        <w:t>typically experience</w:t>
      </w:r>
      <w:r>
        <w:t xml:space="preserve">d, </w:t>
      </w:r>
      <w:r w:rsidRPr="00B00C6C">
        <w:t>even in a building with an adequate fresh air supply</w:t>
      </w:r>
      <w:r>
        <w:t>.</w:t>
      </w:r>
    </w:p>
    <w:p w:rsidR="00A35925" w:rsidRDefault="00A35925" w:rsidP="00A35925">
      <w:pPr>
        <w:pStyle w:val="BodyText"/>
      </w:pPr>
      <w:r w:rsidRPr="00C765D3">
        <w:t>The relative humidity measured in the building</w:t>
      </w:r>
      <w:r w:rsidR="0017525A">
        <w:t xml:space="preserve"> during the assessment</w:t>
      </w:r>
      <w:r w:rsidRPr="00C765D3">
        <w:t xml:space="preserve"> ranged </w:t>
      </w:r>
      <w:r w:rsidRPr="00F15DD6">
        <w:t xml:space="preserve">from </w:t>
      </w:r>
      <w:r w:rsidR="00A063C2">
        <w:t>24</w:t>
      </w:r>
      <w:r>
        <w:t xml:space="preserve"> to </w:t>
      </w:r>
      <w:r w:rsidR="00A063C2">
        <w:t>25</w:t>
      </w:r>
      <w:r w:rsidRPr="00F15DD6">
        <w:t xml:space="preserve"> percent</w:t>
      </w:r>
      <w:r>
        <w:t xml:space="preserve">, </w:t>
      </w:r>
      <w:r w:rsidR="0093642A">
        <w:t>which w</w:t>
      </w:r>
      <w:r w:rsidR="004F2C18">
        <w:t>as</w:t>
      </w:r>
      <w:r w:rsidR="0093642A">
        <w:t xml:space="preserve"> </w:t>
      </w:r>
      <w:r w:rsidR="00A063C2">
        <w:t>below</w:t>
      </w:r>
      <w:r>
        <w:t xml:space="preserve"> </w:t>
      </w:r>
      <w:r w:rsidRPr="00743EA5">
        <w:t>t</w:t>
      </w:r>
      <w:r w:rsidRPr="00941BFB">
        <w:t>he MDPH recommended comfort range</w:t>
      </w:r>
      <w:r w:rsidR="00227B51">
        <w:t xml:space="preserve"> in </w:t>
      </w:r>
      <w:r w:rsidR="00AB73B4">
        <w:t>all</w:t>
      </w:r>
      <w:r w:rsidR="00227B51">
        <w:t xml:space="preserve"> areas</w:t>
      </w:r>
      <w:r w:rsidRPr="00941BFB">
        <w:t xml:space="preserve"> </w:t>
      </w:r>
      <w:r w:rsidR="0093642A">
        <w:t xml:space="preserve">surveyed </w:t>
      </w:r>
      <w:r>
        <w:t xml:space="preserve">(Table 1).  </w:t>
      </w:r>
      <w:r w:rsidRPr="00B00C6C">
        <w:t>The MDPH recommends a comfort range of 40 to 60 percent for indoor air relative humidity.  Relative humidity levels in the building would be expected to drop during the winter months due to heating.  The sensation of dryness and irritation is common in a low relative humidity environment.  Low relative humidity is a very common problem during the heating season in the northeast part of the United States.</w:t>
      </w:r>
    </w:p>
    <w:p w:rsidR="00A35925" w:rsidRPr="0068736E" w:rsidRDefault="00A35925" w:rsidP="00A35925">
      <w:pPr>
        <w:pStyle w:val="Heading2"/>
      </w:pPr>
      <w:r w:rsidRPr="0068736E">
        <w:t>Microbial/Moisture Concerns</w:t>
      </w:r>
    </w:p>
    <w:p w:rsidR="007644FA" w:rsidRDefault="00B9387E" w:rsidP="00A35925">
      <w:pPr>
        <w:pStyle w:val="BodyText"/>
      </w:pPr>
      <w:r>
        <w:t>A few w</w:t>
      </w:r>
      <w:r w:rsidR="00C8080E">
        <w:t xml:space="preserve">ater-damaged ceiling tiles were observed in </w:t>
      </w:r>
      <w:r>
        <w:t xml:space="preserve">the main office area </w:t>
      </w:r>
      <w:r w:rsidR="00C8080E">
        <w:t>(Picture</w:t>
      </w:r>
      <w:r w:rsidR="006360D2">
        <w:t xml:space="preserve"> </w:t>
      </w:r>
      <w:r w:rsidR="0014460E">
        <w:t>4</w:t>
      </w:r>
      <w:r w:rsidR="00C8080E">
        <w:t>; Table 1)</w:t>
      </w:r>
      <w:r w:rsidR="007D435D">
        <w:t>, indicating</w:t>
      </w:r>
      <w:r w:rsidR="00C8080E">
        <w:t xml:space="preserve"> current/historic roof leaks, plumbing leaks or other water infiltration.  Water-</w:t>
      </w:r>
      <w:r w:rsidR="00C8080E">
        <w:lastRenderedPageBreak/>
        <w:t>damaged ceiling tiles can provide a source of mold and should be replaced after a water leak is discovered and repaired.</w:t>
      </w:r>
    </w:p>
    <w:p w:rsidR="00282C83" w:rsidRDefault="00B9387E" w:rsidP="00A35925">
      <w:pPr>
        <w:pStyle w:val="BodyText"/>
        <w:rPr>
          <w:snapToGrid w:val="0"/>
        </w:rPr>
      </w:pPr>
      <w:r>
        <w:rPr>
          <w:snapToGrid w:val="0"/>
        </w:rPr>
        <w:t xml:space="preserve">The </w:t>
      </w:r>
      <w:r w:rsidR="00651DDE">
        <w:rPr>
          <w:snapToGrid w:val="0"/>
        </w:rPr>
        <w:t xml:space="preserve">wooden </w:t>
      </w:r>
      <w:r>
        <w:rPr>
          <w:snapToGrid w:val="0"/>
        </w:rPr>
        <w:t>windowsill beneath the AC in Ms. DosSantos’s office exhibited peeling paint</w:t>
      </w:r>
      <w:r w:rsidR="00651DDE">
        <w:rPr>
          <w:snapToGrid w:val="0"/>
        </w:rPr>
        <w:t xml:space="preserve"> and</w:t>
      </w:r>
      <w:r>
        <w:rPr>
          <w:snapToGrid w:val="0"/>
        </w:rPr>
        <w:t xml:space="preserve"> water damage.  Although moisture testing at the time of the assessment deemed the wood dry, it is recommended that the windowsill be cleaned/refinished or replaced and that the seal around the AC be </w:t>
      </w:r>
      <w:r w:rsidR="005775CC">
        <w:rPr>
          <w:snapToGrid w:val="0"/>
        </w:rPr>
        <w:t>made</w:t>
      </w:r>
      <w:r>
        <w:rPr>
          <w:snapToGrid w:val="0"/>
        </w:rPr>
        <w:t xml:space="preserve"> as watertight as possible.</w:t>
      </w:r>
    </w:p>
    <w:p w:rsidR="00A35925" w:rsidRPr="00F36E00" w:rsidRDefault="00A35925" w:rsidP="00A35925">
      <w:pPr>
        <w:pStyle w:val="Heading2"/>
      </w:pPr>
      <w:r>
        <w:t>Other</w:t>
      </w:r>
      <w:r w:rsidRPr="00F36E00">
        <w:t xml:space="preserve"> </w:t>
      </w:r>
      <w:r>
        <w:t>IAQ Evaluations</w:t>
      </w:r>
    </w:p>
    <w:p w:rsidR="00A35925" w:rsidRPr="006D512D" w:rsidRDefault="00A35925" w:rsidP="00A35925">
      <w:pPr>
        <w:pStyle w:val="BodyText"/>
      </w:pPr>
      <w:r w:rsidRPr="006D512D">
        <w:t xml:space="preserve">Indoor air quality can be negatively influenced by the presence of respiratory irritants, such as products of combustion.  The process of combustion produces a number of pollutants.  Common combustion emissions include carbon monoxide, carbon dioxide, </w:t>
      </w:r>
      <w:proofErr w:type="gramStart"/>
      <w:r w:rsidRPr="006D512D">
        <w:t>water</w:t>
      </w:r>
      <w:proofErr w:type="gramEnd"/>
      <w:r w:rsidRPr="006D512D">
        <w:t xml:space="preserve"> vapor and smoke (fine airborne particle material).  Of these materials, exposure to carbon monoxide and </w:t>
      </w:r>
      <w:r w:rsidRPr="006607B3">
        <w:t>particulate matter with a diameter of 2.5 micrometers (μm) or less (PM2.5)</w:t>
      </w:r>
      <w:r w:rsidRPr="006D512D">
        <w:t xml:space="preserve"> can produce immediate, acute health effects upon exposure.  To determine whether combustion products were present in the </w:t>
      </w:r>
      <w:r>
        <w:t>indoor</w:t>
      </w:r>
      <w:r w:rsidRPr="006D512D">
        <w:t xml:space="preserve"> environment, BEH</w:t>
      </w:r>
      <w:r>
        <w:t>/IAQ</w:t>
      </w:r>
      <w:r w:rsidRPr="006D512D">
        <w:t xml:space="preserve"> staff obtained measuremen</w:t>
      </w:r>
      <w:r>
        <w:t>ts for carbon monoxide and PM2.5</w:t>
      </w:r>
      <w:r w:rsidRPr="006D512D">
        <w:t>.</w:t>
      </w:r>
    </w:p>
    <w:p w:rsidR="00A35925" w:rsidRPr="002D735D" w:rsidRDefault="00A35925" w:rsidP="00A35925">
      <w:pPr>
        <w:pStyle w:val="Heading3"/>
      </w:pPr>
      <w:r w:rsidRPr="002D735D">
        <w:t>Carbon Monoxide</w:t>
      </w:r>
    </w:p>
    <w:p w:rsidR="00A35925" w:rsidRPr="006631AE" w:rsidRDefault="00A35925" w:rsidP="00A35925">
      <w:pPr>
        <w:pStyle w:val="BodyText"/>
      </w:pPr>
      <w:r w:rsidRPr="00941BFB">
        <w:t>Carbon monoxide is a by-product of incomplete combustion of organic matter (e.g., gasoline, wood and tobacco).  Exposure to carbon monoxide can prod</w:t>
      </w:r>
      <w:r>
        <w:t>uce immediate and acute health e</w:t>
      </w:r>
      <w:r w:rsidRPr="00941BFB">
        <w:t xml:space="preserve">ffects.  Several air quality standards have been established to address carbon monoxide and prevent symptoms from exposure to these substances.  The MDPH established a corrective action level concerning carbon monoxide in ice skating rinks that use fossil-fueled ice resurfacing equipment.  If an operator of an indoor ice rink measures a carbon monoxide level </w:t>
      </w:r>
      <w:r w:rsidRPr="00941BFB">
        <w:lastRenderedPageBreak/>
        <w:t xml:space="preserve">over 30 ppm, taken 20 minutes after resurfacing within a rink, that operator must take actions to reduce carbon monoxide levels </w:t>
      </w:r>
      <w:r w:rsidRPr="006631AE">
        <w:t>(MDPH, 1997).</w:t>
      </w:r>
    </w:p>
    <w:p w:rsidR="00A35925" w:rsidRDefault="00A35925" w:rsidP="00A35925">
      <w:pPr>
        <w:pStyle w:val="BodyText"/>
      </w:pPr>
      <w:r w:rsidRPr="00941BFB">
        <w:t xml:space="preserve">The American Society of Heating Refrigeration and Air-Conditioning Engineers (ASHRAE) has adopted the National Ambient Air Quality Standards (NAAQS) as one set of criteria for assessing indoor air quality and monitoring of fresh air introduced by HVAC systems </w:t>
      </w:r>
      <w:r w:rsidRPr="008C1FC6">
        <w:t>(ASHRAE, 1989).</w:t>
      </w:r>
      <w:r w:rsidRPr="005F79ED">
        <w:t xml:space="preserve">  The NAAQS are standards established by the US EPA to protect the public health from six criteria pollutants, including carbon monoxide and particulate matter (US EPA, 2006).  As recommended by ASHRAE, pollutant levels of fresh air introduced to a building should not exceed the NAAQS levels (ASHRAE, 1989).  The NAAQS were adopted by refere</w:t>
      </w:r>
      <w:r w:rsidRPr="008C1FC6">
        <w:t>nce in the Building Officials &amp; Code Administrators (BOCA) National Mechanical Code of 1993 (BOCA, 1993), w</w:t>
      </w:r>
      <w:r w:rsidRPr="005F79ED">
        <w:t xml:space="preserve">hich is now an HVAC standard included in the Massachusetts State Building Code (SBBRS, </w:t>
      </w:r>
      <w:r>
        <w:t>2011</w:t>
      </w:r>
      <w:r w:rsidRPr="005F79ED">
        <w:t xml:space="preserve">).  According to the NAAQS, carbon monoxide levels in outdoor air should not exceed 9 ppm in an eight-hour average </w:t>
      </w:r>
      <w:r w:rsidRPr="008C1FC6">
        <w:t>(US EPA, 2006).</w:t>
      </w:r>
    </w:p>
    <w:p w:rsidR="00A35925" w:rsidRPr="00941BFB" w:rsidRDefault="00A35925" w:rsidP="00A35925">
      <w:pPr>
        <w:pStyle w:val="BodyText"/>
      </w:pPr>
      <w:r w:rsidRPr="00941BFB">
        <w:rPr>
          <w:i/>
        </w:rPr>
        <w:t>Carbon monoxide should not be present in a typical, indoor environment</w:t>
      </w:r>
      <w:r w:rsidRPr="00941BFB">
        <w:t xml:space="preserve">.  If it </w:t>
      </w:r>
      <w:r w:rsidRPr="00941BFB">
        <w:rPr>
          <w:i/>
        </w:rPr>
        <w:t>is</w:t>
      </w:r>
      <w:r w:rsidRPr="00941BFB">
        <w:t xml:space="preserve"> present, indoor carbon monoxide levels should be less than or equal to outdoor levels.  On the day of </w:t>
      </w:r>
      <w:r w:rsidR="00E97E2B">
        <w:t xml:space="preserve">the </w:t>
      </w:r>
      <w:r w:rsidRPr="00941BFB">
        <w:t xml:space="preserve">assessment, outdoor carbon monoxide concentrations were </w:t>
      </w:r>
      <w:proofErr w:type="gramStart"/>
      <w:r w:rsidRPr="00941BFB">
        <w:t>non</w:t>
      </w:r>
      <w:proofErr w:type="gramEnd"/>
      <w:r w:rsidRPr="00941BFB">
        <w:t xml:space="preserve">-detect (ND) (Table 1).  </w:t>
      </w:r>
      <w:r>
        <w:t>No measurable levels of c</w:t>
      </w:r>
      <w:r w:rsidRPr="00941BFB">
        <w:t xml:space="preserve">arbon monoxide were </w:t>
      </w:r>
      <w:r>
        <w:t>detected inside the building (Table 1)</w:t>
      </w:r>
      <w:r w:rsidRPr="00941BFB">
        <w:t>.</w:t>
      </w:r>
    </w:p>
    <w:p w:rsidR="00A35925" w:rsidRPr="002D735D" w:rsidRDefault="00A35925" w:rsidP="00A35925">
      <w:pPr>
        <w:pStyle w:val="Heading3"/>
      </w:pPr>
      <w:r w:rsidRPr="002D735D">
        <w:t>Particulate Matter</w:t>
      </w:r>
    </w:p>
    <w:p w:rsidR="00A35925" w:rsidRPr="006D512D" w:rsidRDefault="00A35925" w:rsidP="00A35925">
      <w:pPr>
        <w:pStyle w:val="BodyText"/>
      </w:pPr>
      <w:r w:rsidRPr="006D512D">
        <w:t xml:space="preserve">The US EPA has established NAAQS limits for exposure to particulate matter.  Particulate matter </w:t>
      </w:r>
      <w:r>
        <w:t>includes</w:t>
      </w:r>
      <w:r w:rsidRPr="006D512D">
        <w:rPr>
          <w:iCs/>
        </w:rPr>
        <w:t xml:space="preserve"> airborne solids that can </w:t>
      </w:r>
      <w:r w:rsidRPr="006D512D">
        <w:t xml:space="preserve">be irritating to the eyes, nose and throat.  The NAAQS originally established exposure limits to </w:t>
      </w:r>
      <w:r>
        <w:t>PM</w:t>
      </w:r>
      <w:r w:rsidRPr="006D512D">
        <w:t xml:space="preserve"> with a diameter of 10 μm or less (PM</w:t>
      </w:r>
      <w:r>
        <w:t>10).  In 1997</w:t>
      </w:r>
      <w:r w:rsidRPr="006D512D">
        <w:t>, US EPA established a more protective stan</w:t>
      </w:r>
      <w:r>
        <w:t xml:space="preserve">dard for fine airborne particulate matter with a diameter of 2.5 </w:t>
      </w:r>
      <w:r w:rsidRPr="006D512D">
        <w:t>μm or less (PM</w:t>
      </w:r>
      <w:r>
        <w:t xml:space="preserve">2.5).  </w:t>
      </w:r>
      <w:r w:rsidRPr="006D512D">
        <w:t xml:space="preserve">This more stringent PM2.5 standard requires outdoor air </w:t>
      </w:r>
      <w:r w:rsidRPr="006D512D">
        <w:lastRenderedPageBreak/>
        <w:t>particle levels be maintained below 35 μg/m</w:t>
      </w:r>
      <w:r w:rsidRPr="006D512D">
        <w:rPr>
          <w:vertAlign w:val="superscript"/>
        </w:rPr>
        <w:t>3</w:t>
      </w:r>
      <w:r w:rsidRPr="006D512D">
        <w:t xml:space="preserve"> over a 24-hour average (US EPA, 2006).  Although both the ASHRAE standard and BOCA Code adopted the PM10 standard for evaluating air quality, MDPH uses the more protective PM2.5 standard for evaluating airborne </w:t>
      </w:r>
      <w:r>
        <w:t>PM</w:t>
      </w:r>
      <w:r w:rsidRPr="006D512D">
        <w:t xml:space="preserve"> concentrations in the indoor environment.</w:t>
      </w:r>
    </w:p>
    <w:p w:rsidR="00A35925" w:rsidRDefault="00A35925" w:rsidP="00A35925">
      <w:pPr>
        <w:pStyle w:val="BodyText"/>
        <w:rPr>
          <w:szCs w:val="24"/>
        </w:rPr>
      </w:pPr>
      <w:r w:rsidRPr="002673EF">
        <w:t xml:space="preserve">Outdoor PM2.5 concentrations were measured </w:t>
      </w:r>
      <w:proofErr w:type="gramStart"/>
      <w:r w:rsidRPr="002673EF">
        <w:t xml:space="preserve">at </w:t>
      </w:r>
      <w:r w:rsidR="00B71157">
        <w:t>7</w:t>
      </w:r>
      <w:r w:rsidRPr="002673EF">
        <w:t xml:space="preserve"> μg/m</w:t>
      </w:r>
      <w:r w:rsidRPr="002673EF">
        <w:rPr>
          <w:vertAlign w:val="superscript"/>
        </w:rPr>
        <w:t>3</w:t>
      </w:r>
      <w:r w:rsidRPr="002673EF">
        <w:t xml:space="preserve"> (Table 1)</w:t>
      </w:r>
      <w:proofErr w:type="gramEnd"/>
      <w:r w:rsidRPr="002673EF">
        <w:t xml:space="preserve">.  </w:t>
      </w:r>
      <w:r w:rsidRPr="00086936">
        <w:t xml:space="preserve">PM2.5 levels measured in the </w:t>
      </w:r>
      <w:r w:rsidR="00276D83">
        <w:t>building ranged from</w:t>
      </w:r>
      <w:r w:rsidRPr="00086936">
        <w:t xml:space="preserve"> </w:t>
      </w:r>
      <w:r w:rsidR="00B71157">
        <w:t>9</w:t>
      </w:r>
      <w:r w:rsidRPr="00086936">
        <w:t xml:space="preserve"> </w:t>
      </w:r>
      <w:proofErr w:type="gramStart"/>
      <w:r w:rsidRPr="00086936">
        <w:t xml:space="preserve">to </w:t>
      </w:r>
      <w:r w:rsidR="00B71157">
        <w:t xml:space="preserve">11 </w:t>
      </w:r>
      <w:r w:rsidRPr="00086936">
        <w:t>μg/m</w:t>
      </w:r>
      <w:r w:rsidRPr="00086936">
        <w:rPr>
          <w:vertAlign w:val="superscript"/>
        </w:rPr>
        <w:t>3</w:t>
      </w:r>
      <w:r>
        <w:t xml:space="preserve"> (Table 1),</w:t>
      </w:r>
      <w:proofErr w:type="gramEnd"/>
      <w:r w:rsidRPr="00086936">
        <w:t xml:space="preserve"> </w:t>
      </w:r>
      <w:r>
        <w:t xml:space="preserve">which were </w:t>
      </w:r>
      <w:r w:rsidRPr="00D01B89">
        <w:t xml:space="preserve">below the NAAQS PM2.5 level of </w:t>
      </w:r>
      <w:r>
        <w:t>3</w:t>
      </w:r>
      <w:r w:rsidRPr="00D01B89">
        <w:t>5 μg/m</w:t>
      </w:r>
      <w:r w:rsidRPr="00D01B89">
        <w:rPr>
          <w:vertAlign w:val="superscript"/>
        </w:rPr>
        <w:t>3</w:t>
      </w:r>
      <w:r>
        <w:t>.</w:t>
      </w:r>
      <w:r w:rsidRPr="00D01B89">
        <w:t xml:space="preserve"> </w:t>
      </w:r>
      <w:r>
        <w:t xml:space="preserve"> </w:t>
      </w:r>
      <w:r w:rsidRPr="006D512D">
        <w:t>Frequently, indoor air levels of particulate</w:t>
      </w:r>
      <w:r w:rsidR="008F48D1">
        <w:t xml:space="preserve"> matter</w:t>
      </w:r>
      <w:r w:rsidRPr="006D512D">
        <w:t xml:space="preserve"> (including PM2.5) can be at higher levels than those measured outdoors.  A number of activities that occur in</w:t>
      </w:r>
      <w:r>
        <w:t>doors</w:t>
      </w:r>
      <w:r w:rsidRPr="006D512D">
        <w:t xml:space="preserve"> and/or mechanical devices can generate </w:t>
      </w:r>
      <w:r w:rsidR="0008720E" w:rsidRPr="008B447D">
        <w:t xml:space="preserve">particulate </w:t>
      </w:r>
      <w:r w:rsidR="0008720E">
        <w:t>matter</w:t>
      </w:r>
      <w:r w:rsidRPr="006D512D">
        <w:t xml:space="preserve"> during normal </w:t>
      </w:r>
      <w:r w:rsidRPr="006A222D">
        <w:rPr>
          <w:szCs w:val="24"/>
        </w:rPr>
        <w:t>operations.  Sources of indoor airborne particulate</w:t>
      </w:r>
      <w:r w:rsidR="008F48D1">
        <w:rPr>
          <w:szCs w:val="24"/>
        </w:rPr>
        <w:t xml:space="preserve"> matter</w:t>
      </w:r>
      <w:r w:rsidRPr="006A222D">
        <w:rPr>
          <w:szCs w:val="24"/>
        </w:rPr>
        <w:t xml:space="preserve"> may include but are not limited to particles generated during the operation of fan belts in the HVAC system, use of stoves and/or microwave ovens in kitchen areas; use of photocopiers, fax machines and computer printing devices; operation of an ordinary vacuum cleaner and heavy foot traffic indoors.</w:t>
      </w:r>
    </w:p>
    <w:p w:rsidR="00A35925" w:rsidRPr="005C3A65" w:rsidRDefault="00A35925" w:rsidP="00A35925">
      <w:pPr>
        <w:pStyle w:val="Heading2"/>
      </w:pPr>
      <w:r w:rsidRPr="005C3A65">
        <w:t>Other Conditions</w:t>
      </w:r>
    </w:p>
    <w:p w:rsidR="00282C83" w:rsidRDefault="00A35925" w:rsidP="00282C83">
      <w:pPr>
        <w:pStyle w:val="BodyText"/>
      </w:pPr>
      <w:r w:rsidRPr="00B61907">
        <w:t xml:space="preserve">Other conditions that can affect </w:t>
      </w:r>
      <w:r>
        <w:t>IAQ</w:t>
      </w:r>
      <w:r w:rsidRPr="00B61907">
        <w:t xml:space="preserve"> were observed during the assessment.  </w:t>
      </w:r>
      <w:r w:rsidR="00282C83">
        <w:t xml:space="preserve">In </w:t>
      </w:r>
      <w:r w:rsidR="00B71157">
        <w:t>some areas</w:t>
      </w:r>
      <w:r w:rsidR="00282C83">
        <w:t xml:space="preserve"> items were on floors, windowsills, tabletops, counters, bookcases and desks, which provide a source for dusts to accumulate.  These items (e.g., papers, folders, boxes) make it difficult for custodial staff to clean.  Items should be relocated and/or be cleaned periodically to avoid excessive dust build up.  In addition, dust and debris can accumulate on flat surfaces (e.g., desktops, shelving and carpets) in occupied areas and subsequently be re-aerosolized causing further irritation.</w:t>
      </w:r>
      <w:r w:rsidR="00B71157">
        <w:t xml:space="preserve">  Dirt, dust and debris </w:t>
      </w:r>
      <w:proofErr w:type="gramStart"/>
      <w:r w:rsidR="00B71157">
        <w:t>was</w:t>
      </w:r>
      <w:proofErr w:type="gramEnd"/>
      <w:r w:rsidR="00B71157">
        <w:t xml:space="preserve"> also observed in the interior of the univent, which can be aerosolized if uncontrolled drafts are forced through it.</w:t>
      </w:r>
    </w:p>
    <w:p w:rsidR="0067252C" w:rsidRDefault="0067252C" w:rsidP="0067252C">
      <w:pPr>
        <w:pStyle w:val="BodyText"/>
      </w:pPr>
      <w:r>
        <w:lastRenderedPageBreak/>
        <w:t>Finally, offices contain wall-to-wall carpeting that appeared to be in good condition.  T</w:t>
      </w:r>
      <w:r w:rsidRPr="00AC7C27">
        <w:t>he Institute of Inspection, Cleaning and Restoration Certification (IICRC), recommends that carpeting be cleaned annually (or semi-annually in soiled high traffic areas) (IICRC, 20</w:t>
      </w:r>
      <w:r>
        <w:t>12</w:t>
      </w:r>
      <w:r w:rsidRPr="00AC7C27">
        <w:t>).</w:t>
      </w:r>
    </w:p>
    <w:p w:rsidR="00A35925" w:rsidRPr="0068736E" w:rsidRDefault="00A35925" w:rsidP="00A35925">
      <w:pPr>
        <w:pStyle w:val="Heading1"/>
      </w:pPr>
      <w:r w:rsidRPr="0068736E">
        <w:t>Conclusions/Recommendations</w:t>
      </w:r>
    </w:p>
    <w:p w:rsidR="00A35925" w:rsidRPr="00DE5AFE" w:rsidRDefault="00B71157" w:rsidP="00A35925">
      <w:pPr>
        <w:pStyle w:val="BodyText"/>
      </w:pPr>
      <w:r w:rsidRPr="00B71157">
        <w:t>In view of the findings at the time of the visit, the following recommendations are provided</w:t>
      </w:r>
      <w:r>
        <w:t>.</w:t>
      </w:r>
    </w:p>
    <w:p w:rsidR="00B02C67" w:rsidRDefault="00E61D61" w:rsidP="008D3388">
      <w:pPr>
        <w:pStyle w:val="TOC6"/>
      </w:pPr>
      <w:r>
        <w:t xml:space="preserve">Consider relocating Ms. DosSantos’s work space away from </w:t>
      </w:r>
      <w:r w:rsidR="00CC6B81">
        <w:t xml:space="preserve">the </w:t>
      </w:r>
      <w:r>
        <w:t>univent.</w:t>
      </w:r>
    </w:p>
    <w:p w:rsidR="00A52A61" w:rsidRDefault="00E61D61" w:rsidP="008D3388">
      <w:pPr>
        <w:pStyle w:val="TOC6"/>
      </w:pPr>
      <w:r>
        <w:t>If original function of univents is not to be restored consider sealing fresh air intake</w:t>
      </w:r>
      <w:r w:rsidR="003761A0">
        <w:t>s</w:t>
      </w:r>
      <w:r>
        <w:t xml:space="preserve"> to prevent uncontrolled drafts</w:t>
      </w:r>
      <w:r w:rsidR="003761A0">
        <w:t xml:space="preserve"> and aerosolization of dust/debris</w:t>
      </w:r>
      <w:r>
        <w:t>.</w:t>
      </w:r>
    </w:p>
    <w:p w:rsidR="003761A0" w:rsidRDefault="003761A0" w:rsidP="00A35925">
      <w:pPr>
        <w:pStyle w:val="BodyText"/>
        <w:numPr>
          <w:ilvl w:val="0"/>
          <w:numId w:val="3"/>
        </w:numPr>
        <w:tabs>
          <w:tab w:val="clear" w:pos="720"/>
        </w:tabs>
      </w:pPr>
      <w:r>
        <w:t xml:space="preserve">Consider replacing </w:t>
      </w:r>
      <w:r w:rsidR="00CC6B81">
        <w:t xml:space="preserve">vintage </w:t>
      </w:r>
      <w:r>
        <w:t>univents with modern units.</w:t>
      </w:r>
    </w:p>
    <w:p w:rsidR="003761A0" w:rsidRDefault="003761A0" w:rsidP="00A35925">
      <w:pPr>
        <w:pStyle w:val="BodyText"/>
        <w:numPr>
          <w:ilvl w:val="0"/>
          <w:numId w:val="3"/>
        </w:numPr>
        <w:tabs>
          <w:tab w:val="clear" w:pos="720"/>
        </w:tabs>
      </w:pPr>
      <w:r>
        <w:t>Reactivate exhaust vents in closets, make repairs as needed.</w:t>
      </w:r>
    </w:p>
    <w:p w:rsidR="0059451B" w:rsidRDefault="00A57080" w:rsidP="00A35925">
      <w:pPr>
        <w:pStyle w:val="BodyText"/>
        <w:numPr>
          <w:ilvl w:val="0"/>
          <w:numId w:val="3"/>
        </w:numPr>
        <w:tabs>
          <w:tab w:val="clear" w:pos="720"/>
        </w:tabs>
      </w:pPr>
      <w:r>
        <w:t>Occupants are encouraged to o</w:t>
      </w:r>
      <w:r w:rsidR="0059451B">
        <w:t>pen windows (weather permitting) where operable, to temper rooms and provide fresh air.  Care should be taken to ensure windows are properly closed at night and on weekends to avoid the freezing of pipes and potential flooding.</w:t>
      </w:r>
    </w:p>
    <w:p w:rsidR="00810251" w:rsidRDefault="00A35925" w:rsidP="00A35925">
      <w:pPr>
        <w:pStyle w:val="BodyText"/>
        <w:numPr>
          <w:ilvl w:val="0"/>
          <w:numId w:val="3"/>
        </w:numPr>
        <w:tabs>
          <w:tab w:val="clear" w:pos="720"/>
        </w:tabs>
      </w:pPr>
      <w:r w:rsidRPr="00E6707C">
        <w:t>For buildings in New England, periods of low relative humidity during the winter are often unavoidable.  Therefore, scrupulous cleaning practices should be adopted to minimize common indoor air contaminants whose irritant effects can be enhanced when the relative h</w:t>
      </w:r>
      <w:r>
        <w:t xml:space="preserve">umidity is low.  To control </w:t>
      </w:r>
      <w:r w:rsidRPr="00E6707C">
        <w:t>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A35925" w:rsidRDefault="00810251" w:rsidP="00A35925">
      <w:pPr>
        <w:pStyle w:val="BodyText"/>
        <w:numPr>
          <w:ilvl w:val="0"/>
          <w:numId w:val="3"/>
        </w:numPr>
        <w:tabs>
          <w:tab w:val="clear" w:pos="720"/>
        </w:tabs>
      </w:pPr>
      <w:r>
        <w:lastRenderedPageBreak/>
        <w:t xml:space="preserve">Particular attention should be paid to thoroughly clean in/around </w:t>
      </w:r>
      <w:r w:rsidR="00E61D61">
        <w:t>univent</w:t>
      </w:r>
      <w:r>
        <w:t xml:space="preserve"> and surrounding surfaces (e.g., </w:t>
      </w:r>
      <w:r w:rsidR="00E61D61">
        <w:t>windowsills, floor</w:t>
      </w:r>
      <w:r>
        <w:t>) as needed.</w:t>
      </w:r>
    </w:p>
    <w:p w:rsidR="0039663A" w:rsidRDefault="0039663A" w:rsidP="008D3388">
      <w:pPr>
        <w:pStyle w:val="TOC6"/>
      </w:pPr>
      <w:r>
        <w:t>Clean/refinish or replace windowsill below AC in Ms. DosSantos’s office.</w:t>
      </w:r>
      <w:r w:rsidR="00CC6B81">
        <w:t xml:space="preserve">  Ensure AC is installed as airtight as possible to prevent drafts and/or water infiltration around unit.</w:t>
      </w:r>
    </w:p>
    <w:p w:rsidR="007A0C2E" w:rsidRPr="007A0C2E" w:rsidRDefault="007A0C2E" w:rsidP="008D3388">
      <w:pPr>
        <w:pStyle w:val="TOC6"/>
      </w:pPr>
      <w:r w:rsidRPr="007A0C2E">
        <w:t>Ensure roof/plumbing leaks are repaired</w:t>
      </w:r>
      <w:r>
        <w:t xml:space="preserve"> </w:t>
      </w:r>
      <w:r w:rsidRPr="007A0C2E">
        <w:t>and replace any remaining water-damaged ceiling tiles</w:t>
      </w:r>
      <w:r>
        <w:t xml:space="preserve"> and other building materials</w:t>
      </w:r>
      <w:r w:rsidRPr="007A0C2E">
        <w:t>.  Disinfect areas of water leaks with an appropriate antimicrobial, as needed.</w:t>
      </w:r>
    </w:p>
    <w:p w:rsidR="00037DDB" w:rsidRDefault="00037DDB" w:rsidP="00037DDB">
      <w:pPr>
        <w:pStyle w:val="BodyText"/>
        <w:numPr>
          <w:ilvl w:val="0"/>
          <w:numId w:val="3"/>
        </w:numPr>
        <w:tabs>
          <w:tab w:val="clear" w:pos="720"/>
        </w:tabs>
      </w:pPr>
      <w:r w:rsidRPr="003E6CC1">
        <w:t xml:space="preserve">Relocate or consider reducing the amount of materials stored in </w:t>
      </w:r>
      <w:r w:rsidR="00E61D61">
        <w:t>work areas</w:t>
      </w:r>
      <w:r w:rsidRPr="003E6CC1">
        <w:t xml:space="preserve"> to allow for more thorough cleaning.  Clean items regularly with a wet cloth or sponge to prevent excessive dust build-up.</w:t>
      </w:r>
    </w:p>
    <w:p w:rsidR="008D3388" w:rsidRPr="008D3388" w:rsidRDefault="008D3388" w:rsidP="008D3388">
      <w:pPr>
        <w:pStyle w:val="TOC6"/>
      </w:pPr>
      <w:r w:rsidRPr="008D3388">
        <w:t>Clean carpeting annually or semi-annually in soiled high traffic areas as per the recommendations of the Institute of Inspection, Cleaning and Restoration Certification (IICRC, 2012).</w:t>
      </w:r>
    </w:p>
    <w:p w:rsidR="00A35925" w:rsidRDefault="00A35925" w:rsidP="00A35925">
      <w:pPr>
        <w:pStyle w:val="BodyText"/>
        <w:numPr>
          <w:ilvl w:val="0"/>
          <w:numId w:val="3"/>
        </w:numPr>
        <w:tabs>
          <w:tab w:val="clear" w:pos="720"/>
        </w:tabs>
      </w:pPr>
      <w:r>
        <w:t xml:space="preserve">Refer to resource manual and other related indoor air quality documents located on the MDPH’s website for further building-wide evaluations and advice on maintaining public </w:t>
      </w:r>
      <w:r w:rsidRPr="006E7309">
        <w:t>buildings.  These documen</w:t>
      </w:r>
      <w:r>
        <w:t xml:space="preserve">ts are available at: </w:t>
      </w:r>
      <w:hyperlink r:id="rId12" w:history="1">
        <w:r w:rsidRPr="005D3281">
          <w:rPr>
            <w:rStyle w:val="Hyperlink"/>
          </w:rPr>
          <w:t>http://mass.gov/dph/iaq</w:t>
        </w:r>
      </w:hyperlink>
      <w:r>
        <w:t>.</w:t>
      </w:r>
    </w:p>
    <w:p w:rsidR="00A35925" w:rsidRPr="003F1576" w:rsidRDefault="00A35925" w:rsidP="00A35925">
      <w:pPr>
        <w:pStyle w:val="Heading1"/>
      </w:pPr>
      <w:r>
        <w:br w:type="page"/>
      </w:r>
      <w:r w:rsidRPr="003F1576">
        <w:lastRenderedPageBreak/>
        <w:t>References</w:t>
      </w:r>
    </w:p>
    <w:p w:rsidR="00A35925" w:rsidRPr="008F48D1" w:rsidRDefault="00A35925" w:rsidP="002811E0">
      <w:pPr>
        <w:pStyle w:val="BodyText2"/>
      </w:pPr>
      <w:proofErr w:type="gramStart"/>
      <w:r w:rsidRPr="008F48D1">
        <w:t>ASHRAE.</w:t>
      </w:r>
      <w:proofErr w:type="gramEnd"/>
      <w:r w:rsidRPr="008F48D1">
        <w:t xml:space="preserve">  1989.  Ventilation for Acceptable Indoor Air Quality.  </w:t>
      </w:r>
      <w:proofErr w:type="gramStart"/>
      <w:r w:rsidRPr="008F48D1">
        <w:t>American Society of Heating, Refrigeration and Air Conditioning Engineers.</w:t>
      </w:r>
      <w:proofErr w:type="gramEnd"/>
      <w:r w:rsidRPr="008F48D1">
        <w:t xml:space="preserve">  ANSI/ASHRAE 62-1989.</w:t>
      </w:r>
    </w:p>
    <w:p w:rsidR="00820C37" w:rsidRPr="00FB3504" w:rsidRDefault="00820C37" w:rsidP="002811E0">
      <w:pPr>
        <w:pStyle w:val="BodyText2"/>
      </w:pPr>
      <w:proofErr w:type="gramStart"/>
      <w:r w:rsidRPr="00FB3504">
        <w:t>ASHRAE.</w:t>
      </w:r>
      <w:proofErr w:type="gramEnd"/>
      <w:r w:rsidRPr="00FB3504">
        <w:t xml:space="preserve">  1991.  ASHRAE Applications Handbook, Chapter 33 “Owning and Operating Costs”.  </w:t>
      </w:r>
      <w:proofErr w:type="gramStart"/>
      <w:r w:rsidRPr="00FB3504">
        <w:t>American Society of Heating, Refrigeration and Air Conditioning Engineers, Atlanta, GA.</w:t>
      </w:r>
      <w:proofErr w:type="gramEnd"/>
    </w:p>
    <w:p w:rsidR="00A35925" w:rsidRPr="00FB3504" w:rsidRDefault="00A35925" w:rsidP="002811E0">
      <w:pPr>
        <w:pStyle w:val="BodyText2"/>
      </w:pPr>
      <w:proofErr w:type="gramStart"/>
      <w:r w:rsidRPr="00FB3504">
        <w:t>BOCA.</w:t>
      </w:r>
      <w:proofErr w:type="gramEnd"/>
      <w:r w:rsidRPr="00FB3504">
        <w:t xml:space="preserve">  1993.  The BOCA National Mechanical Code/1993.  8th </w:t>
      </w:r>
      <w:proofErr w:type="gramStart"/>
      <w:r w:rsidRPr="00FB3504">
        <w:t>ed</w:t>
      </w:r>
      <w:proofErr w:type="gramEnd"/>
      <w:r w:rsidRPr="00FB3504">
        <w:t xml:space="preserve">.  </w:t>
      </w:r>
      <w:proofErr w:type="gramStart"/>
      <w:r w:rsidRPr="00FB3504">
        <w:t>Building Officials and Code Administrators International, Inc., Country Club Hill, IL.</w:t>
      </w:r>
      <w:proofErr w:type="gramEnd"/>
    </w:p>
    <w:p w:rsidR="008D3388" w:rsidRPr="008F48D1" w:rsidRDefault="008D3388" w:rsidP="008D3388">
      <w:pPr>
        <w:spacing w:after="240"/>
        <w:rPr>
          <w:szCs w:val="20"/>
        </w:rPr>
      </w:pPr>
      <w:proofErr w:type="gramStart"/>
      <w:r w:rsidRPr="008F48D1">
        <w:rPr>
          <w:szCs w:val="20"/>
        </w:rPr>
        <w:t>IICRC.</w:t>
      </w:r>
      <w:proofErr w:type="gramEnd"/>
      <w:r w:rsidRPr="008F48D1">
        <w:rPr>
          <w:szCs w:val="20"/>
        </w:rPr>
        <w:t xml:space="preserve">  2012.  Carpet Cleaning FAQ 4 Institute of Inspection, Cleaning and Restoration Certification.  </w:t>
      </w:r>
      <w:proofErr w:type="gramStart"/>
      <w:r w:rsidRPr="008F48D1">
        <w:rPr>
          <w:szCs w:val="20"/>
        </w:rPr>
        <w:t>Institute of Inspection Cleaning and Restoration, Vancouver, WA.</w:t>
      </w:r>
      <w:proofErr w:type="gramEnd"/>
    </w:p>
    <w:p w:rsidR="00A35925" w:rsidRPr="008F48D1" w:rsidRDefault="00A35925" w:rsidP="002811E0">
      <w:pPr>
        <w:pStyle w:val="BodyText2"/>
      </w:pPr>
      <w:proofErr w:type="gramStart"/>
      <w:r w:rsidRPr="008F48D1">
        <w:t>MDPH.</w:t>
      </w:r>
      <w:proofErr w:type="gramEnd"/>
      <w:r w:rsidRPr="008F48D1">
        <w:t xml:space="preserve">  1997.  Requirements to Maintain Air Quality in Indoor Skating Rinks (State Sanitary Code, Chapter XI).  </w:t>
      </w:r>
      <w:proofErr w:type="gramStart"/>
      <w:r w:rsidRPr="008F48D1">
        <w:t>105 CMR 675.000.</w:t>
      </w:r>
      <w:proofErr w:type="gramEnd"/>
      <w:r w:rsidRPr="008F48D1">
        <w:t xml:space="preserve">  </w:t>
      </w:r>
      <w:proofErr w:type="gramStart"/>
      <w:r w:rsidRPr="008F48D1">
        <w:t>Massachusetts Department of Public Health, Boston, MA.</w:t>
      </w:r>
      <w:proofErr w:type="gramEnd"/>
    </w:p>
    <w:p w:rsidR="00A35925" w:rsidRPr="00FB3504" w:rsidRDefault="00A35925" w:rsidP="002811E0">
      <w:pPr>
        <w:pStyle w:val="BodyText2"/>
      </w:pPr>
      <w:proofErr w:type="gramStart"/>
      <w:r w:rsidRPr="00FB3504">
        <w:t>OSHA.</w:t>
      </w:r>
      <w:proofErr w:type="gramEnd"/>
      <w:r w:rsidRPr="00FB3504">
        <w:t xml:space="preserve">  1997.  Limits for Air Contaminants.  </w:t>
      </w:r>
      <w:proofErr w:type="gramStart"/>
      <w:r w:rsidRPr="00FB3504">
        <w:t>Occupational Safety and Health Administration.</w:t>
      </w:r>
      <w:proofErr w:type="gramEnd"/>
      <w:r w:rsidRPr="00FB3504">
        <w:t xml:space="preserve">  </w:t>
      </w:r>
      <w:proofErr w:type="gramStart"/>
      <w:r w:rsidRPr="00FB3504">
        <w:t>Code of Federal Regulations.</w:t>
      </w:r>
      <w:proofErr w:type="gramEnd"/>
      <w:r w:rsidRPr="00FB3504">
        <w:t xml:space="preserve">  29 C.F.R 1910.1000 Table </w:t>
      </w:r>
      <w:proofErr w:type="gramStart"/>
      <w:r w:rsidRPr="00FB3504">
        <w:t>Z-1-A.</w:t>
      </w:r>
      <w:proofErr w:type="gramEnd"/>
    </w:p>
    <w:p w:rsidR="00A35925" w:rsidRPr="008F48D1" w:rsidRDefault="00A35925" w:rsidP="002811E0">
      <w:pPr>
        <w:pStyle w:val="BodyText2"/>
      </w:pPr>
      <w:proofErr w:type="gramStart"/>
      <w:r w:rsidRPr="008F48D1">
        <w:t>SBBRS.</w:t>
      </w:r>
      <w:proofErr w:type="gramEnd"/>
      <w:r w:rsidRPr="008F48D1">
        <w:t xml:space="preserve">  2011.  Mechanical Ventilation.  </w:t>
      </w:r>
      <w:proofErr w:type="gramStart"/>
      <w:r w:rsidRPr="008F48D1">
        <w:t>State Board of Building Regulations and Standards.</w:t>
      </w:r>
      <w:proofErr w:type="gramEnd"/>
      <w:r w:rsidRPr="008F48D1">
        <w:t xml:space="preserve">  </w:t>
      </w:r>
      <w:proofErr w:type="gramStart"/>
      <w:r w:rsidRPr="008F48D1">
        <w:t>Code of Massachusetts Regulations, 8</w:t>
      </w:r>
      <w:r w:rsidRPr="008F48D1">
        <w:rPr>
          <w:vertAlign w:val="superscript"/>
        </w:rPr>
        <w:t>th</w:t>
      </w:r>
      <w:r w:rsidRPr="008F48D1">
        <w:t xml:space="preserve"> edition.</w:t>
      </w:r>
      <w:proofErr w:type="gramEnd"/>
      <w:r w:rsidRPr="008F48D1">
        <w:t xml:space="preserve">  780 CMR 1209.0</w:t>
      </w:r>
    </w:p>
    <w:p w:rsidR="00A35925" w:rsidRPr="00FB3504" w:rsidRDefault="00A35925" w:rsidP="002811E0">
      <w:pPr>
        <w:pStyle w:val="BodyText2"/>
      </w:pPr>
      <w:proofErr w:type="gramStart"/>
      <w:r w:rsidRPr="00FB3504">
        <w:t>SMACNA.</w:t>
      </w:r>
      <w:proofErr w:type="gramEnd"/>
      <w:r w:rsidRPr="00FB3504">
        <w:t xml:space="preserve">  1994.  HVAC Systems Commissioning Manual.  1</w:t>
      </w:r>
      <w:r w:rsidRPr="00FB3504">
        <w:rPr>
          <w:vertAlign w:val="superscript"/>
        </w:rPr>
        <w:t>st</w:t>
      </w:r>
      <w:r w:rsidRPr="00FB3504">
        <w:t xml:space="preserve"> </w:t>
      </w:r>
      <w:proofErr w:type="gramStart"/>
      <w:r w:rsidRPr="00FB3504">
        <w:t>ed</w:t>
      </w:r>
      <w:proofErr w:type="gramEnd"/>
      <w:r w:rsidRPr="00FB3504">
        <w:t xml:space="preserve">.  </w:t>
      </w:r>
      <w:proofErr w:type="gramStart"/>
      <w:r w:rsidRPr="00FB3504">
        <w:t>Sheet Metal and Air Conditioning Contractors’ National Association, Inc., Chantilly, VA.</w:t>
      </w:r>
      <w:proofErr w:type="gramEnd"/>
    </w:p>
    <w:p w:rsidR="00A35925" w:rsidRPr="00FB3504" w:rsidRDefault="003031E7" w:rsidP="002811E0">
      <w:pPr>
        <w:pStyle w:val="BodyText2"/>
      </w:pPr>
      <w:proofErr w:type="gramStart"/>
      <w:r w:rsidRPr="00FB3504">
        <w:t>Sundell.</w:t>
      </w:r>
      <w:proofErr w:type="gramEnd"/>
      <w:r w:rsidRPr="00FB3504">
        <w:t xml:space="preserve">  2011.  </w:t>
      </w:r>
      <w:r w:rsidR="00A35925" w:rsidRPr="00FB3504">
        <w:t xml:space="preserve">Sundell, J., H. Levin, W. W. Nazaroff, W. S. Cain, W. J. Fisk, D. T. Grimsrud, F. Gyntelberg, Y. Li, A. K. Persily, A. C. Pickering, J. M. Samet, J. D. Spengler, S. T. Taylor, and C. J. Weschler.   Ventilation rates and health: multidisciplinary review of the scientific literature.  </w:t>
      </w:r>
      <w:r w:rsidR="00A35925" w:rsidRPr="00FB3504">
        <w:rPr>
          <w:i/>
        </w:rPr>
        <w:t>Indoor Air</w:t>
      </w:r>
      <w:r w:rsidR="00A35925" w:rsidRPr="00FB3504">
        <w:t>, Volume 21: pp 191–204.</w:t>
      </w:r>
    </w:p>
    <w:p w:rsidR="00805C06" w:rsidRDefault="00A35925" w:rsidP="002811E0">
      <w:pPr>
        <w:pStyle w:val="BodyText2"/>
        <w:sectPr w:rsidR="00805C06" w:rsidSect="00A3592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8F48D1">
        <w:t>US EPA.</w:t>
      </w:r>
      <w:proofErr w:type="gramEnd"/>
      <w:r w:rsidRPr="008F48D1">
        <w:t xml:space="preserve">  2006.  National Ambient Air Quality Standards (NAAQS).  </w:t>
      </w:r>
      <w:proofErr w:type="gramStart"/>
      <w:r w:rsidRPr="008F48D1">
        <w:t>US Environmental Protection Agency, Office of Air Quality Planning and Standards, Washington, DC.</w:t>
      </w:r>
      <w:proofErr w:type="gramEnd"/>
      <w:r w:rsidRPr="008F48D1">
        <w:t xml:space="preserve">  </w:t>
      </w:r>
      <w:hyperlink r:id="rId19" w:history="1">
        <w:r w:rsidRPr="008F48D1">
          <w:rPr>
            <w:rStyle w:val="Hyperlink"/>
            <w:szCs w:val="24"/>
          </w:rPr>
          <w:t>http://www.epa.</w:t>
        </w:r>
        <w:bookmarkStart w:id="2" w:name="_Hlt521827363"/>
        <w:r w:rsidRPr="008F48D1">
          <w:rPr>
            <w:rStyle w:val="Hyperlink"/>
            <w:szCs w:val="24"/>
          </w:rPr>
          <w:t>g</w:t>
        </w:r>
        <w:bookmarkEnd w:id="2"/>
        <w:r w:rsidRPr="008F48D1">
          <w:rPr>
            <w:rStyle w:val="Hyperlink"/>
            <w:szCs w:val="24"/>
          </w:rPr>
          <w:t>ov/air/criteria.html</w:t>
        </w:r>
      </w:hyperlink>
      <w:r w:rsidRPr="008F48D1">
        <w:t>.</w:t>
      </w:r>
    </w:p>
    <w:p w:rsidR="00805C06" w:rsidRPr="00805C06" w:rsidRDefault="00805C06" w:rsidP="00805C06">
      <w:pPr>
        <w:spacing w:after="200" w:line="276" w:lineRule="auto"/>
        <w:rPr>
          <w:rFonts w:eastAsia="Calibri"/>
          <w:b/>
        </w:rPr>
      </w:pPr>
      <w:r w:rsidRPr="00805C06">
        <w:rPr>
          <w:rFonts w:eastAsia="Calibri"/>
          <w:b/>
        </w:rPr>
        <w:lastRenderedPageBreak/>
        <w:t>Picture 1</w:t>
      </w:r>
    </w:p>
    <w:p w:rsidR="00805C06" w:rsidRPr="00805C06" w:rsidRDefault="002C0DBF" w:rsidP="00805C06">
      <w:pPr>
        <w:spacing w:after="200" w:line="276" w:lineRule="auto"/>
        <w:jc w:val="center"/>
        <w:rPr>
          <w:rFonts w:eastAsia="Calibri"/>
          <w:b/>
        </w:rPr>
      </w:pPr>
      <w:r>
        <w:rPr>
          <w:rFonts w:eastAsia="Calibri"/>
          <w:b/>
          <w:noProof/>
          <w:lang w:eastAsia="zh-TW"/>
        </w:rPr>
        <w:drawing>
          <wp:inline distT="0" distB="0" distL="0" distR="0">
            <wp:extent cx="4389120" cy="3299460"/>
            <wp:effectExtent l="0" t="0" r="0" b="0"/>
            <wp:docPr id="1" name="Picture 1" descr="Early 1940's univent, note peeling pai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arly 1940's univent, note peeling paint" title="Picture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9120" cy="3299460"/>
                    </a:xfrm>
                    <a:prstGeom prst="rect">
                      <a:avLst/>
                    </a:prstGeom>
                    <a:noFill/>
                    <a:ln>
                      <a:noFill/>
                    </a:ln>
                  </pic:spPr>
                </pic:pic>
              </a:graphicData>
            </a:graphic>
          </wp:inline>
        </w:drawing>
      </w:r>
    </w:p>
    <w:p w:rsidR="00805C06" w:rsidRPr="00805C06" w:rsidRDefault="00805C06" w:rsidP="00805C06">
      <w:pPr>
        <w:spacing w:after="200" w:line="276" w:lineRule="auto"/>
        <w:jc w:val="center"/>
        <w:rPr>
          <w:rFonts w:eastAsia="Calibri"/>
          <w:b/>
        </w:rPr>
      </w:pPr>
      <w:r w:rsidRPr="00805C06">
        <w:rPr>
          <w:rFonts w:eastAsia="Calibri"/>
          <w:b/>
        </w:rPr>
        <w:t>Early 1940s univent, note peeling paint</w:t>
      </w:r>
    </w:p>
    <w:p w:rsidR="00805C06" w:rsidRPr="00805C06" w:rsidRDefault="00805C06" w:rsidP="00805C06">
      <w:pPr>
        <w:spacing w:after="200" w:line="276" w:lineRule="auto"/>
        <w:rPr>
          <w:rFonts w:eastAsia="Calibri"/>
          <w:b/>
        </w:rPr>
      </w:pPr>
      <w:r w:rsidRPr="00805C06">
        <w:rPr>
          <w:rFonts w:eastAsia="Calibri"/>
          <w:b/>
        </w:rPr>
        <w:t>Picture 2</w:t>
      </w:r>
    </w:p>
    <w:p w:rsidR="00805C06" w:rsidRPr="00805C06" w:rsidRDefault="002C0DBF" w:rsidP="00805C06">
      <w:pPr>
        <w:spacing w:after="200" w:line="276" w:lineRule="auto"/>
        <w:jc w:val="center"/>
        <w:rPr>
          <w:rFonts w:eastAsia="Calibri"/>
          <w:b/>
        </w:rPr>
      </w:pPr>
      <w:r>
        <w:rPr>
          <w:rFonts w:eastAsia="Calibri"/>
          <w:b/>
          <w:noProof/>
          <w:lang w:eastAsia="zh-TW"/>
        </w:rPr>
        <w:drawing>
          <wp:inline distT="0" distB="0" distL="0" distR="0">
            <wp:extent cx="4389120" cy="3299460"/>
            <wp:effectExtent l="0" t="0" r="0" b="0"/>
            <wp:docPr id="2" name="Picture 2" descr="Fresh air intake for uni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Fresh air intake for univent" title="Picture 2"/>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9120" cy="3299460"/>
                    </a:xfrm>
                    <a:prstGeom prst="rect">
                      <a:avLst/>
                    </a:prstGeom>
                    <a:noFill/>
                    <a:ln>
                      <a:noFill/>
                    </a:ln>
                  </pic:spPr>
                </pic:pic>
              </a:graphicData>
            </a:graphic>
          </wp:inline>
        </w:drawing>
      </w:r>
    </w:p>
    <w:p w:rsidR="00805C06" w:rsidRPr="00805C06" w:rsidRDefault="00805C06" w:rsidP="00805C06">
      <w:pPr>
        <w:spacing w:after="200" w:line="276" w:lineRule="auto"/>
        <w:jc w:val="center"/>
        <w:rPr>
          <w:rFonts w:eastAsia="Calibri"/>
          <w:b/>
        </w:rPr>
      </w:pPr>
      <w:r w:rsidRPr="00805C06">
        <w:rPr>
          <w:rFonts w:eastAsia="Calibri"/>
          <w:b/>
        </w:rPr>
        <w:t>Fresh air intake for univent</w:t>
      </w:r>
    </w:p>
    <w:p w:rsidR="00805C06" w:rsidRPr="00805C06" w:rsidRDefault="00805C06" w:rsidP="00805C06">
      <w:pPr>
        <w:spacing w:after="200" w:line="276" w:lineRule="auto"/>
        <w:rPr>
          <w:rFonts w:eastAsia="Calibri"/>
          <w:b/>
        </w:rPr>
      </w:pPr>
      <w:r w:rsidRPr="00805C06">
        <w:rPr>
          <w:rFonts w:eastAsia="Calibri"/>
          <w:b/>
        </w:rPr>
        <w:lastRenderedPageBreak/>
        <w:t>Picture 3</w:t>
      </w:r>
    </w:p>
    <w:p w:rsidR="00805C06" w:rsidRPr="00805C06" w:rsidRDefault="002C0DBF" w:rsidP="00805C06">
      <w:pPr>
        <w:spacing w:after="200" w:line="276" w:lineRule="auto"/>
        <w:jc w:val="center"/>
        <w:rPr>
          <w:rFonts w:eastAsia="Calibri"/>
          <w:b/>
        </w:rPr>
      </w:pPr>
      <w:r>
        <w:rPr>
          <w:noProof/>
          <w:lang w:eastAsia="zh-TW"/>
        </w:rPr>
        <mc:AlternateContent>
          <mc:Choice Requires="wps">
            <w:drawing>
              <wp:anchor distT="0" distB="0" distL="114300" distR="114300" simplePos="0" relativeHeight="251658240" behindDoc="0" locked="0" layoutInCell="1" allowOverlap="1">
                <wp:simplePos x="0" y="0"/>
                <wp:positionH relativeFrom="column">
                  <wp:posOffset>2961640</wp:posOffset>
                </wp:positionH>
                <wp:positionV relativeFrom="paragraph">
                  <wp:posOffset>558800</wp:posOffset>
                </wp:positionV>
                <wp:extent cx="443865" cy="621030"/>
                <wp:effectExtent l="38100" t="19050" r="13335" b="26670"/>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3865" cy="62103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33.2pt;margin-top:44pt;width:34.95pt;height:48.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" strokecolor="windowText" strokeweight="3pt">
                <v:stroke endarrow="open"/>
                <o:lock v:ext="edit" shapetype="f"/>
              </v:shape>
            </w:pict>
          </mc:Fallback>
        </mc:AlternateContent>
      </w:r>
      <w:r>
        <w:rPr>
          <w:rFonts w:eastAsia="Calibri"/>
          <w:b/>
          <w:noProof/>
          <w:lang w:eastAsia="zh-TW"/>
        </w:rPr>
        <w:drawing>
          <wp:inline distT="0" distB="0" distL="0" distR="0">
            <wp:extent cx="4389120" cy="3299460"/>
            <wp:effectExtent l="0" t="0" r="0" b="0"/>
            <wp:docPr id="3" name="Picture 3" descr="Exhaust vent (arrow) located in ceiling of close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Exhaust vent (arrow) located in ceiling of closet" title="Picture 3"/>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9120" cy="3299460"/>
                    </a:xfrm>
                    <a:prstGeom prst="rect">
                      <a:avLst/>
                    </a:prstGeom>
                    <a:noFill/>
                    <a:ln>
                      <a:noFill/>
                    </a:ln>
                  </pic:spPr>
                </pic:pic>
              </a:graphicData>
            </a:graphic>
          </wp:inline>
        </w:drawing>
      </w:r>
    </w:p>
    <w:p w:rsidR="00805C06" w:rsidRPr="00805C06" w:rsidRDefault="00805C06" w:rsidP="00805C06">
      <w:pPr>
        <w:spacing w:after="200" w:line="276" w:lineRule="auto"/>
        <w:jc w:val="center"/>
        <w:rPr>
          <w:rFonts w:eastAsia="Calibri"/>
          <w:b/>
        </w:rPr>
      </w:pPr>
      <w:r w:rsidRPr="00805C06">
        <w:rPr>
          <w:rFonts w:eastAsia="Calibri"/>
          <w:b/>
        </w:rPr>
        <w:t>Exhaust vent (arrow) located in ceiling of closet</w:t>
      </w:r>
    </w:p>
    <w:p w:rsidR="00805C06" w:rsidRPr="00805C06" w:rsidRDefault="00805C06" w:rsidP="00805C06">
      <w:pPr>
        <w:spacing w:after="200" w:line="276" w:lineRule="auto"/>
        <w:rPr>
          <w:rFonts w:eastAsia="Calibri"/>
          <w:b/>
        </w:rPr>
      </w:pPr>
      <w:r w:rsidRPr="00805C06">
        <w:rPr>
          <w:rFonts w:eastAsia="Calibri"/>
          <w:b/>
        </w:rPr>
        <w:t>Picture 4</w:t>
      </w:r>
    </w:p>
    <w:p w:rsidR="00805C06" w:rsidRPr="00805C06" w:rsidRDefault="002C0DBF" w:rsidP="00805C06">
      <w:pPr>
        <w:spacing w:after="200" w:line="276" w:lineRule="auto"/>
        <w:jc w:val="center"/>
        <w:rPr>
          <w:rFonts w:eastAsia="Calibri"/>
          <w:b/>
        </w:rPr>
      </w:pPr>
      <w:r>
        <w:rPr>
          <w:rFonts w:eastAsia="Calibri"/>
          <w:b/>
          <w:noProof/>
          <w:lang w:eastAsia="zh-TW"/>
        </w:rPr>
        <w:drawing>
          <wp:inline distT="0" distB="0" distL="0" distR="0">
            <wp:extent cx="4389120" cy="3299460"/>
            <wp:effectExtent l="0" t="0" r="0" b="0"/>
            <wp:docPr id="4" name="Picture 4" descr="Water-damaged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ater-damaged ceiling tiles" title="Picture 4"/>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9120" cy="3299460"/>
                    </a:xfrm>
                    <a:prstGeom prst="rect">
                      <a:avLst/>
                    </a:prstGeom>
                    <a:noFill/>
                    <a:ln>
                      <a:noFill/>
                    </a:ln>
                  </pic:spPr>
                </pic:pic>
              </a:graphicData>
            </a:graphic>
          </wp:inline>
        </w:drawing>
      </w:r>
    </w:p>
    <w:p w:rsidR="00805C06" w:rsidRPr="00805C06" w:rsidRDefault="00805C06" w:rsidP="00805C06">
      <w:pPr>
        <w:spacing w:after="200" w:line="276" w:lineRule="auto"/>
        <w:jc w:val="center"/>
        <w:rPr>
          <w:rFonts w:eastAsia="Calibri"/>
          <w:b/>
        </w:rPr>
      </w:pPr>
      <w:r w:rsidRPr="00805C06">
        <w:rPr>
          <w:rFonts w:eastAsia="Calibri"/>
          <w:b/>
        </w:rPr>
        <w:t>Water-damaged ceiling tiles</w:t>
      </w:r>
    </w:p>
    <w:p w:rsidR="00805C06" w:rsidRPr="00805C06" w:rsidRDefault="00805C06" w:rsidP="00805C06">
      <w:pPr>
        <w:spacing w:after="200" w:line="276" w:lineRule="auto"/>
        <w:rPr>
          <w:rFonts w:eastAsia="Calibri"/>
          <w:b/>
        </w:rPr>
      </w:pPr>
      <w:r w:rsidRPr="00805C06">
        <w:rPr>
          <w:rFonts w:eastAsia="Calibri"/>
          <w:b/>
        </w:rPr>
        <w:lastRenderedPageBreak/>
        <w:t>Picture 5</w:t>
      </w:r>
    </w:p>
    <w:p w:rsidR="00805C06" w:rsidRPr="00805C06" w:rsidRDefault="002C0DBF" w:rsidP="00805C06">
      <w:pPr>
        <w:spacing w:after="200" w:line="276" w:lineRule="auto"/>
        <w:jc w:val="center"/>
        <w:rPr>
          <w:rFonts w:eastAsia="Calibri"/>
          <w:b/>
        </w:rPr>
      </w:pPr>
      <w:r>
        <w:rPr>
          <w:rFonts w:eastAsia="Calibri"/>
          <w:b/>
          <w:noProof/>
          <w:lang w:eastAsia="zh-TW"/>
        </w:rPr>
        <w:drawing>
          <wp:inline distT="0" distB="0" distL="0" distR="0">
            <wp:extent cx="5760720" cy="3299460"/>
            <wp:effectExtent l="0" t="0" r="0" b="0"/>
            <wp:docPr id="5" name="Picture 5" descr="Title: Picture 5 - Description: Water-damaged/peeling paint on wooden windows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itle: Picture 5 - Description: Water-damaged/peeling paint on wooden windowsill"/>
                    <pic:cNvPicPr>
                      <a:picLocks noChangeArrowheads="1"/>
                    </pic:cNvPicPr>
                  </pic:nvPicPr>
                  <pic:blipFill>
                    <a:blip r:embed="rId24">
                      <a:extLst>
                        <a:ext uri="{28A0092B-C50C-407E-A947-70E740481C1C}">
                          <a14:useLocalDpi xmlns:a14="http://schemas.microsoft.com/office/drawing/2010/main" val="0"/>
                        </a:ext>
                      </a:extLst>
                    </a:blip>
                    <a:srcRect b="-557"/>
                    <a:stretch>
                      <a:fillRect/>
                    </a:stretch>
                  </pic:blipFill>
                  <pic:spPr bwMode="auto">
                    <a:xfrm>
                      <a:off x="0" y="0"/>
                      <a:ext cx="5760720" cy="3299460"/>
                    </a:xfrm>
                    <a:prstGeom prst="rect">
                      <a:avLst/>
                    </a:prstGeom>
                    <a:noFill/>
                    <a:ln>
                      <a:noFill/>
                    </a:ln>
                  </pic:spPr>
                </pic:pic>
              </a:graphicData>
            </a:graphic>
          </wp:inline>
        </w:drawing>
      </w:r>
    </w:p>
    <w:p w:rsidR="00805C06" w:rsidRPr="00805C06" w:rsidRDefault="00805C06" w:rsidP="00805C06">
      <w:pPr>
        <w:spacing w:after="200" w:line="276" w:lineRule="auto"/>
        <w:jc w:val="center"/>
        <w:rPr>
          <w:rFonts w:eastAsia="Calibri"/>
          <w:b/>
        </w:rPr>
      </w:pPr>
      <w:r w:rsidRPr="00805C06">
        <w:rPr>
          <w:rFonts w:eastAsia="Calibri"/>
          <w:b/>
        </w:rPr>
        <w:t>Water-damaged/peeling paint on wooden windowsill</w:t>
      </w:r>
    </w:p>
    <w:p w:rsidR="00805C06" w:rsidRDefault="00805C06" w:rsidP="002811E0">
      <w:pPr>
        <w:pStyle w:val="BodyText2"/>
        <w:sectPr w:rsidR="00805C06" w:rsidSect="00A35925">
          <w:footerReference w:type="default" r:id="rId25"/>
          <w:pgSz w:w="12240" w:h="15840" w:code="1"/>
          <w:pgMar w:top="1440" w:right="1440" w:bottom="1440" w:left="1440" w:header="720" w:footer="720" w:gutter="0"/>
          <w:cols w:space="720"/>
          <w:noEndnote/>
          <w:titlePg/>
          <w:docGrid w:linePitch="254"/>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805C06" w:rsidRPr="00755960" w:rsidTr="008805CF">
        <w:tblPrEx>
          <w:tblCellMar>
            <w:top w:w="0" w:type="dxa"/>
            <w:bottom w:w="0" w:type="dxa"/>
          </w:tblCellMar>
        </w:tblPrEx>
        <w:trPr>
          <w:cantSplit/>
          <w:trHeight w:val="240"/>
          <w:tblHeader/>
          <w:jc w:val="center"/>
        </w:trPr>
        <w:tc>
          <w:tcPr>
            <w:tcW w:w="1795" w:type="dxa"/>
            <w:vMerge w:val="restart"/>
            <w:tcBorders>
              <w:top w:val="single" w:sz="12" w:space="0" w:color="000000"/>
            </w:tcBorders>
            <w:vAlign w:val="bottom"/>
          </w:tcPr>
          <w:p w:rsidR="00805C06" w:rsidRPr="00755960" w:rsidRDefault="00805C06" w:rsidP="008805CF">
            <w:pPr>
              <w:pStyle w:val="Heading1"/>
            </w:pPr>
            <w:r w:rsidRPr="00755960">
              <w:lastRenderedPageBreak/>
              <w:t>Location</w:t>
            </w:r>
          </w:p>
        </w:tc>
        <w:tc>
          <w:tcPr>
            <w:tcW w:w="891"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Carbon</w:t>
            </w:r>
          </w:p>
          <w:p w:rsidR="00805C06" w:rsidRPr="00755960" w:rsidRDefault="00805C06" w:rsidP="008805CF">
            <w:pPr>
              <w:jc w:val="center"/>
              <w:rPr>
                <w:b/>
                <w:sz w:val="18"/>
              </w:rPr>
            </w:pPr>
            <w:r w:rsidRPr="00755960">
              <w:rPr>
                <w:b/>
                <w:sz w:val="18"/>
              </w:rPr>
              <w:t>Dioxide</w:t>
            </w:r>
          </w:p>
          <w:p w:rsidR="00805C06" w:rsidRPr="00755960" w:rsidRDefault="00805C06" w:rsidP="008805CF">
            <w:pPr>
              <w:jc w:val="center"/>
              <w:rPr>
                <w:b/>
                <w:sz w:val="18"/>
              </w:rPr>
            </w:pPr>
            <w:r w:rsidRPr="00755960">
              <w:rPr>
                <w:b/>
                <w:sz w:val="18"/>
              </w:rPr>
              <w:t>(ppm)</w:t>
            </w:r>
          </w:p>
        </w:tc>
        <w:tc>
          <w:tcPr>
            <w:tcW w:w="995"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Carbon Monoxide</w:t>
            </w:r>
          </w:p>
          <w:p w:rsidR="00805C06" w:rsidRPr="00755960" w:rsidRDefault="00805C06" w:rsidP="008805CF">
            <w:pPr>
              <w:jc w:val="center"/>
              <w:rPr>
                <w:b/>
                <w:sz w:val="18"/>
              </w:rPr>
            </w:pPr>
            <w:r w:rsidRPr="00755960">
              <w:rPr>
                <w:b/>
                <w:sz w:val="18"/>
              </w:rPr>
              <w:t>(ppm)</w:t>
            </w:r>
          </w:p>
        </w:tc>
        <w:tc>
          <w:tcPr>
            <w:tcW w:w="994"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Temp</w:t>
            </w:r>
          </w:p>
          <w:p w:rsidR="00805C06" w:rsidRPr="00755960" w:rsidRDefault="00805C06" w:rsidP="008805CF">
            <w:pPr>
              <w:jc w:val="center"/>
              <w:rPr>
                <w:b/>
                <w:sz w:val="18"/>
              </w:rPr>
            </w:pPr>
            <w:r w:rsidRPr="00755960">
              <w:rPr>
                <w:b/>
                <w:sz w:val="18"/>
              </w:rPr>
              <w:t>(°F)</w:t>
            </w:r>
          </w:p>
        </w:tc>
        <w:tc>
          <w:tcPr>
            <w:tcW w:w="1152"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Relative</w:t>
            </w:r>
          </w:p>
          <w:p w:rsidR="00805C06" w:rsidRPr="00755960" w:rsidRDefault="00805C06" w:rsidP="008805CF">
            <w:pPr>
              <w:jc w:val="center"/>
              <w:rPr>
                <w:b/>
                <w:sz w:val="18"/>
              </w:rPr>
            </w:pPr>
            <w:r w:rsidRPr="00755960">
              <w:rPr>
                <w:b/>
                <w:sz w:val="18"/>
              </w:rPr>
              <w:t>Humidity</w:t>
            </w:r>
          </w:p>
          <w:p w:rsidR="00805C06" w:rsidRPr="00755960" w:rsidRDefault="00805C06" w:rsidP="008805CF">
            <w:pPr>
              <w:jc w:val="center"/>
              <w:rPr>
                <w:b/>
                <w:sz w:val="18"/>
              </w:rPr>
            </w:pPr>
            <w:r w:rsidRPr="00755960">
              <w:rPr>
                <w:b/>
                <w:sz w:val="18"/>
              </w:rPr>
              <w:t>(%)</w:t>
            </w:r>
          </w:p>
        </w:tc>
        <w:tc>
          <w:tcPr>
            <w:tcW w:w="1037"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PM2.5</w:t>
            </w:r>
          </w:p>
          <w:p w:rsidR="00805C06" w:rsidRPr="00755960" w:rsidRDefault="00805C06" w:rsidP="008805CF">
            <w:pPr>
              <w:jc w:val="center"/>
              <w:rPr>
                <w:b/>
                <w:sz w:val="18"/>
              </w:rPr>
            </w:pPr>
            <w:r w:rsidRPr="00755960">
              <w:rPr>
                <w:b/>
                <w:sz w:val="18"/>
              </w:rPr>
              <w:t>(µg/</w:t>
            </w:r>
            <w:r w:rsidRPr="00E1370A">
              <w:rPr>
                <w:sz w:val="18"/>
                <w:szCs w:val="18"/>
              </w:rPr>
              <w:t xml:space="preserve"> </w:t>
            </w:r>
            <w:r w:rsidRPr="0001535D">
              <w:rPr>
                <w:b/>
                <w:sz w:val="18"/>
                <w:szCs w:val="18"/>
              </w:rPr>
              <w:t>m</w:t>
            </w:r>
            <w:r w:rsidRPr="0001535D">
              <w:rPr>
                <w:b/>
                <w:sz w:val="18"/>
                <w:szCs w:val="18"/>
                <w:vertAlign w:val="superscript"/>
              </w:rPr>
              <w:t>3</w:t>
            </w:r>
            <w:r w:rsidRPr="00755960">
              <w:rPr>
                <w:b/>
                <w:sz w:val="18"/>
              </w:rPr>
              <w:t>)</w:t>
            </w:r>
          </w:p>
        </w:tc>
        <w:tc>
          <w:tcPr>
            <w:tcW w:w="1267" w:type="dxa"/>
            <w:vMerge w:val="restart"/>
            <w:tcBorders>
              <w:top w:val="single" w:sz="12" w:space="0" w:color="000000"/>
            </w:tcBorders>
            <w:vAlign w:val="bottom"/>
          </w:tcPr>
          <w:p w:rsidR="00805C06" w:rsidRPr="00755960" w:rsidRDefault="00805C06" w:rsidP="008805CF">
            <w:pPr>
              <w:jc w:val="center"/>
              <w:rPr>
                <w:b/>
                <w:sz w:val="18"/>
                <w:szCs w:val="18"/>
              </w:rPr>
            </w:pPr>
            <w:r w:rsidRPr="00755960">
              <w:rPr>
                <w:b/>
                <w:sz w:val="18"/>
                <w:szCs w:val="18"/>
              </w:rPr>
              <w:t>Occupants</w:t>
            </w:r>
          </w:p>
          <w:p w:rsidR="00805C06" w:rsidRPr="00755960" w:rsidRDefault="00805C06" w:rsidP="008805CF">
            <w:pPr>
              <w:jc w:val="center"/>
              <w:rPr>
                <w:b/>
                <w:sz w:val="21"/>
                <w:szCs w:val="21"/>
              </w:rPr>
            </w:pPr>
            <w:r w:rsidRPr="00755960">
              <w:rPr>
                <w:b/>
                <w:sz w:val="18"/>
                <w:szCs w:val="18"/>
              </w:rPr>
              <w:t>in Room</w:t>
            </w:r>
          </w:p>
        </w:tc>
        <w:tc>
          <w:tcPr>
            <w:tcW w:w="1152"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Windows</w:t>
            </w:r>
          </w:p>
          <w:p w:rsidR="00805C06" w:rsidRPr="00755960" w:rsidRDefault="00805C06" w:rsidP="008805CF">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805C06" w:rsidRPr="00755960" w:rsidRDefault="00805C06" w:rsidP="008805CF">
            <w:pPr>
              <w:ind w:left="-105"/>
              <w:jc w:val="center"/>
              <w:rPr>
                <w:b/>
                <w:sz w:val="18"/>
              </w:rPr>
            </w:pPr>
            <w:r w:rsidRPr="00755960">
              <w:rPr>
                <w:b/>
                <w:sz w:val="18"/>
              </w:rPr>
              <w:t>Ventilation</w:t>
            </w:r>
          </w:p>
        </w:tc>
        <w:tc>
          <w:tcPr>
            <w:tcW w:w="3706" w:type="dxa"/>
            <w:vMerge w:val="restart"/>
            <w:tcBorders>
              <w:top w:val="single" w:sz="12" w:space="0" w:color="000000"/>
            </w:tcBorders>
            <w:vAlign w:val="bottom"/>
          </w:tcPr>
          <w:p w:rsidR="00805C06" w:rsidRPr="00755960" w:rsidRDefault="00805C06" w:rsidP="008805CF">
            <w:pPr>
              <w:jc w:val="center"/>
              <w:rPr>
                <w:b/>
                <w:sz w:val="18"/>
              </w:rPr>
            </w:pPr>
            <w:r w:rsidRPr="00755960">
              <w:rPr>
                <w:b/>
                <w:sz w:val="18"/>
              </w:rPr>
              <w:t>Remarks</w:t>
            </w:r>
          </w:p>
        </w:tc>
      </w:tr>
      <w:tr w:rsidR="00805C06" w:rsidRPr="00755960" w:rsidTr="008805CF">
        <w:tblPrEx>
          <w:tblCellMar>
            <w:top w:w="0" w:type="dxa"/>
            <w:bottom w:w="0" w:type="dxa"/>
          </w:tblCellMar>
        </w:tblPrEx>
        <w:trPr>
          <w:cantSplit/>
          <w:trHeight w:val="240"/>
          <w:tblHeader/>
          <w:jc w:val="center"/>
        </w:trPr>
        <w:tc>
          <w:tcPr>
            <w:tcW w:w="1795" w:type="dxa"/>
            <w:vMerge/>
          </w:tcPr>
          <w:p w:rsidR="00805C06" w:rsidRPr="00755960" w:rsidRDefault="00805C06" w:rsidP="008805CF">
            <w:pPr>
              <w:rPr>
                <w:sz w:val="18"/>
              </w:rPr>
            </w:pPr>
          </w:p>
        </w:tc>
        <w:tc>
          <w:tcPr>
            <w:tcW w:w="891" w:type="dxa"/>
            <w:vMerge/>
          </w:tcPr>
          <w:p w:rsidR="00805C06" w:rsidRPr="00755960" w:rsidRDefault="00805C06" w:rsidP="008805CF">
            <w:pPr>
              <w:jc w:val="center"/>
              <w:rPr>
                <w:sz w:val="18"/>
              </w:rPr>
            </w:pPr>
          </w:p>
        </w:tc>
        <w:tc>
          <w:tcPr>
            <w:tcW w:w="995" w:type="dxa"/>
            <w:vMerge/>
          </w:tcPr>
          <w:p w:rsidR="00805C06" w:rsidRPr="00755960" w:rsidRDefault="00805C06" w:rsidP="008805CF">
            <w:pPr>
              <w:jc w:val="center"/>
              <w:rPr>
                <w:b/>
                <w:sz w:val="18"/>
              </w:rPr>
            </w:pPr>
          </w:p>
        </w:tc>
        <w:tc>
          <w:tcPr>
            <w:tcW w:w="994" w:type="dxa"/>
            <w:vMerge/>
          </w:tcPr>
          <w:p w:rsidR="00805C06" w:rsidRPr="00755960" w:rsidRDefault="00805C06" w:rsidP="008805CF">
            <w:pPr>
              <w:jc w:val="center"/>
              <w:rPr>
                <w:b/>
                <w:sz w:val="18"/>
              </w:rPr>
            </w:pPr>
          </w:p>
        </w:tc>
        <w:tc>
          <w:tcPr>
            <w:tcW w:w="1152" w:type="dxa"/>
            <w:vMerge/>
          </w:tcPr>
          <w:p w:rsidR="00805C06" w:rsidRPr="00755960" w:rsidRDefault="00805C06" w:rsidP="008805CF">
            <w:pPr>
              <w:jc w:val="center"/>
              <w:rPr>
                <w:b/>
                <w:sz w:val="18"/>
              </w:rPr>
            </w:pPr>
          </w:p>
        </w:tc>
        <w:tc>
          <w:tcPr>
            <w:tcW w:w="1037" w:type="dxa"/>
            <w:vMerge/>
          </w:tcPr>
          <w:p w:rsidR="00805C06" w:rsidRPr="00755960" w:rsidRDefault="00805C06" w:rsidP="008805CF">
            <w:pPr>
              <w:jc w:val="center"/>
              <w:rPr>
                <w:b/>
                <w:sz w:val="18"/>
              </w:rPr>
            </w:pPr>
          </w:p>
        </w:tc>
        <w:tc>
          <w:tcPr>
            <w:tcW w:w="1267" w:type="dxa"/>
            <w:vMerge/>
            <w:vAlign w:val="center"/>
          </w:tcPr>
          <w:p w:rsidR="00805C06" w:rsidRPr="00755960" w:rsidRDefault="00805C06" w:rsidP="008805CF">
            <w:pPr>
              <w:rPr>
                <w:b/>
                <w:sz w:val="21"/>
                <w:szCs w:val="21"/>
              </w:rPr>
            </w:pPr>
          </w:p>
        </w:tc>
        <w:tc>
          <w:tcPr>
            <w:tcW w:w="1152" w:type="dxa"/>
            <w:vMerge/>
          </w:tcPr>
          <w:p w:rsidR="00805C06" w:rsidRPr="00755960" w:rsidRDefault="00805C06" w:rsidP="008805CF">
            <w:pPr>
              <w:jc w:val="center"/>
              <w:rPr>
                <w:b/>
                <w:sz w:val="18"/>
              </w:rPr>
            </w:pPr>
          </w:p>
        </w:tc>
        <w:tc>
          <w:tcPr>
            <w:tcW w:w="882" w:type="dxa"/>
            <w:tcBorders>
              <w:bottom w:val="nil"/>
            </w:tcBorders>
            <w:vAlign w:val="bottom"/>
          </w:tcPr>
          <w:p w:rsidR="00805C06" w:rsidRPr="00BA0F63" w:rsidRDefault="00805C06" w:rsidP="008805CF">
            <w:pPr>
              <w:jc w:val="center"/>
              <w:rPr>
                <w:sz w:val="18"/>
                <w:szCs w:val="18"/>
              </w:rPr>
            </w:pPr>
            <w:r w:rsidRPr="00BA0F63">
              <w:rPr>
                <w:b/>
                <w:sz w:val="18"/>
                <w:szCs w:val="18"/>
              </w:rPr>
              <w:t>Supply</w:t>
            </w:r>
          </w:p>
        </w:tc>
        <w:tc>
          <w:tcPr>
            <w:tcW w:w="936" w:type="dxa"/>
            <w:tcBorders>
              <w:bottom w:val="nil"/>
            </w:tcBorders>
            <w:vAlign w:val="bottom"/>
          </w:tcPr>
          <w:p w:rsidR="00805C06" w:rsidRPr="00BA0F63" w:rsidRDefault="00805C06" w:rsidP="008805CF">
            <w:pPr>
              <w:jc w:val="center"/>
              <w:rPr>
                <w:sz w:val="18"/>
                <w:szCs w:val="18"/>
              </w:rPr>
            </w:pPr>
            <w:r w:rsidRPr="00BA0F63">
              <w:rPr>
                <w:b/>
                <w:sz w:val="18"/>
                <w:szCs w:val="18"/>
              </w:rPr>
              <w:t>Exhaust</w:t>
            </w:r>
          </w:p>
        </w:tc>
        <w:tc>
          <w:tcPr>
            <w:tcW w:w="3706" w:type="dxa"/>
            <w:vMerge/>
          </w:tcPr>
          <w:p w:rsidR="00805C06" w:rsidRPr="00755960" w:rsidRDefault="00805C06" w:rsidP="008805CF">
            <w:pPr>
              <w:rPr>
                <w:sz w:val="18"/>
              </w:rPr>
            </w:pPr>
          </w:p>
        </w:tc>
      </w:tr>
      <w:tr w:rsidR="00805C06" w:rsidRPr="00755960" w:rsidTr="008805CF">
        <w:tblPrEx>
          <w:tblCellMar>
            <w:top w:w="0" w:type="dxa"/>
            <w:bottom w:w="0" w:type="dxa"/>
          </w:tblCellMar>
        </w:tblPrEx>
        <w:trPr>
          <w:trHeight w:val="560"/>
          <w:jc w:val="center"/>
        </w:trPr>
        <w:tc>
          <w:tcPr>
            <w:tcW w:w="1795" w:type="dxa"/>
            <w:vAlign w:val="center"/>
          </w:tcPr>
          <w:p w:rsidR="00805C06" w:rsidRPr="00755960" w:rsidRDefault="00805C06" w:rsidP="008805CF">
            <w:pPr>
              <w:spacing w:before="60" w:after="60"/>
              <w:rPr>
                <w:sz w:val="20"/>
              </w:rPr>
            </w:pPr>
            <w:r>
              <w:rPr>
                <w:sz w:val="20"/>
              </w:rPr>
              <w:t>Background</w:t>
            </w:r>
          </w:p>
        </w:tc>
        <w:tc>
          <w:tcPr>
            <w:tcW w:w="891" w:type="dxa"/>
            <w:vAlign w:val="center"/>
          </w:tcPr>
          <w:p w:rsidR="00805C06" w:rsidRPr="00755960" w:rsidRDefault="00805C06" w:rsidP="008805CF">
            <w:pPr>
              <w:spacing w:before="60" w:after="60"/>
              <w:jc w:val="center"/>
              <w:rPr>
                <w:sz w:val="20"/>
              </w:rPr>
            </w:pPr>
            <w:r>
              <w:rPr>
                <w:sz w:val="20"/>
              </w:rPr>
              <w:t>414</w:t>
            </w:r>
          </w:p>
        </w:tc>
        <w:tc>
          <w:tcPr>
            <w:tcW w:w="995" w:type="dxa"/>
            <w:vAlign w:val="center"/>
          </w:tcPr>
          <w:p w:rsidR="00805C06" w:rsidRPr="00755960" w:rsidRDefault="00805C06" w:rsidP="008805CF">
            <w:pPr>
              <w:spacing w:before="60" w:after="60"/>
              <w:jc w:val="center"/>
              <w:rPr>
                <w:sz w:val="20"/>
              </w:rPr>
            </w:pPr>
            <w:r>
              <w:rPr>
                <w:sz w:val="20"/>
              </w:rPr>
              <w:t>ND</w:t>
            </w:r>
          </w:p>
        </w:tc>
        <w:tc>
          <w:tcPr>
            <w:tcW w:w="994" w:type="dxa"/>
            <w:vAlign w:val="center"/>
          </w:tcPr>
          <w:p w:rsidR="00805C06" w:rsidRPr="00755960" w:rsidRDefault="00805C06" w:rsidP="008805CF">
            <w:pPr>
              <w:spacing w:before="60" w:after="60"/>
              <w:jc w:val="center"/>
              <w:rPr>
                <w:sz w:val="20"/>
              </w:rPr>
            </w:pPr>
            <w:r>
              <w:rPr>
                <w:sz w:val="20"/>
              </w:rPr>
              <w:t>62</w:t>
            </w:r>
          </w:p>
        </w:tc>
        <w:tc>
          <w:tcPr>
            <w:tcW w:w="1152" w:type="dxa"/>
            <w:vAlign w:val="center"/>
          </w:tcPr>
          <w:p w:rsidR="00805C06" w:rsidRPr="00755960" w:rsidRDefault="00805C06" w:rsidP="008805CF">
            <w:pPr>
              <w:spacing w:before="60" w:after="60"/>
              <w:jc w:val="center"/>
              <w:rPr>
                <w:sz w:val="20"/>
              </w:rPr>
            </w:pPr>
            <w:r>
              <w:rPr>
                <w:sz w:val="20"/>
              </w:rPr>
              <w:t>17</w:t>
            </w:r>
          </w:p>
        </w:tc>
        <w:tc>
          <w:tcPr>
            <w:tcW w:w="1037" w:type="dxa"/>
            <w:vAlign w:val="center"/>
          </w:tcPr>
          <w:p w:rsidR="00805C06" w:rsidRPr="00755960" w:rsidRDefault="00805C06" w:rsidP="008805CF">
            <w:pPr>
              <w:spacing w:before="60" w:after="60"/>
              <w:jc w:val="center"/>
              <w:rPr>
                <w:sz w:val="20"/>
              </w:rPr>
            </w:pPr>
            <w:r>
              <w:rPr>
                <w:sz w:val="20"/>
              </w:rPr>
              <w:t>7</w:t>
            </w:r>
          </w:p>
        </w:tc>
        <w:tc>
          <w:tcPr>
            <w:tcW w:w="1267" w:type="dxa"/>
            <w:vAlign w:val="center"/>
          </w:tcPr>
          <w:p w:rsidR="00805C06" w:rsidRPr="00755960" w:rsidRDefault="00805C06" w:rsidP="008805CF">
            <w:pPr>
              <w:jc w:val="center"/>
            </w:pPr>
          </w:p>
        </w:tc>
        <w:tc>
          <w:tcPr>
            <w:tcW w:w="1152" w:type="dxa"/>
            <w:vAlign w:val="center"/>
          </w:tcPr>
          <w:p w:rsidR="00805C06" w:rsidRPr="00755960" w:rsidRDefault="00805C06" w:rsidP="008805CF">
            <w:pPr>
              <w:spacing w:before="60" w:after="60"/>
              <w:jc w:val="center"/>
              <w:rPr>
                <w:sz w:val="20"/>
              </w:rPr>
            </w:pPr>
          </w:p>
        </w:tc>
        <w:tc>
          <w:tcPr>
            <w:tcW w:w="882" w:type="dxa"/>
            <w:vAlign w:val="center"/>
          </w:tcPr>
          <w:p w:rsidR="00805C06" w:rsidRPr="00755960" w:rsidRDefault="00805C06" w:rsidP="008805CF">
            <w:pPr>
              <w:spacing w:before="60" w:after="60"/>
              <w:jc w:val="center"/>
              <w:rPr>
                <w:sz w:val="20"/>
              </w:rPr>
            </w:pPr>
          </w:p>
        </w:tc>
        <w:tc>
          <w:tcPr>
            <w:tcW w:w="936" w:type="dxa"/>
            <w:vAlign w:val="center"/>
          </w:tcPr>
          <w:p w:rsidR="00805C06" w:rsidRPr="00755960" w:rsidRDefault="00805C06" w:rsidP="008805CF">
            <w:pPr>
              <w:spacing w:before="60" w:after="60"/>
              <w:jc w:val="center"/>
              <w:rPr>
                <w:sz w:val="20"/>
              </w:rPr>
            </w:pPr>
          </w:p>
        </w:tc>
        <w:tc>
          <w:tcPr>
            <w:tcW w:w="3706" w:type="dxa"/>
            <w:tcBorders>
              <w:left w:val="nil"/>
            </w:tcBorders>
            <w:vAlign w:val="center"/>
          </w:tcPr>
          <w:p w:rsidR="00805C06" w:rsidRPr="00755960" w:rsidRDefault="00805C06" w:rsidP="008805CF">
            <w:pPr>
              <w:pStyle w:val="Header"/>
              <w:tabs>
                <w:tab w:val="clear" w:pos="4320"/>
                <w:tab w:val="clear" w:pos="8640"/>
              </w:tabs>
              <w:spacing w:before="60" w:after="60"/>
              <w:rPr>
                <w:sz w:val="20"/>
              </w:rPr>
            </w:pPr>
            <w:r>
              <w:rPr>
                <w:sz w:val="20"/>
              </w:rPr>
              <w:t>Warm, sunny, light breeze</w:t>
            </w:r>
          </w:p>
        </w:tc>
      </w:tr>
      <w:tr w:rsidR="00805C06" w:rsidRPr="00755960" w:rsidTr="008805CF">
        <w:tblPrEx>
          <w:tblCellMar>
            <w:top w:w="0" w:type="dxa"/>
            <w:bottom w:w="0" w:type="dxa"/>
          </w:tblCellMar>
        </w:tblPrEx>
        <w:trPr>
          <w:trHeight w:val="560"/>
          <w:jc w:val="center"/>
        </w:trPr>
        <w:tc>
          <w:tcPr>
            <w:tcW w:w="1795" w:type="dxa"/>
            <w:vAlign w:val="center"/>
          </w:tcPr>
          <w:p w:rsidR="00805C06" w:rsidRPr="00755960" w:rsidRDefault="00805C06" w:rsidP="008805CF">
            <w:pPr>
              <w:spacing w:before="60" w:after="60"/>
              <w:rPr>
                <w:sz w:val="20"/>
              </w:rPr>
            </w:pPr>
            <w:proofErr w:type="spellStart"/>
            <w:r>
              <w:rPr>
                <w:sz w:val="20"/>
              </w:rPr>
              <w:t>DosSantos</w:t>
            </w:r>
            <w:proofErr w:type="spellEnd"/>
            <w:r>
              <w:rPr>
                <w:sz w:val="20"/>
              </w:rPr>
              <w:t xml:space="preserve"> Office</w:t>
            </w:r>
          </w:p>
        </w:tc>
        <w:tc>
          <w:tcPr>
            <w:tcW w:w="891" w:type="dxa"/>
            <w:vAlign w:val="center"/>
          </w:tcPr>
          <w:p w:rsidR="00805C06" w:rsidRPr="00755960" w:rsidRDefault="00805C06" w:rsidP="008805CF">
            <w:pPr>
              <w:spacing w:before="60" w:after="60"/>
              <w:jc w:val="center"/>
              <w:rPr>
                <w:sz w:val="20"/>
              </w:rPr>
            </w:pPr>
            <w:r>
              <w:rPr>
                <w:sz w:val="20"/>
              </w:rPr>
              <w:t>1060</w:t>
            </w:r>
          </w:p>
        </w:tc>
        <w:tc>
          <w:tcPr>
            <w:tcW w:w="995" w:type="dxa"/>
            <w:vAlign w:val="center"/>
          </w:tcPr>
          <w:p w:rsidR="00805C06" w:rsidRPr="00755960" w:rsidRDefault="00805C06" w:rsidP="008805CF">
            <w:pPr>
              <w:spacing w:before="60" w:after="60"/>
              <w:jc w:val="center"/>
              <w:rPr>
                <w:sz w:val="20"/>
              </w:rPr>
            </w:pPr>
            <w:r>
              <w:rPr>
                <w:sz w:val="20"/>
              </w:rPr>
              <w:t>ND</w:t>
            </w:r>
          </w:p>
        </w:tc>
        <w:tc>
          <w:tcPr>
            <w:tcW w:w="994" w:type="dxa"/>
            <w:vAlign w:val="center"/>
          </w:tcPr>
          <w:p w:rsidR="00805C06" w:rsidRPr="00755960" w:rsidRDefault="00805C06" w:rsidP="008805CF">
            <w:pPr>
              <w:spacing w:before="60" w:after="60"/>
              <w:jc w:val="center"/>
              <w:rPr>
                <w:sz w:val="20"/>
              </w:rPr>
            </w:pPr>
            <w:r>
              <w:rPr>
                <w:sz w:val="20"/>
              </w:rPr>
              <w:t>70</w:t>
            </w:r>
          </w:p>
        </w:tc>
        <w:tc>
          <w:tcPr>
            <w:tcW w:w="1152" w:type="dxa"/>
            <w:vAlign w:val="center"/>
          </w:tcPr>
          <w:p w:rsidR="00805C06" w:rsidRPr="00755960" w:rsidRDefault="00805C06" w:rsidP="008805CF">
            <w:pPr>
              <w:spacing w:before="60" w:after="60"/>
              <w:jc w:val="center"/>
              <w:rPr>
                <w:sz w:val="20"/>
              </w:rPr>
            </w:pPr>
            <w:r>
              <w:rPr>
                <w:sz w:val="20"/>
              </w:rPr>
              <w:t>25</w:t>
            </w:r>
          </w:p>
        </w:tc>
        <w:tc>
          <w:tcPr>
            <w:tcW w:w="1037" w:type="dxa"/>
            <w:vAlign w:val="center"/>
          </w:tcPr>
          <w:p w:rsidR="00805C06" w:rsidRPr="00755960" w:rsidRDefault="00805C06" w:rsidP="008805CF">
            <w:pPr>
              <w:spacing w:before="60" w:after="60"/>
              <w:jc w:val="center"/>
              <w:rPr>
                <w:sz w:val="20"/>
              </w:rPr>
            </w:pPr>
            <w:r>
              <w:rPr>
                <w:sz w:val="20"/>
              </w:rPr>
              <w:t>9</w:t>
            </w:r>
          </w:p>
        </w:tc>
        <w:tc>
          <w:tcPr>
            <w:tcW w:w="1267" w:type="dxa"/>
            <w:vAlign w:val="center"/>
          </w:tcPr>
          <w:p w:rsidR="00805C06" w:rsidRPr="00755960" w:rsidRDefault="00805C06" w:rsidP="008805CF">
            <w:pPr>
              <w:spacing w:before="60" w:after="60"/>
              <w:jc w:val="center"/>
              <w:rPr>
                <w:sz w:val="20"/>
              </w:rPr>
            </w:pPr>
            <w:r>
              <w:rPr>
                <w:sz w:val="20"/>
              </w:rPr>
              <w:t>1</w:t>
            </w:r>
          </w:p>
        </w:tc>
        <w:tc>
          <w:tcPr>
            <w:tcW w:w="1152" w:type="dxa"/>
            <w:vAlign w:val="center"/>
          </w:tcPr>
          <w:p w:rsidR="00805C06" w:rsidRPr="00755960" w:rsidRDefault="00805C06" w:rsidP="008805CF">
            <w:pPr>
              <w:spacing w:before="60" w:after="60"/>
              <w:jc w:val="center"/>
              <w:rPr>
                <w:sz w:val="20"/>
              </w:rPr>
            </w:pPr>
            <w:r>
              <w:rPr>
                <w:sz w:val="20"/>
              </w:rPr>
              <w:t>Y</w:t>
            </w:r>
          </w:p>
        </w:tc>
        <w:tc>
          <w:tcPr>
            <w:tcW w:w="882" w:type="dxa"/>
            <w:vAlign w:val="center"/>
          </w:tcPr>
          <w:p w:rsidR="00805C06" w:rsidRPr="00755960" w:rsidRDefault="00805C06" w:rsidP="008805CF">
            <w:pPr>
              <w:spacing w:before="60" w:after="60"/>
              <w:jc w:val="center"/>
              <w:rPr>
                <w:sz w:val="20"/>
              </w:rPr>
            </w:pPr>
            <w:r>
              <w:rPr>
                <w:sz w:val="20"/>
              </w:rPr>
              <w:t>N</w:t>
            </w:r>
          </w:p>
        </w:tc>
        <w:tc>
          <w:tcPr>
            <w:tcW w:w="936" w:type="dxa"/>
            <w:vAlign w:val="center"/>
          </w:tcPr>
          <w:p w:rsidR="00805C06" w:rsidRPr="00755960" w:rsidRDefault="00805C06" w:rsidP="008805CF">
            <w:pPr>
              <w:spacing w:before="60" w:after="60"/>
              <w:jc w:val="center"/>
              <w:rPr>
                <w:sz w:val="20"/>
              </w:rPr>
            </w:pPr>
            <w:r>
              <w:rPr>
                <w:sz w:val="20"/>
              </w:rPr>
              <w:t>N</w:t>
            </w:r>
          </w:p>
        </w:tc>
        <w:tc>
          <w:tcPr>
            <w:tcW w:w="3706" w:type="dxa"/>
            <w:tcBorders>
              <w:left w:val="nil"/>
            </w:tcBorders>
            <w:vAlign w:val="center"/>
          </w:tcPr>
          <w:p w:rsidR="00805C06" w:rsidRPr="00755960" w:rsidRDefault="00805C06" w:rsidP="008805CF">
            <w:pPr>
              <w:pStyle w:val="Header"/>
              <w:tabs>
                <w:tab w:val="clear" w:pos="4320"/>
                <w:tab w:val="clear" w:pos="8640"/>
              </w:tabs>
              <w:spacing w:before="60" w:after="60"/>
              <w:rPr>
                <w:sz w:val="20"/>
              </w:rPr>
            </w:pPr>
            <w:r>
              <w:rPr>
                <w:sz w:val="20"/>
              </w:rPr>
              <w:t>Vintage UV-peeling paint/fan not operating, window AC, water damage to wooden window sill-dry/normal moisture content, dirt/dust/debris on flat surfaces and UV</w:t>
            </w:r>
          </w:p>
        </w:tc>
      </w:tr>
      <w:tr w:rsidR="00805C06" w:rsidRPr="00755960" w:rsidTr="008805CF">
        <w:tblPrEx>
          <w:tblCellMar>
            <w:top w:w="0" w:type="dxa"/>
            <w:bottom w:w="0" w:type="dxa"/>
          </w:tblCellMar>
        </w:tblPrEx>
        <w:trPr>
          <w:trHeight w:val="560"/>
          <w:jc w:val="center"/>
        </w:trPr>
        <w:tc>
          <w:tcPr>
            <w:tcW w:w="1795" w:type="dxa"/>
            <w:vAlign w:val="center"/>
          </w:tcPr>
          <w:p w:rsidR="00805C06" w:rsidRPr="00755960" w:rsidRDefault="00805C06" w:rsidP="008805CF">
            <w:pPr>
              <w:spacing w:before="60" w:after="60"/>
              <w:rPr>
                <w:sz w:val="20"/>
              </w:rPr>
            </w:pPr>
            <w:proofErr w:type="spellStart"/>
            <w:r>
              <w:rPr>
                <w:sz w:val="20"/>
              </w:rPr>
              <w:t>Brickley</w:t>
            </w:r>
            <w:proofErr w:type="spellEnd"/>
            <w:r>
              <w:rPr>
                <w:sz w:val="20"/>
              </w:rPr>
              <w:t xml:space="preserve"> Office</w:t>
            </w:r>
          </w:p>
        </w:tc>
        <w:tc>
          <w:tcPr>
            <w:tcW w:w="891" w:type="dxa"/>
            <w:vAlign w:val="center"/>
          </w:tcPr>
          <w:p w:rsidR="00805C06" w:rsidRPr="00755960" w:rsidRDefault="00805C06" w:rsidP="008805CF">
            <w:pPr>
              <w:spacing w:before="60" w:after="60"/>
              <w:jc w:val="center"/>
              <w:rPr>
                <w:sz w:val="20"/>
              </w:rPr>
            </w:pPr>
            <w:r>
              <w:rPr>
                <w:sz w:val="20"/>
              </w:rPr>
              <w:t>966</w:t>
            </w:r>
          </w:p>
        </w:tc>
        <w:tc>
          <w:tcPr>
            <w:tcW w:w="995" w:type="dxa"/>
            <w:vAlign w:val="center"/>
          </w:tcPr>
          <w:p w:rsidR="00805C06" w:rsidRPr="00755960" w:rsidRDefault="00805C06" w:rsidP="008805CF">
            <w:pPr>
              <w:spacing w:before="60" w:after="60"/>
              <w:jc w:val="center"/>
              <w:rPr>
                <w:sz w:val="20"/>
              </w:rPr>
            </w:pPr>
            <w:r>
              <w:rPr>
                <w:sz w:val="20"/>
              </w:rPr>
              <w:t>ND</w:t>
            </w:r>
          </w:p>
        </w:tc>
        <w:tc>
          <w:tcPr>
            <w:tcW w:w="994" w:type="dxa"/>
            <w:vAlign w:val="center"/>
          </w:tcPr>
          <w:p w:rsidR="00805C06" w:rsidRPr="00755960" w:rsidRDefault="00805C06" w:rsidP="008805CF">
            <w:pPr>
              <w:spacing w:before="60" w:after="60"/>
              <w:jc w:val="center"/>
              <w:rPr>
                <w:sz w:val="20"/>
              </w:rPr>
            </w:pPr>
            <w:r>
              <w:rPr>
                <w:sz w:val="20"/>
              </w:rPr>
              <w:t>71</w:t>
            </w:r>
          </w:p>
        </w:tc>
        <w:tc>
          <w:tcPr>
            <w:tcW w:w="1152" w:type="dxa"/>
            <w:vAlign w:val="center"/>
          </w:tcPr>
          <w:p w:rsidR="00805C06" w:rsidRPr="00755960" w:rsidRDefault="00805C06" w:rsidP="008805CF">
            <w:pPr>
              <w:spacing w:before="60" w:after="60"/>
              <w:jc w:val="center"/>
              <w:rPr>
                <w:sz w:val="20"/>
              </w:rPr>
            </w:pPr>
            <w:r>
              <w:rPr>
                <w:sz w:val="20"/>
              </w:rPr>
              <w:t>25</w:t>
            </w:r>
          </w:p>
        </w:tc>
        <w:tc>
          <w:tcPr>
            <w:tcW w:w="1037" w:type="dxa"/>
            <w:vAlign w:val="center"/>
          </w:tcPr>
          <w:p w:rsidR="00805C06" w:rsidRPr="00755960" w:rsidRDefault="00805C06" w:rsidP="008805CF">
            <w:pPr>
              <w:spacing w:before="60" w:after="60"/>
              <w:jc w:val="center"/>
              <w:rPr>
                <w:sz w:val="20"/>
              </w:rPr>
            </w:pPr>
            <w:r>
              <w:rPr>
                <w:sz w:val="20"/>
              </w:rPr>
              <w:t>11</w:t>
            </w:r>
          </w:p>
        </w:tc>
        <w:tc>
          <w:tcPr>
            <w:tcW w:w="1267" w:type="dxa"/>
            <w:vAlign w:val="center"/>
          </w:tcPr>
          <w:p w:rsidR="00805C06" w:rsidRPr="00755960" w:rsidRDefault="00805C06" w:rsidP="008805CF">
            <w:pPr>
              <w:jc w:val="center"/>
            </w:pPr>
            <w:r>
              <w:t>0</w:t>
            </w:r>
          </w:p>
        </w:tc>
        <w:tc>
          <w:tcPr>
            <w:tcW w:w="1152" w:type="dxa"/>
            <w:vAlign w:val="center"/>
          </w:tcPr>
          <w:p w:rsidR="00805C06" w:rsidRPr="00755960" w:rsidRDefault="00805C06" w:rsidP="008805CF">
            <w:pPr>
              <w:spacing w:before="60" w:after="60"/>
              <w:jc w:val="center"/>
              <w:rPr>
                <w:sz w:val="20"/>
              </w:rPr>
            </w:pPr>
            <w:r>
              <w:rPr>
                <w:sz w:val="20"/>
              </w:rPr>
              <w:t>Y</w:t>
            </w:r>
          </w:p>
        </w:tc>
        <w:tc>
          <w:tcPr>
            <w:tcW w:w="882" w:type="dxa"/>
            <w:vAlign w:val="center"/>
          </w:tcPr>
          <w:p w:rsidR="00805C06" w:rsidRPr="00755960" w:rsidRDefault="00805C06" w:rsidP="008805CF">
            <w:pPr>
              <w:spacing w:before="60" w:after="60"/>
              <w:jc w:val="center"/>
              <w:rPr>
                <w:sz w:val="20"/>
              </w:rPr>
            </w:pPr>
            <w:r>
              <w:rPr>
                <w:sz w:val="20"/>
              </w:rPr>
              <w:t>N</w:t>
            </w:r>
          </w:p>
        </w:tc>
        <w:tc>
          <w:tcPr>
            <w:tcW w:w="936" w:type="dxa"/>
            <w:vAlign w:val="center"/>
          </w:tcPr>
          <w:p w:rsidR="00805C06" w:rsidRPr="00755960" w:rsidRDefault="00805C06" w:rsidP="008805CF">
            <w:pPr>
              <w:spacing w:before="60" w:after="60"/>
              <w:jc w:val="center"/>
              <w:rPr>
                <w:sz w:val="20"/>
              </w:rPr>
            </w:pPr>
            <w:r>
              <w:rPr>
                <w:sz w:val="20"/>
              </w:rPr>
              <w:t>N</w:t>
            </w:r>
          </w:p>
        </w:tc>
        <w:tc>
          <w:tcPr>
            <w:tcW w:w="3706" w:type="dxa"/>
            <w:tcBorders>
              <w:left w:val="nil"/>
            </w:tcBorders>
            <w:vAlign w:val="center"/>
          </w:tcPr>
          <w:p w:rsidR="00805C06" w:rsidRPr="00755960" w:rsidRDefault="00805C06" w:rsidP="008805CF">
            <w:pPr>
              <w:pStyle w:val="Header"/>
              <w:tabs>
                <w:tab w:val="clear" w:pos="4320"/>
                <w:tab w:val="clear" w:pos="8640"/>
              </w:tabs>
              <w:spacing w:before="60" w:after="60"/>
              <w:rPr>
                <w:sz w:val="20"/>
              </w:rPr>
            </w:pPr>
          </w:p>
        </w:tc>
      </w:tr>
      <w:tr w:rsidR="00805C06" w:rsidRPr="00755960" w:rsidTr="008805CF">
        <w:tblPrEx>
          <w:tblCellMar>
            <w:top w:w="0" w:type="dxa"/>
            <w:bottom w:w="0" w:type="dxa"/>
          </w:tblCellMar>
        </w:tblPrEx>
        <w:trPr>
          <w:trHeight w:val="560"/>
          <w:jc w:val="center"/>
        </w:trPr>
        <w:tc>
          <w:tcPr>
            <w:tcW w:w="1795" w:type="dxa"/>
            <w:vAlign w:val="center"/>
          </w:tcPr>
          <w:p w:rsidR="00805C06" w:rsidRPr="00755960" w:rsidRDefault="00805C06" w:rsidP="008805CF">
            <w:pPr>
              <w:spacing w:before="60" w:after="60"/>
              <w:rPr>
                <w:sz w:val="20"/>
              </w:rPr>
            </w:pPr>
            <w:r>
              <w:rPr>
                <w:sz w:val="20"/>
              </w:rPr>
              <w:t>Main Office Area (Left)</w:t>
            </w:r>
          </w:p>
        </w:tc>
        <w:tc>
          <w:tcPr>
            <w:tcW w:w="891" w:type="dxa"/>
            <w:vAlign w:val="center"/>
          </w:tcPr>
          <w:p w:rsidR="00805C06" w:rsidRPr="00755960" w:rsidRDefault="00805C06" w:rsidP="008805CF">
            <w:pPr>
              <w:spacing w:before="60" w:after="60"/>
              <w:jc w:val="center"/>
              <w:rPr>
                <w:sz w:val="20"/>
              </w:rPr>
            </w:pPr>
            <w:r>
              <w:rPr>
                <w:sz w:val="20"/>
              </w:rPr>
              <w:t>988</w:t>
            </w:r>
          </w:p>
        </w:tc>
        <w:tc>
          <w:tcPr>
            <w:tcW w:w="995" w:type="dxa"/>
            <w:vAlign w:val="center"/>
          </w:tcPr>
          <w:p w:rsidR="00805C06" w:rsidRPr="00755960" w:rsidRDefault="00805C06" w:rsidP="008805CF">
            <w:pPr>
              <w:spacing w:before="60" w:after="60"/>
              <w:jc w:val="center"/>
              <w:rPr>
                <w:sz w:val="20"/>
              </w:rPr>
            </w:pPr>
            <w:r>
              <w:rPr>
                <w:sz w:val="20"/>
              </w:rPr>
              <w:t>ND</w:t>
            </w:r>
          </w:p>
        </w:tc>
        <w:tc>
          <w:tcPr>
            <w:tcW w:w="994" w:type="dxa"/>
            <w:vAlign w:val="center"/>
          </w:tcPr>
          <w:p w:rsidR="00805C06" w:rsidRPr="00755960" w:rsidRDefault="00805C06" w:rsidP="008805CF">
            <w:pPr>
              <w:spacing w:before="60" w:after="60"/>
              <w:jc w:val="center"/>
              <w:rPr>
                <w:sz w:val="20"/>
              </w:rPr>
            </w:pPr>
            <w:r>
              <w:rPr>
                <w:sz w:val="20"/>
              </w:rPr>
              <w:t>71</w:t>
            </w:r>
          </w:p>
        </w:tc>
        <w:tc>
          <w:tcPr>
            <w:tcW w:w="1152" w:type="dxa"/>
            <w:vAlign w:val="center"/>
          </w:tcPr>
          <w:p w:rsidR="00805C06" w:rsidRPr="00755960" w:rsidRDefault="00805C06" w:rsidP="008805CF">
            <w:pPr>
              <w:spacing w:before="60" w:after="60"/>
              <w:jc w:val="center"/>
              <w:rPr>
                <w:sz w:val="20"/>
              </w:rPr>
            </w:pPr>
            <w:r>
              <w:rPr>
                <w:sz w:val="20"/>
              </w:rPr>
              <w:t>25</w:t>
            </w:r>
          </w:p>
        </w:tc>
        <w:tc>
          <w:tcPr>
            <w:tcW w:w="1037" w:type="dxa"/>
            <w:vAlign w:val="center"/>
          </w:tcPr>
          <w:p w:rsidR="00805C06" w:rsidRPr="00755960" w:rsidRDefault="00805C06" w:rsidP="008805CF">
            <w:pPr>
              <w:spacing w:before="60" w:after="60"/>
              <w:jc w:val="center"/>
              <w:rPr>
                <w:sz w:val="20"/>
              </w:rPr>
            </w:pPr>
            <w:r>
              <w:rPr>
                <w:sz w:val="20"/>
              </w:rPr>
              <w:t>11</w:t>
            </w:r>
          </w:p>
        </w:tc>
        <w:tc>
          <w:tcPr>
            <w:tcW w:w="1267" w:type="dxa"/>
            <w:vAlign w:val="center"/>
          </w:tcPr>
          <w:p w:rsidR="00805C06" w:rsidRPr="00755960" w:rsidRDefault="00805C06" w:rsidP="008805CF">
            <w:pPr>
              <w:jc w:val="center"/>
            </w:pPr>
            <w:r>
              <w:t>0</w:t>
            </w:r>
          </w:p>
        </w:tc>
        <w:tc>
          <w:tcPr>
            <w:tcW w:w="1152" w:type="dxa"/>
            <w:vAlign w:val="center"/>
          </w:tcPr>
          <w:p w:rsidR="00805C06" w:rsidRPr="00755960" w:rsidRDefault="00805C06" w:rsidP="008805CF">
            <w:pPr>
              <w:spacing w:before="60" w:after="60"/>
              <w:jc w:val="center"/>
              <w:rPr>
                <w:sz w:val="20"/>
              </w:rPr>
            </w:pPr>
            <w:r>
              <w:rPr>
                <w:sz w:val="20"/>
              </w:rPr>
              <w:t>N</w:t>
            </w:r>
          </w:p>
        </w:tc>
        <w:tc>
          <w:tcPr>
            <w:tcW w:w="882" w:type="dxa"/>
            <w:vAlign w:val="center"/>
          </w:tcPr>
          <w:p w:rsidR="00805C06" w:rsidRPr="00755960" w:rsidRDefault="00805C06" w:rsidP="008805CF">
            <w:pPr>
              <w:spacing w:before="60" w:after="60"/>
              <w:jc w:val="center"/>
              <w:rPr>
                <w:sz w:val="20"/>
              </w:rPr>
            </w:pPr>
            <w:r>
              <w:rPr>
                <w:sz w:val="20"/>
              </w:rPr>
              <w:t>N</w:t>
            </w:r>
          </w:p>
        </w:tc>
        <w:tc>
          <w:tcPr>
            <w:tcW w:w="936" w:type="dxa"/>
            <w:vAlign w:val="center"/>
          </w:tcPr>
          <w:p w:rsidR="00805C06" w:rsidRPr="00755960" w:rsidRDefault="00805C06" w:rsidP="008805CF">
            <w:pPr>
              <w:spacing w:before="60" w:after="60"/>
              <w:jc w:val="center"/>
              <w:rPr>
                <w:sz w:val="20"/>
              </w:rPr>
            </w:pPr>
            <w:r>
              <w:rPr>
                <w:sz w:val="20"/>
              </w:rPr>
              <w:t>N</w:t>
            </w:r>
          </w:p>
        </w:tc>
        <w:tc>
          <w:tcPr>
            <w:tcW w:w="3706" w:type="dxa"/>
            <w:tcBorders>
              <w:left w:val="nil"/>
            </w:tcBorders>
            <w:vAlign w:val="center"/>
          </w:tcPr>
          <w:p w:rsidR="00805C06" w:rsidRPr="00755960" w:rsidRDefault="00805C06" w:rsidP="008805CF">
            <w:pPr>
              <w:pStyle w:val="Header"/>
              <w:tabs>
                <w:tab w:val="clear" w:pos="4320"/>
                <w:tab w:val="clear" w:pos="8640"/>
              </w:tabs>
              <w:spacing w:before="60" w:after="60"/>
              <w:rPr>
                <w:sz w:val="20"/>
              </w:rPr>
            </w:pPr>
            <w:r>
              <w:rPr>
                <w:sz w:val="20"/>
              </w:rPr>
              <w:t>Fan in wall for ventilation</w:t>
            </w:r>
          </w:p>
        </w:tc>
      </w:tr>
      <w:tr w:rsidR="00805C06" w:rsidRPr="00755960" w:rsidTr="008805CF">
        <w:tblPrEx>
          <w:tblCellMar>
            <w:top w:w="0" w:type="dxa"/>
            <w:bottom w:w="0" w:type="dxa"/>
          </w:tblCellMar>
        </w:tblPrEx>
        <w:trPr>
          <w:trHeight w:val="560"/>
          <w:jc w:val="center"/>
        </w:trPr>
        <w:tc>
          <w:tcPr>
            <w:tcW w:w="1795" w:type="dxa"/>
            <w:vAlign w:val="center"/>
          </w:tcPr>
          <w:p w:rsidR="00805C06" w:rsidRPr="00755960" w:rsidRDefault="00805C06" w:rsidP="008805CF">
            <w:pPr>
              <w:spacing w:before="60" w:after="60"/>
              <w:rPr>
                <w:sz w:val="20"/>
              </w:rPr>
            </w:pPr>
            <w:r w:rsidRPr="00E1370A">
              <w:rPr>
                <w:sz w:val="20"/>
              </w:rPr>
              <w:t>Main Office Area (</w:t>
            </w:r>
            <w:r>
              <w:rPr>
                <w:sz w:val="20"/>
              </w:rPr>
              <w:t>Right</w:t>
            </w:r>
            <w:r w:rsidRPr="00E1370A">
              <w:rPr>
                <w:sz w:val="20"/>
              </w:rPr>
              <w:t>)</w:t>
            </w:r>
          </w:p>
        </w:tc>
        <w:tc>
          <w:tcPr>
            <w:tcW w:w="891" w:type="dxa"/>
            <w:vAlign w:val="center"/>
          </w:tcPr>
          <w:p w:rsidR="00805C06" w:rsidRPr="00755960" w:rsidRDefault="00805C06" w:rsidP="008805CF">
            <w:pPr>
              <w:spacing w:before="60" w:after="60"/>
              <w:jc w:val="center"/>
              <w:rPr>
                <w:sz w:val="20"/>
              </w:rPr>
            </w:pPr>
            <w:r>
              <w:rPr>
                <w:sz w:val="20"/>
              </w:rPr>
              <w:t>1010</w:t>
            </w:r>
          </w:p>
        </w:tc>
        <w:tc>
          <w:tcPr>
            <w:tcW w:w="995" w:type="dxa"/>
            <w:vAlign w:val="center"/>
          </w:tcPr>
          <w:p w:rsidR="00805C06" w:rsidRPr="00755960" w:rsidRDefault="00805C06" w:rsidP="008805CF">
            <w:pPr>
              <w:spacing w:before="60" w:after="60"/>
              <w:jc w:val="center"/>
              <w:rPr>
                <w:sz w:val="20"/>
              </w:rPr>
            </w:pPr>
            <w:r>
              <w:rPr>
                <w:sz w:val="20"/>
              </w:rPr>
              <w:t>ND</w:t>
            </w:r>
          </w:p>
        </w:tc>
        <w:tc>
          <w:tcPr>
            <w:tcW w:w="994" w:type="dxa"/>
            <w:vAlign w:val="center"/>
          </w:tcPr>
          <w:p w:rsidR="00805C06" w:rsidRPr="00755960" w:rsidRDefault="00805C06" w:rsidP="008805CF">
            <w:pPr>
              <w:spacing w:before="60" w:after="60"/>
              <w:jc w:val="center"/>
              <w:rPr>
                <w:sz w:val="20"/>
              </w:rPr>
            </w:pPr>
            <w:r>
              <w:rPr>
                <w:sz w:val="20"/>
              </w:rPr>
              <w:t>71</w:t>
            </w:r>
          </w:p>
        </w:tc>
        <w:tc>
          <w:tcPr>
            <w:tcW w:w="1152" w:type="dxa"/>
            <w:vAlign w:val="center"/>
          </w:tcPr>
          <w:p w:rsidR="00805C06" w:rsidRPr="00755960" w:rsidRDefault="00805C06" w:rsidP="008805CF">
            <w:pPr>
              <w:spacing w:before="60" w:after="60"/>
              <w:jc w:val="center"/>
              <w:rPr>
                <w:sz w:val="20"/>
              </w:rPr>
            </w:pPr>
            <w:r>
              <w:rPr>
                <w:sz w:val="20"/>
              </w:rPr>
              <w:t>25</w:t>
            </w:r>
          </w:p>
        </w:tc>
        <w:tc>
          <w:tcPr>
            <w:tcW w:w="1037" w:type="dxa"/>
            <w:vAlign w:val="center"/>
          </w:tcPr>
          <w:p w:rsidR="00805C06" w:rsidRPr="00755960" w:rsidRDefault="00805C06" w:rsidP="008805CF">
            <w:pPr>
              <w:spacing w:before="60" w:after="60"/>
              <w:jc w:val="center"/>
              <w:rPr>
                <w:sz w:val="20"/>
              </w:rPr>
            </w:pPr>
            <w:r>
              <w:rPr>
                <w:sz w:val="20"/>
              </w:rPr>
              <w:t>9</w:t>
            </w:r>
          </w:p>
        </w:tc>
        <w:tc>
          <w:tcPr>
            <w:tcW w:w="1267" w:type="dxa"/>
            <w:vAlign w:val="center"/>
          </w:tcPr>
          <w:p w:rsidR="00805C06" w:rsidRPr="00755960" w:rsidRDefault="00805C06" w:rsidP="008805CF">
            <w:pPr>
              <w:jc w:val="center"/>
            </w:pPr>
            <w:r>
              <w:t>4</w:t>
            </w:r>
          </w:p>
        </w:tc>
        <w:tc>
          <w:tcPr>
            <w:tcW w:w="1152" w:type="dxa"/>
            <w:vAlign w:val="center"/>
          </w:tcPr>
          <w:p w:rsidR="00805C06" w:rsidRPr="00755960" w:rsidRDefault="00805C06" w:rsidP="008805CF">
            <w:pPr>
              <w:spacing w:before="60" w:after="60"/>
              <w:jc w:val="center"/>
              <w:rPr>
                <w:sz w:val="20"/>
              </w:rPr>
            </w:pPr>
            <w:r>
              <w:rPr>
                <w:sz w:val="20"/>
              </w:rPr>
              <w:t>N</w:t>
            </w:r>
          </w:p>
        </w:tc>
        <w:tc>
          <w:tcPr>
            <w:tcW w:w="882" w:type="dxa"/>
            <w:vAlign w:val="center"/>
          </w:tcPr>
          <w:p w:rsidR="00805C06" w:rsidRPr="00755960" w:rsidRDefault="00805C06" w:rsidP="008805CF">
            <w:pPr>
              <w:spacing w:before="60" w:after="60"/>
              <w:jc w:val="center"/>
              <w:rPr>
                <w:sz w:val="20"/>
              </w:rPr>
            </w:pPr>
            <w:r>
              <w:rPr>
                <w:sz w:val="20"/>
              </w:rPr>
              <w:t>N</w:t>
            </w:r>
          </w:p>
        </w:tc>
        <w:tc>
          <w:tcPr>
            <w:tcW w:w="936" w:type="dxa"/>
            <w:vAlign w:val="center"/>
          </w:tcPr>
          <w:p w:rsidR="00805C06" w:rsidRPr="00755960" w:rsidRDefault="00805C06" w:rsidP="008805CF">
            <w:pPr>
              <w:spacing w:before="60" w:after="60"/>
              <w:jc w:val="center"/>
              <w:rPr>
                <w:sz w:val="20"/>
              </w:rPr>
            </w:pPr>
            <w:r>
              <w:rPr>
                <w:sz w:val="20"/>
              </w:rPr>
              <w:t>N</w:t>
            </w:r>
          </w:p>
        </w:tc>
        <w:tc>
          <w:tcPr>
            <w:tcW w:w="3706" w:type="dxa"/>
            <w:tcBorders>
              <w:left w:val="nil"/>
            </w:tcBorders>
            <w:vAlign w:val="center"/>
          </w:tcPr>
          <w:p w:rsidR="00805C06" w:rsidRPr="00755960" w:rsidRDefault="00805C06" w:rsidP="008805CF">
            <w:pPr>
              <w:pStyle w:val="Header"/>
              <w:tabs>
                <w:tab w:val="clear" w:pos="4320"/>
                <w:tab w:val="clear" w:pos="8640"/>
              </w:tabs>
              <w:spacing w:before="60" w:after="60"/>
              <w:rPr>
                <w:sz w:val="20"/>
              </w:rPr>
            </w:pPr>
          </w:p>
        </w:tc>
      </w:tr>
      <w:tr w:rsidR="00805C06" w:rsidRPr="00755960" w:rsidTr="008805CF">
        <w:tblPrEx>
          <w:tblCellMar>
            <w:top w:w="0" w:type="dxa"/>
            <w:bottom w:w="0" w:type="dxa"/>
          </w:tblCellMar>
        </w:tblPrEx>
        <w:trPr>
          <w:trHeight w:val="560"/>
          <w:jc w:val="center"/>
        </w:trPr>
        <w:tc>
          <w:tcPr>
            <w:tcW w:w="1795" w:type="dxa"/>
            <w:tcBorders>
              <w:bottom w:val="single" w:sz="12" w:space="0" w:color="000000"/>
            </w:tcBorders>
            <w:vAlign w:val="center"/>
          </w:tcPr>
          <w:p w:rsidR="00805C06" w:rsidRPr="00755960" w:rsidRDefault="00805C06" w:rsidP="008805CF">
            <w:pPr>
              <w:spacing w:before="60" w:after="60"/>
              <w:rPr>
                <w:sz w:val="20"/>
              </w:rPr>
            </w:pPr>
            <w:r>
              <w:rPr>
                <w:sz w:val="20"/>
              </w:rPr>
              <w:t>Huck Office</w:t>
            </w:r>
          </w:p>
        </w:tc>
        <w:tc>
          <w:tcPr>
            <w:tcW w:w="891" w:type="dxa"/>
            <w:tcBorders>
              <w:bottom w:val="single" w:sz="12" w:space="0" w:color="000000"/>
            </w:tcBorders>
            <w:vAlign w:val="center"/>
          </w:tcPr>
          <w:p w:rsidR="00805C06" w:rsidRPr="00755960" w:rsidRDefault="00805C06" w:rsidP="008805CF">
            <w:pPr>
              <w:spacing w:before="60" w:after="60"/>
              <w:jc w:val="center"/>
              <w:rPr>
                <w:sz w:val="20"/>
              </w:rPr>
            </w:pPr>
            <w:r>
              <w:rPr>
                <w:sz w:val="20"/>
              </w:rPr>
              <w:t>955</w:t>
            </w:r>
          </w:p>
        </w:tc>
        <w:tc>
          <w:tcPr>
            <w:tcW w:w="995" w:type="dxa"/>
            <w:tcBorders>
              <w:bottom w:val="single" w:sz="12" w:space="0" w:color="000000"/>
            </w:tcBorders>
            <w:vAlign w:val="center"/>
          </w:tcPr>
          <w:p w:rsidR="00805C06" w:rsidRPr="00755960" w:rsidRDefault="00805C06" w:rsidP="008805CF">
            <w:pPr>
              <w:spacing w:before="60" w:after="60"/>
              <w:jc w:val="center"/>
              <w:rPr>
                <w:sz w:val="20"/>
              </w:rPr>
            </w:pPr>
            <w:r>
              <w:rPr>
                <w:sz w:val="20"/>
              </w:rPr>
              <w:t>ND</w:t>
            </w:r>
          </w:p>
        </w:tc>
        <w:tc>
          <w:tcPr>
            <w:tcW w:w="994" w:type="dxa"/>
            <w:tcBorders>
              <w:bottom w:val="single" w:sz="12" w:space="0" w:color="000000"/>
            </w:tcBorders>
            <w:vAlign w:val="center"/>
          </w:tcPr>
          <w:p w:rsidR="00805C06" w:rsidRPr="00755960" w:rsidRDefault="00805C06" w:rsidP="008805CF">
            <w:pPr>
              <w:spacing w:before="60" w:after="60"/>
              <w:jc w:val="center"/>
              <w:rPr>
                <w:sz w:val="20"/>
              </w:rPr>
            </w:pPr>
            <w:r>
              <w:rPr>
                <w:sz w:val="20"/>
              </w:rPr>
              <w:t>71</w:t>
            </w:r>
          </w:p>
        </w:tc>
        <w:tc>
          <w:tcPr>
            <w:tcW w:w="1152" w:type="dxa"/>
            <w:tcBorders>
              <w:bottom w:val="single" w:sz="12" w:space="0" w:color="000000"/>
            </w:tcBorders>
            <w:vAlign w:val="center"/>
          </w:tcPr>
          <w:p w:rsidR="00805C06" w:rsidRPr="00755960" w:rsidRDefault="00805C06" w:rsidP="008805CF">
            <w:pPr>
              <w:spacing w:before="60" w:after="60"/>
              <w:jc w:val="center"/>
              <w:rPr>
                <w:sz w:val="20"/>
              </w:rPr>
            </w:pPr>
            <w:r>
              <w:rPr>
                <w:sz w:val="20"/>
              </w:rPr>
              <w:t>24</w:t>
            </w:r>
          </w:p>
        </w:tc>
        <w:tc>
          <w:tcPr>
            <w:tcW w:w="1037" w:type="dxa"/>
            <w:tcBorders>
              <w:bottom w:val="single" w:sz="12" w:space="0" w:color="000000"/>
            </w:tcBorders>
            <w:vAlign w:val="center"/>
          </w:tcPr>
          <w:p w:rsidR="00805C06" w:rsidRPr="00755960" w:rsidRDefault="00805C06" w:rsidP="008805CF">
            <w:pPr>
              <w:spacing w:before="60" w:after="60"/>
              <w:jc w:val="center"/>
              <w:rPr>
                <w:sz w:val="20"/>
              </w:rPr>
            </w:pPr>
            <w:r>
              <w:rPr>
                <w:sz w:val="20"/>
              </w:rPr>
              <w:t>9</w:t>
            </w:r>
          </w:p>
        </w:tc>
        <w:tc>
          <w:tcPr>
            <w:tcW w:w="1267" w:type="dxa"/>
            <w:tcBorders>
              <w:bottom w:val="single" w:sz="12" w:space="0" w:color="000000"/>
            </w:tcBorders>
            <w:vAlign w:val="center"/>
          </w:tcPr>
          <w:p w:rsidR="00805C06" w:rsidRPr="00755960" w:rsidRDefault="00805C06" w:rsidP="008805CF">
            <w:pPr>
              <w:jc w:val="center"/>
            </w:pPr>
            <w:r>
              <w:t>0</w:t>
            </w:r>
          </w:p>
        </w:tc>
        <w:tc>
          <w:tcPr>
            <w:tcW w:w="1152" w:type="dxa"/>
            <w:tcBorders>
              <w:bottom w:val="single" w:sz="12" w:space="0" w:color="000000"/>
            </w:tcBorders>
            <w:vAlign w:val="center"/>
          </w:tcPr>
          <w:p w:rsidR="00805C06" w:rsidRPr="00755960" w:rsidRDefault="00805C06" w:rsidP="008805CF">
            <w:pPr>
              <w:spacing w:before="60" w:after="60"/>
              <w:jc w:val="center"/>
              <w:rPr>
                <w:sz w:val="20"/>
              </w:rPr>
            </w:pPr>
            <w:r>
              <w:rPr>
                <w:sz w:val="20"/>
              </w:rPr>
              <w:t>Y</w:t>
            </w:r>
          </w:p>
        </w:tc>
        <w:tc>
          <w:tcPr>
            <w:tcW w:w="882" w:type="dxa"/>
            <w:tcBorders>
              <w:bottom w:val="single" w:sz="12" w:space="0" w:color="000000"/>
            </w:tcBorders>
            <w:vAlign w:val="center"/>
          </w:tcPr>
          <w:p w:rsidR="00805C06" w:rsidRPr="00755960" w:rsidRDefault="00805C06" w:rsidP="008805CF">
            <w:pPr>
              <w:spacing w:before="60" w:after="60"/>
              <w:jc w:val="center"/>
              <w:rPr>
                <w:sz w:val="20"/>
              </w:rPr>
            </w:pPr>
            <w:r>
              <w:rPr>
                <w:sz w:val="20"/>
              </w:rPr>
              <w:t>N</w:t>
            </w:r>
          </w:p>
        </w:tc>
        <w:tc>
          <w:tcPr>
            <w:tcW w:w="936" w:type="dxa"/>
            <w:tcBorders>
              <w:bottom w:val="single" w:sz="12" w:space="0" w:color="000000"/>
            </w:tcBorders>
            <w:vAlign w:val="center"/>
          </w:tcPr>
          <w:p w:rsidR="00805C06" w:rsidRPr="00755960" w:rsidRDefault="00805C06" w:rsidP="008805CF">
            <w:pPr>
              <w:spacing w:before="60" w:after="60"/>
              <w:jc w:val="center"/>
              <w:rPr>
                <w:sz w:val="20"/>
              </w:rPr>
            </w:pPr>
            <w:r>
              <w:rPr>
                <w:sz w:val="20"/>
              </w:rPr>
              <w:t>N</w:t>
            </w:r>
          </w:p>
        </w:tc>
        <w:tc>
          <w:tcPr>
            <w:tcW w:w="3706" w:type="dxa"/>
            <w:tcBorders>
              <w:left w:val="nil"/>
              <w:bottom w:val="single" w:sz="12" w:space="0" w:color="000000"/>
            </w:tcBorders>
            <w:vAlign w:val="center"/>
          </w:tcPr>
          <w:p w:rsidR="00805C06" w:rsidRPr="00755960" w:rsidRDefault="00805C06" w:rsidP="008805CF">
            <w:pPr>
              <w:pStyle w:val="Header"/>
              <w:tabs>
                <w:tab w:val="clear" w:pos="4320"/>
                <w:tab w:val="clear" w:pos="8640"/>
              </w:tabs>
              <w:spacing w:before="60" w:after="60"/>
              <w:rPr>
                <w:sz w:val="20"/>
              </w:rPr>
            </w:pPr>
            <w:r>
              <w:rPr>
                <w:sz w:val="20"/>
              </w:rPr>
              <w:t>Window AC</w:t>
            </w:r>
          </w:p>
        </w:tc>
      </w:tr>
    </w:tbl>
    <w:p w:rsidR="00805C06" w:rsidRPr="00755960" w:rsidRDefault="00805C06" w:rsidP="00805C06"/>
    <w:p w:rsidR="00A35925" w:rsidRPr="002811E0" w:rsidRDefault="00A35925" w:rsidP="002811E0">
      <w:pPr>
        <w:pStyle w:val="BodyText2"/>
      </w:pPr>
    </w:p>
    <w:sectPr w:rsidR="00A35925" w:rsidRPr="002811E0" w:rsidSect="00805C06">
      <w:headerReference w:type="even" r:id="rId26"/>
      <w:headerReference w:type="default" r:id="rId27"/>
      <w:footerReference w:type="even"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28" w:rsidRDefault="00AE4A28">
      <w:r>
        <w:separator/>
      </w:r>
    </w:p>
  </w:endnote>
  <w:endnote w:type="continuationSeparator" w:id="0">
    <w:p w:rsidR="00AE4A28" w:rsidRDefault="00AE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D9" w:rsidRDefault="00FD51D9" w:rsidP="00A35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D51D9" w:rsidRDefault="00FD5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D9" w:rsidRDefault="00FD51D9" w:rsidP="00A35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0DBF">
      <w:rPr>
        <w:rStyle w:val="PageNumber"/>
        <w:noProof/>
      </w:rPr>
      <w:t>12</w:t>
    </w:r>
    <w:r>
      <w:rPr>
        <w:rStyle w:val="PageNumber"/>
      </w:rPr>
      <w:fldChar w:fldCharType="end"/>
    </w:r>
  </w:p>
  <w:p w:rsidR="00FD51D9" w:rsidRDefault="00FD51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06" w:rsidRDefault="00805C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06" w:rsidRDefault="00805C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CF" w:rsidRDefault="008805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19" w:type="dxa"/>
      <w:jc w:val="center"/>
      <w:tblInd w:w="-98" w:type="dxa"/>
      <w:tblLayout w:type="fixed"/>
      <w:tblLook w:val="0000" w:firstRow="0" w:lastRow="0" w:firstColumn="0" w:lastColumn="0" w:noHBand="0" w:noVBand="0"/>
    </w:tblPr>
    <w:tblGrid>
      <w:gridCol w:w="3407"/>
      <w:gridCol w:w="2922"/>
      <w:gridCol w:w="2830"/>
      <w:gridCol w:w="2830"/>
      <w:gridCol w:w="2830"/>
    </w:tblGrid>
    <w:tr w:rsidR="008805CF" w:rsidRPr="00F374D5" w:rsidTr="008805CF">
      <w:trPr>
        <w:trHeight w:val="313"/>
        <w:jc w:val="center"/>
      </w:trPr>
      <w:tc>
        <w:tcPr>
          <w:tcW w:w="3407" w:type="dxa"/>
          <w:tcBorders>
            <w:top w:val="nil"/>
            <w:left w:val="nil"/>
            <w:bottom w:val="nil"/>
            <w:right w:val="nil"/>
          </w:tcBorders>
          <w:noWrap/>
        </w:tcPr>
        <w:p w:rsidR="008805CF" w:rsidRPr="008A0B94" w:rsidRDefault="008805CF" w:rsidP="008805CF">
          <w:pPr>
            <w:tabs>
              <w:tab w:val="left" w:pos="9180"/>
            </w:tabs>
            <w:rPr>
              <w:sz w:val="20"/>
            </w:rPr>
          </w:pPr>
          <w:r w:rsidRPr="008A0B94">
            <w:rPr>
              <w:sz w:val="20"/>
            </w:rPr>
            <w:t>ppm = parts per million</w:t>
          </w:r>
        </w:p>
      </w:tc>
      <w:tc>
        <w:tcPr>
          <w:tcW w:w="2922" w:type="dxa"/>
          <w:tcBorders>
            <w:top w:val="nil"/>
            <w:left w:val="nil"/>
            <w:bottom w:val="nil"/>
            <w:right w:val="nil"/>
          </w:tcBorders>
          <w:noWrap/>
        </w:tcPr>
        <w:p w:rsidR="008805CF" w:rsidRPr="008A0B94" w:rsidRDefault="008805CF" w:rsidP="008805CF">
          <w:pPr>
            <w:tabs>
              <w:tab w:val="left" w:pos="9180"/>
            </w:tabs>
            <w:rPr>
              <w:sz w:val="20"/>
            </w:rPr>
          </w:pPr>
          <w:r>
            <w:rPr>
              <w:sz w:val="20"/>
            </w:rPr>
            <w:t>AD = air deodorizer</w:t>
          </w:r>
        </w:p>
      </w:tc>
      <w:tc>
        <w:tcPr>
          <w:tcW w:w="2830" w:type="dxa"/>
        </w:tcPr>
        <w:p w:rsidR="008805CF" w:rsidRPr="008A0B94" w:rsidRDefault="008805CF" w:rsidP="008805CF">
          <w:pPr>
            <w:tabs>
              <w:tab w:val="left" w:pos="9180"/>
            </w:tabs>
            <w:rPr>
              <w:sz w:val="20"/>
            </w:rPr>
          </w:pPr>
          <w:r>
            <w:rPr>
              <w:sz w:val="20"/>
            </w:rPr>
            <w:t>CP = cleaning products</w:t>
          </w:r>
        </w:p>
      </w:tc>
      <w:tc>
        <w:tcPr>
          <w:tcW w:w="2830" w:type="dxa"/>
        </w:tcPr>
        <w:p w:rsidR="008805CF" w:rsidRPr="008A0B94" w:rsidRDefault="008805CF" w:rsidP="008805CF">
          <w:pPr>
            <w:tabs>
              <w:tab w:val="left" w:pos="9180"/>
            </w:tabs>
            <w:rPr>
              <w:sz w:val="20"/>
            </w:rPr>
          </w:pPr>
          <w:r w:rsidRPr="008A0B94">
            <w:rPr>
              <w:sz w:val="20"/>
            </w:rPr>
            <w:t>DO = door open</w:t>
          </w:r>
        </w:p>
      </w:tc>
      <w:tc>
        <w:tcPr>
          <w:tcW w:w="2830" w:type="dxa"/>
        </w:tcPr>
        <w:p w:rsidR="008805CF" w:rsidRPr="008A0B94" w:rsidRDefault="008805CF" w:rsidP="008805CF">
          <w:pPr>
            <w:tabs>
              <w:tab w:val="left" w:pos="9180"/>
            </w:tabs>
            <w:rPr>
              <w:sz w:val="20"/>
            </w:rPr>
          </w:pPr>
          <w:r w:rsidRPr="008A0B94">
            <w:rPr>
              <w:sz w:val="20"/>
            </w:rPr>
            <w:t>ND = non detect</w:t>
          </w:r>
        </w:p>
      </w:tc>
    </w:tr>
    <w:tr w:rsidR="008805CF" w:rsidRPr="00F374D5" w:rsidTr="008805CF">
      <w:trPr>
        <w:trHeight w:val="300"/>
        <w:jc w:val="center"/>
      </w:trPr>
      <w:tc>
        <w:tcPr>
          <w:tcW w:w="3407" w:type="dxa"/>
          <w:tcBorders>
            <w:top w:val="nil"/>
            <w:left w:val="nil"/>
            <w:bottom w:val="nil"/>
            <w:right w:val="nil"/>
          </w:tcBorders>
          <w:noWrap/>
        </w:tcPr>
        <w:p w:rsidR="008805CF" w:rsidRPr="008A0B94" w:rsidRDefault="008805CF" w:rsidP="008805CF">
          <w:pPr>
            <w:tabs>
              <w:tab w:val="left" w:pos="9180"/>
            </w:tabs>
            <w:rPr>
              <w:sz w:val="20"/>
            </w:rPr>
          </w:pPr>
          <w:r w:rsidRPr="008A0B94">
            <w:rPr>
              <w:sz w:val="20"/>
            </w:rPr>
            <w:t>µg/m</w:t>
          </w:r>
          <w:r w:rsidRPr="008A0B94">
            <w:rPr>
              <w:sz w:val="20"/>
              <w:vertAlign w:val="superscript"/>
            </w:rPr>
            <w:t>3</w:t>
          </w:r>
          <w:r w:rsidRPr="008A0B94">
            <w:rPr>
              <w:sz w:val="20"/>
            </w:rPr>
            <w:t xml:space="preserve"> = micrograms per cubic meter</w:t>
          </w:r>
        </w:p>
      </w:tc>
      <w:tc>
        <w:tcPr>
          <w:tcW w:w="2922" w:type="dxa"/>
          <w:tcBorders>
            <w:top w:val="nil"/>
            <w:left w:val="nil"/>
            <w:bottom w:val="nil"/>
            <w:right w:val="nil"/>
          </w:tcBorders>
          <w:noWrap/>
        </w:tcPr>
        <w:p w:rsidR="008805CF" w:rsidRPr="008A0B94" w:rsidRDefault="008805CF" w:rsidP="008805CF">
          <w:pPr>
            <w:tabs>
              <w:tab w:val="left" w:pos="9180"/>
            </w:tabs>
            <w:rPr>
              <w:sz w:val="20"/>
            </w:rPr>
          </w:pPr>
          <w:r>
            <w:rPr>
              <w:sz w:val="20"/>
            </w:rPr>
            <w:t>AHU = air handling unit</w:t>
          </w:r>
        </w:p>
      </w:tc>
      <w:tc>
        <w:tcPr>
          <w:tcW w:w="2830" w:type="dxa"/>
        </w:tcPr>
        <w:p w:rsidR="008805CF" w:rsidRPr="008A0B94" w:rsidRDefault="008805CF" w:rsidP="008805CF">
          <w:pPr>
            <w:tabs>
              <w:tab w:val="left" w:pos="9180"/>
            </w:tabs>
            <w:rPr>
              <w:sz w:val="20"/>
            </w:rPr>
          </w:pPr>
          <w:r>
            <w:rPr>
              <w:sz w:val="20"/>
            </w:rPr>
            <w:t>CT = ceiling tile</w:t>
          </w:r>
        </w:p>
      </w:tc>
      <w:tc>
        <w:tcPr>
          <w:tcW w:w="2830" w:type="dxa"/>
        </w:tcPr>
        <w:p w:rsidR="008805CF" w:rsidRPr="008A0B94" w:rsidRDefault="008805CF" w:rsidP="008805CF">
          <w:pPr>
            <w:tabs>
              <w:tab w:val="left" w:pos="9180"/>
            </w:tabs>
            <w:rPr>
              <w:sz w:val="20"/>
            </w:rPr>
          </w:pPr>
          <w:r>
            <w:rPr>
              <w:sz w:val="20"/>
            </w:rPr>
            <w:t>HS = hand sanitizer</w:t>
          </w:r>
        </w:p>
      </w:tc>
      <w:tc>
        <w:tcPr>
          <w:tcW w:w="2830" w:type="dxa"/>
        </w:tcPr>
        <w:p w:rsidR="008805CF" w:rsidRDefault="008805CF" w:rsidP="008805CF">
          <w:pPr>
            <w:tabs>
              <w:tab w:val="left" w:pos="9180"/>
            </w:tabs>
            <w:rPr>
              <w:sz w:val="20"/>
            </w:rPr>
          </w:pPr>
          <w:r>
            <w:rPr>
              <w:sz w:val="20"/>
            </w:rPr>
            <w:t>WD = water-damaged</w:t>
          </w:r>
        </w:p>
      </w:tc>
    </w:tr>
    <w:tr w:rsidR="008805CF" w:rsidRPr="00F374D5" w:rsidTr="008805CF">
      <w:trPr>
        <w:gridAfter w:val="3"/>
        <w:wAfter w:w="8490" w:type="dxa"/>
        <w:trHeight w:val="300"/>
        <w:jc w:val="center"/>
      </w:trPr>
      <w:tc>
        <w:tcPr>
          <w:tcW w:w="3407" w:type="dxa"/>
          <w:tcBorders>
            <w:top w:val="nil"/>
            <w:left w:val="nil"/>
            <w:bottom w:val="nil"/>
            <w:right w:val="nil"/>
          </w:tcBorders>
          <w:noWrap/>
          <w:vAlign w:val="bottom"/>
        </w:tcPr>
        <w:p w:rsidR="008805CF" w:rsidRPr="00F374D5" w:rsidRDefault="008805CF" w:rsidP="008805CF">
          <w:pPr>
            <w:rPr>
              <w:rFonts w:ascii="Times" w:hAnsi="Times" w:cs="Times"/>
              <w:sz w:val="20"/>
            </w:rPr>
          </w:pPr>
        </w:p>
      </w:tc>
      <w:tc>
        <w:tcPr>
          <w:tcW w:w="2922" w:type="dxa"/>
          <w:tcBorders>
            <w:top w:val="nil"/>
            <w:left w:val="nil"/>
            <w:bottom w:val="nil"/>
            <w:right w:val="nil"/>
          </w:tcBorders>
          <w:noWrap/>
          <w:vAlign w:val="bottom"/>
        </w:tcPr>
        <w:p w:rsidR="008805CF" w:rsidRPr="00F374D5" w:rsidRDefault="008805CF" w:rsidP="008805CF">
          <w:pPr>
            <w:rPr>
              <w:rFonts w:ascii="Times" w:hAnsi="Times" w:cs="Times"/>
              <w:sz w:val="20"/>
            </w:rPr>
          </w:pPr>
        </w:p>
      </w:tc>
    </w:tr>
    <w:tr w:rsidR="008805CF" w:rsidRPr="00F374D5" w:rsidTr="008805CF">
      <w:trPr>
        <w:gridAfter w:val="3"/>
        <w:wAfter w:w="8490" w:type="dxa"/>
        <w:trHeight w:val="300"/>
        <w:jc w:val="center"/>
      </w:trPr>
      <w:tc>
        <w:tcPr>
          <w:tcW w:w="3407" w:type="dxa"/>
          <w:tcBorders>
            <w:top w:val="nil"/>
            <w:left w:val="nil"/>
            <w:bottom w:val="nil"/>
            <w:right w:val="nil"/>
          </w:tcBorders>
          <w:noWrap/>
          <w:vAlign w:val="bottom"/>
        </w:tcPr>
        <w:p w:rsidR="008805CF" w:rsidRPr="00F374D5" w:rsidRDefault="008805CF" w:rsidP="008805CF">
          <w:pPr>
            <w:rPr>
              <w:rFonts w:ascii="Times" w:hAnsi="Times" w:cs="Times"/>
              <w:sz w:val="20"/>
            </w:rPr>
          </w:pPr>
        </w:p>
      </w:tc>
      <w:tc>
        <w:tcPr>
          <w:tcW w:w="2922" w:type="dxa"/>
          <w:tcBorders>
            <w:top w:val="nil"/>
            <w:left w:val="nil"/>
            <w:bottom w:val="nil"/>
            <w:right w:val="nil"/>
          </w:tcBorders>
          <w:noWrap/>
          <w:vAlign w:val="bottom"/>
        </w:tcPr>
        <w:p w:rsidR="008805CF" w:rsidRPr="00F374D5" w:rsidRDefault="008805CF" w:rsidP="008805CF">
          <w:pPr>
            <w:rPr>
              <w:rFonts w:ascii="Times" w:hAnsi="Times" w:cs="Times"/>
              <w:sz w:val="20"/>
            </w:rPr>
          </w:pPr>
        </w:p>
      </w:tc>
    </w:tr>
    <w:tr w:rsidR="008805CF" w:rsidRPr="00F374D5" w:rsidTr="008805CF">
      <w:trPr>
        <w:gridAfter w:val="3"/>
        <w:wAfter w:w="8490" w:type="dxa"/>
        <w:trHeight w:val="300"/>
        <w:jc w:val="center"/>
      </w:trPr>
      <w:tc>
        <w:tcPr>
          <w:tcW w:w="3407" w:type="dxa"/>
          <w:tcBorders>
            <w:top w:val="nil"/>
            <w:left w:val="nil"/>
            <w:bottom w:val="nil"/>
            <w:right w:val="nil"/>
          </w:tcBorders>
          <w:noWrap/>
          <w:vAlign w:val="bottom"/>
        </w:tcPr>
        <w:p w:rsidR="008805CF" w:rsidRPr="00F374D5" w:rsidRDefault="008805CF" w:rsidP="008805CF">
          <w:pPr>
            <w:rPr>
              <w:rFonts w:ascii="Times" w:hAnsi="Times" w:cs="Times"/>
              <w:sz w:val="20"/>
            </w:rPr>
          </w:pPr>
        </w:p>
      </w:tc>
      <w:tc>
        <w:tcPr>
          <w:tcW w:w="2922" w:type="dxa"/>
          <w:tcBorders>
            <w:top w:val="nil"/>
            <w:left w:val="nil"/>
            <w:bottom w:val="nil"/>
            <w:right w:val="nil"/>
          </w:tcBorders>
          <w:noWrap/>
          <w:vAlign w:val="bottom"/>
        </w:tcPr>
        <w:p w:rsidR="008805CF" w:rsidRPr="00F374D5" w:rsidRDefault="008805CF" w:rsidP="008805CF">
          <w:pPr>
            <w:rPr>
              <w:rFonts w:ascii="Times" w:hAnsi="Times" w:cs="Times"/>
              <w:sz w:val="20"/>
            </w:rPr>
          </w:pPr>
        </w:p>
      </w:tc>
    </w:tr>
    <w:tr w:rsidR="008805CF" w:rsidRPr="00F374D5" w:rsidTr="008805CF">
      <w:trPr>
        <w:gridAfter w:val="3"/>
        <w:wAfter w:w="8490" w:type="dxa"/>
        <w:trHeight w:val="300"/>
        <w:jc w:val="center"/>
      </w:trPr>
      <w:tc>
        <w:tcPr>
          <w:tcW w:w="3407" w:type="dxa"/>
          <w:tcBorders>
            <w:top w:val="nil"/>
            <w:left w:val="nil"/>
            <w:bottom w:val="nil"/>
            <w:right w:val="nil"/>
          </w:tcBorders>
          <w:noWrap/>
          <w:vAlign w:val="bottom"/>
        </w:tcPr>
        <w:p w:rsidR="008805CF" w:rsidRPr="00F374D5" w:rsidRDefault="008805CF" w:rsidP="008805CF">
          <w:pPr>
            <w:rPr>
              <w:rFonts w:ascii="Times" w:hAnsi="Times" w:cs="Times"/>
              <w:sz w:val="20"/>
            </w:rPr>
          </w:pPr>
        </w:p>
      </w:tc>
      <w:tc>
        <w:tcPr>
          <w:tcW w:w="2922" w:type="dxa"/>
          <w:tcBorders>
            <w:top w:val="nil"/>
            <w:left w:val="nil"/>
            <w:bottom w:val="nil"/>
            <w:right w:val="nil"/>
          </w:tcBorders>
          <w:noWrap/>
          <w:vAlign w:val="bottom"/>
        </w:tcPr>
        <w:p w:rsidR="008805CF" w:rsidRPr="00F374D5" w:rsidRDefault="008805CF" w:rsidP="008805CF">
          <w:pPr>
            <w:rPr>
              <w:rFonts w:ascii="Times" w:hAnsi="Times" w:cs="Times"/>
              <w:sz w:val="20"/>
            </w:rPr>
          </w:pPr>
        </w:p>
      </w:tc>
    </w:tr>
  </w:tbl>
  <w:p w:rsidR="008805CF" w:rsidRDefault="008805CF" w:rsidP="008805CF">
    <w:pPr>
      <w:pStyle w:val="Footer"/>
      <w:rPr>
        <w:rFonts w:ascii="Times" w:hAnsi="Times" w:cs="Times"/>
        <w:sz w:val="20"/>
      </w:rPr>
    </w:pPr>
  </w:p>
  <w:p w:rsidR="008805CF" w:rsidRDefault="008805CF" w:rsidP="008805CF">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805CF" w:rsidTr="008805CF">
      <w:tblPrEx>
        <w:tblCellMar>
          <w:top w:w="0" w:type="dxa"/>
          <w:bottom w:w="0" w:type="dxa"/>
        </w:tblCellMar>
      </w:tblPrEx>
      <w:tc>
        <w:tcPr>
          <w:tcW w:w="2718" w:type="dxa"/>
          <w:tcBorders>
            <w:top w:val="single" w:sz="18" w:space="0" w:color="auto"/>
          </w:tcBorders>
        </w:tcPr>
        <w:p w:rsidR="008805CF" w:rsidRDefault="008805CF" w:rsidP="008805CF">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805CF" w:rsidRDefault="008805CF" w:rsidP="008805CF">
          <w:pPr>
            <w:rPr>
              <w:sz w:val="20"/>
            </w:rPr>
          </w:pPr>
          <w:r>
            <w:rPr>
              <w:sz w:val="20"/>
            </w:rPr>
            <w:t>600 - 800 ppm = acceptable</w:t>
          </w:r>
        </w:p>
      </w:tc>
      <w:tc>
        <w:tcPr>
          <w:tcW w:w="3600" w:type="dxa"/>
          <w:tcBorders>
            <w:top w:val="single" w:sz="18" w:space="0" w:color="auto"/>
          </w:tcBorders>
        </w:tcPr>
        <w:p w:rsidR="008805CF" w:rsidRDefault="008805CF" w:rsidP="008805CF">
          <w:pPr>
            <w:jc w:val="right"/>
            <w:rPr>
              <w:sz w:val="20"/>
            </w:rPr>
          </w:pPr>
          <w:r>
            <w:rPr>
              <w:sz w:val="20"/>
            </w:rPr>
            <w:t>Temperature:</w:t>
          </w:r>
        </w:p>
      </w:tc>
      <w:tc>
        <w:tcPr>
          <w:tcW w:w="3420" w:type="dxa"/>
          <w:tcBorders>
            <w:top w:val="single" w:sz="18" w:space="0" w:color="auto"/>
          </w:tcBorders>
        </w:tcPr>
        <w:p w:rsidR="008805CF" w:rsidRDefault="008805CF" w:rsidP="008805CF">
          <w:pPr>
            <w:rPr>
              <w:sz w:val="20"/>
            </w:rPr>
          </w:pPr>
          <w:r>
            <w:rPr>
              <w:sz w:val="20"/>
            </w:rPr>
            <w:t>70 - 78 °F</w:t>
          </w:r>
        </w:p>
      </w:tc>
    </w:tr>
    <w:tr w:rsidR="008805CF" w:rsidTr="008805CF">
      <w:tblPrEx>
        <w:tblCellMar>
          <w:top w:w="0" w:type="dxa"/>
          <w:bottom w:w="0" w:type="dxa"/>
        </w:tblCellMar>
      </w:tblPrEx>
      <w:tc>
        <w:tcPr>
          <w:tcW w:w="2718" w:type="dxa"/>
        </w:tcPr>
        <w:p w:rsidR="008805CF" w:rsidRDefault="008805CF" w:rsidP="008805CF">
          <w:pPr>
            <w:jc w:val="right"/>
            <w:rPr>
              <w:sz w:val="20"/>
            </w:rPr>
          </w:pPr>
        </w:p>
      </w:tc>
      <w:tc>
        <w:tcPr>
          <w:tcW w:w="4860" w:type="dxa"/>
        </w:tcPr>
        <w:p w:rsidR="008805CF" w:rsidRDefault="008805CF" w:rsidP="008805CF">
          <w:pPr>
            <w:rPr>
              <w:sz w:val="20"/>
            </w:rPr>
          </w:pPr>
          <w:r>
            <w:rPr>
              <w:sz w:val="20"/>
            </w:rPr>
            <w:t>&gt; 800 ppm = indicative of ventilation problems</w:t>
          </w:r>
        </w:p>
      </w:tc>
      <w:tc>
        <w:tcPr>
          <w:tcW w:w="3600" w:type="dxa"/>
        </w:tcPr>
        <w:p w:rsidR="008805CF" w:rsidRDefault="008805CF" w:rsidP="008805CF">
          <w:pPr>
            <w:jc w:val="right"/>
            <w:rPr>
              <w:sz w:val="20"/>
            </w:rPr>
          </w:pPr>
          <w:r>
            <w:rPr>
              <w:sz w:val="20"/>
            </w:rPr>
            <w:t>Relative Humidity:</w:t>
          </w:r>
        </w:p>
      </w:tc>
      <w:tc>
        <w:tcPr>
          <w:tcW w:w="3420" w:type="dxa"/>
        </w:tcPr>
        <w:p w:rsidR="008805CF" w:rsidRDefault="008805CF" w:rsidP="008805CF">
          <w:pPr>
            <w:rPr>
              <w:sz w:val="20"/>
            </w:rPr>
          </w:pPr>
          <w:r>
            <w:rPr>
              <w:sz w:val="20"/>
            </w:rPr>
            <w:t>40 - 60%</w:t>
          </w:r>
        </w:p>
      </w:tc>
    </w:tr>
    <w:tr w:rsidR="008805CF" w:rsidTr="008805CF">
      <w:tblPrEx>
        <w:tblCellMar>
          <w:top w:w="0" w:type="dxa"/>
          <w:bottom w:w="0" w:type="dxa"/>
        </w:tblCellMar>
      </w:tblPrEx>
      <w:tc>
        <w:tcPr>
          <w:tcW w:w="2718" w:type="dxa"/>
          <w:tcBorders>
            <w:bottom w:val="single" w:sz="18" w:space="0" w:color="auto"/>
          </w:tcBorders>
        </w:tcPr>
        <w:p w:rsidR="008805CF" w:rsidRDefault="008805CF" w:rsidP="008805CF">
          <w:pPr>
            <w:jc w:val="right"/>
            <w:rPr>
              <w:sz w:val="20"/>
            </w:rPr>
          </w:pPr>
        </w:p>
      </w:tc>
      <w:tc>
        <w:tcPr>
          <w:tcW w:w="4860" w:type="dxa"/>
          <w:tcBorders>
            <w:bottom w:val="single" w:sz="18" w:space="0" w:color="auto"/>
          </w:tcBorders>
        </w:tcPr>
        <w:p w:rsidR="008805CF" w:rsidRDefault="008805CF" w:rsidP="008805CF">
          <w:pPr>
            <w:rPr>
              <w:sz w:val="20"/>
            </w:rPr>
          </w:pPr>
        </w:p>
      </w:tc>
      <w:tc>
        <w:tcPr>
          <w:tcW w:w="3600" w:type="dxa"/>
          <w:tcBorders>
            <w:bottom w:val="single" w:sz="18" w:space="0" w:color="auto"/>
          </w:tcBorders>
        </w:tcPr>
        <w:p w:rsidR="008805CF" w:rsidRDefault="008805CF" w:rsidP="008805CF">
          <w:pPr>
            <w:rPr>
              <w:sz w:val="20"/>
            </w:rPr>
          </w:pPr>
        </w:p>
      </w:tc>
      <w:tc>
        <w:tcPr>
          <w:tcW w:w="3420" w:type="dxa"/>
          <w:tcBorders>
            <w:bottom w:val="single" w:sz="18" w:space="0" w:color="auto"/>
          </w:tcBorders>
        </w:tcPr>
        <w:p w:rsidR="008805CF" w:rsidRDefault="008805CF" w:rsidP="008805CF">
          <w:pPr>
            <w:rPr>
              <w:sz w:val="20"/>
            </w:rPr>
          </w:pPr>
        </w:p>
      </w:tc>
    </w:tr>
  </w:tbl>
  <w:p w:rsidR="008805CF" w:rsidRDefault="008805CF" w:rsidP="008805CF">
    <w:pPr>
      <w:pStyle w:val="Footer"/>
      <w:jc w:val="center"/>
    </w:pPr>
  </w:p>
  <w:p w:rsidR="008805CF" w:rsidRPr="00A7353A" w:rsidRDefault="008805CF" w:rsidP="008805CF">
    <w:pPr>
      <w:pStyle w:val="Footer"/>
      <w:jc w:val="center"/>
      <w:rPr>
        <w:sz w:val="22"/>
        <w:szCs w:val="22"/>
      </w:rPr>
    </w:pPr>
    <w:r w:rsidRPr="00A7353A">
      <w:rPr>
        <w:sz w:val="22"/>
        <w:szCs w:val="22"/>
      </w:rPr>
      <w:t xml:space="preserve">Table 1, page </w:t>
    </w:r>
    <w:r w:rsidRPr="00A7353A">
      <w:rPr>
        <w:rStyle w:val="PageNumber"/>
        <w:szCs w:val="22"/>
      </w:rPr>
      <w:fldChar w:fldCharType="begin"/>
    </w:r>
    <w:r w:rsidRPr="00A7353A">
      <w:rPr>
        <w:rStyle w:val="PageNumber"/>
        <w:szCs w:val="22"/>
      </w:rPr>
      <w:instrText xml:space="preserve"> PAGE </w:instrText>
    </w:r>
    <w:r w:rsidRPr="00A7353A">
      <w:rPr>
        <w:rStyle w:val="PageNumber"/>
        <w:szCs w:val="22"/>
      </w:rPr>
      <w:fldChar w:fldCharType="separate"/>
    </w:r>
    <w:r>
      <w:rPr>
        <w:rStyle w:val="PageNumber"/>
        <w:noProof/>
        <w:szCs w:val="22"/>
      </w:rPr>
      <w:t>2</w:t>
    </w:r>
    <w:r w:rsidRPr="00A7353A">
      <w:rPr>
        <w:rStyle w:val="PageNumber"/>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CF" w:rsidRDefault="008805CF" w:rsidP="008805CF">
    <w:pPr>
      <w:tabs>
        <w:tab w:val="left" w:pos="9180"/>
      </w:tabs>
      <w:jc w:val="center"/>
      <w:rPr>
        <w:b/>
        <w:sz w:val="20"/>
      </w:rPr>
    </w:pPr>
  </w:p>
  <w:p w:rsidR="008805CF" w:rsidRDefault="008805CF" w:rsidP="008805CF">
    <w:pPr>
      <w:tabs>
        <w:tab w:val="left" w:pos="9180"/>
      </w:tabs>
    </w:pPr>
  </w:p>
  <w:tbl>
    <w:tblPr>
      <w:tblW w:w="14616" w:type="dxa"/>
      <w:tblLayout w:type="fixed"/>
      <w:tblLook w:val="0000" w:firstRow="0" w:lastRow="0" w:firstColumn="0" w:lastColumn="0" w:noHBand="0" w:noVBand="0"/>
    </w:tblPr>
    <w:tblGrid>
      <w:gridCol w:w="2718"/>
      <w:gridCol w:w="3408"/>
      <w:gridCol w:w="2830"/>
      <w:gridCol w:w="2830"/>
      <w:gridCol w:w="2830"/>
    </w:tblGrid>
    <w:tr w:rsidR="008805CF" w:rsidRPr="007C1120" w:rsidTr="008805CF">
      <w:trPr>
        <w:trHeight w:val="313"/>
      </w:trPr>
      <w:tc>
        <w:tcPr>
          <w:tcW w:w="2718" w:type="dxa"/>
          <w:noWrap/>
        </w:tcPr>
        <w:p w:rsidR="008805CF" w:rsidRPr="007C1120" w:rsidRDefault="008805CF" w:rsidP="008805CF">
          <w:pPr>
            <w:tabs>
              <w:tab w:val="left" w:pos="9180"/>
            </w:tabs>
            <w:rPr>
              <w:sz w:val="20"/>
            </w:rPr>
          </w:pPr>
          <w:r w:rsidRPr="007C1120">
            <w:rPr>
              <w:sz w:val="20"/>
            </w:rPr>
            <w:t>ppm = parts per million</w:t>
          </w:r>
        </w:p>
      </w:tc>
      <w:tc>
        <w:tcPr>
          <w:tcW w:w="3408" w:type="dxa"/>
          <w:noWrap/>
        </w:tcPr>
        <w:p w:rsidR="008805CF" w:rsidRPr="007C1120" w:rsidRDefault="008805CF" w:rsidP="008805CF">
          <w:pPr>
            <w:tabs>
              <w:tab w:val="left" w:pos="9180"/>
            </w:tabs>
            <w:rPr>
              <w:sz w:val="20"/>
            </w:rPr>
          </w:pPr>
          <w:r w:rsidRPr="00E1370A">
            <w:rPr>
              <w:sz w:val="20"/>
            </w:rPr>
            <w:t>µg</w:t>
          </w:r>
          <w:r w:rsidRPr="001142EB">
            <w:rPr>
              <w:b/>
              <w:sz w:val="18"/>
              <w:szCs w:val="18"/>
            </w:rPr>
            <w:t xml:space="preserve"> </w:t>
          </w:r>
          <w:r w:rsidRPr="00E1370A">
            <w:rPr>
              <w:sz w:val="18"/>
              <w:szCs w:val="18"/>
            </w:rPr>
            <w:t>m</w:t>
          </w:r>
          <w:r w:rsidRPr="00E1370A">
            <w:rPr>
              <w:sz w:val="18"/>
              <w:szCs w:val="18"/>
              <w:vertAlign w:val="superscript"/>
            </w:rPr>
            <w:t>3</w:t>
          </w:r>
          <w:r w:rsidRPr="00E1370A">
            <w:rPr>
              <w:sz w:val="20"/>
            </w:rPr>
            <w:t>= micrograms per cubic meter</w:t>
          </w:r>
        </w:p>
      </w:tc>
      <w:tc>
        <w:tcPr>
          <w:tcW w:w="2830" w:type="dxa"/>
        </w:tcPr>
        <w:p w:rsidR="008805CF" w:rsidRPr="007C1120" w:rsidRDefault="008805CF" w:rsidP="008805CF">
          <w:pPr>
            <w:tabs>
              <w:tab w:val="left" w:pos="9180"/>
            </w:tabs>
            <w:rPr>
              <w:sz w:val="20"/>
            </w:rPr>
          </w:pPr>
          <w:r w:rsidRPr="00E1370A">
            <w:rPr>
              <w:sz w:val="20"/>
            </w:rPr>
            <w:t>ND = non detect</w:t>
          </w:r>
        </w:p>
      </w:tc>
      <w:tc>
        <w:tcPr>
          <w:tcW w:w="2830" w:type="dxa"/>
        </w:tcPr>
        <w:p w:rsidR="008805CF" w:rsidRPr="007C1120" w:rsidRDefault="008805CF" w:rsidP="008805CF">
          <w:pPr>
            <w:tabs>
              <w:tab w:val="left" w:pos="9180"/>
            </w:tabs>
            <w:rPr>
              <w:sz w:val="20"/>
            </w:rPr>
          </w:pPr>
          <w:r>
            <w:rPr>
              <w:sz w:val="20"/>
            </w:rPr>
            <w:t>UV = univent</w:t>
          </w:r>
        </w:p>
      </w:tc>
      <w:tc>
        <w:tcPr>
          <w:tcW w:w="2830" w:type="dxa"/>
        </w:tcPr>
        <w:p w:rsidR="008805CF" w:rsidRPr="007C1120" w:rsidRDefault="008805CF" w:rsidP="008805CF">
          <w:pPr>
            <w:tabs>
              <w:tab w:val="left" w:pos="9180"/>
            </w:tabs>
            <w:rPr>
              <w:sz w:val="20"/>
            </w:rPr>
          </w:pPr>
          <w:r w:rsidRPr="007C1120">
            <w:rPr>
              <w:sz w:val="20"/>
            </w:rPr>
            <w:t>A</w:t>
          </w:r>
          <w:r>
            <w:rPr>
              <w:sz w:val="20"/>
            </w:rPr>
            <w:t>C</w:t>
          </w:r>
          <w:r w:rsidRPr="007C1120">
            <w:rPr>
              <w:sz w:val="20"/>
            </w:rPr>
            <w:t xml:space="preserve"> = air </w:t>
          </w:r>
          <w:r>
            <w:rPr>
              <w:sz w:val="20"/>
            </w:rPr>
            <w:t>conditioner</w:t>
          </w:r>
        </w:p>
      </w:tc>
    </w:tr>
    <w:tr w:rsidR="008805CF" w:rsidRPr="007C1120" w:rsidTr="008805CF">
      <w:trPr>
        <w:trHeight w:val="300"/>
      </w:trPr>
      <w:tc>
        <w:tcPr>
          <w:tcW w:w="2718" w:type="dxa"/>
          <w:noWrap/>
        </w:tcPr>
        <w:p w:rsidR="008805CF" w:rsidRPr="007C1120" w:rsidRDefault="008805CF" w:rsidP="008805CF">
          <w:pPr>
            <w:tabs>
              <w:tab w:val="left" w:pos="9180"/>
            </w:tabs>
            <w:rPr>
              <w:sz w:val="20"/>
            </w:rPr>
          </w:pPr>
        </w:p>
      </w:tc>
      <w:tc>
        <w:tcPr>
          <w:tcW w:w="3408" w:type="dxa"/>
          <w:noWrap/>
        </w:tcPr>
        <w:p w:rsidR="008805CF" w:rsidRPr="007C1120" w:rsidRDefault="008805CF" w:rsidP="008805CF">
          <w:pPr>
            <w:tabs>
              <w:tab w:val="left" w:pos="9180"/>
            </w:tabs>
            <w:rPr>
              <w:sz w:val="20"/>
            </w:rPr>
          </w:pPr>
        </w:p>
      </w:tc>
      <w:tc>
        <w:tcPr>
          <w:tcW w:w="2830" w:type="dxa"/>
        </w:tcPr>
        <w:p w:rsidR="008805CF" w:rsidRPr="007C1120" w:rsidRDefault="008805CF" w:rsidP="008805CF">
          <w:pPr>
            <w:tabs>
              <w:tab w:val="left" w:pos="9180"/>
            </w:tabs>
            <w:rPr>
              <w:sz w:val="20"/>
            </w:rPr>
          </w:pPr>
        </w:p>
      </w:tc>
      <w:tc>
        <w:tcPr>
          <w:tcW w:w="2830" w:type="dxa"/>
        </w:tcPr>
        <w:p w:rsidR="008805CF" w:rsidRPr="007C1120" w:rsidRDefault="008805CF" w:rsidP="008805CF">
          <w:pPr>
            <w:tabs>
              <w:tab w:val="left" w:pos="9180"/>
            </w:tabs>
            <w:rPr>
              <w:sz w:val="20"/>
            </w:rPr>
          </w:pPr>
        </w:p>
      </w:tc>
      <w:tc>
        <w:tcPr>
          <w:tcW w:w="2830" w:type="dxa"/>
        </w:tcPr>
        <w:p w:rsidR="008805CF" w:rsidRPr="007C1120" w:rsidRDefault="008805CF" w:rsidP="008805CF">
          <w:pPr>
            <w:tabs>
              <w:tab w:val="left" w:pos="9180"/>
            </w:tabs>
            <w:rPr>
              <w:sz w:val="20"/>
            </w:rPr>
          </w:pPr>
        </w:p>
      </w:tc>
    </w:tr>
  </w:tbl>
  <w:p w:rsidR="008805CF" w:rsidRPr="008A0B94" w:rsidRDefault="008805CF" w:rsidP="008805CF">
    <w:pPr>
      <w:tabs>
        <w:tab w:val="left" w:pos="9180"/>
      </w:tabs>
    </w:pPr>
    <w:r w:rsidRPr="008A0B94">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805CF" w:rsidRPr="008A0B94" w:rsidTr="008805CF">
      <w:tblPrEx>
        <w:tblCellMar>
          <w:top w:w="0" w:type="dxa"/>
          <w:bottom w:w="0" w:type="dxa"/>
        </w:tblCellMar>
      </w:tblPrEx>
      <w:tc>
        <w:tcPr>
          <w:tcW w:w="2718" w:type="dxa"/>
          <w:tcBorders>
            <w:top w:val="single" w:sz="18" w:space="0" w:color="auto"/>
          </w:tcBorders>
        </w:tcPr>
        <w:p w:rsidR="008805CF" w:rsidRPr="008A0B94" w:rsidRDefault="008805CF" w:rsidP="008805CF">
          <w:pPr>
            <w:jc w:val="right"/>
            <w:rPr>
              <w:sz w:val="20"/>
              <w:lang w:val="fr-FR"/>
            </w:rPr>
          </w:pPr>
          <w:proofErr w:type="spellStart"/>
          <w:r w:rsidRPr="008A0B94">
            <w:rPr>
              <w:sz w:val="20"/>
              <w:lang w:val="fr-FR"/>
            </w:rPr>
            <w:t>Carbon</w:t>
          </w:r>
          <w:proofErr w:type="spellEnd"/>
          <w:r w:rsidRPr="008A0B94">
            <w:rPr>
              <w:sz w:val="20"/>
              <w:lang w:val="fr-FR"/>
            </w:rPr>
            <w:t xml:space="preserve"> </w:t>
          </w:r>
          <w:proofErr w:type="spellStart"/>
          <w:r w:rsidRPr="008A0B94">
            <w:rPr>
              <w:sz w:val="20"/>
              <w:lang w:val="fr-FR"/>
            </w:rPr>
            <w:t>Dioxide</w:t>
          </w:r>
          <w:proofErr w:type="spellEnd"/>
          <w:r w:rsidRPr="008A0B94">
            <w:rPr>
              <w:sz w:val="20"/>
              <w:lang w:val="fr-FR"/>
            </w:rPr>
            <w:t>:</w:t>
          </w:r>
        </w:p>
      </w:tc>
      <w:tc>
        <w:tcPr>
          <w:tcW w:w="4860" w:type="dxa"/>
          <w:tcBorders>
            <w:top w:val="single" w:sz="18" w:space="0" w:color="auto"/>
          </w:tcBorders>
        </w:tcPr>
        <w:p w:rsidR="008805CF" w:rsidRPr="008A0B94" w:rsidRDefault="008805CF" w:rsidP="008805CF">
          <w:pPr>
            <w:rPr>
              <w:sz w:val="20"/>
            </w:rPr>
          </w:pPr>
          <w:r>
            <w:rPr>
              <w:sz w:val="20"/>
            </w:rPr>
            <w:t>600 - 800 ppm = preferable</w:t>
          </w:r>
        </w:p>
      </w:tc>
      <w:tc>
        <w:tcPr>
          <w:tcW w:w="3600" w:type="dxa"/>
          <w:tcBorders>
            <w:top w:val="single" w:sz="18" w:space="0" w:color="auto"/>
          </w:tcBorders>
        </w:tcPr>
        <w:p w:rsidR="008805CF" w:rsidRPr="008A0B94" w:rsidRDefault="008805CF" w:rsidP="008805CF">
          <w:pPr>
            <w:jc w:val="right"/>
            <w:rPr>
              <w:sz w:val="20"/>
            </w:rPr>
          </w:pPr>
          <w:r w:rsidRPr="008A0B94">
            <w:rPr>
              <w:sz w:val="20"/>
            </w:rPr>
            <w:t>Temperature:</w:t>
          </w:r>
        </w:p>
      </w:tc>
      <w:tc>
        <w:tcPr>
          <w:tcW w:w="3420" w:type="dxa"/>
          <w:tcBorders>
            <w:top w:val="single" w:sz="18" w:space="0" w:color="auto"/>
          </w:tcBorders>
        </w:tcPr>
        <w:p w:rsidR="008805CF" w:rsidRPr="008A0B94" w:rsidRDefault="008805CF" w:rsidP="008805CF">
          <w:pPr>
            <w:rPr>
              <w:sz w:val="20"/>
            </w:rPr>
          </w:pPr>
          <w:r w:rsidRPr="008A0B94">
            <w:rPr>
              <w:sz w:val="20"/>
            </w:rPr>
            <w:t>70 - 78 °F</w:t>
          </w:r>
        </w:p>
      </w:tc>
    </w:tr>
    <w:tr w:rsidR="008805CF" w:rsidTr="008805CF">
      <w:tblPrEx>
        <w:tblCellMar>
          <w:top w:w="0" w:type="dxa"/>
          <w:bottom w:w="0" w:type="dxa"/>
        </w:tblCellMar>
      </w:tblPrEx>
      <w:tc>
        <w:tcPr>
          <w:tcW w:w="2718" w:type="dxa"/>
        </w:tcPr>
        <w:p w:rsidR="008805CF" w:rsidRDefault="008805CF" w:rsidP="008805CF">
          <w:pPr>
            <w:jc w:val="right"/>
            <w:rPr>
              <w:sz w:val="20"/>
            </w:rPr>
          </w:pPr>
        </w:p>
      </w:tc>
      <w:tc>
        <w:tcPr>
          <w:tcW w:w="4860" w:type="dxa"/>
        </w:tcPr>
        <w:p w:rsidR="008805CF" w:rsidRDefault="008805CF" w:rsidP="008805CF">
          <w:pPr>
            <w:rPr>
              <w:sz w:val="20"/>
            </w:rPr>
          </w:pPr>
          <w:r>
            <w:rPr>
              <w:sz w:val="20"/>
            </w:rPr>
            <w:t>&gt; 800 ppm = indicative of ventilation problems</w:t>
          </w:r>
        </w:p>
      </w:tc>
      <w:tc>
        <w:tcPr>
          <w:tcW w:w="3600" w:type="dxa"/>
        </w:tcPr>
        <w:p w:rsidR="008805CF" w:rsidRDefault="008805CF" w:rsidP="008805CF">
          <w:pPr>
            <w:jc w:val="right"/>
            <w:rPr>
              <w:sz w:val="20"/>
            </w:rPr>
          </w:pPr>
          <w:r>
            <w:rPr>
              <w:sz w:val="20"/>
            </w:rPr>
            <w:t>Relative Humidity:</w:t>
          </w:r>
        </w:p>
      </w:tc>
      <w:tc>
        <w:tcPr>
          <w:tcW w:w="3420" w:type="dxa"/>
        </w:tcPr>
        <w:p w:rsidR="008805CF" w:rsidRDefault="008805CF" w:rsidP="008805CF">
          <w:pPr>
            <w:rPr>
              <w:sz w:val="20"/>
            </w:rPr>
          </w:pPr>
          <w:r>
            <w:rPr>
              <w:sz w:val="20"/>
            </w:rPr>
            <w:t>40 - 60%</w:t>
          </w:r>
        </w:p>
      </w:tc>
    </w:tr>
    <w:tr w:rsidR="008805CF" w:rsidTr="008805CF">
      <w:tblPrEx>
        <w:tblCellMar>
          <w:top w:w="0" w:type="dxa"/>
          <w:bottom w:w="0" w:type="dxa"/>
        </w:tblCellMar>
      </w:tblPrEx>
      <w:tc>
        <w:tcPr>
          <w:tcW w:w="2718" w:type="dxa"/>
          <w:tcBorders>
            <w:bottom w:val="single" w:sz="18" w:space="0" w:color="auto"/>
          </w:tcBorders>
        </w:tcPr>
        <w:p w:rsidR="008805CF" w:rsidRDefault="008805CF" w:rsidP="008805CF">
          <w:pPr>
            <w:jc w:val="right"/>
            <w:rPr>
              <w:sz w:val="20"/>
            </w:rPr>
          </w:pPr>
        </w:p>
      </w:tc>
      <w:tc>
        <w:tcPr>
          <w:tcW w:w="4860" w:type="dxa"/>
          <w:tcBorders>
            <w:bottom w:val="single" w:sz="18" w:space="0" w:color="auto"/>
          </w:tcBorders>
        </w:tcPr>
        <w:p w:rsidR="008805CF" w:rsidRDefault="008805CF" w:rsidP="008805CF">
          <w:pPr>
            <w:rPr>
              <w:sz w:val="20"/>
            </w:rPr>
          </w:pPr>
        </w:p>
      </w:tc>
      <w:tc>
        <w:tcPr>
          <w:tcW w:w="3600" w:type="dxa"/>
          <w:tcBorders>
            <w:bottom w:val="single" w:sz="18" w:space="0" w:color="auto"/>
          </w:tcBorders>
        </w:tcPr>
        <w:p w:rsidR="008805CF" w:rsidRDefault="008805CF" w:rsidP="008805CF">
          <w:pPr>
            <w:rPr>
              <w:sz w:val="20"/>
            </w:rPr>
          </w:pPr>
        </w:p>
      </w:tc>
      <w:tc>
        <w:tcPr>
          <w:tcW w:w="3420" w:type="dxa"/>
          <w:tcBorders>
            <w:bottom w:val="single" w:sz="18" w:space="0" w:color="auto"/>
          </w:tcBorders>
        </w:tcPr>
        <w:p w:rsidR="008805CF" w:rsidRDefault="008805CF" w:rsidP="008805CF">
          <w:pPr>
            <w:rPr>
              <w:sz w:val="20"/>
            </w:rPr>
          </w:pPr>
        </w:p>
      </w:tc>
    </w:tr>
  </w:tbl>
  <w:p w:rsidR="008805CF" w:rsidRDefault="008805CF" w:rsidP="008805CF">
    <w:pPr>
      <w:pStyle w:val="Footer"/>
      <w:jc w:val="center"/>
    </w:pPr>
  </w:p>
  <w:p w:rsidR="008805CF" w:rsidRPr="00A7353A" w:rsidRDefault="008805CF" w:rsidP="008805CF">
    <w:pPr>
      <w:pStyle w:val="Footer"/>
      <w:jc w:val="center"/>
      <w:rPr>
        <w:sz w:val="22"/>
        <w:szCs w:val="22"/>
      </w:rPr>
    </w:pPr>
    <w:r w:rsidRPr="00A7353A">
      <w:rPr>
        <w:sz w:val="22"/>
        <w:szCs w:val="22"/>
      </w:rPr>
      <w:t xml:space="preserve">Table 1, page </w:t>
    </w:r>
    <w:r w:rsidRPr="00A7353A">
      <w:rPr>
        <w:rStyle w:val="PageNumber"/>
        <w:szCs w:val="22"/>
      </w:rPr>
      <w:fldChar w:fldCharType="begin"/>
    </w:r>
    <w:r w:rsidRPr="00A7353A">
      <w:rPr>
        <w:rStyle w:val="PageNumber"/>
        <w:szCs w:val="22"/>
      </w:rPr>
      <w:instrText xml:space="preserve"> PAGE </w:instrText>
    </w:r>
    <w:r w:rsidRPr="00A7353A">
      <w:rPr>
        <w:rStyle w:val="PageNumber"/>
        <w:szCs w:val="22"/>
      </w:rPr>
      <w:fldChar w:fldCharType="separate"/>
    </w:r>
    <w:r w:rsidR="002C0DBF">
      <w:rPr>
        <w:rStyle w:val="PageNumber"/>
        <w:noProof/>
        <w:szCs w:val="22"/>
      </w:rPr>
      <w:t>1</w:t>
    </w:r>
    <w:r w:rsidRPr="00A7353A">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28" w:rsidRDefault="00AE4A28">
      <w:r>
        <w:separator/>
      </w:r>
    </w:p>
  </w:footnote>
  <w:footnote w:type="continuationSeparator" w:id="0">
    <w:p w:rsidR="00AE4A28" w:rsidRDefault="00AE4A28">
      <w:r>
        <w:continuationSeparator/>
      </w:r>
    </w:p>
  </w:footnote>
  <w:footnote w:id="1">
    <w:p w:rsidR="00FD51D9" w:rsidRDefault="00FD51D9" w:rsidP="00AF101E">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06" w:rsidRDefault="00805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06" w:rsidRDefault="00805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06" w:rsidRDefault="00805C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CF" w:rsidRDefault="008805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5CF" w:rsidRDefault="008805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805CF" w:rsidTr="008805CF">
      <w:tblPrEx>
        <w:tblCellMar>
          <w:top w:w="0" w:type="dxa"/>
          <w:bottom w:w="0" w:type="dxa"/>
        </w:tblCellMar>
      </w:tblPrEx>
      <w:trPr>
        <w:cantSplit/>
      </w:trPr>
      <w:tc>
        <w:tcPr>
          <w:tcW w:w="12258" w:type="dxa"/>
          <w:gridSpan w:val="3"/>
        </w:tcPr>
        <w:p w:rsidR="008805CF" w:rsidRPr="00677AC6" w:rsidRDefault="008805CF" w:rsidP="008805CF">
          <w:pPr>
            <w:pStyle w:val="Header"/>
            <w:spacing w:before="60" w:after="60"/>
            <w:rPr>
              <w:b/>
            </w:rPr>
          </w:pPr>
          <w:r>
            <w:rPr>
              <w:b/>
            </w:rPr>
            <w:t>Location: Randall Library</w:t>
          </w:r>
        </w:p>
      </w:tc>
      <w:tc>
        <w:tcPr>
          <w:tcW w:w="2358" w:type="dxa"/>
        </w:tcPr>
        <w:p w:rsidR="008805CF" w:rsidRDefault="008805CF" w:rsidP="008805CF">
          <w:pPr>
            <w:pStyle w:val="Header"/>
            <w:tabs>
              <w:tab w:val="clear" w:pos="4320"/>
              <w:tab w:val="clear" w:pos="8640"/>
            </w:tabs>
            <w:spacing w:before="60" w:after="60"/>
            <w:rPr>
              <w:b/>
            </w:rPr>
          </w:pPr>
          <w:r>
            <w:rPr>
              <w:b/>
            </w:rPr>
            <w:t>Indoor Air Results</w:t>
          </w:r>
        </w:p>
      </w:tc>
    </w:tr>
    <w:tr w:rsidR="008805CF" w:rsidTr="008805CF">
      <w:tblPrEx>
        <w:tblCellMar>
          <w:top w:w="0" w:type="dxa"/>
          <w:bottom w:w="0" w:type="dxa"/>
        </w:tblCellMar>
      </w:tblPrEx>
      <w:trPr>
        <w:cantSplit/>
      </w:trPr>
      <w:tc>
        <w:tcPr>
          <w:tcW w:w="4872" w:type="dxa"/>
        </w:tcPr>
        <w:p w:rsidR="008805CF" w:rsidRDefault="008805CF" w:rsidP="008805CF">
          <w:pPr>
            <w:pStyle w:val="Header"/>
            <w:tabs>
              <w:tab w:val="clear" w:pos="4320"/>
              <w:tab w:val="clear" w:pos="8640"/>
            </w:tabs>
            <w:spacing w:before="60" w:after="60"/>
            <w:rPr>
              <w:b/>
            </w:rPr>
          </w:pPr>
          <w:r>
            <w:rPr>
              <w:b/>
            </w:rPr>
            <w:t>Address:  19 Crescent Street, Stow, MA</w:t>
          </w:r>
        </w:p>
      </w:tc>
      <w:tc>
        <w:tcPr>
          <w:tcW w:w="4872" w:type="dxa"/>
        </w:tcPr>
        <w:p w:rsidR="008805CF" w:rsidRPr="00A7353A" w:rsidRDefault="008805CF" w:rsidP="008805CF">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8805CF" w:rsidRDefault="008805CF" w:rsidP="008805CF">
          <w:pPr>
            <w:pStyle w:val="Header"/>
            <w:tabs>
              <w:tab w:val="clear" w:pos="4320"/>
              <w:tab w:val="clear" w:pos="8640"/>
            </w:tabs>
            <w:spacing w:before="60" w:after="60"/>
            <w:rPr>
              <w:b/>
            </w:rPr>
          </w:pPr>
        </w:p>
      </w:tc>
      <w:tc>
        <w:tcPr>
          <w:tcW w:w="2358" w:type="dxa"/>
          <w:vAlign w:val="center"/>
        </w:tcPr>
        <w:p w:rsidR="008805CF" w:rsidRDefault="008805CF" w:rsidP="008805CF">
          <w:pPr>
            <w:pStyle w:val="Header"/>
            <w:tabs>
              <w:tab w:val="clear" w:pos="4320"/>
              <w:tab w:val="clear" w:pos="8640"/>
            </w:tabs>
            <w:spacing w:before="60" w:after="60"/>
            <w:rPr>
              <w:b/>
            </w:rPr>
          </w:pPr>
          <w:r w:rsidRPr="00677AC6">
            <w:rPr>
              <w:b/>
            </w:rPr>
            <w:t>Date:</w:t>
          </w:r>
          <w:r>
            <w:rPr>
              <w:b/>
            </w:rPr>
            <w:t xml:space="preserve"> 11/6/2014</w:t>
          </w:r>
        </w:p>
      </w:tc>
    </w:tr>
  </w:tbl>
  <w:p w:rsidR="008805CF" w:rsidRPr="00EC38EA" w:rsidRDefault="008805CF" w:rsidP="008805C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805CF" w:rsidTr="008805CF">
      <w:tblPrEx>
        <w:tblCellMar>
          <w:top w:w="0" w:type="dxa"/>
          <w:bottom w:w="0" w:type="dxa"/>
        </w:tblCellMar>
      </w:tblPrEx>
      <w:trPr>
        <w:cantSplit/>
      </w:trPr>
      <w:tc>
        <w:tcPr>
          <w:tcW w:w="12258" w:type="dxa"/>
          <w:gridSpan w:val="3"/>
        </w:tcPr>
        <w:p w:rsidR="008805CF" w:rsidRPr="00AA0C96" w:rsidRDefault="008805CF" w:rsidP="008805CF">
          <w:pPr>
            <w:pStyle w:val="Header"/>
            <w:spacing w:before="60" w:after="60"/>
            <w:rPr>
              <w:b/>
              <w:sz w:val="22"/>
            </w:rPr>
          </w:pPr>
          <w:r>
            <w:rPr>
              <w:b/>
              <w:sz w:val="22"/>
            </w:rPr>
            <w:t>Location: Seekonk Human Services</w:t>
          </w:r>
        </w:p>
      </w:tc>
      <w:tc>
        <w:tcPr>
          <w:tcW w:w="2358" w:type="dxa"/>
        </w:tcPr>
        <w:p w:rsidR="008805CF" w:rsidRPr="00AA0C96" w:rsidRDefault="008805CF" w:rsidP="008805CF">
          <w:pPr>
            <w:pStyle w:val="Header"/>
            <w:tabs>
              <w:tab w:val="clear" w:pos="4320"/>
              <w:tab w:val="clear" w:pos="8640"/>
            </w:tabs>
            <w:spacing w:before="60" w:after="60"/>
            <w:rPr>
              <w:b/>
              <w:sz w:val="22"/>
            </w:rPr>
          </w:pPr>
          <w:r w:rsidRPr="00AA0C96">
            <w:rPr>
              <w:b/>
              <w:sz w:val="22"/>
            </w:rPr>
            <w:t>Indoor Air Results</w:t>
          </w:r>
        </w:p>
      </w:tc>
    </w:tr>
    <w:tr w:rsidR="008805CF" w:rsidTr="008805CF">
      <w:tblPrEx>
        <w:tblCellMar>
          <w:top w:w="0" w:type="dxa"/>
          <w:bottom w:w="0" w:type="dxa"/>
        </w:tblCellMar>
      </w:tblPrEx>
      <w:trPr>
        <w:cantSplit/>
      </w:trPr>
      <w:tc>
        <w:tcPr>
          <w:tcW w:w="4872" w:type="dxa"/>
        </w:tcPr>
        <w:p w:rsidR="008805CF" w:rsidRPr="00AA0C96" w:rsidRDefault="008805CF" w:rsidP="008805CF">
          <w:pPr>
            <w:pStyle w:val="Header"/>
            <w:tabs>
              <w:tab w:val="clear" w:pos="4320"/>
              <w:tab w:val="clear" w:pos="8640"/>
            </w:tabs>
            <w:spacing w:before="60" w:after="60"/>
            <w:rPr>
              <w:b/>
              <w:sz w:val="22"/>
            </w:rPr>
          </w:pPr>
          <w:r w:rsidRPr="00AA0C96">
            <w:rPr>
              <w:b/>
              <w:sz w:val="22"/>
            </w:rPr>
            <w:t xml:space="preserve">Address: </w:t>
          </w:r>
          <w:r>
            <w:rPr>
              <w:b/>
              <w:sz w:val="22"/>
            </w:rPr>
            <w:t>320 Pleasant Street, Seekonk, MA</w:t>
          </w:r>
        </w:p>
      </w:tc>
      <w:tc>
        <w:tcPr>
          <w:tcW w:w="4872" w:type="dxa"/>
        </w:tcPr>
        <w:p w:rsidR="008805CF" w:rsidRPr="00AA0C96" w:rsidRDefault="008805CF" w:rsidP="008805CF">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8805CF" w:rsidRPr="00AA0C96" w:rsidRDefault="008805CF" w:rsidP="008805CF">
          <w:pPr>
            <w:pStyle w:val="Header"/>
            <w:tabs>
              <w:tab w:val="clear" w:pos="4320"/>
              <w:tab w:val="clear" w:pos="8640"/>
            </w:tabs>
            <w:spacing w:before="60" w:after="60"/>
            <w:rPr>
              <w:b/>
              <w:sz w:val="22"/>
            </w:rPr>
          </w:pPr>
        </w:p>
      </w:tc>
      <w:tc>
        <w:tcPr>
          <w:tcW w:w="2358" w:type="dxa"/>
        </w:tcPr>
        <w:p w:rsidR="008805CF" w:rsidRPr="00AA0C96" w:rsidRDefault="008805CF" w:rsidP="008805CF">
          <w:pPr>
            <w:pStyle w:val="Header"/>
            <w:tabs>
              <w:tab w:val="clear" w:pos="4320"/>
              <w:tab w:val="clear" w:pos="8640"/>
            </w:tabs>
            <w:spacing w:before="60" w:after="60"/>
            <w:rPr>
              <w:b/>
              <w:sz w:val="22"/>
            </w:rPr>
          </w:pPr>
          <w:r w:rsidRPr="00AA0C96">
            <w:rPr>
              <w:b/>
              <w:sz w:val="22"/>
            </w:rPr>
            <w:t xml:space="preserve">Date: </w:t>
          </w:r>
          <w:r>
            <w:rPr>
              <w:b/>
              <w:sz w:val="22"/>
            </w:rPr>
            <w:t>4/16/2015</w:t>
          </w:r>
        </w:p>
      </w:tc>
    </w:tr>
  </w:tbl>
  <w:p w:rsidR="008805CF" w:rsidRDefault="008805CF" w:rsidP="00880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nsid w:val="05EA0CE4"/>
    <w:multiLevelType w:val="multilevel"/>
    <w:tmpl w:val="5E0664FE"/>
    <w:numStyleLink w:val="StyleOutlinenumbered10pt"/>
  </w:abstractNum>
  <w:abstractNum w:abstractNumId="2">
    <w:nsid w:val="07DA75B3"/>
    <w:multiLevelType w:val="multilevel"/>
    <w:tmpl w:val="E6AE4510"/>
    <w:numStyleLink w:val="StyleNumbered1"/>
  </w:abstractNum>
  <w:abstractNum w:abstractNumId="3">
    <w:nsid w:val="090247C8"/>
    <w:multiLevelType w:val="multilevel"/>
    <w:tmpl w:val="CB4E28B8"/>
    <w:numStyleLink w:val="StyleNumbered"/>
  </w:abstractNum>
  <w:abstractNum w:abstractNumId="4">
    <w:nsid w:val="0C942CD3"/>
    <w:multiLevelType w:val="multilevel"/>
    <w:tmpl w:val="758CDAD2"/>
    <w:numStyleLink w:val="StyleBulleted1"/>
  </w:abstractNum>
  <w:abstractNum w:abstractNumId="5">
    <w:nsid w:val="0D9E07B1"/>
    <w:multiLevelType w:val="multilevel"/>
    <w:tmpl w:val="758CDAD2"/>
    <w:numStyleLink w:val="StyleBulleted1"/>
  </w:abstractNum>
  <w:abstractNum w:abstractNumId="6">
    <w:nsid w:val="0E114E64"/>
    <w:multiLevelType w:val="multilevel"/>
    <w:tmpl w:val="E51047F6"/>
    <w:lvl w:ilvl="0">
      <w:start w:val="1"/>
      <w:numFmt w:val="decimal"/>
      <w:lvlText w:val="%1."/>
      <w:lvlJc w:val="left"/>
      <w:pPr>
        <w:tabs>
          <w:tab w:val="num" w:pos="720"/>
        </w:tabs>
        <w:ind w:left="720" w:hanging="720"/>
      </w:pPr>
      <w:rPr>
        <w:rFonts w:hint="default"/>
        <w:color w:val="000000"/>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37D4706"/>
    <w:multiLevelType w:val="multilevel"/>
    <w:tmpl w:val="CB4E28B8"/>
    <w:numStyleLink w:val="StyleNumbered"/>
  </w:abstractNum>
  <w:abstractNum w:abstractNumId="8">
    <w:nsid w:val="18C206DB"/>
    <w:multiLevelType w:val="hybridMultilevel"/>
    <w:tmpl w:val="DDAE0684"/>
    <w:lvl w:ilvl="0" w:tplc="B454A1FE">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1241E8"/>
    <w:multiLevelType w:val="singleLevel"/>
    <w:tmpl w:val="7730DB5A"/>
    <w:lvl w:ilvl="0">
      <w:start w:val="1"/>
      <w:numFmt w:val="decimal"/>
      <w:pStyle w:val="Heading7Char"/>
      <w:lvlText w:val="%1."/>
      <w:lvlJc w:val="right"/>
      <w:pPr>
        <w:tabs>
          <w:tab w:val="num" w:pos="360"/>
        </w:tabs>
        <w:ind w:left="360" w:hanging="216"/>
      </w:pPr>
      <w:rPr>
        <w:b w:val="0"/>
        <w:i w:val="0"/>
      </w:rPr>
    </w:lvl>
  </w:abstractNum>
  <w:abstractNum w:abstractNumId="10">
    <w:nsid w:val="23676BCB"/>
    <w:multiLevelType w:val="multilevel"/>
    <w:tmpl w:val="758CDAD2"/>
    <w:numStyleLink w:val="StyleBulleted1"/>
  </w:abstractNum>
  <w:abstractNum w:abstractNumId="11">
    <w:nsid w:val="252E1935"/>
    <w:multiLevelType w:val="hybridMultilevel"/>
    <w:tmpl w:val="7CB009AA"/>
    <w:lvl w:ilvl="0" w:tplc="BC9AFA9C">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54462E4"/>
    <w:multiLevelType w:val="multilevel"/>
    <w:tmpl w:val="758CDAD2"/>
    <w:numStyleLink w:val="StyleBulleted1"/>
  </w:abstractNum>
  <w:abstractNum w:abstractNumId="13">
    <w:nsid w:val="2B6C1010"/>
    <w:multiLevelType w:val="multilevel"/>
    <w:tmpl w:val="5E0664FE"/>
    <w:styleLink w:val="StyleOutlinenumbered10pt"/>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nsid w:val="32411E1D"/>
    <w:multiLevelType w:val="hybridMultilevel"/>
    <w:tmpl w:val="94364B22"/>
    <w:lvl w:ilvl="0" w:tplc="65EC8B46">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6F22623"/>
    <w:multiLevelType w:val="multilevel"/>
    <w:tmpl w:val="758CDAD2"/>
    <w:numStyleLink w:val="StyleBulleted1"/>
  </w:abstractNum>
  <w:abstractNum w:abstractNumId="16">
    <w:nsid w:val="3A4E748A"/>
    <w:multiLevelType w:val="multilevel"/>
    <w:tmpl w:val="292018C4"/>
    <w:lvl w:ilvl="0">
      <w:start w:val="1"/>
      <w:numFmt w:val="decimal"/>
      <w:lvlText w:val="%1."/>
      <w:lvlJc w:val="right"/>
      <w:pPr>
        <w:tabs>
          <w:tab w:val="num" w:pos="720"/>
        </w:tabs>
        <w:ind w:left="720" w:hanging="576"/>
      </w:pPr>
      <w:rPr>
        <w:rFonts w:hint="default"/>
        <w:sz w:val="24"/>
      </w:rPr>
    </w:lvl>
    <w:lvl w:ilvl="1">
      <w:start w:val="1"/>
      <w:numFmt w:val="lowerLetter"/>
      <w:pStyle w:val="Heading6Cha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7">
    <w:nsid w:val="3ACC72C2"/>
    <w:multiLevelType w:val="multilevel"/>
    <w:tmpl w:val="CB4E28B8"/>
    <w:numStyleLink w:val="StyleNumbered"/>
  </w:abstractNum>
  <w:abstractNum w:abstractNumId="18">
    <w:nsid w:val="3D5478A8"/>
    <w:multiLevelType w:val="multilevel"/>
    <w:tmpl w:val="CB4E28B8"/>
    <w:styleLink w:val="StyleNumbered"/>
    <w:lvl w:ilvl="0">
      <w:start w:val="1"/>
      <w:numFmt w:val="decimal"/>
      <w:pStyle w:val="TOC6"/>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nsid w:val="3D9A7D02"/>
    <w:multiLevelType w:val="multilevel"/>
    <w:tmpl w:val="1BD0397C"/>
    <w:styleLink w:val="StyleOutlin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nsid w:val="3DB92DBB"/>
    <w:multiLevelType w:val="multilevel"/>
    <w:tmpl w:val="E6AE4510"/>
    <w:styleLink w:val="StyleNumbered1"/>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nsid w:val="3EBF5F6F"/>
    <w:multiLevelType w:val="hybridMultilevel"/>
    <w:tmpl w:val="BD888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F32B21"/>
    <w:multiLevelType w:val="multilevel"/>
    <w:tmpl w:val="758CDAD2"/>
    <w:numStyleLink w:val="StyleBulleted1"/>
  </w:abstractNum>
  <w:abstractNum w:abstractNumId="23">
    <w:nsid w:val="3F66621B"/>
    <w:multiLevelType w:val="hybridMultilevel"/>
    <w:tmpl w:val="04881274"/>
    <w:lvl w:ilvl="0" w:tplc="583C7522">
      <w:start w:val="1"/>
      <w:numFmt w:val="bullet"/>
      <w:lvlText w:val=""/>
      <w:lvlJc w:val="left"/>
      <w:pPr>
        <w:tabs>
          <w:tab w:val="num" w:pos="1080"/>
        </w:tabs>
        <w:ind w:left="1080" w:hanging="360"/>
      </w:pPr>
      <w:rPr>
        <w:rFonts w:ascii="Wingdings" w:hAnsi="Wingdings" w:hint="default"/>
      </w:rPr>
    </w:lvl>
    <w:lvl w:ilvl="1" w:tplc="34003382"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42F026AE"/>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25">
    <w:nsid w:val="43F12C68"/>
    <w:multiLevelType w:val="multilevel"/>
    <w:tmpl w:val="758CDAD2"/>
    <w:numStyleLink w:val="StyleBulleted1"/>
  </w:abstractNum>
  <w:abstractNum w:abstractNumId="26">
    <w:nsid w:val="48121E7A"/>
    <w:multiLevelType w:val="multilevel"/>
    <w:tmpl w:val="2F427706"/>
    <w:styleLink w:val="StyleBulleted10pt"/>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nsid w:val="4A2F3D10"/>
    <w:multiLevelType w:val="multilevel"/>
    <w:tmpl w:val="758CDAD2"/>
    <w:numStyleLink w:val="StyleBulleted1"/>
  </w:abstractNum>
  <w:abstractNum w:abstractNumId="28">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ambri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mbri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mbria"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06C0542"/>
    <w:multiLevelType w:val="multilevel"/>
    <w:tmpl w:val="758CDAD2"/>
    <w:numStyleLink w:val="StyleBulleted1"/>
  </w:abstractNum>
  <w:abstractNum w:abstractNumId="30">
    <w:nsid w:val="5258509E"/>
    <w:multiLevelType w:val="multilevel"/>
    <w:tmpl w:val="E41EE50E"/>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2016"/>
        </w:tabs>
        <w:ind w:left="2016" w:hanging="720"/>
      </w:pPr>
      <w:rPr>
        <w:rFonts w:cs="Times New Roman" w:hint="default"/>
      </w:rPr>
    </w:lvl>
    <w:lvl w:ilvl="2">
      <w:start w:val="1"/>
      <w:numFmt w:val="lowerRoman"/>
      <w:lvlText w:val="%3."/>
      <w:lvlJc w:val="right"/>
      <w:pPr>
        <w:tabs>
          <w:tab w:val="num" w:pos="3456"/>
        </w:tabs>
        <w:ind w:left="3456" w:hanging="180"/>
      </w:pPr>
      <w:rPr>
        <w:rFonts w:cs="Times New Roman" w:hint="default"/>
      </w:rPr>
    </w:lvl>
    <w:lvl w:ilvl="3">
      <w:start w:val="1"/>
      <w:numFmt w:val="decimal"/>
      <w:lvlText w:val="%4."/>
      <w:lvlJc w:val="left"/>
      <w:pPr>
        <w:tabs>
          <w:tab w:val="num" w:pos="4176"/>
        </w:tabs>
        <w:ind w:left="4176" w:hanging="360"/>
      </w:pPr>
      <w:rPr>
        <w:rFonts w:cs="Times New Roman" w:hint="default"/>
      </w:rPr>
    </w:lvl>
    <w:lvl w:ilvl="4">
      <w:start w:val="1"/>
      <w:numFmt w:val="lowerLetter"/>
      <w:lvlText w:val="%5."/>
      <w:lvlJc w:val="left"/>
      <w:pPr>
        <w:tabs>
          <w:tab w:val="num" w:pos="4896"/>
        </w:tabs>
        <w:ind w:left="4896" w:hanging="360"/>
      </w:pPr>
      <w:rPr>
        <w:rFonts w:cs="Times New Roman" w:hint="default"/>
      </w:rPr>
    </w:lvl>
    <w:lvl w:ilvl="5">
      <w:start w:val="1"/>
      <w:numFmt w:val="lowerRoman"/>
      <w:lvlText w:val="%6."/>
      <w:lvlJc w:val="right"/>
      <w:pPr>
        <w:tabs>
          <w:tab w:val="num" w:pos="5616"/>
        </w:tabs>
        <w:ind w:left="5616" w:hanging="180"/>
      </w:pPr>
      <w:rPr>
        <w:rFonts w:cs="Times New Roman" w:hint="default"/>
      </w:rPr>
    </w:lvl>
    <w:lvl w:ilvl="6">
      <w:start w:val="1"/>
      <w:numFmt w:val="decimal"/>
      <w:lvlText w:val="%7."/>
      <w:lvlJc w:val="left"/>
      <w:pPr>
        <w:tabs>
          <w:tab w:val="num" w:pos="6336"/>
        </w:tabs>
        <w:ind w:left="6336" w:hanging="360"/>
      </w:pPr>
      <w:rPr>
        <w:rFonts w:cs="Times New Roman" w:hint="default"/>
      </w:rPr>
    </w:lvl>
    <w:lvl w:ilvl="7">
      <w:start w:val="1"/>
      <w:numFmt w:val="lowerLetter"/>
      <w:lvlText w:val="%8."/>
      <w:lvlJc w:val="left"/>
      <w:pPr>
        <w:tabs>
          <w:tab w:val="num" w:pos="7056"/>
        </w:tabs>
        <w:ind w:left="7056" w:hanging="360"/>
      </w:pPr>
      <w:rPr>
        <w:rFonts w:cs="Times New Roman" w:hint="default"/>
      </w:rPr>
    </w:lvl>
    <w:lvl w:ilvl="8">
      <w:start w:val="1"/>
      <w:numFmt w:val="lowerRoman"/>
      <w:lvlText w:val="%9."/>
      <w:lvlJc w:val="right"/>
      <w:pPr>
        <w:tabs>
          <w:tab w:val="num" w:pos="7776"/>
        </w:tabs>
        <w:ind w:left="7776" w:hanging="180"/>
      </w:pPr>
      <w:rPr>
        <w:rFonts w:cs="Times New Roman" w:hint="default"/>
      </w:rPr>
    </w:lvl>
  </w:abstractNum>
  <w:abstractNum w:abstractNumId="31">
    <w:nsid w:val="5AC031C6"/>
    <w:multiLevelType w:val="multilevel"/>
    <w:tmpl w:val="758CDAD2"/>
    <w:numStyleLink w:val="StyleBulleted1"/>
  </w:abstractNum>
  <w:abstractNum w:abstractNumId="32">
    <w:nsid w:val="5CF027DB"/>
    <w:multiLevelType w:val="multilevel"/>
    <w:tmpl w:val="758CDAD2"/>
    <w:numStyleLink w:val="StyleBulleted1"/>
  </w:abstractNum>
  <w:abstractNum w:abstractNumId="33">
    <w:nsid w:val="5EFE7644"/>
    <w:multiLevelType w:val="hybridMultilevel"/>
    <w:tmpl w:val="D96A4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50ECF"/>
    <w:multiLevelType w:val="multilevel"/>
    <w:tmpl w:val="E6AE4510"/>
    <w:numStyleLink w:val="StyleNumbered1"/>
  </w:abstractNum>
  <w:abstractNum w:abstractNumId="35">
    <w:nsid w:val="62593DFE"/>
    <w:multiLevelType w:val="multilevel"/>
    <w:tmpl w:val="E24874B4"/>
    <w:styleLink w:val="StyleBulleted"/>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312647C"/>
    <w:multiLevelType w:val="multilevel"/>
    <w:tmpl w:val="758CDAD2"/>
    <w:numStyleLink w:val="StyleBulleted1"/>
  </w:abstractNum>
  <w:abstractNum w:abstractNumId="37">
    <w:nsid w:val="6507055C"/>
    <w:multiLevelType w:val="multilevel"/>
    <w:tmpl w:val="1DB8799E"/>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FDA6012"/>
    <w:multiLevelType w:val="hybridMultilevel"/>
    <w:tmpl w:val="C3C4F1BA"/>
    <w:lvl w:ilvl="0" w:tplc="E73221B6">
      <w:start w:val="1"/>
      <w:numFmt w:val="bullet"/>
      <w:lvlText w:val="-"/>
      <w:lvlJc w:val="left"/>
      <w:pPr>
        <w:tabs>
          <w:tab w:val="num" w:pos="144"/>
        </w:tabs>
        <w:ind w:left="144" w:hanging="144"/>
      </w:pPr>
      <w:rPr>
        <w:rFonts w:ascii="Times New Roman" w:eastAsia="Times New Roman" w:hAnsi="Times New Roman" w:cs="Times New Roman" w:hint="default"/>
      </w:rPr>
    </w:lvl>
    <w:lvl w:ilvl="1" w:tplc="04090003" w:tentative="1">
      <w:start w:val="1"/>
      <w:numFmt w:val="bullet"/>
      <w:lvlText w:val="o"/>
      <w:lvlJc w:val="left"/>
      <w:pPr>
        <w:tabs>
          <w:tab w:val="num" w:pos="1008"/>
        </w:tabs>
        <w:ind w:left="1008" w:hanging="360"/>
      </w:pPr>
      <w:rPr>
        <w:rFonts w:ascii="Courier New" w:hAnsi="Courier New" w:cs="Cambria"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ambria"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ambria"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9">
    <w:nsid w:val="74A10A52"/>
    <w:multiLevelType w:val="hybridMultilevel"/>
    <w:tmpl w:val="96BE5BF2"/>
    <w:lvl w:ilvl="0" w:tplc="45C4FE34">
      <w:start w:val="1"/>
      <w:numFmt w:val="decimal"/>
      <w:lvlText w:val="%1."/>
      <w:lvlJc w:val="right"/>
      <w:pPr>
        <w:tabs>
          <w:tab w:val="num" w:pos="720"/>
        </w:tabs>
        <w:ind w:left="720" w:hanging="576"/>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B0010CF"/>
    <w:multiLevelType w:val="hybridMultilevel"/>
    <w:tmpl w:val="3260DD38"/>
    <w:lvl w:ilvl="0" w:tplc="BC9AFA9C">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7CC868DB"/>
    <w:multiLevelType w:val="hybridMultilevel"/>
    <w:tmpl w:val="F440EDD2"/>
    <w:lvl w:ilvl="0" w:tplc="F4ACFD54">
      <w:start w:val="1"/>
      <w:numFmt w:val="decimal"/>
      <w:lvlText w:val="%1."/>
      <w:lvlJc w:val="right"/>
      <w:pPr>
        <w:tabs>
          <w:tab w:val="num" w:pos="1152"/>
        </w:tabs>
        <w:ind w:left="1152" w:hanging="72"/>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39"/>
  </w:num>
  <w:num w:numId="3">
    <w:abstractNumId w:val="3"/>
  </w:num>
  <w:num w:numId="4">
    <w:abstractNumId w:val="20"/>
  </w:num>
  <w:num w:numId="5">
    <w:abstractNumId w:val="18"/>
  </w:num>
  <w:num w:numId="6">
    <w:abstractNumId w:val="26"/>
  </w:num>
  <w:num w:numId="7">
    <w:abstractNumId w:val="35"/>
  </w:num>
  <w:num w:numId="8">
    <w:abstractNumId w:val="19"/>
  </w:num>
  <w:num w:numId="9">
    <w:abstractNumId w:val="41"/>
  </w:num>
  <w:num w:numId="10">
    <w:abstractNumId w:val="37"/>
  </w:num>
  <w:num w:numId="11">
    <w:abstractNumId w:val="28"/>
  </w:num>
  <w:num w:numId="12">
    <w:abstractNumId w:val="10"/>
  </w:num>
  <w:num w:numId="13">
    <w:abstractNumId w:val="4"/>
  </w:num>
  <w:num w:numId="14">
    <w:abstractNumId w:val="29"/>
  </w:num>
  <w:num w:numId="15">
    <w:abstractNumId w:val="36"/>
  </w:num>
  <w:num w:numId="16">
    <w:abstractNumId w:val="15"/>
  </w:num>
  <w:num w:numId="17">
    <w:abstractNumId w:val="22"/>
  </w:num>
  <w:num w:numId="18">
    <w:abstractNumId w:val="32"/>
  </w:num>
  <w:num w:numId="19">
    <w:abstractNumId w:val="12"/>
  </w:num>
  <w:num w:numId="20">
    <w:abstractNumId w:val="5"/>
  </w:num>
  <w:num w:numId="21">
    <w:abstractNumId w:val="27"/>
  </w:num>
  <w:num w:numId="22">
    <w:abstractNumId w:val="25"/>
  </w:num>
  <w:num w:numId="23">
    <w:abstractNumId w:val="31"/>
  </w:num>
  <w:num w:numId="24">
    <w:abstractNumId w:val="14"/>
  </w:num>
  <w:num w:numId="25">
    <w:abstractNumId w:val="23"/>
  </w:num>
  <w:num w:numId="26">
    <w:abstractNumId w:val="30"/>
  </w:num>
  <w:num w:numId="27">
    <w:abstractNumId w:val="2"/>
  </w:num>
  <w:num w:numId="28">
    <w:abstractNumId w:val="34"/>
  </w:num>
  <w:num w:numId="29">
    <w:abstractNumId w:val="17"/>
  </w:num>
  <w:num w:numId="30">
    <w:abstractNumId w:val="1"/>
  </w:num>
  <w:num w:numId="31">
    <w:abstractNumId w:val="13"/>
  </w:num>
  <w:num w:numId="32">
    <w:abstractNumId w:val="38"/>
  </w:num>
  <w:num w:numId="33">
    <w:abstractNumId w:val="24"/>
  </w:num>
  <w:num w:numId="34">
    <w:abstractNumId w:val="6"/>
  </w:num>
  <w:num w:numId="35">
    <w:abstractNumId w:val="7"/>
  </w:num>
  <w:num w:numId="36">
    <w:abstractNumId w:val="16"/>
  </w:num>
  <w:num w:numId="37">
    <w:abstractNumId w:val="40"/>
  </w:num>
  <w:num w:numId="38">
    <w:abstractNumId w:val="11"/>
  </w:num>
  <w:num w:numId="39">
    <w:abstractNumId w:val="3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481A"/>
    <w:rsid w:val="000062C1"/>
    <w:rsid w:val="000228BB"/>
    <w:rsid w:val="000273F2"/>
    <w:rsid w:val="00036CA6"/>
    <w:rsid w:val="00037237"/>
    <w:rsid w:val="00037DDB"/>
    <w:rsid w:val="00041C22"/>
    <w:rsid w:val="00045F2D"/>
    <w:rsid w:val="0005543D"/>
    <w:rsid w:val="00061722"/>
    <w:rsid w:val="00062144"/>
    <w:rsid w:val="00063F10"/>
    <w:rsid w:val="000658E3"/>
    <w:rsid w:val="000665F5"/>
    <w:rsid w:val="000667AD"/>
    <w:rsid w:val="000829B1"/>
    <w:rsid w:val="00082B42"/>
    <w:rsid w:val="0008720E"/>
    <w:rsid w:val="000C07EE"/>
    <w:rsid w:val="000C25C1"/>
    <w:rsid w:val="000D2708"/>
    <w:rsid w:val="000E4B9E"/>
    <w:rsid w:val="000F01A7"/>
    <w:rsid w:val="000F3321"/>
    <w:rsid w:val="000F40C4"/>
    <w:rsid w:val="00117124"/>
    <w:rsid w:val="00125012"/>
    <w:rsid w:val="00125AD9"/>
    <w:rsid w:val="00143AC4"/>
    <w:rsid w:val="0014460E"/>
    <w:rsid w:val="00147C15"/>
    <w:rsid w:val="0015198C"/>
    <w:rsid w:val="001578BA"/>
    <w:rsid w:val="00161A42"/>
    <w:rsid w:val="0017086B"/>
    <w:rsid w:val="0017525A"/>
    <w:rsid w:val="001A7237"/>
    <w:rsid w:val="001B1E25"/>
    <w:rsid w:val="001B2613"/>
    <w:rsid w:val="001B3C6E"/>
    <w:rsid w:val="001B4F3C"/>
    <w:rsid w:val="001D22A8"/>
    <w:rsid w:val="001E27F3"/>
    <w:rsid w:val="001E677F"/>
    <w:rsid w:val="002055D2"/>
    <w:rsid w:val="00212663"/>
    <w:rsid w:val="00214CB9"/>
    <w:rsid w:val="00221549"/>
    <w:rsid w:val="002255CA"/>
    <w:rsid w:val="00227B51"/>
    <w:rsid w:val="00230058"/>
    <w:rsid w:val="00234741"/>
    <w:rsid w:val="002376BF"/>
    <w:rsid w:val="00246E5A"/>
    <w:rsid w:val="0024712F"/>
    <w:rsid w:val="00251952"/>
    <w:rsid w:val="002633FD"/>
    <w:rsid w:val="00267B73"/>
    <w:rsid w:val="00276D83"/>
    <w:rsid w:val="002811E0"/>
    <w:rsid w:val="00282C83"/>
    <w:rsid w:val="0028309C"/>
    <w:rsid w:val="002939E6"/>
    <w:rsid w:val="002A5876"/>
    <w:rsid w:val="002A5D4C"/>
    <w:rsid w:val="002A6C29"/>
    <w:rsid w:val="002C0DBF"/>
    <w:rsid w:val="002C1923"/>
    <w:rsid w:val="002C4018"/>
    <w:rsid w:val="002D195D"/>
    <w:rsid w:val="002D67A1"/>
    <w:rsid w:val="002E3BB7"/>
    <w:rsid w:val="002F05FC"/>
    <w:rsid w:val="002F7545"/>
    <w:rsid w:val="003031E7"/>
    <w:rsid w:val="00303FC7"/>
    <w:rsid w:val="00320F7A"/>
    <w:rsid w:val="00321C43"/>
    <w:rsid w:val="00337055"/>
    <w:rsid w:val="00341AB9"/>
    <w:rsid w:val="00360E3E"/>
    <w:rsid w:val="00366F42"/>
    <w:rsid w:val="00372EC3"/>
    <w:rsid w:val="003745CE"/>
    <w:rsid w:val="003761A0"/>
    <w:rsid w:val="0039663A"/>
    <w:rsid w:val="003A0052"/>
    <w:rsid w:val="003A323C"/>
    <w:rsid w:val="003B0DAC"/>
    <w:rsid w:val="003C55EE"/>
    <w:rsid w:val="003E09C7"/>
    <w:rsid w:val="003E77E5"/>
    <w:rsid w:val="003F224A"/>
    <w:rsid w:val="003F3D9C"/>
    <w:rsid w:val="0041066A"/>
    <w:rsid w:val="00410F6A"/>
    <w:rsid w:val="004500E9"/>
    <w:rsid w:val="004543D7"/>
    <w:rsid w:val="00461953"/>
    <w:rsid w:val="00462FD5"/>
    <w:rsid w:val="0047336A"/>
    <w:rsid w:val="00473C40"/>
    <w:rsid w:val="00476908"/>
    <w:rsid w:val="00483A37"/>
    <w:rsid w:val="00486325"/>
    <w:rsid w:val="0049059A"/>
    <w:rsid w:val="004B0E1C"/>
    <w:rsid w:val="004B7960"/>
    <w:rsid w:val="004C5FBF"/>
    <w:rsid w:val="004D030C"/>
    <w:rsid w:val="004D1743"/>
    <w:rsid w:val="004F1FC7"/>
    <w:rsid w:val="004F2C18"/>
    <w:rsid w:val="004F386D"/>
    <w:rsid w:val="00543458"/>
    <w:rsid w:val="00550770"/>
    <w:rsid w:val="00560645"/>
    <w:rsid w:val="0056227A"/>
    <w:rsid w:val="0056771E"/>
    <w:rsid w:val="00577343"/>
    <w:rsid w:val="005775CC"/>
    <w:rsid w:val="00584E35"/>
    <w:rsid w:val="0059451B"/>
    <w:rsid w:val="005B5E09"/>
    <w:rsid w:val="005D57FF"/>
    <w:rsid w:val="005D6F3F"/>
    <w:rsid w:val="005D7CB5"/>
    <w:rsid w:val="005F13AE"/>
    <w:rsid w:val="005F691A"/>
    <w:rsid w:val="00605218"/>
    <w:rsid w:val="00607E65"/>
    <w:rsid w:val="00622DC3"/>
    <w:rsid w:val="00625008"/>
    <w:rsid w:val="006252D6"/>
    <w:rsid w:val="0062635D"/>
    <w:rsid w:val="00631735"/>
    <w:rsid w:val="00635A55"/>
    <w:rsid w:val="006360D2"/>
    <w:rsid w:val="006367A8"/>
    <w:rsid w:val="006422B7"/>
    <w:rsid w:val="00644046"/>
    <w:rsid w:val="00644089"/>
    <w:rsid w:val="006465D4"/>
    <w:rsid w:val="00646DAB"/>
    <w:rsid w:val="00651DDE"/>
    <w:rsid w:val="006522B4"/>
    <w:rsid w:val="00660CFE"/>
    <w:rsid w:val="006610FF"/>
    <w:rsid w:val="0067252C"/>
    <w:rsid w:val="0067778F"/>
    <w:rsid w:val="006779C4"/>
    <w:rsid w:val="0068066E"/>
    <w:rsid w:val="00683811"/>
    <w:rsid w:val="0069224D"/>
    <w:rsid w:val="006956A3"/>
    <w:rsid w:val="0069711F"/>
    <w:rsid w:val="006A062A"/>
    <w:rsid w:val="006A081B"/>
    <w:rsid w:val="006B2001"/>
    <w:rsid w:val="006C1366"/>
    <w:rsid w:val="006D4CB6"/>
    <w:rsid w:val="006E4F5E"/>
    <w:rsid w:val="006E6769"/>
    <w:rsid w:val="006E7BFF"/>
    <w:rsid w:val="006F4877"/>
    <w:rsid w:val="006F65B0"/>
    <w:rsid w:val="0070122A"/>
    <w:rsid w:val="00703955"/>
    <w:rsid w:val="00717947"/>
    <w:rsid w:val="00726DD2"/>
    <w:rsid w:val="00733016"/>
    <w:rsid w:val="00741C64"/>
    <w:rsid w:val="0074355F"/>
    <w:rsid w:val="00745EB9"/>
    <w:rsid w:val="00751113"/>
    <w:rsid w:val="0075323A"/>
    <w:rsid w:val="007644FA"/>
    <w:rsid w:val="00773B42"/>
    <w:rsid w:val="007A0C2E"/>
    <w:rsid w:val="007A1AEE"/>
    <w:rsid w:val="007A25A8"/>
    <w:rsid w:val="007A47E2"/>
    <w:rsid w:val="007B2D3F"/>
    <w:rsid w:val="007B78F1"/>
    <w:rsid w:val="007D435D"/>
    <w:rsid w:val="007F074A"/>
    <w:rsid w:val="007F5743"/>
    <w:rsid w:val="007F5F9C"/>
    <w:rsid w:val="00803323"/>
    <w:rsid w:val="00803F14"/>
    <w:rsid w:val="00805C06"/>
    <w:rsid w:val="00810251"/>
    <w:rsid w:val="00811AF6"/>
    <w:rsid w:val="00820C37"/>
    <w:rsid w:val="00837B1B"/>
    <w:rsid w:val="00847ABA"/>
    <w:rsid w:val="008509CC"/>
    <w:rsid w:val="00855846"/>
    <w:rsid w:val="0085596C"/>
    <w:rsid w:val="0086517A"/>
    <w:rsid w:val="00865795"/>
    <w:rsid w:val="008805CF"/>
    <w:rsid w:val="008810C5"/>
    <w:rsid w:val="00883745"/>
    <w:rsid w:val="00890FEB"/>
    <w:rsid w:val="008912B5"/>
    <w:rsid w:val="0089416A"/>
    <w:rsid w:val="008A471D"/>
    <w:rsid w:val="008A64A6"/>
    <w:rsid w:val="008A7948"/>
    <w:rsid w:val="008B3CF7"/>
    <w:rsid w:val="008C373C"/>
    <w:rsid w:val="008C7E12"/>
    <w:rsid w:val="008D3388"/>
    <w:rsid w:val="008E484D"/>
    <w:rsid w:val="008F48D1"/>
    <w:rsid w:val="008F7522"/>
    <w:rsid w:val="008F7AFC"/>
    <w:rsid w:val="0090085E"/>
    <w:rsid w:val="00912E1E"/>
    <w:rsid w:val="00916100"/>
    <w:rsid w:val="00921F68"/>
    <w:rsid w:val="0093642A"/>
    <w:rsid w:val="00940B04"/>
    <w:rsid w:val="00954506"/>
    <w:rsid w:val="0095639F"/>
    <w:rsid w:val="00956615"/>
    <w:rsid w:val="009749D2"/>
    <w:rsid w:val="0099067B"/>
    <w:rsid w:val="009A0636"/>
    <w:rsid w:val="009A35C7"/>
    <w:rsid w:val="009A3722"/>
    <w:rsid w:val="009A533B"/>
    <w:rsid w:val="009B4FA5"/>
    <w:rsid w:val="009C3785"/>
    <w:rsid w:val="009F40FA"/>
    <w:rsid w:val="009F67D1"/>
    <w:rsid w:val="00A063C2"/>
    <w:rsid w:val="00A078DD"/>
    <w:rsid w:val="00A1122E"/>
    <w:rsid w:val="00A116B2"/>
    <w:rsid w:val="00A266D8"/>
    <w:rsid w:val="00A3069A"/>
    <w:rsid w:val="00A35925"/>
    <w:rsid w:val="00A427B1"/>
    <w:rsid w:val="00A52A61"/>
    <w:rsid w:val="00A57080"/>
    <w:rsid w:val="00A6791B"/>
    <w:rsid w:val="00A67AC2"/>
    <w:rsid w:val="00A716DE"/>
    <w:rsid w:val="00A717E4"/>
    <w:rsid w:val="00A71BC1"/>
    <w:rsid w:val="00A84CC8"/>
    <w:rsid w:val="00AB37D2"/>
    <w:rsid w:val="00AB73B4"/>
    <w:rsid w:val="00AC3988"/>
    <w:rsid w:val="00AD0487"/>
    <w:rsid w:val="00AD1ADF"/>
    <w:rsid w:val="00AD5F8F"/>
    <w:rsid w:val="00AE4A28"/>
    <w:rsid w:val="00AF101E"/>
    <w:rsid w:val="00AF4E6B"/>
    <w:rsid w:val="00B02399"/>
    <w:rsid w:val="00B02C67"/>
    <w:rsid w:val="00B067ED"/>
    <w:rsid w:val="00B156E2"/>
    <w:rsid w:val="00B21322"/>
    <w:rsid w:val="00B242E8"/>
    <w:rsid w:val="00B55C27"/>
    <w:rsid w:val="00B61263"/>
    <w:rsid w:val="00B71157"/>
    <w:rsid w:val="00B7137F"/>
    <w:rsid w:val="00B77D62"/>
    <w:rsid w:val="00B82BC7"/>
    <w:rsid w:val="00B90E0B"/>
    <w:rsid w:val="00B9387E"/>
    <w:rsid w:val="00BA1D20"/>
    <w:rsid w:val="00BA5E77"/>
    <w:rsid w:val="00BB29A0"/>
    <w:rsid w:val="00BC19E5"/>
    <w:rsid w:val="00BC20EE"/>
    <w:rsid w:val="00BC2CF8"/>
    <w:rsid w:val="00BC6572"/>
    <w:rsid w:val="00BD4BF6"/>
    <w:rsid w:val="00BD7685"/>
    <w:rsid w:val="00BD76FD"/>
    <w:rsid w:val="00BE06B2"/>
    <w:rsid w:val="00C00647"/>
    <w:rsid w:val="00C00FD2"/>
    <w:rsid w:val="00C03B26"/>
    <w:rsid w:val="00C0568E"/>
    <w:rsid w:val="00C1491A"/>
    <w:rsid w:val="00C162AE"/>
    <w:rsid w:val="00C25A8F"/>
    <w:rsid w:val="00C2614C"/>
    <w:rsid w:val="00C2615B"/>
    <w:rsid w:val="00C35443"/>
    <w:rsid w:val="00C42BAA"/>
    <w:rsid w:val="00C50373"/>
    <w:rsid w:val="00C51266"/>
    <w:rsid w:val="00C5432E"/>
    <w:rsid w:val="00C62731"/>
    <w:rsid w:val="00C62E01"/>
    <w:rsid w:val="00C70DAB"/>
    <w:rsid w:val="00C8080E"/>
    <w:rsid w:val="00C84DA0"/>
    <w:rsid w:val="00C9138C"/>
    <w:rsid w:val="00C95137"/>
    <w:rsid w:val="00C97013"/>
    <w:rsid w:val="00CB20A9"/>
    <w:rsid w:val="00CC4DAB"/>
    <w:rsid w:val="00CC6B81"/>
    <w:rsid w:val="00CD10F2"/>
    <w:rsid w:val="00CD152B"/>
    <w:rsid w:val="00CD2DD1"/>
    <w:rsid w:val="00CD6694"/>
    <w:rsid w:val="00CE57FC"/>
    <w:rsid w:val="00CE661F"/>
    <w:rsid w:val="00CF2840"/>
    <w:rsid w:val="00D100AB"/>
    <w:rsid w:val="00D122AF"/>
    <w:rsid w:val="00D1528D"/>
    <w:rsid w:val="00D20069"/>
    <w:rsid w:val="00D225E0"/>
    <w:rsid w:val="00D34C14"/>
    <w:rsid w:val="00D3615B"/>
    <w:rsid w:val="00D41BD6"/>
    <w:rsid w:val="00D512EE"/>
    <w:rsid w:val="00D53BC8"/>
    <w:rsid w:val="00D63AE1"/>
    <w:rsid w:val="00D76186"/>
    <w:rsid w:val="00D967EC"/>
    <w:rsid w:val="00DA5225"/>
    <w:rsid w:val="00DB49EA"/>
    <w:rsid w:val="00DB4EE8"/>
    <w:rsid w:val="00DB548D"/>
    <w:rsid w:val="00DC2630"/>
    <w:rsid w:val="00DC5625"/>
    <w:rsid w:val="00DD338D"/>
    <w:rsid w:val="00DD3530"/>
    <w:rsid w:val="00DD755C"/>
    <w:rsid w:val="00DE1132"/>
    <w:rsid w:val="00DF349E"/>
    <w:rsid w:val="00E152C8"/>
    <w:rsid w:val="00E35809"/>
    <w:rsid w:val="00E43F47"/>
    <w:rsid w:val="00E51865"/>
    <w:rsid w:val="00E61D61"/>
    <w:rsid w:val="00E64350"/>
    <w:rsid w:val="00E97E2B"/>
    <w:rsid w:val="00EA1685"/>
    <w:rsid w:val="00EB082A"/>
    <w:rsid w:val="00EE51D6"/>
    <w:rsid w:val="00EF35C3"/>
    <w:rsid w:val="00F05466"/>
    <w:rsid w:val="00F11382"/>
    <w:rsid w:val="00F14B4B"/>
    <w:rsid w:val="00F25857"/>
    <w:rsid w:val="00F36D73"/>
    <w:rsid w:val="00F40C7D"/>
    <w:rsid w:val="00F41DBD"/>
    <w:rsid w:val="00F51E66"/>
    <w:rsid w:val="00F5609A"/>
    <w:rsid w:val="00F57FDD"/>
    <w:rsid w:val="00F65D6B"/>
    <w:rsid w:val="00F71D83"/>
    <w:rsid w:val="00F727B5"/>
    <w:rsid w:val="00F90DFD"/>
    <w:rsid w:val="00F92154"/>
    <w:rsid w:val="00F970C7"/>
    <w:rsid w:val="00FA034D"/>
    <w:rsid w:val="00FA4804"/>
    <w:rsid w:val="00FB3504"/>
    <w:rsid w:val="00FD51D9"/>
    <w:rsid w:val="00FE0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AB"/>
    <w:rPr>
      <w:sz w:val="24"/>
      <w:szCs w:val="24"/>
      <w:lang w:eastAsia="en-US"/>
    </w:rPr>
  </w:style>
  <w:style w:type="paragraph" w:styleId="Heading1">
    <w:name w:val="heading 1"/>
    <w:basedOn w:val="Normal"/>
    <w:next w:val="Normal"/>
    <w:link w:val="Heading1Char"/>
    <w:qFormat/>
    <w:rsid w:val="0068736E"/>
    <w:pPr>
      <w:keepNext/>
      <w:spacing w:before="720" w:after="60" w:line="480" w:lineRule="auto"/>
      <w:outlineLvl w:val="0"/>
    </w:pPr>
    <w:rPr>
      <w:b/>
      <w:sz w:val="28"/>
      <w:szCs w:val="20"/>
    </w:rPr>
  </w:style>
  <w:style w:type="paragraph" w:styleId="Heading2">
    <w:name w:val="heading 2"/>
    <w:basedOn w:val="Normal"/>
    <w:next w:val="Normal"/>
    <w:link w:val="Heading2Char"/>
    <w:qFormat/>
    <w:rsid w:val="0068736E"/>
    <w:pPr>
      <w:keepNext/>
      <w:spacing w:before="480" w:after="60" w:line="480" w:lineRule="auto"/>
      <w:ind w:left="720"/>
      <w:outlineLvl w:val="1"/>
    </w:pPr>
    <w:rPr>
      <w:b/>
      <w:szCs w:val="20"/>
    </w:rPr>
  </w:style>
  <w:style w:type="paragraph" w:styleId="Heading3">
    <w:name w:val="heading 3"/>
    <w:basedOn w:val="Normal"/>
    <w:next w:val="Normal"/>
    <w:link w:val="Heading3Char"/>
    <w:qFormat/>
    <w:rsid w:val="0068736E"/>
    <w:pPr>
      <w:keepNext/>
      <w:spacing w:before="480" w:after="60" w:line="480" w:lineRule="auto"/>
      <w:ind w:left="720"/>
      <w:outlineLvl w:val="2"/>
    </w:pPr>
    <w:rPr>
      <w:i/>
      <w:szCs w:val="20"/>
    </w:rPr>
  </w:style>
  <w:style w:type="paragraph" w:styleId="Heading4">
    <w:name w:val="heading 4"/>
    <w:basedOn w:val="Normal"/>
    <w:next w:val="Normal"/>
    <w:link w:val="Heading4Char"/>
    <w:qFormat/>
    <w:rsid w:val="004D05AC"/>
    <w:pPr>
      <w:keepNext/>
      <w:numPr>
        <w:ilvl w:val="3"/>
        <w:numId w:val="1"/>
      </w:numPr>
      <w:spacing w:before="240" w:after="60"/>
      <w:outlineLvl w:val="3"/>
    </w:pPr>
    <w:rPr>
      <w:b/>
      <w:i/>
      <w:szCs w:val="20"/>
    </w:rPr>
  </w:style>
  <w:style w:type="paragraph" w:styleId="Heading5">
    <w:name w:val="heading 5"/>
    <w:basedOn w:val="Normal"/>
    <w:next w:val="Normal"/>
    <w:link w:val="Heading5Char"/>
    <w:qFormat/>
    <w:rsid w:val="004D05AC"/>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qFormat/>
    <w:rsid w:val="004D05AC"/>
    <w:pPr>
      <w:numPr>
        <w:ilvl w:val="5"/>
        <w:numId w:val="1"/>
      </w:numPr>
      <w:spacing w:before="240" w:after="60"/>
      <w:outlineLvl w:val="5"/>
    </w:pPr>
    <w:rPr>
      <w:rFonts w:ascii="Arial" w:hAnsi="Arial"/>
      <w:i/>
      <w:sz w:val="22"/>
      <w:szCs w:val="20"/>
    </w:rPr>
  </w:style>
  <w:style w:type="paragraph" w:styleId="Heading7">
    <w:name w:val="heading 7"/>
    <w:basedOn w:val="Normal"/>
    <w:next w:val="Normal"/>
    <w:link w:val="Heading7Char"/>
    <w:qFormat/>
    <w:rsid w:val="004D05AC"/>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4D05AC"/>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rsid w:val="004D05AC"/>
    <w:pPr>
      <w:numPr>
        <w:ilvl w:val="8"/>
        <w:numId w:val="1"/>
      </w:numPr>
      <w:spacing w:before="240" w:after="60"/>
      <w:outlineLvl w:val="8"/>
    </w:pPr>
    <w:rPr>
      <w:rFonts w:ascii="Arial" w:hAnsi="Arial"/>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73EDE"/>
    <w:rPr>
      <w:rFonts w:ascii="Cambria" w:hAnsi="Cambria" w:cs="Times New Roman"/>
      <w:b/>
      <w:bCs/>
      <w:kern w:val="32"/>
      <w:sz w:val="32"/>
      <w:szCs w:val="32"/>
    </w:rPr>
  </w:style>
  <w:style w:type="character" w:customStyle="1" w:styleId="Heading2Char">
    <w:name w:val="Heading 2 Char"/>
    <w:link w:val="Heading2"/>
    <w:semiHidden/>
    <w:locked/>
    <w:rsid w:val="00473EDE"/>
    <w:rPr>
      <w:rFonts w:ascii="Cambria" w:hAnsi="Cambria" w:cs="Times New Roman"/>
      <w:b/>
      <w:bCs/>
      <w:i/>
      <w:iCs/>
      <w:sz w:val="28"/>
      <w:szCs w:val="28"/>
    </w:rPr>
  </w:style>
  <w:style w:type="character" w:customStyle="1" w:styleId="Heading3Char">
    <w:name w:val="Heading 3 Char"/>
    <w:link w:val="Heading3"/>
    <w:semiHidden/>
    <w:locked/>
    <w:rsid w:val="00473EDE"/>
    <w:rPr>
      <w:rFonts w:ascii="Cambria" w:hAnsi="Cambria" w:cs="Times New Roman"/>
      <w:b/>
      <w:bCs/>
      <w:sz w:val="26"/>
      <w:szCs w:val="26"/>
    </w:rPr>
  </w:style>
  <w:style w:type="character" w:customStyle="1" w:styleId="Heading4Char">
    <w:name w:val="Heading 4 Char"/>
    <w:link w:val="Heading4"/>
    <w:semiHidden/>
    <w:locked/>
    <w:rsid w:val="00473EDE"/>
    <w:rPr>
      <w:b/>
      <w:i/>
      <w:sz w:val="24"/>
      <w:lang w:val="en-US" w:eastAsia="en-US" w:bidi="ar-SA"/>
    </w:rPr>
  </w:style>
  <w:style w:type="character" w:customStyle="1" w:styleId="Heading5Char">
    <w:name w:val="Heading 5 Char"/>
    <w:link w:val="Heading5"/>
    <w:semiHidden/>
    <w:locked/>
    <w:rsid w:val="00473EDE"/>
    <w:rPr>
      <w:rFonts w:ascii="Arial" w:hAnsi="Arial"/>
      <w:sz w:val="22"/>
      <w:lang w:val="en-US" w:eastAsia="en-US" w:bidi="ar-SA"/>
    </w:rPr>
  </w:style>
  <w:style w:type="character" w:customStyle="1" w:styleId="Heading6Char">
    <w:name w:val="Heading 6 Char"/>
    <w:link w:val="Heading6"/>
    <w:semiHidden/>
    <w:locked/>
    <w:rsid w:val="00473EDE"/>
    <w:rPr>
      <w:rFonts w:ascii="Arial" w:hAnsi="Arial"/>
      <w:i/>
      <w:sz w:val="22"/>
      <w:lang w:val="en-US" w:eastAsia="en-US" w:bidi="ar-SA"/>
    </w:rPr>
  </w:style>
  <w:style w:type="character" w:customStyle="1" w:styleId="Heading7Char">
    <w:name w:val="Heading 7 Char"/>
    <w:link w:val="Heading7"/>
    <w:semiHidden/>
    <w:locked/>
    <w:rsid w:val="00473EDE"/>
    <w:rPr>
      <w:rFonts w:ascii="Arial" w:hAnsi="Arial"/>
      <w:lang w:val="en-US" w:eastAsia="en-US" w:bidi="ar-SA"/>
    </w:rPr>
  </w:style>
  <w:style w:type="character" w:customStyle="1" w:styleId="Heading8Char">
    <w:name w:val="Heading 8 Char"/>
    <w:link w:val="Heading8"/>
    <w:semiHidden/>
    <w:locked/>
    <w:rsid w:val="00473EDE"/>
    <w:rPr>
      <w:rFonts w:ascii="Arial" w:hAnsi="Arial"/>
      <w:i/>
      <w:lang w:val="en-US" w:eastAsia="en-US" w:bidi="ar-SA"/>
    </w:rPr>
  </w:style>
  <w:style w:type="character" w:customStyle="1" w:styleId="Heading9Char">
    <w:name w:val="Heading 9 Char"/>
    <w:link w:val="Heading9"/>
    <w:semiHidden/>
    <w:locked/>
    <w:rsid w:val="00473EDE"/>
    <w:rPr>
      <w:rFonts w:ascii="Arial" w:hAnsi="Arial"/>
      <w:i/>
      <w:sz w:val="18"/>
      <w:lang w:val="en-US" w:eastAsia="en-US" w:bidi="ar-SA"/>
    </w:rPr>
  </w:style>
  <w:style w:type="table" w:styleId="TableGrid">
    <w:name w:val="Table Grid"/>
    <w:basedOn w:val="TableNormal"/>
    <w:rsid w:val="00877E7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811E0"/>
    <w:pPr>
      <w:spacing w:after="240"/>
    </w:pPr>
    <w:rPr>
      <w:szCs w:val="20"/>
    </w:rPr>
  </w:style>
  <w:style w:type="character" w:customStyle="1" w:styleId="BodyText2Char">
    <w:name w:val="Body Text 2 Char"/>
    <w:link w:val="BodyText2"/>
    <w:locked/>
    <w:rsid w:val="002811E0"/>
    <w:rPr>
      <w:sz w:val="24"/>
    </w:rPr>
  </w:style>
  <w:style w:type="paragraph" w:styleId="BodyTextIndent2">
    <w:name w:val="Body Text Indent 2"/>
    <w:basedOn w:val="Normal"/>
    <w:link w:val="BodyTextIndent2Char"/>
    <w:rsid w:val="004D05AC"/>
    <w:pPr>
      <w:spacing w:after="120" w:line="480" w:lineRule="auto"/>
      <w:ind w:left="360"/>
    </w:pPr>
    <w:rPr>
      <w:szCs w:val="20"/>
    </w:rPr>
  </w:style>
  <w:style w:type="character" w:customStyle="1" w:styleId="BodyTextIndent2Char">
    <w:name w:val="Body Text Indent 2 Char"/>
    <w:link w:val="BodyTextIndent2"/>
    <w:semiHidden/>
    <w:locked/>
    <w:rsid w:val="00473EDE"/>
    <w:rPr>
      <w:rFonts w:cs="Times New Roman"/>
      <w:sz w:val="24"/>
      <w:szCs w:val="24"/>
    </w:rPr>
  </w:style>
  <w:style w:type="paragraph" w:styleId="BodyTextIndent3">
    <w:name w:val="Body Text Indent 3"/>
    <w:basedOn w:val="Normal"/>
    <w:link w:val="BodyTextIndent3Char"/>
    <w:rsid w:val="004D05AC"/>
    <w:pPr>
      <w:spacing w:after="120"/>
      <w:ind w:left="360"/>
    </w:pPr>
    <w:rPr>
      <w:sz w:val="16"/>
      <w:szCs w:val="16"/>
    </w:rPr>
  </w:style>
  <w:style w:type="character" w:customStyle="1" w:styleId="BodyTextIndent3Char">
    <w:name w:val="Body Text Indent 3 Char"/>
    <w:link w:val="BodyTextIndent3"/>
    <w:semiHidden/>
    <w:locked/>
    <w:rsid w:val="00473EDE"/>
    <w:rPr>
      <w:rFonts w:cs="Times New Roman"/>
      <w:sz w:val="16"/>
      <w:szCs w:val="16"/>
    </w:rPr>
  </w:style>
  <w:style w:type="paragraph" w:styleId="BodyText">
    <w:name w:val="Body Text"/>
    <w:basedOn w:val="Normal"/>
    <w:link w:val="BodyTextChar1"/>
    <w:rsid w:val="0068736E"/>
    <w:pPr>
      <w:spacing w:line="480" w:lineRule="auto"/>
      <w:ind w:firstLine="720"/>
    </w:pPr>
    <w:rPr>
      <w:szCs w:val="20"/>
    </w:rPr>
  </w:style>
  <w:style w:type="character" w:customStyle="1" w:styleId="BodyTextChar1">
    <w:name w:val="Body Text Char1"/>
    <w:link w:val="BodyText"/>
    <w:locked/>
    <w:rsid w:val="0011408E"/>
    <w:rPr>
      <w:rFonts w:cs="Times New Roman"/>
      <w:sz w:val="24"/>
      <w:lang w:val="en-US" w:eastAsia="en-US" w:bidi="ar-SA"/>
    </w:rPr>
  </w:style>
  <w:style w:type="paragraph" w:styleId="TOC6">
    <w:name w:val="toc 6"/>
    <w:basedOn w:val="Normal"/>
    <w:next w:val="Normal"/>
    <w:autoRedefine/>
    <w:semiHidden/>
    <w:rsid w:val="008D3388"/>
    <w:pPr>
      <w:numPr>
        <w:numId w:val="3"/>
      </w:numPr>
      <w:spacing w:line="480" w:lineRule="auto"/>
    </w:pPr>
    <w:rPr>
      <w:szCs w:val="20"/>
    </w:rPr>
  </w:style>
  <w:style w:type="character" w:styleId="Hyperlink">
    <w:name w:val="Hyperlink"/>
    <w:rsid w:val="004D05AC"/>
    <w:rPr>
      <w:rFonts w:cs="Times New Roman"/>
      <w:color w:val="0000FF"/>
      <w:u w:val="single"/>
    </w:rPr>
  </w:style>
  <w:style w:type="paragraph" w:styleId="BodyText3">
    <w:name w:val="Body Text 3"/>
    <w:basedOn w:val="Normal"/>
    <w:link w:val="BodyText3Char"/>
    <w:rsid w:val="004D05AC"/>
    <w:pPr>
      <w:spacing w:after="120"/>
    </w:pPr>
    <w:rPr>
      <w:sz w:val="16"/>
      <w:szCs w:val="16"/>
    </w:rPr>
  </w:style>
  <w:style w:type="character" w:customStyle="1" w:styleId="BodyText3Char">
    <w:name w:val="Body Text 3 Char"/>
    <w:link w:val="BodyText3"/>
    <w:semiHidden/>
    <w:locked/>
    <w:rsid w:val="00473EDE"/>
    <w:rPr>
      <w:rFonts w:cs="Times New Roman"/>
      <w:sz w:val="16"/>
      <w:szCs w:val="16"/>
    </w:rPr>
  </w:style>
  <w:style w:type="paragraph" w:styleId="Footer">
    <w:name w:val="footer"/>
    <w:basedOn w:val="Normal"/>
    <w:link w:val="FooterChar"/>
    <w:uiPriority w:val="99"/>
    <w:rsid w:val="00356C15"/>
    <w:pPr>
      <w:tabs>
        <w:tab w:val="center" w:pos="4320"/>
        <w:tab w:val="right" w:pos="8640"/>
      </w:tabs>
    </w:pPr>
  </w:style>
  <w:style w:type="character" w:customStyle="1" w:styleId="FooterChar">
    <w:name w:val="Footer Char"/>
    <w:link w:val="Footer"/>
    <w:uiPriority w:val="99"/>
    <w:locked/>
    <w:rsid w:val="00473EDE"/>
    <w:rPr>
      <w:rFonts w:cs="Times New Roman"/>
      <w:sz w:val="24"/>
      <w:szCs w:val="24"/>
    </w:rPr>
  </w:style>
  <w:style w:type="character" w:styleId="PageNumber">
    <w:name w:val="page number"/>
    <w:uiPriority w:val="99"/>
    <w:rsid w:val="00356C15"/>
    <w:rPr>
      <w:rFonts w:cs="Times New Roman"/>
    </w:rPr>
  </w:style>
  <w:style w:type="paragraph" w:styleId="DocumentMap">
    <w:name w:val="Document Map"/>
    <w:basedOn w:val="Normal"/>
    <w:link w:val="DocumentMapChar"/>
    <w:semiHidden/>
    <w:rsid w:val="00AF2ACD"/>
    <w:pPr>
      <w:shd w:val="clear" w:color="auto" w:fill="000080"/>
    </w:pPr>
    <w:rPr>
      <w:rFonts w:ascii="Tahoma" w:hAnsi="Tahoma" w:cs="Tahoma"/>
      <w:sz w:val="20"/>
      <w:szCs w:val="20"/>
    </w:rPr>
  </w:style>
  <w:style w:type="character" w:customStyle="1" w:styleId="DocumentMapChar">
    <w:name w:val="Document Map Char"/>
    <w:link w:val="DocumentMap"/>
    <w:semiHidden/>
    <w:locked/>
    <w:rsid w:val="00473EDE"/>
    <w:rPr>
      <w:rFonts w:cs="Times New Roman"/>
      <w:sz w:val="2"/>
    </w:rPr>
  </w:style>
  <w:style w:type="paragraph" w:customStyle="1" w:styleId="Heading2TimesNewRoman">
    <w:name w:val="Heading 2 + Times New Roman"/>
    <w:aliases w:val="Not Italic,Left:  0.5&quot;,First line:  0&quot;,Before..."/>
    <w:basedOn w:val="Heading2"/>
    <w:rsid w:val="00F36E00"/>
    <w:pPr>
      <w:spacing w:after="0"/>
    </w:pPr>
    <w:rPr>
      <w:bCs/>
      <w:i/>
    </w:rPr>
  </w:style>
  <w:style w:type="paragraph" w:customStyle="1" w:styleId="NormalFirstline05">
    <w:name w:val="Normal + First line:  0.5&quot;"/>
    <w:aliases w:val="Line spacing:  Double"/>
    <w:basedOn w:val="BodyTextIndent2"/>
    <w:rsid w:val="006F5455"/>
    <w:pPr>
      <w:ind w:left="0" w:firstLine="748"/>
    </w:pPr>
  </w:style>
  <w:style w:type="paragraph" w:styleId="Header">
    <w:name w:val="header"/>
    <w:basedOn w:val="Normal"/>
    <w:link w:val="HeaderChar"/>
    <w:uiPriority w:val="99"/>
    <w:rsid w:val="00922875"/>
    <w:pPr>
      <w:tabs>
        <w:tab w:val="center" w:pos="4320"/>
        <w:tab w:val="right" w:pos="8640"/>
      </w:tabs>
    </w:pPr>
  </w:style>
  <w:style w:type="character" w:customStyle="1" w:styleId="HeaderChar">
    <w:name w:val="Header Char"/>
    <w:link w:val="Header"/>
    <w:uiPriority w:val="99"/>
    <w:locked/>
    <w:rsid w:val="00473EDE"/>
    <w:rPr>
      <w:rFonts w:cs="Times New Roman"/>
      <w:sz w:val="24"/>
      <w:szCs w:val="24"/>
    </w:rPr>
  </w:style>
  <w:style w:type="paragraph" w:customStyle="1" w:styleId="StyleHeading2TimesNewRomanNotItalicBefore24ptAfte">
    <w:name w:val="Style Heading 2 + Times New Roman Not Italic Before:  24 pt Afte..."/>
    <w:basedOn w:val="Heading2"/>
    <w:rsid w:val="0068736E"/>
    <w:rPr>
      <w:bCs/>
      <w:i/>
    </w:rPr>
  </w:style>
  <w:style w:type="character" w:styleId="FollowedHyperlink">
    <w:name w:val="FollowedHyperlink"/>
    <w:rsid w:val="005041C5"/>
    <w:rPr>
      <w:rFonts w:cs="Times New Roman"/>
      <w:color w:val="800080"/>
      <w:u w:val="single"/>
    </w:rPr>
  </w:style>
  <w:style w:type="paragraph" w:styleId="FootnoteText">
    <w:name w:val="footnote text"/>
    <w:basedOn w:val="Normal"/>
    <w:link w:val="FootnoteTextChar"/>
    <w:semiHidden/>
    <w:rsid w:val="00C47BB8"/>
    <w:rPr>
      <w:sz w:val="20"/>
      <w:szCs w:val="20"/>
    </w:rPr>
  </w:style>
  <w:style w:type="character" w:customStyle="1" w:styleId="FootnoteTextChar">
    <w:name w:val="Footnote Text Char"/>
    <w:link w:val="FootnoteText"/>
    <w:semiHidden/>
    <w:locked/>
    <w:rsid w:val="00473EDE"/>
    <w:rPr>
      <w:rFonts w:cs="Times New Roman"/>
    </w:rPr>
  </w:style>
  <w:style w:type="character" w:styleId="FootnoteReference">
    <w:name w:val="footnote reference"/>
    <w:semiHidden/>
    <w:rsid w:val="00C47BB8"/>
    <w:rPr>
      <w:rFonts w:cs="Times New Roman"/>
      <w:vertAlign w:val="superscript"/>
    </w:rPr>
  </w:style>
  <w:style w:type="character" w:styleId="CommentReference">
    <w:name w:val="annotation reference"/>
    <w:semiHidden/>
    <w:rsid w:val="00396C26"/>
    <w:rPr>
      <w:rFonts w:cs="Times New Roman"/>
      <w:sz w:val="16"/>
      <w:szCs w:val="16"/>
    </w:rPr>
  </w:style>
  <w:style w:type="paragraph" w:styleId="CommentText">
    <w:name w:val="annotation text"/>
    <w:basedOn w:val="Normal"/>
    <w:link w:val="CommentTextChar"/>
    <w:semiHidden/>
    <w:rsid w:val="00396C26"/>
    <w:rPr>
      <w:sz w:val="20"/>
      <w:szCs w:val="20"/>
    </w:rPr>
  </w:style>
  <w:style w:type="character" w:customStyle="1" w:styleId="CommentTextChar">
    <w:name w:val="Comment Text Char"/>
    <w:link w:val="CommentText"/>
    <w:semiHidden/>
    <w:locked/>
    <w:rsid w:val="00473EDE"/>
    <w:rPr>
      <w:rFonts w:cs="Times New Roman"/>
    </w:rPr>
  </w:style>
  <w:style w:type="paragraph" w:styleId="CommentSubject">
    <w:name w:val="annotation subject"/>
    <w:basedOn w:val="CommentText"/>
    <w:next w:val="CommentText"/>
    <w:link w:val="CommentSubjectChar"/>
    <w:semiHidden/>
    <w:rsid w:val="00396C26"/>
    <w:rPr>
      <w:b/>
      <w:bCs/>
    </w:rPr>
  </w:style>
  <w:style w:type="character" w:customStyle="1" w:styleId="CommentSubjectChar">
    <w:name w:val="Comment Subject Char"/>
    <w:link w:val="CommentSubject"/>
    <w:semiHidden/>
    <w:locked/>
    <w:rsid w:val="00473EDE"/>
    <w:rPr>
      <w:rFonts w:cs="Times New Roman"/>
      <w:b/>
      <w:bCs/>
    </w:rPr>
  </w:style>
  <w:style w:type="paragraph" w:styleId="BalloonText">
    <w:name w:val="Balloon Text"/>
    <w:basedOn w:val="Normal"/>
    <w:link w:val="BalloonTextChar"/>
    <w:semiHidden/>
    <w:rsid w:val="00396C26"/>
    <w:rPr>
      <w:rFonts w:ascii="Tahoma" w:hAnsi="Tahoma" w:cs="Tahoma"/>
      <w:sz w:val="16"/>
      <w:szCs w:val="16"/>
    </w:rPr>
  </w:style>
  <w:style w:type="character" w:customStyle="1" w:styleId="BalloonTextChar">
    <w:name w:val="Balloon Text Char"/>
    <w:link w:val="BalloonText"/>
    <w:semiHidden/>
    <w:locked/>
    <w:rsid w:val="00473EDE"/>
    <w:rPr>
      <w:rFonts w:cs="Times New Roman"/>
      <w:sz w:val="2"/>
    </w:rPr>
  </w:style>
  <w:style w:type="paragraph" w:customStyle="1" w:styleId="Default">
    <w:name w:val="Default"/>
    <w:rsid w:val="00DE5AFE"/>
    <w:pPr>
      <w:autoSpaceDE w:val="0"/>
      <w:autoSpaceDN w:val="0"/>
      <w:adjustRightInd w:val="0"/>
    </w:pPr>
    <w:rPr>
      <w:color w:val="000000"/>
      <w:sz w:val="24"/>
      <w:szCs w:val="24"/>
      <w:lang w:eastAsia="en-US"/>
    </w:rPr>
  </w:style>
  <w:style w:type="character" w:customStyle="1" w:styleId="CharChar">
    <w:name w:val="Char Char"/>
    <w:rsid w:val="00A4421C"/>
    <w:rPr>
      <w:rFonts w:cs="Times New Roman"/>
      <w:sz w:val="24"/>
      <w:lang w:val="en-US" w:eastAsia="en-US" w:bidi="ar-SA"/>
    </w:rPr>
  </w:style>
  <w:style w:type="numbering" w:customStyle="1" w:styleId="StyleNumbered">
    <w:name w:val="Style Numbered"/>
    <w:rsid w:val="00957D83"/>
    <w:pPr>
      <w:numPr>
        <w:numId w:val="5"/>
      </w:numPr>
    </w:pPr>
  </w:style>
  <w:style w:type="numbering" w:customStyle="1" w:styleId="StyleNumbered1">
    <w:name w:val="Style Numbered1"/>
    <w:rsid w:val="00957D83"/>
    <w:pPr>
      <w:numPr>
        <w:numId w:val="4"/>
      </w:numPr>
    </w:pPr>
  </w:style>
  <w:style w:type="numbering" w:customStyle="1" w:styleId="StyleBulleted10pt">
    <w:name w:val="Style Bulleted 10 pt"/>
    <w:rsid w:val="00957D83"/>
    <w:pPr>
      <w:numPr>
        <w:numId w:val="6"/>
      </w:numPr>
    </w:pPr>
  </w:style>
  <w:style w:type="character" w:customStyle="1" w:styleId="BodyTextChar">
    <w:name w:val="Body Text Char"/>
    <w:rsid w:val="00052254"/>
    <w:rPr>
      <w:sz w:val="24"/>
      <w:lang w:val="en-US" w:eastAsia="en-US" w:bidi="ar-SA"/>
    </w:rPr>
  </w:style>
  <w:style w:type="numbering" w:customStyle="1" w:styleId="StyleBulleted">
    <w:name w:val="Style Bulleted"/>
    <w:basedOn w:val="NoList"/>
    <w:rsid w:val="007B4F46"/>
    <w:pPr>
      <w:numPr>
        <w:numId w:val="7"/>
      </w:numPr>
    </w:pPr>
  </w:style>
  <w:style w:type="numbering" w:customStyle="1" w:styleId="StyleOutlinenumbered">
    <w:name w:val="Style Outline numbered"/>
    <w:basedOn w:val="NoList"/>
    <w:rsid w:val="000A3AF2"/>
    <w:pPr>
      <w:numPr>
        <w:numId w:val="8"/>
      </w:numPr>
    </w:pPr>
  </w:style>
  <w:style w:type="character" w:customStyle="1" w:styleId="st">
    <w:name w:val="st"/>
    <w:basedOn w:val="DefaultParagraphFont"/>
    <w:rsid w:val="00CB39CE"/>
  </w:style>
  <w:style w:type="numbering" w:customStyle="1" w:styleId="StyleBulleted1">
    <w:name w:val="Style Bulleted1"/>
    <w:basedOn w:val="NoList"/>
    <w:rsid w:val="00686FA5"/>
    <w:pPr>
      <w:numPr>
        <w:numId w:val="11"/>
      </w:numPr>
    </w:pPr>
  </w:style>
  <w:style w:type="numbering" w:customStyle="1" w:styleId="StyleOutlinenumbered10pt">
    <w:name w:val="Style Outline numbered 10 pt"/>
    <w:basedOn w:val="NoList"/>
    <w:rsid w:val="007516A3"/>
    <w:pPr>
      <w:numPr>
        <w:numId w:val="31"/>
      </w:numPr>
    </w:pPr>
  </w:style>
  <w:style w:type="character" w:customStyle="1" w:styleId="kno-fv-vqfl">
    <w:name w:val="kno-fv-vq fl"/>
    <w:basedOn w:val="DefaultParagraphFont"/>
    <w:rsid w:val="00447F80"/>
  </w:style>
  <w:style w:type="paragraph" w:styleId="PlainText">
    <w:name w:val="Plain Text"/>
    <w:basedOn w:val="Normal"/>
    <w:rsid w:val="00447F80"/>
    <w:rPr>
      <w:rFonts w:ascii="Courier New" w:hAnsi="Courier New"/>
      <w:sz w:val="20"/>
      <w:szCs w:val="20"/>
    </w:rPr>
  </w:style>
  <w:style w:type="numbering" w:customStyle="1" w:styleId="StyleBulleted11">
    <w:name w:val="Style Bulleted11"/>
    <w:basedOn w:val="NoList"/>
    <w:rsid w:val="0023474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AB"/>
    <w:rPr>
      <w:sz w:val="24"/>
      <w:szCs w:val="24"/>
      <w:lang w:eastAsia="en-US"/>
    </w:rPr>
  </w:style>
  <w:style w:type="paragraph" w:styleId="Heading1">
    <w:name w:val="heading 1"/>
    <w:basedOn w:val="Normal"/>
    <w:next w:val="Normal"/>
    <w:link w:val="Heading1Char"/>
    <w:qFormat/>
    <w:rsid w:val="0068736E"/>
    <w:pPr>
      <w:keepNext/>
      <w:spacing w:before="720" w:after="60" w:line="480" w:lineRule="auto"/>
      <w:outlineLvl w:val="0"/>
    </w:pPr>
    <w:rPr>
      <w:b/>
      <w:sz w:val="28"/>
      <w:szCs w:val="20"/>
    </w:rPr>
  </w:style>
  <w:style w:type="paragraph" w:styleId="Heading2">
    <w:name w:val="heading 2"/>
    <w:basedOn w:val="Normal"/>
    <w:next w:val="Normal"/>
    <w:link w:val="Heading2Char"/>
    <w:qFormat/>
    <w:rsid w:val="0068736E"/>
    <w:pPr>
      <w:keepNext/>
      <w:spacing w:before="480" w:after="60" w:line="480" w:lineRule="auto"/>
      <w:ind w:left="720"/>
      <w:outlineLvl w:val="1"/>
    </w:pPr>
    <w:rPr>
      <w:b/>
      <w:szCs w:val="20"/>
    </w:rPr>
  </w:style>
  <w:style w:type="paragraph" w:styleId="Heading3">
    <w:name w:val="heading 3"/>
    <w:basedOn w:val="Normal"/>
    <w:next w:val="Normal"/>
    <w:link w:val="Heading3Char"/>
    <w:qFormat/>
    <w:rsid w:val="0068736E"/>
    <w:pPr>
      <w:keepNext/>
      <w:spacing w:before="480" w:after="60" w:line="480" w:lineRule="auto"/>
      <w:ind w:left="720"/>
      <w:outlineLvl w:val="2"/>
    </w:pPr>
    <w:rPr>
      <w:i/>
      <w:szCs w:val="20"/>
    </w:rPr>
  </w:style>
  <w:style w:type="paragraph" w:styleId="Heading4">
    <w:name w:val="heading 4"/>
    <w:basedOn w:val="Normal"/>
    <w:next w:val="Normal"/>
    <w:link w:val="Heading4Char"/>
    <w:qFormat/>
    <w:rsid w:val="004D05AC"/>
    <w:pPr>
      <w:keepNext/>
      <w:numPr>
        <w:ilvl w:val="3"/>
        <w:numId w:val="1"/>
      </w:numPr>
      <w:spacing w:before="240" w:after="60"/>
      <w:outlineLvl w:val="3"/>
    </w:pPr>
    <w:rPr>
      <w:b/>
      <w:i/>
      <w:szCs w:val="20"/>
    </w:rPr>
  </w:style>
  <w:style w:type="paragraph" w:styleId="Heading5">
    <w:name w:val="heading 5"/>
    <w:basedOn w:val="Normal"/>
    <w:next w:val="Normal"/>
    <w:link w:val="Heading5Char"/>
    <w:qFormat/>
    <w:rsid w:val="004D05AC"/>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qFormat/>
    <w:rsid w:val="004D05AC"/>
    <w:pPr>
      <w:numPr>
        <w:ilvl w:val="5"/>
        <w:numId w:val="1"/>
      </w:numPr>
      <w:spacing w:before="240" w:after="60"/>
      <w:outlineLvl w:val="5"/>
    </w:pPr>
    <w:rPr>
      <w:rFonts w:ascii="Arial" w:hAnsi="Arial"/>
      <w:i/>
      <w:sz w:val="22"/>
      <w:szCs w:val="20"/>
    </w:rPr>
  </w:style>
  <w:style w:type="paragraph" w:styleId="Heading7">
    <w:name w:val="heading 7"/>
    <w:basedOn w:val="Normal"/>
    <w:next w:val="Normal"/>
    <w:link w:val="Heading7Char"/>
    <w:qFormat/>
    <w:rsid w:val="004D05AC"/>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4D05AC"/>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rsid w:val="004D05AC"/>
    <w:pPr>
      <w:numPr>
        <w:ilvl w:val="8"/>
        <w:numId w:val="1"/>
      </w:numPr>
      <w:spacing w:before="240" w:after="60"/>
      <w:outlineLvl w:val="8"/>
    </w:pPr>
    <w:rPr>
      <w:rFonts w:ascii="Arial" w:hAnsi="Arial"/>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73EDE"/>
    <w:rPr>
      <w:rFonts w:ascii="Cambria" w:hAnsi="Cambria" w:cs="Times New Roman"/>
      <w:b/>
      <w:bCs/>
      <w:kern w:val="32"/>
      <w:sz w:val="32"/>
      <w:szCs w:val="32"/>
    </w:rPr>
  </w:style>
  <w:style w:type="character" w:customStyle="1" w:styleId="Heading2Char">
    <w:name w:val="Heading 2 Char"/>
    <w:link w:val="Heading2"/>
    <w:semiHidden/>
    <w:locked/>
    <w:rsid w:val="00473EDE"/>
    <w:rPr>
      <w:rFonts w:ascii="Cambria" w:hAnsi="Cambria" w:cs="Times New Roman"/>
      <w:b/>
      <w:bCs/>
      <w:i/>
      <w:iCs/>
      <w:sz w:val="28"/>
      <w:szCs w:val="28"/>
    </w:rPr>
  </w:style>
  <w:style w:type="character" w:customStyle="1" w:styleId="Heading3Char">
    <w:name w:val="Heading 3 Char"/>
    <w:link w:val="Heading3"/>
    <w:semiHidden/>
    <w:locked/>
    <w:rsid w:val="00473EDE"/>
    <w:rPr>
      <w:rFonts w:ascii="Cambria" w:hAnsi="Cambria" w:cs="Times New Roman"/>
      <w:b/>
      <w:bCs/>
      <w:sz w:val="26"/>
      <w:szCs w:val="26"/>
    </w:rPr>
  </w:style>
  <w:style w:type="character" w:customStyle="1" w:styleId="Heading4Char">
    <w:name w:val="Heading 4 Char"/>
    <w:link w:val="Heading4"/>
    <w:semiHidden/>
    <w:locked/>
    <w:rsid w:val="00473EDE"/>
    <w:rPr>
      <w:b/>
      <w:i/>
      <w:sz w:val="24"/>
      <w:lang w:val="en-US" w:eastAsia="en-US" w:bidi="ar-SA"/>
    </w:rPr>
  </w:style>
  <w:style w:type="character" w:customStyle="1" w:styleId="Heading5Char">
    <w:name w:val="Heading 5 Char"/>
    <w:link w:val="Heading5"/>
    <w:semiHidden/>
    <w:locked/>
    <w:rsid w:val="00473EDE"/>
    <w:rPr>
      <w:rFonts w:ascii="Arial" w:hAnsi="Arial"/>
      <w:sz w:val="22"/>
      <w:lang w:val="en-US" w:eastAsia="en-US" w:bidi="ar-SA"/>
    </w:rPr>
  </w:style>
  <w:style w:type="character" w:customStyle="1" w:styleId="Heading6Char">
    <w:name w:val="Heading 6 Char"/>
    <w:link w:val="Heading6"/>
    <w:semiHidden/>
    <w:locked/>
    <w:rsid w:val="00473EDE"/>
    <w:rPr>
      <w:rFonts w:ascii="Arial" w:hAnsi="Arial"/>
      <w:i/>
      <w:sz w:val="22"/>
      <w:lang w:val="en-US" w:eastAsia="en-US" w:bidi="ar-SA"/>
    </w:rPr>
  </w:style>
  <w:style w:type="character" w:customStyle="1" w:styleId="Heading7Char">
    <w:name w:val="Heading 7 Char"/>
    <w:link w:val="Heading7"/>
    <w:semiHidden/>
    <w:locked/>
    <w:rsid w:val="00473EDE"/>
    <w:rPr>
      <w:rFonts w:ascii="Arial" w:hAnsi="Arial"/>
      <w:lang w:val="en-US" w:eastAsia="en-US" w:bidi="ar-SA"/>
    </w:rPr>
  </w:style>
  <w:style w:type="character" w:customStyle="1" w:styleId="Heading8Char">
    <w:name w:val="Heading 8 Char"/>
    <w:link w:val="Heading8"/>
    <w:semiHidden/>
    <w:locked/>
    <w:rsid w:val="00473EDE"/>
    <w:rPr>
      <w:rFonts w:ascii="Arial" w:hAnsi="Arial"/>
      <w:i/>
      <w:lang w:val="en-US" w:eastAsia="en-US" w:bidi="ar-SA"/>
    </w:rPr>
  </w:style>
  <w:style w:type="character" w:customStyle="1" w:styleId="Heading9Char">
    <w:name w:val="Heading 9 Char"/>
    <w:link w:val="Heading9"/>
    <w:semiHidden/>
    <w:locked/>
    <w:rsid w:val="00473EDE"/>
    <w:rPr>
      <w:rFonts w:ascii="Arial" w:hAnsi="Arial"/>
      <w:i/>
      <w:sz w:val="18"/>
      <w:lang w:val="en-US" w:eastAsia="en-US" w:bidi="ar-SA"/>
    </w:rPr>
  </w:style>
  <w:style w:type="table" w:styleId="TableGrid">
    <w:name w:val="Table Grid"/>
    <w:basedOn w:val="TableNormal"/>
    <w:rsid w:val="00877E7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811E0"/>
    <w:pPr>
      <w:spacing w:after="240"/>
    </w:pPr>
    <w:rPr>
      <w:szCs w:val="20"/>
    </w:rPr>
  </w:style>
  <w:style w:type="character" w:customStyle="1" w:styleId="BodyText2Char">
    <w:name w:val="Body Text 2 Char"/>
    <w:link w:val="BodyText2"/>
    <w:locked/>
    <w:rsid w:val="002811E0"/>
    <w:rPr>
      <w:sz w:val="24"/>
    </w:rPr>
  </w:style>
  <w:style w:type="paragraph" w:styleId="BodyTextIndent2">
    <w:name w:val="Body Text Indent 2"/>
    <w:basedOn w:val="Normal"/>
    <w:link w:val="BodyTextIndent2Char"/>
    <w:rsid w:val="004D05AC"/>
    <w:pPr>
      <w:spacing w:after="120" w:line="480" w:lineRule="auto"/>
      <w:ind w:left="360"/>
    </w:pPr>
    <w:rPr>
      <w:szCs w:val="20"/>
    </w:rPr>
  </w:style>
  <w:style w:type="character" w:customStyle="1" w:styleId="BodyTextIndent2Char">
    <w:name w:val="Body Text Indent 2 Char"/>
    <w:link w:val="BodyTextIndent2"/>
    <w:semiHidden/>
    <w:locked/>
    <w:rsid w:val="00473EDE"/>
    <w:rPr>
      <w:rFonts w:cs="Times New Roman"/>
      <w:sz w:val="24"/>
      <w:szCs w:val="24"/>
    </w:rPr>
  </w:style>
  <w:style w:type="paragraph" w:styleId="BodyTextIndent3">
    <w:name w:val="Body Text Indent 3"/>
    <w:basedOn w:val="Normal"/>
    <w:link w:val="BodyTextIndent3Char"/>
    <w:rsid w:val="004D05AC"/>
    <w:pPr>
      <w:spacing w:after="120"/>
      <w:ind w:left="360"/>
    </w:pPr>
    <w:rPr>
      <w:sz w:val="16"/>
      <w:szCs w:val="16"/>
    </w:rPr>
  </w:style>
  <w:style w:type="character" w:customStyle="1" w:styleId="BodyTextIndent3Char">
    <w:name w:val="Body Text Indent 3 Char"/>
    <w:link w:val="BodyTextIndent3"/>
    <w:semiHidden/>
    <w:locked/>
    <w:rsid w:val="00473EDE"/>
    <w:rPr>
      <w:rFonts w:cs="Times New Roman"/>
      <w:sz w:val="16"/>
      <w:szCs w:val="16"/>
    </w:rPr>
  </w:style>
  <w:style w:type="paragraph" w:styleId="BodyText">
    <w:name w:val="Body Text"/>
    <w:basedOn w:val="Normal"/>
    <w:link w:val="BodyTextChar1"/>
    <w:rsid w:val="0068736E"/>
    <w:pPr>
      <w:spacing w:line="480" w:lineRule="auto"/>
      <w:ind w:firstLine="720"/>
    </w:pPr>
    <w:rPr>
      <w:szCs w:val="20"/>
    </w:rPr>
  </w:style>
  <w:style w:type="character" w:customStyle="1" w:styleId="BodyTextChar1">
    <w:name w:val="Body Text Char1"/>
    <w:link w:val="BodyText"/>
    <w:locked/>
    <w:rsid w:val="0011408E"/>
    <w:rPr>
      <w:rFonts w:cs="Times New Roman"/>
      <w:sz w:val="24"/>
      <w:lang w:val="en-US" w:eastAsia="en-US" w:bidi="ar-SA"/>
    </w:rPr>
  </w:style>
  <w:style w:type="paragraph" w:styleId="TOC6">
    <w:name w:val="toc 6"/>
    <w:basedOn w:val="Normal"/>
    <w:next w:val="Normal"/>
    <w:autoRedefine/>
    <w:semiHidden/>
    <w:rsid w:val="008D3388"/>
    <w:pPr>
      <w:numPr>
        <w:numId w:val="3"/>
      </w:numPr>
      <w:spacing w:line="480" w:lineRule="auto"/>
    </w:pPr>
    <w:rPr>
      <w:szCs w:val="20"/>
    </w:rPr>
  </w:style>
  <w:style w:type="character" w:styleId="Hyperlink">
    <w:name w:val="Hyperlink"/>
    <w:rsid w:val="004D05AC"/>
    <w:rPr>
      <w:rFonts w:cs="Times New Roman"/>
      <w:color w:val="0000FF"/>
      <w:u w:val="single"/>
    </w:rPr>
  </w:style>
  <w:style w:type="paragraph" w:styleId="BodyText3">
    <w:name w:val="Body Text 3"/>
    <w:basedOn w:val="Normal"/>
    <w:link w:val="BodyText3Char"/>
    <w:rsid w:val="004D05AC"/>
    <w:pPr>
      <w:spacing w:after="120"/>
    </w:pPr>
    <w:rPr>
      <w:sz w:val="16"/>
      <w:szCs w:val="16"/>
    </w:rPr>
  </w:style>
  <w:style w:type="character" w:customStyle="1" w:styleId="BodyText3Char">
    <w:name w:val="Body Text 3 Char"/>
    <w:link w:val="BodyText3"/>
    <w:semiHidden/>
    <w:locked/>
    <w:rsid w:val="00473EDE"/>
    <w:rPr>
      <w:rFonts w:cs="Times New Roman"/>
      <w:sz w:val="16"/>
      <w:szCs w:val="16"/>
    </w:rPr>
  </w:style>
  <w:style w:type="paragraph" w:styleId="Footer">
    <w:name w:val="footer"/>
    <w:basedOn w:val="Normal"/>
    <w:link w:val="FooterChar"/>
    <w:uiPriority w:val="99"/>
    <w:rsid w:val="00356C15"/>
    <w:pPr>
      <w:tabs>
        <w:tab w:val="center" w:pos="4320"/>
        <w:tab w:val="right" w:pos="8640"/>
      </w:tabs>
    </w:pPr>
  </w:style>
  <w:style w:type="character" w:customStyle="1" w:styleId="FooterChar">
    <w:name w:val="Footer Char"/>
    <w:link w:val="Footer"/>
    <w:uiPriority w:val="99"/>
    <w:locked/>
    <w:rsid w:val="00473EDE"/>
    <w:rPr>
      <w:rFonts w:cs="Times New Roman"/>
      <w:sz w:val="24"/>
      <w:szCs w:val="24"/>
    </w:rPr>
  </w:style>
  <w:style w:type="character" w:styleId="PageNumber">
    <w:name w:val="page number"/>
    <w:uiPriority w:val="99"/>
    <w:rsid w:val="00356C15"/>
    <w:rPr>
      <w:rFonts w:cs="Times New Roman"/>
    </w:rPr>
  </w:style>
  <w:style w:type="paragraph" w:styleId="DocumentMap">
    <w:name w:val="Document Map"/>
    <w:basedOn w:val="Normal"/>
    <w:link w:val="DocumentMapChar"/>
    <w:semiHidden/>
    <w:rsid w:val="00AF2ACD"/>
    <w:pPr>
      <w:shd w:val="clear" w:color="auto" w:fill="000080"/>
    </w:pPr>
    <w:rPr>
      <w:rFonts w:ascii="Tahoma" w:hAnsi="Tahoma" w:cs="Tahoma"/>
      <w:sz w:val="20"/>
      <w:szCs w:val="20"/>
    </w:rPr>
  </w:style>
  <w:style w:type="character" w:customStyle="1" w:styleId="DocumentMapChar">
    <w:name w:val="Document Map Char"/>
    <w:link w:val="DocumentMap"/>
    <w:semiHidden/>
    <w:locked/>
    <w:rsid w:val="00473EDE"/>
    <w:rPr>
      <w:rFonts w:cs="Times New Roman"/>
      <w:sz w:val="2"/>
    </w:rPr>
  </w:style>
  <w:style w:type="paragraph" w:customStyle="1" w:styleId="Heading2TimesNewRoman">
    <w:name w:val="Heading 2 + Times New Roman"/>
    <w:aliases w:val="Not Italic,Left:  0.5&quot;,First line:  0&quot;,Before..."/>
    <w:basedOn w:val="Heading2"/>
    <w:rsid w:val="00F36E00"/>
    <w:pPr>
      <w:spacing w:after="0"/>
    </w:pPr>
    <w:rPr>
      <w:bCs/>
      <w:i/>
    </w:rPr>
  </w:style>
  <w:style w:type="paragraph" w:customStyle="1" w:styleId="NormalFirstline05">
    <w:name w:val="Normal + First line:  0.5&quot;"/>
    <w:aliases w:val="Line spacing:  Double"/>
    <w:basedOn w:val="BodyTextIndent2"/>
    <w:rsid w:val="006F5455"/>
    <w:pPr>
      <w:ind w:left="0" w:firstLine="748"/>
    </w:pPr>
  </w:style>
  <w:style w:type="paragraph" w:styleId="Header">
    <w:name w:val="header"/>
    <w:basedOn w:val="Normal"/>
    <w:link w:val="HeaderChar"/>
    <w:uiPriority w:val="99"/>
    <w:rsid w:val="00922875"/>
    <w:pPr>
      <w:tabs>
        <w:tab w:val="center" w:pos="4320"/>
        <w:tab w:val="right" w:pos="8640"/>
      </w:tabs>
    </w:pPr>
  </w:style>
  <w:style w:type="character" w:customStyle="1" w:styleId="HeaderChar">
    <w:name w:val="Header Char"/>
    <w:link w:val="Header"/>
    <w:uiPriority w:val="99"/>
    <w:locked/>
    <w:rsid w:val="00473EDE"/>
    <w:rPr>
      <w:rFonts w:cs="Times New Roman"/>
      <w:sz w:val="24"/>
      <w:szCs w:val="24"/>
    </w:rPr>
  </w:style>
  <w:style w:type="paragraph" w:customStyle="1" w:styleId="StyleHeading2TimesNewRomanNotItalicBefore24ptAfte">
    <w:name w:val="Style Heading 2 + Times New Roman Not Italic Before:  24 pt Afte..."/>
    <w:basedOn w:val="Heading2"/>
    <w:rsid w:val="0068736E"/>
    <w:rPr>
      <w:bCs/>
      <w:i/>
    </w:rPr>
  </w:style>
  <w:style w:type="character" w:styleId="FollowedHyperlink">
    <w:name w:val="FollowedHyperlink"/>
    <w:rsid w:val="005041C5"/>
    <w:rPr>
      <w:rFonts w:cs="Times New Roman"/>
      <w:color w:val="800080"/>
      <w:u w:val="single"/>
    </w:rPr>
  </w:style>
  <w:style w:type="paragraph" w:styleId="FootnoteText">
    <w:name w:val="footnote text"/>
    <w:basedOn w:val="Normal"/>
    <w:link w:val="FootnoteTextChar"/>
    <w:semiHidden/>
    <w:rsid w:val="00C47BB8"/>
    <w:rPr>
      <w:sz w:val="20"/>
      <w:szCs w:val="20"/>
    </w:rPr>
  </w:style>
  <w:style w:type="character" w:customStyle="1" w:styleId="FootnoteTextChar">
    <w:name w:val="Footnote Text Char"/>
    <w:link w:val="FootnoteText"/>
    <w:semiHidden/>
    <w:locked/>
    <w:rsid w:val="00473EDE"/>
    <w:rPr>
      <w:rFonts w:cs="Times New Roman"/>
    </w:rPr>
  </w:style>
  <w:style w:type="character" w:styleId="FootnoteReference">
    <w:name w:val="footnote reference"/>
    <w:semiHidden/>
    <w:rsid w:val="00C47BB8"/>
    <w:rPr>
      <w:rFonts w:cs="Times New Roman"/>
      <w:vertAlign w:val="superscript"/>
    </w:rPr>
  </w:style>
  <w:style w:type="character" w:styleId="CommentReference">
    <w:name w:val="annotation reference"/>
    <w:semiHidden/>
    <w:rsid w:val="00396C26"/>
    <w:rPr>
      <w:rFonts w:cs="Times New Roman"/>
      <w:sz w:val="16"/>
      <w:szCs w:val="16"/>
    </w:rPr>
  </w:style>
  <w:style w:type="paragraph" w:styleId="CommentText">
    <w:name w:val="annotation text"/>
    <w:basedOn w:val="Normal"/>
    <w:link w:val="CommentTextChar"/>
    <w:semiHidden/>
    <w:rsid w:val="00396C26"/>
    <w:rPr>
      <w:sz w:val="20"/>
      <w:szCs w:val="20"/>
    </w:rPr>
  </w:style>
  <w:style w:type="character" w:customStyle="1" w:styleId="CommentTextChar">
    <w:name w:val="Comment Text Char"/>
    <w:link w:val="CommentText"/>
    <w:semiHidden/>
    <w:locked/>
    <w:rsid w:val="00473EDE"/>
    <w:rPr>
      <w:rFonts w:cs="Times New Roman"/>
    </w:rPr>
  </w:style>
  <w:style w:type="paragraph" w:styleId="CommentSubject">
    <w:name w:val="annotation subject"/>
    <w:basedOn w:val="CommentText"/>
    <w:next w:val="CommentText"/>
    <w:link w:val="CommentSubjectChar"/>
    <w:semiHidden/>
    <w:rsid w:val="00396C26"/>
    <w:rPr>
      <w:b/>
      <w:bCs/>
    </w:rPr>
  </w:style>
  <w:style w:type="character" w:customStyle="1" w:styleId="CommentSubjectChar">
    <w:name w:val="Comment Subject Char"/>
    <w:link w:val="CommentSubject"/>
    <w:semiHidden/>
    <w:locked/>
    <w:rsid w:val="00473EDE"/>
    <w:rPr>
      <w:rFonts w:cs="Times New Roman"/>
      <w:b/>
      <w:bCs/>
    </w:rPr>
  </w:style>
  <w:style w:type="paragraph" w:styleId="BalloonText">
    <w:name w:val="Balloon Text"/>
    <w:basedOn w:val="Normal"/>
    <w:link w:val="BalloonTextChar"/>
    <w:semiHidden/>
    <w:rsid w:val="00396C26"/>
    <w:rPr>
      <w:rFonts w:ascii="Tahoma" w:hAnsi="Tahoma" w:cs="Tahoma"/>
      <w:sz w:val="16"/>
      <w:szCs w:val="16"/>
    </w:rPr>
  </w:style>
  <w:style w:type="character" w:customStyle="1" w:styleId="BalloonTextChar">
    <w:name w:val="Balloon Text Char"/>
    <w:link w:val="BalloonText"/>
    <w:semiHidden/>
    <w:locked/>
    <w:rsid w:val="00473EDE"/>
    <w:rPr>
      <w:rFonts w:cs="Times New Roman"/>
      <w:sz w:val="2"/>
    </w:rPr>
  </w:style>
  <w:style w:type="paragraph" w:customStyle="1" w:styleId="Default">
    <w:name w:val="Default"/>
    <w:rsid w:val="00DE5AFE"/>
    <w:pPr>
      <w:autoSpaceDE w:val="0"/>
      <w:autoSpaceDN w:val="0"/>
      <w:adjustRightInd w:val="0"/>
    </w:pPr>
    <w:rPr>
      <w:color w:val="000000"/>
      <w:sz w:val="24"/>
      <w:szCs w:val="24"/>
      <w:lang w:eastAsia="en-US"/>
    </w:rPr>
  </w:style>
  <w:style w:type="character" w:customStyle="1" w:styleId="CharChar">
    <w:name w:val="Char Char"/>
    <w:rsid w:val="00A4421C"/>
    <w:rPr>
      <w:rFonts w:cs="Times New Roman"/>
      <w:sz w:val="24"/>
      <w:lang w:val="en-US" w:eastAsia="en-US" w:bidi="ar-SA"/>
    </w:rPr>
  </w:style>
  <w:style w:type="numbering" w:customStyle="1" w:styleId="StyleNumbered">
    <w:name w:val="Style Numbered"/>
    <w:rsid w:val="00957D83"/>
    <w:pPr>
      <w:numPr>
        <w:numId w:val="5"/>
      </w:numPr>
    </w:pPr>
  </w:style>
  <w:style w:type="numbering" w:customStyle="1" w:styleId="StyleNumbered1">
    <w:name w:val="Style Numbered1"/>
    <w:rsid w:val="00957D83"/>
    <w:pPr>
      <w:numPr>
        <w:numId w:val="4"/>
      </w:numPr>
    </w:pPr>
  </w:style>
  <w:style w:type="numbering" w:customStyle="1" w:styleId="StyleBulleted10pt">
    <w:name w:val="Style Bulleted 10 pt"/>
    <w:rsid w:val="00957D83"/>
    <w:pPr>
      <w:numPr>
        <w:numId w:val="6"/>
      </w:numPr>
    </w:pPr>
  </w:style>
  <w:style w:type="character" w:customStyle="1" w:styleId="BodyTextChar">
    <w:name w:val="Body Text Char"/>
    <w:rsid w:val="00052254"/>
    <w:rPr>
      <w:sz w:val="24"/>
      <w:lang w:val="en-US" w:eastAsia="en-US" w:bidi="ar-SA"/>
    </w:rPr>
  </w:style>
  <w:style w:type="numbering" w:customStyle="1" w:styleId="StyleBulleted">
    <w:name w:val="Style Bulleted"/>
    <w:basedOn w:val="NoList"/>
    <w:rsid w:val="007B4F46"/>
    <w:pPr>
      <w:numPr>
        <w:numId w:val="7"/>
      </w:numPr>
    </w:pPr>
  </w:style>
  <w:style w:type="numbering" w:customStyle="1" w:styleId="StyleOutlinenumbered">
    <w:name w:val="Style Outline numbered"/>
    <w:basedOn w:val="NoList"/>
    <w:rsid w:val="000A3AF2"/>
    <w:pPr>
      <w:numPr>
        <w:numId w:val="8"/>
      </w:numPr>
    </w:pPr>
  </w:style>
  <w:style w:type="character" w:customStyle="1" w:styleId="st">
    <w:name w:val="st"/>
    <w:basedOn w:val="DefaultParagraphFont"/>
    <w:rsid w:val="00CB39CE"/>
  </w:style>
  <w:style w:type="numbering" w:customStyle="1" w:styleId="StyleBulleted1">
    <w:name w:val="Style Bulleted1"/>
    <w:basedOn w:val="NoList"/>
    <w:rsid w:val="00686FA5"/>
    <w:pPr>
      <w:numPr>
        <w:numId w:val="11"/>
      </w:numPr>
    </w:pPr>
  </w:style>
  <w:style w:type="numbering" w:customStyle="1" w:styleId="StyleOutlinenumbered10pt">
    <w:name w:val="Style Outline numbered 10 pt"/>
    <w:basedOn w:val="NoList"/>
    <w:rsid w:val="007516A3"/>
    <w:pPr>
      <w:numPr>
        <w:numId w:val="31"/>
      </w:numPr>
    </w:pPr>
  </w:style>
  <w:style w:type="character" w:customStyle="1" w:styleId="kno-fv-vqfl">
    <w:name w:val="kno-fv-vq fl"/>
    <w:basedOn w:val="DefaultParagraphFont"/>
    <w:rsid w:val="00447F80"/>
  </w:style>
  <w:style w:type="paragraph" w:styleId="PlainText">
    <w:name w:val="Plain Text"/>
    <w:basedOn w:val="Normal"/>
    <w:rsid w:val="00447F80"/>
    <w:rPr>
      <w:rFonts w:ascii="Courier New" w:hAnsi="Courier New"/>
      <w:sz w:val="20"/>
      <w:szCs w:val="20"/>
    </w:rPr>
  </w:style>
  <w:style w:type="numbering" w:customStyle="1" w:styleId="StyleBulleted11">
    <w:name w:val="Style Bulleted11"/>
    <w:basedOn w:val="NoList"/>
    <w:rsid w:val="0023474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7587">
      <w:bodyDiv w:val="1"/>
      <w:marLeft w:val="0"/>
      <w:marRight w:val="0"/>
      <w:marTop w:val="0"/>
      <w:marBottom w:val="0"/>
      <w:divBdr>
        <w:top w:val="none" w:sz="0" w:space="0" w:color="auto"/>
        <w:left w:val="none" w:sz="0" w:space="0" w:color="auto"/>
        <w:bottom w:val="none" w:sz="0" w:space="0" w:color="auto"/>
        <w:right w:val="none" w:sz="0" w:space="0" w:color="auto"/>
      </w:divBdr>
    </w:div>
    <w:div w:id="261105818">
      <w:bodyDiv w:val="1"/>
      <w:marLeft w:val="0"/>
      <w:marRight w:val="0"/>
      <w:marTop w:val="0"/>
      <w:marBottom w:val="0"/>
      <w:divBdr>
        <w:top w:val="none" w:sz="0" w:space="0" w:color="auto"/>
        <w:left w:val="none" w:sz="0" w:space="0" w:color="auto"/>
        <w:bottom w:val="none" w:sz="0" w:space="0" w:color="auto"/>
        <w:right w:val="none" w:sz="0" w:space="0" w:color="auto"/>
      </w:divBdr>
    </w:div>
    <w:div w:id="434793361">
      <w:bodyDiv w:val="1"/>
      <w:marLeft w:val="0"/>
      <w:marRight w:val="0"/>
      <w:marTop w:val="0"/>
      <w:marBottom w:val="0"/>
      <w:divBdr>
        <w:top w:val="none" w:sz="0" w:space="0" w:color="auto"/>
        <w:left w:val="none" w:sz="0" w:space="0" w:color="auto"/>
        <w:bottom w:val="none" w:sz="0" w:space="0" w:color="auto"/>
        <w:right w:val="none" w:sz="0" w:space="0" w:color="auto"/>
      </w:divBdr>
    </w:div>
    <w:div w:id="689137047">
      <w:bodyDiv w:val="1"/>
      <w:marLeft w:val="0"/>
      <w:marRight w:val="0"/>
      <w:marTop w:val="0"/>
      <w:marBottom w:val="0"/>
      <w:divBdr>
        <w:top w:val="none" w:sz="0" w:space="0" w:color="auto"/>
        <w:left w:val="none" w:sz="0" w:space="0" w:color="auto"/>
        <w:bottom w:val="none" w:sz="0" w:space="0" w:color="auto"/>
        <w:right w:val="none" w:sz="0" w:space="0" w:color="auto"/>
      </w:divBdr>
    </w:div>
    <w:div w:id="880946863">
      <w:bodyDiv w:val="1"/>
      <w:marLeft w:val="0"/>
      <w:marRight w:val="0"/>
      <w:marTop w:val="0"/>
      <w:marBottom w:val="0"/>
      <w:divBdr>
        <w:top w:val="none" w:sz="0" w:space="0" w:color="auto"/>
        <w:left w:val="none" w:sz="0" w:space="0" w:color="auto"/>
        <w:bottom w:val="none" w:sz="0" w:space="0" w:color="auto"/>
        <w:right w:val="none" w:sz="0" w:space="0" w:color="auto"/>
      </w:divBdr>
    </w:div>
    <w:div w:id="1378121037">
      <w:bodyDiv w:val="1"/>
      <w:marLeft w:val="0"/>
      <w:marRight w:val="0"/>
      <w:marTop w:val="0"/>
      <w:marBottom w:val="0"/>
      <w:divBdr>
        <w:top w:val="none" w:sz="0" w:space="0" w:color="auto"/>
        <w:left w:val="none" w:sz="0" w:space="0" w:color="auto"/>
        <w:bottom w:val="none" w:sz="0" w:space="0" w:color="auto"/>
        <w:right w:val="none" w:sz="0" w:space="0" w:color="auto"/>
      </w:divBdr>
    </w:div>
    <w:div w:id="1590770333">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2082557665">
      <w:bodyDiv w:val="1"/>
      <w:marLeft w:val="0"/>
      <w:marRight w:val="0"/>
      <w:marTop w:val="0"/>
      <w:marBottom w:val="0"/>
      <w:divBdr>
        <w:top w:val="none" w:sz="0" w:space="0" w:color="auto"/>
        <w:left w:val="none" w:sz="0" w:space="0" w:color="auto"/>
        <w:bottom w:val="none" w:sz="0" w:space="0" w:color="auto"/>
        <w:right w:val="none" w:sz="0" w:space="0" w:color="auto"/>
      </w:divBdr>
    </w:div>
    <w:div w:id="21011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environmental/iaq/appendices/univent.doc"/>
  <Relationship Id="rId11" Type="http://schemas.openxmlformats.org/officeDocument/2006/relationships/hyperlink" TargetMode="External" Target="http://www.mass.gov/eohhs/docs/dph/environmental/iaq/appendices/carbon-dioxide.doc"/>
  <Relationship Id="rId12" Type="http://schemas.openxmlformats.org/officeDocument/2006/relationships/hyperlink" TargetMode="External" Target="http://mass.gov/dph/iaq"/>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Mode="External" Target="http://www.epa.gov/air/criteria.html"/>
  <Relationship Id="rId2" Type="http://schemas.openxmlformats.org/officeDocument/2006/relationships/numbering" Target="numbering.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image" Target="media/image6.png"/>
  <Relationship Id="rId25" Type="http://schemas.openxmlformats.org/officeDocument/2006/relationships/footer" Target="footer4.xml"/>
  <Relationship Id="rId26" Type="http://schemas.openxmlformats.org/officeDocument/2006/relationships/header" Target="header4.xml"/>
  <Relationship Id="rId27" Type="http://schemas.openxmlformats.org/officeDocument/2006/relationships/header" Target="header5.xml"/>
  <Relationship Id="rId28" Type="http://schemas.openxmlformats.org/officeDocument/2006/relationships/footer" Target="footer5.xml"/>
  <Relationship Id="rId29" Type="http://schemas.openxmlformats.org/officeDocument/2006/relationships/footer" Target="footer6.xml"/>
  <Relationship Id="rId3" Type="http://schemas.openxmlformats.org/officeDocument/2006/relationships/styles" Target="styles.xml"/>
  <Relationship Id="rId30" Type="http://schemas.openxmlformats.org/officeDocument/2006/relationships/header" Target="header6.xml"/>
  <Relationship Id="rId31" Type="http://schemas.openxmlformats.org/officeDocument/2006/relationships/footer" Target="footer7.xml"/>
  <Relationship Id="rId32" Type="http://schemas.openxmlformats.org/officeDocument/2006/relationships/fontTable" Target="fontTable.xml"/>
  <Relationship Id="rId33"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DFCD-B8C1-4D22-A514-756A08F5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3012</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19907</CharactersWithSpaces>
  <SharedDoc>false</SharedDoc>
  <HLinks>
    <vt:vector size="24" baseType="variant">
      <vt:variant>
        <vt:i4>1900568</vt:i4>
      </vt:variant>
      <vt:variant>
        <vt:i4>9</vt:i4>
      </vt:variant>
      <vt:variant>
        <vt:i4>0</vt:i4>
      </vt:variant>
      <vt:variant>
        <vt:i4>5</vt:i4>
      </vt:variant>
      <vt:variant>
        <vt:lpwstr>http://www.epa.gov/air/criteria.html</vt:lpwstr>
      </vt:variant>
      <vt:variant>
        <vt:lpwstr/>
      </vt:variant>
      <vt:variant>
        <vt:i4>6619247</vt:i4>
      </vt:variant>
      <vt:variant>
        <vt:i4>6</vt:i4>
      </vt:variant>
      <vt:variant>
        <vt:i4>0</vt:i4>
      </vt:variant>
      <vt:variant>
        <vt:i4>5</vt:i4>
      </vt:variant>
      <vt:variant>
        <vt:lpwstr>http://mass.gov/dph/iaq</vt:lpwstr>
      </vt:variant>
      <vt:variant>
        <vt:lpwstr/>
      </vt:variant>
      <vt:variant>
        <vt:i4>3670071</vt:i4>
      </vt:variant>
      <vt:variant>
        <vt:i4>3</vt:i4>
      </vt:variant>
      <vt:variant>
        <vt:i4>0</vt:i4>
      </vt:variant>
      <vt:variant>
        <vt:i4>5</vt:i4>
      </vt:variant>
      <vt:variant>
        <vt:lpwstr>http://www.mass.gov/eohhs/docs/dph/environmental/iaq/appendices/carbon-dioxide.doc</vt:lpwstr>
      </vt:variant>
      <vt:variant>
        <vt:lpwstr/>
      </vt:variant>
      <vt:variant>
        <vt:i4>6422585</vt:i4>
      </vt:variant>
      <vt:variant>
        <vt:i4>0</vt:i4>
      </vt:variant>
      <vt:variant>
        <vt:i4>0</vt:i4>
      </vt:variant>
      <vt:variant>
        <vt:i4>5</vt:i4>
      </vt:variant>
      <vt:variant>
        <vt:lpwstr>http://www.mass.gov/eohhs/docs/dph/environmental/iaq/appendices/univent.doc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2015-06-23T17:27:00Z</dcterms:created>
  <dc:creator>Indoor Air Quality Program</dc:creator>
  <keywords>In response to a request by Mr. Robert Lamoureux, Superintendent, Seekonk Public Works, the Massachusetts Department of Public Health (MDPH), Bureau of Environmental Health (BEH) provided assistance and consultation regarding indoor air quality (IAQ) concerns at the Seekonk Human Services (SHS) office located at 320 Pleasant Street, Seekonk, MA. On April 16, 2015, Cory Holmes, Environmental Analyst/Regional Inspector in BEH’s IAQ Program visited the SHS to conduct an IAQ assessment.</keywords>
  <lastModifiedBy>Woo, Karl (EHS)</lastModifiedBy>
  <lastPrinted>2015-06-10T14:39:00Z</lastPrinted>
  <dcterms:modified xsi:type="dcterms:W3CDTF">2015-06-23T17:27:00Z</dcterms:modified>
  <revision>2</revision>
  <dc:subject>Seekonk Human Services Building</dc:subject>
  <dc:title>INDOOR AIR QUALITY ASSESSMENT</dc:title>
</coreProperties>
</file>