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1C474" w14:textId="77777777" w:rsidR="00B2310A" w:rsidRPr="00D705C0" w:rsidRDefault="00B2310A" w:rsidP="00BE32C9">
      <w:pPr>
        <w:pStyle w:val="Title"/>
        <w:rPr>
          <w:lang w:eastAsia="zh-CN"/>
        </w:rPr>
      </w:pPr>
    </w:p>
    <w:p w14:paraId="446C22BE" w14:textId="77777777" w:rsidR="00FA782E" w:rsidRDefault="00FA782E" w:rsidP="00BE32C9">
      <w:pPr>
        <w:pStyle w:val="Title"/>
      </w:pPr>
    </w:p>
    <w:p w14:paraId="0799C93F" w14:textId="77777777" w:rsidR="00FA782E" w:rsidRDefault="00FA782E" w:rsidP="00BE32C9">
      <w:pPr>
        <w:pStyle w:val="Title"/>
      </w:pPr>
    </w:p>
    <w:p w14:paraId="3217D82D" w14:textId="77777777" w:rsidR="00FA782E" w:rsidRDefault="00FA782E" w:rsidP="00BE32C9">
      <w:pPr>
        <w:pStyle w:val="Title"/>
      </w:pPr>
    </w:p>
    <w:p w14:paraId="6F40C6A3" w14:textId="77777777" w:rsidR="00FA782E" w:rsidRPr="00FA782E" w:rsidRDefault="00FA782E" w:rsidP="00BE32C9">
      <w:pPr>
        <w:pStyle w:val="Title"/>
      </w:pPr>
    </w:p>
    <w:p w14:paraId="1BD3ADDC" w14:textId="34D63DD8" w:rsidR="008827B3" w:rsidRPr="009A1A7D" w:rsidRDefault="00A11A37" w:rsidP="00BE32C9">
      <w:pPr>
        <w:pStyle w:val="Title"/>
      </w:pPr>
      <w:bookmarkStart w:id="0" w:name="_Hlk109827126"/>
      <w:bookmarkStart w:id="1" w:name="_Hlk109827142"/>
      <w:r w:rsidRPr="009A1A7D">
        <w:t>Independent Cost Analysis for</w:t>
      </w:r>
      <w:r w:rsidR="008827B3" w:rsidRPr="009A1A7D">
        <w:t>:</w:t>
      </w:r>
    </w:p>
    <w:p w14:paraId="14BBBD9F" w14:textId="77777777" w:rsidR="008827B3" w:rsidRDefault="008827B3" w:rsidP="00BE32C9">
      <w:pPr>
        <w:pStyle w:val="Title"/>
      </w:pPr>
    </w:p>
    <w:p w14:paraId="28774510" w14:textId="59FB320B" w:rsidR="00445502" w:rsidRPr="00445502" w:rsidRDefault="008827B3" w:rsidP="00BE32C9">
      <w:pPr>
        <w:pStyle w:val="Title"/>
      </w:pPr>
      <w:r w:rsidRPr="00FA782E">
        <w:t xml:space="preserve">Boston Children’s Hospital </w:t>
      </w:r>
      <w:r w:rsidR="00A11A37" w:rsidRPr="00FA782E">
        <w:t>Determination of Need Proposed Project</w:t>
      </w:r>
    </w:p>
    <w:p w14:paraId="1B3D0930" w14:textId="11A4B51E" w:rsidR="00A11A37" w:rsidRPr="00FA782E" w:rsidRDefault="00445502" w:rsidP="00BE32C9">
      <w:pPr>
        <w:pStyle w:val="Title"/>
      </w:pPr>
      <w:r>
        <w:t xml:space="preserve">DoN </w:t>
      </w:r>
      <w:r w:rsidR="00FA782E">
        <w:t>Application #</w:t>
      </w:r>
      <w:r w:rsidR="00FA782E" w:rsidRPr="00FA782E">
        <w:t xml:space="preserve"> BCH-20171411-HE</w:t>
      </w:r>
    </w:p>
    <w:p w14:paraId="18BCED47" w14:textId="77777777" w:rsidR="00BD4B41" w:rsidRDefault="00BD4B41" w:rsidP="00BD4B41">
      <w:pPr>
        <w:numPr>
          <w:ilvl w:val="0"/>
          <w:numId w:val="0"/>
        </w:numPr>
        <w:jc w:val="center"/>
      </w:pPr>
    </w:p>
    <w:p w14:paraId="39E38BFA" w14:textId="5FD78B81" w:rsidR="00BD4B41" w:rsidRPr="00FA782E" w:rsidRDefault="00754E38" w:rsidP="00BD4B41">
      <w:pPr>
        <w:numPr>
          <w:ilvl w:val="0"/>
          <w:numId w:val="0"/>
        </w:numPr>
        <w:jc w:val="center"/>
      </w:pPr>
      <w:r>
        <w:t>September 6</w:t>
      </w:r>
      <w:r w:rsidR="00BD4B41" w:rsidRPr="00FA782E">
        <w:t>, 2022</w:t>
      </w:r>
    </w:p>
    <w:p w14:paraId="0BD854AB" w14:textId="77777777" w:rsidR="00DF0E63" w:rsidRDefault="00DF0E63" w:rsidP="00BE32C9">
      <w:pPr>
        <w:numPr>
          <w:ilvl w:val="0"/>
          <w:numId w:val="0"/>
        </w:numPr>
      </w:pPr>
    </w:p>
    <w:p w14:paraId="56E0FE85" w14:textId="77777777" w:rsidR="00DF0E63" w:rsidRDefault="00DF0E63" w:rsidP="00BE32C9">
      <w:pPr>
        <w:numPr>
          <w:ilvl w:val="0"/>
          <w:numId w:val="0"/>
        </w:numPr>
      </w:pPr>
    </w:p>
    <w:p w14:paraId="6AD0F4A2" w14:textId="5715E929" w:rsidR="004F6DFB" w:rsidRDefault="004F6DFB" w:rsidP="00BE32C9">
      <w:pPr>
        <w:numPr>
          <w:ilvl w:val="0"/>
          <w:numId w:val="0"/>
        </w:numPr>
      </w:pPr>
    </w:p>
    <w:p w14:paraId="168C2D65" w14:textId="77777777" w:rsidR="00FC4424" w:rsidRDefault="00FC4424" w:rsidP="00BE32C9">
      <w:pPr>
        <w:numPr>
          <w:ilvl w:val="0"/>
          <w:numId w:val="0"/>
        </w:numPr>
      </w:pPr>
    </w:p>
    <w:p w14:paraId="58025AE2" w14:textId="77777777" w:rsidR="00445502" w:rsidRDefault="00445502" w:rsidP="00BE32C9">
      <w:pPr>
        <w:numPr>
          <w:ilvl w:val="0"/>
          <w:numId w:val="0"/>
        </w:numPr>
      </w:pPr>
    </w:p>
    <w:p w14:paraId="47A3E88B" w14:textId="3AFE4133" w:rsidR="004F6DFB" w:rsidRPr="00445502" w:rsidRDefault="00445502" w:rsidP="00DF0E63">
      <w:pPr>
        <w:numPr>
          <w:ilvl w:val="0"/>
          <w:numId w:val="0"/>
        </w:numPr>
        <w:spacing w:before="0" w:after="0" w:line="240" w:lineRule="auto"/>
      </w:pPr>
      <w:r w:rsidRPr="00445502">
        <w:t>Prepared for Submission to:</w:t>
      </w:r>
    </w:p>
    <w:p w14:paraId="07AC7657" w14:textId="1258DD68" w:rsidR="00445502" w:rsidRDefault="00445502" w:rsidP="00DF0E63">
      <w:pPr>
        <w:numPr>
          <w:ilvl w:val="0"/>
          <w:numId w:val="0"/>
        </w:numPr>
        <w:spacing w:before="0" w:after="0" w:line="240" w:lineRule="auto"/>
      </w:pPr>
      <w:r>
        <w:t>Massachusetts Department of Public Health</w:t>
      </w:r>
    </w:p>
    <w:p w14:paraId="51C6C008" w14:textId="5EC779D6" w:rsidR="004F6DFB" w:rsidRDefault="004F6DFB" w:rsidP="00DF0E63">
      <w:pPr>
        <w:numPr>
          <w:ilvl w:val="0"/>
          <w:numId w:val="0"/>
        </w:numPr>
        <w:spacing w:before="0" w:after="0" w:line="240" w:lineRule="auto"/>
      </w:pPr>
    </w:p>
    <w:p w14:paraId="1917104A" w14:textId="77777777" w:rsidR="00E66730" w:rsidRDefault="00E66730" w:rsidP="00DF0E63">
      <w:pPr>
        <w:numPr>
          <w:ilvl w:val="0"/>
          <w:numId w:val="0"/>
        </w:numPr>
        <w:spacing w:before="0" w:after="0" w:line="240" w:lineRule="auto"/>
      </w:pPr>
    </w:p>
    <w:p w14:paraId="381996D0" w14:textId="39EB75E8" w:rsidR="00FA782E" w:rsidRPr="00445502" w:rsidRDefault="00D25547" w:rsidP="00DF0E63">
      <w:pPr>
        <w:numPr>
          <w:ilvl w:val="0"/>
          <w:numId w:val="0"/>
        </w:numPr>
        <w:spacing w:before="0" w:after="0" w:line="240" w:lineRule="auto"/>
      </w:pPr>
      <w:r>
        <w:t>Authored</w:t>
      </w:r>
      <w:r w:rsidR="009A1A7D">
        <w:t xml:space="preserve"> </w:t>
      </w:r>
      <w:r w:rsidR="00FA782E" w:rsidRPr="00445502">
        <w:t>by:</w:t>
      </w:r>
    </w:p>
    <w:p w14:paraId="525F82FF" w14:textId="46F1BE87" w:rsidR="004F6DFB" w:rsidRDefault="004F6DFB" w:rsidP="00DF0E63">
      <w:pPr>
        <w:numPr>
          <w:ilvl w:val="0"/>
          <w:numId w:val="0"/>
        </w:numPr>
        <w:spacing w:before="0" w:after="0" w:line="240" w:lineRule="auto"/>
      </w:pPr>
      <w:r>
        <w:t>Jeremy Nighohossian</w:t>
      </w:r>
      <w:r w:rsidR="00FA782E">
        <w:t>, Ph.D.</w:t>
      </w:r>
    </w:p>
    <w:p w14:paraId="452EAD19" w14:textId="77777777" w:rsidR="004F6DFB" w:rsidRDefault="004F6DFB" w:rsidP="00DF0E63">
      <w:pPr>
        <w:numPr>
          <w:ilvl w:val="0"/>
          <w:numId w:val="0"/>
        </w:numPr>
        <w:spacing w:before="0" w:after="0" w:line="240" w:lineRule="auto"/>
      </w:pPr>
      <w:r>
        <w:t>Margaret Guerin-Calvert</w:t>
      </w:r>
    </w:p>
    <w:p w14:paraId="476D5B3B" w14:textId="77777777" w:rsidR="00E66730" w:rsidRDefault="004F6DFB" w:rsidP="00DF0E63">
      <w:pPr>
        <w:numPr>
          <w:ilvl w:val="0"/>
          <w:numId w:val="0"/>
        </w:numPr>
        <w:spacing w:before="0" w:after="0" w:line="240" w:lineRule="auto"/>
      </w:pPr>
      <w:r>
        <w:t>Center for Healthcare Economics and Policy</w:t>
      </w:r>
      <w:r w:rsidR="00FA782E">
        <w:t xml:space="preserve">, </w:t>
      </w:r>
    </w:p>
    <w:p w14:paraId="22BF7BA2" w14:textId="3B97BE53" w:rsidR="004F6DFB" w:rsidRDefault="00FA782E" w:rsidP="00DF0E63">
      <w:pPr>
        <w:numPr>
          <w:ilvl w:val="0"/>
          <w:numId w:val="0"/>
        </w:numPr>
        <w:spacing w:before="0" w:after="0" w:line="240" w:lineRule="auto"/>
      </w:pPr>
      <w:r>
        <w:t>FTI Consulting, Inc.</w:t>
      </w:r>
    </w:p>
    <w:p w14:paraId="4C53CD47" w14:textId="3E584A7C" w:rsidR="00FA782E" w:rsidRDefault="00FA782E" w:rsidP="00DF0E63">
      <w:pPr>
        <w:numPr>
          <w:ilvl w:val="0"/>
          <w:numId w:val="0"/>
        </w:numPr>
        <w:spacing w:before="0" w:after="0" w:line="240" w:lineRule="auto"/>
      </w:pPr>
      <w:r>
        <w:t>555 12</w:t>
      </w:r>
      <w:r w:rsidRPr="00FA782E">
        <w:rPr>
          <w:vertAlign w:val="superscript"/>
        </w:rPr>
        <w:t>th</w:t>
      </w:r>
      <w:r>
        <w:t xml:space="preserve"> Street NW, Suite 700</w:t>
      </w:r>
    </w:p>
    <w:p w14:paraId="5C2E49C4" w14:textId="20B3F280" w:rsidR="00FA782E" w:rsidRDefault="00FA782E" w:rsidP="00DF0E63">
      <w:pPr>
        <w:numPr>
          <w:ilvl w:val="0"/>
          <w:numId w:val="0"/>
        </w:numPr>
        <w:spacing w:before="0" w:after="0" w:line="240" w:lineRule="auto"/>
      </w:pPr>
      <w:r>
        <w:t>Washington, D.C. 20004</w:t>
      </w:r>
    </w:p>
    <w:bookmarkEnd w:id="0"/>
    <w:p w14:paraId="48D998CB" w14:textId="77777777" w:rsidR="00B11ECB" w:rsidRDefault="00B11ECB" w:rsidP="00BE32C9">
      <w:pPr>
        <w:numPr>
          <w:ilvl w:val="0"/>
          <w:numId w:val="0"/>
        </w:numPr>
      </w:pPr>
    </w:p>
    <w:p w14:paraId="34D196D4" w14:textId="29475A01" w:rsidR="00D25547" w:rsidRPr="00B11ECB" w:rsidRDefault="00B63B78" w:rsidP="00BE32C9">
      <w:pPr>
        <w:numPr>
          <w:ilvl w:val="0"/>
          <w:numId w:val="0"/>
        </w:numPr>
      </w:pPr>
      <w:bookmarkStart w:id="2" w:name="_Toc106002879"/>
      <w:bookmarkStart w:id="3" w:name="_Toc105569082"/>
      <w:bookmarkStart w:id="4" w:name="_Toc94002321"/>
      <w:bookmarkStart w:id="5" w:name="_Ref98861664"/>
      <w:bookmarkStart w:id="6" w:name="_Ref98861656"/>
      <w:bookmarkStart w:id="7" w:name="_Ref98861648"/>
      <w:r w:rsidRPr="00B63B78">
        <w:t xml:space="preserve">The primary authors of this report are Jeremy Nighohossian, PhD, Managing Director and Margaret Guerin-Calvert, President and Senior Managing Director, Center for Healthcare Economics and Policy FTI Consulting Inc. with substantial assistance in the empirical analyses provided by Shanshan Wang, Director and Suhail Thahir, Consultant. The authors take responsibility for any errors or admission. The views expressed herein are those of the author(s) and not necessarily the views of FTI Consulting, Inc., its management, its subsidiaries, its affiliates, or its other professionals. The reader agrees to release FTI Consulting, Inc. and its </w:t>
      </w:r>
      <w:r w:rsidRPr="00DF0E63">
        <w:rPr>
          <w:spacing w:val="-4"/>
        </w:rPr>
        <w:t>personnel from any claim by the reader that arises as a result of the reader having access to the report.</w:t>
      </w:r>
      <w:r w:rsidRPr="00B63B78">
        <w:t xml:space="preserve"> </w:t>
      </w:r>
      <w:r w:rsidR="00D25547" w:rsidRPr="00B11ECB">
        <w:t xml:space="preserve"> </w:t>
      </w:r>
    </w:p>
    <w:bookmarkEnd w:id="1" w:displacedByCustomXml="next"/>
    <w:sdt>
      <w:sdtPr>
        <w:rPr>
          <w:rFonts w:ascii="Times New Roman" w:eastAsiaTheme="minorHAnsi" w:hAnsi="Times New Roman" w:cstheme="minorBidi"/>
          <w:b w:val="0"/>
          <w:caps w:val="0"/>
          <w:szCs w:val="22"/>
        </w:rPr>
        <w:id w:val="1016036485"/>
        <w:docPartObj>
          <w:docPartGallery w:val="Table of Contents"/>
          <w:docPartUnique/>
        </w:docPartObj>
      </w:sdtPr>
      <w:sdtEndPr>
        <w:rPr>
          <w:rFonts w:eastAsia="Times New Roman" w:cs="Times New Roman"/>
          <w:noProof/>
          <w:sz w:val="22"/>
        </w:rPr>
      </w:sdtEndPr>
      <w:sdtContent>
        <w:p w14:paraId="3C893794" w14:textId="77F572F2" w:rsidR="00C02A55" w:rsidRDefault="00C02A55" w:rsidP="00BE32C9">
          <w:pPr>
            <w:pStyle w:val="TOCHeading"/>
            <w:rPr>
              <w:rFonts w:hint="eastAsia"/>
            </w:rPr>
          </w:pPr>
          <w:r>
            <w:t>Table of Contents</w:t>
          </w:r>
        </w:p>
        <w:p w14:paraId="34CBDBC0" w14:textId="5108F24F" w:rsidR="008906E3" w:rsidRPr="008906E3" w:rsidRDefault="00C02A55">
          <w:pPr>
            <w:pStyle w:val="TOC1"/>
            <w:rPr>
              <w:rFonts w:asciiTheme="minorHAnsi" w:eastAsiaTheme="minorEastAsia" w:hAnsiTheme="minorHAnsi"/>
              <w:b w:val="0"/>
              <w:caps w:val="0"/>
              <w:sz w:val="22"/>
              <w:lang w:eastAsia="zh-CN"/>
            </w:rPr>
          </w:pPr>
          <w:r w:rsidRPr="008906E3">
            <w:rPr>
              <w:sz w:val="22"/>
            </w:rPr>
            <w:fldChar w:fldCharType="begin"/>
          </w:r>
          <w:r w:rsidRPr="008906E3">
            <w:rPr>
              <w:sz w:val="22"/>
            </w:rPr>
            <w:instrText xml:space="preserve"> TOC \o "1-3" \h \z \u </w:instrText>
          </w:r>
          <w:r w:rsidRPr="008906E3">
            <w:rPr>
              <w:sz w:val="22"/>
            </w:rPr>
            <w:fldChar w:fldCharType="separate"/>
          </w:r>
          <w:hyperlink w:anchor="_Toc109895480" w:history="1">
            <w:r w:rsidR="008906E3" w:rsidRPr="008906E3">
              <w:rPr>
                <w:rStyle w:val="Hyperlink"/>
                <w:sz w:val="22"/>
              </w:rPr>
              <w:t>I.</w:t>
            </w:r>
            <w:r w:rsidR="008906E3" w:rsidRPr="008906E3">
              <w:rPr>
                <w:rFonts w:asciiTheme="minorHAnsi" w:eastAsiaTheme="minorEastAsia" w:hAnsiTheme="minorHAnsi"/>
                <w:b w:val="0"/>
                <w:caps w:val="0"/>
                <w:sz w:val="22"/>
                <w:lang w:eastAsia="zh-CN"/>
              </w:rPr>
              <w:tab/>
            </w:r>
            <w:r w:rsidR="008906E3" w:rsidRPr="008906E3">
              <w:rPr>
                <w:rStyle w:val="Hyperlink"/>
                <w:sz w:val="22"/>
              </w:rPr>
              <w:t>Executive Summary</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_Toc109895480 \h </w:instrText>
            </w:r>
            <w:r w:rsidR="008906E3" w:rsidRPr="008906E3">
              <w:rPr>
                <w:webHidden/>
                <w:sz w:val="22"/>
              </w:rPr>
            </w:r>
            <w:r w:rsidR="008906E3" w:rsidRPr="008906E3">
              <w:rPr>
                <w:webHidden/>
                <w:sz w:val="22"/>
              </w:rPr>
              <w:fldChar w:fldCharType="separate"/>
            </w:r>
            <w:r w:rsidR="00000A86">
              <w:rPr>
                <w:webHidden/>
                <w:sz w:val="22"/>
              </w:rPr>
              <w:t>6</w:t>
            </w:r>
            <w:r w:rsidR="008906E3" w:rsidRPr="008906E3">
              <w:rPr>
                <w:webHidden/>
                <w:sz w:val="22"/>
              </w:rPr>
              <w:fldChar w:fldCharType="end"/>
            </w:r>
          </w:hyperlink>
        </w:p>
        <w:p w14:paraId="0BBA2CA5" w14:textId="2FB5F164" w:rsidR="008906E3" w:rsidRPr="008906E3" w:rsidRDefault="003171FA">
          <w:pPr>
            <w:pStyle w:val="TOC2"/>
            <w:rPr>
              <w:rFonts w:asciiTheme="minorHAnsi" w:eastAsiaTheme="minorEastAsia" w:hAnsiTheme="minorHAnsi" w:cstheme="minorBidi"/>
              <w:bCs w:val="0"/>
              <w:sz w:val="22"/>
              <w:lang w:eastAsia="zh-CN"/>
            </w:rPr>
          </w:pPr>
          <w:hyperlink w:anchor="_Toc109895481" w:history="1">
            <w:r w:rsidR="008906E3" w:rsidRPr="008906E3">
              <w:rPr>
                <w:rStyle w:val="Hyperlink"/>
                <w:sz w:val="22"/>
              </w:rPr>
              <w:t>A.</w:t>
            </w:r>
            <w:r w:rsidR="008906E3" w:rsidRPr="008906E3">
              <w:rPr>
                <w:rFonts w:asciiTheme="minorHAnsi" w:eastAsiaTheme="minorEastAsia" w:hAnsiTheme="minorHAnsi" w:cstheme="minorBidi"/>
                <w:bCs w:val="0"/>
                <w:sz w:val="22"/>
                <w:lang w:eastAsia="zh-CN"/>
              </w:rPr>
              <w:tab/>
            </w:r>
            <w:r w:rsidR="008906E3" w:rsidRPr="008906E3">
              <w:rPr>
                <w:rStyle w:val="Hyperlink"/>
                <w:sz w:val="22"/>
              </w:rPr>
              <w:t>Overview of the ICA Report</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_Toc109895481 \h </w:instrText>
            </w:r>
            <w:r w:rsidR="008906E3" w:rsidRPr="008906E3">
              <w:rPr>
                <w:webHidden/>
                <w:sz w:val="22"/>
              </w:rPr>
            </w:r>
            <w:r w:rsidR="008906E3" w:rsidRPr="008906E3">
              <w:rPr>
                <w:webHidden/>
                <w:sz w:val="22"/>
              </w:rPr>
              <w:fldChar w:fldCharType="separate"/>
            </w:r>
            <w:r w:rsidR="00000A86">
              <w:rPr>
                <w:webHidden/>
                <w:sz w:val="22"/>
              </w:rPr>
              <w:t>6</w:t>
            </w:r>
            <w:r w:rsidR="008906E3" w:rsidRPr="008906E3">
              <w:rPr>
                <w:webHidden/>
                <w:sz w:val="22"/>
              </w:rPr>
              <w:fldChar w:fldCharType="end"/>
            </w:r>
          </w:hyperlink>
        </w:p>
        <w:p w14:paraId="004F6BE5" w14:textId="2C3D5871" w:rsidR="008906E3" w:rsidRPr="008906E3" w:rsidRDefault="003171FA">
          <w:pPr>
            <w:pStyle w:val="TOC2"/>
            <w:rPr>
              <w:rFonts w:asciiTheme="minorHAnsi" w:eastAsiaTheme="minorEastAsia" w:hAnsiTheme="minorHAnsi" w:cstheme="minorBidi"/>
              <w:bCs w:val="0"/>
              <w:sz w:val="22"/>
              <w:lang w:eastAsia="zh-CN"/>
            </w:rPr>
          </w:pPr>
          <w:hyperlink w:anchor="_Toc109895482" w:history="1">
            <w:r w:rsidR="008906E3" w:rsidRPr="008906E3">
              <w:rPr>
                <w:rStyle w:val="Hyperlink"/>
                <w:sz w:val="22"/>
              </w:rPr>
              <w:t>B.</w:t>
            </w:r>
            <w:r w:rsidR="008906E3" w:rsidRPr="008906E3">
              <w:rPr>
                <w:rFonts w:asciiTheme="minorHAnsi" w:eastAsiaTheme="minorEastAsia" w:hAnsiTheme="minorHAnsi" w:cstheme="minorBidi"/>
                <w:bCs w:val="0"/>
                <w:sz w:val="22"/>
                <w:lang w:eastAsia="zh-CN"/>
              </w:rPr>
              <w:tab/>
            </w:r>
            <w:r w:rsidR="008906E3" w:rsidRPr="008906E3">
              <w:rPr>
                <w:rStyle w:val="Hyperlink"/>
                <w:sz w:val="22"/>
              </w:rPr>
              <w:t>Summary of Conclusions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_Toc109895482 \h </w:instrText>
            </w:r>
            <w:r w:rsidR="008906E3" w:rsidRPr="008906E3">
              <w:rPr>
                <w:webHidden/>
                <w:sz w:val="22"/>
              </w:rPr>
            </w:r>
            <w:r w:rsidR="008906E3" w:rsidRPr="008906E3">
              <w:rPr>
                <w:webHidden/>
                <w:sz w:val="22"/>
              </w:rPr>
              <w:fldChar w:fldCharType="separate"/>
            </w:r>
            <w:r w:rsidR="00000A86">
              <w:rPr>
                <w:webHidden/>
                <w:sz w:val="22"/>
              </w:rPr>
              <w:t>7</w:t>
            </w:r>
            <w:r w:rsidR="008906E3" w:rsidRPr="008906E3">
              <w:rPr>
                <w:webHidden/>
                <w:sz w:val="22"/>
              </w:rPr>
              <w:fldChar w:fldCharType="end"/>
            </w:r>
          </w:hyperlink>
        </w:p>
        <w:p w14:paraId="01EADB47" w14:textId="6CF66557" w:rsidR="008906E3" w:rsidRPr="008906E3" w:rsidRDefault="003171FA">
          <w:pPr>
            <w:pStyle w:val="TOC1"/>
            <w:rPr>
              <w:rFonts w:asciiTheme="minorHAnsi" w:eastAsiaTheme="minorEastAsia" w:hAnsiTheme="minorHAnsi"/>
              <w:b w:val="0"/>
              <w:caps w:val="0"/>
              <w:sz w:val="22"/>
              <w:lang w:eastAsia="zh-CN"/>
            </w:rPr>
          </w:pPr>
          <w:hyperlink w:anchor="_Toc109895483" w:history="1">
            <w:r w:rsidR="008906E3" w:rsidRPr="008906E3">
              <w:rPr>
                <w:rStyle w:val="Hyperlink"/>
                <w:sz w:val="22"/>
              </w:rPr>
              <w:t>II.</w:t>
            </w:r>
            <w:r w:rsidR="008906E3" w:rsidRPr="008906E3">
              <w:rPr>
                <w:rFonts w:asciiTheme="minorHAnsi" w:eastAsiaTheme="minorEastAsia" w:hAnsiTheme="minorHAnsi"/>
                <w:b w:val="0"/>
                <w:caps w:val="0"/>
                <w:sz w:val="22"/>
                <w:lang w:eastAsia="zh-CN"/>
              </w:rPr>
              <w:tab/>
            </w:r>
            <w:r w:rsidR="008906E3" w:rsidRPr="008906E3">
              <w:rPr>
                <w:rStyle w:val="Hyperlink"/>
                <w:sz w:val="22"/>
              </w:rPr>
              <w:t>Background, Assignment, and Qualifications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_Toc109895483 \h </w:instrText>
            </w:r>
            <w:r w:rsidR="008906E3" w:rsidRPr="008906E3">
              <w:rPr>
                <w:webHidden/>
                <w:sz w:val="22"/>
              </w:rPr>
            </w:r>
            <w:r w:rsidR="008906E3" w:rsidRPr="008906E3">
              <w:rPr>
                <w:webHidden/>
                <w:sz w:val="22"/>
              </w:rPr>
              <w:fldChar w:fldCharType="separate"/>
            </w:r>
            <w:r w:rsidR="00000A86">
              <w:rPr>
                <w:webHidden/>
                <w:sz w:val="22"/>
              </w:rPr>
              <w:t>11</w:t>
            </w:r>
            <w:r w:rsidR="008906E3" w:rsidRPr="008906E3">
              <w:rPr>
                <w:webHidden/>
                <w:sz w:val="22"/>
              </w:rPr>
              <w:fldChar w:fldCharType="end"/>
            </w:r>
          </w:hyperlink>
        </w:p>
        <w:p w14:paraId="29EAF748" w14:textId="11EE267D" w:rsidR="008906E3" w:rsidRPr="008906E3" w:rsidRDefault="003171FA">
          <w:pPr>
            <w:pStyle w:val="TOC2"/>
            <w:rPr>
              <w:rFonts w:asciiTheme="minorHAnsi" w:eastAsiaTheme="minorEastAsia" w:hAnsiTheme="minorHAnsi" w:cstheme="minorBidi"/>
              <w:bCs w:val="0"/>
              <w:sz w:val="22"/>
              <w:lang w:eastAsia="zh-CN"/>
            </w:rPr>
          </w:pPr>
          <w:hyperlink w:anchor="_Toc109895484" w:history="1">
            <w:r w:rsidR="008906E3" w:rsidRPr="008906E3">
              <w:rPr>
                <w:rStyle w:val="Hyperlink"/>
                <w:sz w:val="22"/>
              </w:rPr>
              <w:t>A.</w:t>
            </w:r>
            <w:r w:rsidR="008906E3" w:rsidRPr="008906E3">
              <w:rPr>
                <w:rFonts w:asciiTheme="minorHAnsi" w:eastAsiaTheme="minorEastAsia" w:hAnsiTheme="minorHAnsi" w:cstheme="minorBidi"/>
                <w:bCs w:val="0"/>
                <w:sz w:val="22"/>
                <w:lang w:eastAsia="zh-CN"/>
              </w:rPr>
              <w:tab/>
            </w:r>
            <w:r w:rsidR="008906E3" w:rsidRPr="008906E3">
              <w:rPr>
                <w:rStyle w:val="Hyperlink"/>
                <w:sz w:val="22"/>
              </w:rPr>
              <w:t>Background on the Proposed Project and DoN and ICA Processes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_Toc109895484 \h </w:instrText>
            </w:r>
            <w:r w:rsidR="008906E3" w:rsidRPr="008906E3">
              <w:rPr>
                <w:webHidden/>
                <w:sz w:val="22"/>
              </w:rPr>
            </w:r>
            <w:r w:rsidR="008906E3" w:rsidRPr="008906E3">
              <w:rPr>
                <w:webHidden/>
                <w:sz w:val="22"/>
              </w:rPr>
              <w:fldChar w:fldCharType="separate"/>
            </w:r>
            <w:r w:rsidR="00000A86">
              <w:rPr>
                <w:webHidden/>
                <w:sz w:val="22"/>
              </w:rPr>
              <w:t>11</w:t>
            </w:r>
            <w:r w:rsidR="008906E3" w:rsidRPr="008906E3">
              <w:rPr>
                <w:webHidden/>
                <w:sz w:val="22"/>
              </w:rPr>
              <w:fldChar w:fldCharType="end"/>
            </w:r>
          </w:hyperlink>
        </w:p>
        <w:p w14:paraId="361D47C2" w14:textId="5F2FC852" w:rsidR="008906E3" w:rsidRPr="008906E3" w:rsidRDefault="003171FA">
          <w:pPr>
            <w:pStyle w:val="TOC3"/>
            <w:rPr>
              <w:rFonts w:asciiTheme="minorHAnsi" w:eastAsiaTheme="minorEastAsia" w:hAnsiTheme="minorHAnsi"/>
              <w:noProof/>
              <w:sz w:val="22"/>
              <w:lang w:eastAsia="zh-CN"/>
            </w:rPr>
          </w:pPr>
          <w:hyperlink w:anchor="_Toc109895485" w:history="1">
            <w:r w:rsidR="008906E3" w:rsidRPr="008906E3">
              <w:rPr>
                <w:rStyle w:val="Hyperlink"/>
                <w:noProof/>
                <w:sz w:val="22"/>
              </w:rPr>
              <w:t>1.</w:t>
            </w:r>
            <w:r w:rsidR="008906E3" w:rsidRPr="008906E3">
              <w:rPr>
                <w:rFonts w:asciiTheme="minorHAnsi" w:eastAsiaTheme="minorEastAsia" w:hAnsiTheme="minorHAnsi"/>
                <w:noProof/>
                <w:sz w:val="22"/>
                <w:lang w:eastAsia="zh-CN"/>
              </w:rPr>
              <w:tab/>
            </w:r>
            <w:r w:rsidR="008906E3" w:rsidRPr="008906E3">
              <w:rPr>
                <w:rStyle w:val="Hyperlink"/>
                <w:noProof/>
                <w:sz w:val="22"/>
              </w:rPr>
              <w:t>Overview of the Proposed Project</w:t>
            </w:r>
            <w:r w:rsidR="008906E3" w:rsidRPr="008906E3">
              <w:rPr>
                <w:noProof/>
                <w:webHidden/>
                <w:sz w:val="22"/>
              </w:rPr>
              <w:tab/>
            </w:r>
            <w:r w:rsidR="008906E3" w:rsidRPr="008906E3">
              <w:rPr>
                <w:noProof/>
                <w:webHidden/>
                <w:sz w:val="22"/>
              </w:rPr>
              <w:fldChar w:fldCharType="begin"/>
            </w:r>
            <w:r w:rsidR="008906E3" w:rsidRPr="008906E3">
              <w:rPr>
                <w:noProof/>
                <w:webHidden/>
                <w:sz w:val="22"/>
              </w:rPr>
              <w:instrText xml:space="preserve"> PAGEREF _Toc109895485 \h </w:instrText>
            </w:r>
            <w:r w:rsidR="008906E3" w:rsidRPr="008906E3">
              <w:rPr>
                <w:noProof/>
                <w:webHidden/>
                <w:sz w:val="22"/>
              </w:rPr>
            </w:r>
            <w:r w:rsidR="008906E3" w:rsidRPr="008906E3">
              <w:rPr>
                <w:noProof/>
                <w:webHidden/>
                <w:sz w:val="22"/>
              </w:rPr>
              <w:fldChar w:fldCharType="separate"/>
            </w:r>
            <w:r w:rsidR="00000A86">
              <w:rPr>
                <w:noProof/>
                <w:webHidden/>
                <w:sz w:val="22"/>
              </w:rPr>
              <w:t>11</w:t>
            </w:r>
            <w:r w:rsidR="008906E3" w:rsidRPr="008906E3">
              <w:rPr>
                <w:noProof/>
                <w:webHidden/>
                <w:sz w:val="22"/>
              </w:rPr>
              <w:fldChar w:fldCharType="end"/>
            </w:r>
          </w:hyperlink>
        </w:p>
        <w:p w14:paraId="1C56A36D" w14:textId="756B8437" w:rsidR="008906E3" w:rsidRPr="008906E3" w:rsidRDefault="003171FA">
          <w:pPr>
            <w:pStyle w:val="TOC2"/>
            <w:rPr>
              <w:rFonts w:asciiTheme="minorHAnsi" w:eastAsiaTheme="minorEastAsia" w:hAnsiTheme="minorHAnsi" w:cstheme="minorBidi"/>
              <w:bCs w:val="0"/>
              <w:sz w:val="22"/>
              <w:lang w:eastAsia="zh-CN"/>
            </w:rPr>
          </w:pPr>
          <w:hyperlink w:anchor="_Toc109895486" w:history="1">
            <w:r w:rsidR="008906E3" w:rsidRPr="008906E3">
              <w:rPr>
                <w:rStyle w:val="Hyperlink"/>
                <w:sz w:val="22"/>
              </w:rPr>
              <w:t>B.</w:t>
            </w:r>
            <w:r w:rsidR="008906E3" w:rsidRPr="008906E3">
              <w:rPr>
                <w:rFonts w:asciiTheme="minorHAnsi" w:eastAsiaTheme="minorEastAsia" w:hAnsiTheme="minorHAnsi" w:cstheme="minorBidi"/>
                <w:bCs w:val="0"/>
                <w:sz w:val="22"/>
                <w:lang w:eastAsia="zh-CN"/>
              </w:rPr>
              <w:tab/>
            </w:r>
            <w:r w:rsidR="008906E3" w:rsidRPr="008906E3">
              <w:rPr>
                <w:rStyle w:val="Hyperlink"/>
                <w:sz w:val="22"/>
              </w:rPr>
              <w:t>The DoN and ICA Process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_Toc109895486 \h </w:instrText>
            </w:r>
            <w:r w:rsidR="008906E3" w:rsidRPr="008906E3">
              <w:rPr>
                <w:webHidden/>
                <w:sz w:val="22"/>
              </w:rPr>
            </w:r>
            <w:r w:rsidR="008906E3" w:rsidRPr="008906E3">
              <w:rPr>
                <w:webHidden/>
                <w:sz w:val="22"/>
              </w:rPr>
              <w:fldChar w:fldCharType="separate"/>
            </w:r>
            <w:r w:rsidR="00000A86">
              <w:rPr>
                <w:webHidden/>
                <w:sz w:val="22"/>
              </w:rPr>
              <w:t>15</w:t>
            </w:r>
            <w:r w:rsidR="008906E3" w:rsidRPr="008906E3">
              <w:rPr>
                <w:webHidden/>
                <w:sz w:val="22"/>
              </w:rPr>
              <w:fldChar w:fldCharType="end"/>
            </w:r>
          </w:hyperlink>
        </w:p>
        <w:p w14:paraId="42C84265" w14:textId="67D22E35" w:rsidR="008906E3" w:rsidRPr="008906E3" w:rsidRDefault="003171FA">
          <w:pPr>
            <w:pStyle w:val="TOC2"/>
            <w:rPr>
              <w:rFonts w:asciiTheme="minorHAnsi" w:eastAsiaTheme="minorEastAsia" w:hAnsiTheme="minorHAnsi" w:cstheme="minorBidi"/>
              <w:bCs w:val="0"/>
              <w:sz w:val="22"/>
              <w:lang w:eastAsia="zh-CN"/>
            </w:rPr>
          </w:pPr>
          <w:hyperlink w:anchor="_Toc109895487" w:history="1">
            <w:r w:rsidR="008906E3" w:rsidRPr="008906E3">
              <w:rPr>
                <w:rStyle w:val="Hyperlink"/>
                <w:sz w:val="22"/>
              </w:rPr>
              <w:t>C.</w:t>
            </w:r>
            <w:r w:rsidR="008906E3" w:rsidRPr="008906E3">
              <w:rPr>
                <w:rFonts w:asciiTheme="minorHAnsi" w:eastAsiaTheme="minorEastAsia" w:hAnsiTheme="minorHAnsi" w:cstheme="minorBidi"/>
                <w:bCs w:val="0"/>
                <w:sz w:val="22"/>
                <w:lang w:eastAsia="zh-CN"/>
              </w:rPr>
              <w:tab/>
            </w:r>
            <w:r w:rsidR="008906E3" w:rsidRPr="008906E3">
              <w:rPr>
                <w:rStyle w:val="Hyperlink"/>
                <w:sz w:val="22"/>
              </w:rPr>
              <w:t>Assignment and Qualifications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_Toc109895487 \h </w:instrText>
            </w:r>
            <w:r w:rsidR="008906E3" w:rsidRPr="008906E3">
              <w:rPr>
                <w:webHidden/>
                <w:sz w:val="22"/>
              </w:rPr>
            </w:r>
            <w:r w:rsidR="008906E3" w:rsidRPr="008906E3">
              <w:rPr>
                <w:webHidden/>
                <w:sz w:val="22"/>
              </w:rPr>
              <w:fldChar w:fldCharType="separate"/>
            </w:r>
            <w:r w:rsidR="00000A86">
              <w:rPr>
                <w:webHidden/>
                <w:sz w:val="22"/>
              </w:rPr>
              <w:t>15</w:t>
            </w:r>
            <w:r w:rsidR="008906E3" w:rsidRPr="008906E3">
              <w:rPr>
                <w:webHidden/>
                <w:sz w:val="22"/>
              </w:rPr>
              <w:fldChar w:fldCharType="end"/>
            </w:r>
          </w:hyperlink>
        </w:p>
        <w:p w14:paraId="17A80691" w14:textId="4B9CD183" w:rsidR="008906E3" w:rsidRPr="008906E3" w:rsidRDefault="003171FA">
          <w:pPr>
            <w:pStyle w:val="TOC1"/>
            <w:rPr>
              <w:rFonts w:asciiTheme="minorHAnsi" w:eastAsiaTheme="minorEastAsia" w:hAnsiTheme="minorHAnsi"/>
              <w:b w:val="0"/>
              <w:caps w:val="0"/>
              <w:sz w:val="22"/>
              <w:lang w:eastAsia="zh-CN"/>
            </w:rPr>
          </w:pPr>
          <w:hyperlink w:anchor="_Toc109895488" w:history="1">
            <w:r w:rsidR="008906E3" w:rsidRPr="008906E3">
              <w:rPr>
                <w:rStyle w:val="Hyperlink"/>
                <w:sz w:val="22"/>
              </w:rPr>
              <w:t>III.</w:t>
            </w:r>
            <w:r w:rsidR="008906E3" w:rsidRPr="008906E3">
              <w:rPr>
                <w:rFonts w:asciiTheme="minorHAnsi" w:eastAsiaTheme="minorEastAsia" w:hAnsiTheme="minorHAnsi"/>
                <w:b w:val="0"/>
                <w:caps w:val="0"/>
                <w:sz w:val="22"/>
                <w:lang w:eastAsia="zh-CN"/>
              </w:rPr>
              <w:tab/>
            </w:r>
            <w:r w:rsidR="008906E3" w:rsidRPr="008906E3">
              <w:rPr>
                <w:rStyle w:val="Hyperlink"/>
                <w:sz w:val="22"/>
              </w:rPr>
              <w:t>Overview of ICA Assessment – FTI’s Economic Analyses and Methodology</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_Toc109895488 \h </w:instrText>
            </w:r>
            <w:r w:rsidR="008906E3" w:rsidRPr="008906E3">
              <w:rPr>
                <w:webHidden/>
                <w:sz w:val="22"/>
              </w:rPr>
            </w:r>
            <w:r w:rsidR="008906E3" w:rsidRPr="008906E3">
              <w:rPr>
                <w:webHidden/>
                <w:sz w:val="22"/>
              </w:rPr>
              <w:fldChar w:fldCharType="separate"/>
            </w:r>
            <w:r w:rsidR="00000A86">
              <w:rPr>
                <w:webHidden/>
                <w:sz w:val="22"/>
              </w:rPr>
              <w:t>16</w:t>
            </w:r>
            <w:r w:rsidR="008906E3" w:rsidRPr="008906E3">
              <w:rPr>
                <w:webHidden/>
                <w:sz w:val="22"/>
              </w:rPr>
              <w:fldChar w:fldCharType="end"/>
            </w:r>
          </w:hyperlink>
        </w:p>
        <w:p w14:paraId="2410B568" w14:textId="36984019" w:rsidR="008906E3" w:rsidRPr="008906E3" w:rsidRDefault="003171FA">
          <w:pPr>
            <w:pStyle w:val="TOC2"/>
            <w:rPr>
              <w:rFonts w:asciiTheme="minorHAnsi" w:eastAsiaTheme="minorEastAsia" w:hAnsiTheme="minorHAnsi" w:cstheme="minorBidi"/>
              <w:bCs w:val="0"/>
              <w:sz w:val="22"/>
              <w:lang w:eastAsia="zh-CN"/>
            </w:rPr>
          </w:pPr>
          <w:hyperlink w:anchor="_Toc109895489" w:history="1">
            <w:r w:rsidR="008906E3" w:rsidRPr="008906E3">
              <w:rPr>
                <w:rStyle w:val="Hyperlink"/>
                <w:sz w:val="22"/>
              </w:rPr>
              <w:t>A.</w:t>
            </w:r>
            <w:r w:rsidR="008906E3" w:rsidRPr="008906E3">
              <w:rPr>
                <w:rFonts w:asciiTheme="minorHAnsi" w:eastAsiaTheme="minorEastAsia" w:hAnsiTheme="minorHAnsi" w:cstheme="minorBidi"/>
                <w:bCs w:val="0"/>
                <w:sz w:val="22"/>
                <w:lang w:eastAsia="zh-CN"/>
              </w:rPr>
              <w:tab/>
            </w:r>
            <w:r w:rsidR="008906E3" w:rsidRPr="008906E3">
              <w:rPr>
                <w:rStyle w:val="Hyperlink"/>
                <w:sz w:val="22"/>
              </w:rPr>
              <w:t>Overview of ICA Assessment Issues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_Toc109895489 \h </w:instrText>
            </w:r>
            <w:r w:rsidR="008906E3" w:rsidRPr="008906E3">
              <w:rPr>
                <w:webHidden/>
                <w:sz w:val="22"/>
              </w:rPr>
            </w:r>
            <w:r w:rsidR="008906E3" w:rsidRPr="008906E3">
              <w:rPr>
                <w:webHidden/>
                <w:sz w:val="22"/>
              </w:rPr>
              <w:fldChar w:fldCharType="separate"/>
            </w:r>
            <w:r w:rsidR="00000A86">
              <w:rPr>
                <w:webHidden/>
                <w:sz w:val="22"/>
              </w:rPr>
              <w:t>16</w:t>
            </w:r>
            <w:r w:rsidR="008906E3" w:rsidRPr="008906E3">
              <w:rPr>
                <w:webHidden/>
                <w:sz w:val="22"/>
              </w:rPr>
              <w:fldChar w:fldCharType="end"/>
            </w:r>
          </w:hyperlink>
        </w:p>
        <w:p w14:paraId="300C0A42" w14:textId="209C3F6C" w:rsidR="008906E3" w:rsidRPr="008906E3" w:rsidRDefault="003171FA">
          <w:pPr>
            <w:pStyle w:val="TOC2"/>
            <w:rPr>
              <w:rFonts w:asciiTheme="minorHAnsi" w:eastAsiaTheme="minorEastAsia" w:hAnsiTheme="minorHAnsi" w:cstheme="minorBidi"/>
              <w:bCs w:val="0"/>
              <w:sz w:val="22"/>
              <w:lang w:eastAsia="zh-CN"/>
            </w:rPr>
          </w:pPr>
          <w:hyperlink w:anchor="_Toc109895490" w:history="1">
            <w:r w:rsidR="008906E3" w:rsidRPr="008906E3">
              <w:rPr>
                <w:rStyle w:val="Hyperlink"/>
                <w:sz w:val="22"/>
              </w:rPr>
              <w:t>B.</w:t>
            </w:r>
            <w:r w:rsidR="008906E3" w:rsidRPr="008906E3">
              <w:rPr>
                <w:rFonts w:asciiTheme="minorHAnsi" w:eastAsiaTheme="minorEastAsia" w:hAnsiTheme="minorHAnsi" w:cstheme="minorBidi"/>
                <w:bCs w:val="0"/>
                <w:sz w:val="22"/>
                <w:lang w:eastAsia="zh-CN"/>
              </w:rPr>
              <w:tab/>
            </w:r>
            <w:r w:rsidR="008906E3" w:rsidRPr="008906E3">
              <w:rPr>
                <w:rStyle w:val="Hyperlink"/>
                <w:sz w:val="22"/>
              </w:rPr>
              <w:t>Economic Analysis Used in the ICA Report for Addressing Questions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_Toc109895490 \h </w:instrText>
            </w:r>
            <w:r w:rsidR="008906E3" w:rsidRPr="008906E3">
              <w:rPr>
                <w:webHidden/>
                <w:sz w:val="22"/>
              </w:rPr>
            </w:r>
            <w:r w:rsidR="008906E3" w:rsidRPr="008906E3">
              <w:rPr>
                <w:webHidden/>
                <w:sz w:val="22"/>
              </w:rPr>
              <w:fldChar w:fldCharType="separate"/>
            </w:r>
            <w:r w:rsidR="00000A86">
              <w:rPr>
                <w:webHidden/>
                <w:sz w:val="22"/>
              </w:rPr>
              <w:t>17</w:t>
            </w:r>
            <w:r w:rsidR="008906E3" w:rsidRPr="008906E3">
              <w:rPr>
                <w:webHidden/>
                <w:sz w:val="22"/>
              </w:rPr>
              <w:fldChar w:fldCharType="end"/>
            </w:r>
          </w:hyperlink>
        </w:p>
        <w:p w14:paraId="58F257A6" w14:textId="1C66F5DF" w:rsidR="008906E3" w:rsidRPr="008906E3" w:rsidRDefault="003171FA">
          <w:pPr>
            <w:pStyle w:val="TOC2"/>
            <w:rPr>
              <w:rFonts w:asciiTheme="minorHAnsi" w:eastAsiaTheme="minorEastAsia" w:hAnsiTheme="minorHAnsi" w:cstheme="minorBidi"/>
              <w:bCs w:val="0"/>
              <w:sz w:val="22"/>
              <w:lang w:eastAsia="zh-CN"/>
            </w:rPr>
          </w:pPr>
          <w:hyperlink w:anchor="_Toc109895491" w:history="1">
            <w:r w:rsidR="008906E3" w:rsidRPr="008906E3">
              <w:rPr>
                <w:rStyle w:val="Hyperlink"/>
                <w:sz w:val="22"/>
              </w:rPr>
              <w:t>C.</w:t>
            </w:r>
            <w:r w:rsidR="008906E3" w:rsidRPr="008906E3">
              <w:rPr>
                <w:rFonts w:asciiTheme="minorHAnsi" w:eastAsiaTheme="minorEastAsia" w:hAnsiTheme="minorHAnsi" w:cstheme="minorBidi"/>
                <w:bCs w:val="0"/>
                <w:sz w:val="22"/>
                <w:lang w:eastAsia="zh-CN"/>
              </w:rPr>
              <w:tab/>
            </w:r>
            <w:r w:rsidR="008906E3" w:rsidRPr="008906E3">
              <w:rPr>
                <w:rStyle w:val="Hyperlink"/>
                <w:sz w:val="22"/>
              </w:rPr>
              <w:t>Overview of Commonwealth’s Cost Containment Goals and HPC Analyses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_Toc109895491 \h </w:instrText>
            </w:r>
            <w:r w:rsidR="008906E3" w:rsidRPr="008906E3">
              <w:rPr>
                <w:webHidden/>
                <w:sz w:val="22"/>
              </w:rPr>
            </w:r>
            <w:r w:rsidR="008906E3" w:rsidRPr="008906E3">
              <w:rPr>
                <w:webHidden/>
                <w:sz w:val="22"/>
              </w:rPr>
              <w:fldChar w:fldCharType="separate"/>
            </w:r>
            <w:r w:rsidR="00000A86">
              <w:rPr>
                <w:webHidden/>
                <w:sz w:val="22"/>
              </w:rPr>
              <w:t>19</w:t>
            </w:r>
            <w:r w:rsidR="008906E3" w:rsidRPr="008906E3">
              <w:rPr>
                <w:webHidden/>
                <w:sz w:val="22"/>
              </w:rPr>
              <w:fldChar w:fldCharType="end"/>
            </w:r>
          </w:hyperlink>
        </w:p>
        <w:p w14:paraId="641954B1" w14:textId="37E07D75" w:rsidR="008906E3" w:rsidRPr="008906E3" w:rsidRDefault="003171FA">
          <w:pPr>
            <w:pStyle w:val="TOC1"/>
            <w:rPr>
              <w:rFonts w:asciiTheme="minorHAnsi" w:eastAsiaTheme="minorEastAsia" w:hAnsiTheme="minorHAnsi"/>
              <w:b w:val="0"/>
              <w:caps w:val="0"/>
              <w:sz w:val="22"/>
              <w:lang w:eastAsia="zh-CN"/>
            </w:rPr>
          </w:pPr>
          <w:hyperlink w:anchor="_Toc109895492" w:history="1">
            <w:r w:rsidR="008906E3" w:rsidRPr="008906E3">
              <w:rPr>
                <w:rStyle w:val="Hyperlink"/>
                <w:sz w:val="22"/>
              </w:rPr>
              <w:t>IV.</w:t>
            </w:r>
            <w:r w:rsidR="008906E3" w:rsidRPr="008906E3">
              <w:rPr>
                <w:rFonts w:asciiTheme="minorHAnsi" w:eastAsiaTheme="minorEastAsia" w:hAnsiTheme="minorHAnsi"/>
                <w:b w:val="0"/>
                <w:caps w:val="0"/>
                <w:sz w:val="22"/>
                <w:lang w:eastAsia="zh-CN"/>
              </w:rPr>
              <w:tab/>
            </w:r>
            <w:r w:rsidR="008906E3" w:rsidRPr="008906E3">
              <w:rPr>
                <w:rStyle w:val="Hyperlink"/>
                <w:sz w:val="22"/>
              </w:rPr>
              <w:t>Data Sources and Restriction Overview</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_Toc109895492 \h </w:instrText>
            </w:r>
            <w:r w:rsidR="008906E3" w:rsidRPr="008906E3">
              <w:rPr>
                <w:webHidden/>
                <w:sz w:val="22"/>
              </w:rPr>
            </w:r>
            <w:r w:rsidR="008906E3" w:rsidRPr="008906E3">
              <w:rPr>
                <w:webHidden/>
                <w:sz w:val="22"/>
              </w:rPr>
              <w:fldChar w:fldCharType="separate"/>
            </w:r>
            <w:r w:rsidR="00000A86">
              <w:rPr>
                <w:webHidden/>
                <w:sz w:val="22"/>
              </w:rPr>
              <w:t>21</w:t>
            </w:r>
            <w:r w:rsidR="008906E3" w:rsidRPr="008906E3">
              <w:rPr>
                <w:webHidden/>
                <w:sz w:val="22"/>
              </w:rPr>
              <w:fldChar w:fldCharType="end"/>
            </w:r>
          </w:hyperlink>
        </w:p>
        <w:p w14:paraId="3AD2FEE4" w14:textId="17499808" w:rsidR="008906E3" w:rsidRPr="008906E3" w:rsidRDefault="003171FA">
          <w:pPr>
            <w:pStyle w:val="TOC1"/>
            <w:rPr>
              <w:rFonts w:asciiTheme="minorHAnsi" w:eastAsiaTheme="minorEastAsia" w:hAnsiTheme="minorHAnsi"/>
              <w:b w:val="0"/>
              <w:caps w:val="0"/>
              <w:sz w:val="22"/>
              <w:lang w:eastAsia="zh-CN"/>
            </w:rPr>
          </w:pPr>
          <w:hyperlink w:anchor="_Toc109895493" w:history="1">
            <w:r w:rsidR="008906E3" w:rsidRPr="008906E3">
              <w:rPr>
                <w:rStyle w:val="Hyperlink"/>
                <w:sz w:val="22"/>
              </w:rPr>
              <w:t>V.</w:t>
            </w:r>
            <w:r w:rsidR="008906E3" w:rsidRPr="008906E3">
              <w:rPr>
                <w:rFonts w:asciiTheme="minorHAnsi" w:eastAsiaTheme="minorEastAsia" w:hAnsiTheme="minorHAnsi"/>
                <w:b w:val="0"/>
                <w:caps w:val="0"/>
                <w:sz w:val="22"/>
                <w:lang w:eastAsia="zh-CN"/>
              </w:rPr>
              <w:tab/>
            </w:r>
            <w:r w:rsidR="008906E3" w:rsidRPr="008906E3">
              <w:rPr>
                <w:rStyle w:val="Hyperlink"/>
                <w:sz w:val="22"/>
              </w:rPr>
              <w:t>Healthcare Delivery for Pediatric Services in Massachusetts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_Toc109895493 \h </w:instrText>
            </w:r>
            <w:r w:rsidR="008906E3" w:rsidRPr="008906E3">
              <w:rPr>
                <w:webHidden/>
                <w:sz w:val="22"/>
              </w:rPr>
            </w:r>
            <w:r w:rsidR="008906E3" w:rsidRPr="008906E3">
              <w:rPr>
                <w:webHidden/>
                <w:sz w:val="22"/>
              </w:rPr>
              <w:fldChar w:fldCharType="separate"/>
            </w:r>
            <w:r w:rsidR="00000A86">
              <w:rPr>
                <w:webHidden/>
                <w:sz w:val="22"/>
              </w:rPr>
              <w:t>21</w:t>
            </w:r>
            <w:r w:rsidR="008906E3" w:rsidRPr="008906E3">
              <w:rPr>
                <w:webHidden/>
                <w:sz w:val="22"/>
              </w:rPr>
              <w:fldChar w:fldCharType="end"/>
            </w:r>
          </w:hyperlink>
        </w:p>
        <w:p w14:paraId="4B893C95" w14:textId="58D2842B" w:rsidR="008906E3" w:rsidRPr="008906E3" w:rsidRDefault="003171FA">
          <w:pPr>
            <w:pStyle w:val="TOC1"/>
            <w:rPr>
              <w:rFonts w:asciiTheme="minorHAnsi" w:eastAsiaTheme="minorEastAsia" w:hAnsiTheme="minorHAnsi"/>
              <w:b w:val="0"/>
              <w:caps w:val="0"/>
              <w:sz w:val="22"/>
              <w:lang w:eastAsia="zh-CN"/>
            </w:rPr>
          </w:pPr>
          <w:hyperlink w:anchor="_Toc109895494" w:history="1">
            <w:r w:rsidR="008906E3" w:rsidRPr="008906E3">
              <w:rPr>
                <w:rStyle w:val="Hyperlink"/>
                <w:sz w:val="22"/>
              </w:rPr>
              <w:t>VI.</w:t>
            </w:r>
            <w:r w:rsidR="008906E3" w:rsidRPr="008906E3">
              <w:rPr>
                <w:rFonts w:asciiTheme="minorHAnsi" w:eastAsiaTheme="minorEastAsia" w:hAnsiTheme="minorHAnsi"/>
                <w:b w:val="0"/>
                <w:caps w:val="0"/>
                <w:sz w:val="22"/>
                <w:lang w:eastAsia="zh-CN"/>
              </w:rPr>
              <w:tab/>
            </w:r>
            <w:r w:rsidR="008906E3" w:rsidRPr="008906E3">
              <w:rPr>
                <w:rStyle w:val="Hyperlink"/>
                <w:sz w:val="22"/>
              </w:rPr>
              <w:t>Overview of Service Lines Methodology and Analyses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_Toc109895494 \h </w:instrText>
            </w:r>
            <w:r w:rsidR="008906E3" w:rsidRPr="008906E3">
              <w:rPr>
                <w:webHidden/>
                <w:sz w:val="22"/>
              </w:rPr>
            </w:r>
            <w:r w:rsidR="008906E3" w:rsidRPr="008906E3">
              <w:rPr>
                <w:webHidden/>
                <w:sz w:val="22"/>
              </w:rPr>
              <w:fldChar w:fldCharType="separate"/>
            </w:r>
            <w:r w:rsidR="00000A86">
              <w:rPr>
                <w:webHidden/>
                <w:sz w:val="22"/>
              </w:rPr>
              <w:t>23</w:t>
            </w:r>
            <w:r w:rsidR="008906E3" w:rsidRPr="008906E3">
              <w:rPr>
                <w:webHidden/>
                <w:sz w:val="22"/>
              </w:rPr>
              <w:fldChar w:fldCharType="end"/>
            </w:r>
          </w:hyperlink>
        </w:p>
        <w:p w14:paraId="6AE5EC1B" w14:textId="02B114A3" w:rsidR="008906E3" w:rsidRPr="008906E3" w:rsidRDefault="003171FA">
          <w:pPr>
            <w:pStyle w:val="TOC2"/>
            <w:rPr>
              <w:rFonts w:asciiTheme="minorHAnsi" w:eastAsiaTheme="minorEastAsia" w:hAnsiTheme="minorHAnsi" w:cstheme="minorBidi"/>
              <w:bCs w:val="0"/>
              <w:sz w:val="22"/>
              <w:lang w:eastAsia="zh-CN"/>
            </w:rPr>
          </w:pPr>
          <w:hyperlink w:anchor="_Toc109895495" w:history="1">
            <w:r w:rsidR="008906E3" w:rsidRPr="008906E3">
              <w:rPr>
                <w:rStyle w:val="Hyperlink"/>
                <w:sz w:val="22"/>
              </w:rPr>
              <w:t>A.</w:t>
            </w:r>
            <w:r w:rsidR="008906E3" w:rsidRPr="008906E3">
              <w:rPr>
                <w:rFonts w:asciiTheme="minorHAnsi" w:eastAsiaTheme="minorEastAsia" w:hAnsiTheme="minorHAnsi" w:cstheme="minorBidi"/>
                <w:bCs w:val="0"/>
                <w:sz w:val="22"/>
                <w:lang w:eastAsia="zh-CN"/>
              </w:rPr>
              <w:tab/>
            </w:r>
            <w:r w:rsidR="008906E3" w:rsidRPr="008906E3">
              <w:rPr>
                <w:rStyle w:val="Hyperlink"/>
                <w:sz w:val="22"/>
              </w:rPr>
              <w:t>Summary of Methodology – Use of Service Lines for Analytical Framework</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_Toc109895495 \h </w:instrText>
            </w:r>
            <w:r w:rsidR="008906E3" w:rsidRPr="008906E3">
              <w:rPr>
                <w:webHidden/>
                <w:sz w:val="22"/>
              </w:rPr>
            </w:r>
            <w:r w:rsidR="008906E3" w:rsidRPr="008906E3">
              <w:rPr>
                <w:webHidden/>
                <w:sz w:val="22"/>
              </w:rPr>
              <w:fldChar w:fldCharType="separate"/>
            </w:r>
            <w:r w:rsidR="00000A86">
              <w:rPr>
                <w:webHidden/>
                <w:sz w:val="22"/>
              </w:rPr>
              <w:t>23</w:t>
            </w:r>
            <w:r w:rsidR="008906E3" w:rsidRPr="008906E3">
              <w:rPr>
                <w:webHidden/>
                <w:sz w:val="22"/>
              </w:rPr>
              <w:fldChar w:fldCharType="end"/>
            </w:r>
          </w:hyperlink>
        </w:p>
        <w:p w14:paraId="119FA8B2" w14:textId="5D403158" w:rsidR="008906E3" w:rsidRPr="008906E3" w:rsidRDefault="003171FA">
          <w:pPr>
            <w:pStyle w:val="TOC2"/>
            <w:rPr>
              <w:rFonts w:asciiTheme="minorHAnsi" w:eastAsiaTheme="minorEastAsia" w:hAnsiTheme="minorHAnsi" w:cstheme="minorBidi"/>
              <w:bCs w:val="0"/>
              <w:sz w:val="22"/>
              <w:lang w:eastAsia="zh-CN"/>
            </w:rPr>
          </w:pPr>
          <w:hyperlink w:anchor="_Toc109895496" w:history="1">
            <w:r w:rsidR="008906E3" w:rsidRPr="008906E3">
              <w:rPr>
                <w:rStyle w:val="Hyperlink"/>
                <w:sz w:val="22"/>
              </w:rPr>
              <w:t>B.</w:t>
            </w:r>
            <w:r w:rsidR="008906E3" w:rsidRPr="008906E3">
              <w:rPr>
                <w:rFonts w:asciiTheme="minorHAnsi" w:eastAsiaTheme="minorEastAsia" w:hAnsiTheme="minorHAnsi" w:cstheme="minorBidi"/>
                <w:bCs w:val="0"/>
                <w:sz w:val="22"/>
                <w:lang w:eastAsia="zh-CN"/>
              </w:rPr>
              <w:tab/>
            </w:r>
            <w:r w:rsidR="008906E3" w:rsidRPr="008906E3">
              <w:rPr>
                <w:rStyle w:val="Hyperlink"/>
                <w:sz w:val="22"/>
              </w:rPr>
              <w:t>Definition of Service Lines Used in the ICA Economic Analyses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_Toc109895496 \h </w:instrText>
            </w:r>
            <w:r w:rsidR="008906E3" w:rsidRPr="008906E3">
              <w:rPr>
                <w:webHidden/>
                <w:sz w:val="22"/>
              </w:rPr>
            </w:r>
            <w:r w:rsidR="008906E3" w:rsidRPr="008906E3">
              <w:rPr>
                <w:webHidden/>
                <w:sz w:val="22"/>
              </w:rPr>
              <w:fldChar w:fldCharType="separate"/>
            </w:r>
            <w:r w:rsidR="00000A86">
              <w:rPr>
                <w:webHidden/>
                <w:sz w:val="22"/>
              </w:rPr>
              <w:t>23</w:t>
            </w:r>
            <w:r w:rsidR="008906E3" w:rsidRPr="008906E3">
              <w:rPr>
                <w:webHidden/>
                <w:sz w:val="22"/>
              </w:rPr>
              <w:fldChar w:fldCharType="end"/>
            </w:r>
          </w:hyperlink>
        </w:p>
        <w:p w14:paraId="351762E5" w14:textId="28308617" w:rsidR="008906E3" w:rsidRPr="008906E3" w:rsidRDefault="003171FA">
          <w:pPr>
            <w:pStyle w:val="TOC1"/>
            <w:rPr>
              <w:rFonts w:asciiTheme="minorHAnsi" w:eastAsiaTheme="minorEastAsia" w:hAnsiTheme="minorHAnsi"/>
              <w:b w:val="0"/>
              <w:caps w:val="0"/>
              <w:sz w:val="22"/>
              <w:lang w:eastAsia="zh-CN"/>
            </w:rPr>
          </w:pPr>
          <w:hyperlink w:anchor="_Toc109895497" w:history="1">
            <w:r w:rsidR="008906E3" w:rsidRPr="008906E3">
              <w:rPr>
                <w:rStyle w:val="Hyperlink"/>
                <w:sz w:val="22"/>
              </w:rPr>
              <w:t>VII.</w:t>
            </w:r>
            <w:r w:rsidR="008906E3" w:rsidRPr="008906E3">
              <w:rPr>
                <w:rFonts w:asciiTheme="minorHAnsi" w:eastAsiaTheme="minorEastAsia" w:hAnsiTheme="minorHAnsi"/>
                <w:b w:val="0"/>
                <w:caps w:val="0"/>
                <w:sz w:val="22"/>
                <w:lang w:eastAsia="zh-CN"/>
              </w:rPr>
              <w:tab/>
            </w:r>
            <w:r w:rsidR="008906E3" w:rsidRPr="008906E3">
              <w:rPr>
                <w:rStyle w:val="Hyperlink"/>
                <w:sz w:val="22"/>
              </w:rPr>
              <w:t>Defining Geographic Areas of Coverage FOR ICA Report Evaluation</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_Toc109895497 \h </w:instrText>
            </w:r>
            <w:r w:rsidR="008906E3" w:rsidRPr="008906E3">
              <w:rPr>
                <w:webHidden/>
                <w:sz w:val="22"/>
              </w:rPr>
            </w:r>
            <w:r w:rsidR="008906E3" w:rsidRPr="008906E3">
              <w:rPr>
                <w:webHidden/>
                <w:sz w:val="22"/>
              </w:rPr>
              <w:fldChar w:fldCharType="separate"/>
            </w:r>
            <w:r w:rsidR="00000A86">
              <w:rPr>
                <w:webHidden/>
                <w:sz w:val="22"/>
              </w:rPr>
              <w:t>24</w:t>
            </w:r>
            <w:r w:rsidR="008906E3" w:rsidRPr="008906E3">
              <w:rPr>
                <w:webHidden/>
                <w:sz w:val="22"/>
              </w:rPr>
              <w:fldChar w:fldCharType="end"/>
            </w:r>
          </w:hyperlink>
        </w:p>
        <w:p w14:paraId="5D39C7CD" w14:textId="0F1D3BF1" w:rsidR="008906E3" w:rsidRPr="008906E3" w:rsidRDefault="003171FA">
          <w:pPr>
            <w:pStyle w:val="TOC2"/>
            <w:rPr>
              <w:rFonts w:asciiTheme="minorHAnsi" w:eastAsiaTheme="minorEastAsia" w:hAnsiTheme="minorHAnsi" w:cstheme="minorBidi"/>
              <w:bCs w:val="0"/>
              <w:sz w:val="22"/>
              <w:lang w:eastAsia="zh-CN"/>
            </w:rPr>
          </w:pPr>
          <w:hyperlink w:anchor="_Toc109895498" w:history="1">
            <w:r w:rsidR="008906E3" w:rsidRPr="008906E3">
              <w:rPr>
                <w:rStyle w:val="Hyperlink"/>
                <w:sz w:val="22"/>
              </w:rPr>
              <w:t>A.</w:t>
            </w:r>
            <w:r w:rsidR="008906E3" w:rsidRPr="008906E3">
              <w:rPr>
                <w:rFonts w:asciiTheme="minorHAnsi" w:eastAsiaTheme="minorEastAsia" w:hAnsiTheme="minorHAnsi" w:cstheme="minorBidi"/>
                <w:bCs w:val="0"/>
                <w:sz w:val="22"/>
                <w:lang w:eastAsia="zh-CN"/>
              </w:rPr>
              <w:tab/>
            </w:r>
            <w:r w:rsidR="008906E3" w:rsidRPr="008906E3">
              <w:rPr>
                <w:rStyle w:val="Hyperlink"/>
                <w:sz w:val="22"/>
              </w:rPr>
              <w:t>Overview of Methodology and Empirical Analyses of Service Areas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_Toc109895498 \h </w:instrText>
            </w:r>
            <w:r w:rsidR="008906E3" w:rsidRPr="008906E3">
              <w:rPr>
                <w:webHidden/>
                <w:sz w:val="22"/>
              </w:rPr>
            </w:r>
            <w:r w:rsidR="008906E3" w:rsidRPr="008906E3">
              <w:rPr>
                <w:webHidden/>
                <w:sz w:val="22"/>
              </w:rPr>
              <w:fldChar w:fldCharType="separate"/>
            </w:r>
            <w:r w:rsidR="00000A86">
              <w:rPr>
                <w:webHidden/>
                <w:sz w:val="22"/>
              </w:rPr>
              <w:t>24</w:t>
            </w:r>
            <w:r w:rsidR="008906E3" w:rsidRPr="008906E3">
              <w:rPr>
                <w:webHidden/>
                <w:sz w:val="22"/>
              </w:rPr>
              <w:fldChar w:fldCharType="end"/>
            </w:r>
          </w:hyperlink>
        </w:p>
        <w:p w14:paraId="0CB2F0CC" w14:textId="4BDC1379" w:rsidR="008906E3" w:rsidRPr="008906E3" w:rsidRDefault="003171FA">
          <w:pPr>
            <w:pStyle w:val="TOC2"/>
            <w:rPr>
              <w:rFonts w:asciiTheme="minorHAnsi" w:eastAsiaTheme="minorEastAsia" w:hAnsiTheme="minorHAnsi" w:cstheme="minorBidi"/>
              <w:bCs w:val="0"/>
              <w:sz w:val="22"/>
              <w:lang w:eastAsia="zh-CN"/>
            </w:rPr>
          </w:pPr>
          <w:hyperlink w:anchor="_Toc109895499" w:history="1">
            <w:r w:rsidR="008906E3" w:rsidRPr="008906E3">
              <w:rPr>
                <w:rStyle w:val="Hyperlink"/>
                <w:sz w:val="22"/>
              </w:rPr>
              <w:t>B.</w:t>
            </w:r>
            <w:r w:rsidR="008906E3" w:rsidRPr="008906E3">
              <w:rPr>
                <w:rFonts w:asciiTheme="minorHAnsi" w:eastAsiaTheme="minorEastAsia" w:hAnsiTheme="minorHAnsi" w:cstheme="minorBidi"/>
                <w:bCs w:val="0"/>
                <w:sz w:val="22"/>
                <w:lang w:eastAsia="zh-CN"/>
              </w:rPr>
              <w:tab/>
            </w:r>
            <w:r w:rsidR="008906E3" w:rsidRPr="008906E3">
              <w:rPr>
                <w:rStyle w:val="Hyperlink"/>
                <w:sz w:val="22"/>
              </w:rPr>
              <w:t>Overview of BCH and Major Health System with Children’s Health Services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_Toc109895499 \h </w:instrText>
            </w:r>
            <w:r w:rsidR="008906E3" w:rsidRPr="008906E3">
              <w:rPr>
                <w:webHidden/>
                <w:sz w:val="22"/>
              </w:rPr>
            </w:r>
            <w:r w:rsidR="008906E3" w:rsidRPr="008906E3">
              <w:rPr>
                <w:webHidden/>
                <w:sz w:val="22"/>
              </w:rPr>
              <w:fldChar w:fldCharType="separate"/>
            </w:r>
            <w:r w:rsidR="00000A86">
              <w:rPr>
                <w:webHidden/>
                <w:sz w:val="22"/>
              </w:rPr>
              <w:t>25</w:t>
            </w:r>
            <w:r w:rsidR="008906E3" w:rsidRPr="008906E3">
              <w:rPr>
                <w:webHidden/>
                <w:sz w:val="22"/>
              </w:rPr>
              <w:fldChar w:fldCharType="end"/>
            </w:r>
          </w:hyperlink>
        </w:p>
        <w:p w14:paraId="47CC761C" w14:textId="2C53ABE9" w:rsidR="008906E3" w:rsidRPr="008906E3" w:rsidRDefault="003171FA">
          <w:pPr>
            <w:pStyle w:val="TOC2"/>
            <w:rPr>
              <w:rFonts w:asciiTheme="minorHAnsi" w:eastAsiaTheme="minorEastAsia" w:hAnsiTheme="minorHAnsi" w:cstheme="minorBidi"/>
              <w:bCs w:val="0"/>
              <w:sz w:val="22"/>
              <w:lang w:eastAsia="zh-CN"/>
            </w:rPr>
          </w:pPr>
          <w:hyperlink w:anchor="_Toc109895500" w:history="1">
            <w:r w:rsidR="008906E3" w:rsidRPr="008906E3">
              <w:rPr>
                <w:rStyle w:val="Hyperlink"/>
                <w:sz w:val="22"/>
              </w:rPr>
              <w:t>C.</w:t>
            </w:r>
            <w:r w:rsidR="008906E3" w:rsidRPr="008906E3">
              <w:rPr>
                <w:rFonts w:asciiTheme="minorHAnsi" w:eastAsiaTheme="minorEastAsia" w:hAnsiTheme="minorHAnsi" w:cstheme="minorBidi"/>
                <w:bCs w:val="0"/>
                <w:sz w:val="22"/>
                <w:lang w:eastAsia="zh-CN"/>
              </w:rPr>
              <w:tab/>
            </w:r>
            <w:r w:rsidR="008906E3" w:rsidRPr="008906E3">
              <w:rPr>
                <w:rStyle w:val="Hyperlink"/>
                <w:sz w:val="22"/>
              </w:rPr>
              <w:t>Analyses of Service Areas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_Toc109895500 \h </w:instrText>
            </w:r>
            <w:r w:rsidR="008906E3" w:rsidRPr="008906E3">
              <w:rPr>
                <w:webHidden/>
                <w:sz w:val="22"/>
              </w:rPr>
            </w:r>
            <w:r w:rsidR="008906E3" w:rsidRPr="008906E3">
              <w:rPr>
                <w:webHidden/>
                <w:sz w:val="22"/>
              </w:rPr>
              <w:fldChar w:fldCharType="separate"/>
            </w:r>
            <w:r w:rsidR="00000A86">
              <w:rPr>
                <w:webHidden/>
                <w:sz w:val="22"/>
              </w:rPr>
              <w:t>27</w:t>
            </w:r>
            <w:r w:rsidR="008906E3" w:rsidRPr="008906E3">
              <w:rPr>
                <w:webHidden/>
                <w:sz w:val="22"/>
              </w:rPr>
              <w:fldChar w:fldCharType="end"/>
            </w:r>
          </w:hyperlink>
        </w:p>
        <w:p w14:paraId="09DBEC43" w14:textId="0C510478" w:rsidR="008906E3" w:rsidRPr="008906E3" w:rsidRDefault="003171FA">
          <w:pPr>
            <w:pStyle w:val="TOC3"/>
            <w:rPr>
              <w:rFonts w:asciiTheme="minorHAnsi" w:eastAsiaTheme="minorEastAsia" w:hAnsiTheme="minorHAnsi"/>
              <w:noProof/>
              <w:sz w:val="22"/>
              <w:lang w:eastAsia="zh-CN"/>
            </w:rPr>
          </w:pPr>
          <w:hyperlink w:anchor="_Toc109895501" w:history="1">
            <w:r w:rsidR="008906E3" w:rsidRPr="008906E3">
              <w:rPr>
                <w:rStyle w:val="Hyperlink"/>
                <w:noProof/>
                <w:sz w:val="22"/>
              </w:rPr>
              <w:t>1.</w:t>
            </w:r>
            <w:r w:rsidR="008906E3" w:rsidRPr="008906E3">
              <w:rPr>
                <w:rFonts w:asciiTheme="minorHAnsi" w:eastAsiaTheme="minorEastAsia" w:hAnsiTheme="minorHAnsi"/>
                <w:noProof/>
                <w:sz w:val="22"/>
                <w:lang w:eastAsia="zh-CN"/>
              </w:rPr>
              <w:tab/>
            </w:r>
            <w:r w:rsidR="008906E3" w:rsidRPr="008906E3">
              <w:rPr>
                <w:rStyle w:val="Hyperlink"/>
                <w:noProof/>
                <w:sz w:val="22"/>
              </w:rPr>
              <w:t>Needham Service Areas for Imaging, ASC Services and MRI</w:t>
            </w:r>
            <w:r w:rsidR="008906E3" w:rsidRPr="008906E3">
              <w:rPr>
                <w:noProof/>
                <w:webHidden/>
                <w:sz w:val="22"/>
              </w:rPr>
              <w:tab/>
            </w:r>
            <w:r w:rsidR="008906E3" w:rsidRPr="008906E3">
              <w:rPr>
                <w:noProof/>
                <w:webHidden/>
                <w:sz w:val="22"/>
              </w:rPr>
              <w:fldChar w:fldCharType="begin"/>
            </w:r>
            <w:r w:rsidR="008906E3" w:rsidRPr="008906E3">
              <w:rPr>
                <w:noProof/>
                <w:webHidden/>
                <w:sz w:val="22"/>
              </w:rPr>
              <w:instrText xml:space="preserve"> PAGEREF _Toc109895501 \h </w:instrText>
            </w:r>
            <w:r w:rsidR="008906E3" w:rsidRPr="008906E3">
              <w:rPr>
                <w:noProof/>
                <w:webHidden/>
                <w:sz w:val="22"/>
              </w:rPr>
            </w:r>
            <w:r w:rsidR="008906E3" w:rsidRPr="008906E3">
              <w:rPr>
                <w:noProof/>
                <w:webHidden/>
                <w:sz w:val="22"/>
              </w:rPr>
              <w:fldChar w:fldCharType="separate"/>
            </w:r>
            <w:r w:rsidR="00000A86">
              <w:rPr>
                <w:noProof/>
                <w:webHidden/>
                <w:sz w:val="22"/>
              </w:rPr>
              <w:t>28</w:t>
            </w:r>
            <w:r w:rsidR="008906E3" w:rsidRPr="008906E3">
              <w:rPr>
                <w:noProof/>
                <w:webHidden/>
                <w:sz w:val="22"/>
              </w:rPr>
              <w:fldChar w:fldCharType="end"/>
            </w:r>
          </w:hyperlink>
        </w:p>
        <w:p w14:paraId="550382E2" w14:textId="1EB2B739" w:rsidR="008906E3" w:rsidRPr="008906E3" w:rsidRDefault="003171FA">
          <w:pPr>
            <w:pStyle w:val="TOC3"/>
            <w:rPr>
              <w:rFonts w:asciiTheme="minorHAnsi" w:eastAsiaTheme="minorEastAsia" w:hAnsiTheme="minorHAnsi"/>
              <w:noProof/>
              <w:sz w:val="22"/>
              <w:lang w:eastAsia="zh-CN"/>
            </w:rPr>
          </w:pPr>
          <w:hyperlink w:anchor="_Toc109895502" w:history="1">
            <w:r w:rsidR="008906E3" w:rsidRPr="008906E3">
              <w:rPr>
                <w:rStyle w:val="Hyperlink"/>
                <w:noProof/>
                <w:sz w:val="22"/>
              </w:rPr>
              <w:t>2.</w:t>
            </w:r>
            <w:r w:rsidR="008906E3" w:rsidRPr="008906E3">
              <w:rPr>
                <w:rFonts w:asciiTheme="minorHAnsi" w:eastAsiaTheme="minorEastAsia" w:hAnsiTheme="minorHAnsi"/>
                <w:noProof/>
                <w:sz w:val="22"/>
                <w:lang w:eastAsia="zh-CN"/>
              </w:rPr>
              <w:tab/>
            </w:r>
            <w:r w:rsidR="008906E3" w:rsidRPr="008906E3">
              <w:rPr>
                <w:rStyle w:val="Hyperlink"/>
                <w:noProof/>
                <w:sz w:val="22"/>
              </w:rPr>
              <w:t>Waltham Service Areas</w:t>
            </w:r>
            <w:r w:rsidR="008906E3" w:rsidRPr="008906E3">
              <w:rPr>
                <w:noProof/>
                <w:webHidden/>
                <w:sz w:val="22"/>
              </w:rPr>
              <w:tab/>
            </w:r>
            <w:r w:rsidR="008906E3" w:rsidRPr="008906E3">
              <w:rPr>
                <w:noProof/>
                <w:webHidden/>
                <w:sz w:val="22"/>
              </w:rPr>
              <w:fldChar w:fldCharType="begin"/>
            </w:r>
            <w:r w:rsidR="008906E3" w:rsidRPr="008906E3">
              <w:rPr>
                <w:noProof/>
                <w:webHidden/>
                <w:sz w:val="22"/>
              </w:rPr>
              <w:instrText xml:space="preserve"> PAGEREF _Toc109895502 \h </w:instrText>
            </w:r>
            <w:r w:rsidR="008906E3" w:rsidRPr="008906E3">
              <w:rPr>
                <w:noProof/>
                <w:webHidden/>
                <w:sz w:val="22"/>
              </w:rPr>
            </w:r>
            <w:r w:rsidR="008906E3" w:rsidRPr="008906E3">
              <w:rPr>
                <w:noProof/>
                <w:webHidden/>
                <w:sz w:val="22"/>
              </w:rPr>
              <w:fldChar w:fldCharType="separate"/>
            </w:r>
            <w:r w:rsidR="00000A86">
              <w:rPr>
                <w:noProof/>
                <w:webHidden/>
                <w:sz w:val="22"/>
              </w:rPr>
              <w:t>30</w:t>
            </w:r>
            <w:r w:rsidR="008906E3" w:rsidRPr="008906E3">
              <w:rPr>
                <w:noProof/>
                <w:webHidden/>
                <w:sz w:val="22"/>
              </w:rPr>
              <w:fldChar w:fldCharType="end"/>
            </w:r>
          </w:hyperlink>
        </w:p>
        <w:p w14:paraId="02C0E8F4" w14:textId="53258087" w:rsidR="008906E3" w:rsidRPr="008906E3" w:rsidRDefault="003171FA">
          <w:pPr>
            <w:pStyle w:val="TOC3"/>
            <w:rPr>
              <w:rFonts w:asciiTheme="minorHAnsi" w:eastAsiaTheme="minorEastAsia" w:hAnsiTheme="minorHAnsi"/>
              <w:noProof/>
              <w:sz w:val="22"/>
              <w:lang w:eastAsia="zh-CN"/>
            </w:rPr>
          </w:pPr>
          <w:hyperlink w:anchor="_Toc109895503" w:history="1">
            <w:r w:rsidR="008906E3" w:rsidRPr="008906E3">
              <w:rPr>
                <w:rStyle w:val="Hyperlink"/>
                <w:noProof/>
                <w:sz w:val="22"/>
              </w:rPr>
              <w:t>3.</w:t>
            </w:r>
            <w:r w:rsidR="008906E3" w:rsidRPr="008906E3">
              <w:rPr>
                <w:rFonts w:asciiTheme="minorHAnsi" w:eastAsiaTheme="minorEastAsia" w:hAnsiTheme="minorHAnsi"/>
                <w:noProof/>
                <w:sz w:val="22"/>
                <w:lang w:eastAsia="zh-CN"/>
              </w:rPr>
              <w:tab/>
            </w:r>
            <w:r w:rsidR="008906E3" w:rsidRPr="008906E3">
              <w:rPr>
                <w:rStyle w:val="Hyperlink"/>
                <w:noProof/>
                <w:sz w:val="22"/>
              </w:rPr>
              <w:t>Weymouth Service Areas</w:t>
            </w:r>
            <w:r w:rsidR="008906E3" w:rsidRPr="008906E3">
              <w:rPr>
                <w:noProof/>
                <w:webHidden/>
                <w:sz w:val="22"/>
              </w:rPr>
              <w:tab/>
            </w:r>
            <w:r w:rsidR="008906E3" w:rsidRPr="008906E3">
              <w:rPr>
                <w:noProof/>
                <w:webHidden/>
                <w:sz w:val="22"/>
              </w:rPr>
              <w:fldChar w:fldCharType="begin"/>
            </w:r>
            <w:r w:rsidR="008906E3" w:rsidRPr="008906E3">
              <w:rPr>
                <w:noProof/>
                <w:webHidden/>
                <w:sz w:val="22"/>
              </w:rPr>
              <w:instrText xml:space="preserve"> PAGEREF _Toc109895503 \h </w:instrText>
            </w:r>
            <w:r w:rsidR="008906E3" w:rsidRPr="008906E3">
              <w:rPr>
                <w:noProof/>
                <w:webHidden/>
                <w:sz w:val="22"/>
              </w:rPr>
            </w:r>
            <w:r w:rsidR="008906E3" w:rsidRPr="008906E3">
              <w:rPr>
                <w:noProof/>
                <w:webHidden/>
                <w:sz w:val="22"/>
              </w:rPr>
              <w:fldChar w:fldCharType="separate"/>
            </w:r>
            <w:r w:rsidR="00000A86">
              <w:rPr>
                <w:noProof/>
                <w:webHidden/>
                <w:sz w:val="22"/>
              </w:rPr>
              <w:t>31</w:t>
            </w:r>
            <w:r w:rsidR="008906E3" w:rsidRPr="008906E3">
              <w:rPr>
                <w:noProof/>
                <w:webHidden/>
                <w:sz w:val="22"/>
              </w:rPr>
              <w:fldChar w:fldCharType="end"/>
            </w:r>
          </w:hyperlink>
        </w:p>
        <w:p w14:paraId="3DB58BBE" w14:textId="16F37507" w:rsidR="008906E3" w:rsidRPr="008906E3" w:rsidRDefault="003171FA">
          <w:pPr>
            <w:pStyle w:val="TOC1"/>
            <w:rPr>
              <w:rFonts w:asciiTheme="minorHAnsi" w:eastAsiaTheme="minorEastAsia" w:hAnsiTheme="minorHAnsi"/>
              <w:b w:val="0"/>
              <w:caps w:val="0"/>
              <w:sz w:val="22"/>
              <w:lang w:eastAsia="zh-CN"/>
            </w:rPr>
          </w:pPr>
          <w:hyperlink w:anchor="_Toc109895504" w:history="1">
            <w:r w:rsidR="008906E3" w:rsidRPr="008906E3">
              <w:rPr>
                <w:rStyle w:val="Hyperlink"/>
                <w:sz w:val="22"/>
              </w:rPr>
              <w:t>VIII.</w:t>
            </w:r>
            <w:r w:rsidR="008906E3" w:rsidRPr="008906E3">
              <w:rPr>
                <w:rFonts w:asciiTheme="minorHAnsi" w:eastAsiaTheme="minorEastAsia" w:hAnsiTheme="minorHAnsi"/>
                <w:b w:val="0"/>
                <w:caps w:val="0"/>
                <w:sz w:val="22"/>
                <w:lang w:eastAsia="zh-CN"/>
              </w:rPr>
              <w:tab/>
            </w:r>
            <w:r w:rsidR="008906E3" w:rsidRPr="008906E3">
              <w:rPr>
                <w:rStyle w:val="Hyperlink"/>
                <w:sz w:val="22"/>
              </w:rPr>
              <w:t>Identifying and Measuring Current Providers of Pediatric Services in Relevant Service Lines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_Toc109895504 \h </w:instrText>
            </w:r>
            <w:r w:rsidR="008906E3" w:rsidRPr="008906E3">
              <w:rPr>
                <w:webHidden/>
                <w:sz w:val="22"/>
              </w:rPr>
            </w:r>
            <w:r w:rsidR="008906E3" w:rsidRPr="008906E3">
              <w:rPr>
                <w:webHidden/>
                <w:sz w:val="22"/>
              </w:rPr>
              <w:fldChar w:fldCharType="separate"/>
            </w:r>
            <w:r w:rsidR="00000A86">
              <w:rPr>
                <w:webHidden/>
                <w:sz w:val="22"/>
              </w:rPr>
              <w:t>33</w:t>
            </w:r>
            <w:r w:rsidR="008906E3" w:rsidRPr="008906E3">
              <w:rPr>
                <w:webHidden/>
                <w:sz w:val="22"/>
              </w:rPr>
              <w:fldChar w:fldCharType="end"/>
            </w:r>
          </w:hyperlink>
        </w:p>
        <w:p w14:paraId="78BECD37" w14:textId="7A8BF947" w:rsidR="008906E3" w:rsidRPr="008906E3" w:rsidRDefault="003171FA">
          <w:pPr>
            <w:pStyle w:val="TOC2"/>
            <w:rPr>
              <w:rFonts w:asciiTheme="minorHAnsi" w:eastAsiaTheme="minorEastAsia" w:hAnsiTheme="minorHAnsi" w:cstheme="minorBidi"/>
              <w:bCs w:val="0"/>
              <w:sz w:val="22"/>
              <w:lang w:eastAsia="zh-CN"/>
            </w:rPr>
          </w:pPr>
          <w:hyperlink w:anchor="_Toc109895505" w:history="1">
            <w:r w:rsidR="008906E3" w:rsidRPr="008906E3">
              <w:rPr>
                <w:rStyle w:val="Hyperlink"/>
                <w:sz w:val="22"/>
              </w:rPr>
              <w:t>A.</w:t>
            </w:r>
            <w:r w:rsidR="008906E3" w:rsidRPr="008906E3">
              <w:rPr>
                <w:rFonts w:asciiTheme="minorHAnsi" w:eastAsiaTheme="minorEastAsia" w:hAnsiTheme="minorHAnsi" w:cstheme="minorBidi"/>
                <w:bCs w:val="0"/>
                <w:sz w:val="22"/>
                <w:lang w:eastAsia="zh-CN"/>
              </w:rPr>
              <w:tab/>
            </w:r>
            <w:r w:rsidR="008906E3" w:rsidRPr="008906E3">
              <w:rPr>
                <w:rStyle w:val="Hyperlink"/>
                <w:sz w:val="22"/>
              </w:rPr>
              <w:t>Overview – Service Lines and Utilization</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_Toc109895505 \h </w:instrText>
            </w:r>
            <w:r w:rsidR="008906E3" w:rsidRPr="008906E3">
              <w:rPr>
                <w:webHidden/>
                <w:sz w:val="22"/>
              </w:rPr>
            </w:r>
            <w:r w:rsidR="008906E3" w:rsidRPr="008906E3">
              <w:rPr>
                <w:webHidden/>
                <w:sz w:val="22"/>
              </w:rPr>
              <w:fldChar w:fldCharType="separate"/>
            </w:r>
            <w:r w:rsidR="00000A86">
              <w:rPr>
                <w:webHidden/>
                <w:sz w:val="22"/>
              </w:rPr>
              <w:t>33</w:t>
            </w:r>
            <w:r w:rsidR="008906E3" w:rsidRPr="008906E3">
              <w:rPr>
                <w:webHidden/>
                <w:sz w:val="22"/>
              </w:rPr>
              <w:fldChar w:fldCharType="end"/>
            </w:r>
          </w:hyperlink>
        </w:p>
        <w:p w14:paraId="4AD3BBFA" w14:textId="7C37231C" w:rsidR="008906E3" w:rsidRPr="008906E3" w:rsidRDefault="003171FA">
          <w:pPr>
            <w:pStyle w:val="TOC2"/>
            <w:rPr>
              <w:rFonts w:asciiTheme="minorHAnsi" w:eastAsiaTheme="minorEastAsia" w:hAnsiTheme="minorHAnsi" w:cstheme="minorBidi"/>
              <w:bCs w:val="0"/>
              <w:sz w:val="22"/>
              <w:lang w:eastAsia="zh-CN"/>
            </w:rPr>
          </w:pPr>
          <w:hyperlink w:anchor="_Toc109895506" w:history="1">
            <w:r w:rsidR="008906E3" w:rsidRPr="008906E3">
              <w:rPr>
                <w:rStyle w:val="Hyperlink"/>
                <w:sz w:val="22"/>
              </w:rPr>
              <w:t>B.</w:t>
            </w:r>
            <w:r w:rsidR="008906E3" w:rsidRPr="008906E3">
              <w:rPr>
                <w:rFonts w:asciiTheme="minorHAnsi" w:eastAsiaTheme="minorEastAsia" w:hAnsiTheme="minorHAnsi" w:cstheme="minorBidi"/>
                <w:bCs w:val="0"/>
                <w:sz w:val="22"/>
                <w:lang w:eastAsia="zh-CN"/>
              </w:rPr>
              <w:tab/>
            </w:r>
            <w:r w:rsidR="008906E3" w:rsidRPr="008906E3">
              <w:rPr>
                <w:rStyle w:val="Hyperlink"/>
                <w:sz w:val="22"/>
              </w:rPr>
              <w:t>Identifying and Measuring Current Providers – Shares in State/Service Areas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_Toc109895506 \h </w:instrText>
            </w:r>
            <w:r w:rsidR="008906E3" w:rsidRPr="008906E3">
              <w:rPr>
                <w:webHidden/>
                <w:sz w:val="22"/>
              </w:rPr>
            </w:r>
            <w:r w:rsidR="008906E3" w:rsidRPr="008906E3">
              <w:rPr>
                <w:webHidden/>
                <w:sz w:val="22"/>
              </w:rPr>
              <w:fldChar w:fldCharType="separate"/>
            </w:r>
            <w:r w:rsidR="00000A86">
              <w:rPr>
                <w:webHidden/>
                <w:sz w:val="22"/>
              </w:rPr>
              <w:t>33</w:t>
            </w:r>
            <w:r w:rsidR="008906E3" w:rsidRPr="008906E3">
              <w:rPr>
                <w:webHidden/>
                <w:sz w:val="22"/>
              </w:rPr>
              <w:fldChar w:fldCharType="end"/>
            </w:r>
          </w:hyperlink>
        </w:p>
        <w:p w14:paraId="37DF4F8C" w14:textId="3108CC98" w:rsidR="008906E3" w:rsidRPr="008906E3" w:rsidRDefault="003171FA">
          <w:pPr>
            <w:pStyle w:val="TOC2"/>
            <w:rPr>
              <w:rFonts w:asciiTheme="minorHAnsi" w:eastAsiaTheme="minorEastAsia" w:hAnsiTheme="minorHAnsi" w:cstheme="minorBidi"/>
              <w:bCs w:val="0"/>
              <w:sz w:val="22"/>
              <w:lang w:eastAsia="zh-CN"/>
            </w:rPr>
          </w:pPr>
          <w:hyperlink w:anchor="_Toc109895507" w:history="1">
            <w:r w:rsidR="008906E3" w:rsidRPr="008906E3">
              <w:rPr>
                <w:rStyle w:val="Hyperlink"/>
                <w:sz w:val="22"/>
              </w:rPr>
              <w:t>C.</w:t>
            </w:r>
            <w:r w:rsidR="008906E3" w:rsidRPr="008906E3">
              <w:rPr>
                <w:rFonts w:asciiTheme="minorHAnsi" w:eastAsiaTheme="minorEastAsia" w:hAnsiTheme="minorHAnsi" w:cstheme="minorBidi"/>
                <w:bCs w:val="0"/>
                <w:sz w:val="22"/>
                <w:lang w:eastAsia="zh-CN"/>
              </w:rPr>
              <w:tab/>
            </w:r>
            <w:r w:rsidR="008906E3" w:rsidRPr="008906E3">
              <w:rPr>
                <w:rStyle w:val="Hyperlink"/>
                <w:sz w:val="22"/>
              </w:rPr>
              <w:t>Measuring Share (Based on Utilization)</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_Toc109895507 \h </w:instrText>
            </w:r>
            <w:r w:rsidR="008906E3" w:rsidRPr="008906E3">
              <w:rPr>
                <w:webHidden/>
                <w:sz w:val="22"/>
              </w:rPr>
            </w:r>
            <w:r w:rsidR="008906E3" w:rsidRPr="008906E3">
              <w:rPr>
                <w:webHidden/>
                <w:sz w:val="22"/>
              </w:rPr>
              <w:fldChar w:fldCharType="separate"/>
            </w:r>
            <w:r w:rsidR="00000A86">
              <w:rPr>
                <w:webHidden/>
                <w:sz w:val="22"/>
              </w:rPr>
              <w:t>34</w:t>
            </w:r>
            <w:r w:rsidR="008906E3" w:rsidRPr="008906E3">
              <w:rPr>
                <w:webHidden/>
                <w:sz w:val="22"/>
              </w:rPr>
              <w:fldChar w:fldCharType="end"/>
            </w:r>
          </w:hyperlink>
        </w:p>
        <w:p w14:paraId="0CFB6CA7" w14:textId="5D21BCF3" w:rsidR="008906E3" w:rsidRPr="008906E3" w:rsidRDefault="003171FA">
          <w:pPr>
            <w:pStyle w:val="TOC3"/>
            <w:rPr>
              <w:rFonts w:asciiTheme="minorHAnsi" w:eastAsiaTheme="minorEastAsia" w:hAnsiTheme="minorHAnsi"/>
              <w:noProof/>
              <w:sz w:val="22"/>
              <w:lang w:eastAsia="zh-CN"/>
            </w:rPr>
          </w:pPr>
          <w:hyperlink w:anchor="_Toc109895508" w:history="1">
            <w:r w:rsidR="008906E3" w:rsidRPr="008906E3">
              <w:rPr>
                <w:rStyle w:val="Hyperlink"/>
                <w:noProof/>
                <w:sz w:val="22"/>
              </w:rPr>
              <w:t>1.</w:t>
            </w:r>
            <w:r w:rsidR="008906E3" w:rsidRPr="008906E3">
              <w:rPr>
                <w:rFonts w:asciiTheme="minorHAnsi" w:eastAsiaTheme="minorEastAsia" w:hAnsiTheme="minorHAnsi"/>
                <w:noProof/>
                <w:sz w:val="22"/>
                <w:lang w:eastAsia="zh-CN"/>
              </w:rPr>
              <w:tab/>
            </w:r>
            <w:r w:rsidR="008906E3" w:rsidRPr="008906E3">
              <w:rPr>
                <w:rStyle w:val="Hyperlink"/>
                <w:noProof/>
                <w:sz w:val="22"/>
              </w:rPr>
              <w:t>Share of MRI Visits</w:t>
            </w:r>
            <w:r w:rsidR="008906E3" w:rsidRPr="008906E3">
              <w:rPr>
                <w:noProof/>
                <w:webHidden/>
                <w:sz w:val="22"/>
              </w:rPr>
              <w:tab/>
            </w:r>
            <w:r w:rsidR="008906E3" w:rsidRPr="008906E3">
              <w:rPr>
                <w:noProof/>
                <w:webHidden/>
                <w:sz w:val="22"/>
              </w:rPr>
              <w:fldChar w:fldCharType="begin"/>
            </w:r>
            <w:r w:rsidR="008906E3" w:rsidRPr="008906E3">
              <w:rPr>
                <w:noProof/>
                <w:webHidden/>
                <w:sz w:val="22"/>
              </w:rPr>
              <w:instrText xml:space="preserve"> PAGEREF _Toc109895508 \h </w:instrText>
            </w:r>
            <w:r w:rsidR="008906E3" w:rsidRPr="008906E3">
              <w:rPr>
                <w:noProof/>
                <w:webHidden/>
                <w:sz w:val="22"/>
              </w:rPr>
            </w:r>
            <w:r w:rsidR="008906E3" w:rsidRPr="008906E3">
              <w:rPr>
                <w:noProof/>
                <w:webHidden/>
                <w:sz w:val="22"/>
              </w:rPr>
              <w:fldChar w:fldCharType="separate"/>
            </w:r>
            <w:r w:rsidR="00000A86">
              <w:rPr>
                <w:noProof/>
                <w:webHidden/>
                <w:sz w:val="22"/>
              </w:rPr>
              <w:t>35</w:t>
            </w:r>
            <w:r w:rsidR="008906E3" w:rsidRPr="008906E3">
              <w:rPr>
                <w:noProof/>
                <w:webHidden/>
                <w:sz w:val="22"/>
              </w:rPr>
              <w:fldChar w:fldCharType="end"/>
            </w:r>
          </w:hyperlink>
        </w:p>
        <w:p w14:paraId="2483FE63" w14:textId="6414A4D8" w:rsidR="008906E3" w:rsidRPr="008906E3" w:rsidRDefault="003171FA">
          <w:pPr>
            <w:pStyle w:val="TOC3"/>
            <w:rPr>
              <w:rFonts w:asciiTheme="minorHAnsi" w:eastAsiaTheme="minorEastAsia" w:hAnsiTheme="minorHAnsi"/>
              <w:noProof/>
              <w:sz w:val="22"/>
              <w:lang w:eastAsia="zh-CN"/>
            </w:rPr>
          </w:pPr>
          <w:hyperlink w:anchor="_Toc109895509" w:history="1">
            <w:r w:rsidR="008906E3" w:rsidRPr="008906E3">
              <w:rPr>
                <w:rStyle w:val="Hyperlink"/>
                <w:noProof/>
                <w:sz w:val="22"/>
              </w:rPr>
              <w:t>2.</w:t>
            </w:r>
            <w:r w:rsidR="008906E3" w:rsidRPr="008906E3">
              <w:rPr>
                <w:rFonts w:asciiTheme="minorHAnsi" w:eastAsiaTheme="minorEastAsia" w:hAnsiTheme="minorHAnsi"/>
                <w:noProof/>
                <w:sz w:val="22"/>
                <w:lang w:eastAsia="zh-CN"/>
              </w:rPr>
              <w:tab/>
            </w:r>
            <w:r w:rsidR="008906E3" w:rsidRPr="008906E3">
              <w:rPr>
                <w:rStyle w:val="Hyperlink"/>
                <w:noProof/>
                <w:sz w:val="22"/>
              </w:rPr>
              <w:t>Share of Imaging Visits</w:t>
            </w:r>
            <w:r w:rsidR="008906E3" w:rsidRPr="008906E3">
              <w:rPr>
                <w:noProof/>
                <w:webHidden/>
                <w:sz w:val="22"/>
              </w:rPr>
              <w:tab/>
            </w:r>
            <w:r w:rsidR="008906E3" w:rsidRPr="008906E3">
              <w:rPr>
                <w:noProof/>
                <w:webHidden/>
                <w:sz w:val="22"/>
              </w:rPr>
              <w:fldChar w:fldCharType="begin"/>
            </w:r>
            <w:r w:rsidR="008906E3" w:rsidRPr="008906E3">
              <w:rPr>
                <w:noProof/>
                <w:webHidden/>
                <w:sz w:val="22"/>
              </w:rPr>
              <w:instrText xml:space="preserve"> PAGEREF _Toc109895509 \h </w:instrText>
            </w:r>
            <w:r w:rsidR="008906E3" w:rsidRPr="008906E3">
              <w:rPr>
                <w:noProof/>
                <w:webHidden/>
                <w:sz w:val="22"/>
              </w:rPr>
            </w:r>
            <w:r w:rsidR="008906E3" w:rsidRPr="008906E3">
              <w:rPr>
                <w:noProof/>
                <w:webHidden/>
                <w:sz w:val="22"/>
              </w:rPr>
              <w:fldChar w:fldCharType="separate"/>
            </w:r>
            <w:r w:rsidR="00000A86">
              <w:rPr>
                <w:noProof/>
                <w:webHidden/>
                <w:sz w:val="22"/>
              </w:rPr>
              <w:t>38</w:t>
            </w:r>
            <w:r w:rsidR="008906E3" w:rsidRPr="008906E3">
              <w:rPr>
                <w:noProof/>
                <w:webHidden/>
                <w:sz w:val="22"/>
              </w:rPr>
              <w:fldChar w:fldCharType="end"/>
            </w:r>
          </w:hyperlink>
        </w:p>
        <w:p w14:paraId="76C2ECE2" w14:textId="7CE690E2" w:rsidR="008906E3" w:rsidRPr="008906E3" w:rsidRDefault="003171FA">
          <w:pPr>
            <w:pStyle w:val="TOC3"/>
            <w:rPr>
              <w:rFonts w:asciiTheme="minorHAnsi" w:eastAsiaTheme="minorEastAsia" w:hAnsiTheme="minorHAnsi"/>
              <w:noProof/>
              <w:sz w:val="22"/>
              <w:lang w:eastAsia="zh-CN"/>
            </w:rPr>
          </w:pPr>
          <w:hyperlink w:anchor="_Toc109895510" w:history="1">
            <w:r w:rsidR="008906E3" w:rsidRPr="008906E3">
              <w:rPr>
                <w:rStyle w:val="Hyperlink"/>
                <w:noProof/>
                <w:sz w:val="22"/>
              </w:rPr>
              <w:t>3.</w:t>
            </w:r>
            <w:r w:rsidR="008906E3" w:rsidRPr="008906E3">
              <w:rPr>
                <w:rFonts w:asciiTheme="minorHAnsi" w:eastAsiaTheme="minorEastAsia" w:hAnsiTheme="minorHAnsi"/>
                <w:noProof/>
                <w:sz w:val="22"/>
                <w:lang w:eastAsia="zh-CN"/>
              </w:rPr>
              <w:tab/>
            </w:r>
            <w:r w:rsidR="008906E3" w:rsidRPr="008906E3">
              <w:rPr>
                <w:rStyle w:val="Hyperlink"/>
                <w:noProof/>
                <w:sz w:val="22"/>
              </w:rPr>
              <w:t>Share of ASC Visits</w:t>
            </w:r>
            <w:r w:rsidR="008906E3" w:rsidRPr="008906E3">
              <w:rPr>
                <w:noProof/>
                <w:webHidden/>
                <w:sz w:val="22"/>
              </w:rPr>
              <w:tab/>
            </w:r>
            <w:r w:rsidR="008906E3" w:rsidRPr="008906E3">
              <w:rPr>
                <w:noProof/>
                <w:webHidden/>
                <w:sz w:val="22"/>
              </w:rPr>
              <w:fldChar w:fldCharType="begin"/>
            </w:r>
            <w:r w:rsidR="008906E3" w:rsidRPr="008906E3">
              <w:rPr>
                <w:noProof/>
                <w:webHidden/>
                <w:sz w:val="22"/>
              </w:rPr>
              <w:instrText xml:space="preserve"> PAGEREF _Toc109895510 \h </w:instrText>
            </w:r>
            <w:r w:rsidR="008906E3" w:rsidRPr="008906E3">
              <w:rPr>
                <w:noProof/>
                <w:webHidden/>
                <w:sz w:val="22"/>
              </w:rPr>
            </w:r>
            <w:r w:rsidR="008906E3" w:rsidRPr="008906E3">
              <w:rPr>
                <w:noProof/>
                <w:webHidden/>
                <w:sz w:val="22"/>
              </w:rPr>
              <w:fldChar w:fldCharType="separate"/>
            </w:r>
            <w:r w:rsidR="00000A86">
              <w:rPr>
                <w:noProof/>
                <w:webHidden/>
                <w:sz w:val="22"/>
              </w:rPr>
              <w:t>40</w:t>
            </w:r>
            <w:r w:rsidR="008906E3" w:rsidRPr="008906E3">
              <w:rPr>
                <w:noProof/>
                <w:webHidden/>
                <w:sz w:val="22"/>
              </w:rPr>
              <w:fldChar w:fldCharType="end"/>
            </w:r>
          </w:hyperlink>
        </w:p>
        <w:p w14:paraId="2F06A0E6" w14:textId="43F3A3DB" w:rsidR="008906E3" w:rsidRPr="008906E3" w:rsidRDefault="003171FA">
          <w:pPr>
            <w:pStyle w:val="TOC1"/>
            <w:rPr>
              <w:rFonts w:asciiTheme="minorHAnsi" w:eastAsiaTheme="minorEastAsia" w:hAnsiTheme="minorHAnsi"/>
              <w:b w:val="0"/>
              <w:caps w:val="0"/>
              <w:sz w:val="22"/>
              <w:lang w:eastAsia="zh-CN"/>
            </w:rPr>
          </w:pPr>
          <w:hyperlink w:anchor="_Toc109895511" w:history="1">
            <w:r w:rsidR="008906E3" w:rsidRPr="008906E3">
              <w:rPr>
                <w:rStyle w:val="Hyperlink"/>
                <w:sz w:val="22"/>
              </w:rPr>
              <w:t>IX.</w:t>
            </w:r>
            <w:r w:rsidR="008906E3" w:rsidRPr="008906E3">
              <w:rPr>
                <w:rFonts w:asciiTheme="minorHAnsi" w:eastAsiaTheme="minorEastAsia" w:hAnsiTheme="minorHAnsi"/>
                <w:b w:val="0"/>
                <w:caps w:val="0"/>
                <w:sz w:val="22"/>
                <w:lang w:eastAsia="zh-CN"/>
              </w:rPr>
              <w:tab/>
            </w:r>
            <w:r w:rsidR="008906E3" w:rsidRPr="008906E3">
              <w:rPr>
                <w:rStyle w:val="Hyperlink"/>
                <w:sz w:val="22"/>
              </w:rPr>
              <w:t>Forecasts of Future Demand for Pediatric Services in Relevant Service Lines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_Toc109895511 \h </w:instrText>
            </w:r>
            <w:r w:rsidR="008906E3" w:rsidRPr="008906E3">
              <w:rPr>
                <w:webHidden/>
                <w:sz w:val="22"/>
              </w:rPr>
            </w:r>
            <w:r w:rsidR="008906E3" w:rsidRPr="008906E3">
              <w:rPr>
                <w:webHidden/>
                <w:sz w:val="22"/>
              </w:rPr>
              <w:fldChar w:fldCharType="separate"/>
            </w:r>
            <w:r w:rsidR="00000A86">
              <w:rPr>
                <w:webHidden/>
                <w:sz w:val="22"/>
              </w:rPr>
              <w:t>42</w:t>
            </w:r>
            <w:r w:rsidR="008906E3" w:rsidRPr="008906E3">
              <w:rPr>
                <w:webHidden/>
                <w:sz w:val="22"/>
              </w:rPr>
              <w:fldChar w:fldCharType="end"/>
            </w:r>
          </w:hyperlink>
        </w:p>
        <w:p w14:paraId="2C5768B4" w14:textId="2845AD4C" w:rsidR="008906E3" w:rsidRPr="008906E3" w:rsidRDefault="003171FA">
          <w:pPr>
            <w:pStyle w:val="TOC2"/>
            <w:rPr>
              <w:rFonts w:asciiTheme="minorHAnsi" w:eastAsiaTheme="minorEastAsia" w:hAnsiTheme="minorHAnsi" w:cstheme="minorBidi"/>
              <w:bCs w:val="0"/>
              <w:sz w:val="22"/>
              <w:lang w:eastAsia="zh-CN"/>
            </w:rPr>
          </w:pPr>
          <w:hyperlink w:anchor="_Toc109895512" w:history="1">
            <w:r w:rsidR="008906E3" w:rsidRPr="008906E3">
              <w:rPr>
                <w:rStyle w:val="Hyperlink"/>
                <w:sz w:val="22"/>
              </w:rPr>
              <w:t>A.</w:t>
            </w:r>
            <w:r w:rsidR="008906E3" w:rsidRPr="008906E3">
              <w:rPr>
                <w:rFonts w:asciiTheme="minorHAnsi" w:eastAsiaTheme="minorEastAsia" w:hAnsiTheme="minorHAnsi" w:cstheme="minorBidi"/>
                <w:bCs w:val="0"/>
                <w:sz w:val="22"/>
                <w:lang w:eastAsia="zh-CN"/>
              </w:rPr>
              <w:tab/>
            </w:r>
            <w:r w:rsidR="008906E3" w:rsidRPr="008906E3">
              <w:rPr>
                <w:rStyle w:val="Hyperlink"/>
                <w:sz w:val="22"/>
              </w:rPr>
              <w:t>Methodology and Overview for Current and Projected Utilization of Services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_Toc109895512 \h </w:instrText>
            </w:r>
            <w:r w:rsidR="008906E3" w:rsidRPr="008906E3">
              <w:rPr>
                <w:webHidden/>
                <w:sz w:val="22"/>
              </w:rPr>
            </w:r>
            <w:r w:rsidR="008906E3" w:rsidRPr="008906E3">
              <w:rPr>
                <w:webHidden/>
                <w:sz w:val="22"/>
              </w:rPr>
              <w:fldChar w:fldCharType="separate"/>
            </w:r>
            <w:r w:rsidR="00000A86">
              <w:rPr>
                <w:webHidden/>
                <w:sz w:val="22"/>
              </w:rPr>
              <w:t>42</w:t>
            </w:r>
            <w:r w:rsidR="008906E3" w:rsidRPr="008906E3">
              <w:rPr>
                <w:webHidden/>
                <w:sz w:val="22"/>
              </w:rPr>
              <w:fldChar w:fldCharType="end"/>
            </w:r>
          </w:hyperlink>
        </w:p>
        <w:p w14:paraId="3058905E" w14:textId="21C4D8D7" w:rsidR="008906E3" w:rsidRPr="008906E3" w:rsidRDefault="003171FA">
          <w:pPr>
            <w:pStyle w:val="TOC2"/>
            <w:rPr>
              <w:rFonts w:asciiTheme="minorHAnsi" w:eastAsiaTheme="minorEastAsia" w:hAnsiTheme="minorHAnsi" w:cstheme="minorBidi"/>
              <w:bCs w:val="0"/>
              <w:sz w:val="22"/>
              <w:lang w:eastAsia="zh-CN"/>
            </w:rPr>
          </w:pPr>
          <w:hyperlink w:anchor="_Toc109895513" w:history="1">
            <w:r w:rsidR="008906E3" w:rsidRPr="008906E3">
              <w:rPr>
                <w:rStyle w:val="Hyperlink"/>
                <w:sz w:val="22"/>
              </w:rPr>
              <w:t>B.</w:t>
            </w:r>
            <w:r w:rsidR="008906E3" w:rsidRPr="008906E3">
              <w:rPr>
                <w:rFonts w:asciiTheme="minorHAnsi" w:eastAsiaTheme="minorEastAsia" w:hAnsiTheme="minorHAnsi" w:cstheme="minorBidi"/>
                <w:bCs w:val="0"/>
                <w:sz w:val="22"/>
                <w:lang w:eastAsia="zh-CN"/>
              </w:rPr>
              <w:tab/>
            </w:r>
            <w:r w:rsidR="008906E3" w:rsidRPr="008906E3">
              <w:rPr>
                <w:rStyle w:val="Hyperlink"/>
                <w:sz w:val="22"/>
              </w:rPr>
              <w:t>Estimated Changes in Population and Demographics for Use in Estimating Change</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_Toc109895513 \h </w:instrText>
            </w:r>
            <w:r w:rsidR="008906E3" w:rsidRPr="008906E3">
              <w:rPr>
                <w:webHidden/>
                <w:sz w:val="22"/>
              </w:rPr>
            </w:r>
            <w:r w:rsidR="008906E3" w:rsidRPr="008906E3">
              <w:rPr>
                <w:webHidden/>
                <w:sz w:val="22"/>
              </w:rPr>
              <w:fldChar w:fldCharType="separate"/>
            </w:r>
            <w:r w:rsidR="00000A86">
              <w:rPr>
                <w:webHidden/>
                <w:sz w:val="22"/>
              </w:rPr>
              <w:t>44</w:t>
            </w:r>
            <w:r w:rsidR="008906E3" w:rsidRPr="008906E3">
              <w:rPr>
                <w:webHidden/>
                <w:sz w:val="22"/>
              </w:rPr>
              <w:fldChar w:fldCharType="end"/>
            </w:r>
          </w:hyperlink>
        </w:p>
        <w:p w14:paraId="50A72ADB" w14:textId="6317402D" w:rsidR="008906E3" w:rsidRPr="008906E3" w:rsidRDefault="003171FA">
          <w:pPr>
            <w:pStyle w:val="TOC2"/>
            <w:rPr>
              <w:rFonts w:asciiTheme="minorHAnsi" w:eastAsiaTheme="minorEastAsia" w:hAnsiTheme="minorHAnsi" w:cstheme="minorBidi"/>
              <w:bCs w:val="0"/>
              <w:sz w:val="22"/>
              <w:lang w:eastAsia="zh-CN"/>
            </w:rPr>
          </w:pPr>
          <w:hyperlink w:anchor="_Toc109895514" w:history="1">
            <w:r w:rsidR="008906E3" w:rsidRPr="008906E3">
              <w:rPr>
                <w:rStyle w:val="Hyperlink"/>
                <w:sz w:val="22"/>
              </w:rPr>
              <w:t>C.</w:t>
            </w:r>
            <w:r w:rsidR="008906E3" w:rsidRPr="008906E3">
              <w:rPr>
                <w:rFonts w:asciiTheme="minorHAnsi" w:eastAsiaTheme="minorEastAsia" w:hAnsiTheme="minorHAnsi" w:cstheme="minorBidi"/>
                <w:bCs w:val="0"/>
                <w:sz w:val="22"/>
                <w:lang w:eastAsia="zh-CN"/>
              </w:rPr>
              <w:tab/>
            </w:r>
            <w:r w:rsidR="008906E3" w:rsidRPr="008906E3">
              <w:rPr>
                <w:rStyle w:val="Hyperlink"/>
                <w:sz w:val="22"/>
              </w:rPr>
              <w:t>Projected Changes in Utilization of Services Over Time</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_Toc109895514 \h </w:instrText>
            </w:r>
            <w:r w:rsidR="008906E3" w:rsidRPr="008906E3">
              <w:rPr>
                <w:webHidden/>
                <w:sz w:val="22"/>
              </w:rPr>
            </w:r>
            <w:r w:rsidR="008906E3" w:rsidRPr="008906E3">
              <w:rPr>
                <w:webHidden/>
                <w:sz w:val="22"/>
              </w:rPr>
              <w:fldChar w:fldCharType="separate"/>
            </w:r>
            <w:r w:rsidR="00000A86">
              <w:rPr>
                <w:webHidden/>
                <w:sz w:val="22"/>
              </w:rPr>
              <w:t>45</w:t>
            </w:r>
            <w:r w:rsidR="008906E3" w:rsidRPr="008906E3">
              <w:rPr>
                <w:webHidden/>
                <w:sz w:val="22"/>
              </w:rPr>
              <w:fldChar w:fldCharType="end"/>
            </w:r>
          </w:hyperlink>
        </w:p>
        <w:p w14:paraId="3824030D" w14:textId="1FB82915" w:rsidR="008906E3" w:rsidRPr="008906E3" w:rsidRDefault="003171FA">
          <w:pPr>
            <w:pStyle w:val="TOC3"/>
            <w:rPr>
              <w:rFonts w:asciiTheme="minorHAnsi" w:eastAsiaTheme="minorEastAsia" w:hAnsiTheme="minorHAnsi"/>
              <w:noProof/>
              <w:sz w:val="22"/>
              <w:lang w:eastAsia="zh-CN"/>
            </w:rPr>
          </w:pPr>
          <w:hyperlink w:anchor="_Toc109895515" w:history="1">
            <w:r w:rsidR="008906E3" w:rsidRPr="008906E3">
              <w:rPr>
                <w:rStyle w:val="Hyperlink"/>
                <w:noProof/>
                <w:sz w:val="22"/>
              </w:rPr>
              <w:t>1.</w:t>
            </w:r>
            <w:r w:rsidR="008906E3" w:rsidRPr="008906E3">
              <w:rPr>
                <w:rFonts w:asciiTheme="minorHAnsi" w:eastAsiaTheme="minorEastAsia" w:hAnsiTheme="minorHAnsi"/>
                <w:noProof/>
                <w:sz w:val="22"/>
                <w:lang w:eastAsia="zh-CN"/>
              </w:rPr>
              <w:tab/>
            </w:r>
            <w:r w:rsidR="008906E3" w:rsidRPr="008906E3">
              <w:rPr>
                <w:rStyle w:val="Hyperlink"/>
                <w:noProof/>
                <w:sz w:val="22"/>
              </w:rPr>
              <w:t>Changes in Imaging Utilization</w:t>
            </w:r>
            <w:r w:rsidR="008906E3" w:rsidRPr="008906E3">
              <w:rPr>
                <w:noProof/>
                <w:webHidden/>
                <w:sz w:val="22"/>
              </w:rPr>
              <w:tab/>
            </w:r>
            <w:r w:rsidR="008906E3" w:rsidRPr="008906E3">
              <w:rPr>
                <w:noProof/>
                <w:webHidden/>
                <w:sz w:val="22"/>
              </w:rPr>
              <w:fldChar w:fldCharType="begin"/>
            </w:r>
            <w:r w:rsidR="008906E3" w:rsidRPr="008906E3">
              <w:rPr>
                <w:noProof/>
                <w:webHidden/>
                <w:sz w:val="22"/>
              </w:rPr>
              <w:instrText xml:space="preserve"> PAGEREF _Toc109895515 \h </w:instrText>
            </w:r>
            <w:r w:rsidR="008906E3" w:rsidRPr="008906E3">
              <w:rPr>
                <w:noProof/>
                <w:webHidden/>
                <w:sz w:val="22"/>
              </w:rPr>
            </w:r>
            <w:r w:rsidR="008906E3" w:rsidRPr="008906E3">
              <w:rPr>
                <w:noProof/>
                <w:webHidden/>
                <w:sz w:val="22"/>
              </w:rPr>
              <w:fldChar w:fldCharType="separate"/>
            </w:r>
            <w:r w:rsidR="00000A86">
              <w:rPr>
                <w:noProof/>
                <w:webHidden/>
                <w:sz w:val="22"/>
              </w:rPr>
              <w:t>45</w:t>
            </w:r>
            <w:r w:rsidR="008906E3" w:rsidRPr="008906E3">
              <w:rPr>
                <w:noProof/>
                <w:webHidden/>
                <w:sz w:val="22"/>
              </w:rPr>
              <w:fldChar w:fldCharType="end"/>
            </w:r>
          </w:hyperlink>
        </w:p>
        <w:p w14:paraId="5895EE5A" w14:textId="7619CA9E" w:rsidR="008906E3" w:rsidRPr="008906E3" w:rsidRDefault="003171FA">
          <w:pPr>
            <w:pStyle w:val="TOC3"/>
            <w:rPr>
              <w:rFonts w:asciiTheme="minorHAnsi" w:eastAsiaTheme="minorEastAsia" w:hAnsiTheme="minorHAnsi"/>
              <w:noProof/>
              <w:sz w:val="22"/>
              <w:lang w:eastAsia="zh-CN"/>
            </w:rPr>
          </w:pPr>
          <w:hyperlink w:anchor="_Toc109895516" w:history="1">
            <w:r w:rsidR="008906E3" w:rsidRPr="008906E3">
              <w:rPr>
                <w:rStyle w:val="Hyperlink"/>
                <w:noProof/>
                <w:sz w:val="22"/>
              </w:rPr>
              <w:t>2.</w:t>
            </w:r>
            <w:r w:rsidR="008906E3" w:rsidRPr="008906E3">
              <w:rPr>
                <w:rFonts w:asciiTheme="minorHAnsi" w:eastAsiaTheme="minorEastAsia" w:hAnsiTheme="minorHAnsi"/>
                <w:noProof/>
                <w:sz w:val="22"/>
                <w:lang w:eastAsia="zh-CN"/>
              </w:rPr>
              <w:tab/>
            </w:r>
            <w:r w:rsidR="008906E3" w:rsidRPr="008906E3">
              <w:rPr>
                <w:rStyle w:val="Hyperlink"/>
                <w:noProof/>
                <w:sz w:val="22"/>
              </w:rPr>
              <w:t>Projected Changes in Ambulatory Surgery (ASC) Utilization</w:t>
            </w:r>
            <w:r w:rsidR="008906E3" w:rsidRPr="008906E3">
              <w:rPr>
                <w:noProof/>
                <w:webHidden/>
                <w:sz w:val="22"/>
              </w:rPr>
              <w:tab/>
            </w:r>
            <w:r w:rsidR="008906E3" w:rsidRPr="008906E3">
              <w:rPr>
                <w:noProof/>
                <w:webHidden/>
                <w:sz w:val="22"/>
              </w:rPr>
              <w:fldChar w:fldCharType="begin"/>
            </w:r>
            <w:r w:rsidR="008906E3" w:rsidRPr="008906E3">
              <w:rPr>
                <w:noProof/>
                <w:webHidden/>
                <w:sz w:val="22"/>
              </w:rPr>
              <w:instrText xml:space="preserve"> PAGEREF _Toc109895516 \h </w:instrText>
            </w:r>
            <w:r w:rsidR="008906E3" w:rsidRPr="008906E3">
              <w:rPr>
                <w:noProof/>
                <w:webHidden/>
                <w:sz w:val="22"/>
              </w:rPr>
            </w:r>
            <w:r w:rsidR="008906E3" w:rsidRPr="008906E3">
              <w:rPr>
                <w:noProof/>
                <w:webHidden/>
                <w:sz w:val="22"/>
              </w:rPr>
              <w:fldChar w:fldCharType="separate"/>
            </w:r>
            <w:r w:rsidR="00000A86">
              <w:rPr>
                <w:noProof/>
                <w:webHidden/>
                <w:sz w:val="22"/>
              </w:rPr>
              <w:t>47</w:t>
            </w:r>
            <w:r w:rsidR="008906E3" w:rsidRPr="008906E3">
              <w:rPr>
                <w:noProof/>
                <w:webHidden/>
                <w:sz w:val="22"/>
              </w:rPr>
              <w:fldChar w:fldCharType="end"/>
            </w:r>
          </w:hyperlink>
        </w:p>
        <w:p w14:paraId="0AE5CA5D" w14:textId="24F03B21" w:rsidR="008906E3" w:rsidRPr="008906E3" w:rsidRDefault="003171FA">
          <w:pPr>
            <w:pStyle w:val="TOC3"/>
            <w:rPr>
              <w:rFonts w:asciiTheme="minorHAnsi" w:eastAsiaTheme="minorEastAsia" w:hAnsiTheme="minorHAnsi"/>
              <w:noProof/>
              <w:sz w:val="22"/>
              <w:lang w:eastAsia="zh-CN"/>
            </w:rPr>
          </w:pPr>
          <w:hyperlink w:anchor="_Toc109895517" w:history="1">
            <w:r w:rsidR="008906E3" w:rsidRPr="008906E3">
              <w:rPr>
                <w:rStyle w:val="Hyperlink"/>
                <w:noProof/>
                <w:sz w:val="22"/>
              </w:rPr>
              <w:t>3.</w:t>
            </w:r>
            <w:r w:rsidR="008906E3" w:rsidRPr="008906E3">
              <w:rPr>
                <w:rFonts w:asciiTheme="minorHAnsi" w:eastAsiaTheme="minorEastAsia" w:hAnsiTheme="minorHAnsi"/>
                <w:noProof/>
                <w:sz w:val="22"/>
                <w:lang w:eastAsia="zh-CN"/>
              </w:rPr>
              <w:tab/>
            </w:r>
            <w:r w:rsidR="008906E3" w:rsidRPr="008906E3">
              <w:rPr>
                <w:rStyle w:val="Hyperlink"/>
                <w:noProof/>
                <w:sz w:val="22"/>
              </w:rPr>
              <w:t>Projected Changes in MRI Utilization</w:t>
            </w:r>
            <w:r w:rsidR="008906E3" w:rsidRPr="008906E3">
              <w:rPr>
                <w:noProof/>
                <w:webHidden/>
                <w:sz w:val="22"/>
              </w:rPr>
              <w:tab/>
            </w:r>
            <w:r w:rsidR="008906E3" w:rsidRPr="008906E3">
              <w:rPr>
                <w:noProof/>
                <w:webHidden/>
                <w:sz w:val="22"/>
              </w:rPr>
              <w:fldChar w:fldCharType="begin"/>
            </w:r>
            <w:r w:rsidR="008906E3" w:rsidRPr="008906E3">
              <w:rPr>
                <w:noProof/>
                <w:webHidden/>
                <w:sz w:val="22"/>
              </w:rPr>
              <w:instrText xml:space="preserve"> PAGEREF _Toc109895517 \h </w:instrText>
            </w:r>
            <w:r w:rsidR="008906E3" w:rsidRPr="008906E3">
              <w:rPr>
                <w:noProof/>
                <w:webHidden/>
                <w:sz w:val="22"/>
              </w:rPr>
            </w:r>
            <w:r w:rsidR="008906E3" w:rsidRPr="008906E3">
              <w:rPr>
                <w:noProof/>
                <w:webHidden/>
                <w:sz w:val="22"/>
              </w:rPr>
              <w:fldChar w:fldCharType="separate"/>
            </w:r>
            <w:r w:rsidR="00000A86">
              <w:rPr>
                <w:noProof/>
                <w:webHidden/>
                <w:sz w:val="22"/>
              </w:rPr>
              <w:t>49</w:t>
            </w:r>
            <w:r w:rsidR="008906E3" w:rsidRPr="008906E3">
              <w:rPr>
                <w:noProof/>
                <w:webHidden/>
                <w:sz w:val="22"/>
              </w:rPr>
              <w:fldChar w:fldCharType="end"/>
            </w:r>
          </w:hyperlink>
        </w:p>
        <w:p w14:paraId="2C911931" w14:textId="2D5DEB57" w:rsidR="008906E3" w:rsidRPr="008906E3" w:rsidRDefault="003171FA">
          <w:pPr>
            <w:pStyle w:val="TOC2"/>
            <w:rPr>
              <w:rFonts w:asciiTheme="minorHAnsi" w:eastAsiaTheme="minorEastAsia" w:hAnsiTheme="minorHAnsi" w:cstheme="minorBidi"/>
              <w:bCs w:val="0"/>
              <w:sz w:val="22"/>
              <w:lang w:eastAsia="zh-CN"/>
            </w:rPr>
          </w:pPr>
          <w:hyperlink w:anchor="_Toc109895518" w:history="1">
            <w:r w:rsidR="008906E3" w:rsidRPr="008906E3">
              <w:rPr>
                <w:rStyle w:val="Hyperlink"/>
                <w:sz w:val="22"/>
              </w:rPr>
              <w:t>D.</w:t>
            </w:r>
            <w:r w:rsidR="008906E3" w:rsidRPr="008906E3">
              <w:rPr>
                <w:rFonts w:asciiTheme="minorHAnsi" w:eastAsiaTheme="minorEastAsia" w:hAnsiTheme="minorHAnsi" w:cstheme="minorBidi"/>
                <w:bCs w:val="0"/>
                <w:sz w:val="22"/>
                <w:lang w:eastAsia="zh-CN"/>
              </w:rPr>
              <w:tab/>
            </w:r>
            <w:r w:rsidR="008906E3" w:rsidRPr="008906E3">
              <w:rPr>
                <w:rStyle w:val="Hyperlink"/>
                <w:sz w:val="22"/>
              </w:rPr>
              <w:t>Discussion of Results of Projected Demand/Utilization</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_Toc109895518 \h </w:instrText>
            </w:r>
            <w:r w:rsidR="008906E3" w:rsidRPr="008906E3">
              <w:rPr>
                <w:webHidden/>
                <w:sz w:val="22"/>
              </w:rPr>
            </w:r>
            <w:r w:rsidR="008906E3" w:rsidRPr="008906E3">
              <w:rPr>
                <w:webHidden/>
                <w:sz w:val="22"/>
              </w:rPr>
              <w:fldChar w:fldCharType="separate"/>
            </w:r>
            <w:r w:rsidR="00000A86">
              <w:rPr>
                <w:webHidden/>
                <w:sz w:val="22"/>
              </w:rPr>
              <w:t>50</w:t>
            </w:r>
            <w:r w:rsidR="008906E3" w:rsidRPr="008906E3">
              <w:rPr>
                <w:webHidden/>
                <w:sz w:val="22"/>
              </w:rPr>
              <w:fldChar w:fldCharType="end"/>
            </w:r>
          </w:hyperlink>
        </w:p>
        <w:p w14:paraId="55804A9C" w14:textId="07F46962" w:rsidR="008906E3" w:rsidRPr="008906E3" w:rsidRDefault="003171FA">
          <w:pPr>
            <w:pStyle w:val="TOC1"/>
            <w:rPr>
              <w:rFonts w:asciiTheme="minorHAnsi" w:eastAsiaTheme="minorEastAsia" w:hAnsiTheme="minorHAnsi"/>
              <w:b w:val="0"/>
              <w:caps w:val="0"/>
              <w:sz w:val="22"/>
              <w:lang w:eastAsia="zh-CN"/>
            </w:rPr>
          </w:pPr>
          <w:hyperlink w:anchor="_Toc109895519" w:history="1">
            <w:r w:rsidR="008906E3" w:rsidRPr="008906E3">
              <w:rPr>
                <w:rStyle w:val="Hyperlink"/>
                <w:sz w:val="22"/>
              </w:rPr>
              <w:t>X.</w:t>
            </w:r>
            <w:r w:rsidR="008906E3" w:rsidRPr="008906E3">
              <w:rPr>
                <w:rFonts w:asciiTheme="minorHAnsi" w:eastAsiaTheme="minorEastAsia" w:hAnsiTheme="minorHAnsi"/>
                <w:b w:val="0"/>
                <w:caps w:val="0"/>
                <w:sz w:val="22"/>
                <w:lang w:eastAsia="zh-CN"/>
              </w:rPr>
              <w:tab/>
            </w:r>
            <w:r w:rsidR="008906E3" w:rsidRPr="008906E3">
              <w:rPr>
                <w:rStyle w:val="Hyperlink"/>
                <w:sz w:val="22"/>
              </w:rPr>
              <w:t>Predicting Demand and Choice Modeling Patient Preferences for Pediatric Service Providers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_Toc109895519 \h </w:instrText>
            </w:r>
            <w:r w:rsidR="008906E3" w:rsidRPr="008906E3">
              <w:rPr>
                <w:webHidden/>
                <w:sz w:val="22"/>
              </w:rPr>
            </w:r>
            <w:r w:rsidR="008906E3" w:rsidRPr="008906E3">
              <w:rPr>
                <w:webHidden/>
                <w:sz w:val="22"/>
              </w:rPr>
              <w:fldChar w:fldCharType="separate"/>
            </w:r>
            <w:r w:rsidR="00000A86">
              <w:rPr>
                <w:webHidden/>
                <w:sz w:val="22"/>
              </w:rPr>
              <w:t>51</w:t>
            </w:r>
            <w:r w:rsidR="008906E3" w:rsidRPr="008906E3">
              <w:rPr>
                <w:webHidden/>
                <w:sz w:val="22"/>
              </w:rPr>
              <w:fldChar w:fldCharType="end"/>
            </w:r>
          </w:hyperlink>
        </w:p>
        <w:p w14:paraId="35BB2C66" w14:textId="3B627688" w:rsidR="008906E3" w:rsidRPr="008906E3" w:rsidRDefault="003171FA">
          <w:pPr>
            <w:pStyle w:val="TOC2"/>
            <w:rPr>
              <w:rFonts w:asciiTheme="minorHAnsi" w:eastAsiaTheme="minorEastAsia" w:hAnsiTheme="minorHAnsi" w:cstheme="minorBidi"/>
              <w:bCs w:val="0"/>
              <w:sz w:val="22"/>
              <w:lang w:eastAsia="zh-CN"/>
            </w:rPr>
          </w:pPr>
          <w:hyperlink w:anchor="_Toc109895520" w:history="1">
            <w:r w:rsidR="008906E3" w:rsidRPr="008906E3">
              <w:rPr>
                <w:rStyle w:val="Hyperlink"/>
                <w:sz w:val="22"/>
              </w:rPr>
              <w:t>A.</w:t>
            </w:r>
            <w:r w:rsidR="008906E3" w:rsidRPr="008906E3">
              <w:rPr>
                <w:rFonts w:asciiTheme="minorHAnsi" w:eastAsiaTheme="minorEastAsia" w:hAnsiTheme="minorHAnsi" w:cstheme="minorBidi"/>
                <w:bCs w:val="0"/>
                <w:sz w:val="22"/>
                <w:lang w:eastAsia="zh-CN"/>
              </w:rPr>
              <w:tab/>
            </w:r>
            <w:r w:rsidR="008906E3" w:rsidRPr="008906E3">
              <w:rPr>
                <w:rStyle w:val="Hyperlink"/>
                <w:sz w:val="22"/>
              </w:rPr>
              <w:t>Methodology</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_Toc109895520 \h </w:instrText>
            </w:r>
            <w:r w:rsidR="008906E3" w:rsidRPr="008906E3">
              <w:rPr>
                <w:webHidden/>
                <w:sz w:val="22"/>
              </w:rPr>
            </w:r>
            <w:r w:rsidR="008906E3" w:rsidRPr="008906E3">
              <w:rPr>
                <w:webHidden/>
                <w:sz w:val="22"/>
              </w:rPr>
              <w:fldChar w:fldCharType="separate"/>
            </w:r>
            <w:r w:rsidR="00000A86">
              <w:rPr>
                <w:webHidden/>
                <w:sz w:val="22"/>
              </w:rPr>
              <w:t>52</w:t>
            </w:r>
            <w:r w:rsidR="008906E3" w:rsidRPr="008906E3">
              <w:rPr>
                <w:webHidden/>
                <w:sz w:val="22"/>
              </w:rPr>
              <w:fldChar w:fldCharType="end"/>
            </w:r>
          </w:hyperlink>
        </w:p>
        <w:p w14:paraId="68A303D8" w14:textId="5E074B0F" w:rsidR="008906E3" w:rsidRPr="008906E3" w:rsidRDefault="003171FA">
          <w:pPr>
            <w:pStyle w:val="TOC2"/>
            <w:rPr>
              <w:rFonts w:asciiTheme="minorHAnsi" w:eastAsiaTheme="minorEastAsia" w:hAnsiTheme="minorHAnsi" w:cstheme="minorBidi"/>
              <w:bCs w:val="0"/>
              <w:sz w:val="22"/>
              <w:lang w:eastAsia="zh-CN"/>
            </w:rPr>
          </w:pPr>
          <w:hyperlink w:anchor="_Toc109895521" w:history="1">
            <w:r w:rsidR="008906E3" w:rsidRPr="008906E3">
              <w:rPr>
                <w:rStyle w:val="Hyperlink"/>
                <w:sz w:val="22"/>
              </w:rPr>
              <w:t>B.</w:t>
            </w:r>
            <w:r w:rsidR="008906E3" w:rsidRPr="008906E3">
              <w:rPr>
                <w:rFonts w:asciiTheme="minorHAnsi" w:eastAsiaTheme="minorEastAsia" w:hAnsiTheme="minorHAnsi" w:cstheme="minorBidi"/>
                <w:bCs w:val="0"/>
                <w:sz w:val="22"/>
                <w:lang w:eastAsia="zh-CN"/>
              </w:rPr>
              <w:tab/>
            </w:r>
            <w:r w:rsidR="008906E3" w:rsidRPr="008906E3">
              <w:rPr>
                <w:rStyle w:val="Hyperlink"/>
                <w:sz w:val="22"/>
              </w:rPr>
              <w:t>Predicted Volumes for ASC, MRI, and Imaging Services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_Toc109895521 \h </w:instrText>
            </w:r>
            <w:r w:rsidR="008906E3" w:rsidRPr="008906E3">
              <w:rPr>
                <w:webHidden/>
                <w:sz w:val="22"/>
              </w:rPr>
            </w:r>
            <w:r w:rsidR="008906E3" w:rsidRPr="008906E3">
              <w:rPr>
                <w:webHidden/>
                <w:sz w:val="22"/>
              </w:rPr>
              <w:fldChar w:fldCharType="separate"/>
            </w:r>
            <w:r w:rsidR="00000A86">
              <w:rPr>
                <w:webHidden/>
                <w:sz w:val="22"/>
              </w:rPr>
              <w:t>53</w:t>
            </w:r>
            <w:r w:rsidR="008906E3" w:rsidRPr="008906E3">
              <w:rPr>
                <w:webHidden/>
                <w:sz w:val="22"/>
              </w:rPr>
              <w:fldChar w:fldCharType="end"/>
            </w:r>
          </w:hyperlink>
        </w:p>
        <w:p w14:paraId="50D7578D" w14:textId="3CED6F86" w:rsidR="008906E3" w:rsidRPr="008906E3" w:rsidRDefault="003171FA">
          <w:pPr>
            <w:pStyle w:val="TOC1"/>
            <w:rPr>
              <w:rFonts w:asciiTheme="minorHAnsi" w:eastAsiaTheme="minorEastAsia" w:hAnsiTheme="minorHAnsi"/>
              <w:b w:val="0"/>
              <w:caps w:val="0"/>
              <w:sz w:val="22"/>
              <w:lang w:eastAsia="zh-CN"/>
            </w:rPr>
          </w:pPr>
          <w:hyperlink w:anchor="_Toc109895522" w:history="1">
            <w:r w:rsidR="008906E3" w:rsidRPr="008906E3">
              <w:rPr>
                <w:rStyle w:val="Hyperlink"/>
                <w:sz w:val="22"/>
              </w:rPr>
              <w:t>XI.</w:t>
            </w:r>
            <w:r w:rsidR="008906E3" w:rsidRPr="008906E3">
              <w:rPr>
                <w:rFonts w:asciiTheme="minorHAnsi" w:eastAsiaTheme="minorEastAsia" w:hAnsiTheme="minorHAnsi"/>
                <w:b w:val="0"/>
                <w:caps w:val="0"/>
                <w:sz w:val="22"/>
                <w:lang w:eastAsia="zh-CN"/>
              </w:rPr>
              <w:tab/>
            </w:r>
            <w:r w:rsidR="008906E3" w:rsidRPr="008906E3">
              <w:rPr>
                <w:rStyle w:val="Hyperlink"/>
                <w:sz w:val="22"/>
              </w:rPr>
              <w:t>Prices of Pediatric Services in Relevant Service Lines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_Toc109895522 \h </w:instrText>
            </w:r>
            <w:r w:rsidR="008906E3" w:rsidRPr="008906E3">
              <w:rPr>
                <w:webHidden/>
                <w:sz w:val="22"/>
              </w:rPr>
            </w:r>
            <w:r w:rsidR="008906E3" w:rsidRPr="008906E3">
              <w:rPr>
                <w:webHidden/>
                <w:sz w:val="22"/>
              </w:rPr>
              <w:fldChar w:fldCharType="separate"/>
            </w:r>
            <w:r w:rsidR="00000A86">
              <w:rPr>
                <w:webHidden/>
                <w:sz w:val="22"/>
              </w:rPr>
              <w:t>56</w:t>
            </w:r>
            <w:r w:rsidR="008906E3" w:rsidRPr="008906E3">
              <w:rPr>
                <w:webHidden/>
                <w:sz w:val="22"/>
              </w:rPr>
              <w:fldChar w:fldCharType="end"/>
            </w:r>
          </w:hyperlink>
        </w:p>
        <w:p w14:paraId="70468D25" w14:textId="23DBBB22" w:rsidR="008906E3" w:rsidRPr="008906E3" w:rsidRDefault="003171FA">
          <w:pPr>
            <w:pStyle w:val="TOC2"/>
            <w:rPr>
              <w:rFonts w:asciiTheme="minorHAnsi" w:eastAsiaTheme="minorEastAsia" w:hAnsiTheme="minorHAnsi" w:cstheme="minorBidi"/>
              <w:bCs w:val="0"/>
              <w:sz w:val="22"/>
              <w:lang w:eastAsia="zh-CN"/>
            </w:rPr>
          </w:pPr>
          <w:hyperlink w:anchor="_Toc109895523" w:history="1">
            <w:r w:rsidR="008906E3" w:rsidRPr="008906E3">
              <w:rPr>
                <w:rStyle w:val="Hyperlink"/>
                <w:sz w:val="22"/>
              </w:rPr>
              <w:t>A.</w:t>
            </w:r>
            <w:r w:rsidR="008906E3" w:rsidRPr="008906E3">
              <w:rPr>
                <w:rFonts w:asciiTheme="minorHAnsi" w:eastAsiaTheme="minorEastAsia" w:hAnsiTheme="minorHAnsi" w:cstheme="minorBidi"/>
                <w:bCs w:val="0"/>
                <w:sz w:val="22"/>
                <w:lang w:eastAsia="zh-CN"/>
              </w:rPr>
              <w:tab/>
            </w:r>
            <w:r w:rsidR="008906E3" w:rsidRPr="008906E3">
              <w:rPr>
                <w:rStyle w:val="Hyperlink"/>
                <w:sz w:val="22"/>
              </w:rPr>
              <w:t>Overview of Pricing Analyses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_Toc109895523 \h </w:instrText>
            </w:r>
            <w:r w:rsidR="008906E3" w:rsidRPr="008906E3">
              <w:rPr>
                <w:webHidden/>
                <w:sz w:val="22"/>
              </w:rPr>
            </w:r>
            <w:r w:rsidR="008906E3" w:rsidRPr="008906E3">
              <w:rPr>
                <w:webHidden/>
                <w:sz w:val="22"/>
              </w:rPr>
              <w:fldChar w:fldCharType="separate"/>
            </w:r>
            <w:r w:rsidR="00000A86">
              <w:rPr>
                <w:webHidden/>
                <w:sz w:val="22"/>
              </w:rPr>
              <w:t>56</w:t>
            </w:r>
            <w:r w:rsidR="008906E3" w:rsidRPr="008906E3">
              <w:rPr>
                <w:webHidden/>
                <w:sz w:val="22"/>
              </w:rPr>
              <w:fldChar w:fldCharType="end"/>
            </w:r>
          </w:hyperlink>
        </w:p>
        <w:p w14:paraId="5DA1A4DF" w14:textId="3479DE61" w:rsidR="008906E3" w:rsidRPr="008906E3" w:rsidRDefault="003171FA">
          <w:pPr>
            <w:pStyle w:val="TOC1"/>
            <w:rPr>
              <w:rFonts w:asciiTheme="minorHAnsi" w:eastAsiaTheme="minorEastAsia" w:hAnsiTheme="minorHAnsi"/>
              <w:b w:val="0"/>
              <w:caps w:val="0"/>
              <w:sz w:val="22"/>
              <w:lang w:eastAsia="zh-CN"/>
            </w:rPr>
          </w:pPr>
          <w:hyperlink w:anchor="_Toc109895524" w:history="1">
            <w:r w:rsidR="008906E3" w:rsidRPr="008906E3">
              <w:rPr>
                <w:rStyle w:val="Hyperlink"/>
                <w:sz w:val="22"/>
              </w:rPr>
              <w:t>XII.</w:t>
            </w:r>
            <w:r w:rsidR="008906E3" w:rsidRPr="008906E3">
              <w:rPr>
                <w:rFonts w:asciiTheme="minorHAnsi" w:eastAsiaTheme="minorEastAsia" w:hAnsiTheme="minorHAnsi"/>
                <w:b w:val="0"/>
                <w:caps w:val="0"/>
                <w:sz w:val="22"/>
                <w:lang w:eastAsia="zh-CN"/>
              </w:rPr>
              <w:tab/>
            </w:r>
            <w:r w:rsidR="008906E3" w:rsidRPr="008906E3">
              <w:rPr>
                <w:rStyle w:val="Hyperlink"/>
                <w:sz w:val="22"/>
              </w:rPr>
              <w:t>Forecasted Impacts of Proposed Project on Shares, Prices, and Spending</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_Toc109895524 \h </w:instrText>
            </w:r>
            <w:r w:rsidR="008906E3" w:rsidRPr="008906E3">
              <w:rPr>
                <w:webHidden/>
                <w:sz w:val="22"/>
              </w:rPr>
            </w:r>
            <w:r w:rsidR="008906E3" w:rsidRPr="008906E3">
              <w:rPr>
                <w:webHidden/>
                <w:sz w:val="22"/>
              </w:rPr>
              <w:fldChar w:fldCharType="separate"/>
            </w:r>
            <w:r w:rsidR="00000A86">
              <w:rPr>
                <w:webHidden/>
                <w:sz w:val="22"/>
              </w:rPr>
              <w:t>58</w:t>
            </w:r>
            <w:r w:rsidR="008906E3" w:rsidRPr="008906E3">
              <w:rPr>
                <w:webHidden/>
                <w:sz w:val="22"/>
              </w:rPr>
              <w:fldChar w:fldCharType="end"/>
            </w:r>
          </w:hyperlink>
        </w:p>
        <w:p w14:paraId="1D3EF686" w14:textId="61ED1DC4" w:rsidR="008906E3" w:rsidRPr="008906E3" w:rsidRDefault="003171FA">
          <w:pPr>
            <w:pStyle w:val="TOC2"/>
            <w:rPr>
              <w:rFonts w:asciiTheme="minorHAnsi" w:eastAsiaTheme="minorEastAsia" w:hAnsiTheme="minorHAnsi" w:cstheme="minorBidi"/>
              <w:bCs w:val="0"/>
              <w:sz w:val="22"/>
              <w:lang w:eastAsia="zh-CN"/>
            </w:rPr>
          </w:pPr>
          <w:hyperlink w:anchor="_Toc109895525" w:history="1">
            <w:r w:rsidR="008906E3" w:rsidRPr="008906E3">
              <w:rPr>
                <w:rStyle w:val="Hyperlink"/>
                <w:sz w:val="22"/>
              </w:rPr>
              <w:t>A.</w:t>
            </w:r>
            <w:r w:rsidR="008906E3" w:rsidRPr="008906E3">
              <w:rPr>
                <w:rFonts w:asciiTheme="minorHAnsi" w:eastAsiaTheme="minorEastAsia" w:hAnsiTheme="minorHAnsi" w:cstheme="minorBidi"/>
                <w:bCs w:val="0"/>
                <w:sz w:val="22"/>
                <w:lang w:eastAsia="zh-CN"/>
              </w:rPr>
              <w:tab/>
            </w:r>
            <w:r w:rsidR="008906E3" w:rsidRPr="008906E3">
              <w:rPr>
                <w:rStyle w:val="Hyperlink"/>
                <w:sz w:val="22"/>
              </w:rPr>
              <w:t>Change in Shares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_Toc109895525 \h </w:instrText>
            </w:r>
            <w:r w:rsidR="008906E3" w:rsidRPr="008906E3">
              <w:rPr>
                <w:webHidden/>
                <w:sz w:val="22"/>
              </w:rPr>
            </w:r>
            <w:r w:rsidR="008906E3" w:rsidRPr="008906E3">
              <w:rPr>
                <w:webHidden/>
                <w:sz w:val="22"/>
              </w:rPr>
              <w:fldChar w:fldCharType="separate"/>
            </w:r>
            <w:r w:rsidR="00000A86">
              <w:rPr>
                <w:webHidden/>
                <w:sz w:val="22"/>
              </w:rPr>
              <w:t>58</w:t>
            </w:r>
            <w:r w:rsidR="008906E3" w:rsidRPr="008906E3">
              <w:rPr>
                <w:webHidden/>
                <w:sz w:val="22"/>
              </w:rPr>
              <w:fldChar w:fldCharType="end"/>
            </w:r>
          </w:hyperlink>
        </w:p>
        <w:p w14:paraId="138441A8" w14:textId="037C466B" w:rsidR="008906E3" w:rsidRPr="008906E3" w:rsidRDefault="003171FA">
          <w:pPr>
            <w:pStyle w:val="TOC2"/>
            <w:rPr>
              <w:rFonts w:asciiTheme="minorHAnsi" w:eastAsiaTheme="minorEastAsia" w:hAnsiTheme="minorHAnsi" w:cstheme="minorBidi"/>
              <w:bCs w:val="0"/>
              <w:sz w:val="22"/>
              <w:lang w:eastAsia="zh-CN"/>
            </w:rPr>
          </w:pPr>
          <w:hyperlink w:anchor="_Toc109895526" w:history="1">
            <w:r w:rsidR="008906E3" w:rsidRPr="008906E3">
              <w:rPr>
                <w:rStyle w:val="Hyperlink"/>
                <w:sz w:val="22"/>
              </w:rPr>
              <w:t>B.</w:t>
            </w:r>
            <w:r w:rsidR="008906E3" w:rsidRPr="008906E3">
              <w:rPr>
                <w:rFonts w:asciiTheme="minorHAnsi" w:eastAsiaTheme="minorEastAsia" w:hAnsiTheme="minorHAnsi" w:cstheme="minorBidi"/>
                <w:bCs w:val="0"/>
                <w:sz w:val="22"/>
                <w:lang w:eastAsia="zh-CN"/>
              </w:rPr>
              <w:tab/>
            </w:r>
            <w:r w:rsidR="008906E3" w:rsidRPr="008906E3">
              <w:rPr>
                <w:rStyle w:val="Hyperlink"/>
                <w:sz w:val="22"/>
              </w:rPr>
              <w:t>Projected Shares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_Toc109895526 \h </w:instrText>
            </w:r>
            <w:r w:rsidR="008906E3" w:rsidRPr="008906E3">
              <w:rPr>
                <w:webHidden/>
                <w:sz w:val="22"/>
              </w:rPr>
            </w:r>
            <w:r w:rsidR="008906E3" w:rsidRPr="008906E3">
              <w:rPr>
                <w:webHidden/>
                <w:sz w:val="22"/>
              </w:rPr>
              <w:fldChar w:fldCharType="separate"/>
            </w:r>
            <w:r w:rsidR="00000A86">
              <w:rPr>
                <w:webHidden/>
                <w:sz w:val="22"/>
              </w:rPr>
              <w:t>60</w:t>
            </w:r>
            <w:r w:rsidR="008906E3" w:rsidRPr="008906E3">
              <w:rPr>
                <w:webHidden/>
                <w:sz w:val="22"/>
              </w:rPr>
              <w:fldChar w:fldCharType="end"/>
            </w:r>
          </w:hyperlink>
        </w:p>
        <w:p w14:paraId="53D78EBD" w14:textId="40534C2B" w:rsidR="008906E3" w:rsidRPr="008906E3" w:rsidRDefault="003171FA">
          <w:pPr>
            <w:pStyle w:val="TOC2"/>
            <w:rPr>
              <w:rFonts w:asciiTheme="minorHAnsi" w:eastAsiaTheme="minorEastAsia" w:hAnsiTheme="minorHAnsi" w:cstheme="minorBidi"/>
              <w:bCs w:val="0"/>
              <w:sz w:val="22"/>
              <w:lang w:eastAsia="zh-CN"/>
            </w:rPr>
          </w:pPr>
          <w:hyperlink w:anchor="_Toc109895527" w:history="1">
            <w:r w:rsidR="008906E3" w:rsidRPr="008906E3">
              <w:rPr>
                <w:rStyle w:val="Hyperlink"/>
                <w:sz w:val="22"/>
              </w:rPr>
              <w:t>C.</w:t>
            </w:r>
            <w:r w:rsidR="008906E3" w:rsidRPr="008906E3">
              <w:rPr>
                <w:rFonts w:asciiTheme="minorHAnsi" w:eastAsiaTheme="minorEastAsia" w:hAnsiTheme="minorHAnsi" w:cstheme="minorBidi"/>
                <w:bCs w:val="0"/>
                <w:sz w:val="22"/>
                <w:lang w:eastAsia="zh-CN"/>
              </w:rPr>
              <w:tab/>
            </w:r>
            <w:r w:rsidR="008906E3" w:rsidRPr="008906E3">
              <w:rPr>
                <w:rStyle w:val="Hyperlink"/>
                <w:sz w:val="22"/>
              </w:rPr>
              <w:t>Change in Prices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_Toc109895527 \h </w:instrText>
            </w:r>
            <w:r w:rsidR="008906E3" w:rsidRPr="008906E3">
              <w:rPr>
                <w:webHidden/>
                <w:sz w:val="22"/>
              </w:rPr>
            </w:r>
            <w:r w:rsidR="008906E3" w:rsidRPr="008906E3">
              <w:rPr>
                <w:webHidden/>
                <w:sz w:val="22"/>
              </w:rPr>
              <w:fldChar w:fldCharType="separate"/>
            </w:r>
            <w:r w:rsidR="00000A86">
              <w:rPr>
                <w:webHidden/>
                <w:sz w:val="22"/>
              </w:rPr>
              <w:t>61</w:t>
            </w:r>
            <w:r w:rsidR="008906E3" w:rsidRPr="008906E3">
              <w:rPr>
                <w:webHidden/>
                <w:sz w:val="22"/>
              </w:rPr>
              <w:fldChar w:fldCharType="end"/>
            </w:r>
          </w:hyperlink>
        </w:p>
        <w:p w14:paraId="0F8BD828" w14:textId="78881765" w:rsidR="008906E3" w:rsidRPr="008906E3" w:rsidRDefault="003171FA">
          <w:pPr>
            <w:pStyle w:val="TOC3"/>
            <w:rPr>
              <w:rFonts w:asciiTheme="minorHAnsi" w:eastAsiaTheme="minorEastAsia" w:hAnsiTheme="minorHAnsi"/>
              <w:noProof/>
              <w:sz w:val="22"/>
              <w:lang w:eastAsia="zh-CN"/>
            </w:rPr>
          </w:pPr>
          <w:hyperlink w:anchor="_Toc109895528" w:history="1">
            <w:r w:rsidR="008906E3" w:rsidRPr="008906E3">
              <w:rPr>
                <w:rStyle w:val="Hyperlink"/>
                <w:noProof/>
                <w:sz w:val="22"/>
              </w:rPr>
              <w:t>1.</w:t>
            </w:r>
            <w:r w:rsidR="008906E3" w:rsidRPr="008906E3">
              <w:rPr>
                <w:rFonts w:asciiTheme="minorHAnsi" w:eastAsiaTheme="minorEastAsia" w:hAnsiTheme="minorHAnsi"/>
                <w:noProof/>
                <w:sz w:val="22"/>
                <w:lang w:eastAsia="zh-CN"/>
              </w:rPr>
              <w:tab/>
            </w:r>
            <w:r w:rsidR="008906E3" w:rsidRPr="008906E3">
              <w:rPr>
                <w:rStyle w:val="Hyperlink"/>
                <w:noProof/>
                <w:sz w:val="22"/>
              </w:rPr>
              <w:t>Effect of Changes in Shares on Bargaining Leverage and Prices</w:t>
            </w:r>
            <w:r w:rsidR="008906E3" w:rsidRPr="008906E3">
              <w:rPr>
                <w:noProof/>
                <w:webHidden/>
                <w:sz w:val="22"/>
              </w:rPr>
              <w:tab/>
            </w:r>
            <w:r w:rsidR="008906E3" w:rsidRPr="008906E3">
              <w:rPr>
                <w:noProof/>
                <w:webHidden/>
                <w:sz w:val="22"/>
              </w:rPr>
              <w:fldChar w:fldCharType="begin"/>
            </w:r>
            <w:r w:rsidR="008906E3" w:rsidRPr="008906E3">
              <w:rPr>
                <w:noProof/>
                <w:webHidden/>
                <w:sz w:val="22"/>
              </w:rPr>
              <w:instrText xml:space="preserve"> PAGEREF _Toc109895528 \h </w:instrText>
            </w:r>
            <w:r w:rsidR="008906E3" w:rsidRPr="008906E3">
              <w:rPr>
                <w:noProof/>
                <w:webHidden/>
                <w:sz w:val="22"/>
              </w:rPr>
            </w:r>
            <w:r w:rsidR="008906E3" w:rsidRPr="008906E3">
              <w:rPr>
                <w:noProof/>
                <w:webHidden/>
                <w:sz w:val="22"/>
              </w:rPr>
              <w:fldChar w:fldCharType="separate"/>
            </w:r>
            <w:r w:rsidR="00000A86">
              <w:rPr>
                <w:noProof/>
                <w:webHidden/>
                <w:sz w:val="22"/>
              </w:rPr>
              <w:t>61</w:t>
            </w:r>
            <w:r w:rsidR="008906E3" w:rsidRPr="008906E3">
              <w:rPr>
                <w:noProof/>
                <w:webHidden/>
                <w:sz w:val="22"/>
              </w:rPr>
              <w:fldChar w:fldCharType="end"/>
            </w:r>
          </w:hyperlink>
        </w:p>
        <w:p w14:paraId="02F034CD" w14:textId="0BFD262B" w:rsidR="008906E3" w:rsidRPr="008906E3" w:rsidRDefault="003171FA">
          <w:pPr>
            <w:pStyle w:val="TOC2"/>
            <w:rPr>
              <w:rFonts w:asciiTheme="minorHAnsi" w:eastAsiaTheme="minorEastAsia" w:hAnsiTheme="minorHAnsi" w:cstheme="minorBidi"/>
              <w:bCs w:val="0"/>
              <w:sz w:val="22"/>
              <w:lang w:eastAsia="zh-CN"/>
            </w:rPr>
          </w:pPr>
          <w:hyperlink w:anchor="_Toc109895529" w:history="1">
            <w:r w:rsidR="008906E3" w:rsidRPr="008906E3">
              <w:rPr>
                <w:rStyle w:val="Hyperlink"/>
                <w:sz w:val="22"/>
              </w:rPr>
              <w:t>D.</w:t>
            </w:r>
            <w:r w:rsidR="008906E3" w:rsidRPr="008906E3">
              <w:rPr>
                <w:rFonts w:asciiTheme="minorHAnsi" w:eastAsiaTheme="minorEastAsia" w:hAnsiTheme="minorHAnsi" w:cstheme="minorBidi"/>
                <w:bCs w:val="0"/>
                <w:sz w:val="22"/>
                <w:lang w:eastAsia="zh-CN"/>
              </w:rPr>
              <w:tab/>
            </w:r>
            <w:r w:rsidR="008906E3" w:rsidRPr="008906E3">
              <w:rPr>
                <w:rStyle w:val="Hyperlink"/>
                <w:sz w:val="22"/>
              </w:rPr>
              <w:t>Total Medical Spending</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_Toc109895529 \h </w:instrText>
            </w:r>
            <w:r w:rsidR="008906E3" w:rsidRPr="008906E3">
              <w:rPr>
                <w:webHidden/>
                <w:sz w:val="22"/>
              </w:rPr>
            </w:r>
            <w:r w:rsidR="008906E3" w:rsidRPr="008906E3">
              <w:rPr>
                <w:webHidden/>
                <w:sz w:val="22"/>
              </w:rPr>
              <w:fldChar w:fldCharType="separate"/>
            </w:r>
            <w:r w:rsidR="00000A86">
              <w:rPr>
                <w:webHidden/>
                <w:sz w:val="22"/>
              </w:rPr>
              <w:t>62</w:t>
            </w:r>
            <w:r w:rsidR="008906E3" w:rsidRPr="008906E3">
              <w:rPr>
                <w:webHidden/>
                <w:sz w:val="22"/>
              </w:rPr>
              <w:fldChar w:fldCharType="end"/>
            </w:r>
          </w:hyperlink>
        </w:p>
        <w:p w14:paraId="54264DC6" w14:textId="1B46D4E8" w:rsidR="008906E3" w:rsidRPr="008906E3" w:rsidRDefault="003171FA">
          <w:pPr>
            <w:pStyle w:val="TOC3"/>
            <w:rPr>
              <w:rFonts w:asciiTheme="minorHAnsi" w:eastAsiaTheme="minorEastAsia" w:hAnsiTheme="minorHAnsi"/>
              <w:noProof/>
              <w:sz w:val="22"/>
              <w:lang w:eastAsia="zh-CN"/>
            </w:rPr>
          </w:pPr>
          <w:hyperlink w:anchor="_Toc109895530" w:history="1">
            <w:r w:rsidR="008906E3" w:rsidRPr="008906E3">
              <w:rPr>
                <w:rStyle w:val="Hyperlink"/>
                <w:noProof/>
                <w:sz w:val="22"/>
              </w:rPr>
              <w:t>1.</w:t>
            </w:r>
            <w:r w:rsidR="008906E3" w:rsidRPr="008906E3">
              <w:rPr>
                <w:rFonts w:asciiTheme="minorHAnsi" w:eastAsiaTheme="minorEastAsia" w:hAnsiTheme="minorHAnsi"/>
                <w:noProof/>
                <w:sz w:val="22"/>
                <w:lang w:eastAsia="zh-CN"/>
              </w:rPr>
              <w:tab/>
            </w:r>
            <w:r w:rsidR="008906E3" w:rsidRPr="008906E3">
              <w:rPr>
                <w:rStyle w:val="Hyperlink"/>
                <w:noProof/>
                <w:sz w:val="22"/>
              </w:rPr>
              <w:t>Estimated Impact on Medical Spending</w:t>
            </w:r>
            <w:r w:rsidR="008906E3" w:rsidRPr="008906E3">
              <w:rPr>
                <w:noProof/>
                <w:webHidden/>
                <w:sz w:val="22"/>
              </w:rPr>
              <w:tab/>
            </w:r>
            <w:r w:rsidR="008906E3" w:rsidRPr="008906E3">
              <w:rPr>
                <w:noProof/>
                <w:webHidden/>
                <w:sz w:val="22"/>
              </w:rPr>
              <w:fldChar w:fldCharType="begin"/>
            </w:r>
            <w:r w:rsidR="008906E3" w:rsidRPr="008906E3">
              <w:rPr>
                <w:noProof/>
                <w:webHidden/>
                <w:sz w:val="22"/>
              </w:rPr>
              <w:instrText xml:space="preserve"> PAGEREF _Toc109895530 \h </w:instrText>
            </w:r>
            <w:r w:rsidR="008906E3" w:rsidRPr="008906E3">
              <w:rPr>
                <w:noProof/>
                <w:webHidden/>
                <w:sz w:val="22"/>
              </w:rPr>
            </w:r>
            <w:r w:rsidR="008906E3" w:rsidRPr="008906E3">
              <w:rPr>
                <w:noProof/>
                <w:webHidden/>
                <w:sz w:val="22"/>
              </w:rPr>
              <w:fldChar w:fldCharType="separate"/>
            </w:r>
            <w:r w:rsidR="00000A86">
              <w:rPr>
                <w:noProof/>
                <w:webHidden/>
                <w:sz w:val="22"/>
              </w:rPr>
              <w:t>62</w:t>
            </w:r>
            <w:r w:rsidR="008906E3" w:rsidRPr="008906E3">
              <w:rPr>
                <w:noProof/>
                <w:webHidden/>
                <w:sz w:val="22"/>
              </w:rPr>
              <w:fldChar w:fldCharType="end"/>
            </w:r>
          </w:hyperlink>
        </w:p>
        <w:p w14:paraId="5C8292B3" w14:textId="28459513" w:rsidR="008906E3" w:rsidRPr="008906E3" w:rsidRDefault="003171FA">
          <w:pPr>
            <w:pStyle w:val="TOC3"/>
            <w:rPr>
              <w:rFonts w:asciiTheme="minorHAnsi" w:eastAsiaTheme="minorEastAsia" w:hAnsiTheme="minorHAnsi"/>
              <w:noProof/>
              <w:sz w:val="22"/>
              <w:lang w:eastAsia="zh-CN"/>
            </w:rPr>
          </w:pPr>
          <w:hyperlink w:anchor="_Toc109895531" w:history="1">
            <w:r w:rsidR="008906E3" w:rsidRPr="008906E3">
              <w:rPr>
                <w:rStyle w:val="Hyperlink"/>
                <w:noProof/>
                <w:sz w:val="22"/>
              </w:rPr>
              <w:t>2.</w:t>
            </w:r>
            <w:r w:rsidR="008906E3" w:rsidRPr="008906E3">
              <w:rPr>
                <w:rFonts w:asciiTheme="minorHAnsi" w:eastAsiaTheme="minorEastAsia" w:hAnsiTheme="minorHAnsi"/>
                <w:noProof/>
                <w:sz w:val="22"/>
                <w:lang w:eastAsia="zh-CN"/>
              </w:rPr>
              <w:tab/>
            </w:r>
            <w:r w:rsidR="008906E3" w:rsidRPr="008906E3">
              <w:rPr>
                <w:rStyle w:val="Hyperlink"/>
                <w:noProof/>
                <w:sz w:val="22"/>
              </w:rPr>
              <w:t>Impact on Stakeholders from Change in Costs or Realized Savings</w:t>
            </w:r>
            <w:r w:rsidR="008906E3" w:rsidRPr="008906E3">
              <w:rPr>
                <w:noProof/>
                <w:webHidden/>
                <w:sz w:val="22"/>
              </w:rPr>
              <w:tab/>
            </w:r>
            <w:r w:rsidR="008906E3" w:rsidRPr="008906E3">
              <w:rPr>
                <w:noProof/>
                <w:webHidden/>
                <w:sz w:val="22"/>
              </w:rPr>
              <w:fldChar w:fldCharType="begin"/>
            </w:r>
            <w:r w:rsidR="008906E3" w:rsidRPr="008906E3">
              <w:rPr>
                <w:noProof/>
                <w:webHidden/>
                <w:sz w:val="22"/>
              </w:rPr>
              <w:instrText xml:space="preserve"> PAGEREF _Toc109895531 \h </w:instrText>
            </w:r>
            <w:r w:rsidR="008906E3" w:rsidRPr="008906E3">
              <w:rPr>
                <w:noProof/>
                <w:webHidden/>
                <w:sz w:val="22"/>
              </w:rPr>
            </w:r>
            <w:r w:rsidR="008906E3" w:rsidRPr="008906E3">
              <w:rPr>
                <w:noProof/>
                <w:webHidden/>
                <w:sz w:val="22"/>
              </w:rPr>
              <w:fldChar w:fldCharType="separate"/>
            </w:r>
            <w:r w:rsidR="00000A86">
              <w:rPr>
                <w:noProof/>
                <w:webHidden/>
                <w:sz w:val="22"/>
              </w:rPr>
              <w:t>64</w:t>
            </w:r>
            <w:r w:rsidR="008906E3" w:rsidRPr="008906E3">
              <w:rPr>
                <w:noProof/>
                <w:webHidden/>
                <w:sz w:val="22"/>
              </w:rPr>
              <w:fldChar w:fldCharType="end"/>
            </w:r>
          </w:hyperlink>
        </w:p>
        <w:p w14:paraId="1842D1D8" w14:textId="56365C61" w:rsidR="008906E3" w:rsidRPr="008906E3" w:rsidRDefault="003171FA">
          <w:pPr>
            <w:pStyle w:val="TOC1"/>
            <w:rPr>
              <w:rFonts w:asciiTheme="minorHAnsi" w:eastAsiaTheme="minorEastAsia" w:hAnsiTheme="minorHAnsi"/>
              <w:b w:val="0"/>
              <w:caps w:val="0"/>
              <w:sz w:val="22"/>
              <w:lang w:eastAsia="zh-CN"/>
            </w:rPr>
          </w:pPr>
          <w:hyperlink w:anchor="_Toc109895532" w:history="1">
            <w:r w:rsidR="008906E3" w:rsidRPr="008906E3">
              <w:rPr>
                <w:rStyle w:val="Hyperlink"/>
                <w:sz w:val="22"/>
              </w:rPr>
              <w:t>XIII.</w:t>
            </w:r>
            <w:r w:rsidR="008906E3" w:rsidRPr="008906E3">
              <w:rPr>
                <w:rFonts w:asciiTheme="minorHAnsi" w:eastAsiaTheme="minorEastAsia" w:hAnsiTheme="minorHAnsi"/>
                <w:b w:val="0"/>
                <w:caps w:val="0"/>
                <w:sz w:val="22"/>
                <w:lang w:eastAsia="zh-CN"/>
              </w:rPr>
              <w:tab/>
            </w:r>
            <w:r w:rsidR="008906E3" w:rsidRPr="008906E3">
              <w:rPr>
                <w:rStyle w:val="Hyperlink"/>
                <w:sz w:val="22"/>
              </w:rPr>
              <w:t>Additional Questions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_Toc109895532 \h </w:instrText>
            </w:r>
            <w:r w:rsidR="008906E3" w:rsidRPr="008906E3">
              <w:rPr>
                <w:webHidden/>
                <w:sz w:val="22"/>
              </w:rPr>
            </w:r>
            <w:r w:rsidR="008906E3" w:rsidRPr="008906E3">
              <w:rPr>
                <w:webHidden/>
                <w:sz w:val="22"/>
              </w:rPr>
              <w:fldChar w:fldCharType="separate"/>
            </w:r>
            <w:r w:rsidR="00000A86">
              <w:rPr>
                <w:webHidden/>
                <w:sz w:val="22"/>
              </w:rPr>
              <w:t>64</w:t>
            </w:r>
            <w:r w:rsidR="008906E3" w:rsidRPr="008906E3">
              <w:rPr>
                <w:webHidden/>
                <w:sz w:val="22"/>
              </w:rPr>
              <w:fldChar w:fldCharType="end"/>
            </w:r>
          </w:hyperlink>
        </w:p>
        <w:p w14:paraId="567905C3" w14:textId="77F0D51A" w:rsidR="008906E3" w:rsidRPr="008906E3" w:rsidRDefault="003171FA">
          <w:pPr>
            <w:pStyle w:val="TOC2"/>
            <w:rPr>
              <w:rFonts w:asciiTheme="minorHAnsi" w:eastAsiaTheme="minorEastAsia" w:hAnsiTheme="minorHAnsi" w:cstheme="minorBidi"/>
              <w:bCs w:val="0"/>
              <w:sz w:val="22"/>
              <w:lang w:eastAsia="zh-CN"/>
            </w:rPr>
          </w:pPr>
          <w:hyperlink w:anchor="_Toc109895533" w:history="1">
            <w:r w:rsidR="008906E3" w:rsidRPr="008906E3">
              <w:rPr>
                <w:rStyle w:val="Hyperlink"/>
                <w:sz w:val="22"/>
              </w:rPr>
              <w:t>A.</w:t>
            </w:r>
            <w:r w:rsidR="008906E3" w:rsidRPr="008906E3">
              <w:rPr>
                <w:rFonts w:asciiTheme="minorHAnsi" w:eastAsiaTheme="minorEastAsia" w:hAnsiTheme="minorHAnsi" w:cstheme="minorBidi"/>
                <w:bCs w:val="0"/>
                <w:sz w:val="22"/>
                <w:lang w:eastAsia="zh-CN"/>
              </w:rPr>
              <w:tab/>
            </w:r>
            <w:r w:rsidR="008906E3" w:rsidRPr="008906E3">
              <w:rPr>
                <w:rStyle w:val="Hyperlink"/>
                <w:sz w:val="22"/>
              </w:rPr>
              <w:t>Questions on the Impact of the Proposed Project</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_Toc109895533 \h </w:instrText>
            </w:r>
            <w:r w:rsidR="008906E3" w:rsidRPr="008906E3">
              <w:rPr>
                <w:webHidden/>
                <w:sz w:val="22"/>
              </w:rPr>
            </w:r>
            <w:r w:rsidR="008906E3" w:rsidRPr="008906E3">
              <w:rPr>
                <w:webHidden/>
                <w:sz w:val="22"/>
              </w:rPr>
              <w:fldChar w:fldCharType="separate"/>
            </w:r>
            <w:r w:rsidR="00000A86">
              <w:rPr>
                <w:webHidden/>
                <w:sz w:val="22"/>
              </w:rPr>
              <w:t>64</w:t>
            </w:r>
            <w:r w:rsidR="008906E3" w:rsidRPr="008906E3">
              <w:rPr>
                <w:webHidden/>
                <w:sz w:val="22"/>
              </w:rPr>
              <w:fldChar w:fldCharType="end"/>
            </w:r>
          </w:hyperlink>
        </w:p>
        <w:p w14:paraId="7BDEEFD0" w14:textId="1E988A85" w:rsidR="008906E3" w:rsidRPr="008906E3" w:rsidRDefault="003171FA">
          <w:pPr>
            <w:pStyle w:val="TOC2"/>
            <w:rPr>
              <w:rFonts w:asciiTheme="minorHAnsi" w:eastAsiaTheme="minorEastAsia" w:hAnsiTheme="minorHAnsi" w:cstheme="minorBidi"/>
              <w:bCs w:val="0"/>
              <w:sz w:val="22"/>
              <w:lang w:eastAsia="zh-CN"/>
            </w:rPr>
          </w:pPr>
          <w:hyperlink w:anchor="_Toc109895534" w:history="1">
            <w:r w:rsidR="008906E3" w:rsidRPr="008906E3">
              <w:rPr>
                <w:rStyle w:val="Hyperlink"/>
                <w:sz w:val="22"/>
              </w:rPr>
              <w:t>B.</w:t>
            </w:r>
            <w:r w:rsidR="008906E3" w:rsidRPr="008906E3">
              <w:rPr>
                <w:rFonts w:asciiTheme="minorHAnsi" w:eastAsiaTheme="minorEastAsia" w:hAnsiTheme="minorHAnsi" w:cstheme="minorBidi"/>
                <w:bCs w:val="0"/>
                <w:sz w:val="22"/>
                <w:lang w:eastAsia="zh-CN"/>
              </w:rPr>
              <w:tab/>
            </w:r>
            <w:r w:rsidR="008906E3" w:rsidRPr="008906E3">
              <w:rPr>
                <w:rStyle w:val="Hyperlink"/>
                <w:sz w:val="22"/>
              </w:rPr>
              <w:t>Needham Facility Reimbursement Rates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_Toc109895534 \h </w:instrText>
            </w:r>
            <w:r w:rsidR="008906E3" w:rsidRPr="008906E3">
              <w:rPr>
                <w:webHidden/>
                <w:sz w:val="22"/>
              </w:rPr>
            </w:r>
            <w:r w:rsidR="008906E3" w:rsidRPr="008906E3">
              <w:rPr>
                <w:webHidden/>
                <w:sz w:val="22"/>
              </w:rPr>
              <w:fldChar w:fldCharType="separate"/>
            </w:r>
            <w:r w:rsidR="00000A86">
              <w:rPr>
                <w:webHidden/>
                <w:sz w:val="22"/>
              </w:rPr>
              <w:t>66</w:t>
            </w:r>
            <w:r w:rsidR="008906E3" w:rsidRPr="008906E3">
              <w:rPr>
                <w:webHidden/>
                <w:sz w:val="22"/>
              </w:rPr>
              <w:fldChar w:fldCharType="end"/>
            </w:r>
          </w:hyperlink>
        </w:p>
        <w:p w14:paraId="32A306EF" w14:textId="582E55F0" w:rsidR="008906E3" w:rsidRPr="008906E3" w:rsidRDefault="003171FA">
          <w:pPr>
            <w:pStyle w:val="TOC2"/>
            <w:rPr>
              <w:rFonts w:asciiTheme="minorHAnsi" w:eastAsiaTheme="minorEastAsia" w:hAnsiTheme="minorHAnsi" w:cstheme="minorBidi"/>
              <w:bCs w:val="0"/>
              <w:sz w:val="22"/>
              <w:lang w:eastAsia="zh-CN"/>
            </w:rPr>
          </w:pPr>
          <w:hyperlink w:anchor="_Toc109895535" w:history="1">
            <w:r w:rsidR="008906E3" w:rsidRPr="008906E3">
              <w:rPr>
                <w:rStyle w:val="Hyperlink"/>
                <w:sz w:val="22"/>
              </w:rPr>
              <w:t>C.</w:t>
            </w:r>
            <w:r w:rsidR="008906E3" w:rsidRPr="008906E3">
              <w:rPr>
                <w:rFonts w:asciiTheme="minorHAnsi" w:eastAsiaTheme="minorEastAsia" w:hAnsiTheme="minorHAnsi" w:cstheme="minorBidi"/>
                <w:bCs w:val="0"/>
                <w:sz w:val="22"/>
                <w:lang w:eastAsia="zh-CN"/>
              </w:rPr>
              <w:tab/>
            </w:r>
            <w:r w:rsidR="008906E3" w:rsidRPr="008906E3">
              <w:rPr>
                <w:rStyle w:val="Hyperlink"/>
                <w:sz w:val="22"/>
              </w:rPr>
              <w:t>Sources of Demand for New Facilities and Shifts in Site of Care</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_Toc109895535 \h </w:instrText>
            </w:r>
            <w:r w:rsidR="008906E3" w:rsidRPr="008906E3">
              <w:rPr>
                <w:webHidden/>
                <w:sz w:val="22"/>
              </w:rPr>
            </w:r>
            <w:r w:rsidR="008906E3" w:rsidRPr="008906E3">
              <w:rPr>
                <w:webHidden/>
                <w:sz w:val="22"/>
              </w:rPr>
              <w:fldChar w:fldCharType="separate"/>
            </w:r>
            <w:r w:rsidR="00000A86">
              <w:rPr>
                <w:webHidden/>
                <w:sz w:val="22"/>
              </w:rPr>
              <w:t>67</w:t>
            </w:r>
            <w:r w:rsidR="008906E3" w:rsidRPr="008906E3">
              <w:rPr>
                <w:webHidden/>
                <w:sz w:val="22"/>
              </w:rPr>
              <w:fldChar w:fldCharType="end"/>
            </w:r>
          </w:hyperlink>
        </w:p>
        <w:p w14:paraId="334DC8C8" w14:textId="1FB688AF" w:rsidR="008906E3" w:rsidRPr="008906E3" w:rsidRDefault="003171FA">
          <w:pPr>
            <w:pStyle w:val="TOC2"/>
            <w:rPr>
              <w:rFonts w:asciiTheme="minorHAnsi" w:eastAsiaTheme="minorEastAsia" w:hAnsiTheme="minorHAnsi" w:cstheme="minorBidi"/>
              <w:bCs w:val="0"/>
              <w:sz w:val="22"/>
              <w:lang w:eastAsia="zh-CN"/>
            </w:rPr>
          </w:pPr>
          <w:hyperlink w:anchor="_Toc109895536" w:history="1">
            <w:r w:rsidR="008906E3" w:rsidRPr="008906E3">
              <w:rPr>
                <w:rStyle w:val="Hyperlink"/>
                <w:sz w:val="22"/>
              </w:rPr>
              <w:t>D.</w:t>
            </w:r>
            <w:r w:rsidR="008906E3" w:rsidRPr="008906E3">
              <w:rPr>
                <w:rFonts w:asciiTheme="minorHAnsi" w:eastAsiaTheme="minorEastAsia" w:hAnsiTheme="minorHAnsi" w:cstheme="minorBidi"/>
                <w:bCs w:val="0"/>
                <w:sz w:val="22"/>
                <w:lang w:eastAsia="zh-CN"/>
              </w:rPr>
              <w:tab/>
            </w:r>
            <w:r w:rsidR="008906E3" w:rsidRPr="008906E3">
              <w:rPr>
                <w:rStyle w:val="Hyperlink"/>
                <w:sz w:val="22"/>
              </w:rPr>
              <w:t>Relative Prices of New Locations to Existing Pediatric Providers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_Toc109895536 \h </w:instrText>
            </w:r>
            <w:r w:rsidR="008906E3" w:rsidRPr="008906E3">
              <w:rPr>
                <w:webHidden/>
                <w:sz w:val="22"/>
              </w:rPr>
            </w:r>
            <w:r w:rsidR="008906E3" w:rsidRPr="008906E3">
              <w:rPr>
                <w:webHidden/>
                <w:sz w:val="22"/>
              </w:rPr>
              <w:fldChar w:fldCharType="separate"/>
            </w:r>
            <w:r w:rsidR="00000A86">
              <w:rPr>
                <w:webHidden/>
                <w:sz w:val="22"/>
              </w:rPr>
              <w:t>67</w:t>
            </w:r>
            <w:r w:rsidR="008906E3" w:rsidRPr="008906E3">
              <w:rPr>
                <w:webHidden/>
                <w:sz w:val="22"/>
              </w:rPr>
              <w:fldChar w:fldCharType="end"/>
            </w:r>
          </w:hyperlink>
        </w:p>
        <w:p w14:paraId="4A1C5ED9" w14:textId="429BC69C" w:rsidR="008906E3" w:rsidRPr="008906E3" w:rsidRDefault="003171FA">
          <w:pPr>
            <w:pStyle w:val="TOC2"/>
            <w:rPr>
              <w:rFonts w:asciiTheme="minorHAnsi" w:eastAsiaTheme="minorEastAsia" w:hAnsiTheme="minorHAnsi" w:cstheme="minorBidi"/>
              <w:bCs w:val="0"/>
              <w:sz w:val="22"/>
              <w:lang w:eastAsia="zh-CN"/>
            </w:rPr>
          </w:pPr>
          <w:hyperlink w:anchor="_Toc109895537" w:history="1">
            <w:r w:rsidR="008906E3" w:rsidRPr="008906E3">
              <w:rPr>
                <w:rStyle w:val="Hyperlink"/>
                <w:sz w:val="22"/>
              </w:rPr>
              <w:t>E.</w:t>
            </w:r>
            <w:r w:rsidR="008906E3" w:rsidRPr="008906E3">
              <w:rPr>
                <w:rFonts w:asciiTheme="minorHAnsi" w:eastAsiaTheme="minorEastAsia" w:hAnsiTheme="minorHAnsi" w:cstheme="minorBidi"/>
                <w:bCs w:val="0"/>
                <w:sz w:val="22"/>
                <w:lang w:eastAsia="zh-CN"/>
              </w:rPr>
              <w:tab/>
            </w:r>
            <w:r w:rsidR="008906E3" w:rsidRPr="008906E3">
              <w:rPr>
                <w:rStyle w:val="Hyperlink"/>
                <w:sz w:val="22"/>
              </w:rPr>
              <w:t>Impact on BCH Payer Mix</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_Toc109895537 \h </w:instrText>
            </w:r>
            <w:r w:rsidR="008906E3" w:rsidRPr="008906E3">
              <w:rPr>
                <w:webHidden/>
                <w:sz w:val="22"/>
              </w:rPr>
            </w:r>
            <w:r w:rsidR="008906E3" w:rsidRPr="008906E3">
              <w:rPr>
                <w:webHidden/>
                <w:sz w:val="22"/>
              </w:rPr>
              <w:fldChar w:fldCharType="separate"/>
            </w:r>
            <w:r w:rsidR="00000A86">
              <w:rPr>
                <w:webHidden/>
                <w:sz w:val="22"/>
              </w:rPr>
              <w:t>67</w:t>
            </w:r>
            <w:r w:rsidR="008906E3" w:rsidRPr="008906E3">
              <w:rPr>
                <w:webHidden/>
                <w:sz w:val="22"/>
              </w:rPr>
              <w:fldChar w:fldCharType="end"/>
            </w:r>
          </w:hyperlink>
        </w:p>
        <w:p w14:paraId="3D6F7B88" w14:textId="1047DD42" w:rsidR="008906E3" w:rsidRPr="008906E3" w:rsidRDefault="003171FA">
          <w:pPr>
            <w:pStyle w:val="TOC1"/>
            <w:rPr>
              <w:rFonts w:asciiTheme="minorHAnsi" w:eastAsiaTheme="minorEastAsia" w:hAnsiTheme="minorHAnsi"/>
              <w:b w:val="0"/>
              <w:caps w:val="0"/>
              <w:sz w:val="22"/>
              <w:lang w:eastAsia="zh-CN"/>
            </w:rPr>
          </w:pPr>
          <w:hyperlink w:anchor="_Toc109895538" w:history="1">
            <w:r w:rsidR="008906E3" w:rsidRPr="008906E3">
              <w:rPr>
                <w:rStyle w:val="Hyperlink"/>
                <w:sz w:val="22"/>
              </w:rPr>
              <w:t>XIV.</w:t>
            </w:r>
            <w:r w:rsidR="008906E3" w:rsidRPr="008906E3">
              <w:rPr>
                <w:rFonts w:asciiTheme="minorHAnsi" w:eastAsiaTheme="minorEastAsia" w:hAnsiTheme="minorHAnsi"/>
                <w:b w:val="0"/>
                <w:caps w:val="0"/>
                <w:sz w:val="22"/>
                <w:lang w:eastAsia="zh-CN"/>
              </w:rPr>
              <w:tab/>
            </w:r>
            <w:r w:rsidR="008906E3" w:rsidRPr="008906E3">
              <w:rPr>
                <w:rStyle w:val="Hyperlink"/>
                <w:sz w:val="22"/>
              </w:rPr>
              <w:t>Additional Analyses of Service Lines (Partial Hospitalization, Sleep Services, GI)</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_Toc109895538 \h </w:instrText>
            </w:r>
            <w:r w:rsidR="008906E3" w:rsidRPr="008906E3">
              <w:rPr>
                <w:webHidden/>
                <w:sz w:val="22"/>
              </w:rPr>
            </w:r>
            <w:r w:rsidR="008906E3" w:rsidRPr="008906E3">
              <w:rPr>
                <w:webHidden/>
                <w:sz w:val="22"/>
              </w:rPr>
              <w:fldChar w:fldCharType="separate"/>
            </w:r>
            <w:r w:rsidR="00000A86">
              <w:rPr>
                <w:webHidden/>
                <w:sz w:val="22"/>
              </w:rPr>
              <w:t>68</w:t>
            </w:r>
            <w:r w:rsidR="008906E3" w:rsidRPr="008906E3">
              <w:rPr>
                <w:webHidden/>
                <w:sz w:val="22"/>
              </w:rPr>
              <w:fldChar w:fldCharType="end"/>
            </w:r>
          </w:hyperlink>
        </w:p>
        <w:p w14:paraId="78E2DBEE" w14:textId="4EB4D38E" w:rsidR="008906E3" w:rsidRPr="008906E3" w:rsidRDefault="003171FA">
          <w:pPr>
            <w:pStyle w:val="TOC2"/>
            <w:rPr>
              <w:rFonts w:asciiTheme="minorHAnsi" w:eastAsiaTheme="minorEastAsia" w:hAnsiTheme="minorHAnsi" w:cstheme="minorBidi"/>
              <w:bCs w:val="0"/>
              <w:sz w:val="22"/>
              <w:lang w:eastAsia="zh-CN"/>
            </w:rPr>
          </w:pPr>
          <w:hyperlink w:anchor="_Toc109895539" w:history="1">
            <w:r w:rsidR="008906E3" w:rsidRPr="008906E3">
              <w:rPr>
                <w:rStyle w:val="Hyperlink"/>
                <w:sz w:val="22"/>
              </w:rPr>
              <w:t>A.</w:t>
            </w:r>
            <w:r w:rsidR="008906E3" w:rsidRPr="008906E3">
              <w:rPr>
                <w:rFonts w:asciiTheme="minorHAnsi" w:eastAsiaTheme="minorEastAsia" w:hAnsiTheme="minorHAnsi" w:cstheme="minorBidi"/>
                <w:bCs w:val="0"/>
                <w:sz w:val="22"/>
                <w:lang w:eastAsia="zh-CN"/>
              </w:rPr>
              <w:tab/>
            </w:r>
            <w:r w:rsidR="008906E3" w:rsidRPr="008906E3">
              <w:rPr>
                <w:rStyle w:val="Hyperlink"/>
                <w:sz w:val="22"/>
              </w:rPr>
              <w:t>Sleep Medicine</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_Toc109895539 \h </w:instrText>
            </w:r>
            <w:r w:rsidR="008906E3" w:rsidRPr="008906E3">
              <w:rPr>
                <w:webHidden/>
                <w:sz w:val="22"/>
              </w:rPr>
            </w:r>
            <w:r w:rsidR="008906E3" w:rsidRPr="008906E3">
              <w:rPr>
                <w:webHidden/>
                <w:sz w:val="22"/>
              </w:rPr>
              <w:fldChar w:fldCharType="separate"/>
            </w:r>
            <w:r w:rsidR="00000A86">
              <w:rPr>
                <w:webHidden/>
                <w:sz w:val="22"/>
              </w:rPr>
              <w:t>68</w:t>
            </w:r>
            <w:r w:rsidR="008906E3" w:rsidRPr="008906E3">
              <w:rPr>
                <w:webHidden/>
                <w:sz w:val="22"/>
              </w:rPr>
              <w:fldChar w:fldCharType="end"/>
            </w:r>
          </w:hyperlink>
        </w:p>
        <w:p w14:paraId="321C3D43" w14:textId="309BDC76" w:rsidR="008906E3" w:rsidRPr="008906E3" w:rsidRDefault="003171FA">
          <w:pPr>
            <w:pStyle w:val="TOC2"/>
            <w:rPr>
              <w:rFonts w:asciiTheme="minorHAnsi" w:eastAsiaTheme="minorEastAsia" w:hAnsiTheme="minorHAnsi" w:cstheme="minorBidi"/>
              <w:bCs w:val="0"/>
              <w:sz w:val="22"/>
              <w:lang w:eastAsia="zh-CN"/>
            </w:rPr>
          </w:pPr>
          <w:hyperlink w:anchor="_Toc109895540" w:history="1">
            <w:r w:rsidR="008906E3" w:rsidRPr="008906E3">
              <w:rPr>
                <w:rStyle w:val="Hyperlink"/>
                <w:sz w:val="22"/>
              </w:rPr>
              <w:t>B.</w:t>
            </w:r>
            <w:r w:rsidR="008906E3" w:rsidRPr="008906E3">
              <w:rPr>
                <w:rFonts w:asciiTheme="minorHAnsi" w:eastAsiaTheme="minorEastAsia" w:hAnsiTheme="minorHAnsi" w:cstheme="minorBidi"/>
                <w:bCs w:val="0"/>
                <w:sz w:val="22"/>
                <w:lang w:eastAsia="zh-CN"/>
              </w:rPr>
              <w:tab/>
            </w:r>
            <w:r w:rsidR="008906E3" w:rsidRPr="008906E3">
              <w:rPr>
                <w:rStyle w:val="Hyperlink"/>
                <w:sz w:val="22"/>
              </w:rPr>
              <w:t>Gastroenterology (GI) Services</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_Toc109895540 \h </w:instrText>
            </w:r>
            <w:r w:rsidR="008906E3" w:rsidRPr="008906E3">
              <w:rPr>
                <w:webHidden/>
                <w:sz w:val="22"/>
              </w:rPr>
            </w:r>
            <w:r w:rsidR="008906E3" w:rsidRPr="008906E3">
              <w:rPr>
                <w:webHidden/>
                <w:sz w:val="22"/>
              </w:rPr>
              <w:fldChar w:fldCharType="separate"/>
            </w:r>
            <w:r w:rsidR="00000A86">
              <w:rPr>
                <w:webHidden/>
                <w:sz w:val="22"/>
              </w:rPr>
              <w:t>69</w:t>
            </w:r>
            <w:r w:rsidR="008906E3" w:rsidRPr="008906E3">
              <w:rPr>
                <w:webHidden/>
                <w:sz w:val="22"/>
              </w:rPr>
              <w:fldChar w:fldCharType="end"/>
            </w:r>
          </w:hyperlink>
        </w:p>
        <w:p w14:paraId="0066FA4D" w14:textId="454047ED" w:rsidR="008906E3" w:rsidRPr="008906E3" w:rsidRDefault="003171FA">
          <w:pPr>
            <w:pStyle w:val="TOC2"/>
            <w:rPr>
              <w:rFonts w:asciiTheme="minorHAnsi" w:eastAsiaTheme="minorEastAsia" w:hAnsiTheme="minorHAnsi" w:cstheme="minorBidi"/>
              <w:bCs w:val="0"/>
              <w:sz w:val="22"/>
              <w:lang w:eastAsia="zh-CN"/>
            </w:rPr>
          </w:pPr>
          <w:hyperlink w:anchor="_Toc109895541" w:history="1">
            <w:r w:rsidR="008906E3" w:rsidRPr="008906E3">
              <w:rPr>
                <w:rStyle w:val="Hyperlink"/>
                <w:sz w:val="22"/>
              </w:rPr>
              <w:t>C.</w:t>
            </w:r>
            <w:r w:rsidR="008906E3" w:rsidRPr="008906E3">
              <w:rPr>
                <w:rFonts w:asciiTheme="minorHAnsi" w:eastAsiaTheme="minorEastAsia" w:hAnsiTheme="minorHAnsi" w:cstheme="minorBidi"/>
                <w:bCs w:val="0"/>
                <w:sz w:val="22"/>
                <w:lang w:eastAsia="zh-CN"/>
              </w:rPr>
              <w:tab/>
            </w:r>
            <w:r w:rsidR="008906E3" w:rsidRPr="008906E3">
              <w:rPr>
                <w:rStyle w:val="Hyperlink"/>
                <w:sz w:val="22"/>
              </w:rPr>
              <w:t>Partial Hospitalization Program</w:t>
            </w:r>
            <w:r w:rsidR="008906E3" w:rsidRPr="008906E3">
              <w:rPr>
                <w:webHidden/>
                <w:sz w:val="22"/>
              </w:rPr>
              <w:tab/>
            </w:r>
            <w:r w:rsidR="008906E3" w:rsidRPr="008906E3">
              <w:rPr>
                <w:webHidden/>
                <w:sz w:val="22"/>
              </w:rPr>
              <w:fldChar w:fldCharType="begin"/>
            </w:r>
            <w:r w:rsidR="008906E3" w:rsidRPr="008906E3">
              <w:rPr>
                <w:webHidden/>
                <w:sz w:val="22"/>
              </w:rPr>
              <w:instrText xml:space="preserve"> PAGEREF _Toc109895541 \h </w:instrText>
            </w:r>
            <w:r w:rsidR="008906E3" w:rsidRPr="008906E3">
              <w:rPr>
                <w:webHidden/>
                <w:sz w:val="22"/>
              </w:rPr>
            </w:r>
            <w:r w:rsidR="008906E3" w:rsidRPr="008906E3">
              <w:rPr>
                <w:webHidden/>
                <w:sz w:val="22"/>
              </w:rPr>
              <w:fldChar w:fldCharType="separate"/>
            </w:r>
            <w:r w:rsidR="00000A86">
              <w:rPr>
                <w:webHidden/>
                <w:sz w:val="22"/>
              </w:rPr>
              <w:t>69</w:t>
            </w:r>
            <w:r w:rsidR="008906E3" w:rsidRPr="008906E3">
              <w:rPr>
                <w:webHidden/>
                <w:sz w:val="22"/>
              </w:rPr>
              <w:fldChar w:fldCharType="end"/>
            </w:r>
          </w:hyperlink>
        </w:p>
        <w:p w14:paraId="7725EDEC" w14:textId="32F3F518" w:rsidR="00C02A55" w:rsidRPr="008906E3" w:rsidRDefault="00C02A55" w:rsidP="00DF0E63">
          <w:pPr>
            <w:pStyle w:val="BodyText"/>
            <w:rPr>
              <w:sz w:val="22"/>
              <w:szCs w:val="22"/>
            </w:rPr>
          </w:pPr>
          <w:r w:rsidRPr="008906E3">
            <w:rPr>
              <w:b/>
              <w:noProof/>
              <w:sz w:val="22"/>
              <w:szCs w:val="22"/>
            </w:rPr>
            <w:fldChar w:fldCharType="end"/>
          </w:r>
        </w:p>
      </w:sdtContent>
    </w:sdt>
    <w:p w14:paraId="63DB3009" w14:textId="77777777" w:rsidR="00DF0E63" w:rsidRDefault="00DF0E63" w:rsidP="00FC4424">
      <w:pPr>
        <w:pStyle w:val="TOCHeading"/>
        <w:spacing w:before="0"/>
        <w:rPr>
          <w:rFonts w:hint="eastAsia"/>
        </w:rPr>
      </w:pPr>
      <w:r>
        <w:t>Table of FIGURES</w:t>
      </w:r>
    </w:p>
    <w:p w14:paraId="498D4B78" w14:textId="50673C09" w:rsidR="00E25E81" w:rsidRDefault="00DF0E63" w:rsidP="00E25E81">
      <w:pPr>
        <w:pStyle w:val="TableofFigures"/>
        <w:numPr>
          <w:ilvl w:val="0"/>
          <w:numId w:val="0"/>
        </w:numPr>
        <w:tabs>
          <w:tab w:val="right" w:leader="dot" w:pos="9350"/>
        </w:tabs>
        <w:ind w:left="-540" w:firstLine="540"/>
        <w:rPr>
          <w:rFonts w:asciiTheme="minorHAnsi" w:eastAsiaTheme="minorEastAsia" w:hAnsiTheme="minorHAnsi"/>
          <w:noProof/>
          <w:sz w:val="22"/>
          <w:lang w:eastAsia="zh-CN"/>
        </w:rPr>
      </w:pPr>
      <w:r>
        <w:rPr>
          <w:rFonts w:hint="eastAsia"/>
          <w:caps/>
          <w:noProof/>
          <w:szCs w:val="32"/>
        </w:rPr>
        <w:fldChar w:fldCharType="begin"/>
      </w:r>
      <w:r>
        <w:rPr>
          <w:rFonts w:hint="eastAsia"/>
          <w:caps/>
          <w:szCs w:val="32"/>
        </w:rPr>
        <w:instrText xml:space="preserve"> TOC \h \z \c "Figure" </w:instrText>
      </w:r>
      <w:r>
        <w:rPr>
          <w:rFonts w:hint="eastAsia"/>
          <w:caps/>
          <w:noProof/>
          <w:szCs w:val="32"/>
        </w:rPr>
        <w:fldChar w:fldCharType="separate"/>
      </w:r>
      <w:hyperlink w:anchor="_Toc109901086" w:history="1">
        <w:r w:rsidR="00E25E81" w:rsidRPr="00EA58E1">
          <w:rPr>
            <w:rStyle w:val="Hyperlink"/>
            <w:noProof/>
          </w:rPr>
          <w:t>Figure 1: Overview of Massachusetts Health Systems with Children’s Hospitals</w:t>
        </w:r>
        <w:r w:rsidR="00E25E81">
          <w:rPr>
            <w:noProof/>
            <w:webHidden/>
          </w:rPr>
          <w:tab/>
        </w:r>
        <w:r w:rsidR="00E25E81">
          <w:rPr>
            <w:noProof/>
            <w:webHidden/>
          </w:rPr>
          <w:fldChar w:fldCharType="begin"/>
        </w:r>
        <w:r w:rsidR="00E25E81">
          <w:rPr>
            <w:noProof/>
            <w:webHidden/>
          </w:rPr>
          <w:instrText xml:space="preserve"> PAGEREF _Toc109901086 \h </w:instrText>
        </w:r>
        <w:r w:rsidR="00E25E81">
          <w:rPr>
            <w:noProof/>
            <w:webHidden/>
          </w:rPr>
        </w:r>
        <w:r w:rsidR="00E25E81">
          <w:rPr>
            <w:noProof/>
            <w:webHidden/>
          </w:rPr>
          <w:fldChar w:fldCharType="separate"/>
        </w:r>
        <w:r w:rsidR="00000A86">
          <w:rPr>
            <w:noProof/>
            <w:webHidden/>
          </w:rPr>
          <w:t>26</w:t>
        </w:r>
        <w:r w:rsidR="00E25E81">
          <w:rPr>
            <w:noProof/>
            <w:webHidden/>
          </w:rPr>
          <w:fldChar w:fldCharType="end"/>
        </w:r>
      </w:hyperlink>
    </w:p>
    <w:p w14:paraId="4C951EEC" w14:textId="5499D04D" w:rsidR="00E25E81" w:rsidRDefault="003171FA" w:rsidP="00E25E81">
      <w:pPr>
        <w:pStyle w:val="TableofFigures"/>
        <w:numPr>
          <w:ilvl w:val="0"/>
          <w:numId w:val="0"/>
        </w:numPr>
        <w:tabs>
          <w:tab w:val="right" w:leader="dot" w:pos="9350"/>
        </w:tabs>
        <w:ind w:left="-540" w:firstLine="540"/>
        <w:rPr>
          <w:rFonts w:asciiTheme="minorHAnsi" w:eastAsiaTheme="minorEastAsia" w:hAnsiTheme="minorHAnsi"/>
          <w:noProof/>
          <w:sz w:val="22"/>
          <w:lang w:eastAsia="zh-CN"/>
        </w:rPr>
      </w:pPr>
      <w:hyperlink w:anchor="_Toc109901087" w:history="1">
        <w:r w:rsidR="00E25E81" w:rsidRPr="00EA58E1">
          <w:rPr>
            <w:rStyle w:val="Hyperlink"/>
            <w:noProof/>
          </w:rPr>
          <w:t>Figure 2: Overview of Boston Area Health Systems with Children’s Hospitals</w:t>
        </w:r>
        <w:r w:rsidR="00E25E81">
          <w:rPr>
            <w:noProof/>
            <w:webHidden/>
          </w:rPr>
          <w:tab/>
        </w:r>
        <w:r w:rsidR="00E25E81">
          <w:rPr>
            <w:noProof/>
            <w:webHidden/>
          </w:rPr>
          <w:fldChar w:fldCharType="begin"/>
        </w:r>
        <w:r w:rsidR="00E25E81">
          <w:rPr>
            <w:noProof/>
            <w:webHidden/>
          </w:rPr>
          <w:instrText xml:space="preserve"> PAGEREF _Toc109901087 \h </w:instrText>
        </w:r>
        <w:r w:rsidR="00E25E81">
          <w:rPr>
            <w:noProof/>
            <w:webHidden/>
          </w:rPr>
        </w:r>
        <w:r w:rsidR="00E25E81">
          <w:rPr>
            <w:noProof/>
            <w:webHidden/>
          </w:rPr>
          <w:fldChar w:fldCharType="separate"/>
        </w:r>
        <w:r w:rsidR="00000A86">
          <w:rPr>
            <w:noProof/>
            <w:webHidden/>
          </w:rPr>
          <w:t>27</w:t>
        </w:r>
        <w:r w:rsidR="00E25E81">
          <w:rPr>
            <w:noProof/>
            <w:webHidden/>
          </w:rPr>
          <w:fldChar w:fldCharType="end"/>
        </w:r>
      </w:hyperlink>
    </w:p>
    <w:p w14:paraId="0FD025E5" w14:textId="286F1A54" w:rsidR="00E25E81" w:rsidRDefault="003171FA" w:rsidP="00E25E81">
      <w:pPr>
        <w:pStyle w:val="TableofFigures"/>
        <w:numPr>
          <w:ilvl w:val="0"/>
          <w:numId w:val="0"/>
        </w:numPr>
        <w:tabs>
          <w:tab w:val="right" w:leader="dot" w:pos="9350"/>
        </w:tabs>
        <w:ind w:left="-540" w:firstLine="540"/>
        <w:rPr>
          <w:rFonts w:asciiTheme="minorHAnsi" w:eastAsiaTheme="minorEastAsia" w:hAnsiTheme="minorHAnsi"/>
          <w:noProof/>
          <w:sz w:val="22"/>
          <w:lang w:eastAsia="zh-CN"/>
        </w:rPr>
      </w:pPr>
      <w:hyperlink w:anchor="_Toc109901088" w:history="1">
        <w:r w:rsidR="00E25E81" w:rsidRPr="00EA58E1">
          <w:rPr>
            <w:rStyle w:val="Hyperlink"/>
            <w:noProof/>
          </w:rPr>
          <w:t>Figure 3: Needham Service Area, ASC</w:t>
        </w:r>
        <w:r w:rsidR="00E25E81">
          <w:rPr>
            <w:noProof/>
            <w:webHidden/>
          </w:rPr>
          <w:tab/>
        </w:r>
        <w:r w:rsidR="00E25E81">
          <w:rPr>
            <w:noProof/>
            <w:webHidden/>
          </w:rPr>
          <w:fldChar w:fldCharType="begin"/>
        </w:r>
        <w:r w:rsidR="00E25E81">
          <w:rPr>
            <w:noProof/>
            <w:webHidden/>
          </w:rPr>
          <w:instrText xml:space="preserve"> PAGEREF _Toc109901088 \h </w:instrText>
        </w:r>
        <w:r w:rsidR="00E25E81">
          <w:rPr>
            <w:noProof/>
            <w:webHidden/>
          </w:rPr>
        </w:r>
        <w:r w:rsidR="00E25E81">
          <w:rPr>
            <w:noProof/>
            <w:webHidden/>
          </w:rPr>
          <w:fldChar w:fldCharType="separate"/>
        </w:r>
        <w:r w:rsidR="00000A86">
          <w:rPr>
            <w:noProof/>
            <w:webHidden/>
          </w:rPr>
          <w:t>28</w:t>
        </w:r>
        <w:r w:rsidR="00E25E81">
          <w:rPr>
            <w:noProof/>
            <w:webHidden/>
          </w:rPr>
          <w:fldChar w:fldCharType="end"/>
        </w:r>
      </w:hyperlink>
    </w:p>
    <w:p w14:paraId="3F4A73B8" w14:textId="04DC23F8" w:rsidR="00E25E81" w:rsidRDefault="003171FA" w:rsidP="00E25E81">
      <w:pPr>
        <w:pStyle w:val="TableofFigures"/>
        <w:numPr>
          <w:ilvl w:val="0"/>
          <w:numId w:val="0"/>
        </w:numPr>
        <w:tabs>
          <w:tab w:val="right" w:leader="dot" w:pos="9350"/>
        </w:tabs>
        <w:ind w:left="-540" w:firstLine="540"/>
        <w:rPr>
          <w:rFonts w:asciiTheme="minorHAnsi" w:eastAsiaTheme="minorEastAsia" w:hAnsiTheme="minorHAnsi"/>
          <w:noProof/>
          <w:sz w:val="22"/>
          <w:lang w:eastAsia="zh-CN"/>
        </w:rPr>
      </w:pPr>
      <w:hyperlink w:anchor="_Toc109901089" w:history="1">
        <w:r w:rsidR="00E25E81" w:rsidRPr="00EA58E1">
          <w:rPr>
            <w:rStyle w:val="Hyperlink"/>
            <w:noProof/>
          </w:rPr>
          <w:t>Figure 4: Needham Service Area, Imaging</w:t>
        </w:r>
        <w:r w:rsidR="00E25E81">
          <w:rPr>
            <w:noProof/>
            <w:webHidden/>
          </w:rPr>
          <w:tab/>
        </w:r>
        <w:r w:rsidR="00E25E81">
          <w:rPr>
            <w:noProof/>
            <w:webHidden/>
          </w:rPr>
          <w:fldChar w:fldCharType="begin"/>
        </w:r>
        <w:r w:rsidR="00E25E81">
          <w:rPr>
            <w:noProof/>
            <w:webHidden/>
          </w:rPr>
          <w:instrText xml:space="preserve"> PAGEREF _Toc109901089 \h </w:instrText>
        </w:r>
        <w:r w:rsidR="00E25E81">
          <w:rPr>
            <w:noProof/>
            <w:webHidden/>
          </w:rPr>
        </w:r>
        <w:r w:rsidR="00E25E81">
          <w:rPr>
            <w:noProof/>
            <w:webHidden/>
          </w:rPr>
          <w:fldChar w:fldCharType="separate"/>
        </w:r>
        <w:r w:rsidR="00000A86">
          <w:rPr>
            <w:noProof/>
            <w:webHidden/>
          </w:rPr>
          <w:t>29</w:t>
        </w:r>
        <w:r w:rsidR="00E25E81">
          <w:rPr>
            <w:noProof/>
            <w:webHidden/>
          </w:rPr>
          <w:fldChar w:fldCharType="end"/>
        </w:r>
      </w:hyperlink>
    </w:p>
    <w:p w14:paraId="26463628" w14:textId="097569BE" w:rsidR="00E25E81" w:rsidRDefault="003171FA" w:rsidP="00E25E81">
      <w:pPr>
        <w:pStyle w:val="TableofFigures"/>
        <w:numPr>
          <w:ilvl w:val="0"/>
          <w:numId w:val="0"/>
        </w:numPr>
        <w:tabs>
          <w:tab w:val="right" w:leader="dot" w:pos="9350"/>
        </w:tabs>
        <w:ind w:left="-540" w:firstLine="540"/>
        <w:rPr>
          <w:rFonts w:asciiTheme="minorHAnsi" w:eastAsiaTheme="minorEastAsia" w:hAnsiTheme="minorHAnsi"/>
          <w:noProof/>
          <w:sz w:val="22"/>
          <w:lang w:eastAsia="zh-CN"/>
        </w:rPr>
      </w:pPr>
      <w:hyperlink w:anchor="_Toc109901090" w:history="1">
        <w:r w:rsidR="00E25E81" w:rsidRPr="00EA58E1">
          <w:rPr>
            <w:rStyle w:val="Hyperlink"/>
            <w:noProof/>
          </w:rPr>
          <w:t>Figure 5: Needham Service Area, MRI</w:t>
        </w:r>
        <w:r w:rsidR="00E25E81">
          <w:rPr>
            <w:noProof/>
            <w:webHidden/>
          </w:rPr>
          <w:tab/>
        </w:r>
        <w:r w:rsidR="00E25E81">
          <w:rPr>
            <w:noProof/>
            <w:webHidden/>
          </w:rPr>
          <w:fldChar w:fldCharType="begin"/>
        </w:r>
        <w:r w:rsidR="00E25E81">
          <w:rPr>
            <w:noProof/>
            <w:webHidden/>
          </w:rPr>
          <w:instrText xml:space="preserve"> PAGEREF _Toc109901090 \h </w:instrText>
        </w:r>
        <w:r w:rsidR="00E25E81">
          <w:rPr>
            <w:noProof/>
            <w:webHidden/>
          </w:rPr>
        </w:r>
        <w:r w:rsidR="00E25E81">
          <w:rPr>
            <w:noProof/>
            <w:webHidden/>
          </w:rPr>
          <w:fldChar w:fldCharType="separate"/>
        </w:r>
        <w:r w:rsidR="00000A86">
          <w:rPr>
            <w:noProof/>
            <w:webHidden/>
          </w:rPr>
          <w:t>30</w:t>
        </w:r>
        <w:r w:rsidR="00E25E81">
          <w:rPr>
            <w:noProof/>
            <w:webHidden/>
          </w:rPr>
          <w:fldChar w:fldCharType="end"/>
        </w:r>
      </w:hyperlink>
    </w:p>
    <w:p w14:paraId="6E986DFA" w14:textId="3AA3D2A7" w:rsidR="00E25E81" w:rsidRDefault="003171FA" w:rsidP="00E25E81">
      <w:pPr>
        <w:pStyle w:val="TableofFigures"/>
        <w:numPr>
          <w:ilvl w:val="0"/>
          <w:numId w:val="0"/>
        </w:numPr>
        <w:tabs>
          <w:tab w:val="right" w:leader="dot" w:pos="9350"/>
        </w:tabs>
        <w:ind w:left="-540" w:firstLine="540"/>
        <w:rPr>
          <w:rFonts w:asciiTheme="minorHAnsi" w:eastAsiaTheme="minorEastAsia" w:hAnsiTheme="minorHAnsi"/>
          <w:noProof/>
          <w:sz w:val="22"/>
          <w:lang w:eastAsia="zh-CN"/>
        </w:rPr>
      </w:pPr>
      <w:hyperlink w:anchor="_Toc109901091" w:history="1">
        <w:r w:rsidR="00E25E81" w:rsidRPr="00EA58E1">
          <w:rPr>
            <w:rStyle w:val="Hyperlink"/>
            <w:noProof/>
          </w:rPr>
          <w:t>Figure 6: Waltham Service Area, ASC</w:t>
        </w:r>
        <w:r w:rsidR="00E25E81">
          <w:rPr>
            <w:noProof/>
            <w:webHidden/>
          </w:rPr>
          <w:tab/>
        </w:r>
        <w:r w:rsidR="00E25E81">
          <w:rPr>
            <w:noProof/>
            <w:webHidden/>
          </w:rPr>
          <w:fldChar w:fldCharType="begin"/>
        </w:r>
        <w:r w:rsidR="00E25E81">
          <w:rPr>
            <w:noProof/>
            <w:webHidden/>
          </w:rPr>
          <w:instrText xml:space="preserve"> PAGEREF _Toc109901091 \h </w:instrText>
        </w:r>
        <w:r w:rsidR="00E25E81">
          <w:rPr>
            <w:noProof/>
            <w:webHidden/>
          </w:rPr>
        </w:r>
        <w:r w:rsidR="00E25E81">
          <w:rPr>
            <w:noProof/>
            <w:webHidden/>
          </w:rPr>
          <w:fldChar w:fldCharType="separate"/>
        </w:r>
        <w:r w:rsidR="00000A86">
          <w:rPr>
            <w:noProof/>
            <w:webHidden/>
          </w:rPr>
          <w:t>30</w:t>
        </w:r>
        <w:r w:rsidR="00E25E81">
          <w:rPr>
            <w:noProof/>
            <w:webHidden/>
          </w:rPr>
          <w:fldChar w:fldCharType="end"/>
        </w:r>
      </w:hyperlink>
    </w:p>
    <w:p w14:paraId="68BFFAAA" w14:textId="404ADA2D" w:rsidR="00E25E81" w:rsidRDefault="003171FA" w:rsidP="00E25E81">
      <w:pPr>
        <w:pStyle w:val="TableofFigures"/>
        <w:numPr>
          <w:ilvl w:val="0"/>
          <w:numId w:val="0"/>
        </w:numPr>
        <w:tabs>
          <w:tab w:val="right" w:leader="dot" w:pos="9350"/>
        </w:tabs>
        <w:ind w:left="-540" w:firstLine="540"/>
        <w:rPr>
          <w:rFonts w:asciiTheme="minorHAnsi" w:eastAsiaTheme="minorEastAsia" w:hAnsiTheme="minorHAnsi"/>
          <w:noProof/>
          <w:sz w:val="22"/>
          <w:lang w:eastAsia="zh-CN"/>
        </w:rPr>
      </w:pPr>
      <w:hyperlink w:anchor="_Toc109901092" w:history="1">
        <w:r w:rsidR="00E25E81" w:rsidRPr="00EA58E1">
          <w:rPr>
            <w:rStyle w:val="Hyperlink"/>
            <w:noProof/>
          </w:rPr>
          <w:t>Figure 7: Waltham Service Area, Imaging</w:t>
        </w:r>
        <w:r w:rsidR="00E25E81">
          <w:rPr>
            <w:noProof/>
            <w:webHidden/>
          </w:rPr>
          <w:tab/>
        </w:r>
        <w:r w:rsidR="00E25E81">
          <w:rPr>
            <w:noProof/>
            <w:webHidden/>
          </w:rPr>
          <w:fldChar w:fldCharType="begin"/>
        </w:r>
        <w:r w:rsidR="00E25E81">
          <w:rPr>
            <w:noProof/>
            <w:webHidden/>
          </w:rPr>
          <w:instrText xml:space="preserve"> PAGEREF _Toc109901092 \h </w:instrText>
        </w:r>
        <w:r w:rsidR="00E25E81">
          <w:rPr>
            <w:noProof/>
            <w:webHidden/>
          </w:rPr>
        </w:r>
        <w:r w:rsidR="00E25E81">
          <w:rPr>
            <w:noProof/>
            <w:webHidden/>
          </w:rPr>
          <w:fldChar w:fldCharType="separate"/>
        </w:r>
        <w:r w:rsidR="00000A86">
          <w:rPr>
            <w:noProof/>
            <w:webHidden/>
          </w:rPr>
          <w:t>31</w:t>
        </w:r>
        <w:r w:rsidR="00E25E81">
          <w:rPr>
            <w:noProof/>
            <w:webHidden/>
          </w:rPr>
          <w:fldChar w:fldCharType="end"/>
        </w:r>
      </w:hyperlink>
    </w:p>
    <w:p w14:paraId="28004CDC" w14:textId="20F227AE" w:rsidR="00E25E81" w:rsidRDefault="003171FA" w:rsidP="00E25E81">
      <w:pPr>
        <w:pStyle w:val="TableofFigures"/>
        <w:numPr>
          <w:ilvl w:val="0"/>
          <w:numId w:val="0"/>
        </w:numPr>
        <w:tabs>
          <w:tab w:val="right" w:leader="dot" w:pos="9350"/>
        </w:tabs>
        <w:ind w:left="-540" w:firstLine="540"/>
        <w:rPr>
          <w:rFonts w:asciiTheme="minorHAnsi" w:eastAsiaTheme="minorEastAsia" w:hAnsiTheme="minorHAnsi"/>
          <w:noProof/>
          <w:sz w:val="22"/>
          <w:lang w:eastAsia="zh-CN"/>
        </w:rPr>
      </w:pPr>
      <w:hyperlink w:anchor="_Toc109901093" w:history="1">
        <w:r w:rsidR="00E25E81" w:rsidRPr="00EA58E1">
          <w:rPr>
            <w:rStyle w:val="Hyperlink"/>
            <w:noProof/>
          </w:rPr>
          <w:t>Figure 8: Waltham Service Area, MRI</w:t>
        </w:r>
        <w:r w:rsidR="00E25E81">
          <w:rPr>
            <w:noProof/>
            <w:webHidden/>
          </w:rPr>
          <w:tab/>
        </w:r>
        <w:r w:rsidR="00E25E81">
          <w:rPr>
            <w:noProof/>
            <w:webHidden/>
          </w:rPr>
          <w:fldChar w:fldCharType="begin"/>
        </w:r>
        <w:r w:rsidR="00E25E81">
          <w:rPr>
            <w:noProof/>
            <w:webHidden/>
          </w:rPr>
          <w:instrText xml:space="preserve"> PAGEREF _Toc109901093 \h </w:instrText>
        </w:r>
        <w:r w:rsidR="00E25E81">
          <w:rPr>
            <w:noProof/>
            <w:webHidden/>
          </w:rPr>
        </w:r>
        <w:r w:rsidR="00E25E81">
          <w:rPr>
            <w:noProof/>
            <w:webHidden/>
          </w:rPr>
          <w:fldChar w:fldCharType="separate"/>
        </w:r>
        <w:r w:rsidR="00000A86">
          <w:rPr>
            <w:noProof/>
            <w:webHidden/>
          </w:rPr>
          <w:t>31</w:t>
        </w:r>
        <w:r w:rsidR="00E25E81">
          <w:rPr>
            <w:noProof/>
            <w:webHidden/>
          </w:rPr>
          <w:fldChar w:fldCharType="end"/>
        </w:r>
      </w:hyperlink>
    </w:p>
    <w:p w14:paraId="2E916C7D" w14:textId="2A4192A6" w:rsidR="00E25E81" w:rsidRDefault="003171FA" w:rsidP="00E25E81">
      <w:pPr>
        <w:pStyle w:val="TableofFigures"/>
        <w:numPr>
          <w:ilvl w:val="0"/>
          <w:numId w:val="0"/>
        </w:numPr>
        <w:tabs>
          <w:tab w:val="right" w:leader="dot" w:pos="9350"/>
        </w:tabs>
        <w:ind w:left="-540" w:firstLine="540"/>
        <w:rPr>
          <w:rFonts w:asciiTheme="minorHAnsi" w:eastAsiaTheme="minorEastAsia" w:hAnsiTheme="minorHAnsi"/>
          <w:noProof/>
          <w:sz w:val="22"/>
          <w:lang w:eastAsia="zh-CN"/>
        </w:rPr>
      </w:pPr>
      <w:hyperlink w:anchor="_Toc109901094" w:history="1">
        <w:r w:rsidR="00E25E81" w:rsidRPr="00EA58E1">
          <w:rPr>
            <w:rStyle w:val="Hyperlink"/>
            <w:noProof/>
          </w:rPr>
          <w:t>Figure 9: Weymouth Service Area, ASC</w:t>
        </w:r>
        <w:r w:rsidR="00E25E81">
          <w:rPr>
            <w:noProof/>
            <w:webHidden/>
          </w:rPr>
          <w:tab/>
        </w:r>
        <w:r w:rsidR="00E25E81">
          <w:rPr>
            <w:noProof/>
            <w:webHidden/>
          </w:rPr>
          <w:fldChar w:fldCharType="begin"/>
        </w:r>
        <w:r w:rsidR="00E25E81">
          <w:rPr>
            <w:noProof/>
            <w:webHidden/>
          </w:rPr>
          <w:instrText xml:space="preserve"> PAGEREF _Toc109901094 \h </w:instrText>
        </w:r>
        <w:r w:rsidR="00E25E81">
          <w:rPr>
            <w:noProof/>
            <w:webHidden/>
          </w:rPr>
        </w:r>
        <w:r w:rsidR="00E25E81">
          <w:rPr>
            <w:noProof/>
            <w:webHidden/>
          </w:rPr>
          <w:fldChar w:fldCharType="separate"/>
        </w:r>
        <w:r w:rsidR="00000A86">
          <w:rPr>
            <w:noProof/>
            <w:webHidden/>
          </w:rPr>
          <w:t>32</w:t>
        </w:r>
        <w:r w:rsidR="00E25E81">
          <w:rPr>
            <w:noProof/>
            <w:webHidden/>
          </w:rPr>
          <w:fldChar w:fldCharType="end"/>
        </w:r>
      </w:hyperlink>
    </w:p>
    <w:p w14:paraId="1BFBC5B6" w14:textId="2D00A288" w:rsidR="00E25E81" w:rsidRDefault="003171FA" w:rsidP="00E25E81">
      <w:pPr>
        <w:pStyle w:val="TableofFigures"/>
        <w:numPr>
          <w:ilvl w:val="0"/>
          <w:numId w:val="0"/>
        </w:numPr>
        <w:tabs>
          <w:tab w:val="right" w:leader="dot" w:pos="9350"/>
        </w:tabs>
        <w:ind w:left="-540" w:firstLine="540"/>
        <w:rPr>
          <w:rFonts w:asciiTheme="minorHAnsi" w:eastAsiaTheme="minorEastAsia" w:hAnsiTheme="minorHAnsi"/>
          <w:noProof/>
          <w:sz w:val="22"/>
          <w:lang w:eastAsia="zh-CN"/>
        </w:rPr>
      </w:pPr>
      <w:hyperlink w:anchor="_Toc109901095" w:history="1">
        <w:r w:rsidR="00E25E81" w:rsidRPr="00EA58E1">
          <w:rPr>
            <w:rStyle w:val="Hyperlink"/>
            <w:noProof/>
          </w:rPr>
          <w:t>Figure 10: Weymouth Service Area, Imaging</w:t>
        </w:r>
        <w:r w:rsidR="00E25E81">
          <w:rPr>
            <w:noProof/>
            <w:webHidden/>
          </w:rPr>
          <w:tab/>
        </w:r>
        <w:r w:rsidR="00E25E81">
          <w:rPr>
            <w:noProof/>
            <w:webHidden/>
          </w:rPr>
          <w:fldChar w:fldCharType="begin"/>
        </w:r>
        <w:r w:rsidR="00E25E81">
          <w:rPr>
            <w:noProof/>
            <w:webHidden/>
          </w:rPr>
          <w:instrText xml:space="preserve"> PAGEREF _Toc109901095 \h </w:instrText>
        </w:r>
        <w:r w:rsidR="00E25E81">
          <w:rPr>
            <w:noProof/>
            <w:webHidden/>
          </w:rPr>
        </w:r>
        <w:r w:rsidR="00E25E81">
          <w:rPr>
            <w:noProof/>
            <w:webHidden/>
          </w:rPr>
          <w:fldChar w:fldCharType="separate"/>
        </w:r>
        <w:r w:rsidR="00000A86">
          <w:rPr>
            <w:noProof/>
            <w:webHidden/>
          </w:rPr>
          <w:t>32</w:t>
        </w:r>
        <w:r w:rsidR="00E25E81">
          <w:rPr>
            <w:noProof/>
            <w:webHidden/>
          </w:rPr>
          <w:fldChar w:fldCharType="end"/>
        </w:r>
      </w:hyperlink>
    </w:p>
    <w:p w14:paraId="24DCA9D7" w14:textId="629E5B6B" w:rsidR="00E25E81" w:rsidRDefault="003171FA" w:rsidP="00E25E81">
      <w:pPr>
        <w:pStyle w:val="TableofFigures"/>
        <w:numPr>
          <w:ilvl w:val="0"/>
          <w:numId w:val="0"/>
        </w:numPr>
        <w:tabs>
          <w:tab w:val="right" w:leader="dot" w:pos="9350"/>
        </w:tabs>
        <w:ind w:left="-540" w:firstLine="540"/>
        <w:rPr>
          <w:rFonts w:asciiTheme="minorHAnsi" w:eastAsiaTheme="minorEastAsia" w:hAnsiTheme="minorHAnsi"/>
          <w:noProof/>
          <w:sz w:val="22"/>
          <w:lang w:eastAsia="zh-CN"/>
        </w:rPr>
      </w:pPr>
      <w:hyperlink w:anchor="_Toc109901096" w:history="1">
        <w:r w:rsidR="00E25E81" w:rsidRPr="00EA58E1">
          <w:rPr>
            <w:rStyle w:val="Hyperlink"/>
            <w:noProof/>
          </w:rPr>
          <w:t>Figure 11: Weymouth Service Area, MRI</w:t>
        </w:r>
        <w:r w:rsidR="00E25E81">
          <w:rPr>
            <w:noProof/>
            <w:webHidden/>
          </w:rPr>
          <w:tab/>
        </w:r>
        <w:r w:rsidR="00E25E81">
          <w:rPr>
            <w:noProof/>
            <w:webHidden/>
          </w:rPr>
          <w:fldChar w:fldCharType="begin"/>
        </w:r>
        <w:r w:rsidR="00E25E81">
          <w:rPr>
            <w:noProof/>
            <w:webHidden/>
          </w:rPr>
          <w:instrText xml:space="preserve"> PAGEREF _Toc109901096 \h </w:instrText>
        </w:r>
        <w:r w:rsidR="00E25E81">
          <w:rPr>
            <w:noProof/>
            <w:webHidden/>
          </w:rPr>
        </w:r>
        <w:r w:rsidR="00E25E81">
          <w:rPr>
            <w:noProof/>
            <w:webHidden/>
          </w:rPr>
          <w:fldChar w:fldCharType="separate"/>
        </w:r>
        <w:r w:rsidR="00000A86">
          <w:rPr>
            <w:noProof/>
            <w:webHidden/>
          </w:rPr>
          <w:t>32</w:t>
        </w:r>
        <w:r w:rsidR="00E25E81">
          <w:rPr>
            <w:noProof/>
            <w:webHidden/>
          </w:rPr>
          <w:fldChar w:fldCharType="end"/>
        </w:r>
      </w:hyperlink>
    </w:p>
    <w:p w14:paraId="406C64F6" w14:textId="731DA71E" w:rsidR="00E25E81" w:rsidRDefault="003171FA" w:rsidP="00E25E81">
      <w:pPr>
        <w:pStyle w:val="TableofFigures"/>
        <w:numPr>
          <w:ilvl w:val="0"/>
          <w:numId w:val="0"/>
        </w:numPr>
        <w:tabs>
          <w:tab w:val="right" w:leader="dot" w:pos="9350"/>
        </w:tabs>
        <w:ind w:left="-540" w:firstLine="540"/>
        <w:rPr>
          <w:rFonts w:asciiTheme="minorHAnsi" w:eastAsiaTheme="minorEastAsia" w:hAnsiTheme="minorHAnsi"/>
          <w:noProof/>
          <w:sz w:val="22"/>
          <w:lang w:eastAsia="zh-CN"/>
        </w:rPr>
      </w:pPr>
      <w:hyperlink w:anchor="_Toc109901097" w:history="1">
        <w:r w:rsidR="00E25E81" w:rsidRPr="00EA58E1">
          <w:rPr>
            <w:rStyle w:val="Hyperlink"/>
            <w:noProof/>
          </w:rPr>
          <w:t>Figure 12: Pediatric Race Composition by Service</w:t>
        </w:r>
        <w:r w:rsidR="00E25E81">
          <w:rPr>
            <w:noProof/>
            <w:webHidden/>
          </w:rPr>
          <w:tab/>
        </w:r>
        <w:r w:rsidR="00E25E81">
          <w:rPr>
            <w:noProof/>
            <w:webHidden/>
          </w:rPr>
          <w:fldChar w:fldCharType="begin"/>
        </w:r>
        <w:r w:rsidR="00E25E81">
          <w:rPr>
            <w:noProof/>
            <w:webHidden/>
          </w:rPr>
          <w:instrText xml:space="preserve"> PAGEREF _Toc109901097 \h </w:instrText>
        </w:r>
        <w:r w:rsidR="00E25E81">
          <w:rPr>
            <w:noProof/>
            <w:webHidden/>
          </w:rPr>
        </w:r>
        <w:r w:rsidR="00E25E81">
          <w:rPr>
            <w:noProof/>
            <w:webHidden/>
          </w:rPr>
          <w:fldChar w:fldCharType="separate"/>
        </w:r>
        <w:r w:rsidR="00000A86">
          <w:rPr>
            <w:noProof/>
            <w:webHidden/>
          </w:rPr>
          <w:t>34</w:t>
        </w:r>
        <w:r w:rsidR="00E25E81">
          <w:rPr>
            <w:noProof/>
            <w:webHidden/>
          </w:rPr>
          <w:fldChar w:fldCharType="end"/>
        </w:r>
      </w:hyperlink>
    </w:p>
    <w:p w14:paraId="72D4BF9D" w14:textId="196A12A0" w:rsidR="006203C6" w:rsidRDefault="00DF0E63" w:rsidP="0054767B">
      <w:pPr>
        <w:pStyle w:val="TOCHeading"/>
        <w:rPr>
          <w:rFonts w:hint="eastAsia"/>
        </w:rPr>
      </w:pPr>
      <w:r>
        <w:rPr>
          <w:rFonts w:hint="eastAsia"/>
        </w:rPr>
        <w:fldChar w:fldCharType="end"/>
      </w:r>
      <w:r w:rsidR="006203C6">
        <w:t>Table of TABLES</w:t>
      </w:r>
    </w:p>
    <w:p w14:paraId="37B9149E" w14:textId="6CBCDB1F" w:rsidR="008906E3" w:rsidRPr="008906E3" w:rsidRDefault="006203C6" w:rsidP="008906E3">
      <w:pPr>
        <w:pStyle w:val="TableofFigures"/>
        <w:numPr>
          <w:ilvl w:val="0"/>
          <w:numId w:val="0"/>
        </w:numPr>
        <w:tabs>
          <w:tab w:val="right" w:leader="dot" w:pos="9350"/>
        </w:tabs>
        <w:rPr>
          <w:rFonts w:eastAsiaTheme="minorEastAsia" w:cs="Times New Roman"/>
          <w:noProof/>
          <w:sz w:val="22"/>
          <w:lang w:eastAsia="zh-CN"/>
        </w:rPr>
      </w:pPr>
      <w:r w:rsidRPr="008906E3">
        <w:rPr>
          <w:rFonts w:cs="Times New Roman"/>
          <w:bCs/>
          <w:caps/>
          <w:spacing w:val="-16"/>
          <w:sz w:val="22"/>
        </w:rPr>
        <w:fldChar w:fldCharType="begin"/>
      </w:r>
      <w:r w:rsidRPr="008906E3">
        <w:rPr>
          <w:rFonts w:cs="Times New Roman"/>
          <w:bCs/>
          <w:caps/>
          <w:spacing w:val="-16"/>
          <w:sz w:val="22"/>
        </w:rPr>
        <w:instrText xml:space="preserve"> TOC \h \z \c "Table" </w:instrText>
      </w:r>
      <w:r w:rsidRPr="008906E3">
        <w:rPr>
          <w:rFonts w:cs="Times New Roman"/>
          <w:bCs/>
          <w:caps/>
          <w:spacing w:val="-16"/>
          <w:sz w:val="22"/>
        </w:rPr>
        <w:fldChar w:fldCharType="separate"/>
      </w:r>
      <w:hyperlink w:anchor="_Toc109895432" w:history="1">
        <w:r w:rsidR="008906E3" w:rsidRPr="008906E3">
          <w:rPr>
            <w:rStyle w:val="Hyperlink"/>
            <w:rFonts w:cs="Times New Roman"/>
            <w:noProof/>
            <w:sz w:val="22"/>
          </w:rPr>
          <w:t>Table 1: Demographic Characteristics of Imaging and ASC Outpatient Visits for BCH and All (Combined Service Area,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_Toc109895432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33</w:t>
        </w:r>
        <w:r w:rsidR="008906E3" w:rsidRPr="008906E3">
          <w:rPr>
            <w:rFonts w:cs="Times New Roman"/>
            <w:noProof/>
            <w:webHidden/>
            <w:sz w:val="22"/>
          </w:rPr>
          <w:fldChar w:fldCharType="end"/>
        </w:r>
      </w:hyperlink>
    </w:p>
    <w:p w14:paraId="5258BE33" w14:textId="031C3CBC"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33" w:history="1">
        <w:r w:rsidR="008906E3" w:rsidRPr="008906E3">
          <w:rPr>
            <w:rStyle w:val="Hyperlink"/>
            <w:rFonts w:cs="Times New Roman"/>
            <w:noProof/>
            <w:sz w:val="22"/>
          </w:rPr>
          <w:t>Table 2: Demographic Characteristics of Pediatric Population</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_Toc109895433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34</w:t>
        </w:r>
        <w:r w:rsidR="008906E3" w:rsidRPr="008906E3">
          <w:rPr>
            <w:rFonts w:cs="Times New Roman"/>
            <w:noProof/>
            <w:webHidden/>
            <w:sz w:val="22"/>
          </w:rPr>
          <w:fldChar w:fldCharType="end"/>
        </w:r>
      </w:hyperlink>
    </w:p>
    <w:p w14:paraId="31858B56" w14:textId="296FFD33"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34" w:history="1">
        <w:r w:rsidR="008906E3" w:rsidRPr="008906E3">
          <w:rPr>
            <w:rStyle w:val="Hyperlink"/>
            <w:rFonts w:cs="Times New Roman"/>
            <w:noProof/>
            <w:sz w:val="22"/>
          </w:rPr>
          <w:t>Table 3: MRI Visits and Shares by System, 2019 (Combined Service Area,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_Toc109895434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36</w:t>
        </w:r>
        <w:r w:rsidR="008906E3" w:rsidRPr="008906E3">
          <w:rPr>
            <w:rFonts w:cs="Times New Roman"/>
            <w:noProof/>
            <w:webHidden/>
            <w:sz w:val="22"/>
          </w:rPr>
          <w:fldChar w:fldCharType="end"/>
        </w:r>
      </w:hyperlink>
    </w:p>
    <w:p w14:paraId="6B3F2FCA" w14:textId="71CC2195"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35" w:history="1">
        <w:r w:rsidR="008906E3" w:rsidRPr="008906E3">
          <w:rPr>
            <w:rStyle w:val="Hyperlink"/>
            <w:rFonts w:cs="Times New Roman"/>
            <w:noProof/>
            <w:spacing w:val="-12"/>
            <w:sz w:val="22"/>
          </w:rPr>
          <w:t>Table 4: MRI Visits and Shares by System, Commercial 2019 (Combined Service Area,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_Toc109895435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36</w:t>
        </w:r>
        <w:r w:rsidR="008906E3" w:rsidRPr="008906E3">
          <w:rPr>
            <w:rFonts w:cs="Times New Roman"/>
            <w:noProof/>
            <w:webHidden/>
            <w:sz w:val="22"/>
          </w:rPr>
          <w:fldChar w:fldCharType="end"/>
        </w:r>
      </w:hyperlink>
    </w:p>
    <w:p w14:paraId="72195882" w14:textId="7EBB2A0B"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36" w:history="1">
        <w:r w:rsidR="008906E3" w:rsidRPr="008906E3">
          <w:rPr>
            <w:rStyle w:val="Hyperlink"/>
            <w:rFonts w:cs="Times New Roman"/>
            <w:noProof/>
            <w:sz w:val="22"/>
          </w:rPr>
          <w:t>Table 5: MRI Visits and Shares by System, Medicaid and MassHealth 2019 (Combined Service Area,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_Toc109895436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37</w:t>
        </w:r>
        <w:r w:rsidR="008906E3" w:rsidRPr="008906E3">
          <w:rPr>
            <w:rFonts w:cs="Times New Roman"/>
            <w:noProof/>
            <w:webHidden/>
            <w:sz w:val="22"/>
          </w:rPr>
          <w:fldChar w:fldCharType="end"/>
        </w:r>
      </w:hyperlink>
    </w:p>
    <w:p w14:paraId="51656471" w14:textId="345229A6"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37" w:history="1">
        <w:r w:rsidR="008906E3" w:rsidRPr="008906E3">
          <w:rPr>
            <w:rStyle w:val="Hyperlink"/>
            <w:rFonts w:cs="Times New Roman"/>
            <w:noProof/>
            <w:spacing w:val="-12"/>
            <w:sz w:val="22"/>
          </w:rPr>
          <w:t>Table 6: BCH MRI Visits by Facility and Payer Mix, 2019 (Combined Service Area,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_Toc109895437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38</w:t>
        </w:r>
        <w:r w:rsidR="008906E3" w:rsidRPr="008906E3">
          <w:rPr>
            <w:rFonts w:cs="Times New Roman"/>
            <w:noProof/>
            <w:webHidden/>
            <w:sz w:val="22"/>
          </w:rPr>
          <w:fldChar w:fldCharType="end"/>
        </w:r>
      </w:hyperlink>
    </w:p>
    <w:p w14:paraId="39CB2E93" w14:textId="27E581A1"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38" w:history="1">
        <w:r w:rsidR="008906E3" w:rsidRPr="008906E3">
          <w:rPr>
            <w:rStyle w:val="Hyperlink"/>
            <w:rFonts w:cs="Times New Roman"/>
            <w:noProof/>
            <w:sz w:val="22"/>
          </w:rPr>
          <w:t>Table 7: Imaging Visits and Shares by System, 2019 (Combined Service Area,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_Toc109895438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38</w:t>
        </w:r>
        <w:r w:rsidR="008906E3" w:rsidRPr="008906E3">
          <w:rPr>
            <w:rFonts w:cs="Times New Roman"/>
            <w:noProof/>
            <w:webHidden/>
            <w:sz w:val="22"/>
          </w:rPr>
          <w:fldChar w:fldCharType="end"/>
        </w:r>
      </w:hyperlink>
    </w:p>
    <w:p w14:paraId="42C689FB" w14:textId="38DBF34B"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39" w:history="1">
        <w:r w:rsidR="008906E3" w:rsidRPr="008906E3">
          <w:rPr>
            <w:rStyle w:val="Hyperlink"/>
            <w:rFonts w:cs="Times New Roman"/>
            <w:noProof/>
            <w:sz w:val="22"/>
          </w:rPr>
          <w:t>Table 8: Imaging Visits and Shares by System, Commercial 2019 (Combined Service Area,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_Toc109895439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39</w:t>
        </w:r>
        <w:r w:rsidR="008906E3" w:rsidRPr="008906E3">
          <w:rPr>
            <w:rFonts w:cs="Times New Roman"/>
            <w:noProof/>
            <w:webHidden/>
            <w:sz w:val="22"/>
          </w:rPr>
          <w:fldChar w:fldCharType="end"/>
        </w:r>
      </w:hyperlink>
    </w:p>
    <w:p w14:paraId="55A82E16" w14:textId="4D0C5657"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40" w:history="1">
        <w:r w:rsidR="008906E3" w:rsidRPr="008906E3">
          <w:rPr>
            <w:rStyle w:val="Hyperlink"/>
            <w:rFonts w:cs="Times New Roman"/>
            <w:noProof/>
            <w:sz w:val="22"/>
          </w:rPr>
          <w:t xml:space="preserve">Table 9: Imaging Visits and Shares by System, </w:t>
        </w:r>
        <w:r w:rsidR="008906E3" w:rsidRPr="008906E3">
          <w:rPr>
            <w:rStyle w:val="Hyperlink"/>
            <w:rFonts w:cs="Times New Roman"/>
            <w:noProof/>
            <w:spacing w:val="-6"/>
            <w:sz w:val="22"/>
          </w:rPr>
          <w:t xml:space="preserve">Medicaid and MassHealth 2019 </w:t>
        </w:r>
        <w:r w:rsidR="008906E3" w:rsidRPr="008906E3">
          <w:rPr>
            <w:rStyle w:val="Hyperlink"/>
            <w:rFonts w:cs="Times New Roman"/>
            <w:noProof/>
            <w:sz w:val="22"/>
          </w:rPr>
          <w:t>(Combined Service Area,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_Toc109895440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39</w:t>
        </w:r>
        <w:r w:rsidR="008906E3" w:rsidRPr="008906E3">
          <w:rPr>
            <w:rFonts w:cs="Times New Roman"/>
            <w:noProof/>
            <w:webHidden/>
            <w:sz w:val="22"/>
          </w:rPr>
          <w:fldChar w:fldCharType="end"/>
        </w:r>
      </w:hyperlink>
    </w:p>
    <w:p w14:paraId="2FFCDBE8" w14:textId="77A07157" w:rsidR="008906E3" w:rsidRPr="00221BFD" w:rsidRDefault="003171FA" w:rsidP="008906E3">
      <w:pPr>
        <w:pStyle w:val="TableofFigures"/>
        <w:numPr>
          <w:ilvl w:val="0"/>
          <w:numId w:val="0"/>
        </w:numPr>
        <w:tabs>
          <w:tab w:val="right" w:leader="dot" w:pos="9350"/>
        </w:tabs>
        <w:rPr>
          <w:rFonts w:eastAsiaTheme="minorEastAsia" w:cs="Times New Roman"/>
          <w:noProof/>
          <w:spacing w:val="-8"/>
          <w:kern w:val="2"/>
          <w:sz w:val="22"/>
          <w:lang w:eastAsia="zh-CN"/>
        </w:rPr>
      </w:pPr>
      <w:hyperlink w:anchor="_Toc109895441" w:history="1">
        <w:r w:rsidR="008906E3" w:rsidRPr="00221BFD">
          <w:rPr>
            <w:rStyle w:val="Hyperlink"/>
            <w:rFonts w:cs="Times New Roman"/>
            <w:noProof/>
            <w:spacing w:val="-8"/>
            <w:kern w:val="2"/>
            <w:sz w:val="22"/>
          </w:rPr>
          <w:t>Table 10: BCH Imaging Visits by Facility and Payer Mix, 2019 (Combined Service Area, Patients Aged 0 – 18)</w:t>
        </w:r>
        <w:r w:rsidR="008906E3" w:rsidRPr="00221BFD">
          <w:rPr>
            <w:rFonts w:cs="Times New Roman"/>
            <w:noProof/>
            <w:webHidden/>
            <w:spacing w:val="-8"/>
            <w:kern w:val="2"/>
            <w:sz w:val="22"/>
          </w:rPr>
          <w:tab/>
        </w:r>
        <w:r w:rsidR="008906E3" w:rsidRPr="00221BFD">
          <w:rPr>
            <w:rFonts w:cs="Times New Roman"/>
            <w:noProof/>
            <w:webHidden/>
            <w:spacing w:val="-8"/>
            <w:kern w:val="2"/>
            <w:sz w:val="22"/>
          </w:rPr>
          <w:fldChar w:fldCharType="begin"/>
        </w:r>
        <w:r w:rsidR="008906E3" w:rsidRPr="00221BFD">
          <w:rPr>
            <w:rFonts w:cs="Times New Roman"/>
            <w:noProof/>
            <w:webHidden/>
            <w:spacing w:val="-8"/>
            <w:kern w:val="2"/>
            <w:sz w:val="22"/>
          </w:rPr>
          <w:instrText xml:space="preserve"> PAGEREF _Toc109895441 \h </w:instrText>
        </w:r>
        <w:r w:rsidR="008906E3" w:rsidRPr="00221BFD">
          <w:rPr>
            <w:rFonts w:cs="Times New Roman"/>
            <w:noProof/>
            <w:webHidden/>
            <w:spacing w:val="-8"/>
            <w:kern w:val="2"/>
            <w:sz w:val="22"/>
          </w:rPr>
        </w:r>
        <w:r w:rsidR="008906E3" w:rsidRPr="00221BFD">
          <w:rPr>
            <w:rFonts w:cs="Times New Roman"/>
            <w:noProof/>
            <w:webHidden/>
            <w:spacing w:val="-8"/>
            <w:kern w:val="2"/>
            <w:sz w:val="22"/>
          </w:rPr>
          <w:fldChar w:fldCharType="separate"/>
        </w:r>
        <w:r w:rsidR="001538C6">
          <w:rPr>
            <w:rFonts w:cs="Times New Roman"/>
            <w:noProof/>
            <w:webHidden/>
            <w:spacing w:val="-8"/>
            <w:kern w:val="2"/>
            <w:sz w:val="22"/>
          </w:rPr>
          <w:t>40</w:t>
        </w:r>
        <w:r w:rsidR="008906E3" w:rsidRPr="00221BFD">
          <w:rPr>
            <w:rFonts w:cs="Times New Roman"/>
            <w:noProof/>
            <w:webHidden/>
            <w:spacing w:val="-8"/>
            <w:kern w:val="2"/>
            <w:sz w:val="22"/>
          </w:rPr>
          <w:fldChar w:fldCharType="end"/>
        </w:r>
      </w:hyperlink>
    </w:p>
    <w:p w14:paraId="128D2BED" w14:textId="5382825E"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42" w:history="1">
        <w:r w:rsidR="008906E3" w:rsidRPr="008906E3">
          <w:rPr>
            <w:rStyle w:val="Hyperlink"/>
            <w:rFonts w:cs="Times New Roman"/>
            <w:noProof/>
            <w:sz w:val="22"/>
          </w:rPr>
          <w:t>Table 11: ASC Visits and Shares by System, 2019 (Combined Service Area,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_Toc109895442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41</w:t>
        </w:r>
        <w:r w:rsidR="008906E3" w:rsidRPr="008906E3">
          <w:rPr>
            <w:rFonts w:cs="Times New Roman"/>
            <w:noProof/>
            <w:webHidden/>
            <w:sz w:val="22"/>
          </w:rPr>
          <w:fldChar w:fldCharType="end"/>
        </w:r>
      </w:hyperlink>
    </w:p>
    <w:p w14:paraId="4CDAD201" w14:textId="24C03F79" w:rsidR="008906E3" w:rsidRPr="00221BFD" w:rsidRDefault="003171FA" w:rsidP="008906E3">
      <w:pPr>
        <w:pStyle w:val="TableofFigures"/>
        <w:numPr>
          <w:ilvl w:val="0"/>
          <w:numId w:val="0"/>
        </w:numPr>
        <w:tabs>
          <w:tab w:val="right" w:leader="dot" w:pos="9350"/>
        </w:tabs>
        <w:rPr>
          <w:rFonts w:eastAsiaTheme="minorEastAsia" w:cs="Times New Roman"/>
          <w:noProof/>
          <w:spacing w:val="-8"/>
          <w:sz w:val="22"/>
          <w:lang w:eastAsia="zh-CN"/>
        </w:rPr>
      </w:pPr>
      <w:hyperlink w:anchor="_Toc109895443" w:history="1">
        <w:r w:rsidR="008906E3" w:rsidRPr="00221BFD">
          <w:rPr>
            <w:rStyle w:val="Hyperlink"/>
            <w:rFonts w:cs="Times New Roman"/>
            <w:noProof/>
            <w:spacing w:val="-8"/>
            <w:sz w:val="22"/>
          </w:rPr>
          <w:t>Table 12: ASC Visits and Shares by System, Commercial 2019 (Combined Service Area, Patients Aged 0 – 18)</w:t>
        </w:r>
        <w:r w:rsidR="008906E3" w:rsidRPr="00221BFD">
          <w:rPr>
            <w:rFonts w:cs="Times New Roman"/>
            <w:noProof/>
            <w:webHidden/>
            <w:spacing w:val="-8"/>
            <w:sz w:val="22"/>
          </w:rPr>
          <w:tab/>
        </w:r>
        <w:r w:rsidR="008906E3" w:rsidRPr="00221BFD">
          <w:rPr>
            <w:rFonts w:cs="Times New Roman"/>
            <w:noProof/>
            <w:webHidden/>
            <w:spacing w:val="-8"/>
            <w:sz w:val="22"/>
          </w:rPr>
          <w:fldChar w:fldCharType="begin"/>
        </w:r>
        <w:r w:rsidR="008906E3" w:rsidRPr="00221BFD">
          <w:rPr>
            <w:rFonts w:cs="Times New Roman"/>
            <w:noProof/>
            <w:webHidden/>
            <w:spacing w:val="-8"/>
            <w:sz w:val="22"/>
          </w:rPr>
          <w:instrText xml:space="preserve"> PAGEREF _Toc109895443 \h </w:instrText>
        </w:r>
        <w:r w:rsidR="008906E3" w:rsidRPr="00221BFD">
          <w:rPr>
            <w:rFonts w:cs="Times New Roman"/>
            <w:noProof/>
            <w:webHidden/>
            <w:spacing w:val="-8"/>
            <w:sz w:val="22"/>
          </w:rPr>
        </w:r>
        <w:r w:rsidR="008906E3" w:rsidRPr="00221BFD">
          <w:rPr>
            <w:rFonts w:cs="Times New Roman"/>
            <w:noProof/>
            <w:webHidden/>
            <w:spacing w:val="-8"/>
            <w:sz w:val="22"/>
          </w:rPr>
          <w:fldChar w:fldCharType="separate"/>
        </w:r>
        <w:r w:rsidR="001538C6">
          <w:rPr>
            <w:rFonts w:cs="Times New Roman"/>
            <w:noProof/>
            <w:webHidden/>
            <w:spacing w:val="-8"/>
            <w:sz w:val="22"/>
          </w:rPr>
          <w:t>41</w:t>
        </w:r>
        <w:r w:rsidR="008906E3" w:rsidRPr="00221BFD">
          <w:rPr>
            <w:rFonts w:cs="Times New Roman"/>
            <w:noProof/>
            <w:webHidden/>
            <w:spacing w:val="-8"/>
            <w:sz w:val="22"/>
          </w:rPr>
          <w:fldChar w:fldCharType="end"/>
        </w:r>
      </w:hyperlink>
    </w:p>
    <w:p w14:paraId="01B73EF8" w14:textId="3EE193BE"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44" w:history="1">
        <w:r w:rsidR="008906E3" w:rsidRPr="008906E3">
          <w:rPr>
            <w:rStyle w:val="Hyperlink"/>
            <w:rFonts w:cs="Times New Roman"/>
            <w:noProof/>
            <w:sz w:val="22"/>
          </w:rPr>
          <w:t>Table 13: ASC Visits and Shares by System, Medicaid and MassHealth 2019 (Combined Service Area,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_Toc109895444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42</w:t>
        </w:r>
        <w:r w:rsidR="008906E3" w:rsidRPr="008906E3">
          <w:rPr>
            <w:rFonts w:cs="Times New Roman"/>
            <w:noProof/>
            <w:webHidden/>
            <w:sz w:val="22"/>
          </w:rPr>
          <w:fldChar w:fldCharType="end"/>
        </w:r>
      </w:hyperlink>
    </w:p>
    <w:p w14:paraId="6DF751F5" w14:textId="41EC5676"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45" w:history="1">
        <w:r w:rsidR="008906E3" w:rsidRPr="008906E3">
          <w:rPr>
            <w:rStyle w:val="Hyperlink"/>
            <w:rFonts w:cs="Times New Roman"/>
            <w:noProof/>
            <w:spacing w:val="-8"/>
            <w:sz w:val="22"/>
          </w:rPr>
          <w:t>Table 14: BCH ASC Visits by Facility and Payer Mix, 2019 (Combined Service Area, Patients Aged 0 – 18</w:t>
        </w:r>
        <w:r w:rsidR="008906E3" w:rsidRPr="008906E3">
          <w:rPr>
            <w:rStyle w:val="Hyperlink"/>
            <w:rFonts w:cs="Times New Roman"/>
            <w:noProof/>
            <w:sz w:val="22"/>
          </w:rPr>
          <w:t>)</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_Toc109895445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42</w:t>
        </w:r>
        <w:r w:rsidR="008906E3" w:rsidRPr="008906E3">
          <w:rPr>
            <w:rFonts w:cs="Times New Roman"/>
            <w:noProof/>
            <w:webHidden/>
            <w:sz w:val="22"/>
          </w:rPr>
          <w:fldChar w:fldCharType="end"/>
        </w:r>
      </w:hyperlink>
    </w:p>
    <w:p w14:paraId="4410281B" w14:textId="598B76AF"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46" w:history="1">
        <w:r w:rsidR="008906E3" w:rsidRPr="008906E3">
          <w:rPr>
            <w:rStyle w:val="Hyperlink"/>
            <w:rFonts w:cs="Times New Roman"/>
            <w:noProof/>
            <w:sz w:val="22"/>
          </w:rPr>
          <w:t>Table 15: Projected Population in Massachusetts, Ages 0 – 18 (2020 – 2040)</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_Toc109895446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45</w:t>
        </w:r>
        <w:r w:rsidR="008906E3" w:rsidRPr="008906E3">
          <w:rPr>
            <w:rFonts w:cs="Times New Roman"/>
            <w:noProof/>
            <w:webHidden/>
            <w:sz w:val="22"/>
          </w:rPr>
          <w:fldChar w:fldCharType="end"/>
        </w:r>
      </w:hyperlink>
    </w:p>
    <w:p w14:paraId="3ADF6734" w14:textId="0CB12593"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47" w:history="1">
        <w:r w:rsidR="008906E3" w:rsidRPr="008906E3">
          <w:rPr>
            <w:rStyle w:val="Hyperlink"/>
            <w:rFonts w:cs="Times New Roman"/>
            <w:noProof/>
            <w:sz w:val="22"/>
          </w:rPr>
          <w:t>Table 16: Projected Utilization of Imaging Services by HSA, Ages 0 – 18 (2025 – 2040)</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_Toc109895447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45</w:t>
        </w:r>
        <w:r w:rsidR="008906E3" w:rsidRPr="008906E3">
          <w:rPr>
            <w:rFonts w:cs="Times New Roman"/>
            <w:noProof/>
            <w:webHidden/>
            <w:sz w:val="22"/>
          </w:rPr>
          <w:fldChar w:fldCharType="end"/>
        </w:r>
      </w:hyperlink>
    </w:p>
    <w:p w14:paraId="2787161A" w14:textId="20ECF4D5"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48" w:history="1">
        <w:r w:rsidR="008906E3" w:rsidRPr="008906E3">
          <w:rPr>
            <w:rStyle w:val="Hyperlink"/>
            <w:rFonts w:cs="Times New Roman"/>
            <w:noProof/>
            <w:sz w:val="22"/>
          </w:rPr>
          <w:t>Table 17: Projected Utilization of Imaging Services by Payer, Ages 0 – 18 (2025 – 2040)</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_Toc109895448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47</w:t>
        </w:r>
        <w:r w:rsidR="008906E3" w:rsidRPr="008906E3">
          <w:rPr>
            <w:rFonts w:cs="Times New Roman"/>
            <w:noProof/>
            <w:webHidden/>
            <w:sz w:val="22"/>
          </w:rPr>
          <w:fldChar w:fldCharType="end"/>
        </w:r>
      </w:hyperlink>
    </w:p>
    <w:p w14:paraId="04679F9E" w14:textId="2ACDFF95"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49" w:history="1">
        <w:r w:rsidR="008906E3" w:rsidRPr="008906E3">
          <w:rPr>
            <w:rStyle w:val="Hyperlink"/>
            <w:rFonts w:cs="Times New Roman"/>
            <w:noProof/>
            <w:sz w:val="22"/>
          </w:rPr>
          <w:t>Table 18: Projected Utilization of Ambulatory Surgery Services by HSA, Ages 0 – 18 (2025 – 2040)</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_Toc109895449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48</w:t>
        </w:r>
        <w:r w:rsidR="008906E3" w:rsidRPr="008906E3">
          <w:rPr>
            <w:rFonts w:cs="Times New Roman"/>
            <w:noProof/>
            <w:webHidden/>
            <w:sz w:val="22"/>
          </w:rPr>
          <w:fldChar w:fldCharType="end"/>
        </w:r>
      </w:hyperlink>
    </w:p>
    <w:p w14:paraId="16631E68" w14:textId="2DB6D130"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50" w:history="1">
        <w:r w:rsidR="008906E3" w:rsidRPr="008906E3">
          <w:rPr>
            <w:rStyle w:val="Hyperlink"/>
            <w:rFonts w:cs="Times New Roman"/>
            <w:noProof/>
            <w:sz w:val="22"/>
          </w:rPr>
          <w:t>Table 19: Projected Utilization of Ambulatory Surgery Services by Payer, Ages 0 – 18 (2025 – 2040)</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_Toc109895450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48</w:t>
        </w:r>
        <w:r w:rsidR="008906E3" w:rsidRPr="008906E3">
          <w:rPr>
            <w:rFonts w:cs="Times New Roman"/>
            <w:noProof/>
            <w:webHidden/>
            <w:sz w:val="22"/>
          </w:rPr>
          <w:fldChar w:fldCharType="end"/>
        </w:r>
      </w:hyperlink>
    </w:p>
    <w:p w14:paraId="7392437C" w14:textId="4A574A8A"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51" w:history="1">
        <w:r w:rsidR="008906E3" w:rsidRPr="008906E3">
          <w:rPr>
            <w:rStyle w:val="Hyperlink"/>
            <w:rFonts w:cs="Times New Roman"/>
            <w:noProof/>
            <w:sz w:val="22"/>
          </w:rPr>
          <w:t>Table 20: Projected Utilization of MRI Services by HSA, Ages 0 – 18 (2025 – 2040)</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_Toc109895451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49</w:t>
        </w:r>
        <w:r w:rsidR="008906E3" w:rsidRPr="008906E3">
          <w:rPr>
            <w:rFonts w:cs="Times New Roman"/>
            <w:noProof/>
            <w:webHidden/>
            <w:sz w:val="22"/>
          </w:rPr>
          <w:fldChar w:fldCharType="end"/>
        </w:r>
      </w:hyperlink>
    </w:p>
    <w:p w14:paraId="4D33E5BB" w14:textId="34252FF2"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52" w:history="1">
        <w:r w:rsidR="008906E3" w:rsidRPr="008906E3">
          <w:rPr>
            <w:rStyle w:val="Hyperlink"/>
            <w:rFonts w:cs="Times New Roman"/>
            <w:noProof/>
            <w:sz w:val="22"/>
          </w:rPr>
          <w:t>Table 21: Projected Utilization of MRI by Payer, Ages 0 – 18 (2025 – 2040)</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_Toc109895452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50</w:t>
        </w:r>
        <w:r w:rsidR="008906E3" w:rsidRPr="008906E3">
          <w:rPr>
            <w:rFonts w:cs="Times New Roman"/>
            <w:noProof/>
            <w:webHidden/>
            <w:sz w:val="22"/>
          </w:rPr>
          <w:fldChar w:fldCharType="end"/>
        </w:r>
      </w:hyperlink>
    </w:p>
    <w:p w14:paraId="5B01102C" w14:textId="2326D611" w:rsidR="008906E3" w:rsidRPr="00221BFD" w:rsidRDefault="003171FA" w:rsidP="008906E3">
      <w:pPr>
        <w:pStyle w:val="TableofFigures"/>
        <w:numPr>
          <w:ilvl w:val="0"/>
          <w:numId w:val="0"/>
        </w:numPr>
        <w:tabs>
          <w:tab w:val="right" w:leader="dot" w:pos="9350"/>
        </w:tabs>
        <w:rPr>
          <w:rFonts w:eastAsiaTheme="minorEastAsia" w:cs="Times New Roman"/>
          <w:noProof/>
          <w:spacing w:val="-12"/>
          <w:sz w:val="22"/>
          <w:lang w:eastAsia="zh-CN"/>
        </w:rPr>
      </w:pPr>
      <w:hyperlink w:anchor="_Toc109895453" w:history="1">
        <w:r w:rsidR="008906E3" w:rsidRPr="00221BFD">
          <w:rPr>
            <w:rStyle w:val="Hyperlink"/>
            <w:rFonts w:cs="Times New Roman"/>
            <w:noProof/>
            <w:spacing w:val="-12"/>
            <w:sz w:val="22"/>
          </w:rPr>
          <w:t>Table 22: Diversions to New BCH Facilities for Ambulatory Surgery Center Services (MA, Patients Aged 0 – 18)</w:t>
        </w:r>
        <w:r w:rsidR="008906E3" w:rsidRPr="00221BFD">
          <w:rPr>
            <w:rFonts w:cs="Times New Roman"/>
            <w:noProof/>
            <w:webHidden/>
            <w:spacing w:val="-12"/>
            <w:sz w:val="22"/>
          </w:rPr>
          <w:tab/>
        </w:r>
        <w:r w:rsidR="008906E3" w:rsidRPr="00221BFD">
          <w:rPr>
            <w:rFonts w:cs="Times New Roman"/>
            <w:noProof/>
            <w:webHidden/>
            <w:spacing w:val="-12"/>
            <w:sz w:val="22"/>
          </w:rPr>
          <w:fldChar w:fldCharType="begin"/>
        </w:r>
        <w:r w:rsidR="008906E3" w:rsidRPr="00221BFD">
          <w:rPr>
            <w:rFonts w:cs="Times New Roman"/>
            <w:noProof/>
            <w:webHidden/>
            <w:spacing w:val="-12"/>
            <w:sz w:val="22"/>
          </w:rPr>
          <w:instrText xml:space="preserve"> PAGEREF _Toc109895453 \h </w:instrText>
        </w:r>
        <w:r w:rsidR="008906E3" w:rsidRPr="00221BFD">
          <w:rPr>
            <w:rFonts w:cs="Times New Roman"/>
            <w:noProof/>
            <w:webHidden/>
            <w:spacing w:val="-12"/>
            <w:sz w:val="22"/>
          </w:rPr>
        </w:r>
        <w:r w:rsidR="008906E3" w:rsidRPr="00221BFD">
          <w:rPr>
            <w:rFonts w:cs="Times New Roman"/>
            <w:noProof/>
            <w:webHidden/>
            <w:spacing w:val="-12"/>
            <w:sz w:val="22"/>
          </w:rPr>
          <w:fldChar w:fldCharType="separate"/>
        </w:r>
        <w:r w:rsidR="001538C6">
          <w:rPr>
            <w:rFonts w:cs="Times New Roman"/>
            <w:noProof/>
            <w:webHidden/>
            <w:spacing w:val="-12"/>
            <w:sz w:val="22"/>
          </w:rPr>
          <w:t>54</w:t>
        </w:r>
        <w:r w:rsidR="008906E3" w:rsidRPr="00221BFD">
          <w:rPr>
            <w:rFonts w:cs="Times New Roman"/>
            <w:noProof/>
            <w:webHidden/>
            <w:spacing w:val="-12"/>
            <w:sz w:val="22"/>
          </w:rPr>
          <w:fldChar w:fldCharType="end"/>
        </w:r>
      </w:hyperlink>
    </w:p>
    <w:p w14:paraId="52D64EA3" w14:textId="5C48423E"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54" w:history="1">
        <w:r w:rsidR="008906E3" w:rsidRPr="008906E3">
          <w:rPr>
            <w:rStyle w:val="Hyperlink"/>
            <w:rFonts w:cs="Times New Roman"/>
            <w:noProof/>
            <w:sz w:val="22"/>
          </w:rPr>
          <w:t>Table 23: Diversions to New BCH Facilities for Imaging Services (MA,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_Toc109895454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54</w:t>
        </w:r>
        <w:r w:rsidR="008906E3" w:rsidRPr="008906E3">
          <w:rPr>
            <w:rFonts w:cs="Times New Roman"/>
            <w:noProof/>
            <w:webHidden/>
            <w:sz w:val="22"/>
          </w:rPr>
          <w:fldChar w:fldCharType="end"/>
        </w:r>
      </w:hyperlink>
    </w:p>
    <w:p w14:paraId="02939737" w14:textId="6D04E304"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55" w:history="1">
        <w:r w:rsidR="008906E3" w:rsidRPr="008906E3">
          <w:rPr>
            <w:rStyle w:val="Hyperlink"/>
            <w:rFonts w:cs="Times New Roman"/>
            <w:noProof/>
            <w:sz w:val="22"/>
          </w:rPr>
          <w:t>Table 24: Diversions to New BCH Facilities for MRI Services (MA,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_Toc109895455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54</w:t>
        </w:r>
        <w:r w:rsidR="008906E3" w:rsidRPr="008906E3">
          <w:rPr>
            <w:rFonts w:cs="Times New Roman"/>
            <w:noProof/>
            <w:webHidden/>
            <w:sz w:val="22"/>
          </w:rPr>
          <w:fldChar w:fldCharType="end"/>
        </w:r>
      </w:hyperlink>
    </w:p>
    <w:p w14:paraId="731CBDD8" w14:textId="3415BA6B"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56" w:history="1">
        <w:r w:rsidR="008906E3" w:rsidRPr="008906E3">
          <w:rPr>
            <w:rStyle w:val="Hyperlink"/>
            <w:rFonts w:cs="Times New Roman"/>
            <w:noProof/>
            <w:sz w:val="22"/>
          </w:rPr>
          <w:t>Table 25: Projected Diversions to New BCH Facilities for Ambulatory Surgery Services (MA,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_Toc109895456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55</w:t>
        </w:r>
        <w:r w:rsidR="008906E3" w:rsidRPr="008906E3">
          <w:rPr>
            <w:rFonts w:cs="Times New Roman"/>
            <w:noProof/>
            <w:webHidden/>
            <w:sz w:val="22"/>
          </w:rPr>
          <w:fldChar w:fldCharType="end"/>
        </w:r>
      </w:hyperlink>
    </w:p>
    <w:p w14:paraId="30ABEF66" w14:textId="0A95479C" w:rsidR="008906E3" w:rsidRPr="00221BFD" w:rsidRDefault="003171FA" w:rsidP="008906E3">
      <w:pPr>
        <w:pStyle w:val="TableofFigures"/>
        <w:numPr>
          <w:ilvl w:val="0"/>
          <w:numId w:val="0"/>
        </w:numPr>
        <w:tabs>
          <w:tab w:val="right" w:leader="dot" w:pos="9350"/>
        </w:tabs>
        <w:rPr>
          <w:rFonts w:eastAsiaTheme="minorEastAsia" w:cs="Times New Roman"/>
          <w:noProof/>
          <w:spacing w:val="-4"/>
          <w:sz w:val="22"/>
          <w:lang w:eastAsia="zh-CN"/>
        </w:rPr>
      </w:pPr>
      <w:hyperlink w:anchor="_Toc109895457" w:history="1">
        <w:r w:rsidR="008906E3" w:rsidRPr="00221BFD">
          <w:rPr>
            <w:rStyle w:val="Hyperlink"/>
            <w:rFonts w:cs="Times New Roman"/>
            <w:noProof/>
            <w:spacing w:val="-4"/>
            <w:sz w:val="22"/>
          </w:rPr>
          <w:t>Table 26:Projected Diversions to New BCH Facilities for Imaging Services (MA, Patients Aged 0 – 18)</w:t>
        </w:r>
        <w:r w:rsidR="008906E3" w:rsidRPr="00221BFD">
          <w:rPr>
            <w:rFonts w:cs="Times New Roman"/>
            <w:noProof/>
            <w:webHidden/>
            <w:spacing w:val="-4"/>
            <w:sz w:val="22"/>
          </w:rPr>
          <w:tab/>
        </w:r>
        <w:r w:rsidR="008906E3" w:rsidRPr="00221BFD">
          <w:rPr>
            <w:rFonts w:cs="Times New Roman"/>
            <w:noProof/>
            <w:webHidden/>
            <w:spacing w:val="-4"/>
            <w:sz w:val="22"/>
          </w:rPr>
          <w:fldChar w:fldCharType="begin"/>
        </w:r>
        <w:r w:rsidR="008906E3" w:rsidRPr="00221BFD">
          <w:rPr>
            <w:rFonts w:cs="Times New Roman"/>
            <w:noProof/>
            <w:webHidden/>
            <w:spacing w:val="-4"/>
            <w:sz w:val="22"/>
          </w:rPr>
          <w:instrText xml:space="preserve"> PAGEREF _Toc109895457 \h </w:instrText>
        </w:r>
        <w:r w:rsidR="008906E3" w:rsidRPr="00221BFD">
          <w:rPr>
            <w:rFonts w:cs="Times New Roman"/>
            <w:noProof/>
            <w:webHidden/>
            <w:spacing w:val="-4"/>
            <w:sz w:val="22"/>
          </w:rPr>
        </w:r>
        <w:r w:rsidR="008906E3" w:rsidRPr="00221BFD">
          <w:rPr>
            <w:rFonts w:cs="Times New Roman"/>
            <w:noProof/>
            <w:webHidden/>
            <w:spacing w:val="-4"/>
            <w:sz w:val="22"/>
          </w:rPr>
          <w:fldChar w:fldCharType="separate"/>
        </w:r>
        <w:r w:rsidR="001538C6">
          <w:rPr>
            <w:rFonts w:cs="Times New Roman"/>
            <w:noProof/>
            <w:webHidden/>
            <w:spacing w:val="-4"/>
            <w:sz w:val="22"/>
          </w:rPr>
          <w:t>55</w:t>
        </w:r>
        <w:r w:rsidR="008906E3" w:rsidRPr="00221BFD">
          <w:rPr>
            <w:rFonts w:cs="Times New Roman"/>
            <w:noProof/>
            <w:webHidden/>
            <w:spacing w:val="-4"/>
            <w:sz w:val="22"/>
          </w:rPr>
          <w:fldChar w:fldCharType="end"/>
        </w:r>
      </w:hyperlink>
    </w:p>
    <w:p w14:paraId="4F0BE40F" w14:textId="5FACCB06"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58" w:history="1">
        <w:r w:rsidR="008906E3" w:rsidRPr="008906E3">
          <w:rPr>
            <w:rStyle w:val="Hyperlink"/>
            <w:rFonts w:cs="Times New Roman"/>
            <w:noProof/>
            <w:sz w:val="22"/>
          </w:rPr>
          <w:t>Table 27: Projected Diversions to New BCH Facilities for MRI Services (MA,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_Toc109895458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56</w:t>
        </w:r>
        <w:r w:rsidR="008906E3" w:rsidRPr="008906E3">
          <w:rPr>
            <w:rFonts w:cs="Times New Roman"/>
            <w:noProof/>
            <w:webHidden/>
            <w:sz w:val="22"/>
          </w:rPr>
          <w:fldChar w:fldCharType="end"/>
        </w:r>
      </w:hyperlink>
    </w:p>
    <w:p w14:paraId="163902A5" w14:textId="57FCC455"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59" w:history="1">
        <w:r w:rsidR="008906E3" w:rsidRPr="008906E3">
          <w:rPr>
            <w:rStyle w:val="Hyperlink"/>
            <w:rFonts w:cs="Times New Roman"/>
            <w:noProof/>
            <w:sz w:val="22"/>
          </w:rPr>
          <w:t>Table 28: Relative Prices for Systems in Analysis</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_Toc109895459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58</w:t>
        </w:r>
        <w:r w:rsidR="008906E3" w:rsidRPr="008906E3">
          <w:rPr>
            <w:rFonts w:cs="Times New Roman"/>
            <w:noProof/>
            <w:webHidden/>
            <w:sz w:val="22"/>
          </w:rPr>
          <w:fldChar w:fldCharType="end"/>
        </w:r>
      </w:hyperlink>
    </w:p>
    <w:p w14:paraId="24273CB3" w14:textId="6E86484D"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60" w:history="1">
        <w:r w:rsidR="008906E3" w:rsidRPr="008906E3">
          <w:rPr>
            <w:rStyle w:val="Hyperlink"/>
            <w:rFonts w:cs="Times New Roman"/>
            <w:noProof/>
            <w:sz w:val="22"/>
          </w:rPr>
          <w:t>Table 29: Relative Prices for Selected Facilities</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_Toc109895460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58</w:t>
        </w:r>
        <w:r w:rsidR="008906E3" w:rsidRPr="008906E3">
          <w:rPr>
            <w:rFonts w:cs="Times New Roman"/>
            <w:noProof/>
            <w:webHidden/>
            <w:sz w:val="22"/>
          </w:rPr>
          <w:fldChar w:fldCharType="end"/>
        </w:r>
      </w:hyperlink>
    </w:p>
    <w:p w14:paraId="105060D1" w14:textId="76377ACA"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61" w:history="1">
        <w:r w:rsidR="008906E3" w:rsidRPr="008906E3">
          <w:rPr>
            <w:rStyle w:val="Hyperlink"/>
            <w:rFonts w:cs="Times New Roman"/>
            <w:noProof/>
            <w:sz w:val="22"/>
          </w:rPr>
          <w:t>Table 30: Change in Shares for ASC, Commercial (Combined Service Area,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_Toc109895461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59</w:t>
        </w:r>
        <w:r w:rsidR="008906E3" w:rsidRPr="008906E3">
          <w:rPr>
            <w:rFonts w:cs="Times New Roman"/>
            <w:noProof/>
            <w:webHidden/>
            <w:sz w:val="22"/>
          </w:rPr>
          <w:fldChar w:fldCharType="end"/>
        </w:r>
      </w:hyperlink>
    </w:p>
    <w:p w14:paraId="769EF7D5" w14:textId="06CEC917"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62" w:history="1">
        <w:r w:rsidR="008906E3" w:rsidRPr="008906E3">
          <w:rPr>
            <w:rStyle w:val="Hyperlink"/>
            <w:rFonts w:cs="Times New Roman"/>
            <w:noProof/>
            <w:sz w:val="22"/>
          </w:rPr>
          <w:t>Table 31: Change in Shares, MRI, Commercial (Combined Service Area,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_Toc109895462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59</w:t>
        </w:r>
        <w:r w:rsidR="008906E3" w:rsidRPr="008906E3">
          <w:rPr>
            <w:rFonts w:cs="Times New Roman"/>
            <w:noProof/>
            <w:webHidden/>
            <w:sz w:val="22"/>
          </w:rPr>
          <w:fldChar w:fldCharType="end"/>
        </w:r>
      </w:hyperlink>
    </w:p>
    <w:p w14:paraId="4B969246" w14:textId="095FC9E5"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63" w:history="1">
        <w:r w:rsidR="008906E3" w:rsidRPr="008906E3">
          <w:rPr>
            <w:rStyle w:val="Hyperlink"/>
            <w:rFonts w:cs="Times New Roman"/>
            <w:noProof/>
            <w:sz w:val="22"/>
          </w:rPr>
          <w:t>Table 32: Change in Shares, IMG, Commercial (Combined Service Area,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_Toc109895463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60</w:t>
        </w:r>
        <w:r w:rsidR="008906E3" w:rsidRPr="008906E3">
          <w:rPr>
            <w:rFonts w:cs="Times New Roman"/>
            <w:noProof/>
            <w:webHidden/>
            <w:sz w:val="22"/>
          </w:rPr>
          <w:fldChar w:fldCharType="end"/>
        </w:r>
      </w:hyperlink>
    </w:p>
    <w:p w14:paraId="6A7676D9" w14:textId="249AD400"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64" w:history="1">
        <w:r w:rsidR="008906E3" w:rsidRPr="008906E3">
          <w:rPr>
            <w:rStyle w:val="Hyperlink"/>
            <w:rFonts w:cs="Times New Roman"/>
            <w:noProof/>
            <w:sz w:val="22"/>
          </w:rPr>
          <w:t>Table 33: Projected Shares for BCH by Year (Combined Service Area,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_Toc109895464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61</w:t>
        </w:r>
        <w:r w:rsidR="008906E3" w:rsidRPr="008906E3">
          <w:rPr>
            <w:rFonts w:cs="Times New Roman"/>
            <w:noProof/>
            <w:webHidden/>
            <w:sz w:val="22"/>
          </w:rPr>
          <w:fldChar w:fldCharType="end"/>
        </w:r>
      </w:hyperlink>
    </w:p>
    <w:p w14:paraId="5DBA407E" w14:textId="1DB50108"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65" w:history="1">
        <w:r w:rsidR="008906E3" w:rsidRPr="008906E3">
          <w:rPr>
            <w:rStyle w:val="Hyperlink"/>
            <w:rFonts w:cs="Times New Roman"/>
            <w:noProof/>
            <w:sz w:val="22"/>
          </w:rPr>
          <w:t>Table 34: HHIs and Changes in HHI</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_Toc109895465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62</w:t>
        </w:r>
        <w:r w:rsidR="008906E3" w:rsidRPr="008906E3">
          <w:rPr>
            <w:rFonts w:cs="Times New Roman"/>
            <w:noProof/>
            <w:webHidden/>
            <w:sz w:val="22"/>
          </w:rPr>
          <w:fldChar w:fldCharType="end"/>
        </w:r>
      </w:hyperlink>
    </w:p>
    <w:p w14:paraId="4D48FD8F" w14:textId="0DF64C82"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66" w:history="1">
        <w:r w:rsidR="008906E3" w:rsidRPr="008906E3">
          <w:rPr>
            <w:rStyle w:val="Hyperlink"/>
            <w:rFonts w:cs="Times New Roman"/>
            <w:noProof/>
            <w:sz w:val="22"/>
          </w:rPr>
          <w:t>Table 35: Estimated Changes in Healthcare Costs</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_Toc109895466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64</w:t>
        </w:r>
        <w:r w:rsidR="008906E3" w:rsidRPr="008906E3">
          <w:rPr>
            <w:rFonts w:cs="Times New Roman"/>
            <w:noProof/>
            <w:webHidden/>
            <w:sz w:val="22"/>
          </w:rPr>
          <w:fldChar w:fldCharType="end"/>
        </w:r>
      </w:hyperlink>
    </w:p>
    <w:p w14:paraId="04344459" w14:textId="5EBDB798" w:rsidR="008906E3" w:rsidRPr="008906E3" w:rsidRDefault="003171FA" w:rsidP="008906E3">
      <w:pPr>
        <w:pStyle w:val="TableofFigures"/>
        <w:numPr>
          <w:ilvl w:val="0"/>
          <w:numId w:val="0"/>
        </w:numPr>
        <w:tabs>
          <w:tab w:val="right" w:leader="dot" w:pos="9350"/>
        </w:tabs>
        <w:rPr>
          <w:rFonts w:eastAsiaTheme="minorEastAsia" w:cs="Times New Roman"/>
          <w:noProof/>
          <w:sz w:val="22"/>
          <w:lang w:eastAsia="zh-CN"/>
        </w:rPr>
      </w:pPr>
      <w:hyperlink w:anchor="_Toc109895467" w:history="1">
        <w:r w:rsidR="008906E3" w:rsidRPr="008906E3">
          <w:rPr>
            <w:rStyle w:val="Hyperlink"/>
            <w:rFonts w:cs="Times New Roman"/>
            <w:noProof/>
            <w:sz w:val="22"/>
          </w:rPr>
          <w:t>Table 36: Projected Shares for BCH by Year (Combined Service Area, Patients Aged 0 – 18)</w:t>
        </w:r>
        <w:r w:rsidR="008906E3" w:rsidRPr="008906E3">
          <w:rPr>
            <w:rFonts w:cs="Times New Roman"/>
            <w:noProof/>
            <w:webHidden/>
            <w:sz w:val="22"/>
          </w:rPr>
          <w:tab/>
        </w:r>
        <w:r w:rsidR="008906E3" w:rsidRPr="008906E3">
          <w:rPr>
            <w:rFonts w:cs="Times New Roman"/>
            <w:noProof/>
            <w:webHidden/>
            <w:sz w:val="22"/>
          </w:rPr>
          <w:fldChar w:fldCharType="begin"/>
        </w:r>
        <w:r w:rsidR="008906E3" w:rsidRPr="008906E3">
          <w:rPr>
            <w:rFonts w:cs="Times New Roman"/>
            <w:noProof/>
            <w:webHidden/>
            <w:sz w:val="22"/>
          </w:rPr>
          <w:instrText xml:space="preserve"> PAGEREF _Toc109895467 \h </w:instrText>
        </w:r>
        <w:r w:rsidR="008906E3" w:rsidRPr="008906E3">
          <w:rPr>
            <w:rFonts w:cs="Times New Roman"/>
            <w:noProof/>
            <w:webHidden/>
            <w:sz w:val="22"/>
          </w:rPr>
        </w:r>
        <w:r w:rsidR="008906E3" w:rsidRPr="008906E3">
          <w:rPr>
            <w:rFonts w:cs="Times New Roman"/>
            <w:noProof/>
            <w:webHidden/>
            <w:sz w:val="22"/>
          </w:rPr>
          <w:fldChar w:fldCharType="separate"/>
        </w:r>
        <w:r w:rsidR="001538C6">
          <w:rPr>
            <w:rFonts w:cs="Times New Roman"/>
            <w:noProof/>
            <w:webHidden/>
            <w:sz w:val="22"/>
          </w:rPr>
          <w:t>68</w:t>
        </w:r>
        <w:r w:rsidR="008906E3" w:rsidRPr="008906E3">
          <w:rPr>
            <w:rFonts w:cs="Times New Roman"/>
            <w:noProof/>
            <w:webHidden/>
            <w:sz w:val="22"/>
          </w:rPr>
          <w:fldChar w:fldCharType="end"/>
        </w:r>
      </w:hyperlink>
    </w:p>
    <w:p w14:paraId="58801AB2" w14:textId="642EC54C" w:rsidR="00DF0E63" w:rsidRPr="008906E3" w:rsidRDefault="006203C6" w:rsidP="0041555A">
      <w:pPr>
        <w:pStyle w:val="TOC2"/>
        <w:ind w:left="0"/>
        <w:rPr>
          <w:rFonts w:cs="Times New Roman"/>
          <w:sz w:val="22"/>
        </w:rPr>
      </w:pPr>
      <w:r w:rsidRPr="008906E3">
        <w:rPr>
          <w:rFonts w:eastAsiaTheme="minorHAnsi" w:cs="Times New Roman"/>
          <w:bCs w:val="0"/>
          <w:caps/>
          <w:spacing w:val="-16"/>
          <w:sz w:val="22"/>
        </w:rPr>
        <w:fldChar w:fldCharType="end"/>
      </w:r>
    </w:p>
    <w:p w14:paraId="695B5CF1" w14:textId="22403C88" w:rsidR="00D81D24" w:rsidRPr="008906E3" w:rsidRDefault="00D81D24" w:rsidP="0041555A">
      <w:pPr>
        <w:numPr>
          <w:ilvl w:val="0"/>
          <w:numId w:val="0"/>
        </w:numPr>
        <w:rPr>
          <w:rFonts w:eastAsiaTheme="majorEastAsia" w:cs="Times New Roman"/>
          <w:b/>
          <w:caps/>
          <w:sz w:val="22"/>
        </w:rPr>
      </w:pPr>
      <w:r w:rsidRPr="008906E3">
        <w:rPr>
          <w:rFonts w:cs="Times New Roman"/>
          <w:sz w:val="22"/>
        </w:rPr>
        <w:br w:type="page"/>
      </w:r>
    </w:p>
    <w:p w14:paraId="7CE9AFF9" w14:textId="7D16A8EC" w:rsidR="00EE5ECC" w:rsidRPr="00EE5ECC" w:rsidRDefault="00EE5ECC" w:rsidP="00BE32C9">
      <w:pPr>
        <w:pStyle w:val="Heading1"/>
        <w:rPr>
          <w:rFonts w:hint="eastAsia"/>
        </w:rPr>
      </w:pPr>
      <w:bookmarkStart w:id="8" w:name="_Toc109895480"/>
      <w:r w:rsidRPr="00EE5ECC">
        <w:lastRenderedPageBreak/>
        <w:t>Executive Summary</w:t>
      </w:r>
      <w:bookmarkEnd w:id="2"/>
      <w:bookmarkEnd w:id="3"/>
      <w:bookmarkEnd w:id="8"/>
      <w:r w:rsidRPr="00EE5ECC">
        <w:t xml:space="preserve"> </w:t>
      </w:r>
    </w:p>
    <w:p w14:paraId="2C10E54F" w14:textId="77777777" w:rsidR="00EE5ECC" w:rsidRPr="00C02A55" w:rsidRDefault="00EE5ECC" w:rsidP="00BE32C9">
      <w:pPr>
        <w:pStyle w:val="Heading2"/>
      </w:pPr>
      <w:bookmarkStart w:id="9" w:name="_Toc105569083"/>
      <w:bookmarkStart w:id="10" w:name="_Toc106002880"/>
      <w:bookmarkStart w:id="11" w:name="_Toc109895481"/>
      <w:r w:rsidRPr="00C02A55">
        <w:t>Overview of the ICA Report</w:t>
      </w:r>
      <w:bookmarkEnd w:id="9"/>
      <w:bookmarkEnd w:id="10"/>
      <w:bookmarkEnd w:id="11"/>
      <w:r w:rsidRPr="00C02A55">
        <w:t xml:space="preserve"> </w:t>
      </w:r>
    </w:p>
    <w:p w14:paraId="1F39D94C" w14:textId="77777777" w:rsidR="00EE5ECC" w:rsidRPr="00EE5ECC" w:rsidRDefault="00EE5ECC" w:rsidP="00BE32C9">
      <w:bookmarkStart w:id="12" w:name="_Toc94002304"/>
      <w:r w:rsidRPr="00EE5ECC">
        <w:t>The Children’s Medical Center Corporation, the sole corporate member of The Children’s Hospital Corporation, doing business as Boston Children’s Hospital (“Boston Children’s” or “BCH”) has filed a Determination of Need (“DoN”) Application for project number BCH-21071411-HE on September 9th, 2021.</w:t>
      </w:r>
      <w:r w:rsidRPr="00EE5ECC">
        <w:rPr>
          <w:vertAlign w:val="superscript"/>
        </w:rPr>
        <w:footnoteReference w:id="1"/>
      </w:r>
      <w:r w:rsidRPr="00EE5ECC">
        <w:t xml:space="preserve"> The DoN Application covers three specific projects (collectively, the “Proposed Project”).</w:t>
      </w:r>
    </w:p>
    <w:p w14:paraId="234ADC4B" w14:textId="42B9B206" w:rsidR="00E66730" w:rsidRDefault="00EE5ECC" w:rsidP="00BE32C9">
      <w:r w:rsidRPr="00EE5ECC">
        <w:t xml:space="preserve">With the Proposed Project, Boston Children’s proposes to expand its outpatient facility locations and the services offered at these locations as part of a coordinated strategy to consolidate ambulatory clinical capacity to better serve the needs of its patients and the community. The expansion involves renovation at one existing location and the creation of two additional locations. The capital investments and services include the addition of MRI or </w:t>
      </w:r>
      <w:r w:rsidR="008A1DEA">
        <w:t>operating room (</w:t>
      </w:r>
      <w:r w:rsidRPr="00EE5ECC">
        <w:t>OR</w:t>
      </w:r>
      <w:r w:rsidR="008A1DEA">
        <w:t>)</w:t>
      </w:r>
      <w:r w:rsidRPr="00EE5ECC">
        <w:t xml:space="preserve"> capacity and various services, including new services at three locations (Weymouth, Waltham, and Needham).</w:t>
      </w:r>
      <w:r w:rsidRPr="00EE5ECC">
        <w:rPr>
          <w:vertAlign w:val="superscript"/>
        </w:rPr>
        <w:footnoteReference w:id="2"/>
      </w:r>
      <w:r w:rsidRPr="00EE5ECC">
        <w:t xml:space="preserve"> </w:t>
      </w:r>
    </w:p>
    <w:p w14:paraId="46EB5450" w14:textId="3808AB53" w:rsidR="00E66730" w:rsidRPr="00E66730" w:rsidRDefault="00EE5ECC" w:rsidP="00BE32C9">
      <w:r w:rsidRPr="00EE5ECC">
        <w:t>As part of the DoN application process, DPH has requested an Independent Cost Analysis (ICA) of the Proposed Project.</w:t>
      </w:r>
      <w:r w:rsidRPr="00EE5ECC">
        <w:rPr>
          <w:vertAlign w:val="superscript"/>
        </w:rPr>
        <w:footnoteReference w:id="3"/>
      </w:r>
      <w:r w:rsidRPr="00EE5ECC">
        <w:t xml:space="preserve"> FTI Consulting </w:t>
      </w:r>
      <w:r w:rsidR="006C582C">
        <w:t>(</w:t>
      </w:r>
      <w:r w:rsidRPr="00EE5ECC">
        <w:t>FTI</w:t>
      </w:r>
      <w:r w:rsidR="006C582C">
        <w:t>)</w:t>
      </w:r>
      <w:r w:rsidRPr="00EE5ECC">
        <w:t xml:space="preserve"> was asked to provide an independent and objective analysis of the Proposed Project and the DoN Application at the direction of DoN program. </w:t>
      </w:r>
      <w:r w:rsidR="000F5B01">
        <w:t xml:space="preserve">While </w:t>
      </w:r>
      <w:r w:rsidR="005B111B" w:rsidRPr="00EE5ECC">
        <w:t xml:space="preserve">BCH </w:t>
      </w:r>
      <w:r w:rsidR="000F5B01">
        <w:t xml:space="preserve">has contracted and </w:t>
      </w:r>
      <w:r w:rsidR="005B111B" w:rsidRPr="00EE5ECC">
        <w:t xml:space="preserve">finances </w:t>
      </w:r>
      <w:r w:rsidR="0072027B">
        <w:t>work</w:t>
      </w:r>
      <w:r w:rsidR="005B111B" w:rsidRPr="00EE5ECC">
        <w:t xml:space="preserve"> conducted by </w:t>
      </w:r>
      <w:r w:rsidR="000F5B01">
        <w:t xml:space="preserve">FTI’s Center for Healthcare Economics and Policy, </w:t>
      </w:r>
      <w:r w:rsidR="0072027B">
        <w:t>their operations and analysis are</w:t>
      </w:r>
      <w:r w:rsidR="005B111B" w:rsidRPr="00EE5ECC">
        <w:t xml:space="preserve"> independent of BCH and BCH has no input into decisions </w:t>
      </w:r>
      <w:r w:rsidR="000F5B01">
        <w:t>made</w:t>
      </w:r>
      <w:r w:rsidR="005B111B" w:rsidRPr="00EE5ECC">
        <w:t xml:space="preserve"> in this analysis with relation to methods, data, or conclusions</w:t>
      </w:r>
      <w:r w:rsidR="000F5B01">
        <w:t xml:space="preserve">; FTI has also conducted the </w:t>
      </w:r>
      <w:r w:rsidR="00E66730" w:rsidRPr="00817B9F">
        <w:t>ICA analyses independently of the staff of the DoN program at the Massachusetts DPH.</w:t>
      </w:r>
      <w:r w:rsidR="00E66730" w:rsidRPr="00E66730">
        <w:rPr>
          <w:color w:val="000000"/>
        </w:rPr>
        <w:t xml:space="preserve"> </w:t>
      </w:r>
      <w:r w:rsidRPr="00EE5ECC">
        <w:t xml:space="preserve">This independent analysis and the ICA </w:t>
      </w:r>
      <w:r w:rsidR="0014030F">
        <w:t xml:space="preserve">Report </w:t>
      </w:r>
      <w:r w:rsidRPr="00EE5ECC">
        <w:t>include assessment and analysis of specific questions and issues about the Proposed Project using and applying relevant standards to data and information.</w:t>
      </w:r>
      <w:r w:rsidRPr="0072027B">
        <w:rPr>
          <w:vertAlign w:val="superscript"/>
        </w:rPr>
        <w:footnoteReference w:id="4"/>
      </w:r>
      <w:r w:rsidRPr="00EE5ECC">
        <w:t xml:space="preserve">  </w:t>
      </w:r>
    </w:p>
    <w:p w14:paraId="1C75FCFE" w14:textId="05F842B5" w:rsidR="00EE5ECC" w:rsidRPr="00EE5ECC" w:rsidRDefault="00EE5ECC" w:rsidP="00BE32C9">
      <w:pPr>
        <w:rPr>
          <w:color w:val="000000"/>
        </w:rPr>
      </w:pPr>
      <w:r>
        <w:lastRenderedPageBreak/>
        <w:t xml:space="preserve">As detailed further below in Section </w:t>
      </w:r>
      <w:r w:rsidR="00270DF5">
        <w:t>II A</w:t>
      </w:r>
      <w:r>
        <w:t xml:space="preserve">, the main elements to be considered by this [ICA] analysis for the Proposed Project for elements in the Proposed Project that will be new or expanded services, are: (1) </w:t>
      </w:r>
      <w:r w:rsidRPr="1025C662">
        <w:rPr>
          <w:color w:val="000000" w:themeColor="text1"/>
        </w:rPr>
        <w:t>[B]ased on this analysis, is the Proposed Project consistent with the Commonwealth's efforts to meet the health care cost-containment goals</w:t>
      </w:r>
      <w:r w:rsidR="6B374881" w:rsidRPr="1025C662">
        <w:rPr>
          <w:color w:val="000000" w:themeColor="text1"/>
        </w:rPr>
        <w:t>,</w:t>
      </w:r>
      <w:r w:rsidRPr="1025C662">
        <w:rPr>
          <w:color w:val="000000" w:themeColor="text1"/>
        </w:rPr>
        <w:t xml:space="preserve"> including scope and size of any impact;</w:t>
      </w:r>
      <w:r w:rsidR="00642007" w:rsidRPr="1025C662">
        <w:rPr>
          <w:color w:val="000000" w:themeColor="text1"/>
        </w:rPr>
        <w:t xml:space="preserve"> </w:t>
      </w:r>
      <w:r w:rsidRPr="1025C662">
        <w:rPr>
          <w:color w:val="000000" w:themeColor="text1"/>
        </w:rPr>
        <w:t>and (2) the effects of the Proposed Project on price and competition for healthcare services (“Price/Competition”); and (3) the effect on utilization of services and the capacity of providers to provide the relevant healthcare services (“Utilization/Capacity”)</w:t>
      </w:r>
      <w:r w:rsidR="005B6E73" w:rsidRPr="1025C662">
        <w:rPr>
          <w:color w:val="000000" w:themeColor="text1"/>
        </w:rPr>
        <w:t>.</w:t>
      </w:r>
      <w:r w:rsidRPr="1025C662">
        <w:rPr>
          <w:color w:val="000000" w:themeColor="text1"/>
        </w:rPr>
        <w:t xml:space="preserve"> </w:t>
      </w:r>
      <w:r w:rsidR="005B6E73" w:rsidRPr="1025C662">
        <w:rPr>
          <w:color w:val="000000" w:themeColor="text1"/>
        </w:rPr>
        <w:t xml:space="preserve">These </w:t>
      </w:r>
      <w:r w:rsidR="00270DF5" w:rsidRPr="1025C662">
        <w:rPr>
          <w:color w:val="000000" w:themeColor="text1"/>
        </w:rPr>
        <w:t xml:space="preserve">ICA </w:t>
      </w:r>
      <w:r w:rsidR="005B6E73" w:rsidRPr="1025C662">
        <w:rPr>
          <w:color w:val="000000" w:themeColor="text1"/>
        </w:rPr>
        <w:t xml:space="preserve">questions </w:t>
      </w:r>
      <w:r w:rsidR="00634573" w:rsidRPr="1025C662">
        <w:rPr>
          <w:color w:val="000000" w:themeColor="text1"/>
        </w:rPr>
        <w:t>cover</w:t>
      </w:r>
      <w:r w:rsidRPr="1025C662">
        <w:rPr>
          <w:color w:val="000000" w:themeColor="text1"/>
        </w:rPr>
        <w:t xml:space="preserve"> </w:t>
      </w:r>
      <w:r w:rsidR="005B6E73" w:rsidRPr="1025C662">
        <w:rPr>
          <w:color w:val="000000" w:themeColor="text1"/>
        </w:rPr>
        <w:t xml:space="preserve">both </w:t>
      </w:r>
      <w:r w:rsidRPr="1025C662">
        <w:rPr>
          <w:color w:val="000000" w:themeColor="text1"/>
        </w:rPr>
        <w:t xml:space="preserve">current </w:t>
      </w:r>
      <w:r w:rsidR="00634573" w:rsidRPr="1025C662">
        <w:rPr>
          <w:color w:val="000000" w:themeColor="text1"/>
        </w:rPr>
        <w:t>and</w:t>
      </w:r>
      <w:r w:rsidRPr="1025C662">
        <w:rPr>
          <w:color w:val="000000" w:themeColor="text1"/>
        </w:rPr>
        <w:t xml:space="preserve"> </w:t>
      </w:r>
      <w:r w:rsidR="008A1DEA" w:rsidRPr="1025C662">
        <w:rPr>
          <w:color w:val="000000" w:themeColor="text1"/>
        </w:rPr>
        <w:t>future</w:t>
      </w:r>
      <w:r w:rsidRPr="1025C662">
        <w:rPr>
          <w:color w:val="000000" w:themeColor="text1"/>
        </w:rPr>
        <w:t xml:space="preserve"> time frames.</w:t>
      </w:r>
    </w:p>
    <w:p w14:paraId="75776BC5" w14:textId="06030DC2" w:rsidR="00EE5ECC" w:rsidRPr="00EE5ECC" w:rsidRDefault="00EE5ECC" w:rsidP="00BE32C9">
      <w:r w:rsidRPr="00EE5ECC">
        <w:t xml:space="preserve">FTI was also asked to evaluate specific findings and conclusions in the BCH </w:t>
      </w:r>
      <w:r w:rsidR="00634573">
        <w:t>submissions</w:t>
      </w:r>
      <w:r w:rsidRPr="00EE5ECC">
        <w:t xml:space="preserve">; and to present these assessments with the major elements in an ICA report </w:t>
      </w:r>
      <w:r w:rsidR="00270DF5">
        <w:t>along with relevant</w:t>
      </w:r>
      <w:r w:rsidRPr="00EE5ECC">
        <w:t xml:space="preserve"> supporting data and analyses.</w:t>
      </w:r>
      <w:r w:rsidRPr="00EE5ECC">
        <w:rPr>
          <w:vertAlign w:val="superscript"/>
        </w:rPr>
        <w:footnoteReference w:id="5"/>
      </w:r>
    </w:p>
    <w:p w14:paraId="016E5A0F" w14:textId="3A5CDD6E" w:rsidR="00EE5ECC" w:rsidRPr="00EE5ECC" w:rsidRDefault="00EE5ECC" w:rsidP="00BE32C9">
      <w:r w:rsidRPr="00EE5ECC">
        <w:t>In conducting its analyses, FTI had access to and made use of extensive data and information, which are summarized throughout this Report and in the Report Appendix. The Report makes use of FTI economist and</w:t>
      </w:r>
      <w:r w:rsidR="005B6E73">
        <w:t xml:space="preserve"> professional</w:t>
      </w:r>
      <w:r w:rsidRPr="00EE5ECC">
        <w:t xml:space="preserve"> staff experience in </w:t>
      </w:r>
      <w:r w:rsidR="005B6E73">
        <w:t xml:space="preserve">healthcare </w:t>
      </w:r>
      <w:r w:rsidR="00270DF5">
        <w:t>including in</w:t>
      </w:r>
      <w:r w:rsidR="005B6E73">
        <w:t xml:space="preserve"> </w:t>
      </w:r>
      <w:r w:rsidRPr="00EE5ECC">
        <w:t>evaluating price, competition, capacity, service areas, demand and utilization forecasts, and economically appropriate modeling of healthcare and hospital elements, including outpatient services</w:t>
      </w:r>
      <w:r w:rsidR="00270DF5">
        <w:t>. The Report’s analysis</w:t>
      </w:r>
      <w:r w:rsidRPr="00EE5ECC">
        <w:t xml:space="preserve"> applies these</w:t>
      </w:r>
      <w:r w:rsidR="005B6E73">
        <w:t xml:space="preserve"> capa</w:t>
      </w:r>
      <w:r w:rsidR="00C826B4">
        <w:t>bilities</w:t>
      </w:r>
      <w:r w:rsidRPr="00EE5ECC">
        <w:t xml:space="preserve"> to address the specific questions of impact of the Proposed Project on price/competition, utilization/capacity, </w:t>
      </w:r>
      <w:r w:rsidR="000A4BFB">
        <w:t xml:space="preserve">overarching goals, </w:t>
      </w:r>
      <w:r w:rsidRPr="00EE5ECC">
        <w:t xml:space="preserve">and consistency with Massachusetts </w:t>
      </w:r>
      <w:r w:rsidR="0014030F">
        <w:t>c</w:t>
      </w:r>
      <w:r w:rsidRPr="00EE5ECC">
        <w:t xml:space="preserve">ost </w:t>
      </w:r>
      <w:r w:rsidR="0014030F">
        <w:t>c</w:t>
      </w:r>
      <w:r w:rsidRPr="00EE5ECC">
        <w:t xml:space="preserve">ontainment goals. Empirical work </w:t>
      </w:r>
      <w:r w:rsidR="008A1DEA">
        <w:t xml:space="preserve">supporting the assessment </w:t>
      </w:r>
      <w:r w:rsidRPr="00EE5ECC">
        <w:t xml:space="preserve">is </w:t>
      </w:r>
      <w:r w:rsidR="008A1DEA">
        <w:t xml:space="preserve">presented </w:t>
      </w:r>
      <w:r w:rsidRPr="00EE5ECC">
        <w:t>in the Report and</w:t>
      </w:r>
      <w:r w:rsidR="008A1DEA">
        <w:t>/or</w:t>
      </w:r>
      <w:r w:rsidRPr="00EE5ECC">
        <w:t xml:space="preserve"> the Appendix</w:t>
      </w:r>
      <w:r w:rsidR="00642007">
        <w:t xml:space="preserve"> along with relevant assumptions and methodologies</w:t>
      </w:r>
      <w:r w:rsidRPr="00EE5ECC">
        <w:t>.</w:t>
      </w:r>
    </w:p>
    <w:p w14:paraId="01819DBC" w14:textId="3521D8AE" w:rsidR="00EE5ECC" w:rsidRPr="00EE5ECC" w:rsidRDefault="00EE5ECC" w:rsidP="00BE32C9">
      <w:r w:rsidRPr="00EE5ECC">
        <w:t>After applying standard principles of economic analyses and specific requirements of the questions set out in the ICA to relevant data and information, FTI Consulting reached the conclusions and findings set out in Section I</w:t>
      </w:r>
      <w:r w:rsidR="000B3680">
        <w:t xml:space="preserve"> </w:t>
      </w:r>
      <w:r w:rsidRPr="00EE5ECC">
        <w:t xml:space="preserve">B. </w:t>
      </w:r>
    </w:p>
    <w:p w14:paraId="648CF62F" w14:textId="17D8813B" w:rsidR="00EE5ECC" w:rsidRPr="00EE5ECC" w:rsidRDefault="00EE5ECC" w:rsidP="00BE32C9">
      <w:pPr>
        <w:pStyle w:val="Heading2"/>
      </w:pPr>
      <w:bookmarkStart w:id="13" w:name="_Toc109895482"/>
      <w:bookmarkStart w:id="14" w:name="_Toc105569084"/>
      <w:bookmarkStart w:id="15" w:name="_Toc106002881"/>
      <w:r w:rsidRPr="00EE5ECC">
        <w:t>Summary of Conclusions</w:t>
      </w:r>
      <w:bookmarkEnd w:id="13"/>
      <w:r w:rsidRPr="00EE5ECC">
        <w:t xml:space="preserve"> </w:t>
      </w:r>
      <w:bookmarkEnd w:id="12"/>
      <w:bookmarkEnd w:id="14"/>
      <w:bookmarkEnd w:id="15"/>
    </w:p>
    <w:p w14:paraId="0ECD59F4" w14:textId="2A2907A8" w:rsidR="00EE5ECC" w:rsidRPr="00EE5ECC" w:rsidRDefault="00EE5ECC" w:rsidP="00BE32C9">
      <w:r w:rsidRPr="00EE5ECC">
        <w:t xml:space="preserve">For convenience, Questions 1-8 </w:t>
      </w:r>
      <w:r w:rsidR="00642007">
        <w:t xml:space="preserve">below </w:t>
      </w:r>
      <w:r w:rsidRPr="00EE5ECC">
        <w:t xml:space="preserve">address cost and economic impact questions </w:t>
      </w:r>
      <w:r w:rsidR="00B044D2">
        <w:t>for</w:t>
      </w:r>
      <w:r w:rsidRPr="00EE5ECC">
        <w:t xml:space="preserve"> the BCH ICA for Determination of Need </w:t>
      </w:r>
      <w:r w:rsidR="00642007">
        <w:t xml:space="preserve">of the </w:t>
      </w:r>
      <w:r w:rsidRPr="00EE5ECC">
        <w:t xml:space="preserve">Proposed Project. Question 9 summarizes the responses to specific questions raised by the DPH </w:t>
      </w:r>
      <w:r w:rsidR="00B044D2">
        <w:t>about</w:t>
      </w:r>
      <w:r w:rsidRPr="00EE5ECC">
        <w:t xml:space="preserve"> statements or questions about the proposed project and findings in the BCH </w:t>
      </w:r>
      <w:r w:rsidR="00EE3378">
        <w:t>A</w:t>
      </w:r>
      <w:r w:rsidRPr="00EE5ECC">
        <w:t>pplication</w:t>
      </w:r>
      <w:r w:rsidR="00270DF5">
        <w:t xml:space="preserve"> (</w:t>
      </w:r>
      <w:r w:rsidR="00642007">
        <w:t>these are</w:t>
      </w:r>
      <w:r w:rsidR="00270DF5">
        <w:t xml:space="preserve"> detailed in Section XIII</w:t>
      </w:r>
      <w:r w:rsidR="000A4BFB">
        <w:t>)</w:t>
      </w:r>
      <w:r w:rsidRPr="00EE5ECC">
        <w:t>.</w:t>
      </w:r>
      <w:r w:rsidR="0014030F" w:rsidRPr="00EE5ECC">
        <w:rPr>
          <w:vertAlign w:val="superscript"/>
        </w:rPr>
        <w:footnoteReference w:id="6"/>
      </w:r>
      <w:r w:rsidRPr="00EE5ECC">
        <w:t xml:space="preserve"> </w:t>
      </w:r>
    </w:p>
    <w:p w14:paraId="7700ADF2" w14:textId="798D4186" w:rsidR="00EE5ECC" w:rsidRPr="00EE5ECC" w:rsidRDefault="00EE5ECC" w:rsidP="00BE32C9">
      <w:r w:rsidRPr="00634573">
        <w:t>Q1: Is the Proposed Project consistent with the Commonwealth's efforts to meet the health care cost-containment goals? What would the scope and size of any impact be?</w:t>
      </w:r>
      <w:r w:rsidRPr="00EE5ECC">
        <w:t xml:space="preserve"> </w:t>
      </w:r>
      <w:r w:rsidR="00634573" w:rsidRPr="00CC36A3">
        <w:t xml:space="preserve">The </w:t>
      </w:r>
      <w:r w:rsidR="00634573" w:rsidRPr="00CC36A3">
        <w:lastRenderedPageBreak/>
        <w:t>Proposed Project offers</w:t>
      </w:r>
      <w:r w:rsidR="000A4BFB" w:rsidRPr="00CC36A3">
        <w:t xml:space="preserve"> </w:t>
      </w:r>
      <w:r w:rsidR="00634573" w:rsidRPr="00CC36A3">
        <w:t xml:space="preserve">new services, including MRI, </w:t>
      </w:r>
      <w:r w:rsidR="00642007">
        <w:t>I</w:t>
      </w:r>
      <w:r w:rsidR="00634573" w:rsidRPr="00CC36A3">
        <w:t xml:space="preserve">maging and ASC services </w:t>
      </w:r>
      <w:r w:rsidR="00254A83" w:rsidRPr="00CC36A3">
        <w:t xml:space="preserve">as well as </w:t>
      </w:r>
      <w:r w:rsidR="00E15BBC" w:rsidRPr="00CC36A3">
        <w:t xml:space="preserve">other outpatient </w:t>
      </w:r>
      <w:r w:rsidR="00642007">
        <w:t>health</w:t>
      </w:r>
      <w:r w:rsidR="00634573" w:rsidRPr="00CC36A3">
        <w:t>care</w:t>
      </w:r>
      <w:r w:rsidR="000A4BFB" w:rsidRPr="00CC36A3">
        <w:t xml:space="preserve"> </w:t>
      </w:r>
      <w:r w:rsidR="00E15BBC" w:rsidRPr="00CC36A3">
        <w:t xml:space="preserve">services </w:t>
      </w:r>
      <w:r w:rsidR="00254A83" w:rsidRPr="00CC36A3">
        <w:t xml:space="preserve">including </w:t>
      </w:r>
      <w:r w:rsidR="000A4BFB" w:rsidRPr="00CC36A3">
        <w:t xml:space="preserve">at </w:t>
      </w:r>
      <w:r w:rsidR="00634573" w:rsidRPr="00CC36A3">
        <w:t xml:space="preserve">new </w:t>
      </w:r>
      <w:r w:rsidR="000A4BFB" w:rsidRPr="00CC36A3">
        <w:t xml:space="preserve">outpatient satellite locations in regions outside </w:t>
      </w:r>
      <w:r w:rsidR="00634573" w:rsidRPr="00CC36A3">
        <w:t>of</w:t>
      </w:r>
      <w:r w:rsidR="000A4BFB" w:rsidRPr="00CC36A3">
        <w:t xml:space="preserve"> </w:t>
      </w:r>
      <w:r w:rsidR="009E2CAC" w:rsidRPr="00CC36A3">
        <w:t xml:space="preserve">the </w:t>
      </w:r>
      <w:r w:rsidR="000A4BFB" w:rsidRPr="00CC36A3">
        <w:t xml:space="preserve">immediate Boston </w:t>
      </w:r>
      <w:r w:rsidR="00642007">
        <w:t>area</w:t>
      </w:r>
      <w:r w:rsidR="008512C9">
        <w:t xml:space="preserve"> (location of the </w:t>
      </w:r>
      <w:r w:rsidR="009E2CAC">
        <w:t>BCH Longwood facility</w:t>
      </w:r>
      <w:r w:rsidR="008512C9">
        <w:t>)</w:t>
      </w:r>
      <w:r w:rsidR="009E2CAC">
        <w:t xml:space="preserve"> </w:t>
      </w:r>
      <w:r w:rsidR="000A4BFB" w:rsidRPr="009E2CAC">
        <w:t xml:space="preserve">and close to </w:t>
      </w:r>
      <w:r w:rsidR="00634573" w:rsidRPr="009E2CAC">
        <w:t xml:space="preserve">large pediatric </w:t>
      </w:r>
      <w:r w:rsidR="000A4BFB" w:rsidRPr="009E2CAC">
        <w:t>populations</w:t>
      </w:r>
      <w:r w:rsidR="00254A83">
        <w:t xml:space="preserve"> covered by both commercial (private) and public insurance</w:t>
      </w:r>
      <w:r w:rsidR="00634573" w:rsidRPr="009E2CAC">
        <w:t>.</w:t>
      </w:r>
      <w:r w:rsidR="00914DF6" w:rsidRPr="1025C662">
        <w:rPr>
          <w:rStyle w:val="FootnoteReference"/>
          <w:i/>
          <w:iCs/>
        </w:rPr>
        <w:footnoteReference w:id="7"/>
      </w:r>
      <w:r w:rsidR="000A4BFB" w:rsidRPr="009E2CAC">
        <w:t xml:space="preserve"> </w:t>
      </w:r>
      <w:r w:rsidR="54AED135" w:rsidRPr="009E2CAC">
        <w:t>The</w:t>
      </w:r>
      <w:r w:rsidR="009E2CAC" w:rsidRPr="009E2CAC">
        <w:t xml:space="preserve"> ICA analyses show that BCH gains  limited projected share as compared to its alternatives</w:t>
      </w:r>
      <w:r w:rsidR="00A753E3">
        <w:t xml:space="preserve"> in the defined areas</w:t>
      </w:r>
      <w:r w:rsidR="009E2CAC" w:rsidRPr="009E2CAC">
        <w:t xml:space="preserve">, and the impact </w:t>
      </w:r>
      <w:r w:rsidR="00EE3378">
        <w:t>on</w:t>
      </w:r>
      <w:r w:rsidR="009E2CAC" w:rsidRPr="009E2CAC">
        <w:t xml:space="preserve"> </w:t>
      </w:r>
      <w:r w:rsidR="00EE3378">
        <w:t xml:space="preserve">the </w:t>
      </w:r>
      <w:r w:rsidR="009E2CAC" w:rsidRPr="009E2CAC">
        <w:t>estimate</w:t>
      </w:r>
      <w:r w:rsidR="00EE3378">
        <w:t>d</w:t>
      </w:r>
      <w:r w:rsidR="009E2CAC" w:rsidRPr="009E2CAC">
        <w:t xml:space="preserve"> rate of change in medical spending </w:t>
      </w:r>
      <w:r w:rsidR="00A753E3">
        <w:t xml:space="preserve">across services for commercial payers </w:t>
      </w:r>
      <w:r w:rsidR="009E2CAC" w:rsidRPr="009E2CAC">
        <w:t xml:space="preserve">is below 1%. </w:t>
      </w:r>
      <w:r w:rsidR="00CC36A3">
        <w:t>In addition, the</w:t>
      </w:r>
      <w:r w:rsidR="00CC36A3" w:rsidRPr="009E2CAC">
        <w:t xml:space="preserve"> </w:t>
      </w:r>
      <w:r w:rsidR="009E2CAC" w:rsidRPr="009E2CAC">
        <w:t xml:space="preserve">new facilities and services provide access in locations and service areas </w:t>
      </w:r>
      <w:r w:rsidR="00A753E3">
        <w:t>for</w:t>
      </w:r>
      <w:r w:rsidR="009E2CAC" w:rsidRPr="009E2CAC">
        <w:t xml:space="preserve"> </w:t>
      </w:r>
      <w:r w:rsidR="008512C9" w:rsidRPr="00365FBF">
        <w:t>p</w:t>
      </w:r>
      <w:r w:rsidR="009E2CAC" w:rsidRPr="00365FBF">
        <w:t>opulations</w:t>
      </w:r>
      <w:r w:rsidR="00642007" w:rsidRPr="00365FBF">
        <w:t xml:space="preserve"> such as those covered by MassHealth</w:t>
      </w:r>
      <w:r w:rsidR="00CC36A3" w:rsidRPr="00365FBF">
        <w:t>.</w:t>
      </w:r>
      <w:r w:rsidR="00AC55AC" w:rsidRPr="1025C662">
        <w:rPr>
          <w:rStyle w:val="FootnoteReference"/>
          <w:i/>
          <w:iCs/>
        </w:rPr>
        <w:footnoteReference w:id="8"/>
      </w:r>
      <w:r w:rsidR="009E2CAC">
        <w:t xml:space="preserve">  </w:t>
      </w:r>
    </w:p>
    <w:p w14:paraId="701E019D" w14:textId="222C3B03" w:rsidR="00EE5ECC" w:rsidRPr="00EE5ECC" w:rsidRDefault="00EE5ECC" w:rsidP="00BE32C9">
      <w:r>
        <w:t xml:space="preserve">Q2: How (or) will this Proposed Project change utilization at higher- versus lower-priced providers, and what will be the subsequent impact on health care price/spending for commercial and public payers? </w:t>
      </w:r>
      <w:r w:rsidR="000A4BFB">
        <w:t xml:space="preserve">The </w:t>
      </w:r>
      <w:r w:rsidR="00EE3378">
        <w:t>ICA analysis applied standard economic methodologies to construct service areas for the new services (</w:t>
      </w:r>
      <w:r w:rsidR="00254A83">
        <w:t xml:space="preserve">e.g., </w:t>
      </w:r>
      <w:r w:rsidR="00EE3378">
        <w:t xml:space="preserve">MRI, ASC, and Imaging) and economic modeling to determine the likely sources of shifts of visits to the new facilities. </w:t>
      </w:r>
      <w:r w:rsidR="00EE3AFF">
        <w:t>These e</w:t>
      </w:r>
      <w:r w:rsidR="009E2CAC">
        <w:t xml:space="preserve">mpirical analyses predict that the </w:t>
      </w:r>
      <w:r w:rsidR="000A4BFB">
        <w:t>Proposed Project</w:t>
      </w:r>
      <w:r w:rsidR="009E2CAC">
        <w:t xml:space="preserve"> will shift</w:t>
      </w:r>
      <w:r w:rsidR="000A4BFB">
        <w:t xml:space="preserve"> utilization from higher priced BCH </w:t>
      </w:r>
      <w:r w:rsidR="009E2CAC">
        <w:t>Longwood</w:t>
      </w:r>
      <w:r w:rsidR="000A4BFB">
        <w:t xml:space="preserve"> campus to lower priced BCH satellites and combines shifts from both higher and lower priced other facilities</w:t>
      </w:r>
      <w:r w:rsidR="009E2CAC">
        <w:t xml:space="preserve"> to these facilities</w:t>
      </w:r>
      <w:r w:rsidR="000A4BFB">
        <w:t xml:space="preserve">. </w:t>
      </w:r>
      <w:r w:rsidR="009D3340">
        <w:t>Modeling of current and future shares of BCH compared to alternative providers for relevant time frames (e.g., 5-10 years from opening of the facilities) inclusive of demand projections, show modest increment in BCH’s shares for these services.</w:t>
      </w:r>
      <w:r w:rsidR="000A4BFB">
        <w:t xml:space="preserve"> A</w:t>
      </w:r>
      <w:r w:rsidR="009D3340">
        <w:t>fter estimating relative prices at BCH and other providers, and a</w:t>
      </w:r>
      <w:r w:rsidR="000A4BFB">
        <w:t xml:space="preserve">ccounting </w:t>
      </w:r>
      <w:r w:rsidR="009D3340">
        <w:t>for demand/supply</w:t>
      </w:r>
      <w:r w:rsidR="000A4BFB">
        <w:t xml:space="preserve"> changes</w:t>
      </w:r>
      <w:r w:rsidR="009D3340">
        <w:t xml:space="preserve"> and shifts in sources of care</w:t>
      </w:r>
      <w:r w:rsidR="000A4BFB">
        <w:t>, the impact is a net small increase in medical spending rate for commercial payers</w:t>
      </w:r>
      <w:r w:rsidR="009D3340">
        <w:t xml:space="preserve">. For public payers, the empirical </w:t>
      </w:r>
      <w:r w:rsidR="008B11EB">
        <w:t xml:space="preserve">and qualitative </w:t>
      </w:r>
      <w:r w:rsidR="009D3340">
        <w:t>analyses support access to services for these populations</w:t>
      </w:r>
      <w:r w:rsidR="000A4BFB">
        <w:t>.</w:t>
      </w:r>
      <w:r w:rsidR="009E2CAC">
        <w:t xml:space="preserve"> </w:t>
      </w:r>
      <w:r w:rsidR="0027211F">
        <w:t xml:space="preserve">Economic analysis of the more specialized services to be added or expanded at a specific </w:t>
      </w:r>
      <w:r w:rsidR="00021175">
        <w:t xml:space="preserve">BCH </w:t>
      </w:r>
      <w:r w:rsidR="0027211F">
        <w:t>location</w:t>
      </w:r>
      <w:r w:rsidR="00021175">
        <w:t xml:space="preserve"> </w:t>
      </w:r>
      <w:r w:rsidR="0027211F">
        <w:t>–</w:t>
      </w:r>
      <w:r w:rsidR="00021175">
        <w:t xml:space="preserve"> e.g., </w:t>
      </w:r>
      <w:r w:rsidR="0027772B">
        <w:t>partial hospitalization, GI, and sleep services</w:t>
      </w:r>
      <w:r w:rsidR="0027211F">
        <w:t xml:space="preserve"> – show similar results.</w:t>
      </w:r>
    </w:p>
    <w:p w14:paraId="4A30E908" w14:textId="68DA0DA6" w:rsidR="00EE5ECC" w:rsidRPr="00EE5ECC" w:rsidRDefault="00EE5ECC" w:rsidP="00BE32C9">
      <w:r w:rsidRPr="009E2CAC">
        <w:t>Q3: How will this Proposed Project change price levels for the Applicant’s relevant services, and what will be the subsequent impact on health care price/spending for commercial and public payers?</w:t>
      </w:r>
      <w:r w:rsidRPr="00EE5ECC">
        <w:t xml:space="preserve"> </w:t>
      </w:r>
      <w:r w:rsidR="00D1230A">
        <w:t xml:space="preserve">Empirical analyses and economic modeling of predicted shifts of volumes for the proposed new services to facilities show that the </w:t>
      </w:r>
      <w:r w:rsidR="00270DF5" w:rsidRPr="009E2CAC">
        <w:t>Proposed Project is predicted to shift</w:t>
      </w:r>
      <w:r w:rsidR="009E2CAC">
        <w:t xml:space="preserve"> </w:t>
      </w:r>
      <w:r w:rsidR="00270DF5" w:rsidRPr="009E2CAC">
        <w:t>volumes</w:t>
      </w:r>
      <w:r w:rsidR="009E2CAC">
        <w:t xml:space="preserve"> and utilization </w:t>
      </w:r>
      <w:r w:rsidR="00270DF5" w:rsidRPr="009E2CAC">
        <w:t xml:space="preserve">from </w:t>
      </w:r>
      <w:r w:rsidR="00D1230A">
        <w:t xml:space="preserve">several sources, including the </w:t>
      </w:r>
      <w:r w:rsidR="00270DF5" w:rsidRPr="009E2CAC">
        <w:t xml:space="preserve">BCH </w:t>
      </w:r>
      <w:r w:rsidR="00D1230A">
        <w:lastRenderedPageBreak/>
        <w:t>Longwood (</w:t>
      </w:r>
      <w:r w:rsidR="00270DF5" w:rsidRPr="009E2CAC">
        <w:t>LW</w:t>
      </w:r>
      <w:r w:rsidR="00D1230A">
        <w:t>) campus</w:t>
      </w:r>
      <w:r w:rsidR="00270DF5" w:rsidRPr="009E2CAC">
        <w:t xml:space="preserve"> to BCH new locations for </w:t>
      </w:r>
      <w:r w:rsidR="0027772B">
        <w:t xml:space="preserve">the services involving expanded </w:t>
      </w:r>
      <w:r w:rsidR="00021175">
        <w:t xml:space="preserve">MRI and OR </w:t>
      </w:r>
      <w:r w:rsidR="0027772B">
        <w:t xml:space="preserve">capacity - </w:t>
      </w:r>
      <w:r w:rsidR="00270DF5" w:rsidRPr="009E2CAC">
        <w:t xml:space="preserve">MRI, ASC, and </w:t>
      </w:r>
      <w:r w:rsidR="00F446BA">
        <w:t>i</w:t>
      </w:r>
      <w:r w:rsidR="00270DF5" w:rsidRPr="009E2CAC">
        <w:t>maging services.</w:t>
      </w:r>
      <w:r w:rsidR="00F446BA">
        <w:t xml:space="preserve"> </w:t>
      </w:r>
      <w:r w:rsidR="00270DF5" w:rsidRPr="009E2CAC">
        <w:t xml:space="preserve">Based on analyses of CHIA </w:t>
      </w:r>
      <w:r w:rsidR="0027772B">
        <w:t>All-Payer Claims Database (</w:t>
      </w:r>
      <w:r w:rsidR="00270DF5" w:rsidRPr="009E2CAC">
        <w:t>APCD</w:t>
      </w:r>
      <w:r w:rsidR="0027772B">
        <w:t>)</w:t>
      </w:r>
      <w:r w:rsidR="00270DF5" w:rsidRPr="009E2CAC">
        <w:t xml:space="preserve"> </w:t>
      </w:r>
      <w:r w:rsidR="00C42CA5">
        <w:t xml:space="preserve">claims </w:t>
      </w:r>
      <w:r w:rsidR="00270DF5" w:rsidRPr="009E2CAC">
        <w:t xml:space="preserve">data </w:t>
      </w:r>
      <w:r w:rsidR="00F446BA">
        <w:t xml:space="preserve">and supplemented by </w:t>
      </w:r>
      <w:r w:rsidR="00F446BA" w:rsidRPr="009E2CAC">
        <w:t>BCH payments/charges data f</w:t>
      </w:r>
      <w:r w:rsidR="00F446BA">
        <w:t>or</w:t>
      </w:r>
      <w:r w:rsidR="00F446BA" w:rsidRPr="009E2CAC">
        <w:t xml:space="preserve"> BCH’s standard charges for top commercial payers, </w:t>
      </w:r>
      <w:r w:rsidR="00270DF5" w:rsidRPr="009E2CAC">
        <w:t xml:space="preserve">addition of </w:t>
      </w:r>
      <w:r w:rsidR="00F446BA">
        <w:t xml:space="preserve">the </w:t>
      </w:r>
      <w:r w:rsidR="00270DF5" w:rsidRPr="009E2CAC">
        <w:t xml:space="preserve">new </w:t>
      </w:r>
      <w:r w:rsidR="00F446BA">
        <w:t xml:space="preserve">BCH </w:t>
      </w:r>
      <w:r w:rsidR="00270DF5" w:rsidRPr="009E2CAC">
        <w:t xml:space="preserve">locations and their use will tend to shift </w:t>
      </w:r>
      <w:r w:rsidR="0099136C" w:rsidRPr="009E2CAC">
        <w:t>visits/</w:t>
      </w:r>
      <w:r w:rsidR="00270DF5" w:rsidRPr="009E2CAC">
        <w:t xml:space="preserve">procedures </w:t>
      </w:r>
      <w:r w:rsidR="00F446BA">
        <w:t xml:space="preserve">from higher-cost (BCH LW) </w:t>
      </w:r>
      <w:r w:rsidR="00270DF5" w:rsidRPr="009E2CAC">
        <w:t>to lower</w:t>
      </w:r>
      <w:r w:rsidR="00C42CA5">
        <w:t>-</w:t>
      </w:r>
      <w:r w:rsidR="00270DF5" w:rsidRPr="009E2CAC">
        <w:t>cost BCH locations.</w:t>
      </w:r>
      <w:r w:rsidR="00F446BA" w:rsidRPr="00F446BA">
        <w:t xml:space="preserve"> </w:t>
      </w:r>
      <w:r w:rsidR="00F446BA">
        <w:t xml:space="preserve">The empirical analyses also model additional sources of shifts of volume to the new locations, including from both higher and lower-priced providers. Combined the estimated impact is a low net increase in medical spending for commercial payers.  </w:t>
      </w:r>
      <w:r w:rsidR="0097196E">
        <w:t>Empirical analyses, including m</w:t>
      </w:r>
      <w:r w:rsidR="00F446BA">
        <w:t>odeling of shifts for</w:t>
      </w:r>
      <w:r w:rsidR="00021175">
        <w:t xml:space="preserve"> populations covered by</w:t>
      </w:r>
      <w:r w:rsidR="00F446BA">
        <w:t xml:space="preserve"> public payers support</w:t>
      </w:r>
      <w:r w:rsidR="00021175">
        <w:t>s</w:t>
      </w:r>
      <w:r w:rsidR="00F446BA">
        <w:t xml:space="preserve"> access for the new services for public payer populations located in the service areas of the new facilities.</w:t>
      </w:r>
    </w:p>
    <w:p w14:paraId="5168C1A1" w14:textId="69E7E8CD" w:rsidR="00EE5ECC" w:rsidRPr="00EE5ECC" w:rsidRDefault="00EE5ECC" w:rsidP="00BE32C9">
      <w:r w:rsidRPr="00C42CA5">
        <w:t>Q4: How will this Proposed Project impact the Applicant’s relevant market share (looking at both statewide and at the region levels of service locations) for services and its negotiating leverage, and what will be the subsequent impact on health care price/spending for commercial and public payers?</w:t>
      </w:r>
      <w:r w:rsidRPr="00EE5ECC">
        <w:t xml:space="preserve"> </w:t>
      </w:r>
      <w:r w:rsidR="00C44B73">
        <w:t>Based on application of standard economic modeling and approaches to service areas, assessment of market shares and concentration measures, and estimated shifts in location of care delivery for the relevant services, the empirical results show the</w:t>
      </w:r>
      <w:r w:rsidR="0099136C" w:rsidRPr="00C42CA5">
        <w:t xml:space="preserve"> Proposed Project is projected to result in only </w:t>
      </w:r>
      <w:r w:rsidR="00C42CA5">
        <w:t xml:space="preserve">a </w:t>
      </w:r>
      <w:r w:rsidR="0099136C" w:rsidRPr="00C42CA5">
        <w:t>small share (increase)</w:t>
      </w:r>
      <w:r w:rsidR="00C42CA5">
        <w:t xml:space="preserve"> </w:t>
      </w:r>
      <w:r w:rsidR="0099136C" w:rsidRPr="00C42CA5">
        <w:t>change</w:t>
      </w:r>
      <w:r w:rsidR="00C42CA5">
        <w:t xml:space="preserve"> for each of the </w:t>
      </w:r>
      <w:r w:rsidR="0097196E">
        <w:t xml:space="preserve">evaluated </w:t>
      </w:r>
      <w:r w:rsidR="00C42CA5">
        <w:t>services</w:t>
      </w:r>
      <w:r w:rsidR="00C44B73">
        <w:t xml:space="preserve">, and for </w:t>
      </w:r>
      <w:r w:rsidR="00C42CA5">
        <w:t>the services in the aggregate</w:t>
      </w:r>
      <w:r w:rsidR="00C44B73">
        <w:t xml:space="preserve">. </w:t>
      </w:r>
      <w:r w:rsidR="0099136C" w:rsidRPr="00C42CA5">
        <w:t xml:space="preserve"> </w:t>
      </w:r>
      <w:r w:rsidR="0097196E">
        <w:t>Change in share</w:t>
      </w:r>
      <w:r w:rsidR="0099136C" w:rsidRPr="00C42CA5">
        <w:t xml:space="preserve"> comes </w:t>
      </w:r>
      <w:r w:rsidR="000A4BFB" w:rsidRPr="00C42CA5">
        <w:t>in part f</w:t>
      </w:r>
      <w:r w:rsidR="0099136C" w:rsidRPr="00C42CA5">
        <w:t>rom somewhat higher share at new lower cost locations.</w:t>
      </w:r>
      <w:r w:rsidR="00C44B73">
        <w:t xml:space="preserve"> </w:t>
      </w:r>
      <w:r w:rsidR="00C42CA5">
        <w:t xml:space="preserve">Shares projected for 2040, which include predicted shifts across providers supplemented by detailed demand projections, </w:t>
      </w:r>
      <w:r w:rsidR="00C44B73">
        <w:t xml:space="preserve">also </w:t>
      </w:r>
      <w:r w:rsidR="00C42CA5">
        <w:t xml:space="preserve">show a small increase in BCH share relative to its alternatives in service areas. </w:t>
      </w:r>
      <w:r w:rsidR="00095CDC">
        <w:t>Applying these standardized</w:t>
      </w:r>
      <w:r w:rsidR="00176BA0">
        <w:t xml:space="preserve"> approaches </w:t>
      </w:r>
      <w:r w:rsidR="00095CDC">
        <w:t>for constructing structural measures of</w:t>
      </w:r>
      <w:r w:rsidR="00176BA0">
        <w:t xml:space="preserve"> </w:t>
      </w:r>
      <w:r w:rsidR="0099136C" w:rsidRPr="00C42CA5">
        <w:t>share</w:t>
      </w:r>
      <w:r w:rsidR="00095CDC">
        <w:t xml:space="preserve"> and </w:t>
      </w:r>
      <w:r w:rsidR="0099136C" w:rsidRPr="00C42CA5">
        <w:t>concentration</w:t>
      </w:r>
      <w:r w:rsidR="00095CDC">
        <w:t xml:space="preserve">, along with an </w:t>
      </w:r>
      <w:r w:rsidR="0017068E" w:rsidRPr="00C42CA5">
        <w:t xml:space="preserve">empirical assessment of shares and </w:t>
      </w:r>
      <w:r w:rsidR="00095CDC">
        <w:t>concentration measures</w:t>
      </w:r>
      <w:r w:rsidR="0017068E" w:rsidRPr="00C42CA5">
        <w:t xml:space="preserve"> in the service lines</w:t>
      </w:r>
      <w:r w:rsidR="0097196E">
        <w:t xml:space="preserve"> and </w:t>
      </w:r>
      <w:r w:rsidR="0017068E" w:rsidRPr="00C42CA5">
        <w:t>areas</w:t>
      </w:r>
      <w:r w:rsidR="00095CDC">
        <w:t xml:space="preserve"> with threshold measures from the literature or accepted sources,</w:t>
      </w:r>
      <w:r w:rsidR="0099136C" w:rsidRPr="00C42CA5">
        <w:t xml:space="preserve"> </w:t>
      </w:r>
      <w:r w:rsidR="00176BA0">
        <w:t xml:space="preserve">support </w:t>
      </w:r>
      <w:r w:rsidR="00095CDC">
        <w:t xml:space="preserve">a conclusion </w:t>
      </w:r>
      <w:r w:rsidR="00176BA0">
        <w:t>that</w:t>
      </w:r>
      <w:r w:rsidR="0017068E" w:rsidRPr="00C42CA5">
        <w:t xml:space="preserve"> Proposed </w:t>
      </w:r>
      <w:r w:rsidR="00176BA0">
        <w:t>P</w:t>
      </w:r>
      <w:r w:rsidR="0017068E" w:rsidRPr="00C42CA5">
        <w:t>roject is not</w:t>
      </w:r>
      <w:r w:rsidR="0099136C" w:rsidRPr="00C42CA5">
        <w:t xml:space="preserve"> likely to increase</w:t>
      </w:r>
      <w:r w:rsidR="000A4BFB" w:rsidRPr="00C42CA5">
        <w:t xml:space="preserve"> rates </w:t>
      </w:r>
      <w:r w:rsidR="00176BA0">
        <w:t xml:space="preserve">for commercial payers </w:t>
      </w:r>
      <w:r w:rsidR="000A4BFB" w:rsidRPr="00C42CA5">
        <w:t>due to increased bargaining leverage</w:t>
      </w:r>
      <w:r w:rsidR="0099136C">
        <w:t>.</w:t>
      </w:r>
      <w:r w:rsidR="00176BA0">
        <w:t xml:space="preserve"> </w:t>
      </w:r>
    </w:p>
    <w:p w14:paraId="3AD922A4" w14:textId="4130F89C" w:rsidR="00EE5ECC" w:rsidRPr="00EE5ECC" w:rsidRDefault="00EE5ECC" w:rsidP="00BE32C9">
      <w:r w:rsidRPr="00C42CA5">
        <w:t>Q5: To use as the basis of cost impact of utilization, evaluate the Applicant’s calculation for need in the region (looking at both statewide and at the region levels of service locations).</w:t>
      </w:r>
      <w:r w:rsidRPr="00EE5ECC">
        <w:t xml:space="preserve"> </w:t>
      </w:r>
      <w:r w:rsidR="0099136C" w:rsidRPr="00C42CA5">
        <w:t>Independent analysis of Applicant’s need calculation</w:t>
      </w:r>
      <w:r w:rsidR="0097196E">
        <w:t>s</w:t>
      </w:r>
      <w:r w:rsidR="0099136C" w:rsidRPr="00C42CA5">
        <w:t xml:space="preserve"> show</w:t>
      </w:r>
      <w:r w:rsidR="0017068E" w:rsidRPr="00C42CA5">
        <w:t xml:space="preserve">s that </w:t>
      </w:r>
      <w:r w:rsidR="00027B71" w:rsidRPr="00C42CA5">
        <w:t>BCH</w:t>
      </w:r>
      <w:r w:rsidR="0017068E" w:rsidRPr="00C42CA5">
        <w:t xml:space="preserve"> has evaluated </w:t>
      </w:r>
      <w:r w:rsidR="00C42CA5">
        <w:t xml:space="preserve">its own </w:t>
      </w:r>
      <w:r w:rsidR="0017068E" w:rsidRPr="00C42CA5">
        <w:t>current utilization patterns</w:t>
      </w:r>
      <w:r w:rsidR="00C42CA5">
        <w:t xml:space="preserve"> by service line, </w:t>
      </w:r>
      <w:r w:rsidR="002A00D6">
        <w:t>area,</w:t>
      </w:r>
      <w:r w:rsidR="00C42CA5">
        <w:t xml:space="preserve"> and </w:t>
      </w:r>
      <w:r w:rsidR="00B53BD0">
        <w:t xml:space="preserve">for </w:t>
      </w:r>
      <w:r w:rsidR="00C42CA5">
        <w:t>public and private payers</w:t>
      </w:r>
      <w:r w:rsidR="0097196E">
        <w:t xml:space="preserve"> and deve</w:t>
      </w:r>
      <w:r w:rsidR="00C42CA5">
        <w:t>loped detailed pediatric population estimates for BCH</w:t>
      </w:r>
      <w:r w:rsidR="0097196E">
        <w:t>.  In addition, the Applicant</w:t>
      </w:r>
      <w:r w:rsidR="00B53BD0">
        <w:t xml:space="preserve"> has </w:t>
      </w:r>
      <w:r w:rsidR="00C42CA5">
        <w:t>set out its basis and assumptions for continued need for services</w:t>
      </w:r>
      <w:r w:rsidR="0017068E" w:rsidRPr="00C42CA5">
        <w:t xml:space="preserve"> and accounted for the larger populations in regions outside of the immediate Boston area</w:t>
      </w:r>
      <w:r w:rsidR="00C42CA5">
        <w:t xml:space="preserve"> </w:t>
      </w:r>
      <w:r w:rsidR="0097196E">
        <w:t>with</w:t>
      </w:r>
      <w:r w:rsidR="00CE7C33">
        <w:t xml:space="preserve"> </w:t>
      </w:r>
      <w:r w:rsidR="00C42CA5">
        <w:t xml:space="preserve">utilization estimates for these areas, including </w:t>
      </w:r>
      <w:r w:rsidR="0097196E">
        <w:t xml:space="preserve">areas </w:t>
      </w:r>
      <w:r w:rsidR="00340280">
        <w:t xml:space="preserve">with </w:t>
      </w:r>
      <w:r w:rsidR="00C42CA5">
        <w:t xml:space="preserve">new </w:t>
      </w:r>
      <w:r w:rsidR="0097196E">
        <w:t xml:space="preserve">BCH </w:t>
      </w:r>
      <w:r w:rsidR="00C42CA5">
        <w:t>locations.</w:t>
      </w:r>
      <w:r w:rsidR="0017068E" w:rsidRPr="00C42CA5">
        <w:t xml:space="preserve"> </w:t>
      </w:r>
      <w:r w:rsidR="00B53BD0">
        <w:t xml:space="preserve">FTI </w:t>
      </w:r>
      <w:r w:rsidR="0017068E" w:rsidRPr="00C42CA5">
        <w:t xml:space="preserve">conducted independent analyses </w:t>
      </w:r>
      <w:r w:rsidR="00B53BD0">
        <w:t>of population and utilization projections, at the state and region levels of the service locations</w:t>
      </w:r>
      <w:r w:rsidR="00462788">
        <w:t xml:space="preserve"> </w:t>
      </w:r>
      <w:r w:rsidR="00B02B61">
        <w:t>including payer and population mix and utilization</w:t>
      </w:r>
      <w:r w:rsidR="00B53BD0">
        <w:t xml:space="preserve"> of</w:t>
      </w:r>
      <w:r w:rsidR="00340280">
        <w:t xml:space="preserve"> </w:t>
      </w:r>
      <w:r w:rsidR="00340280">
        <w:lastRenderedPageBreak/>
        <w:t xml:space="preserve">BCH and other providers using CHIA </w:t>
      </w:r>
      <w:r w:rsidR="002A00D6">
        <w:t xml:space="preserve">data </w:t>
      </w:r>
      <w:r w:rsidR="00B02B61">
        <w:t>and other data sources</w:t>
      </w:r>
      <w:r w:rsidR="00340280">
        <w:t xml:space="preserve">. These </w:t>
      </w:r>
      <w:r w:rsidR="00B02B61">
        <w:t>analyses yield results</w:t>
      </w:r>
      <w:r w:rsidR="00340280">
        <w:t xml:space="preserve"> consistent with the Applicant’s calculations</w:t>
      </w:r>
      <w:r w:rsidR="00B02B61">
        <w:t>.</w:t>
      </w:r>
      <w:r w:rsidR="00CE7C33" w:rsidRPr="00000A86">
        <w:rPr>
          <w:rStyle w:val="FootnoteReference"/>
        </w:rPr>
        <w:footnoteReference w:id="9"/>
      </w:r>
    </w:p>
    <w:p w14:paraId="3712CFA9" w14:textId="6F741FD5" w:rsidR="00EE5ECC" w:rsidRPr="00340280" w:rsidRDefault="00EE5ECC" w:rsidP="00BE32C9">
      <w:r w:rsidRPr="00340280">
        <w:t>Q6: Evaluate potential shifts in utilization of services by the patient population, including potential changes from lower cost to higher cost services/providers/provider systems or vice versa as well as potential geographic shift (e.g., urban to suburban).</w:t>
      </w:r>
      <w:r w:rsidR="00065056">
        <w:t xml:space="preserve"> </w:t>
      </w:r>
      <w:r w:rsidR="00340280" w:rsidRPr="00340280">
        <w:t xml:space="preserve">Based on standard economic modeling and methods applied in evaluation of healthcare market changes, </w:t>
      </w:r>
      <w:r w:rsidR="0017068E" w:rsidRPr="00340280">
        <w:t xml:space="preserve">FTI developed comprehensive analysis and modeling of demand and patient response to </w:t>
      </w:r>
      <w:r w:rsidR="00340280">
        <w:t xml:space="preserve">the </w:t>
      </w:r>
      <w:r w:rsidR="0017068E" w:rsidRPr="00340280">
        <w:t>newly available locations</w:t>
      </w:r>
      <w:r w:rsidR="00340280">
        <w:t xml:space="preserve"> and specific services</w:t>
      </w:r>
      <w:r w:rsidR="0017068E" w:rsidRPr="00340280">
        <w:t xml:space="preserve"> to evaluate and present </w:t>
      </w:r>
      <w:r w:rsidR="002A00D6" w:rsidRPr="00340280">
        <w:t>empirically based</w:t>
      </w:r>
      <w:r w:rsidR="0017068E" w:rsidRPr="00340280">
        <w:t xml:space="preserve"> estimates of current and future utilization and shifts in location</w:t>
      </w:r>
      <w:r w:rsidR="0097196E">
        <w:t xml:space="preserve"> of care</w:t>
      </w:r>
      <w:r w:rsidR="0017068E" w:rsidRPr="00340280">
        <w:t>.</w:t>
      </w:r>
      <w:r w:rsidR="00340280">
        <w:t xml:space="preserve"> Among other findings, these show shifts from the BCH LW (and other providers) urban location</w:t>
      </w:r>
      <w:r w:rsidR="00065056">
        <w:t>s</w:t>
      </w:r>
      <w:r w:rsidR="00340280">
        <w:t xml:space="preserve"> to the more suburban locations of the new facilities.</w:t>
      </w:r>
      <w:r w:rsidR="0097196E">
        <w:rPr>
          <w:rStyle w:val="FootnoteReference"/>
          <w:i/>
          <w:iCs/>
        </w:rPr>
        <w:footnoteReference w:id="10"/>
      </w:r>
      <w:r w:rsidR="00340280">
        <w:t xml:space="preserve"> The shifts in location do not necessarily imply urban residents shifting to suburban locations, but rather suburban residents choosing new locations</w:t>
      </w:r>
      <w:r w:rsidR="000C2310">
        <w:t xml:space="preserve"> that may be closer to their residences</w:t>
      </w:r>
      <w:r w:rsidR="00340280">
        <w:t>. The Report details that there are shifts both from higher to lower cost as well as lower to higher cost facilities; on balance, the net change is small.</w:t>
      </w:r>
    </w:p>
    <w:p w14:paraId="67B55751" w14:textId="102D721C" w:rsidR="00EE5ECC" w:rsidRPr="00EE5ECC" w:rsidRDefault="00EE5ECC" w:rsidP="00BE32C9">
      <w:r w:rsidRPr="00EE5ECC">
        <w:t xml:space="preserve">Q7: </w:t>
      </w:r>
      <w:r w:rsidRPr="00340280">
        <w:t>Evaluate access to the Proposed Project services by MassHealth ACO participants and/or individuals in subsidized insurance products through the Health Connector Authority (“ConnectorCare products”) as appropriate</w:t>
      </w:r>
      <w:r w:rsidRPr="00EE5ECC">
        <w:t xml:space="preserve">. </w:t>
      </w:r>
      <w:r w:rsidR="002A00D6" w:rsidRPr="00C25F32">
        <w:t>Regarding</w:t>
      </w:r>
      <w:r w:rsidR="006B496C" w:rsidRPr="00C25F32">
        <w:t xml:space="preserve"> MassHealth</w:t>
      </w:r>
      <w:r w:rsidR="00340280" w:rsidRPr="00C25F32">
        <w:t>,</w:t>
      </w:r>
      <w:r w:rsidR="00340280">
        <w:t xml:space="preserve"> the new locations are projected to </w:t>
      </w:r>
      <w:r w:rsidR="000C2310">
        <w:t xml:space="preserve">serve </w:t>
      </w:r>
      <w:r w:rsidR="00340280">
        <w:t>MassHealth patient populations from their service areas, with shifts from BCH LW as well as from other providers. The demand and utilization analyses indicate that the service areas of each of the new facilities include MassHealth population</w:t>
      </w:r>
      <w:r w:rsidR="00456F31">
        <w:t xml:space="preserve">s. </w:t>
      </w:r>
      <w:r w:rsidR="00AC55AC" w:rsidRPr="00C04DE2">
        <w:t xml:space="preserve">Given </w:t>
      </w:r>
      <w:r w:rsidR="000C2310">
        <w:t xml:space="preserve">the </w:t>
      </w:r>
      <w:r w:rsidR="00AC55AC" w:rsidRPr="00C04DE2">
        <w:t>limitations of the CHIA data on ACO and ConnectorCare products,</w:t>
      </w:r>
      <w:r w:rsidR="000C2310">
        <w:t xml:space="preserve"> </w:t>
      </w:r>
      <w:r w:rsidR="00AC55AC" w:rsidRPr="00C04DE2">
        <w:t xml:space="preserve">we evaluated access to Proposed Project services by MassHealth ACO participants by using </w:t>
      </w:r>
      <w:r w:rsidR="000C2310">
        <w:t xml:space="preserve">demographic data as well as </w:t>
      </w:r>
      <w:r w:rsidR="00AC55AC" w:rsidRPr="00C04DE2">
        <w:t xml:space="preserve">information on the </w:t>
      </w:r>
      <w:r w:rsidR="000C2310">
        <w:t>communities</w:t>
      </w:r>
      <w:r w:rsidR="00AC55AC" w:rsidRPr="00C04DE2">
        <w:t xml:space="preserve"> in the current service areas of ACO plans </w:t>
      </w:r>
      <w:r w:rsidR="008656B6">
        <w:t xml:space="preserve">in which BCH participates </w:t>
      </w:r>
      <w:r w:rsidR="00AC55AC" w:rsidRPr="00C04DE2">
        <w:t xml:space="preserve">and </w:t>
      </w:r>
      <w:r w:rsidR="000C2310">
        <w:t xml:space="preserve">by </w:t>
      </w:r>
      <w:r w:rsidR="00AC55AC" w:rsidRPr="00C04DE2">
        <w:t xml:space="preserve">comparing these areas with the service areas of the new BCH facilities. These were shown to overlap substantially, supporting a conclusion of access for </w:t>
      </w:r>
      <w:r w:rsidR="000C2310">
        <w:t xml:space="preserve">MassHealth </w:t>
      </w:r>
      <w:r w:rsidR="00AC55AC" w:rsidRPr="00C04DE2">
        <w:t>ACO participants</w:t>
      </w:r>
      <w:r w:rsidR="00DA4368" w:rsidRPr="00C04DE2">
        <w:t>.</w:t>
      </w:r>
    </w:p>
    <w:p w14:paraId="1FE73377" w14:textId="10281797" w:rsidR="00E27BBE" w:rsidRDefault="00EE5ECC" w:rsidP="00BE32C9">
      <w:r w:rsidRPr="00FB7116">
        <w:t xml:space="preserve">Q8: If cost increases, who bears the change in cost? Alternatively, if savings are realized, who benefits from the savings? </w:t>
      </w:r>
      <w:r w:rsidR="00065056" w:rsidRPr="00FB7116">
        <w:t xml:space="preserve">The empirical analyses indicate a low </w:t>
      </w:r>
      <w:r w:rsidR="000C2310" w:rsidRPr="00FB7116">
        <w:t xml:space="preserve">estimated </w:t>
      </w:r>
      <w:r w:rsidR="00065056" w:rsidRPr="00FB7116">
        <w:t>increase in medical spending for commercial payers</w:t>
      </w:r>
      <w:r w:rsidR="000C2310">
        <w:t>.</w:t>
      </w:r>
      <w:r w:rsidR="00FB7116">
        <w:t xml:space="preserve"> </w:t>
      </w:r>
      <w:r w:rsidR="000C2310">
        <w:t>E</w:t>
      </w:r>
      <w:r w:rsidR="00132E56">
        <w:t xml:space="preserve">conomic and healthcare studies on commercial coverage and healthcare cost trends indicate several different mechanisms by which medical spending increases may affect employers, payers, providers, and enrollees (employees).  These </w:t>
      </w:r>
      <w:r w:rsidR="000C2310">
        <w:t>show</w:t>
      </w:r>
      <w:r w:rsidR="000C2310" w:rsidRPr="00E27BBE">
        <w:t xml:space="preserve"> </w:t>
      </w:r>
      <w:r w:rsidR="00E27BBE" w:rsidRPr="00E27BBE">
        <w:t>difficulty in assigning with any precision the specific impact on stakeholders</w:t>
      </w:r>
      <w:r w:rsidR="00132E56">
        <w:t xml:space="preserve"> and indicate that the potential effects of </w:t>
      </w:r>
      <w:r w:rsidR="00CE7C33">
        <w:t>any increased</w:t>
      </w:r>
      <w:r w:rsidR="00CE7C33" w:rsidRPr="00E27BBE">
        <w:t xml:space="preserve"> </w:t>
      </w:r>
      <w:r w:rsidR="00065056" w:rsidRPr="00E27BBE">
        <w:t xml:space="preserve">costs </w:t>
      </w:r>
      <w:r w:rsidR="000C2310">
        <w:t xml:space="preserve">could </w:t>
      </w:r>
      <w:r w:rsidR="00065056" w:rsidRPr="00E27BBE">
        <w:t>include</w:t>
      </w:r>
      <w:r w:rsidR="00132E56">
        <w:t xml:space="preserve"> increased</w:t>
      </w:r>
      <w:r w:rsidR="00065056" w:rsidRPr="00E27BBE">
        <w:t xml:space="preserve"> premiums, out-of-pocket (deductibles, co-pays) and co-insurance, as well as </w:t>
      </w:r>
      <w:r w:rsidR="00132E56">
        <w:lastRenderedPageBreak/>
        <w:t>other factors including sharing of premium costs.</w:t>
      </w:r>
      <w:r w:rsidR="00065056" w:rsidRPr="00E27BBE">
        <w:t xml:space="preserve"> Cost increases may result in shorter or longer term impact, depending on specific structures of plans</w:t>
      </w:r>
      <w:r w:rsidR="00E27BBE" w:rsidRPr="00E27BBE">
        <w:t xml:space="preserve"> and benefits,</w:t>
      </w:r>
      <w:r w:rsidR="00065056" w:rsidRPr="00E27BBE">
        <w:t xml:space="preserve"> and whether and where cost changes are absorbed, and these </w:t>
      </w:r>
      <w:r w:rsidR="000C2310">
        <w:t xml:space="preserve">could </w:t>
      </w:r>
      <w:r w:rsidR="00065056" w:rsidRPr="00E27BBE">
        <w:t xml:space="preserve">affect </w:t>
      </w:r>
      <w:r w:rsidR="00E27BBE" w:rsidRPr="00E27BBE">
        <w:t>the impact across entities.</w:t>
      </w:r>
      <w:r w:rsidR="00CE7C33">
        <w:t xml:space="preserve"> This literature also indicates that realized savings can include improved access and benefits of improved outcomes</w:t>
      </w:r>
      <w:r w:rsidR="006F7E01">
        <w:t>, which may not be reflected in medical spend trends.</w:t>
      </w:r>
      <w:r w:rsidR="00065056">
        <w:t xml:space="preserve"> </w:t>
      </w:r>
    </w:p>
    <w:p w14:paraId="4C92A847" w14:textId="7326457A" w:rsidR="00EF1421" w:rsidRPr="00E27BBE" w:rsidRDefault="00EE5ECC" w:rsidP="00BE32C9">
      <w:r w:rsidRPr="00E27BBE">
        <w:rPr>
          <w:color w:val="404040" w:themeColor="text1" w:themeTint="BF"/>
        </w:rPr>
        <w:t xml:space="preserve">Q9: </w:t>
      </w:r>
      <w:bookmarkStart w:id="16" w:name="_Toc94002305"/>
      <w:bookmarkStart w:id="17" w:name="_Toc105569085"/>
      <w:bookmarkStart w:id="18" w:name="_Toc106002882"/>
      <w:r w:rsidR="00AC55AC" w:rsidRPr="00E27BBE">
        <w:t xml:space="preserve">DPH questions </w:t>
      </w:r>
      <w:r w:rsidR="00AC55AC" w:rsidRPr="00462788">
        <w:t xml:space="preserve">concerning reimbursements, capacity, patient panel acuity, staffing, and demographics and other specific application questions. </w:t>
      </w:r>
      <w:r w:rsidR="00AC55AC" w:rsidRPr="00CB7A6F">
        <w:t>Section XIII presents responses to specific DPH questions, including on specific statements in the BCH Application Narrative</w:t>
      </w:r>
      <w:r w:rsidR="006F7E01">
        <w:t xml:space="preserve"> and the impact of the Proposed Project on patient demographics and access</w:t>
      </w:r>
      <w:r w:rsidR="00AC55AC">
        <w:t>; these do not suggest any inconsistency with the foregoing conclusions</w:t>
      </w:r>
      <w:r w:rsidR="00AC55AC" w:rsidRPr="00CB7A6F">
        <w:t>.</w:t>
      </w:r>
      <w:r w:rsidR="00AC55AC">
        <w:t xml:space="preserve">  </w:t>
      </w:r>
      <w:r w:rsidR="00DA4368">
        <w:t xml:space="preserve"> </w:t>
      </w:r>
    </w:p>
    <w:p w14:paraId="28E1B4A5" w14:textId="6C235B73" w:rsidR="00EE5ECC" w:rsidRPr="00EE5ECC" w:rsidRDefault="00EE5ECC" w:rsidP="00BE32C9">
      <w:pPr>
        <w:pStyle w:val="Heading1"/>
        <w:rPr>
          <w:rFonts w:hint="eastAsia"/>
        </w:rPr>
      </w:pPr>
      <w:bookmarkStart w:id="19" w:name="_Toc109895483"/>
      <w:r w:rsidRPr="00EE5ECC">
        <w:t xml:space="preserve">Background, </w:t>
      </w:r>
      <w:r w:rsidRPr="006C582C">
        <w:t>Assignment</w:t>
      </w:r>
      <w:r w:rsidRPr="00EE5ECC">
        <w:t>, and Qualifications</w:t>
      </w:r>
      <w:bookmarkEnd w:id="16"/>
      <w:bookmarkEnd w:id="17"/>
      <w:bookmarkEnd w:id="18"/>
      <w:bookmarkEnd w:id="19"/>
      <w:r w:rsidRPr="00EE5ECC">
        <w:t xml:space="preserve"> </w:t>
      </w:r>
    </w:p>
    <w:p w14:paraId="75DBE6C5" w14:textId="226FA8E6" w:rsidR="00EE5ECC" w:rsidRPr="00EE5ECC" w:rsidRDefault="00EE5ECC" w:rsidP="00BE32C9">
      <w:pPr>
        <w:pStyle w:val="Heading2"/>
      </w:pPr>
      <w:bookmarkStart w:id="20" w:name="_Toc94002306"/>
      <w:bookmarkStart w:id="21" w:name="_Toc105569086"/>
      <w:bookmarkStart w:id="22" w:name="_Toc106002883"/>
      <w:bookmarkStart w:id="23" w:name="_Toc109895484"/>
      <w:r w:rsidRPr="006C582C">
        <w:t>Background</w:t>
      </w:r>
      <w:r w:rsidRPr="00EE5ECC">
        <w:t xml:space="preserve"> on the </w:t>
      </w:r>
      <w:r w:rsidRPr="006C582C">
        <w:t>Proposed</w:t>
      </w:r>
      <w:r w:rsidRPr="00EE5ECC">
        <w:t xml:space="preserve"> Project and DoN and ICA Process</w:t>
      </w:r>
      <w:bookmarkEnd w:id="20"/>
      <w:r w:rsidRPr="00EE5ECC">
        <w:t>es</w:t>
      </w:r>
      <w:bookmarkEnd w:id="21"/>
      <w:bookmarkEnd w:id="22"/>
      <w:bookmarkEnd w:id="23"/>
      <w:r w:rsidRPr="00EE5ECC">
        <w:t xml:space="preserve"> </w:t>
      </w:r>
    </w:p>
    <w:p w14:paraId="103102B0" w14:textId="77777777" w:rsidR="00EE5ECC" w:rsidRPr="00EE5ECC" w:rsidRDefault="00EE5ECC" w:rsidP="00BE32C9">
      <w:pPr>
        <w:pStyle w:val="Heading3"/>
      </w:pPr>
      <w:bookmarkStart w:id="24" w:name="_Toc94002308"/>
      <w:bookmarkStart w:id="25" w:name="_Toc106002884"/>
      <w:bookmarkStart w:id="26" w:name="_Toc109895485"/>
      <w:r w:rsidRPr="00EE5ECC">
        <w:t>Overview of the Proposed Project</w:t>
      </w:r>
      <w:bookmarkEnd w:id="24"/>
      <w:bookmarkEnd w:id="25"/>
      <w:bookmarkEnd w:id="26"/>
      <w:r w:rsidRPr="00EE5ECC">
        <w:t xml:space="preserve"> </w:t>
      </w:r>
    </w:p>
    <w:p w14:paraId="4340DBCD" w14:textId="0DE859C8" w:rsidR="00EE5ECC" w:rsidRPr="00EE5ECC" w:rsidRDefault="00EE5ECC" w:rsidP="00BE32C9">
      <w:r w:rsidRPr="006C582C">
        <w:t>The</w:t>
      </w:r>
      <w:r w:rsidRPr="00EE5ECC">
        <w:t xml:space="preserve"> Children’s Medical Center Corporation (BCH) proposes to expand its outpatient facility locations as part of a coordinated strategy to consolidate ambulatory clinical capacity in order to better serve the needs of the community. As noted in the Application, almost 50% of BCH’s healthcare is delivered in outpatient settings (based on 2019 data), and the Proposed Project (as defined herein) was designed to “increase</w:t>
      </w:r>
      <w:r w:rsidRPr="00EE5ECC">
        <w:rPr>
          <w:spacing w:val="1"/>
        </w:rPr>
        <w:t xml:space="preserve"> </w:t>
      </w:r>
      <w:r w:rsidRPr="00EE5ECC">
        <w:t xml:space="preserve">access to highly specialized, complex pediatric care for all Massachusetts residents” including at additional </w:t>
      </w:r>
      <w:r w:rsidR="00807F39">
        <w:t xml:space="preserve">satellite </w:t>
      </w:r>
      <w:r w:rsidRPr="00EE5ECC">
        <w:t>locations such as Needham.</w:t>
      </w:r>
      <w:r w:rsidRPr="00EE5ECC">
        <w:rPr>
          <w:vertAlign w:val="superscript"/>
        </w:rPr>
        <w:footnoteReference w:id="11"/>
      </w:r>
      <w:r w:rsidR="00CF6627">
        <w:t xml:space="preserve"> Additional submissions by BCH</w:t>
      </w:r>
      <w:r w:rsidR="007D48D2">
        <w:t xml:space="preserve"> to the DPH provide further information on these facilities and responses to more detailed questions on new services or facilities.</w:t>
      </w:r>
      <w:r w:rsidR="00CF6627">
        <w:rPr>
          <w:rStyle w:val="FootnoteReference"/>
        </w:rPr>
        <w:footnoteReference w:id="12"/>
      </w:r>
    </w:p>
    <w:p w14:paraId="2A3D145A" w14:textId="5CE1AD87" w:rsidR="00EE5ECC" w:rsidRPr="00EE5ECC" w:rsidRDefault="00EE5ECC" w:rsidP="00BE32C9">
      <w:r w:rsidRPr="00EE5ECC">
        <w:t>The expansion will involve three locations – renovation at one existing location and the creation of two additional locations. The project was designed</w:t>
      </w:r>
      <w:r w:rsidR="007D48D2">
        <w:t xml:space="preserve">, according to statements in the Application, </w:t>
      </w:r>
      <w:r w:rsidRPr="00EE5ECC">
        <w:t>to ensure it was the most cost-effective approach to achieving the objectives of BCH. The proposed components each depend on the approval of the other components and are non-severable</w:t>
      </w:r>
      <w:r w:rsidR="006C582C">
        <w:t>.</w:t>
      </w:r>
      <w:r w:rsidRPr="00EE5ECC">
        <w:rPr>
          <w:vertAlign w:val="superscript"/>
        </w:rPr>
        <w:footnoteReference w:id="13"/>
      </w:r>
      <w:r w:rsidRPr="00EE5ECC">
        <w:rPr>
          <w:vertAlign w:val="superscript"/>
        </w:rPr>
        <w:t xml:space="preserve"> </w:t>
      </w:r>
    </w:p>
    <w:p w14:paraId="0442821D" w14:textId="75A8A7A6" w:rsidR="00EE5ECC" w:rsidRPr="00EE5ECC" w:rsidRDefault="00EE5ECC" w:rsidP="00BE32C9">
      <w:r w:rsidRPr="00EE5ECC">
        <w:lastRenderedPageBreak/>
        <w:t>As detailed in the DPH ICA request, the proposed project includes capital investments and services, including new services at three locations and specifically involve requests for approval for services and facilities at Waltham, Needham, and Weymouth. The planned operating room and imaging capacity expansion and expected patient volumes for these and related locations are summarized in the table below</w:t>
      </w:r>
      <w:r w:rsidR="007D48D2">
        <w:t>, provided as part of the application</w:t>
      </w:r>
      <w:r w:rsidRPr="00EE5ECC">
        <w:t>.</w:t>
      </w:r>
      <w:r w:rsidRPr="00EE5ECC">
        <w:rPr>
          <w:vertAlign w:val="superscript"/>
        </w:rPr>
        <w:footnoteReference w:id="14"/>
      </w:r>
      <w:r w:rsidRPr="00EE5ECC">
        <w:rPr>
          <w:vertAlign w:val="superscript"/>
        </w:rPr>
        <w:t xml:space="preserve"> </w:t>
      </w:r>
    </w:p>
    <w:p w14:paraId="0686359B" w14:textId="77777777" w:rsidR="00EE5ECC" w:rsidRPr="00EE5ECC" w:rsidRDefault="00EE5ECC" w:rsidP="00BE32C9">
      <w:pPr>
        <w:numPr>
          <w:ilvl w:val="0"/>
          <w:numId w:val="0"/>
        </w:numPr>
        <w:ind w:left="187"/>
      </w:pPr>
      <w:r w:rsidRPr="00EE5ECC">
        <w:rPr>
          <w:noProof/>
        </w:rPr>
        <w:drawing>
          <wp:inline distT="0" distB="0" distL="0" distR="0" wp14:anchorId="1F9743E2" wp14:editId="769957E4">
            <wp:extent cx="5941695" cy="2057400"/>
            <wp:effectExtent l="0" t="0" r="1905" b="0"/>
            <wp:docPr id="2" name="Picture 2" descr="Table of planned operating room and imaging capacity expansion and expected patient volumes per location, as found on Applicant's original application to Determination of Need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of planned operating room and imaging capacity expansion and expected patient volumes per location, as found on Applicant's original application to Determination of Need department."/>
                    <pic:cNvPicPr/>
                  </pic:nvPicPr>
                  <pic:blipFill>
                    <a:blip r:embed="rId11"/>
                    <a:stretch>
                      <a:fillRect/>
                    </a:stretch>
                  </pic:blipFill>
                  <pic:spPr>
                    <a:xfrm>
                      <a:off x="0" y="0"/>
                      <a:ext cx="5959225" cy="2063470"/>
                    </a:xfrm>
                    <a:prstGeom prst="rect">
                      <a:avLst/>
                    </a:prstGeom>
                  </pic:spPr>
                </pic:pic>
              </a:graphicData>
            </a:graphic>
          </wp:inline>
        </w:drawing>
      </w:r>
    </w:p>
    <w:p w14:paraId="65C32F15" w14:textId="74FCC08D" w:rsidR="00EE5ECC" w:rsidRPr="008A128E" w:rsidRDefault="007D48D2" w:rsidP="00BE32C9">
      <w:r>
        <w:t>The</w:t>
      </w:r>
      <w:r w:rsidR="00EE5ECC" w:rsidRPr="00EE5ECC">
        <w:t xml:space="preserve"> proposed capacity or equipment to be added includes ORs and MRIs. As noted in the Application, “the day surgery programs planned for the Waltham Facility and the Needham Facility are part of</w:t>
      </w:r>
      <w:r w:rsidR="002D17B0">
        <w:t xml:space="preserve"> </w:t>
      </w:r>
      <w:r w:rsidR="00EE5ECC" w:rsidRPr="00EE5ECC">
        <w:rPr>
          <w:spacing w:val="-57"/>
        </w:rPr>
        <w:t xml:space="preserve"> </w:t>
      </w:r>
      <w:r w:rsidR="00EE5ECC" w:rsidRPr="00EE5ECC">
        <w:t>a</w:t>
      </w:r>
      <w:r w:rsidR="00EE5ECC" w:rsidRPr="00EE5ECC">
        <w:rPr>
          <w:spacing w:val="35"/>
        </w:rPr>
        <w:t xml:space="preserve"> </w:t>
      </w:r>
      <w:r w:rsidR="00EE5ECC" w:rsidRPr="00EE5ECC">
        <w:t>single</w:t>
      </w:r>
      <w:r w:rsidR="00EE5ECC" w:rsidRPr="00EE5ECC">
        <w:rPr>
          <w:spacing w:val="37"/>
        </w:rPr>
        <w:t xml:space="preserve"> </w:t>
      </w:r>
      <w:r w:rsidR="00EE5ECC" w:rsidRPr="00EE5ECC">
        <w:t>coordinated</w:t>
      </w:r>
      <w:r w:rsidR="00EE5ECC" w:rsidRPr="00EE5ECC">
        <w:rPr>
          <w:spacing w:val="37"/>
        </w:rPr>
        <w:t xml:space="preserve"> </w:t>
      </w:r>
      <w:r w:rsidR="00EE5ECC" w:rsidRPr="00EE5ECC">
        <w:t>plan</w:t>
      </w:r>
      <w:r w:rsidR="00EE5ECC" w:rsidRPr="00EE5ECC">
        <w:rPr>
          <w:spacing w:val="36"/>
        </w:rPr>
        <w:t xml:space="preserve"> </w:t>
      </w:r>
      <w:r w:rsidR="00EE5ECC" w:rsidRPr="00EE5ECC">
        <w:t>to</w:t>
      </w:r>
      <w:r w:rsidR="00EE5ECC" w:rsidRPr="00EE5ECC">
        <w:rPr>
          <w:spacing w:val="37"/>
        </w:rPr>
        <w:t xml:space="preserve"> </w:t>
      </w:r>
      <w:r w:rsidR="00EE5ECC" w:rsidRPr="00EE5ECC">
        <w:t>better</w:t>
      </w:r>
      <w:r w:rsidR="00EE5ECC" w:rsidRPr="00EE5ECC">
        <w:rPr>
          <w:spacing w:val="35"/>
        </w:rPr>
        <w:t xml:space="preserve"> </w:t>
      </w:r>
      <w:r w:rsidR="00EE5ECC" w:rsidRPr="00EE5ECC">
        <w:t>address</w:t>
      </w:r>
      <w:r w:rsidR="00EE5ECC" w:rsidRPr="00EE5ECC">
        <w:rPr>
          <w:spacing w:val="37"/>
        </w:rPr>
        <w:t xml:space="preserve"> </w:t>
      </w:r>
      <w:r w:rsidR="00EE5ECC" w:rsidRPr="00EE5ECC">
        <w:t>the</w:t>
      </w:r>
      <w:r w:rsidR="00EE5ECC" w:rsidRPr="00EE5ECC">
        <w:rPr>
          <w:spacing w:val="37"/>
        </w:rPr>
        <w:t xml:space="preserve"> </w:t>
      </w:r>
      <w:r w:rsidR="00EE5ECC" w:rsidRPr="00EE5ECC">
        <w:t>unique</w:t>
      </w:r>
      <w:r w:rsidR="00EE5ECC" w:rsidRPr="00EE5ECC">
        <w:rPr>
          <w:spacing w:val="36"/>
        </w:rPr>
        <w:t xml:space="preserve"> </w:t>
      </w:r>
      <w:r w:rsidR="00EE5ECC" w:rsidRPr="00EE5ECC">
        <w:t>surgical</w:t>
      </w:r>
      <w:r w:rsidR="00EE5ECC" w:rsidRPr="00EE5ECC">
        <w:rPr>
          <w:spacing w:val="36"/>
        </w:rPr>
        <w:t xml:space="preserve"> </w:t>
      </w:r>
      <w:r w:rsidR="00EE5ECC" w:rsidRPr="00EE5ECC">
        <w:t>needs</w:t>
      </w:r>
      <w:r w:rsidR="00EE5ECC" w:rsidRPr="00EE5ECC">
        <w:rPr>
          <w:spacing w:val="37"/>
        </w:rPr>
        <w:t xml:space="preserve"> </w:t>
      </w:r>
      <w:r w:rsidR="00EE5ECC" w:rsidRPr="00EE5ECC">
        <w:t>of</w:t>
      </w:r>
      <w:r w:rsidR="00EE5ECC" w:rsidRPr="00EE5ECC">
        <w:rPr>
          <w:spacing w:val="38"/>
        </w:rPr>
        <w:t xml:space="preserve"> </w:t>
      </w:r>
      <w:r w:rsidR="00EE5ECC" w:rsidRPr="00EE5ECC">
        <w:t>pediatric</w:t>
      </w:r>
      <w:r w:rsidR="00EE5ECC" w:rsidRPr="00EE5ECC">
        <w:rPr>
          <w:spacing w:val="36"/>
        </w:rPr>
        <w:t xml:space="preserve"> </w:t>
      </w:r>
      <w:r w:rsidR="00EE5ECC" w:rsidRPr="00EE5ECC">
        <w:t>patients.</w:t>
      </w:r>
      <w:r w:rsidR="00EE5ECC" w:rsidRPr="00EE5ECC">
        <w:rPr>
          <w:spacing w:val="38"/>
        </w:rPr>
        <w:t xml:space="preserve"> </w:t>
      </w:r>
      <w:r w:rsidR="00EE5ECC" w:rsidRPr="00EE5ECC">
        <w:t>The Waltham Facility and the Needham Fac</w:t>
      </w:r>
      <w:r w:rsidR="008A128E">
        <w:t>ili</w:t>
      </w:r>
      <w:r w:rsidR="00EE5ECC" w:rsidRPr="00EE5ECC">
        <w:t>ty will increase accessibility for Metro</w:t>
      </w:r>
      <w:r w:rsidR="00EE5ECC" w:rsidRPr="00EE5ECC">
        <w:rPr>
          <w:spacing w:val="1"/>
        </w:rPr>
        <w:t xml:space="preserve"> </w:t>
      </w:r>
      <w:r w:rsidR="00EE5ECC" w:rsidRPr="00EE5ECC">
        <w:t>West HSA patients</w:t>
      </w:r>
      <w:r w:rsidR="00EE5ECC" w:rsidRPr="00D31A62">
        <w:rPr>
          <w:vertAlign w:val="superscript"/>
        </w:rPr>
        <w:footnoteReference w:id="15"/>
      </w:r>
      <w:r w:rsidR="00EE5ECC" w:rsidRPr="00EE5ECC">
        <w:t>, but also for patients residing in the surrounding HSA regions given the</w:t>
      </w:r>
      <w:r w:rsidR="00EE5ECC" w:rsidRPr="00EE5ECC">
        <w:rPr>
          <w:spacing w:val="1"/>
        </w:rPr>
        <w:t xml:space="preserve"> </w:t>
      </w:r>
      <w:r w:rsidR="00EE5ECC" w:rsidRPr="00EE5ECC">
        <w:t>locations along major transportation corridors</w:t>
      </w:r>
      <w:r w:rsidR="008A128E">
        <w:t>.</w:t>
      </w:r>
      <w:r w:rsidR="00EE5ECC" w:rsidRPr="00EE5ECC">
        <w:t xml:space="preserve"> These settings will reduce</w:t>
      </w:r>
      <w:r w:rsidR="00EE5ECC" w:rsidRPr="00EE5ECC">
        <w:rPr>
          <w:spacing w:val="1"/>
        </w:rPr>
        <w:t xml:space="preserve"> </w:t>
      </w:r>
      <w:r w:rsidR="00EE5ECC" w:rsidRPr="00EE5ECC">
        <w:t>barriers</w:t>
      </w:r>
      <w:r w:rsidR="00EE5ECC" w:rsidRPr="00EE5ECC">
        <w:rPr>
          <w:spacing w:val="1"/>
        </w:rPr>
        <w:t xml:space="preserve"> </w:t>
      </w:r>
      <w:r w:rsidR="00EE5ECC" w:rsidRPr="00EE5ECC">
        <w:t>for</w:t>
      </w:r>
      <w:r w:rsidR="00EE5ECC" w:rsidRPr="00EE5ECC">
        <w:rPr>
          <w:spacing w:val="1"/>
        </w:rPr>
        <w:t xml:space="preserve"> </w:t>
      </w:r>
      <w:r w:rsidR="00EE5ECC" w:rsidRPr="00EE5ECC">
        <w:t>patients</w:t>
      </w:r>
      <w:r w:rsidR="00EE5ECC" w:rsidRPr="00EE5ECC">
        <w:rPr>
          <w:spacing w:val="1"/>
        </w:rPr>
        <w:t xml:space="preserve"> </w:t>
      </w:r>
      <w:r w:rsidR="00EE5ECC" w:rsidRPr="00EE5ECC">
        <w:t>and</w:t>
      </w:r>
      <w:r w:rsidR="00EE5ECC" w:rsidRPr="00EE5ECC">
        <w:rPr>
          <w:spacing w:val="1"/>
        </w:rPr>
        <w:t xml:space="preserve"> </w:t>
      </w:r>
      <w:r w:rsidR="00EE5ECC" w:rsidRPr="00EE5ECC">
        <w:t>their</w:t>
      </w:r>
      <w:r w:rsidR="00EE5ECC" w:rsidRPr="00EE5ECC">
        <w:rPr>
          <w:spacing w:val="1"/>
        </w:rPr>
        <w:t xml:space="preserve"> </w:t>
      </w:r>
      <w:r w:rsidR="00EE5ECC" w:rsidRPr="00EE5ECC">
        <w:t>families</w:t>
      </w:r>
      <w:r w:rsidR="00EE5ECC" w:rsidRPr="00EE5ECC">
        <w:rPr>
          <w:spacing w:val="1"/>
        </w:rPr>
        <w:t xml:space="preserve"> </w:t>
      </w:r>
      <w:r w:rsidR="00EE5ECC" w:rsidRPr="00EE5ECC">
        <w:t>and</w:t>
      </w:r>
      <w:r w:rsidR="00EE5ECC" w:rsidRPr="00EE5ECC">
        <w:rPr>
          <w:spacing w:val="1"/>
        </w:rPr>
        <w:t xml:space="preserve"> </w:t>
      </w:r>
      <w:r w:rsidR="00EE5ECC" w:rsidRPr="00EE5ECC">
        <w:t>improve</w:t>
      </w:r>
      <w:r w:rsidR="00EE5ECC" w:rsidRPr="00EE5ECC">
        <w:rPr>
          <w:spacing w:val="1"/>
        </w:rPr>
        <w:t xml:space="preserve"> </w:t>
      </w:r>
      <w:r w:rsidR="00EE5ECC" w:rsidRPr="00EE5ECC">
        <w:t>access</w:t>
      </w:r>
      <w:r w:rsidR="00EE5ECC" w:rsidRPr="00EE5ECC">
        <w:rPr>
          <w:spacing w:val="1"/>
        </w:rPr>
        <w:t xml:space="preserve"> </w:t>
      </w:r>
      <w:r w:rsidR="00EE5ECC" w:rsidRPr="00EE5ECC">
        <w:t>to</w:t>
      </w:r>
      <w:r w:rsidR="00EE5ECC" w:rsidRPr="00EE5ECC">
        <w:rPr>
          <w:spacing w:val="1"/>
        </w:rPr>
        <w:t xml:space="preserve"> </w:t>
      </w:r>
      <w:r w:rsidR="00EE5ECC" w:rsidRPr="00EE5ECC">
        <w:t>the</w:t>
      </w:r>
      <w:r w:rsidR="00EE5ECC" w:rsidRPr="00EE5ECC">
        <w:rPr>
          <w:spacing w:val="1"/>
        </w:rPr>
        <w:t xml:space="preserve"> </w:t>
      </w:r>
      <w:r w:rsidR="00EE5ECC" w:rsidRPr="00EE5ECC">
        <w:t>Applicant’s</w:t>
      </w:r>
      <w:r w:rsidR="00EE5ECC" w:rsidRPr="00EE5ECC">
        <w:rPr>
          <w:spacing w:val="60"/>
        </w:rPr>
        <w:t xml:space="preserve"> </w:t>
      </w:r>
      <w:r w:rsidR="00EE5ECC" w:rsidRPr="00EE5ECC">
        <w:t>specialized</w:t>
      </w:r>
      <w:r w:rsidR="00EE5ECC" w:rsidRPr="00EE5ECC">
        <w:rPr>
          <w:spacing w:val="1"/>
        </w:rPr>
        <w:t xml:space="preserve"> </w:t>
      </w:r>
      <w:r w:rsidR="00EE5ECC" w:rsidRPr="00EE5ECC">
        <w:t>pediatric</w:t>
      </w:r>
      <w:r w:rsidR="00EE5ECC" w:rsidRPr="00EE5ECC">
        <w:rPr>
          <w:spacing w:val="-2"/>
        </w:rPr>
        <w:t xml:space="preserve"> </w:t>
      </w:r>
      <w:r w:rsidR="00EE5ECC" w:rsidRPr="00EE5ECC">
        <w:t>services. The Proposed</w:t>
      </w:r>
      <w:r w:rsidR="00EE5ECC" w:rsidRPr="00EE5ECC">
        <w:rPr>
          <w:spacing w:val="1"/>
        </w:rPr>
        <w:t xml:space="preserve"> </w:t>
      </w:r>
      <w:r w:rsidR="00EE5ECC" w:rsidRPr="00EE5ECC">
        <w:t>Project will add two MRI units in HSA 4, which accounted for a third of the Applicant’s MRI</w:t>
      </w:r>
      <w:r w:rsidR="00EE5ECC" w:rsidRPr="00EE5ECC">
        <w:rPr>
          <w:spacing w:val="1"/>
        </w:rPr>
        <w:t xml:space="preserve"> </w:t>
      </w:r>
      <w:r w:rsidR="00EE5ECC" w:rsidRPr="00EE5ECC">
        <w:t>encounters</w:t>
      </w:r>
      <w:r w:rsidR="00EE5ECC" w:rsidRPr="00EE5ECC">
        <w:rPr>
          <w:spacing w:val="13"/>
        </w:rPr>
        <w:t xml:space="preserve"> </w:t>
      </w:r>
      <w:r w:rsidR="00EE5ECC" w:rsidRPr="00EE5ECC">
        <w:t>in</w:t>
      </w:r>
      <w:r w:rsidR="00EE5ECC" w:rsidRPr="00EE5ECC">
        <w:rPr>
          <w:spacing w:val="13"/>
        </w:rPr>
        <w:t xml:space="preserve"> </w:t>
      </w:r>
      <w:r w:rsidR="00EE5ECC" w:rsidRPr="00EE5ECC">
        <w:t>2019.”</w:t>
      </w:r>
      <w:r w:rsidR="00EE5ECC" w:rsidRPr="00EE5ECC">
        <w:rPr>
          <w:vertAlign w:val="superscript"/>
        </w:rPr>
        <w:footnoteReference w:id="16"/>
      </w:r>
      <w:r w:rsidR="00EE5ECC" w:rsidRPr="00EE5ECC">
        <w:rPr>
          <w:spacing w:val="13"/>
        </w:rPr>
        <w:t xml:space="preserve"> </w:t>
      </w:r>
      <w:r w:rsidR="008A128E" w:rsidRPr="00EE5ECC">
        <w:t>Location of the new facilities, according to the Application, are designed in part to increase convenience for all patients including those in underserved communities</w:t>
      </w:r>
      <w:r w:rsidR="005764C7">
        <w:t>.</w:t>
      </w:r>
    </w:p>
    <w:p w14:paraId="3030280C" w14:textId="731C26A4" w:rsidR="008A128E" w:rsidRPr="00EE5ECC" w:rsidRDefault="008A128E" w:rsidP="00BE32C9">
      <w:r>
        <w:lastRenderedPageBreak/>
        <w:t>For convenience, this section summarizes the three facilities and the proposed changes</w:t>
      </w:r>
      <w:r w:rsidR="007F179E">
        <w:t>, which form the main elements of the Proposed Project</w:t>
      </w:r>
      <w:r>
        <w:t>.</w:t>
      </w:r>
    </w:p>
    <w:p w14:paraId="6CA3BD45" w14:textId="1F878667" w:rsidR="00EE5ECC" w:rsidRPr="00EE5ECC" w:rsidRDefault="00EE5ECC" w:rsidP="00BE32C9">
      <w:r w:rsidRPr="00EE5ECC">
        <w:rPr>
          <w:b/>
          <w:bCs/>
        </w:rPr>
        <w:t>Waltham</w:t>
      </w:r>
      <w:r w:rsidRPr="00EE5ECC">
        <w:t xml:space="preserve"> – The proposed project for Waltham location includes renovation and equipping of 78,395 gross square feet of space within the Hospital’s existing Waltham facility at</w:t>
      </w:r>
      <w:r w:rsidRPr="00EE5ECC">
        <w:rPr>
          <w:spacing w:val="1"/>
        </w:rPr>
        <w:t xml:space="preserve"> </w:t>
      </w:r>
      <w:r w:rsidRPr="00EE5ECC">
        <w:t>9</w:t>
      </w:r>
      <w:r w:rsidRPr="00EE5ECC">
        <w:rPr>
          <w:spacing w:val="1"/>
        </w:rPr>
        <w:t xml:space="preserve"> </w:t>
      </w:r>
      <w:r w:rsidRPr="00EE5ECC">
        <w:t>Hope</w:t>
      </w:r>
      <w:r w:rsidRPr="00EE5ECC">
        <w:rPr>
          <w:spacing w:val="1"/>
        </w:rPr>
        <w:t xml:space="preserve"> </w:t>
      </w:r>
      <w:r w:rsidRPr="00EE5ECC">
        <w:t>Avenue,</w:t>
      </w:r>
      <w:r w:rsidRPr="00EE5ECC">
        <w:rPr>
          <w:spacing w:val="1"/>
        </w:rPr>
        <w:t xml:space="preserve"> </w:t>
      </w:r>
      <w:r w:rsidRPr="00EE5ECC">
        <w:t>Waltham,</w:t>
      </w:r>
      <w:r w:rsidRPr="00EE5ECC">
        <w:rPr>
          <w:spacing w:val="1"/>
        </w:rPr>
        <w:t xml:space="preserve"> </w:t>
      </w:r>
      <w:r w:rsidRPr="00EE5ECC">
        <w:t>MA</w:t>
      </w:r>
      <w:r w:rsidRPr="00EE5ECC">
        <w:rPr>
          <w:spacing w:val="1"/>
        </w:rPr>
        <w:t xml:space="preserve"> </w:t>
      </w:r>
      <w:r w:rsidRPr="00EE5ECC">
        <w:t>02453</w:t>
      </w:r>
      <w:r w:rsidRPr="00EE5ECC">
        <w:rPr>
          <w:spacing w:val="1"/>
        </w:rPr>
        <w:t xml:space="preserve"> </w:t>
      </w:r>
      <w:r w:rsidRPr="00EE5ECC">
        <w:t>(the</w:t>
      </w:r>
      <w:r w:rsidRPr="00EE5ECC">
        <w:rPr>
          <w:spacing w:val="1"/>
        </w:rPr>
        <w:t xml:space="preserve"> </w:t>
      </w:r>
      <w:r w:rsidRPr="00EE5ECC">
        <w:t>“Waltham Facility”) “and the expansion of clinical areas including existing infusion, sleep disorders,</w:t>
      </w:r>
      <w:r w:rsidRPr="00EE5ECC">
        <w:rPr>
          <w:spacing w:val="-57"/>
        </w:rPr>
        <w:t xml:space="preserve"> </w:t>
      </w:r>
      <w:r w:rsidRPr="00EE5ECC">
        <w:t>radiology,</w:t>
      </w:r>
      <w:r w:rsidRPr="00EE5ECC">
        <w:rPr>
          <w:spacing w:val="1"/>
        </w:rPr>
        <w:t xml:space="preserve"> </w:t>
      </w:r>
      <w:r w:rsidRPr="00EE5ECC">
        <w:t>and</w:t>
      </w:r>
      <w:r w:rsidRPr="00EE5ECC">
        <w:rPr>
          <w:spacing w:val="1"/>
        </w:rPr>
        <w:t xml:space="preserve"> </w:t>
      </w:r>
      <w:r w:rsidRPr="00EE5ECC">
        <w:t>behavioral</w:t>
      </w:r>
      <w:r w:rsidRPr="00EE5ECC">
        <w:rPr>
          <w:spacing w:val="1"/>
        </w:rPr>
        <w:t xml:space="preserve"> </w:t>
      </w:r>
      <w:r w:rsidRPr="00EE5ECC">
        <w:t>health</w:t>
      </w:r>
      <w:r w:rsidRPr="00EE5ECC">
        <w:rPr>
          <w:spacing w:val="1"/>
        </w:rPr>
        <w:t xml:space="preserve"> </w:t>
      </w:r>
      <w:r w:rsidRPr="00EE5ECC">
        <w:t>services,</w:t>
      </w:r>
      <w:r w:rsidRPr="00EE5ECC">
        <w:rPr>
          <w:spacing w:val="1"/>
        </w:rPr>
        <w:t xml:space="preserve"> </w:t>
      </w:r>
      <w:r w:rsidRPr="00EE5ECC">
        <w:t>including</w:t>
      </w:r>
      <w:r w:rsidRPr="00EE5ECC">
        <w:rPr>
          <w:spacing w:val="1"/>
        </w:rPr>
        <w:t xml:space="preserve"> </w:t>
      </w:r>
      <w:r w:rsidRPr="00EE5ECC">
        <w:t>the</w:t>
      </w:r>
      <w:r w:rsidRPr="00EE5ECC">
        <w:rPr>
          <w:spacing w:val="1"/>
        </w:rPr>
        <w:t xml:space="preserve"> </w:t>
      </w:r>
      <w:r w:rsidRPr="008656B6">
        <w:t>establishment</w:t>
      </w:r>
      <w:r w:rsidRPr="008656B6">
        <w:rPr>
          <w:spacing w:val="1"/>
        </w:rPr>
        <w:t xml:space="preserve"> </w:t>
      </w:r>
      <w:r w:rsidRPr="008656B6">
        <w:t>of</w:t>
      </w:r>
      <w:r w:rsidRPr="008656B6">
        <w:rPr>
          <w:spacing w:val="1"/>
        </w:rPr>
        <w:t xml:space="preserve"> </w:t>
      </w:r>
      <w:r w:rsidRPr="008656B6">
        <w:t>a</w:t>
      </w:r>
      <w:r w:rsidRPr="008656B6">
        <w:rPr>
          <w:spacing w:val="1"/>
        </w:rPr>
        <w:t xml:space="preserve"> </w:t>
      </w:r>
      <w:r w:rsidRPr="008656B6">
        <w:t>medical-</w:t>
      </w:r>
      <w:r w:rsidRPr="008656B6">
        <w:rPr>
          <w:spacing w:val="-57"/>
        </w:rPr>
        <w:t xml:space="preserve"> </w:t>
      </w:r>
      <w:r w:rsidRPr="008656B6">
        <w:t>psychiatric</w:t>
      </w:r>
      <w:r w:rsidRPr="008656B6">
        <w:rPr>
          <w:spacing w:val="-2"/>
        </w:rPr>
        <w:t xml:space="preserve"> </w:t>
      </w:r>
      <w:r w:rsidRPr="008656B6">
        <w:t>partial hospitalization</w:t>
      </w:r>
      <w:r w:rsidRPr="008656B6">
        <w:rPr>
          <w:spacing w:val="-1"/>
        </w:rPr>
        <w:t xml:space="preserve"> </w:t>
      </w:r>
      <w:r w:rsidRPr="008656B6">
        <w:t>program.</w:t>
      </w:r>
      <w:r w:rsidRPr="00347EE0">
        <w:t>”</w:t>
      </w:r>
      <w:r w:rsidRPr="00EE5ECC">
        <w:rPr>
          <w:vertAlign w:val="superscript"/>
        </w:rPr>
        <w:footnoteReference w:id="17"/>
      </w:r>
      <w:r w:rsidRPr="00EE5ECC">
        <w:t xml:space="preserve"> </w:t>
      </w:r>
    </w:p>
    <w:p w14:paraId="60A0ECB6" w14:textId="6C01E292" w:rsidR="00EE5ECC" w:rsidRDefault="00EE5ECC" w:rsidP="00BE32C9">
      <w:r w:rsidRPr="00EE5ECC">
        <w:t>The Hospital currently operates clinically integrated programs in multiple</w:t>
      </w:r>
      <w:r w:rsidRPr="00EE5ECC">
        <w:rPr>
          <w:spacing w:val="1"/>
        </w:rPr>
        <w:t xml:space="preserve"> </w:t>
      </w:r>
      <w:r w:rsidRPr="00EE5ECC">
        <w:t xml:space="preserve">locations and across the continuum of care from inpatient psychiatric and psychiatric </w:t>
      </w:r>
      <w:r w:rsidR="0072027B">
        <w:t>emergency care</w:t>
      </w:r>
      <w:r w:rsidRPr="00EE5ECC">
        <w:t xml:space="preserve"> to community-based acute treatment (</w:t>
      </w:r>
      <w:r w:rsidR="00D31A62">
        <w:t>“</w:t>
      </w:r>
      <w:r w:rsidRPr="00EE5ECC">
        <w:t>CBAT</w:t>
      </w:r>
      <w:r w:rsidR="00D31A62">
        <w:t>”</w:t>
      </w:r>
      <w:r w:rsidRPr="00EE5ECC">
        <w:t>), outpatient programs, and school-based</w:t>
      </w:r>
      <w:r w:rsidRPr="00EE5ECC">
        <w:rPr>
          <w:spacing w:val="1"/>
        </w:rPr>
        <w:t xml:space="preserve"> </w:t>
      </w:r>
      <w:r w:rsidRPr="00EE5ECC">
        <w:t>programs and supports. At</w:t>
      </w:r>
      <w:r w:rsidRPr="00EE5ECC">
        <w:rPr>
          <w:spacing w:val="1"/>
        </w:rPr>
        <w:t xml:space="preserve"> </w:t>
      </w:r>
      <w:r w:rsidRPr="00EE5ECC">
        <w:t>the Waltham</w:t>
      </w:r>
      <w:r w:rsidRPr="00EE5ECC">
        <w:rPr>
          <w:spacing w:val="1"/>
        </w:rPr>
        <w:t xml:space="preserve"> </w:t>
      </w:r>
      <w:r w:rsidRPr="00EE5ECC">
        <w:t>Facility, the Hospital</w:t>
      </w:r>
      <w:r w:rsidRPr="00EE5ECC">
        <w:rPr>
          <w:spacing w:val="1"/>
        </w:rPr>
        <w:t xml:space="preserve"> </w:t>
      </w:r>
      <w:r w:rsidRPr="00EE5ECC">
        <w:t>currently operates outpatient</w:t>
      </w:r>
      <w:r w:rsidRPr="00EE5ECC">
        <w:rPr>
          <w:spacing w:val="1"/>
        </w:rPr>
        <w:t xml:space="preserve"> </w:t>
      </w:r>
      <w:r w:rsidRPr="00EE5ECC">
        <w:t>behavioral health programs, a CBAT program, and will be adding a 12-bed inpatient adolescent</w:t>
      </w:r>
      <w:r w:rsidRPr="00EE5ECC">
        <w:rPr>
          <w:spacing w:val="1"/>
        </w:rPr>
        <w:t xml:space="preserve"> </w:t>
      </w:r>
      <w:r w:rsidRPr="00EE5ECC">
        <w:t>and pediatric psychiatric unit subject to previous approval</w:t>
      </w:r>
      <w:r w:rsidRPr="00D31A62">
        <w:t>.</w:t>
      </w:r>
      <w:r w:rsidR="00D31A62" w:rsidRPr="00D31A62">
        <w:rPr>
          <w:b/>
          <w:bCs/>
          <w:i/>
          <w:iCs/>
        </w:rPr>
        <w:t xml:space="preserve"> </w:t>
      </w:r>
      <w:r w:rsidRPr="005E1811">
        <w:t>To further meet the needs of patients and families, the Proposed</w:t>
      </w:r>
      <w:r w:rsidRPr="005E1811">
        <w:rPr>
          <w:spacing w:val="1"/>
        </w:rPr>
        <w:t xml:space="preserve"> </w:t>
      </w:r>
      <w:r w:rsidRPr="005E1811">
        <w:t>Project</w:t>
      </w:r>
      <w:r w:rsidRPr="005E1811">
        <w:rPr>
          <w:spacing w:val="1"/>
        </w:rPr>
        <w:t xml:space="preserve"> </w:t>
      </w:r>
      <w:r w:rsidRPr="005E1811">
        <w:t>will</w:t>
      </w:r>
      <w:r w:rsidRPr="005E1811">
        <w:rPr>
          <w:spacing w:val="1"/>
        </w:rPr>
        <w:t xml:space="preserve"> </w:t>
      </w:r>
      <w:r w:rsidRPr="005E1811">
        <w:t>allow</w:t>
      </w:r>
      <w:r w:rsidRPr="005E1811">
        <w:rPr>
          <w:spacing w:val="1"/>
        </w:rPr>
        <w:t xml:space="preserve"> </w:t>
      </w:r>
      <w:r w:rsidRPr="005E1811">
        <w:t>the</w:t>
      </w:r>
      <w:r w:rsidRPr="005E1811">
        <w:rPr>
          <w:spacing w:val="1"/>
        </w:rPr>
        <w:t xml:space="preserve"> </w:t>
      </w:r>
      <w:r w:rsidRPr="005E1811">
        <w:t>Hospital</w:t>
      </w:r>
      <w:r w:rsidRPr="005E1811">
        <w:rPr>
          <w:spacing w:val="1"/>
        </w:rPr>
        <w:t xml:space="preserve"> </w:t>
      </w:r>
      <w:r w:rsidRPr="005E1811">
        <w:t>to</w:t>
      </w:r>
      <w:r w:rsidRPr="005E1811">
        <w:rPr>
          <w:spacing w:val="1"/>
        </w:rPr>
        <w:t xml:space="preserve"> </w:t>
      </w:r>
      <w:r w:rsidRPr="005E1811">
        <w:t>add</w:t>
      </w:r>
      <w:r w:rsidRPr="005E1811">
        <w:rPr>
          <w:spacing w:val="1"/>
        </w:rPr>
        <w:t xml:space="preserve"> </w:t>
      </w:r>
      <w:r w:rsidRPr="005E1811">
        <w:t>a</w:t>
      </w:r>
      <w:r w:rsidRPr="005E1811">
        <w:rPr>
          <w:spacing w:val="1"/>
        </w:rPr>
        <w:t xml:space="preserve"> </w:t>
      </w:r>
      <w:r w:rsidRPr="005E1811">
        <w:t>med-psych</w:t>
      </w:r>
      <w:r w:rsidRPr="005E1811">
        <w:rPr>
          <w:spacing w:val="1"/>
        </w:rPr>
        <w:t xml:space="preserve"> </w:t>
      </w:r>
      <w:r w:rsidRPr="005E1811">
        <w:t>partial</w:t>
      </w:r>
      <w:r w:rsidRPr="005E1811">
        <w:rPr>
          <w:spacing w:val="1"/>
        </w:rPr>
        <w:t xml:space="preserve"> </w:t>
      </w:r>
      <w:r w:rsidRPr="005E1811">
        <w:t>hospitalization</w:t>
      </w:r>
      <w:r w:rsidRPr="005E1811">
        <w:rPr>
          <w:spacing w:val="1"/>
        </w:rPr>
        <w:t xml:space="preserve"> </w:t>
      </w:r>
      <w:r w:rsidRPr="005E1811">
        <w:t>program</w:t>
      </w:r>
      <w:r w:rsidRPr="005E1811">
        <w:rPr>
          <w:spacing w:val="1"/>
        </w:rPr>
        <w:t xml:space="preserve"> </w:t>
      </w:r>
      <w:r w:rsidRPr="005E1811">
        <w:t>at</w:t>
      </w:r>
      <w:r w:rsidRPr="005E1811">
        <w:rPr>
          <w:spacing w:val="60"/>
        </w:rPr>
        <w:t xml:space="preserve"> </w:t>
      </w:r>
      <w:r w:rsidRPr="005E1811">
        <w:t>the</w:t>
      </w:r>
      <w:r w:rsidRPr="005E1811">
        <w:rPr>
          <w:spacing w:val="1"/>
        </w:rPr>
        <w:t xml:space="preserve"> </w:t>
      </w:r>
      <w:r w:rsidRPr="005E1811">
        <w:t>Waltham</w:t>
      </w:r>
      <w:r w:rsidRPr="005E1811">
        <w:rPr>
          <w:spacing w:val="21"/>
        </w:rPr>
        <w:t xml:space="preserve"> </w:t>
      </w:r>
      <w:r w:rsidRPr="005E1811">
        <w:t>Facility.</w:t>
      </w:r>
      <w:r w:rsidRPr="005E1811">
        <w:rPr>
          <w:spacing w:val="21"/>
        </w:rPr>
        <w:t xml:space="preserve"> </w:t>
      </w:r>
      <w:r w:rsidRPr="005E1811">
        <w:t>The</w:t>
      </w:r>
      <w:r w:rsidRPr="005E1811">
        <w:rPr>
          <w:spacing w:val="20"/>
        </w:rPr>
        <w:t xml:space="preserve"> </w:t>
      </w:r>
      <w:r w:rsidRPr="005E1811">
        <w:t>program</w:t>
      </w:r>
      <w:r w:rsidRPr="005E1811">
        <w:rPr>
          <w:spacing w:val="22"/>
        </w:rPr>
        <w:t xml:space="preserve"> </w:t>
      </w:r>
      <w:r w:rsidRPr="005E1811">
        <w:t>will</w:t>
      </w:r>
      <w:r w:rsidRPr="005E1811">
        <w:rPr>
          <w:spacing w:val="21"/>
        </w:rPr>
        <w:t xml:space="preserve"> </w:t>
      </w:r>
      <w:r w:rsidRPr="005E1811">
        <w:t>provide</w:t>
      </w:r>
      <w:r w:rsidRPr="005E1811">
        <w:rPr>
          <w:spacing w:val="21"/>
        </w:rPr>
        <w:t xml:space="preserve"> </w:t>
      </w:r>
      <w:r w:rsidRPr="005E1811">
        <w:t>pediatric</w:t>
      </w:r>
      <w:r w:rsidRPr="005E1811">
        <w:rPr>
          <w:spacing w:val="20"/>
        </w:rPr>
        <w:t xml:space="preserve"> </w:t>
      </w:r>
      <w:r w:rsidRPr="005E1811">
        <w:t>patients</w:t>
      </w:r>
      <w:r w:rsidRPr="005E1811">
        <w:rPr>
          <w:spacing w:val="22"/>
        </w:rPr>
        <w:t xml:space="preserve"> </w:t>
      </w:r>
      <w:r w:rsidRPr="005E1811">
        <w:t>with</w:t>
      </w:r>
      <w:r w:rsidRPr="005E1811">
        <w:rPr>
          <w:spacing w:val="21"/>
        </w:rPr>
        <w:t xml:space="preserve"> </w:t>
      </w:r>
      <w:r w:rsidRPr="005E1811">
        <w:t>intensive</w:t>
      </w:r>
      <w:r w:rsidRPr="005E1811">
        <w:rPr>
          <w:spacing w:val="21"/>
        </w:rPr>
        <w:t xml:space="preserve"> </w:t>
      </w:r>
      <w:r w:rsidRPr="005E1811">
        <w:t>behavioral</w:t>
      </w:r>
      <w:r w:rsidRPr="005E1811">
        <w:rPr>
          <w:spacing w:val="22"/>
        </w:rPr>
        <w:t xml:space="preserve"> </w:t>
      </w:r>
      <w:r w:rsidRPr="005E1811">
        <w:t>health services</w:t>
      </w:r>
      <w:r w:rsidRPr="00EE5ECC">
        <w:t xml:space="preserve"> during the day and allow patients to return home in the evening, enhancing the Applicant’s continuum of care for behavioral health</w:t>
      </w:r>
      <w:r w:rsidR="00323EEE">
        <w:t>.</w:t>
      </w:r>
    </w:p>
    <w:p w14:paraId="4D51784E" w14:textId="7FF0E6DD" w:rsidR="008F6886" w:rsidRPr="00462788" w:rsidRDefault="00323EEE" w:rsidP="00BE32C9">
      <w:r w:rsidRPr="00462788">
        <w:t>The</w:t>
      </w:r>
      <w:r w:rsidR="003A6EA2" w:rsidRPr="00462788">
        <w:t xml:space="preserve"> </w:t>
      </w:r>
      <w:r w:rsidR="008F6886" w:rsidRPr="00462788">
        <w:t>Proposed Project</w:t>
      </w:r>
      <w:r w:rsidR="003A6EA2" w:rsidRPr="00462788">
        <w:t>,</w:t>
      </w:r>
      <w:r w:rsidR="008F6886" w:rsidRPr="00462788">
        <w:t xml:space="preserve"> </w:t>
      </w:r>
      <w:r w:rsidRPr="00462788">
        <w:t>according to the Application</w:t>
      </w:r>
      <w:r w:rsidR="003A6EA2" w:rsidRPr="00462788">
        <w:t>,</w:t>
      </w:r>
      <w:r w:rsidRPr="00462788">
        <w:t xml:space="preserve"> </w:t>
      </w:r>
      <w:r w:rsidR="008F6886" w:rsidRPr="00462788">
        <w:t xml:space="preserve">will </w:t>
      </w:r>
      <w:r w:rsidRPr="00462788">
        <w:t xml:space="preserve">also </w:t>
      </w:r>
      <w:r w:rsidR="008F6886" w:rsidRPr="00462788">
        <w:t>facilitate expansion of</w:t>
      </w:r>
      <w:r w:rsidR="008F6886" w:rsidRPr="00462788">
        <w:rPr>
          <w:spacing w:val="1"/>
        </w:rPr>
        <w:t xml:space="preserve"> </w:t>
      </w:r>
      <w:r w:rsidR="008F6886" w:rsidRPr="00462788">
        <w:t>pediatric</w:t>
      </w:r>
      <w:r w:rsidR="008F6886" w:rsidRPr="00462788">
        <w:rPr>
          <w:spacing w:val="35"/>
        </w:rPr>
        <w:t xml:space="preserve"> </w:t>
      </w:r>
      <w:r w:rsidR="008F6886" w:rsidRPr="00462788">
        <w:t>sleep</w:t>
      </w:r>
      <w:r w:rsidR="008F6886" w:rsidRPr="00462788">
        <w:rPr>
          <w:spacing w:val="37"/>
        </w:rPr>
        <w:t xml:space="preserve"> </w:t>
      </w:r>
      <w:r w:rsidR="008F6886" w:rsidRPr="00462788">
        <w:t>services</w:t>
      </w:r>
      <w:r w:rsidR="008F6886" w:rsidRPr="00462788">
        <w:rPr>
          <w:spacing w:val="40"/>
        </w:rPr>
        <w:t xml:space="preserve"> </w:t>
      </w:r>
      <w:r w:rsidR="008F6886" w:rsidRPr="00462788">
        <w:t>for</w:t>
      </w:r>
      <w:r w:rsidR="008F6886" w:rsidRPr="00462788">
        <w:rPr>
          <w:spacing w:val="36"/>
        </w:rPr>
        <w:t xml:space="preserve"> </w:t>
      </w:r>
      <w:r w:rsidR="008F6886" w:rsidRPr="00462788">
        <w:t>the</w:t>
      </w:r>
      <w:r w:rsidR="008F6886" w:rsidRPr="00462788">
        <w:rPr>
          <w:spacing w:val="36"/>
        </w:rPr>
        <w:t xml:space="preserve"> </w:t>
      </w:r>
      <w:r w:rsidR="008F6886" w:rsidRPr="00462788">
        <w:t>only</w:t>
      </w:r>
      <w:r w:rsidR="008F6886" w:rsidRPr="00462788">
        <w:rPr>
          <w:spacing w:val="35"/>
        </w:rPr>
        <w:t xml:space="preserve"> </w:t>
      </w:r>
      <w:r w:rsidR="008F6886" w:rsidRPr="00462788">
        <w:t>pediatric</w:t>
      </w:r>
      <w:r w:rsidR="008F6886" w:rsidRPr="00462788">
        <w:rPr>
          <w:spacing w:val="38"/>
        </w:rPr>
        <w:t xml:space="preserve"> </w:t>
      </w:r>
      <w:r w:rsidR="008F6886" w:rsidRPr="00462788">
        <w:t>sleep</w:t>
      </w:r>
      <w:r w:rsidR="008F6886" w:rsidRPr="00462788">
        <w:rPr>
          <w:spacing w:val="37"/>
        </w:rPr>
        <w:t xml:space="preserve"> </w:t>
      </w:r>
      <w:r w:rsidR="008F6886" w:rsidRPr="00462788">
        <w:t>program</w:t>
      </w:r>
      <w:r w:rsidR="008F6886" w:rsidRPr="00462788">
        <w:rPr>
          <w:spacing w:val="37"/>
        </w:rPr>
        <w:t xml:space="preserve"> </w:t>
      </w:r>
      <w:r w:rsidR="008F6886" w:rsidRPr="00462788">
        <w:t>in</w:t>
      </w:r>
      <w:r w:rsidR="008F6886" w:rsidRPr="00462788">
        <w:rPr>
          <w:spacing w:val="39"/>
        </w:rPr>
        <w:t xml:space="preserve"> </w:t>
      </w:r>
      <w:r w:rsidR="008F6886" w:rsidRPr="00462788">
        <w:t>New</w:t>
      </w:r>
      <w:r w:rsidR="008F6886" w:rsidRPr="00462788">
        <w:rPr>
          <w:spacing w:val="39"/>
        </w:rPr>
        <w:t xml:space="preserve"> </w:t>
      </w:r>
      <w:r w:rsidR="008F6886" w:rsidRPr="00462788">
        <w:t>England,</w:t>
      </w:r>
      <w:r w:rsidR="008F6886" w:rsidRPr="00462788">
        <w:rPr>
          <w:spacing w:val="39"/>
        </w:rPr>
        <w:t xml:space="preserve"> </w:t>
      </w:r>
      <w:r w:rsidR="008F6886" w:rsidRPr="00462788">
        <w:t>addressing</w:t>
      </w:r>
      <w:r w:rsidR="008F6886" w:rsidRPr="00462788">
        <w:rPr>
          <w:spacing w:val="37"/>
        </w:rPr>
        <w:t xml:space="preserve"> </w:t>
      </w:r>
      <w:r w:rsidR="00ED276E" w:rsidRPr="00462788">
        <w:t>the need</w:t>
      </w:r>
      <w:r w:rsidR="008F6886" w:rsidRPr="00462788">
        <w:t xml:space="preserve"> for a child in the Commonwealth to drive as far as 94 miles for sleep medicine care as</w:t>
      </w:r>
      <w:r w:rsidR="008F6886" w:rsidRPr="00462788">
        <w:rPr>
          <w:spacing w:val="1"/>
        </w:rPr>
        <w:t xml:space="preserve"> </w:t>
      </w:r>
      <w:r w:rsidR="008F6886" w:rsidRPr="00462788">
        <w:t>reported by the American Academy of Pediatrics. As the Bailit Report notes, up to 50</w:t>
      </w:r>
      <w:r w:rsidR="008F6886" w:rsidRPr="00462788">
        <w:rPr>
          <w:spacing w:val="1"/>
        </w:rPr>
        <w:t xml:space="preserve"> </w:t>
      </w:r>
      <w:r w:rsidR="008F6886" w:rsidRPr="00462788">
        <w:t>percent</w:t>
      </w:r>
      <w:r w:rsidR="008F6886" w:rsidRPr="00462788">
        <w:rPr>
          <w:spacing w:val="1"/>
        </w:rPr>
        <w:t xml:space="preserve"> </w:t>
      </w:r>
      <w:r w:rsidR="008F6886" w:rsidRPr="00462788">
        <w:t xml:space="preserve">of children have a sleep disorder, </w:t>
      </w:r>
      <w:r w:rsidR="003A6EA2" w:rsidRPr="00462788">
        <w:t xml:space="preserve">and </w:t>
      </w:r>
      <w:r w:rsidR="008F6886" w:rsidRPr="00462788">
        <w:t>the Proposed Project</w:t>
      </w:r>
      <w:r w:rsidR="008F6886" w:rsidRPr="00462788">
        <w:rPr>
          <w:spacing w:val="1"/>
        </w:rPr>
        <w:t xml:space="preserve"> </w:t>
      </w:r>
      <w:r w:rsidR="008F6886" w:rsidRPr="00462788">
        <w:t>will</w:t>
      </w:r>
      <w:r w:rsidR="008F6886" w:rsidRPr="00462788">
        <w:rPr>
          <w:spacing w:val="1"/>
        </w:rPr>
        <w:t xml:space="preserve"> </w:t>
      </w:r>
      <w:r w:rsidR="008F6886" w:rsidRPr="00462788">
        <w:t>provide greater access</w:t>
      </w:r>
      <w:r w:rsidR="008F6886" w:rsidRPr="00462788">
        <w:rPr>
          <w:spacing w:val="1"/>
        </w:rPr>
        <w:t xml:space="preserve"> </w:t>
      </w:r>
      <w:r w:rsidR="008F6886" w:rsidRPr="00462788">
        <w:t>pediatric sleep services to communities that typically have limited access to such care.</w:t>
      </w:r>
      <w:r w:rsidRPr="00462788">
        <w:rPr>
          <w:rStyle w:val="FootnoteReference"/>
        </w:rPr>
        <w:footnoteReference w:id="18"/>
      </w:r>
      <w:r w:rsidR="00AC55AC" w:rsidRPr="00462788">
        <w:t xml:space="preserve"> </w:t>
      </w:r>
    </w:p>
    <w:p w14:paraId="762633CE" w14:textId="4662BB4E" w:rsidR="00EE5ECC" w:rsidRDefault="00EE5ECC" w:rsidP="00BE32C9">
      <w:r w:rsidRPr="00EE5ECC">
        <w:rPr>
          <w:b/>
          <w:bCs/>
        </w:rPr>
        <w:t xml:space="preserve">Needham </w:t>
      </w:r>
      <w:r w:rsidRPr="00EE5ECC">
        <w:t>- The Needham location would involve acquisition, construction, fit-out, and equipping of an approximately 224,000 gross</w:t>
      </w:r>
      <w:r w:rsidRPr="00EE5ECC">
        <w:rPr>
          <w:spacing w:val="1"/>
        </w:rPr>
        <w:t xml:space="preserve"> </w:t>
      </w:r>
      <w:r w:rsidRPr="00EE5ECC">
        <w:t>square foot facility zoned for pediatric medical use at 380 First Avenue in Needham, MA</w:t>
      </w:r>
      <w:r w:rsidRPr="00EE5ECC">
        <w:rPr>
          <w:spacing w:val="1"/>
        </w:rPr>
        <w:t xml:space="preserve"> </w:t>
      </w:r>
      <w:r w:rsidRPr="00EE5ECC">
        <w:t xml:space="preserve">02492 (the “Needham Facility”) to </w:t>
      </w:r>
      <w:r w:rsidRPr="00EE5ECC">
        <w:lastRenderedPageBreak/>
        <w:t>include eight operating rooms (“ORs”) dedicated to</w:t>
      </w:r>
      <w:r w:rsidRPr="00EE5ECC">
        <w:rPr>
          <w:spacing w:val="1"/>
        </w:rPr>
        <w:t xml:space="preserve"> </w:t>
      </w:r>
      <w:r w:rsidRPr="00EE5ECC">
        <w:t>ambulatory surgery services, as well as hospital outpatient space to include phlebotomy,</w:t>
      </w:r>
      <w:r w:rsidRPr="00EE5ECC">
        <w:rPr>
          <w:spacing w:val="1"/>
        </w:rPr>
        <w:t xml:space="preserve"> </w:t>
      </w:r>
      <w:r w:rsidRPr="00EE5ECC">
        <w:t>physical and occupational therapy, ophthalmology, and diagnostic radiology</w:t>
      </w:r>
      <w:r w:rsidRPr="00462788">
        <w:t>, including</w:t>
      </w:r>
      <w:r w:rsidRPr="00462788">
        <w:rPr>
          <w:spacing w:val="1"/>
        </w:rPr>
        <w:t xml:space="preserve"> </w:t>
      </w:r>
      <w:r w:rsidRPr="00462788">
        <w:t>one</w:t>
      </w:r>
      <w:r w:rsidRPr="00462788">
        <w:rPr>
          <w:spacing w:val="-1"/>
        </w:rPr>
        <w:t xml:space="preserve"> </w:t>
      </w:r>
      <w:r w:rsidRPr="00462788">
        <w:t>magnetic</w:t>
      </w:r>
      <w:r w:rsidRPr="00462788">
        <w:rPr>
          <w:spacing w:val="-1"/>
        </w:rPr>
        <w:t xml:space="preserve"> </w:t>
      </w:r>
      <w:r w:rsidRPr="00462788">
        <w:t>resonance</w:t>
      </w:r>
      <w:r w:rsidRPr="00462788">
        <w:rPr>
          <w:spacing w:val="-1"/>
        </w:rPr>
        <w:t xml:space="preserve"> </w:t>
      </w:r>
      <w:r w:rsidRPr="00462788">
        <w:t>imaging</w:t>
      </w:r>
      <w:r w:rsidRPr="00462788">
        <w:rPr>
          <w:spacing w:val="-3"/>
        </w:rPr>
        <w:t xml:space="preserve"> </w:t>
      </w:r>
      <w:r w:rsidRPr="00462788">
        <w:t>system (an</w:t>
      </w:r>
      <w:r w:rsidRPr="00462788">
        <w:rPr>
          <w:spacing w:val="2"/>
        </w:rPr>
        <w:t xml:space="preserve"> </w:t>
      </w:r>
      <w:r w:rsidRPr="00462788">
        <w:t>“MRI”);</w:t>
      </w:r>
      <w:hyperlink r:id="rId12" w:anchor="_bookmark0" w:history="1">
        <w:r w:rsidRPr="00462788">
          <w:rPr>
            <w:vertAlign w:val="superscript"/>
          </w:rPr>
          <w:t>1</w:t>
        </w:r>
        <w:r w:rsidRPr="00462788">
          <w:rPr>
            <w:spacing w:val="1"/>
          </w:rPr>
          <w:t xml:space="preserve"> </w:t>
        </w:r>
      </w:hyperlink>
      <w:r w:rsidRPr="00462788">
        <w:t xml:space="preserve">The proposed capacity or equipment to be added </w:t>
      </w:r>
      <w:r w:rsidR="006F64AF" w:rsidRPr="00462788">
        <w:t xml:space="preserve">at Needham </w:t>
      </w:r>
      <w:r w:rsidRPr="00462788">
        <w:t>includes 8 ORs and 1 MRI as well as other imaging and related services.</w:t>
      </w:r>
      <w:r w:rsidR="00AF36B6" w:rsidRPr="00462788">
        <w:t xml:space="preserve"> </w:t>
      </w:r>
      <w:r w:rsidR="00B54E8E" w:rsidRPr="00462788">
        <w:t xml:space="preserve">The Proposed Project will expand </w:t>
      </w:r>
      <w:r w:rsidR="00BE5C9A" w:rsidRPr="00462788">
        <w:t xml:space="preserve">availability of outpatient </w:t>
      </w:r>
      <w:r w:rsidR="00B54E8E" w:rsidRPr="00462788">
        <w:t xml:space="preserve">services </w:t>
      </w:r>
      <w:r w:rsidR="00BE5C9A" w:rsidRPr="00462788">
        <w:t>and add specialized</w:t>
      </w:r>
      <w:r w:rsidR="00B54E8E" w:rsidRPr="00462788">
        <w:t xml:space="preserve"> gastroenterology (“GI”)) </w:t>
      </w:r>
      <w:r w:rsidR="00BE5C9A" w:rsidRPr="00462788">
        <w:t xml:space="preserve">services </w:t>
      </w:r>
      <w:r w:rsidR="00B54E8E" w:rsidRPr="00462788">
        <w:t xml:space="preserve">with the addition of the </w:t>
      </w:r>
      <w:r w:rsidR="00B54E8E" w:rsidRPr="00EE5ECC">
        <w:t>Needham Facility and</w:t>
      </w:r>
      <w:r w:rsidR="00B54E8E" w:rsidRPr="00AF36B6">
        <w:rPr>
          <w:spacing w:val="1"/>
        </w:rPr>
        <w:t xml:space="preserve"> </w:t>
      </w:r>
      <w:r w:rsidR="00B54E8E" w:rsidRPr="00EE5ECC">
        <w:t>seeks to address current lag times</w:t>
      </w:r>
      <w:r w:rsidR="003A6EA2">
        <w:t xml:space="preserve"> for these and other services</w:t>
      </w:r>
      <w:r w:rsidR="00B54E8E" w:rsidRPr="00EE5ECC">
        <w:t xml:space="preserve">. </w:t>
      </w:r>
      <w:r w:rsidR="00BE5C9A">
        <w:t xml:space="preserve">Specifically, BCH proposes </w:t>
      </w:r>
      <w:r w:rsidR="00FB28B8">
        <w:t>specialized services and teams</w:t>
      </w:r>
      <w:r w:rsidR="00BE5C9A">
        <w:t xml:space="preserve"> to provide </w:t>
      </w:r>
      <w:r w:rsidR="00B60383">
        <w:t>specific</w:t>
      </w:r>
      <w:r w:rsidR="00BE5C9A">
        <w:t xml:space="preserve"> outpatient </w:t>
      </w:r>
      <w:r w:rsidR="00FB28B8">
        <w:t xml:space="preserve">GI </w:t>
      </w:r>
      <w:r w:rsidR="00BE5C9A">
        <w:t xml:space="preserve">services at the </w:t>
      </w:r>
      <w:r w:rsidR="00B60383">
        <w:t xml:space="preserve">new </w:t>
      </w:r>
      <w:r w:rsidR="00BE5C9A">
        <w:t>Needham location.</w:t>
      </w:r>
      <w:r w:rsidR="003F09C3">
        <w:rPr>
          <w:rStyle w:val="FootnoteReference"/>
        </w:rPr>
        <w:footnoteReference w:id="19"/>
      </w:r>
    </w:p>
    <w:p w14:paraId="286092D8" w14:textId="43AA40EF" w:rsidR="00124DEA" w:rsidRPr="00124DEA" w:rsidRDefault="00841D7F" w:rsidP="00BE32C9">
      <w:r w:rsidRPr="00EE5ECC">
        <w:rPr>
          <w:b/>
          <w:bCs/>
        </w:rPr>
        <w:t>Weymouth</w:t>
      </w:r>
      <w:r w:rsidRPr="00EE5ECC">
        <w:t xml:space="preserve"> - This </w:t>
      </w:r>
      <w:r w:rsidRPr="00051FAE">
        <w:t xml:space="preserve">project would </w:t>
      </w:r>
      <w:r w:rsidR="00AF36B6" w:rsidRPr="00051FAE">
        <w:t>include l</w:t>
      </w:r>
      <w:r w:rsidRPr="00051FAE">
        <w:t>easing, construction, fit-out, and equipping of approximately 33,862 gross square feet</w:t>
      </w:r>
      <w:r w:rsidRPr="00051FAE">
        <w:rPr>
          <w:spacing w:val="1"/>
        </w:rPr>
        <w:t xml:space="preserve"> </w:t>
      </w:r>
      <w:r w:rsidRPr="00051FAE">
        <w:t>within</w:t>
      </w:r>
      <w:r w:rsidRPr="00051FAE">
        <w:rPr>
          <w:spacing w:val="1"/>
        </w:rPr>
        <w:t xml:space="preserve"> </w:t>
      </w:r>
      <w:r w:rsidRPr="00051FAE">
        <w:t>a</w:t>
      </w:r>
      <w:r w:rsidRPr="00051FAE">
        <w:rPr>
          <w:spacing w:val="1"/>
        </w:rPr>
        <w:t xml:space="preserve"> </w:t>
      </w:r>
      <w:r w:rsidRPr="00051FAE">
        <w:t>building</w:t>
      </w:r>
      <w:r w:rsidRPr="00051FAE">
        <w:rPr>
          <w:spacing w:val="1"/>
        </w:rPr>
        <w:t xml:space="preserve"> </w:t>
      </w:r>
      <w:r w:rsidRPr="00051FAE">
        <w:t>located</w:t>
      </w:r>
      <w:r w:rsidRPr="00051FAE">
        <w:rPr>
          <w:spacing w:val="1"/>
        </w:rPr>
        <w:t xml:space="preserve"> </w:t>
      </w:r>
      <w:r w:rsidRPr="00EE5ECC">
        <w:t>at</w:t>
      </w:r>
      <w:r w:rsidRPr="00EE5ECC">
        <w:rPr>
          <w:spacing w:val="1"/>
        </w:rPr>
        <w:t xml:space="preserve"> </w:t>
      </w:r>
      <w:r w:rsidRPr="00EE5ECC">
        <w:t>200</w:t>
      </w:r>
      <w:r w:rsidRPr="00EE5ECC">
        <w:rPr>
          <w:spacing w:val="1"/>
        </w:rPr>
        <w:t xml:space="preserve"> </w:t>
      </w:r>
      <w:r w:rsidRPr="00EE5ECC">
        <w:t>Libbey</w:t>
      </w:r>
      <w:r w:rsidRPr="00EE5ECC">
        <w:rPr>
          <w:spacing w:val="1"/>
        </w:rPr>
        <w:t xml:space="preserve"> </w:t>
      </w:r>
      <w:r w:rsidRPr="00EE5ECC">
        <w:t>Parkway</w:t>
      </w:r>
      <w:r w:rsidRPr="00EE5ECC">
        <w:rPr>
          <w:spacing w:val="1"/>
        </w:rPr>
        <w:t xml:space="preserve"> </w:t>
      </w:r>
      <w:r w:rsidRPr="00EE5ECC">
        <w:t>in</w:t>
      </w:r>
      <w:r w:rsidRPr="00EE5ECC">
        <w:rPr>
          <w:spacing w:val="1"/>
        </w:rPr>
        <w:t xml:space="preserve"> </w:t>
      </w:r>
      <w:r w:rsidRPr="00EE5ECC">
        <w:t>Weymouth,</w:t>
      </w:r>
      <w:r w:rsidRPr="00EE5ECC">
        <w:rPr>
          <w:spacing w:val="1"/>
        </w:rPr>
        <w:t xml:space="preserve"> </w:t>
      </w:r>
      <w:r w:rsidRPr="00EE5ECC">
        <w:t>MA</w:t>
      </w:r>
      <w:r w:rsidRPr="00EE5ECC">
        <w:rPr>
          <w:spacing w:val="1"/>
        </w:rPr>
        <w:t xml:space="preserve"> </w:t>
      </w:r>
      <w:r w:rsidRPr="00EE5ECC">
        <w:t>02188</w:t>
      </w:r>
      <w:r w:rsidRPr="00EE5ECC">
        <w:rPr>
          <w:spacing w:val="1"/>
        </w:rPr>
        <w:t xml:space="preserve"> </w:t>
      </w:r>
      <w:r w:rsidRPr="00EE5ECC">
        <w:t>(the</w:t>
      </w:r>
      <w:r w:rsidRPr="00EE5ECC">
        <w:rPr>
          <w:spacing w:val="1"/>
        </w:rPr>
        <w:t xml:space="preserve"> </w:t>
      </w:r>
      <w:r w:rsidRPr="00EE5ECC">
        <w:t>“Weymouth</w:t>
      </w:r>
      <w:r w:rsidRPr="00EE5ECC">
        <w:rPr>
          <w:spacing w:val="1"/>
        </w:rPr>
        <w:t xml:space="preserve"> </w:t>
      </w:r>
      <w:r w:rsidRPr="00EE5ECC">
        <w:t>Facility”)</w:t>
      </w:r>
      <w:r w:rsidRPr="00EE5ECC">
        <w:rPr>
          <w:spacing w:val="1"/>
        </w:rPr>
        <w:t xml:space="preserve"> </w:t>
      </w:r>
      <w:r w:rsidRPr="00EE5ECC">
        <w:t>to</w:t>
      </w:r>
      <w:r w:rsidRPr="00EE5ECC">
        <w:rPr>
          <w:spacing w:val="1"/>
        </w:rPr>
        <w:t xml:space="preserve"> </w:t>
      </w:r>
      <w:r w:rsidRPr="00EE5ECC">
        <w:t>accommodate</w:t>
      </w:r>
      <w:r w:rsidRPr="00EE5ECC">
        <w:rPr>
          <w:spacing w:val="1"/>
        </w:rPr>
        <w:t xml:space="preserve"> </w:t>
      </w:r>
      <w:r w:rsidRPr="00EE5ECC">
        <w:t>diagnostic</w:t>
      </w:r>
      <w:r w:rsidRPr="00EE5ECC">
        <w:rPr>
          <w:spacing w:val="1"/>
        </w:rPr>
        <w:t xml:space="preserve"> </w:t>
      </w:r>
      <w:r w:rsidRPr="00EE5ECC">
        <w:t>and</w:t>
      </w:r>
      <w:r w:rsidRPr="00EE5ECC">
        <w:rPr>
          <w:spacing w:val="1"/>
        </w:rPr>
        <w:t xml:space="preserve"> </w:t>
      </w:r>
      <w:r w:rsidRPr="00EE5ECC">
        <w:t>therapeutic</w:t>
      </w:r>
      <w:r w:rsidRPr="00EE5ECC">
        <w:rPr>
          <w:spacing w:val="1"/>
        </w:rPr>
        <w:t xml:space="preserve"> </w:t>
      </w:r>
      <w:r w:rsidRPr="00EE5ECC">
        <w:t>hospital</w:t>
      </w:r>
      <w:r w:rsidRPr="00EE5ECC">
        <w:rPr>
          <w:spacing w:val="1"/>
        </w:rPr>
        <w:t xml:space="preserve"> </w:t>
      </w:r>
      <w:r w:rsidRPr="00EE5ECC">
        <w:t>services</w:t>
      </w:r>
      <w:r w:rsidRPr="00EE5ECC">
        <w:rPr>
          <w:spacing w:val="1"/>
        </w:rPr>
        <w:t xml:space="preserve"> </w:t>
      </w:r>
      <w:r w:rsidRPr="00EE5ECC">
        <w:t>including</w:t>
      </w:r>
      <w:r w:rsidRPr="00EE5ECC">
        <w:rPr>
          <w:spacing w:val="1"/>
        </w:rPr>
        <w:t xml:space="preserve"> </w:t>
      </w:r>
      <w:r w:rsidRPr="00EE5ECC">
        <w:t>audiology,</w:t>
      </w:r>
      <w:r w:rsidRPr="00EE5ECC">
        <w:rPr>
          <w:spacing w:val="1"/>
        </w:rPr>
        <w:t xml:space="preserve"> </w:t>
      </w:r>
      <w:r w:rsidRPr="00EE5ECC">
        <w:t>speech</w:t>
      </w:r>
      <w:r w:rsidRPr="00EE5ECC">
        <w:rPr>
          <w:spacing w:val="1"/>
        </w:rPr>
        <w:t xml:space="preserve"> </w:t>
      </w:r>
      <w:r w:rsidRPr="00EE5ECC">
        <w:t>therapy,</w:t>
      </w:r>
      <w:r w:rsidRPr="00EE5ECC">
        <w:rPr>
          <w:spacing w:val="1"/>
        </w:rPr>
        <w:t xml:space="preserve"> </w:t>
      </w:r>
      <w:r w:rsidRPr="00EE5ECC">
        <w:t>vision</w:t>
      </w:r>
      <w:r w:rsidRPr="00EE5ECC">
        <w:rPr>
          <w:spacing w:val="1"/>
        </w:rPr>
        <w:t xml:space="preserve"> </w:t>
      </w:r>
      <w:r w:rsidRPr="00EE5ECC">
        <w:t>function</w:t>
      </w:r>
      <w:r w:rsidRPr="00EE5ECC">
        <w:rPr>
          <w:spacing w:val="1"/>
        </w:rPr>
        <w:t xml:space="preserve"> </w:t>
      </w:r>
      <w:r w:rsidRPr="00EE5ECC">
        <w:t>testing,</w:t>
      </w:r>
      <w:r w:rsidRPr="00EE5ECC">
        <w:rPr>
          <w:spacing w:val="1"/>
        </w:rPr>
        <w:t xml:space="preserve"> </w:t>
      </w:r>
      <w:r w:rsidRPr="00EE5ECC">
        <w:t>phlebotomy,</w:t>
      </w:r>
      <w:r w:rsidRPr="00EE5ECC">
        <w:rPr>
          <w:spacing w:val="1"/>
        </w:rPr>
        <w:t xml:space="preserve"> </w:t>
      </w:r>
      <w:r w:rsidRPr="00EE5ECC">
        <w:t>echocardiography</w:t>
      </w:r>
      <w:r w:rsidRPr="00EE5ECC">
        <w:rPr>
          <w:spacing w:val="-3"/>
        </w:rPr>
        <w:t xml:space="preserve"> </w:t>
      </w:r>
      <w:r w:rsidRPr="00EE5ECC">
        <w:t>and radiology, including</w:t>
      </w:r>
      <w:r w:rsidRPr="00EE5ECC">
        <w:rPr>
          <w:spacing w:val="-3"/>
        </w:rPr>
        <w:t xml:space="preserve"> </w:t>
      </w:r>
      <w:r w:rsidRPr="00EE5ECC">
        <w:t>one</w:t>
      </w:r>
      <w:r w:rsidRPr="00EE5ECC">
        <w:rPr>
          <w:spacing w:val="-1"/>
        </w:rPr>
        <w:t xml:space="preserve"> </w:t>
      </w:r>
      <w:r w:rsidR="00B60383">
        <w:rPr>
          <w:spacing w:val="-1"/>
        </w:rPr>
        <w:t xml:space="preserve">new </w:t>
      </w:r>
      <w:r w:rsidRPr="00EE5ECC">
        <w:t>MRI.</w:t>
      </w:r>
      <w:r w:rsidRPr="005764C7">
        <w:rPr>
          <w:color w:val="000000" w:themeColor="text1"/>
        </w:rPr>
        <w:t xml:space="preserve"> </w:t>
      </w:r>
    </w:p>
    <w:p w14:paraId="49C42680" w14:textId="030CE5D4" w:rsidR="00841D7F" w:rsidRDefault="00841D7F" w:rsidP="00A02074">
      <w:pPr>
        <w:spacing w:after="0"/>
        <w:ind w:left="734" w:hanging="547"/>
      </w:pPr>
      <w:r w:rsidRPr="00EE5ECC">
        <w:t>New or expanded facilities are located primarily in HSA 4</w:t>
      </w:r>
      <w:r w:rsidR="004629FE">
        <w:t xml:space="preserve"> or in </w:t>
      </w:r>
      <w:r w:rsidR="00C25F32">
        <w:t>H</w:t>
      </w:r>
      <w:r w:rsidR="00B60383">
        <w:t>SA</w:t>
      </w:r>
      <w:r w:rsidR="00C25F32">
        <w:t xml:space="preserve"> 6</w:t>
      </w:r>
      <w:r w:rsidRPr="00EE5ECC">
        <w:t xml:space="preserve">, </w:t>
      </w:r>
      <w:r>
        <w:t xml:space="preserve">which </w:t>
      </w:r>
      <w:r w:rsidR="004629FE">
        <w:t>are</w:t>
      </w:r>
      <w:r w:rsidRPr="00EE5ECC">
        <w:t xml:space="preserve"> depicted on the BCH map in the Application</w:t>
      </w:r>
      <w:r w:rsidR="004629FE">
        <w:t xml:space="preserve"> and </w:t>
      </w:r>
      <w:r w:rsidR="00B5561F">
        <w:t>shown</w:t>
      </w:r>
      <w:r w:rsidR="004629FE">
        <w:t xml:space="preserve"> below</w:t>
      </w:r>
      <w:r>
        <w:t>.</w:t>
      </w:r>
      <w:r w:rsidR="00124DEA">
        <w:t xml:space="preserve">  </w:t>
      </w:r>
      <w:r w:rsidR="00B60383">
        <w:t>FTI’s analyses show that the service areas of the new facilities are broader than HSA boundaries, due to the broad scope of patient populations already served or projected to be served by these facilities.</w:t>
      </w:r>
      <w:r w:rsidR="00B60383">
        <w:rPr>
          <w:rStyle w:val="FootnoteReference"/>
        </w:rPr>
        <w:footnoteReference w:id="20"/>
      </w:r>
    </w:p>
    <w:p w14:paraId="20D99E41" w14:textId="207E05A6" w:rsidR="00B40939" w:rsidRDefault="00B40939" w:rsidP="00A02074">
      <w:pPr>
        <w:numPr>
          <w:ilvl w:val="0"/>
          <w:numId w:val="0"/>
        </w:numPr>
        <w:spacing w:after="0"/>
        <w:ind w:left="720"/>
        <w:jc w:val="center"/>
      </w:pPr>
      <w:r>
        <w:rPr>
          <w:noProof/>
        </w:rPr>
        <w:drawing>
          <wp:inline distT="0" distB="0" distL="0" distR="0" wp14:anchorId="36F453FD" wp14:editId="4A9EE1DC">
            <wp:extent cx="4359275" cy="2529192"/>
            <wp:effectExtent l="0" t="0" r="0" b="5080"/>
            <wp:docPr id="11" name="Picture 11" descr="Map of Massachusetts, dividing state into six HSAs, dark blue HSA 4 indicating population under 18 is greater than 27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Massachusetts, dividing state into six HSAs, dark blue HSA 4 indicating population under 18 is greater than 275,000."/>
                    <pic:cNvPicPr>
                      <a:picLocks noChangeAspect="1" noChangeArrowheads="1"/>
                    </pic:cNvPicPr>
                  </pic:nvPicPr>
                  <pic:blipFill rotWithShape="1">
                    <a:blip r:embed="rId13">
                      <a:extLst>
                        <a:ext uri="{28A0092B-C50C-407E-A947-70E740481C1C}">
                          <a14:useLocalDpi xmlns:a14="http://schemas.microsoft.com/office/drawing/2010/main" val="0"/>
                        </a:ext>
                      </a:extLst>
                    </a:blip>
                    <a:srcRect b="3596"/>
                    <a:stretch/>
                  </pic:blipFill>
                  <pic:spPr bwMode="auto">
                    <a:xfrm>
                      <a:off x="0" y="0"/>
                      <a:ext cx="4394228" cy="2549471"/>
                    </a:xfrm>
                    <a:prstGeom prst="rect">
                      <a:avLst/>
                    </a:prstGeom>
                    <a:noFill/>
                    <a:ln>
                      <a:noFill/>
                    </a:ln>
                    <a:extLst>
                      <a:ext uri="{53640926-AAD7-44D8-BBD7-CCE9431645EC}">
                        <a14:shadowObscured xmlns:a14="http://schemas.microsoft.com/office/drawing/2010/main"/>
                      </a:ext>
                    </a:extLst>
                  </pic:spPr>
                </pic:pic>
              </a:graphicData>
            </a:graphic>
          </wp:inline>
        </w:drawing>
      </w:r>
    </w:p>
    <w:p w14:paraId="7F815909" w14:textId="6A655CB5" w:rsidR="00EE5ECC" w:rsidRPr="00051FAE" w:rsidRDefault="004629FE" w:rsidP="00BE32C9">
      <w:r w:rsidRPr="007F179E">
        <w:t xml:space="preserve">As detailed </w:t>
      </w:r>
      <w:r w:rsidRPr="00051FAE">
        <w:t>below, FTI also conducted an independent review and evaluation of</w:t>
      </w:r>
      <w:r w:rsidR="007F179E" w:rsidRPr="00051FAE">
        <w:t xml:space="preserve"> </w:t>
      </w:r>
      <w:r w:rsidRPr="00051FAE">
        <w:t xml:space="preserve">BCH’s </w:t>
      </w:r>
      <w:r w:rsidR="007F179E" w:rsidRPr="00051FAE">
        <w:t xml:space="preserve">analyses of current and projected demand, demographics, utilization, and estimated need </w:t>
      </w:r>
      <w:r w:rsidR="007F179E" w:rsidRPr="00051FAE">
        <w:lastRenderedPageBreak/>
        <w:t xml:space="preserve">for the </w:t>
      </w:r>
      <w:r w:rsidR="00506D17" w:rsidRPr="00051FAE">
        <w:t xml:space="preserve">proposed </w:t>
      </w:r>
      <w:r w:rsidR="007F179E" w:rsidRPr="00051FAE">
        <w:t>projects</w:t>
      </w:r>
      <w:r w:rsidRPr="00051FAE">
        <w:t xml:space="preserve"> that were set out in the Application </w:t>
      </w:r>
      <w:r w:rsidR="00B5561F" w:rsidRPr="00051FAE">
        <w:t>N</w:t>
      </w:r>
      <w:r w:rsidRPr="00051FAE">
        <w:t>arrative, supporting documents, and BCH’s responses to DPH questions.</w:t>
      </w:r>
    </w:p>
    <w:p w14:paraId="10628CC6" w14:textId="27CDC981" w:rsidR="00EE5ECC" w:rsidRPr="00051FAE" w:rsidRDefault="00D0518D" w:rsidP="00BE32C9">
      <w:pPr>
        <w:pStyle w:val="Heading2"/>
      </w:pPr>
      <w:bookmarkStart w:id="28" w:name="_Toc94002307"/>
      <w:bookmarkStart w:id="29" w:name="_Toc105569089"/>
      <w:bookmarkStart w:id="30" w:name="_Toc106002887"/>
      <w:bookmarkStart w:id="31" w:name="_Toc109895486"/>
      <w:r w:rsidRPr="00051FAE">
        <w:t>The</w:t>
      </w:r>
      <w:r w:rsidR="00EE5ECC" w:rsidRPr="00051FAE">
        <w:t xml:space="preserve"> DoN and ICA Process</w:t>
      </w:r>
      <w:bookmarkEnd w:id="28"/>
      <w:bookmarkEnd w:id="29"/>
      <w:bookmarkEnd w:id="30"/>
      <w:bookmarkEnd w:id="31"/>
      <w:r w:rsidR="00EE5ECC" w:rsidRPr="00051FAE">
        <w:t xml:space="preserve"> </w:t>
      </w:r>
    </w:p>
    <w:p w14:paraId="2FBF3C75" w14:textId="77777777" w:rsidR="00EE5ECC" w:rsidRPr="00051FAE" w:rsidRDefault="00EE5ECC" w:rsidP="00BE32C9">
      <w:r w:rsidRPr="00051FAE">
        <w:t>This Independent Cost Analysis Report (ICA Report) is conducted “[P]ursuant to M.G.L. c. 111, § 25C(h), the Department of Public Health (Department) will require The Children’s Medical Center Corporation to commission an Independent Cost Analysis (ICA) for Determination of Need (DoN) Application # BCH-21071411-HE.”</w:t>
      </w:r>
      <w:r w:rsidRPr="00051FAE">
        <w:rPr>
          <w:vertAlign w:val="superscript"/>
        </w:rPr>
        <w:footnoteReference w:id="21"/>
      </w:r>
      <w:r w:rsidRPr="00051FAE">
        <w:t xml:space="preserve"> </w:t>
      </w:r>
    </w:p>
    <w:p w14:paraId="3F738FFA" w14:textId="765DC125" w:rsidR="00066F60" w:rsidRPr="00EE5ECC" w:rsidRDefault="00EE5ECC" w:rsidP="00BE32C9">
      <w:r w:rsidRPr="00051FAE">
        <w:t>As part of the DoN process</w:t>
      </w:r>
      <w:r w:rsidRPr="00EE5ECC">
        <w:t>: ‘[T]</w:t>
      </w:r>
      <w:r w:rsidRPr="00EE5ECC">
        <w:rPr>
          <w:shd w:val="clear" w:color="auto" w:fill="FFFFFF"/>
        </w:rPr>
        <w:t>he department may also require the applicant to provide an independent cost-analysis, conducted at the expense of the applicant, to demonstrate that the application is consistent with the commonwealth's efforts to meet the health care cost-containment goals.”</w:t>
      </w:r>
      <w:r w:rsidRPr="1025C662">
        <w:rPr>
          <w:rStyle w:val="FootnoteReference"/>
        </w:rPr>
        <w:footnoteReference w:id="22"/>
      </w:r>
      <w:r w:rsidRPr="00EE5ECC">
        <w:rPr>
          <w:shd w:val="clear" w:color="auto" w:fill="FFFFFF"/>
        </w:rPr>
        <w:t xml:space="preserve"> As detailed below, this Report includes a review of cost containment goals and methodologies.</w:t>
      </w:r>
    </w:p>
    <w:p w14:paraId="6447C3FF" w14:textId="57D52D55" w:rsidR="00EE5ECC" w:rsidRPr="007F179E" w:rsidRDefault="00EE5ECC" w:rsidP="00BE32C9">
      <w:r w:rsidRPr="00EE5ECC">
        <w:rPr>
          <w:shd w:val="clear" w:color="auto" w:fill="FFFFFF"/>
        </w:rPr>
        <w:t xml:space="preserve">The DPH request letter specifically identified the key areas of analyses for this Report, including the specific questions </w:t>
      </w:r>
      <w:r w:rsidR="00D0518D">
        <w:rPr>
          <w:shd w:val="clear" w:color="auto" w:fill="FFFFFF"/>
        </w:rPr>
        <w:t>which are set out below in</w:t>
      </w:r>
      <w:r w:rsidR="008A128E">
        <w:rPr>
          <w:shd w:val="clear" w:color="auto" w:fill="FFFFFF"/>
        </w:rPr>
        <w:t xml:space="preserve"> </w:t>
      </w:r>
      <w:r w:rsidRPr="00EE5ECC">
        <w:rPr>
          <w:shd w:val="clear" w:color="auto" w:fill="FFFFFF"/>
        </w:rPr>
        <w:t>Section II</w:t>
      </w:r>
      <w:r w:rsidR="00D0518D">
        <w:rPr>
          <w:shd w:val="clear" w:color="auto" w:fill="FFFFFF"/>
        </w:rPr>
        <w:t>I</w:t>
      </w:r>
      <w:r w:rsidRPr="00EE5ECC">
        <w:rPr>
          <w:shd w:val="clear" w:color="auto" w:fill="FFFFFF"/>
        </w:rPr>
        <w:t xml:space="preserve"> </w:t>
      </w:r>
      <w:r w:rsidR="00D0518D">
        <w:rPr>
          <w:shd w:val="clear" w:color="auto" w:fill="FFFFFF"/>
        </w:rPr>
        <w:t>A.</w:t>
      </w:r>
    </w:p>
    <w:p w14:paraId="4CA8FCCE" w14:textId="42216F21" w:rsidR="007F179E" w:rsidRPr="00EE5ECC" w:rsidRDefault="007F179E" w:rsidP="00BE32C9">
      <w:pPr>
        <w:pStyle w:val="Heading2"/>
      </w:pPr>
      <w:bookmarkStart w:id="32" w:name="_Toc94002309"/>
      <w:bookmarkStart w:id="33" w:name="_Toc105569087"/>
      <w:bookmarkStart w:id="34" w:name="_Toc106002885"/>
      <w:bookmarkStart w:id="35" w:name="_Toc109895487"/>
      <w:r w:rsidRPr="00EE5ECC">
        <w:t>Assignment</w:t>
      </w:r>
      <w:bookmarkEnd w:id="32"/>
      <w:bookmarkEnd w:id="33"/>
      <w:bookmarkEnd w:id="34"/>
      <w:r w:rsidRPr="00EE5ECC">
        <w:t xml:space="preserve"> </w:t>
      </w:r>
      <w:r>
        <w:t>and Qualifications</w:t>
      </w:r>
      <w:bookmarkEnd w:id="35"/>
    </w:p>
    <w:p w14:paraId="1A1FAFD3" w14:textId="3B2C68F6" w:rsidR="007F179E" w:rsidRDefault="007F179E" w:rsidP="00BE32C9">
      <w:r w:rsidRPr="00EE5ECC">
        <w:t xml:space="preserve">FTI was tasked to provide an independent analysis of specific questions and issues set out </w:t>
      </w:r>
      <w:r w:rsidR="002A00D6" w:rsidRPr="00EE5ECC">
        <w:t xml:space="preserve">in </w:t>
      </w:r>
      <w:r w:rsidR="002A00D6">
        <w:t>the</w:t>
      </w:r>
      <w:r w:rsidR="006B496C">
        <w:t xml:space="preserve"> request for ICA</w:t>
      </w:r>
      <w:r w:rsidRPr="00EE5ECC">
        <w:t xml:space="preserve"> about the Proposed Project, and to apply relevant standards and criteria to relevant data and information. We were also tasked to respond to </w:t>
      </w:r>
      <w:r>
        <w:t xml:space="preserve">specific </w:t>
      </w:r>
      <w:r w:rsidRPr="00EE5ECC">
        <w:t>requests to evaluate and validate or verify specific findings and conclusions in the BCH Application. We were asked to prepare this report and provide supporting data and information and analyses. These data sources are included in the text of the report and/or in the appendix.</w:t>
      </w:r>
    </w:p>
    <w:p w14:paraId="60DF4823" w14:textId="735BFAEB" w:rsidR="00644CD4" w:rsidRPr="00EE5ECC" w:rsidRDefault="00D25547" w:rsidP="00BE32C9">
      <w:r>
        <w:t xml:space="preserve">This report was prepared by senior economists, Jeremy Nighohossian, PhD and Managing Director, and Margaret Guerin-Calvert, President and Senior Managing Director of FTI’s Center for Healthcare Economics and Policy, </w:t>
      </w:r>
      <w:r w:rsidRPr="00C53F10">
        <w:t>a business unit that specializes in healthcare economics and applied microeconomics</w:t>
      </w:r>
      <w:r>
        <w:t>.  They were supported by Center staff experienced in healthcare analyses, including assessment of service areas, pricing and competition, capacity and utilization, and predictive modeling of changes in healthcare markets. Dr. Nighohossian and Ms. Guerin-Calvert have extensive experience in the relevant issues, healthcare and competition research, economic modeling, and data and data analytics applied in this Report, including in expert reports, testimony, or matters before or on behalf of state and federal agencies.</w:t>
      </w:r>
    </w:p>
    <w:p w14:paraId="03ED425E" w14:textId="23EF9032" w:rsidR="00EE5ECC" w:rsidRPr="00EE5ECC" w:rsidRDefault="00644CD4" w:rsidP="00BE32C9">
      <w:pPr>
        <w:pStyle w:val="Heading1"/>
        <w:rPr>
          <w:rFonts w:hint="eastAsia"/>
        </w:rPr>
      </w:pPr>
      <w:bookmarkStart w:id="36" w:name="_Toc94002319"/>
      <w:bookmarkStart w:id="37" w:name="_Toc105569091"/>
      <w:bookmarkStart w:id="38" w:name="_Toc106002890"/>
      <w:bookmarkStart w:id="39" w:name="_Toc109895488"/>
      <w:r>
        <w:lastRenderedPageBreak/>
        <w:t>O</w:t>
      </w:r>
      <w:r w:rsidR="003F14AA">
        <w:t>v</w:t>
      </w:r>
      <w:r>
        <w:t>er</w:t>
      </w:r>
      <w:r w:rsidR="00B132A8">
        <w:t>v</w:t>
      </w:r>
      <w:r>
        <w:t xml:space="preserve">iew of </w:t>
      </w:r>
      <w:r w:rsidR="00EE5ECC" w:rsidRPr="00EE5ECC">
        <w:t>ICA Assessment –</w:t>
      </w:r>
      <w:bookmarkEnd w:id="36"/>
      <w:r>
        <w:t xml:space="preserve"> </w:t>
      </w:r>
      <w:r w:rsidR="00B132A8">
        <w:t>FTI’</w:t>
      </w:r>
      <w:r w:rsidR="00EE5ECC" w:rsidRPr="00EE5ECC">
        <w:t xml:space="preserve">s </w:t>
      </w:r>
      <w:r w:rsidR="00B132A8">
        <w:t>E</w:t>
      </w:r>
      <w:r w:rsidR="00EE5ECC" w:rsidRPr="00EE5ECC">
        <w:t xml:space="preserve">conomic </w:t>
      </w:r>
      <w:r w:rsidR="00B132A8">
        <w:t>A</w:t>
      </w:r>
      <w:r w:rsidR="00EE5ECC" w:rsidRPr="00EE5ECC">
        <w:t xml:space="preserve">nalyses and </w:t>
      </w:r>
      <w:r w:rsidR="00B132A8">
        <w:t>M</w:t>
      </w:r>
      <w:r w:rsidR="00EE5ECC" w:rsidRPr="00EE5ECC">
        <w:t>ethod</w:t>
      </w:r>
      <w:bookmarkEnd w:id="37"/>
      <w:bookmarkEnd w:id="38"/>
      <w:r w:rsidR="00AB0B4D">
        <w:t>ology</w:t>
      </w:r>
      <w:bookmarkEnd w:id="39"/>
    </w:p>
    <w:p w14:paraId="4017BFF4" w14:textId="77777777" w:rsidR="00EE5ECC" w:rsidRPr="00EE5ECC" w:rsidRDefault="00EE5ECC" w:rsidP="00BE32C9">
      <w:pPr>
        <w:pStyle w:val="Heading2"/>
      </w:pPr>
      <w:bookmarkStart w:id="40" w:name="_Toc105569092"/>
      <w:bookmarkStart w:id="41" w:name="_Toc106002891"/>
      <w:bookmarkStart w:id="42" w:name="_Toc109895489"/>
      <w:r w:rsidRPr="00EE5ECC">
        <w:t>Overview of ICA Assessment Issues</w:t>
      </w:r>
      <w:bookmarkEnd w:id="40"/>
      <w:bookmarkEnd w:id="41"/>
      <w:bookmarkEnd w:id="42"/>
      <w:r w:rsidRPr="00EE5ECC">
        <w:t xml:space="preserve"> </w:t>
      </w:r>
    </w:p>
    <w:p w14:paraId="6A2BC922" w14:textId="77B183F0" w:rsidR="00EE5ECC" w:rsidRPr="00EE5ECC" w:rsidRDefault="00EE5ECC" w:rsidP="00BE32C9">
      <w:r w:rsidRPr="00EE5ECC">
        <w:t>Boston Children’s Hospital filed a Determination of Need (DoN) Application to the Massachusetts Department of Public Health (DPH) for a project (Project BCH-20171411-HE) in which BCH proposes to build two new facilities and repurpose another in order to expand the services that BCH currently provides.</w:t>
      </w:r>
      <w:r w:rsidRPr="00EE5ECC">
        <w:rPr>
          <w:vertAlign w:val="superscript"/>
        </w:rPr>
        <w:footnoteReference w:id="23"/>
      </w:r>
      <w:r w:rsidRPr="00EE5ECC">
        <w:t xml:space="preserve"> The services under consideration for the new additions to the BCH system would include only outpatient services, and would include the addition of two new Operating Rooms, two new MRI machines and a range of outpatient services. The total value of the Proposed Project is $435 million.</w:t>
      </w:r>
      <w:r w:rsidRPr="00EE5ECC">
        <w:rPr>
          <w:vertAlign w:val="superscript"/>
        </w:rPr>
        <w:footnoteReference w:id="24"/>
      </w:r>
    </w:p>
    <w:p w14:paraId="2CD000DC" w14:textId="1B50FE1F" w:rsidR="00EE5ECC" w:rsidRPr="00EE5ECC" w:rsidRDefault="00EE5ECC" w:rsidP="00BE32C9">
      <w:r>
        <w:t xml:space="preserve">The DPH has required that BCH hire an outside group to conduct an Independent Cost Analysis (ICA) </w:t>
      </w:r>
      <w:r w:rsidR="002A00D6">
        <w:t>to</w:t>
      </w:r>
      <w:r>
        <w:t xml:space="preserve"> assess several aspects of BCH’s proposal </w:t>
      </w:r>
      <w:r w:rsidR="722522E8">
        <w:t>including whether</w:t>
      </w:r>
      <w:r>
        <w:t xml:space="preserve"> the project is consistent with </w:t>
      </w:r>
      <w:r w:rsidR="6D9FB023">
        <w:t xml:space="preserve">the </w:t>
      </w:r>
      <w:r>
        <w:t>state</w:t>
      </w:r>
      <w:r w:rsidR="158269F6">
        <w:t>’s</w:t>
      </w:r>
      <w:r>
        <w:t xml:space="preserve"> cost containment goals. BCH has contracted the Center for Healthcare Economics and Policy (CHEP), a segment within FTI Consulting to conduct the ICA, in consultation with DPH. While BCH finances the analysis conducted by CHEP, CHEP’s analysis and operations are independent of BCH and BCH has no input into decisions CHEP makes in this analysis with relation to methods, data, or conclusions</w:t>
      </w:r>
      <w:r w:rsidR="00B5561F">
        <w:t>.</w:t>
      </w:r>
    </w:p>
    <w:p w14:paraId="60DCD9A4" w14:textId="0E893FF2" w:rsidR="00A40211" w:rsidRPr="00EE5ECC" w:rsidRDefault="00EE5ECC" w:rsidP="00BE32C9">
      <w:r w:rsidRPr="00EE5ECC">
        <w:t xml:space="preserve">The questions set out by the DPH are organized around four </w:t>
      </w:r>
      <w:r w:rsidR="00A40211">
        <w:t xml:space="preserve">main </w:t>
      </w:r>
      <w:r w:rsidRPr="00EE5ECC">
        <w:t>categories</w:t>
      </w:r>
      <w:r w:rsidR="00A40211">
        <w:t xml:space="preserve"> </w:t>
      </w:r>
      <w:r w:rsidR="00A30285">
        <w:t>and</w:t>
      </w:r>
      <w:r w:rsidR="00A40211">
        <w:t xml:space="preserve"> a general category</w:t>
      </w:r>
      <w:r w:rsidRPr="00EE5ECC">
        <w:t xml:space="preserve">: Price/Competition, Utilization/Capacity, Overarching, and Project-Specific. </w:t>
      </w:r>
      <w:r w:rsidR="00A40211">
        <w:t>These categories include</w:t>
      </w:r>
      <w:r w:rsidR="00A40211" w:rsidRPr="00EE5ECC">
        <w:t xml:space="preserve"> general/overview questions on impact of healthcare cost containment goals; specific questions on utilization, pricing, market share, </w:t>
      </w:r>
      <w:r w:rsidR="00A40211">
        <w:t xml:space="preserve">shifts in volume, changes in demand </w:t>
      </w:r>
      <w:r w:rsidR="00A40211" w:rsidRPr="00EE5ECC">
        <w:t>and detailed questions on the Proposed Project.</w:t>
      </w:r>
      <w:r w:rsidR="00C61DE4">
        <w:t xml:space="preserve"> </w:t>
      </w:r>
    </w:p>
    <w:p w14:paraId="42BDB3CA" w14:textId="394EDD0E" w:rsidR="00EE5ECC" w:rsidRPr="00EE5ECC" w:rsidRDefault="00A40211" w:rsidP="00BE32C9">
      <w:r w:rsidRPr="1025C662">
        <w:rPr>
          <w:b/>
          <w:bCs/>
        </w:rPr>
        <w:t>General Questions:</w:t>
      </w:r>
      <w:r>
        <w:t xml:space="preserve"> Based on this analysis, is the Proposed Project consistent with the Commonwealth's efforts to meet the health care cost-containment goals</w:t>
      </w:r>
      <w:r w:rsidR="0094231E">
        <w:t>?</w:t>
      </w:r>
      <w:r>
        <w:t xml:space="preserve">  What would the scope and size of any impact be?</w:t>
      </w:r>
      <w:r w:rsidR="00BA639C">
        <w:t xml:space="preserve"> </w:t>
      </w:r>
    </w:p>
    <w:p w14:paraId="02A72B3F" w14:textId="4B8B7B0F" w:rsidR="00EE5ECC" w:rsidRPr="00EE5ECC" w:rsidRDefault="00EE5ECC" w:rsidP="00BE32C9">
      <w:r w:rsidRPr="00EE5ECC">
        <w:rPr>
          <w:b/>
          <w:bCs/>
        </w:rPr>
        <w:t>The Price/Competition questions</w:t>
      </w:r>
      <w:r w:rsidRPr="00EE5ECC">
        <w:t xml:space="preserve"> seek to assess how the Proposed Project could potentially change the prices paid by private (e.g., commercial) and public payers. Potential price changes can come from three sources: actual changes in the level of price for each facility, migration of patients between facilities (within the same system) with differing price levels at the facilities, and migration of patients between providers with differing price levels. This Report evaluates each of these sources and estimate effects for all three sources</w:t>
      </w:r>
      <w:r w:rsidR="00AB0B4D">
        <w:t xml:space="preserve"> for prices as well as overall costs/medical spending.</w:t>
      </w:r>
    </w:p>
    <w:p w14:paraId="6232C1B6" w14:textId="4712C6CF" w:rsidR="00EE5ECC" w:rsidRPr="00EE5ECC" w:rsidRDefault="00EE5ECC" w:rsidP="00BE32C9">
      <w:r w:rsidRPr="00EE5ECC">
        <w:t xml:space="preserve">The </w:t>
      </w:r>
      <w:r w:rsidRPr="00EE5ECC">
        <w:rPr>
          <w:b/>
          <w:bCs/>
        </w:rPr>
        <w:t>Utilization/Capacity</w:t>
      </w:r>
      <w:r w:rsidRPr="00EE5ECC">
        <w:t xml:space="preserve"> questions seek to confirm that BCH’s projections of demand are reasonable, to evaluate and characterize the demographics and characteristics of that </w:t>
      </w:r>
      <w:r w:rsidRPr="00EE5ECC">
        <w:lastRenderedPageBreak/>
        <w:t>demand, and to assess how subsidized insurance plans might be affected by the Proposed Project.</w:t>
      </w:r>
      <w:r w:rsidR="00CD6FE3">
        <w:t xml:space="preserve">  These include several broad questions on populations and access.</w:t>
      </w:r>
    </w:p>
    <w:p w14:paraId="503E5B4E" w14:textId="3B3540B9" w:rsidR="00EE5ECC" w:rsidRPr="00EE5ECC" w:rsidRDefault="00EE5ECC" w:rsidP="00BE32C9">
      <w:r w:rsidRPr="00EE5ECC">
        <w:t xml:space="preserve">The questions described as </w:t>
      </w:r>
      <w:r w:rsidRPr="00EE5ECC">
        <w:rPr>
          <w:b/>
          <w:bCs/>
        </w:rPr>
        <w:t>Overarching Questions</w:t>
      </w:r>
      <w:r w:rsidRPr="00EE5ECC">
        <w:t xml:space="preserve"> seek to determine which group</w:t>
      </w:r>
      <w:r w:rsidR="00AB0B4D">
        <w:t xml:space="preserve"> or groups</w:t>
      </w:r>
      <w:r w:rsidRPr="00EE5ECC">
        <w:t xml:space="preserve"> bears the costs or realizes the savings that are estimated or determined: BCH, payers, patients, or employers.</w:t>
      </w:r>
    </w:p>
    <w:p w14:paraId="6FA92037" w14:textId="4266D2BF" w:rsidR="00D0518D" w:rsidRPr="00C04DE2" w:rsidRDefault="00BA639C" w:rsidP="00BE32C9">
      <w:r w:rsidRPr="00C04DE2">
        <w:t>The</w:t>
      </w:r>
      <w:r w:rsidR="00EE5ECC" w:rsidRPr="00C04DE2">
        <w:t xml:space="preserve"> </w:t>
      </w:r>
      <w:r w:rsidR="00EE5ECC" w:rsidRPr="00C04DE2">
        <w:rPr>
          <w:b/>
          <w:bCs/>
        </w:rPr>
        <w:t>Project-Specific</w:t>
      </w:r>
      <w:r w:rsidR="00EE5ECC" w:rsidRPr="00C04DE2">
        <w:t xml:space="preserve"> questions </w:t>
      </w:r>
      <w:r w:rsidR="00A30285" w:rsidRPr="00C04DE2">
        <w:t xml:space="preserve">are ones </w:t>
      </w:r>
      <w:r w:rsidR="00EE5ECC" w:rsidRPr="00C04DE2">
        <w:t xml:space="preserve">that </w:t>
      </w:r>
      <w:r w:rsidR="00AB0B4D" w:rsidRPr="00C04DE2">
        <w:t>may be</w:t>
      </w:r>
      <w:r w:rsidR="00EE5ECC" w:rsidRPr="00C04DE2">
        <w:t xml:space="preserve"> answered in the course of answering the other questions yet </w:t>
      </w:r>
      <w:r w:rsidR="00AB0B4D" w:rsidRPr="00C04DE2">
        <w:t xml:space="preserve">include </w:t>
      </w:r>
      <w:r w:rsidR="00EE5ECC" w:rsidRPr="00C04DE2">
        <w:t xml:space="preserve">request </w:t>
      </w:r>
      <w:r w:rsidR="00AB0B4D" w:rsidRPr="00C04DE2">
        <w:t xml:space="preserve">for </w:t>
      </w:r>
      <w:r w:rsidR="00EE5ECC" w:rsidRPr="00C04DE2">
        <w:t xml:space="preserve">specific outputs so that </w:t>
      </w:r>
      <w:r w:rsidR="00A30285" w:rsidRPr="00C04DE2">
        <w:t xml:space="preserve">DPH can make </w:t>
      </w:r>
      <w:r w:rsidR="00EE5ECC" w:rsidRPr="00C04DE2">
        <w:t>comparisons and verifications. These questions include reporting differences in prices among different providers, shifts among specific types of providers, and the payer mix should the application be granted.</w:t>
      </w:r>
      <w:r w:rsidR="00417A55" w:rsidRPr="00C04DE2">
        <w:t xml:space="preserve"> </w:t>
      </w:r>
      <w:r w:rsidR="00580DDF" w:rsidRPr="00C04DE2">
        <w:t>Several of the</w:t>
      </w:r>
      <w:r w:rsidR="00417A55" w:rsidRPr="00C04DE2">
        <w:t xml:space="preserve"> questions specific to the Proposed Project are set out and addressed in Section XIII. </w:t>
      </w:r>
    </w:p>
    <w:p w14:paraId="79EA362C" w14:textId="1E2ADA11" w:rsidR="00C32B60" w:rsidRPr="00C04DE2" w:rsidRDefault="00417A55" w:rsidP="00BE32C9">
      <w:r w:rsidRPr="003B78C8">
        <w:t>For completeness</w:t>
      </w:r>
      <w:r w:rsidR="00580DDF" w:rsidRPr="003B78C8">
        <w:t xml:space="preserve"> in Section</w:t>
      </w:r>
      <w:r w:rsidR="003B78C8" w:rsidRPr="003B78C8">
        <w:t xml:space="preserve"> </w:t>
      </w:r>
      <w:r w:rsidR="00580DDF" w:rsidRPr="003B78C8">
        <w:t>XIII</w:t>
      </w:r>
      <w:r w:rsidRPr="003B78C8">
        <w:t xml:space="preserve">, the ICA </w:t>
      </w:r>
      <w:r w:rsidR="00413E4E" w:rsidRPr="003B78C8">
        <w:t xml:space="preserve">Report considered </w:t>
      </w:r>
      <w:r w:rsidRPr="003B78C8">
        <w:t xml:space="preserve">questions </w:t>
      </w:r>
      <w:r w:rsidR="00413E4E" w:rsidRPr="003B78C8">
        <w:t>of the</w:t>
      </w:r>
      <w:r w:rsidR="00C32B60" w:rsidRPr="003B78C8">
        <w:t xml:space="preserve"> impact of the Proposed Projects on </w:t>
      </w:r>
      <w:r w:rsidR="003A6EA2" w:rsidRPr="003B78C8">
        <w:t>c</w:t>
      </w:r>
      <w:r w:rsidR="00C32B60" w:rsidRPr="003B78C8">
        <w:t xml:space="preserve">urrent and post-project </w:t>
      </w:r>
      <w:r w:rsidR="00C32B60" w:rsidRPr="00C04DE2">
        <w:t xml:space="preserve">patient panel race/ethnicity breakdown; </w:t>
      </w:r>
      <w:r w:rsidR="00CD6FE3" w:rsidRPr="00C04DE2">
        <w:t>e</w:t>
      </w:r>
      <w:r w:rsidR="00C32B60" w:rsidRPr="00C04DE2">
        <w:t xml:space="preserve">ffect on patient panel acuity level; </w:t>
      </w:r>
      <w:r w:rsidR="00CD6FE3" w:rsidRPr="00C04DE2">
        <w:t>e</w:t>
      </w:r>
      <w:r w:rsidR="00C32B60" w:rsidRPr="00C04DE2">
        <w:t xml:space="preserve">ffect on staffing/recruitment; and </w:t>
      </w:r>
      <w:r w:rsidR="00CD6FE3" w:rsidRPr="00C04DE2">
        <w:t>a</w:t>
      </w:r>
      <w:r w:rsidR="00C32B60" w:rsidRPr="00C04DE2">
        <w:t xml:space="preserve">ccessibility of </w:t>
      </w:r>
      <w:r w:rsidRPr="00C04DE2">
        <w:t xml:space="preserve">the </w:t>
      </w:r>
      <w:r w:rsidR="00C32B60" w:rsidRPr="00C04DE2">
        <w:t>project to members of MassHealth ACOs and subsidized ConnectorCare plans.</w:t>
      </w:r>
      <w:r w:rsidR="006F3CE3" w:rsidRPr="00C04DE2">
        <w:t xml:space="preserve"> </w:t>
      </w:r>
    </w:p>
    <w:p w14:paraId="06564842" w14:textId="3DE0415A" w:rsidR="00EE5ECC" w:rsidRPr="00841D7F" w:rsidRDefault="00EE5ECC" w:rsidP="00BE32C9">
      <w:pPr>
        <w:pStyle w:val="Heading2"/>
      </w:pPr>
      <w:bookmarkStart w:id="43" w:name="_Toc105569093"/>
      <w:bookmarkStart w:id="44" w:name="_Toc106002892"/>
      <w:bookmarkStart w:id="45" w:name="_Toc109895490"/>
      <w:r w:rsidRPr="00841D7F">
        <w:t>Economic Analysis Used in the ICA Report for Addressing Questions</w:t>
      </w:r>
      <w:bookmarkEnd w:id="43"/>
      <w:bookmarkEnd w:id="44"/>
      <w:bookmarkEnd w:id="45"/>
    </w:p>
    <w:p w14:paraId="371EB2F1" w14:textId="77777777" w:rsidR="00EE5ECC" w:rsidRPr="00EE5ECC" w:rsidRDefault="00EE5ECC" w:rsidP="00BE32C9">
      <w:r w:rsidRPr="00EE5ECC">
        <w:t>Projecting healthcare costs into the future is a challenging exercise even without considering proposed changes in the supply of those services – such as new locations or new capacity. Many factors are necessary to incorporate into any such analysis as many factors interact with each other simultaneously to produce prices and volumes and their consequent costs.</w:t>
      </w:r>
      <w:r w:rsidRPr="00EE5ECC">
        <w:rPr>
          <w:vertAlign w:val="superscript"/>
        </w:rPr>
        <w:footnoteReference w:id="25"/>
      </w:r>
    </w:p>
    <w:p w14:paraId="2FC3A368" w14:textId="0705B1DA" w:rsidR="00EE5ECC" w:rsidRPr="00EE5ECC" w:rsidRDefault="00EE5ECC" w:rsidP="00BE32C9">
      <w:r w:rsidRPr="00EE5ECC">
        <w:t xml:space="preserve">Healthcare cost (or medical spending) projections can be decomposed into two core parts: prices and volumes. The approach taken in this Report is to consider each element of price and volume (e.g., visits, encounters, patients) separately, beginning by characterizing each using current data, and then projecting them forward in a </w:t>
      </w:r>
      <w:r w:rsidRPr="00EE5ECC">
        <w:rPr>
          <w:i/>
          <w:iCs/>
        </w:rPr>
        <w:t>status quo</w:t>
      </w:r>
      <w:r w:rsidRPr="00EE5ECC">
        <w:t xml:space="preserve"> environment. Then, for both prices and volumes/utilization, the Report uses standard economic and quantitative methods used in healthcare to predict how each would be affected by the </w:t>
      </w:r>
      <w:r w:rsidR="00124DEA">
        <w:t xml:space="preserve">specific </w:t>
      </w:r>
      <w:r w:rsidRPr="00EE5ECC">
        <w:t>changes in supply (e.g., new access points</w:t>
      </w:r>
      <w:r w:rsidR="00124DEA">
        <w:t xml:space="preserve"> and capacity for services</w:t>
      </w:r>
      <w:r w:rsidRPr="00EE5ECC">
        <w:t>) that have been proposed by BCH in the Proposed Project.</w:t>
      </w:r>
      <w:bookmarkStart w:id="46" w:name="_Toc94002311"/>
    </w:p>
    <w:p w14:paraId="7F608B7E" w14:textId="6E8F36C2" w:rsidR="00EE5ECC" w:rsidRPr="00EE5ECC" w:rsidRDefault="00124DEA" w:rsidP="00BE32C9">
      <w:r>
        <w:t>The</w:t>
      </w:r>
      <w:r w:rsidR="00EE5ECC" w:rsidRPr="00EE5ECC">
        <w:t xml:space="preserve"> starting point for the cost analysis is to identify the service lines to be included in the ICA analysis and to </w:t>
      </w:r>
      <w:r>
        <w:t xml:space="preserve">set out </w:t>
      </w:r>
      <w:r w:rsidR="00EE5ECC" w:rsidRPr="00EE5ECC">
        <w:t xml:space="preserve">how these service lines </w:t>
      </w:r>
      <w:r>
        <w:t>will be</w:t>
      </w:r>
      <w:r w:rsidR="00EE5ECC" w:rsidRPr="00EE5ECC">
        <w:t xml:space="preserve"> defined for purposes of the </w:t>
      </w:r>
      <w:r>
        <w:t xml:space="preserve">economic and </w:t>
      </w:r>
      <w:r w:rsidR="00EE5ECC" w:rsidRPr="00EE5ECC">
        <w:t>quantitative analys</w:t>
      </w:r>
      <w:r>
        <w:t>e</w:t>
      </w:r>
      <w:r w:rsidR="00EE5ECC" w:rsidRPr="00EE5ECC">
        <w:t xml:space="preserve">s. </w:t>
      </w:r>
      <w:r>
        <w:t>The</w:t>
      </w:r>
      <w:r w:rsidR="00EE5ECC" w:rsidRPr="00EE5ECC">
        <w:t xml:space="preserve"> service lines will include those identified by BCH in the DoN application for each facility with new or expanded capacity (e.g., MRIs)</w:t>
      </w:r>
      <w:r w:rsidR="006F3CE3">
        <w:t xml:space="preserve">. </w:t>
      </w:r>
      <w:r>
        <w:t>These service lines are defined using standard approaches applied in the evaluation of healthcare markets and consumer choice for outpatient as well as inpatient services.</w:t>
      </w:r>
      <w:r w:rsidR="006F64AF">
        <w:t xml:space="preserve"> </w:t>
      </w:r>
      <w:r w:rsidR="00EE5ECC" w:rsidRPr="003B78C8">
        <w:t>Section VI</w:t>
      </w:r>
      <w:r w:rsidR="00EE5ECC" w:rsidRPr="00EE5ECC">
        <w:t xml:space="preserve"> </w:t>
      </w:r>
      <w:r w:rsidR="00EE5ECC" w:rsidRPr="00EE5ECC">
        <w:lastRenderedPageBreak/>
        <w:t xml:space="preserve">provides </w:t>
      </w:r>
      <w:r w:rsidR="00EE5ECC" w:rsidRPr="00860B31">
        <w:t xml:space="preserve">further discussion and detail on </w:t>
      </w:r>
      <w:r w:rsidRPr="00860B31">
        <w:t xml:space="preserve">the specific </w:t>
      </w:r>
      <w:r w:rsidR="00EE5ECC" w:rsidRPr="00860B31">
        <w:t xml:space="preserve">service line definitions </w:t>
      </w:r>
      <w:r w:rsidRPr="00860B31">
        <w:t xml:space="preserve">and data </w:t>
      </w:r>
      <w:r w:rsidR="00EE5ECC" w:rsidRPr="00860B31">
        <w:t>used in this analysis.</w:t>
      </w:r>
      <w:r w:rsidR="008A22D7" w:rsidRPr="00860B31">
        <w:t xml:space="preserve">  We note that the full range of </w:t>
      </w:r>
      <w:r w:rsidR="00580DDF" w:rsidRPr="00860B31">
        <w:t xml:space="preserve">economic </w:t>
      </w:r>
      <w:r w:rsidR="008A22D7" w:rsidRPr="00860B31">
        <w:t xml:space="preserve">analyses </w:t>
      </w:r>
      <w:r w:rsidR="00580DDF" w:rsidRPr="00860B31">
        <w:t>were able to be</w:t>
      </w:r>
      <w:r w:rsidR="008A22D7" w:rsidRPr="00860B31">
        <w:t xml:space="preserve"> conducted for ASCs, </w:t>
      </w:r>
      <w:r w:rsidR="00CD6FE3" w:rsidRPr="00860B31">
        <w:t>I</w:t>
      </w:r>
      <w:r w:rsidR="008A22D7" w:rsidRPr="00860B31">
        <w:t>maging, and MRI services</w:t>
      </w:r>
      <w:r w:rsidR="00580DDF" w:rsidRPr="00860B31">
        <w:t>,</w:t>
      </w:r>
      <w:r w:rsidR="008A22D7" w:rsidRPr="00860B31">
        <w:t xml:space="preserve"> where </w:t>
      </w:r>
      <w:r w:rsidR="003A6EA2" w:rsidRPr="00860B31">
        <w:t xml:space="preserve">sufficient </w:t>
      </w:r>
      <w:r w:rsidR="00200A44" w:rsidRPr="00860B31">
        <w:t xml:space="preserve">data as well as </w:t>
      </w:r>
      <w:r w:rsidR="00580DDF" w:rsidRPr="00860B31">
        <w:t xml:space="preserve">measures of both </w:t>
      </w:r>
      <w:r w:rsidR="008A22D7" w:rsidRPr="00860B31">
        <w:t xml:space="preserve">capacity and projected volumes were available. Additional analyses, empirical to the extent possible and </w:t>
      </w:r>
      <w:r w:rsidR="00200A44" w:rsidRPr="00860B31">
        <w:t xml:space="preserve">otherwise </w:t>
      </w:r>
      <w:r w:rsidR="008A22D7" w:rsidRPr="00860B31">
        <w:t xml:space="preserve">qualitative, were conducted for </w:t>
      </w:r>
      <w:r w:rsidR="00580DDF" w:rsidRPr="00860B31">
        <w:t xml:space="preserve">services such as the </w:t>
      </w:r>
      <w:r w:rsidR="008A22D7" w:rsidRPr="00860B31">
        <w:t>new partial hospitalization service line (at Waltham), and expanded sleep services (at Waltham), as well as for GI services</w:t>
      </w:r>
      <w:r w:rsidR="00CD6FE3" w:rsidRPr="00860B31">
        <w:t xml:space="preserve"> to be added at Needham</w:t>
      </w:r>
      <w:r w:rsidR="008A22D7" w:rsidRPr="00860B31">
        <w:t>. For convenience, the</w:t>
      </w:r>
      <w:r w:rsidR="00A03C7C" w:rsidRPr="00860B31">
        <w:t xml:space="preserve">se </w:t>
      </w:r>
      <w:r w:rsidR="00580DDF" w:rsidRPr="00860B31">
        <w:t xml:space="preserve">service line </w:t>
      </w:r>
      <w:r w:rsidR="00A03C7C" w:rsidRPr="00860B31">
        <w:t xml:space="preserve">analyses and the findings from them are presented </w:t>
      </w:r>
      <w:r w:rsidR="00A03C7C" w:rsidRPr="003B78C8">
        <w:t xml:space="preserve">in Section </w:t>
      </w:r>
      <w:r w:rsidR="00C37AAB" w:rsidRPr="003B78C8">
        <w:t>X</w:t>
      </w:r>
      <w:r w:rsidR="00812A95" w:rsidRPr="003B78C8">
        <w:t>I</w:t>
      </w:r>
      <w:r w:rsidR="00063DBD" w:rsidRPr="003B78C8">
        <w:t>V</w:t>
      </w:r>
      <w:r w:rsidR="003A6EA2" w:rsidRPr="00860B31">
        <w:t xml:space="preserve"> and summarized in the conclusions</w:t>
      </w:r>
      <w:r w:rsidR="00A03C7C" w:rsidRPr="00860B31">
        <w:t>.</w:t>
      </w:r>
      <w:r w:rsidR="00B54E8E" w:rsidRPr="00860B31">
        <w:t xml:space="preserve"> </w:t>
      </w:r>
    </w:p>
    <w:p w14:paraId="35D46240" w14:textId="6316EF92" w:rsidR="00EE5ECC" w:rsidRPr="00EE5ECC" w:rsidRDefault="00EE5ECC" w:rsidP="00BE32C9">
      <w:r w:rsidRPr="00EE5ECC">
        <w:t>Once service lines have been defined, the FTI analysis narrows down the universe of potential patients to only th</w:t>
      </w:r>
      <w:r w:rsidR="00124DEA">
        <w:t>e</w:t>
      </w:r>
      <w:r w:rsidRPr="00EE5ECC">
        <w:t xml:space="preserve"> services relevant to the Proposed Project </w:t>
      </w:r>
      <w:r w:rsidR="002A00D6">
        <w:t>to</w:t>
      </w:r>
      <w:r w:rsidRPr="00EE5ECC">
        <w:t xml:space="preserve"> characterize </w:t>
      </w:r>
      <w:r w:rsidR="00124DEA">
        <w:t xml:space="preserve">and assess </w:t>
      </w:r>
      <w:r w:rsidRPr="00EE5ECC">
        <w:t>the current market for those services. Using data provided by CHIA, this approach</w:t>
      </w:r>
      <w:r w:rsidR="00883A2F">
        <w:t xml:space="preserve"> to estimating utilization of services by patients</w:t>
      </w:r>
      <w:r w:rsidRPr="00EE5ECC">
        <w:t xml:space="preserve"> determines the volumes associated with each service and the demographic breakdown</w:t>
      </w:r>
      <w:r w:rsidR="00883A2F">
        <w:t xml:space="preserve"> for the state, by region, by facilities, and by payers</w:t>
      </w:r>
      <w:r w:rsidRPr="00EE5ECC">
        <w:t xml:space="preserve">. </w:t>
      </w:r>
      <w:r w:rsidR="00883A2F" w:rsidRPr="000C22F6">
        <w:t>Sections VII, VIII and IX</w:t>
      </w:r>
      <w:r w:rsidR="00883A2F">
        <w:t xml:space="preserve"> include description of FTI’s standard methods as well as data analyses relevant to utilization and volumes by service line for these various analyses.</w:t>
      </w:r>
    </w:p>
    <w:p w14:paraId="2FCA064C" w14:textId="1C5741CC" w:rsidR="00EE5ECC" w:rsidRPr="00EE5ECC" w:rsidRDefault="00883A2F" w:rsidP="00BE32C9">
      <w:r>
        <w:t>The ICA questions involve economic evaluation of current demand, as well as demand and utilization in the future, after the construction and opening of facilities among other factors. Section IX uses p</w:t>
      </w:r>
      <w:r w:rsidR="00EE5ECC" w:rsidRPr="00EE5ECC">
        <w:t>opulation projections provided by Massachusetts to project forward how volumes</w:t>
      </w:r>
      <w:r w:rsidR="00C57B54">
        <w:t xml:space="preserve"> (utilization)</w:t>
      </w:r>
      <w:r w:rsidR="00EE5ECC" w:rsidRPr="00EE5ECC">
        <w:t xml:space="preserve"> are expected to evolve for each identified service</w:t>
      </w:r>
      <w:r>
        <w:t xml:space="preserve"> line</w:t>
      </w:r>
      <w:r w:rsidR="00C57B54">
        <w:t xml:space="preserve">, </w:t>
      </w:r>
      <w:r w:rsidR="00FC16FF">
        <w:t>both overall</w:t>
      </w:r>
      <w:r w:rsidR="00C57B54">
        <w:t xml:space="preserve"> and by payer </w:t>
      </w:r>
      <w:r w:rsidR="00860B31">
        <w:t xml:space="preserve">category </w:t>
      </w:r>
      <w:r w:rsidR="00FC16FF">
        <w:t>from current levels</w:t>
      </w:r>
      <w:r w:rsidR="00EE5ECC" w:rsidRPr="00EE5ECC">
        <w:t>. Projections are provided both for short term (5 years) and long term (10</w:t>
      </w:r>
      <w:r>
        <w:t xml:space="preserve">-15 </w:t>
      </w:r>
      <w:r w:rsidR="00EE5ECC" w:rsidRPr="00EE5ECC">
        <w:t xml:space="preserve">years). The time frames for projections will use as their starting point the most recent </w:t>
      </w:r>
      <w:r w:rsidR="00FC16FF">
        <w:t xml:space="preserve">utilization </w:t>
      </w:r>
      <w:r w:rsidR="00EE5ECC" w:rsidRPr="00EE5ECC">
        <w:t>data available.</w:t>
      </w:r>
      <w:r>
        <w:t xml:space="preserve">  </w:t>
      </w:r>
      <w:r w:rsidR="009D79FA">
        <w:t xml:space="preserve">This </w:t>
      </w:r>
      <w:r w:rsidR="000B3680">
        <w:t>s</w:t>
      </w:r>
      <w:r w:rsidR="009D79FA">
        <w:t>ection</w:t>
      </w:r>
      <w:r>
        <w:t xml:space="preserve"> (and others) will also evaluate projections of demand set out in the Application or </w:t>
      </w:r>
      <w:r w:rsidR="009D79FA">
        <w:t xml:space="preserve">BCH </w:t>
      </w:r>
      <w:r>
        <w:t>responses for reasonableness, and to address any specific qualitative factors that may not be reflected in current data.</w:t>
      </w:r>
    </w:p>
    <w:p w14:paraId="2D35C3EE" w14:textId="770E9632" w:rsidR="00EE5ECC" w:rsidRPr="00EE5ECC" w:rsidRDefault="0072361D" w:rsidP="00BE32C9">
      <w:r w:rsidRPr="0072361D">
        <w:t xml:space="preserve">Section </w:t>
      </w:r>
      <w:r w:rsidRPr="0072361D">
        <w:fldChar w:fldCharType="begin"/>
      </w:r>
      <w:r w:rsidRPr="0072361D">
        <w:instrText xml:space="preserve"> REF _Ref106346874 \n \h </w:instrText>
      </w:r>
      <w:r>
        <w:instrText xml:space="preserve"> \* MERGEFORMAT </w:instrText>
      </w:r>
      <w:r w:rsidRPr="0072361D">
        <w:fldChar w:fldCharType="separate"/>
      </w:r>
      <w:r w:rsidR="00CE7C62">
        <w:t>IV</w:t>
      </w:r>
      <w:r w:rsidRPr="0072361D">
        <w:fldChar w:fldCharType="end"/>
      </w:r>
      <w:r w:rsidR="009D79FA">
        <w:t xml:space="preserve"> set</w:t>
      </w:r>
      <w:r>
        <w:t>s</w:t>
      </w:r>
      <w:r w:rsidR="009D79FA">
        <w:t xml:space="preserve"> out the methodology that FTI used to evaluate extensive </w:t>
      </w:r>
      <w:r w:rsidR="00200A44">
        <w:t xml:space="preserve">CHIA </w:t>
      </w:r>
      <w:r w:rsidR="009D79FA">
        <w:t>c</w:t>
      </w:r>
      <w:r w:rsidR="00EE5ECC" w:rsidRPr="00EE5ECC">
        <w:t xml:space="preserve">laims data to identify the providers of each service, and where they are located. BCH may have multiple locations providing services and these </w:t>
      </w:r>
      <w:r w:rsidR="006F64AF">
        <w:t>are</w:t>
      </w:r>
      <w:r w:rsidR="00EE5ECC" w:rsidRPr="00EE5ECC">
        <w:t xml:space="preserve"> identified along with non-BCH providers offering those services</w:t>
      </w:r>
      <w:r w:rsidR="009D79FA">
        <w:t xml:space="preserve">. Analyses included comprehensive assessment of service lines, and service areas, and information on the proposed locations relative to current </w:t>
      </w:r>
      <w:r w:rsidR="00C57B54">
        <w:t>locations</w:t>
      </w:r>
      <w:r w:rsidR="00FC16FF">
        <w:t xml:space="preserve"> of both BCH and other providers</w:t>
      </w:r>
      <w:r w:rsidR="009D79FA">
        <w:t xml:space="preserve">. </w:t>
      </w:r>
      <w:r w:rsidR="00FC16FF">
        <w:t>The FTI analyses will use</w:t>
      </w:r>
      <w:r w:rsidR="00EE5ECC" w:rsidRPr="00EE5ECC">
        <w:t xml:space="preserve"> </w:t>
      </w:r>
      <w:r w:rsidR="00FC16FF">
        <w:t xml:space="preserve">these </w:t>
      </w:r>
      <w:r w:rsidR="00EE5ECC" w:rsidRPr="00EE5ECC">
        <w:t>current locations, combined with any proposed locations for the</w:t>
      </w:r>
      <w:r w:rsidR="006F64AF">
        <w:t xml:space="preserve"> specific</w:t>
      </w:r>
      <w:r w:rsidR="00EE5ECC" w:rsidRPr="00EE5ECC">
        <w:t xml:space="preserve"> services and apply </w:t>
      </w:r>
      <w:r w:rsidR="009D79FA" w:rsidRPr="00B20B0B">
        <w:t xml:space="preserve">econometric </w:t>
      </w:r>
      <w:r w:rsidR="00EE5ECC" w:rsidRPr="00B20B0B">
        <w:t>choice modeling</w:t>
      </w:r>
      <w:r w:rsidR="00EE5ECC" w:rsidRPr="00EE5ECC">
        <w:t xml:space="preserve"> to project </w:t>
      </w:r>
      <w:r w:rsidR="00FC16FF">
        <w:t>the</w:t>
      </w:r>
      <w:r w:rsidR="00FC16FF" w:rsidRPr="00EE5ECC">
        <w:t xml:space="preserve"> </w:t>
      </w:r>
      <w:r w:rsidR="00EE5ECC" w:rsidRPr="00EE5ECC">
        <w:t xml:space="preserve">facilities patients will </w:t>
      </w:r>
      <w:r w:rsidR="009D79FA">
        <w:t>use now and after 10-15</w:t>
      </w:r>
      <w:r w:rsidR="00EE5ECC" w:rsidRPr="00EE5ECC">
        <w:t xml:space="preserve"> years. The proposed facilities will be </w:t>
      </w:r>
      <w:r w:rsidR="00B20B0B">
        <w:t xml:space="preserve">added to the choice sets of patients in order to </w:t>
      </w:r>
      <w:r w:rsidR="00EE5ECC" w:rsidRPr="00EE5ECC">
        <w:t xml:space="preserve">project patient volumes at each </w:t>
      </w:r>
      <w:r w:rsidR="00C57B54">
        <w:t xml:space="preserve">new and current </w:t>
      </w:r>
      <w:r w:rsidR="00EE5ECC" w:rsidRPr="00EE5ECC">
        <w:t xml:space="preserve">facility. These volumes will </w:t>
      </w:r>
      <w:r w:rsidR="00B20B0B">
        <w:t xml:space="preserve">then </w:t>
      </w:r>
      <w:r w:rsidR="00EE5ECC" w:rsidRPr="00EE5ECC">
        <w:t xml:space="preserve">be used to project market shares </w:t>
      </w:r>
      <w:r w:rsidR="00C57B54">
        <w:t xml:space="preserve">in defined geographic areas </w:t>
      </w:r>
      <w:r w:rsidR="00EE5ECC" w:rsidRPr="00EE5ECC">
        <w:t>for each service.</w:t>
      </w:r>
      <w:r w:rsidR="00FC16FF">
        <w:t xml:space="preserve"> This section will also take into consideration any additional changes in utilization in the service areas, by facility, or by payer due to the population growth and utilization estimates derived in Section IX.</w:t>
      </w:r>
    </w:p>
    <w:p w14:paraId="02AA5E27" w14:textId="15AFD148" w:rsidR="00EE5ECC" w:rsidRPr="00EE5ECC" w:rsidRDefault="00B20B0B" w:rsidP="00BE32C9">
      <w:r w:rsidRPr="00B20B0B">
        <w:t xml:space="preserve">Section </w:t>
      </w:r>
      <w:r w:rsidR="003B78C8">
        <w:t>XI</w:t>
      </w:r>
      <w:r>
        <w:t xml:space="preserve"> </w:t>
      </w:r>
      <w:r w:rsidR="009D79FA">
        <w:t>set</w:t>
      </w:r>
      <w:r>
        <w:t>s</w:t>
      </w:r>
      <w:r w:rsidR="009D79FA">
        <w:t xml:space="preserve"> out the detailed analyses of </w:t>
      </w:r>
      <w:r w:rsidR="009D79FA" w:rsidRPr="006F64AF">
        <w:t>pricing including at the service line and provider level</w:t>
      </w:r>
      <w:r w:rsidR="006F64AF">
        <w:t>, with the focus</w:t>
      </w:r>
      <w:r w:rsidR="009D79FA">
        <w:t xml:space="preserve"> on commercial prices. </w:t>
      </w:r>
      <w:r w:rsidR="00EE5ECC" w:rsidRPr="00EE5ECC">
        <w:t xml:space="preserve">For prices, while current prices will be determined for each service as defined, prices will further be determined at the facility </w:t>
      </w:r>
      <w:r w:rsidR="00EE5ECC" w:rsidRPr="00EE5ECC">
        <w:lastRenderedPageBreak/>
        <w:t xml:space="preserve">level. Prices will then be projected forward in an ‘under current conditions’ scenario. </w:t>
      </w:r>
      <w:r w:rsidR="00EE5ECC" w:rsidRPr="006F64AF">
        <w:t xml:space="preserve">Then, </w:t>
      </w:r>
      <w:r w:rsidR="008006D0">
        <w:t xml:space="preserve">any adjustments to </w:t>
      </w:r>
      <w:r w:rsidR="00EE5ECC" w:rsidRPr="006F64AF">
        <w:t xml:space="preserve">prices will be </w:t>
      </w:r>
      <w:r w:rsidR="008006D0">
        <w:t>considered</w:t>
      </w:r>
      <w:r w:rsidR="008006D0" w:rsidRPr="006F64AF">
        <w:t xml:space="preserve"> </w:t>
      </w:r>
      <w:r w:rsidR="008006D0">
        <w:t xml:space="preserve">and made after taking into account </w:t>
      </w:r>
      <w:r w:rsidR="00EE5ECC" w:rsidRPr="006F64AF">
        <w:t>projected changes in shares and HHI using economic research that relates concentration to prices.</w:t>
      </w:r>
      <w:r w:rsidR="006F64AF">
        <w:t xml:space="preserve"> </w:t>
      </w:r>
    </w:p>
    <w:p w14:paraId="5CEAA5BB" w14:textId="67F77844" w:rsidR="00EE5ECC" w:rsidRPr="00B20B0B" w:rsidRDefault="00EE5ECC" w:rsidP="00BE32C9">
      <w:r w:rsidRPr="00EE5ECC">
        <w:t>With projected prices and projected demand complete, these will be combined to project the total projected costs by each service line and in each location.</w:t>
      </w:r>
      <w:r w:rsidR="0047467F">
        <w:t xml:space="preserve"> These analyses and results </w:t>
      </w:r>
      <w:r w:rsidR="0047467F" w:rsidRPr="00B20B0B">
        <w:t xml:space="preserve">are presented in Section </w:t>
      </w:r>
      <w:r w:rsidR="003B78C8">
        <w:t>XII</w:t>
      </w:r>
      <w:r w:rsidR="00B85514">
        <w:t xml:space="preserve"> and Section XIV</w:t>
      </w:r>
      <w:r w:rsidR="00860B31">
        <w:t>.</w:t>
      </w:r>
    </w:p>
    <w:p w14:paraId="4503739E" w14:textId="53F67E40" w:rsidR="00066F60" w:rsidRDefault="00066F60" w:rsidP="00BE32C9">
      <w:r w:rsidRPr="00EE5ECC">
        <w:rPr>
          <w:spacing w:val="13"/>
        </w:rPr>
        <w:t xml:space="preserve">As part of </w:t>
      </w:r>
      <w:r>
        <w:rPr>
          <w:spacing w:val="13"/>
        </w:rPr>
        <w:t>the</w:t>
      </w:r>
      <w:r w:rsidRPr="00EE5ECC">
        <w:rPr>
          <w:spacing w:val="13"/>
        </w:rPr>
        <w:t xml:space="preserve"> ICA analysis, </w:t>
      </w:r>
      <w:r w:rsidR="00781291">
        <w:rPr>
          <w:spacing w:val="13"/>
        </w:rPr>
        <w:t xml:space="preserve">as requested, </w:t>
      </w:r>
      <w:r w:rsidRPr="00EE5ECC">
        <w:t xml:space="preserve">FTI conducted an independent assessment </w:t>
      </w:r>
      <w:r w:rsidR="00C57B54">
        <w:t xml:space="preserve">of </w:t>
      </w:r>
      <w:r w:rsidR="00577B6C">
        <w:t>BCH’s estimated calculation</w:t>
      </w:r>
      <w:r w:rsidR="00C57B54">
        <w:t>s</w:t>
      </w:r>
      <w:r w:rsidR="00577B6C">
        <w:t xml:space="preserve"> for need in the region or state, </w:t>
      </w:r>
      <w:r w:rsidR="00C57B54">
        <w:t>including its</w:t>
      </w:r>
      <w:r w:rsidR="00577B6C">
        <w:t xml:space="preserve"> calculations of</w:t>
      </w:r>
      <w:r w:rsidRPr="00EE5ECC">
        <w:t xml:space="preserve"> patient population, utilization of BCH </w:t>
      </w:r>
      <w:r w:rsidR="00577B6C">
        <w:t xml:space="preserve">outpatient </w:t>
      </w:r>
      <w:r w:rsidRPr="00EE5ECC">
        <w:t>services (e.g., ambulatory visits, ambulatory surgery, and MRIs)</w:t>
      </w:r>
      <w:r w:rsidR="00577B6C">
        <w:t xml:space="preserve">, and </w:t>
      </w:r>
      <w:r w:rsidR="00C57B54">
        <w:t xml:space="preserve">estimated potential </w:t>
      </w:r>
      <w:r w:rsidR="00577B6C">
        <w:t>shifts in location of care</w:t>
      </w:r>
      <w:r w:rsidRPr="00EE5ECC">
        <w:t xml:space="preserve">. The FTI assessments are </w:t>
      </w:r>
      <w:r w:rsidR="00781291">
        <w:t>provided</w:t>
      </w:r>
      <w:r w:rsidR="00C57B54">
        <w:t xml:space="preserve"> in each of the relevant sections and include</w:t>
      </w:r>
      <w:r w:rsidR="00781291">
        <w:t xml:space="preserve"> </w:t>
      </w:r>
      <w:r w:rsidRPr="00EE5ECC">
        <w:t xml:space="preserve">assessment of </w:t>
      </w:r>
      <w:r w:rsidR="00C57B54">
        <w:t xml:space="preserve">the </w:t>
      </w:r>
      <w:r w:rsidRPr="00EE5ECC">
        <w:t xml:space="preserve">reasonableness of </w:t>
      </w:r>
      <w:r w:rsidR="00C57B54">
        <w:t xml:space="preserve">BCH </w:t>
      </w:r>
      <w:r w:rsidRPr="00EE5ECC">
        <w:t>projections and changes in demand.</w:t>
      </w:r>
      <w:r w:rsidR="008006D0">
        <w:t xml:space="preserve"> </w:t>
      </w:r>
    </w:p>
    <w:p w14:paraId="7D3BE63C" w14:textId="0734A72B" w:rsidR="00812A95" w:rsidRPr="00860B31" w:rsidRDefault="00B85514" w:rsidP="00BE32C9">
      <w:r w:rsidRPr="00860B31">
        <w:t xml:space="preserve">Finally, </w:t>
      </w:r>
      <w:r w:rsidR="00B54E8E" w:rsidRPr="00860B31">
        <w:t>Section XIII includes analyses of specific questions related to the Proposed Project and impact on patient panels or access. Section XIV provides the qualitative and empirical assessment of three service lines (partial hospitalization, sleep services, GI).</w:t>
      </w:r>
    </w:p>
    <w:p w14:paraId="23FA43B2" w14:textId="033C71FA" w:rsidR="00CF6627" w:rsidRPr="00B53E0C" w:rsidRDefault="00CF6627" w:rsidP="00BE32C9">
      <w:pPr>
        <w:pStyle w:val="Heading2"/>
      </w:pPr>
      <w:bookmarkStart w:id="47" w:name="_Toc109895491"/>
      <w:r w:rsidRPr="00B53E0C">
        <w:t>Overview of Commonwealth’s Cost Containment Goals and HPC Analyses</w:t>
      </w:r>
      <w:bookmarkEnd w:id="47"/>
    </w:p>
    <w:p w14:paraId="5303B6FD" w14:textId="46BD65B3" w:rsidR="00CF6627" w:rsidRPr="00634628" w:rsidRDefault="00CF6627" w:rsidP="00BE32C9">
      <w:r>
        <w:t xml:space="preserve">The questions that the ICA report seeks to address based on the DPH’s request is whether the Proposed Project is consistent with the Commonwealth’s efforts to meet the health care cost-containment goals . </w:t>
      </w:r>
      <w:r w:rsidR="00DF28AC">
        <w:t>Sections VI-XII</w:t>
      </w:r>
      <w:r>
        <w:t xml:space="preserve"> of this report presents the analytical framework and the empirical results that assess the Proposed Projects in the context of the HPC’s cost-containment goals.</w:t>
      </w:r>
      <w:r w:rsidR="003C2C77">
        <w:t xml:space="preserve"> </w:t>
      </w:r>
    </w:p>
    <w:p w14:paraId="10212A8A" w14:textId="77777777" w:rsidR="00D25547" w:rsidRPr="008E5F65" w:rsidRDefault="00D25547" w:rsidP="00BE32C9">
      <w:r>
        <w:t xml:space="preserve">The starting point for FTI’s independent analysis as examination of the HPC’s current statewide target benchmark for growth in total health care expenditures (THCE), which is 3.1%. This benchmark is equal to the potential gross state product (3.6%) minus 0.5 percent. </w:t>
      </w:r>
      <w:r w:rsidRPr="008E5F65">
        <w:t xml:space="preserve">Change in </w:t>
      </w:r>
      <w:r w:rsidRPr="1025C662">
        <w:rPr>
          <w:i/>
          <w:iCs/>
        </w:rPr>
        <w:t>THCE per state resident</w:t>
      </w:r>
      <w:r w:rsidRPr="008E5F65">
        <w:t xml:space="preserve"> is calculated using “health care spending by individuals (e.g., co-payments, co-insurance, and insurance deductibles), health insurers (e.g., claims, administrative expenses, incentive payments), the state (e.g., MassHealth), and the federal government (e.g., MassHealth and Medicare).”</w:t>
      </w:r>
      <w:r w:rsidRPr="1025C662">
        <w:rPr>
          <w:rStyle w:val="FootnoteReference"/>
          <w:rFonts w:cs="Times New Roman"/>
        </w:rPr>
        <w:footnoteReference w:id="26"/>
      </w:r>
      <w:r w:rsidRPr="008E5F65">
        <w:t xml:space="preserve"> </w:t>
      </w:r>
    </w:p>
    <w:p w14:paraId="63699E5D" w14:textId="77777777" w:rsidR="00D25547" w:rsidRDefault="00D25547" w:rsidP="00BE32C9">
      <w:r>
        <w:t xml:space="preserve">At the state-level, since THCE is tracked on a per capita basis but unadjusted for health status, changes in population health, but not size, could drive changes in THCE at the state level. Given its focus on policy that can influence the healthcare system, HPC focuses more on factors that can be influenced by policy or market participant behavior (e.g., prices, supply-induced demand) versus external factors (e.g., shifts in underlying health status or the aging of the population). </w:t>
      </w:r>
    </w:p>
    <w:p w14:paraId="65ED3265" w14:textId="77777777" w:rsidR="00D25547" w:rsidRDefault="00D25547" w:rsidP="00BE32C9">
      <w:r>
        <w:lastRenderedPageBreak/>
        <w:t>While FTI conducted its own independent analysis, we examined recent reports from HPC on cost growth to consider the factors that HPC has identified as influencing actual trends, modes of conducting empirical analysis of cost trends and spending growth and results. By way of additional background, we considered underlying trends that may influence changes independent of a specific project. The HPC indicates in their 2021 report that recent healthcare spending growth has been driven primarily by an increase in prices. Based on their methodology and estimates, from 2015 to 2018, HPC estimated that more than 50% of spending growth from the three largest insurers in Massachusetts was estimated to have been due to changes in price (both changes in unit price and changes in provider mix).</w:t>
      </w:r>
      <w:r w:rsidRPr="1025C662">
        <w:rPr>
          <w:rStyle w:val="FootnoteReference"/>
          <w:rFonts w:cs="Times New Roman"/>
        </w:rPr>
        <w:footnoteReference w:id="27"/>
      </w:r>
      <w:r>
        <w:t xml:space="preserve"> In addition to price, growth in volume of services was also a key driver in higher spending. Hospital outpatient spending per commercial enrollee increased by 7.6% in 2019 driven largely by an increase in the number of visits. The HPC also noted that “more than 70 percent of the growth in hospital outpatient visits occurred among academic medical centers which are generally higher priced than other hospital types, contributing to price growth through changes in provider mix.”</w:t>
      </w:r>
      <w:r w:rsidRPr="1025C662">
        <w:rPr>
          <w:rStyle w:val="FootnoteReference"/>
          <w:rFonts w:cs="Times New Roman"/>
        </w:rPr>
        <w:t xml:space="preserve"> </w:t>
      </w:r>
      <w:r w:rsidRPr="1025C662">
        <w:rPr>
          <w:rStyle w:val="FootnoteReference"/>
          <w:rFonts w:cs="Times New Roman"/>
        </w:rPr>
        <w:footnoteReference w:id="28"/>
      </w:r>
      <w:r>
        <w:t xml:space="preserve"> </w:t>
      </w:r>
    </w:p>
    <w:p w14:paraId="57B33A03" w14:textId="77777777" w:rsidR="00D25547" w:rsidRPr="00DF28AC" w:rsidRDefault="00D25547" w:rsidP="00BE32C9">
      <w:r w:rsidRPr="00DF28AC">
        <w:t>In reviewing Determination of Need Applications and associated ICA reports, the HPC appears to focus primarily on commercial price and revenue impacts per year, such as in its recent review of Mass General Brigham (MGB) DoN application and the associated ICA report. We reviewed this HPC report solely to evaluate the methods and approaches used by HPC. In that review, HPC’s yearly projections focused on the expected commercial revenue gain by Applicant, commercial revenue loss by other providers, and the net commercial spending impact.</w:t>
      </w:r>
      <w:r w:rsidRPr="1025C662">
        <w:rPr>
          <w:rStyle w:val="FootnoteReference"/>
          <w:rFonts w:cs="Times New Roman"/>
        </w:rPr>
        <w:footnoteReference w:id="29"/>
      </w:r>
      <w:r w:rsidRPr="00DF28AC">
        <w:t xml:space="preserve"> To arrive at these estimates, the HPC noted among others relevant mechanisms for </w:t>
      </w:r>
      <w:r>
        <w:t xml:space="preserve">potential </w:t>
      </w:r>
      <w:r w:rsidRPr="00DF28AC">
        <w:t>spending impact:</w:t>
      </w:r>
    </w:p>
    <w:p w14:paraId="11C55F75" w14:textId="3987F528" w:rsidR="00D25547" w:rsidRDefault="00D25547" w:rsidP="00BE32C9">
      <w:pPr>
        <w:pStyle w:val="ListParagraph"/>
        <w:numPr>
          <w:ilvl w:val="0"/>
          <w:numId w:val="13"/>
        </w:numPr>
      </w:pPr>
      <w:r>
        <w:t>P</w:t>
      </w:r>
      <w:r w:rsidRPr="003E0DCA">
        <w:t xml:space="preserve">atients using/filling capacity at new locations, </w:t>
      </w:r>
      <w:r>
        <w:t>which the HPC notes includes diversion from the hospital and volume from other (potentially lower cost) providers,</w:t>
      </w:r>
    </w:p>
    <w:p w14:paraId="5BEBC13A" w14:textId="77777777" w:rsidR="00D25547" w:rsidRDefault="00D25547" w:rsidP="00BE32C9">
      <w:pPr>
        <w:pStyle w:val="ListParagraph"/>
        <w:numPr>
          <w:ilvl w:val="0"/>
          <w:numId w:val="13"/>
        </w:numPr>
      </w:pPr>
      <w:r>
        <w:t>Demand</w:t>
      </w:r>
      <w:r w:rsidRPr="003E0DCA">
        <w:t xml:space="preserve"> at existing</w:t>
      </w:r>
      <w:r>
        <w:t xml:space="preserve"> hospital </w:t>
      </w:r>
      <w:r w:rsidRPr="003E0DCA">
        <w:t xml:space="preserve">locations (adjusted for predicted acuity), </w:t>
      </w:r>
      <w:r>
        <w:t xml:space="preserve">where there is no accompanying plan to reduce capacity at other locations; and </w:t>
      </w:r>
    </w:p>
    <w:p w14:paraId="7E60B0F9" w14:textId="77777777" w:rsidR="00D25547" w:rsidRPr="006D1DC5" w:rsidRDefault="00D25547" w:rsidP="00BE32C9">
      <w:pPr>
        <w:pStyle w:val="ListParagraph"/>
        <w:numPr>
          <w:ilvl w:val="0"/>
          <w:numId w:val="13"/>
        </w:numPr>
      </w:pPr>
      <w:r>
        <w:t>E</w:t>
      </w:r>
      <w:r w:rsidRPr="003E0DCA">
        <w:t>stimated increased prices that may be associated with increased market share</w:t>
      </w:r>
      <w:r>
        <w:t>.</w:t>
      </w:r>
      <w:r w:rsidRPr="1025C662">
        <w:rPr>
          <w:rStyle w:val="FootnoteReference"/>
          <w:rFonts w:cs="Times New Roman"/>
        </w:rPr>
        <w:t xml:space="preserve"> </w:t>
      </w:r>
      <w:r w:rsidRPr="1025C662">
        <w:rPr>
          <w:rStyle w:val="FootnoteReference"/>
          <w:rFonts w:cs="Times New Roman"/>
        </w:rPr>
        <w:footnoteReference w:id="30"/>
      </w:r>
      <w:r>
        <w:t xml:space="preserve"> </w:t>
      </w:r>
      <w:r w:rsidRPr="003E0DCA">
        <w:t xml:space="preserve"> </w:t>
      </w:r>
      <w:r w:rsidRPr="00646BAA">
        <w:t xml:space="preserve"> </w:t>
      </w:r>
    </w:p>
    <w:p w14:paraId="6233A9E3" w14:textId="593E616C" w:rsidR="00385291" w:rsidRDefault="00D25547" w:rsidP="00BE32C9">
      <w:r>
        <w:t xml:space="preserve">We note that in reviewing Determination of Need applications, past HPC comments include empirical analysis of expansions of providers, with examination of whether expansion may shift commercial revenue away from providers that serve more </w:t>
      </w:r>
      <w:r w:rsidR="00EA15B2">
        <w:t>MassHealth/</w:t>
      </w:r>
      <w:r>
        <w:t xml:space="preserve">Medicaid and historically underserved patients. These shifts could, according </w:t>
      </w:r>
      <w:r>
        <w:lastRenderedPageBreak/>
        <w:t xml:space="preserve">to HPC comments, exacerbate health disparities because they potentially reduce resources at facilities </w:t>
      </w:r>
      <w:r w:rsidR="00385291">
        <w:t xml:space="preserve">that </w:t>
      </w:r>
      <w:r>
        <w:t>serve communities with higher social needs. One of the stated HPC policy recommendations is to “enhance scrutiny and monitoring of provider expansions and ambulatory care,” particularly for higher-priced providers, because such expansions can negatively impact both cost and health equity.</w:t>
      </w:r>
      <w:r w:rsidRPr="1025C662">
        <w:rPr>
          <w:rStyle w:val="FootnoteReference"/>
          <w:rFonts w:cs="Times New Roman"/>
        </w:rPr>
        <w:footnoteReference w:id="31"/>
      </w:r>
      <w:r w:rsidR="00CD6FE3">
        <w:t xml:space="preserve"> </w:t>
      </w:r>
    </w:p>
    <w:p w14:paraId="28343B50" w14:textId="468EF1A3" w:rsidR="00DF28AC" w:rsidRDefault="00385291" w:rsidP="00BE32C9">
      <w:r>
        <w:t xml:space="preserve">As addressed further below, the </w:t>
      </w:r>
      <w:r w:rsidR="00CD6FE3">
        <w:t xml:space="preserve">magnitude of the </w:t>
      </w:r>
      <w:r>
        <w:t xml:space="preserve">capacity additions or the new </w:t>
      </w:r>
      <w:r w:rsidR="00CD6FE3">
        <w:t xml:space="preserve">programs </w:t>
      </w:r>
      <w:r>
        <w:t xml:space="preserve">or additional services </w:t>
      </w:r>
      <w:r w:rsidR="00CD6FE3">
        <w:t xml:space="preserve">at </w:t>
      </w:r>
      <w:r>
        <w:t>the BCH</w:t>
      </w:r>
      <w:r w:rsidR="00CD6FE3">
        <w:t xml:space="preserve"> facilities </w:t>
      </w:r>
      <w:r>
        <w:t xml:space="preserve">in the Proposed Project </w:t>
      </w:r>
      <w:r w:rsidR="00B85514">
        <w:t>appear to involve</w:t>
      </w:r>
      <w:r w:rsidR="00CD6FE3">
        <w:t xml:space="preserve"> relatively small</w:t>
      </w:r>
      <w:r w:rsidR="00B85514">
        <w:t xml:space="preserve"> capacity and patient volumes – that is,</w:t>
      </w:r>
      <w:r w:rsidR="00CD6FE3">
        <w:t xml:space="preserve"> total </w:t>
      </w:r>
      <w:r>
        <w:t>expected incremental</w:t>
      </w:r>
      <w:r w:rsidR="00CD6FE3">
        <w:t xml:space="preserve"> patient volumes </w:t>
      </w:r>
      <w:r>
        <w:t xml:space="preserve">and shifts </w:t>
      </w:r>
      <w:r w:rsidR="00B85514">
        <w:t>are</w:t>
      </w:r>
      <w:r>
        <w:t xml:space="preserve"> relatively small.  Some of the increased volumes at the new facilities </w:t>
      </w:r>
      <w:r w:rsidR="00B85514">
        <w:t xml:space="preserve">located outside of the immediate Boston area include </w:t>
      </w:r>
      <w:r>
        <w:t xml:space="preserve">shifts from BCH facilities, including </w:t>
      </w:r>
      <w:r w:rsidR="00092414">
        <w:t>Longwood</w:t>
      </w:r>
      <w:r>
        <w:t xml:space="preserve">, and involve both MassHealth/Medicaid and commercial volumes.  In addition, the new capacity, facilities, and services are located in areas </w:t>
      </w:r>
      <w:r w:rsidR="008C2968">
        <w:t xml:space="preserve">that include </w:t>
      </w:r>
      <w:r>
        <w:t>lower income and underserved populations</w:t>
      </w:r>
      <w:r w:rsidR="009E31D4">
        <w:t xml:space="preserve"> and </w:t>
      </w:r>
      <w:r w:rsidR="00B85514">
        <w:t>w</w:t>
      </w:r>
      <w:r w:rsidR="009E31D4">
        <w:t xml:space="preserve">ould enhance rather than detract from access. These factors suggest that </w:t>
      </w:r>
      <w:r w:rsidR="00B85514">
        <w:t>Proposed Project</w:t>
      </w:r>
      <w:r w:rsidR="009E31D4">
        <w:t xml:space="preserve"> would not tend to exacerbate health disparities and </w:t>
      </w:r>
      <w:r w:rsidR="00B85514">
        <w:t>c</w:t>
      </w:r>
      <w:r w:rsidR="009E31D4">
        <w:t xml:space="preserve">ould increase </w:t>
      </w:r>
      <w:r w:rsidR="00B85514">
        <w:t xml:space="preserve">rather than reduce </w:t>
      </w:r>
      <w:r w:rsidR="009E31D4">
        <w:t xml:space="preserve">resources </w:t>
      </w:r>
      <w:r w:rsidR="00B85514">
        <w:t>at</w:t>
      </w:r>
      <w:r w:rsidR="009E31D4">
        <w:t xml:space="preserve"> facilities to serve communities. </w:t>
      </w:r>
    </w:p>
    <w:p w14:paraId="30E4CD2E" w14:textId="51154168" w:rsidR="00EE5ECC" w:rsidRPr="00EE5ECC" w:rsidRDefault="00EE5ECC" w:rsidP="00BE32C9">
      <w:pPr>
        <w:pStyle w:val="Heading1"/>
        <w:rPr>
          <w:rFonts w:hint="eastAsia"/>
        </w:rPr>
      </w:pPr>
      <w:bookmarkStart w:id="48" w:name="_Toc105569094"/>
      <w:bookmarkStart w:id="49" w:name="_Toc106002893"/>
      <w:bookmarkStart w:id="50" w:name="_Ref106346874"/>
      <w:bookmarkStart w:id="51" w:name="_Ref106346879"/>
      <w:bookmarkStart w:id="52" w:name="_Ref106346884"/>
      <w:bookmarkStart w:id="53" w:name="_Toc109895492"/>
      <w:r w:rsidRPr="00EE5ECC">
        <w:t>Data Sources and Restriction</w:t>
      </w:r>
      <w:bookmarkStart w:id="54" w:name="_Toc94002312"/>
      <w:bookmarkEnd w:id="46"/>
      <w:r w:rsidRPr="00EE5ECC">
        <w:t xml:space="preserve"> Overview</w:t>
      </w:r>
      <w:bookmarkEnd w:id="48"/>
      <w:bookmarkEnd w:id="49"/>
      <w:bookmarkEnd w:id="50"/>
      <w:bookmarkEnd w:id="51"/>
      <w:bookmarkEnd w:id="52"/>
      <w:bookmarkEnd w:id="53"/>
      <w:bookmarkEnd w:id="54"/>
      <w:r w:rsidRPr="00EE5ECC">
        <w:t xml:space="preserve"> </w:t>
      </w:r>
    </w:p>
    <w:p w14:paraId="54A02AD0" w14:textId="4FF5BD76" w:rsidR="00EE5ECC" w:rsidRDefault="00EE5ECC" w:rsidP="00BE32C9">
      <w:bookmarkStart w:id="55" w:name="_Hlk97618098"/>
      <w:r w:rsidRPr="00EE5ECC">
        <w:t>The ICA requirements and request for the FTI ICA Report involved use of several datasets and data sources for empirical analyses of the specific questions and issues.  These included claims data as well as demographic, health, capacity, and trend data.  For convenience, we summarize the key data sources and information used, and reference or cite to the specific data source in each of the sections or analyses below; a complete summary is provided in materials relied upon in the Appendix</w:t>
      </w:r>
      <w:bookmarkStart w:id="56" w:name="_Toc94002313"/>
      <w:r w:rsidRPr="00EE5ECC">
        <w:t>.</w:t>
      </w:r>
      <w:bookmarkEnd w:id="56"/>
    </w:p>
    <w:p w14:paraId="54AF749C" w14:textId="7A2D8D09" w:rsidR="00D0518D" w:rsidRPr="00EE5ECC" w:rsidRDefault="00D0518D" w:rsidP="00BE32C9">
      <w:pPr>
        <w:pStyle w:val="Heading1"/>
        <w:rPr>
          <w:rFonts w:hint="eastAsia"/>
        </w:rPr>
      </w:pPr>
      <w:bookmarkStart w:id="57" w:name="_Toc105569090"/>
      <w:bookmarkStart w:id="58" w:name="_Toc106002889"/>
      <w:bookmarkStart w:id="59" w:name="_Toc109895493"/>
      <w:r w:rsidRPr="00EE5ECC">
        <w:t>Healthcare Delivery for Pediatric Services in Massachusetts</w:t>
      </w:r>
      <w:bookmarkEnd w:id="57"/>
      <w:bookmarkEnd w:id="58"/>
      <w:bookmarkEnd w:id="59"/>
    </w:p>
    <w:p w14:paraId="6A1955BE" w14:textId="65CB9FB1" w:rsidR="00D0518D" w:rsidRPr="00EE5ECC" w:rsidRDefault="00D0518D" w:rsidP="00BE32C9">
      <w:r w:rsidRPr="00EE5ECC">
        <w:t xml:space="preserve">To provide context for evaluation of the Proposed Project and the ICA questions, </w:t>
      </w:r>
      <w:r w:rsidR="002939DD">
        <w:t xml:space="preserve">and especially to support the required empirical analyses of specific service lines, </w:t>
      </w:r>
      <w:r w:rsidRPr="00EE5ECC">
        <w:t xml:space="preserve">FTI conducted independent research to develop data and information on the provider alternatives available for pediatric patients in Massachusetts in settings such as hospitals and outpatient locations for ambulatory surgery services, MRI/CT and imaging, or other services offered or to be offered by </w:t>
      </w:r>
      <w:r w:rsidR="00FF6607">
        <w:t xml:space="preserve">the </w:t>
      </w:r>
      <w:r w:rsidRPr="00EE5ECC">
        <w:t>BCH outpatient locations.</w:t>
      </w:r>
    </w:p>
    <w:p w14:paraId="445EC695" w14:textId="3ACDEAF2" w:rsidR="00B54E8E" w:rsidRPr="007A07B2" w:rsidRDefault="00B54E8E" w:rsidP="00BE32C9">
      <w:r w:rsidRPr="00EE5ECC">
        <w:t>As in many states, providers of inpatient and outpatient pediatric services in Massachusetts include both specialized healthcare providers and other providers such as community hospitals</w:t>
      </w:r>
      <w:r>
        <w:t xml:space="preserve"> or outpatient facilities</w:t>
      </w:r>
      <w:r w:rsidRPr="00EE5ECC">
        <w:t xml:space="preserve"> that provide some pediatric inpatient or outpatient services although usually at lower scale and/or for less acute care.</w:t>
      </w:r>
      <w:r w:rsidRPr="00EE5ECC">
        <w:rPr>
          <w:vertAlign w:val="superscript"/>
        </w:rPr>
        <w:footnoteReference w:id="32"/>
      </w:r>
      <w:r w:rsidRPr="00EE5ECC">
        <w:t xml:space="preserve"> </w:t>
      </w:r>
      <w:r w:rsidR="008921E6">
        <w:t xml:space="preserve">In Massachusetts, there are very </w:t>
      </w:r>
      <w:r w:rsidR="008921E6">
        <w:lastRenderedPageBreak/>
        <w:t xml:space="preserve">large numbers of entities providing outpatient services to pediatric patients for a wide variety of outpatient services.  </w:t>
      </w:r>
      <w:r w:rsidR="00FF6607">
        <w:t>FTI conducted</w:t>
      </w:r>
      <w:r w:rsidRPr="00EE5ECC">
        <w:t xml:space="preserve"> independent research on </w:t>
      </w:r>
      <w:r w:rsidR="002939DD">
        <w:t>the</w:t>
      </w:r>
      <w:r>
        <w:t xml:space="preserve"> </w:t>
      </w:r>
      <w:r w:rsidRPr="00EE5ECC">
        <w:t xml:space="preserve">hospitals and outpatient locations that provide pediatric healthcare services in Massachusetts to supplement and complement information in the Application </w:t>
      </w:r>
      <w:r w:rsidR="008921E6">
        <w:t xml:space="preserve">including </w:t>
      </w:r>
      <w:r w:rsidRPr="00EE5ECC">
        <w:t>CHIA data and other data sources</w:t>
      </w:r>
      <w:r w:rsidR="008921E6">
        <w:t>, which are detailed in the Appendix</w:t>
      </w:r>
      <w:r w:rsidRPr="00EE5ECC">
        <w:t xml:space="preserve">. </w:t>
      </w:r>
    </w:p>
    <w:p w14:paraId="429AC46F" w14:textId="31197639" w:rsidR="00D0518D" w:rsidRPr="00A747A5" w:rsidRDefault="00FF6607" w:rsidP="00AE6FC9">
      <w:r w:rsidRPr="00A747A5">
        <w:t>The research identified</w:t>
      </w:r>
      <w:r w:rsidR="00B54E8E" w:rsidRPr="00A747A5">
        <w:t xml:space="preserve"> six health systems</w:t>
      </w:r>
      <w:r w:rsidR="006F3E51" w:rsidRPr="00A747A5">
        <w:t xml:space="preserve"> with </w:t>
      </w:r>
      <w:r w:rsidR="00150E21" w:rsidRPr="00A747A5">
        <w:t xml:space="preserve">specialized facilities, including </w:t>
      </w:r>
      <w:r w:rsidR="006F3E51" w:rsidRPr="00A747A5">
        <w:t>stand-alone children’s hospitals, full-service children’s hospitals located within the same campus or facility as the health’s systems tertiary hospital campus, or</w:t>
      </w:r>
      <w:r w:rsidR="00B54E8E" w:rsidRPr="00A747A5">
        <w:t xml:space="preserve"> </w:t>
      </w:r>
      <w:r w:rsidR="006F3E51" w:rsidRPr="00A747A5">
        <w:t>specialized pediatric departments.</w:t>
      </w:r>
      <w:r w:rsidR="002D17B0">
        <w:t xml:space="preserve"> </w:t>
      </w:r>
      <w:r w:rsidR="00B54E8E" w:rsidRPr="00A747A5">
        <w:t xml:space="preserve">These systems have both hospital-based (inpatient and outpatient) and outpatient locations. </w:t>
      </w:r>
      <w:r w:rsidR="00F13BD1" w:rsidRPr="00A747A5">
        <w:t xml:space="preserve">The CHIA </w:t>
      </w:r>
      <w:r w:rsidR="00970F23">
        <w:t xml:space="preserve">outpatient </w:t>
      </w:r>
      <w:r w:rsidR="00F13BD1" w:rsidRPr="00A747A5">
        <w:t>data include vast numbers of individual providers of pediatric services in the relevant service lines; with many having small numbers of patients</w:t>
      </w:r>
      <w:r w:rsidR="00970F23">
        <w:t xml:space="preserve"> in the relevant service lines</w:t>
      </w:r>
      <w:r w:rsidR="00F13BD1" w:rsidRPr="00A747A5">
        <w:t xml:space="preserve">. </w:t>
      </w:r>
      <w:r w:rsidR="00B54E8E" w:rsidRPr="00A747A5">
        <w:t xml:space="preserve">While </w:t>
      </w:r>
      <w:r w:rsidR="00F13BD1" w:rsidRPr="00A747A5">
        <w:t>each analysis in this report makes use of data on all</w:t>
      </w:r>
      <w:r w:rsidRPr="00A747A5">
        <w:t xml:space="preserve"> providers </w:t>
      </w:r>
      <w:r w:rsidR="00F13BD1" w:rsidRPr="00A747A5">
        <w:t>of the relevant services lines</w:t>
      </w:r>
      <w:r w:rsidR="00B54E8E" w:rsidRPr="00A747A5">
        <w:t xml:space="preserve">, </w:t>
      </w:r>
      <w:r w:rsidR="00F13BD1" w:rsidRPr="00A747A5">
        <w:t xml:space="preserve">for consistency in reporting across the tables and maps </w:t>
      </w:r>
      <w:r w:rsidR="00B54E8E" w:rsidRPr="00A747A5">
        <w:t>we</w:t>
      </w:r>
      <w:r w:rsidR="00F13BD1" w:rsidRPr="00A747A5">
        <w:t xml:space="preserve"> </w:t>
      </w:r>
      <w:r w:rsidR="00970F23">
        <w:t>include</w:t>
      </w:r>
      <w:r w:rsidR="00970F23" w:rsidRPr="00A747A5">
        <w:t xml:space="preserve"> </w:t>
      </w:r>
      <w:r w:rsidR="00F13BD1" w:rsidRPr="00A747A5">
        <w:t>these six health systems and their hospitals/facilities for reporting of results of</w:t>
      </w:r>
      <w:r w:rsidR="00B54E8E" w:rsidRPr="00A747A5">
        <w:t xml:space="preserve"> analyses of pricing, share, </w:t>
      </w:r>
      <w:r w:rsidR="00F13BD1" w:rsidRPr="00A747A5">
        <w:t xml:space="preserve">and </w:t>
      </w:r>
      <w:r w:rsidR="00B54E8E" w:rsidRPr="00A747A5">
        <w:t>services: Baystate,</w:t>
      </w:r>
      <w:r w:rsidR="00B54E8E" w:rsidRPr="00A747A5">
        <w:rPr>
          <w:vertAlign w:val="superscript"/>
        </w:rPr>
        <w:t xml:space="preserve"> </w:t>
      </w:r>
      <w:r w:rsidR="00B54E8E" w:rsidRPr="00A747A5">
        <w:t>Boston Children’s, Boston Medical Center, MassGeneral, Tufts, and UMass</w:t>
      </w:r>
      <w:r w:rsidR="00A747A5" w:rsidRPr="00A747A5">
        <w:t>.</w:t>
      </w:r>
      <w:r w:rsidR="00970F23">
        <w:rPr>
          <w:rStyle w:val="FootnoteReference"/>
        </w:rPr>
        <w:footnoteReference w:id="33"/>
      </w:r>
      <w:r w:rsidR="00A747A5" w:rsidRPr="00A747A5">
        <w:t xml:space="preserve"> For con</w:t>
      </w:r>
      <w:r w:rsidR="00970F23">
        <w:t xml:space="preserve">sistency </w:t>
      </w:r>
      <w:r w:rsidR="00A747A5" w:rsidRPr="00A747A5">
        <w:t xml:space="preserve">in reporting and exposition, </w:t>
      </w:r>
      <w:r w:rsidR="00970F23">
        <w:t xml:space="preserve">where possible the </w:t>
      </w:r>
      <w:r w:rsidR="00A747A5" w:rsidRPr="00A747A5">
        <w:t xml:space="preserve">tables or maps also identify the “children’s hospital” or the main pediatric facility </w:t>
      </w:r>
      <w:r w:rsidR="00970F23">
        <w:t xml:space="preserve">for each of these entities </w:t>
      </w:r>
      <w:r w:rsidR="00A747A5" w:rsidRPr="00A747A5">
        <w:t>although not all may be commonly known as traditional children’s hospitals</w:t>
      </w:r>
      <w:r w:rsidR="002939DD">
        <w:t>.  Moreover, for convenience in exposition, we refer to these as “children’s hospitals” or health systems with “children’s hospitals”</w:t>
      </w:r>
      <w:r w:rsidR="00A747A5" w:rsidRPr="00A747A5">
        <w:t>.</w:t>
      </w:r>
      <w:r w:rsidR="00B54E8E" w:rsidRPr="00A747A5">
        <w:rPr>
          <w:vertAlign w:val="superscript"/>
        </w:rPr>
        <w:footnoteReference w:id="34"/>
      </w:r>
    </w:p>
    <w:p w14:paraId="798D3CD6" w14:textId="35463969" w:rsidR="00B54E8E" w:rsidRDefault="00B54E8E" w:rsidP="00BE32C9">
      <w:r w:rsidRPr="00EE5ECC">
        <w:t>FTI research</w:t>
      </w:r>
      <w:r>
        <w:t xml:space="preserve"> </w:t>
      </w:r>
      <w:r w:rsidRPr="00EE5ECC">
        <w:t>included detailed examination of each of these health systems</w:t>
      </w:r>
      <w:r>
        <w:t>’ inpatient and</w:t>
      </w:r>
      <w:r w:rsidRPr="00EE5ECC">
        <w:t xml:space="preserve"> outpatient facilities </w:t>
      </w:r>
      <w:r>
        <w:t>including review of the health system</w:t>
      </w:r>
      <w:r w:rsidRPr="00EE5ECC">
        <w:t xml:space="preserve"> websites to develop information on their locations, types of services and outpatient facilities for each of these health systems. </w:t>
      </w:r>
      <w:r>
        <w:t>For example, s</w:t>
      </w:r>
      <w:r w:rsidRPr="00EE5ECC">
        <w:t xml:space="preserve">everal of these health systems provide pediatric MRI/imaging services or ASC services and networks of outpatient and physician centers with wide range of services; some (e.g., Baystate) offer partial hospitalization services. </w:t>
      </w:r>
      <w:r w:rsidR="00970F23">
        <w:t xml:space="preserve">As detailed in the Appendix, FTI worked extensively with the CHIA outpatient data to identify the specific </w:t>
      </w:r>
      <w:r w:rsidR="00AE6FC9">
        <w:t xml:space="preserve">locations and </w:t>
      </w:r>
      <w:r w:rsidR="00970F23">
        <w:t>entities</w:t>
      </w:r>
      <w:r w:rsidR="00AE6FC9">
        <w:t xml:space="preserve"> associated with each</w:t>
      </w:r>
      <w:r w:rsidR="00970F23">
        <w:t>.</w:t>
      </w:r>
      <w:r w:rsidR="00EE0872" w:rsidRPr="00EE0872">
        <w:t xml:space="preserve"> </w:t>
      </w:r>
      <w:r w:rsidR="00EE0872" w:rsidRPr="00EE5ECC">
        <w:t>These providers are differentiated and not all provide all services</w:t>
      </w:r>
      <w:r w:rsidR="00EE0872">
        <w:t xml:space="preserve"> to pediatric patients</w:t>
      </w:r>
      <w:r w:rsidR="00EE0872" w:rsidRPr="00EE5ECC">
        <w:t xml:space="preserve">; </w:t>
      </w:r>
      <w:r w:rsidR="00EE0872">
        <w:t xml:space="preserve">moreover, </w:t>
      </w:r>
      <w:r w:rsidR="00EE0872" w:rsidRPr="00EE5ECC">
        <w:t>there is change ongoing in the marketplace.</w:t>
      </w:r>
      <w:r w:rsidR="00EE0872">
        <w:t xml:space="preserve"> </w:t>
      </w:r>
      <w:r w:rsidR="00EE0872" w:rsidRPr="007A07B2">
        <w:t xml:space="preserve">This ICA Report recognizes that one of those changes is the announcement that Tufts Children’s Hospital inpatient pediatric beds would be closed (and converted to adult beds), with continuation of some of </w:t>
      </w:r>
      <w:r w:rsidR="006263D9">
        <w:t>Tufts’</w:t>
      </w:r>
      <w:r w:rsidR="00EE0872" w:rsidRPr="007A07B2">
        <w:t xml:space="preserve"> outpatient pediatric services. Analyses of </w:t>
      </w:r>
      <w:r w:rsidR="00EE0872" w:rsidRPr="007A07B2">
        <w:lastRenderedPageBreak/>
        <w:t>the Proposed Project’s outpatient services do not make any projections based on the proposed closure.</w:t>
      </w:r>
      <w:r w:rsidR="00EE0872" w:rsidRPr="007A07B2">
        <w:rPr>
          <w:rStyle w:val="FootnoteReference"/>
        </w:rPr>
        <w:footnoteReference w:id="35"/>
      </w:r>
      <w:r w:rsidR="00EE0872" w:rsidRPr="007A07B2">
        <w:t xml:space="preserve">  </w:t>
      </w:r>
    </w:p>
    <w:p w14:paraId="06DBE4E9" w14:textId="1A6A3F8F" w:rsidR="000A6158" w:rsidRPr="00D705C0" w:rsidRDefault="000A6158" w:rsidP="00BE32C9">
      <w:pPr>
        <w:pStyle w:val="Heading1"/>
        <w:rPr>
          <w:rFonts w:hint="eastAsia"/>
        </w:rPr>
      </w:pPr>
      <w:bookmarkStart w:id="60" w:name="_Toc106002894"/>
      <w:bookmarkStart w:id="61" w:name="_Toc109895494"/>
      <w:bookmarkEnd w:id="55"/>
      <w:r w:rsidRPr="00D705C0">
        <w:t xml:space="preserve">Overview of Service Lines </w:t>
      </w:r>
      <w:bookmarkEnd w:id="4"/>
      <w:r w:rsidR="003512FD" w:rsidRPr="00D705C0">
        <w:t>Methodology</w:t>
      </w:r>
      <w:r w:rsidR="00120849" w:rsidRPr="00D705C0">
        <w:t xml:space="preserve"> and A</w:t>
      </w:r>
      <w:r w:rsidR="00F43EEA">
        <w:t>n</w:t>
      </w:r>
      <w:r w:rsidR="00120849" w:rsidRPr="00D705C0">
        <w:t>alyses</w:t>
      </w:r>
      <w:bookmarkEnd w:id="5"/>
      <w:bookmarkEnd w:id="6"/>
      <w:bookmarkEnd w:id="7"/>
      <w:bookmarkEnd w:id="60"/>
      <w:bookmarkEnd w:id="61"/>
    </w:p>
    <w:p w14:paraId="7E5CB4E0" w14:textId="2ED06F58" w:rsidR="003512FD" w:rsidRPr="00D705C0" w:rsidRDefault="003512FD" w:rsidP="00BE32C9">
      <w:pPr>
        <w:pStyle w:val="Heading2"/>
      </w:pPr>
      <w:bookmarkStart w:id="62" w:name="_Toc106002895"/>
      <w:bookmarkStart w:id="63" w:name="_Toc109895495"/>
      <w:r w:rsidRPr="00D705C0">
        <w:t>Summary of Methodology</w:t>
      </w:r>
      <w:r w:rsidR="00120849" w:rsidRPr="00D705C0">
        <w:t xml:space="preserve"> – </w:t>
      </w:r>
      <w:r w:rsidR="00EC2C18" w:rsidRPr="00D705C0">
        <w:t>Use of</w:t>
      </w:r>
      <w:r w:rsidR="00120849" w:rsidRPr="00D705C0">
        <w:t xml:space="preserve"> Service Lines</w:t>
      </w:r>
      <w:r w:rsidR="00EC2C18" w:rsidRPr="00D705C0">
        <w:t xml:space="preserve"> for Analytical Framework</w:t>
      </w:r>
      <w:bookmarkEnd w:id="62"/>
      <w:bookmarkEnd w:id="63"/>
    </w:p>
    <w:p w14:paraId="7FF7EA6F" w14:textId="2388167F" w:rsidR="00120849" w:rsidRPr="00C0106C" w:rsidRDefault="003926A2" w:rsidP="00BE32C9">
      <w:r w:rsidRPr="00D705C0">
        <w:t xml:space="preserve">In order to evaluate the impact of the </w:t>
      </w:r>
      <w:r w:rsidR="00412AAF">
        <w:t>P</w:t>
      </w:r>
      <w:r w:rsidR="008454E5" w:rsidRPr="00D705C0">
        <w:t xml:space="preserve">roposed </w:t>
      </w:r>
      <w:r w:rsidR="00412AAF">
        <w:t>P</w:t>
      </w:r>
      <w:r w:rsidR="008454E5" w:rsidRPr="00D705C0">
        <w:t>roject</w:t>
      </w:r>
      <w:r w:rsidRPr="00D705C0">
        <w:t xml:space="preserve"> on </w:t>
      </w:r>
      <w:r w:rsidR="008454E5" w:rsidRPr="00D705C0">
        <w:t>overall costs,</w:t>
      </w:r>
      <w:r w:rsidRPr="00D705C0">
        <w:t xml:space="preserve"> </w:t>
      </w:r>
      <w:r w:rsidR="00C74B90">
        <w:t>this report</w:t>
      </w:r>
      <w:r w:rsidR="00120849" w:rsidRPr="00D705C0">
        <w:t xml:space="preserve"> </w:t>
      </w:r>
      <w:r w:rsidRPr="00D705C0">
        <w:t>examine</w:t>
      </w:r>
      <w:r w:rsidR="00412AAF">
        <w:t>s</w:t>
      </w:r>
      <w:r w:rsidRPr="00D705C0">
        <w:t xml:space="preserve"> the </w:t>
      </w:r>
      <w:r w:rsidR="004021E5">
        <w:t xml:space="preserve">specific </w:t>
      </w:r>
      <w:r w:rsidRPr="00D705C0">
        <w:t>services to be provided</w:t>
      </w:r>
      <w:r w:rsidR="00120849" w:rsidRPr="00D705C0">
        <w:t xml:space="preserve"> by BCH</w:t>
      </w:r>
      <w:r w:rsidR="008A5E2B">
        <w:t xml:space="preserve"> locations</w:t>
      </w:r>
      <w:r w:rsidR="009368EF" w:rsidRPr="00D705C0">
        <w:t xml:space="preserve">. The ICA Report request specifically asked that we address new services offered </w:t>
      </w:r>
      <w:r w:rsidR="009368EF" w:rsidRPr="00C0106C">
        <w:t>(e.g., MRI and imaging services</w:t>
      </w:r>
      <w:r w:rsidR="0047467F" w:rsidRPr="00C0106C">
        <w:t xml:space="preserve"> and ASC services</w:t>
      </w:r>
      <w:r w:rsidR="009368EF" w:rsidRPr="00C0106C">
        <w:t xml:space="preserve">). </w:t>
      </w:r>
    </w:p>
    <w:p w14:paraId="6AE3E68E" w14:textId="2BCBC46D" w:rsidR="00EC2C18" w:rsidRPr="00D705C0" w:rsidRDefault="008454E5" w:rsidP="00BE32C9">
      <w:r w:rsidRPr="00D705C0">
        <w:t xml:space="preserve">Service line definitions are used to reference the overall type </w:t>
      </w:r>
      <w:r w:rsidR="0047467F">
        <w:t xml:space="preserve">or category </w:t>
      </w:r>
      <w:r w:rsidRPr="00D705C0">
        <w:t>of service provided. Even within a service line, there is some differentiation (e.g., sedated MRI)</w:t>
      </w:r>
      <w:r w:rsidR="004021E5">
        <w:t xml:space="preserve"> of services</w:t>
      </w:r>
      <w:r w:rsidRPr="00D705C0">
        <w:t>. Typically, s</w:t>
      </w:r>
      <w:r w:rsidR="003926A2" w:rsidRPr="00D705C0">
        <w:t xml:space="preserve">ervice lines involve </w:t>
      </w:r>
      <w:r w:rsidR="009368EF" w:rsidRPr="00D705C0">
        <w:t>analyses that</w:t>
      </w:r>
      <w:r w:rsidR="003926A2" w:rsidRPr="00D705C0">
        <w:t xml:space="preserve"> measure utilization </w:t>
      </w:r>
      <w:r w:rsidRPr="00D705C0">
        <w:t>historically, as some service lines are low-volume and may not be demanded each year</w:t>
      </w:r>
      <w:r w:rsidR="00BB3830">
        <w:t xml:space="preserve"> at a specific facility</w:t>
      </w:r>
      <w:r w:rsidRPr="00D705C0">
        <w:t xml:space="preserve">. </w:t>
      </w:r>
      <w:r w:rsidR="00DB02E2">
        <w:t xml:space="preserve">For the same reason, service line definitions for empirical analyses in healthcare tend to use </w:t>
      </w:r>
      <w:r w:rsidR="00FC16FF">
        <w:t xml:space="preserve">defined </w:t>
      </w:r>
      <w:r w:rsidR="00DB02E2">
        <w:t>sets of CPT codes for the category of service.</w:t>
      </w:r>
      <w:r w:rsidR="004021E5">
        <w:t xml:space="preserve"> That is the approach taken here by FTI – to use standard service line definitions and CPT codes for use with the CHIA (or other) claims data. This provides for consistent approaches and the ability to compare service lines across facilities (within a system or across systems) and across time.</w:t>
      </w:r>
    </w:p>
    <w:p w14:paraId="5F3C0745" w14:textId="1A59E177" w:rsidR="003512FD" w:rsidRPr="00D705C0" w:rsidRDefault="00EC2C18" w:rsidP="00BE32C9">
      <w:pPr>
        <w:pStyle w:val="Heading2"/>
      </w:pPr>
      <w:bookmarkStart w:id="64" w:name="_Toc106002896"/>
      <w:bookmarkStart w:id="65" w:name="_Toc109895496"/>
      <w:r w:rsidRPr="00D705C0">
        <w:t>Definition of</w:t>
      </w:r>
      <w:r w:rsidR="003512FD" w:rsidRPr="00D705C0">
        <w:t xml:space="preserve"> Service </w:t>
      </w:r>
      <w:r w:rsidR="00A53A83" w:rsidRPr="00D705C0">
        <w:t>L</w:t>
      </w:r>
      <w:r w:rsidR="003512FD" w:rsidRPr="00D705C0">
        <w:t>ines</w:t>
      </w:r>
      <w:r w:rsidRPr="00D705C0">
        <w:t xml:space="preserve"> Used in the ICA Economic Analyses</w:t>
      </w:r>
      <w:bookmarkEnd w:id="64"/>
      <w:bookmarkEnd w:id="65"/>
    </w:p>
    <w:p w14:paraId="4D5F58D7" w14:textId="07390066" w:rsidR="009368EF" w:rsidRPr="00D705C0" w:rsidRDefault="004021E5" w:rsidP="00BE32C9">
      <w:r>
        <w:t>S</w:t>
      </w:r>
      <w:r w:rsidR="0047467F">
        <w:t xml:space="preserve">ervice lines used in this analysis </w:t>
      </w:r>
      <w:r w:rsidR="002A00D6">
        <w:t>include</w:t>
      </w:r>
      <w:r w:rsidR="0047467F">
        <w:t xml:space="preserve"> MRI, all imaging</w:t>
      </w:r>
      <w:r w:rsidR="00DE0E8A">
        <w:t xml:space="preserve"> </w:t>
      </w:r>
      <w:r w:rsidR="0047467F">
        <w:t xml:space="preserve">and ASC services. </w:t>
      </w:r>
      <w:r w:rsidR="00DE0E8A">
        <w:t>The all</w:t>
      </w:r>
      <w:r w:rsidR="004120AF">
        <w:t>-</w:t>
      </w:r>
      <w:r w:rsidR="00DE0E8A">
        <w:t xml:space="preserve">imaging services is inclusive of MRI, </w:t>
      </w:r>
      <w:r w:rsidR="00DE0E8A" w:rsidRPr="00363347">
        <w:t xml:space="preserve">CT, ultrasound, and all other imaging services. The corresponding CPT codes are provided in the Appendix. </w:t>
      </w:r>
      <w:r w:rsidR="0047467F" w:rsidRPr="00363347">
        <w:t xml:space="preserve">These service lines cover the proposed new or expanded </w:t>
      </w:r>
      <w:r w:rsidR="009368EF" w:rsidRPr="00363347">
        <w:t>outpatient service lines</w:t>
      </w:r>
      <w:r w:rsidR="0047467F" w:rsidRPr="00363347">
        <w:t xml:space="preserve"> at BCH new facilities (e.g., Needham)</w:t>
      </w:r>
      <w:r w:rsidR="009368EF" w:rsidRPr="00363347">
        <w:t xml:space="preserve"> </w:t>
      </w:r>
      <w:r w:rsidR="00F3314C" w:rsidRPr="00363347">
        <w:t xml:space="preserve">and where new capacity is added, </w:t>
      </w:r>
      <w:r w:rsidR="0047467F" w:rsidRPr="00363347">
        <w:t xml:space="preserve">and </w:t>
      </w:r>
      <w:r w:rsidR="0047467F">
        <w:t>thus are used for</w:t>
      </w:r>
      <w:r w:rsidR="009368EF" w:rsidRPr="00D705C0">
        <w:t xml:space="preserve"> purposes of economic analyses</w:t>
      </w:r>
      <w:r>
        <w:t xml:space="preserve"> of demand, supply, and shifts in demand/utilization with changes in supply</w:t>
      </w:r>
      <w:r w:rsidR="009368EF" w:rsidRPr="00D705C0">
        <w:t xml:space="preserve">. </w:t>
      </w:r>
      <w:r w:rsidR="0047467F">
        <w:t>FTI</w:t>
      </w:r>
      <w:r w:rsidR="009368EF" w:rsidRPr="00D705C0">
        <w:t xml:space="preserve"> considered the relevant service lines identified by BC</w:t>
      </w:r>
      <w:r w:rsidR="0047467F">
        <w:t xml:space="preserve">H and concluded </w:t>
      </w:r>
      <w:r>
        <w:t>those</w:t>
      </w:r>
      <w:r w:rsidR="0047467F">
        <w:t xml:space="preserve"> detailed in this report are consistent with them and provide a sound basis for addressing the ICA questions.</w:t>
      </w:r>
      <w:r w:rsidR="0047467F">
        <w:rPr>
          <w:rStyle w:val="FootnoteReference"/>
        </w:rPr>
        <w:footnoteReference w:id="36"/>
      </w:r>
    </w:p>
    <w:p w14:paraId="0B49A6B5" w14:textId="433B4F35" w:rsidR="0027633D" w:rsidRDefault="009368EF" w:rsidP="00BE32C9">
      <w:r w:rsidRPr="00D705C0">
        <w:t xml:space="preserve">A complete </w:t>
      </w:r>
      <w:r w:rsidRPr="00CF1796">
        <w:t>definition of each service line</w:t>
      </w:r>
      <w:r w:rsidR="00DB02E2" w:rsidRPr="00CF1796">
        <w:t xml:space="preserve"> used in the analysis</w:t>
      </w:r>
      <w:r w:rsidR="0047467F" w:rsidRPr="00CF1796">
        <w:t xml:space="preserve">, including specific CPT codes </w:t>
      </w:r>
      <w:r w:rsidR="004021E5" w:rsidRPr="00CF1796">
        <w:t>defining</w:t>
      </w:r>
      <w:r w:rsidR="0047467F" w:rsidRPr="00CF1796">
        <w:t xml:space="preserve"> the service line,</w:t>
      </w:r>
      <w:r w:rsidRPr="00CF1796">
        <w:t xml:space="preserve"> is provided in </w:t>
      </w:r>
      <w:r w:rsidR="004E6F51" w:rsidRPr="00CF1796">
        <w:t>A</w:t>
      </w:r>
      <w:r w:rsidRPr="00CF1796">
        <w:t xml:space="preserve">ppendix. </w:t>
      </w:r>
      <w:r w:rsidR="0047467F" w:rsidRPr="00CF1796">
        <w:t>CPT codes</w:t>
      </w:r>
      <w:r w:rsidR="0047467F">
        <w:t xml:space="preserve"> and service lines make possible the use of </w:t>
      </w:r>
      <w:r w:rsidR="00EC2C18" w:rsidRPr="00D705C0">
        <w:t xml:space="preserve">CHIA or other </w:t>
      </w:r>
      <w:r w:rsidR="00DB02E2">
        <w:t xml:space="preserve">claims or volume </w:t>
      </w:r>
      <w:r w:rsidR="00EC2C18" w:rsidRPr="00D705C0">
        <w:t>data</w:t>
      </w:r>
      <w:r w:rsidR="0047467F">
        <w:t xml:space="preserve"> and </w:t>
      </w:r>
      <w:r w:rsidR="007B02BB">
        <w:t>provide</w:t>
      </w:r>
      <w:r w:rsidR="0047467F">
        <w:t xml:space="preserve"> comparable metrics across different data sources</w:t>
      </w:r>
      <w:r w:rsidR="00DB02E2">
        <w:t xml:space="preserve"> and providers</w:t>
      </w:r>
      <w:r w:rsidR="0047467F">
        <w:t xml:space="preserve">. We evaluated codes and service line definitions in other ICA or HPC analyses for MRI, imaging, and ASC services and concluded FTI </w:t>
      </w:r>
      <w:r w:rsidR="0047467F">
        <w:lastRenderedPageBreak/>
        <w:t>CPT codes are fully consistent and representative of the new service lines or capacity in the BCH projects in these services. We examine data on each</w:t>
      </w:r>
      <w:r w:rsidR="0027633D" w:rsidRPr="00D705C0">
        <w:t xml:space="preserve"> service line </w:t>
      </w:r>
      <w:r w:rsidR="0047467F">
        <w:t>at an existing</w:t>
      </w:r>
      <w:r w:rsidR="0027633D" w:rsidRPr="00D705C0">
        <w:t xml:space="preserve"> BCH outpatient location and </w:t>
      </w:r>
      <w:r w:rsidR="00EC2C18" w:rsidRPr="00D705C0">
        <w:t>its</w:t>
      </w:r>
      <w:r w:rsidR="0027633D" w:rsidRPr="00D705C0">
        <w:t xml:space="preserve"> capacity</w:t>
      </w:r>
      <w:r w:rsidR="0047467F">
        <w:t>, and independently developed service area analyses</w:t>
      </w:r>
      <w:r w:rsidR="004021E5">
        <w:t xml:space="preserve"> to evaluate demand for services, and supply to an area by BCH and/or other providers</w:t>
      </w:r>
      <w:r w:rsidR="0047467F">
        <w:t>.</w:t>
      </w:r>
    </w:p>
    <w:p w14:paraId="4191DBD3" w14:textId="1BF55599" w:rsidR="00F3314C" w:rsidRPr="00092414" w:rsidRDefault="00F3314C" w:rsidP="00BE32C9">
      <w:r w:rsidRPr="00092414">
        <w:t>In addition to these three service lines, to the extent possible, more detailed empirical and qualitative assessment was conducted for (1) partial hospitalization services; (2) sleep services; and (3) GI services</w:t>
      </w:r>
      <w:r w:rsidR="008A5E2B" w:rsidRPr="00092414">
        <w:t xml:space="preserve"> at Needham</w:t>
      </w:r>
      <w:r w:rsidRPr="00092414">
        <w:t>.</w:t>
      </w:r>
      <w:r w:rsidR="008B2F2F" w:rsidRPr="00092414">
        <w:t xml:space="preserve"> The results of these analyses are summarized in Section</w:t>
      </w:r>
      <w:r w:rsidR="00092414">
        <w:t xml:space="preserve"> </w:t>
      </w:r>
      <w:r w:rsidR="00812A95" w:rsidRPr="00092414">
        <w:t>XI</w:t>
      </w:r>
      <w:r w:rsidR="00B54E8E" w:rsidRPr="00092414">
        <w:t>V.</w:t>
      </w:r>
      <w:r w:rsidR="008A5E2B" w:rsidRPr="00092414">
        <w:t xml:space="preserve"> </w:t>
      </w:r>
    </w:p>
    <w:p w14:paraId="50CDFB11" w14:textId="21E4F46C" w:rsidR="00A97984" w:rsidRPr="00D705C0" w:rsidRDefault="003926A2" w:rsidP="00BE32C9">
      <w:pPr>
        <w:pStyle w:val="Heading1"/>
        <w:rPr>
          <w:rFonts w:hint="eastAsia"/>
        </w:rPr>
      </w:pPr>
      <w:bookmarkStart w:id="67" w:name="_Toc106002897"/>
      <w:bookmarkStart w:id="68" w:name="_Toc109895497"/>
      <w:bookmarkStart w:id="69" w:name="_Toc94002329"/>
      <w:r w:rsidRPr="00D705C0">
        <w:t xml:space="preserve">Defining Geographic Areas of </w:t>
      </w:r>
      <w:r w:rsidR="00F43EEA">
        <w:t>C</w:t>
      </w:r>
      <w:r w:rsidRPr="00D705C0">
        <w:t>overage</w:t>
      </w:r>
      <w:r w:rsidR="00EC2C18" w:rsidRPr="00D705C0">
        <w:t xml:space="preserve"> FOR ICA </w:t>
      </w:r>
      <w:r w:rsidR="00F43EEA">
        <w:t>R</w:t>
      </w:r>
      <w:r w:rsidR="00EC2C18" w:rsidRPr="00D705C0">
        <w:t>eport Evaluation</w:t>
      </w:r>
      <w:bookmarkEnd w:id="67"/>
      <w:bookmarkEnd w:id="68"/>
    </w:p>
    <w:p w14:paraId="57D180C5" w14:textId="0451D181" w:rsidR="00EC2C18" w:rsidRPr="00D705C0" w:rsidRDefault="00535662" w:rsidP="00BE32C9">
      <w:pPr>
        <w:pStyle w:val="Heading2"/>
      </w:pPr>
      <w:bookmarkStart w:id="70" w:name="_Toc106002898"/>
      <w:bookmarkStart w:id="71" w:name="_Toc109895498"/>
      <w:r>
        <w:t xml:space="preserve">Overview of Methodology and </w:t>
      </w:r>
      <w:r w:rsidR="00963F0B">
        <w:t xml:space="preserve">Empirical </w:t>
      </w:r>
      <w:r>
        <w:t>Analyses of Service Areas</w:t>
      </w:r>
      <w:bookmarkEnd w:id="70"/>
      <w:bookmarkEnd w:id="71"/>
      <w:r w:rsidR="00EC2C18" w:rsidRPr="00D705C0">
        <w:t xml:space="preserve">  </w:t>
      </w:r>
    </w:p>
    <w:p w14:paraId="1F52C391" w14:textId="45C4AD85" w:rsidR="00963F0B" w:rsidRPr="00D705C0" w:rsidRDefault="00963F0B" w:rsidP="00BE32C9">
      <w:r>
        <w:t>This ICA Report develops several economic a</w:t>
      </w:r>
      <w:r w:rsidRPr="00D705C0">
        <w:t xml:space="preserve">nalyses </w:t>
      </w:r>
      <w:r w:rsidR="006201E6">
        <w:t xml:space="preserve">for independent </w:t>
      </w:r>
      <w:r>
        <w:t>evaluati</w:t>
      </w:r>
      <w:r w:rsidR="006201E6">
        <w:t>on</w:t>
      </w:r>
      <w:r>
        <w:t xml:space="preserve"> of pricing/competition and capacity/evaluation that </w:t>
      </w:r>
      <w:r w:rsidR="006201E6">
        <w:t>use</w:t>
      </w:r>
      <w:r w:rsidRPr="00D705C0">
        <w:t xml:space="preserve"> </w:t>
      </w:r>
      <w:r>
        <w:t>geographic areas or service areas.</w:t>
      </w:r>
      <w:r w:rsidR="006201E6">
        <w:t xml:space="preserve"> These include </w:t>
      </w:r>
      <w:r w:rsidR="00C826B4">
        <w:t xml:space="preserve">analysis of the </w:t>
      </w:r>
      <w:r w:rsidR="006201E6">
        <w:t xml:space="preserve">scope of area served by existing or new BCH facilities, identification of alternatives serving patient populations, utilization, share, diversion or predicted shifts from one location to another </w:t>
      </w:r>
      <w:r w:rsidR="00C826B4">
        <w:t xml:space="preserve">location </w:t>
      </w:r>
      <w:r w:rsidR="006201E6">
        <w:t>and pricing among others</w:t>
      </w:r>
      <w:r>
        <w:t>.</w:t>
      </w:r>
      <w:r w:rsidRPr="00D705C0">
        <w:t xml:space="preserve"> </w:t>
      </w:r>
    </w:p>
    <w:p w14:paraId="16344A0B" w14:textId="554263D1" w:rsidR="00535662" w:rsidRDefault="006201E6" w:rsidP="00BE32C9">
      <w:r>
        <w:t>Specifically, e</w:t>
      </w:r>
      <w:r w:rsidR="00535662">
        <w:t>conomic analyses involve assessment of individual BCH facilities (e.g., Waltham) and the patient population served by these facilities for specific services (e.g., MRIs) as well as the alternative facilities that are or could be used by that patient population</w:t>
      </w:r>
      <w:r w:rsidR="00C826B4">
        <w:t xml:space="preserve"> – or from whom shifts to the expanded or new service could occur</w:t>
      </w:r>
      <w:r w:rsidR="00535662">
        <w:t xml:space="preserve">. Economic analysis of patient populations and alternative providers in healthcare economics </w:t>
      </w:r>
      <w:r w:rsidR="00963F0B">
        <w:t>often</w:t>
      </w:r>
      <w:r w:rsidR="00535662">
        <w:t xml:space="preserve"> use the concept of Primary Service Areas (“PSAs”), including 75% PSAs.</w:t>
      </w:r>
      <w:r w:rsidR="00535662">
        <w:rPr>
          <w:rStyle w:val="FootnoteReference"/>
        </w:rPr>
        <w:footnoteReference w:id="37"/>
      </w:r>
      <w:r w:rsidR="00B8561B">
        <w:t xml:space="preserve"> </w:t>
      </w:r>
    </w:p>
    <w:p w14:paraId="6F093E64" w14:textId="6EFC27DB" w:rsidR="00535662" w:rsidRDefault="00535662" w:rsidP="00BE32C9">
      <w:r>
        <w:t xml:space="preserve">To address the ICA questions for each of the three facilities that BCH is renovating or constructing, FTI conducted independent analysis of PSAs that adapted standard methods for evaluation of service lines and boundaries of geographic areas. This independent </w:t>
      </w:r>
      <w:r>
        <w:lastRenderedPageBreak/>
        <w:t>analysis required methods for defining and applying PSAs for facilities with existing services and for those without the specific service, including entirely new facilities.</w:t>
      </w:r>
    </w:p>
    <w:p w14:paraId="50AB7D96" w14:textId="1684ED2B" w:rsidR="00535662" w:rsidRDefault="00535662" w:rsidP="00BE32C9">
      <w:r>
        <w:t xml:space="preserve">We generated service areas for each of the relevant services (MRI, ASC, and all imaging) </w:t>
      </w:r>
      <w:r w:rsidR="007B02BB">
        <w:t xml:space="preserve">that </w:t>
      </w:r>
      <w:r w:rsidR="00421013">
        <w:t>will be</w:t>
      </w:r>
      <w:r w:rsidR="007B02BB">
        <w:t xml:space="preserve"> </w:t>
      </w:r>
      <w:r w:rsidR="00C826B4">
        <w:t>added or modified at</w:t>
      </w:r>
      <w:r>
        <w:t xml:space="preserve"> </w:t>
      </w:r>
      <w:r w:rsidR="00C826B4">
        <w:t>a</w:t>
      </w:r>
      <w:r>
        <w:t xml:space="preserve"> facility</w:t>
      </w:r>
      <w:r w:rsidR="00C826B4">
        <w:t xml:space="preserve">. The service area analysis </w:t>
      </w:r>
      <w:r w:rsidR="00421013">
        <w:t>evaluates</w:t>
      </w:r>
      <w:r w:rsidR="00C826B4">
        <w:t xml:space="preserve"> data based on current utilization </w:t>
      </w:r>
      <w:r w:rsidR="00336C87">
        <w:t xml:space="preserve">patterns </w:t>
      </w:r>
      <w:r w:rsidR="005A4906">
        <w:t xml:space="preserve">(derived from the claims data) </w:t>
      </w:r>
      <w:r w:rsidR="00336C87">
        <w:t xml:space="preserve">of patients and their characteristics in </w:t>
      </w:r>
      <w:r w:rsidR="00B8561B">
        <w:t xml:space="preserve">a </w:t>
      </w:r>
      <w:r w:rsidR="00336C87">
        <w:t xml:space="preserve">geographic area from which we expect most of the patients to emanate. </w:t>
      </w:r>
      <w:r>
        <w:t xml:space="preserve">For facilities that already offered a service (e.g., MRI), the service area </w:t>
      </w:r>
      <w:r w:rsidR="00DB02E2">
        <w:t xml:space="preserve">was generated </w:t>
      </w:r>
      <w:r>
        <w:t xml:space="preserve">by identifying the closest ZIP codes to that facility from which 75% of the specific service line’s </w:t>
      </w:r>
      <w:r w:rsidR="00336C87">
        <w:t xml:space="preserve">current </w:t>
      </w:r>
      <w:r>
        <w:t xml:space="preserve">visits from that facility originate. </w:t>
      </w:r>
    </w:p>
    <w:p w14:paraId="5DFDB5B0" w14:textId="58426444" w:rsidR="00535662" w:rsidRDefault="00535662" w:rsidP="00BE32C9">
      <w:r>
        <w:t xml:space="preserve">For facilities that don’t yet offer the specific service (or any service), we generated service areas by determining the service areas for all similar </w:t>
      </w:r>
      <w:r w:rsidR="00DB02E2">
        <w:t xml:space="preserve">BCH </w:t>
      </w:r>
      <w:r>
        <w:t xml:space="preserve">facilities (hospital satellites) that had the service according to the method described above. According to this method, the distance of the ZIP code in the service area that was farthest from the facility was considered as the radius of a circle, originating from the facility. This theoretical circle would surround the centroids of all the ZIP codes in the service area. Using the radii for the facilities that already exist and are providing the specific service, we calculated the </w:t>
      </w:r>
      <w:r w:rsidRPr="00505EC4">
        <w:rPr>
          <w:i/>
          <w:iCs/>
        </w:rPr>
        <w:t xml:space="preserve">average </w:t>
      </w:r>
      <w:r w:rsidRPr="00421013">
        <w:t>radius</w:t>
      </w:r>
      <w:r>
        <w:t xml:space="preserve"> for these facilities and then assigned all the ZIP codes within that distance of the </w:t>
      </w:r>
      <w:r w:rsidRPr="00716BE9">
        <w:rPr>
          <w:i/>
          <w:iCs/>
        </w:rPr>
        <w:t>new</w:t>
      </w:r>
      <w:r>
        <w:t xml:space="preserve"> facility as that new facility’s service area. </w:t>
      </w:r>
    </w:p>
    <w:p w14:paraId="4BB427CB" w14:textId="060D76BF" w:rsidR="00963F0B" w:rsidRPr="00D705C0" w:rsidRDefault="00963F0B" w:rsidP="00BE32C9">
      <w:r>
        <w:t xml:space="preserve">In addition to the independent analysis of pricing/competition and capacity utilization in </w:t>
      </w:r>
      <w:r w:rsidR="00DB02E2">
        <w:t xml:space="preserve">these defined </w:t>
      </w:r>
      <w:r>
        <w:t xml:space="preserve">service </w:t>
      </w:r>
      <w:r w:rsidRPr="00421013">
        <w:t>areas, this report considers the narrative in BCH’s application, which identifies several services involved in</w:t>
      </w:r>
      <w:r w:rsidRPr="00D705C0">
        <w:t xml:space="preserve"> the Proposed Project.</w:t>
      </w:r>
      <w:r w:rsidRPr="00D705C0">
        <w:rPr>
          <w:rStyle w:val="FootnoteReference"/>
        </w:rPr>
        <w:footnoteReference w:id="38"/>
      </w:r>
      <w:r w:rsidRPr="00D705C0">
        <w:t xml:space="preserve"> These are more fully delineated in BCH’s supplemental responses to DoN questions.</w:t>
      </w:r>
      <w:r w:rsidRPr="00D705C0">
        <w:rPr>
          <w:rStyle w:val="FootnoteReference"/>
        </w:rPr>
        <w:footnoteReference w:id="39"/>
      </w:r>
      <w:r w:rsidRPr="00D705C0">
        <w:t xml:space="preserve"> </w:t>
      </w:r>
      <w:r>
        <w:t>The BCH Application also presents utilization or other data using</w:t>
      </w:r>
      <w:r w:rsidRPr="00D705C0">
        <w:t xml:space="preserve"> HSA geographic areas of coverage are determined by Massachusetts Department of Health’s Executive Office of Health &amp; Human Services Regions.</w:t>
      </w:r>
      <w:r w:rsidRPr="00D705C0">
        <w:rPr>
          <w:rStyle w:val="FootnoteReference"/>
        </w:rPr>
        <w:footnoteReference w:id="40"/>
      </w:r>
      <w:r w:rsidRPr="00D705C0">
        <w:t xml:space="preserve"> These regions include 6 collections of zip-codes that are grouped into the Western, Central, Northeast, Metro West, Southeast and Boston regions. </w:t>
      </w:r>
    </w:p>
    <w:p w14:paraId="68597A42" w14:textId="2DE1A055" w:rsidR="00963F0B" w:rsidRDefault="00963F0B" w:rsidP="00BE32C9">
      <w:pPr>
        <w:pStyle w:val="Heading2"/>
      </w:pPr>
      <w:bookmarkStart w:id="73" w:name="_Toc106002899"/>
      <w:bookmarkStart w:id="74" w:name="_Toc109895499"/>
      <w:r>
        <w:t xml:space="preserve">Overview of BCH and </w:t>
      </w:r>
      <w:r w:rsidR="007D6C06">
        <w:t xml:space="preserve">Major Health System </w:t>
      </w:r>
      <w:bookmarkEnd w:id="73"/>
      <w:r w:rsidR="00BD215C">
        <w:t>with Children’s Health Services</w:t>
      </w:r>
      <w:bookmarkEnd w:id="74"/>
    </w:p>
    <w:p w14:paraId="7232C4C3" w14:textId="3D5EB6F5" w:rsidR="00535662" w:rsidRDefault="00535662" w:rsidP="004F34D5">
      <w:r w:rsidRPr="009A219A">
        <w:t xml:space="preserve">Figure 1 depicts the hospital or hospital satellite locations of health systems with </w:t>
      </w:r>
      <w:r w:rsidR="00A80407">
        <w:t xml:space="preserve">facilities that include </w:t>
      </w:r>
      <w:r w:rsidR="00EF4DD3">
        <w:t xml:space="preserve">pediatric facilities or </w:t>
      </w:r>
      <w:r w:rsidR="007D6C06">
        <w:t>“</w:t>
      </w:r>
      <w:r w:rsidRPr="009A219A">
        <w:t>children’s hospitals</w:t>
      </w:r>
      <w:r w:rsidR="007D6C06">
        <w:t xml:space="preserve">” as defined </w:t>
      </w:r>
      <w:r w:rsidR="00EF4DD3">
        <w:t>above</w:t>
      </w:r>
      <w:r w:rsidRPr="009A219A">
        <w:t xml:space="preserve">. The map </w:t>
      </w:r>
      <w:r w:rsidR="00EF4DD3">
        <w:t>identifies the</w:t>
      </w:r>
      <w:r w:rsidR="008A5E2B">
        <w:t xml:space="preserve"> </w:t>
      </w:r>
      <w:r w:rsidRPr="009A219A">
        <w:t xml:space="preserve">children’s hospital </w:t>
      </w:r>
      <w:r w:rsidR="007D6C06">
        <w:t xml:space="preserve">or pediatric facility </w:t>
      </w:r>
      <w:r w:rsidRPr="009A219A">
        <w:t xml:space="preserve">location (with </w:t>
      </w:r>
      <w:r w:rsidR="00EF4DD3">
        <w:t xml:space="preserve">a </w:t>
      </w:r>
      <w:r w:rsidRPr="009A219A">
        <w:t xml:space="preserve">star) as well as the other hospitals or satellites for each health system </w:t>
      </w:r>
      <w:r w:rsidR="007D6C06">
        <w:t>in Massachusetts</w:t>
      </w:r>
      <w:r w:rsidRPr="009A219A">
        <w:t xml:space="preserve"> (shown in </w:t>
      </w:r>
      <w:r w:rsidRPr="009A219A">
        <w:fldChar w:fldCharType="begin"/>
      </w:r>
      <w:r w:rsidRPr="009A219A">
        <w:instrText xml:space="preserve"> REF _Ref105774396 \h  \* MERGEFORMAT </w:instrText>
      </w:r>
      <w:r w:rsidRPr="009A219A">
        <w:fldChar w:fldCharType="separate"/>
      </w:r>
      <w:r w:rsidR="00CE7C62" w:rsidRPr="00D81D24">
        <w:t xml:space="preserve">Figure </w:t>
      </w:r>
      <w:r w:rsidR="00CE7C62">
        <w:rPr>
          <w:noProof/>
        </w:rPr>
        <w:t>1</w:t>
      </w:r>
      <w:r w:rsidRPr="009A219A">
        <w:fldChar w:fldCharType="end"/>
      </w:r>
      <w:r w:rsidR="007D6C06">
        <w:t>)</w:t>
      </w:r>
      <w:r w:rsidR="00A80407">
        <w:t xml:space="preserve"> </w:t>
      </w:r>
      <w:r w:rsidR="007D6C06">
        <w:lastRenderedPageBreak/>
        <w:t>and in the Boston area (</w:t>
      </w:r>
      <w:r w:rsidR="00FC4424">
        <w:fldChar w:fldCharType="begin"/>
      </w:r>
      <w:r w:rsidR="00FC4424">
        <w:instrText xml:space="preserve"> REF _Ref109825710 \h </w:instrText>
      </w:r>
      <w:r w:rsidR="00FC4424">
        <w:fldChar w:fldCharType="separate"/>
      </w:r>
      <w:r w:rsidR="00CE7C62" w:rsidRPr="00F56AA5">
        <w:t xml:space="preserve">Figure </w:t>
      </w:r>
      <w:r w:rsidR="00CE7C62">
        <w:rPr>
          <w:noProof/>
        </w:rPr>
        <w:t>2</w:t>
      </w:r>
      <w:r w:rsidR="00FC4424">
        <w:fldChar w:fldCharType="end"/>
      </w:r>
      <w:r w:rsidR="007D6C06">
        <w:t>)</w:t>
      </w:r>
      <w:r>
        <w:t>.</w:t>
      </w:r>
      <w:r>
        <w:rPr>
          <w:rStyle w:val="FootnoteReference"/>
        </w:rPr>
        <w:footnoteReference w:id="41"/>
      </w:r>
      <w:r>
        <w:t xml:space="preserve"> There are numerous other hospitals or outpatient locations</w:t>
      </w:r>
      <w:r w:rsidR="00FB136E">
        <w:t xml:space="preserve"> in the state</w:t>
      </w:r>
      <w:r w:rsidR="00AE6FC9">
        <w:t xml:space="preserve"> providing care to children</w:t>
      </w:r>
      <w:r w:rsidR="00FB136E">
        <w:t xml:space="preserve">, </w:t>
      </w:r>
      <w:r w:rsidR="00EF4DD3">
        <w:t xml:space="preserve">that </w:t>
      </w:r>
      <w:r w:rsidR="00FB136E">
        <w:t>are not included on the map</w:t>
      </w:r>
      <w:r w:rsidR="00EF4DD3">
        <w:t xml:space="preserve"> yet are included in the empirical analyses</w:t>
      </w:r>
      <w:r>
        <w:t>.</w:t>
      </w:r>
      <w:r w:rsidR="008A5E2B">
        <w:rPr>
          <w:rStyle w:val="FootnoteReference"/>
        </w:rPr>
        <w:footnoteReference w:id="42"/>
      </w:r>
      <w:r>
        <w:t xml:space="preserve"> Boston Children’s Main Campus and its satellite locations are depicted on the map</w:t>
      </w:r>
      <w:r w:rsidR="00FB136E">
        <w:t xml:space="preserve">; </w:t>
      </w:r>
      <w:r>
        <w:t xml:space="preserve">BCH and Mass General </w:t>
      </w:r>
      <w:r w:rsidR="00FB136E">
        <w:t>Brigham (depicted with the MassGeneral Hospital for Children as well as other facilities in the health system</w:t>
      </w:r>
      <w:r w:rsidR="00EF4DD3">
        <w:t>)</w:t>
      </w:r>
      <w:r w:rsidR="00FB136E">
        <w:t xml:space="preserve">, </w:t>
      </w:r>
      <w:r>
        <w:t xml:space="preserve">have the largest number of facilities in the area. </w:t>
      </w:r>
      <w:r w:rsidR="00EF4DD3">
        <w:t xml:space="preserve">Other entities on the map include </w:t>
      </w:r>
      <w:r>
        <w:t xml:space="preserve">Boston Medical </w:t>
      </w:r>
      <w:r w:rsidR="00EF4DD3">
        <w:t>Center,</w:t>
      </w:r>
      <w:r>
        <w:t xml:space="preserve"> Tufts Medical Center with its main hospital</w:t>
      </w:r>
      <w:r w:rsidR="00FB136E">
        <w:t xml:space="preserve"> and </w:t>
      </w:r>
      <w:r>
        <w:t>children’s hospital location</w:t>
      </w:r>
      <w:r w:rsidR="00EF4DD3">
        <w:t xml:space="preserve">, </w:t>
      </w:r>
      <w:r>
        <w:t>Baystate Health and UMass Memorial Health</w:t>
      </w:r>
      <w:r w:rsidR="00EF4DD3">
        <w:t>, each with</w:t>
      </w:r>
      <w:r>
        <w:t xml:space="preserve"> have several locations, located outside of the immediate Boston area.</w:t>
      </w:r>
      <w:r w:rsidR="00FB136E">
        <w:t xml:space="preserve"> </w:t>
      </w:r>
    </w:p>
    <w:p w14:paraId="791F3DF8" w14:textId="5131A400" w:rsidR="006201E6" w:rsidRPr="00D81D24" w:rsidRDefault="006201E6" w:rsidP="00BE32C9">
      <w:pPr>
        <w:pStyle w:val="Caption"/>
      </w:pPr>
      <w:bookmarkStart w:id="75" w:name="_Ref105774396"/>
      <w:bookmarkStart w:id="76" w:name="_Toc109901086"/>
      <w:r w:rsidRPr="00D81D24">
        <w:t xml:space="preserve">Figure </w:t>
      </w:r>
      <w:fldSimple w:instr=" SEQ Figure \* ARABIC ">
        <w:r w:rsidR="00CE7C62">
          <w:rPr>
            <w:noProof/>
          </w:rPr>
          <w:t>1</w:t>
        </w:r>
      </w:fldSimple>
      <w:bookmarkEnd w:id="75"/>
      <w:r w:rsidRPr="00D81D24">
        <w:t>: Overview of Massachusett</w:t>
      </w:r>
      <w:r w:rsidR="00762535" w:rsidRPr="00D81D24">
        <w:t>s</w:t>
      </w:r>
      <w:r w:rsidRPr="00D81D24">
        <w:t xml:space="preserve"> </w:t>
      </w:r>
      <w:r w:rsidR="00762535" w:rsidRPr="00D81D24">
        <w:t>Health Systems with</w:t>
      </w:r>
      <w:r w:rsidRPr="00D81D24">
        <w:t xml:space="preserve"> Children’s Hospitals</w:t>
      </w:r>
      <w:bookmarkEnd w:id="76"/>
    </w:p>
    <w:p w14:paraId="5298E17A" w14:textId="5F249301" w:rsidR="00B40939" w:rsidRDefault="00B40939" w:rsidP="00B40939">
      <w:pPr>
        <w:numPr>
          <w:ilvl w:val="0"/>
          <w:numId w:val="0"/>
        </w:numPr>
        <w:spacing w:before="0" w:after="0"/>
        <w:ind w:left="446"/>
        <w:jc w:val="center"/>
      </w:pPr>
      <w:r>
        <w:rPr>
          <w:noProof/>
        </w:rPr>
        <w:drawing>
          <wp:inline distT="0" distB="0" distL="0" distR="0" wp14:anchorId="3CFA9A47" wp14:editId="102D266B">
            <wp:extent cx="3189514" cy="2070467"/>
            <wp:effectExtent l="0" t="0" r="0" b="6350"/>
            <wp:docPr id="20" name="Picture 20" descr="Map of Massachusetts, multiple colored dots indicating locations of Massachusetts health systems across the state with children's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 of Massachusetts, multiple colored dots indicating locations of Massachusetts health systems across the state with children's hospital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5258" cy="2171568"/>
                    </a:xfrm>
                    <a:prstGeom prst="rect">
                      <a:avLst/>
                    </a:prstGeom>
                    <a:noFill/>
                    <a:ln>
                      <a:noFill/>
                    </a:ln>
                  </pic:spPr>
                </pic:pic>
              </a:graphicData>
            </a:graphic>
          </wp:inline>
        </w:drawing>
      </w:r>
    </w:p>
    <w:tbl>
      <w:tblPr>
        <w:tblStyle w:val="GridTable4-Accent1"/>
        <w:tblW w:w="0" w:type="auto"/>
        <w:tblInd w:w="175" w:type="dxa"/>
        <w:tblLook w:val="04A0" w:firstRow="1" w:lastRow="0" w:firstColumn="1" w:lastColumn="0" w:noHBand="0" w:noVBand="1"/>
      </w:tblPr>
      <w:tblGrid>
        <w:gridCol w:w="1440"/>
        <w:gridCol w:w="4404"/>
        <w:gridCol w:w="3246"/>
      </w:tblGrid>
      <w:tr w:rsidR="00870D59" w:rsidRPr="00CC3C8B" w14:paraId="0BA202D8" w14:textId="77777777" w:rsidTr="00DB7F46">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134F591" w14:textId="77777777" w:rsidR="00870D59" w:rsidRPr="00CC3C8B" w:rsidRDefault="00870D59" w:rsidP="006208FD">
            <w:pPr>
              <w:pStyle w:val="BodyText"/>
              <w:spacing w:before="0"/>
              <w:rPr>
                <w:rFonts w:eastAsiaTheme="minorEastAsia"/>
                <w:sz w:val="9"/>
                <w:szCs w:val="9"/>
              </w:rPr>
            </w:pPr>
            <w:bookmarkStart w:id="77" w:name="_Ref106348587"/>
            <w:bookmarkStart w:id="78" w:name="_Ref106348582"/>
            <w:r w:rsidRPr="00CC3C8B">
              <w:rPr>
                <w:rFonts w:eastAsiaTheme="minorEastAsia"/>
                <w:sz w:val="9"/>
                <w:szCs w:val="9"/>
              </w:rPr>
              <w:t>Health System</w:t>
            </w:r>
          </w:p>
        </w:tc>
        <w:tc>
          <w:tcPr>
            <w:tcW w:w="4404" w:type="dxa"/>
            <w:hideMark/>
          </w:tcPr>
          <w:p w14:paraId="07BD742D" w14:textId="77777777" w:rsidR="00870D59" w:rsidRPr="00CC3C8B" w:rsidRDefault="00870D59" w:rsidP="006208FD">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9"/>
                <w:szCs w:val="9"/>
              </w:rPr>
            </w:pPr>
            <w:r w:rsidRPr="00CC3C8B">
              <w:rPr>
                <w:rFonts w:eastAsiaTheme="minorEastAsia"/>
                <w:sz w:val="9"/>
                <w:szCs w:val="9"/>
              </w:rPr>
              <w:t>Facility Name</w:t>
            </w:r>
          </w:p>
        </w:tc>
        <w:tc>
          <w:tcPr>
            <w:tcW w:w="3246" w:type="dxa"/>
            <w:noWrap/>
            <w:hideMark/>
          </w:tcPr>
          <w:p w14:paraId="0A1E942E" w14:textId="77777777" w:rsidR="00870D59" w:rsidRPr="00CC3C8B" w:rsidRDefault="00870D59" w:rsidP="006208FD">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9"/>
                <w:szCs w:val="9"/>
              </w:rPr>
            </w:pPr>
            <w:r w:rsidRPr="00CC3C8B">
              <w:rPr>
                <w:rFonts w:eastAsiaTheme="minorEastAsia"/>
                <w:sz w:val="9"/>
                <w:szCs w:val="9"/>
              </w:rPr>
              <w:t>City and Town</w:t>
            </w:r>
          </w:p>
        </w:tc>
      </w:tr>
      <w:tr w:rsidR="00870D59" w:rsidRPr="00CC3C8B" w14:paraId="155376F2"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val="restart"/>
            <w:tcBorders>
              <w:left w:val="single" w:sz="4" w:space="0" w:color="4472C4" w:themeColor="accent1"/>
            </w:tcBorders>
            <w:hideMark/>
          </w:tcPr>
          <w:p w14:paraId="6153DD67" w14:textId="77777777" w:rsidR="00870D59" w:rsidRPr="00F27AB8" w:rsidRDefault="00870D59" w:rsidP="006208FD">
            <w:pPr>
              <w:pStyle w:val="BodyText"/>
              <w:spacing w:before="0"/>
              <w:rPr>
                <w:rFonts w:eastAsiaTheme="minorEastAsia"/>
                <w:sz w:val="9"/>
                <w:szCs w:val="9"/>
              </w:rPr>
            </w:pPr>
            <w:r w:rsidRPr="00F27AB8">
              <w:rPr>
                <w:rFonts w:eastAsiaTheme="minorEastAsia"/>
                <w:sz w:val="9"/>
                <w:szCs w:val="9"/>
              </w:rPr>
              <w:t>Boston Children's Hospital</w:t>
            </w:r>
          </w:p>
        </w:tc>
        <w:tc>
          <w:tcPr>
            <w:tcW w:w="4404" w:type="dxa"/>
            <w:hideMark/>
          </w:tcPr>
          <w:p w14:paraId="69619673"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 Children's at Waltham</w:t>
            </w:r>
          </w:p>
        </w:tc>
        <w:tc>
          <w:tcPr>
            <w:tcW w:w="3246" w:type="dxa"/>
            <w:noWrap/>
            <w:hideMark/>
          </w:tcPr>
          <w:p w14:paraId="5FD5B868"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Waltham</w:t>
            </w:r>
          </w:p>
        </w:tc>
      </w:tr>
      <w:tr w:rsidR="00870D59" w:rsidRPr="00CC3C8B" w14:paraId="550A270B"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3E06D949" w14:textId="77777777" w:rsidR="00870D59" w:rsidRPr="00F27AB8" w:rsidRDefault="00870D59" w:rsidP="006208FD">
            <w:pPr>
              <w:pStyle w:val="BodyText"/>
              <w:spacing w:before="0"/>
              <w:rPr>
                <w:rFonts w:eastAsiaTheme="minorEastAsia"/>
                <w:sz w:val="9"/>
                <w:szCs w:val="9"/>
              </w:rPr>
            </w:pPr>
          </w:p>
        </w:tc>
        <w:tc>
          <w:tcPr>
            <w:tcW w:w="4404" w:type="dxa"/>
            <w:hideMark/>
          </w:tcPr>
          <w:p w14:paraId="27CAA847"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 Children's at North Dartmouth</w:t>
            </w:r>
          </w:p>
        </w:tc>
        <w:tc>
          <w:tcPr>
            <w:tcW w:w="3246" w:type="dxa"/>
            <w:noWrap/>
            <w:hideMark/>
          </w:tcPr>
          <w:p w14:paraId="24A66EB5"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Dartmouth</w:t>
            </w:r>
          </w:p>
        </w:tc>
      </w:tr>
      <w:tr w:rsidR="00870D59" w:rsidRPr="00CC3C8B" w14:paraId="2F32A644"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0188AAB0" w14:textId="77777777" w:rsidR="00870D59" w:rsidRPr="00F27AB8" w:rsidRDefault="00870D59" w:rsidP="006208FD">
            <w:pPr>
              <w:pStyle w:val="BodyText"/>
              <w:spacing w:before="0"/>
              <w:rPr>
                <w:rFonts w:eastAsiaTheme="minorEastAsia"/>
                <w:sz w:val="9"/>
                <w:szCs w:val="9"/>
              </w:rPr>
            </w:pPr>
          </w:p>
        </w:tc>
        <w:tc>
          <w:tcPr>
            <w:tcW w:w="4404" w:type="dxa"/>
            <w:hideMark/>
          </w:tcPr>
          <w:p w14:paraId="7308E5AB"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 Children's at Brookline</w:t>
            </w:r>
          </w:p>
        </w:tc>
        <w:tc>
          <w:tcPr>
            <w:tcW w:w="3246" w:type="dxa"/>
            <w:noWrap/>
            <w:hideMark/>
          </w:tcPr>
          <w:p w14:paraId="375FD91E"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Brookline</w:t>
            </w:r>
          </w:p>
        </w:tc>
      </w:tr>
      <w:tr w:rsidR="00870D59" w:rsidRPr="00CC3C8B" w14:paraId="1024CE14"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4521474F" w14:textId="77777777" w:rsidR="00870D59" w:rsidRPr="00F27AB8" w:rsidRDefault="00870D59" w:rsidP="006208FD">
            <w:pPr>
              <w:pStyle w:val="BodyText"/>
              <w:spacing w:before="0"/>
              <w:rPr>
                <w:rFonts w:eastAsiaTheme="minorEastAsia"/>
                <w:sz w:val="9"/>
                <w:szCs w:val="9"/>
              </w:rPr>
            </w:pPr>
          </w:p>
        </w:tc>
        <w:tc>
          <w:tcPr>
            <w:tcW w:w="4404" w:type="dxa"/>
            <w:hideMark/>
          </w:tcPr>
          <w:p w14:paraId="28B97BEA"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 Children's at Lexington</w:t>
            </w:r>
          </w:p>
        </w:tc>
        <w:tc>
          <w:tcPr>
            <w:tcW w:w="3246" w:type="dxa"/>
            <w:noWrap/>
            <w:hideMark/>
          </w:tcPr>
          <w:p w14:paraId="6ED38E28"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Lexington</w:t>
            </w:r>
          </w:p>
        </w:tc>
      </w:tr>
      <w:tr w:rsidR="00870D59" w:rsidRPr="00CC3C8B" w14:paraId="25137D8B"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6F0299E6" w14:textId="77777777" w:rsidR="00870D59" w:rsidRPr="00F27AB8" w:rsidRDefault="00870D59" w:rsidP="006208FD">
            <w:pPr>
              <w:pStyle w:val="BodyText"/>
              <w:spacing w:before="0"/>
              <w:rPr>
                <w:rFonts w:eastAsiaTheme="minorEastAsia"/>
                <w:sz w:val="9"/>
                <w:szCs w:val="9"/>
              </w:rPr>
            </w:pPr>
          </w:p>
        </w:tc>
        <w:tc>
          <w:tcPr>
            <w:tcW w:w="4404" w:type="dxa"/>
            <w:hideMark/>
          </w:tcPr>
          <w:p w14:paraId="51D6F514"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 Children's at Peabody</w:t>
            </w:r>
          </w:p>
        </w:tc>
        <w:tc>
          <w:tcPr>
            <w:tcW w:w="3246" w:type="dxa"/>
            <w:noWrap/>
            <w:hideMark/>
          </w:tcPr>
          <w:p w14:paraId="3E84E917"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Peabody</w:t>
            </w:r>
          </w:p>
        </w:tc>
      </w:tr>
      <w:tr w:rsidR="00870D59" w:rsidRPr="00CC3C8B" w14:paraId="72025453"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77C3F95C" w14:textId="77777777" w:rsidR="00870D59" w:rsidRPr="00F27AB8" w:rsidRDefault="00870D59" w:rsidP="006208FD">
            <w:pPr>
              <w:pStyle w:val="BodyText"/>
              <w:spacing w:before="0"/>
              <w:rPr>
                <w:rFonts w:eastAsiaTheme="minorEastAsia"/>
                <w:sz w:val="9"/>
                <w:szCs w:val="9"/>
              </w:rPr>
            </w:pPr>
          </w:p>
        </w:tc>
        <w:tc>
          <w:tcPr>
            <w:tcW w:w="4404" w:type="dxa"/>
            <w:hideMark/>
          </w:tcPr>
          <w:p w14:paraId="344243A5"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 Children's Hospital*</w:t>
            </w:r>
          </w:p>
        </w:tc>
        <w:tc>
          <w:tcPr>
            <w:tcW w:w="3246" w:type="dxa"/>
            <w:noWrap/>
            <w:hideMark/>
          </w:tcPr>
          <w:p w14:paraId="6D29E948"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w:t>
            </w:r>
          </w:p>
        </w:tc>
      </w:tr>
      <w:tr w:rsidR="00870D59" w:rsidRPr="00CC3C8B" w14:paraId="2DFB7166"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5E69E033" w14:textId="77777777" w:rsidR="00870D59" w:rsidRPr="00F27AB8" w:rsidRDefault="00870D59" w:rsidP="006208FD">
            <w:pPr>
              <w:pStyle w:val="BodyText"/>
              <w:spacing w:before="0"/>
              <w:rPr>
                <w:rFonts w:eastAsiaTheme="minorEastAsia"/>
                <w:sz w:val="9"/>
                <w:szCs w:val="9"/>
              </w:rPr>
            </w:pPr>
          </w:p>
        </w:tc>
        <w:tc>
          <w:tcPr>
            <w:tcW w:w="4404" w:type="dxa"/>
            <w:hideMark/>
          </w:tcPr>
          <w:p w14:paraId="1ECADBAC"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 Children's at Weymouth (New Location)</w:t>
            </w:r>
          </w:p>
        </w:tc>
        <w:tc>
          <w:tcPr>
            <w:tcW w:w="3246" w:type="dxa"/>
            <w:noWrap/>
            <w:hideMark/>
          </w:tcPr>
          <w:p w14:paraId="675A1279"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Weymouth</w:t>
            </w:r>
          </w:p>
        </w:tc>
      </w:tr>
      <w:tr w:rsidR="00870D59" w:rsidRPr="00CC3C8B" w14:paraId="4E901833"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223A19DE" w14:textId="77777777" w:rsidR="00870D59" w:rsidRPr="00F27AB8" w:rsidRDefault="00870D59" w:rsidP="006208FD">
            <w:pPr>
              <w:pStyle w:val="BodyText"/>
              <w:spacing w:before="0"/>
              <w:rPr>
                <w:rFonts w:eastAsiaTheme="minorEastAsia"/>
                <w:sz w:val="9"/>
                <w:szCs w:val="9"/>
              </w:rPr>
            </w:pPr>
          </w:p>
        </w:tc>
        <w:tc>
          <w:tcPr>
            <w:tcW w:w="4404" w:type="dxa"/>
            <w:hideMark/>
          </w:tcPr>
          <w:p w14:paraId="29FF1BE3"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 Children's at Weymouth (Current Location)</w:t>
            </w:r>
          </w:p>
        </w:tc>
        <w:tc>
          <w:tcPr>
            <w:tcW w:w="3246" w:type="dxa"/>
            <w:noWrap/>
            <w:hideMark/>
          </w:tcPr>
          <w:p w14:paraId="3ADD9CD2"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Weymouth</w:t>
            </w:r>
          </w:p>
        </w:tc>
      </w:tr>
      <w:tr w:rsidR="00870D59" w:rsidRPr="00CC3C8B" w14:paraId="605FE7D3"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08FD2ECD" w14:textId="77777777" w:rsidR="00870D59" w:rsidRPr="00F27AB8" w:rsidRDefault="00870D59" w:rsidP="006208FD">
            <w:pPr>
              <w:pStyle w:val="BodyText"/>
              <w:spacing w:before="0"/>
              <w:rPr>
                <w:rFonts w:eastAsiaTheme="minorEastAsia"/>
                <w:sz w:val="9"/>
                <w:szCs w:val="9"/>
              </w:rPr>
            </w:pPr>
          </w:p>
        </w:tc>
        <w:tc>
          <w:tcPr>
            <w:tcW w:w="4404" w:type="dxa"/>
            <w:hideMark/>
          </w:tcPr>
          <w:p w14:paraId="73F932E1"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 Children's at Needham (New Location)</w:t>
            </w:r>
          </w:p>
        </w:tc>
        <w:tc>
          <w:tcPr>
            <w:tcW w:w="3246" w:type="dxa"/>
            <w:noWrap/>
            <w:hideMark/>
          </w:tcPr>
          <w:p w14:paraId="3A21DBB9"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Needham</w:t>
            </w:r>
          </w:p>
        </w:tc>
      </w:tr>
      <w:tr w:rsidR="00870D59" w:rsidRPr="00CC3C8B" w14:paraId="4FC230D9"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val="restart"/>
            <w:tcBorders>
              <w:left w:val="single" w:sz="4" w:space="0" w:color="4472C4" w:themeColor="accent1"/>
            </w:tcBorders>
            <w:noWrap/>
            <w:hideMark/>
          </w:tcPr>
          <w:p w14:paraId="5A4D6BE2" w14:textId="77777777" w:rsidR="00870D59" w:rsidRPr="00F27AB8" w:rsidRDefault="00870D59" w:rsidP="006208FD">
            <w:pPr>
              <w:pStyle w:val="BodyText"/>
              <w:spacing w:before="0"/>
              <w:rPr>
                <w:rFonts w:eastAsiaTheme="minorEastAsia"/>
                <w:sz w:val="9"/>
                <w:szCs w:val="9"/>
              </w:rPr>
            </w:pPr>
            <w:r w:rsidRPr="00F27AB8">
              <w:rPr>
                <w:rFonts w:eastAsiaTheme="minorEastAsia"/>
                <w:sz w:val="9"/>
                <w:szCs w:val="9"/>
              </w:rPr>
              <w:t>Baystate Health</w:t>
            </w:r>
          </w:p>
        </w:tc>
        <w:tc>
          <w:tcPr>
            <w:tcW w:w="4404" w:type="dxa"/>
            <w:hideMark/>
          </w:tcPr>
          <w:p w14:paraId="67309BF5"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Baystate Behavioral Health- Child Partial Hospitalization Program</w:t>
            </w:r>
          </w:p>
        </w:tc>
        <w:tc>
          <w:tcPr>
            <w:tcW w:w="3246" w:type="dxa"/>
            <w:noWrap/>
            <w:hideMark/>
          </w:tcPr>
          <w:p w14:paraId="4EDC048F"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Holyoke</w:t>
            </w:r>
          </w:p>
        </w:tc>
      </w:tr>
      <w:tr w:rsidR="00870D59" w:rsidRPr="00CC3C8B" w14:paraId="6D29DB1A"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67D8E021" w14:textId="77777777" w:rsidR="00870D59" w:rsidRPr="00F27AB8" w:rsidRDefault="00870D59" w:rsidP="006208FD">
            <w:pPr>
              <w:pStyle w:val="BodyText"/>
              <w:spacing w:before="0"/>
              <w:rPr>
                <w:rFonts w:eastAsiaTheme="minorEastAsia"/>
                <w:sz w:val="9"/>
                <w:szCs w:val="9"/>
              </w:rPr>
            </w:pPr>
          </w:p>
        </w:tc>
        <w:tc>
          <w:tcPr>
            <w:tcW w:w="4404" w:type="dxa"/>
            <w:hideMark/>
          </w:tcPr>
          <w:p w14:paraId="061B3007"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Baystate Brightwood HC/Centro De Sa</w:t>
            </w:r>
          </w:p>
        </w:tc>
        <w:tc>
          <w:tcPr>
            <w:tcW w:w="3246" w:type="dxa"/>
            <w:noWrap/>
            <w:hideMark/>
          </w:tcPr>
          <w:p w14:paraId="5C0E2E72"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Springfield</w:t>
            </w:r>
          </w:p>
        </w:tc>
      </w:tr>
      <w:tr w:rsidR="00870D59" w:rsidRPr="00CC3C8B" w14:paraId="0F778B7C"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79C77877" w14:textId="77777777" w:rsidR="00870D59" w:rsidRPr="00F27AB8" w:rsidRDefault="00870D59" w:rsidP="006208FD">
            <w:pPr>
              <w:pStyle w:val="BodyText"/>
              <w:spacing w:before="0"/>
              <w:rPr>
                <w:rFonts w:eastAsiaTheme="minorEastAsia"/>
                <w:sz w:val="9"/>
                <w:szCs w:val="9"/>
              </w:rPr>
            </w:pPr>
          </w:p>
        </w:tc>
        <w:tc>
          <w:tcPr>
            <w:tcW w:w="4404" w:type="dxa"/>
            <w:hideMark/>
          </w:tcPr>
          <w:p w14:paraId="74656F87"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Baystate Franklin Medical Center Infusion Bus</w:t>
            </w:r>
          </w:p>
        </w:tc>
        <w:tc>
          <w:tcPr>
            <w:tcW w:w="3246" w:type="dxa"/>
            <w:noWrap/>
            <w:hideMark/>
          </w:tcPr>
          <w:p w14:paraId="72748972"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Greenfield</w:t>
            </w:r>
          </w:p>
        </w:tc>
      </w:tr>
      <w:tr w:rsidR="00870D59" w:rsidRPr="00CC3C8B" w14:paraId="193F057B"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782EC0ED" w14:textId="77777777" w:rsidR="00870D59" w:rsidRPr="00F27AB8" w:rsidRDefault="00870D59" w:rsidP="006208FD">
            <w:pPr>
              <w:pStyle w:val="BodyText"/>
              <w:spacing w:before="0"/>
              <w:rPr>
                <w:rFonts w:eastAsiaTheme="minorEastAsia"/>
                <w:sz w:val="9"/>
                <w:szCs w:val="9"/>
              </w:rPr>
            </w:pPr>
          </w:p>
        </w:tc>
        <w:tc>
          <w:tcPr>
            <w:tcW w:w="4404" w:type="dxa"/>
            <w:hideMark/>
          </w:tcPr>
          <w:p w14:paraId="34AC3CBC"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Baystate Franklin Medical Center</w:t>
            </w:r>
          </w:p>
        </w:tc>
        <w:tc>
          <w:tcPr>
            <w:tcW w:w="3246" w:type="dxa"/>
            <w:noWrap/>
            <w:hideMark/>
          </w:tcPr>
          <w:p w14:paraId="4EA2BCDB"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Greenfield</w:t>
            </w:r>
          </w:p>
        </w:tc>
      </w:tr>
      <w:tr w:rsidR="00870D59" w:rsidRPr="00CC3C8B" w14:paraId="3C48CF32"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21C1F9FB" w14:textId="77777777" w:rsidR="00870D59" w:rsidRPr="00F27AB8" w:rsidRDefault="00870D59" w:rsidP="006208FD">
            <w:pPr>
              <w:pStyle w:val="BodyText"/>
              <w:spacing w:before="0"/>
              <w:rPr>
                <w:rFonts w:eastAsiaTheme="minorEastAsia"/>
                <w:sz w:val="9"/>
                <w:szCs w:val="9"/>
              </w:rPr>
            </w:pPr>
          </w:p>
        </w:tc>
        <w:tc>
          <w:tcPr>
            <w:tcW w:w="4404" w:type="dxa"/>
            <w:hideMark/>
          </w:tcPr>
          <w:p w14:paraId="299FD1CD"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Baystate Medical Center/Baystate Children's Hospital*</w:t>
            </w:r>
          </w:p>
        </w:tc>
        <w:tc>
          <w:tcPr>
            <w:tcW w:w="3246" w:type="dxa"/>
            <w:noWrap/>
            <w:hideMark/>
          </w:tcPr>
          <w:p w14:paraId="7340611D"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Springfield</w:t>
            </w:r>
          </w:p>
        </w:tc>
      </w:tr>
      <w:tr w:rsidR="00870D59" w:rsidRPr="00CC3C8B" w14:paraId="406203A1"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50418F0C" w14:textId="77777777" w:rsidR="00870D59" w:rsidRPr="00F27AB8" w:rsidRDefault="00870D59" w:rsidP="006208FD">
            <w:pPr>
              <w:pStyle w:val="BodyText"/>
              <w:spacing w:before="0"/>
              <w:rPr>
                <w:rFonts w:eastAsiaTheme="minorEastAsia"/>
                <w:sz w:val="9"/>
                <w:szCs w:val="9"/>
              </w:rPr>
            </w:pPr>
          </w:p>
        </w:tc>
        <w:tc>
          <w:tcPr>
            <w:tcW w:w="4404" w:type="dxa"/>
            <w:hideMark/>
          </w:tcPr>
          <w:p w14:paraId="7E19B00C"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Baystate Noble Hospital</w:t>
            </w:r>
          </w:p>
        </w:tc>
        <w:tc>
          <w:tcPr>
            <w:tcW w:w="3246" w:type="dxa"/>
            <w:noWrap/>
            <w:hideMark/>
          </w:tcPr>
          <w:p w14:paraId="3A83C3C1"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Westfield</w:t>
            </w:r>
          </w:p>
        </w:tc>
      </w:tr>
      <w:tr w:rsidR="00870D59" w:rsidRPr="00CC3C8B" w14:paraId="26DE673A"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0B32087D" w14:textId="77777777" w:rsidR="00870D59" w:rsidRPr="00F27AB8" w:rsidRDefault="00870D59" w:rsidP="006208FD">
            <w:pPr>
              <w:pStyle w:val="BodyText"/>
              <w:spacing w:before="0"/>
              <w:rPr>
                <w:rFonts w:eastAsiaTheme="minorEastAsia"/>
                <w:sz w:val="9"/>
                <w:szCs w:val="9"/>
              </w:rPr>
            </w:pPr>
          </w:p>
        </w:tc>
        <w:tc>
          <w:tcPr>
            <w:tcW w:w="4404" w:type="dxa"/>
            <w:hideMark/>
          </w:tcPr>
          <w:p w14:paraId="197C6473"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Baystate Wing Hospital and Medical Centers</w:t>
            </w:r>
          </w:p>
        </w:tc>
        <w:tc>
          <w:tcPr>
            <w:tcW w:w="3246" w:type="dxa"/>
            <w:noWrap/>
            <w:hideMark/>
          </w:tcPr>
          <w:p w14:paraId="54265CBA"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Palmer</w:t>
            </w:r>
          </w:p>
        </w:tc>
      </w:tr>
      <w:tr w:rsidR="00870D59" w:rsidRPr="00CC3C8B" w14:paraId="1B434E9E"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val="restart"/>
            <w:tcBorders>
              <w:left w:val="single" w:sz="4" w:space="0" w:color="4472C4" w:themeColor="accent1"/>
            </w:tcBorders>
            <w:noWrap/>
            <w:hideMark/>
          </w:tcPr>
          <w:p w14:paraId="3D2AD05F" w14:textId="77777777" w:rsidR="00870D59" w:rsidRPr="00F27AB8" w:rsidRDefault="00870D59" w:rsidP="006208FD">
            <w:pPr>
              <w:pStyle w:val="BodyText"/>
              <w:spacing w:before="0"/>
              <w:rPr>
                <w:rFonts w:eastAsiaTheme="minorEastAsia"/>
                <w:sz w:val="9"/>
                <w:szCs w:val="9"/>
              </w:rPr>
            </w:pPr>
            <w:r w:rsidRPr="00F27AB8">
              <w:rPr>
                <w:rFonts w:eastAsiaTheme="minorEastAsia"/>
                <w:sz w:val="9"/>
                <w:szCs w:val="9"/>
              </w:rPr>
              <w:t>Boston Medical Center</w:t>
            </w:r>
          </w:p>
        </w:tc>
        <w:tc>
          <w:tcPr>
            <w:tcW w:w="4404" w:type="dxa"/>
            <w:hideMark/>
          </w:tcPr>
          <w:p w14:paraId="2E889E1C"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 Medical Center/Boston Medical Center Pediatrics*</w:t>
            </w:r>
          </w:p>
        </w:tc>
        <w:tc>
          <w:tcPr>
            <w:tcW w:w="3246" w:type="dxa"/>
            <w:noWrap/>
            <w:hideMark/>
          </w:tcPr>
          <w:p w14:paraId="4A266A98"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w:t>
            </w:r>
          </w:p>
        </w:tc>
      </w:tr>
      <w:tr w:rsidR="00870D59" w:rsidRPr="00CC3C8B" w14:paraId="32024B75"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002BD60C" w14:textId="77777777" w:rsidR="00870D59" w:rsidRPr="00F27AB8" w:rsidRDefault="00870D59" w:rsidP="006208FD">
            <w:pPr>
              <w:pStyle w:val="BodyText"/>
              <w:spacing w:before="0"/>
              <w:rPr>
                <w:rFonts w:eastAsiaTheme="minorEastAsia"/>
                <w:sz w:val="9"/>
                <w:szCs w:val="9"/>
              </w:rPr>
            </w:pPr>
          </w:p>
        </w:tc>
        <w:tc>
          <w:tcPr>
            <w:tcW w:w="4404" w:type="dxa"/>
            <w:hideMark/>
          </w:tcPr>
          <w:p w14:paraId="2CBF4B40"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 Med Ctr Radiology at Mattapan</w:t>
            </w:r>
          </w:p>
        </w:tc>
        <w:tc>
          <w:tcPr>
            <w:tcW w:w="3246" w:type="dxa"/>
            <w:noWrap/>
            <w:hideMark/>
          </w:tcPr>
          <w:p w14:paraId="41B69544"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w:t>
            </w:r>
          </w:p>
        </w:tc>
      </w:tr>
      <w:tr w:rsidR="00870D59" w:rsidRPr="00CC3C8B" w14:paraId="5BB96F1E"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1D159462" w14:textId="77777777" w:rsidR="00870D59" w:rsidRPr="00F27AB8" w:rsidRDefault="00870D59" w:rsidP="006208FD">
            <w:pPr>
              <w:pStyle w:val="BodyText"/>
              <w:spacing w:before="0"/>
              <w:rPr>
                <w:rFonts w:eastAsiaTheme="minorEastAsia"/>
                <w:sz w:val="9"/>
                <w:szCs w:val="9"/>
              </w:rPr>
            </w:pPr>
          </w:p>
        </w:tc>
        <w:tc>
          <w:tcPr>
            <w:tcW w:w="4404" w:type="dxa"/>
            <w:hideMark/>
          </w:tcPr>
          <w:p w14:paraId="5FEA3503"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 Med Ctr Radiology at Whittier</w:t>
            </w:r>
          </w:p>
        </w:tc>
        <w:tc>
          <w:tcPr>
            <w:tcW w:w="3246" w:type="dxa"/>
            <w:noWrap/>
            <w:hideMark/>
          </w:tcPr>
          <w:p w14:paraId="3700A3E2"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Tremont</w:t>
            </w:r>
          </w:p>
        </w:tc>
      </w:tr>
      <w:tr w:rsidR="00870D59" w:rsidRPr="00CC3C8B" w14:paraId="4E8E2172"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val="restart"/>
            <w:tcBorders>
              <w:left w:val="single" w:sz="4" w:space="0" w:color="4472C4" w:themeColor="accent1"/>
            </w:tcBorders>
            <w:noWrap/>
            <w:hideMark/>
          </w:tcPr>
          <w:p w14:paraId="73E8B5ED" w14:textId="77777777" w:rsidR="00870D59" w:rsidRPr="00F27AB8" w:rsidRDefault="00870D59" w:rsidP="006208FD">
            <w:pPr>
              <w:pStyle w:val="BodyText"/>
              <w:spacing w:before="0"/>
              <w:rPr>
                <w:rFonts w:eastAsiaTheme="minorEastAsia"/>
                <w:sz w:val="9"/>
                <w:szCs w:val="9"/>
              </w:rPr>
            </w:pPr>
            <w:r w:rsidRPr="00F27AB8">
              <w:rPr>
                <w:rFonts w:eastAsiaTheme="minorEastAsia"/>
                <w:sz w:val="9"/>
                <w:szCs w:val="9"/>
              </w:rPr>
              <w:t>Mass General Brigham</w:t>
            </w:r>
          </w:p>
        </w:tc>
        <w:tc>
          <w:tcPr>
            <w:tcW w:w="4404" w:type="dxa"/>
            <w:hideMark/>
          </w:tcPr>
          <w:p w14:paraId="419831BE"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Massachusetts General Hospital/Mass General Hospital for Children (MGHfC)*</w:t>
            </w:r>
          </w:p>
        </w:tc>
        <w:tc>
          <w:tcPr>
            <w:tcW w:w="3246" w:type="dxa"/>
            <w:noWrap/>
            <w:hideMark/>
          </w:tcPr>
          <w:p w14:paraId="06B92E8D"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w:t>
            </w:r>
          </w:p>
        </w:tc>
      </w:tr>
      <w:tr w:rsidR="00870D59" w:rsidRPr="00CC3C8B" w14:paraId="72E94779"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3DA5FA44" w14:textId="77777777" w:rsidR="00870D59" w:rsidRPr="00F27AB8" w:rsidRDefault="00870D59" w:rsidP="006208FD">
            <w:pPr>
              <w:pStyle w:val="BodyText"/>
              <w:spacing w:before="0"/>
              <w:rPr>
                <w:rFonts w:eastAsiaTheme="minorEastAsia"/>
                <w:sz w:val="9"/>
                <w:szCs w:val="9"/>
              </w:rPr>
            </w:pPr>
          </w:p>
        </w:tc>
        <w:tc>
          <w:tcPr>
            <w:tcW w:w="4404" w:type="dxa"/>
            <w:hideMark/>
          </w:tcPr>
          <w:p w14:paraId="237ED31A"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Mass General Waltham</w:t>
            </w:r>
          </w:p>
        </w:tc>
        <w:tc>
          <w:tcPr>
            <w:tcW w:w="3246" w:type="dxa"/>
            <w:noWrap/>
            <w:hideMark/>
          </w:tcPr>
          <w:p w14:paraId="53756276"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Waltham</w:t>
            </w:r>
          </w:p>
        </w:tc>
      </w:tr>
      <w:tr w:rsidR="00870D59" w:rsidRPr="00CC3C8B" w14:paraId="281CE8E0"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7A67EE5B" w14:textId="77777777" w:rsidR="00870D59" w:rsidRPr="00F27AB8" w:rsidRDefault="00870D59" w:rsidP="006208FD">
            <w:pPr>
              <w:pStyle w:val="BodyText"/>
              <w:spacing w:before="0"/>
              <w:rPr>
                <w:rFonts w:eastAsiaTheme="minorEastAsia"/>
                <w:sz w:val="9"/>
                <w:szCs w:val="9"/>
              </w:rPr>
            </w:pPr>
          </w:p>
        </w:tc>
        <w:tc>
          <w:tcPr>
            <w:tcW w:w="4404" w:type="dxa"/>
            <w:hideMark/>
          </w:tcPr>
          <w:p w14:paraId="00300D94"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Mass General/North Shore Ctr Opt Cr</w:t>
            </w:r>
          </w:p>
        </w:tc>
        <w:tc>
          <w:tcPr>
            <w:tcW w:w="3246" w:type="dxa"/>
            <w:noWrap/>
            <w:hideMark/>
          </w:tcPr>
          <w:p w14:paraId="4E858543"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Danvers</w:t>
            </w:r>
          </w:p>
        </w:tc>
      </w:tr>
      <w:tr w:rsidR="00870D59" w:rsidRPr="00CC3C8B" w14:paraId="54D5D74A"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781EAB6B" w14:textId="77777777" w:rsidR="00870D59" w:rsidRPr="00F27AB8" w:rsidRDefault="00870D59" w:rsidP="006208FD">
            <w:pPr>
              <w:pStyle w:val="BodyText"/>
              <w:spacing w:before="0"/>
              <w:rPr>
                <w:rFonts w:eastAsiaTheme="minorEastAsia"/>
                <w:sz w:val="9"/>
                <w:szCs w:val="9"/>
              </w:rPr>
            </w:pPr>
          </w:p>
        </w:tc>
        <w:tc>
          <w:tcPr>
            <w:tcW w:w="4404" w:type="dxa"/>
            <w:hideMark/>
          </w:tcPr>
          <w:p w14:paraId="4BA3241A"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Brigham And Women's Hospital</w:t>
            </w:r>
          </w:p>
        </w:tc>
        <w:tc>
          <w:tcPr>
            <w:tcW w:w="3246" w:type="dxa"/>
            <w:noWrap/>
            <w:hideMark/>
          </w:tcPr>
          <w:p w14:paraId="4CACD994"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9"/>
                <w:szCs w:val="9"/>
              </w:rPr>
            </w:pPr>
            <w:r w:rsidRPr="00F27AB8">
              <w:rPr>
                <w:rFonts w:eastAsiaTheme="minorEastAsia"/>
                <w:sz w:val="9"/>
                <w:szCs w:val="9"/>
              </w:rPr>
              <w:t>Boston</w:t>
            </w:r>
          </w:p>
        </w:tc>
      </w:tr>
      <w:tr w:rsidR="00870D59" w:rsidRPr="00CC3C8B" w14:paraId="5782E33D"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2AB11FBB" w14:textId="77777777" w:rsidR="00870D59" w:rsidRPr="00F27AB8" w:rsidRDefault="00870D59" w:rsidP="006208FD">
            <w:pPr>
              <w:pStyle w:val="BodyText"/>
              <w:spacing w:before="0"/>
              <w:rPr>
                <w:rFonts w:eastAsiaTheme="minorEastAsia"/>
                <w:sz w:val="9"/>
                <w:szCs w:val="9"/>
              </w:rPr>
            </w:pPr>
          </w:p>
        </w:tc>
        <w:tc>
          <w:tcPr>
            <w:tcW w:w="4404" w:type="dxa"/>
            <w:hideMark/>
          </w:tcPr>
          <w:p w14:paraId="681B12D0"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Brigham &amp; Women Advanced Primary Ca</w:t>
            </w:r>
          </w:p>
        </w:tc>
        <w:tc>
          <w:tcPr>
            <w:tcW w:w="3246" w:type="dxa"/>
            <w:noWrap/>
            <w:hideMark/>
          </w:tcPr>
          <w:p w14:paraId="71AD9325"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9"/>
                <w:szCs w:val="9"/>
              </w:rPr>
            </w:pPr>
            <w:r w:rsidRPr="00F27AB8">
              <w:rPr>
                <w:rFonts w:eastAsiaTheme="minorEastAsia"/>
                <w:sz w:val="9"/>
                <w:szCs w:val="9"/>
              </w:rPr>
              <w:t>Boston</w:t>
            </w:r>
          </w:p>
        </w:tc>
      </w:tr>
      <w:tr w:rsidR="00870D59" w:rsidRPr="00CC3C8B" w14:paraId="5923241A"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53546CAE" w14:textId="77777777" w:rsidR="00870D59" w:rsidRPr="00DB7F46" w:rsidRDefault="00870D59" w:rsidP="006208FD">
            <w:pPr>
              <w:pStyle w:val="BodyText"/>
              <w:spacing w:before="0"/>
              <w:rPr>
                <w:rFonts w:eastAsiaTheme="minorEastAsia"/>
                <w:sz w:val="13"/>
                <w:szCs w:val="13"/>
              </w:rPr>
            </w:pPr>
          </w:p>
        </w:tc>
        <w:tc>
          <w:tcPr>
            <w:tcW w:w="4404" w:type="dxa"/>
            <w:hideMark/>
          </w:tcPr>
          <w:p w14:paraId="68DA4106"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Brigham &amp; Women Mri at W Bridgewater</w:t>
            </w:r>
          </w:p>
        </w:tc>
        <w:tc>
          <w:tcPr>
            <w:tcW w:w="3246" w:type="dxa"/>
            <w:noWrap/>
            <w:hideMark/>
          </w:tcPr>
          <w:p w14:paraId="17FD8003"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West Bridgewater</w:t>
            </w:r>
          </w:p>
        </w:tc>
      </w:tr>
      <w:tr w:rsidR="00870D59" w:rsidRPr="00CC3C8B" w14:paraId="02DA6B3E"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342CCBF1" w14:textId="77777777" w:rsidR="00870D59" w:rsidRPr="00DB7F46" w:rsidRDefault="00870D59" w:rsidP="006208FD">
            <w:pPr>
              <w:pStyle w:val="BodyText"/>
              <w:spacing w:before="0"/>
              <w:rPr>
                <w:rFonts w:eastAsiaTheme="minorEastAsia"/>
                <w:sz w:val="13"/>
                <w:szCs w:val="13"/>
              </w:rPr>
            </w:pPr>
          </w:p>
        </w:tc>
        <w:tc>
          <w:tcPr>
            <w:tcW w:w="4404" w:type="dxa"/>
            <w:hideMark/>
          </w:tcPr>
          <w:p w14:paraId="3598B5DE"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Brigham &amp; Women's Health Care Ctr</w:t>
            </w:r>
          </w:p>
        </w:tc>
        <w:tc>
          <w:tcPr>
            <w:tcW w:w="3246" w:type="dxa"/>
            <w:noWrap/>
            <w:hideMark/>
          </w:tcPr>
          <w:p w14:paraId="3E85CCE8"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Brookline</w:t>
            </w:r>
          </w:p>
        </w:tc>
      </w:tr>
      <w:tr w:rsidR="00870D59" w:rsidRPr="00CC3C8B" w14:paraId="499CF6E3"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hideMark/>
          </w:tcPr>
          <w:p w14:paraId="1050D6EF" w14:textId="77777777" w:rsidR="00870D59" w:rsidRPr="00DB7F46" w:rsidRDefault="00870D59" w:rsidP="006208FD">
            <w:pPr>
              <w:pStyle w:val="BodyText"/>
              <w:spacing w:before="0"/>
              <w:rPr>
                <w:rFonts w:eastAsiaTheme="minorEastAsia"/>
                <w:sz w:val="13"/>
                <w:szCs w:val="13"/>
              </w:rPr>
            </w:pPr>
          </w:p>
        </w:tc>
        <w:tc>
          <w:tcPr>
            <w:tcW w:w="4404" w:type="dxa"/>
            <w:hideMark/>
          </w:tcPr>
          <w:p w14:paraId="08524527"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Brigham &amp; Women's/Mass Gen Hlt Care</w:t>
            </w:r>
          </w:p>
        </w:tc>
        <w:tc>
          <w:tcPr>
            <w:tcW w:w="3246" w:type="dxa"/>
            <w:noWrap/>
            <w:hideMark/>
          </w:tcPr>
          <w:p w14:paraId="5733A7BB" w14:textId="77777777" w:rsidR="00870D59" w:rsidRPr="00F27AB8" w:rsidRDefault="00870D59" w:rsidP="006208F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Foxborough</w:t>
            </w:r>
          </w:p>
        </w:tc>
      </w:tr>
      <w:tr w:rsidR="00870D59" w:rsidRPr="00CC3C8B" w14:paraId="25F54EF4"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bottom w:val="single" w:sz="4" w:space="0" w:color="4472C4" w:themeColor="accent1"/>
            </w:tcBorders>
            <w:hideMark/>
          </w:tcPr>
          <w:p w14:paraId="25B83DCE" w14:textId="77777777" w:rsidR="00870D59" w:rsidRPr="00DB7F46" w:rsidRDefault="00870D59" w:rsidP="006208FD">
            <w:pPr>
              <w:pStyle w:val="BodyText"/>
              <w:spacing w:before="0"/>
              <w:rPr>
                <w:rFonts w:eastAsiaTheme="minorEastAsia"/>
                <w:sz w:val="13"/>
                <w:szCs w:val="13"/>
              </w:rPr>
            </w:pPr>
          </w:p>
        </w:tc>
        <w:tc>
          <w:tcPr>
            <w:tcW w:w="4404" w:type="dxa"/>
            <w:hideMark/>
          </w:tcPr>
          <w:p w14:paraId="2827CB6C"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Brigham And Women's Faulkner Hospital</w:t>
            </w:r>
          </w:p>
        </w:tc>
        <w:tc>
          <w:tcPr>
            <w:tcW w:w="3246" w:type="dxa"/>
            <w:noWrap/>
            <w:hideMark/>
          </w:tcPr>
          <w:p w14:paraId="19B3C1EF" w14:textId="77777777" w:rsidR="00870D59" w:rsidRPr="00F27AB8" w:rsidRDefault="00870D59" w:rsidP="006208F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Boston</w:t>
            </w:r>
          </w:p>
        </w:tc>
      </w:tr>
      <w:tr w:rsidR="000A4765" w:rsidRPr="00CC3C8B" w14:paraId="1DAECED7"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val="restart"/>
            <w:tcBorders>
              <w:left w:val="single" w:sz="4" w:space="0" w:color="4472C4" w:themeColor="accent1"/>
            </w:tcBorders>
          </w:tcPr>
          <w:p w14:paraId="32C4364A" w14:textId="2E4E7334" w:rsidR="000A4765" w:rsidRPr="00CD7AD2" w:rsidRDefault="000A4765" w:rsidP="001A4ADD">
            <w:pPr>
              <w:pStyle w:val="BodyText"/>
              <w:spacing w:before="0"/>
              <w:rPr>
                <w:rFonts w:eastAsiaTheme="minorEastAsia"/>
                <w:sz w:val="13"/>
                <w:szCs w:val="13"/>
              </w:rPr>
            </w:pPr>
            <w:r w:rsidRPr="00F27AB8">
              <w:rPr>
                <w:rFonts w:eastAsiaTheme="minorEastAsia"/>
                <w:sz w:val="9"/>
                <w:szCs w:val="9"/>
              </w:rPr>
              <w:t>Tufts Medical Center</w:t>
            </w:r>
          </w:p>
        </w:tc>
        <w:tc>
          <w:tcPr>
            <w:tcW w:w="4404" w:type="dxa"/>
          </w:tcPr>
          <w:p w14:paraId="2C638402" w14:textId="12A668E3" w:rsidR="000A4765" w:rsidRPr="00F27AB8" w:rsidRDefault="000A4765" w:rsidP="001A4AD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Tufts Medical Center/Tufts Children's Hospital*</w:t>
            </w:r>
          </w:p>
        </w:tc>
        <w:tc>
          <w:tcPr>
            <w:tcW w:w="3246" w:type="dxa"/>
            <w:noWrap/>
          </w:tcPr>
          <w:p w14:paraId="00CC1360" w14:textId="15127B86" w:rsidR="000A4765" w:rsidRPr="00F27AB8" w:rsidRDefault="000A4765" w:rsidP="001A4AD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Boston</w:t>
            </w:r>
          </w:p>
        </w:tc>
      </w:tr>
      <w:tr w:rsidR="000A4765" w:rsidRPr="00CC3C8B" w14:paraId="7429CE4C"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5C87E92B" w14:textId="77777777" w:rsidR="000A4765" w:rsidRPr="00CD7AD2" w:rsidRDefault="000A4765" w:rsidP="001A4ADD">
            <w:pPr>
              <w:pStyle w:val="BodyText"/>
              <w:spacing w:before="0"/>
              <w:rPr>
                <w:rFonts w:eastAsiaTheme="minorEastAsia"/>
                <w:sz w:val="13"/>
                <w:szCs w:val="13"/>
              </w:rPr>
            </w:pPr>
          </w:p>
        </w:tc>
        <w:tc>
          <w:tcPr>
            <w:tcW w:w="4404" w:type="dxa"/>
          </w:tcPr>
          <w:p w14:paraId="6508F93A" w14:textId="011979DB" w:rsidR="000A4765" w:rsidRPr="00F27AB8" w:rsidRDefault="000A4765" w:rsidP="001A4AD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Tufts Medical Center Cancer Center</w:t>
            </w:r>
          </w:p>
        </w:tc>
        <w:tc>
          <w:tcPr>
            <w:tcW w:w="3246" w:type="dxa"/>
            <w:noWrap/>
          </w:tcPr>
          <w:p w14:paraId="244E0169" w14:textId="4964868C" w:rsidR="000A4765" w:rsidRPr="00F27AB8" w:rsidRDefault="000A4765" w:rsidP="001A4ADD">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Stoneham</w:t>
            </w:r>
          </w:p>
        </w:tc>
      </w:tr>
      <w:tr w:rsidR="000A4765" w:rsidRPr="00CC3C8B" w14:paraId="7A7F8AED"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3562996F" w14:textId="77777777" w:rsidR="000A4765" w:rsidRPr="00CD7AD2" w:rsidRDefault="000A4765" w:rsidP="001A4ADD">
            <w:pPr>
              <w:pStyle w:val="BodyText"/>
              <w:spacing w:before="0"/>
              <w:rPr>
                <w:rFonts w:eastAsiaTheme="minorEastAsia"/>
                <w:sz w:val="13"/>
                <w:szCs w:val="13"/>
              </w:rPr>
            </w:pPr>
          </w:p>
        </w:tc>
        <w:tc>
          <w:tcPr>
            <w:tcW w:w="4404" w:type="dxa"/>
          </w:tcPr>
          <w:p w14:paraId="22A51523" w14:textId="308A8759" w:rsidR="000A4765" w:rsidRPr="00F27AB8" w:rsidRDefault="000A4765" w:rsidP="001A4AD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Tufts Norfolk Imaging</w:t>
            </w:r>
          </w:p>
        </w:tc>
        <w:tc>
          <w:tcPr>
            <w:tcW w:w="3246" w:type="dxa"/>
            <w:noWrap/>
          </w:tcPr>
          <w:p w14:paraId="3228A314" w14:textId="4D772225" w:rsidR="000A4765" w:rsidRPr="00F27AB8" w:rsidRDefault="000A4765" w:rsidP="001A4ADD">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Norfolk</w:t>
            </w:r>
          </w:p>
        </w:tc>
      </w:tr>
      <w:tr w:rsidR="00E51118" w:rsidRPr="00CC3C8B" w14:paraId="4B70B1F9"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val="restart"/>
            <w:tcBorders>
              <w:left w:val="single" w:sz="4" w:space="0" w:color="4472C4" w:themeColor="accent1"/>
            </w:tcBorders>
          </w:tcPr>
          <w:p w14:paraId="160529EA" w14:textId="369857D4" w:rsidR="00E51118" w:rsidRPr="00CD7AD2" w:rsidRDefault="00E51118" w:rsidP="00870D59">
            <w:pPr>
              <w:pStyle w:val="BodyText"/>
              <w:spacing w:before="0"/>
              <w:rPr>
                <w:rFonts w:eastAsiaTheme="minorEastAsia"/>
                <w:sz w:val="13"/>
                <w:szCs w:val="13"/>
              </w:rPr>
            </w:pPr>
            <w:r w:rsidRPr="00CD7AD2">
              <w:rPr>
                <w:rFonts w:eastAsiaTheme="minorEastAsia"/>
                <w:sz w:val="13"/>
                <w:szCs w:val="13"/>
              </w:rPr>
              <w:t>U</w:t>
            </w:r>
            <w:r w:rsidRPr="00F27AB8">
              <w:rPr>
                <w:rFonts w:eastAsiaTheme="minorEastAsia"/>
                <w:sz w:val="9"/>
                <w:szCs w:val="9"/>
              </w:rPr>
              <w:t>Mass Memorial Health</w:t>
            </w:r>
          </w:p>
        </w:tc>
        <w:tc>
          <w:tcPr>
            <w:tcW w:w="4404" w:type="dxa"/>
          </w:tcPr>
          <w:p w14:paraId="5F25BBC4" w14:textId="0D6E43C0"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 Harrington Hospital</w:t>
            </w:r>
          </w:p>
        </w:tc>
        <w:tc>
          <w:tcPr>
            <w:tcW w:w="3246" w:type="dxa"/>
            <w:noWrap/>
          </w:tcPr>
          <w:p w14:paraId="45A12C2A" w14:textId="5A29C728"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Southbridge</w:t>
            </w:r>
          </w:p>
        </w:tc>
      </w:tr>
      <w:tr w:rsidR="00E51118" w:rsidRPr="00CC3C8B" w14:paraId="1FB1DE80"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23CA4698" w14:textId="77777777" w:rsidR="00E51118" w:rsidRPr="00CD7AD2" w:rsidRDefault="00E51118" w:rsidP="00870D59">
            <w:pPr>
              <w:pStyle w:val="BodyText"/>
              <w:spacing w:before="0"/>
              <w:rPr>
                <w:rFonts w:eastAsiaTheme="minorEastAsia"/>
                <w:sz w:val="13"/>
                <w:szCs w:val="13"/>
              </w:rPr>
            </w:pPr>
          </w:p>
        </w:tc>
        <w:tc>
          <w:tcPr>
            <w:tcW w:w="4404" w:type="dxa"/>
          </w:tcPr>
          <w:p w14:paraId="2203082B" w14:textId="0FCA4265" w:rsidR="00E51118" w:rsidRPr="00F27AB8" w:rsidRDefault="00E51118" w:rsidP="00870D5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lang w:val="pt-BR"/>
              </w:rPr>
              <w:t>UMass Memorial Med Ctr/Mem Campus</w:t>
            </w:r>
          </w:p>
        </w:tc>
        <w:tc>
          <w:tcPr>
            <w:tcW w:w="3246" w:type="dxa"/>
            <w:noWrap/>
          </w:tcPr>
          <w:p w14:paraId="695D1004" w14:textId="5D61CFA4" w:rsidR="00E51118" w:rsidRPr="00F27AB8" w:rsidRDefault="00E51118" w:rsidP="00870D5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Worcester</w:t>
            </w:r>
          </w:p>
        </w:tc>
      </w:tr>
      <w:tr w:rsidR="00E51118" w:rsidRPr="00CC3C8B" w14:paraId="4FA1C720"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083B0636" w14:textId="77777777" w:rsidR="00E51118" w:rsidRPr="00CD7AD2" w:rsidRDefault="00E51118" w:rsidP="00870D59">
            <w:pPr>
              <w:pStyle w:val="BodyText"/>
              <w:spacing w:before="0"/>
              <w:rPr>
                <w:rFonts w:eastAsiaTheme="minorEastAsia"/>
                <w:sz w:val="13"/>
                <w:szCs w:val="13"/>
              </w:rPr>
            </w:pPr>
          </w:p>
        </w:tc>
        <w:tc>
          <w:tcPr>
            <w:tcW w:w="4404" w:type="dxa"/>
          </w:tcPr>
          <w:p w14:paraId="5B6A0395" w14:textId="0C67B434"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Memorial Med Ctr/Univ Campus/UMass Mem. Children's Medical Center*</w:t>
            </w:r>
          </w:p>
        </w:tc>
        <w:tc>
          <w:tcPr>
            <w:tcW w:w="3246" w:type="dxa"/>
            <w:noWrap/>
          </w:tcPr>
          <w:p w14:paraId="0D184D4A" w14:textId="0178D868"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Worcester</w:t>
            </w:r>
          </w:p>
        </w:tc>
      </w:tr>
      <w:tr w:rsidR="00E51118" w:rsidRPr="00CC3C8B" w14:paraId="39E361B2"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2EC38600" w14:textId="77777777" w:rsidR="00E51118" w:rsidRPr="00CD7AD2" w:rsidRDefault="00E51118" w:rsidP="00870D59">
            <w:pPr>
              <w:pStyle w:val="BodyText"/>
              <w:spacing w:before="0"/>
              <w:rPr>
                <w:rFonts w:eastAsiaTheme="minorEastAsia"/>
                <w:sz w:val="13"/>
                <w:szCs w:val="13"/>
              </w:rPr>
            </w:pPr>
          </w:p>
        </w:tc>
        <w:tc>
          <w:tcPr>
            <w:tcW w:w="4404" w:type="dxa"/>
          </w:tcPr>
          <w:p w14:paraId="1DF87290" w14:textId="1412B306" w:rsidR="00E51118" w:rsidRPr="00F27AB8" w:rsidRDefault="00E51118" w:rsidP="00870D5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UMass Mem Med Ctr Milford Radiology</w:t>
            </w:r>
          </w:p>
        </w:tc>
        <w:tc>
          <w:tcPr>
            <w:tcW w:w="3246" w:type="dxa"/>
            <w:noWrap/>
          </w:tcPr>
          <w:p w14:paraId="5F4FB981" w14:textId="2C6AAB39" w:rsidR="00E51118" w:rsidRPr="00F27AB8" w:rsidRDefault="00E51118" w:rsidP="00870D5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Milford</w:t>
            </w:r>
          </w:p>
        </w:tc>
      </w:tr>
      <w:tr w:rsidR="00E51118" w:rsidRPr="00CC3C8B" w14:paraId="79B9B062"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77BE0825" w14:textId="77777777" w:rsidR="00E51118" w:rsidRPr="00CD7AD2" w:rsidRDefault="00E51118" w:rsidP="00870D59">
            <w:pPr>
              <w:pStyle w:val="BodyText"/>
              <w:spacing w:before="0"/>
              <w:rPr>
                <w:rFonts w:eastAsiaTheme="minorEastAsia"/>
                <w:sz w:val="13"/>
                <w:szCs w:val="13"/>
              </w:rPr>
            </w:pPr>
          </w:p>
        </w:tc>
        <w:tc>
          <w:tcPr>
            <w:tcW w:w="4404" w:type="dxa"/>
          </w:tcPr>
          <w:p w14:paraId="504B6CC0" w14:textId="133777F9"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Memorial Ambulatory Care Cent</w:t>
            </w:r>
          </w:p>
        </w:tc>
        <w:tc>
          <w:tcPr>
            <w:tcW w:w="3246" w:type="dxa"/>
            <w:noWrap/>
          </w:tcPr>
          <w:p w14:paraId="7897DE95" w14:textId="52024783"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Worcester</w:t>
            </w:r>
          </w:p>
        </w:tc>
      </w:tr>
      <w:tr w:rsidR="00E51118" w:rsidRPr="00CC3C8B" w14:paraId="0F0556A9"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3917E286" w14:textId="77777777" w:rsidR="00E51118" w:rsidRPr="00CD7AD2" w:rsidRDefault="00E51118" w:rsidP="00870D59">
            <w:pPr>
              <w:pStyle w:val="BodyText"/>
              <w:spacing w:before="0"/>
              <w:rPr>
                <w:rFonts w:eastAsiaTheme="minorEastAsia"/>
                <w:sz w:val="13"/>
                <w:szCs w:val="13"/>
              </w:rPr>
            </w:pPr>
          </w:p>
        </w:tc>
        <w:tc>
          <w:tcPr>
            <w:tcW w:w="4404" w:type="dxa"/>
            <w:tcBorders>
              <w:bottom w:val="single" w:sz="4" w:space="0" w:color="4472C4" w:themeColor="accent1"/>
            </w:tcBorders>
          </w:tcPr>
          <w:p w14:paraId="645A0B37" w14:textId="3C7E49B0" w:rsidR="00E51118" w:rsidRPr="00F27AB8" w:rsidRDefault="00E51118" w:rsidP="00870D5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UMass Memorial Endoscopy Center</w:t>
            </w:r>
          </w:p>
        </w:tc>
        <w:tc>
          <w:tcPr>
            <w:tcW w:w="3246" w:type="dxa"/>
            <w:tcBorders>
              <w:bottom w:val="single" w:sz="4" w:space="0" w:color="4472C4" w:themeColor="accent1"/>
            </w:tcBorders>
            <w:noWrap/>
          </w:tcPr>
          <w:p w14:paraId="6D6D2354" w14:textId="53DDC60B" w:rsidR="00E51118" w:rsidRPr="00F27AB8" w:rsidRDefault="00E51118" w:rsidP="00870D5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Worcester</w:t>
            </w:r>
          </w:p>
        </w:tc>
      </w:tr>
      <w:tr w:rsidR="00E51118" w:rsidRPr="00CC3C8B" w14:paraId="26558217"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69B27102" w14:textId="77777777" w:rsidR="00E51118" w:rsidRPr="00CD7AD2" w:rsidRDefault="00E51118" w:rsidP="00870D59">
            <w:pPr>
              <w:pStyle w:val="BodyText"/>
              <w:spacing w:before="0"/>
              <w:rPr>
                <w:rFonts w:eastAsiaTheme="minorEastAsia"/>
                <w:sz w:val="13"/>
                <w:szCs w:val="13"/>
              </w:rPr>
            </w:pPr>
          </w:p>
        </w:tc>
        <w:tc>
          <w:tcPr>
            <w:tcW w:w="4404" w:type="dxa"/>
            <w:tcBorders>
              <w:bottom w:val="single" w:sz="4" w:space="0" w:color="4472C4" w:themeColor="accent1"/>
            </w:tcBorders>
          </w:tcPr>
          <w:p w14:paraId="7DA63FC7" w14:textId="396C6228"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Memorial Med Ctr/Hahnemann</w:t>
            </w:r>
          </w:p>
        </w:tc>
        <w:tc>
          <w:tcPr>
            <w:tcW w:w="3246" w:type="dxa"/>
            <w:tcBorders>
              <w:bottom w:val="single" w:sz="4" w:space="0" w:color="4472C4" w:themeColor="accent1"/>
            </w:tcBorders>
            <w:noWrap/>
          </w:tcPr>
          <w:p w14:paraId="6DE99E44" w14:textId="0DFE5C0C"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Worcester</w:t>
            </w:r>
          </w:p>
        </w:tc>
      </w:tr>
      <w:tr w:rsidR="00E51118" w:rsidRPr="00CC3C8B" w14:paraId="6769C575"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1548BCB0" w14:textId="77777777" w:rsidR="00E51118" w:rsidRPr="00CD7AD2" w:rsidRDefault="00E51118" w:rsidP="00870D59">
            <w:pPr>
              <w:pStyle w:val="BodyText"/>
              <w:spacing w:before="0"/>
              <w:rPr>
                <w:rFonts w:eastAsiaTheme="minorEastAsia"/>
                <w:sz w:val="13"/>
                <w:szCs w:val="13"/>
              </w:rPr>
            </w:pPr>
          </w:p>
        </w:tc>
        <w:tc>
          <w:tcPr>
            <w:tcW w:w="4404" w:type="dxa"/>
            <w:tcBorders>
              <w:bottom w:val="single" w:sz="4" w:space="0" w:color="4472C4" w:themeColor="accent1"/>
            </w:tcBorders>
          </w:tcPr>
          <w:p w14:paraId="227B74B2" w14:textId="5FC8F5AA" w:rsidR="00E51118" w:rsidRPr="00F27AB8" w:rsidRDefault="00E51118" w:rsidP="00870D5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UMass MMC Cancer at Marlboro Hosp</w:t>
            </w:r>
          </w:p>
        </w:tc>
        <w:tc>
          <w:tcPr>
            <w:tcW w:w="3246" w:type="dxa"/>
            <w:tcBorders>
              <w:bottom w:val="single" w:sz="4" w:space="0" w:color="4472C4" w:themeColor="accent1"/>
            </w:tcBorders>
            <w:noWrap/>
          </w:tcPr>
          <w:p w14:paraId="75389273" w14:textId="3B8564A2" w:rsidR="00E51118" w:rsidRPr="00F27AB8" w:rsidRDefault="00E51118" w:rsidP="00870D5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Marlborough</w:t>
            </w:r>
          </w:p>
        </w:tc>
      </w:tr>
      <w:tr w:rsidR="00E51118" w:rsidRPr="00CC3C8B" w14:paraId="43B60C20"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6D95E280" w14:textId="77777777" w:rsidR="00E51118" w:rsidRPr="00CD7AD2" w:rsidRDefault="00E51118" w:rsidP="00870D59">
            <w:pPr>
              <w:pStyle w:val="BodyText"/>
              <w:spacing w:before="0"/>
              <w:rPr>
                <w:rFonts w:eastAsiaTheme="minorEastAsia"/>
                <w:sz w:val="13"/>
                <w:szCs w:val="13"/>
              </w:rPr>
            </w:pPr>
          </w:p>
        </w:tc>
        <w:tc>
          <w:tcPr>
            <w:tcW w:w="4404" w:type="dxa"/>
            <w:tcBorders>
              <w:bottom w:val="single" w:sz="4" w:space="0" w:color="4472C4" w:themeColor="accent1"/>
            </w:tcBorders>
          </w:tcPr>
          <w:p w14:paraId="2A1F2962" w14:textId="39FBEFAB"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Health Alliance - Clinton Hospital</w:t>
            </w:r>
          </w:p>
        </w:tc>
        <w:tc>
          <w:tcPr>
            <w:tcW w:w="3246" w:type="dxa"/>
            <w:tcBorders>
              <w:bottom w:val="single" w:sz="4" w:space="0" w:color="4472C4" w:themeColor="accent1"/>
            </w:tcBorders>
            <w:noWrap/>
          </w:tcPr>
          <w:p w14:paraId="08836933" w14:textId="11265295"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Clinton</w:t>
            </w:r>
          </w:p>
        </w:tc>
      </w:tr>
      <w:tr w:rsidR="00E51118" w:rsidRPr="00CC3C8B" w14:paraId="087D2A77"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726C10D1" w14:textId="77777777" w:rsidR="00E51118" w:rsidRPr="00CD7AD2" w:rsidRDefault="00E51118" w:rsidP="00870D59">
            <w:pPr>
              <w:pStyle w:val="BodyText"/>
              <w:spacing w:before="0"/>
              <w:rPr>
                <w:rFonts w:eastAsiaTheme="minorEastAsia"/>
                <w:sz w:val="13"/>
                <w:szCs w:val="13"/>
              </w:rPr>
            </w:pPr>
          </w:p>
        </w:tc>
        <w:tc>
          <w:tcPr>
            <w:tcW w:w="4404" w:type="dxa"/>
            <w:tcBorders>
              <w:bottom w:val="single" w:sz="4" w:space="0" w:color="4472C4" w:themeColor="accent1"/>
            </w:tcBorders>
          </w:tcPr>
          <w:p w14:paraId="36CE0DF9" w14:textId="44D2C9BB" w:rsidR="00E51118" w:rsidRPr="00F27AB8" w:rsidRDefault="00E51118" w:rsidP="00870D5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Harrington at Charlton</w:t>
            </w:r>
          </w:p>
        </w:tc>
        <w:tc>
          <w:tcPr>
            <w:tcW w:w="3246" w:type="dxa"/>
            <w:tcBorders>
              <w:bottom w:val="single" w:sz="4" w:space="0" w:color="4472C4" w:themeColor="accent1"/>
            </w:tcBorders>
            <w:noWrap/>
          </w:tcPr>
          <w:p w14:paraId="19FAE09A" w14:textId="6591F51B" w:rsidR="00E51118" w:rsidRPr="00F27AB8" w:rsidRDefault="00E51118" w:rsidP="00870D5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Charlton</w:t>
            </w:r>
          </w:p>
        </w:tc>
      </w:tr>
      <w:tr w:rsidR="00E51118" w:rsidRPr="00CC3C8B" w14:paraId="3D590AD9"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272396B9" w14:textId="77777777" w:rsidR="00E51118" w:rsidRPr="00CD7AD2" w:rsidRDefault="00E51118" w:rsidP="00870D59">
            <w:pPr>
              <w:pStyle w:val="BodyText"/>
              <w:spacing w:before="0"/>
              <w:rPr>
                <w:rFonts w:eastAsiaTheme="minorEastAsia"/>
                <w:sz w:val="13"/>
                <w:szCs w:val="13"/>
              </w:rPr>
            </w:pPr>
          </w:p>
        </w:tc>
        <w:tc>
          <w:tcPr>
            <w:tcW w:w="4404" w:type="dxa"/>
            <w:tcBorders>
              <w:bottom w:val="single" w:sz="4" w:space="0" w:color="4472C4" w:themeColor="accent1"/>
            </w:tcBorders>
          </w:tcPr>
          <w:p w14:paraId="1B59FED7" w14:textId="1C020CE3"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Harrington at R169 rehabilitation</w:t>
            </w:r>
          </w:p>
        </w:tc>
        <w:tc>
          <w:tcPr>
            <w:tcW w:w="3246" w:type="dxa"/>
            <w:tcBorders>
              <w:bottom w:val="single" w:sz="4" w:space="0" w:color="4472C4" w:themeColor="accent1"/>
            </w:tcBorders>
            <w:noWrap/>
          </w:tcPr>
          <w:p w14:paraId="66924A75" w14:textId="15B52314"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Charlton</w:t>
            </w:r>
          </w:p>
        </w:tc>
      </w:tr>
      <w:tr w:rsidR="00E51118" w:rsidRPr="00CC3C8B" w14:paraId="53F5F64D"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4ED0A1A4" w14:textId="77777777" w:rsidR="00E51118" w:rsidRPr="00CD7AD2" w:rsidRDefault="00E51118" w:rsidP="00870D59">
            <w:pPr>
              <w:pStyle w:val="BodyText"/>
              <w:spacing w:before="0"/>
              <w:rPr>
                <w:rFonts w:eastAsiaTheme="minorEastAsia"/>
                <w:sz w:val="13"/>
                <w:szCs w:val="13"/>
              </w:rPr>
            </w:pPr>
          </w:p>
        </w:tc>
        <w:tc>
          <w:tcPr>
            <w:tcW w:w="4404" w:type="dxa"/>
            <w:tcBorders>
              <w:bottom w:val="single" w:sz="4" w:space="0" w:color="4472C4" w:themeColor="accent1"/>
            </w:tcBorders>
          </w:tcPr>
          <w:p w14:paraId="34D5FA4E" w14:textId="1DF6DD50" w:rsidR="00E51118" w:rsidRPr="00F27AB8" w:rsidRDefault="00E51118" w:rsidP="00870D5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Harrington at Spencer</w:t>
            </w:r>
          </w:p>
        </w:tc>
        <w:tc>
          <w:tcPr>
            <w:tcW w:w="3246" w:type="dxa"/>
            <w:tcBorders>
              <w:bottom w:val="single" w:sz="4" w:space="0" w:color="4472C4" w:themeColor="accent1"/>
            </w:tcBorders>
            <w:noWrap/>
          </w:tcPr>
          <w:p w14:paraId="0FF04121" w14:textId="22950AC6" w:rsidR="00E51118" w:rsidRPr="00F27AB8" w:rsidRDefault="00E51118" w:rsidP="00870D5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Spencer</w:t>
            </w:r>
          </w:p>
        </w:tc>
      </w:tr>
      <w:tr w:rsidR="00E51118" w:rsidRPr="00CC3C8B" w14:paraId="351715A3"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009174B6" w14:textId="77777777" w:rsidR="00E51118" w:rsidRPr="00CD7AD2" w:rsidRDefault="00E51118" w:rsidP="00870D59">
            <w:pPr>
              <w:pStyle w:val="BodyText"/>
              <w:spacing w:before="0"/>
              <w:rPr>
                <w:rFonts w:eastAsiaTheme="minorEastAsia"/>
                <w:sz w:val="13"/>
                <w:szCs w:val="13"/>
              </w:rPr>
            </w:pPr>
          </w:p>
        </w:tc>
        <w:tc>
          <w:tcPr>
            <w:tcW w:w="4404" w:type="dxa"/>
            <w:tcBorders>
              <w:bottom w:val="single" w:sz="4" w:space="0" w:color="4472C4" w:themeColor="accent1"/>
            </w:tcBorders>
          </w:tcPr>
          <w:p w14:paraId="67371679" w14:textId="51A5D4DF"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Harrington Behavioral Health</w:t>
            </w:r>
          </w:p>
        </w:tc>
        <w:tc>
          <w:tcPr>
            <w:tcW w:w="3246" w:type="dxa"/>
            <w:tcBorders>
              <w:bottom w:val="single" w:sz="4" w:space="0" w:color="4472C4" w:themeColor="accent1"/>
            </w:tcBorders>
            <w:noWrap/>
          </w:tcPr>
          <w:p w14:paraId="47660E2D" w14:textId="61E453DD"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East Brookfield</w:t>
            </w:r>
          </w:p>
        </w:tc>
      </w:tr>
      <w:tr w:rsidR="00E51118" w:rsidRPr="00CC3C8B" w14:paraId="37836DEF"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4525B8FC" w14:textId="77777777" w:rsidR="00E51118" w:rsidRPr="00CD7AD2" w:rsidRDefault="00E51118" w:rsidP="00870D59">
            <w:pPr>
              <w:pStyle w:val="BodyText"/>
              <w:spacing w:before="0"/>
              <w:rPr>
                <w:rFonts w:eastAsiaTheme="minorEastAsia"/>
                <w:sz w:val="13"/>
                <w:szCs w:val="13"/>
              </w:rPr>
            </w:pPr>
          </w:p>
        </w:tc>
        <w:tc>
          <w:tcPr>
            <w:tcW w:w="4404" w:type="dxa"/>
            <w:tcBorders>
              <w:bottom w:val="single" w:sz="4" w:space="0" w:color="4472C4" w:themeColor="accent1"/>
            </w:tcBorders>
          </w:tcPr>
          <w:p w14:paraId="533679E1" w14:textId="481D4862" w:rsidR="00E51118" w:rsidRPr="00F27AB8" w:rsidRDefault="00E51118" w:rsidP="00870D5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Harrington Behavioral Health</w:t>
            </w:r>
          </w:p>
        </w:tc>
        <w:tc>
          <w:tcPr>
            <w:tcW w:w="3246" w:type="dxa"/>
            <w:tcBorders>
              <w:bottom w:val="single" w:sz="4" w:space="0" w:color="4472C4" w:themeColor="accent1"/>
            </w:tcBorders>
            <w:noWrap/>
          </w:tcPr>
          <w:p w14:paraId="6BEEA0E0" w14:textId="266EBA49" w:rsidR="00E51118" w:rsidRPr="00F27AB8" w:rsidRDefault="00E51118" w:rsidP="00870D5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Southbridge</w:t>
            </w:r>
          </w:p>
        </w:tc>
      </w:tr>
      <w:tr w:rsidR="00E51118" w:rsidRPr="00CC3C8B" w14:paraId="5169E623"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4EC266C3" w14:textId="77777777" w:rsidR="00E51118" w:rsidRPr="00CD7AD2" w:rsidRDefault="00E51118" w:rsidP="00870D59">
            <w:pPr>
              <w:pStyle w:val="BodyText"/>
              <w:spacing w:before="0"/>
              <w:rPr>
                <w:rFonts w:eastAsiaTheme="minorEastAsia"/>
                <w:sz w:val="13"/>
                <w:szCs w:val="13"/>
              </w:rPr>
            </w:pPr>
          </w:p>
        </w:tc>
        <w:tc>
          <w:tcPr>
            <w:tcW w:w="4404" w:type="dxa"/>
            <w:tcBorders>
              <w:bottom w:val="single" w:sz="4" w:space="0" w:color="4472C4" w:themeColor="accent1"/>
            </w:tcBorders>
          </w:tcPr>
          <w:p w14:paraId="12ED33DD" w14:textId="66AEC0C7"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Harrington Behavioral Health</w:t>
            </w:r>
          </w:p>
        </w:tc>
        <w:tc>
          <w:tcPr>
            <w:tcW w:w="3246" w:type="dxa"/>
            <w:tcBorders>
              <w:bottom w:val="single" w:sz="4" w:space="0" w:color="4472C4" w:themeColor="accent1"/>
            </w:tcBorders>
            <w:noWrap/>
          </w:tcPr>
          <w:p w14:paraId="30EB63C7" w14:textId="592679FE"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Southbridge</w:t>
            </w:r>
          </w:p>
        </w:tc>
      </w:tr>
      <w:tr w:rsidR="00E51118" w:rsidRPr="00CC3C8B" w14:paraId="62EAEA2D" w14:textId="77777777" w:rsidTr="00DB7F4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tcBorders>
          </w:tcPr>
          <w:p w14:paraId="46CC60D7" w14:textId="77777777" w:rsidR="00E51118" w:rsidRPr="00CD7AD2" w:rsidRDefault="00E51118" w:rsidP="00870D59">
            <w:pPr>
              <w:pStyle w:val="BodyText"/>
              <w:spacing w:before="0"/>
              <w:rPr>
                <w:rFonts w:eastAsiaTheme="minorEastAsia"/>
                <w:sz w:val="13"/>
                <w:szCs w:val="13"/>
              </w:rPr>
            </w:pPr>
          </w:p>
        </w:tc>
        <w:tc>
          <w:tcPr>
            <w:tcW w:w="4404" w:type="dxa"/>
            <w:tcBorders>
              <w:bottom w:val="single" w:sz="4" w:space="0" w:color="4472C4" w:themeColor="accent1"/>
            </w:tcBorders>
          </w:tcPr>
          <w:p w14:paraId="29ABF04C" w14:textId="6926A559" w:rsidR="00E51118" w:rsidRPr="00F27AB8" w:rsidRDefault="00E51118" w:rsidP="00870D5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Carrington Cancer Center</w:t>
            </w:r>
          </w:p>
        </w:tc>
        <w:tc>
          <w:tcPr>
            <w:tcW w:w="3246" w:type="dxa"/>
            <w:tcBorders>
              <w:bottom w:val="single" w:sz="4" w:space="0" w:color="4472C4" w:themeColor="accent1"/>
            </w:tcBorders>
            <w:noWrap/>
          </w:tcPr>
          <w:p w14:paraId="442E656E" w14:textId="0AA241D8" w:rsidR="00E51118" w:rsidRPr="00F27AB8" w:rsidRDefault="00E51118" w:rsidP="00870D5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1"/>
                <w:szCs w:val="11"/>
              </w:rPr>
            </w:pPr>
            <w:r w:rsidRPr="00F27AB8">
              <w:rPr>
                <w:rFonts w:eastAsiaTheme="minorEastAsia"/>
                <w:sz w:val="11"/>
                <w:szCs w:val="11"/>
              </w:rPr>
              <w:t>Southbridge</w:t>
            </w:r>
          </w:p>
        </w:tc>
      </w:tr>
      <w:tr w:rsidR="00E51118" w:rsidRPr="00CC3C8B" w14:paraId="1226B1A2" w14:textId="77777777" w:rsidTr="00DB7F46">
        <w:trPr>
          <w:cantSplit/>
          <w:trHeight w:val="20"/>
        </w:trPr>
        <w:tc>
          <w:tcPr>
            <w:cnfStyle w:val="001000000000" w:firstRow="0" w:lastRow="0" w:firstColumn="1" w:lastColumn="0" w:oddVBand="0" w:evenVBand="0" w:oddHBand="0" w:evenHBand="0" w:firstRowFirstColumn="0" w:firstRowLastColumn="0" w:lastRowFirstColumn="0" w:lastRowLastColumn="0"/>
            <w:tcW w:w="1440" w:type="dxa"/>
            <w:vMerge/>
            <w:tcBorders>
              <w:left w:val="single" w:sz="4" w:space="0" w:color="4472C4" w:themeColor="accent1"/>
              <w:bottom w:val="single" w:sz="4" w:space="0" w:color="4472C4" w:themeColor="accent1"/>
            </w:tcBorders>
          </w:tcPr>
          <w:p w14:paraId="3A2BFC7D" w14:textId="77777777" w:rsidR="00E51118" w:rsidRPr="00CD7AD2" w:rsidRDefault="00E51118" w:rsidP="00870D59">
            <w:pPr>
              <w:pStyle w:val="BodyText"/>
              <w:spacing w:before="0"/>
              <w:rPr>
                <w:rFonts w:eastAsiaTheme="minorEastAsia"/>
                <w:sz w:val="13"/>
                <w:szCs w:val="13"/>
              </w:rPr>
            </w:pPr>
          </w:p>
        </w:tc>
        <w:tc>
          <w:tcPr>
            <w:tcW w:w="4404" w:type="dxa"/>
            <w:tcBorders>
              <w:bottom w:val="single" w:sz="4" w:space="0" w:color="4472C4" w:themeColor="accent1"/>
            </w:tcBorders>
          </w:tcPr>
          <w:p w14:paraId="448220F3" w14:textId="717946E0"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UMass Memorial Health- Harrington Occupational Health</w:t>
            </w:r>
          </w:p>
        </w:tc>
        <w:tc>
          <w:tcPr>
            <w:tcW w:w="3246" w:type="dxa"/>
            <w:tcBorders>
              <w:bottom w:val="single" w:sz="4" w:space="0" w:color="4472C4" w:themeColor="accent1"/>
            </w:tcBorders>
            <w:noWrap/>
          </w:tcPr>
          <w:p w14:paraId="4F36E670" w14:textId="54A0F3F6" w:rsidR="00E51118" w:rsidRPr="00F27AB8" w:rsidRDefault="00E51118" w:rsidP="00870D5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1"/>
                <w:szCs w:val="11"/>
              </w:rPr>
            </w:pPr>
            <w:r w:rsidRPr="00F27AB8">
              <w:rPr>
                <w:rFonts w:eastAsiaTheme="minorEastAsia"/>
                <w:sz w:val="11"/>
                <w:szCs w:val="11"/>
              </w:rPr>
              <w:t>Southbridge</w:t>
            </w:r>
          </w:p>
        </w:tc>
      </w:tr>
    </w:tbl>
    <w:p w14:paraId="7971143E" w14:textId="3BF21503" w:rsidR="00F56AA5" w:rsidRPr="00403C21" w:rsidRDefault="00F56AA5" w:rsidP="00CC3C8B">
      <w:pPr>
        <w:pStyle w:val="Caption"/>
        <w:spacing w:before="0"/>
      </w:pPr>
      <w:bookmarkStart w:id="79" w:name="_Ref109825710"/>
      <w:bookmarkStart w:id="80" w:name="_Toc109901087"/>
      <w:r w:rsidRPr="00F56AA5">
        <w:t xml:space="preserve">Figure </w:t>
      </w:r>
      <w:fldSimple w:instr=" SEQ Figure \* ARABIC ">
        <w:r w:rsidR="00CE7C62">
          <w:rPr>
            <w:noProof/>
          </w:rPr>
          <w:t>2</w:t>
        </w:r>
      </w:fldSimple>
      <w:bookmarkEnd w:id="77"/>
      <w:bookmarkEnd w:id="79"/>
      <w:r w:rsidRPr="00F56AA5">
        <w:t>: Overview</w:t>
      </w:r>
      <w:r w:rsidRPr="00403C21">
        <w:t xml:space="preserve"> of </w:t>
      </w:r>
      <w:r>
        <w:t>Boston Area</w:t>
      </w:r>
      <w:r w:rsidRPr="00403C21">
        <w:t xml:space="preserve"> </w:t>
      </w:r>
      <w:r>
        <w:t>Health Systems with</w:t>
      </w:r>
      <w:r w:rsidRPr="00403C21">
        <w:t xml:space="preserve"> Children’s Hospitals</w:t>
      </w:r>
      <w:bookmarkEnd w:id="78"/>
      <w:bookmarkEnd w:id="80"/>
    </w:p>
    <w:p w14:paraId="7BDE873C" w14:textId="273F375B" w:rsidR="00554033" w:rsidRDefault="00CD7AD2" w:rsidP="00CD7AD2">
      <w:pPr>
        <w:numPr>
          <w:ilvl w:val="0"/>
          <w:numId w:val="0"/>
        </w:numPr>
        <w:ind w:left="450"/>
        <w:jc w:val="center"/>
      </w:pPr>
      <w:r>
        <w:rPr>
          <w:noProof/>
        </w:rPr>
        <w:drawing>
          <wp:inline distT="0" distB="0" distL="0" distR="0" wp14:anchorId="0C60699A" wp14:editId="65AA3501">
            <wp:extent cx="3962400" cy="2800985"/>
            <wp:effectExtent l="0" t="0" r="0" b="0"/>
            <wp:docPr id="21" name="Picture 21" descr="Map of Boston and Metro West, symbols of different colors indicating location of Boston-area health systems with children's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 of Boston and Metro West, symbols of different colors indicating location of Boston-area health systems with children's hospital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2400" cy="2800985"/>
                    </a:xfrm>
                    <a:prstGeom prst="rect">
                      <a:avLst/>
                    </a:prstGeom>
                    <a:noFill/>
                  </pic:spPr>
                </pic:pic>
              </a:graphicData>
            </a:graphic>
          </wp:inline>
        </w:drawing>
      </w:r>
    </w:p>
    <w:tbl>
      <w:tblPr>
        <w:tblStyle w:val="GridTable4-Accent1"/>
        <w:tblW w:w="0" w:type="auto"/>
        <w:jc w:val="center"/>
        <w:tblLook w:val="04A0" w:firstRow="1" w:lastRow="0" w:firstColumn="1" w:lastColumn="0" w:noHBand="0" w:noVBand="1"/>
      </w:tblPr>
      <w:tblGrid>
        <w:gridCol w:w="1795"/>
        <w:gridCol w:w="667"/>
        <w:gridCol w:w="4747"/>
        <w:gridCol w:w="900"/>
      </w:tblGrid>
      <w:tr w:rsidR="00E41D22" w:rsidRPr="006112CD" w14:paraId="5E861CD4" w14:textId="77777777" w:rsidTr="002F48C1">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1B9DA75" w14:textId="77777777" w:rsidR="006112CD" w:rsidRPr="00E41D22" w:rsidRDefault="006112CD" w:rsidP="006112CD">
            <w:pPr>
              <w:pStyle w:val="BodyText"/>
              <w:spacing w:before="0"/>
              <w:rPr>
                <w:sz w:val="14"/>
                <w:szCs w:val="14"/>
              </w:rPr>
            </w:pPr>
            <w:bookmarkStart w:id="81" w:name="_Hlk109740881"/>
            <w:r w:rsidRPr="00E41D22">
              <w:rPr>
                <w:sz w:val="14"/>
                <w:szCs w:val="14"/>
              </w:rPr>
              <w:t>Health System</w:t>
            </w:r>
          </w:p>
        </w:tc>
        <w:tc>
          <w:tcPr>
            <w:tcW w:w="658" w:type="dxa"/>
          </w:tcPr>
          <w:p w14:paraId="21FE7088" w14:textId="77777777" w:rsidR="006112CD" w:rsidRPr="00E41D22" w:rsidRDefault="006112CD" w:rsidP="006112CD">
            <w:pPr>
              <w:pStyle w:val="BodyText"/>
              <w:spacing w:before="0"/>
              <w:cnfStyle w:val="100000000000" w:firstRow="1" w:lastRow="0" w:firstColumn="0" w:lastColumn="0" w:oddVBand="0" w:evenVBand="0" w:oddHBand="0" w:evenHBand="0" w:firstRowFirstColumn="0" w:firstRowLastColumn="0" w:lastRowFirstColumn="0" w:lastRowLastColumn="0"/>
              <w:rPr>
                <w:sz w:val="14"/>
                <w:szCs w:val="14"/>
              </w:rPr>
            </w:pPr>
            <w:r w:rsidRPr="00E41D22">
              <w:rPr>
                <w:sz w:val="14"/>
                <w:szCs w:val="14"/>
              </w:rPr>
              <w:t>Facility Code</w:t>
            </w:r>
          </w:p>
        </w:tc>
        <w:tc>
          <w:tcPr>
            <w:tcW w:w="4747" w:type="dxa"/>
            <w:hideMark/>
          </w:tcPr>
          <w:p w14:paraId="392FDA76" w14:textId="77777777" w:rsidR="006112CD" w:rsidRPr="00E41D22" w:rsidRDefault="006112CD" w:rsidP="006112CD">
            <w:pPr>
              <w:pStyle w:val="BodyText"/>
              <w:spacing w:before="0"/>
              <w:cnfStyle w:val="100000000000" w:firstRow="1" w:lastRow="0" w:firstColumn="0" w:lastColumn="0" w:oddVBand="0" w:evenVBand="0" w:oddHBand="0" w:evenHBand="0" w:firstRowFirstColumn="0" w:firstRowLastColumn="0" w:lastRowFirstColumn="0" w:lastRowLastColumn="0"/>
              <w:rPr>
                <w:sz w:val="14"/>
                <w:szCs w:val="14"/>
              </w:rPr>
            </w:pPr>
            <w:r w:rsidRPr="00E41D22">
              <w:rPr>
                <w:sz w:val="14"/>
                <w:szCs w:val="14"/>
              </w:rPr>
              <w:t>Facility Name</w:t>
            </w:r>
          </w:p>
        </w:tc>
        <w:tc>
          <w:tcPr>
            <w:tcW w:w="900" w:type="dxa"/>
            <w:noWrap/>
            <w:hideMark/>
          </w:tcPr>
          <w:p w14:paraId="7BDCBE86" w14:textId="77777777" w:rsidR="006112CD" w:rsidRPr="00E41D22" w:rsidRDefault="006112CD" w:rsidP="006112CD">
            <w:pPr>
              <w:pStyle w:val="BodyText"/>
              <w:spacing w:before="0"/>
              <w:cnfStyle w:val="100000000000" w:firstRow="1" w:lastRow="0" w:firstColumn="0" w:lastColumn="0" w:oddVBand="0" w:evenVBand="0" w:oddHBand="0" w:evenHBand="0" w:firstRowFirstColumn="0" w:firstRowLastColumn="0" w:lastRowFirstColumn="0" w:lastRowLastColumn="0"/>
              <w:rPr>
                <w:sz w:val="14"/>
                <w:szCs w:val="14"/>
              </w:rPr>
            </w:pPr>
            <w:r w:rsidRPr="00E41D22">
              <w:rPr>
                <w:sz w:val="14"/>
                <w:szCs w:val="14"/>
              </w:rPr>
              <w:t>City and Town</w:t>
            </w:r>
          </w:p>
        </w:tc>
      </w:tr>
      <w:tr w:rsidR="00E41D22" w:rsidRPr="006112CD" w14:paraId="63E07351" w14:textId="77777777" w:rsidTr="002F48C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val="restart"/>
            <w:tcBorders>
              <w:left w:val="single" w:sz="4" w:space="0" w:color="4472C4" w:themeColor="accent1"/>
            </w:tcBorders>
            <w:hideMark/>
          </w:tcPr>
          <w:p w14:paraId="5A0CDE7C" w14:textId="77777777" w:rsidR="006112CD" w:rsidRPr="00E41D22" w:rsidRDefault="006112CD" w:rsidP="006112CD">
            <w:pPr>
              <w:pStyle w:val="BodyText"/>
              <w:spacing w:before="0"/>
              <w:rPr>
                <w:sz w:val="14"/>
                <w:szCs w:val="14"/>
              </w:rPr>
            </w:pPr>
            <w:r w:rsidRPr="00E41D22">
              <w:rPr>
                <w:sz w:val="14"/>
                <w:szCs w:val="14"/>
              </w:rPr>
              <w:t>Boston Children's Hospital</w:t>
            </w:r>
          </w:p>
        </w:tc>
        <w:tc>
          <w:tcPr>
            <w:tcW w:w="658" w:type="dxa"/>
          </w:tcPr>
          <w:p w14:paraId="3AC02359"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B1</w:t>
            </w:r>
          </w:p>
        </w:tc>
        <w:tc>
          <w:tcPr>
            <w:tcW w:w="4747" w:type="dxa"/>
          </w:tcPr>
          <w:p w14:paraId="7818E12C"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Boston Children’s Hospital*</w:t>
            </w:r>
          </w:p>
        </w:tc>
        <w:tc>
          <w:tcPr>
            <w:tcW w:w="900" w:type="dxa"/>
            <w:noWrap/>
          </w:tcPr>
          <w:p w14:paraId="6D835F00"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Boston</w:t>
            </w:r>
          </w:p>
        </w:tc>
      </w:tr>
      <w:tr w:rsidR="006112CD" w:rsidRPr="006112CD" w14:paraId="27D90B5A" w14:textId="77777777" w:rsidTr="002F48C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4" w:space="0" w:color="4472C4" w:themeColor="accent1"/>
            </w:tcBorders>
            <w:hideMark/>
          </w:tcPr>
          <w:p w14:paraId="34B4CF0E" w14:textId="77777777" w:rsidR="006112CD" w:rsidRPr="00E41D22" w:rsidRDefault="006112CD" w:rsidP="006112CD">
            <w:pPr>
              <w:pStyle w:val="BodyText"/>
              <w:spacing w:before="0"/>
              <w:rPr>
                <w:sz w:val="14"/>
                <w:szCs w:val="14"/>
              </w:rPr>
            </w:pPr>
          </w:p>
        </w:tc>
        <w:tc>
          <w:tcPr>
            <w:tcW w:w="658" w:type="dxa"/>
          </w:tcPr>
          <w:p w14:paraId="177823C1"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B2</w:t>
            </w:r>
          </w:p>
        </w:tc>
        <w:tc>
          <w:tcPr>
            <w:tcW w:w="4747" w:type="dxa"/>
          </w:tcPr>
          <w:p w14:paraId="77006A84"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Boston Children’s at Weymouth (New Location)</w:t>
            </w:r>
          </w:p>
        </w:tc>
        <w:tc>
          <w:tcPr>
            <w:tcW w:w="900" w:type="dxa"/>
            <w:noWrap/>
          </w:tcPr>
          <w:p w14:paraId="66034E20"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Weymouth</w:t>
            </w:r>
          </w:p>
        </w:tc>
      </w:tr>
      <w:tr w:rsidR="00E41D22" w:rsidRPr="006112CD" w14:paraId="30798E57" w14:textId="77777777" w:rsidTr="002F48C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4" w:space="0" w:color="4472C4" w:themeColor="accent1"/>
            </w:tcBorders>
            <w:hideMark/>
          </w:tcPr>
          <w:p w14:paraId="4C953A7C" w14:textId="77777777" w:rsidR="006112CD" w:rsidRPr="00E41D22" w:rsidRDefault="006112CD" w:rsidP="006112CD">
            <w:pPr>
              <w:pStyle w:val="BodyText"/>
              <w:spacing w:before="0"/>
              <w:rPr>
                <w:sz w:val="14"/>
                <w:szCs w:val="14"/>
              </w:rPr>
            </w:pPr>
          </w:p>
        </w:tc>
        <w:tc>
          <w:tcPr>
            <w:tcW w:w="658" w:type="dxa"/>
          </w:tcPr>
          <w:p w14:paraId="13F18922"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B3</w:t>
            </w:r>
          </w:p>
        </w:tc>
        <w:tc>
          <w:tcPr>
            <w:tcW w:w="4747" w:type="dxa"/>
          </w:tcPr>
          <w:p w14:paraId="342687E9"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Boston Children’s at Weymouth (Current Location)</w:t>
            </w:r>
          </w:p>
        </w:tc>
        <w:tc>
          <w:tcPr>
            <w:tcW w:w="900" w:type="dxa"/>
            <w:noWrap/>
          </w:tcPr>
          <w:p w14:paraId="4538D614"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Weymouth</w:t>
            </w:r>
          </w:p>
        </w:tc>
      </w:tr>
      <w:tr w:rsidR="006112CD" w:rsidRPr="006112CD" w14:paraId="018218F4" w14:textId="77777777" w:rsidTr="002F48C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4" w:space="0" w:color="4472C4" w:themeColor="accent1"/>
            </w:tcBorders>
            <w:hideMark/>
          </w:tcPr>
          <w:p w14:paraId="4256679D" w14:textId="77777777" w:rsidR="006112CD" w:rsidRPr="00E41D22" w:rsidRDefault="006112CD" w:rsidP="006112CD">
            <w:pPr>
              <w:pStyle w:val="BodyText"/>
              <w:spacing w:before="0"/>
              <w:rPr>
                <w:sz w:val="14"/>
                <w:szCs w:val="14"/>
              </w:rPr>
            </w:pPr>
          </w:p>
        </w:tc>
        <w:tc>
          <w:tcPr>
            <w:tcW w:w="658" w:type="dxa"/>
          </w:tcPr>
          <w:p w14:paraId="07D1BADF"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B4</w:t>
            </w:r>
          </w:p>
        </w:tc>
        <w:tc>
          <w:tcPr>
            <w:tcW w:w="4747" w:type="dxa"/>
          </w:tcPr>
          <w:p w14:paraId="13FA9F68"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Boston Children’s at Waltham</w:t>
            </w:r>
          </w:p>
        </w:tc>
        <w:tc>
          <w:tcPr>
            <w:tcW w:w="900" w:type="dxa"/>
            <w:noWrap/>
          </w:tcPr>
          <w:p w14:paraId="10C21A92"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Waltham</w:t>
            </w:r>
          </w:p>
        </w:tc>
      </w:tr>
      <w:tr w:rsidR="00E41D22" w:rsidRPr="006112CD" w14:paraId="0826351F" w14:textId="77777777" w:rsidTr="002F48C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4" w:space="0" w:color="4472C4" w:themeColor="accent1"/>
            </w:tcBorders>
            <w:hideMark/>
          </w:tcPr>
          <w:p w14:paraId="7703E7CF" w14:textId="77777777" w:rsidR="006112CD" w:rsidRPr="00E41D22" w:rsidRDefault="006112CD" w:rsidP="006112CD">
            <w:pPr>
              <w:pStyle w:val="BodyText"/>
              <w:spacing w:before="0"/>
              <w:rPr>
                <w:sz w:val="14"/>
                <w:szCs w:val="14"/>
              </w:rPr>
            </w:pPr>
          </w:p>
        </w:tc>
        <w:tc>
          <w:tcPr>
            <w:tcW w:w="658" w:type="dxa"/>
          </w:tcPr>
          <w:p w14:paraId="6BE0DF9E"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B5</w:t>
            </w:r>
          </w:p>
        </w:tc>
        <w:tc>
          <w:tcPr>
            <w:tcW w:w="4747" w:type="dxa"/>
          </w:tcPr>
          <w:p w14:paraId="2CEF99AD"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Boston Children’s at Needham</w:t>
            </w:r>
          </w:p>
        </w:tc>
        <w:tc>
          <w:tcPr>
            <w:tcW w:w="900" w:type="dxa"/>
            <w:noWrap/>
          </w:tcPr>
          <w:p w14:paraId="7EE73D43"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Needham</w:t>
            </w:r>
          </w:p>
        </w:tc>
      </w:tr>
      <w:tr w:rsidR="006112CD" w:rsidRPr="006112CD" w14:paraId="3A713DB9" w14:textId="77777777" w:rsidTr="002F48C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4" w:space="0" w:color="4472C4" w:themeColor="accent1"/>
            </w:tcBorders>
            <w:hideMark/>
          </w:tcPr>
          <w:p w14:paraId="3CD08A74" w14:textId="77777777" w:rsidR="006112CD" w:rsidRPr="00E41D22" w:rsidRDefault="006112CD" w:rsidP="006112CD">
            <w:pPr>
              <w:pStyle w:val="BodyText"/>
              <w:spacing w:before="0"/>
              <w:rPr>
                <w:sz w:val="14"/>
                <w:szCs w:val="14"/>
              </w:rPr>
            </w:pPr>
          </w:p>
        </w:tc>
        <w:tc>
          <w:tcPr>
            <w:tcW w:w="658" w:type="dxa"/>
          </w:tcPr>
          <w:p w14:paraId="275C53B7"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B6</w:t>
            </w:r>
          </w:p>
        </w:tc>
        <w:tc>
          <w:tcPr>
            <w:tcW w:w="4747" w:type="dxa"/>
          </w:tcPr>
          <w:p w14:paraId="1C046993"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Boston Children’s at Brookline</w:t>
            </w:r>
          </w:p>
        </w:tc>
        <w:tc>
          <w:tcPr>
            <w:tcW w:w="900" w:type="dxa"/>
            <w:noWrap/>
          </w:tcPr>
          <w:p w14:paraId="7052FAED"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Brookline</w:t>
            </w:r>
          </w:p>
        </w:tc>
      </w:tr>
      <w:tr w:rsidR="00E41D22" w:rsidRPr="006112CD" w14:paraId="2C9D644B" w14:textId="77777777" w:rsidTr="002F48C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4" w:space="0" w:color="4472C4" w:themeColor="accent1"/>
            </w:tcBorders>
          </w:tcPr>
          <w:p w14:paraId="2559C424" w14:textId="77777777" w:rsidR="006112CD" w:rsidRPr="00E41D22" w:rsidRDefault="006112CD" w:rsidP="006112CD">
            <w:pPr>
              <w:pStyle w:val="BodyText"/>
              <w:spacing w:before="0"/>
              <w:rPr>
                <w:sz w:val="14"/>
                <w:szCs w:val="14"/>
              </w:rPr>
            </w:pPr>
          </w:p>
        </w:tc>
        <w:tc>
          <w:tcPr>
            <w:tcW w:w="658" w:type="dxa"/>
          </w:tcPr>
          <w:p w14:paraId="7FC65C0F"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B7</w:t>
            </w:r>
          </w:p>
        </w:tc>
        <w:tc>
          <w:tcPr>
            <w:tcW w:w="4747" w:type="dxa"/>
          </w:tcPr>
          <w:p w14:paraId="77C6BA7C"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Boston Children’s at Lexington</w:t>
            </w:r>
          </w:p>
        </w:tc>
        <w:tc>
          <w:tcPr>
            <w:tcW w:w="900" w:type="dxa"/>
            <w:noWrap/>
          </w:tcPr>
          <w:p w14:paraId="1DED1DD0"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Lexington</w:t>
            </w:r>
          </w:p>
        </w:tc>
      </w:tr>
      <w:tr w:rsidR="006112CD" w:rsidRPr="006112CD" w14:paraId="604F8CF0" w14:textId="77777777" w:rsidTr="002F48C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4" w:space="0" w:color="4472C4" w:themeColor="accent1"/>
            </w:tcBorders>
            <w:hideMark/>
          </w:tcPr>
          <w:p w14:paraId="2D1D5FC6" w14:textId="77777777" w:rsidR="006112CD" w:rsidRPr="00E41D22" w:rsidRDefault="006112CD" w:rsidP="006112CD">
            <w:pPr>
              <w:pStyle w:val="BodyText"/>
              <w:spacing w:before="0"/>
              <w:rPr>
                <w:sz w:val="14"/>
                <w:szCs w:val="14"/>
              </w:rPr>
            </w:pPr>
          </w:p>
        </w:tc>
        <w:tc>
          <w:tcPr>
            <w:tcW w:w="658" w:type="dxa"/>
          </w:tcPr>
          <w:p w14:paraId="5AEFF031"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B8</w:t>
            </w:r>
          </w:p>
        </w:tc>
        <w:tc>
          <w:tcPr>
            <w:tcW w:w="4747" w:type="dxa"/>
          </w:tcPr>
          <w:p w14:paraId="41DE69A8"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Boston Children’s at Peabody</w:t>
            </w:r>
          </w:p>
        </w:tc>
        <w:tc>
          <w:tcPr>
            <w:tcW w:w="900" w:type="dxa"/>
            <w:noWrap/>
          </w:tcPr>
          <w:p w14:paraId="0C88346A"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Peabody</w:t>
            </w:r>
          </w:p>
        </w:tc>
      </w:tr>
      <w:tr w:rsidR="00E41D22" w:rsidRPr="006112CD" w14:paraId="56DD12A1" w14:textId="77777777" w:rsidTr="002F48C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val="restart"/>
            <w:tcBorders>
              <w:left w:val="single" w:sz="4" w:space="0" w:color="4472C4" w:themeColor="accent1"/>
            </w:tcBorders>
            <w:shd w:val="clear" w:color="auto" w:fill="auto"/>
            <w:noWrap/>
            <w:hideMark/>
          </w:tcPr>
          <w:p w14:paraId="66DEC97F" w14:textId="77777777" w:rsidR="006112CD" w:rsidRPr="00E41D22" w:rsidRDefault="006112CD" w:rsidP="006112CD">
            <w:pPr>
              <w:pStyle w:val="BodyText"/>
              <w:spacing w:before="0"/>
              <w:rPr>
                <w:sz w:val="14"/>
                <w:szCs w:val="14"/>
              </w:rPr>
            </w:pPr>
            <w:r w:rsidRPr="00E41D22">
              <w:rPr>
                <w:sz w:val="14"/>
                <w:szCs w:val="14"/>
              </w:rPr>
              <w:t>Tufts Medical Center</w:t>
            </w:r>
          </w:p>
        </w:tc>
        <w:tc>
          <w:tcPr>
            <w:tcW w:w="658" w:type="dxa"/>
          </w:tcPr>
          <w:p w14:paraId="0BE50613"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T1</w:t>
            </w:r>
          </w:p>
        </w:tc>
        <w:tc>
          <w:tcPr>
            <w:tcW w:w="4747" w:type="dxa"/>
          </w:tcPr>
          <w:p w14:paraId="6C26C0D2" w14:textId="620AC3D6" w:rsidR="006112CD" w:rsidRPr="00E41D22" w:rsidRDefault="006263D9"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Tufts</w:t>
            </w:r>
            <w:r w:rsidR="006112CD" w:rsidRPr="00E41D22">
              <w:rPr>
                <w:sz w:val="14"/>
                <w:szCs w:val="14"/>
              </w:rPr>
              <w:t xml:space="preserve"> Medical Center/Tufts Children’s Hospital*</w:t>
            </w:r>
          </w:p>
        </w:tc>
        <w:tc>
          <w:tcPr>
            <w:tcW w:w="900" w:type="dxa"/>
            <w:noWrap/>
          </w:tcPr>
          <w:p w14:paraId="25C021CA"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Boston</w:t>
            </w:r>
          </w:p>
        </w:tc>
      </w:tr>
      <w:tr w:rsidR="006112CD" w:rsidRPr="006112CD" w14:paraId="0BABE7A5" w14:textId="77777777" w:rsidTr="002F48C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4" w:space="0" w:color="4472C4" w:themeColor="accent1"/>
            </w:tcBorders>
            <w:shd w:val="clear" w:color="auto" w:fill="auto"/>
            <w:hideMark/>
          </w:tcPr>
          <w:p w14:paraId="7A2098EE" w14:textId="77777777" w:rsidR="006112CD" w:rsidRPr="00E41D22" w:rsidRDefault="006112CD" w:rsidP="006112CD">
            <w:pPr>
              <w:pStyle w:val="BodyText"/>
              <w:spacing w:before="0"/>
              <w:rPr>
                <w:sz w:val="14"/>
                <w:szCs w:val="14"/>
              </w:rPr>
            </w:pPr>
          </w:p>
        </w:tc>
        <w:tc>
          <w:tcPr>
            <w:tcW w:w="658" w:type="dxa"/>
          </w:tcPr>
          <w:p w14:paraId="4F97D89F"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T2</w:t>
            </w:r>
          </w:p>
        </w:tc>
        <w:tc>
          <w:tcPr>
            <w:tcW w:w="4747" w:type="dxa"/>
          </w:tcPr>
          <w:p w14:paraId="0F5E36D6"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Tufts Medical Center Cancer Center</w:t>
            </w:r>
          </w:p>
        </w:tc>
        <w:tc>
          <w:tcPr>
            <w:tcW w:w="900" w:type="dxa"/>
            <w:noWrap/>
          </w:tcPr>
          <w:p w14:paraId="2C6A78E0"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Stoneham</w:t>
            </w:r>
          </w:p>
        </w:tc>
      </w:tr>
      <w:tr w:rsidR="00E41D22" w:rsidRPr="006112CD" w14:paraId="1159256E" w14:textId="77777777" w:rsidTr="002F48C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val="restart"/>
            <w:tcBorders>
              <w:left w:val="single" w:sz="4" w:space="0" w:color="4472C4" w:themeColor="accent1"/>
            </w:tcBorders>
            <w:noWrap/>
            <w:hideMark/>
          </w:tcPr>
          <w:p w14:paraId="5CE2563E" w14:textId="77777777" w:rsidR="006112CD" w:rsidRPr="00E41D22" w:rsidRDefault="006112CD" w:rsidP="006112CD">
            <w:pPr>
              <w:pStyle w:val="BodyText"/>
              <w:spacing w:before="0"/>
              <w:rPr>
                <w:sz w:val="14"/>
                <w:szCs w:val="14"/>
              </w:rPr>
            </w:pPr>
            <w:r w:rsidRPr="00E41D22">
              <w:rPr>
                <w:sz w:val="14"/>
                <w:szCs w:val="14"/>
              </w:rPr>
              <w:t>Boston Medical Center</w:t>
            </w:r>
          </w:p>
        </w:tc>
        <w:tc>
          <w:tcPr>
            <w:tcW w:w="658" w:type="dxa"/>
          </w:tcPr>
          <w:p w14:paraId="7213764A"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M1</w:t>
            </w:r>
          </w:p>
        </w:tc>
        <w:tc>
          <w:tcPr>
            <w:tcW w:w="4747" w:type="dxa"/>
            <w:hideMark/>
          </w:tcPr>
          <w:p w14:paraId="6FADF90E"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Boston Medical Center/Boston Medical Center Pediatrics*</w:t>
            </w:r>
          </w:p>
        </w:tc>
        <w:tc>
          <w:tcPr>
            <w:tcW w:w="900" w:type="dxa"/>
            <w:noWrap/>
            <w:hideMark/>
          </w:tcPr>
          <w:p w14:paraId="003877D0"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Boston</w:t>
            </w:r>
          </w:p>
        </w:tc>
      </w:tr>
      <w:tr w:rsidR="006112CD" w:rsidRPr="006112CD" w14:paraId="0976CF66" w14:textId="77777777" w:rsidTr="002F48C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4" w:space="0" w:color="4472C4" w:themeColor="accent1"/>
            </w:tcBorders>
            <w:hideMark/>
          </w:tcPr>
          <w:p w14:paraId="23FDAFA7" w14:textId="77777777" w:rsidR="006112CD" w:rsidRPr="00E41D22" w:rsidRDefault="006112CD" w:rsidP="006112CD">
            <w:pPr>
              <w:pStyle w:val="BodyText"/>
              <w:spacing w:before="0"/>
              <w:rPr>
                <w:sz w:val="14"/>
                <w:szCs w:val="14"/>
              </w:rPr>
            </w:pPr>
          </w:p>
        </w:tc>
        <w:tc>
          <w:tcPr>
            <w:tcW w:w="658" w:type="dxa"/>
          </w:tcPr>
          <w:p w14:paraId="56484E79"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M2</w:t>
            </w:r>
          </w:p>
        </w:tc>
        <w:tc>
          <w:tcPr>
            <w:tcW w:w="4747" w:type="dxa"/>
            <w:hideMark/>
          </w:tcPr>
          <w:p w14:paraId="2EF75BD6"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Boston Med Ctr Radiology at Mattapan</w:t>
            </w:r>
          </w:p>
        </w:tc>
        <w:tc>
          <w:tcPr>
            <w:tcW w:w="900" w:type="dxa"/>
            <w:noWrap/>
            <w:hideMark/>
          </w:tcPr>
          <w:p w14:paraId="628AFF73"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Boston</w:t>
            </w:r>
          </w:p>
        </w:tc>
      </w:tr>
      <w:tr w:rsidR="00E41D22" w:rsidRPr="006112CD" w14:paraId="62AC5AD6" w14:textId="77777777" w:rsidTr="002F48C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4" w:space="0" w:color="4472C4" w:themeColor="accent1"/>
            </w:tcBorders>
            <w:hideMark/>
          </w:tcPr>
          <w:p w14:paraId="2DFF2FC2" w14:textId="77777777" w:rsidR="006112CD" w:rsidRPr="00E41D22" w:rsidRDefault="006112CD" w:rsidP="006112CD">
            <w:pPr>
              <w:pStyle w:val="BodyText"/>
              <w:spacing w:before="0"/>
              <w:rPr>
                <w:sz w:val="14"/>
                <w:szCs w:val="14"/>
              </w:rPr>
            </w:pPr>
          </w:p>
        </w:tc>
        <w:tc>
          <w:tcPr>
            <w:tcW w:w="658" w:type="dxa"/>
          </w:tcPr>
          <w:p w14:paraId="31D7E5B1"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M3</w:t>
            </w:r>
          </w:p>
        </w:tc>
        <w:tc>
          <w:tcPr>
            <w:tcW w:w="4747" w:type="dxa"/>
            <w:hideMark/>
          </w:tcPr>
          <w:p w14:paraId="42938454"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Boston Med Ctr Radiology at Whittier</w:t>
            </w:r>
          </w:p>
        </w:tc>
        <w:tc>
          <w:tcPr>
            <w:tcW w:w="900" w:type="dxa"/>
            <w:noWrap/>
            <w:hideMark/>
          </w:tcPr>
          <w:p w14:paraId="304859DE"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Tremont</w:t>
            </w:r>
          </w:p>
        </w:tc>
      </w:tr>
      <w:tr w:rsidR="006112CD" w:rsidRPr="006112CD" w14:paraId="0C5CC684" w14:textId="77777777" w:rsidTr="002F48C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val="restart"/>
            <w:tcBorders>
              <w:left w:val="single" w:sz="4" w:space="0" w:color="4472C4" w:themeColor="accent1"/>
            </w:tcBorders>
            <w:noWrap/>
            <w:hideMark/>
          </w:tcPr>
          <w:p w14:paraId="09259EA2" w14:textId="77777777" w:rsidR="006112CD" w:rsidRPr="00E41D22" w:rsidRDefault="006112CD" w:rsidP="006112CD">
            <w:pPr>
              <w:pStyle w:val="BodyText"/>
              <w:spacing w:before="0"/>
              <w:rPr>
                <w:sz w:val="14"/>
                <w:szCs w:val="14"/>
              </w:rPr>
            </w:pPr>
            <w:r w:rsidRPr="00E41D22">
              <w:rPr>
                <w:sz w:val="14"/>
                <w:szCs w:val="14"/>
              </w:rPr>
              <w:t>Mass General Brigham</w:t>
            </w:r>
          </w:p>
        </w:tc>
        <w:tc>
          <w:tcPr>
            <w:tcW w:w="658" w:type="dxa"/>
          </w:tcPr>
          <w:p w14:paraId="03436CFF"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G1</w:t>
            </w:r>
          </w:p>
        </w:tc>
        <w:tc>
          <w:tcPr>
            <w:tcW w:w="4747" w:type="dxa"/>
            <w:hideMark/>
          </w:tcPr>
          <w:p w14:paraId="4CB91255"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Massachusetts General Hospital/Mass General Hospital for Children (MGHfC)*</w:t>
            </w:r>
          </w:p>
        </w:tc>
        <w:tc>
          <w:tcPr>
            <w:tcW w:w="900" w:type="dxa"/>
            <w:noWrap/>
            <w:hideMark/>
          </w:tcPr>
          <w:p w14:paraId="73011A59"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Boston</w:t>
            </w:r>
          </w:p>
        </w:tc>
      </w:tr>
      <w:tr w:rsidR="00E41D22" w:rsidRPr="006112CD" w14:paraId="65DB295C" w14:textId="77777777" w:rsidTr="002F48C1">
        <w:trPr>
          <w:cnfStyle w:val="000000100000" w:firstRow="0" w:lastRow="0" w:firstColumn="0" w:lastColumn="0" w:oddVBand="0" w:evenVBand="0" w:oddHBand="1" w:evenHBand="0" w:firstRowFirstColumn="0" w:firstRowLastColumn="0" w:lastRowFirstColumn="0" w:lastRowLastColumn="0"/>
          <w:cantSplit/>
          <w:trHeight w:val="206"/>
          <w:jc w:val="center"/>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4" w:space="0" w:color="4472C4" w:themeColor="accent1"/>
            </w:tcBorders>
            <w:hideMark/>
          </w:tcPr>
          <w:p w14:paraId="5E3864EF" w14:textId="77777777" w:rsidR="006112CD" w:rsidRPr="00E41D22" w:rsidRDefault="006112CD" w:rsidP="006112CD">
            <w:pPr>
              <w:pStyle w:val="BodyText"/>
              <w:spacing w:before="0"/>
              <w:rPr>
                <w:sz w:val="14"/>
                <w:szCs w:val="14"/>
              </w:rPr>
            </w:pPr>
          </w:p>
        </w:tc>
        <w:tc>
          <w:tcPr>
            <w:tcW w:w="658" w:type="dxa"/>
          </w:tcPr>
          <w:p w14:paraId="3484FA65"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G2</w:t>
            </w:r>
          </w:p>
        </w:tc>
        <w:tc>
          <w:tcPr>
            <w:tcW w:w="4747" w:type="dxa"/>
            <w:hideMark/>
          </w:tcPr>
          <w:p w14:paraId="6C86B8CD"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Mass General Waltham</w:t>
            </w:r>
          </w:p>
        </w:tc>
        <w:tc>
          <w:tcPr>
            <w:tcW w:w="900" w:type="dxa"/>
            <w:noWrap/>
            <w:hideMark/>
          </w:tcPr>
          <w:p w14:paraId="076C6E96"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Waltham</w:t>
            </w:r>
          </w:p>
        </w:tc>
      </w:tr>
      <w:tr w:rsidR="006112CD" w:rsidRPr="006112CD" w14:paraId="5EF932DC" w14:textId="77777777" w:rsidTr="002F48C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4" w:space="0" w:color="4472C4" w:themeColor="accent1"/>
            </w:tcBorders>
            <w:hideMark/>
          </w:tcPr>
          <w:p w14:paraId="23CEA975" w14:textId="77777777" w:rsidR="006112CD" w:rsidRPr="00E41D22" w:rsidRDefault="006112CD" w:rsidP="006112CD">
            <w:pPr>
              <w:pStyle w:val="BodyText"/>
              <w:spacing w:before="0"/>
              <w:rPr>
                <w:sz w:val="14"/>
                <w:szCs w:val="14"/>
              </w:rPr>
            </w:pPr>
          </w:p>
        </w:tc>
        <w:tc>
          <w:tcPr>
            <w:tcW w:w="658" w:type="dxa"/>
          </w:tcPr>
          <w:p w14:paraId="4A47AAB8"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G3</w:t>
            </w:r>
          </w:p>
        </w:tc>
        <w:tc>
          <w:tcPr>
            <w:tcW w:w="4747" w:type="dxa"/>
            <w:hideMark/>
          </w:tcPr>
          <w:p w14:paraId="3A6D3E0B"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Brigham &amp; Women's Health Care Ctr</w:t>
            </w:r>
          </w:p>
        </w:tc>
        <w:tc>
          <w:tcPr>
            <w:tcW w:w="900" w:type="dxa"/>
            <w:noWrap/>
            <w:hideMark/>
          </w:tcPr>
          <w:p w14:paraId="0BF206BD"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Brookline</w:t>
            </w:r>
          </w:p>
        </w:tc>
      </w:tr>
      <w:tr w:rsidR="00E41D22" w:rsidRPr="006112CD" w14:paraId="505A7BFF" w14:textId="77777777" w:rsidTr="002F48C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4" w:space="0" w:color="4472C4" w:themeColor="accent1"/>
            </w:tcBorders>
            <w:hideMark/>
          </w:tcPr>
          <w:p w14:paraId="19211697" w14:textId="77777777" w:rsidR="006112CD" w:rsidRPr="00E41D22" w:rsidRDefault="006112CD" w:rsidP="006112CD">
            <w:pPr>
              <w:pStyle w:val="BodyText"/>
              <w:spacing w:before="0"/>
              <w:rPr>
                <w:sz w:val="14"/>
                <w:szCs w:val="14"/>
              </w:rPr>
            </w:pPr>
          </w:p>
        </w:tc>
        <w:tc>
          <w:tcPr>
            <w:tcW w:w="658" w:type="dxa"/>
          </w:tcPr>
          <w:p w14:paraId="256C4B37"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G4</w:t>
            </w:r>
          </w:p>
        </w:tc>
        <w:tc>
          <w:tcPr>
            <w:tcW w:w="4747" w:type="dxa"/>
            <w:hideMark/>
          </w:tcPr>
          <w:p w14:paraId="468E44D6"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Brigham And Women's Hospital</w:t>
            </w:r>
          </w:p>
        </w:tc>
        <w:tc>
          <w:tcPr>
            <w:tcW w:w="900" w:type="dxa"/>
            <w:noWrap/>
            <w:hideMark/>
          </w:tcPr>
          <w:p w14:paraId="5AF3A6FF"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Boston</w:t>
            </w:r>
          </w:p>
        </w:tc>
      </w:tr>
      <w:tr w:rsidR="006112CD" w:rsidRPr="006112CD" w14:paraId="3CB5FD17" w14:textId="77777777" w:rsidTr="002F48C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4" w:space="0" w:color="4472C4" w:themeColor="accent1"/>
            </w:tcBorders>
            <w:hideMark/>
          </w:tcPr>
          <w:p w14:paraId="3A53CD0A" w14:textId="77777777" w:rsidR="006112CD" w:rsidRPr="00E41D22" w:rsidRDefault="006112CD" w:rsidP="006112CD">
            <w:pPr>
              <w:pStyle w:val="BodyText"/>
              <w:spacing w:before="0"/>
              <w:rPr>
                <w:sz w:val="14"/>
                <w:szCs w:val="14"/>
              </w:rPr>
            </w:pPr>
          </w:p>
        </w:tc>
        <w:tc>
          <w:tcPr>
            <w:tcW w:w="658" w:type="dxa"/>
          </w:tcPr>
          <w:p w14:paraId="3BEDC596"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G5</w:t>
            </w:r>
          </w:p>
        </w:tc>
        <w:tc>
          <w:tcPr>
            <w:tcW w:w="4747" w:type="dxa"/>
            <w:hideMark/>
          </w:tcPr>
          <w:p w14:paraId="2BC1D3E0"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Brigham &amp; Women Advanced Primary Care</w:t>
            </w:r>
          </w:p>
        </w:tc>
        <w:tc>
          <w:tcPr>
            <w:tcW w:w="900" w:type="dxa"/>
            <w:noWrap/>
            <w:hideMark/>
          </w:tcPr>
          <w:p w14:paraId="45E9FDAF"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Boston</w:t>
            </w:r>
          </w:p>
        </w:tc>
      </w:tr>
      <w:tr w:rsidR="00E41D22" w:rsidRPr="006112CD" w14:paraId="3CD8D54C" w14:textId="77777777" w:rsidTr="002F48C1">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4" w:space="0" w:color="4472C4" w:themeColor="accent1"/>
            </w:tcBorders>
          </w:tcPr>
          <w:p w14:paraId="2CBB1F04" w14:textId="77777777" w:rsidR="006112CD" w:rsidRPr="00E41D22" w:rsidRDefault="006112CD" w:rsidP="006112CD">
            <w:pPr>
              <w:pStyle w:val="BodyText"/>
              <w:spacing w:before="0"/>
              <w:rPr>
                <w:sz w:val="14"/>
                <w:szCs w:val="14"/>
              </w:rPr>
            </w:pPr>
          </w:p>
        </w:tc>
        <w:tc>
          <w:tcPr>
            <w:tcW w:w="658" w:type="dxa"/>
          </w:tcPr>
          <w:p w14:paraId="21A1B71E"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G6</w:t>
            </w:r>
          </w:p>
        </w:tc>
        <w:tc>
          <w:tcPr>
            <w:tcW w:w="4747" w:type="dxa"/>
          </w:tcPr>
          <w:p w14:paraId="53FACB7F"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Brigham &amp; Women Faulkner Hospital</w:t>
            </w:r>
          </w:p>
        </w:tc>
        <w:tc>
          <w:tcPr>
            <w:tcW w:w="900" w:type="dxa"/>
            <w:noWrap/>
          </w:tcPr>
          <w:p w14:paraId="575D998F" w14:textId="77777777" w:rsidR="006112CD" w:rsidRPr="00E41D22" w:rsidRDefault="006112CD" w:rsidP="006112CD">
            <w:pPr>
              <w:pStyle w:val="BodyText"/>
              <w:spacing w:before="0"/>
              <w:cnfStyle w:val="000000100000" w:firstRow="0" w:lastRow="0" w:firstColumn="0" w:lastColumn="0" w:oddVBand="0" w:evenVBand="0" w:oddHBand="1" w:evenHBand="0" w:firstRowFirstColumn="0" w:firstRowLastColumn="0" w:lastRowFirstColumn="0" w:lastRowLastColumn="0"/>
              <w:rPr>
                <w:sz w:val="14"/>
                <w:szCs w:val="14"/>
              </w:rPr>
            </w:pPr>
            <w:r w:rsidRPr="00E41D22">
              <w:rPr>
                <w:sz w:val="14"/>
                <w:szCs w:val="14"/>
              </w:rPr>
              <w:t>Boston</w:t>
            </w:r>
          </w:p>
        </w:tc>
      </w:tr>
      <w:tr w:rsidR="006112CD" w:rsidRPr="006112CD" w14:paraId="079E915F" w14:textId="77777777" w:rsidTr="002F48C1">
        <w:trPr>
          <w:cantSplit/>
          <w:trHeight w:val="20"/>
          <w:jc w:val="center"/>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4" w:space="0" w:color="4472C4" w:themeColor="accent1"/>
            </w:tcBorders>
            <w:hideMark/>
          </w:tcPr>
          <w:p w14:paraId="657B8FFC" w14:textId="77777777" w:rsidR="006112CD" w:rsidRPr="00E41D22" w:rsidRDefault="006112CD" w:rsidP="006112CD">
            <w:pPr>
              <w:pStyle w:val="BodyText"/>
              <w:spacing w:before="0"/>
              <w:rPr>
                <w:sz w:val="14"/>
                <w:szCs w:val="14"/>
              </w:rPr>
            </w:pPr>
          </w:p>
        </w:tc>
        <w:tc>
          <w:tcPr>
            <w:tcW w:w="658" w:type="dxa"/>
          </w:tcPr>
          <w:p w14:paraId="504FAC69"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G7</w:t>
            </w:r>
          </w:p>
        </w:tc>
        <w:tc>
          <w:tcPr>
            <w:tcW w:w="4747" w:type="dxa"/>
          </w:tcPr>
          <w:p w14:paraId="1B960745"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Mass General/ North Shore Ctr Opt Cr</w:t>
            </w:r>
          </w:p>
        </w:tc>
        <w:tc>
          <w:tcPr>
            <w:tcW w:w="900" w:type="dxa"/>
            <w:noWrap/>
          </w:tcPr>
          <w:p w14:paraId="65A1B4B6" w14:textId="77777777" w:rsidR="006112CD" w:rsidRPr="00E41D22" w:rsidRDefault="006112CD" w:rsidP="006112CD">
            <w:pPr>
              <w:pStyle w:val="BodyText"/>
              <w:spacing w:before="0"/>
              <w:cnfStyle w:val="000000000000" w:firstRow="0" w:lastRow="0" w:firstColumn="0" w:lastColumn="0" w:oddVBand="0" w:evenVBand="0" w:oddHBand="0" w:evenHBand="0" w:firstRowFirstColumn="0" w:firstRowLastColumn="0" w:lastRowFirstColumn="0" w:lastRowLastColumn="0"/>
              <w:rPr>
                <w:sz w:val="14"/>
                <w:szCs w:val="14"/>
              </w:rPr>
            </w:pPr>
            <w:r w:rsidRPr="00E41D22">
              <w:rPr>
                <w:sz w:val="14"/>
                <w:szCs w:val="14"/>
              </w:rPr>
              <w:t>Danvers</w:t>
            </w:r>
          </w:p>
        </w:tc>
      </w:tr>
    </w:tbl>
    <w:p w14:paraId="022FEC5A" w14:textId="5669CC74" w:rsidR="00762535" w:rsidRDefault="00762535" w:rsidP="00BE32C9">
      <w:pPr>
        <w:pStyle w:val="Heading2"/>
      </w:pPr>
      <w:bookmarkStart w:id="82" w:name="_Toc109895500"/>
      <w:bookmarkEnd w:id="81"/>
      <w:r>
        <w:t>Analyses of Service Areas</w:t>
      </w:r>
      <w:bookmarkEnd w:id="82"/>
    </w:p>
    <w:p w14:paraId="7AAD1DDA" w14:textId="48380844" w:rsidR="00DB02E2" w:rsidRDefault="00DB02E2" w:rsidP="00BE32C9">
      <w:r>
        <w:t>Applying the method</w:t>
      </w:r>
      <w:r w:rsidR="00BD2FCA">
        <w:t>ology</w:t>
      </w:r>
      <w:r>
        <w:t xml:space="preserve"> described </w:t>
      </w:r>
      <w:r w:rsidR="00083FF7">
        <w:t xml:space="preserve">in </w:t>
      </w:r>
      <w:r w:rsidR="009C486F">
        <w:t>VII</w:t>
      </w:r>
      <w:r w:rsidR="007336D0">
        <w:t xml:space="preserve"> </w:t>
      </w:r>
      <w:r w:rsidR="00083FF7">
        <w:t>A above</w:t>
      </w:r>
      <w:r>
        <w:t xml:space="preserve">, FTI defined service areas for each of the three </w:t>
      </w:r>
      <w:r w:rsidR="00BD2FCA">
        <w:t xml:space="preserve">new BCH </w:t>
      </w:r>
      <w:r>
        <w:t>locations</w:t>
      </w:r>
      <w:r w:rsidR="00E037E7">
        <w:t xml:space="preserve"> for the three new services (Imaging, ASC, and MRI)</w:t>
      </w:r>
      <w:r>
        <w:t>.</w:t>
      </w:r>
      <w:r w:rsidR="00EF4DD3">
        <w:t xml:space="preserve"> </w:t>
      </w:r>
    </w:p>
    <w:p w14:paraId="34072703" w14:textId="01F1A363" w:rsidR="00EF4DD3" w:rsidRDefault="00EF4DD3" w:rsidP="00BE32C9">
      <w:r>
        <w:lastRenderedPageBreak/>
        <w:t>We note here and for each of the service areas, that there may be hospital-based outpatient or hospital satellite facilities not depicted on the map that serve as alternatives for patients in a specific service area. Moreover, facilities located physically outside of an area may be important alternatives that are used or could be conveniently used by patients and would be included in any share calculation or in analyses as a source of potential diversion.</w:t>
      </w:r>
      <w:r>
        <w:rPr>
          <w:rStyle w:val="FootnoteReference"/>
        </w:rPr>
        <w:footnoteReference w:id="43"/>
      </w:r>
    </w:p>
    <w:p w14:paraId="39FCBC0F" w14:textId="58049D23" w:rsidR="00535662" w:rsidRDefault="00535662" w:rsidP="00BE32C9">
      <w:pPr>
        <w:pStyle w:val="Heading3"/>
      </w:pPr>
      <w:bookmarkStart w:id="83" w:name="_Toc109895501"/>
      <w:r>
        <w:t>Needham Service Areas</w:t>
      </w:r>
      <w:r w:rsidR="00C826B4">
        <w:t xml:space="preserve"> for Imaging, ASC Services and MRI</w:t>
      </w:r>
      <w:bookmarkEnd w:id="83"/>
      <w:r>
        <w:t xml:space="preserve"> </w:t>
      </w:r>
    </w:p>
    <w:p w14:paraId="1C81C536" w14:textId="58BC7685" w:rsidR="00C826B4" w:rsidRDefault="00535662" w:rsidP="00BE32C9">
      <w:r>
        <w:t xml:space="preserve">The </w:t>
      </w:r>
      <w:r w:rsidR="00394610">
        <w:t xml:space="preserve">FTI-defined </w:t>
      </w:r>
      <w:r>
        <w:t>Needham service areas for ASC and Imaging services are similar to each other in geographic scope (</w:t>
      </w:r>
      <w:r w:rsidR="009C486F">
        <w:t xml:space="preserve">as </w:t>
      </w:r>
      <w:r>
        <w:t xml:space="preserve">shown in </w:t>
      </w:r>
      <w:r w:rsidRPr="00BC1A16">
        <w:fldChar w:fldCharType="begin"/>
      </w:r>
      <w:r w:rsidRPr="00BC1A16">
        <w:instrText xml:space="preserve"> REF _Ref105774917 \h  \* MERGEFORMAT </w:instrText>
      </w:r>
      <w:r w:rsidRPr="00BC1A16">
        <w:fldChar w:fldCharType="separate"/>
      </w:r>
      <w:r w:rsidR="00CE7C62" w:rsidRPr="00596992">
        <w:t xml:space="preserve">Figure </w:t>
      </w:r>
      <w:r w:rsidR="00CE7C62">
        <w:rPr>
          <w:noProof/>
        </w:rPr>
        <w:t>3</w:t>
      </w:r>
      <w:r w:rsidRPr="00BC1A16">
        <w:fldChar w:fldCharType="end"/>
      </w:r>
      <w:r>
        <w:t xml:space="preserve"> and</w:t>
      </w:r>
      <w:r w:rsidRPr="00BC1A16">
        <w:t xml:space="preserve"> </w:t>
      </w:r>
      <w:r w:rsidRPr="00BC1A16">
        <w:fldChar w:fldCharType="begin"/>
      </w:r>
      <w:r w:rsidRPr="00BC1A16">
        <w:instrText xml:space="preserve"> REF _Ref105774921 \h  \* MERGEFORMAT </w:instrText>
      </w:r>
      <w:r w:rsidRPr="00BC1A16">
        <w:fldChar w:fldCharType="separate"/>
      </w:r>
      <w:r w:rsidR="00CE7C62" w:rsidRPr="00596992">
        <w:t xml:space="preserve">Figure </w:t>
      </w:r>
      <w:r w:rsidR="00CE7C62">
        <w:rPr>
          <w:noProof/>
        </w:rPr>
        <w:t>4</w:t>
      </w:r>
      <w:r w:rsidRPr="00BC1A16">
        <w:fldChar w:fldCharType="end"/>
      </w:r>
      <w:r w:rsidRPr="00BC1A16">
        <w:t>)</w:t>
      </w:r>
      <w:r>
        <w:t xml:space="preserve">. Both service areas encompass </w:t>
      </w:r>
      <w:r w:rsidR="00E765D8">
        <w:t>ZIP</w:t>
      </w:r>
      <w:r w:rsidR="0006093C">
        <w:t xml:space="preserve"> codes in a broader </w:t>
      </w:r>
      <w:r>
        <w:t>western Boston</w:t>
      </w:r>
      <w:r w:rsidR="0006093C">
        <w:t xml:space="preserve"> area</w:t>
      </w:r>
      <w:r>
        <w:t xml:space="preserve"> and are centered around the </w:t>
      </w:r>
      <w:r w:rsidR="00394610">
        <w:t xml:space="preserve">proposed </w:t>
      </w:r>
      <w:r>
        <w:t>BCH Needham location</w:t>
      </w:r>
      <w:r w:rsidRPr="00394610">
        <w:t>.</w:t>
      </w:r>
      <w:r w:rsidR="00B8561B">
        <w:t xml:space="preserve"> While there are </w:t>
      </w:r>
      <w:r w:rsidR="0006093C">
        <w:t xml:space="preserve">hospital-based and other outpatient </w:t>
      </w:r>
      <w:r w:rsidR="00B8561B">
        <w:t>alternatives located outside of the boundaries of the area, we note that</w:t>
      </w:r>
      <w:r w:rsidRPr="00394610">
        <w:t xml:space="preserve"> </w:t>
      </w:r>
      <w:r w:rsidR="009C486F">
        <w:t xml:space="preserve">the </w:t>
      </w:r>
      <w:r w:rsidRPr="00394610">
        <w:t xml:space="preserve">BCH Waltham </w:t>
      </w:r>
      <w:r w:rsidR="009C486F">
        <w:t xml:space="preserve">facility </w:t>
      </w:r>
      <w:r w:rsidRPr="00394610">
        <w:t xml:space="preserve">is </w:t>
      </w:r>
      <w:r w:rsidR="00394610">
        <w:t xml:space="preserve">located </w:t>
      </w:r>
      <w:r w:rsidRPr="00394610">
        <w:t xml:space="preserve">in all three Needham service areas. The current and future BCH Weymouth locations are </w:t>
      </w:r>
      <w:r w:rsidR="0006093C">
        <w:t xml:space="preserve">located within </w:t>
      </w:r>
      <w:r w:rsidRPr="00394610">
        <w:t xml:space="preserve">Needham service areas for ASC and MRI and are on the border of the Needham service area for imaging. There are six BCH facilities </w:t>
      </w:r>
      <w:r w:rsidR="00394610">
        <w:t>located physically within the</w:t>
      </w:r>
      <w:r w:rsidRPr="00394610">
        <w:t xml:space="preserve"> Needham service areas, including BCH Waltham, BCH Needham, BCH Weymouth, BCH main campus, BCH Lexington, and BCH Brookline.</w:t>
      </w:r>
      <w:r>
        <w:t xml:space="preserve"> There are six or more Mass General Brigham facilities, three Boston Medical Center facilities, and </w:t>
      </w:r>
      <w:r w:rsidR="00394610">
        <w:t>the</w:t>
      </w:r>
      <w:r>
        <w:t xml:space="preserve"> Tufts facility </w:t>
      </w:r>
      <w:r w:rsidR="00E765D8">
        <w:t>(</w:t>
      </w:r>
      <w:r w:rsidR="0006093C">
        <w:t>including the Children’s Hospitals for each</w:t>
      </w:r>
      <w:r w:rsidR="00E765D8">
        <w:t>)</w:t>
      </w:r>
      <w:r w:rsidR="0006093C">
        <w:t xml:space="preserve"> </w:t>
      </w:r>
      <w:r>
        <w:t xml:space="preserve">located within the Needham service areas. </w:t>
      </w:r>
    </w:p>
    <w:p w14:paraId="10F2A922" w14:textId="09D59107" w:rsidR="00535662" w:rsidRDefault="00535662" w:rsidP="00BE32C9">
      <w:pPr>
        <w:pStyle w:val="Caption"/>
      </w:pPr>
      <w:bookmarkStart w:id="84" w:name="_Ref105774917"/>
      <w:bookmarkStart w:id="85" w:name="_Toc109901088"/>
      <w:r w:rsidRPr="00596992">
        <w:t xml:space="preserve">Figure </w:t>
      </w:r>
      <w:fldSimple w:instr=" SEQ Figure \* ARABIC ">
        <w:r w:rsidR="00CE7C62">
          <w:rPr>
            <w:noProof/>
          </w:rPr>
          <w:t>3</w:t>
        </w:r>
      </w:fldSimple>
      <w:bookmarkEnd w:id="84"/>
      <w:r>
        <w:t>: Needham Service Area, ASC</w:t>
      </w:r>
      <w:bookmarkEnd w:id="85"/>
    </w:p>
    <w:tbl>
      <w:tblPr>
        <w:tblStyle w:val="GridTable4-Accent1"/>
        <w:tblpPr w:leftFromText="180" w:rightFromText="180" w:vertAnchor="text" w:horzAnchor="page" w:tblpX="6602" w:tblpY="190"/>
        <w:tblW w:w="0" w:type="auto"/>
        <w:tblLook w:val="04A0" w:firstRow="1" w:lastRow="0" w:firstColumn="1" w:lastColumn="0" w:noHBand="0" w:noVBand="1"/>
      </w:tblPr>
      <w:tblGrid>
        <w:gridCol w:w="667"/>
        <w:gridCol w:w="2928"/>
        <w:gridCol w:w="810"/>
      </w:tblGrid>
      <w:tr w:rsidR="00182ACF" w:rsidRPr="00182ACF" w14:paraId="4EA14506" w14:textId="77777777" w:rsidTr="006A1CE2">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67" w:type="dxa"/>
          </w:tcPr>
          <w:p w14:paraId="294B9776" w14:textId="77777777" w:rsidR="00182ACF" w:rsidRPr="00182ACF" w:rsidRDefault="00182ACF" w:rsidP="00182ACF">
            <w:pPr>
              <w:pStyle w:val="BodyText"/>
              <w:spacing w:before="0"/>
              <w:rPr>
                <w:rFonts w:eastAsiaTheme="minorEastAsia"/>
                <w:sz w:val="13"/>
                <w:szCs w:val="13"/>
              </w:rPr>
            </w:pPr>
            <w:bookmarkStart w:id="86" w:name="_Hlk109893359"/>
            <w:r w:rsidRPr="00182ACF">
              <w:rPr>
                <w:rFonts w:eastAsiaTheme="minorEastAsia"/>
                <w:sz w:val="13"/>
                <w:szCs w:val="13"/>
              </w:rPr>
              <w:t>Facility Code</w:t>
            </w:r>
          </w:p>
        </w:tc>
        <w:tc>
          <w:tcPr>
            <w:tcW w:w="2928" w:type="dxa"/>
            <w:hideMark/>
          </w:tcPr>
          <w:p w14:paraId="53FE4DC0" w14:textId="77777777" w:rsidR="00182ACF" w:rsidRPr="00182ACF" w:rsidRDefault="00182ACF" w:rsidP="00182ACF">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Facility Name</w:t>
            </w:r>
          </w:p>
        </w:tc>
        <w:tc>
          <w:tcPr>
            <w:tcW w:w="810" w:type="dxa"/>
            <w:noWrap/>
            <w:hideMark/>
          </w:tcPr>
          <w:p w14:paraId="5DF9AE51" w14:textId="77777777" w:rsidR="00182ACF" w:rsidRPr="00182ACF" w:rsidRDefault="00182ACF" w:rsidP="00182ACF">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City and Town</w:t>
            </w:r>
          </w:p>
        </w:tc>
      </w:tr>
      <w:tr w:rsidR="00182ACF" w:rsidRPr="00182ACF" w14:paraId="3AF6E7AB" w14:textId="77777777" w:rsidTr="006A1CE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1BE1CABA"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B1</w:t>
            </w:r>
          </w:p>
        </w:tc>
        <w:tc>
          <w:tcPr>
            <w:tcW w:w="2928" w:type="dxa"/>
          </w:tcPr>
          <w:p w14:paraId="402B095A"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Hospital*</w:t>
            </w:r>
          </w:p>
        </w:tc>
        <w:tc>
          <w:tcPr>
            <w:tcW w:w="810" w:type="dxa"/>
            <w:noWrap/>
          </w:tcPr>
          <w:p w14:paraId="4E129BFC"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w:t>
            </w:r>
          </w:p>
        </w:tc>
      </w:tr>
      <w:tr w:rsidR="00182ACF" w:rsidRPr="00182ACF" w14:paraId="01522048" w14:textId="77777777" w:rsidTr="006A1CE2">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2D224BC9"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B2</w:t>
            </w:r>
          </w:p>
        </w:tc>
        <w:tc>
          <w:tcPr>
            <w:tcW w:w="2928" w:type="dxa"/>
          </w:tcPr>
          <w:p w14:paraId="17C22E7F" w14:textId="77777777" w:rsidR="00182ACF" w:rsidRPr="00182ACF" w:rsidRDefault="00182ACF" w:rsidP="00182ACF">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(New Location)</w:t>
            </w:r>
          </w:p>
        </w:tc>
        <w:tc>
          <w:tcPr>
            <w:tcW w:w="810" w:type="dxa"/>
            <w:noWrap/>
          </w:tcPr>
          <w:p w14:paraId="0F7E74C3" w14:textId="77777777" w:rsidR="00182ACF" w:rsidRPr="00182ACF" w:rsidRDefault="00182ACF" w:rsidP="00182ACF">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182ACF" w:rsidRPr="00182ACF" w14:paraId="090F35CA" w14:textId="77777777" w:rsidTr="006A1CE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46AD098D"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B3</w:t>
            </w:r>
          </w:p>
        </w:tc>
        <w:tc>
          <w:tcPr>
            <w:tcW w:w="2928" w:type="dxa"/>
          </w:tcPr>
          <w:p w14:paraId="7754442E"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(Current Location)</w:t>
            </w:r>
          </w:p>
        </w:tc>
        <w:tc>
          <w:tcPr>
            <w:tcW w:w="810" w:type="dxa"/>
            <w:noWrap/>
          </w:tcPr>
          <w:p w14:paraId="76C89BD5"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182ACF" w:rsidRPr="00182ACF" w14:paraId="168B8DEF" w14:textId="77777777" w:rsidTr="006A1CE2">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278F4028"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B4</w:t>
            </w:r>
          </w:p>
        </w:tc>
        <w:tc>
          <w:tcPr>
            <w:tcW w:w="2928" w:type="dxa"/>
          </w:tcPr>
          <w:p w14:paraId="3D9CF3BB" w14:textId="77777777" w:rsidR="00182ACF" w:rsidRPr="00182ACF" w:rsidRDefault="00182ACF" w:rsidP="00182ACF">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Waltham</w:t>
            </w:r>
          </w:p>
        </w:tc>
        <w:tc>
          <w:tcPr>
            <w:tcW w:w="810" w:type="dxa"/>
            <w:noWrap/>
          </w:tcPr>
          <w:p w14:paraId="493F256C" w14:textId="77777777" w:rsidR="00182ACF" w:rsidRPr="00182ACF" w:rsidRDefault="00182ACF" w:rsidP="00182ACF">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Waltham</w:t>
            </w:r>
          </w:p>
        </w:tc>
      </w:tr>
      <w:tr w:rsidR="00182ACF" w:rsidRPr="00182ACF" w14:paraId="16AFA500" w14:textId="77777777" w:rsidTr="006A1CE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02D0BA4F"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B5</w:t>
            </w:r>
          </w:p>
        </w:tc>
        <w:tc>
          <w:tcPr>
            <w:tcW w:w="2928" w:type="dxa"/>
          </w:tcPr>
          <w:p w14:paraId="1C8809D2"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Needham</w:t>
            </w:r>
          </w:p>
        </w:tc>
        <w:tc>
          <w:tcPr>
            <w:tcW w:w="810" w:type="dxa"/>
            <w:noWrap/>
          </w:tcPr>
          <w:p w14:paraId="29ED7BB5"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Needham</w:t>
            </w:r>
          </w:p>
        </w:tc>
      </w:tr>
      <w:tr w:rsidR="00182ACF" w:rsidRPr="00182ACF" w14:paraId="336C98F4" w14:textId="77777777" w:rsidTr="006A1CE2">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6B59A719"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B6</w:t>
            </w:r>
          </w:p>
        </w:tc>
        <w:tc>
          <w:tcPr>
            <w:tcW w:w="2928" w:type="dxa"/>
          </w:tcPr>
          <w:p w14:paraId="696C4977" w14:textId="77777777" w:rsidR="00182ACF" w:rsidRPr="00182ACF" w:rsidRDefault="00182ACF" w:rsidP="00182ACF">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Brookline</w:t>
            </w:r>
          </w:p>
        </w:tc>
        <w:tc>
          <w:tcPr>
            <w:tcW w:w="810" w:type="dxa"/>
            <w:noWrap/>
          </w:tcPr>
          <w:p w14:paraId="7A4B3CE8" w14:textId="77777777" w:rsidR="00182ACF" w:rsidRPr="00182ACF" w:rsidRDefault="00182ACF" w:rsidP="00182ACF">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Brookline</w:t>
            </w:r>
          </w:p>
        </w:tc>
      </w:tr>
      <w:tr w:rsidR="00182ACF" w:rsidRPr="00182ACF" w14:paraId="249738A1" w14:textId="77777777" w:rsidTr="006A1CE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6834881A"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B7</w:t>
            </w:r>
          </w:p>
        </w:tc>
        <w:tc>
          <w:tcPr>
            <w:tcW w:w="2928" w:type="dxa"/>
          </w:tcPr>
          <w:p w14:paraId="425647E1"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Lexington</w:t>
            </w:r>
          </w:p>
        </w:tc>
        <w:tc>
          <w:tcPr>
            <w:tcW w:w="810" w:type="dxa"/>
            <w:noWrap/>
          </w:tcPr>
          <w:p w14:paraId="031054F0"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Lexington</w:t>
            </w:r>
          </w:p>
        </w:tc>
      </w:tr>
      <w:tr w:rsidR="00182ACF" w:rsidRPr="00182ACF" w14:paraId="1DC8AE00" w14:textId="77777777" w:rsidTr="006A1CE2">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5864503B"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B8</w:t>
            </w:r>
          </w:p>
        </w:tc>
        <w:tc>
          <w:tcPr>
            <w:tcW w:w="2928" w:type="dxa"/>
          </w:tcPr>
          <w:p w14:paraId="1B66CCD0" w14:textId="77777777" w:rsidR="00182ACF" w:rsidRPr="00182ACF" w:rsidRDefault="00182ACF" w:rsidP="00182ACF">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Peabody</w:t>
            </w:r>
          </w:p>
        </w:tc>
        <w:tc>
          <w:tcPr>
            <w:tcW w:w="810" w:type="dxa"/>
            <w:noWrap/>
          </w:tcPr>
          <w:p w14:paraId="51CC182F" w14:textId="77777777" w:rsidR="00182ACF" w:rsidRPr="00182ACF" w:rsidRDefault="00182ACF" w:rsidP="00182ACF">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Peabody</w:t>
            </w:r>
          </w:p>
        </w:tc>
      </w:tr>
      <w:tr w:rsidR="00182ACF" w:rsidRPr="00182ACF" w14:paraId="11BE5FDF" w14:textId="77777777" w:rsidTr="006A1CE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36C7F132"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B9</w:t>
            </w:r>
          </w:p>
        </w:tc>
        <w:tc>
          <w:tcPr>
            <w:tcW w:w="2928" w:type="dxa"/>
          </w:tcPr>
          <w:p w14:paraId="2F7CD1AC"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North Dartmouth</w:t>
            </w:r>
          </w:p>
        </w:tc>
        <w:tc>
          <w:tcPr>
            <w:tcW w:w="810" w:type="dxa"/>
            <w:noWrap/>
          </w:tcPr>
          <w:p w14:paraId="62848A66"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Dartmouth</w:t>
            </w:r>
          </w:p>
        </w:tc>
      </w:tr>
    </w:tbl>
    <w:bookmarkEnd w:id="86"/>
    <w:p w14:paraId="664EB2A6" w14:textId="61760667" w:rsidR="005C17F9" w:rsidRDefault="007336D0" w:rsidP="00E325F7">
      <w:pPr>
        <w:numPr>
          <w:ilvl w:val="0"/>
          <w:numId w:val="0"/>
        </w:numPr>
        <w:ind w:left="180"/>
        <w:jc w:val="left"/>
      </w:pPr>
      <w:r>
        <w:rPr>
          <w:noProof/>
        </w:rPr>
        <w:drawing>
          <wp:inline distT="0" distB="0" distL="0" distR="0" wp14:anchorId="62487DB3" wp14:editId="205FB694">
            <wp:extent cx="3019246" cy="2135081"/>
            <wp:effectExtent l="0" t="0" r="0" b="0"/>
            <wp:docPr id="4" name="Picture 4" descr="Map of Eastern Massachusetts, from Worcester to Boston. Symbols of multiple colors indicate Massachusetts health systems, and light green coloring on map indicates Needham service area for ASC services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Eastern Massachusetts, from Worcester to Boston. Symbols of multiple colors indicate Massachusetts health systems, and light green coloring on map indicates Needham service area for ASC services with 75% PSA"/>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036306" cy="2147145"/>
                    </a:xfrm>
                    <a:prstGeom prst="rect">
                      <a:avLst/>
                    </a:prstGeom>
                    <a:noFill/>
                    <a:ln>
                      <a:noFill/>
                    </a:ln>
                  </pic:spPr>
                </pic:pic>
              </a:graphicData>
            </a:graphic>
          </wp:inline>
        </w:drawing>
      </w:r>
    </w:p>
    <w:p w14:paraId="4F906ED7" w14:textId="5C0F47DF" w:rsidR="005C17F9" w:rsidRDefault="005C17F9" w:rsidP="00FC4424">
      <w:pPr>
        <w:numPr>
          <w:ilvl w:val="0"/>
          <w:numId w:val="0"/>
        </w:numPr>
        <w:ind w:left="450"/>
        <w:jc w:val="center"/>
      </w:pPr>
    </w:p>
    <w:p w14:paraId="514522F5" w14:textId="77777777" w:rsidR="00182ACF" w:rsidRDefault="00182ACF" w:rsidP="00FC4424">
      <w:pPr>
        <w:numPr>
          <w:ilvl w:val="0"/>
          <w:numId w:val="0"/>
        </w:numPr>
        <w:ind w:left="450"/>
        <w:jc w:val="center"/>
      </w:pPr>
    </w:p>
    <w:p w14:paraId="230DCFCD" w14:textId="3C79540F" w:rsidR="00535662" w:rsidRDefault="00535662" w:rsidP="00BE32C9">
      <w:pPr>
        <w:pStyle w:val="Caption"/>
      </w:pPr>
      <w:bookmarkStart w:id="87" w:name="_Ref105774921"/>
      <w:bookmarkStart w:id="88" w:name="_Toc109901089"/>
      <w:r w:rsidRPr="00596992">
        <w:lastRenderedPageBreak/>
        <w:t xml:space="preserve">Figure </w:t>
      </w:r>
      <w:fldSimple w:instr=" SEQ Figure \* ARABIC ">
        <w:r w:rsidR="00CE7C62">
          <w:rPr>
            <w:noProof/>
          </w:rPr>
          <w:t>4</w:t>
        </w:r>
      </w:fldSimple>
      <w:bookmarkEnd w:id="87"/>
      <w:r>
        <w:t>: Needham Service Area, Imaging</w:t>
      </w:r>
      <w:bookmarkEnd w:id="88"/>
    </w:p>
    <w:tbl>
      <w:tblPr>
        <w:tblStyle w:val="GridTable4-Accent1"/>
        <w:tblpPr w:leftFromText="180" w:rightFromText="180" w:vertAnchor="text" w:horzAnchor="page" w:tblpX="6602" w:tblpY="190"/>
        <w:tblW w:w="0" w:type="auto"/>
        <w:tblLook w:val="04A0" w:firstRow="1" w:lastRow="0" w:firstColumn="1" w:lastColumn="0" w:noHBand="0" w:noVBand="1"/>
      </w:tblPr>
      <w:tblGrid>
        <w:gridCol w:w="667"/>
        <w:gridCol w:w="2928"/>
        <w:gridCol w:w="810"/>
      </w:tblGrid>
      <w:tr w:rsidR="00182ACF" w:rsidRPr="00182ACF" w14:paraId="31A64BB2" w14:textId="77777777" w:rsidTr="00D7384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7" w:type="dxa"/>
          </w:tcPr>
          <w:p w14:paraId="03807B6D" w14:textId="77777777" w:rsidR="00182ACF" w:rsidRPr="00182ACF" w:rsidRDefault="00182ACF" w:rsidP="00D73849">
            <w:pPr>
              <w:pStyle w:val="BodyText"/>
              <w:spacing w:before="0"/>
              <w:rPr>
                <w:rFonts w:eastAsiaTheme="minorEastAsia"/>
                <w:sz w:val="13"/>
                <w:szCs w:val="13"/>
              </w:rPr>
            </w:pPr>
            <w:r w:rsidRPr="00182ACF">
              <w:rPr>
                <w:rFonts w:eastAsiaTheme="minorEastAsia"/>
                <w:sz w:val="13"/>
                <w:szCs w:val="13"/>
              </w:rPr>
              <w:t>Facility Code</w:t>
            </w:r>
          </w:p>
        </w:tc>
        <w:tc>
          <w:tcPr>
            <w:tcW w:w="2928" w:type="dxa"/>
            <w:hideMark/>
          </w:tcPr>
          <w:p w14:paraId="730BAF3B" w14:textId="77777777" w:rsidR="00182ACF" w:rsidRPr="00182ACF" w:rsidRDefault="00182ACF" w:rsidP="00D73849">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Facility Name</w:t>
            </w:r>
          </w:p>
        </w:tc>
        <w:tc>
          <w:tcPr>
            <w:tcW w:w="810" w:type="dxa"/>
            <w:noWrap/>
            <w:hideMark/>
          </w:tcPr>
          <w:p w14:paraId="224E51D6" w14:textId="77777777" w:rsidR="00182ACF" w:rsidRPr="00182ACF" w:rsidRDefault="00182ACF" w:rsidP="00D73849">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City and Town</w:t>
            </w:r>
          </w:p>
        </w:tc>
      </w:tr>
      <w:tr w:rsidR="00182ACF" w:rsidRPr="00182ACF" w14:paraId="77D5DFDF" w14:textId="77777777" w:rsidTr="00D738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7" w:type="dxa"/>
          </w:tcPr>
          <w:p w14:paraId="53B2B40B" w14:textId="77777777" w:rsidR="00182ACF" w:rsidRPr="00182ACF" w:rsidRDefault="00182ACF" w:rsidP="00D73849">
            <w:pPr>
              <w:pStyle w:val="BodyText"/>
              <w:spacing w:before="0"/>
              <w:rPr>
                <w:rFonts w:eastAsiaTheme="minorEastAsia"/>
                <w:sz w:val="13"/>
                <w:szCs w:val="13"/>
              </w:rPr>
            </w:pPr>
            <w:r w:rsidRPr="00182ACF">
              <w:rPr>
                <w:rFonts w:eastAsiaTheme="minorEastAsia"/>
                <w:sz w:val="13"/>
                <w:szCs w:val="13"/>
              </w:rPr>
              <w:t>B1</w:t>
            </w:r>
          </w:p>
        </w:tc>
        <w:tc>
          <w:tcPr>
            <w:tcW w:w="2928" w:type="dxa"/>
          </w:tcPr>
          <w:p w14:paraId="09B1F5AC" w14:textId="77777777" w:rsidR="00182ACF" w:rsidRPr="00182ACF" w:rsidRDefault="00182ACF"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Hospital*</w:t>
            </w:r>
          </w:p>
        </w:tc>
        <w:tc>
          <w:tcPr>
            <w:tcW w:w="810" w:type="dxa"/>
            <w:noWrap/>
          </w:tcPr>
          <w:p w14:paraId="0B2A7BA3" w14:textId="77777777" w:rsidR="00182ACF" w:rsidRPr="00182ACF" w:rsidRDefault="00182ACF"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w:t>
            </w:r>
          </w:p>
        </w:tc>
      </w:tr>
      <w:tr w:rsidR="00182ACF" w:rsidRPr="00182ACF" w14:paraId="5755A0AF" w14:textId="77777777" w:rsidTr="00D73849">
        <w:trPr>
          <w:trHeight w:val="20"/>
        </w:trPr>
        <w:tc>
          <w:tcPr>
            <w:cnfStyle w:val="001000000000" w:firstRow="0" w:lastRow="0" w:firstColumn="1" w:lastColumn="0" w:oddVBand="0" w:evenVBand="0" w:oddHBand="0" w:evenHBand="0" w:firstRowFirstColumn="0" w:firstRowLastColumn="0" w:lastRowFirstColumn="0" w:lastRowLastColumn="0"/>
            <w:tcW w:w="667" w:type="dxa"/>
          </w:tcPr>
          <w:p w14:paraId="62FA6F09" w14:textId="77777777" w:rsidR="00182ACF" w:rsidRPr="00182ACF" w:rsidRDefault="00182ACF" w:rsidP="00D73849">
            <w:pPr>
              <w:pStyle w:val="BodyText"/>
              <w:spacing w:before="0"/>
              <w:rPr>
                <w:rFonts w:eastAsiaTheme="minorEastAsia"/>
                <w:sz w:val="13"/>
                <w:szCs w:val="13"/>
              </w:rPr>
            </w:pPr>
            <w:r w:rsidRPr="00182ACF">
              <w:rPr>
                <w:rFonts w:eastAsiaTheme="minorEastAsia"/>
                <w:sz w:val="13"/>
                <w:szCs w:val="13"/>
              </w:rPr>
              <w:t>B2</w:t>
            </w:r>
          </w:p>
        </w:tc>
        <w:tc>
          <w:tcPr>
            <w:tcW w:w="2928" w:type="dxa"/>
          </w:tcPr>
          <w:p w14:paraId="3C82A461" w14:textId="77777777" w:rsidR="00182ACF" w:rsidRPr="00182ACF" w:rsidRDefault="00182ACF"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(New Location)</w:t>
            </w:r>
          </w:p>
        </w:tc>
        <w:tc>
          <w:tcPr>
            <w:tcW w:w="810" w:type="dxa"/>
            <w:noWrap/>
          </w:tcPr>
          <w:p w14:paraId="7AE8FD98" w14:textId="77777777" w:rsidR="00182ACF" w:rsidRPr="00182ACF" w:rsidRDefault="00182ACF"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182ACF" w:rsidRPr="00182ACF" w14:paraId="5E206FA8" w14:textId="77777777" w:rsidTr="00D738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7" w:type="dxa"/>
          </w:tcPr>
          <w:p w14:paraId="0B024C25" w14:textId="77777777" w:rsidR="00182ACF" w:rsidRPr="00182ACF" w:rsidRDefault="00182ACF" w:rsidP="00D73849">
            <w:pPr>
              <w:pStyle w:val="BodyText"/>
              <w:spacing w:before="0"/>
              <w:rPr>
                <w:rFonts w:eastAsiaTheme="minorEastAsia"/>
                <w:sz w:val="13"/>
                <w:szCs w:val="13"/>
              </w:rPr>
            </w:pPr>
            <w:r w:rsidRPr="00182ACF">
              <w:rPr>
                <w:rFonts w:eastAsiaTheme="minorEastAsia"/>
                <w:sz w:val="13"/>
                <w:szCs w:val="13"/>
              </w:rPr>
              <w:t>B3</w:t>
            </w:r>
          </w:p>
        </w:tc>
        <w:tc>
          <w:tcPr>
            <w:tcW w:w="2928" w:type="dxa"/>
          </w:tcPr>
          <w:p w14:paraId="722FD080" w14:textId="77777777" w:rsidR="00182ACF" w:rsidRPr="00182ACF" w:rsidRDefault="00182ACF"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(Current Location)</w:t>
            </w:r>
          </w:p>
        </w:tc>
        <w:tc>
          <w:tcPr>
            <w:tcW w:w="810" w:type="dxa"/>
            <w:noWrap/>
          </w:tcPr>
          <w:p w14:paraId="2F5EAD05" w14:textId="77777777" w:rsidR="00182ACF" w:rsidRPr="00182ACF" w:rsidRDefault="00182ACF"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182ACF" w:rsidRPr="00182ACF" w14:paraId="66D1DB18" w14:textId="77777777" w:rsidTr="00D73849">
        <w:trPr>
          <w:trHeight w:val="20"/>
        </w:trPr>
        <w:tc>
          <w:tcPr>
            <w:cnfStyle w:val="001000000000" w:firstRow="0" w:lastRow="0" w:firstColumn="1" w:lastColumn="0" w:oddVBand="0" w:evenVBand="0" w:oddHBand="0" w:evenHBand="0" w:firstRowFirstColumn="0" w:firstRowLastColumn="0" w:lastRowFirstColumn="0" w:lastRowLastColumn="0"/>
            <w:tcW w:w="667" w:type="dxa"/>
          </w:tcPr>
          <w:p w14:paraId="1D686DE1" w14:textId="77777777" w:rsidR="00182ACF" w:rsidRPr="00182ACF" w:rsidRDefault="00182ACF" w:rsidP="00D73849">
            <w:pPr>
              <w:pStyle w:val="BodyText"/>
              <w:spacing w:before="0"/>
              <w:rPr>
                <w:rFonts w:eastAsiaTheme="minorEastAsia"/>
                <w:sz w:val="13"/>
                <w:szCs w:val="13"/>
              </w:rPr>
            </w:pPr>
            <w:r w:rsidRPr="00182ACF">
              <w:rPr>
                <w:rFonts w:eastAsiaTheme="minorEastAsia"/>
                <w:sz w:val="13"/>
                <w:szCs w:val="13"/>
              </w:rPr>
              <w:t>B4</w:t>
            </w:r>
          </w:p>
        </w:tc>
        <w:tc>
          <w:tcPr>
            <w:tcW w:w="2928" w:type="dxa"/>
          </w:tcPr>
          <w:p w14:paraId="4A4C0F27" w14:textId="77777777" w:rsidR="00182ACF" w:rsidRPr="00182ACF" w:rsidRDefault="00182ACF"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Waltham</w:t>
            </w:r>
          </w:p>
        </w:tc>
        <w:tc>
          <w:tcPr>
            <w:tcW w:w="810" w:type="dxa"/>
            <w:noWrap/>
          </w:tcPr>
          <w:p w14:paraId="62EE30C5" w14:textId="77777777" w:rsidR="00182ACF" w:rsidRPr="00182ACF" w:rsidRDefault="00182ACF"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Waltham</w:t>
            </w:r>
          </w:p>
        </w:tc>
      </w:tr>
      <w:tr w:rsidR="00182ACF" w:rsidRPr="00182ACF" w14:paraId="6714B82A" w14:textId="77777777" w:rsidTr="00D738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7" w:type="dxa"/>
          </w:tcPr>
          <w:p w14:paraId="1BCF0648" w14:textId="77777777" w:rsidR="00182ACF" w:rsidRPr="00182ACF" w:rsidRDefault="00182ACF" w:rsidP="00D73849">
            <w:pPr>
              <w:pStyle w:val="BodyText"/>
              <w:spacing w:before="0"/>
              <w:rPr>
                <w:rFonts w:eastAsiaTheme="minorEastAsia"/>
                <w:sz w:val="13"/>
                <w:szCs w:val="13"/>
              </w:rPr>
            </w:pPr>
            <w:r w:rsidRPr="00182ACF">
              <w:rPr>
                <w:rFonts w:eastAsiaTheme="minorEastAsia"/>
                <w:sz w:val="13"/>
                <w:szCs w:val="13"/>
              </w:rPr>
              <w:t>B5</w:t>
            </w:r>
          </w:p>
        </w:tc>
        <w:tc>
          <w:tcPr>
            <w:tcW w:w="2928" w:type="dxa"/>
          </w:tcPr>
          <w:p w14:paraId="7030B479" w14:textId="77777777" w:rsidR="00182ACF" w:rsidRPr="00182ACF" w:rsidRDefault="00182ACF"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Needham</w:t>
            </w:r>
          </w:p>
        </w:tc>
        <w:tc>
          <w:tcPr>
            <w:tcW w:w="810" w:type="dxa"/>
            <w:noWrap/>
          </w:tcPr>
          <w:p w14:paraId="17886844" w14:textId="77777777" w:rsidR="00182ACF" w:rsidRPr="00182ACF" w:rsidRDefault="00182ACF"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Needham</w:t>
            </w:r>
          </w:p>
        </w:tc>
      </w:tr>
      <w:tr w:rsidR="00182ACF" w:rsidRPr="00182ACF" w14:paraId="2AC1FD4B" w14:textId="77777777" w:rsidTr="00D73849">
        <w:trPr>
          <w:trHeight w:val="20"/>
        </w:trPr>
        <w:tc>
          <w:tcPr>
            <w:cnfStyle w:val="001000000000" w:firstRow="0" w:lastRow="0" w:firstColumn="1" w:lastColumn="0" w:oddVBand="0" w:evenVBand="0" w:oddHBand="0" w:evenHBand="0" w:firstRowFirstColumn="0" w:firstRowLastColumn="0" w:lastRowFirstColumn="0" w:lastRowLastColumn="0"/>
            <w:tcW w:w="667" w:type="dxa"/>
          </w:tcPr>
          <w:p w14:paraId="20EA1DB1" w14:textId="77777777" w:rsidR="00182ACF" w:rsidRPr="00182ACF" w:rsidRDefault="00182ACF" w:rsidP="00D73849">
            <w:pPr>
              <w:pStyle w:val="BodyText"/>
              <w:spacing w:before="0"/>
              <w:rPr>
                <w:rFonts w:eastAsiaTheme="minorEastAsia"/>
                <w:sz w:val="13"/>
                <w:szCs w:val="13"/>
              </w:rPr>
            </w:pPr>
            <w:r w:rsidRPr="00182ACF">
              <w:rPr>
                <w:rFonts w:eastAsiaTheme="minorEastAsia"/>
                <w:sz w:val="13"/>
                <w:szCs w:val="13"/>
              </w:rPr>
              <w:t>B6</w:t>
            </w:r>
          </w:p>
        </w:tc>
        <w:tc>
          <w:tcPr>
            <w:tcW w:w="2928" w:type="dxa"/>
          </w:tcPr>
          <w:p w14:paraId="5081E17F" w14:textId="77777777" w:rsidR="00182ACF" w:rsidRPr="00182ACF" w:rsidRDefault="00182ACF"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Brookline</w:t>
            </w:r>
          </w:p>
        </w:tc>
        <w:tc>
          <w:tcPr>
            <w:tcW w:w="810" w:type="dxa"/>
            <w:noWrap/>
          </w:tcPr>
          <w:p w14:paraId="21B4A8F2" w14:textId="77777777" w:rsidR="00182ACF" w:rsidRPr="00182ACF" w:rsidRDefault="00182ACF"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Brookline</w:t>
            </w:r>
          </w:p>
        </w:tc>
      </w:tr>
      <w:tr w:rsidR="00182ACF" w:rsidRPr="00182ACF" w14:paraId="5B625CE0" w14:textId="77777777" w:rsidTr="00D738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7" w:type="dxa"/>
          </w:tcPr>
          <w:p w14:paraId="6F1EF49E" w14:textId="77777777" w:rsidR="00182ACF" w:rsidRPr="00182ACF" w:rsidRDefault="00182ACF" w:rsidP="00D73849">
            <w:pPr>
              <w:pStyle w:val="BodyText"/>
              <w:spacing w:before="0"/>
              <w:rPr>
                <w:rFonts w:eastAsiaTheme="minorEastAsia"/>
                <w:sz w:val="13"/>
                <w:szCs w:val="13"/>
              </w:rPr>
            </w:pPr>
            <w:r w:rsidRPr="00182ACF">
              <w:rPr>
                <w:rFonts w:eastAsiaTheme="minorEastAsia"/>
                <w:sz w:val="13"/>
                <w:szCs w:val="13"/>
              </w:rPr>
              <w:t>B7</w:t>
            </w:r>
          </w:p>
        </w:tc>
        <w:tc>
          <w:tcPr>
            <w:tcW w:w="2928" w:type="dxa"/>
          </w:tcPr>
          <w:p w14:paraId="119B5174" w14:textId="77777777" w:rsidR="00182ACF" w:rsidRPr="00182ACF" w:rsidRDefault="00182ACF"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Lexington</w:t>
            </w:r>
          </w:p>
        </w:tc>
        <w:tc>
          <w:tcPr>
            <w:tcW w:w="810" w:type="dxa"/>
            <w:noWrap/>
          </w:tcPr>
          <w:p w14:paraId="0E9092F4" w14:textId="77777777" w:rsidR="00182ACF" w:rsidRPr="00182ACF" w:rsidRDefault="00182ACF"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Lexington</w:t>
            </w:r>
          </w:p>
        </w:tc>
      </w:tr>
      <w:tr w:rsidR="00182ACF" w:rsidRPr="00182ACF" w14:paraId="0589E2E3" w14:textId="77777777" w:rsidTr="00D73849">
        <w:trPr>
          <w:trHeight w:val="20"/>
        </w:trPr>
        <w:tc>
          <w:tcPr>
            <w:cnfStyle w:val="001000000000" w:firstRow="0" w:lastRow="0" w:firstColumn="1" w:lastColumn="0" w:oddVBand="0" w:evenVBand="0" w:oddHBand="0" w:evenHBand="0" w:firstRowFirstColumn="0" w:firstRowLastColumn="0" w:lastRowFirstColumn="0" w:lastRowLastColumn="0"/>
            <w:tcW w:w="667" w:type="dxa"/>
          </w:tcPr>
          <w:p w14:paraId="6791ED17" w14:textId="77777777" w:rsidR="00182ACF" w:rsidRPr="00182ACF" w:rsidRDefault="00182ACF" w:rsidP="00D73849">
            <w:pPr>
              <w:pStyle w:val="BodyText"/>
              <w:spacing w:before="0"/>
              <w:rPr>
                <w:rFonts w:eastAsiaTheme="minorEastAsia"/>
                <w:sz w:val="13"/>
                <w:szCs w:val="13"/>
              </w:rPr>
            </w:pPr>
            <w:r w:rsidRPr="00182ACF">
              <w:rPr>
                <w:rFonts w:eastAsiaTheme="minorEastAsia"/>
                <w:sz w:val="13"/>
                <w:szCs w:val="13"/>
              </w:rPr>
              <w:t>B8</w:t>
            </w:r>
          </w:p>
        </w:tc>
        <w:tc>
          <w:tcPr>
            <w:tcW w:w="2928" w:type="dxa"/>
          </w:tcPr>
          <w:p w14:paraId="644184E3" w14:textId="77777777" w:rsidR="00182ACF" w:rsidRPr="00182ACF" w:rsidRDefault="00182ACF"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Peabody</w:t>
            </w:r>
          </w:p>
        </w:tc>
        <w:tc>
          <w:tcPr>
            <w:tcW w:w="810" w:type="dxa"/>
            <w:noWrap/>
          </w:tcPr>
          <w:p w14:paraId="4093EA22" w14:textId="77777777" w:rsidR="00182ACF" w:rsidRPr="00182ACF" w:rsidRDefault="00182ACF"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Peabody</w:t>
            </w:r>
          </w:p>
        </w:tc>
      </w:tr>
      <w:tr w:rsidR="00182ACF" w:rsidRPr="00182ACF" w14:paraId="62B20B76" w14:textId="77777777" w:rsidTr="00D738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7" w:type="dxa"/>
          </w:tcPr>
          <w:p w14:paraId="15D1CB5A" w14:textId="77777777" w:rsidR="00182ACF" w:rsidRPr="00182ACF" w:rsidRDefault="00182ACF" w:rsidP="00D73849">
            <w:pPr>
              <w:pStyle w:val="BodyText"/>
              <w:spacing w:before="0"/>
              <w:rPr>
                <w:rFonts w:eastAsiaTheme="minorEastAsia"/>
                <w:sz w:val="13"/>
                <w:szCs w:val="13"/>
              </w:rPr>
            </w:pPr>
            <w:r w:rsidRPr="00182ACF">
              <w:rPr>
                <w:rFonts w:eastAsiaTheme="minorEastAsia"/>
                <w:sz w:val="13"/>
                <w:szCs w:val="13"/>
              </w:rPr>
              <w:t>B9</w:t>
            </w:r>
          </w:p>
        </w:tc>
        <w:tc>
          <w:tcPr>
            <w:tcW w:w="2928" w:type="dxa"/>
          </w:tcPr>
          <w:p w14:paraId="2C72E79B" w14:textId="77777777" w:rsidR="00182ACF" w:rsidRPr="00182ACF" w:rsidRDefault="00182ACF"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North Dartmouth</w:t>
            </w:r>
          </w:p>
        </w:tc>
        <w:tc>
          <w:tcPr>
            <w:tcW w:w="810" w:type="dxa"/>
            <w:noWrap/>
          </w:tcPr>
          <w:p w14:paraId="4F2BE9B8" w14:textId="77777777" w:rsidR="00182ACF" w:rsidRPr="00182ACF" w:rsidRDefault="00182ACF"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Dartmouth</w:t>
            </w:r>
          </w:p>
        </w:tc>
      </w:tr>
    </w:tbl>
    <w:p w14:paraId="18078E6B" w14:textId="2AC84243" w:rsidR="005C17F9" w:rsidRDefault="00E325F7" w:rsidP="00F62BA8">
      <w:pPr>
        <w:numPr>
          <w:ilvl w:val="0"/>
          <w:numId w:val="0"/>
        </w:numPr>
        <w:ind w:left="720"/>
      </w:pPr>
      <w:r>
        <w:rPr>
          <w:noProof/>
        </w:rPr>
        <w:drawing>
          <wp:inline distT="0" distB="0" distL="0" distR="0" wp14:anchorId="2AFFE1E0" wp14:editId="008A1EEC">
            <wp:extent cx="2696180" cy="1906622"/>
            <wp:effectExtent l="0" t="0" r="9525" b="0"/>
            <wp:docPr id="5" name="Picture 5" descr="Map of Eastern Massachusetts, from Worcester to Boston. Symbols of multiple colors indicate Massachusetts health systems, and light green coloring on map indicates Needham service area for imaging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Eastern Massachusetts, from Worcester to Boston. Symbols of multiple colors indicate Massachusetts health systems, and light green coloring on map indicates Needham service area for imaging with 75% PSA"/>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13820" cy="1919096"/>
                    </a:xfrm>
                    <a:prstGeom prst="rect">
                      <a:avLst/>
                    </a:prstGeom>
                    <a:noFill/>
                    <a:ln>
                      <a:noFill/>
                    </a:ln>
                  </pic:spPr>
                </pic:pic>
              </a:graphicData>
            </a:graphic>
          </wp:inline>
        </w:drawing>
      </w:r>
    </w:p>
    <w:p w14:paraId="5D75CC5F" w14:textId="140FD862" w:rsidR="00C826B4" w:rsidRDefault="00C826B4" w:rsidP="00BE32C9">
      <w:r>
        <w:t xml:space="preserve">The Needham service area for MRI service is somewhat broader than </w:t>
      </w:r>
      <w:r w:rsidR="00B8561B">
        <w:t xml:space="preserve">its area for </w:t>
      </w:r>
      <w:r>
        <w:t xml:space="preserve">ASC and imaging, with the current and future BCH Weymouth locations </w:t>
      </w:r>
      <w:r w:rsidR="00B8561B">
        <w:t>located in the</w:t>
      </w:r>
      <w:r>
        <w:t xml:space="preserve"> service area. The MRI service area also includes the physical location of one additional MGB facility, two additional Tufts facilities, and one from UMass. </w:t>
      </w:r>
      <w:r w:rsidR="00547D1F">
        <w:t xml:space="preserve">As noted above, there may be </w:t>
      </w:r>
      <w:r>
        <w:t>facilities located physically outside of the area may be important alternatives that are used or could be conveniently used by patients</w:t>
      </w:r>
      <w:r w:rsidR="00092414">
        <w:t>.</w:t>
      </w:r>
    </w:p>
    <w:p w14:paraId="0B2E39FF" w14:textId="555A7447" w:rsidR="00C826B4" w:rsidRDefault="00C826B4" w:rsidP="00BE32C9">
      <w:r>
        <w:t xml:space="preserve">FTI </w:t>
      </w:r>
      <w:r w:rsidR="00547D1F">
        <w:t xml:space="preserve">also </w:t>
      </w:r>
      <w:r>
        <w:t xml:space="preserve">evaluated data and information provided by BCH to DPH in response to specific questions about criteria and factors involved in </w:t>
      </w:r>
      <w:r w:rsidR="00547D1F">
        <w:t xml:space="preserve">the choice of </w:t>
      </w:r>
      <w:r>
        <w:t>location of facilities, including new services at Wey</w:t>
      </w:r>
      <w:r w:rsidR="00394610">
        <w:t>m</w:t>
      </w:r>
      <w:r>
        <w:t xml:space="preserve">outh and Needham in specific. We evaluated the detailed patient draw area analyses for both Waltham and Weymouth in the Excel workbook provided by BCH and </w:t>
      </w:r>
      <w:r w:rsidR="00547D1F">
        <w:t xml:space="preserve">compared and </w:t>
      </w:r>
      <w:r>
        <w:t xml:space="preserve">validated these with our service area analyses. The BCH data confirm broad draw areas for services of existing </w:t>
      </w:r>
      <w:r w:rsidR="00547D1F">
        <w:t xml:space="preserve">BCH </w:t>
      </w:r>
      <w:r>
        <w:t xml:space="preserve">facilities, indicating the general attractiveness of the location </w:t>
      </w:r>
      <w:r w:rsidR="00E037E7">
        <w:t xml:space="preserve">and </w:t>
      </w:r>
      <w:r>
        <w:t>convenience for transportation.</w:t>
      </w:r>
      <w:r w:rsidR="00E037E7">
        <w:rPr>
          <w:rStyle w:val="FootnoteReference"/>
        </w:rPr>
        <w:footnoteReference w:id="44"/>
      </w:r>
    </w:p>
    <w:p w14:paraId="0773AB2E" w14:textId="5C000519" w:rsidR="00C826B4" w:rsidRDefault="00C826B4" w:rsidP="00BE32C9">
      <w:r>
        <w:t xml:space="preserve">FTI’s independent analysis of 75% service areas and diversion analyses presented in Section </w:t>
      </w:r>
      <w:r w:rsidR="00394610">
        <w:t>VII</w:t>
      </w:r>
      <w:r>
        <w:t xml:space="preserve"> </w:t>
      </w:r>
      <w:r w:rsidR="00E037E7">
        <w:t xml:space="preserve">below </w:t>
      </w:r>
      <w:r>
        <w:t>provide confirmatory assessment of these locations and availability to serve demand for MRI, imaging, and/or ASC services</w:t>
      </w:r>
      <w:r w:rsidR="00B8561B">
        <w:t xml:space="preserve"> f</w:t>
      </w:r>
      <w:r w:rsidR="00E037E7">
        <w:t>rom</w:t>
      </w:r>
      <w:r w:rsidR="00B8561B">
        <w:t xml:space="preserve"> large patient populations and to serve patients that might otherwise be going to Longwood</w:t>
      </w:r>
      <w:r>
        <w:t xml:space="preserve">. FTI was able to conduct analysis of the Needham location with technical economic modeling used in healthcare to take into account patient preferences for types of hospital or other outpatient facilities, distance and convenience of patients to the facility, and the patient population available to the facility. We also developed service areas </w:t>
      </w:r>
      <w:r w:rsidR="00394610">
        <w:t>for existing facilities and their services.</w:t>
      </w:r>
      <w:r>
        <w:t xml:space="preserve"> </w:t>
      </w:r>
    </w:p>
    <w:p w14:paraId="7F556016" w14:textId="729ABE90" w:rsidR="00535662" w:rsidRDefault="00535662" w:rsidP="00BE32C9">
      <w:pPr>
        <w:pStyle w:val="Caption"/>
      </w:pPr>
      <w:bookmarkStart w:id="89" w:name="_Ref105774922"/>
      <w:bookmarkStart w:id="90" w:name="_Toc109901090"/>
      <w:r w:rsidRPr="00596992">
        <w:lastRenderedPageBreak/>
        <w:t xml:space="preserve">Figure </w:t>
      </w:r>
      <w:fldSimple w:instr=" SEQ Figure \* ARABIC ">
        <w:r w:rsidR="00CE7C62">
          <w:rPr>
            <w:noProof/>
          </w:rPr>
          <w:t>5</w:t>
        </w:r>
      </w:fldSimple>
      <w:bookmarkEnd w:id="89"/>
      <w:r>
        <w:t>: Needham Service Area, MRI</w:t>
      </w:r>
      <w:bookmarkEnd w:id="90"/>
    </w:p>
    <w:tbl>
      <w:tblPr>
        <w:tblStyle w:val="GridTable4-Accent1"/>
        <w:tblpPr w:leftFromText="180" w:rightFromText="180" w:vertAnchor="text" w:horzAnchor="margin" w:tblpXSpec="right" w:tblpY="177"/>
        <w:tblW w:w="0" w:type="auto"/>
        <w:tblLook w:val="04A0" w:firstRow="1" w:lastRow="0" w:firstColumn="1" w:lastColumn="0" w:noHBand="0" w:noVBand="1"/>
      </w:tblPr>
      <w:tblGrid>
        <w:gridCol w:w="667"/>
        <w:gridCol w:w="2928"/>
        <w:gridCol w:w="810"/>
      </w:tblGrid>
      <w:tr w:rsidR="00182ACF" w:rsidRPr="00182ACF" w14:paraId="50447864" w14:textId="77777777" w:rsidTr="0051779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7" w:type="dxa"/>
          </w:tcPr>
          <w:p w14:paraId="1F6CB89C"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Facility Code</w:t>
            </w:r>
          </w:p>
        </w:tc>
        <w:tc>
          <w:tcPr>
            <w:tcW w:w="2928" w:type="dxa"/>
            <w:hideMark/>
          </w:tcPr>
          <w:p w14:paraId="28F30B35" w14:textId="77777777" w:rsidR="00182ACF" w:rsidRPr="00182ACF" w:rsidRDefault="00182ACF" w:rsidP="00182ACF">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Facility Name</w:t>
            </w:r>
          </w:p>
        </w:tc>
        <w:tc>
          <w:tcPr>
            <w:tcW w:w="810" w:type="dxa"/>
            <w:noWrap/>
            <w:hideMark/>
          </w:tcPr>
          <w:p w14:paraId="0F01B9E0" w14:textId="77777777" w:rsidR="00182ACF" w:rsidRPr="00182ACF" w:rsidRDefault="00182ACF" w:rsidP="00182ACF">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City and Town</w:t>
            </w:r>
          </w:p>
        </w:tc>
      </w:tr>
      <w:tr w:rsidR="00182ACF" w:rsidRPr="00182ACF" w14:paraId="036B0CAB" w14:textId="77777777" w:rsidTr="0051779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6DCB6463"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B1</w:t>
            </w:r>
          </w:p>
        </w:tc>
        <w:tc>
          <w:tcPr>
            <w:tcW w:w="2928" w:type="dxa"/>
          </w:tcPr>
          <w:p w14:paraId="2ED71A35"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Hospital*</w:t>
            </w:r>
          </w:p>
        </w:tc>
        <w:tc>
          <w:tcPr>
            <w:tcW w:w="810" w:type="dxa"/>
            <w:noWrap/>
          </w:tcPr>
          <w:p w14:paraId="0D1540FE"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w:t>
            </w:r>
          </w:p>
        </w:tc>
      </w:tr>
      <w:tr w:rsidR="00182ACF" w:rsidRPr="00182ACF" w14:paraId="65F8BB5B" w14:textId="77777777" w:rsidTr="00517792">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3CD1BF08"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B2</w:t>
            </w:r>
          </w:p>
        </w:tc>
        <w:tc>
          <w:tcPr>
            <w:tcW w:w="2928" w:type="dxa"/>
          </w:tcPr>
          <w:p w14:paraId="559A779D" w14:textId="77777777" w:rsidR="00182ACF" w:rsidRPr="00182ACF" w:rsidRDefault="00182ACF" w:rsidP="00182ACF">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(New Location)</w:t>
            </w:r>
          </w:p>
        </w:tc>
        <w:tc>
          <w:tcPr>
            <w:tcW w:w="810" w:type="dxa"/>
            <w:noWrap/>
          </w:tcPr>
          <w:p w14:paraId="21EB967B" w14:textId="77777777" w:rsidR="00182ACF" w:rsidRPr="00182ACF" w:rsidRDefault="00182ACF" w:rsidP="00182ACF">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182ACF" w:rsidRPr="00182ACF" w14:paraId="4070F21E" w14:textId="77777777" w:rsidTr="0051779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123887A0"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B3</w:t>
            </w:r>
          </w:p>
        </w:tc>
        <w:tc>
          <w:tcPr>
            <w:tcW w:w="2928" w:type="dxa"/>
          </w:tcPr>
          <w:p w14:paraId="1DB7B861"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(Current Location)</w:t>
            </w:r>
          </w:p>
        </w:tc>
        <w:tc>
          <w:tcPr>
            <w:tcW w:w="810" w:type="dxa"/>
            <w:noWrap/>
          </w:tcPr>
          <w:p w14:paraId="2C291E02"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182ACF" w:rsidRPr="00182ACF" w14:paraId="0784EED3" w14:textId="77777777" w:rsidTr="00517792">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48053600"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B4</w:t>
            </w:r>
          </w:p>
        </w:tc>
        <w:tc>
          <w:tcPr>
            <w:tcW w:w="2928" w:type="dxa"/>
          </w:tcPr>
          <w:p w14:paraId="0AF57452" w14:textId="77777777" w:rsidR="00182ACF" w:rsidRPr="00182ACF" w:rsidRDefault="00182ACF" w:rsidP="00182ACF">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Waltham</w:t>
            </w:r>
          </w:p>
        </w:tc>
        <w:tc>
          <w:tcPr>
            <w:tcW w:w="810" w:type="dxa"/>
            <w:noWrap/>
          </w:tcPr>
          <w:p w14:paraId="057C2ADC" w14:textId="77777777" w:rsidR="00182ACF" w:rsidRPr="00182ACF" w:rsidRDefault="00182ACF" w:rsidP="00182ACF">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Waltham</w:t>
            </w:r>
          </w:p>
        </w:tc>
      </w:tr>
      <w:tr w:rsidR="00182ACF" w:rsidRPr="00182ACF" w14:paraId="2D0E24FC" w14:textId="77777777" w:rsidTr="0051779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11CAD146"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B5</w:t>
            </w:r>
          </w:p>
        </w:tc>
        <w:tc>
          <w:tcPr>
            <w:tcW w:w="2928" w:type="dxa"/>
          </w:tcPr>
          <w:p w14:paraId="2CCB1BE2"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Needham</w:t>
            </w:r>
          </w:p>
        </w:tc>
        <w:tc>
          <w:tcPr>
            <w:tcW w:w="810" w:type="dxa"/>
            <w:noWrap/>
          </w:tcPr>
          <w:p w14:paraId="06F98273"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Needham</w:t>
            </w:r>
          </w:p>
        </w:tc>
      </w:tr>
      <w:tr w:rsidR="00182ACF" w:rsidRPr="00182ACF" w14:paraId="024D2FBC" w14:textId="77777777" w:rsidTr="00517792">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12AD9BA9"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B6</w:t>
            </w:r>
          </w:p>
        </w:tc>
        <w:tc>
          <w:tcPr>
            <w:tcW w:w="2928" w:type="dxa"/>
          </w:tcPr>
          <w:p w14:paraId="29395A25" w14:textId="77777777" w:rsidR="00182ACF" w:rsidRPr="00182ACF" w:rsidRDefault="00182ACF" w:rsidP="00182ACF">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Brookline</w:t>
            </w:r>
          </w:p>
        </w:tc>
        <w:tc>
          <w:tcPr>
            <w:tcW w:w="810" w:type="dxa"/>
            <w:noWrap/>
          </w:tcPr>
          <w:p w14:paraId="1843F651" w14:textId="77777777" w:rsidR="00182ACF" w:rsidRPr="00182ACF" w:rsidRDefault="00182ACF" w:rsidP="00182ACF">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Brookline</w:t>
            </w:r>
          </w:p>
        </w:tc>
      </w:tr>
      <w:tr w:rsidR="00182ACF" w:rsidRPr="00182ACF" w14:paraId="041DDC21" w14:textId="77777777" w:rsidTr="0051779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662CFC83"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B7</w:t>
            </w:r>
          </w:p>
        </w:tc>
        <w:tc>
          <w:tcPr>
            <w:tcW w:w="2928" w:type="dxa"/>
          </w:tcPr>
          <w:p w14:paraId="66E016CA"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Lexington</w:t>
            </w:r>
          </w:p>
        </w:tc>
        <w:tc>
          <w:tcPr>
            <w:tcW w:w="810" w:type="dxa"/>
            <w:noWrap/>
          </w:tcPr>
          <w:p w14:paraId="3DD73520"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Lexington</w:t>
            </w:r>
          </w:p>
        </w:tc>
      </w:tr>
      <w:tr w:rsidR="00182ACF" w:rsidRPr="00182ACF" w14:paraId="24233E15" w14:textId="77777777" w:rsidTr="00517792">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089286C1"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B8</w:t>
            </w:r>
          </w:p>
        </w:tc>
        <w:tc>
          <w:tcPr>
            <w:tcW w:w="2928" w:type="dxa"/>
          </w:tcPr>
          <w:p w14:paraId="78484665" w14:textId="77777777" w:rsidR="00182ACF" w:rsidRPr="00182ACF" w:rsidRDefault="00182ACF" w:rsidP="00182ACF">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Peabody</w:t>
            </w:r>
          </w:p>
        </w:tc>
        <w:tc>
          <w:tcPr>
            <w:tcW w:w="810" w:type="dxa"/>
            <w:noWrap/>
          </w:tcPr>
          <w:p w14:paraId="07C177F2" w14:textId="77777777" w:rsidR="00182ACF" w:rsidRPr="00182ACF" w:rsidRDefault="00182ACF" w:rsidP="00182ACF">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Peabody</w:t>
            </w:r>
          </w:p>
        </w:tc>
      </w:tr>
      <w:tr w:rsidR="00182ACF" w:rsidRPr="00182ACF" w14:paraId="32DCCBD9" w14:textId="77777777" w:rsidTr="0051779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771163D2" w14:textId="77777777" w:rsidR="00182ACF" w:rsidRPr="00182ACF" w:rsidRDefault="00182ACF" w:rsidP="00182ACF">
            <w:pPr>
              <w:pStyle w:val="BodyText"/>
              <w:spacing w:before="0"/>
              <w:rPr>
                <w:rFonts w:eastAsiaTheme="minorEastAsia"/>
                <w:sz w:val="13"/>
                <w:szCs w:val="13"/>
              </w:rPr>
            </w:pPr>
            <w:r w:rsidRPr="00182ACF">
              <w:rPr>
                <w:rFonts w:eastAsiaTheme="minorEastAsia"/>
                <w:sz w:val="13"/>
                <w:szCs w:val="13"/>
              </w:rPr>
              <w:t>B9</w:t>
            </w:r>
          </w:p>
        </w:tc>
        <w:tc>
          <w:tcPr>
            <w:tcW w:w="2928" w:type="dxa"/>
          </w:tcPr>
          <w:p w14:paraId="712F7855"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North Dartmouth</w:t>
            </w:r>
          </w:p>
        </w:tc>
        <w:tc>
          <w:tcPr>
            <w:tcW w:w="810" w:type="dxa"/>
            <w:noWrap/>
          </w:tcPr>
          <w:p w14:paraId="45283743" w14:textId="77777777" w:rsidR="00182ACF" w:rsidRPr="00182ACF" w:rsidRDefault="00182ACF" w:rsidP="00182ACF">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Dartmouth</w:t>
            </w:r>
          </w:p>
        </w:tc>
      </w:tr>
    </w:tbl>
    <w:p w14:paraId="09541BB7" w14:textId="275AEE3B" w:rsidR="00535662" w:rsidRDefault="00E325F7" w:rsidP="006F5331">
      <w:pPr>
        <w:numPr>
          <w:ilvl w:val="0"/>
          <w:numId w:val="0"/>
        </w:numPr>
        <w:ind w:left="450"/>
        <w:jc w:val="left"/>
      </w:pPr>
      <w:r>
        <w:rPr>
          <w:noProof/>
        </w:rPr>
        <w:drawing>
          <wp:inline distT="0" distB="0" distL="0" distR="0" wp14:anchorId="0C3172EC" wp14:editId="3DA4A809">
            <wp:extent cx="2720897" cy="1924102"/>
            <wp:effectExtent l="0" t="0" r="3810" b="0"/>
            <wp:docPr id="13" name="Picture 13" descr="Map of Eastern Massachusetts, from Worcester to Boston. Symbols of multiple colors indicate Massachusetts health systems, and light green coloring on map indicates Needham service area for MRI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Eastern Massachusetts, from Worcester to Boston. Symbols of multiple colors indicate Massachusetts health systems, and light green coloring on map indicates Needham service area for MRI with 75% PSA"/>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31910" cy="1931890"/>
                    </a:xfrm>
                    <a:prstGeom prst="rect">
                      <a:avLst/>
                    </a:prstGeom>
                    <a:noFill/>
                    <a:ln>
                      <a:noFill/>
                    </a:ln>
                  </pic:spPr>
                </pic:pic>
              </a:graphicData>
            </a:graphic>
          </wp:inline>
        </w:drawing>
      </w:r>
    </w:p>
    <w:p w14:paraId="7C5A0A0E" w14:textId="52733BBC" w:rsidR="00535662" w:rsidRDefault="00535662" w:rsidP="00BE32C9">
      <w:pPr>
        <w:pStyle w:val="Heading3"/>
      </w:pPr>
      <w:bookmarkStart w:id="91" w:name="_Toc109895502"/>
      <w:r>
        <w:t>Waltham Service Areas</w:t>
      </w:r>
      <w:bookmarkEnd w:id="91"/>
    </w:p>
    <w:p w14:paraId="76CC3339" w14:textId="548562D9" w:rsidR="009D5070" w:rsidRDefault="00535662" w:rsidP="009D5070">
      <w:r>
        <w:t xml:space="preserve">The Waltham service areas for ASC and Imaging services are similar to each other (shown in </w:t>
      </w:r>
      <w:r w:rsidRPr="00227C31">
        <w:fldChar w:fldCharType="begin"/>
      </w:r>
      <w:r w:rsidRPr="00227C31">
        <w:instrText xml:space="preserve"> REF _Ref105789331 \h  \* MERGEFORMAT </w:instrText>
      </w:r>
      <w:r w:rsidRPr="00227C31">
        <w:fldChar w:fldCharType="separate"/>
      </w:r>
      <w:r w:rsidR="00CE7C62" w:rsidRPr="00596992">
        <w:t xml:space="preserve">Figure </w:t>
      </w:r>
      <w:r w:rsidR="00CE7C62">
        <w:rPr>
          <w:noProof/>
        </w:rPr>
        <w:t>6</w:t>
      </w:r>
      <w:r w:rsidRPr="00227C31">
        <w:fldChar w:fldCharType="end"/>
      </w:r>
      <w:r>
        <w:t xml:space="preserve"> and</w:t>
      </w:r>
      <w:r w:rsidRPr="00BC1A16">
        <w:t xml:space="preserve"> </w:t>
      </w:r>
      <w:r w:rsidRPr="00227C31">
        <w:fldChar w:fldCharType="begin"/>
      </w:r>
      <w:r w:rsidRPr="00227C31">
        <w:instrText xml:space="preserve"> REF _Ref105789348 \h  \* MERGEFORMAT </w:instrText>
      </w:r>
      <w:r w:rsidRPr="00227C31">
        <w:fldChar w:fldCharType="separate"/>
      </w:r>
      <w:r w:rsidR="00CE7C62" w:rsidRPr="00093632">
        <w:t xml:space="preserve">Figure </w:t>
      </w:r>
      <w:r w:rsidR="00CE7C62">
        <w:rPr>
          <w:noProof/>
        </w:rPr>
        <w:t>7</w:t>
      </w:r>
      <w:r w:rsidRPr="00227C31">
        <w:fldChar w:fldCharType="end"/>
      </w:r>
      <w:r w:rsidRPr="00BC1A16">
        <w:t>)</w:t>
      </w:r>
      <w:r w:rsidR="00083FF7">
        <w:t>; these are based on current services for ASC and imaging</w:t>
      </w:r>
      <w:r>
        <w:t>. Both service areas are mainly to the west of Boston and are centered around the BCH Waltham location.</w:t>
      </w:r>
      <w:r>
        <w:rPr>
          <w:rStyle w:val="FootnoteReference"/>
        </w:rPr>
        <w:footnoteReference w:id="45"/>
      </w:r>
      <w:r>
        <w:t xml:space="preserve"> There are five BCH facilities located within the Waltham service areas, including BCH Waltham and BCH Needham. There are six or more Mass General facilities, three BMC facilities, and two Tufts facilities located physically within the Waltham service areas. The Waltham service area for MRI service is broader than ASC and imaging (shown in </w:t>
      </w:r>
      <w:r w:rsidRPr="00F42251">
        <w:fldChar w:fldCharType="begin"/>
      </w:r>
      <w:r w:rsidRPr="00F42251">
        <w:instrText xml:space="preserve"> REF _Ref105789590 \h  \* MERGEFORMAT </w:instrText>
      </w:r>
      <w:r w:rsidRPr="00F42251">
        <w:fldChar w:fldCharType="separate"/>
      </w:r>
      <w:r w:rsidR="00CE7C62" w:rsidRPr="00093632">
        <w:t xml:space="preserve">Figure </w:t>
      </w:r>
      <w:r w:rsidR="00CE7C62">
        <w:rPr>
          <w:noProof/>
        </w:rPr>
        <w:t>8</w:t>
      </w:r>
      <w:r w:rsidRPr="00F42251">
        <w:fldChar w:fldCharType="end"/>
      </w:r>
      <w:r>
        <w:t xml:space="preserve">), with the current and future BCH Weymouth locations physically located on the border of the service area. The MRI service area also includes one additional UMass facility physically located in the area. We note that alternative providers for patients in this service area may include hospital-based outpatient facilities </w:t>
      </w:r>
      <w:r w:rsidRPr="005C17F9">
        <w:rPr>
          <w:spacing w:val="-12"/>
        </w:rPr>
        <w:t>or hospital satellites that are not depicted on the map or that are located physically outside of the area.</w:t>
      </w:r>
      <w:bookmarkStart w:id="92" w:name="_Ref105789331"/>
    </w:p>
    <w:p w14:paraId="3C2D7C5C" w14:textId="351A0F53" w:rsidR="00535662" w:rsidRDefault="00535662" w:rsidP="00BE32C9">
      <w:pPr>
        <w:pStyle w:val="Caption"/>
      </w:pPr>
      <w:bookmarkStart w:id="93" w:name="_Toc109901091"/>
      <w:r w:rsidRPr="00596992">
        <w:t xml:space="preserve">Figure </w:t>
      </w:r>
      <w:fldSimple w:instr=" SEQ Figure \* ARABIC ">
        <w:r w:rsidR="00CE7C62">
          <w:rPr>
            <w:noProof/>
          </w:rPr>
          <w:t>6</w:t>
        </w:r>
      </w:fldSimple>
      <w:bookmarkEnd w:id="92"/>
      <w:r>
        <w:t>: Waltham Service Area, ASC</w:t>
      </w:r>
      <w:bookmarkEnd w:id="93"/>
    </w:p>
    <w:tbl>
      <w:tblPr>
        <w:tblStyle w:val="GridTable4-Accent1"/>
        <w:tblpPr w:leftFromText="180" w:rightFromText="180" w:vertAnchor="text" w:horzAnchor="margin" w:tblpXSpec="right" w:tblpY="177"/>
        <w:tblW w:w="0" w:type="auto"/>
        <w:tblLook w:val="04A0" w:firstRow="1" w:lastRow="0" w:firstColumn="1" w:lastColumn="0" w:noHBand="0" w:noVBand="1"/>
      </w:tblPr>
      <w:tblGrid>
        <w:gridCol w:w="667"/>
        <w:gridCol w:w="2928"/>
        <w:gridCol w:w="810"/>
      </w:tblGrid>
      <w:tr w:rsidR="009D5070" w:rsidRPr="00182ACF" w14:paraId="175A225A" w14:textId="77777777" w:rsidTr="001C057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67" w:type="dxa"/>
          </w:tcPr>
          <w:p w14:paraId="1F5690D9"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Facility Code</w:t>
            </w:r>
          </w:p>
        </w:tc>
        <w:tc>
          <w:tcPr>
            <w:tcW w:w="2928" w:type="dxa"/>
            <w:hideMark/>
          </w:tcPr>
          <w:p w14:paraId="56FF9B30" w14:textId="77777777" w:rsidR="009D5070" w:rsidRPr="00182ACF" w:rsidRDefault="009D5070" w:rsidP="00D73849">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Facility Name</w:t>
            </w:r>
          </w:p>
        </w:tc>
        <w:tc>
          <w:tcPr>
            <w:tcW w:w="810" w:type="dxa"/>
            <w:noWrap/>
            <w:hideMark/>
          </w:tcPr>
          <w:p w14:paraId="26F16FC8" w14:textId="77777777" w:rsidR="009D5070" w:rsidRPr="00182ACF" w:rsidRDefault="009D5070" w:rsidP="00D73849">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City and Town</w:t>
            </w:r>
          </w:p>
        </w:tc>
      </w:tr>
      <w:tr w:rsidR="009D5070" w:rsidRPr="00182ACF" w14:paraId="37028EC1" w14:textId="77777777" w:rsidTr="001C057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77E4903D"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B1</w:t>
            </w:r>
          </w:p>
        </w:tc>
        <w:tc>
          <w:tcPr>
            <w:tcW w:w="2928" w:type="dxa"/>
          </w:tcPr>
          <w:p w14:paraId="167E612F"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Hospital*</w:t>
            </w:r>
          </w:p>
        </w:tc>
        <w:tc>
          <w:tcPr>
            <w:tcW w:w="810" w:type="dxa"/>
            <w:noWrap/>
          </w:tcPr>
          <w:p w14:paraId="096306A5"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w:t>
            </w:r>
          </w:p>
        </w:tc>
      </w:tr>
      <w:tr w:rsidR="009D5070" w:rsidRPr="00182ACF" w14:paraId="60AF10B1" w14:textId="77777777" w:rsidTr="001C0571">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782B5F65"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B2</w:t>
            </w:r>
          </w:p>
        </w:tc>
        <w:tc>
          <w:tcPr>
            <w:tcW w:w="2928" w:type="dxa"/>
          </w:tcPr>
          <w:p w14:paraId="32F7AB5D"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(New Location)</w:t>
            </w:r>
          </w:p>
        </w:tc>
        <w:tc>
          <w:tcPr>
            <w:tcW w:w="810" w:type="dxa"/>
            <w:noWrap/>
          </w:tcPr>
          <w:p w14:paraId="6275EA6C"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9D5070" w:rsidRPr="00182ACF" w14:paraId="21B016F6" w14:textId="77777777" w:rsidTr="001C057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37203FE0"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B3</w:t>
            </w:r>
          </w:p>
        </w:tc>
        <w:tc>
          <w:tcPr>
            <w:tcW w:w="2928" w:type="dxa"/>
          </w:tcPr>
          <w:p w14:paraId="6B3F4B97"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(Current Location)</w:t>
            </w:r>
          </w:p>
        </w:tc>
        <w:tc>
          <w:tcPr>
            <w:tcW w:w="810" w:type="dxa"/>
            <w:noWrap/>
          </w:tcPr>
          <w:p w14:paraId="7643CA2D"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9D5070" w:rsidRPr="00182ACF" w14:paraId="413DFD86" w14:textId="77777777" w:rsidTr="001C0571">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7B6DA385"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B4</w:t>
            </w:r>
          </w:p>
        </w:tc>
        <w:tc>
          <w:tcPr>
            <w:tcW w:w="2928" w:type="dxa"/>
          </w:tcPr>
          <w:p w14:paraId="38272273"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Waltham</w:t>
            </w:r>
          </w:p>
        </w:tc>
        <w:tc>
          <w:tcPr>
            <w:tcW w:w="810" w:type="dxa"/>
            <w:noWrap/>
          </w:tcPr>
          <w:p w14:paraId="50615671"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Waltham</w:t>
            </w:r>
          </w:p>
        </w:tc>
      </w:tr>
      <w:tr w:rsidR="009D5070" w:rsidRPr="00182ACF" w14:paraId="4AB498B7" w14:textId="77777777" w:rsidTr="001C057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0233DAAB"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B5</w:t>
            </w:r>
          </w:p>
        </w:tc>
        <w:tc>
          <w:tcPr>
            <w:tcW w:w="2928" w:type="dxa"/>
          </w:tcPr>
          <w:p w14:paraId="1A58958F"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Needham</w:t>
            </w:r>
          </w:p>
        </w:tc>
        <w:tc>
          <w:tcPr>
            <w:tcW w:w="810" w:type="dxa"/>
            <w:noWrap/>
          </w:tcPr>
          <w:p w14:paraId="536E54B5"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Needham</w:t>
            </w:r>
          </w:p>
        </w:tc>
      </w:tr>
      <w:tr w:rsidR="009D5070" w:rsidRPr="00182ACF" w14:paraId="5AA78B5E" w14:textId="77777777" w:rsidTr="001C0571">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0D539314"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B6</w:t>
            </w:r>
          </w:p>
        </w:tc>
        <w:tc>
          <w:tcPr>
            <w:tcW w:w="2928" w:type="dxa"/>
          </w:tcPr>
          <w:p w14:paraId="5A3E1DA3"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Brookline</w:t>
            </w:r>
          </w:p>
        </w:tc>
        <w:tc>
          <w:tcPr>
            <w:tcW w:w="810" w:type="dxa"/>
            <w:noWrap/>
          </w:tcPr>
          <w:p w14:paraId="1C03D8F9"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Brookline</w:t>
            </w:r>
          </w:p>
        </w:tc>
      </w:tr>
      <w:tr w:rsidR="009D5070" w:rsidRPr="00182ACF" w14:paraId="38BAF3D5" w14:textId="77777777" w:rsidTr="001C057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689A76DA"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B7</w:t>
            </w:r>
          </w:p>
        </w:tc>
        <w:tc>
          <w:tcPr>
            <w:tcW w:w="2928" w:type="dxa"/>
          </w:tcPr>
          <w:p w14:paraId="08CE8402"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Lexington</w:t>
            </w:r>
          </w:p>
        </w:tc>
        <w:tc>
          <w:tcPr>
            <w:tcW w:w="810" w:type="dxa"/>
            <w:noWrap/>
          </w:tcPr>
          <w:p w14:paraId="75AAE909"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Lexington</w:t>
            </w:r>
          </w:p>
        </w:tc>
      </w:tr>
      <w:tr w:rsidR="009D5070" w:rsidRPr="00182ACF" w14:paraId="6715985C" w14:textId="77777777" w:rsidTr="001C0571">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77290C11"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B8</w:t>
            </w:r>
          </w:p>
        </w:tc>
        <w:tc>
          <w:tcPr>
            <w:tcW w:w="2928" w:type="dxa"/>
          </w:tcPr>
          <w:p w14:paraId="7CC0D245"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Peabody</w:t>
            </w:r>
          </w:p>
        </w:tc>
        <w:tc>
          <w:tcPr>
            <w:tcW w:w="810" w:type="dxa"/>
            <w:noWrap/>
          </w:tcPr>
          <w:p w14:paraId="0C4FA911"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Peabody</w:t>
            </w:r>
          </w:p>
        </w:tc>
      </w:tr>
      <w:tr w:rsidR="009D5070" w:rsidRPr="00182ACF" w14:paraId="4F94F386" w14:textId="77777777" w:rsidTr="001C057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4283018D"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B9</w:t>
            </w:r>
          </w:p>
        </w:tc>
        <w:tc>
          <w:tcPr>
            <w:tcW w:w="2928" w:type="dxa"/>
          </w:tcPr>
          <w:p w14:paraId="36DF48ED"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North Dartmouth</w:t>
            </w:r>
          </w:p>
        </w:tc>
        <w:tc>
          <w:tcPr>
            <w:tcW w:w="810" w:type="dxa"/>
            <w:noWrap/>
          </w:tcPr>
          <w:p w14:paraId="2EFD899C"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Dartmouth</w:t>
            </w:r>
          </w:p>
        </w:tc>
      </w:tr>
    </w:tbl>
    <w:p w14:paraId="3808A2E6" w14:textId="0F926733" w:rsidR="00535662" w:rsidRDefault="0045387A" w:rsidP="0045387A">
      <w:pPr>
        <w:numPr>
          <w:ilvl w:val="0"/>
          <w:numId w:val="0"/>
        </w:numPr>
        <w:ind w:left="450"/>
        <w:jc w:val="left"/>
      </w:pPr>
      <w:r>
        <w:rPr>
          <w:noProof/>
        </w:rPr>
        <w:drawing>
          <wp:inline distT="0" distB="0" distL="0" distR="0" wp14:anchorId="39475896" wp14:editId="4CA5D740">
            <wp:extent cx="2548829" cy="1802423"/>
            <wp:effectExtent l="0" t="0" r="4445" b="7620"/>
            <wp:docPr id="7" name="Picture 7" descr="Map of Eastern Massachusetts, from Worcester to Boston. Symbols of multiple colors indicate Massachusetts health systems, and light green coloring on map indicates Waltham service area for ASC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Eastern Massachusetts, from Worcester to Boston. Symbols of multiple colors indicate Massachusetts health systems, and light green coloring on map indicates Waltham service area for ASC with 75% PSA"/>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07995" cy="1914978"/>
                    </a:xfrm>
                    <a:prstGeom prst="rect">
                      <a:avLst/>
                    </a:prstGeom>
                    <a:noFill/>
                    <a:ln>
                      <a:noFill/>
                    </a:ln>
                  </pic:spPr>
                </pic:pic>
              </a:graphicData>
            </a:graphic>
          </wp:inline>
        </w:drawing>
      </w:r>
    </w:p>
    <w:p w14:paraId="20A96C43" w14:textId="77777777" w:rsidR="006F5331" w:rsidRDefault="006F5331" w:rsidP="00BE32C9">
      <w:pPr>
        <w:pStyle w:val="Caption"/>
      </w:pPr>
      <w:bookmarkStart w:id="94" w:name="_Ref105789348"/>
      <w:bookmarkStart w:id="95" w:name="_Toc109901092"/>
    </w:p>
    <w:p w14:paraId="3CA55F85" w14:textId="4AD32118" w:rsidR="00535662" w:rsidRDefault="00535662" w:rsidP="00BE32C9">
      <w:pPr>
        <w:pStyle w:val="Caption"/>
      </w:pPr>
      <w:r w:rsidRPr="00093632">
        <w:t xml:space="preserve">Figure </w:t>
      </w:r>
      <w:fldSimple w:instr=" SEQ Figure \* ARABIC ">
        <w:r w:rsidR="00CE7C62">
          <w:rPr>
            <w:noProof/>
          </w:rPr>
          <w:t>7</w:t>
        </w:r>
      </w:fldSimple>
      <w:bookmarkEnd w:id="94"/>
      <w:r>
        <w:t>: Waltham Service Area, Imaging</w:t>
      </w:r>
      <w:bookmarkEnd w:id="95"/>
    </w:p>
    <w:tbl>
      <w:tblPr>
        <w:tblStyle w:val="GridTable4-Accent1"/>
        <w:tblpPr w:leftFromText="180" w:rightFromText="180" w:vertAnchor="text" w:horzAnchor="margin" w:tblpXSpec="right" w:tblpY="177"/>
        <w:tblW w:w="0" w:type="auto"/>
        <w:tblLook w:val="04A0" w:firstRow="1" w:lastRow="0" w:firstColumn="1" w:lastColumn="0" w:noHBand="0" w:noVBand="1"/>
      </w:tblPr>
      <w:tblGrid>
        <w:gridCol w:w="667"/>
        <w:gridCol w:w="2928"/>
        <w:gridCol w:w="810"/>
      </w:tblGrid>
      <w:tr w:rsidR="009D5070" w:rsidRPr="00182ACF" w14:paraId="569459C6" w14:textId="77777777" w:rsidTr="001C057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67" w:type="dxa"/>
          </w:tcPr>
          <w:p w14:paraId="3BE486B7"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Facility Code</w:t>
            </w:r>
          </w:p>
        </w:tc>
        <w:tc>
          <w:tcPr>
            <w:tcW w:w="2928" w:type="dxa"/>
            <w:hideMark/>
          </w:tcPr>
          <w:p w14:paraId="4910FC30" w14:textId="77777777" w:rsidR="009D5070" w:rsidRPr="00182ACF" w:rsidRDefault="009D5070" w:rsidP="00D73849">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Facility Name</w:t>
            </w:r>
          </w:p>
        </w:tc>
        <w:tc>
          <w:tcPr>
            <w:tcW w:w="810" w:type="dxa"/>
            <w:noWrap/>
            <w:hideMark/>
          </w:tcPr>
          <w:p w14:paraId="2BA791E2" w14:textId="77777777" w:rsidR="009D5070" w:rsidRPr="00182ACF" w:rsidRDefault="009D5070" w:rsidP="00D73849">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City and Town</w:t>
            </w:r>
          </w:p>
        </w:tc>
      </w:tr>
      <w:tr w:rsidR="009D5070" w:rsidRPr="00182ACF" w14:paraId="571A5478" w14:textId="77777777" w:rsidTr="001C057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1444F67F"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B1</w:t>
            </w:r>
          </w:p>
        </w:tc>
        <w:tc>
          <w:tcPr>
            <w:tcW w:w="2928" w:type="dxa"/>
          </w:tcPr>
          <w:p w14:paraId="34B11964"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Hospital*</w:t>
            </w:r>
          </w:p>
        </w:tc>
        <w:tc>
          <w:tcPr>
            <w:tcW w:w="810" w:type="dxa"/>
            <w:noWrap/>
          </w:tcPr>
          <w:p w14:paraId="0927CE19"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w:t>
            </w:r>
          </w:p>
        </w:tc>
      </w:tr>
      <w:tr w:rsidR="009D5070" w:rsidRPr="00182ACF" w14:paraId="2F40D81E" w14:textId="77777777" w:rsidTr="001C0571">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2827730F"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B2</w:t>
            </w:r>
          </w:p>
        </w:tc>
        <w:tc>
          <w:tcPr>
            <w:tcW w:w="2928" w:type="dxa"/>
          </w:tcPr>
          <w:p w14:paraId="0C75DCC5"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(New Location)</w:t>
            </w:r>
          </w:p>
        </w:tc>
        <w:tc>
          <w:tcPr>
            <w:tcW w:w="810" w:type="dxa"/>
            <w:noWrap/>
          </w:tcPr>
          <w:p w14:paraId="20A32EA3"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9D5070" w:rsidRPr="00182ACF" w14:paraId="0F34C837" w14:textId="77777777" w:rsidTr="001C057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65AFB383"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B3</w:t>
            </w:r>
          </w:p>
        </w:tc>
        <w:tc>
          <w:tcPr>
            <w:tcW w:w="2928" w:type="dxa"/>
          </w:tcPr>
          <w:p w14:paraId="2086A6C5"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(Current Location)</w:t>
            </w:r>
          </w:p>
        </w:tc>
        <w:tc>
          <w:tcPr>
            <w:tcW w:w="810" w:type="dxa"/>
            <w:noWrap/>
          </w:tcPr>
          <w:p w14:paraId="68B8A8E8"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9D5070" w:rsidRPr="00182ACF" w14:paraId="3C652FE6" w14:textId="77777777" w:rsidTr="001C0571">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76F1AA16"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B4</w:t>
            </w:r>
          </w:p>
        </w:tc>
        <w:tc>
          <w:tcPr>
            <w:tcW w:w="2928" w:type="dxa"/>
          </w:tcPr>
          <w:p w14:paraId="30171277"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Waltham</w:t>
            </w:r>
          </w:p>
        </w:tc>
        <w:tc>
          <w:tcPr>
            <w:tcW w:w="810" w:type="dxa"/>
            <w:noWrap/>
          </w:tcPr>
          <w:p w14:paraId="002C3E78"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Waltham</w:t>
            </w:r>
          </w:p>
        </w:tc>
      </w:tr>
      <w:tr w:rsidR="009D5070" w:rsidRPr="00182ACF" w14:paraId="6E043EF0" w14:textId="77777777" w:rsidTr="001C057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10EB6E24"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B5</w:t>
            </w:r>
          </w:p>
        </w:tc>
        <w:tc>
          <w:tcPr>
            <w:tcW w:w="2928" w:type="dxa"/>
          </w:tcPr>
          <w:p w14:paraId="32ED05F0"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Needham</w:t>
            </w:r>
          </w:p>
        </w:tc>
        <w:tc>
          <w:tcPr>
            <w:tcW w:w="810" w:type="dxa"/>
            <w:noWrap/>
          </w:tcPr>
          <w:p w14:paraId="4A099E21"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Needham</w:t>
            </w:r>
          </w:p>
        </w:tc>
      </w:tr>
      <w:tr w:rsidR="009D5070" w:rsidRPr="00182ACF" w14:paraId="1C86EC3F" w14:textId="77777777" w:rsidTr="001C0571">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33EF6D0E"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B6</w:t>
            </w:r>
          </w:p>
        </w:tc>
        <w:tc>
          <w:tcPr>
            <w:tcW w:w="2928" w:type="dxa"/>
          </w:tcPr>
          <w:p w14:paraId="03379346"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Brookline</w:t>
            </w:r>
          </w:p>
        </w:tc>
        <w:tc>
          <w:tcPr>
            <w:tcW w:w="810" w:type="dxa"/>
            <w:noWrap/>
          </w:tcPr>
          <w:p w14:paraId="06198819"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Brookline</w:t>
            </w:r>
          </w:p>
        </w:tc>
      </w:tr>
      <w:tr w:rsidR="009D5070" w:rsidRPr="00182ACF" w14:paraId="7BEA92CA" w14:textId="77777777" w:rsidTr="001C057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7F21EA17"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B7</w:t>
            </w:r>
          </w:p>
        </w:tc>
        <w:tc>
          <w:tcPr>
            <w:tcW w:w="2928" w:type="dxa"/>
          </w:tcPr>
          <w:p w14:paraId="531E74AB"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Lexington</w:t>
            </w:r>
          </w:p>
        </w:tc>
        <w:tc>
          <w:tcPr>
            <w:tcW w:w="810" w:type="dxa"/>
            <w:noWrap/>
          </w:tcPr>
          <w:p w14:paraId="526EB38A"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Lexington</w:t>
            </w:r>
          </w:p>
        </w:tc>
      </w:tr>
      <w:tr w:rsidR="009D5070" w:rsidRPr="00182ACF" w14:paraId="1E4D6891" w14:textId="77777777" w:rsidTr="001C0571">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710E5188"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B8</w:t>
            </w:r>
          </w:p>
        </w:tc>
        <w:tc>
          <w:tcPr>
            <w:tcW w:w="2928" w:type="dxa"/>
          </w:tcPr>
          <w:p w14:paraId="4D5ABBE0"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Peabody</w:t>
            </w:r>
          </w:p>
        </w:tc>
        <w:tc>
          <w:tcPr>
            <w:tcW w:w="810" w:type="dxa"/>
            <w:noWrap/>
          </w:tcPr>
          <w:p w14:paraId="2CE668C0"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Peabody</w:t>
            </w:r>
          </w:p>
        </w:tc>
      </w:tr>
      <w:tr w:rsidR="009D5070" w:rsidRPr="00182ACF" w14:paraId="3EBE91C6" w14:textId="77777777" w:rsidTr="001C057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1AB13BD9"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B9</w:t>
            </w:r>
          </w:p>
        </w:tc>
        <w:tc>
          <w:tcPr>
            <w:tcW w:w="2928" w:type="dxa"/>
          </w:tcPr>
          <w:p w14:paraId="1C51BE03"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North Dartmouth</w:t>
            </w:r>
          </w:p>
        </w:tc>
        <w:tc>
          <w:tcPr>
            <w:tcW w:w="810" w:type="dxa"/>
            <w:noWrap/>
          </w:tcPr>
          <w:p w14:paraId="06F34C30"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Dartmouth</w:t>
            </w:r>
          </w:p>
        </w:tc>
      </w:tr>
    </w:tbl>
    <w:p w14:paraId="6A248983" w14:textId="3DD0F6B4" w:rsidR="00535662" w:rsidRDefault="0045387A" w:rsidP="0045387A">
      <w:pPr>
        <w:numPr>
          <w:ilvl w:val="0"/>
          <w:numId w:val="0"/>
        </w:numPr>
        <w:ind w:left="450"/>
        <w:jc w:val="left"/>
      </w:pPr>
      <w:r>
        <w:rPr>
          <w:noProof/>
        </w:rPr>
        <w:drawing>
          <wp:inline distT="0" distB="0" distL="0" distR="0" wp14:anchorId="7F06E588" wp14:editId="6D2317BA">
            <wp:extent cx="2665095" cy="1884639"/>
            <wp:effectExtent l="0" t="0" r="1905" b="1905"/>
            <wp:docPr id="16" name="Picture 16" descr="Map of Eastern Massachusetts, from Worcester to Boston. Symbols of multiple colors indicate Massachusetts health systems, and light green coloring on map indicates Waltham service area for Imaging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of Eastern Massachusetts, from Worcester to Boston. Symbols of multiple colors indicate Massachusetts health systems, and light green coloring on map indicates Waltham service area for Imaging with 75% PSA"/>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83733" cy="1897819"/>
                    </a:xfrm>
                    <a:prstGeom prst="rect">
                      <a:avLst/>
                    </a:prstGeom>
                    <a:noFill/>
                    <a:ln>
                      <a:noFill/>
                    </a:ln>
                  </pic:spPr>
                </pic:pic>
              </a:graphicData>
            </a:graphic>
          </wp:inline>
        </w:drawing>
      </w:r>
    </w:p>
    <w:p w14:paraId="16BC4A79" w14:textId="2E190C8F" w:rsidR="00535662" w:rsidRDefault="00535662" w:rsidP="00BE32C9">
      <w:pPr>
        <w:pStyle w:val="Caption"/>
      </w:pPr>
      <w:bookmarkStart w:id="96" w:name="_Ref105789590"/>
      <w:bookmarkStart w:id="97" w:name="_Toc109901093"/>
      <w:r w:rsidRPr="00093632">
        <w:t xml:space="preserve">Figure </w:t>
      </w:r>
      <w:fldSimple w:instr=" SEQ Figure \* ARABIC ">
        <w:r w:rsidR="00CE7C62">
          <w:rPr>
            <w:noProof/>
          </w:rPr>
          <w:t>8</w:t>
        </w:r>
      </w:fldSimple>
      <w:bookmarkEnd w:id="96"/>
      <w:r>
        <w:t>: Waltham Service Area, MRI</w:t>
      </w:r>
      <w:bookmarkEnd w:id="97"/>
    </w:p>
    <w:tbl>
      <w:tblPr>
        <w:tblStyle w:val="GridTable4-Accent1"/>
        <w:tblpPr w:leftFromText="180" w:rightFromText="180" w:vertAnchor="text" w:horzAnchor="margin" w:tblpXSpec="right" w:tblpY="177"/>
        <w:tblW w:w="0" w:type="auto"/>
        <w:tblLook w:val="04A0" w:firstRow="1" w:lastRow="0" w:firstColumn="1" w:lastColumn="0" w:noHBand="0" w:noVBand="1"/>
      </w:tblPr>
      <w:tblGrid>
        <w:gridCol w:w="667"/>
        <w:gridCol w:w="2928"/>
        <w:gridCol w:w="810"/>
      </w:tblGrid>
      <w:tr w:rsidR="009D5070" w:rsidRPr="00182ACF" w14:paraId="22410BBE" w14:textId="77777777" w:rsidTr="008E2BB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67" w:type="dxa"/>
          </w:tcPr>
          <w:p w14:paraId="038D0DCC"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Facility Code</w:t>
            </w:r>
          </w:p>
        </w:tc>
        <w:tc>
          <w:tcPr>
            <w:tcW w:w="2928" w:type="dxa"/>
            <w:hideMark/>
          </w:tcPr>
          <w:p w14:paraId="5556FDD6" w14:textId="77777777" w:rsidR="009D5070" w:rsidRPr="00182ACF" w:rsidRDefault="009D5070" w:rsidP="00D73849">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Facility Name</w:t>
            </w:r>
          </w:p>
        </w:tc>
        <w:tc>
          <w:tcPr>
            <w:tcW w:w="810" w:type="dxa"/>
            <w:noWrap/>
            <w:hideMark/>
          </w:tcPr>
          <w:p w14:paraId="0554D376" w14:textId="77777777" w:rsidR="009D5070" w:rsidRPr="00182ACF" w:rsidRDefault="009D5070" w:rsidP="00D73849">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City and Town</w:t>
            </w:r>
          </w:p>
        </w:tc>
      </w:tr>
      <w:tr w:rsidR="009D5070" w:rsidRPr="00182ACF" w14:paraId="2D4A435A" w14:textId="77777777" w:rsidTr="008E2BB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346C4281"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B1</w:t>
            </w:r>
          </w:p>
        </w:tc>
        <w:tc>
          <w:tcPr>
            <w:tcW w:w="2928" w:type="dxa"/>
          </w:tcPr>
          <w:p w14:paraId="38401778"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Hospital*</w:t>
            </w:r>
          </w:p>
        </w:tc>
        <w:tc>
          <w:tcPr>
            <w:tcW w:w="810" w:type="dxa"/>
            <w:noWrap/>
          </w:tcPr>
          <w:p w14:paraId="0DD130D0"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w:t>
            </w:r>
          </w:p>
        </w:tc>
      </w:tr>
      <w:tr w:rsidR="009D5070" w:rsidRPr="00182ACF" w14:paraId="4C089E4C" w14:textId="77777777" w:rsidTr="008E2BB1">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1506987C"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B2</w:t>
            </w:r>
          </w:p>
        </w:tc>
        <w:tc>
          <w:tcPr>
            <w:tcW w:w="2928" w:type="dxa"/>
          </w:tcPr>
          <w:p w14:paraId="391476C8"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(New Location)</w:t>
            </w:r>
          </w:p>
        </w:tc>
        <w:tc>
          <w:tcPr>
            <w:tcW w:w="810" w:type="dxa"/>
            <w:noWrap/>
          </w:tcPr>
          <w:p w14:paraId="611DB72A"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9D5070" w:rsidRPr="00182ACF" w14:paraId="7454F854" w14:textId="77777777" w:rsidTr="008E2BB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01ADB3DD"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B3</w:t>
            </w:r>
          </w:p>
        </w:tc>
        <w:tc>
          <w:tcPr>
            <w:tcW w:w="2928" w:type="dxa"/>
          </w:tcPr>
          <w:p w14:paraId="7FD9C820"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(Current Location)</w:t>
            </w:r>
          </w:p>
        </w:tc>
        <w:tc>
          <w:tcPr>
            <w:tcW w:w="810" w:type="dxa"/>
            <w:noWrap/>
          </w:tcPr>
          <w:p w14:paraId="60DF5F39"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9D5070" w:rsidRPr="00182ACF" w14:paraId="439AD24D" w14:textId="77777777" w:rsidTr="008E2BB1">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7AC79A8F"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B4</w:t>
            </w:r>
          </w:p>
        </w:tc>
        <w:tc>
          <w:tcPr>
            <w:tcW w:w="2928" w:type="dxa"/>
          </w:tcPr>
          <w:p w14:paraId="56815D74"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Waltham</w:t>
            </w:r>
          </w:p>
        </w:tc>
        <w:tc>
          <w:tcPr>
            <w:tcW w:w="810" w:type="dxa"/>
            <w:noWrap/>
          </w:tcPr>
          <w:p w14:paraId="3BEB0E92"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Waltham</w:t>
            </w:r>
          </w:p>
        </w:tc>
      </w:tr>
      <w:tr w:rsidR="009D5070" w:rsidRPr="00182ACF" w14:paraId="3E535967" w14:textId="77777777" w:rsidTr="008E2BB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2582B6F4"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B5</w:t>
            </w:r>
          </w:p>
        </w:tc>
        <w:tc>
          <w:tcPr>
            <w:tcW w:w="2928" w:type="dxa"/>
          </w:tcPr>
          <w:p w14:paraId="22B18675"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Needham</w:t>
            </w:r>
          </w:p>
        </w:tc>
        <w:tc>
          <w:tcPr>
            <w:tcW w:w="810" w:type="dxa"/>
            <w:noWrap/>
          </w:tcPr>
          <w:p w14:paraId="0F800BDA"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Needham</w:t>
            </w:r>
          </w:p>
        </w:tc>
      </w:tr>
      <w:tr w:rsidR="009D5070" w:rsidRPr="00182ACF" w14:paraId="3EC40817" w14:textId="77777777" w:rsidTr="008E2BB1">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1E998888"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B6</w:t>
            </w:r>
          </w:p>
        </w:tc>
        <w:tc>
          <w:tcPr>
            <w:tcW w:w="2928" w:type="dxa"/>
          </w:tcPr>
          <w:p w14:paraId="03178128"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Brookline</w:t>
            </w:r>
          </w:p>
        </w:tc>
        <w:tc>
          <w:tcPr>
            <w:tcW w:w="810" w:type="dxa"/>
            <w:noWrap/>
          </w:tcPr>
          <w:p w14:paraId="37C29467"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Brookline</w:t>
            </w:r>
          </w:p>
        </w:tc>
      </w:tr>
      <w:tr w:rsidR="009D5070" w:rsidRPr="00182ACF" w14:paraId="6422DCD5" w14:textId="77777777" w:rsidTr="008E2BB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01772E94"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B7</w:t>
            </w:r>
          </w:p>
        </w:tc>
        <w:tc>
          <w:tcPr>
            <w:tcW w:w="2928" w:type="dxa"/>
          </w:tcPr>
          <w:p w14:paraId="54429D89"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Lexington</w:t>
            </w:r>
          </w:p>
        </w:tc>
        <w:tc>
          <w:tcPr>
            <w:tcW w:w="810" w:type="dxa"/>
            <w:noWrap/>
          </w:tcPr>
          <w:p w14:paraId="1AA26C56"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Lexington</w:t>
            </w:r>
          </w:p>
        </w:tc>
      </w:tr>
      <w:tr w:rsidR="009D5070" w:rsidRPr="00182ACF" w14:paraId="555BF1BB" w14:textId="77777777" w:rsidTr="008E2BB1">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287EBD0F"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B8</w:t>
            </w:r>
          </w:p>
        </w:tc>
        <w:tc>
          <w:tcPr>
            <w:tcW w:w="2928" w:type="dxa"/>
          </w:tcPr>
          <w:p w14:paraId="2127AE96"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Peabody</w:t>
            </w:r>
          </w:p>
        </w:tc>
        <w:tc>
          <w:tcPr>
            <w:tcW w:w="810" w:type="dxa"/>
            <w:noWrap/>
          </w:tcPr>
          <w:p w14:paraId="0A616492"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Peabody</w:t>
            </w:r>
          </w:p>
        </w:tc>
      </w:tr>
      <w:tr w:rsidR="009D5070" w:rsidRPr="00182ACF" w14:paraId="2CB1B8DA" w14:textId="77777777" w:rsidTr="008E2BB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435571B8"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B9</w:t>
            </w:r>
          </w:p>
        </w:tc>
        <w:tc>
          <w:tcPr>
            <w:tcW w:w="2928" w:type="dxa"/>
          </w:tcPr>
          <w:p w14:paraId="3FF87111"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North Dartmouth</w:t>
            </w:r>
          </w:p>
        </w:tc>
        <w:tc>
          <w:tcPr>
            <w:tcW w:w="810" w:type="dxa"/>
            <w:noWrap/>
          </w:tcPr>
          <w:p w14:paraId="39166F1F"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Dartmouth</w:t>
            </w:r>
          </w:p>
        </w:tc>
      </w:tr>
    </w:tbl>
    <w:p w14:paraId="5081BC4D" w14:textId="2FEB2595" w:rsidR="00535662" w:rsidRDefault="00711D56" w:rsidP="00711D56">
      <w:pPr>
        <w:numPr>
          <w:ilvl w:val="0"/>
          <w:numId w:val="0"/>
        </w:numPr>
        <w:ind w:left="450"/>
        <w:jc w:val="left"/>
      </w:pPr>
      <w:r>
        <w:rPr>
          <w:noProof/>
        </w:rPr>
        <w:drawing>
          <wp:inline distT="0" distB="0" distL="0" distR="0" wp14:anchorId="241FE847" wp14:editId="31323EB4">
            <wp:extent cx="2665379" cy="1884840"/>
            <wp:effectExtent l="0" t="0" r="1905" b="1270"/>
            <wp:docPr id="9" name="Picture 9" descr="Map of Eastern Massachusetts, from Worcester to Boston. Symbols of multiple colors indicate Massachusetts health systems, and light green coloring on map indicates Waltham service area for MRI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Eastern Massachusetts, from Worcester to Boston. Symbols of multiple colors indicate Massachusetts health systems, and light green coloring on map indicates Waltham service area for MRI with 75% PSA"/>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81013" cy="1895895"/>
                    </a:xfrm>
                    <a:prstGeom prst="rect">
                      <a:avLst/>
                    </a:prstGeom>
                    <a:noFill/>
                    <a:ln>
                      <a:noFill/>
                    </a:ln>
                  </pic:spPr>
                </pic:pic>
              </a:graphicData>
            </a:graphic>
          </wp:inline>
        </w:drawing>
      </w:r>
    </w:p>
    <w:p w14:paraId="56CC68EB" w14:textId="39894B60" w:rsidR="00535662" w:rsidRDefault="00535662" w:rsidP="00BE32C9">
      <w:pPr>
        <w:pStyle w:val="Heading3"/>
      </w:pPr>
      <w:bookmarkStart w:id="98" w:name="_Toc109895503"/>
      <w:r>
        <w:t>Weymouth Service Areas</w:t>
      </w:r>
      <w:bookmarkEnd w:id="98"/>
    </w:p>
    <w:p w14:paraId="7AE1E5F2" w14:textId="629CA5A6" w:rsidR="00535662" w:rsidRDefault="00535662" w:rsidP="00BE32C9">
      <w:r>
        <w:t>The Weymouth service areas for ASC and Imaging services are shown in</w:t>
      </w:r>
      <w:r w:rsidR="0036000C">
        <w:t xml:space="preserve"> </w:t>
      </w:r>
      <w:r w:rsidR="0036000C" w:rsidRPr="0036000C">
        <w:fldChar w:fldCharType="begin"/>
      </w:r>
      <w:r w:rsidR="0036000C" w:rsidRPr="0036000C">
        <w:instrText xml:space="preserve"> REF _Ref105789684 \h </w:instrText>
      </w:r>
      <w:r w:rsidR="0036000C">
        <w:instrText xml:space="preserve"> \* MERGEFORMAT </w:instrText>
      </w:r>
      <w:r w:rsidR="0036000C" w:rsidRPr="0036000C">
        <w:fldChar w:fldCharType="separate"/>
      </w:r>
      <w:r w:rsidR="00CE7C62" w:rsidRPr="00093632">
        <w:t xml:space="preserve">Figure </w:t>
      </w:r>
      <w:r w:rsidR="00CE7C62">
        <w:rPr>
          <w:noProof/>
        </w:rPr>
        <w:t>9</w:t>
      </w:r>
      <w:r w:rsidR="0036000C" w:rsidRPr="0036000C">
        <w:fldChar w:fldCharType="end"/>
      </w:r>
      <w:r w:rsidRPr="0036000C">
        <w:t xml:space="preserve"> and </w:t>
      </w:r>
      <w:r w:rsidRPr="0036000C">
        <w:fldChar w:fldCharType="begin"/>
      </w:r>
      <w:r w:rsidRPr="0036000C">
        <w:instrText xml:space="preserve"> REF _Ref105789697 \h  \* MERGEFORMAT </w:instrText>
      </w:r>
      <w:r w:rsidRPr="0036000C">
        <w:fldChar w:fldCharType="separate"/>
      </w:r>
      <w:r w:rsidR="00CE7C62" w:rsidRPr="00093632">
        <w:t xml:space="preserve">Figure </w:t>
      </w:r>
      <w:r w:rsidR="00CE7C62">
        <w:rPr>
          <w:noProof/>
        </w:rPr>
        <w:t>10</w:t>
      </w:r>
      <w:r w:rsidRPr="0036000C">
        <w:fldChar w:fldCharType="end"/>
      </w:r>
      <w:r>
        <w:t>.</w:t>
      </w:r>
      <w:r w:rsidR="00083FF7">
        <w:rPr>
          <w:rStyle w:val="FootnoteReference"/>
        </w:rPr>
        <w:footnoteReference w:id="46"/>
      </w:r>
      <w:r>
        <w:t xml:space="preserve"> Both service areas cover many of the same ZIP codes, to the south and southeast of Boston and are centered around the current and future BCH Weymouth location</w:t>
      </w:r>
      <w:r w:rsidR="00E765D8">
        <w:t>, though the ASC service area is broader</w:t>
      </w:r>
      <w:r>
        <w:t>.</w:t>
      </w:r>
      <w:r w:rsidR="007D1418">
        <w:t xml:space="preserve"> </w:t>
      </w:r>
      <w:r>
        <w:t xml:space="preserve">There are five BCH facilities located physically within the Weymouth service areas, including BCH Needham. There are six Mass General facilities, three Boston Medical facilities, and one Tufts facility located physically within the Weymouth service areas. As noted above, there are several locations </w:t>
      </w:r>
      <w:r w:rsidRPr="006F7F44">
        <w:rPr>
          <w:spacing w:val="-4"/>
          <w:kern w:val="24"/>
        </w:rPr>
        <w:t>close to the service area, and several that may be alternatives that are not depicted on the map.</w:t>
      </w:r>
    </w:p>
    <w:p w14:paraId="473F684E" w14:textId="5A38CA18" w:rsidR="00535662" w:rsidRDefault="00535662" w:rsidP="00BE32C9">
      <w:r>
        <w:t xml:space="preserve">The current and future BCH Weymouth locations have broad draw from the east and southeast. The Weymouth service area for MRI service is broader than ASC and imaging (shown in </w:t>
      </w:r>
      <w:r w:rsidRPr="00F42251">
        <w:fldChar w:fldCharType="begin"/>
      </w:r>
      <w:r w:rsidRPr="00F42251">
        <w:instrText xml:space="preserve"> REF _Ref105789888 \h  \* MERGEFORMAT </w:instrText>
      </w:r>
      <w:r w:rsidRPr="00F42251">
        <w:fldChar w:fldCharType="separate"/>
      </w:r>
      <w:r w:rsidR="00CE7C62" w:rsidRPr="00093632">
        <w:t xml:space="preserve">Figure </w:t>
      </w:r>
      <w:r w:rsidR="00CE7C62">
        <w:rPr>
          <w:noProof/>
        </w:rPr>
        <w:t>11</w:t>
      </w:r>
      <w:r w:rsidRPr="00F42251">
        <w:fldChar w:fldCharType="end"/>
      </w:r>
      <w:r>
        <w:t xml:space="preserve">). The MRI service area also includes the physical location BCH </w:t>
      </w:r>
      <w:r>
        <w:lastRenderedPageBreak/>
        <w:t>Waltham (not located physically in ASC and imaging). The MRI service area also includes the location of one additional facility from MGB and one additional facility from Tufts.</w:t>
      </w:r>
    </w:p>
    <w:p w14:paraId="669147AF" w14:textId="17112656" w:rsidR="00535662" w:rsidRDefault="00535662" w:rsidP="00BE32C9">
      <w:pPr>
        <w:pStyle w:val="Caption"/>
      </w:pPr>
      <w:bookmarkStart w:id="99" w:name="_Ref105789684"/>
      <w:bookmarkStart w:id="100" w:name="_Toc109901094"/>
      <w:r w:rsidRPr="00093632">
        <w:t xml:space="preserve">Figure </w:t>
      </w:r>
      <w:fldSimple w:instr=" SEQ Figure \* ARABIC ">
        <w:r w:rsidR="00CE7C62">
          <w:rPr>
            <w:noProof/>
          </w:rPr>
          <w:t>9</w:t>
        </w:r>
      </w:fldSimple>
      <w:bookmarkEnd w:id="99"/>
      <w:r>
        <w:t>: Weymouth Service Area, ASC</w:t>
      </w:r>
      <w:bookmarkEnd w:id="100"/>
    </w:p>
    <w:tbl>
      <w:tblPr>
        <w:tblStyle w:val="GridTable4-Accent1"/>
        <w:tblpPr w:leftFromText="180" w:rightFromText="180" w:vertAnchor="text" w:horzAnchor="margin" w:tblpXSpec="right" w:tblpY="177"/>
        <w:tblW w:w="0" w:type="auto"/>
        <w:tblLook w:val="04A0" w:firstRow="1" w:lastRow="0" w:firstColumn="1" w:lastColumn="0" w:noHBand="0" w:noVBand="1"/>
      </w:tblPr>
      <w:tblGrid>
        <w:gridCol w:w="667"/>
        <w:gridCol w:w="2928"/>
        <w:gridCol w:w="810"/>
      </w:tblGrid>
      <w:tr w:rsidR="009D5070" w:rsidRPr="00182ACF" w14:paraId="2D69C620" w14:textId="77777777" w:rsidTr="00C46927">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67" w:type="dxa"/>
          </w:tcPr>
          <w:p w14:paraId="7D490965"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Facility Code</w:t>
            </w:r>
          </w:p>
        </w:tc>
        <w:tc>
          <w:tcPr>
            <w:tcW w:w="2928" w:type="dxa"/>
            <w:hideMark/>
          </w:tcPr>
          <w:p w14:paraId="75FA6F15" w14:textId="77777777" w:rsidR="009D5070" w:rsidRPr="00182ACF" w:rsidRDefault="009D5070" w:rsidP="00D73849">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Facility Name</w:t>
            </w:r>
          </w:p>
        </w:tc>
        <w:tc>
          <w:tcPr>
            <w:tcW w:w="810" w:type="dxa"/>
            <w:noWrap/>
            <w:hideMark/>
          </w:tcPr>
          <w:p w14:paraId="23848186" w14:textId="77777777" w:rsidR="009D5070" w:rsidRPr="00182ACF" w:rsidRDefault="009D5070" w:rsidP="00D73849">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City and Town</w:t>
            </w:r>
          </w:p>
        </w:tc>
      </w:tr>
      <w:tr w:rsidR="009D5070" w:rsidRPr="00182ACF" w14:paraId="127966B7" w14:textId="77777777" w:rsidTr="00C4692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4DE2884D"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B1</w:t>
            </w:r>
          </w:p>
        </w:tc>
        <w:tc>
          <w:tcPr>
            <w:tcW w:w="2928" w:type="dxa"/>
          </w:tcPr>
          <w:p w14:paraId="0693C12D"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Hospital*</w:t>
            </w:r>
          </w:p>
        </w:tc>
        <w:tc>
          <w:tcPr>
            <w:tcW w:w="810" w:type="dxa"/>
            <w:noWrap/>
          </w:tcPr>
          <w:p w14:paraId="6D668E99"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w:t>
            </w:r>
          </w:p>
        </w:tc>
      </w:tr>
      <w:tr w:rsidR="009D5070" w:rsidRPr="00182ACF" w14:paraId="46B4A9D4" w14:textId="77777777" w:rsidTr="00C46927">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566639F2"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B2</w:t>
            </w:r>
          </w:p>
        </w:tc>
        <w:tc>
          <w:tcPr>
            <w:tcW w:w="2928" w:type="dxa"/>
          </w:tcPr>
          <w:p w14:paraId="2AC9CCFC"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(New Location)</w:t>
            </w:r>
          </w:p>
        </w:tc>
        <w:tc>
          <w:tcPr>
            <w:tcW w:w="810" w:type="dxa"/>
            <w:noWrap/>
          </w:tcPr>
          <w:p w14:paraId="1AC9B1BF"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9D5070" w:rsidRPr="00182ACF" w14:paraId="19CCA134" w14:textId="77777777" w:rsidTr="00C4692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1BE401C2"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B3</w:t>
            </w:r>
          </w:p>
        </w:tc>
        <w:tc>
          <w:tcPr>
            <w:tcW w:w="2928" w:type="dxa"/>
          </w:tcPr>
          <w:p w14:paraId="15243DDB"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(Current Location)</w:t>
            </w:r>
          </w:p>
        </w:tc>
        <w:tc>
          <w:tcPr>
            <w:tcW w:w="810" w:type="dxa"/>
            <w:noWrap/>
          </w:tcPr>
          <w:p w14:paraId="2A65ADE3"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9D5070" w:rsidRPr="00182ACF" w14:paraId="4B9E2999" w14:textId="77777777" w:rsidTr="00C46927">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5A510328"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B4</w:t>
            </w:r>
          </w:p>
        </w:tc>
        <w:tc>
          <w:tcPr>
            <w:tcW w:w="2928" w:type="dxa"/>
          </w:tcPr>
          <w:p w14:paraId="70F3095E"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Waltham</w:t>
            </w:r>
          </w:p>
        </w:tc>
        <w:tc>
          <w:tcPr>
            <w:tcW w:w="810" w:type="dxa"/>
            <w:noWrap/>
          </w:tcPr>
          <w:p w14:paraId="36BB544F"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Waltham</w:t>
            </w:r>
          </w:p>
        </w:tc>
      </w:tr>
      <w:tr w:rsidR="009D5070" w:rsidRPr="00182ACF" w14:paraId="0225E57F" w14:textId="77777777" w:rsidTr="00C4692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0DAEB6B1"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B5</w:t>
            </w:r>
          </w:p>
        </w:tc>
        <w:tc>
          <w:tcPr>
            <w:tcW w:w="2928" w:type="dxa"/>
          </w:tcPr>
          <w:p w14:paraId="02A34B31"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Needham</w:t>
            </w:r>
          </w:p>
        </w:tc>
        <w:tc>
          <w:tcPr>
            <w:tcW w:w="810" w:type="dxa"/>
            <w:noWrap/>
          </w:tcPr>
          <w:p w14:paraId="4D8854B1"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Needham</w:t>
            </w:r>
          </w:p>
        </w:tc>
      </w:tr>
      <w:tr w:rsidR="009D5070" w:rsidRPr="00182ACF" w14:paraId="05D3A946" w14:textId="77777777" w:rsidTr="00C46927">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02E1DF6E"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B6</w:t>
            </w:r>
          </w:p>
        </w:tc>
        <w:tc>
          <w:tcPr>
            <w:tcW w:w="2928" w:type="dxa"/>
          </w:tcPr>
          <w:p w14:paraId="2E452B79"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Brookline</w:t>
            </w:r>
          </w:p>
        </w:tc>
        <w:tc>
          <w:tcPr>
            <w:tcW w:w="810" w:type="dxa"/>
            <w:noWrap/>
          </w:tcPr>
          <w:p w14:paraId="2EA18763"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Brookline</w:t>
            </w:r>
          </w:p>
        </w:tc>
      </w:tr>
      <w:tr w:rsidR="009D5070" w:rsidRPr="00182ACF" w14:paraId="1413D689" w14:textId="77777777" w:rsidTr="00C4692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2411A0C6"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B7</w:t>
            </w:r>
          </w:p>
        </w:tc>
        <w:tc>
          <w:tcPr>
            <w:tcW w:w="2928" w:type="dxa"/>
          </w:tcPr>
          <w:p w14:paraId="53518433"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Lexington</w:t>
            </w:r>
          </w:p>
        </w:tc>
        <w:tc>
          <w:tcPr>
            <w:tcW w:w="810" w:type="dxa"/>
            <w:noWrap/>
          </w:tcPr>
          <w:p w14:paraId="7949822C"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Lexington</w:t>
            </w:r>
          </w:p>
        </w:tc>
      </w:tr>
      <w:tr w:rsidR="009D5070" w:rsidRPr="00182ACF" w14:paraId="5FD15390" w14:textId="77777777" w:rsidTr="00C46927">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581A05AF"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B8</w:t>
            </w:r>
          </w:p>
        </w:tc>
        <w:tc>
          <w:tcPr>
            <w:tcW w:w="2928" w:type="dxa"/>
          </w:tcPr>
          <w:p w14:paraId="7958E216"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Peabody</w:t>
            </w:r>
          </w:p>
        </w:tc>
        <w:tc>
          <w:tcPr>
            <w:tcW w:w="810" w:type="dxa"/>
            <w:noWrap/>
          </w:tcPr>
          <w:p w14:paraId="61E66C30"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Peabody</w:t>
            </w:r>
          </w:p>
        </w:tc>
      </w:tr>
      <w:tr w:rsidR="009D5070" w:rsidRPr="00182ACF" w14:paraId="0149E90E" w14:textId="77777777" w:rsidTr="00C4692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7C7FAB41"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B9</w:t>
            </w:r>
          </w:p>
        </w:tc>
        <w:tc>
          <w:tcPr>
            <w:tcW w:w="2928" w:type="dxa"/>
          </w:tcPr>
          <w:p w14:paraId="48D9C4B0"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North Dartmouth</w:t>
            </w:r>
          </w:p>
        </w:tc>
        <w:tc>
          <w:tcPr>
            <w:tcW w:w="810" w:type="dxa"/>
            <w:noWrap/>
          </w:tcPr>
          <w:p w14:paraId="655B7950"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Dartmouth</w:t>
            </w:r>
          </w:p>
        </w:tc>
      </w:tr>
    </w:tbl>
    <w:p w14:paraId="6E77EC1F" w14:textId="02AF717A" w:rsidR="00535662" w:rsidRDefault="006F7F44" w:rsidP="006F7F44">
      <w:pPr>
        <w:numPr>
          <w:ilvl w:val="0"/>
          <w:numId w:val="0"/>
        </w:numPr>
        <w:ind w:left="450"/>
        <w:jc w:val="left"/>
      </w:pPr>
      <w:r>
        <w:rPr>
          <w:noProof/>
        </w:rPr>
        <w:drawing>
          <wp:inline distT="0" distB="0" distL="0" distR="0" wp14:anchorId="10E5F23C" wp14:editId="5963B5EE">
            <wp:extent cx="2715439" cy="1920240"/>
            <wp:effectExtent l="0" t="0" r="8890" b="3810"/>
            <wp:docPr id="8" name="Picture 8" descr="Map of Eastern Massachusetts, from Worcester to Boston. Symbols of multiple colors indicate Massachusetts health systems, and light green coloring on map indicates Weymouth service area for ASC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Eastern Massachusetts, from Worcester to Boston. Symbols of multiple colors indicate Massachusetts health systems, and light green coloring on map indicates Weymouth service area for ASC with 75% PSA"/>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15439" cy="1920240"/>
                    </a:xfrm>
                    <a:prstGeom prst="rect">
                      <a:avLst/>
                    </a:prstGeom>
                    <a:noFill/>
                    <a:ln>
                      <a:noFill/>
                    </a:ln>
                  </pic:spPr>
                </pic:pic>
              </a:graphicData>
            </a:graphic>
          </wp:inline>
        </w:drawing>
      </w:r>
    </w:p>
    <w:p w14:paraId="6892222A" w14:textId="226B728C" w:rsidR="00535662" w:rsidRDefault="00535662" w:rsidP="00BE32C9">
      <w:pPr>
        <w:pStyle w:val="Caption"/>
      </w:pPr>
      <w:bookmarkStart w:id="101" w:name="_Ref105789697"/>
      <w:bookmarkStart w:id="102" w:name="_Toc109901095"/>
      <w:r w:rsidRPr="00093632">
        <w:t xml:space="preserve">Figure </w:t>
      </w:r>
      <w:fldSimple w:instr=" SEQ Figure \* ARABIC ">
        <w:r w:rsidR="00CE7C62">
          <w:rPr>
            <w:noProof/>
          </w:rPr>
          <w:t>10</w:t>
        </w:r>
      </w:fldSimple>
      <w:bookmarkEnd w:id="101"/>
      <w:r>
        <w:t>: Weymouth Service Area, Imaging</w:t>
      </w:r>
      <w:bookmarkEnd w:id="102"/>
    </w:p>
    <w:tbl>
      <w:tblPr>
        <w:tblStyle w:val="GridTable4-Accent1"/>
        <w:tblpPr w:leftFromText="180" w:rightFromText="180" w:vertAnchor="text" w:horzAnchor="margin" w:tblpXSpec="right" w:tblpY="177"/>
        <w:tblW w:w="0" w:type="auto"/>
        <w:tblLook w:val="04A0" w:firstRow="1" w:lastRow="0" w:firstColumn="1" w:lastColumn="0" w:noHBand="0" w:noVBand="1"/>
      </w:tblPr>
      <w:tblGrid>
        <w:gridCol w:w="667"/>
        <w:gridCol w:w="2928"/>
        <w:gridCol w:w="810"/>
      </w:tblGrid>
      <w:tr w:rsidR="009D5070" w:rsidRPr="00182ACF" w14:paraId="73E69AA8" w14:textId="77777777" w:rsidTr="00C46927">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67" w:type="dxa"/>
          </w:tcPr>
          <w:p w14:paraId="7B500B6A"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Facility Code</w:t>
            </w:r>
          </w:p>
        </w:tc>
        <w:tc>
          <w:tcPr>
            <w:tcW w:w="2928" w:type="dxa"/>
            <w:hideMark/>
          </w:tcPr>
          <w:p w14:paraId="48D2D832" w14:textId="77777777" w:rsidR="009D5070" w:rsidRPr="00182ACF" w:rsidRDefault="009D5070" w:rsidP="00D73849">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Facility Name</w:t>
            </w:r>
          </w:p>
        </w:tc>
        <w:tc>
          <w:tcPr>
            <w:tcW w:w="810" w:type="dxa"/>
            <w:noWrap/>
            <w:hideMark/>
          </w:tcPr>
          <w:p w14:paraId="5BBCC536" w14:textId="77777777" w:rsidR="009D5070" w:rsidRPr="00182ACF" w:rsidRDefault="009D5070" w:rsidP="00D73849">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City and Town</w:t>
            </w:r>
          </w:p>
        </w:tc>
      </w:tr>
      <w:tr w:rsidR="009D5070" w:rsidRPr="00182ACF" w14:paraId="4A5AE92A" w14:textId="77777777" w:rsidTr="00C4692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70C80A67"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B1</w:t>
            </w:r>
          </w:p>
        </w:tc>
        <w:tc>
          <w:tcPr>
            <w:tcW w:w="2928" w:type="dxa"/>
          </w:tcPr>
          <w:p w14:paraId="4543F67F"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Hospital*</w:t>
            </w:r>
          </w:p>
        </w:tc>
        <w:tc>
          <w:tcPr>
            <w:tcW w:w="810" w:type="dxa"/>
            <w:noWrap/>
          </w:tcPr>
          <w:p w14:paraId="5B544153"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w:t>
            </w:r>
          </w:p>
        </w:tc>
      </w:tr>
      <w:tr w:rsidR="009D5070" w:rsidRPr="00182ACF" w14:paraId="56737BC4" w14:textId="77777777" w:rsidTr="00C46927">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1CAFCC33"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B2</w:t>
            </w:r>
          </w:p>
        </w:tc>
        <w:tc>
          <w:tcPr>
            <w:tcW w:w="2928" w:type="dxa"/>
          </w:tcPr>
          <w:p w14:paraId="1F396F23"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(New Location)</w:t>
            </w:r>
          </w:p>
        </w:tc>
        <w:tc>
          <w:tcPr>
            <w:tcW w:w="810" w:type="dxa"/>
            <w:noWrap/>
          </w:tcPr>
          <w:p w14:paraId="79694470"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9D5070" w:rsidRPr="00182ACF" w14:paraId="36F0624E" w14:textId="77777777" w:rsidTr="00C4692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275FEA71"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B3</w:t>
            </w:r>
          </w:p>
        </w:tc>
        <w:tc>
          <w:tcPr>
            <w:tcW w:w="2928" w:type="dxa"/>
          </w:tcPr>
          <w:p w14:paraId="25B1BB88"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(Current Location)</w:t>
            </w:r>
          </w:p>
        </w:tc>
        <w:tc>
          <w:tcPr>
            <w:tcW w:w="810" w:type="dxa"/>
            <w:noWrap/>
          </w:tcPr>
          <w:p w14:paraId="2E741903"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9D5070" w:rsidRPr="00182ACF" w14:paraId="57DF38D9" w14:textId="77777777" w:rsidTr="00C46927">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3EF8187D"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B4</w:t>
            </w:r>
          </w:p>
        </w:tc>
        <w:tc>
          <w:tcPr>
            <w:tcW w:w="2928" w:type="dxa"/>
          </w:tcPr>
          <w:p w14:paraId="4ED03832"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Waltham</w:t>
            </w:r>
          </w:p>
        </w:tc>
        <w:tc>
          <w:tcPr>
            <w:tcW w:w="810" w:type="dxa"/>
            <w:noWrap/>
          </w:tcPr>
          <w:p w14:paraId="2508A644"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Waltham</w:t>
            </w:r>
          </w:p>
        </w:tc>
      </w:tr>
      <w:tr w:rsidR="009D5070" w:rsidRPr="00182ACF" w14:paraId="2567A818" w14:textId="77777777" w:rsidTr="00C4692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2994B4E0"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B5</w:t>
            </w:r>
          </w:p>
        </w:tc>
        <w:tc>
          <w:tcPr>
            <w:tcW w:w="2928" w:type="dxa"/>
          </w:tcPr>
          <w:p w14:paraId="48EBB943"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Needham</w:t>
            </w:r>
          </w:p>
        </w:tc>
        <w:tc>
          <w:tcPr>
            <w:tcW w:w="810" w:type="dxa"/>
            <w:noWrap/>
          </w:tcPr>
          <w:p w14:paraId="162F088C"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Needham</w:t>
            </w:r>
          </w:p>
        </w:tc>
      </w:tr>
      <w:tr w:rsidR="009D5070" w:rsidRPr="00182ACF" w14:paraId="000A075D" w14:textId="77777777" w:rsidTr="00C46927">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14A87444"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B6</w:t>
            </w:r>
          </w:p>
        </w:tc>
        <w:tc>
          <w:tcPr>
            <w:tcW w:w="2928" w:type="dxa"/>
          </w:tcPr>
          <w:p w14:paraId="1D811C7D"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Brookline</w:t>
            </w:r>
          </w:p>
        </w:tc>
        <w:tc>
          <w:tcPr>
            <w:tcW w:w="810" w:type="dxa"/>
            <w:noWrap/>
          </w:tcPr>
          <w:p w14:paraId="7D2E9B55"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Brookline</w:t>
            </w:r>
          </w:p>
        </w:tc>
      </w:tr>
      <w:tr w:rsidR="009D5070" w:rsidRPr="00182ACF" w14:paraId="18FAC710" w14:textId="77777777" w:rsidTr="00C4692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1BC93B73"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B7</w:t>
            </w:r>
          </w:p>
        </w:tc>
        <w:tc>
          <w:tcPr>
            <w:tcW w:w="2928" w:type="dxa"/>
          </w:tcPr>
          <w:p w14:paraId="11FA7B41"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Lexington</w:t>
            </w:r>
          </w:p>
        </w:tc>
        <w:tc>
          <w:tcPr>
            <w:tcW w:w="810" w:type="dxa"/>
            <w:noWrap/>
          </w:tcPr>
          <w:p w14:paraId="515730DF"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Lexington</w:t>
            </w:r>
          </w:p>
        </w:tc>
      </w:tr>
      <w:tr w:rsidR="009D5070" w:rsidRPr="00182ACF" w14:paraId="26B21958" w14:textId="77777777" w:rsidTr="00C46927">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67B36170"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B8</w:t>
            </w:r>
          </w:p>
        </w:tc>
        <w:tc>
          <w:tcPr>
            <w:tcW w:w="2928" w:type="dxa"/>
          </w:tcPr>
          <w:p w14:paraId="67AE0178"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Peabody</w:t>
            </w:r>
          </w:p>
        </w:tc>
        <w:tc>
          <w:tcPr>
            <w:tcW w:w="810" w:type="dxa"/>
            <w:noWrap/>
          </w:tcPr>
          <w:p w14:paraId="197B3522"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Peabody</w:t>
            </w:r>
          </w:p>
        </w:tc>
      </w:tr>
      <w:tr w:rsidR="009D5070" w:rsidRPr="00182ACF" w14:paraId="12469267" w14:textId="77777777" w:rsidTr="00C4692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1982FD18"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B9</w:t>
            </w:r>
          </w:p>
        </w:tc>
        <w:tc>
          <w:tcPr>
            <w:tcW w:w="2928" w:type="dxa"/>
          </w:tcPr>
          <w:p w14:paraId="51343711"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North Dartmouth</w:t>
            </w:r>
          </w:p>
        </w:tc>
        <w:tc>
          <w:tcPr>
            <w:tcW w:w="810" w:type="dxa"/>
            <w:noWrap/>
          </w:tcPr>
          <w:p w14:paraId="5B316D9A"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Dartmouth</w:t>
            </w:r>
          </w:p>
        </w:tc>
      </w:tr>
    </w:tbl>
    <w:p w14:paraId="282DE7A8" w14:textId="22086CA2" w:rsidR="00535662" w:rsidRDefault="006F7F44" w:rsidP="006F7F44">
      <w:pPr>
        <w:numPr>
          <w:ilvl w:val="0"/>
          <w:numId w:val="0"/>
        </w:numPr>
        <w:ind w:left="450"/>
        <w:jc w:val="left"/>
      </w:pPr>
      <w:r>
        <w:rPr>
          <w:noProof/>
        </w:rPr>
        <w:drawing>
          <wp:inline distT="0" distB="0" distL="0" distR="0" wp14:anchorId="00E5A7E9" wp14:editId="7A9D0426">
            <wp:extent cx="2715433" cy="1920240"/>
            <wp:effectExtent l="0" t="0" r="8890" b="3810"/>
            <wp:docPr id="12" name="Picture 12" descr="Map of Eastern Massachusetts, from Worcester to Boston. Symbols of multiple colors indicate Massachusetts health systems, and light green coloring on map indicates Weymouth service area for imaging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of Eastern Massachusetts, from Worcester to Boston. Symbols of multiple colors indicate Massachusetts health systems, and light green coloring on map indicates Weymouth service area for imaging with 75% PSA"/>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15433" cy="1920240"/>
                    </a:xfrm>
                    <a:prstGeom prst="rect">
                      <a:avLst/>
                    </a:prstGeom>
                    <a:noFill/>
                    <a:ln>
                      <a:noFill/>
                    </a:ln>
                  </pic:spPr>
                </pic:pic>
              </a:graphicData>
            </a:graphic>
          </wp:inline>
        </w:drawing>
      </w:r>
    </w:p>
    <w:p w14:paraId="40E7088A" w14:textId="77777777" w:rsidR="006F7F44" w:rsidRDefault="006F7F44" w:rsidP="00BE32C9">
      <w:pPr>
        <w:pStyle w:val="Caption"/>
      </w:pPr>
      <w:bookmarkStart w:id="103" w:name="_Ref105789888"/>
    </w:p>
    <w:p w14:paraId="041CD939" w14:textId="4B561817" w:rsidR="00535662" w:rsidRDefault="00535662" w:rsidP="00BE32C9">
      <w:pPr>
        <w:pStyle w:val="Caption"/>
      </w:pPr>
      <w:bookmarkStart w:id="104" w:name="_Toc109901096"/>
      <w:r w:rsidRPr="00093632">
        <w:t xml:space="preserve">Figure </w:t>
      </w:r>
      <w:fldSimple w:instr=" SEQ Figure \* ARABIC ">
        <w:r w:rsidR="00CE7C62">
          <w:rPr>
            <w:noProof/>
          </w:rPr>
          <w:t>11</w:t>
        </w:r>
      </w:fldSimple>
      <w:bookmarkEnd w:id="103"/>
      <w:r>
        <w:t>: Weymouth Service Area, MRI</w:t>
      </w:r>
      <w:bookmarkEnd w:id="104"/>
    </w:p>
    <w:tbl>
      <w:tblPr>
        <w:tblStyle w:val="GridTable4-Accent1"/>
        <w:tblpPr w:leftFromText="180" w:rightFromText="180" w:vertAnchor="text" w:horzAnchor="margin" w:tblpXSpec="right" w:tblpY="177"/>
        <w:tblW w:w="0" w:type="auto"/>
        <w:tblLook w:val="04A0" w:firstRow="1" w:lastRow="0" w:firstColumn="1" w:lastColumn="0" w:noHBand="0" w:noVBand="1"/>
      </w:tblPr>
      <w:tblGrid>
        <w:gridCol w:w="667"/>
        <w:gridCol w:w="2928"/>
        <w:gridCol w:w="810"/>
      </w:tblGrid>
      <w:tr w:rsidR="009D5070" w:rsidRPr="00182ACF" w14:paraId="1B1D41F0" w14:textId="77777777" w:rsidTr="00DB63EA">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67" w:type="dxa"/>
          </w:tcPr>
          <w:p w14:paraId="46FA99C2"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Facility Code</w:t>
            </w:r>
          </w:p>
        </w:tc>
        <w:tc>
          <w:tcPr>
            <w:tcW w:w="2928" w:type="dxa"/>
            <w:hideMark/>
          </w:tcPr>
          <w:p w14:paraId="16E973FB" w14:textId="77777777" w:rsidR="009D5070" w:rsidRPr="00182ACF" w:rsidRDefault="009D5070" w:rsidP="00D73849">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Facility Name</w:t>
            </w:r>
          </w:p>
        </w:tc>
        <w:tc>
          <w:tcPr>
            <w:tcW w:w="810" w:type="dxa"/>
            <w:noWrap/>
            <w:hideMark/>
          </w:tcPr>
          <w:p w14:paraId="1513291F" w14:textId="77777777" w:rsidR="009D5070" w:rsidRPr="00182ACF" w:rsidRDefault="009D5070" w:rsidP="00D73849">
            <w:pPr>
              <w:pStyle w:val="BodyText"/>
              <w:spacing w:before="0"/>
              <w:cnfStyle w:val="100000000000" w:firstRow="1"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City and Town</w:t>
            </w:r>
          </w:p>
        </w:tc>
      </w:tr>
      <w:tr w:rsidR="009D5070" w:rsidRPr="00182ACF" w14:paraId="4859DDAA" w14:textId="77777777" w:rsidTr="00DB63E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4C774617"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B1</w:t>
            </w:r>
          </w:p>
        </w:tc>
        <w:tc>
          <w:tcPr>
            <w:tcW w:w="2928" w:type="dxa"/>
          </w:tcPr>
          <w:p w14:paraId="16C8B926"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Hospital*</w:t>
            </w:r>
          </w:p>
        </w:tc>
        <w:tc>
          <w:tcPr>
            <w:tcW w:w="810" w:type="dxa"/>
            <w:noWrap/>
          </w:tcPr>
          <w:p w14:paraId="2D73A3A6"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w:t>
            </w:r>
          </w:p>
        </w:tc>
      </w:tr>
      <w:tr w:rsidR="009D5070" w:rsidRPr="00182ACF" w14:paraId="558D54F7" w14:textId="77777777" w:rsidTr="00DB63EA">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3A998BBD"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B2</w:t>
            </w:r>
          </w:p>
        </w:tc>
        <w:tc>
          <w:tcPr>
            <w:tcW w:w="2928" w:type="dxa"/>
          </w:tcPr>
          <w:p w14:paraId="2F92A85B"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(New Location)</w:t>
            </w:r>
          </w:p>
        </w:tc>
        <w:tc>
          <w:tcPr>
            <w:tcW w:w="810" w:type="dxa"/>
            <w:noWrap/>
          </w:tcPr>
          <w:p w14:paraId="2851649B"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9D5070" w:rsidRPr="00182ACF" w14:paraId="64964142" w14:textId="77777777" w:rsidTr="00DB63E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2A016C96"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B3</w:t>
            </w:r>
          </w:p>
        </w:tc>
        <w:tc>
          <w:tcPr>
            <w:tcW w:w="2928" w:type="dxa"/>
          </w:tcPr>
          <w:p w14:paraId="13AF7CB4"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Weymouth (Current Location)</w:t>
            </w:r>
          </w:p>
        </w:tc>
        <w:tc>
          <w:tcPr>
            <w:tcW w:w="810" w:type="dxa"/>
            <w:noWrap/>
          </w:tcPr>
          <w:p w14:paraId="4E4FC06F"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Weymouth</w:t>
            </w:r>
          </w:p>
        </w:tc>
      </w:tr>
      <w:tr w:rsidR="009D5070" w:rsidRPr="00182ACF" w14:paraId="7E2C67F2" w14:textId="77777777" w:rsidTr="00DB63EA">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73526022"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B4</w:t>
            </w:r>
          </w:p>
        </w:tc>
        <w:tc>
          <w:tcPr>
            <w:tcW w:w="2928" w:type="dxa"/>
          </w:tcPr>
          <w:p w14:paraId="3A3EEC6B"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Waltham</w:t>
            </w:r>
          </w:p>
        </w:tc>
        <w:tc>
          <w:tcPr>
            <w:tcW w:w="810" w:type="dxa"/>
            <w:noWrap/>
          </w:tcPr>
          <w:p w14:paraId="1B008649"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Waltham</w:t>
            </w:r>
          </w:p>
        </w:tc>
      </w:tr>
      <w:tr w:rsidR="009D5070" w:rsidRPr="00182ACF" w14:paraId="233DC20A" w14:textId="77777777" w:rsidTr="00DB63E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089CAF6B"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B5</w:t>
            </w:r>
          </w:p>
        </w:tc>
        <w:tc>
          <w:tcPr>
            <w:tcW w:w="2928" w:type="dxa"/>
          </w:tcPr>
          <w:p w14:paraId="7E026320"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Needham</w:t>
            </w:r>
          </w:p>
        </w:tc>
        <w:tc>
          <w:tcPr>
            <w:tcW w:w="810" w:type="dxa"/>
            <w:noWrap/>
          </w:tcPr>
          <w:p w14:paraId="3CA1B8DD"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Needham</w:t>
            </w:r>
          </w:p>
        </w:tc>
      </w:tr>
      <w:tr w:rsidR="009D5070" w:rsidRPr="00182ACF" w14:paraId="7A69EF73" w14:textId="77777777" w:rsidTr="00DB63EA">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1349C59D"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B6</w:t>
            </w:r>
          </w:p>
        </w:tc>
        <w:tc>
          <w:tcPr>
            <w:tcW w:w="2928" w:type="dxa"/>
          </w:tcPr>
          <w:p w14:paraId="102ED28F"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Brookline</w:t>
            </w:r>
          </w:p>
        </w:tc>
        <w:tc>
          <w:tcPr>
            <w:tcW w:w="810" w:type="dxa"/>
            <w:noWrap/>
          </w:tcPr>
          <w:p w14:paraId="6F50661A"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Brookline</w:t>
            </w:r>
          </w:p>
        </w:tc>
      </w:tr>
      <w:tr w:rsidR="009D5070" w:rsidRPr="00182ACF" w14:paraId="07FFA0A8" w14:textId="77777777" w:rsidTr="00DB63E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4D14004B"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B7</w:t>
            </w:r>
          </w:p>
        </w:tc>
        <w:tc>
          <w:tcPr>
            <w:tcW w:w="2928" w:type="dxa"/>
          </w:tcPr>
          <w:p w14:paraId="135C1E48"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Lexington</w:t>
            </w:r>
          </w:p>
        </w:tc>
        <w:tc>
          <w:tcPr>
            <w:tcW w:w="810" w:type="dxa"/>
            <w:noWrap/>
          </w:tcPr>
          <w:p w14:paraId="50026C40"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Lexington</w:t>
            </w:r>
          </w:p>
        </w:tc>
      </w:tr>
      <w:tr w:rsidR="009D5070" w:rsidRPr="00182ACF" w14:paraId="10CC182C" w14:textId="77777777" w:rsidTr="00DB63EA">
        <w:trPr>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74C2F27E"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B8</w:t>
            </w:r>
          </w:p>
        </w:tc>
        <w:tc>
          <w:tcPr>
            <w:tcW w:w="2928" w:type="dxa"/>
          </w:tcPr>
          <w:p w14:paraId="75DDC514"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Peabody</w:t>
            </w:r>
          </w:p>
        </w:tc>
        <w:tc>
          <w:tcPr>
            <w:tcW w:w="810" w:type="dxa"/>
            <w:noWrap/>
          </w:tcPr>
          <w:p w14:paraId="57DE9377" w14:textId="77777777" w:rsidR="009D5070" w:rsidRPr="00182ACF" w:rsidRDefault="009D5070" w:rsidP="00D73849">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EastAsia"/>
                <w:sz w:val="13"/>
                <w:szCs w:val="13"/>
              </w:rPr>
            </w:pPr>
            <w:r w:rsidRPr="00182ACF">
              <w:rPr>
                <w:rFonts w:eastAsiaTheme="minorEastAsia"/>
                <w:sz w:val="13"/>
                <w:szCs w:val="13"/>
              </w:rPr>
              <w:t>Peabody</w:t>
            </w:r>
          </w:p>
        </w:tc>
      </w:tr>
      <w:tr w:rsidR="009D5070" w:rsidRPr="00182ACF" w14:paraId="28AB2B3A" w14:textId="77777777" w:rsidTr="00DB63E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67" w:type="dxa"/>
          </w:tcPr>
          <w:p w14:paraId="00C7FE98" w14:textId="77777777" w:rsidR="009D5070" w:rsidRPr="00182ACF" w:rsidRDefault="009D5070" w:rsidP="00D73849">
            <w:pPr>
              <w:pStyle w:val="BodyText"/>
              <w:spacing w:before="0"/>
              <w:rPr>
                <w:rFonts w:eastAsiaTheme="minorEastAsia"/>
                <w:sz w:val="13"/>
                <w:szCs w:val="13"/>
              </w:rPr>
            </w:pPr>
            <w:r w:rsidRPr="00182ACF">
              <w:rPr>
                <w:rFonts w:eastAsiaTheme="minorEastAsia"/>
                <w:sz w:val="13"/>
                <w:szCs w:val="13"/>
              </w:rPr>
              <w:t>B9</w:t>
            </w:r>
          </w:p>
        </w:tc>
        <w:tc>
          <w:tcPr>
            <w:tcW w:w="2928" w:type="dxa"/>
          </w:tcPr>
          <w:p w14:paraId="137EBFF3"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Boston Children’s at North Dartmouth</w:t>
            </w:r>
          </w:p>
        </w:tc>
        <w:tc>
          <w:tcPr>
            <w:tcW w:w="810" w:type="dxa"/>
            <w:noWrap/>
          </w:tcPr>
          <w:p w14:paraId="00967FA2" w14:textId="77777777" w:rsidR="009D5070" w:rsidRPr="00182ACF" w:rsidRDefault="009D5070" w:rsidP="00D73849">
            <w:pPr>
              <w:pStyle w:val="BodyText"/>
              <w:spacing w:before="0"/>
              <w:cnfStyle w:val="000000100000" w:firstRow="0" w:lastRow="0" w:firstColumn="0" w:lastColumn="0" w:oddVBand="0" w:evenVBand="0" w:oddHBand="1" w:evenHBand="0" w:firstRowFirstColumn="0" w:firstRowLastColumn="0" w:lastRowFirstColumn="0" w:lastRowLastColumn="0"/>
              <w:rPr>
                <w:rFonts w:eastAsiaTheme="minorEastAsia"/>
                <w:sz w:val="13"/>
                <w:szCs w:val="13"/>
              </w:rPr>
            </w:pPr>
            <w:r w:rsidRPr="00182ACF">
              <w:rPr>
                <w:rFonts w:eastAsiaTheme="minorEastAsia"/>
                <w:sz w:val="13"/>
                <w:szCs w:val="13"/>
              </w:rPr>
              <w:t>Dartmouth</w:t>
            </w:r>
          </w:p>
        </w:tc>
      </w:tr>
    </w:tbl>
    <w:p w14:paraId="61C6143B" w14:textId="5ADEB932" w:rsidR="00535662" w:rsidRPr="005E1080" w:rsidRDefault="006F7F44" w:rsidP="006F7F44">
      <w:pPr>
        <w:numPr>
          <w:ilvl w:val="0"/>
          <w:numId w:val="0"/>
        </w:numPr>
        <w:ind w:left="450"/>
        <w:jc w:val="left"/>
      </w:pPr>
      <w:r>
        <w:rPr>
          <w:noProof/>
        </w:rPr>
        <w:drawing>
          <wp:inline distT="0" distB="0" distL="0" distR="0" wp14:anchorId="35AF9F5F" wp14:editId="53017534">
            <wp:extent cx="2715439" cy="1920240"/>
            <wp:effectExtent l="0" t="0" r="8890" b="3810"/>
            <wp:docPr id="10" name="Picture 10" descr="Map of Eastern Massachusetts, from Worcester to Boston. Symbols of multiple colors indicate Massachusetts health systems, and light green coloring on map indicates Weymouth service area for MRI with 75%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Eastern Massachusetts, from Worcester to Boston. Symbols of multiple colors indicate Massachusetts health systems, and light green coloring on map indicates Weymouth service area for MRI with 75% PSA"/>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15439" cy="1920240"/>
                    </a:xfrm>
                    <a:prstGeom prst="rect">
                      <a:avLst/>
                    </a:prstGeom>
                    <a:noFill/>
                    <a:ln>
                      <a:noFill/>
                    </a:ln>
                  </pic:spPr>
                </pic:pic>
              </a:graphicData>
            </a:graphic>
          </wp:inline>
        </w:drawing>
      </w:r>
    </w:p>
    <w:p w14:paraId="1890F19D" w14:textId="77777777" w:rsidR="003F14AA" w:rsidRDefault="003F14AA" w:rsidP="00BE32C9">
      <w:pPr>
        <w:numPr>
          <w:ilvl w:val="0"/>
          <w:numId w:val="0"/>
        </w:numPr>
        <w:rPr>
          <w:rFonts w:ascii="Times New Roman Bold" w:eastAsiaTheme="majorEastAsia" w:hAnsi="Times New Roman Bold" w:cstheme="majorBidi" w:hint="eastAsia"/>
          <w:szCs w:val="32"/>
        </w:rPr>
      </w:pPr>
      <w:bookmarkStart w:id="105" w:name="_Toc106002900"/>
      <w:r>
        <w:rPr>
          <w:rFonts w:hint="eastAsia"/>
        </w:rPr>
        <w:br w:type="page"/>
      </w:r>
    </w:p>
    <w:p w14:paraId="1A90546B" w14:textId="1505BF84" w:rsidR="00D871EF" w:rsidRPr="00D705C0" w:rsidRDefault="00165D30" w:rsidP="00BE32C9">
      <w:pPr>
        <w:pStyle w:val="Heading1"/>
        <w:rPr>
          <w:rFonts w:hint="eastAsia"/>
        </w:rPr>
      </w:pPr>
      <w:bookmarkStart w:id="106" w:name="_Toc109895504"/>
      <w:r w:rsidRPr="00D705C0">
        <w:lastRenderedPageBreak/>
        <w:t>I</w:t>
      </w:r>
      <w:r w:rsidR="00D36ADC" w:rsidRPr="00D705C0">
        <w:t xml:space="preserve">dentifying and </w:t>
      </w:r>
      <w:r w:rsidR="00214BA4" w:rsidRPr="00D705C0">
        <w:t xml:space="preserve">Measuring </w:t>
      </w:r>
      <w:r w:rsidR="00D871EF" w:rsidRPr="00D705C0">
        <w:t xml:space="preserve">Current </w:t>
      </w:r>
      <w:r w:rsidR="00D36ADC" w:rsidRPr="00D705C0">
        <w:t>P</w:t>
      </w:r>
      <w:r w:rsidRPr="00D705C0">
        <w:t>ro</w:t>
      </w:r>
      <w:r w:rsidR="00D36ADC" w:rsidRPr="00D705C0">
        <w:t xml:space="preserve">viders of </w:t>
      </w:r>
      <w:r w:rsidR="00D871EF" w:rsidRPr="00D705C0">
        <w:t>Pediatric Services in Relevant Service Lines</w:t>
      </w:r>
      <w:bookmarkEnd w:id="69"/>
      <w:bookmarkEnd w:id="105"/>
      <w:bookmarkEnd w:id="106"/>
    </w:p>
    <w:p w14:paraId="49B59B55" w14:textId="0DFA6267" w:rsidR="003512FD" w:rsidRDefault="003512FD" w:rsidP="00BE32C9">
      <w:pPr>
        <w:pStyle w:val="Heading2"/>
      </w:pPr>
      <w:bookmarkStart w:id="107" w:name="_Toc106002901"/>
      <w:bookmarkStart w:id="108" w:name="_Toc109895505"/>
      <w:bookmarkStart w:id="109" w:name="_Toc94002330"/>
      <w:r w:rsidRPr="00D705C0">
        <w:t xml:space="preserve">Overview – </w:t>
      </w:r>
      <w:r w:rsidR="00D36ADC" w:rsidRPr="00D705C0">
        <w:t>S</w:t>
      </w:r>
      <w:r w:rsidRPr="00D705C0">
        <w:t xml:space="preserve">ervice </w:t>
      </w:r>
      <w:r w:rsidR="00621320" w:rsidRPr="00D705C0">
        <w:t>L</w:t>
      </w:r>
      <w:r w:rsidRPr="00D705C0">
        <w:t xml:space="preserve">ines and </w:t>
      </w:r>
      <w:r w:rsidR="00621320" w:rsidRPr="00D705C0">
        <w:t>U</w:t>
      </w:r>
      <w:r w:rsidRPr="00D705C0">
        <w:t>tilization</w:t>
      </w:r>
      <w:bookmarkEnd w:id="107"/>
      <w:bookmarkEnd w:id="108"/>
    </w:p>
    <w:p w14:paraId="599DCDFA" w14:textId="0D2F8E1D" w:rsidR="00A5584E" w:rsidRPr="00A5584E" w:rsidRDefault="00B8561B" w:rsidP="00BE32C9">
      <w:r>
        <w:t xml:space="preserve">This section provides detailed analysis of the providers for each of the relevant service lines, and measures of their utilization by patients in regions or service areas. These </w:t>
      </w:r>
      <w:r w:rsidR="00DF3156">
        <w:t>apply standard methodologies and a</w:t>
      </w:r>
      <w:r>
        <w:t xml:space="preserve"> standard basis for estimating shares based on volumes in </w:t>
      </w:r>
      <w:r w:rsidR="002A00D6">
        <w:t>a</w:t>
      </w:r>
      <w:r>
        <w:t xml:space="preserve"> geography and by provider (or health system).</w:t>
      </w:r>
    </w:p>
    <w:p w14:paraId="6CAB6261" w14:textId="0F5971D0" w:rsidR="00214BA4" w:rsidRPr="00D705C0" w:rsidRDefault="00D36ADC" w:rsidP="00BE32C9">
      <w:pPr>
        <w:pStyle w:val="Heading2"/>
      </w:pPr>
      <w:bookmarkStart w:id="110" w:name="_Toc106002902"/>
      <w:bookmarkStart w:id="111" w:name="_Toc109895506"/>
      <w:r w:rsidRPr="00D705C0">
        <w:t xml:space="preserve">Identifying and </w:t>
      </w:r>
      <w:r w:rsidR="00214BA4" w:rsidRPr="00D705C0">
        <w:t xml:space="preserve">Measuring Current </w:t>
      </w:r>
      <w:r w:rsidR="000732CF" w:rsidRPr="00D705C0">
        <w:t xml:space="preserve">Providers </w:t>
      </w:r>
      <w:r w:rsidR="00706023" w:rsidRPr="00D705C0">
        <w:t>– Shares</w:t>
      </w:r>
      <w:bookmarkEnd w:id="109"/>
      <w:r w:rsidR="003512FD" w:rsidRPr="00D705C0">
        <w:t xml:space="preserve"> in State/Service Areas</w:t>
      </w:r>
      <w:bookmarkEnd w:id="110"/>
      <w:bookmarkEnd w:id="111"/>
    </w:p>
    <w:p w14:paraId="798FA910" w14:textId="60CEFEA1" w:rsidR="00BD215C" w:rsidRPr="00C9626D" w:rsidRDefault="00B8561B" w:rsidP="00BE32C9">
      <w:r>
        <w:t xml:space="preserve">FTI worked extensively with the CHIA data and information on licensed facilities or other sources to identify specific providers of the relevant services. The Appendix provides a detailed summary of the process used to develop as much specific information as possible on the providers, including particularly the health system providers with children’s hospitals </w:t>
      </w:r>
      <w:r w:rsidR="009C486F">
        <w:t xml:space="preserve">and pediatric facilities </w:t>
      </w:r>
      <w:r>
        <w:t xml:space="preserve">and </w:t>
      </w:r>
      <w:r w:rsidRPr="00C9626D">
        <w:t>satellites.</w:t>
      </w:r>
      <w:bookmarkStart w:id="112" w:name="_Toc106002903"/>
    </w:p>
    <w:p w14:paraId="4E1D8188" w14:textId="45BDCA31" w:rsidR="003E4BDD" w:rsidRDefault="00D35B95" w:rsidP="00BE32C9">
      <w:r w:rsidRPr="00C9626D">
        <w:fldChar w:fldCharType="begin"/>
      </w:r>
      <w:r w:rsidRPr="00C9626D">
        <w:instrText xml:space="preserve"> REF _Ref106621891 \h </w:instrText>
      </w:r>
      <w:r w:rsidR="006A43F9" w:rsidRPr="00C9626D">
        <w:instrText xml:space="preserve"> \* MERGEFORMAT </w:instrText>
      </w:r>
      <w:r w:rsidRPr="00C9626D">
        <w:fldChar w:fldCharType="separate"/>
      </w:r>
      <w:r w:rsidR="00CE7C62">
        <w:t xml:space="preserve">Table </w:t>
      </w:r>
      <w:r w:rsidR="00CE7C62">
        <w:rPr>
          <w:noProof/>
        </w:rPr>
        <w:t>1</w:t>
      </w:r>
      <w:r w:rsidR="00CE7C62">
        <w:t xml:space="preserve">: Demographic Characteristics of Imaging and ASC Outpatient Visits for BCH and All </w:t>
      </w:r>
      <w:r w:rsidRPr="00C9626D">
        <w:fldChar w:fldCharType="end"/>
      </w:r>
      <w:r w:rsidR="00964D4F" w:rsidRPr="00C9626D">
        <w:t xml:space="preserve">shows the demographic information available for the BCH patients, and all patients within the service area under consideration for the </w:t>
      </w:r>
      <w:r w:rsidR="00D548E3">
        <w:t xml:space="preserve">Imaging and ASC outpatient </w:t>
      </w:r>
      <w:r w:rsidR="00964D4F" w:rsidRPr="00C9626D">
        <w:t xml:space="preserve">services </w:t>
      </w:r>
      <w:r w:rsidR="00D548E3">
        <w:t>assessed in this Report</w:t>
      </w:r>
      <w:r w:rsidR="00964D4F" w:rsidRPr="00C9626D">
        <w:t xml:space="preserve">. BCH patients skew </w:t>
      </w:r>
      <w:r w:rsidR="00D548E3">
        <w:t xml:space="preserve">somewhat </w:t>
      </w:r>
      <w:r w:rsidR="00964D4F" w:rsidRPr="00C9626D">
        <w:t xml:space="preserve">younger than the overall </w:t>
      </w:r>
      <w:r w:rsidR="00D548E3">
        <w:t xml:space="preserve">pediatric </w:t>
      </w:r>
      <w:r w:rsidR="00964D4F" w:rsidRPr="00C9626D">
        <w:t xml:space="preserve">patients in the area, </w:t>
      </w:r>
      <w:r w:rsidR="003E4BDD" w:rsidRPr="00C9626D">
        <w:t xml:space="preserve">and also are </w:t>
      </w:r>
      <w:r w:rsidR="00F96DC4" w:rsidRPr="00C9626D">
        <w:t xml:space="preserve">somewhat </w:t>
      </w:r>
      <w:r w:rsidR="003E4BDD" w:rsidRPr="00C9626D">
        <w:t>more likely to be insured by commercial insurance</w:t>
      </w:r>
      <w:r w:rsidR="00D548E3">
        <w:t xml:space="preserve">, although both the overall population and the BCH population have between 45-55% </w:t>
      </w:r>
      <w:r w:rsidR="003E4BDD" w:rsidRPr="00C9626D">
        <w:t>M</w:t>
      </w:r>
      <w:r w:rsidR="00B82A65">
        <w:t>assHealth/M</w:t>
      </w:r>
      <w:r w:rsidR="003E4BDD" w:rsidRPr="00C9626D">
        <w:t xml:space="preserve">edicaid. </w:t>
      </w:r>
    </w:p>
    <w:p w14:paraId="58FEB4B6" w14:textId="74C3C5B2" w:rsidR="001E5C89" w:rsidRDefault="001E5C89" w:rsidP="00BE32C9">
      <w:pPr>
        <w:pStyle w:val="Caption"/>
      </w:pPr>
      <w:bookmarkStart w:id="113" w:name="_Ref106555926"/>
      <w:bookmarkStart w:id="114" w:name="_Ref106621881"/>
      <w:bookmarkStart w:id="115" w:name="_Ref106621891"/>
      <w:bookmarkStart w:id="116" w:name="_Toc106641176"/>
      <w:bookmarkStart w:id="117" w:name="_Toc106648880"/>
      <w:bookmarkStart w:id="118" w:name="_Toc109895432"/>
      <w:r>
        <w:t xml:space="preserve">Table </w:t>
      </w:r>
      <w:fldSimple w:instr=" SEQ Table \* ARABIC ">
        <w:r w:rsidR="00CE7C62">
          <w:rPr>
            <w:noProof/>
          </w:rPr>
          <w:t>1</w:t>
        </w:r>
      </w:fldSimple>
      <w:bookmarkEnd w:id="113"/>
      <w:r>
        <w:t xml:space="preserve">: Demographic Characteristics of </w:t>
      </w:r>
      <w:r w:rsidR="009C486F">
        <w:t xml:space="preserve">Imaging and </w:t>
      </w:r>
      <w:r w:rsidR="00D97B9E">
        <w:t xml:space="preserve">ASC </w:t>
      </w:r>
      <w:r>
        <w:t xml:space="preserve">Outpatient Visits for BCH and All </w:t>
      </w:r>
      <w:bookmarkEnd w:id="114"/>
      <w:bookmarkEnd w:id="115"/>
      <w:bookmarkEnd w:id="116"/>
      <w:bookmarkEnd w:id="117"/>
      <w:r w:rsidRPr="00146650">
        <w:t>(Combined Service Area, Patient</w:t>
      </w:r>
      <w:r>
        <w:t>s</w:t>
      </w:r>
      <w:r w:rsidRPr="00146650">
        <w:t xml:space="preserve"> </w:t>
      </w:r>
      <w:r>
        <w:t xml:space="preserve">Aged </w:t>
      </w:r>
      <w:r w:rsidRPr="00146650">
        <w:t>0 – 18)</w:t>
      </w:r>
      <w:bookmarkEnd w:id="118"/>
    </w:p>
    <w:tbl>
      <w:tblPr>
        <w:tblStyle w:val="GridTable4-Accent11"/>
        <w:tblW w:w="0" w:type="auto"/>
        <w:tblLook w:val="04A0" w:firstRow="1" w:lastRow="0" w:firstColumn="1" w:lastColumn="0" w:noHBand="0" w:noVBand="1"/>
      </w:tblPr>
      <w:tblGrid>
        <w:gridCol w:w="1120"/>
        <w:gridCol w:w="1220"/>
        <w:gridCol w:w="1000"/>
        <w:gridCol w:w="960"/>
        <w:gridCol w:w="960"/>
        <w:gridCol w:w="960"/>
        <w:gridCol w:w="1150"/>
        <w:gridCol w:w="960"/>
      </w:tblGrid>
      <w:tr w:rsidR="001E5C89" w:rsidRPr="00765825" w14:paraId="17DADAD4" w14:textId="77777777" w:rsidTr="009C0E4E">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120" w:type="dxa"/>
            <w:tcBorders>
              <w:bottom w:val="single" w:sz="4" w:space="0" w:color="002060"/>
            </w:tcBorders>
            <w:noWrap/>
            <w:hideMark/>
          </w:tcPr>
          <w:p w14:paraId="3E679484" w14:textId="77777777" w:rsidR="001E5C89" w:rsidRPr="00765825" w:rsidRDefault="001E5C89" w:rsidP="00BE32C9">
            <w:pPr>
              <w:pStyle w:val="TableParagraph"/>
            </w:pPr>
          </w:p>
        </w:tc>
        <w:tc>
          <w:tcPr>
            <w:tcW w:w="1220" w:type="dxa"/>
            <w:tcBorders>
              <w:bottom w:val="single" w:sz="4" w:space="0" w:color="002060"/>
            </w:tcBorders>
            <w:noWrap/>
            <w:hideMark/>
          </w:tcPr>
          <w:p w14:paraId="26B96319" w14:textId="77777777" w:rsidR="001E5C89" w:rsidRPr="00765825" w:rsidRDefault="001E5C89" w:rsidP="00BE32C9">
            <w:pPr>
              <w:pStyle w:val="TableParagraph"/>
              <w:cnfStyle w:val="100000000000" w:firstRow="1" w:lastRow="0" w:firstColumn="0" w:lastColumn="0" w:oddVBand="0" w:evenVBand="0" w:oddHBand="0" w:evenHBand="0" w:firstRowFirstColumn="0" w:firstRowLastColumn="0" w:lastRowFirstColumn="0" w:lastRowLastColumn="0"/>
            </w:pPr>
          </w:p>
        </w:tc>
        <w:tc>
          <w:tcPr>
            <w:tcW w:w="1000" w:type="dxa"/>
            <w:tcBorders>
              <w:bottom w:val="single" w:sz="4" w:space="0" w:color="002060"/>
            </w:tcBorders>
            <w:noWrap/>
            <w:hideMark/>
          </w:tcPr>
          <w:p w14:paraId="311B7313" w14:textId="77777777" w:rsidR="001E5C89" w:rsidRPr="00765825" w:rsidRDefault="001E5C89" w:rsidP="00BE32C9">
            <w:pPr>
              <w:pStyle w:val="TableParagraph"/>
              <w:cnfStyle w:val="100000000000" w:firstRow="1" w:lastRow="0" w:firstColumn="0" w:lastColumn="0" w:oddVBand="0" w:evenVBand="0" w:oddHBand="0" w:evenHBand="0" w:firstRowFirstColumn="0" w:firstRowLastColumn="0" w:lastRowFirstColumn="0" w:lastRowLastColumn="0"/>
            </w:pPr>
            <w:r w:rsidRPr="00765825">
              <w:t>BCH Visits</w:t>
            </w:r>
          </w:p>
        </w:tc>
        <w:tc>
          <w:tcPr>
            <w:tcW w:w="960" w:type="dxa"/>
            <w:tcBorders>
              <w:bottom w:val="single" w:sz="4" w:space="0" w:color="002060"/>
            </w:tcBorders>
            <w:noWrap/>
            <w:hideMark/>
          </w:tcPr>
          <w:p w14:paraId="051A7433" w14:textId="77777777" w:rsidR="001E5C89" w:rsidRPr="00765825" w:rsidRDefault="001E5C89" w:rsidP="00BE32C9">
            <w:pPr>
              <w:pStyle w:val="TableParagraph"/>
              <w:cnfStyle w:val="100000000000" w:firstRow="1" w:lastRow="0" w:firstColumn="0" w:lastColumn="0" w:oddVBand="0" w:evenVBand="0" w:oddHBand="0" w:evenHBand="0" w:firstRowFirstColumn="0" w:firstRowLastColumn="0" w:lastRowFirstColumn="0" w:lastRowLastColumn="0"/>
            </w:pPr>
            <w:r w:rsidRPr="00765825">
              <w:t>%</w:t>
            </w:r>
          </w:p>
        </w:tc>
        <w:tc>
          <w:tcPr>
            <w:tcW w:w="960" w:type="dxa"/>
            <w:tcBorders>
              <w:bottom w:val="single" w:sz="4" w:space="0" w:color="002060"/>
            </w:tcBorders>
            <w:noWrap/>
            <w:hideMark/>
          </w:tcPr>
          <w:p w14:paraId="62E88943" w14:textId="77777777" w:rsidR="001E5C89" w:rsidRPr="00765825" w:rsidRDefault="001E5C89" w:rsidP="00BE32C9">
            <w:pPr>
              <w:pStyle w:val="TableParagraph"/>
              <w:cnfStyle w:val="100000000000" w:firstRow="1" w:lastRow="0" w:firstColumn="0" w:lastColumn="0" w:oddVBand="0" w:evenVBand="0" w:oddHBand="0" w:evenHBand="0" w:firstRowFirstColumn="0" w:firstRowLastColumn="0" w:lastRowFirstColumn="0" w:lastRowLastColumn="0"/>
            </w:pPr>
            <w:r w:rsidRPr="00765825">
              <w:t>BCH Visits in Service Area</w:t>
            </w:r>
          </w:p>
        </w:tc>
        <w:tc>
          <w:tcPr>
            <w:tcW w:w="960" w:type="dxa"/>
            <w:tcBorders>
              <w:bottom w:val="single" w:sz="4" w:space="0" w:color="002060"/>
            </w:tcBorders>
            <w:noWrap/>
            <w:hideMark/>
          </w:tcPr>
          <w:p w14:paraId="0DE6CD26" w14:textId="77777777" w:rsidR="001E5C89" w:rsidRPr="00765825" w:rsidRDefault="001E5C89" w:rsidP="00BE32C9">
            <w:pPr>
              <w:pStyle w:val="TableParagraph"/>
              <w:cnfStyle w:val="100000000000" w:firstRow="1" w:lastRow="0" w:firstColumn="0" w:lastColumn="0" w:oddVBand="0" w:evenVBand="0" w:oddHBand="0" w:evenHBand="0" w:firstRowFirstColumn="0" w:firstRowLastColumn="0" w:lastRowFirstColumn="0" w:lastRowLastColumn="0"/>
            </w:pPr>
            <w:r w:rsidRPr="00765825">
              <w:t>%</w:t>
            </w:r>
          </w:p>
        </w:tc>
        <w:tc>
          <w:tcPr>
            <w:tcW w:w="1150" w:type="dxa"/>
            <w:tcBorders>
              <w:bottom w:val="single" w:sz="4" w:space="0" w:color="002060"/>
            </w:tcBorders>
            <w:noWrap/>
            <w:hideMark/>
          </w:tcPr>
          <w:p w14:paraId="6A58DD4E" w14:textId="77777777" w:rsidR="001E5C89" w:rsidRPr="00765825" w:rsidRDefault="001E5C89" w:rsidP="00BE32C9">
            <w:pPr>
              <w:pStyle w:val="TableParagraph"/>
              <w:cnfStyle w:val="100000000000" w:firstRow="1" w:lastRow="0" w:firstColumn="0" w:lastColumn="0" w:oddVBand="0" w:evenVBand="0" w:oddHBand="0" w:evenHBand="0" w:firstRowFirstColumn="0" w:firstRowLastColumn="0" w:lastRowFirstColumn="0" w:lastRowLastColumn="0"/>
            </w:pPr>
            <w:r w:rsidRPr="00765825">
              <w:t>All Outpatient Visits in Service Area</w:t>
            </w:r>
          </w:p>
        </w:tc>
        <w:tc>
          <w:tcPr>
            <w:tcW w:w="960" w:type="dxa"/>
            <w:tcBorders>
              <w:bottom w:val="single" w:sz="4" w:space="0" w:color="002060"/>
            </w:tcBorders>
            <w:noWrap/>
            <w:hideMark/>
          </w:tcPr>
          <w:p w14:paraId="6E2EE382" w14:textId="77777777" w:rsidR="001E5C89" w:rsidRPr="00765825" w:rsidRDefault="001E5C89" w:rsidP="00BE32C9">
            <w:pPr>
              <w:pStyle w:val="TableParagraph"/>
              <w:cnfStyle w:val="100000000000" w:firstRow="1" w:lastRow="0" w:firstColumn="0" w:lastColumn="0" w:oddVBand="0" w:evenVBand="0" w:oddHBand="0" w:evenHBand="0" w:firstRowFirstColumn="0" w:firstRowLastColumn="0" w:lastRowFirstColumn="0" w:lastRowLastColumn="0"/>
            </w:pPr>
            <w:r w:rsidRPr="00765825">
              <w:t>%</w:t>
            </w:r>
          </w:p>
        </w:tc>
      </w:tr>
      <w:tr w:rsidR="00946304" w:rsidRPr="00765825" w14:paraId="6FBD6AA1" w14:textId="77777777" w:rsidTr="009C0E4E">
        <w:trPr>
          <w:cantSplit/>
          <w:trHeight w:val="144"/>
        </w:trPr>
        <w:tc>
          <w:tcPr>
            <w:cnfStyle w:val="001000000000" w:firstRow="0" w:lastRow="0" w:firstColumn="1" w:lastColumn="0" w:oddVBand="0" w:evenVBand="0" w:oddHBand="0" w:evenHBand="0" w:firstRowFirstColumn="0" w:firstRowLastColumn="0" w:lastRowFirstColumn="0" w:lastRowLastColumn="0"/>
            <w:tcW w:w="0" w:type="dxa"/>
            <w:vMerge w:val="restart"/>
            <w:tcBorders>
              <w:bottom w:val="single" w:sz="12" w:space="0" w:color="002060"/>
            </w:tcBorders>
            <w:noWrap/>
            <w:hideMark/>
          </w:tcPr>
          <w:p w14:paraId="4209C05F" w14:textId="77777777" w:rsidR="00FC1162" w:rsidRPr="00765825" w:rsidRDefault="00FC1162" w:rsidP="00BE32C9">
            <w:pPr>
              <w:pStyle w:val="TableParagraph"/>
            </w:pPr>
            <w:r>
              <w:t>Age</w:t>
            </w:r>
          </w:p>
        </w:tc>
        <w:tc>
          <w:tcPr>
            <w:tcW w:w="0" w:type="dxa"/>
            <w:tcBorders>
              <w:bottom w:val="single" w:sz="4" w:space="0" w:color="002060"/>
            </w:tcBorders>
            <w:noWrap/>
            <w:vAlign w:val="top"/>
            <w:hideMark/>
          </w:tcPr>
          <w:p w14:paraId="0B25CFB0" w14:textId="24CFF93A"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0-5</w:t>
            </w:r>
          </w:p>
        </w:tc>
        <w:tc>
          <w:tcPr>
            <w:tcW w:w="0" w:type="dxa"/>
            <w:tcBorders>
              <w:bottom w:val="single" w:sz="4" w:space="0" w:color="002060"/>
            </w:tcBorders>
            <w:noWrap/>
            <w:vAlign w:val="top"/>
            <w:hideMark/>
          </w:tcPr>
          <w:p w14:paraId="449D37E1" w14:textId="5CB589CA"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 xml:space="preserve"> 43,646 </w:t>
            </w:r>
          </w:p>
        </w:tc>
        <w:tc>
          <w:tcPr>
            <w:tcW w:w="0" w:type="dxa"/>
            <w:tcBorders>
              <w:bottom w:val="single" w:sz="4" w:space="0" w:color="002060"/>
              <w:right w:val="dotted" w:sz="4" w:space="0" w:color="002060"/>
            </w:tcBorders>
            <w:noWrap/>
            <w:vAlign w:val="top"/>
            <w:hideMark/>
          </w:tcPr>
          <w:p w14:paraId="5E757B44" w14:textId="6BFDE2B9"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31%</w:t>
            </w:r>
          </w:p>
        </w:tc>
        <w:tc>
          <w:tcPr>
            <w:tcW w:w="0" w:type="dxa"/>
            <w:tcBorders>
              <w:left w:val="dotted" w:sz="4" w:space="0" w:color="002060"/>
              <w:bottom w:val="single" w:sz="4" w:space="0" w:color="002060"/>
            </w:tcBorders>
            <w:noWrap/>
            <w:vAlign w:val="top"/>
            <w:hideMark/>
          </w:tcPr>
          <w:p w14:paraId="5C06D94F" w14:textId="5CF2D070"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 xml:space="preserve"> 31,049 </w:t>
            </w:r>
          </w:p>
        </w:tc>
        <w:tc>
          <w:tcPr>
            <w:tcW w:w="0" w:type="dxa"/>
            <w:tcBorders>
              <w:bottom w:val="single" w:sz="4" w:space="0" w:color="002060"/>
              <w:right w:val="dotted" w:sz="4" w:space="0" w:color="002060"/>
            </w:tcBorders>
            <w:noWrap/>
            <w:vAlign w:val="top"/>
            <w:hideMark/>
          </w:tcPr>
          <w:p w14:paraId="0DCBA456" w14:textId="4C8D2F87"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30%</w:t>
            </w:r>
          </w:p>
        </w:tc>
        <w:tc>
          <w:tcPr>
            <w:tcW w:w="0" w:type="dxa"/>
            <w:tcBorders>
              <w:left w:val="dotted" w:sz="4" w:space="0" w:color="002060"/>
              <w:bottom w:val="single" w:sz="4" w:space="0" w:color="002060"/>
            </w:tcBorders>
            <w:noWrap/>
            <w:vAlign w:val="top"/>
            <w:hideMark/>
          </w:tcPr>
          <w:p w14:paraId="586C3BA7" w14:textId="493E9DAD"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 xml:space="preserve"> 132,541 </w:t>
            </w:r>
          </w:p>
        </w:tc>
        <w:tc>
          <w:tcPr>
            <w:tcW w:w="0" w:type="dxa"/>
            <w:tcBorders>
              <w:bottom w:val="single" w:sz="4" w:space="0" w:color="002060"/>
            </w:tcBorders>
            <w:noWrap/>
            <w:vAlign w:val="top"/>
            <w:hideMark/>
          </w:tcPr>
          <w:p w14:paraId="4B39494A" w14:textId="17A810A4"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26%</w:t>
            </w:r>
          </w:p>
        </w:tc>
      </w:tr>
      <w:tr w:rsidR="00946304" w:rsidRPr="00765825" w14:paraId="214C8B3D" w14:textId="77777777" w:rsidTr="009C0E4E">
        <w:trPr>
          <w:cantSplit/>
          <w:trHeight w:val="144"/>
        </w:trPr>
        <w:tc>
          <w:tcPr>
            <w:cnfStyle w:val="001000000000" w:firstRow="0" w:lastRow="0" w:firstColumn="1" w:lastColumn="0" w:oddVBand="0" w:evenVBand="0" w:oddHBand="0" w:evenHBand="0" w:firstRowFirstColumn="0" w:firstRowLastColumn="0" w:lastRowFirstColumn="0" w:lastRowLastColumn="0"/>
            <w:tcW w:w="0" w:type="dxa"/>
            <w:vMerge/>
            <w:tcBorders>
              <w:bottom w:val="single" w:sz="12" w:space="0" w:color="002060"/>
            </w:tcBorders>
            <w:noWrap/>
            <w:hideMark/>
          </w:tcPr>
          <w:p w14:paraId="50B09F05" w14:textId="77777777" w:rsidR="00FC1162" w:rsidRPr="00765825" w:rsidRDefault="00FC1162" w:rsidP="00BE32C9">
            <w:pPr>
              <w:pStyle w:val="TableParagraph"/>
            </w:pPr>
          </w:p>
        </w:tc>
        <w:tc>
          <w:tcPr>
            <w:tcW w:w="0" w:type="dxa"/>
            <w:noWrap/>
            <w:vAlign w:val="top"/>
            <w:hideMark/>
          </w:tcPr>
          <w:p w14:paraId="22D15876" w14:textId="16C8BE30"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6-10</w:t>
            </w:r>
          </w:p>
        </w:tc>
        <w:tc>
          <w:tcPr>
            <w:tcW w:w="0" w:type="dxa"/>
            <w:noWrap/>
            <w:vAlign w:val="top"/>
            <w:hideMark/>
          </w:tcPr>
          <w:p w14:paraId="543B71F2" w14:textId="3EC32914"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 xml:space="preserve"> 29,260 </w:t>
            </w:r>
          </w:p>
        </w:tc>
        <w:tc>
          <w:tcPr>
            <w:tcW w:w="0" w:type="dxa"/>
            <w:tcBorders>
              <w:right w:val="dotted" w:sz="4" w:space="0" w:color="002060"/>
            </w:tcBorders>
            <w:noWrap/>
            <w:vAlign w:val="top"/>
            <w:hideMark/>
          </w:tcPr>
          <w:p w14:paraId="078F2AE8" w14:textId="3B77FB47"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21%</w:t>
            </w:r>
          </w:p>
        </w:tc>
        <w:tc>
          <w:tcPr>
            <w:tcW w:w="0" w:type="dxa"/>
            <w:tcBorders>
              <w:left w:val="dotted" w:sz="4" w:space="0" w:color="002060"/>
            </w:tcBorders>
            <w:noWrap/>
            <w:vAlign w:val="top"/>
            <w:hideMark/>
          </w:tcPr>
          <w:p w14:paraId="1A6DBF87" w14:textId="785464D1"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 xml:space="preserve"> 21,660 </w:t>
            </w:r>
          </w:p>
        </w:tc>
        <w:tc>
          <w:tcPr>
            <w:tcW w:w="0" w:type="dxa"/>
            <w:tcBorders>
              <w:right w:val="dotted" w:sz="4" w:space="0" w:color="002060"/>
            </w:tcBorders>
            <w:noWrap/>
            <w:vAlign w:val="top"/>
            <w:hideMark/>
          </w:tcPr>
          <w:p w14:paraId="7F596F30" w14:textId="6FB0B14A"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21%</w:t>
            </w:r>
          </w:p>
        </w:tc>
        <w:tc>
          <w:tcPr>
            <w:tcW w:w="0" w:type="dxa"/>
            <w:tcBorders>
              <w:left w:val="dotted" w:sz="4" w:space="0" w:color="002060"/>
            </w:tcBorders>
            <w:noWrap/>
            <w:vAlign w:val="top"/>
            <w:hideMark/>
          </w:tcPr>
          <w:p w14:paraId="250B79C7" w14:textId="36133AD0"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 xml:space="preserve"> 94,485 </w:t>
            </w:r>
          </w:p>
        </w:tc>
        <w:tc>
          <w:tcPr>
            <w:tcW w:w="0" w:type="dxa"/>
            <w:noWrap/>
            <w:vAlign w:val="top"/>
            <w:hideMark/>
          </w:tcPr>
          <w:p w14:paraId="444B8C27" w14:textId="6C55E388"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19%</w:t>
            </w:r>
          </w:p>
        </w:tc>
      </w:tr>
      <w:tr w:rsidR="00946304" w:rsidRPr="00765825" w14:paraId="2D70D095" w14:textId="77777777" w:rsidTr="009C0E4E">
        <w:trPr>
          <w:cantSplit/>
          <w:trHeight w:val="144"/>
        </w:trPr>
        <w:tc>
          <w:tcPr>
            <w:cnfStyle w:val="001000000000" w:firstRow="0" w:lastRow="0" w:firstColumn="1" w:lastColumn="0" w:oddVBand="0" w:evenVBand="0" w:oddHBand="0" w:evenHBand="0" w:firstRowFirstColumn="0" w:firstRowLastColumn="0" w:lastRowFirstColumn="0" w:lastRowLastColumn="0"/>
            <w:tcW w:w="0" w:type="dxa"/>
            <w:vMerge/>
            <w:tcBorders>
              <w:bottom w:val="single" w:sz="12" w:space="0" w:color="002060"/>
            </w:tcBorders>
            <w:noWrap/>
            <w:hideMark/>
          </w:tcPr>
          <w:p w14:paraId="10865930" w14:textId="77777777" w:rsidR="00FC1162" w:rsidRPr="00765825" w:rsidRDefault="00FC1162" w:rsidP="00BE32C9">
            <w:pPr>
              <w:pStyle w:val="TableParagraph"/>
            </w:pPr>
          </w:p>
        </w:tc>
        <w:tc>
          <w:tcPr>
            <w:tcW w:w="0" w:type="dxa"/>
            <w:noWrap/>
            <w:vAlign w:val="top"/>
            <w:hideMark/>
          </w:tcPr>
          <w:p w14:paraId="0D18387E" w14:textId="3E439AC5"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11-15</w:t>
            </w:r>
          </w:p>
        </w:tc>
        <w:tc>
          <w:tcPr>
            <w:tcW w:w="0" w:type="dxa"/>
            <w:noWrap/>
            <w:vAlign w:val="top"/>
            <w:hideMark/>
          </w:tcPr>
          <w:p w14:paraId="753BFA22" w14:textId="73418CE5"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 xml:space="preserve"> 42,515 </w:t>
            </w:r>
          </w:p>
        </w:tc>
        <w:tc>
          <w:tcPr>
            <w:tcW w:w="0" w:type="dxa"/>
            <w:tcBorders>
              <w:right w:val="dotted" w:sz="4" w:space="0" w:color="002060"/>
            </w:tcBorders>
            <w:noWrap/>
            <w:vAlign w:val="top"/>
            <w:hideMark/>
          </w:tcPr>
          <w:p w14:paraId="18F7EBAE" w14:textId="5411DC4F"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31%</w:t>
            </w:r>
          </w:p>
        </w:tc>
        <w:tc>
          <w:tcPr>
            <w:tcW w:w="0" w:type="dxa"/>
            <w:tcBorders>
              <w:left w:val="dotted" w:sz="4" w:space="0" w:color="002060"/>
            </w:tcBorders>
            <w:noWrap/>
            <w:vAlign w:val="top"/>
            <w:hideMark/>
          </w:tcPr>
          <w:p w14:paraId="7A193977" w14:textId="72914CF7"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 xml:space="preserve"> 32,294 </w:t>
            </w:r>
          </w:p>
        </w:tc>
        <w:tc>
          <w:tcPr>
            <w:tcW w:w="0" w:type="dxa"/>
            <w:tcBorders>
              <w:right w:val="dotted" w:sz="4" w:space="0" w:color="002060"/>
            </w:tcBorders>
            <w:noWrap/>
            <w:vAlign w:val="top"/>
            <w:hideMark/>
          </w:tcPr>
          <w:p w14:paraId="34BE8078" w14:textId="55BC4878"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31%</w:t>
            </w:r>
          </w:p>
        </w:tc>
        <w:tc>
          <w:tcPr>
            <w:tcW w:w="0" w:type="dxa"/>
            <w:tcBorders>
              <w:left w:val="dotted" w:sz="4" w:space="0" w:color="002060"/>
            </w:tcBorders>
            <w:noWrap/>
            <w:vAlign w:val="top"/>
            <w:hideMark/>
          </w:tcPr>
          <w:p w14:paraId="0B53475A" w14:textId="158EDE9B"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 xml:space="preserve"> 152,633 </w:t>
            </w:r>
          </w:p>
        </w:tc>
        <w:tc>
          <w:tcPr>
            <w:tcW w:w="0" w:type="dxa"/>
            <w:noWrap/>
            <w:vAlign w:val="top"/>
            <w:hideMark/>
          </w:tcPr>
          <w:p w14:paraId="14E4ED50" w14:textId="59BF866B"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30%</w:t>
            </w:r>
          </w:p>
        </w:tc>
      </w:tr>
      <w:tr w:rsidR="00946304" w:rsidRPr="00765825" w14:paraId="0AFDC1C0" w14:textId="77777777" w:rsidTr="009C0E4E">
        <w:trPr>
          <w:cantSplit/>
          <w:trHeight w:val="144"/>
        </w:trPr>
        <w:tc>
          <w:tcPr>
            <w:cnfStyle w:val="001000000000" w:firstRow="0" w:lastRow="0" w:firstColumn="1" w:lastColumn="0" w:oddVBand="0" w:evenVBand="0" w:oddHBand="0" w:evenHBand="0" w:firstRowFirstColumn="0" w:firstRowLastColumn="0" w:lastRowFirstColumn="0" w:lastRowLastColumn="0"/>
            <w:tcW w:w="0" w:type="dxa"/>
            <w:vMerge/>
            <w:tcBorders>
              <w:bottom w:val="single" w:sz="12" w:space="0" w:color="002060"/>
            </w:tcBorders>
            <w:noWrap/>
            <w:hideMark/>
          </w:tcPr>
          <w:p w14:paraId="5BFEB8A6" w14:textId="77777777" w:rsidR="00FC1162" w:rsidRPr="00765825" w:rsidRDefault="00FC1162" w:rsidP="00BE32C9">
            <w:pPr>
              <w:pStyle w:val="TableParagraph"/>
            </w:pPr>
          </w:p>
        </w:tc>
        <w:tc>
          <w:tcPr>
            <w:tcW w:w="0" w:type="dxa"/>
            <w:tcBorders>
              <w:bottom w:val="single" w:sz="12" w:space="0" w:color="002060"/>
            </w:tcBorders>
            <w:noWrap/>
            <w:vAlign w:val="top"/>
            <w:hideMark/>
          </w:tcPr>
          <w:p w14:paraId="55FE8DF2" w14:textId="54A15C62"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15-18</w:t>
            </w:r>
          </w:p>
        </w:tc>
        <w:tc>
          <w:tcPr>
            <w:tcW w:w="0" w:type="dxa"/>
            <w:tcBorders>
              <w:bottom w:val="single" w:sz="12" w:space="0" w:color="002060"/>
            </w:tcBorders>
            <w:noWrap/>
            <w:vAlign w:val="top"/>
            <w:hideMark/>
          </w:tcPr>
          <w:p w14:paraId="21986E5C" w14:textId="4211C1B9"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 xml:space="preserve"> 23,550 </w:t>
            </w:r>
          </w:p>
        </w:tc>
        <w:tc>
          <w:tcPr>
            <w:tcW w:w="0" w:type="dxa"/>
            <w:tcBorders>
              <w:bottom w:val="single" w:sz="12" w:space="0" w:color="002060"/>
              <w:right w:val="dotted" w:sz="4" w:space="0" w:color="002060"/>
            </w:tcBorders>
            <w:noWrap/>
            <w:vAlign w:val="top"/>
            <w:hideMark/>
          </w:tcPr>
          <w:p w14:paraId="6FCE730B" w14:textId="78FA4ECE"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17%</w:t>
            </w:r>
          </w:p>
        </w:tc>
        <w:tc>
          <w:tcPr>
            <w:tcW w:w="0" w:type="dxa"/>
            <w:tcBorders>
              <w:left w:val="dotted" w:sz="4" w:space="0" w:color="002060"/>
              <w:bottom w:val="single" w:sz="12" w:space="0" w:color="002060"/>
            </w:tcBorders>
            <w:noWrap/>
            <w:vAlign w:val="top"/>
            <w:hideMark/>
          </w:tcPr>
          <w:p w14:paraId="5E2072F7" w14:textId="75192AB1"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 xml:space="preserve"> 17,929 </w:t>
            </w:r>
          </w:p>
        </w:tc>
        <w:tc>
          <w:tcPr>
            <w:tcW w:w="0" w:type="dxa"/>
            <w:tcBorders>
              <w:bottom w:val="single" w:sz="12" w:space="0" w:color="002060"/>
              <w:right w:val="dotted" w:sz="4" w:space="0" w:color="002060"/>
            </w:tcBorders>
            <w:noWrap/>
            <w:vAlign w:val="top"/>
            <w:hideMark/>
          </w:tcPr>
          <w:p w14:paraId="1DE7653E" w14:textId="2D7D98B8"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17%</w:t>
            </w:r>
          </w:p>
        </w:tc>
        <w:tc>
          <w:tcPr>
            <w:tcW w:w="0" w:type="dxa"/>
            <w:tcBorders>
              <w:left w:val="dotted" w:sz="4" w:space="0" w:color="002060"/>
              <w:bottom w:val="single" w:sz="12" w:space="0" w:color="002060"/>
            </w:tcBorders>
            <w:noWrap/>
            <w:vAlign w:val="top"/>
            <w:hideMark/>
          </w:tcPr>
          <w:p w14:paraId="5123CA7F" w14:textId="4D76F000"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 xml:space="preserve"> 120,861 </w:t>
            </w:r>
          </w:p>
        </w:tc>
        <w:tc>
          <w:tcPr>
            <w:tcW w:w="0" w:type="dxa"/>
            <w:tcBorders>
              <w:bottom w:val="single" w:sz="12" w:space="0" w:color="002060"/>
            </w:tcBorders>
            <w:noWrap/>
            <w:vAlign w:val="top"/>
            <w:hideMark/>
          </w:tcPr>
          <w:p w14:paraId="651C5535" w14:textId="0B6C0E94" w:rsidR="00FC1162" w:rsidRPr="00765825" w:rsidRDefault="00FC1162" w:rsidP="00BE32C9">
            <w:pPr>
              <w:pStyle w:val="TableParagraph"/>
              <w:cnfStyle w:val="000000000000" w:firstRow="0" w:lastRow="0" w:firstColumn="0" w:lastColumn="0" w:oddVBand="0" w:evenVBand="0" w:oddHBand="0" w:evenHBand="0" w:firstRowFirstColumn="0" w:firstRowLastColumn="0" w:lastRowFirstColumn="0" w:lastRowLastColumn="0"/>
            </w:pPr>
            <w:r w:rsidRPr="0049514C">
              <w:t>24%</w:t>
            </w:r>
          </w:p>
        </w:tc>
      </w:tr>
      <w:tr w:rsidR="001E5C89" w:rsidRPr="00765825" w14:paraId="779FC1FD" w14:textId="77777777" w:rsidTr="009C0E4E">
        <w:trPr>
          <w:cantSplit/>
          <w:trHeight w:val="144"/>
        </w:trPr>
        <w:tc>
          <w:tcPr>
            <w:cnfStyle w:val="001000000000" w:firstRow="0" w:lastRow="0" w:firstColumn="1" w:lastColumn="0" w:oddVBand="0" w:evenVBand="0" w:oddHBand="0" w:evenHBand="0" w:firstRowFirstColumn="0" w:firstRowLastColumn="0" w:lastRowFirstColumn="0" w:lastRowLastColumn="0"/>
            <w:tcW w:w="1120" w:type="dxa"/>
            <w:vMerge w:val="restart"/>
            <w:tcBorders>
              <w:top w:val="single" w:sz="12" w:space="0" w:color="002060"/>
            </w:tcBorders>
            <w:noWrap/>
            <w:hideMark/>
          </w:tcPr>
          <w:p w14:paraId="43FEA104" w14:textId="77777777" w:rsidR="001E5C89" w:rsidRPr="00765825" w:rsidRDefault="001E5C89" w:rsidP="00BE32C9">
            <w:pPr>
              <w:pStyle w:val="TableParagraph"/>
            </w:pPr>
            <w:r>
              <w:t>Gender</w:t>
            </w:r>
          </w:p>
        </w:tc>
        <w:tc>
          <w:tcPr>
            <w:tcW w:w="1220" w:type="dxa"/>
            <w:tcBorders>
              <w:top w:val="single" w:sz="12" w:space="0" w:color="002060"/>
            </w:tcBorders>
            <w:noWrap/>
            <w:hideMark/>
          </w:tcPr>
          <w:p w14:paraId="1A73EE1F"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765825">
              <w:t>F</w:t>
            </w:r>
            <w:r>
              <w:t>emale</w:t>
            </w:r>
          </w:p>
        </w:tc>
        <w:tc>
          <w:tcPr>
            <w:tcW w:w="1000" w:type="dxa"/>
            <w:tcBorders>
              <w:top w:val="single" w:sz="12" w:space="0" w:color="002060"/>
            </w:tcBorders>
            <w:noWrap/>
            <w:vAlign w:val="top"/>
            <w:hideMark/>
          </w:tcPr>
          <w:p w14:paraId="6C82E2AA"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5A452E">
              <w:t xml:space="preserve"> 71,512 </w:t>
            </w:r>
          </w:p>
        </w:tc>
        <w:tc>
          <w:tcPr>
            <w:tcW w:w="960" w:type="dxa"/>
            <w:tcBorders>
              <w:top w:val="single" w:sz="12" w:space="0" w:color="002060"/>
              <w:right w:val="dotted" w:sz="4" w:space="0" w:color="002060"/>
            </w:tcBorders>
            <w:noWrap/>
            <w:vAlign w:val="top"/>
            <w:hideMark/>
          </w:tcPr>
          <w:p w14:paraId="743E97EE"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48%</w:t>
            </w:r>
          </w:p>
        </w:tc>
        <w:tc>
          <w:tcPr>
            <w:tcW w:w="960" w:type="dxa"/>
            <w:tcBorders>
              <w:top w:val="single" w:sz="12" w:space="0" w:color="002060"/>
              <w:left w:val="dotted" w:sz="4" w:space="0" w:color="002060"/>
            </w:tcBorders>
            <w:noWrap/>
            <w:vAlign w:val="top"/>
            <w:hideMark/>
          </w:tcPr>
          <w:p w14:paraId="20576F30"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 xml:space="preserve"> 52,878 </w:t>
            </w:r>
          </w:p>
        </w:tc>
        <w:tc>
          <w:tcPr>
            <w:tcW w:w="960" w:type="dxa"/>
            <w:tcBorders>
              <w:top w:val="single" w:sz="12" w:space="0" w:color="002060"/>
              <w:right w:val="dotted" w:sz="4" w:space="0" w:color="002060"/>
            </w:tcBorders>
            <w:noWrap/>
            <w:vAlign w:val="top"/>
            <w:hideMark/>
          </w:tcPr>
          <w:p w14:paraId="5551434D"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48%</w:t>
            </w:r>
          </w:p>
        </w:tc>
        <w:tc>
          <w:tcPr>
            <w:tcW w:w="1150" w:type="dxa"/>
            <w:tcBorders>
              <w:top w:val="single" w:sz="12" w:space="0" w:color="002060"/>
              <w:left w:val="dotted" w:sz="4" w:space="0" w:color="002060"/>
            </w:tcBorders>
            <w:noWrap/>
            <w:vAlign w:val="top"/>
            <w:hideMark/>
          </w:tcPr>
          <w:p w14:paraId="298FCA06"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 xml:space="preserve"> 253,520 </w:t>
            </w:r>
          </w:p>
        </w:tc>
        <w:tc>
          <w:tcPr>
            <w:tcW w:w="960" w:type="dxa"/>
            <w:tcBorders>
              <w:top w:val="single" w:sz="12" w:space="0" w:color="002060"/>
            </w:tcBorders>
            <w:noWrap/>
            <w:vAlign w:val="top"/>
            <w:hideMark/>
          </w:tcPr>
          <w:p w14:paraId="0C4614FC"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47%</w:t>
            </w:r>
          </w:p>
        </w:tc>
      </w:tr>
      <w:tr w:rsidR="001E5C89" w:rsidRPr="00765825" w14:paraId="63D32BD1" w14:textId="77777777" w:rsidTr="009C0E4E">
        <w:trPr>
          <w:cantSplit/>
          <w:trHeight w:val="144"/>
        </w:trPr>
        <w:tc>
          <w:tcPr>
            <w:cnfStyle w:val="001000000000" w:firstRow="0" w:lastRow="0" w:firstColumn="1" w:lastColumn="0" w:oddVBand="0" w:evenVBand="0" w:oddHBand="0" w:evenHBand="0" w:firstRowFirstColumn="0" w:firstRowLastColumn="0" w:lastRowFirstColumn="0" w:lastRowLastColumn="0"/>
            <w:tcW w:w="1120" w:type="dxa"/>
            <w:vMerge/>
            <w:tcBorders>
              <w:bottom w:val="single" w:sz="12" w:space="0" w:color="002060"/>
            </w:tcBorders>
            <w:noWrap/>
            <w:hideMark/>
          </w:tcPr>
          <w:p w14:paraId="46E1FAD3" w14:textId="77777777" w:rsidR="001E5C89" w:rsidRPr="00765825" w:rsidRDefault="001E5C89" w:rsidP="00BE32C9">
            <w:pPr>
              <w:pStyle w:val="TableParagraph"/>
            </w:pPr>
          </w:p>
        </w:tc>
        <w:tc>
          <w:tcPr>
            <w:tcW w:w="1220" w:type="dxa"/>
            <w:tcBorders>
              <w:bottom w:val="single" w:sz="12" w:space="0" w:color="002060"/>
            </w:tcBorders>
            <w:noWrap/>
            <w:hideMark/>
          </w:tcPr>
          <w:p w14:paraId="66604A7D"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765825">
              <w:t>M</w:t>
            </w:r>
            <w:r>
              <w:t>ale</w:t>
            </w:r>
          </w:p>
        </w:tc>
        <w:tc>
          <w:tcPr>
            <w:tcW w:w="1000" w:type="dxa"/>
            <w:tcBorders>
              <w:bottom w:val="single" w:sz="12" w:space="0" w:color="002060"/>
            </w:tcBorders>
            <w:noWrap/>
            <w:vAlign w:val="top"/>
            <w:hideMark/>
          </w:tcPr>
          <w:p w14:paraId="17169573"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5A452E">
              <w:t xml:space="preserve"> 77,090 </w:t>
            </w:r>
          </w:p>
        </w:tc>
        <w:tc>
          <w:tcPr>
            <w:tcW w:w="960" w:type="dxa"/>
            <w:tcBorders>
              <w:bottom w:val="single" w:sz="12" w:space="0" w:color="002060"/>
              <w:right w:val="dotted" w:sz="4" w:space="0" w:color="002060"/>
            </w:tcBorders>
            <w:noWrap/>
            <w:vAlign w:val="top"/>
            <w:hideMark/>
          </w:tcPr>
          <w:p w14:paraId="58700FCD"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52%</w:t>
            </w:r>
          </w:p>
        </w:tc>
        <w:tc>
          <w:tcPr>
            <w:tcW w:w="960" w:type="dxa"/>
            <w:tcBorders>
              <w:left w:val="dotted" w:sz="4" w:space="0" w:color="002060"/>
              <w:bottom w:val="single" w:sz="12" w:space="0" w:color="002060"/>
            </w:tcBorders>
            <w:noWrap/>
            <w:vAlign w:val="top"/>
            <w:hideMark/>
          </w:tcPr>
          <w:p w14:paraId="5E1B200F"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 xml:space="preserve"> 57,337 </w:t>
            </w:r>
          </w:p>
        </w:tc>
        <w:tc>
          <w:tcPr>
            <w:tcW w:w="960" w:type="dxa"/>
            <w:tcBorders>
              <w:bottom w:val="single" w:sz="12" w:space="0" w:color="002060"/>
              <w:right w:val="dotted" w:sz="4" w:space="0" w:color="002060"/>
            </w:tcBorders>
            <w:noWrap/>
            <w:vAlign w:val="top"/>
            <w:hideMark/>
          </w:tcPr>
          <w:p w14:paraId="51A9D190"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52%</w:t>
            </w:r>
          </w:p>
        </w:tc>
        <w:tc>
          <w:tcPr>
            <w:tcW w:w="1150" w:type="dxa"/>
            <w:tcBorders>
              <w:left w:val="dotted" w:sz="4" w:space="0" w:color="002060"/>
              <w:bottom w:val="single" w:sz="12" w:space="0" w:color="002060"/>
            </w:tcBorders>
            <w:noWrap/>
            <w:vAlign w:val="top"/>
            <w:hideMark/>
          </w:tcPr>
          <w:p w14:paraId="7AD973A6"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 xml:space="preserve"> 283,252 </w:t>
            </w:r>
          </w:p>
        </w:tc>
        <w:tc>
          <w:tcPr>
            <w:tcW w:w="960" w:type="dxa"/>
            <w:tcBorders>
              <w:bottom w:val="single" w:sz="12" w:space="0" w:color="002060"/>
            </w:tcBorders>
            <w:noWrap/>
            <w:vAlign w:val="top"/>
            <w:hideMark/>
          </w:tcPr>
          <w:p w14:paraId="0336AE8E"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53%</w:t>
            </w:r>
          </w:p>
        </w:tc>
      </w:tr>
      <w:tr w:rsidR="001E5C89" w:rsidRPr="00765825" w14:paraId="5B4E1362" w14:textId="77777777" w:rsidTr="009C0E4E">
        <w:trPr>
          <w:cantSplit/>
          <w:trHeight w:val="144"/>
        </w:trPr>
        <w:tc>
          <w:tcPr>
            <w:cnfStyle w:val="001000000000" w:firstRow="0" w:lastRow="0" w:firstColumn="1" w:lastColumn="0" w:oddVBand="0" w:evenVBand="0" w:oddHBand="0" w:evenHBand="0" w:firstRowFirstColumn="0" w:firstRowLastColumn="0" w:lastRowFirstColumn="0" w:lastRowLastColumn="0"/>
            <w:tcW w:w="1120" w:type="dxa"/>
            <w:vMerge w:val="restart"/>
            <w:tcBorders>
              <w:top w:val="single" w:sz="12" w:space="0" w:color="002060"/>
            </w:tcBorders>
            <w:noWrap/>
            <w:hideMark/>
          </w:tcPr>
          <w:p w14:paraId="3744CD8A" w14:textId="77777777" w:rsidR="001E5C89" w:rsidRPr="00765825" w:rsidRDefault="001E5C89" w:rsidP="00BE32C9">
            <w:pPr>
              <w:pStyle w:val="TableParagraph"/>
            </w:pPr>
            <w:r>
              <w:t>Payer Type</w:t>
            </w:r>
          </w:p>
        </w:tc>
        <w:tc>
          <w:tcPr>
            <w:tcW w:w="1220" w:type="dxa"/>
            <w:tcBorders>
              <w:top w:val="single" w:sz="12" w:space="0" w:color="002060"/>
            </w:tcBorders>
            <w:noWrap/>
            <w:hideMark/>
          </w:tcPr>
          <w:p w14:paraId="658E0517"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765825">
              <w:t>Commercial</w:t>
            </w:r>
          </w:p>
        </w:tc>
        <w:tc>
          <w:tcPr>
            <w:tcW w:w="1000" w:type="dxa"/>
            <w:tcBorders>
              <w:top w:val="single" w:sz="12" w:space="0" w:color="002060"/>
            </w:tcBorders>
            <w:noWrap/>
            <w:vAlign w:val="top"/>
            <w:hideMark/>
          </w:tcPr>
          <w:p w14:paraId="14663B05"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5A452E">
              <w:t xml:space="preserve"> 77,624 </w:t>
            </w:r>
          </w:p>
        </w:tc>
        <w:tc>
          <w:tcPr>
            <w:tcW w:w="960" w:type="dxa"/>
            <w:tcBorders>
              <w:top w:val="single" w:sz="12" w:space="0" w:color="002060"/>
              <w:right w:val="dotted" w:sz="4" w:space="0" w:color="002060"/>
            </w:tcBorders>
            <w:noWrap/>
            <w:vAlign w:val="top"/>
            <w:hideMark/>
          </w:tcPr>
          <w:p w14:paraId="30F2E55E"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52%</w:t>
            </w:r>
          </w:p>
        </w:tc>
        <w:tc>
          <w:tcPr>
            <w:tcW w:w="960" w:type="dxa"/>
            <w:tcBorders>
              <w:top w:val="single" w:sz="12" w:space="0" w:color="002060"/>
              <w:left w:val="dotted" w:sz="4" w:space="0" w:color="002060"/>
            </w:tcBorders>
            <w:noWrap/>
            <w:vAlign w:val="top"/>
            <w:hideMark/>
          </w:tcPr>
          <w:p w14:paraId="7156039D"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 xml:space="preserve"> 60,677 </w:t>
            </w:r>
          </w:p>
        </w:tc>
        <w:tc>
          <w:tcPr>
            <w:tcW w:w="960" w:type="dxa"/>
            <w:tcBorders>
              <w:top w:val="single" w:sz="12" w:space="0" w:color="002060"/>
              <w:right w:val="dotted" w:sz="4" w:space="0" w:color="002060"/>
            </w:tcBorders>
            <w:noWrap/>
            <w:vAlign w:val="top"/>
            <w:hideMark/>
          </w:tcPr>
          <w:p w14:paraId="0BD58E48"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55%</w:t>
            </w:r>
          </w:p>
        </w:tc>
        <w:tc>
          <w:tcPr>
            <w:tcW w:w="1150" w:type="dxa"/>
            <w:tcBorders>
              <w:top w:val="single" w:sz="12" w:space="0" w:color="002060"/>
              <w:left w:val="dotted" w:sz="4" w:space="0" w:color="002060"/>
            </w:tcBorders>
            <w:noWrap/>
            <w:vAlign w:val="top"/>
            <w:hideMark/>
          </w:tcPr>
          <w:p w14:paraId="1AC01788"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 xml:space="preserve"> 240,023 </w:t>
            </w:r>
          </w:p>
        </w:tc>
        <w:tc>
          <w:tcPr>
            <w:tcW w:w="960" w:type="dxa"/>
            <w:tcBorders>
              <w:top w:val="single" w:sz="12" w:space="0" w:color="002060"/>
            </w:tcBorders>
            <w:noWrap/>
            <w:vAlign w:val="top"/>
            <w:hideMark/>
          </w:tcPr>
          <w:p w14:paraId="565378CC"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45%</w:t>
            </w:r>
          </w:p>
        </w:tc>
      </w:tr>
      <w:tr w:rsidR="001E5C89" w:rsidRPr="00765825" w14:paraId="2D1E1444" w14:textId="77777777" w:rsidTr="009C0E4E">
        <w:trPr>
          <w:cantSplit/>
          <w:trHeight w:val="144"/>
        </w:trPr>
        <w:tc>
          <w:tcPr>
            <w:cnfStyle w:val="001000000000" w:firstRow="0" w:lastRow="0" w:firstColumn="1" w:lastColumn="0" w:oddVBand="0" w:evenVBand="0" w:oddHBand="0" w:evenHBand="0" w:firstRowFirstColumn="0" w:firstRowLastColumn="0" w:lastRowFirstColumn="0" w:lastRowLastColumn="0"/>
            <w:tcW w:w="1120" w:type="dxa"/>
            <w:vMerge/>
            <w:tcBorders>
              <w:bottom w:val="single" w:sz="12" w:space="0" w:color="002060"/>
            </w:tcBorders>
            <w:noWrap/>
            <w:hideMark/>
          </w:tcPr>
          <w:p w14:paraId="5D4A784E" w14:textId="77777777" w:rsidR="001E5C89" w:rsidRPr="00765825" w:rsidRDefault="001E5C89" w:rsidP="00BE32C9">
            <w:pPr>
              <w:pStyle w:val="TableParagraph"/>
            </w:pPr>
          </w:p>
        </w:tc>
        <w:tc>
          <w:tcPr>
            <w:tcW w:w="1220" w:type="dxa"/>
            <w:tcBorders>
              <w:bottom w:val="single" w:sz="12" w:space="0" w:color="002060"/>
            </w:tcBorders>
            <w:noWrap/>
            <w:hideMark/>
          </w:tcPr>
          <w:p w14:paraId="0CF64326" w14:textId="21E67F0A"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765825">
              <w:t>Medicaid</w:t>
            </w:r>
          </w:p>
        </w:tc>
        <w:tc>
          <w:tcPr>
            <w:tcW w:w="1000" w:type="dxa"/>
            <w:tcBorders>
              <w:bottom w:val="single" w:sz="12" w:space="0" w:color="002060"/>
            </w:tcBorders>
            <w:noWrap/>
            <w:vAlign w:val="top"/>
            <w:hideMark/>
          </w:tcPr>
          <w:p w14:paraId="5E7AB11D"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5A452E">
              <w:t xml:space="preserve"> 71,033 </w:t>
            </w:r>
          </w:p>
        </w:tc>
        <w:tc>
          <w:tcPr>
            <w:tcW w:w="960" w:type="dxa"/>
            <w:tcBorders>
              <w:bottom w:val="single" w:sz="12" w:space="0" w:color="002060"/>
              <w:right w:val="dotted" w:sz="4" w:space="0" w:color="002060"/>
            </w:tcBorders>
            <w:noWrap/>
            <w:vAlign w:val="top"/>
            <w:hideMark/>
          </w:tcPr>
          <w:p w14:paraId="23E99B1A"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48%</w:t>
            </w:r>
          </w:p>
        </w:tc>
        <w:tc>
          <w:tcPr>
            <w:tcW w:w="960" w:type="dxa"/>
            <w:tcBorders>
              <w:left w:val="dotted" w:sz="4" w:space="0" w:color="002060"/>
              <w:bottom w:val="single" w:sz="12" w:space="0" w:color="002060"/>
            </w:tcBorders>
            <w:noWrap/>
            <w:vAlign w:val="top"/>
            <w:hideMark/>
          </w:tcPr>
          <w:p w14:paraId="53EFE7B2"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 xml:space="preserve"> 49,538 </w:t>
            </w:r>
          </w:p>
        </w:tc>
        <w:tc>
          <w:tcPr>
            <w:tcW w:w="960" w:type="dxa"/>
            <w:tcBorders>
              <w:bottom w:val="single" w:sz="12" w:space="0" w:color="002060"/>
              <w:right w:val="dotted" w:sz="4" w:space="0" w:color="002060"/>
            </w:tcBorders>
            <w:noWrap/>
            <w:vAlign w:val="top"/>
            <w:hideMark/>
          </w:tcPr>
          <w:p w14:paraId="35987ACC"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45%</w:t>
            </w:r>
          </w:p>
        </w:tc>
        <w:tc>
          <w:tcPr>
            <w:tcW w:w="1150" w:type="dxa"/>
            <w:tcBorders>
              <w:left w:val="dotted" w:sz="4" w:space="0" w:color="002060"/>
              <w:bottom w:val="single" w:sz="12" w:space="0" w:color="002060"/>
            </w:tcBorders>
            <w:noWrap/>
            <w:vAlign w:val="top"/>
            <w:hideMark/>
          </w:tcPr>
          <w:p w14:paraId="35ABA380"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 xml:space="preserve"> 296,749 </w:t>
            </w:r>
          </w:p>
        </w:tc>
        <w:tc>
          <w:tcPr>
            <w:tcW w:w="960" w:type="dxa"/>
            <w:tcBorders>
              <w:bottom w:val="single" w:sz="12" w:space="0" w:color="002060"/>
            </w:tcBorders>
            <w:noWrap/>
            <w:vAlign w:val="top"/>
            <w:hideMark/>
          </w:tcPr>
          <w:p w14:paraId="14AC329B" w14:textId="77777777" w:rsidR="001E5C89" w:rsidRPr="00765825"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485461">
              <w:t>55%</w:t>
            </w:r>
          </w:p>
        </w:tc>
      </w:tr>
    </w:tbl>
    <w:p w14:paraId="1399E1CF" w14:textId="1D029597" w:rsidR="001E5C89" w:rsidRPr="00C9626D" w:rsidRDefault="001E5C89" w:rsidP="00BE32C9">
      <w:pPr>
        <w:pStyle w:val="TableNotes"/>
      </w:pPr>
      <w:r>
        <w:t>Source:</w:t>
      </w:r>
      <w:r w:rsidRPr="00CB4F30">
        <w:t xml:space="preserve"> </w:t>
      </w:r>
      <w:r>
        <w:t>2</w:t>
      </w:r>
      <w:r w:rsidRPr="00CB4F30">
        <w:t>019 CHIA all-payer medical claim data</w:t>
      </w:r>
      <w:r>
        <w:t xml:space="preserve">. Numbers here </w:t>
      </w:r>
      <w:r w:rsidR="007D6C06">
        <w:t xml:space="preserve">are </w:t>
      </w:r>
      <w:r>
        <w:t>based on services considered</w:t>
      </w:r>
      <w:r w:rsidR="00D548E3">
        <w:t xml:space="preserve"> </w:t>
      </w:r>
      <w:r>
        <w:t>—</w:t>
      </w:r>
      <w:r w:rsidR="00D548E3">
        <w:t xml:space="preserve"> </w:t>
      </w:r>
      <w:r>
        <w:t>imaging and ASC</w:t>
      </w:r>
      <w:r w:rsidRPr="00CB4F30">
        <w:t>. The data is restricted to visits from members younger than 19 years old</w:t>
      </w:r>
      <w:r>
        <w:t xml:space="preserve"> residing in Massachusetts</w:t>
      </w:r>
      <w:r w:rsidRPr="00CB4F30">
        <w:t xml:space="preserve">. </w:t>
      </w:r>
      <w:r>
        <w:t>The geography used as the service area for this table is all ZIP codes in any of the service areas considered within this report. This was done for comparison purposes only to represent the full area analyzed.</w:t>
      </w:r>
    </w:p>
    <w:p w14:paraId="795852EB" w14:textId="5A30B7C9" w:rsidR="00964D4F" w:rsidRDefault="00D35B95" w:rsidP="00BE32C9">
      <w:r>
        <w:fldChar w:fldCharType="begin"/>
      </w:r>
      <w:r>
        <w:instrText xml:space="preserve"> REF _Ref106621906 \h </w:instrText>
      </w:r>
      <w:r>
        <w:fldChar w:fldCharType="separate"/>
      </w:r>
      <w:r w:rsidR="00CE7C62" w:rsidRPr="007813FB">
        <w:t xml:space="preserve">Table </w:t>
      </w:r>
      <w:r w:rsidR="00CE7C62">
        <w:rPr>
          <w:noProof/>
        </w:rPr>
        <w:t>2</w:t>
      </w:r>
      <w:r w:rsidR="00CE7C62" w:rsidRPr="007813FB">
        <w:t xml:space="preserve">: Demographic Characteristics of Pediatric Population </w:t>
      </w:r>
      <w:r>
        <w:fldChar w:fldCharType="end"/>
      </w:r>
      <w:r w:rsidR="00964D4F">
        <w:t xml:space="preserve">shows the characteristics of the </w:t>
      </w:r>
      <w:r w:rsidR="00D548E3">
        <w:t xml:space="preserve">pediatric </w:t>
      </w:r>
      <w:r w:rsidR="00964D4F">
        <w:t>population</w:t>
      </w:r>
      <w:r w:rsidR="00882DE9">
        <w:t xml:space="preserve"> in the service area</w:t>
      </w:r>
      <w:r w:rsidR="00964D4F">
        <w:t xml:space="preserve">. </w:t>
      </w:r>
      <w:r w:rsidR="003E4BDD">
        <w:t xml:space="preserve">The age distribution of the overall </w:t>
      </w:r>
      <w:r w:rsidR="004E3CF6">
        <w:t xml:space="preserve">pediatric </w:t>
      </w:r>
      <w:r w:rsidR="003E4BDD">
        <w:t xml:space="preserve">population is </w:t>
      </w:r>
      <w:r w:rsidR="004E3CF6">
        <w:t>more evenly distributed</w:t>
      </w:r>
      <w:r w:rsidR="003E4BDD">
        <w:t xml:space="preserve"> than the </w:t>
      </w:r>
      <w:r w:rsidR="004E3CF6">
        <w:t xml:space="preserve">BCH pediatric and all provider pediatric </w:t>
      </w:r>
      <w:r w:rsidR="003E4BDD">
        <w:t>patient population</w:t>
      </w:r>
      <w:r w:rsidR="004E3CF6">
        <w:t>s</w:t>
      </w:r>
      <w:r w:rsidR="00D548E3">
        <w:t>, at about</w:t>
      </w:r>
      <w:r w:rsidR="003E4BDD">
        <w:t xml:space="preserve"> 25% for each age range listed. The gender breakdowns </w:t>
      </w:r>
      <w:r w:rsidR="00D548E3">
        <w:t>are comparable to those for</w:t>
      </w:r>
      <w:r w:rsidR="004E3CF6">
        <w:t xml:space="preserve"> pediatric</w:t>
      </w:r>
      <w:r w:rsidR="003E4BDD">
        <w:t xml:space="preserve"> patient visits.</w:t>
      </w:r>
      <w:r w:rsidR="00B82A65">
        <w:t xml:space="preserve"> </w:t>
      </w:r>
    </w:p>
    <w:p w14:paraId="27408A38" w14:textId="77777777" w:rsidR="00D548E3" w:rsidRDefault="001E5C89" w:rsidP="005B117F">
      <w:pPr>
        <w:pStyle w:val="Caption"/>
        <w:spacing w:before="0"/>
      </w:pPr>
      <w:bookmarkStart w:id="119" w:name="_Ref106555927"/>
      <w:bookmarkStart w:id="120" w:name="_Toc109895433"/>
      <w:bookmarkStart w:id="121" w:name="_Ref106621906"/>
      <w:bookmarkStart w:id="122" w:name="_Toc106641177"/>
      <w:bookmarkStart w:id="123" w:name="_Toc106648881"/>
      <w:r w:rsidRPr="007813FB">
        <w:lastRenderedPageBreak/>
        <w:t xml:space="preserve">Table </w:t>
      </w:r>
      <w:fldSimple w:instr=" SEQ Table \* ARABIC ">
        <w:r w:rsidR="00CE7C62">
          <w:rPr>
            <w:noProof/>
          </w:rPr>
          <w:t>2</w:t>
        </w:r>
      </w:fldSimple>
      <w:bookmarkEnd w:id="119"/>
      <w:r w:rsidRPr="007813FB">
        <w:t xml:space="preserve">: Demographic Characteristics of </w:t>
      </w:r>
      <w:r w:rsidR="004E3CF6" w:rsidRPr="007813FB">
        <w:t xml:space="preserve">Pediatric </w:t>
      </w:r>
      <w:r w:rsidRPr="007813FB">
        <w:t>Population</w:t>
      </w:r>
      <w:bookmarkEnd w:id="120"/>
      <w:r w:rsidRPr="007813FB">
        <w:t xml:space="preserve"> </w:t>
      </w:r>
      <w:bookmarkEnd w:id="121"/>
      <w:bookmarkEnd w:id="122"/>
      <w:bookmarkEnd w:id="123"/>
    </w:p>
    <w:p w14:paraId="2D4E58A4" w14:textId="63E6C5D6" w:rsidR="001E5C89" w:rsidRPr="007813FB" w:rsidRDefault="001E5C89" w:rsidP="005B117F">
      <w:pPr>
        <w:pStyle w:val="Caption"/>
        <w:spacing w:before="0"/>
      </w:pPr>
      <w:r w:rsidRPr="007813FB">
        <w:t>(Combined Service Area, Patients Aged 0 – 18)</w:t>
      </w:r>
    </w:p>
    <w:tbl>
      <w:tblPr>
        <w:tblStyle w:val="GridTable4-Accent11"/>
        <w:tblW w:w="0" w:type="auto"/>
        <w:tblLook w:val="04A0" w:firstRow="1" w:lastRow="0" w:firstColumn="1" w:lastColumn="0" w:noHBand="0" w:noVBand="1"/>
      </w:tblPr>
      <w:tblGrid>
        <w:gridCol w:w="960"/>
        <w:gridCol w:w="960"/>
        <w:gridCol w:w="1394"/>
        <w:gridCol w:w="960"/>
        <w:gridCol w:w="1394"/>
        <w:gridCol w:w="960"/>
        <w:gridCol w:w="1394"/>
        <w:gridCol w:w="960"/>
      </w:tblGrid>
      <w:tr w:rsidR="001E5C89" w:rsidRPr="0026455D" w14:paraId="61114BC7" w14:textId="77777777" w:rsidTr="009C0E4E">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60" w:type="dxa"/>
            <w:tcBorders>
              <w:bottom w:val="single" w:sz="4" w:space="0" w:color="002060"/>
            </w:tcBorders>
            <w:noWrap/>
            <w:hideMark/>
          </w:tcPr>
          <w:p w14:paraId="31AB65B8" w14:textId="77777777" w:rsidR="001E5C89" w:rsidRPr="0026455D" w:rsidRDefault="001E5C89" w:rsidP="00BE32C9">
            <w:pPr>
              <w:pStyle w:val="TableParagraph"/>
            </w:pPr>
          </w:p>
        </w:tc>
        <w:tc>
          <w:tcPr>
            <w:tcW w:w="960" w:type="dxa"/>
            <w:tcBorders>
              <w:bottom w:val="single" w:sz="4" w:space="0" w:color="002060"/>
            </w:tcBorders>
            <w:noWrap/>
            <w:hideMark/>
          </w:tcPr>
          <w:p w14:paraId="176A0B07" w14:textId="77777777" w:rsidR="001E5C89" w:rsidRPr="0026455D" w:rsidRDefault="001E5C89" w:rsidP="00BE32C9">
            <w:pPr>
              <w:pStyle w:val="TableParagraph"/>
              <w:cnfStyle w:val="100000000000" w:firstRow="1" w:lastRow="0" w:firstColumn="0" w:lastColumn="0" w:oddVBand="0" w:evenVBand="0" w:oddHBand="0" w:evenHBand="0" w:firstRowFirstColumn="0" w:firstRowLastColumn="0" w:lastRowFirstColumn="0" w:lastRowLastColumn="0"/>
            </w:pPr>
          </w:p>
        </w:tc>
        <w:tc>
          <w:tcPr>
            <w:tcW w:w="1394" w:type="dxa"/>
            <w:tcBorders>
              <w:bottom w:val="single" w:sz="4" w:space="0" w:color="002060"/>
            </w:tcBorders>
            <w:noWrap/>
            <w:hideMark/>
          </w:tcPr>
          <w:p w14:paraId="5A35D472" w14:textId="77777777" w:rsidR="001E5C89" w:rsidRPr="0026455D" w:rsidRDefault="001E5C89" w:rsidP="00BE32C9">
            <w:pPr>
              <w:pStyle w:val="TableParagraph"/>
              <w:cnfStyle w:val="100000000000" w:firstRow="1" w:lastRow="0" w:firstColumn="0" w:lastColumn="0" w:oddVBand="0" w:evenVBand="0" w:oddHBand="0" w:evenHBand="0" w:firstRowFirstColumn="0" w:firstRowLastColumn="0" w:lastRowFirstColumn="0" w:lastRowLastColumn="0"/>
            </w:pPr>
            <w:r>
              <w:t>2020 Population</w:t>
            </w:r>
          </w:p>
        </w:tc>
        <w:tc>
          <w:tcPr>
            <w:tcW w:w="960" w:type="dxa"/>
            <w:tcBorders>
              <w:bottom w:val="single" w:sz="4" w:space="0" w:color="002060"/>
            </w:tcBorders>
            <w:noWrap/>
            <w:hideMark/>
          </w:tcPr>
          <w:p w14:paraId="5E240F80" w14:textId="77777777" w:rsidR="001E5C89" w:rsidRPr="0026455D" w:rsidRDefault="001E5C89" w:rsidP="00BE32C9">
            <w:pPr>
              <w:pStyle w:val="TableParagraph"/>
              <w:cnfStyle w:val="100000000000" w:firstRow="1" w:lastRow="0" w:firstColumn="0" w:lastColumn="0" w:oddVBand="0" w:evenVBand="0" w:oddHBand="0" w:evenHBand="0" w:firstRowFirstColumn="0" w:firstRowLastColumn="0" w:lastRowFirstColumn="0" w:lastRowLastColumn="0"/>
            </w:pPr>
            <w:r>
              <w:t>%</w:t>
            </w:r>
          </w:p>
        </w:tc>
        <w:tc>
          <w:tcPr>
            <w:tcW w:w="1394" w:type="dxa"/>
            <w:tcBorders>
              <w:bottom w:val="single" w:sz="4" w:space="0" w:color="002060"/>
            </w:tcBorders>
            <w:noWrap/>
            <w:hideMark/>
          </w:tcPr>
          <w:p w14:paraId="28738588" w14:textId="77777777" w:rsidR="001E5C89" w:rsidRPr="0026455D" w:rsidRDefault="001E5C89" w:rsidP="00BE32C9">
            <w:pPr>
              <w:pStyle w:val="TableParagraph"/>
              <w:cnfStyle w:val="100000000000" w:firstRow="1" w:lastRow="0" w:firstColumn="0" w:lastColumn="0" w:oddVBand="0" w:evenVBand="0" w:oddHBand="0" w:evenHBand="0" w:firstRowFirstColumn="0" w:firstRowLastColumn="0" w:lastRowFirstColumn="0" w:lastRowLastColumn="0"/>
            </w:pPr>
            <w:r>
              <w:t>2025 Projected Population</w:t>
            </w:r>
          </w:p>
        </w:tc>
        <w:tc>
          <w:tcPr>
            <w:tcW w:w="960" w:type="dxa"/>
            <w:tcBorders>
              <w:bottom w:val="single" w:sz="4" w:space="0" w:color="002060"/>
            </w:tcBorders>
            <w:noWrap/>
            <w:hideMark/>
          </w:tcPr>
          <w:p w14:paraId="72D678B0" w14:textId="77777777" w:rsidR="001E5C89" w:rsidRPr="0026455D" w:rsidRDefault="001E5C89" w:rsidP="00BE32C9">
            <w:pPr>
              <w:pStyle w:val="TableParagraph"/>
              <w:cnfStyle w:val="100000000000" w:firstRow="1" w:lastRow="0" w:firstColumn="0" w:lastColumn="0" w:oddVBand="0" w:evenVBand="0" w:oddHBand="0" w:evenHBand="0" w:firstRowFirstColumn="0" w:firstRowLastColumn="0" w:lastRowFirstColumn="0" w:lastRowLastColumn="0"/>
            </w:pPr>
            <w:r>
              <w:t>%</w:t>
            </w:r>
          </w:p>
        </w:tc>
        <w:tc>
          <w:tcPr>
            <w:tcW w:w="1394" w:type="dxa"/>
            <w:tcBorders>
              <w:bottom w:val="single" w:sz="4" w:space="0" w:color="002060"/>
            </w:tcBorders>
            <w:noWrap/>
            <w:hideMark/>
          </w:tcPr>
          <w:p w14:paraId="28E0E050" w14:textId="77777777" w:rsidR="001E5C89" w:rsidRPr="0026455D" w:rsidRDefault="001E5C89" w:rsidP="00BE32C9">
            <w:pPr>
              <w:pStyle w:val="TableParagraph"/>
              <w:cnfStyle w:val="100000000000" w:firstRow="1" w:lastRow="0" w:firstColumn="0" w:lastColumn="0" w:oddVBand="0" w:evenVBand="0" w:oddHBand="0" w:evenHBand="0" w:firstRowFirstColumn="0" w:firstRowLastColumn="0" w:lastRowFirstColumn="0" w:lastRowLastColumn="0"/>
            </w:pPr>
            <w:r>
              <w:t>2040 Projected Population</w:t>
            </w:r>
          </w:p>
        </w:tc>
        <w:tc>
          <w:tcPr>
            <w:tcW w:w="960" w:type="dxa"/>
            <w:tcBorders>
              <w:bottom w:val="single" w:sz="4" w:space="0" w:color="002060"/>
            </w:tcBorders>
            <w:noWrap/>
            <w:hideMark/>
          </w:tcPr>
          <w:p w14:paraId="560A37F3" w14:textId="77777777" w:rsidR="001E5C89" w:rsidRPr="0026455D" w:rsidRDefault="001E5C89" w:rsidP="00BE32C9">
            <w:pPr>
              <w:pStyle w:val="TableParagraph"/>
              <w:cnfStyle w:val="100000000000" w:firstRow="1" w:lastRow="0" w:firstColumn="0" w:lastColumn="0" w:oddVBand="0" w:evenVBand="0" w:oddHBand="0" w:evenHBand="0" w:firstRowFirstColumn="0" w:firstRowLastColumn="0" w:lastRowFirstColumn="0" w:lastRowLastColumn="0"/>
            </w:pPr>
            <w:r>
              <w:t>%</w:t>
            </w:r>
          </w:p>
        </w:tc>
      </w:tr>
      <w:tr w:rsidR="001E5C89" w:rsidRPr="0026455D" w14:paraId="315DC32E" w14:textId="77777777" w:rsidTr="009C0E4E">
        <w:trPr>
          <w:cantSplit/>
          <w:trHeight w:val="144"/>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6F94FDB6" w14:textId="77777777" w:rsidR="001E5C89" w:rsidRPr="0026455D" w:rsidRDefault="001E5C89" w:rsidP="00BE32C9">
            <w:pPr>
              <w:pStyle w:val="TableParagraph"/>
            </w:pPr>
            <w:r w:rsidRPr="0026455D">
              <w:t>Age</w:t>
            </w:r>
          </w:p>
        </w:tc>
        <w:tc>
          <w:tcPr>
            <w:tcW w:w="960" w:type="dxa"/>
            <w:noWrap/>
            <w:hideMark/>
          </w:tcPr>
          <w:p w14:paraId="41D628F3"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0-4</w:t>
            </w:r>
          </w:p>
        </w:tc>
        <w:tc>
          <w:tcPr>
            <w:tcW w:w="1394" w:type="dxa"/>
            <w:noWrap/>
            <w:hideMark/>
          </w:tcPr>
          <w:p w14:paraId="4FEDD99A"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259,554</w:t>
            </w:r>
          </w:p>
        </w:tc>
        <w:tc>
          <w:tcPr>
            <w:tcW w:w="960" w:type="dxa"/>
            <w:tcBorders>
              <w:right w:val="dotted" w:sz="4" w:space="0" w:color="002060"/>
            </w:tcBorders>
            <w:noWrap/>
            <w:hideMark/>
          </w:tcPr>
          <w:p w14:paraId="72C1D54A"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23%</w:t>
            </w:r>
          </w:p>
        </w:tc>
        <w:tc>
          <w:tcPr>
            <w:tcW w:w="1394" w:type="dxa"/>
            <w:tcBorders>
              <w:left w:val="dotted" w:sz="4" w:space="0" w:color="002060"/>
            </w:tcBorders>
            <w:noWrap/>
            <w:hideMark/>
          </w:tcPr>
          <w:p w14:paraId="11206AC0"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264,136</w:t>
            </w:r>
          </w:p>
        </w:tc>
        <w:tc>
          <w:tcPr>
            <w:tcW w:w="960" w:type="dxa"/>
            <w:tcBorders>
              <w:right w:val="dotted" w:sz="4" w:space="0" w:color="002060"/>
            </w:tcBorders>
            <w:noWrap/>
            <w:hideMark/>
          </w:tcPr>
          <w:p w14:paraId="23AC0CC3"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24%</w:t>
            </w:r>
          </w:p>
        </w:tc>
        <w:tc>
          <w:tcPr>
            <w:tcW w:w="1394" w:type="dxa"/>
            <w:tcBorders>
              <w:left w:val="dotted" w:sz="4" w:space="0" w:color="002060"/>
            </w:tcBorders>
            <w:noWrap/>
            <w:hideMark/>
          </w:tcPr>
          <w:p w14:paraId="1A72537C"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256,545</w:t>
            </w:r>
          </w:p>
        </w:tc>
        <w:tc>
          <w:tcPr>
            <w:tcW w:w="960" w:type="dxa"/>
            <w:noWrap/>
            <w:hideMark/>
          </w:tcPr>
          <w:p w14:paraId="2EF969D4"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23%</w:t>
            </w:r>
          </w:p>
        </w:tc>
      </w:tr>
      <w:tr w:rsidR="001E5C89" w:rsidRPr="0026455D" w14:paraId="441FCE55" w14:textId="77777777" w:rsidTr="009C0E4E">
        <w:trPr>
          <w:cantSplit/>
          <w:trHeight w:val="144"/>
        </w:trPr>
        <w:tc>
          <w:tcPr>
            <w:cnfStyle w:val="001000000000" w:firstRow="0" w:lastRow="0" w:firstColumn="1" w:lastColumn="0" w:oddVBand="0" w:evenVBand="0" w:oddHBand="0" w:evenHBand="0" w:firstRowFirstColumn="0" w:firstRowLastColumn="0" w:lastRowFirstColumn="0" w:lastRowLastColumn="0"/>
            <w:tcW w:w="960" w:type="dxa"/>
            <w:vMerge/>
            <w:noWrap/>
            <w:hideMark/>
          </w:tcPr>
          <w:p w14:paraId="75159B64" w14:textId="77777777" w:rsidR="001E5C89" w:rsidRPr="0026455D" w:rsidRDefault="001E5C89" w:rsidP="00BE32C9">
            <w:pPr>
              <w:pStyle w:val="TableParagraph"/>
            </w:pPr>
          </w:p>
        </w:tc>
        <w:tc>
          <w:tcPr>
            <w:tcW w:w="960" w:type="dxa"/>
            <w:noWrap/>
            <w:hideMark/>
          </w:tcPr>
          <w:p w14:paraId="58F749CE"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5-9</w:t>
            </w:r>
          </w:p>
        </w:tc>
        <w:tc>
          <w:tcPr>
            <w:tcW w:w="1394" w:type="dxa"/>
            <w:noWrap/>
            <w:hideMark/>
          </w:tcPr>
          <w:p w14:paraId="21D7550E"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273,513</w:t>
            </w:r>
          </w:p>
        </w:tc>
        <w:tc>
          <w:tcPr>
            <w:tcW w:w="960" w:type="dxa"/>
            <w:tcBorders>
              <w:right w:val="dotted" w:sz="4" w:space="0" w:color="002060"/>
            </w:tcBorders>
            <w:noWrap/>
            <w:hideMark/>
          </w:tcPr>
          <w:p w14:paraId="5CE6BF2B"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25%</w:t>
            </w:r>
          </w:p>
        </w:tc>
        <w:tc>
          <w:tcPr>
            <w:tcW w:w="1394" w:type="dxa"/>
            <w:tcBorders>
              <w:left w:val="dotted" w:sz="4" w:space="0" w:color="002060"/>
            </w:tcBorders>
            <w:noWrap/>
            <w:hideMark/>
          </w:tcPr>
          <w:p w14:paraId="1B40C098"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266,663</w:t>
            </w:r>
          </w:p>
        </w:tc>
        <w:tc>
          <w:tcPr>
            <w:tcW w:w="960" w:type="dxa"/>
            <w:tcBorders>
              <w:right w:val="dotted" w:sz="4" w:space="0" w:color="002060"/>
            </w:tcBorders>
            <w:noWrap/>
            <w:hideMark/>
          </w:tcPr>
          <w:p w14:paraId="1E29573F"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24%</w:t>
            </w:r>
          </w:p>
        </w:tc>
        <w:tc>
          <w:tcPr>
            <w:tcW w:w="1394" w:type="dxa"/>
            <w:tcBorders>
              <w:left w:val="dotted" w:sz="4" w:space="0" w:color="002060"/>
            </w:tcBorders>
            <w:noWrap/>
            <w:hideMark/>
          </w:tcPr>
          <w:p w14:paraId="3304BF10"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266,966</w:t>
            </w:r>
          </w:p>
        </w:tc>
        <w:tc>
          <w:tcPr>
            <w:tcW w:w="960" w:type="dxa"/>
            <w:noWrap/>
            <w:hideMark/>
          </w:tcPr>
          <w:p w14:paraId="5822A4F9"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24%</w:t>
            </w:r>
          </w:p>
        </w:tc>
      </w:tr>
      <w:tr w:rsidR="001E5C89" w:rsidRPr="0026455D" w14:paraId="16A20D44" w14:textId="77777777" w:rsidTr="009C0E4E">
        <w:trPr>
          <w:cantSplit/>
          <w:trHeight w:val="144"/>
        </w:trPr>
        <w:tc>
          <w:tcPr>
            <w:cnfStyle w:val="001000000000" w:firstRow="0" w:lastRow="0" w:firstColumn="1" w:lastColumn="0" w:oddVBand="0" w:evenVBand="0" w:oddHBand="0" w:evenHBand="0" w:firstRowFirstColumn="0" w:firstRowLastColumn="0" w:lastRowFirstColumn="0" w:lastRowLastColumn="0"/>
            <w:tcW w:w="960" w:type="dxa"/>
            <w:vMerge/>
            <w:noWrap/>
            <w:hideMark/>
          </w:tcPr>
          <w:p w14:paraId="133B5F9C" w14:textId="77777777" w:rsidR="001E5C89" w:rsidRPr="0026455D" w:rsidRDefault="001E5C89" w:rsidP="00BE32C9">
            <w:pPr>
              <w:pStyle w:val="TableParagraph"/>
            </w:pPr>
          </w:p>
        </w:tc>
        <w:tc>
          <w:tcPr>
            <w:tcW w:w="960" w:type="dxa"/>
            <w:noWrap/>
            <w:hideMark/>
          </w:tcPr>
          <w:p w14:paraId="67CF9725"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10-14</w:t>
            </w:r>
          </w:p>
        </w:tc>
        <w:tc>
          <w:tcPr>
            <w:tcW w:w="1394" w:type="dxa"/>
            <w:noWrap/>
            <w:hideMark/>
          </w:tcPr>
          <w:p w14:paraId="21E65E7B"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279,578</w:t>
            </w:r>
          </w:p>
        </w:tc>
        <w:tc>
          <w:tcPr>
            <w:tcW w:w="960" w:type="dxa"/>
            <w:tcBorders>
              <w:right w:val="dotted" w:sz="4" w:space="0" w:color="002060"/>
            </w:tcBorders>
            <w:noWrap/>
            <w:hideMark/>
          </w:tcPr>
          <w:p w14:paraId="1DC347B6"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25%</w:t>
            </w:r>
          </w:p>
        </w:tc>
        <w:tc>
          <w:tcPr>
            <w:tcW w:w="1394" w:type="dxa"/>
            <w:tcBorders>
              <w:left w:val="dotted" w:sz="4" w:space="0" w:color="002060"/>
            </w:tcBorders>
            <w:noWrap/>
            <w:hideMark/>
          </w:tcPr>
          <w:p w14:paraId="67A2DF57"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282,714</w:t>
            </w:r>
          </w:p>
        </w:tc>
        <w:tc>
          <w:tcPr>
            <w:tcW w:w="960" w:type="dxa"/>
            <w:tcBorders>
              <w:right w:val="dotted" w:sz="4" w:space="0" w:color="002060"/>
            </w:tcBorders>
            <w:noWrap/>
            <w:hideMark/>
          </w:tcPr>
          <w:p w14:paraId="6E5EFEB8"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25%</w:t>
            </w:r>
          </w:p>
        </w:tc>
        <w:tc>
          <w:tcPr>
            <w:tcW w:w="1394" w:type="dxa"/>
            <w:tcBorders>
              <w:left w:val="dotted" w:sz="4" w:space="0" w:color="002060"/>
            </w:tcBorders>
            <w:noWrap/>
            <w:hideMark/>
          </w:tcPr>
          <w:p w14:paraId="4D5ECB2F"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281,312</w:t>
            </w:r>
          </w:p>
        </w:tc>
        <w:tc>
          <w:tcPr>
            <w:tcW w:w="960" w:type="dxa"/>
            <w:noWrap/>
            <w:hideMark/>
          </w:tcPr>
          <w:p w14:paraId="48A5AB1B"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25%</w:t>
            </w:r>
          </w:p>
        </w:tc>
      </w:tr>
      <w:tr w:rsidR="001E5C89" w:rsidRPr="0026455D" w14:paraId="7E65FE8C" w14:textId="77777777" w:rsidTr="009C0E4E">
        <w:trPr>
          <w:cantSplit/>
          <w:trHeight w:val="144"/>
        </w:trPr>
        <w:tc>
          <w:tcPr>
            <w:cnfStyle w:val="001000000000" w:firstRow="0" w:lastRow="0" w:firstColumn="1" w:lastColumn="0" w:oddVBand="0" w:evenVBand="0" w:oddHBand="0" w:evenHBand="0" w:firstRowFirstColumn="0" w:firstRowLastColumn="0" w:lastRowFirstColumn="0" w:lastRowLastColumn="0"/>
            <w:tcW w:w="960" w:type="dxa"/>
            <w:vMerge/>
            <w:tcBorders>
              <w:bottom w:val="single" w:sz="12" w:space="0" w:color="002060"/>
            </w:tcBorders>
            <w:noWrap/>
            <w:hideMark/>
          </w:tcPr>
          <w:p w14:paraId="61E3B71A" w14:textId="77777777" w:rsidR="001E5C89" w:rsidRPr="0026455D" w:rsidRDefault="001E5C89" w:rsidP="00BE32C9">
            <w:pPr>
              <w:pStyle w:val="TableParagraph"/>
            </w:pPr>
          </w:p>
        </w:tc>
        <w:tc>
          <w:tcPr>
            <w:tcW w:w="960" w:type="dxa"/>
            <w:tcBorders>
              <w:bottom w:val="single" w:sz="12" w:space="0" w:color="002060"/>
            </w:tcBorders>
            <w:noWrap/>
            <w:hideMark/>
          </w:tcPr>
          <w:p w14:paraId="77F452A2"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15-19</w:t>
            </w:r>
          </w:p>
        </w:tc>
        <w:tc>
          <w:tcPr>
            <w:tcW w:w="1394" w:type="dxa"/>
            <w:tcBorders>
              <w:bottom w:val="single" w:sz="12" w:space="0" w:color="002060"/>
            </w:tcBorders>
            <w:noWrap/>
            <w:hideMark/>
          </w:tcPr>
          <w:p w14:paraId="73130A28"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293,639</w:t>
            </w:r>
          </w:p>
        </w:tc>
        <w:tc>
          <w:tcPr>
            <w:tcW w:w="960" w:type="dxa"/>
            <w:tcBorders>
              <w:bottom w:val="single" w:sz="12" w:space="0" w:color="002060"/>
              <w:right w:val="dotted" w:sz="4" w:space="0" w:color="002060"/>
            </w:tcBorders>
            <w:noWrap/>
            <w:hideMark/>
          </w:tcPr>
          <w:p w14:paraId="3C79A3BB"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27%</w:t>
            </w:r>
          </w:p>
        </w:tc>
        <w:tc>
          <w:tcPr>
            <w:tcW w:w="1394" w:type="dxa"/>
            <w:tcBorders>
              <w:left w:val="dotted" w:sz="4" w:space="0" w:color="002060"/>
              <w:bottom w:val="single" w:sz="12" w:space="0" w:color="002060"/>
            </w:tcBorders>
            <w:noWrap/>
            <w:hideMark/>
          </w:tcPr>
          <w:p w14:paraId="218B18DF"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295,208</w:t>
            </w:r>
          </w:p>
        </w:tc>
        <w:tc>
          <w:tcPr>
            <w:tcW w:w="960" w:type="dxa"/>
            <w:tcBorders>
              <w:bottom w:val="single" w:sz="12" w:space="0" w:color="002060"/>
              <w:right w:val="dotted" w:sz="4" w:space="0" w:color="002060"/>
            </w:tcBorders>
            <w:noWrap/>
            <w:hideMark/>
          </w:tcPr>
          <w:p w14:paraId="7045F7FA"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27%</w:t>
            </w:r>
          </w:p>
        </w:tc>
        <w:tc>
          <w:tcPr>
            <w:tcW w:w="1394" w:type="dxa"/>
            <w:tcBorders>
              <w:left w:val="dotted" w:sz="4" w:space="0" w:color="002060"/>
              <w:bottom w:val="single" w:sz="12" w:space="0" w:color="002060"/>
            </w:tcBorders>
            <w:noWrap/>
            <w:hideMark/>
          </w:tcPr>
          <w:p w14:paraId="47473146"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299,465</w:t>
            </w:r>
          </w:p>
        </w:tc>
        <w:tc>
          <w:tcPr>
            <w:tcW w:w="960" w:type="dxa"/>
            <w:tcBorders>
              <w:bottom w:val="single" w:sz="12" w:space="0" w:color="002060"/>
            </w:tcBorders>
            <w:noWrap/>
            <w:hideMark/>
          </w:tcPr>
          <w:p w14:paraId="113A2339"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27%</w:t>
            </w:r>
          </w:p>
        </w:tc>
      </w:tr>
      <w:tr w:rsidR="001E5C89" w:rsidRPr="0026455D" w14:paraId="202278FA" w14:textId="77777777" w:rsidTr="009C0E4E">
        <w:trPr>
          <w:cantSplit/>
          <w:trHeight w:val="144"/>
        </w:trPr>
        <w:tc>
          <w:tcPr>
            <w:cnfStyle w:val="001000000000" w:firstRow="0" w:lastRow="0" w:firstColumn="1" w:lastColumn="0" w:oddVBand="0" w:evenVBand="0" w:oddHBand="0" w:evenHBand="0" w:firstRowFirstColumn="0" w:firstRowLastColumn="0" w:lastRowFirstColumn="0" w:lastRowLastColumn="0"/>
            <w:tcW w:w="960" w:type="dxa"/>
            <w:vMerge w:val="restart"/>
            <w:tcBorders>
              <w:top w:val="single" w:sz="12" w:space="0" w:color="002060"/>
            </w:tcBorders>
            <w:noWrap/>
            <w:hideMark/>
          </w:tcPr>
          <w:p w14:paraId="29E32D95" w14:textId="77777777" w:rsidR="001E5C89" w:rsidRPr="0026455D" w:rsidRDefault="001E5C89" w:rsidP="00BE32C9">
            <w:pPr>
              <w:pStyle w:val="TableParagraph"/>
            </w:pPr>
            <w:r w:rsidRPr="0026455D">
              <w:t>Gender</w:t>
            </w:r>
          </w:p>
        </w:tc>
        <w:tc>
          <w:tcPr>
            <w:tcW w:w="960" w:type="dxa"/>
            <w:tcBorders>
              <w:top w:val="single" w:sz="12" w:space="0" w:color="002060"/>
            </w:tcBorders>
            <w:noWrap/>
            <w:hideMark/>
          </w:tcPr>
          <w:p w14:paraId="0B587630"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F</w:t>
            </w:r>
          </w:p>
        </w:tc>
        <w:tc>
          <w:tcPr>
            <w:tcW w:w="1394" w:type="dxa"/>
            <w:tcBorders>
              <w:top w:val="single" w:sz="12" w:space="0" w:color="002060"/>
            </w:tcBorders>
            <w:noWrap/>
            <w:hideMark/>
          </w:tcPr>
          <w:p w14:paraId="5BBAC6BC"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546,291</w:t>
            </w:r>
          </w:p>
        </w:tc>
        <w:tc>
          <w:tcPr>
            <w:tcW w:w="960" w:type="dxa"/>
            <w:tcBorders>
              <w:top w:val="single" w:sz="12" w:space="0" w:color="002060"/>
              <w:right w:val="dotted" w:sz="4" w:space="0" w:color="002060"/>
            </w:tcBorders>
            <w:noWrap/>
            <w:hideMark/>
          </w:tcPr>
          <w:p w14:paraId="2766F616"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49%</w:t>
            </w:r>
          </w:p>
        </w:tc>
        <w:tc>
          <w:tcPr>
            <w:tcW w:w="1394" w:type="dxa"/>
            <w:tcBorders>
              <w:top w:val="single" w:sz="12" w:space="0" w:color="002060"/>
              <w:left w:val="dotted" w:sz="4" w:space="0" w:color="002060"/>
            </w:tcBorders>
            <w:noWrap/>
            <w:hideMark/>
          </w:tcPr>
          <w:p w14:paraId="33FB7106"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545,411</w:t>
            </w:r>
          </w:p>
        </w:tc>
        <w:tc>
          <w:tcPr>
            <w:tcW w:w="960" w:type="dxa"/>
            <w:tcBorders>
              <w:top w:val="single" w:sz="12" w:space="0" w:color="002060"/>
              <w:right w:val="dotted" w:sz="4" w:space="0" w:color="002060"/>
            </w:tcBorders>
            <w:noWrap/>
            <w:hideMark/>
          </w:tcPr>
          <w:p w14:paraId="502BD483"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49%</w:t>
            </w:r>
          </w:p>
        </w:tc>
        <w:tc>
          <w:tcPr>
            <w:tcW w:w="1394" w:type="dxa"/>
            <w:tcBorders>
              <w:top w:val="single" w:sz="12" w:space="0" w:color="002060"/>
              <w:left w:val="dotted" w:sz="4" w:space="0" w:color="002060"/>
            </w:tcBorders>
            <w:noWrap/>
            <w:hideMark/>
          </w:tcPr>
          <w:p w14:paraId="3C847D8E"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542,340</w:t>
            </w:r>
          </w:p>
        </w:tc>
        <w:tc>
          <w:tcPr>
            <w:tcW w:w="960" w:type="dxa"/>
            <w:tcBorders>
              <w:top w:val="single" w:sz="12" w:space="0" w:color="002060"/>
            </w:tcBorders>
            <w:noWrap/>
            <w:hideMark/>
          </w:tcPr>
          <w:p w14:paraId="41D193DE"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49%</w:t>
            </w:r>
          </w:p>
        </w:tc>
      </w:tr>
      <w:tr w:rsidR="001E5C89" w:rsidRPr="0026455D" w14:paraId="28F85752" w14:textId="77777777" w:rsidTr="009C0E4E">
        <w:trPr>
          <w:cantSplit/>
          <w:trHeight w:val="144"/>
        </w:trPr>
        <w:tc>
          <w:tcPr>
            <w:cnfStyle w:val="001000000000" w:firstRow="0" w:lastRow="0" w:firstColumn="1" w:lastColumn="0" w:oddVBand="0" w:evenVBand="0" w:oddHBand="0" w:evenHBand="0" w:firstRowFirstColumn="0" w:firstRowLastColumn="0" w:lastRowFirstColumn="0" w:lastRowLastColumn="0"/>
            <w:tcW w:w="960" w:type="dxa"/>
            <w:vMerge/>
            <w:tcBorders>
              <w:bottom w:val="single" w:sz="12" w:space="0" w:color="002060"/>
            </w:tcBorders>
            <w:noWrap/>
            <w:hideMark/>
          </w:tcPr>
          <w:p w14:paraId="6587D3AD" w14:textId="77777777" w:rsidR="001E5C89" w:rsidRPr="0026455D" w:rsidRDefault="001E5C89" w:rsidP="00BE32C9">
            <w:pPr>
              <w:pStyle w:val="TableParagraph"/>
            </w:pPr>
          </w:p>
        </w:tc>
        <w:tc>
          <w:tcPr>
            <w:tcW w:w="960" w:type="dxa"/>
            <w:tcBorders>
              <w:bottom w:val="single" w:sz="12" w:space="0" w:color="002060"/>
            </w:tcBorders>
            <w:noWrap/>
            <w:hideMark/>
          </w:tcPr>
          <w:p w14:paraId="26D09148"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M</w:t>
            </w:r>
          </w:p>
        </w:tc>
        <w:tc>
          <w:tcPr>
            <w:tcW w:w="1394" w:type="dxa"/>
            <w:tcBorders>
              <w:bottom w:val="single" w:sz="12" w:space="0" w:color="002060"/>
            </w:tcBorders>
            <w:noWrap/>
            <w:hideMark/>
          </w:tcPr>
          <w:p w14:paraId="2A622D2E"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559,993</w:t>
            </w:r>
          </w:p>
        </w:tc>
        <w:tc>
          <w:tcPr>
            <w:tcW w:w="960" w:type="dxa"/>
            <w:tcBorders>
              <w:bottom w:val="single" w:sz="12" w:space="0" w:color="002060"/>
              <w:right w:val="dotted" w:sz="4" w:space="0" w:color="002060"/>
            </w:tcBorders>
            <w:noWrap/>
            <w:hideMark/>
          </w:tcPr>
          <w:p w14:paraId="136C1621"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51%</w:t>
            </w:r>
          </w:p>
        </w:tc>
        <w:tc>
          <w:tcPr>
            <w:tcW w:w="1394" w:type="dxa"/>
            <w:tcBorders>
              <w:left w:val="dotted" w:sz="4" w:space="0" w:color="002060"/>
              <w:bottom w:val="single" w:sz="12" w:space="0" w:color="002060"/>
            </w:tcBorders>
            <w:noWrap/>
            <w:hideMark/>
          </w:tcPr>
          <w:p w14:paraId="3499B05A"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563,310</w:t>
            </w:r>
          </w:p>
        </w:tc>
        <w:tc>
          <w:tcPr>
            <w:tcW w:w="960" w:type="dxa"/>
            <w:tcBorders>
              <w:bottom w:val="single" w:sz="12" w:space="0" w:color="002060"/>
              <w:right w:val="dotted" w:sz="4" w:space="0" w:color="002060"/>
            </w:tcBorders>
            <w:noWrap/>
            <w:hideMark/>
          </w:tcPr>
          <w:p w14:paraId="070F47A9"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51%</w:t>
            </w:r>
          </w:p>
        </w:tc>
        <w:tc>
          <w:tcPr>
            <w:tcW w:w="1394" w:type="dxa"/>
            <w:tcBorders>
              <w:left w:val="dotted" w:sz="4" w:space="0" w:color="002060"/>
              <w:bottom w:val="single" w:sz="12" w:space="0" w:color="002060"/>
            </w:tcBorders>
            <w:noWrap/>
            <w:hideMark/>
          </w:tcPr>
          <w:p w14:paraId="703CE580"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561,948</w:t>
            </w:r>
          </w:p>
        </w:tc>
        <w:tc>
          <w:tcPr>
            <w:tcW w:w="960" w:type="dxa"/>
            <w:tcBorders>
              <w:bottom w:val="single" w:sz="12" w:space="0" w:color="002060"/>
            </w:tcBorders>
            <w:noWrap/>
            <w:hideMark/>
          </w:tcPr>
          <w:p w14:paraId="6B3D47CC" w14:textId="77777777" w:rsidR="001E5C89" w:rsidRPr="0026455D"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455D">
              <w:t>51%</w:t>
            </w:r>
          </w:p>
        </w:tc>
      </w:tr>
    </w:tbl>
    <w:p w14:paraId="5A3AA227" w14:textId="4043604D" w:rsidR="001E5C89" w:rsidRDefault="001E5C89" w:rsidP="007813FB">
      <w:pPr>
        <w:pStyle w:val="TableNotes"/>
      </w:pPr>
      <w:r>
        <w:t>Source:</w:t>
      </w:r>
      <w:r w:rsidRPr="00CB4F30">
        <w:t xml:space="preserve"> </w:t>
      </w:r>
      <w:r w:rsidRPr="006C0788">
        <w:t>University of Massachusetts Donahue Institute</w:t>
      </w:r>
      <w:r>
        <w:t>.</w:t>
      </w:r>
      <w:r w:rsidRPr="006C0788">
        <w:t xml:space="preserve"> </w:t>
      </w:r>
      <w:r>
        <w:t>The geograph</w:t>
      </w:r>
      <w:r w:rsidR="00D548E3">
        <w:t>y</w:t>
      </w:r>
      <w:r>
        <w:t xml:space="preserve"> used as the service area for this table is all ZIP codes in any of the service areas considered within this report. This was done for comparison purposes only to represent the full area analyzed.</w:t>
      </w:r>
    </w:p>
    <w:p w14:paraId="2780390C" w14:textId="68A787F3" w:rsidR="00D64A44" w:rsidRDefault="00D64A44" w:rsidP="00BE32C9">
      <w:r>
        <w:t xml:space="preserve">While the CHIA data does not include information on race of patients, to provide a summary of race for the services </w:t>
      </w:r>
      <w:r w:rsidR="009444D9">
        <w:t xml:space="preserve">and pediatric populations </w:t>
      </w:r>
      <w:r>
        <w:t>in question, FTI used census data, and determined the race composition for children in ZIP codes that were included in any of the three facilities’ service areas</w:t>
      </w:r>
      <w:r w:rsidR="00537AD1">
        <w:t xml:space="preserve"> (the Combined Service Area)</w:t>
      </w:r>
      <w:r>
        <w:t xml:space="preserve">. As shown in </w:t>
      </w:r>
      <w:r w:rsidR="00C66EAF">
        <w:fldChar w:fldCharType="begin"/>
      </w:r>
      <w:r w:rsidR="00C66EAF">
        <w:instrText xml:space="preserve"> REF _Ref109648418 \h </w:instrText>
      </w:r>
      <w:r w:rsidR="00C66EAF">
        <w:fldChar w:fldCharType="separate"/>
      </w:r>
      <w:r w:rsidR="00CE7C62">
        <w:t xml:space="preserve">Figure </w:t>
      </w:r>
      <w:r w:rsidR="00CE7C62">
        <w:rPr>
          <w:noProof/>
        </w:rPr>
        <w:t>12</w:t>
      </w:r>
      <w:r w:rsidR="00C66EAF">
        <w:fldChar w:fldCharType="end"/>
      </w:r>
      <w:r w:rsidR="00C66EAF">
        <w:t>, approximately 62% of children in the service area are white, 13% are African American, 10% are Asian.</w:t>
      </w:r>
      <w:r w:rsidR="007C2FA5">
        <w:rPr>
          <w:rStyle w:val="FootnoteReference"/>
        </w:rPr>
        <w:footnoteReference w:id="47"/>
      </w:r>
    </w:p>
    <w:p w14:paraId="794E8AC9" w14:textId="03338E96" w:rsidR="00C66EAF" w:rsidRDefault="00C66EAF" w:rsidP="00BE32C9">
      <w:pPr>
        <w:pStyle w:val="Caption"/>
      </w:pPr>
      <w:bookmarkStart w:id="124" w:name="_Ref109648418"/>
      <w:bookmarkStart w:id="125" w:name="_Toc109901097"/>
      <w:r>
        <w:t xml:space="preserve">Figure </w:t>
      </w:r>
      <w:fldSimple w:instr=" SEQ Figure \* ARABIC ">
        <w:r w:rsidR="00CE7C62">
          <w:rPr>
            <w:noProof/>
          </w:rPr>
          <w:t>12</w:t>
        </w:r>
      </w:fldSimple>
      <w:bookmarkEnd w:id="124"/>
      <w:r>
        <w:t>: Pediatric Race Composition by Service</w:t>
      </w:r>
      <w:bookmarkEnd w:id="125"/>
      <w:r>
        <w:t xml:space="preserve"> </w:t>
      </w:r>
    </w:p>
    <w:p w14:paraId="2B4F088F" w14:textId="58A92AA0" w:rsidR="00D64A44" w:rsidRDefault="00C66EAF" w:rsidP="00BE32C9">
      <w:pPr>
        <w:numPr>
          <w:ilvl w:val="0"/>
          <w:numId w:val="0"/>
        </w:numPr>
        <w:ind w:left="633"/>
      </w:pPr>
      <w:r>
        <w:rPr>
          <w:noProof/>
        </w:rPr>
        <w:drawing>
          <wp:inline distT="0" distB="0" distL="0" distR="0" wp14:anchorId="21748053" wp14:editId="4A7E4912">
            <wp:extent cx="4584700" cy="2749550"/>
            <wp:effectExtent l="0" t="0" r="6350" b="0"/>
            <wp:docPr id="6" name="Picture 6" descr="Bar graph of Pediatric Race composition, measuring percentage of ASC, IMG, MRI, and overall Massachusetts between white, African-American, American Indian, Asian, and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r graph of Pediatric Race composition, measuring percentage of ASC, IMG, MRI, and overall Massachusetts between white, African-American, American Indian, Asian, and Othe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17961B6B" w14:textId="18437735" w:rsidR="00D36ADC" w:rsidRPr="00D705C0" w:rsidRDefault="00CB7636" w:rsidP="00BE32C9">
      <w:pPr>
        <w:pStyle w:val="Heading2"/>
      </w:pPr>
      <w:bookmarkStart w:id="126" w:name="_Toc109895507"/>
      <w:r w:rsidRPr="00D705C0">
        <w:t>Measuring Share (</w:t>
      </w:r>
      <w:r w:rsidR="00202EF8">
        <w:t>B</w:t>
      </w:r>
      <w:r w:rsidRPr="00D705C0">
        <w:t>ased on Utilization)</w:t>
      </w:r>
      <w:bookmarkEnd w:id="112"/>
      <w:bookmarkEnd w:id="126"/>
    </w:p>
    <w:p w14:paraId="1ED8D046" w14:textId="3B6B3EE0" w:rsidR="00A5584E" w:rsidRDefault="00A5584E" w:rsidP="00BE32C9">
      <w:bookmarkStart w:id="127" w:name="_Hlk105998494"/>
      <w:r>
        <w:t>In response to the DoN program’s request</w:t>
      </w:r>
      <w:r w:rsidR="002D6FBB">
        <w:t xml:space="preserve"> with regard to price/competition</w:t>
      </w:r>
      <w:r>
        <w:t xml:space="preserve">, we analyzed the current market share of BCH and </w:t>
      </w:r>
      <w:r w:rsidR="00B82A65">
        <w:t xml:space="preserve">alternative providers. For convenience in reporting </w:t>
      </w:r>
      <w:r w:rsidR="00B82A65">
        <w:lastRenderedPageBreak/>
        <w:t xml:space="preserve">out these results, the tables show the detail on the facilities in </w:t>
      </w:r>
      <w:r>
        <w:t>the</w:t>
      </w:r>
      <w:r w:rsidR="00D97B9E">
        <w:t xml:space="preserve"> </w:t>
      </w:r>
      <w:r>
        <w:t xml:space="preserve">health systems identified offering specialized children’s </w:t>
      </w:r>
      <w:r w:rsidR="00BD215C">
        <w:t xml:space="preserve">healthcare </w:t>
      </w:r>
      <w:r>
        <w:t>services in the service areas of the three “new” BCH facilities (Waltham, Needham, and Weymouth).</w:t>
      </w:r>
      <w:r>
        <w:rPr>
          <w:rStyle w:val="FootnoteReference"/>
        </w:rPr>
        <w:footnoteReference w:id="48"/>
      </w:r>
      <w:r>
        <w:t xml:space="preserve"> We used the 2019 APCD all payer claims and restricted the analysis to three services: ASC, imaging, and MRI that were identified as the primary service lines for price/competition and utilization/capacity analysis. </w:t>
      </w:r>
    </w:p>
    <w:p w14:paraId="7B4DA6F3" w14:textId="658B78F9" w:rsidR="002D6FBB" w:rsidRDefault="002D6FBB" w:rsidP="00BE32C9">
      <w:r w:rsidRPr="00D705C0">
        <w:t>As noted above, we consider and apply standardized approaches for defining service areas using 75% areas as a standard methodology for local areas, and for measuring utilization by provider for both local areas (by facility) and for the state.</w:t>
      </w:r>
      <w:r>
        <w:t xml:space="preserve"> </w:t>
      </w:r>
      <w:r w:rsidRPr="00D705C0">
        <w:t>For each of the relevant services, we evaluated the providers, including BCH, of each service and their current patient volumes (e.g., visits) and created share tables for each service line inclusive of this information</w:t>
      </w:r>
      <w:r>
        <w:t xml:space="preserve">. </w:t>
      </w:r>
      <w:r w:rsidR="00DF3156">
        <w:t xml:space="preserve">(Consistent with the ICA request, the tables and analyses are labeled as shares, although we note that service areas may not constitute markets for antitrust purposes.) </w:t>
      </w:r>
      <w:r w:rsidRPr="00D705C0">
        <w:t xml:space="preserve">Our analyses start </w:t>
      </w:r>
      <w:r w:rsidR="002941F3">
        <w:t xml:space="preserve">by </w:t>
      </w:r>
      <w:r w:rsidRPr="00D705C0">
        <w:t>including share, volume, and provider information.</w:t>
      </w:r>
      <w:r w:rsidRPr="00D705C0">
        <w:rPr>
          <w:rStyle w:val="FootnoteReference"/>
        </w:rPr>
        <w:footnoteReference w:id="49"/>
      </w:r>
      <w:r w:rsidRPr="00D705C0">
        <w:t xml:space="preserve"> We also evaluated information provided in the Application as appropriate.</w:t>
      </w:r>
      <w:r w:rsidR="00083FF7">
        <w:t xml:space="preserve"> </w:t>
      </w:r>
    </w:p>
    <w:p w14:paraId="7C9E7F66" w14:textId="18D30013" w:rsidR="00A5584E" w:rsidRDefault="00A5584E" w:rsidP="00BE32C9">
      <w:r>
        <w:t>In the following share tables, the service areas for the three facilities in question overlapped substantially; thus, for convenience in exposition, we provide shares for BCH and the alternatives (at the System level) for the area that encompasses all three facilities’ service areas</w:t>
      </w:r>
      <w:r w:rsidR="00C74B90">
        <w:t xml:space="preserve"> for that </w:t>
      </w:r>
      <w:r w:rsidR="00C74B90" w:rsidRPr="00ED0356">
        <w:t>service</w:t>
      </w:r>
      <w:r w:rsidRPr="00ED0356">
        <w:t xml:space="preserve">. </w:t>
      </w:r>
      <w:r w:rsidR="008F2F8B" w:rsidRPr="00ED0356">
        <w:t>I</w:t>
      </w:r>
      <w:r w:rsidRPr="00ED0356">
        <w:t>ndividual service areas for each of the three facilities by service (e.g., ASC, imaging, and MRI)</w:t>
      </w:r>
      <w:r w:rsidR="008F2F8B" w:rsidRPr="00ED0356">
        <w:t xml:space="preserve"> do not differ substantially from this combined area and</w:t>
      </w:r>
      <w:r w:rsidRPr="00ED0356">
        <w:t xml:space="preserve"> are provided in </w:t>
      </w:r>
      <w:r w:rsidR="00ED0356" w:rsidRPr="00ED0356">
        <w:t xml:space="preserve">Section </w:t>
      </w:r>
      <w:r w:rsidR="008C2968">
        <w:t>VII</w:t>
      </w:r>
      <w:r w:rsidR="00ED0356" w:rsidRPr="00ED0356">
        <w:t xml:space="preserve">. </w:t>
      </w:r>
    </w:p>
    <w:p w14:paraId="678A6908" w14:textId="27D25C80" w:rsidR="00A5584E" w:rsidRPr="00883A62" w:rsidRDefault="00A5584E" w:rsidP="00BE32C9">
      <w:r w:rsidRPr="00883A62">
        <w:t xml:space="preserve">In </w:t>
      </w:r>
      <w:r>
        <w:t>Massachusetts</w:t>
      </w:r>
      <w:r w:rsidRPr="00883A62">
        <w:t xml:space="preserve">, over 90% of the visits for MRI, imaging, and ASC services are Commercial and </w:t>
      </w:r>
      <w:r w:rsidR="00EA15B2">
        <w:t>MassHealth/</w:t>
      </w:r>
      <w:r w:rsidRPr="00883A62">
        <w:t>Medicaid patients. BCH’s payer mix is similar to the state-level payer mix</w:t>
      </w:r>
      <w:r w:rsidR="00634628">
        <w:t xml:space="preserve"> as can be seen by looking at tables below.</w:t>
      </w:r>
    </w:p>
    <w:p w14:paraId="43EC5736" w14:textId="31268816" w:rsidR="00A5584E" w:rsidRDefault="00A5584E" w:rsidP="00BE32C9">
      <w:pPr>
        <w:pStyle w:val="Heading3"/>
      </w:pPr>
      <w:bookmarkStart w:id="128" w:name="_Toc106002904"/>
      <w:bookmarkStart w:id="129" w:name="_Toc109895508"/>
      <w:r>
        <w:t>Share</w:t>
      </w:r>
      <w:bookmarkEnd w:id="128"/>
      <w:r w:rsidR="00C74B90">
        <w:t xml:space="preserve"> of MRI Visits</w:t>
      </w:r>
      <w:bookmarkEnd w:id="129"/>
    </w:p>
    <w:p w14:paraId="5CDA7D65" w14:textId="20954AC4" w:rsidR="00A5584E" w:rsidRDefault="00A5584E" w:rsidP="00BE32C9">
      <w:r w:rsidRPr="00C74EAC">
        <w:t xml:space="preserve">The six health systems with children’s hospitals (BCH and five other health systems) accounted for over 40% of all MRI visits for all three 75% service areas (BCH Waltham, </w:t>
      </w:r>
      <w:r w:rsidRPr="00C74EAC">
        <w:lastRenderedPageBreak/>
        <w:t>BCH Weymouth, and BCH Needham).</w:t>
      </w:r>
      <w:r w:rsidR="00DF3156">
        <w:t xml:space="preserve"> </w:t>
      </w:r>
      <w:r w:rsidRPr="00C74EAC">
        <w:t xml:space="preserve">BCH facilities have the largest shares across </w:t>
      </w:r>
      <w:r w:rsidR="006860CC" w:rsidRPr="00C74EAC">
        <w:t>the</w:t>
      </w:r>
      <w:r w:rsidRPr="00C74EAC">
        <w:t xml:space="preserve"> three </w:t>
      </w:r>
      <w:r w:rsidR="007224FE" w:rsidRPr="00C74EAC">
        <w:t xml:space="preserve">combined </w:t>
      </w:r>
      <w:r w:rsidRPr="00C74EAC">
        <w:t>75% service</w:t>
      </w:r>
      <w:r w:rsidRPr="007C1F73">
        <w:t xml:space="preserve"> areas.</w:t>
      </w:r>
    </w:p>
    <w:p w14:paraId="38D4DC74" w14:textId="05CE17E7" w:rsidR="001E5C89" w:rsidRPr="004E0FF5" w:rsidRDefault="001E5C89" w:rsidP="00BE32C9">
      <w:pPr>
        <w:pStyle w:val="Caption"/>
      </w:pPr>
      <w:bookmarkStart w:id="130" w:name="_Ref105766842"/>
      <w:bookmarkStart w:id="131" w:name="_Ref106621937"/>
      <w:bookmarkStart w:id="132" w:name="_Toc106641178"/>
      <w:bookmarkStart w:id="133" w:name="_Toc106648882"/>
      <w:bookmarkStart w:id="134" w:name="_Toc109895434"/>
      <w:r w:rsidRPr="004E0FF5">
        <w:t xml:space="preserve">Table </w:t>
      </w:r>
      <w:fldSimple w:instr=" SEQ Table \* ARABIC ">
        <w:r w:rsidR="00CE7C62" w:rsidRPr="004E0FF5">
          <w:rPr>
            <w:noProof/>
          </w:rPr>
          <w:t>3</w:t>
        </w:r>
      </w:fldSimple>
      <w:bookmarkEnd w:id="130"/>
      <w:r w:rsidRPr="004E0FF5">
        <w:t xml:space="preserve">: MRI Visits and Shares by System, 2019 </w:t>
      </w:r>
      <w:bookmarkEnd w:id="131"/>
      <w:bookmarkEnd w:id="132"/>
      <w:bookmarkEnd w:id="133"/>
      <w:r w:rsidRPr="004E0FF5">
        <w:t>(Combined Service Area, Patients Aged 0 – 18)</w:t>
      </w:r>
      <w:bookmarkEnd w:id="134"/>
    </w:p>
    <w:tbl>
      <w:tblPr>
        <w:tblStyle w:val="GridTable4-Accent11"/>
        <w:tblW w:w="0" w:type="auto"/>
        <w:tblLayout w:type="fixed"/>
        <w:tblLook w:val="04A0" w:firstRow="1" w:lastRow="0" w:firstColumn="1" w:lastColumn="0" w:noHBand="0" w:noVBand="1"/>
      </w:tblPr>
      <w:tblGrid>
        <w:gridCol w:w="1418"/>
        <w:gridCol w:w="1342"/>
        <w:gridCol w:w="1397"/>
        <w:gridCol w:w="1166"/>
      </w:tblGrid>
      <w:tr w:rsidR="004E0FF5" w:rsidRPr="004E0FF5" w14:paraId="6C150EE8" w14:textId="77777777" w:rsidTr="002D150D">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1418" w:type="dxa"/>
            <w:hideMark/>
          </w:tcPr>
          <w:p w14:paraId="591A0FB4" w14:textId="77777777" w:rsidR="004E0FF5" w:rsidRPr="004E0FF5" w:rsidRDefault="004E0FF5" w:rsidP="00BE32C9">
            <w:pPr>
              <w:pStyle w:val="TableParagraph"/>
            </w:pPr>
            <w:r w:rsidRPr="004E0FF5">
              <w:t>System</w:t>
            </w:r>
          </w:p>
        </w:tc>
        <w:tc>
          <w:tcPr>
            <w:tcW w:w="1342" w:type="dxa"/>
            <w:hideMark/>
          </w:tcPr>
          <w:p w14:paraId="06145C11" w14:textId="77777777" w:rsidR="004E0FF5" w:rsidRPr="004E0FF5" w:rsidRDefault="004E0FF5" w:rsidP="00BE32C9">
            <w:pPr>
              <w:pStyle w:val="TableParagraph"/>
              <w:cnfStyle w:val="100000000000" w:firstRow="1" w:lastRow="0" w:firstColumn="0" w:lastColumn="0" w:oddVBand="0" w:evenVBand="0" w:oddHBand="0" w:evenHBand="0" w:firstRowFirstColumn="0" w:firstRowLastColumn="0" w:lastRowFirstColumn="0" w:lastRowLastColumn="0"/>
            </w:pPr>
            <w:r w:rsidRPr="004E0FF5">
              <w:t>Share of Visits</w:t>
            </w:r>
          </w:p>
        </w:tc>
        <w:tc>
          <w:tcPr>
            <w:tcW w:w="1397" w:type="dxa"/>
            <w:hideMark/>
          </w:tcPr>
          <w:p w14:paraId="561C9EB0" w14:textId="77777777" w:rsidR="004E0FF5" w:rsidRPr="004E0FF5" w:rsidRDefault="004E0FF5" w:rsidP="00BE32C9">
            <w:pPr>
              <w:pStyle w:val="TableParagraph"/>
              <w:cnfStyle w:val="100000000000" w:firstRow="1" w:lastRow="0" w:firstColumn="0" w:lastColumn="0" w:oddVBand="0" w:evenVBand="0" w:oddHBand="0" w:evenHBand="0" w:firstRowFirstColumn="0" w:firstRowLastColumn="0" w:lastRowFirstColumn="0" w:lastRowLastColumn="0"/>
            </w:pPr>
            <w:r w:rsidRPr="004E0FF5">
              <w:t>% Commercial</w:t>
            </w:r>
          </w:p>
        </w:tc>
        <w:tc>
          <w:tcPr>
            <w:tcW w:w="1166" w:type="dxa"/>
            <w:hideMark/>
          </w:tcPr>
          <w:p w14:paraId="2300ADB7" w14:textId="77777777" w:rsidR="004E0FF5" w:rsidRPr="004E0FF5" w:rsidRDefault="004E0FF5" w:rsidP="00BE32C9">
            <w:pPr>
              <w:pStyle w:val="TableParagraph"/>
              <w:cnfStyle w:val="100000000000" w:firstRow="1" w:lastRow="0" w:firstColumn="0" w:lastColumn="0" w:oddVBand="0" w:evenVBand="0" w:oddHBand="0" w:evenHBand="0" w:firstRowFirstColumn="0" w:firstRowLastColumn="0" w:lastRowFirstColumn="0" w:lastRowLastColumn="0"/>
            </w:pPr>
            <w:r w:rsidRPr="004E0FF5">
              <w:t>% Medicaid</w:t>
            </w:r>
          </w:p>
        </w:tc>
      </w:tr>
      <w:tr w:rsidR="004E0FF5" w:rsidRPr="004E0FF5" w14:paraId="7DE5EBB2" w14:textId="77777777" w:rsidTr="002D150D">
        <w:trPr>
          <w:cantSplit/>
          <w:trHeight w:val="2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EE9DAC8" w14:textId="77777777" w:rsidR="004E0FF5" w:rsidRPr="004E0FF5" w:rsidRDefault="004E0FF5" w:rsidP="00BE32C9">
            <w:pPr>
              <w:pStyle w:val="TableParagraph"/>
            </w:pPr>
            <w:r w:rsidRPr="004E0FF5">
              <w:t>All Visits</w:t>
            </w:r>
          </w:p>
        </w:tc>
        <w:tc>
          <w:tcPr>
            <w:tcW w:w="1342" w:type="dxa"/>
            <w:noWrap/>
            <w:vAlign w:val="top"/>
            <w:hideMark/>
          </w:tcPr>
          <w:p w14:paraId="0DC08960"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100.0%</w:t>
            </w:r>
          </w:p>
        </w:tc>
        <w:tc>
          <w:tcPr>
            <w:tcW w:w="1397" w:type="dxa"/>
            <w:noWrap/>
            <w:vAlign w:val="top"/>
            <w:hideMark/>
          </w:tcPr>
          <w:p w14:paraId="2E62E6E4"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55.5%</w:t>
            </w:r>
          </w:p>
        </w:tc>
        <w:tc>
          <w:tcPr>
            <w:tcW w:w="1166" w:type="dxa"/>
            <w:noWrap/>
            <w:vAlign w:val="top"/>
            <w:hideMark/>
          </w:tcPr>
          <w:p w14:paraId="23408974"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44.5%</w:t>
            </w:r>
          </w:p>
        </w:tc>
      </w:tr>
      <w:tr w:rsidR="004E0FF5" w:rsidRPr="004E0FF5" w14:paraId="2048FEEA" w14:textId="77777777" w:rsidTr="002D150D">
        <w:trPr>
          <w:cantSplit/>
          <w:trHeight w:val="2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8901395" w14:textId="77777777" w:rsidR="004E0FF5" w:rsidRPr="004E0FF5" w:rsidRDefault="004E0FF5" w:rsidP="00BE32C9">
            <w:pPr>
              <w:pStyle w:val="TableParagraph"/>
            </w:pPr>
            <w:r w:rsidRPr="004E0FF5">
              <w:t>BCH</w:t>
            </w:r>
          </w:p>
        </w:tc>
        <w:tc>
          <w:tcPr>
            <w:tcW w:w="1342" w:type="dxa"/>
            <w:noWrap/>
            <w:vAlign w:val="top"/>
            <w:hideMark/>
          </w:tcPr>
          <w:p w14:paraId="5D0A023E"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31.4%</w:t>
            </w:r>
          </w:p>
        </w:tc>
        <w:tc>
          <w:tcPr>
            <w:tcW w:w="1397" w:type="dxa"/>
            <w:noWrap/>
            <w:vAlign w:val="top"/>
            <w:hideMark/>
          </w:tcPr>
          <w:p w14:paraId="6404E3D5"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53.0%</w:t>
            </w:r>
          </w:p>
        </w:tc>
        <w:tc>
          <w:tcPr>
            <w:tcW w:w="1166" w:type="dxa"/>
            <w:noWrap/>
            <w:vAlign w:val="top"/>
            <w:hideMark/>
          </w:tcPr>
          <w:p w14:paraId="2AA53E05"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47.0%</w:t>
            </w:r>
          </w:p>
        </w:tc>
      </w:tr>
      <w:tr w:rsidR="004E0FF5" w:rsidRPr="004E0FF5" w14:paraId="3829C7E9" w14:textId="77777777" w:rsidTr="002D150D">
        <w:trPr>
          <w:cantSplit/>
          <w:trHeight w:val="2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681A38" w14:textId="77777777" w:rsidR="004E0FF5" w:rsidRPr="004E0FF5" w:rsidRDefault="004E0FF5" w:rsidP="00715CA7">
            <w:pPr>
              <w:pStyle w:val="TableParagraph"/>
            </w:pPr>
            <w:r w:rsidRPr="004E0FF5">
              <w:t>Baystate</w:t>
            </w:r>
          </w:p>
        </w:tc>
        <w:tc>
          <w:tcPr>
            <w:tcW w:w="1342" w:type="dxa"/>
            <w:noWrap/>
            <w:vAlign w:val="top"/>
            <w:hideMark/>
          </w:tcPr>
          <w:p w14:paraId="09ED6D93" w14:textId="77777777" w:rsidR="004E0FF5" w:rsidRPr="004E0FF5" w:rsidRDefault="004E0FF5" w:rsidP="00715CA7">
            <w:pPr>
              <w:pStyle w:val="TableParagraph"/>
              <w:cnfStyle w:val="000000000000" w:firstRow="0" w:lastRow="0" w:firstColumn="0" w:lastColumn="0" w:oddVBand="0" w:evenVBand="0" w:oddHBand="0" w:evenHBand="0" w:firstRowFirstColumn="0" w:firstRowLastColumn="0" w:lastRowFirstColumn="0" w:lastRowLastColumn="0"/>
            </w:pPr>
            <w:r w:rsidRPr="004E0FF5">
              <w:t>0.0%</w:t>
            </w:r>
          </w:p>
        </w:tc>
        <w:tc>
          <w:tcPr>
            <w:tcW w:w="1397" w:type="dxa"/>
            <w:noWrap/>
            <w:vAlign w:val="top"/>
            <w:hideMark/>
          </w:tcPr>
          <w:p w14:paraId="74915BE4" w14:textId="43494D68" w:rsidR="004E0FF5" w:rsidRPr="004E0FF5" w:rsidRDefault="004E0FF5" w:rsidP="00715CA7">
            <w:pPr>
              <w:pStyle w:val="TableParagraph"/>
              <w:cnfStyle w:val="000000000000" w:firstRow="0" w:lastRow="0" w:firstColumn="0" w:lastColumn="0" w:oddVBand="0" w:evenVBand="0" w:oddHBand="0" w:evenHBand="0" w:firstRowFirstColumn="0" w:firstRowLastColumn="0" w:lastRowFirstColumn="0" w:lastRowLastColumn="0"/>
            </w:pPr>
            <w:r w:rsidRPr="004E0FF5">
              <w:t>-</w:t>
            </w:r>
          </w:p>
        </w:tc>
        <w:tc>
          <w:tcPr>
            <w:tcW w:w="1166" w:type="dxa"/>
            <w:noWrap/>
            <w:vAlign w:val="top"/>
            <w:hideMark/>
          </w:tcPr>
          <w:p w14:paraId="077F4293" w14:textId="129B8A76" w:rsidR="004E0FF5" w:rsidRPr="004E0FF5" w:rsidRDefault="004E0FF5" w:rsidP="00715CA7">
            <w:pPr>
              <w:pStyle w:val="TableParagraph"/>
              <w:cnfStyle w:val="000000000000" w:firstRow="0" w:lastRow="0" w:firstColumn="0" w:lastColumn="0" w:oddVBand="0" w:evenVBand="0" w:oddHBand="0" w:evenHBand="0" w:firstRowFirstColumn="0" w:firstRowLastColumn="0" w:lastRowFirstColumn="0" w:lastRowLastColumn="0"/>
            </w:pPr>
            <w:r w:rsidRPr="004E0FF5">
              <w:t>-</w:t>
            </w:r>
          </w:p>
        </w:tc>
      </w:tr>
      <w:tr w:rsidR="004E0FF5" w:rsidRPr="004E0FF5" w14:paraId="3D1CC769" w14:textId="77777777" w:rsidTr="002D150D">
        <w:trPr>
          <w:cantSplit/>
          <w:trHeight w:val="2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5E70C90" w14:textId="77777777" w:rsidR="004E0FF5" w:rsidRPr="004E0FF5" w:rsidRDefault="004E0FF5" w:rsidP="00BE32C9">
            <w:pPr>
              <w:pStyle w:val="TableParagraph"/>
            </w:pPr>
            <w:r w:rsidRPr="004E0FF5">
              <w:t>Boston Medical</w:t>
            </w:r>
          </w:p>
        </w:tc>
        <w:tc>
          <w:tcPr>
            <w:tcW w:w="1342" w:type="dxa"/>
            <w:noWrap/>
            <w:vAlign w:val="top"/>
            <w:hideMark/>
          </w:tcPr>
          <w:p w14:paraId="6437C75B"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1.6%</w:t>
            </w:r>
          </w:p>
        </w:tc>
        <w:tc>
          <w:tcPr>
            <w:tcW w:w="1397" w:type="dxa"/>
            <w:noWrap/>
            <w:vAlign w:val="top"/>
            <w:hideMark/>
          </w:tcPr>
          <w:p w14:paraId="4AE7DD2D"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10.8%</w:t>
            </w:r>
          </w:p>
        </w:tc>
        <w:tc>
          <w:tcPr>
            <w:tcW w:w="1166" w:type="dxa"/>
            <w:noWrap/>
            <w:vAlign w:val="top"/>
            <w:hideMark/>
          </w:tcPr>
          <w:p w14:paraId="3C1CEF80"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89.2%</w:t>
            </w:r>
          </w:p>
        </w:tc>
      </w:tr>
      <w:tr w:rsidR="004E0FF5" w:rsidRPr="004E0FF5" w14:paraId="5CB1BE64" w14:textId="77777777" w:rsidTr="002D150D">
        <w:trPr>
          <w:cantSplit/>
          <w:trHeight w:val="2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41ACCAE" w14:textId="77777777" w:rsidR="004E0FF5" w:rsidRPr="004E0FF5" w:rsidRDefault="004E0FF5" w:rsidP="00BE32C9">
            <w:pPr>
              <w:pStyle w:val="TableParagraph"/>
            </w:pPr>
            <w:r w:rsidRPr="004E0FF5">
              <w:t>Mass General</w:t>
            </w:r>
          </w:p>
        </w:tc>
        <w:tc>
          <w:tcPr>
            <w:tcW w:w="1342" w:type="dxa"/>
            <w:noWrap/>
            <w:vAlign w:val="top"/>
            <w:hideMark/>
          </w:tcPr>
          <w:p w14:paraId="14076371"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9.3%</w:t>
            </w:r>
          </w:p>
        </w:tc>
        <w:tc>
          <w:tcPr>
            <w:tcW w:w="1397" w:type="dxa"/>
            <w:noWrap/>
            <w:vAlign w:val="top"/>
            <w:hideMark/>
          </w:tcPr>
          <w:p w14:paraId="7A7E91BB"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51.0%</w:t>
            </w:r>
          </w:p>
        </w:tc>
        <w:tc>
          <w:tcPr>
            <w:tcW w:w="1166" w:type="dxa"/>
            <w:noWrap/>
            <w:vAlign w:val="top"/>
            <w:hideMark/>
          </w:tcPr>
          <w:p w14:paraId="64A9AF2A"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49.0%</w:t>
            </w:r>
          </w:p>
        </w:tc>
      </w:tr>
      <w:tr w:rsidR="004E0FF5" w:rsidRPr="004E0FF5" w14:paraId="36A31B1C" w14:textId="77777777" w:rsidTr="002D150D">
        <w:trPr>
          <w:cantSplit/>
          <w:trHeight w:val="2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9E1DDE4" w14:textId="77777777" w:rsidR="004E0FF5" w:rsidRPr="004E0FF5" w:rsidRDefault="004E0FF5" w:rsidP="00BE32C9">
            <w:pPr>
              <w:pStyle w:val="TableParagraph"/>
            </w:pPr>
            <w:r w:rsidRPr="004E0FF5">
              <w:t>Tufts</w:t>
            </w:r>
          </w:p>
        </w:tc>
        <w:tc>
          <w:tcPr>
            <w:tcW w:w="1342" w:type="dxa"/>
            <w:noWrap/>
            <w:vAlign w:val="top"/>
            <w:hideMark/>
          </w:tcPr>
          <w:p w14:paraId="6CA1B45D"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2.2%</w:t>
            </w:r>
          </w:p>
        </w:tc>
        <w:tc>
          <w:tcPr>
            <w:tcW w:w="1397" w:type="dxa"/>
            <w:noWrap/>
            <w:vAlign w:val="top"/>
            <w:hideMark/>
          </w:tcPr>
          <w:p w14:paraId="12913F89"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26.2%</w:t>
            </w:r>
          </w:p>
        </w:tc>
        <w:tc>
          <w:tcPr>
            <w:tcW w:w="1166" w:type="dxa"/>
            <w:noWrap/>
            <w:vAlign w:val="top"/>
            <w:hideMark/>
          </w:tcPr>
          <w:p w14:paraId="693F2609"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73.8%</w:t>
            </w:r>
          </w:p>
        </w:tc>
      </w:tr>
      <w:tr w:rsidR="004E0FF5" w:rsidRPr="004E0FF5" w14:paraId="2A12BA74" w14:textId="77777777" w:rsidTr="002D150D">
        <w:trPr>
          <w:cantSplit/>
          <w:trHeight w:val="2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A53D3F8" w14:textId="77777777" w:rsidR="004E0FF5" w:rsidRPr="004E0FF5" w:rsidRDefault="004E0FF5" w:rsidP="00BE32C9">
            <w:pPr>
              <w:pStyle w:val="TableParagraph"/>
            </w:pPr>
            <w:r w:rsidRPr="004E0FF5">
              <w:t>UMASS</w:t>
            </w:r>
          </w:p>
        </w:tc>
        <w:tc>
          <w:tcPr>
            <w:tcW w:w="1342" w:type="dxa"/>
            <w:noWrap/>
            <w:vAlign w:val="top"/>
            <w:hideMark/>
          </w:tcPr>
          <w:p w14:paraId="26BC1C69"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1.5%</w:t>
            </w:r>
          </w:p>
        </w:tc>
        <w:tc>
          <w:tcPr>
            <w:tcW w:w="1397" w:type="dxa"/>
            <w:noWrap/>
            <w:vAlign w:val="top"/>
            <w:hideMark/>
          </w:tcPr>
          <w:p w14:paraId="199AA357"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45.3%</w:t>
            </w:r>
          </w:p>
        </w:tc>
        <w:tc>
          <w:tcPr>
            <w:tcW w:w="1166" w:type="dxa"/>
            <w:noWrap/>
            <w:vAlign w:val="top"/>
            <w:hideMark/>
          </w:tcPr>
          <w:p w14:paraId="5C79071D"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54.7%</w:t>
            </w:r>
          </w:p>
        </w:tc>
      </w:tr>
      <w:tr w:rsidR="004E0FF5" w:rsidRPr="004E0FF5" w14:paraId="73D5DBAE" w14:textId="77777777" w:rsidTr="002D150D">
        <w:trPr>
          <w:cantSplit/>
          <w:trHeight w:val="2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87C298" w14:textId="77777777" w:rsidR="004E0FF5" w:rsidRPr="004E0FF5" w:rsidRDefault="004E0FF5" w:rsidP="00BE32C9">
            <w:pPr>
              <w:pStyle w:val="TableParagraph"/>
            </w:pPr>
            <w:r w:rsidRPr="004E0FF5">
              <w:t>Other</w:t>
            </w:r>
          </w:p>
        </w:tc>
        <w:tc>
          <w:tcPr>
            <w:tcW w:w="1342" w:type="dxa"/>
            <w:noWrap/>
            <w:vAlign w:val="top"/>
            <w:hideMark/>
          </w:tcPr>
          <w:p w14:paraId="23739588"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54.0%</w:t>
            </w:r>
          </w:p>
        </w:tc>
        <w:tc>
          <w:tcPr>
            <w:tcW w:w="1397" w:type="dxa"/>
            <w:noWrap/>
            <w:vAlign w:val="top"/>
            <w:hideMark/>
          </w:tcPr>
          <w:p w14:paraId="243C4099"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60.5%</w:t>
            </w:r>
          </w:p>
        </w:tc>
        <w:tc>
          <w:tcPr>
            <w:tcW w:w="1166" w:type="dxa"/>
            <w:noWrap/>
            <w:vAlign w:val="top"/>
            <w:hideMark/>
          </w:tcPr>
          <w:p w14:paraId="3686FE48" w14:textId="77777777" w:rsidR="004E0FF5" w:rsidRPr="004E0FF5" w:rsidRDefault="004E0FF5" w:rsidP="00BE32C9">
            <w:pPr>
              <w:pStyle w:val="TableParagraph"/>
              <w:cnfStyle w:val="000000000000" w:firstRow="0" w:lastRow="0" w:firstColumn="0" w:lastColumn="0" w:oddVBand="0" w:evenVBand="0" w:oddHBand="0" w:evenHBand="0" w:firstRowFirstColumn="0" w:firstRowLastColumn="0" w:lastRowFirstColumn="0" w:lastRowLastColumn="0"/>
            </w:pPr>
            <w:r w:rsidRPr="004E0FF5">
              <w:t>39.5%</w:t>
            </w:r>
          </w:p>
        </w:tc>
      </w:tr>
    </w:tbl>
    <w:p w14:paraId="1A61FA60" w14:textId="139BF1B2" w:rsidR="001E5C89" w:rsidRPr="00946304" w:rsidRDefault="001E5C89" w:rsidP="004E0FF5">
      <w:pPr>
        <w:pStyle w:val="TableNotes"/>
        <w:ind w:left="1980"/>
      </w:pPr>
      <w:r w:rsidRPr="004E0FF5">
        <w:t xml:space="preserve">Source: 2019 CHIA all-payer medical claim data. </w:t>
      </w:r>
    </w:p>
    <w:p w14:paraId="44ABAC6A" w14:textId="73D22E4E" w:rsidR="006860CC" w:rsidRPr="00946304" w:rsidRDefault="003F6A91" w:rsidP="00BE32C9">
      <w:r w:rsidRPr="00946304">
        <w:t xml:space="preserve">All payers: </w:t>
      </w:r>
      <w:r w:rsidR="00A5584E" w:rsidRPr="00946304">
        <w:t xml:space="preserve">In the 75% service areas (shown above in </w:t>
      </w:r>
      <w:r w:rsidR="00D35B95" w:rsidRPr="00946304">
        <w:fldChar w:fldCharType="begin"/>
      </w:r>
      <w:r w:rsidR="00D35B95" w:rsidRPr="00946304">
        <w:instrText xml:space="preserve"> REF _Ref106621937 \h </w:instrText>
      </w:r>
      <w:r w:rsidR="00946304">
        <w:instrText xml:space="preserve"> \* MERGEFORMAT </w:instrText>
      </w:r>
      <w:r w:rsidR="00D35B95" w:rsidRPr="00946304">
        <w:fldChar w:fldCharType="separate"/>
      </w:r>
      <w:r w:rsidR="00CE7C62" w:rsidRPr="0014798D">
        <w:t xml:space="preserve">Table </w:t>
      </w:r>
      <w:r w:rsidR="00CE7C62">
        <w:rPr>
          <w:noProof/>
        </w:rPr>
        <w:t>3</w:t>
      </w:r>
      <w:r w:rsidR="00CE7C62">
        <w:t xml:space="preserve">: MRI Visits and Shares by System, 2019 </w:t>
      </w:r>
      <w:r w:rsidR="00D35B95" w:rsidRPr="00946304">
        <w:fldChar w:fldCharType="end"/>
      </w:r>
      <w:r w:rsidR="00A5584E" w:rsidRPr="00946304">
        <w:t xml:space="preserve">, BCH facilities accounted for </w:t>
      </w:r>
      <w:r w:rsidR="00A508FE" w:rsidRPr="00946304">
        <w:t>31.</w:t>
      </w:r>
      <w:r w:rsidR="008C75DC" w:rsidRPr="00946304">
        <w:t>4</w:t>
      </w:r>
      <w:r w:rsidR="00A5584E" w:rsidRPr="00946304">
        <w:t xml:space="preserve">% of total MRI visits, with Boston Children’s Hospital (Main Campus) contributing to </w:t>
      </w:r>
      <w:r w:rsidR="008C75DC" w:rsidRPr="00946304">
        <w:t>26.1</w:t>
      </w:r>
      <w:r w:rsidR="00A5584E" w:rsidRPr="00946304">
        <w:t>% of total visits. Mass General Brigham facilities accounted for the second largest share (</w:t>
      </w:r>
      <w:r w:rsidR="008C75DC" w:rsidRPr="00946304">
        <w:t>9.3</w:t>
      </w:r>
      <w:r w:rsidR="00A5584E" w:rsidRPr="00946304">
        <w:t xml:space="preserve">%), with Mass General Hospital (which includes the Children’s Hospital) </w:t>
      </w:r>
      <w:r w:rsidR="008C75DC" w:rsidRPr="00946304">
        <w:t>6.1</w:t>
      </w:r>
      <w:r w:rsidR="00A5584E" w:rsidRPr="00946304">
        <w:t xml:space="preserve">% of total MRI visits. </w:t>
      </w:r>
    </w:p>
    <w:p w14:paraId="7E94C7FD" w14:textId="649AC5D2" w:rsidR="00A5584E" w:rsidRPr="00896720" w:rsidRDefault="00A5584E" w:rsidP="00BE32C9">
      <w:r w:rsidRPr="00A30D6A">
        <w:t xml:space="preserve">The share of Tufts, UMass, Boston Medical Center and Baystate Health combined was </w:t>
      </w:r>
      <w:r w:rsidR="00905DDA" w:rsidRPr="00A30D6A">
        <w:t xml:space="preserve">only </w:t>
      </w:r>
      <w:r w:rsidR="008C75DC" w:rsidRPr="00A30D6A">
        <w:t>5.3</w:t>
      </w:r>
      <w:r w:rsidRPr="00A30D6A">
        <w:t>% in the combined service area.</w:t>
      </w:r>
      <w:r w:rsidRPr="00896720">
        <w:t xml:space="preserve"> All other entities account for </w:t>
      </w:r>
      <w:r w:rsidR="008C75DC" w:rsidRPr="00896720">
        <w:t>54</w:t>
      </w:r>
      <w:r w:rsidRPr="00896720">
        <w:t xml:space="preserve">% share and include a </w:t>
      </w:r>
      <w:r w:rsidR="003B78C8">
        <w:t xml:space="preserve">very </w:t>
      </w:r>
      <w:r w:rsidR="00715CA7">
        <w:t>l</w:t>
      </w:r>
      <w:r w:rsidRPr="00896720">
        <w:t>arge number of individual providers located across the area (and the state)</w:t>
      </w:r>
      <w:r w:rsidR="003B78C8">
        <w:t xml:space="preserve"> that provide the </w:t>
      </w:r>
      <w:r w:rsidR="009444D9">
        <w:t xml:space="preserve">MRI </w:t>
      </w:r>
      <w:r w:rsidR="003B78C8">
        <w:t xml:space="preserve">services to </w:t>
      </w:r>
      <w:r w:rsidR="00A30D6A">
        <w:t xml:space="preserve">pediatric </w:t>
      </w:r>
      <w:r w:rsidR="003B78C8">
        <w:t>patients in the service area</w:t>
      </w:r>
      <w:r w:rsidRPr="00896720">
        <w:t>.</w:t>
      </w:r>
      <w:r w:rsidR="00E95CFF" w:rsidRPr="00896720">
        <w:t xml:space="preserve"> </w:t>
      </w:r>
      <w:r w:rsidR="00537AD1" w:rsidRPr="00896720">
        <w:t>The</w:t>
      </w:r>
      <w:r w:rsidR="00E95CFF" w:rsidRPr="00896720">
        <w:t xml:space="preserve"> 5</w:t>
      </w:r>
      <w:r w:rsidR="008C75DC" w:rsidRPr="00896720">
        <w:t>4</w:t>
      </w:r>
      <w:r w:rsidR="00E95CFF" w:rsidRPr="00896720">
        <w:t xml:space="preserve">% </w:t>
      </w:r>
      <w:r w:rsidR="00537AD1" w:rsidRPr="00896720">
        <w:t>share includes</w:t>
      </w:r>
      <w:r w:rsidR="00E95CFF" w:rsidRPr="00896720">
        <w:t xml:space="preserve"> 1,334 unique NPI numbers, mostly made up of </w:t>
      </w:r>
      <w:r w:rsidR="009444D9">
        <w:t xml:space="preserve">many </w:t>
      </w:r>
      <w:r w:rsidR="00E95CFF" w:rsidRPr="00896720">
        <w:t>individual providers</w:t>
      </w:r>
      <w:r w:rsidR="00CE7C62">
        <w:t xml:space="preserve">, the vast majority of which have </w:t>
      </w:r>
      <w:r w:rsidR="009444D9">
        <w:t xml:space="preserve">very </w:t>
      </w:r>
      <w:r w:rsidR="00CE7C62">
        <w:t>low share</w:t>
      </w:r>
      <w:r w:rsidR="00E95CFF" w:rsidRPr="00896720">
        <w:t>.</w:t>
      </w:r>
      <w:r w:rsidR="009E4FBF" w:rsidRPr="00896720">
        <w:t xml:space="preserve"> </w:t>
      </w:r>
      <w:r w:rsidR="009444D9">
        <w:t>We note that the</w:t>
      </w:r>
      <w:r w:rsidR="009444D9" w:rsidRPr="00896720">
        <w:t xml:space="preserve"> </w:t>
      </w:r>
      <w:r w:rsidR="009E4FBF" w:rsidRPr="00896720">
        <w:t xml:space="preserve">age distribution of </w:t>
      </w:r>
      <w:r w:rsidR="00A30D6A">
        <w:t xml:space="preserve">pediatric </w:t>
      </w:r>
      <w:r w:rsidR="009E4FBF" w:rsidRPr="00896720">
        <w:t xml:space="preserve">patients in the Other category </w:t>
      </w:r>
      <w:r w:rsidR="00537AD1" w:rsidRPr="00896720">
        <w:t xml:space="preserve">is similar to the age distribution </w:t>
      </w:r>
      <w:r w:rsidR="009E4FBF" w:rsidRPr="00896720">
        <w:t>of the identified hospitals</w:t>
      </w:r>
      <w:r w:rsidR="00A30D6A">
        <w:t>, although many of these other entities provide MRI services to a much broader patient population (e.g., adults)</w:t>
      </w:r>
      <w:r w:rsidR="009E4FBF" w:rsidRPr="00896720">
        <w:t>.</w:t>
      </w:r>
      <w:r w:rsidR="009444D9">
        <w:rPr>
          <w:rStyle w:val="FootnoteReference"/>
        </w:rPr>
        <w:footnoteReference w:id="50"/>
      </w:r>
      <w:r w:rsidR="00D04771">
        <w:t xml:space="preserve"> </w:t>
      </w:r>
    </w:p>
    <w:p w14:paraId="350957FC" w14:textId="39F5B5A3" w:rsidR="001E5C89" w:rsidRPr="00901E4E" w:rsidRDefault="001E5C89" w:rsidP="00BE32C9">
      <w:pPr>
        <w:pStyle w:val="Caption"/>
        <w:rPr>
          <w:rFonts w:ascii="Times New Roman Bold" w:hAnsi="Times New Roman Bold"/>
          <w:spacing w:val="-12"/>
        </w:rPr>
      </w:pPr>
      <w:bookmarkStart w:id="135" w:name="_Ref105766856"/>
      <w:bookmarkStart w:id="136" w:name="_Ref106621946"/>
      <w:bookmarkStart w:id="137" w:name="_Ref106621958"/>
      <w:bookmarkStart w:id="138" w:name="_Toc106641179"/>
      <w:bookmarkStart w:id="139" w:name="_Toc106648883"/>
      <w:bookmarkStart w:id="140" w:name="_Toc109895435"/>
      <w:r w:rsidRPr="00901E4E">
        <w:rPr>
          <w:rFonts w:ascii="Times New Roman Bold" w:hAnsi="Times New Roman Bold"/>
          <w:spacing w:val="-12"/>
        </w:rPr>
        <w:t xml:space="preserve">Table </w:t>
      </w:r>
      <w:r w:rsidR="001B2050" w:rsidRPr="00901E4E">
        <w:rPr>
          <w:rFonts w:ascii="Times New Roman Bold" w:hAnsi="Times New Roman Bold"/>
          <w:spacing w:val="-12"/>
        </w:rPr>
        <w:fldChar w:fldCharType="begin"/>
      </w:r>
      <w:r w:rsidR="001B2050" w:rsidRPr="00901E4E">
        <w:rPr>
          <w:rFonts w:ascii="Times New Roman Bold" w:hAnsi="Times New Roman Bold"/>
          <w:spacing w:val="-12"/>
        </w:rPr>
        <w:instrText xml:space="preserve"> SEQ Table \* ARABIC </w:instrText>
      </w:r>
      <w:r w:rsidR="001B2050" w:rsidRPr="00901E4E">
        <w:rPr>
          <w:rFonts w:ascii="Times New Roman Bold" w:hAnsi="Times New Roman Bold"/>
          <w:spacing w:val="-12"/>
        </w:rPr>
        <w:fldChar w:fldCharType="separate"/>
      </w:r>
      <w:r w:rsidR="00CE7C62">
        <w:rPr>
          <w:rFonts w:ascii="Times New Roman Bold" w:hAnsi="Times New Roman Bold"/>
          <w:noProof/>
          <w:spacing w:val="-12"/>
        </w:rPr>
        <w:t>4</w:t>
      </w:r>
      <w:r w:rsidR="001B2050" w:rsidRPr="00901E4E">
        <w:rPr>
          <w:rFonts w:ascii="Times New Roman Bold" w:hAnsi="Times New Roman Bold"/>
          <w:noProof/>
          <w:spacing w:val="-12"/>
        </w:rPr>
        <w:fldChar w:fldCharType="end"/>
      </w:r>
      <w:bookmarkEnd w:id="135"/>
      <w:r w:rsidRPr="00901E4E">
        <w:rPr>
          <w:rFonts w:ascii="Times New Roman Bold" w:hAnsi="Times New Roman Bold"/>
          <w:spacing w:val="-12"/>
        </w:rPr>
        <w:t>: MRI Visits and Shares by System, Commercial 2019</w:t>
      </w:r>
      <w:bookmarkEnd w:id="136"/>
      <w:bookmarkEnd w:id="137"/>
      <w:bookmarkEnd w:id="138"/>
      <w:bookmarkEnd w:id="139"/>
      <w:r w:rsidRPr="00901E4E">
        <w:rPr>
          <w:rFonts w:ascii="Times New Roman Bold" w:hAnsi="Times New Roman Bold"/>
          <w:spacing w:val="-12"/>
        </w:rPr>
        <w:t xml:space="preserve"> (Combined Service Area, Patients Aged 0 – 18)</w:t>
      </w:r>
      <w:bookmarkEnd w:id="140"/>
    </w:p>
    <w:tbl>
      <w:tblPr>
        <w:tblStyle w:val="GridTable4-Accent11"/>
        <w:tblW w:w="3240" w:type="dxa"/>
        <w:tblLook w:val="04A0" w:firstRow="1" w:lastRow="0" w:firstColumn="1" w:lastColumn="0" w:noHBand="0" w:noVBand="1"/>
      </w:tblPr>
      <w:tblGrid>
        <w:gridCol w:w="1660"/>
        <w:gridCol w:w="1580"/>
      </w:tblGrid>
      <w:tr w:rsidR="001E5C89" w:rsidRPr="00B22BFD" w14:paraId="2C963EA4" w14:textId="77777777" w:rsidTr="00E50360">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1660" w:type="dxa"/>
            <w:hideMark/>
          </w:tcPr>
          <w:p w14:paraId="42811DA3" w14:textId="77777777" w:rsidR="001E5C89" w:rsidRPr="009D3AA0" w:rsidRDefault="001E5C89" w:rsidP="00BE32C9">
            <w:pPr>
              <w:pStyle w:val="TableParagraph"/>
              <w:rPr>
                <w:b w:val="0"/>
                <w:bCs w:val="0"/>
              </w:rPr>
            </w:pPr>
            <w:r w:rsidRPr="009D3AA0">
              <w:t>System</w:t>
            </w:r>
          </w:p>
        </w:tc>
        <w:tc>
          <w:tcPr>
            <w:tcW w:w="1580" w:type="dxa"/>
            <w:hideMark/>
          </w:tcPr>
          <w:p w14:paraId="6E5ACDCE" w14:textId="77777777" w:rsidR="001E5C89" w:rsidRPr="009D3AA0" w:rsidRDefault="001E5C89" w:rsidP="00BE32C9">
            <w:pPr>
              <w:pStyle w:val="TableParagraph"/>
              <w:cnfStyle w:val="100000000000" w:firstRow="1" w:lastRow="0" w:firstColumn="0" w:lastColumn="0" w:oddVBand="0" w:evenVBand="0" w:oddHBand="0" w:evenHBand="0" w:firstRowFirstColumn="0" w:firstRowLastColumn="0" w:lastRowFirstColumn="0" w:lastRowLastColumn="0"/>
              <w:rPr>
                <w:b w:val="0"/>
                <w:bCs w:val="0"/>
              </w:rPr>
            </w:pPr>
            <w:r w:rsidRPr="009D3AA0">
              <w:t xml:space="preserve">Share of Commercial Visits </w:t>
            </w:r>
          </w:p>
        </w:tc>
      </w:tr>
      <w:tr w:rsidR="001E5C89" w:rsidRPr="00B22BFD" w14:paraId="54148F0F" w14:textId="77777777" w:rsidTr="00E50360">
        <w:trPr>
          <w:cantSplit/>
          <w:trHeight w:val="2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1AEDD526" w14:textId="77777777" w:rsidR="001E5C89" w:rsidRPr="002676F8" w:rsidRDefault="001E5C89" w:rsidP="00BE32C9">
            <w:pPr>
              <w:pStyle w:val="TableParagraph"/>
              <w:rPr>
                <w:b w:val="0"/>
                <w:bCs w:val="0"/>
              </w:rPr>
            </w:pPr>
            <w:r w:rsidRPr="002676F8">
              <w:t>All Visits</w:t>
            </w:r>
          </w:p>
        </w:tc>
        <w:tc>
          <w:tcPr>
            <w:tcW w:w="1580" w:type="dxa"/>
            <w:noWrap/>
            <w:hideMark/>
          </w:tcPr>
          <w:p w14:paraId="3116D5CB" w14:textId="77777777" w:rsidR="001E5C89" w:rsidRPr="002676F8"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76F8">
              <w:t>100.0%</w:t>
            </w:r>
          </w:p>
        </w:tc>
      </w:tr>
      <w:tr w:rsidR="001E5C89" w:rsidRPr="00B22BFD" w14:paraId="66C14CDC" w14:textId="77777777" w:rsidTr="00E50360">
        <w:trPr>
          <w:cantSplit/>
          <w:trHeight w:val="2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33C102C6" w14:textId="77777777" w:rsidR="001E5C89" w:rsidRPr="002676F8" w:rsidRDefault="001E5C89" w:rsidP="00BE32C9">
            <w:pPr>
              <w:pStyle w:val="TableParagraph"/>
              <w:rPr>
                <w:b w:val="0"/>
                <w:bCs w:val="0"/>
              </w:rPr>
            </w:pPr>
            <w:r w:rsidRPr="002676F8">
              <w:t>BCH</w:t>
            </w:r>
          </w:p>
        </w:tc>
        <w:tc>
          <w:tcPr>
            <w:tcW w:w="1580" w:type="dxa"/>
            <w:noWrap/>
            <w:hideMark/>
          </w:tcPr>
          <w:p w14:paraId="0E9434FB" w14:textId="77777777" w:rsidR="001E5C89" w:rsidRPr="002676F8"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76F8">
              <w:t>30.0%</w:t>
            </w:r>
          </w:p>
        </w:tc>
      </w:tr>
      <w:tr w:rsidR="001E5C89" w:rsidRPr="00B22BFD" w14:paraId="45AB7C65" w14:textId="77777777" w:rsidTr="00E50360">
        <w:trPr>
          <w:cantSplit/>
          <w:trHeight w:val="2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20AE7F4C" w14:textId="77777777" w:rsidR="001E5C89" w:rsidRPr="002676F8" w:rsidRDefault="001E5C89" w:rsidP="00BE32C9">
            <w:pPr>
              <w:pStyle w:val="TableParagraph"/>
              <w:rPr>
                <w:b w:val="0"/>
                <w:bCs w:val="0"/>
              </w:rPr>
            </w:pPr>
            <w:r w:rsidRPr="002676F8">
              <w:t>Baystate</w:t>
            </w:r>
          </w:p>
        </w:tc>
        <w:tc>
          <w:tcPr>
            <w:tcW w:w="1580" w:type="dxa"/>
            <w:noWrap/>
            <w:hideMark/>
          </w:tcPr>
          <w:p w14:paraId="6156453F" w14:textId="5D4054F2" w:rsidR="001E5C89" w:rsidRPr="002676F8" w:rsidRDefault="00715CA7" w:rsidP="00BE32C9">
            <w:pPr>
              <w:pStyle w:val="TableParagraph"/>
              <w:cnfStyle w:val="000000000000" w:firstRow="0" w:lastRow="0" w:firstColumn="0" w:lastColumn="0" w:oddVBand="0" w:evenVBand="0" w:oddHBand="0" w:evenHBand="0" w:firstRowFirstColumn="0" w:firstRowLastColumn="0" w:lastRowFirstColumn="0" w:lastRowLastColumn="0"/>
            </w:pPr>
            <w:r w:rsidRPr="002676F8">
              <w:t>-</w:t>
            </w:r>
          </w:p>
        </w:tc>
      </w:tr>
      <w:tr w:rsidR="001E5C89" w:rsidRPr="00B22BFD" w14:paraId="0275EEA5" w14:textId="77777777" w:rsidTr="00E50360">
        <w:trPr>
          <w:cantSplit/>
          <w:trHeight w:val="2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5ED007DB" w14:textId="77777777" w:rsidR="001E5C89" w:rsidRPr="002676F8" w:rsidRDefault="001E5C89" w:rsidP="00BE32C9">
            <w:pPr>
              <w:pStyle w:val="TableParagraph"/>
              <w:rPr>
                <w:b w:val="0"/>
                <w:bCs w:val="0"/>
              </w:rPr>
            </w:pPr>
            <w:r w:rsidRPr="002676F8">
              <w:t>Boston Medical</w:t>
            </w:r>
          </w:p>
        </w:tc>
        <w:tc>
          <w:tcPr>
            <w:tcW w:w="1580" w:type="dxa"/>
            <w:noWrap/>
            <w:hideMark/>
          </w:tcPr>
          <w:p w14:paraId="6DCA3C3D" w14:textId="77777777" w:rsidR="001E5C89" w:rsidRPr="002676F8"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76F8">
              <w:t>0.3%</w:t>
            </w:r>
          </w:p>
        </w:tc>
      </w:tr>
      <w:tr w:rsidR="001E5C89" w:rsidRPr="00B22BFD" w14:paraId="330F77C0" w14:textId="77777777" w:rsidTr="00E50360">
        <w:trPr>
          <w:cantSplit/>
          <w:trHeight w:val="2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0150D470" w14:textId="77777777" w:rsidR="001E5C89" w:rsidRPr="002676F8" w:rsidRDefault="001E5C89" w:rsidP="00BE32C9">
            <w:pPr>
              <w:pStyle w:val="TableParagraph"/>
              <w:rPr>
                <w:b w:val="0"/>
                <w:bCs w:val="0"/>
              </w:rPr>
            </w:pPr>
            <w:r w:rsidRPr="002676F8">
              <w:t>Mass General</w:t>
            </w:r>
          </w:p>
        </w:tc>
        <w:tc>
          <w:tcPr>
            <w:tcW w:w="1580" w:type="dxa"/>
            <w:noWrap/>
            <w:hideMark/>
          </w:tcPr>
          <w:p w14:paraId="14F26B6A" w14:textId="77777777" w:rsidR="001E5C89" w:rsidRPr="002676F8"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76F8">
              <w:t>8.6%</w:t>
            </w:r>
          </w:p>
        </w:tc>
      </w:tr>
      <w:tr w:rsidR="001E5C89" w:rsidRPr="00B22BFD" w14:paraId="1E12D762" w14:textId="77777777" w:rsidTr="00E50360">
        <w:trPr>
          <w:cantSplit/>
          <w:trHeight w:val="2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7371DAF1" w14:textId="77777777" w:rsidR="001E5C89" w:rsidRPr="002676F8" w:rsidRDefault="001E5C89" w:rsidP="00BE32C9">
            <w:pPr>
              <w:pStyle w:val="TableParagraph"/>
              <w:rPr>
                <w:b w:val="0"/>
                <w:bCs w:val="0"/>
              </w:rPr>
            </w:pPr>
            <w:r w:rsidRPr="002676F8">
              <w:t>Tufts</w:t>
            </w:r>
          </w:p>
        </w:tc>
        <w:tc>
          <w:tcPr>
            <w:tcW w:w="1580" w:type="dxa"/>
            <w:noWrap/>
            <w:hideMark/>
          </w:tcPr>
          <w:p w14:paraId="71E94BEE" w14:textId="77777777" w:rsidR="001E5C89" w:rsidRPr="002676F8"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2676F8">
              <w:t>1.0%</w:t>
            </w:r>
          </w:p>
        </w:tc>
      </w:tr>
      <w:tr w:rsidR="001E5C89" w:rsidRPr="00B22BFD" w14:paraId="0BC09457" w14:textId="77777777" w:rsidTr="00E50360">
        <w:trPr>
          <w:cantSplit/>
          <w:trHeight w:val="2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53DD900F" w14:textId="77777777" w:rsidR="001E5C89" w:rsidRPr="001135A3" w:rsidRDefault="001E5C89" w:rsidP="00BE32C9">
            <w:pPr>
              <w:pStyle w:val="TableParagraph"/>
              <w:rPr>
                <w:b w:val="0"/>
                <w:bCs w:val="0"/>
              </w:rPr>
            </w:pPr>
            <w:r w:rsidRPr="001135A3">
              <w:t>UMASS</w:t>
            </w:r>
          </w:p>
        </w:tc>
        <w:tc>
          <w:tcPr>
            <w:tcW w:w="1580" w:type="dxa"/>
            <w:noWrap/>
            <w:hideMark/>
          </w:tcPr>
          <w:p w14:paraId="75EC77E5" w14:textId="77777777" w:rsidR="001E5C89" w:rsidRPr="001135A3"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1135A3">
              <w:t>1.2%</w:t>
            </w:r>
          </w:p>
        </w:tc>
      </w:tr>
      <w:tr w:rsidR="001E5C89" w:rsidRPr="00B22BFD" w14:paraId="3DBD80F5" w14:textId="77777777" w:rsidTr="00E50360">
        <w:trPr>
          <w:cantSplit/>
          <w:trHeight w:val="2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760782BA" w14:textId="77777777" w:rsidR="001E5C89" w:rsidRPr="001135A3" w:rsidRDefault="001E5C89" w:rsidP="00BE32C9">
            <w:pPr>
              <w:pStyle w:val="TableParagraph"/>
              <w:rPr>
                <w:b w:val="0"/>
                <w:bCs w:val="0"/>
              </w:rPr>
            </w:pPr>
            <w:r w:rsidRPr="001135A3">
              <w:t>Other</w:t>
            </w:r>
          </w:p>
        </w:tc>
        <w:tc>
          <w:tcPr>
            <w:tcW w:w="1580" w:type="dxa"/>
            <w:noWrap/>
            <w:hideMark/>
          </w:tcPr>
          <w:p w14:paraId="192F1175" w14:textId="77777777" w:rsidR="001E5C89" w:rsidRPr="001135A3" w:rsidRDefault="001E5C89" w:rsidP="00BE32C9">
            <w:pPr>
              <w:pStyle w:val="TableParagraph"/>
              <w:cnfStyle w:val="000000000000" w:firstRow="0" w:lastRow="0" w:firstColumn="0" w:lastColumn="0" w:oddVBand="0" w:evenVBand="0" w:oddHBand="0" w:evenHBand="0" w:firstRowFirstColumn="0" w:firstRowLastColumn="0" w:lastRowFirstColumn="0" w:lastRowLastColumn="0"/>
            </w:pPr>
            <w:r w:rsidRPr="001135A3">
              <w:t>58.</w:t>
            </w:r>
            <w:r>
              <w:t>8</w:t>
            </w:r>
            <w:r w:rsidRPr="001135A3">
              <w:t>%</w:t>
            </w:r>
          </w:p>
        </w:tc>
      </w:tr>
    </w:tbl>
    <w:p w14:paraId="2A090D79" w14:textId="654468A3" w:rsidR="001E5C89" w:rsidRPr="00AA5467" w:rsidRDefault="001E5C89" w:rsidP="00AA5467">
      <w:pPr>
        <w:pStyle w:val="TableNotes"/>
        <w:ind w:left="3060"/>
      </w:pPr>
      <w:r w:rsidRPr="00AA5467">
        <w:t>Source: 2019 CHIA all-payer medical claim</w:t>
      </w:r>
      <w:r w:rsidRPr="009E75DA">
        <w:t xml:space="preserve"> data.</w:t>
      </w:r>
    </w:p>
    <w:p w14:paraId="6ED6C00C" w14:textId="20A3E827" w:rsidR="00C9626D" w:rsidRDefault="00C9626D" w:rsidP="00BE32C9">
      <w:r w:rsidRPr="00C9626D">
        <w:t xml:space="preserve">Commercial: In the combined service area (shown in </w:t>
      </w:r>
      <w:r w:rsidRPr="00C9626D">
        <w:fldChar w:fldCharType="begin"/>
      </w:r>
      <w:r w:rsidRPr="00C9626D">
        <w:instrText xml:space="preserve"> REF _Ref106621946 \h  \* MERGEFORMAT </w:instrText>
      </w:r>
      <w:r w:rsidRPr="00C9626D">
        <w:fldChar w:fldCharType="separate"/>
      </w:r>
      <w:r w:rsidR="00CE7C62" w:rsidRPr="00CE7C62">
        <w:t xml:space="preserve">Table </w:t>
      </w:r>
      <w:r w:rsidR="00CE7C62" w:rsidRPr="00CE7C62">
        <w:rPr>
          <w:noProof/>
        </w:rPr>
        <w:t>4</w:t>
      </w:r>
      <w:r w:rsidR="00CE7C62" w:rsidRPr="00CE7C62">
        <w:t>: MRI Visits and Shares by System, Commercial 2019</w:t>
      </w:r>
      <w:r w:rsidRPr="00C9626D">
        <w:fldChar w:fldCharType="end"/>
      </w:r>
      <w:r w:rsidRPr="00C9626D">
        <w:t>), BCH facilities accounted for 30.</w:t>
      </w:r>
      <w:r w:rsidR="0006423A">
        <w:t>0</w:t>
      </w:r>
      <w:r w:rsidRPr="00C9626D">
        <w:t xml:space="preserve">% of commercial MRI visits. </w:t>
      </w:r>
      <w:r w:rsidRPr="00C9626D">
        <w:lastRenderedPageBreak/>
        <w:t>Mass General Brigham facilities accounted for the second largest share (8.6%) of commercial visits. Tufts and UMass each had 1.</w:t>
      </w:r>
      <w:r w:rsidR="0006423A">
        <w:t>0</w:t>
      </w:r>
      <w:r w:rsidRPr="00C9626D">
        <w:t xml:space="preserve">% and 1.2% with Boston Medical Center and Baystate Health adding small commercial volumes to a combined share for these providers of less than </w:t>
      </w:r>
      <w:r w:rsidR="002F15F8">
        <w:t>3</w:t>
      </w:r>
      <w:r w:rsidRPr="00C9626D">
        <w:t xml:space="preserve">%. </w:t>
      </w:r>
    </w:p>
    <w:p w14:paraId="146B13B2" w14:textId="241167D9" w:rsidR="006B4558" w:rsidRPr="0014798D" w:rsidRDefault="006B4558" w:rsidP="00BE32C9">
      <w:pPr>
        <w:pStyle w:val="Caption"/>
      </w:pPr>
      <w:bookmarkStart w:id="141" w:name="_Ref105766867"/>
      <w:bookmarkStart w:id="142" w:name="_Ref106621992"/>
      <w:bookmarkStart w:id="143" w:name="_Toc106641180"/>
      <w:bookmarkStart w:id="144" w:name="_Toc106648884"/>
      <w:bookmarkStart w:id="145" w:name="_Toc109895436"/>
      <w:r w:rsidRPr="0014798D">
        <w:t xml:space="preserve">Table </w:t>
      </w:r>
      <w:fldSimple w:instr=" SEQ Table \* ARABIC ">
        <w:r w:rsidR="00CE7C62">
          <w:rPr>
            <w:noProof/>
          </w:rPr>
          <w:t>5</w:t>
        </w:r>
      </w:fldSimple>
      <w:bookmarkEnd w:id="141"/>
      <w:r>
        <w:t>: MRI Visits and Shares by System, Medicaid and MassHealth 2019</w:t>
      </w:r>
      <w:bookmarkEnd w:id="142"/>
      <w:bookmarkEnd w:id="143"/>
      <w:bookmarkEnd w:id="144"/>
      <w:r>
        <w:t xml:space="preserve"> </w:t>
      </w:r>
      <w:r w:rsidRPr="00146650">
        <w:t>(Combined Service Area, Patient</w:t>
      </w:r>
      <w:r>
        <w:t>s</w:t>
      </w:r>
      <w:r w:rsidRPr="00146650">
        <w:t xml:space="preserve"> </w:t>
      </w:r>
      <w:r>
        <w:t xml:space="preserve">Aged </w:t>
      </w:r>
      <w:r w:rsidRPr="00146650">
        <w:t>0 – 18)</w:t>
      </w:r>
      <w:bookmarkEnd w:id="145"/>
    </w:p>
    <w:tbl>
      <w:tblPr>
        <w:tblStyle w:val="GridTable4-Accent11"/>
        <w:tblW w:w="2676" w:type="dxa"/>
        <w:tblLook w:val="04A0" w:firstRow="1" w:lastRow="0" w:firstColumn="1" w:lastColumn="0" w:noHBand="0" w:noVBand="1"/>
      </w:tblPr>
      <w:tblGrid>
        <w:gridCol w:w="1660"/>
        <w:gridCol w:w="1016"/>
      </w:tblGrid>
      <w:tr w:rsidR="006B4558" w:rsidRPr="00280827" w14:paraId="3132045B" w14:textId="77777777" w:rsidTr="00E50360">
        <w:trPr>
          <w:cnfStyle w:val="100000000000" w:firstRow="1" w:lastRow="0" w:firstColumn="0" w:lastColumn="0" w:oddVBand="0" w:evenVBand="0" w:oddHBand="0" w:evenHBand="0" w:firstRowFirstColumn="0" w:firstRowLastColumn="0" w:lastRowFirstColumn="0" w:lastRowLastColumn="0"/>
          <w:cantSplit/>
          <w:trHeight w:val="530"/>
          <w:tblHeader/>
        </w:trPr>
        <w:tc>
          <w:tcPr>
            <w:cnfStyle w:val="001000000000" w:firstRow="0" w:lastRow="0" w:firstColumn="1" w:lastColumn="0" w:oddVBand="0" w:evenVBand="0" w:oddHBand="0" w:evenHBand="0" w:firstRowFirstColumn="0" w:firstRowLastColumn="0" w:lastRowFirstColumn="0" w:lastRowLastColumn="0"/>
            <w:tcW w:w="1660" w:type="dxa"/>
            <w:hideMark/>
          </w:tcPr>
          <w:p w14:paraId="6ADF4869" w14:textId="77777777" w:rsidR="006B4558" w:rsidRPr="009D3AA0" w:rsidRDefault="006B4558" w:rsidP="00BE32C9">
            <w:pPr>
              <w:pStyle w:val="TableParagraph"/>
              <w:rPr>
                <w:b w:val="0"/>
                <w:bCs w:val="0"/>
              </w:rPr>
            </w:pPr>
            <w:r w:rsidRPr="009D3AA0">
              <w:t>System</w:t>
            </w:r>
          </w:p>
        </w:tc>
        <w:tc>
          <w:tcPr>
            <w:tcW w:w="1016" w:type="dxa"/>
            <w:hideMark/>
          </w:tcPr>
          <w:p w14:paraId="12E9DF8E" w14:textId="77777777" w:rsidR="006B4558" w:rsidRPr="009D3AA0" w:rsidRDefault="006B4558" w:rsidP="00BE32C9">
            <w:pPr>
              <w:pStyle w:val="TableParagraph"/>
              <w:cnfStyle w:val="100000000000" w:firstRow="1" w:lastRow="0" w:firstColumn="0" w:lastColumn="0" w:oddVBand="0" w:evenVBand="0" w:oddHBand="0" w:evenHBand="0" w:firstRowFirstColumn="0" w:firstRowLastColumn="0" w:lastRowFirstColumn="0" w:lastRowLastColumn="0"/>
              <w:rPr>
                <w:b w:val="0"/>
                <w:bCs w:val="0"/>
              </w:rPr>
            </w:pPr>
            <w:r w:rsidRPr="009D3AA0">
              <w:t>Share of Medicaid Visits</w:t>
            </w:r>
          </w:p>
        </w:tc>
      </w:tr>
      <w:tr w:rsidR="006B4558" w:rsidRPr="00280827" w14:paraId="16DE02F3" w14:textId="77777777" w:rsidTr="00E50360">
        <w:trPr>
          <w:cantSplit/>
          <w:trHeight w:val="288"/>
        </w:trPr>
        <w:tc>
          <w:tcPr>
            <w:cnfStyle w:val="001000000000" w:firstRow="0" w:lastRow="0" w:firstColumn="1" w:lastColumn="0" w:oddVBand="0" w:evenVBand="0" w:oddHBand="0" w:evenHBand="0" w:firstRowFirstColumn="0" w:firstRowLastColumn="0" w:lastRowFirstColumn="0" w:lastRowLastColumn="0"/>
            <w:tcW w:w="1660" w:type="dxa"/>
            <w:noWrap/>
            <w:hideMark/>
          </w:tcPr>
          <w:p w14:paraId="66DDF29E" w14:textId="77777777" w:rsidR="006B4558" w:rsidRPr="001135A3" w:rsidRDefault="006B4558" w:rsidP="00BE32C9">
            <w:pPr>
              <w:pStyle w:val="TableParagraph"/>
              <w:rPr>
                <w:b w:val="0"/>
                <w:bCs w:val="0"/>
              </w:rPr>
            </w:pPr>
            <w:r w:rsidRPr="001135A3">
              <w:t>All Visits</w:t>
            </w:r>
          </w:p>
        </w:tc>
        <w:tc>
          <w:tcPr>
            <w:tcW w:w="1016" w:type="dxa"/>
            <w:noWrap/>
            <w:hideMark/>
          </w:tcPr>
          <w:p w14:paraId="6BB19640" w14:textId="77777777" w:rsidR="006B4558" w:rsidRPr="00E31AC5"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D90E4A">
              <w:t>100.0%</w:t>
            </w:r>
          </w:p>
        </w:tc>
      </w:tr>
      <w:tr w:rsidR="006B4558" w:rsidRPr="00280827" w14:paraId="3940E4C8" w14:textId="77777777" w:rsidTr="00E50360">
        <w:trPr>
          <w:cantSplit/>
          <w:trHeight w:val="288"/>
        </w:trPr>
        <w:tc>
          <w:tcPr>
            <w:cnfStyle w:val="001000000000" w:firstRow="0" w:lastRow="0" w:firstColumn="1" w:lastColumn="0" w:oddVBand="0" w:evenVBand="0" w:oddHBand="0" w:evenHBand="0" w:firstRowFirstColumn="0" w:firstRowLastColumn="0" w:lastRowFirstColumn="0" w:lastRowLastColumn="0"/>
            <w:tcW w:w="1660" w:type="dxa"/>
            <w:noWrap/>
            <w:hideMark/>
          </w:tcPr>
          <w:p w14:paraId="5E23D4C1" w14:textId="77777777" w:rsidR="006B4558" w:rsidRPr="001135A3" w:rsidRDefault="006B4558" w:rsidP="00BE32C9">
            <w:pPr>
              <w:pStyle w:val="TableParagraph"/>
              <w:rPr>
                <w:b w:val="0"/>
                <w:bCs w:val="0"/>
              </w:rPr>
            </w:pPr>
            <w:r w:rsidRPr="001135A3">
              <w:t>BCH</w:t>
            </w:r>
          </w:p>
        </w:tc>
        <w:tc>
          <w:tcPr>
            <w:tcW w:w="1016" w:type="dxa"/>
            <w:noWrap/>
            <w:hideMark/>
          </w:tcPr>
          <w:p w14:paraId="1FA5DDF6" w14:textId="77777777" w:rsidR="006B4558" w:rsidRPr="00E31AC5"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D90E4A">
              <w:t>33.1%</w:t>
            </w:r>
          </w:p>
        </w:tc>
      </w:tr>
      <w:tr w:rsidR="006B4558" w:rsidRPr="00280827" w14:paraId="733564E3" w14:textId="77777777" w:rsidTr="00E50360">
        <w:trPr>
          <w:cantSplit/>
          <w:trHeight w:val="288"/>
        </w:trPr>
        <w:tc>
          <w:tcPr>
            <w:cnfStyle w:val="001000000000" w:firstRow="0" w:lastRow="0" w:firstColumn="1" w:lastColumn="0" w:oddVBand="0" w:evenVBand="0" w:oddHBand="0" w:evenHBand="0" w:firstRowFirstColumn="0" w:firstRowLastColumn="0" w:lastRowFirstColumn="0" w:lastRowLastColumn="0"/>
            <w:tcW w:w="1660" w:type="dxa"/>
            <w:noWrap/>
            <w:hideMark/>
          </w:tcPr>
          <w:p w14:paraId="24A6E3EB" w14:textId="77777777" w:rsidR="006B4558" w:rsidRPr="001135A3" w:rsidRDefault="006B4558" w:rsidP="00BE32C9">
            <w:pPr>
              <w:pStyle w:val="TableParagraph"/>
              <w:rPr>
                <w:b w:val="0"/>
                <w:bCs w:val="0"/>
              </w:rPr>
            </w:pPr>
            <w:r w:rsidRPr="001135A3">
              <w:t>Boston Medical</w:t>
            </w:r>
          </w:p>
        </w:tc>
        <w:tc>
          <w:tcPr>
            <w:tcW w:w="1016" w:type="dxa"/>
            <w:noWrap/>
            <w:hideMark/>
          </w:tcPr>
          <w:p w14:paraId="31826A51" w14:textId="77777777" w:rsidR="006B4558" w:rsidRPr="00E31AC5"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D90E4A">
              <w:t>3.2%</w:t>
            </w:r>
          </w:p>
        </w:tc>
      </w:tr>
      <w:tr w:rsidR="006B4558" w:rsidRPr="00280827" w14:paraId="6DC9504B" w14:textId="77777777" w:rsidTr="00E50360">
        <w:trPr>
          <w:cantSplit/>
          <w:trHeight w:val="288"/>
        </w:trPr>
        <w:tc>
          <w:tcPr>
            <w:cnfStyle w:val="001000000000" w:firstRow="0" w:lastRow="0" w:firstColumn="1" w:lastColumn="0" w:oddVBand="0" w:evenVBand="0" w:oddHBand="0" w:evenHBand="0" w:firstRowFirstColumn="0" w:firstRowLastColumn="0" w:lastRowFirstColumn="0" w:lastRowLastColumn="0"/>
            <w:tcW w:w="1660" w:type="dxa"/>
            <w:noWrap/>
            <w:hideMark/>
          </w:tcPr>
          <w:p w14:paraId="626C52E5" w14:textId="77777777" w:rsidR="006B4558" w:rsidRPr="001135A3" w:rsidRDefault="006B4558" w:rsidP="00BE32C9">
            <w:pPr>
              <w:pStyle w:val="TableParagraph"/>
              <w:rPr>
                <w:b w:val="0"/>
                <w:bCs w:val="0"/>
              </w:rPr>
            </w:pPr>
            <w:r w:rsidRPr="001135A3">
              <w:t>Mass General</w:t>
            </w:r>
          </w:p>
        </w:tc>
        <w:tc>
          <w:tcPr>
            <w:tcW w:w="1016" w:type="dxa"/>
            <w:noWrap/>
            <w:hideMark/>
          </w:tcPr>
          <w:p w14:paraId="70B513E6" w14:textId="77777777" w:rsidR="006B4558" w:rsidRPr="00E31AC5"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D90E4A">
              <w:t>10.2%</w:t>
            </w:r>
          </w:p>
        </w:tc>
      </w:tr>
      <w:tr w:rsidR="006B4558" w:rsidRPr="00280827" w14:paraId="5F10E1E8" w14:textId="77777777" w:rsidTr="00E50360">
        <w:trPr>
          <w:cantSplit/>
          <w:trHeight w:val="288"/>
        </w:trPr>
        <w:tc>
          <w:tcPr>
            <w:cnfStyle w:val="001000000000" w:firstRow="0" w:lastRow="0" w:firstColumn="1" w:lastColumn="0" w:oddVBand="0" w:evenVBand="0" w:oddHBand="0" w:evenHBand="0" w:firstRowFirstColumn="0" w:firstRowLastColumn="0" w:lastRowFirstColumn="0" w:lastRowLastColumn="0"/>
            <w:tcW w:w="1660" w:type="dxa"/>
            <w:noWrap/>
            <w:hideMark/>
          </w:tcPr>
          <w:p w14:paraId="5F1A4342" w14:textId="77777777" w:rsidR="006B4558" w:rsidRPr="001135A3" w:rsidRDefault="006B4558" w:rsidP="00BE32C9">
            <w:pPr>
              <w:pStyle w:val="TableParagraph"/>
              <w:rPr>
                <w:b w:val="0"/>
                <w:bCs w:val="0"/>
              </w:rPr>
            </w:pPr>
            <w:r w:rsidRPr="001135A3">
              <w:t>Tufts</w:t>
            </w:r>
          </w:p>
        </w:tc>
        <w:tc>
          <w:tcPr>
            <w:tcW w:w="1016" w:type="dxa"/>
            <w:noWrap/>
            <w:hideMark/>
          </w:tcPr>
          <w:p w14:paraId="0D93181E" w14:textId="77777777" w:rsidR="006B4558" w:rsidRPr="00E31AC5"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D90E4A">
              <w:t>3.6%</w:t>
            </w:r>
          </w:p>
        </w:tc>
      </w:tr>
      <w:tr w:rsidR="006B4558" w:rsidRPr="00280827" w14:paraId="210D6891" w14:textId="77777777" w:rsidTr="00E50360">
        <w:trPr>
          <w:cantSplit/>
          <w:trHeight w:val="288"/>
        </w:trPr>
        <w:tc>
          <w:tcPr>
            <w:cnfStyle w:val="001000000000" w:firstRow="0" w:lastRow="0" w:firstColumn="1" w:lastColumn="0" w:oddVBand="0" w:evenVBand="0" w:oddHBand="0" w:evenHBand="0" w:firstRowFirstColumn="0" w:firstRowLastColumn="0" w:lastRowFirstColumn="0" w:lastRowLastColumn="0"/>
            <w:tcW w:w="1660" w:type="dxa"/>
            <w:noWrap/>
            <w:hideMark/>
          </w:tcPr>
          <w:p w14:paraId="25B7652A" w14:textId="77777777" w:rsidR="006B4558" w:rsidRPr="001135A3" w:rsidRDefault="006B4558" w:rsidP="00BE32C9">
            <w:pPr>
              <w:pStyle w:val="TableParagraph"/>
              <w:rPr>
                <w:b w:val="0"/>
                <w:bCs w:val="0"/>
              </w:rPr>
            </w:pPr>
            <w:r w:rsidRPr="001135A3">
              <w:t>UMASS</w:t>
            </w:r>
          </w:p>
        </w:tc>
        <w:tc>
          <w:tcPr>
            <w:tcW w:w="1016" w:type="dxa"/>
            <w:noWrap/>
            <w:hideMark/>
          </w:tcPr>
          <w:p w14:paraId="07B0B49C" w14:textId="77777777" w:rsidR="006B4558" w:rsidRPr="008775F3"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D90E4A">
              <w:t>1.8%</w:t>
            </w:r>
          </w:p>
        </w:tc>
      </w:tr>
      <w:tr w:rsidR="006B4558" w:rsidRPr="00280827" w14:paraId="229F1A2B" w14:textId="77777777" w:rsidTr="00E50360">
        <w:trPr>
          <w:cantSplit/>
          <w:trHeight w:val="288"/>
        </w:trPr>
        <w:tc>
          <w:tcPr>
            <w:cnfStyle w:val="001000000000" w:firstRow="0" w:lastRow="0" w:firstColumn="1" w:lastColumn="0" w:oddVBand="0" w:evenVBand="0" w:oddHBand="0" w:evenHBand="0" w:firstRowFirstColumn="0" w:firstRowLastColumn="0" w:lastRowFirstColumn="0" w:lastRowLastColumn="0"/>
            <w:tcW w:w="1660" w:type="dxa"/>
            <w:noWrap/>
            <w:hideMark/>
          </w:tcPr>
          <w:p w14:paraId="1A713661" w14:textId="77777777" w:rsidR="006B4558" w:rsidRPr="001135A3" w:rsidRDefault="006B4558" w:rsidP="00BE32C9">
            <w:pPr>
              <w:pStyle w:val="TableParagraph"/>
              <w:rPr>
                <w:b w:val="0"/>
                <w:bCs w:val="0"/>
              </w:rPr>
            </w:pPr>
            <w:r w:rsidRPr="001135A3">
              <w:t>Other</w:t>
            </w:r>
          </w:p>
        </w:tc>
        <w:tc>
          <w:tcPr>
            <w:tcW w:w="1016" w:type="dxa"/>
            <w:noWrap/>
            <w:hideMark/>
          </w:tcPr>
          <w:p w14:paraId="043FE775" w14:textId="77777777" w:rsidR="006B4558" w:rsidRPr="008775F3"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D90E4A">
              <w:t>48.0%</w:t>
            </w:r>
          </w:p>
        </w:tc>
      </w:tr>
    </w:tbl>
    <w:p w14:paraId="61B83935" w14:textId="77777777" w:rsidR="005B1ED8" w:rsidRPr="00AA5467" w:rsidRDefault="005B1ED8" w:rsidP="00AD4CAD">
      <w:pPr>
        <w:pStyle w:val="TableNotes"/>
        <w:tabs>
          <w:tab w:val="left" w:pos="2880"/>
          <w:tab w:val="left" w:pos="2970"/>
          <w:tab w:val="left" w:pos="3060"/>
          <w:tab w:val="left" w:pos="5940"/>
        </w:tabs>
        <w:ind w:left="1620" w:right="2430" w:hanging="990"/>
      </w:pPr>
      <w:r w:rsidRPr="00882DE9">
        <w:t>Source: 2019 CHIA all-payer medical claim data.</w:t>
      </w:r>
    </w:p>
    <w:p w14:paraId="73779FDC" w14:textId="4D470EBC" w:rsidR="005B1ED8" w:rsidRPr="00AA5467" w:rsidRDefault="005B1ED8" w:rsidP="00AD4CAD">
      <w:pPr>
        <w:pStyle w:val="TableNotes"/>
        <w:tabs>
          <w:tab w:val="left" w:pos="2880"/>
          <w:tab w:val="left" w:pos="2970"/>
          <w:tab w:val="left" w:pos="3060"/>
          <w:tab w:val="left" w:pos="5940"/>
        </w:tabs>
        <w:ind w:left="630" w:right="-1170"/>
      </w:pPr>
      <w:r w:rsidRPr="001429D3">
        <w:t xml:space="preserve">Note: The CHIA data does not accurately identify BCH providers for Medicaid patients. See </w:t>
      </w:r>
      <w:r>
        <w:t xml:space="preserve">paragraph </w:t>
      </w:r>
      <w:r>
        <w:fldChar w:fldCharType="begin"/>
      </w:r>
      <w:r>
        <w:instrText xml:space="preserve"> REF _Ref109821138 \r \h  \* MERGEFORMAT </w:instrText>
      </w:r>
      <w:r>
        <w:fldChar w:fldCharType="separate"/>
      </w:r>
      <w:r w:rsidR="00AD4CAD">
        <w:t>144</w:t>
      </w:r>
      <w:r>
        <w:fldChar w:fldCharType="end"/>
      </w:r>
      <w:r>
        <w:t>.</w:t>
      </w:r>
    </w:p>
    <w:p w14:paraId="1FE95FEE" w14:textId="7538BADB" w:rsidR="00C9626D" w:rsidRPr="00FB7116" w:rsidRDefault="00C9626D" w:rsidP="00BE32C9">
      <w:r w:rsidRPr="00C9626D">
        <w:t xml:space="preserve">Medicaid/MassHealth: In the combined 75% service area, (shown in </w:t>
      </w:r>
      <w:r w:rsidRPr="00C9626D">
        <w:fldChar w:fldCharType="begin"/>
      </w:r>
      <w:r w:rsidRPr="00C9626D">
        <w:instrText xml:space="preserve"> REF _Ref106621992 \h  \* MERGEFORMAT </w:instrText>
      </w:r>
      <w:r w:rsidRPr="00C9626D">
        <w:fldChar w:fldCharType="separate"/>
      </w:r>
      <w:r w:rsidR="00CE7C62" w:rsidRPr="0014798D">
        <w:t xml:space="preserve">Table </w:t>
      </w:r>
      <w:r w:rsidR="00CE7C62">
        <w:rPr>
          <w:noProof/>
        </w:rPr>
        <w:t>5</w:t>
      </w:r>
      <w:r w:rsidR="00CE7C62">
        <w:t>: MRI Visits and Shares by System, Medicaid and MassHealth 2019</w:t>
      </w:r>
      <w:r w:rsidRPr="00C9626D">
        <w:fldChar w:fldCharType="end"/>
      </w:r>
      <w:r w:rsidRPr="00C9626D">
        <w:t>, BCH facilities accounted for approximately 3</w:t>
      </w:r>
      <w:r w:rsidR="0006423A">
        <w:t>3.1</w:t>
      </w:r>
      <w:r w:rsidRPr="00C9626D">
        <w:t xml:space="preserve">% of Medicaid and MassHealth MRI visits. </w:t>
      </w:r>
      <w:r w:rsidR="00A30D6A">
        <w:t>BCH’s share of M</w:t>
      </w:r>
      <w:r w:rsidR="00C4580F">
        <w:t xml:space="preserve">assHealth/Medicaid patients is somewhat higher than its share of commercial patients, while Other providers have a lower share of MassHealth/Medicaid than of commercial patients. </w:t>
      </w:r>
      <w:r w:rsidRPr="00C9626D">
        <w:t xml:space="preserve">Mass General facilities accounted for the second largest share of </w:t>
      </w:r>
      <w:r w:rsidR="00C4580F" w:rsidRPr="00FB7116">
        <w:t>MassHealth/</w:t>
      </w:r>
      <w:r w:rsidRPr="00FB7116">
        <w:t>Medicaid</w:t>
      </w:r>
      <w:r w:rsidR="0006423A" w:rsidRPr="00FB7116">
        <w:t xml:space="preserve"> </w:t>
      </w:r>
      <w:r w:rsidRPr="00FB7116">
        <w:t>(1</w:t>
      </w:r>
      <w:r w:rsidR="0006423A" w:rsidRPr="00FB7116">
        <w:t>0.2</w:t>
      </w:r>
      <w:r w:rsidRPr="00FB7116">
        <w:t xml:space="preserve">%). Tufts share of </w:t>
      </w:r>
      <w:r w:rsidR="00C4580F" w:rsidRPr="00FB7116">
        <w:t>MassHealth/</w:t>
      </w:r>
      <w:r w:rsidR="0006423A" w:rsidRPr="00FB7116">
        <w:t xml:space="preserve">Medicaid </w:t>
      </w:r>
      <w:r w:rsidRPr="00FB7116">
        <w:t xml:space="preserve">was </w:t>
      </w:r>
      <w:r w:rsidR="0006423A" w:rsidRPr="00FB7116">
        <w:t>3.6%</w:t>
      </w:r>
      <w:r w:rsidRPr="00FB7116">
        <w:t xml:space="preserve"> and Boston Medical’s share of </w:t>
      </w:r>
      <w:r w:rsidR="00C4580F" w:rsidRPr="00FB7116">
        <w:t>MassHealth/</w:t>
      </w:r>
      <w:r w:rsidR="0006423A" w:rsidRPr="00FB7116">
        <w:t xml:space="preserve">Medicaid </w:t>
      </w:r>
      <w:r w:rsidRPr="00FB7116">
        <w:t xml:space="preserve">visits for MRI was </w:t>
      </w:r>
      <w:r w:rsidR="0006423A" w:rsidRPr="00FB7116">
        <w:t>3.2%</w:t>
      </w:r>
      <w:r w:rsidRPr="00FB7116">
        <w:t xml:space="preserve">. Baystate had </w:t>
      </w:r>
      <w:r w:rsidRPr="00FB7116">
        <w:rPr>
          <w:i/>
          <w:iCs/>
        </w:rPr>
        <w:t>de minimus</w:t>
      </w:r>
      <w:r w:rsidRPr="00FB7116">
        <w:t xml:space="preserve"> volume in the service area. </w:t>
      </w:r>
    </w:p>
    <w:p w14:paraId="7789F9A6" w14:textId="1C6897DD" w:rsidR="00A5584E" w:rsidRPr="00FB7116" w:rsidRDefault="00A5584E" w:rsidP="00BE32C9">
      <w:r w:rsidRPr="00FB7116">
        <w:t>MRI volumes at BCH are predominantly at Waltham and BCH Main campus.</w:t>
      </w:r>
    </w:p>
    <w:p w14:paraId="3F5B8BE0" w14:textId="64BBB7D3" w:rsidR="002D6FBB" w:rsidRPr="00FB7116" w:rsidRDefault="002D6FBB" w:rsidP="00BE32C9">
      <w:pPr>
        <w:rPr>
          <w:i/>
          <w:iCs/>
        </w:rPr>
      </w:pPr>
      <w:r w:rsidRPr="00FB7116">
        <w:t>We also analyzed</w:t>
      </w:r>
      <w:r w:rsidR="003F6A91" w:rsidRPr="00FB7116">
        <w:t xml:space="preserve"> </w:t>
      </w:r>
      <w:r w:rsidRPr="00FB7116">
        <w:t>share by health system and by payer mix in the combined service area (</w:t>
      </w:r>
      <w:r w:rsidR="00735BCF" w:rsidRPr="00FB7116">
        <w:t>i.e.,</w:t>
      </w:r>
      <w:r w:rsidRPr="00FB7116">
        <w:t xml:space="preserve"> zip codes that are in any service area of the three facilities). From a health system and payer mix standpoint, </w:t>
      </w:r>
      <w:r w:rsidR="00C4580F" w:rsidRPr="00FB7116">
        <w:t xml:space="preserve">of </w:t>
      </w:r>
      <w:r w:rsidRPr="00FB7116">
        <w:t>these visits, over half were from commercial patients</w:t>
      </w:r>
      <w:r w:rsidR="00C4580F" w:rsidRPr="00FB7116">
        <w:t xml:space="preserve"> and a</w:t>
      </w:r>
      <w:r w:rsidR="002D781D" w:rsidRPr="00FB7116">
        <w:t>round 4</w:t>
      </w:r>
      <w:r w:rsidRPr="00FB7116">
        <w:t xml:space="preserve">5% of the visits from </w:t>
      </w:r>
      <w:r w:rsidR="00C4580F" w:rsidRPr="00FB7116">
        <w:t>MassHealth/</w:t>
      </w:r>
      <w:r w:rsidRPr="00FB7116">
        <w:t xml:space="preserve">Medicaid patients. </w:t>
      </w:r>
    </w:p>
    <w:p w14:paraId="3611F83A" w14:textId="5DC7B856" w:rsidR="002D6FBB" w:rsidRPr="00FB7116" w:rsidRDefault="002D6FBB" w:rsidP="00BE32C9">
      <w:pPr>
        <w:rPr>
          <w:i/>
          <w:iCs/>
        </w:rPr>
      </w:pPr>
      <w:r w:rsidRPr="00FB7116">
        <w:t xml:space="preserve">BCH’s payer mix is similar to the state-level payer mix, with </w:t>
      </w:r>
      <w:r w:rsidR="002A3D0C" w:rsidRPr="00FB7116">
        <w:t>about 56</w:t>
      </w:r>
      <w:r w:rsidRPr="00FB7116">
        <w:t xml:space="preserve">% of the visits from Commercial patients. Most of BCH </w:t>
      </w:r>
      <w:r w:rsidR="00EA15B2" w:rsidRPr="00FB7116">
        <w:t>MassHealth</w:t>
      </w:r>
      <w:r w:rsidR="0094033F" w:rsidRPr="00FB7116">
        <w:t>/Medicaid</w:t>
      </w:r>
      <w:r w:rsidRPr="00FB7116">
        <w:t xml:space="preserve"> visits, according to the All Payer Claims Data, are associated with the BCH main campus</w:t>
      </w:r>
      <w:r w:rsidR="00D35B95" w:rsidRPr="00FB7116">
        <w:t xml:space="preserve"> (as shown in </w:t>
      </w:r>
      <w:r w:rsidR="00D35B95" w:rsidRPr="00FB7116">
        <w:fldChar w:fldCharType="begin"/>
      </w:r>
      <w:r w:rsidR="00D35B95" w:rsidRPr="00FB7116">
        <w:instrText xml:space="preserve"> REF _Ref106622089 \h </w:instrText>
      </w:r>
      <w:r w:rsidR="0094033F" w:rsidRPr="00FB7116">
        <w:instrText xml:space="preserve"> \* MERGEFORMAT </w:instrText>
      </w:r>
      <w:r w:rsidR="00D35B95" w:rsidRPr="00FB7116">
        <w:fldChar w:fldCharType="separate"/>
      </w:r>
      <w:r w:rsidR="00CE7C62" w:rsidRPr="00FB7116">
        <w:rPr>
          <w:rFonts w:ascii="Times New Roman Bold" w:hAnsi="Times New Roman Bold"/>
          <w:spacing w:val="-12"/>
        </w:rPr>
        <w:t xml:space="preserve">Table </w:t>
      </w:r>
      <w:r w:rsidR="00CE7C62" w:rsidRPr="00FB7116">
        <w:rPr>
          <w:rFonts w:ascii="Times New Roman Bold" w:hAnsi="Times New Roman Bold"/>
          <w:noProof/>
          <w:spacing w:val="-12"/>
        </w:rPr>
        <w:t>6</w:t>
      </w:r>
      <w:r w:rsidR="00CE7C62" w:rsidRPr="00FB7116">
        <w:rPr>
          <w:rFonts w:ascii="Times New Roman Bold" w:hAnsi="Times New Roman Bold"/>
          <w:spacing w:val="-12"/>
        </w:rPr>
        <w:t xml:space="preserve">: BCH MRI Visits by Facility and Payer Mix, 2019 </w:t>
      </w:r>
      <w:r w:rsidR="00D35B95" w:rsidRPr="00FB7116">
        <w:fldChar w:fldCharType="end"/>
      </w:r>
      <w:r w:rsidR="008E7993" w:rsidRPr="00FB7116">
        <w:t>)</w:t>
      </w:r>
      <w:r w:rsidRPr="00FB7116">
        <w:t>.</w:t>
      </w:r>
      <w:r w:rsidR="00C818B3" w:rsidRPr="00FB7116">
        <w:t xml:space="preserve"> </w:t>
      </w:r>
    </w:p>
    <w:p w14:paraId="1B2BEA45" w14:textId="75A5A5DB" w:rsidR="006B4558" w:rsidRPr="00901E4E" w:rsidRDefault="006B4558" w:rsidP="00BE32C9">
      <w:pPr>
        <w:pStyle w:val="Caption"/>
        <w:rPr>
          <w:rFonts w:ascii="Times New Roman Bold" w:hAnsi="Times New Roman Bold"/>
          <w:spacing w:val="-12"/>
        </w:rPr>
      </w:pPr>
      <w:bookmarkStart w:id="146" w:name="_Ref106622089"/>
      <w:bookmarkStart w:id="147" w:name="_Toc106641181"/>
      <w:bookmarkStart w:id="148" w:name="_Toc106648885"/>
      <w:bookmarkStart w:id="149" w:name="_Toc109895437"/>
      <w:r w:rsidRPr="00901E4E">
        <w:rPr>
          <w:rFonts w:ascii="Times New Roman Bold" w:hAnsi="Times New Roman Bold"/>
          <w:spacing w:val="-12"/>
        </w:rPr>
        <w:lastRenderedPageBreak/>
        <w:t xml:space="preserve">Table </w:t>
      </w:r>
      <w:r w:rsidR="001B2050" w:rsidRPr="00901E4E">
        <w:rPr>
          <w:rFonts w:ascii="Times New Roman Bold" w:hAnsi="Times New Roman Bold"/>
          <w:spacing w:val="-12"/>
        </w:rPr>
        <w:fldChar w:fldCharType="begin"/>
      </w:r>
      <w:r w:rsidR="001B2050" w:rsidRPr="00901E4E">
        <w:rPr>
          <w:rFonts w:ascii="Times New Roman Bold" w:hAnsi="Times New Roman Bold"/>
          <w:spacing w:val="-12"/>
        </w:rPr>
        <w:instrText xml:space="preserve"> SEQ Table \* ARABIC </w:instrText>
      </w:r>
      <w:r w:rsidR="001B2050" w:rsidRPr="00901E4E">
        <w:rPr>
          <w:rFonts w:ascii="Times New Roman Bold" w:hAnsi="Times New Roman Bold"/>
          <w:spacing w:val="-12"/>
        </w:rPr>
        <w:fldChar w:fldCharType="separate"/>
      </w:r>
      <w:r w:rsidR="00CE7C62">
        <w:rPr>
          <w:rFonts w:ascii="Times New Roman Bold" w:hAnsi="Times New Roman Bold"/>
          <w:noProof/>
          <w:spacing w:val="-12"/>
        </w:rPr>
        <w:t>6</w:t>
      </w:r>
      <w:r w:rsidR="001B2050" w:rsidRPr="00901E4E">
        <w:rPr>
          <w:rFonts w:ascii="Times New Roman Bold" w:hAnsi="Times New Roman Bold"/>
          <w:spacing w:val="-12"/>
        </w:rPr>
        <w:fldChar w:fldCharType="end"/>
      </w:r>
      <w:r w:rsidRPr="00901E4E">
        <w:rPr>
          <w:rFonts w:ascii="Times New Roman Bold" w:hAnsi="Times New Roman Bold"/>
          <w:spacing w:val="-12"/>
        </w:rPr>
        <w:t xml:space="preserve">: BCH MRI Visits by Facility and Payer Mix, 2019 </w:t>
      </w:r>
      <w:bookmarkEnd w:id="146"/>
      <w:bookmarkEnd w:id="147"/>
      <w:bookmarkEnd w:id="148"/>
      <w:r w:rsidRPr="00901E4E">
        <w:rPr>
          <w:rFonts w:ascii="Times New Roman Bold" w:hAnsi="Times New Roman Bold"/>
          <w:spacing w:val="-12"/>
        </w:rPr>
        <w:t>(Combined Service Area, Patients Aged 0 – 18)</w:t>
      </w:r>
      <w:bookmarkEnd w:id="149"/>
      <w:r w:rsidRPr="00901E4E">
        <w:rPr>
          <w:rFonts w:ascii="Times New Roman Bold" w:hAnsi="Times New Roman Bold"/>
          <w:spacing w:val="-12"/>
        </w:rPr>
        <w:t xml:space="preserve"> </w:t>
      </w:r>
    </w:p>
    <w:tbl>
      <w:tblPr>
        <w:tblStyle w:val="GridTable4-Accent11"/>
        <w:tblW w:w="0" w:type="auto"/>
        <w:tblLook w:val="04A0" w:firstRow="1" w:lastRow="0" w:firstColumn="1" w:lastColumn="0" w:noHBand="0" w:noVBand="1"/>
      </w:tblPr>
      <w:tblGrid>
        <w:gridCol w:w="4093"/>
        <w:gridCol w:w="1272"/>
        <w:gridCol w:w="1016"/>
      </w:tblGrid>
      <w:tr w:rsidR="006B4558" w:rsidRPr="00280827" w14:paraId="3655E2CB" w14:textId="77777777" w:rsidTr="003F4E49">
        <w:trPr>
          <w:cnfStyle w:val="100000000000" w:firstRow="1" w:lastRow="0" w:firstColumn="0" w:lastColumn="0" w:oddVBand="0" w:evenVBand="0" w:oddHBand="0" w:evenHBand="0" w:firstRowFirstColumn="0" w:firstRowLastColumn="0" w:lastRowFirstColumn="0" w:lastRowLastColumn="0"/>
          <w:cantSplit/>
          <w:trHeight w:val="431"/>
          <w:tblHeader/>
        </w:trPr>
        <w:tc>
          <w:tcPr>
            <w:cnfStyle w:val="001000000000" w:firstRow="0" w:lastRow="0" w:firstColumn="1" w:lastColumn="0" w:oddVBand="0" w:evenVBand="0" w:oddHBand="0" w:evenHBand="0" w:firstRowFirstColumn="0" w:firstRowLastColumn="0" w:lastRowFirstColumn="0" w:lastRowLastColumn="0"/>
            <w:tcW w:w="4093" w:type="dxa"/>
            <w:hideMark/>
          </w:tcPr>
          <w:p w14:paraId="7EC70CC3" w14:textId="77777777" w:rsidR="006B4558" w:rsidRPr="009D3AA0" w:rsidRDefault="006B4558" w:rsidP="00BE32C9">
            <w:pPr>
              <w:pStyle w:val="TableParagraph"/>
              <w:rPr>
                <w:b w:val="0"/>
                <w:bCs w:val="0"/>
              </w:rPr>
            </w:pPr>
            <w:r w:rsidRPr="009D3AA0">
              <w:t>Standardized Name</w:t>
            </w:r>
          </w:p>
        </w:tc>
        <w:tc>
          <w:tcPr>
            <w:tcW w:w="1272" w:type="dxa"/>
            <w:hideMark/>
          </w:tcPr>
          <w:p w14:paraId="3541A1C8" w14:textId="77777777" w:rsidR="006B4558" w:rsidRPr="009D3AA0" w:rsidRDefault="006B4558" w:rsidP="00BE32C9">
            <w:pPr>
              <w:pStyle w:val="TableParagraph"/>
              <w:cnfStyle w:val="100000000000" w:firstRow="1" w:lastRow="0" w:firstColumn="0" w:lastColumn="0" w:oddVBand="0" w:evenVBand="0" w:oddHBand="0" w:evenHBand="0" w:firstRowFirstColumn="0" w:firstRowLastColumn="0" w:lastRowFirstColumn="0" w:lastRowLastColumn="0"/>
              <w:rPr>
                <w:b w:val="0"/>
                <w:bCs w:val="0"/>
              </w:rPr>
            </w:pPr>
            <w:r w:rsidRPr="009D3AA0">
              <w:t>% Commercial</w:t>
            </w:r>
          </w:p>
        </w:tc>
        <w:tc>
          <w:tcPr>
            <w:tcW w:w="1016" w:type="dxa"/>
            <w:hideMark/>
          </w:tcPr>
          <w:p w14:paraId="31E842C2" w14:textId="77777777" w:rsidR="006B4558" w:rsidRPr="009D3AA0" w:rsidRDefault="006B4558" w:rsidP="00BE32C9">
            <w:pPr>
              <w:pStyle w:val="TableParagraph"/>
              <w:cnfStyle w:val="100000000000" w:firstRow="1" w:lastRow="0" w:firstColumn="0" w:lastColumn="0" w:oddVBand="0" w:evenVBand="0" w:oddHBand="0" w:evenHBand="0" w:firstRowFirstColumn="0" w:firstRowLastColumn="0" w:lastRowFirstColumn="0" w:lastRowLastColumn="0"/>
              <w:rPr>
                <w:b w:val="0"/>
                <w:bCs w:val="0"/>
              </w:rPr>
            </w:pPr>
            <w:r w:rsidRPr="009D3AA0">
              <w:t>% Medicaid</w:t>
            </w:r>
          </w:p>
        </w:tc>
      </w:tr>
      <w:tr w:rsidR="006B4558" w:rsidRPr="00280827" w14:paraId="5F38637B" w14:textId="77777777" w:rsidTr="003F4E49">
        <w:trPr>
          <w:cantSplit/>
          <w:trHeight w:val="288"/>
        </w:trPr>
        <w:tc>
          <w:tcPr>
            <w:cnfStyle w:val="001000000000" w:firstRow="0" w:lastRow="0" w:firstColumn="1" w:lastColumn="0" w:oddVBand="0" w:evenVBand="0" w:oddHBand="0" w:evenHBand="0" w:firstRowFirstColumn="0" w:firstRowLastColumn="0" w:lastRowFirstColumn="0" w:lastRowLastColumn="0"/>
            <w:tcW w:w="4093" w:type="dxa"/>
            <w:noWrap/>
            <w:hideMark/>
          </w:tcPr>
          <w:p w14:paraId="17EA692E" w14:textId="77777777" w:rsidR="006B4558" w:rsidRPr="001135A3" w:rsidRDefault="006B4558" w:rsidP="00BE32C9">
            <w:pPr>
              <w:pStyle w:val="TableParagraph"/>
              <w:rPr>
                <w:b w:val="0"/>
                <w:bCs w:val="0"/>
              </w:rPr>
            </w:pPr>
            <w:r w:rsidRPr="001135A3">
              <w:t>BCH - Other - Individual</w:t>
            </w:r>
          </w:p>
        </w:tc>
        <w:tc>
          <w:tcPr>
            <w:tcW w:w="1272" w:type="dxa"/>
            <w:noWrap/>
            <w:hideMark/>
          </w:tcPr>
          <w:p w14:paraId="16D1BE9D" w14:textId="77777777" w:rsidR="006B4558" w:rsidRPr="00E31AC5"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484EDB">
              <w:t>81.1%</w:t>
            </w:r>
          </w:p>
        </w:tc>
        <w:tc>
          <w:tcPr>
            <w:tcW w:w="1016" w:type="dxa"/>
            <w:noWrap/>
            <w:hideMark/>
          </w:tcPr>
          <w:p w14:paraId="078A49A8" w14:textId="77777777" w:rsidR="006B4558" w:rsidRPr="00E31AC5"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484EDB">
              <w:t>18.9%</w:t>
            </w:r>
          </w:p>
        </w:tc>
      </w:tr>
      <w:tr w:rsidR="006B4558" w:rsidRPr="00280827" w14:paraId="7C7FC4DD" w14:textId="77777777" w:rsidTr="003F4E49">
        <w:trPr>
          <w:cantSplit/>
          <w:trHeight w:val="288"/>
        </w:trPr>
        <w:tc>
          <w:tcPr>
            <w:cnfStyle w:val="001000000000" w:firstRow="0" w:lastRow="0" w:firstColumn="1" w:lastColumn="0" w:oddVBand="0" w:evenVBand="0" w:oddHBand="0" w:evenHBand="0" w:firstRowFirstColumn="0" w:firstRowLastColumn="0" w:lastRowFirstColumn="0" w:lastRowLastColumn="0"/>
            <w:tcW w:w="4093" w:type="dxa"/>
            <w:noWrap/>
            <w:hideMark/>
          </w:tcPr>
          <w:p w14:paraId="114D6165" w14:textId="77777777" w:rsidR="006B4558" w:rsidRPr="001135A3" w:rsidRDefault="006B4558" w:rsidP="00BE32C9">
            <w:pPr>
              <w:pStyle w:val="TableParagraph"/>
              <w:rPr>
                <w:b w:val="0"/>
                <w:bCs w:val="0"/>
              </w:rPr>
            </w:pPr>
            <w:r w:rsidRPr="001135A3">
              <w:t>BOSTON CHILDREN'S AT LEXINGTON</w:t>
            </w:r>
          </w:p>
        </w:tc>
        <w:tc>
          <w:tcPr>
            <w:tcW w:w="1272" w:type="dxa"/>
            <w:noWrap/>
            <w:hideMark/>
          </w:tcPr>
          <w:p w14:paraId="609E0EE5" w14:textId="77777777" w:rsidR="006B4558" w:rsidRPr="00E31AC5"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484EDB">
              <w:t>100.0%</w:t>
            </w:r>
          </w:p>
        </w:tc>
        <w:tc>
          <w:tcPr>
            <w:tcW w:w="1016" w:type="dxa"/>
            <w:noWrap/>
            <w:hideMark/>
          </w:tcPr>
          <w:p w14:paraId="2AAE51AB" w14:textId="77777777" w:rsidR="006B4558" w:rsidRPr="00E31AC5"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484EDB">
              <w:t>0.0%</w:t>
            </w:r>
          </w:p>
        </w:tc>
      </w:tr>
      <w:tr w:rsidR="006B4558" w:rsidRPr="00280827" w14:paraId="4AD47888" w14:textId="77777777" w:rsidTr="003F4E49">
        <w:trPr>
          <w:cantSplit/>
          <w:trHeight w:val="288"/>
        </w:trPr>
        <w:tc>
          <w:tcPr>
            <w:cnfStyle w:val="001000000000" w:firstRow="0" w:lastRow="0" w:firstColumn="1" w:lastColumn="0" w:oddVBand="0" w:evenVBand="0" w:oddHBand="0" w:evenHBand="0" w:firstRowFirstColumn="0" w:firstRowLastColumn="0" w:lastRowFirstColumn="0" w:lastRowLastColumn="0"/>
            <w:tcW w:w="4093" w:type="dxa"/>
            <w:noWrap/>
            <w:hideMark/>
          </w:tcPr>
          <w:p w14:paraId="4CB057E2" w14:textId="77777777" w:rsidR="006B4558" w:rsidRPr="001135A3" w:rsidRDefault="006B4558" w:rsidP="00BE32C9">
            <w:pPr>
              <w:pStyle w:val="TableParagraph"/>
              <w:rPr>
                <w:b w:val="0"/>
                <w:bCs w:val="0"/>
              </w:rPr>
            </w:pPr>
            <w:r w:rsidRPr="001135A3">
              <w:t>BOSTON CHILDREN'S AT PEABODY</w:t>
            </w:r>
          </w:p>
        </w:tc>
        <w:tc>
          <w:tcPr>
            <w:tcW w:w="1272" w:type="dxa"/>
            <w:noWrap/>
            <w:hideMark/>
          </w:tcPr>
          <w:p w14:paraId="24284DD9" w14:textId="77777777" w:rsidR="006B4558" w:rsidRPr="00E31AC5"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484EDB">
              <w:t>100.0%</w:t>
            </w:r>
          </w:p>
        </w:tc>
        <w:tc>
          <w:tcPr>
            <w:tcW w:w="1016" w:type="dxa"/>
            <w:noWrap/>
            <w:hideMark/>
          </w:tcPr>
          <w:p w14:paraId="393F4204" w14:textId="77777777" w:rsidR="006B4558" w:rsidRPr="00E31AC5"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484EDB">
              <w:t>0.0%</w:t>
            </w:r>
          </w:p>
        </w:tc>
      </w:tr>
      <w:tr w:rsidR="006B4558" w:rsidRPr="00280827" w14:paraId="68D8E747" w14:textId="77777777" w:rsidTr="003F4E49">
        <w:trPr>
          <w:cantSplit/>
          <w:trHeight w:val="288"/>
        </w:trPr>
        <w:tc>
          <w:tcPr>
            <w:cnfStyle w:val="001000000000" w:firstRow="0" w:lastRow="0" w:firstColumn="1" w:lastColumn="0" w:oddVBand="0" w:evenVBand="0" w:oddHBand="0" w:evenHBand="0" w:firstRowFirstColumn="0" w:firstRowLastColumn="0" w:lastRowFirstColumn="0" w:lastRowLastColumn="0"/>
            <w:tcW w:w="4093" w:type="dxa"/>
            <w:noWrap/>
            <w:hideMark/>
          </w:tcPr>
          <w:p w14:paraId="5420D485" w14:textId="77777777" w:rsidR="006B4558" w:rsidRPr="001135A3" w:rsidRDefault="006B4558" w:rsidP="00BE32C9">
            <w:pPr>
              <w:pStyle w:val="TableParagraph"/>
              <w:rPr>
                <w:b w:val="0"/>
                <w:bCs w:val="0"/>
              </w:rPr>
            </w:pPr>
            <w:r w:rsidRPr="001135A3">
              <w:t>BOSTON CHILDREN'S AT WALTHAM</w:t>
            </w:r>
          </w:p>
        </w:tc>
        <w:tc>
          <w:tcPr>
            <w:tcW w:w="1272" w:type="dxa"/>
            <w:noWrap/>
            <w:hideMark/>
          </w:tcPr>
          <w:p w14:paraId="0A85C75D" w14:textId="77777777" w:rsidR="006B4558" w:rsidRPr="008775F3"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484EDB">
              <w:t>100.0%</w:t>
            </w:r>
          </w:p>
        </w:tc>
        <w:tc>
          <w:tcPr>
            <w:tcW w:w="1016" w:type="dxa"/>
            <w:noWrap/>
            <w:hideMark/>
          </w:tcPr>
          <w:p w14:paraId="493DF47B" w14:textId="77777777" w:rsidR="006B4558" w:rsidRPr="008775F3"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484EDB">
              <w:t>0.0%</w:t>
            </w:r>
          </w:p>
        </w:tc>
      </w:tr>
      <w:tr w:rsidR="006B4558" w:rsidRPr="00280827" w14:paraId="145C6E45" w14:textId="77777777" w:rsidTr="003F4E49">
        <w:trPr>
          <w:cantSplit/>
          <w:trHeight w:val="288"/>
        </w:trPr>
        <w:tc>
          <w:tcPr>
            <w:cnfStyle w:val="001000000000" w:firstRow="0" w:lastRow="0" w:firstColumn="1" w:lastColumn="0" w:oddVBand="0" w:evenVBand="0" w:oddHBand="0" w:evenHBand="0" w:firstRowFirstColumn="0" w:firstRowLastColumn="0" w:lastRowFirstColumn="0" w:lastRowLastColumn="0"/>
            <w:tcW w:w="4093" w:type="dxa"/>
            <w:noWrap/>
            <w:hideMark/>
          </w:tcPr>
          <w:p w14:paraId="642D6B67" w14:textId="77777777" w:rsidR="006B4558" w:rsidRPr="001135A3" w:rsidRDefault="006B4558" w:rsidP="00BE32C9">
            <w:pPr>
              <w:pStyle w:val="TableParagraph"/>
              <w:rPr>
                <w:b w:val="0"/>
                <w:bCs w:val="0"/>
              </w:rPr>
            </w:pPr>
            <w:r w:rsidRPr="001135A3">
              <w:t>BOSTON CHILDREN'S HOSPITAL</w:t>
            </w:r>
          </w:p>
        </w:tc>
        <w:tc>
          <w:tcPr>
            <w:tcW w:w="1272" w:type="dxa"/>
            <w:noWrap/>
            <w:hideMark/>
          </w:tcPr>
          <w:p w14:paraId="3D7E3BBD" w14:textId="77777777" w:rsidR="006B4558" w:rsidRPr="008775F3"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484EDB">
              <w:t>44.6%</w:t>
            </w:r>
          </w:p>
        </w:tc>
        <w:tc>
          <w:tcPr>
            <w:tcW w:w="1016" w:type="dxa"/>
            <w:noWrap/>
            <w:hideMark/>
          </w:tcPr>
          <w:p w14:paraId="2EC69C06" w14:textId="77777777" w:rsidR="006B4558" w:rsidRPr="008775F3"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484EDB">
              <w:t>55.4%</w:t>
            </w:r>
          </w:p>
        </w:tc>
      </w:tr>
      <w:tr w:rsidR="006B4558" w:rsidRPr="00280827" w14:paraId="3137BEDA" w14:textId="77777777" w:rsidTr="003F4E49">
        <w:trPr>
          <w:cantSplit/>
          <w:trHeight w:val="288"/>
        </w:trPr>
        <w:tc>
          <w:tcPr>
            <w:cnfStyle w:val="001000000000" w:firstRow="0" w:lastRow="0" w:firstColumn="1" w:lastColumn="0" w:oddVBand="0" w:evenVBand="0" w:oddHBand="0" w:evenHBand="0" w:firstRowFirstColumn="0" w:firstRowLastColumn="0" w:lastRowFirstColumn="0" w:lastRowLastColumn="0"/>
            <w:tcW w:w="4093" w:type="dxa"/>
            <w:noWrap/>
            <w:hideMark/>
          </w:tcPr>
          <w:p w14:paraId="38FF099C" w14:textId="77777777" w:rsidR="006B4558" w:rsidRPr="001135A3" w:rsidRDefault="006B4558" w:rsidP="00BE32C9">
            <w:pPr>
              <w:pStyle w:val="TableParagraph"/>
              <w:rPr>
                <w:b w:val="0"/>
                <w:bCs w:val="0"/>
              </w:rPr>
            </w:pPr>
            <w:r w:rsidRPr="001135A3">
              <w:t>BOSTON CHILDREN'S at NORTH DARTMOUTH</w:t>
            </w:r>
          </w:p>
        </w:tc>
        <w:tc>
          <w:tcPr>
            <w:tcW w:w="1272" w:type="dxa"/>
            <w:noWrap/>
            <w:hideMark/>
          </w:tcPr>
          <w:p w14:paraId="2B207685" w14:textId="77777777" w:rsidR="006B4558" w:rsidRPr="008775F3"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484EDB">
              <w:t>100.0%</w:t>
            </w:r>
          </w:p>
        </w:tc>
        <w:tc>
          <w:tcPr>
            <w:tcW w:w="1016" w:type="dxa"/>
            <w:noWrap/>
            <w:hideMark/>
          </w:tcPr>
          <w:p w14:paraId="176FA5C9" w14:textId="77777777" w:rsidR="006B4558" w:rsidRPr="008775F3" w:rsidRDefault="006B4558" w:rsidP="00BE32C9">
            <w:pPr>
              <w:pStyle w:val="TableParagraph"/>
              <w:cnfStyle w:val="000000000000" w:firstRow="0" w:lastRow="0" w:firstColumn="0" w:lastColumn="0" w:oddVBand="0" w:evenVBand="0" w:oddHBand="0" w:evenHBand="0" w:firstRowFirstColumn="0" w:firstRowLastColumn="0" w:lastRowFirstColumn="0" w:lastRowLastColumn="0"/>
            </w:pPr>
            <w:r w:rsidRPr="00484EDB">
              <w:t>0.0%</w:t>
            </w:r>
          </w:p>
        </w:tc>
      </w:tr>
    </w:tbl>
    <w:p w14:paraId="7B911DB2" w14:textId="77777777" w:rsidR="005B1ED8" w:rsidRPr="00AA5467" w:rsidRDefault="005B1ED8" w:rsidP="005B1ED8">
      <w:pPr>
        <w:pStyle w:val="TableNotes"/>
        <w:tabs>
          <w:tab w:val="left" w:pos="7110"/>
        </w:tabs>
        <w:ind w:left="1440" w:right="2340"/>
      </w:pPr>
      <w:bookmarkStart w:id="150" w:name="_Toc106002905"/>
      <w:r w:rsidRPr="00882DE9">
        <w:t>Source: 2019 CHIA all-payer medical claim data.</w:t>
      </w:r>
    </w:p>
    <w:p w14:paraId="092D35A5" w14:textId="29B30D9C" w:rsidR="005B1ED8" w:rsidRPr="00AA5467" w:rsidRDefault="005B1ED8" w:rsidP="005B1ED8">
      <w:pPr>
        <w:pStyle w:val="TableNotes"/>
        <w:tabs>
          <w:tab w:val="left" w:pos="7110"/>
        </w:tabs>
        <w:ind w:left="1440" w:right="2340"/>
      </w:pPr>
      <w:r w:rsidRPr="001429D3">
        <w:t xml:space="preserve">Note: The CHIA data does not accurately identify BCH providers for Medicaid patients. See </w:t>
      </w:r>
      <w:r>
        <w:t xml:space="preserve">paragraph </w:t>
      </w:r>
      <w:r>
        <w:fldChar w:fldCharType="begin"/>
      </w:r>
      <w:r>
        <w:instrText xml:space="preserve"> REF _Ref109821138 \r \h </w:instrText>
      </w:r>
      <w:r>
        <w:fldChar w:fldCharType="separate"/>
      </w:r>
      <w:r w:rsidR="006263D9">
        <w:t>144</w:t>
      </w:r>
      <w:r>
        <w:fldChar w:fldCharType="end"/>
      </w:r>
      <w:r>
        <w:t>.</w:t>
      </w:r>
    </w:p>
    <w:p w14:paraId="1E5AC193" w14:textId="3D478860" w:rsidR="00A5584E" w:rsidRDefault="00A5584E" w:rsidP="00BE32C9">
      <w:pPr>
        <w:pStyle w:val="Heading3"/>
      </w:pPr>
      <w:bookmarkStart w:id="151" w:name="_Toc109895509"/>
      <w:r>
        <w:t>Share</w:t>
      </w:r>
      <w:bookmarkEnd w:id="150"/>
      <w:r w:rsidR="00F01E29">
        <w:t xml:space="preserve"> of Imaging Visits</w:t>
      </w:r>
      <w:bookmarkEnd w:id="151"/>
    </w:p>
    <w:p w14:paraId="1AC0E046" w14:textId="354E75DC" w:rsidR="00A5584E" w:rsidRPr="00882DE9" w:rsidRDefault="003F6A91" w:rsidP="00BE32C9">
      <w:pPr>
        <w:rPr>
          <w:color w:val="000000" w:themeColor="text1"/>
        </w:rPr>
      </w:pPr>
      <w:r w:rsidRPr="00882DE9">
        <w:t xml:space="preserve">All payer: </w:t>
      </w:r>
      <w:r w:rsidR="00A5584E" w:rsidRPr="00882DE9">
        <w:t xml:space="preserve">The six health systems (BCH and five other systems) accounted for </w:t>
      </w:r>
      <w:r w:rsidR="005A5DC2" w:rsidRPr="00882DE9">
        <w:t xml:space="preserve">around </w:t>
      </w:r>
      <w:r w:rsidR="008C75DC" w:rsidRPr="00882DE9">
        <w:t>31.2</w:t>
      </w:r>
      <w:r w:rsidR="005A5DC2" w:rsidRPr="00882DE9">
        <w:t>%</w:t>
      </w:r>
      <w:r w:rsidR="00A5584E" w:rsidRPr="00882DE9">
        <w:t xml:space="preserve"> of imaging visits for in the combined 75% service areas (BCH Waltham, BCH Weymouth, and BCH Needham). In this area, BCH facilities account for approximately </w:t>
      </w:r>
      <w:r w:rsidR="008C75DC" w:rsidRPr="00882DE9">
        <w:t>17.4</w:t>
      </w:r>
      <w:r w:rsidR="00A5584E" w:rsidRPr="00882DE9">
        <w:t xml:space="preserve">% of the total (shown in </w:t>
      </w:r>
      <w:r w:rsidR="00D35B95" w:rsidRPr="00882DE9">
        <w:fldChar w:fldCharType="begin"/>
      </w:r>
      <w:r w:rsidR="00D35B95" w:rsidRPr="00882DE9">
        <w:instrText xml:space="preserve"> REF _Ref106622099 \h </w:instrText>
      </w:r>
      <w:r w:rsidR="00882DE9">
        <w:instrText xml:space="preserve"> \* MERGEFORMAT </w:instrText>
      </w:r>
      <w:r w:rsidR="00D35B95" w:rsidRPr="00882DE9">
        <w:fldChar w:fldCharType="separate"/>
      </w:r>
      <w:r w:rsidR="00CE7C62" w:rsidRPr="00882DE9">
        <w:t xml:space="preserve">Table </w:t>
      </w:r>
      <w:r w:rsidR="00CE7C62" w:rsidRPr="00882DE9">
        <w:rPr>
          <w:noProof/>
        </w:rPr>
        <w:t>7</w:t>
      </w:r>
      <w:r w:rsidR="00CE7C62" w:rsidRPr="00882DE9">
        <w:t xml:space="preserve">: Imaging Visits and Shares by System, 2019 </w:t>
      </w:r>
      <w:r w:rsidR="00D35B95" w:rsidRPr="00882DE9">
        <w:fldChar w:fldCharType="end"/>
      </w:r>
      <w:r w:rsidR="00A5584E" w:rsidRPr="00882DE9">
        <w:rPr>
          <w:color w:val="000000" w:themeColor="text1"/>
        </w:rPr>
        <w:t>).</w:t>
      </w:r>
    </w:p>
    <w:p w14:paraId="463E38BA" w14:textId="5C522439" w:rsidR="00E22315" w:rsidRPr="00882DE9" w:rsidRDefault="00E22315" w:rsidP="00BE32C9">
      <w:pPr>
        <w:pStyle w:val="Caption"/>
      </w:pPr>
      <w:bookmarkStart w:id="152" w:name="_Ref105766886"/>
      <w:bookmarkStart w:id="153" w:name="_Ref106622099"/>
      <w:bookmarkStart w:id="154" w:name="_Toc106641182"/>
      <w:bookmarkStart w:id="155" w:name="_Toc106648886"/>
      <w:bookmarkStart w:id="156" w:name="_Toc109895438"/>
      <w:r w:rsidRPr="00882DE9">
        <w:t xml:space="preserve">Table </w:t>
      </w:r>
      <w:fldSimple w:instr=" SEQ Table \* ARABIC ">
        <w:r w:rsidR="00CE7C62" w:rsidRPr="00882DE9">
          <w:rPr>
            <w:noProof/>
          </w:rPr>
          <w:t>7</w:t>
        </w:r>
      </w:fldSimple>
      <w:bookmarkEnd w:id="152"/>
      <w:r w:rsidRPr="00882DE9">
        <w:t xml:space="preserve">: Imaging Visits and Shares by System, 2019 </w:t>
      </w:r>
      <w:bookmarkEnd w:id="153"/>
      <w:bookmarkEnd w:id="154"/>
      <w:bookmarkEnd w:id="155"/>
      <w:r w:rsidRPr="00882DE9">
        <w:t>(Combined Service Area, Patients Aged 0 – 18)</w:t>
      </w:r>
      <w:bookmarkEnd w:id="156"/>
    </w:p>
    <w:tbl>
      <w:tblPr>
        <w:tblStyle w:val="GridTable4-Accent11"/>
        <w:tblW w:w="4756" w:type="dxa"/>
        <w:tblLook w:val="04A0" w:firstRow="1" w:lastRow="0" w:firstColumn="1" w:lastColumn="0" w:noHBand="0" w:noVBand="1"/>
      </w:tblPr>
      <w:tblGrid>
        <w:gridCol w:w="1279"/>
        <w:gridCol w:w="222"/>
        <w:gridCol w:w="1060"/>
        <w:gridCol w:w="1200"/>
        <w:gridCol w:w="995"/>
      </w:tblGrid>
      <w:tr w:rsidR="00882DE9" w:rsidRPr="00882DE9" w14:paraId="4D046D6A" w14:textId="77777777" w:rsidTr="003F4E49">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C130352" w14:textId="77777777" w:rsidR="00882DE9" w:rsidRPr="00882DE9" w:rsidRDefault="00882DE9" w:rsidP="00BE32C9">
            <w:pPr>
              <w:pStyle w:val="TableParagraph"/>
            </w:pPr>
            <w:r w:rsidRPr="00882DE9">
              <w:t>System</w:t>
            </w:r>
          </w:p>
        </w:tc>
        <w:tc>
          <w:tcPr>
            <w:tcW w:w="0" w:type="auto"/>
          </w:tcPr>
          <w:p w14:paraId="53689B0C" w14:textId="77777777" w:rsidR="00882DE9" w:rsidRPr="00882DE9" w:rsidRDefault="00882DE9" w:rsidP="00BE32C9">
            <w:pPr>
              <w:pStyle w:val="TableParagraph"/>
              <w:cnfStyle w:val="100000000000" w:firstRow="1" w:lastRow="0" w:firstColumn="0" w:lastColumn="0" w:oddVBand="0" w:evenVBand="0" w:oddHBand="0" w:evenHBand="0" w:firstRowFirstColumn="0" w:firstRowLastColumn="0" w:lastRowFirstColumn="0" w:lastRowLastColumn="0"/>
            </w:pPr>
          </w:p>
        </w:tc>
        <w:tc>
          <w:tcPr>
            <w:tcW w:w="0" w:type="auto"/>
            <w:hideMark/>
          </w:tcPr>
          <w:p w14:paraId="6F110CCC" w14:textId="77777777" w:rsidR="00882DE9" w:rsidRPr="00882DE9" w:rsidRDefault="00882DE9" w:rsidP="00BE32C9">
            <w:pPr>
              <w:pStyle w:val="TableParagraph"/>
              <w:cnfStyle w:val="100000000000" w:firstRow="1" w:lastRow="0" w:firstColumn="0" w:lastColumn="0" w:oddVBand="0" w:evenVBand="0" w:oddHBand="0" w:evenHBand="0" w:firstRowFirstColumn="0" w:firstRowLastColumn="0" w:lastRowFirstColumn="0" w:lastRowLastColumn="0"/>
            </w:pPr>
            <w:r w:rsidRPr="00882DE9">
              <w:t>Share of Visits</w:t>
            </w:r>
          </w:p>
        </w:tc>
        <w:tc>
          <w:tcPr>
            <w:tcW w:w="0" w:type="auto"/>
            <w:hideMark/>
          </w:tcPr>
          <w:p w14:paraId="7C24EE75" w14:textId="77777777" w:rsidR="00882DE9" w:rsidRPr="00882DE9" w:rsidRDefault="00882DE9" w:rsidP="00BE32C9">
            <w:pPr>
              <w:pStyle w:val="TableParagraph"/>
              <w:cnfStyle w:val="100000000000" w:firstRow="1" w:lastRow="0" w:firstColumn="0" w:lastColumn="0" w:oddVBand="0" w:evenVBand="0" w:oddHBand="0" w:evenHBand="0" w:firstRowFirstColumn="0" w:firstRowLastColumn="0" w:lastRowFirstColumn="0" w:lastRowLastColumn="0"/>
            </w:pPr>
            <w:r w:rsidRPr="00882DE9">
              <w:t>% Commercial</w:t>
            </w:r>
          </w:p>
        </w:tc>
        <w:tc>
          <w:tcPr>
            <w:tcW w:w="0" w:type="auto"/>
            <w:hideMark/>
          </w:tcPr>
          <w:p w14:paraId="2FDD048D" w14:textId="77777777" w:rsidR="00882DE9" w:rsidRPr="00882DE9" w:rsidRDefault="00882DE9" w:rsidP="00BE32C9">
            <w:pPr>
              <w:pStyle w:val="TableParagraph"/>
              <w:cnfStyle w:val="100000000000" w:firstRow="1" w:lastRow="0" w:firstColumn="0" w:lastColumn="0" w:oddVBand="0" w:evenVBand="0" w:oddHBand="0" w:evenHBand="0" w:firstRowFirstColumn="0" w:firstRowLastColumn="0" w:lastRowFirstColumn="0" w:lastRowLastColumn="0"/>
            </w:pPr>
            <w:r w:rsidRPr="00882DE9">
              <w:t>% Medicaid</w:t>
            </w:r>
          </w:p>
        </w:tc>
      </w:tr>
      <w:tr w:rsidR="00882DE9" w:rsidRPr="00882DE9" w14:paraId="78067D07" w14:textId="77777777" w:rsidTr="003F4E49">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E64D54" w14:textId="77777777" w:rsidR="00882DE9" w:rsidRPr="00882DE9" w:rsidRDefault="00882DE9" w:rsidP="00BE32C9">
            <w:pPr>
              <w:pStyle w:val="TableParagraph"/>
            </w:pPr>
            <w:r w:rsidRPr="00882DE9">
              <w:t>All Visits</w:t>
            </w:r>
          </w:p>
        </w:tc>
        <w:tc>
          <w:tcPr>
            <w:tcW w:w="0" w:type="auto"/>
          </w:tcPr>
          <w:p w14:paraId="401CC6E0"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p>
        </w:tc>
        <w:tc>
          <w:tcPr>
            <w:tcW w:w="0" w:type="auto"/>
            <w:noWrap/>
            <w:vAlign w:val="top"/>
            <w:hideMark/>
          </w:tcPr>
          <w:p w14:paraId="2B065D69"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100.0%</w:t>
            </w:r>
          </w:p>
        </w:tc>
        <w:tc>
          <w:tcPr>
            <w:tcW w:w="0" w:type="auto"/>
            <w:noWrap/>
            <w:vAlign w:val="top"/>
            <w:hideMark/>
          </w:tcPr>
          <w:p w14:paraId="2E3A5D69"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46.5%</w:t>
            </w:r>
          </w:p>
        </w:tc>
        <w:tc>
          <w:tcPr>
            <w:tcW w:w="0" w:type="auto"/>
            <w:noWrap/>
            <w:vAlign w:val="top"/>
            <w:hideMark/>
          </w:tcPr>
          <w:p w14:paraId="101E5DF0"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53.5%</w:t>
            </w:r>
          </w:p>
        </w:tc>
      </w:tr>
      <w:tr w:rsidR="00882DE9" w:rsidRPr="00882DE9" w14:paraId="7D224308" w14:textId="77777777" w:rsidTr="003F4E49">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BF76244" w14:textId="77777777" w:rsidR="00882DE9" w:rsidRPr="00882DE9" w:rsidRDefault="00882DE9" w:rsidP="00BE32C9">
            <w:pPr>
              <w:pStyle w:val="TableParagraph"/>
            </w:pPr>
            <w:r w:rsidRPr="00882DE9">
              <w:t>BCH</w:t>
            </w:r>
          </w:p>
        </w:tc>
        <w:tc>
          <w:tcPr>
            <w:tcW w:w="0" w:type="auto"/>
          </w:tcPr>
          <w:p w14:paraId="5D0CDCE5"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p>
        </w:tc>
        <w:tc>
          <w:tcPr>
            <w:tcW w:w="0" w:type="auto"/>
            <w:noWrap/>
            <w:vAlign w:val="top"/>
            <w:hideMark/>
          </w:tcPr>
          <w:p w14:paraId="51831E86"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17.4%</w:t>
            </w:r>
          </w:p>
        </w:tc>
        <w:tc>
          <w:tcPr>
            <w:tcW w:w="0" w:type="auto"/>
            <w:noWrap/>
            <w:vAlign w:val="top"/>
            <w:hideMark/>
          </w:tcPr>
          <w:p w14:paraId="2E36D2A6"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46.2%</w:t>
            </w:r>
          </w:p>
        </w:tc>
        <w:tc>
          <w:tcPr>
            <w:tcW w:w="0" w:type="auto"/>
            <w:noWrap/>
            <w:vAlign w:val="top"/>
            <w:hideMark/>
          </w:tcPr>
          <w:p w14:paraId="083BE73A"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53.8%</w:t>
            </w:r>
          </w:p>
        </w:tc>
      </w:tr>
      <w:tr w:rsidR="00882DE9" w:rsidRPr="00882DE9" w14:paraId="4DCB9590" w14:textId="77777777" w:rsidTr="003F4E49">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727521" w14:textId="77777777" w:rsidR="00882DE9" w:rsidRPr="00882DE9" w:rsidRDefault="00882DE9" w:rsidP="00BE32C9">
            <w:pPr>
              <w:pStyle w:val="TableParagraph"/>
            </w:pPr>
            <w:r w:rsidRPr="00882DE9">
              <w:t>Baystate</w:t>
            </w:r>
          </w:p>
        </w:tc>
        <w:tc>
          <w:tcPr>
            <w:tcW w:w="0" w:type="auto"/>
          </w:tcPr>
          <w:p w14:paraId="4E491471"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p>
        </w:tc>
        <w:tc>
          <w:tcPr>
            <w:tcW w:w="0" w:type="auto"/>
            <w:noWrap/>
            <w:vAlign w:val="top"/>
            <w:hideMark/>
          </w:tcPr>
          <w:p w14:paraId="64A20A7D" w14:textId="119F45D4" w:rsidR="00882DE9" w:rsidRPr="00882DE9" w:rsidRDefault="00B36FEB" w:rsidP="00BE32C9">
            <w:pPr>
              <w:pStyle w:val="TableParagraph"/>
              <w:cnfStyle w:val="000000000000" w:firstRow="0" w:lastRow="0" w:firstColumn="0" w:lastColumn="0" w:oddVBand="0" w:evenVBand="0" w:oddHBand="0" w:evenHBand="0" w:firstRowFirstColumn="0" w:firstRowLastColumn="0" w:lastRowFirstColumn="0" w:lastRowLastColumn="0"/>
            </w:pPr>
            <w:r>
              <w:t>--</w:t>
            </w:r>
          </w:p>
        </w:tc>
        <w:tc>
          <w:tcPr>
            <w:tcW w:w="0" w:type="auto"/>
            <w:noWrap/>
            <w:vAlign w:val="top"/>
            <w:hideMark/>
          </w:tcPr>
          <w:p w14:paraId="37795CA4"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50.0%</w:t>
            </w:r>
          </w:p>
        </w:tc>
        <w:tc>
          <w:tcPr>
            <w:tcW w:w="0" w:type="auto"/>
            <w:noWrap/>
            <w:vAlign w:val="top"/>
            <w:hideMark/>
          </w:tcPr>
          <w:p w14:paraId="45E3C363"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50.0%</w:t>
            </w:r>
          </w:p>
        </w:tc>
      </w:tr>
      <w:tr w:rsidR="00882DE9" w:rsidRPr="00882DE9" w14:paraId="3A94A4B3" w14:textId="77777777" w:rsidTr="003F4E49">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35A509" w14:textId="77777777" w:rsidR="00882DE9" w:rsidRPr="00882DE9" w:rsidRDefault="00882DE9" w:rsidP="00BE32C9">
            <w:pPr>
              <w:pStyle w:val="TableParagraph"/>
            </w:pPr>
            <w:r w:rsidRPr="00882DE9">
              <w:t>Boston Medical</w:t>
            </w:r>
          </w:p>
        </w:tc>
        <w:tc>
          <w:tcPr>
            <w:tcW w:w="0" w:type="auto"/>
          </w:tcPr>
          <w:p w14:paraId="7E7C8648"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p>
        </w:tc>
        <w:tc>
          <w:tcPr>
            <w:tcW w:w="0" w:type="auto"/>
            <w:noWrap/>
            <w:vAlign w:val="top"/>
            <w:hideMark/>
          </w:tcPr>
          <w:p w14:paraId="0A3870CB"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1.9%</w:t>
            </w:r>
          </w:p>
        </w:tc>
        <w:tc>
          <w:tcPr>
            <w:tcW w:w="0" w:type="auto"/>
            <w:noWrap/>
            <w:vAlign w:val="top"/>
            <w:hideMark/>
          </w:tcPr>
          <w:p w14:paraId="324BE04F"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9.1%</w:t>
            </w:r>
          </w:p>
        </w:tc>
        <w:tc>
          <w:tcPr>
            <w:tcW w:w="0" w:type="auto"/>
            <w:noWrap/>
            <w:vAlign w:val="top"/>
            <w:hideMark/>
          </w:tcPr>
          <w:p w14:paraId="23E8F1E5"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90.9%</w:t>
            </w:r>
          </w:p>
        </w:tc>
      </w:tr>
      <w:tr w:rsidR="00882DE9" w:rsidRPr="00882DE9" w14:paraId="6C4FE0FC" w14:textId="77777777" w:rsidTr="003F4E49">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37F3DF1" w14:textId="77777777" w:rsidR="00882DE9" w:rsidRPr="00882DE9" w:rsidRDefault="00882DE9" w:rsidP="00BE32C9">
            <w:pPr>
              <w:pStyle w:val="TableParagraph"/>
            </w:pPr>
            <w:r w:rsidRPr="00882DE9">
              <w:t>Mass General</w:t>
            </w:r>
          </w:p>
        </w:tc>
        <w:tc>
          <w:tcPr>
            <w:tcW w:w="0" w:type="auto"/>
          </w:tcPr>
          <w:p w14:paraId="64DA104F"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p>
        </w:tc>
        <w:tc>
          <w:tcPr>
            <w:tcW w:w="0" w:type="auto"/>
            <w:noWrap/>
            <w:vAlign w:val="top"/>
            <w:hideMark/>
          </w:tcPr>
          <w:p w14:paraId="1CB09346"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9.0%</w:t>
            </w:r>
          </w:p>
        </w:tc>
        <w:tc>
          <w:tcPr>
            <w:tcW w:w="0" w:type="auto"/>
            <w:noWrap/>
            <w:vAlign w:val="top"/>
            <w:hideMark/>
          </w:tcPr>
          <w:p w14:paraId="3D0E9F79"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50.4%</w:t>
            </w:r>
          </w:p>
        </w:tc>
        <w:tc>
          <w:tcPr>
            <w:tcW w:w="0" w:type="auto"/>
            <w:noWrap/>
            <w:vAlign w:val="top"/>
            <w:hideMark/>
          </w:tcPr>
          <w:p w14:paraId="7508C3E3"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49.6%</w:t>
            </w:r>
          </w:p>
        </w:tc>
      </w:tr>
      <w:tr w:rsidR="00882DE9" w:rsidRPr="00882DE9" w14:paraId="2CE24D72" w14:textId="77777777" w:rsidTr="003F4E49">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F7717C3" w14:textId="77777777" w:rsidR="00882DE9" w:rsidRPr="00882DE9" w:rsidRDefault="00882DE9" w:rsidP="00BE32C9">
            <w:pPr>
              <w:pStyle w:val="TableParagraph"/>
            </w:pPr>
            <w:r w:rsidRPr="00882DE9">
              <w:t>Tufts</w:t>
            </w:r>
          </w:p>
        </w:tc>
        <w:tc>
          <w:tcPr>
            <w:tcW w:w="0" w:type="auto"/>
          </w:tcPr>
          <w:p w14:paraId="26C0739D"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p>
        </w:tc>
        <w:tc>
          <w:tcPr>
            <w:tcW w:w="0" w:type="auto"/>
            <w:noWrap/>
            <w:vAlign w:val="top"/>
            <w:hideMark/>
          </w:tcPr>
          <w:p w14:paraId="40201418"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1.4%</w:t>
            </w:r>
          </w:p>
        </w:tc>
        <w:tc>
          <w:tcPr>
            <w:tcW w:w="0" w:type="auto"/>
            <w:noWrap/>
            <w:vAlign w:val="top"/>
            <w:hideMark/>
          </w:tcPr>
          <w:p w14:paraId="29AFB031"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28.4%</w:t>
            </w:r>
          </w:p>
        </w:tc>
        <w:tc>
          <w:tcPr>
            <w:tcW w:w="0" w:type="auto"/>
            <w:noWrap/>
            <w:vAlign w:val="top"/>
            <w:hideMark/>
          </w:tcPr>
          <w:p w14:paraId="5407089D"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71.6%</w:t>
            </w:r>
          </w:p>
        </w:tc>
      </w:tr>
      <w:tr w:rsidR="00882DE9" w:rsidRPr="00882DE9" w14:paraId="1579F5EA" w14:textId="77777777" w:rsidTr="003F4E49">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C1E32A" w14:textId="77777777" w:rsidR="00882DE9" w:rsidRPr="00882DE9" w:rsidRDefault="00882DE9" w:rsidP="00BE32C9">
            <w:pPr>
              <w:pStyle w:val="TableParagraph"/>
            </w:pPr>
            <w:r w:rsidRPr="00882DE9">
              <w:t>UMASS</w:t>
            </w:r>
          </w:p>
        </w:tc>
        <w:tc>
          <w:tcPr>
            <w:tcW w:w="0" w:type="auto"/>
          </w:tcPr>
          <w:p w14:paraId="42B519C9"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p>
        </w:tc>
        <w:tc>
          <w:tcPr>
            <w:tcW w:w="0" w:type="auto"/>
            <w:noWrap/>
            <w:vAlign w:val="top"/>
            <w:hideMark/>
          </w:tcPr>
          <w:p w14:paraId="38AAFDF9"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1.4%</w:t>
            </w:r>
          </w:p>
        </w:tc>
        <w:tc>
          <w:tcPr>
            <w:tcW w:w="0" w:type="auto"/>
            <w:noWrap/>
            <w:vAlign w:val="top"/>
            <w:hideMark/>
          </w:tcPr>
          <w:p w14:paraId="12DE1E04"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32.8%</w:t>
            </w:r>
          </w:p>
        </w:tc>
        <w:tc>
          <w:tcPr>
            <w:tcW w:w="0" w:type="auto"/>
            <w:noWrap/>
            <w:vAlign w:val="top"/>
            <w:hideMark/>
          </w:tcPr>
          <w:p w14:paraId="6E3229C9"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67.2%</w:t>
            </w:r>
          </w:p>
        </w:tc>
      </w:tr>
      <w:tr w:rsidR="00882DE9" w:rsidRPr="00882DE9" w14:paraId="390BEA0F" w14:textId="77777777" w:rsidTr="003F4E49">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DBC916" w14:textId="77777777" w:rsidR="00882DE9" w:rsidRPr="00882DE9" w:rsidRDefault="00882DE9" w:rsidP="00BE32C9">
            <w:pPr>
              <w:pStyle w:val="TableParagraph"/>
            </w:pPr>
            <w:r w:rsidRPr="00882DE9">
              <w:t>Other</w:t>
            </w:r>
          </w:p>
        </w:tc>
        <w:tc>
          <w:tcPr>
            <w:tcW w:w="0" w:type="auto"/>
          </w:tcPr>
          <w:p w14:paraId="315046F1"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p>
        </w:tc>
        <w:tc>
          <w:tcPr>
            <w:tcW w:w="0" w:type="auto"/>
            <w:noWrap/>
            <w:vAlign w:val="top"/>
            <w:hideMark/>
          </w:tcPr>
          <w:p w14:paraId="6FBE60BE"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68.8%</w:t>
            </w:r>
          </w:p>
        </w:tc>
        <w:tc>
          <w:tcPr>
            <w:tcW w:w="0" w:type="auto"/>
            <w:noWrap/>
            <w:vAlign w:val="top"/>
            <w:hideMark/>
          </w:tcPr>
          <w:p w14:paraId="75924704"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47.8%</w:t>
            </w:r>
          </w:p>
        </w:tc>
        <w:tc>
          <w:tcPr>
            <w:tcW w:w="0" w:type="auto"/>
            <w:noWrap/>
            <w:vAlign w:val="top"/>
            <w:hideMark/>
          </w:tcPr>
          <w:p w14:paraId="07BB572C" w14:textId="77777777" w:rsidR="00882DE9" w:rsidRPr="00882DE9" w:rsidRDefault="00882DE9" w:rsidP="00BE32C9">
            <w:pPr>
              <w:pStyle w:val="TableParagraph"/>
              <w:cnfStyle w:val="000000000000" w:firstRow="0" w:lastRow="0" w:firstColumn="0" w:lastColumn="0" w:oddVBand="0" w:evenVBand="0" w:oddHBand="0" w:evenHBand="0" w:firstRowFirstColumn="0" w:firstRowLastColumn="0" w:lastRowFirstColumn="0" w:lastRowLastColumn="0"/>
            </w:pPr>
            <w:r w:rsidRPr="00882DE9">
              <w:t>52.2%</w:t>
            </w:r>
          </w:p>
        </w:tc>
      </w:tr>
    </w:tbl>
    <w:p w14:paraId="191F0856" w14:textId="3D32F3E2" w:rsidR="00E22315" w:rsidRPr="00AA5467" w:rsidRDefault="00E22315" w:rsidP="005B1ED8">
      <w:pPr>
        <w:pStyle w:val="TableNotes"/>
        <w:tabs>
          <w:tab w:val="left" w:pos="7110"/>
        </w:tabs>
        <w:ind w:left="2250" w:right="2340"/>
      </w:pPr>
      <w:r w:rsidRPr="00882DE9">
        <w:t>Source: 2019 CHIA all-payer medical claim data.</w:t>
      </w:r>
    </w:p>
    <w:p w14:paraId="568F7846" w14:textId="75A9E193" w:rsidR="00E22315" w:rsidRPr="00AA5467" w:rsidRDefault="00E22315" w:rsidP="005B1ED8">
      <w:pPr>
        <w:pStyle w:val="TableNotes"/>
        <w:tabs>
          <w:tab w:val="left" w:pos="7110"/>
        </w:tabs>
        <w:ind w:left="2250" w:right="2340"/>
      </w:pPr>
      <w:r w:rsidRPr="001429D3">
        <w:t xml:space="preserve">Note: The CHIA data does not accurately identify BCH providers for Medicaid patients. See </w:t>
      </w:r>
      <w:r w:rsidR="009A456E">
        <w:t xml:space="preserve">paragraph </w:t>
      </w:r>
      <w:r w:rsidR="009A456E">
        <w:fldChar w:fldCharType="begin"/>
      </w:r>
      <w:r w:rsidR="009A456E">
        <w:instrText xml:space="preserve"> REF _Ref109821138 \r \h </w:instrText>
      </w:r>
      <w:r w:rsidR="009A456E">
        <w:fldChar w:fldCharType="separate"/>
      </w:r>
      <w:r w:rsidR="006263D9">
        <w:t>144</w:t>
      </w:r>
      <w:r w:rsidR="009A456E">
        <w:fldChar w:fldCharType="end"/>
      </w:r>
      <w:r>
        <w:t>.</w:t>
      </w:r>
    </w:p>
    <w:p w14:paraId="746895EC" w14:textId="5E721BDF" w:rsidR="00A5584E" w:rsidRPr="00C5498F" w:rsidRDefault="00A5584E" w:rsidP="00BE32C9">
      <w:r w:rsidRPr="00C5498F">
        <w:t>Mass General Brigham facilities accounted for the second largest share (</w:t>
      </w:r>
      <w:r w:rsidR="008C75DC" w:rsidRPr="00C5498F">
        <w:t>9.0</w:t>
      </w:r>
      <w:r w:rsidRPr="00C5498F">
        <w:t xml:space="preserve">%). Tufts, UMass, Boston Medical Center and Baystate Health </w:t>
      </w:r>
      <w:r w:rsidR="00C4580F">
        <w:t>had a</w:t>
      </w:r>
      <w:r w:rsidRPr="00C5498F">
        <w:t xml:space="preserve"> combined </w:t>
      </w:r>
      <w:r w:rsidR="00537AD1" w:rsidRPr="00C5498F">
        <w:t>s</w:t>
      </w:r>
      <w:r w:rsidR="003F6A91" w:rsidRPr="00C5498F">
        <w:t xml:space="preserve">hare of </w:t>
      </w:r>
      <w:r w:rsidR="002F15F8">
        <w:t>4.7</w:t>
      </w:r>
      <w:r w:rsidRPr="00C5498F">
        <w:t>%.</w:t>
      </w:r>
      <w:r w:rsidR="00B82A65" w:rsidRPr="00C5498F">
        <w:t xml:space="preserve"> </w:t>
      </w:r>
      <w:r w:rsidR="00E95CFF" w:rsidRPr="00C5498F">
        <w:t xml:space="preserve"> The remaining patients were categorized as “Other”</w:t>
      </w:r>
      <w:r w:rsidR="00C4580F">
        <w:rPr>
          <w:rStyle w:val="FootnoteReference"/>
        </w:rPr>
        <w:footnoteReference w:id="51"/>
      </w:r>
      <w:r w:rsidR="00E95CFF" w:rsidRPr="00C5498F">
        <w:t xml:space="preserve"> </w:t>
      </w:r>
      <w:r w:rsidR="009E4FBF" w:rsidRPr="00581318">
        <w:t xml:space="preserve">The age distribution of patients in the Other category </w:t>
      </w:r>
      <w:r w:rsidR="00537AD1" w:rsidRPr="00C5498F">
        <w:t>is similar to</w:t>
      </w:r>
      <w:r w:rsidR="009E4FBF" w:rsidRPr="00C5498F">
        <w:t xml:space="preserve"> that of the identified hospitals. </w:t>
      </w:r>
    </w:p>
    <w:p w14:paraId="0ABC9F8E" w14:textId="35A992E6" w:rsidR="00A5584E" w:rsidRPr="00C5498F" w:rsidRDefault="003F6A91" w:rsidP="00BE32C9">
      <w:r w:rsidRPr="00C5498F">
        <w:t xml:space="preserve">Commercial: </w:t>
      </w:r>
      <w:r w:rsidR="00A5584E" w:rsidRPr="00C5498F">
        <w:t xml:space="preserve">In the combined service areas (shown in </w:t>
      </w:r>
      <w:r w:rsidR="00D35B95" w:rsidRPr="00C5498F">
        <w:fldChar w:fldCharType="begin"/>
      </w:r>
      <w:r w:rsidR="00D35B95" w:rsidRPr="00C5498F">
        <w:instrText xml:space="preserve"> REF _Ref106622109 \h </w:instrText>
      </w:r>
      <w:r w:rsidR="00C5498F">
        <w:instrText xml:space="preserve"> \* MERGEFORMAT </w:instrText>
      </w:r>
      <w:r w:rsidR="00D35B95" w:rsidRPr="00C5498F">
        <w:fldChar w:fldCharType="separate"/>
      </w:r>
      <w:r w:rsidR="00CE7C62" w:rsidRPr="00C5498F">
        <w:t xml:space="preserve">Table </w:t>
      </w:r>
      <w:r w:rsidR="00CE7C62">
        <w:rPr>
          <w:noProof/>
        </w:rPr>
        <w:t>8</w:t>
      </w:r>
      <w:r w:rsidR="00CE7C62" w:rsidRPr="00C5498F">
        <w:t>: Imaging Visits and Shares by System, Commercial 2019</w:t>
      </w:r>
      <w:r w:rsidR="00D35B95" w:rsidRPr="00C5498F">
        <w:fldChar w:fldCharType="end"/>
      </w:r>
      <w:r w:rsidR="00A5584E" w:rsidRPr="00C5498F">
        <w:t xml:space="preserve">), BCH facilities accounted for </w:t>
      </w:r>
      <w:r w:rsidR="00DC23DC" w:rsidRPr="00C5498F">
        <w:t>17.2</w:t>
      </w:r>
      <w:r w:rsidR="00A5584E" w:rsidRPr="00C5498F">
        <w:t xml:space="preserve">% of total commercial imaging visits. Mass General Brigham facilities accounted for the second largest share </w:t>
      </w:r>
      <w:r w:rsidR="00A5584E" w:rsidRPr="00C5498F">
        <w:lastRenderedPageBreak/>
        <w:t>(</w:t>
      </w:r>
      <w:r w:rsidR="00DC23DC" w:rsidRPr="00C5498F">
        <w:t>9.7</w:t>
      </w:r>
      <w:r w:rsidR="00A5584E" w:rsidRPr="00C5498F">
        <w:t xml:space="preserve">%). The share of Tufts, UMass, Boston Medical Center and Baystate Health combined was </w:t>
      </w:r>
      <w:r w:rsidR="00DC23DC" w:rsidRPr="00C5498F">
        <w:t>2.3</w:t>
      </w:r>
      <w:r w:rsidR="00A5584E" w:rsidRPr="00C5498F">
        <w:t xml:space="preserve">%. Baystate has lower share and volumes </w:t>
      </w:r>
      <w:r w:rsidR="001F1582">
        <w:t xml:space="preserve">potentially </w:t>
      </w:r>
      <w:r w:rsidR="00A5584E" w:rsidRPr="00C5498F">
        <w:t xml:space="preserve">due to its distance from the service area, and Boston Medical </w:t>
      </w:r>
      <w:r w:rsidR="00D424EB" w:rsidRPr="00C5498F">
        <w:t xml:space="preserve">Center </w:t>
      </w:r>
      <w:r w:rsidR="00A5584E" w:rsidRPr="00C5498F">
        <w:t>has lower commercial volume.</w:t>
      </w:r>
    </w:p>
    <w:p w14:paraId="67683781" w14:textId="3BB334CE" w:rsidR="00C66A34" w:rsidRPr="00C5498F" w:rsidRDefault="00C66A34" w:rsidP="00BE32C9">
      <w:pPr>
        <w:pStyle w:val="Caption"/>
      </w:pPr>
      <w:bookmarkStart w:id="157" w:name="_Ref105766082"/>
      <w:bookmarkStart w:id="158" w:name="_Ref106622109"/>
      <w:bookmarkStart w:id="159" w:name="_Toc106641183"/>
      <w:bookmarkStart w:id="160" w:name="_Toc106648887"/>
      <w:bookmarkStart w:id="161" w:name="_Toc109895439"/>
      <w:r w:rsidRPr="00C5498F">
        <w:t xml:space="preserve">Table </w:t>
      </w:r>
      <w:fldSimple w:instr=" SEQ Table \* ARABIC ">
        <w:r w:rsidR="00CE7C62">
          <w:rPr>
            <w:noProof/>
          </w:rPr>
          <w:t>8</w:t>
        </w:r>
      </w:fldSimple>
      <w:bookmarkEnd w:id="157"/>
      <w:r w:rsidRPr="00C5498F">
        <w:t>: Imaging Visits and Shares by System, Commercial 2019</w:t>
      </w:r>
      <w:bookmarkEnd w:id="158"/>
      <w:bookmarkEnd w:id="159"/>
      <w:bookmarkEnd w:id="160"/>
      <w:r w:rsidRPr="00C5498F">
        <w:t xml:space="preserve"> (Combined Service Area, Patients Aged 0 – 18)</w:t>
      </w:r>
      <w:bookmarkEnd w:id="161"/>
    </w:p>
    <w:tbl>
      <w:tblPr>
        <w:tblStyle w:val="GridTable4-Accent11"/>
        <w:tblW w:w="3035" w:type="dxa"/>
        <w:tblLook w:val="04A0" w:firstRow="1" w:lastRow="0" w:firstColumn="1" w:lastColumn="0" w:noHBand="0" w:noVBand="1"/>
      </w:tblPr>
      <w:tblGrid>
        <w:gridCol w:w="1755"/>
        <w:gridCol w:w="1280"/>
      </w:tblGrid>
      <w:tr w:rsidR="00C66A34" w:rsidRPr="00C5498F" w14:paraId="72027AD0" w14:textId="77777777" w:rsidTr="008C0514">
        <w:trPr>
          <w:cnfStyle w:val="100000000000" w:firstRow="1" w:lastRow="0" w:firstColumn="0" w:lastColumn="0" w:oddVBand="0" w:evenVBand="0" w:oddHBand="0" w:evenHBand="0" w:firstRowFirstColumn="0" w:firstRowLastColumn="0" w:lastRowFirstColumn="0" w:lastRowLastColumn="0"/>
          <w:cantSplit/>
          <w:trHeight w:val="576"/>
          <w:tblHeader/>
        </w:trPr>
        <w:tc>
          <w:tcPr>
            <w:cnfStyle w:val="001000000000" w:firstRow="0" w:lastRow="0" w:firstColumn="1" w:lastColumn="0" w:oddVBand="0" w:evenVBand="0" w:oddHBand="0" w:evenHBand="0" w:firstRowFirstColumn="0" w:firstRowLastColumn="0" w:lastRowFirstColumn="0" w:lastRowLastColumn="0"/>
            <w:tcW w:w="1755" w:type="dxa"/>
            <w:hideMark/>
          </w:tcPr>
          <w:p w14:paraId="242630D3" w14:textId="77777777" w:rsidR="00C66A34" w:rsidRPr="00C5498F" w:rsidRDefault="00C66A34" w:rsidP="00BE32C9">
            <w:pPr>
              <w:pStyle w:val="TableParagraph"/>
            </w:pPr>
            <w:r w:rsidRPr="00C5498F">
              <w:t>System</w:t>
            </w:r>
          </w:p>
        </w:tc>
        <w:tc>
          <w:tcPr>
            <w:tcW w:w="1280" w:type="dxa"/>
            <w:hideMark/>
          </w:tcPr>
          <w:p w14:paraId="682BC3C6" w14:textId="77777777" w:rsidR="00C66A34" w:rsidRPr="00C5498F"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C5498F">
              <w:t>Share of Commercial Visits</w:t>
            </w:r>
          </w:p>
        </w:tc>
      </w:tr>
      <w:tr w:rsidR="00C66A34" w:rsidRPr="00C5498F" w14:paraId="459E74A1" w14:textId="77777777" w:rsidTr="008C0514">
        <w:trPr>
          <w:cantSplit/>
          <w:trHeight w:val="288"/>
        </w:trPr>
        <w:tc>
          <w:tcPr>
            <w:cnfStyle w:val="001000000000" w:firstRow="0" w:lastRow="0" w:firstColumn="1" w:lastColumn="0" w:oddVBand="0" w:evenVBand="0" w:oddHBand="0" w:evenHBand="0" w:firstRowFirstColumn="0" w:firstRowLastColumn="0" w:lastRowFirstColumn="0" w:lastRowLastColumn="0"/>
            <w:tcW w:w="1755" w:type="dxa"/>
            <w:noWrap/>
            <w:hideMark/>
          </w:tcPr>
          <w:p w14:paraId="642E6F60" w14:textId="77777777" w:rsidR="00C66A34" w:rsidRPr="00C5498F" w:rsidRDefault="00C66A34" w:rsidP="00BE32C9">
            <w:pPr>
              <w:pStyle w:val="TableParagraph"/>
            </w:pPr>
            <w:r w:rsidRPr="00C5498F">
              <w:t>All Visits</w:t>
            </w:r>
          </w:p>
        </w:tc>
        <w:tc>
          <w:tcPr>
            <w:tcW w:w="1280" w:type="dxa"/>
            <w:noWrap/>
            <w:vAlign w:val="top"/>
            <w:hideMark/>
          </w:tcPr>
          <w:p w14:paraId="6473B2C7" w14:textId="77777777" w:rsidR="00C66A34" w:rsidRPr="00C5498F"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C5498F">
              <w:t>100.0%</w:t>
            </w:r>
          </w:p>
        </w:tc>
      </w:tr>
      <w:tr w:rsidR="00C66A34" w:rsidRPr="00C5498F" w14:paraId="39E8FCCA" w14:textId="77777777" w:rsidTr="008C0514">
        <w:trPr>
          <w:cantSplit/>
          <w:trHeight w:val="288"/>
        </w:trPr>
        <w:tc>
          <w:tcPr>
            <w:cnfStyle w:val="001000000000" w:firstRow="0" w:lastRow="0" w:firstColumn="1" w:lastColumn="0" w:oddVBand="0" w:evenVBand="0" w:oddHBand="0" w:evenHBand="0" w:firstRowFirstColumn="0" w:firstRowLastColumn="0" w:lastRowFirstColumn="0" w:lastRowLastColumn="0"/>
            <w:tcW w:w="1755" w:type="dxa"/>
            <w:noWrap/>
            <w:hideMark/>
          </w:tcPr>
          <w:p w14:paraId="6AED1363" w14:textId="77777777" w:rsidR="00C66A34" w:rsidRPr="00C5498F" w:rsidRDefault="00C66A34" w:rsidP="00BE32C9">
            <w:pPr>
              <w:pStyle w:val="TableParagraph"/>
            </w:pPr>
            <w:r w:rsidRPr="00C5498F">
              <w:t>BCH</w:t>
            </w:r>
          </w:p>
        </w:tc>
        <w:tc>
          <w:tcPr>
            <w:tcW w:w="1280" w:type="dxa"/>
            <w:noWrap/>
            <w:vAlign w:val="top"/>
            <w:hideMark/>
          </w:tcPr>
          <w:p w14:paraId="240DA112" w14:textId="77777777" w:rsidR="00C66A34" w:rsidRPr="00C5498F"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C5498F">
              <w:t>17.2%</w:t>
            </w:r>
          </w:p>
        </w:tc>
      </w:tr>
      <w:tr w:rsidR="00C66A34" w:rsidRPr="00C5498F" w14:paraId="23EC906F" w14:textId="77777777" w:rsidTr="008C0514">
        <w:trPr>
          <w:cantSplit/>
          <w:trHeight w:val="288"/>
        </w:trPr>
        <w:tc>
          <w:tcPr>
            <w:cnfStyle w:val="001000000000" w:firstRow="0" w:lastRow="0" w:firstColumn="1" w:lastColumn="0" w:oddVBand="0" w:evenVBand="0" w:oddHBand="0" w:evenHBand="0" w:firstRowFirstColumn="0" w:firstRowLastColumn="0" w:lastRowFirstColumn="0" w:lastRowLastColumn="0"/>
            <w:tcW w:w="1755" w:type="dxa"/>
            <w:noWrap/>
            <w:hideMark/>
          </w:tcPr>
          <w:p w14:paraId="3A36B5A3" w14:textId="77777777" w:rsidR="00C66A34" w:rsidRPr="00C5498F" w:rsidRDefault="00C66A34" w:rsidP="00BE32C9">
            <w:pPr>
              <w:pStyle w:val="TableParagraph"/>
            </w:pPr>
            <w:r w:rsidRPr="00C5498F">
              <w:t>Baystate</w:t>
            </w:r>
          </w:p>
        </w:tc>
        <w:tc>
          <w:tcPr>
            <w:tcW w:w="1280" w:type="dxa"/>
            <w:noWrap/>
            <w:vAlign w:val="top"/>
            <w:hideMark/>
          </w:tcPr>
          <w:p w14:paraId="5FE30967" w14:textId="3BD485B6" w:rsidR="00C66A34" w:rsidRPr="00C5498F" w:rsidRDefault="00B36FEB" w:rsidP="00BE32C9">
            <w:pPr>
              <w:pStyle w:val="TableParagraph"/>
              <w:cnfStyle w:val="000000000000" w:firstRow="0" w:lastRow="0" w:firstColumn="0" w:lastColumn="0" w:oddVBand="0" w:evenVBand="0" w:oddHBand="0" w:evenHBand="0" w:firstRowFirstColumn="0" w:firstRowLastColumn="0" w:lastRowFirstColumn="0" w:lastRowLastColumn="0"/>
            </w:pPr>
            <w:r>
              <w:t>--</w:t>
            </w:r>
          </w:p>
        </w:tc>
      </w:tr>
      <w:tr w:rsidR="00C66A34" w:rsidRPr="00C5498F" w14:paraId="10FAA8C6" w14:textId="77777777" w:rsidTr="008C0514">
        <w:trPr>
          <w:cantSplit/>
          <w:trHeight w:val="288"/>
        </w:trPr>
        <w:tc>
          <w:tcPr>
            <w:cnfStyle w:val="001000000000" w:firstRow="0" w:lastRow="0" w:firstColumn="1" w:lastColumn="0" w:oddVBand="0" w:evenVBand="0" w:oddHBand="0" w:evenHBand="0" w:firstRowFirstColumn="0" w:firstRowLastColumn="0" w:lastRowFirstColumn="0" w:lastRowLastColumn="0"/>
            <w:tcW w:w="1755" w:type="dxa"/>
            <w:noWrap/>
            <w:hideMark/>
          </w:tcPr>
          <w:p w14:paraId="456DA7E6" w14:textId="77777777" w:rsidR="00C66A34" w:rsidRPr="00C5498F" w:rsidRDefault="00C66A34" w:rsidP="00BE32C9">
            <w:pPr>
              <w:pStyle w:val="TableParagraph"/>
            </w:pPr>
            <w:r w:rsidRPr="00C5498F">
              <w:t>Boston Medical</w:t>
            </w:r>
          </w:p>
        </w:tc>
        <w:tc>
          <w:tcPr>
            <w:tcW w:w="1280" w:type="dxa"/>
            <w:noWrap/>
            <w:vAlign w:val="top"/>
            <w:hideMark/>
          </w:tcPr>
          <w:p w14:paraId="1ACEF787" w14:textId="77777777" w:rsidR="00C66A34" w:rsidRPr="00C5498F"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C5498F">
              <w:t>0.4%</w:t>
            </w:r>
          </w:p>
        </w:tc>
      </w:tr>
      <w:tr w:rsidR="00C66A34" w:rsidRPr="00C5498F" w14:paraId="5326513F" w14:textId="77777777" w:rsidTr="008C0514">
        <w:trPr>
          <w:cantSplit/>
          <w:trHeight w:val="288"/>
        </w:trPr>
        <w:tc>
          <w:tcPr>
            <w:cnfStyle w:val="001000000000" w:firstRow="0" w:lastRow="0" w:firstColumn="1" w:lastColumn="0" w:oddVBand="0" w:evenVBand="0" w:oddHBand="0" w:evenHBand="0" w:firstRowFirstColumn="0" w:firstRowLastColumn="0" w:lastRowFirstColumn="0" w:lastRowLastColumn="0"/>
            <w:tcW w:w="1755" w:type="dxa"/>
            <w:noWrap/>
            <w:hideMark/>
          </w:tcPr>
          <w:p w14:paraId="7B296647" w14:textId="77777777" w:rsidR="00C66A34" w:rsidRPr="00C5498F" w:rsidRDefault="00C66A34" w:rsidP="00BE32C9">
            <w:pPr>
              <w:pStyle w:val="TableParagraph"/>
            </w:pPr>
            <w:r w:rsidRPr="00C5498F">
              <w:t>Mass General</w:t>
            </w:r>
          </w:p>
        </w:tc>
        <w:tc>
          <w:tcPr>
            <w:tcW w:w="1280" w:type="dxa"/>
            <w:noWrap/>
            <w:vAlign w:val="top"/>
            <w:hideMark/>
          </w:tcPr>
          <w:p w14:paraId="7E45B464" w14:textId="77777777" w:rsidR="00C66A34" w:rsidRPr="00C5498F"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C5498F">
              <w:t>9.7%</w:t>
            </w:r>
          </w:p>
        </w:tc>
      </w:tr>
      <w:tr w:rsidR="00C66A34" w:rsidRPr="00C5498F" w14:paraId="2EE5DEC9" w14:textId="77777777" w:rsidTr="008C0514">
        <w:trPr>
          <w:cantSplit/>
          <w:trHeight w:val="288"/>
        </w:trPr>
        <w:tc>
          <w:tcPr>
            <w:cnfStyle w:val="001000000000" w:firstRow="0" w:lastRow="0" w:firstColumn="1" w:lastColumn="0" w:oddVBand="0" w:evenVBand="0" w:oddHBand="0" w:evenHBand="0" w:firstRowFirstColumn="0" w:firstRowLastColumn="0" w:lastRowFirstColumn="0" w:lastRowLastColumn="0"/>
            <w:tcW w:w="1755" w:type="dxa"/>
            <w:noWrap/>
            <w:hideMark/>
          </w:tcPr>
          <w:p w14:paraId="0007AD8A" w14:textId="77777777" w:rsidR="00C66A34" w:rsidRPr="00C5498F" w:rsidRDefault="00C66A34" w:rsidP="00BE32C9">
            <w:pPr>
              <w:pStyle w:val="TableParagraph"/>
            </w:pPr>
            <w:r w:rsidRPr="00C5498F">
              <w:t>Tufts</w:t>
            </w:r>
          </w:p>
        </w:tc>
        <w:tc>
          <w:tcPr>
            <w:tcW w:w="1280" w:type="dxa"/>
            <w:noWrap/>
            <w:vAlign w:val="top"/>
            <w:hideMark/>
          </w:tcPr>
          <w:p w14:paraId="41993DD5" w14:textId="77777777" w:rsidR="00C66A34" w:rsidRPr="00C5498F"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C5498F">
              <w:t>0.9%</w:t>
            </w:r>
          </w:p>
        </w:tc>
      </w:tr>
      <w:tr w:rsidR="00C66A34" w:rsidRPr="00C5498F" w14:paraId="19956107" w14:textId="77777777" w:rsidTr="008C0514">
        <w:trPr>
          <w:cantSplit/>
          <w:trHeight w:val="288"/>
        </w:trPr>
        <w:tc>
          <w:tcPr>
            <w:cnfStyle w:val="001000000000" w:firstRow="0" w:lastRow="0" w:firstColumn="1" w:lastColumn="0" w:oddVBand="0" w:evenVBand="0" w:oddHBand="0" w:evenHBand="0" w:firstRowFirstColumn="0" w:firstRowLastColumn="0" w:lastRowFirstColumn="0" w:lastRowLastColumn="0"/>
            <w:tcW w:w="1755" w:type="dxa"/>
            <w:noWrap/>
            <w:hideMark/>
          </w:tcPr>
          <w:p w14:paraId="43A0944B" w14:textId="77777777" w:rsidR="00C66A34" w:rsidRPr="00C5498F" w:rsidRDefault="00C66A34" w:rsidP="00BE32C9">
            <w:pPr>
              <w:pStyle w:val="TableParagraph"/>
            </w:pPr>
            <w:r w:rsidRPr="00C5498F">
              <w:t>UMASS</w:t>
            </w:r>
          </w:p>
        </w:tc>
        <w:tc>
          <w:tcPr>
            <w:tcW w:w="1280" w:type="dxa"/>
            <w:noWrap/>
            <w:vAlign w:val="top"/>
            <w:hideMark/>
          </w:tcPr>
          <w:p w14:paraId="0265E1D5" w14:textId="77777777" w:rsidR="00C66A34" w:rsidRPr="00C5498F"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C5498F">
              <w:t>1.0%</w:t>
            </w:r>
          </w:p>
        </w:tc>
      </w:tr>
      <w:tr w:rsidR="00C66A34" w:rsidRPr="00C5498F" w14:paraId="6660352A" w14:textId="77777777" w:rsidTr="008C0514">
        <w:trPr>
          <w:cantSplit/>
          <w:trHeight w:val="288"/>
        </w:trPr>
        <w:tc>
          <w:tcPr>
            <w:cnfStyle w:val="001000000000" w:firstRow="0" w:lastRow="0" w:firstColumn="1" w:lastColumn="0" w:oddVBand="0" w:evenVBand="0" w:oddHBand="0" w:evenHBand="0" w:firstRowFirstColumn="0" w:firstRowLastColumn="0" w:lastRowFirstColumn="0" w:lastRowLastColumn="0"/>
            <w:tcW w:w="1755" w:type="dxa"/>
            <w:noWrap/>
            <w:hideMark/>
          </w:tcPr>
          <w:p w14:paraId="12B80950" w14:textId="77777777" w:rsidR="00C66A34" w:rsidRPr="00C5498F" w:rsidRDefault="00C66A34" w:rsidP="00BE32C9">
            <w:pPr>
              <w:pStyle w:val="TableParagraph"/>
            </w:pPr>
            <w:r w:rsidRPr="00C5498F">
              <w:t>Other</w:t>
            </w:r>
          </w:p>
        </w:tc>
        <w:tc>
          <w:tcPr>
            <w:tcW w:w="1280" w:type="dxa"/>
            <w:noWrap/>
            <w:vAlign w:val="top"/>
            <w:hideMark/>
          </w:tcPr>
          <w:p w14:paraId="3949FC48" w14:textId="77777777" w:rsidR="00C66A34" w:rsidRPr="00C5498F"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C5498F">
              <w:t>70.7%</w:t>
            </w:r>
          </w:p>
        </w:tc>
      </w:tr>
    </w:tbl>
    <w:p w14:paraId="13E47263" w14:textId="1A317A92" w:rsidR="00C66A34" w:rsidRPr="00AA5467" w:rsidRDefault="00C66A34" w:rsidP="005B1ED8">
      <w:pPr>
        <w:pStyle w:val="TableNotes"/>
        <w:ind w:left="3150"/>
      </w:pPr>
      <w:r w:rsidRPr="00C5498F">
        <w:t>Source: CHIA all-payer medical claim data.</w:t>
      </w:r>
    </w:p>
    <w:p w14:paraId="695F335D" w14:textId="735BD012" w:rsidR="00A5584E" w:rsidRPr="00C5498F" w:rsidRDefault="001F1582" w:rsidP="00BE32C9">
      <w:r>
        <w:t>MassHealth/</w:t>
      </w:r>
      <w:r w:rsidR="003F6A91" w:rsidRPr="00C5498F">
        <w:t xml:space="preserve">Medicaid: </w:t>
      </w:r>
      <w:r w:rsidR="00A5584E" w:rsidRPr="00C5498F">
        <w:t xml:space="preserve">As shown in </w:t>
      </w:r>
      <w:r w:rsidR="00D35B95" w:rsidRPr="00C5498F">
        <w:fldChar w:fldCharType="begin"/>
      </w:r>
      <w:r w:rsidR="00D35B95" w:rsidRPr="00C5498F">
        <w:instrText xml:space="preserve"> REF _Ref106622117 \h </w:instrText>
      </w:r>
      <w:r w:rsidR="00C5498F">
        <w:instrText xml:space="preserve"> \* MERGEFORMAT </w:instrText>
      </w:r>
      <w:r w:rsidR="00D35B95" w:rsidRPr="00C5498F">
        <w:fldChar w:fldCharType="separate"/>
      </w:r>
      <w:r w:rsidR="00CE7C62" w:rsidRPr="00F73C6E">
        <w:t xml:space="preserve">Table </w:t>
      </w:r>
      <w:r w:rsidR="00CE7C62">
        <w:rPr>
          <w:noProof/>
        </w:rPr>
        <w:t>9</w:t>
      </w:r>
      <w:r w:rsidR="00CE7C62" w:rsidRPr="00F73C6E">
        <w:t xml:space="preserve">: Imaging Visits and Shares by System, </w:t>
      </w:r>
      <w:r w:rsidR="00CE7C62" w:rsidRPr="00CE7C62">
        <w:t>Medicaid and MassHealth 2019</w:t>
      </w:r>
      <w:r w:rsidR="00D35B95" w:rsidRPr="00C5498F">
        <w:fldChar w:fldCharType="end"/>
      </w:r>
      <w:r w:rsidR="00A5584E" w:rsidRPr="00C5498F">
        <w:t xml:space="preserve">, BCH facilities accounted for </w:t>
      </w:r>
      <w:r w:rsidR="00DC23DC" w:rsidRPr="00C5498F">
        <w:t>17.5% of visits</w:t>
      </w:r>
      <w:r w:rsidR="00A5584E" w:rsidRPr="00C5498F">
        <w:t xml:space="preserve">. Mass General Brigham facilities accounted for the second largest share of </w:t>
      </w:r>
      <w:r>
        <w:t>MassHealth/</w:t>
      </w:r>
      <w:r w:rsidR="00A5584E" w:rsidRPr="00C5498F">
        <w:t>Medicaid</w:t>
      </w:r>
      <w:r w:rsidR="00DC23DC" w:rsidRPr="00C5498F">
        <w:t xml:space="preserve"> </w:t>
      </w:r>
      <w:r w:rsidR="00A5584E" w:rsidRPr="00C5498F">
        <w:t>(</w:t>
      </w:r>
      <w:r w:rsidR="00DC23DC" w:rsidRPr="00C5498F">
        <w:t>8.3</w:t>
      </w:r>
      <w:r w:rsidR="00A5584E" w:rsidRPr="00C5498F">
        <w:t>%). Boston Medical facilities has</w:t>
      </w:r>
      <w:r>
        <w:t xml:space="preserve"> </w:t>
      </w:r>
      <w:r w:rsidR="00DC23DC" w:rsidRPr="00C5498F">
        <w:t>3.3% of visits</w:t>
      </w:r>
      <w:r w:rsidR="00A5584E" w:rsidRPr="00C5498F">
        <w:t xml:space="preserve">. The share of Tufts, UMass, and Baystate Health combined </w:t>
      </w:r>
      <w:r w:rsidR="00DC23DC" w:rsidRPr="00C5498F">
        <w:t>7.0%</w:t>
      </w:r>
      <w:r>
        <w:t xml:space="preserve"> </w:t>
      </w:r>
      <w:r w:rsidR="00A5584E" w:rsidRPr="00C5498F">
        <w:t>Visits.</w:t>
      </w:r>
    </w:p>
    <w:p w14:paraId="07E49147" w14:textId="3B793A49" w:rsidR="00C66A34" w:rsidRPr="00F73C6E" w:rsidRDefault="00C66A34" w:rsidP="00BE32C9">
      <w:pPr>
        <w:pStyle w:val="Caption"/>
      </w:pPr>
      <w:bookmarkStart w:id="162" w:name="_Ref105766158"/>
      <w:bookmarkStart w:id="163" w:name="_Ref106622117"/>
      <w:bookmarkStart w:id="164" w:name="_Toc106641184"/>
      <w:bookmarkStart w:id="165" w:name="_Toc106648888"/>
      <w:bookmarkStart w:id="166" w:name="_Toc109895440"/>
      <w:r w:rsidRPr="00F73C6E">
        <w:t xml:space="preserve">Table </w:t>
      </w:r>
      <w:fldSimple w:instr=" SEQ Table \* ARABIC ">
        <w:r w:rsidR="00CE7C62">
          <w:rPr>
            <w:noProof/>
          </w:rPr>
          <w:t>9</w:t>
        </w:r>
      </w:fldSimple>
      <w:bookmarkEnd w:id="162"/>
      <w:r w:rsidRPr="00F73C6E">
        <w:t xml:space="preserve">: Imaging Visits and Shares by System, </w:t>
      </w:r>
      <w:r w:rsidRPr="00647358">
        <w:rPr>
          <w:spacing w:val="-6"/>
        </w:rPr>
        <w:t>Medicaid and MassHealth 2019</w:t>
      </w:r>
      <w:bookmarkEnd w:id="163"/>
      <w:bookmarkEnd w:id="164"/>
      <w:bookmarkEnd w:id="165"/>
      <w:r>
        <w:rPr>
          <w:spacing w:val="-6"/>
        </w:rPr>
        <w:t xml:space="preserve"> </w:t>
      </w:r>
      <w:r w:rsidRPr="00146650">
        <w:t>(Combined Service Area, Patient</w:t>
      </w:r>
      <w:r>
        <w:t>s</w:t>
      </w:r>
      <w:r w:rsidRPr="00146650">
        <w:t xml:space="preserve"> </w:t>
      </w:r>
      <w:r>
        <w:t xml:space="preserve">Aged </w:t>
      </w:r>
      <w:r w:rsidRPr="00146650">
        <w:t>0 – 18)</w:t>
      </w:r>
      <w:bookmarkEnd w:id="166"/>
    </w:p>
    <w:tbl>
      <w:tblPr>
        <w:tblStyle w:val="GridTable4-Accent11"/>
        <w:tblW w:w="2681" w:type="dxa"/>
        <w:tblLook w:val="04A0" w:firstRow="1" w:lastRow="0" w:firstColumn="1" w:lastColumn="0" w:noHBand="0" w:noVBand="1"/>
      </w:tblPr>
      <w:tblGrid>
        <w:gridCol w:w="1665"/>
        <w:gridCol w:w="1016"/>
      </w:tblGrid>
      <w:tr w:rsidR="00C66A34" w:rsidRPr="00DC18EC" w14:paraId="75B8EA9E" w14:textId="77777777" w:rsidTr="000D567C">
        <w:trPr>
          <w:cnfStyle w:val="100000000000" w:firstRow="1" w:lastRow="0" w:firstColumn="0" w:lastColumn="0" w:oddVBand="0" w:evenVBand="0" w:oddHBand="0" w:evenHBand="0" w:firstRowFirstColumn="0" w:firstRowLastColumn="0" w:lastRowFirstColumn="0" w:lastRowLastColumn="0"/>
          <w:cantSplit/>
          <w:trHeight w:val="458"/>
          <w:tblHeader/>
        </w:trPr>
        <w:tc>
          <w:tcPr>
            <w:cnfStyle w:val="001000000000" w:firstRow="0" w:lastRow="0" w:firstColumn="1" w:lastColumn="0" w:oddVBand="0" w:evenVBand="0" w:oddHBand="0" w:evenHBand="0" w:firstRowFirstColumn="0" w:firstRowLastColumn="0" w:lastRowFirstColumn="0" w:lastRowLastColumn="0"/>
            <w:tcW w:w="1665" w:type="dxa"/>
            <w:hideMark/>
          </w:tcPr>
          <w:p w14:paraId="66A612F4" w14:textId="77777777" w:rsidR="00C66A34" w:rsidRPr="00DC18EC" w:rsidRDefault="00C66A34" w:rsidP="00BE32C9">
            <w:pPr>
              <w:pStyle w:val="TableParagraph"/>
            </w:pPr>
            <w:r w:rsidRPr="00DC18EC">
              <w:t>System</w:t>
            </w:r>
          </w:p>
        </w:tc>
        <w:tc>
          <w:tcPr>
            <w:tcW w:w="1016" w:type="dxa"/>
            <w:hideMark/>
          </w:tcPr>
          <w:p w14:paraId="0C320365" w14:textId="77777777" w:rsidR="00C66A34" w:rsidRPr="00DC18EC"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t>Share of Medicaid Visits</w:t>
            </w:r>
          </w:p>
        </w:tc>
      </w:tr>
      <w:tr w:rsidR="00C66A34" w:rsidRPr="00DC18EC" w14:paraId="2A61CE8C"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1665" w:type="dxa"/>
            <w:noWrap/>
            <w:hideMark/>
          </w:tcPr>
          <w:p w14:paraId="520DA0B0" w14:textId="77777777" w:rsidR="00C66A34" w:rsidRPr="00DC18EC" w:rsidRDefault="00C66A34" w:rsidP="00BE32C9">
            <w:pPr>
              <w:pStyle w:val="TableParagraph"/>
            </w:pPr>
            <w:r w:rsidRPr="00DC18EC">
              <w:t>All Visits</w:t>
            </w:r>
          </w:p>
        </w:tc>
        <w:tc>
          <w:tcPr>
            <w:tcW w:w="1016" w:type="dxa"/>
            <w:noWrap/>
            <w:vAlign w:val="top"/>
            <w:hideMark/>
          </w:tcPr>
          <w:p w14:paraId="6FDA725A"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46CC1">
              <w:t>100.0%</w:t>
            </w:r>
          </w:p>
        </w:tc>
      </w:tr>
      <w:tr w:rsidR="00C66A34" w:rsidRPr="00DC18EC" w14:paraId="6AB76FF9"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1665" w:type="dxa"/>
            <w:noWrap/>
            <w:hideMark/>
          </w:tcPr>
          <w:p w14:paraId="053DA169" w14:textId="77777777" w:rsidR="00C66A34" w:rsidRPr="00DC18EC" w:rsidRDefault="00C66A34" w:rsidP="00BE32C9">
            <w:pPr>
              <w:pStyle w:val="TableParagraph"/>
            </w:pPr>
            <w:r w:rsidRPr="00DC18EC">
              <w:t>BCH</w:t>
            </w:r>
          </w:p>
        </w:tc>
        <w:tc>
          <w:tcPr>
            <w:tcW w:w="1016" w:type="dxa"/>
            <w:noWrap/>
            <w:vAlign w:val="top"/>
            <w:hideMark/>
          </w:tcPr>
          <w:p w14:paraId="2865F6BD"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46CC1">
              <w:t>17.5%</w:t>
            </w:r>
          </w:p>
        </w:tc>
      </w:tr>
      <w:tr w:rsidR="00C66A34" w:rsidRPr="00DC18EC" w14:paraId="67F00852"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1665" w:type="dxa"/>
            <w:noWrap/>
            <w:hideMark/>
          </w:tcPr>
          <w:p w14:paraId="1A4F8FF5" w14:textId="77777777" w:rsidR="00C66A34" w:rsidRPr="00DC18EC" w:rsidRDefault="00C66A34" w:rsidP="00BE32C9">
            <w:pPr>
              <w:pStyle w:val="TableParagraph"/>
            </w:pPr>
            <w:r w:rsidRPr="00DC18EC">
              <w:t>Baystate</w:t>
            </w:r>
          </w:p>
        </w:tc>
        <w:tc>
          <w:tcPr>
            <w:tcW w:w="1016" w:type="dxa"/>
            <w:noWrap/>
            <w:vAlign w:val="top"/>
            <w:hideMark/>
          </w:tcPr>
          <w:p w14:paraId="79525E13" w14:textId="199EEA69" w:rsidR="00C66A34" w:rsidRPr="00DC18EC" w:rsidRDefault="00B36FEB" w:rsidP="00BE32C9">
            <w:pPr>
              <w:pStyle w:val="TableParagraph"/>
              <w:cnfStyle w:val="000000000000" w:firstRow="0" w:lastRow="0" w:firstColumn="0" w:lastColumn="0" w:oddVBand="0" w:evenVBand="0" w:oddHBand="0" w:evenHBand="0" w:firstRowFirstColumn="0" w:firstRowLastColumn="0" w:lastRowFirstColumn="0" w:lastRowLastColumn="0"/>
            </w:pPr>
            <w:r>
              <w:t>--</w:t>
            </w:r>
          </w:p>
        </w:tc>
      </w:tr>
      <w:tr w:rsidR="00C66A34" w:rsidRPr="00DC18EC" w14:paraId="56A2ABFF"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1665" w:type="dxa"/>
            <w:noWrap/>
            <w:hideMark/>
          </w:tcPr>
          <w:p w14:paraId="7E7C10B8" w14:textId="77777777" w:rsidR="00C66A34" w:rsidRPr="00DC18EC" w:rsidRDefault="00C66A34" w:rsidP="00BE32C9">
            <w:pPr>
              <w:pStyle w:val="TableParagraph"/>
            </w:pPr>
            <w:r w:rsidRPr="00DC18EC">
              <w:t>Boston Medical</w:t>
            </w:r>
          </w:p>
        </w:tc>
        <w:tc>
          <w:tcPr>
            <w:tcW w:w="1016" w:type="dxa"/>
            <w:noWrap/>
            <w:vAlign w:val="top"/>
            <w:hideMark/>
          </w:tcPr>
          <w:p w14:paraId="789A685D"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46CC1">
              <w:t>3.3%</w:t>
            </w:r>
          </w:p>
        </w:tc>
      </w:tr>
      <w:tr w:rsidR="00C66A34" w:rsidRPr="00DC18EC" w14:paraId="0733C4FE"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1665" w:type="dxa"/>
            <w:noWrap/>
            <w:hideMark/>
          </w:tcPr>
          <w:p w14:paraId="39AD4B5A" w14:textId="77777777" w:rsidR="00C66A34" w:rsidRPr="00DC18EC" w:rsidRDefault="00C66A34" w:rsidP="00BE32C9">
            <w:pPr>
              <w:pStyle w:val="TableParagraph"/>
            </w:pPr>
            <w:r w:rsidRPr="00DC18EC">
              <w:t>Mass General</w:t>
            </w:r>
          </w:p>
        </w:tc>
        <w:tc>
          <w:tcPr>
            <w:tcW w:w="1016" w:type="dxa"/>
            <w:noWrap/>
            <w:vAlign w:val="top"/>
            <w:hideMark/>
          </w:tcPr>
          <w:p w14:paraId="48307CE2"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46CC1">
              <w:t>8.3%</w:t>
            </w:r>
          </w:p>
        </w:tc>
      </w:tr>
      <w:tr w:rsidR="00C66A34" w:rsidRPr="00DC18EC" w14:paraId="6513BA25"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1665" w:type="dxa"/>
            <w:noWrap/>
            <w:hideMark/>
          </w:tcPr>
          <w:p w14:paraId="68190469" w14:textId="77777777" w:rsidR="00C66A34" w:rsidRPr="00DC18EC" w:rsidRDefault="00C66A34" w:rsidP="00BE32C9">
            <w:pPr>
              <w:pStyle w:val="TableParagraph"/>
            </w:pPr>
            <w:r w:rsidRPr="00DC18EC">
              <w:t>Tufts</w:t>
            </w:r>
          </w:p>
        </w:tc>
        <w:tc>
          <w:tcPr>
            <w:tcW w:w="1016" w:type="dxa"/>
            <w:noWrap/>
            <w:vAlign w:val="top"/>
            <w:hideMark/>
          </w:tcPr>
          <w:p w14:paraId="22CB1C91"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46CC1">
              <w:t>1.9%</w:t>
            </w:r>
          </w:p>
        </w:tc>
      </w:tr>
      <w:tr w:rsidR="00C66A34" w:rsidRPr="00DC18EC" w14:paraId="026C7CF2"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1665" w:type="dxa"/>
            <w:noWrap/>
            <w:hideMark/>
          </w:tcPr>
          <w:p w14:paraId="40D9049E" w14:textId="77777777" w:rsidR="00C66A34" w:rsidRPr="00DC18EC" w:rsidRDefault="00C66A34" w:rsidP="00BE32C9">
            <w:pPr>
              <w:pStyle w:val="TableParagraph"/>
            </w:pPr>
            <w:r w:rsidRPr="00DC18EC">
              <w:t>UMASS</w:t>
            </w:r>
          </w:p>
        </w:tc>
        <w:tc>
          <w:tcPr>
            <w:tcW w:w="1016" w:type="dxa"/>
            <w:noWrap/>
            <w:vAlign w:val="top"/>
            <w:hideMark/>
          </w:tcPr>
          <w:p w14:paraId="6092FFCE"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46CC1">
              <w:t>1.8%</w:t>
            </w:r>
          </w:p>
        </w:tc>
      </w:tr>
      <w:tr w:rsidR="00C66A34" w:rsidRPr="00DC18EC" w14:paraId="6DDC5F02"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1665" w:type="dxa"/>
            <w:noWrap/>
            <w:hideMark/>
          </w:tcPr>
          <w:p w14:paraId="1702141A" w14:textId="77777777" w:rsidR="00C66A34" w:rsidRPr="00DC18EC" w:rsidRDefault="00C66A34" w:rsidP="00BE32C9">
            <w:pPr>
              <w:pStyle w:val="TableParagraph"/>
            </w:pPr>
            <w:r w:rsidRPr="00DC18EC">
              <w:t>Other</w:t>
            </w:r>
          </w:p>
        </w:tc>
        <w:tc>
          <w:tcPr>
            <w:tcW w:w="1016" w:type="dxa"/>
            <w:noWrap/>
            <w:vAlign w:val="top"/>
            <w:hideMark/>
          </w:tcPr>
          <w:p w14:paraId="45C9E82A"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46CC1">
              <w:t>67.2%</w:t>
            </w:r>
          </w:p>
        </w:tc>
      </w:tr>
    </w:tbl>
    <w:p w14:paraId="30D5C2AC" w14:textId="77777777" w:rsidR="005B1ED8" w:rsidRPr="00A66616" w:rsidRDefault="005B1ED8" w:rsidP="005B1ED8">
      <w:pPr>
        <w:pStyle w:val="TableNotes"/>
        <w:ind w:left="3240"/>
      </w:pPr>
      <w:r>
        <w:t>Source:</w:t>
      </w:r>
      <w:r w:rsidRPr="00CB4F30">
        <w:t xml:space="preserve"> 2019 CHIA all-payer medical claim data.</w:t>
      </w:r>
    </w:p>
    <w:p w14:paraId="14506A67" w14:textId="10C8EDE6" w:rsidR="00A5584E" w:rsidRPr="00C5498F" w:rsidRDefault="001F1582" w:rsidP="00BE32C9">
      <w:pPr>
        <w:rPr>
          <w:i/>
          <w:iCs/>
        </w:rPr>
      </w:pPr>
      <w:r>
        <w:t xml:space="preserve">Of the </w:t>
      </w:r>
      <w:r w:rsidR="00A5584E" w:rsidRPr="00C5498F">
        <w:t xml:space="preserve">imaging visits in </w:t>
      </w:r>
      <w:r w:rsidR="00BB6A7B" w:rsidRPr="00C5498F">
        <w:t>the combined service area</w:t>
      </w:r>
      <w:r w:rsidR="00A5584E" w:rsidRPr="00C5498F">
        <w:t xml:space="preserve"> in 2019</w:t>
      </w:r>
      <w:r>
        <w:t xml:space="preserve">, </w:t>
      </w:r>
      <w:r w:rsidR="00A5584E" w:rsidRPr="00C5498F">
        <w:t>over 4</w:t>
      </w:r>
      <w:r w:rsidR="00DC23DC" w:rsidRPr="00C5498F">
        <w:t>6.5</w:t>
      </w:r>
      <w:r w:rsidR="00A5584E" w:rsidRPr="00C5498F">
        <w:t xml:space="preserve">% were from commercial patients. Around </w:t>
      </w:r>
      <w:r w:rsidR="00DC23DC" w:rsidRPr="00C5498F">
        <w:t>53.5</w:t>
      </w:r>
      <w:r w:rsidR="00A5584E" w:rsidRPr="00C5498F">
        <w:t xml:space="preserve">% of the visits were </w:t>
      </w:r>
      <w:r>
        <w:t>MassHealth/</w:t>
      </w:r>
      <w:r w:rsidR="00A5584E" w:rsidRPr="00C5498F">
        <w:t>Medicaid</w:t>
      </w:r>
      <w:r w:rsidR="00DC23DC" w:rsidRPr="00C5498F">
        <w:t xml:space="preserve"> </w:t>
      </w:r>
      <w:r w:rsidR="00A5584E" w:rsidRPr="00C5498F">
        <w:t xml:space="preserve">patients. BCH’s payer mix </w:t>
      </w:r>
      <w:r w:rsidR="009462DE" w:rsidRPr="00C5498F">
        <w:t xml:space="preserve">in the service area (as well as in the state) </w:t>
      </w:r>
      <w:r w:rsidR="00A5584E" w:rsidRPr="00C5498F">
        <w:t xml:space="preserve">is similar to the state-level payer mix, with </w:t>
      </w:r>
      <w:r w:rsidR="00DC23DC" w:rsidRPr="00C5498F">
        <w:t>46.2%</w:t>
      </w:r>
      <w:r w:rsidR="00A5584E" w:rsidRPr="00C5498F">
        <w:t xml:space="preserve"> of the visits from Commercial patients.</w:t>
      </w:r>
      <w:r w:rsidR="009462DE" w:rsidRPr="00C5498F">
        <w:t xml:space="preserve"> </w:t>
      </w:r>
      <w:r w:rsidR="00A5584E" w:rsidRPr="00C5498F">
        <w:t xml:space="preserve">Most of the BCH </w:t>
      </w:r>
      <w:r w:rsidR="00EA15B2">
        <w:t>MassHealth</w:t>
      </w:r>
      <w:r>
        <w:t>/Medicaid</w:t>
      </w:r>
      <w:r w:rsidR="00A5584E" w:rsidRPr="00C5498F">
        <w:t xml:space="preserve"> visits were associated with the BCH main campus</w:t>
      </w:r>
      <w:r>
        <w:t xml:space="preserve"> for reasons detailed elsewhere </w:t>
      </w:r>
      <w:r w:rsidR="00D35B95" w:rsidRPr="00C5498F">
        <w:t xml:space="preserve"> (</w:t>
      </w:r>
      <w:r>
        <w:t>see</w:t>
      </w:r>
      <w:r w:rsidR="00D35B95" w:rsidRPr="00C5498F">
        <w:t xml:space="preserve"> </w:t>
      </w:r>
      <w:r w:rsidR="00D35B95" w:rsidRPr="00C5498F">
        <w:fldChar w:fldCharType="begin"/>
      </w:r>
      <w:r w:rsidR="00D35B95" w:rsidRPr="00C5498F">
        <w:instrText xml:space="preserve"> REF _Ref106622175 \h </w:instrText>
      </w:r>
      <w:r w:rsidR="00C5498F">
        <w:instrText xml:space="preserve"> \* MERGEFORMAT </w:instrText>
      </w:r>
      <w:r w:rsidR="00D35B95" w:rsidRPr="00C5498F">
        <w:fldChar w:fldCharType="separate"/>
      </w:r>
      <w:r w:rsidR="00CE7C62" w:rsidRPr="00866ABE">
        <w:t xml:space="preserve">Table </w:t>
      </w:r>
      <w:r w:rsidR="00CE7C62">
        <w:rPr>
          <w:noProof/>
        </w:rPr>
        <w:t>10</w:t>
      </w:r>
      <w:r w:rsidR="00CE7C62">
        <w:t xml:space="preserve">: BCH Imaging Visits by Facility and Payer Mix, 2019 </w:t>
      </w:r>
      <w:r w:rsidR="00D35B95" w:rsidRPr="00C5498F">
        <w:fldChar w:fldCharType="end"/>
      </w:r>
      <w:r w:rsidR="00D35B95">
        <w:t>)</w:t>
      </w:r>
      <w:r w:rsidR="00A5584E" w:rsidRPr="008F2F8B">
        <w:t>.</w:t>
      </w:r>
    </w:p>
    <w:p w14:paraId="5FF3DA1C" w14:textId="46DF3638" w:rsidR="00C66A34" w:rsidRPr="00866ABE" w:rsidRDefault="00C66A34" w:rsidP="007813FB">
      <w:pPr>
        <w:pStyle w:val="Caption"/>
      </w:pPr>
      <w:bookmarkStart w:id="167" w:name="_Ref106622175"/>
      <w:bookmarkStart w:id="168" w:name="_Toc106641185"/>
      <w:bookmarkStart w:id="169" w:name="_Toc106648889"/>
      <w:bookmarkStart w:id="170" w:name="_Toc109895441"/>
      <w:r w:rsidRPr="00866ABE">
        <w:lastRenderedPageBreak/>
        <w:t xml:space="preserve">Table </w:t>
      </w:r>
      <w:fldSimple w:instr=" SEQ Table \* ARABIC ">
        <w:r w:rsidR="00CE7C62">
          <w:rPr>
            <w:noProof/>
          </w:rPr>
          <w:t>10</w:t>
        </w:r>
      </w:fldSimple>
      <w:r>
        <w:t xml:space="preserve">: BCH Imaging Visits by Facility and Payer Mix, 2019 </w:t>
      </w:r>
      <w:bookmarkEnd w:id="167"/>
      <w:bookmarkEnd w:id="168"/>
      <w:bookmarkEnd w:id="169"/>
      <w:r w:rsidRPr="00146650">
        <w:t>(Combined Service Area, Patient</w:t>
      </w:r>
      <w:r>
        <w:t>s</w:t>
      </w:r>
      <w:r w:rsidRPr="00146650">
        <w:t xml:space="preserve"> </w:t>
      </w:r>
      <w:r>
        <w:t xml:space="preserve">Aged </w:t>
      </w:r>
      <w:r w:rsidRPr="00146650">
        <w:t>0 – 18)</w:t>
      </w:r>
      <w:bookmarkEnd w:id="170"/>
    </w:p>
    <w:tbl>
      <w:tblPr>
        <w:tblStyle w:val="GridTable4-Accent11"/>
        <w:tblW w:w="0" w:type="auto"/>
        <w:tblLook w:val="06A0" w:firstRow="1" w:lastRow="0" w:firstColumn="1" w:lastColumn="0" w:noHBand="1" w:noVBand="1"/>
      </w:tblPr>
      <w:tblGrid>
        <w:gridCol w:w="4622"/>
        <w:gridCol w:w="1272"/>
        <w:gridCol w:w="1016"/>
      </w:tblGrid>
      <w:tr w:rsidR="00C66A34" w:rsidRPr="00AA5F31" w14:paraId="5ADFC826" w14:textId="77777777" w:rsidTr="000D567C">
        <w:trPr>
          <w:cnfStyle w:val="100000000000" w:firstRow="1" w:lastRow="0" w:firstColumn="0" w:lastColumn="0" w:oddVBand="0" w:evenVBand="0" w:oddHBand="0" w:evenHBand="0" w:firstRowFirstColumn="0" w:firstRowLastColumn="0" w:lastRowFirstColumn="0" w:lastRowLastColumn="0"/>
          <w:cantSplit/>
          <w:trHeight w:val="530"/>
          <w:tblHeader/>
        </w:trPr>
        <w:tc>
          <w:tcPr>
            <w:cnfStyle w:val="001000000000" w:firstRow="0" w:lastRow="0" w:firstColumn="1" w:lastColumn="0" w:oddVBand="0" w:evenVBand="0" w:oddHBand="0" w:evenHBand="0" w:firstRowFirstColumn="0" w:firstRowLastColumn="0" w:lastRowFirstColumn="0" w:lastRowLastColumn="0"/>
            <w:tcW w:w="4622" w:type="dxa"/>
            <w:hideMark/>
          </w:tcPr>
          <w:p w14:paraId="29034940" w14:textId="77777777" w:rsidR="00C66A34" w:rsidRPr="00AA5F31" w:rsidRDefault="00C66A34" w:rsidP="00BE32C9">
            <w:pPr>
              <w:pStyle w:val="TableParagraph"/>
            </w:pPr>
            <w:r w:rsidRPr="00AA5F31">
              <w:t>Standardized Name</w:t>
            </w:r>
          </w:p>
        </w:tc>
        <w:tc>
          <w:tcPr>
            <w:tcW w:w="1272" w:type="dxa"/>
            <w:hideMark/>
          </w:tcPr>
          <w:p w14:paraId="7E1DF75C" w14:textId="77777777" w:rsidR="00C66A34" w:rsidRPr="00AA5F31"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AA5F31">
              <w:t>% Commercial</w:t>
            </w:r>
          </w:p>
        </w:tc>
        <w:tc>
          <w:tcPr>
            <w:tcW w:w="1016" w:type="dxa"/>
            <w:hideMark/>
          </w:tcPr>
          <w:p w14:paraId="5EA77FD4" w14:textId="77777777" w:rsidR="00C66A34" w:rsidRPr="00AA5F31"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AA5F31">
              <w:t>% Medicaid</w:t>
            </w:r>
          </w:p>
        </w:tc>
      </w:tr>
      <w:tr w:rsidR="00C66A34" w:rsidRPr="00AA5F31" w14:paraId="35A75A7D" w14:textId="77777777" w:rsidTr="000D567C">
        <w:trPr>
          <w:cantSplit/>
          <w:trHeight w:val="350"/>
        </w:trPr>
        <w:tc>
          <w:tcPr>
            <w:cnfStyle w:val="001000000000" w:firstRow="0" w:lastRow="0" w:firstColumn="1" w:lastColumn="0" w:oddVBand="0" w:evenVBand="0" w:oddHBand="0" w:evenHBand="0" w:firstRowFirstColumn="0" w:firstRowLastColumn="0" w:lastRowFirstColumn="0" w:lastRowLastColumn="0"/>
            <w:tcW w:w="4622" w:type="dxa"/>
            <w:noWrap/>
            <w:hideMark/>
          </w:tcPr>
          <w:p w14:paraId="560E355E" w14:textId="77777777" w:rsidR="00C66A34" w:rsidRPr="00AA5F31" w:rsidRDefault="00C66A34" w:rsidP="00BE32C9">
            <w:pPr>
              <w:pStyle w:val="TableParagraph"/>
            </w:pPr>
            <w:r w:rsidRPr="00AA5F31">
              <w:t>BCH - Other - Entity</w:t>
            </w:r>
          </w:p>
        </w:tc>
        <w:tc>
          <w:tcPr>
            <w:tcW w:w="1272" w:type="dxa"/>
            <w:noWrap/>
            <w:vAlign w:val="top"/>
            <w:hideMark/>
          </w:tcPr>
          <w:p w14:paraId="7A222FA3"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B1FF5">
              <w:t>88.0%</w:t>
            </w:r>
          </w:p>
        </w:tc>
        <w:tc>
          <w:tcPr>
            <w:tcW w:w="1016" w:type="dxa"/>
            <w:noWrap/>
            <w:vAlign w:val="top"/>
            <w:hideMark/>
          </w:tcPr>
          <w:p w14:paraId="0C8A6DEA"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B1FF5">
              <w:t>12.0%</w:t>
            </w:r>
          </w:p>
        </w:tc>
      </w:tr>
      <w:tr w:rsidR="00C66A34" w:rsidRPr="00AA5F31" w14:paraId="48F5BE1E"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4622" w:type="dxa"/>
            <w:noWrap/>
            <w:hideMark/>
          </w:tcPr>
          <w:p w14:paraId="704734E4" w14:textId="77777777" w:rsidR="00C66A34" w:rsidRPr="00AA5F31" w:rsidRDefault="00C66A34" w:rsidP="00BE32C9">
            <w:pPr>
              <w:pStyle w:val="TableParagraph"/>
            </w:pPr>
            <w:r w:rsidRPr="00AA5F31">
              <w:t>BCH - Other - Individual</w:t>
            </w:r>
          </w:p>
        </w:tc>
        <w:tc>
          <w:tcPr>
            <w:tcW w:w="1272" w:type="dxa"/>
            <w:noWrap/>
            <w:vAlign w:val="top"/>
            <w:hideMark/>
          </w:tcPr>
          <w:p w14:paraId="76C4F39B"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B1FF5">
              <w:t>31.4%</w:t>
            </w:r>
          </w:p>
        </w:tc>
        <w:tc>
          <w:tcPr>
            <w:tcW w:w="1016" w:type="dxa"/>
            <w:noWrap/>
            <w:vAlign w:val="top"/>
            <w:hideMark/>
          </w:tcPr>
          <w:p w14:paraId="7CC266FC"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B1FF5">
              <w:t>68.6%</w:t>
            </w:r>
          </w:p>
        </w:tc>
      </w:tr>
      <w:tr w:rsidR="00C66A34" w:rsidRPr="00AA5F31" w14:paraId="6B18B20C"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4622" w:type="dxa"/>
            <w:noWrap/>
            <w:hideMark/>
          </w:tcPr>
          <w:p w14:paraId="168B6662" w14:textId="77777777" w:rsidR="00C66A34" w:rsidRPr="00AA5F31" w:rsidRDefault="00C66A34" w:rsidP="00BE32C9">
            <w:pPr>
              <w:pStyle w:val="TableParagraph"/>
            </w:pPr>
            <w:r w:rsidRPr="00AA5F31">
              <w:t>BOSTON CHILDREN'S AT BROOKLINE</w:t>
            </w:r>
          </w:p>
        </w:tc>
        <w:tc>
          <w:tcPr>
            <w:tcW w:w="1272" w:type="dxa"/>
            <w:noWrap/>
            <w:vAlign w:val="top"/>
            <w:hideMark/>
          </w:tcPr>
          <w:p w14:paraId="7CE37D23"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B1FF5">
              <w:t>100.0%</w:t>
            </w:r>
          </w:p>
        </w:tc>
        <w:tc>
          <w:tcPr>
            <w:tcW w:w="1016" w:type="dxa"/>
            <w:noWrap/>
            <w:vAlign w:val="top"/>
            <w:hideMark/>
          </w:tcPr>
          <w:p w14:paraId="3E44A91E"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B1FF5">
              <w:t>0.0%</w:t>
            </w:r>
          </w:p>
        </w:tc>
      </w:tr>
      <w:tr w:rsidR="00C66A34" w:rsidRPr="00AA5F31" w14:paraId="2487D738"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4622" w:type="dxa"/>
            <w:noWrap/>
            <w:hideMark/>
          </w:tcPr>
          <w:p w14:paraId="2D736182" w14:textId="77777777" w:rsidR="00C66A34" w:rsidRPr="00AA5F31" w:rsidRDefault="00C66A34" w:rsidP="00BE32C9">
            <w:pPr>
              <w:pStyle w:val="TableParagraph"/>
            </w:pPr>
            <w:r w:rsidRPr="00AA5F31">
              <w:t>BOSTON CHILDREN'S AT LEXINGTON</w:t>
            </w:r>
          </w:p>
        </w:tc>
        <w:tc>
          <w:tcPr>
            <w:tcW w:w="1272" w:type="dxa"/>
            <w:noWrap/>
            <w:vAlign w:val="top"/>
            <w:hideMark/>
          </w:tcPr>
          <w:p w14:paraId="3E70887A"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B1FF5">
              <w:t>100.0%</w:t>
            </w:r>
          </w:p>
        </w:tc>
        <w:tc>
          <w:tcPr>
            <w:tcW w:w="1016" w:type="dxa"/>
            <w:noWrap/>
            <w:vAlign w:val="top"/>
            <w:hideMark/>
          </w:tcPr>
          <w:p w14:paraId="7E307866"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B1FF5">
              <w:t>0.0%</w:t>
            </w:r>
          </w:p>
        </w:tc>
      </w:tr>
      <w:tr w:rsidR="00C66A34" w:rsidRPr="00AA5F31" w14:paraId="2340586A"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4622" w:type="dxa"/>
            <w:noWrap/>
            <w:hideMark/>
          </w:tcPr>
          <w:p w14:paraId="0A58440E" w14:textId="77777777" w:rsidR="00C66A34" w:rsidRPr="00AA5F31" w:rsidRDefault="00C66A34" w:rsidP="00BE32C9">
            <w:pPr>
              <w:pStyle w:val="TableParagraph"/>
            </w:pPr>
            <w:r w:rsidRPr="00AA5F31">
              <w:t>BOSTON CHILDREN'S AT PEABODY</w:t>
            </w:r>
          </w:p>
        </w:tc>
        <w:tc>
          <w:tcPr>
            <w:tcW w:w="1272" w:type="dxa"/>
            <w:noWrap/>
            <w:vAlign w:val="top"/>
            <w:hideMark/>
          </w:tcPr>
          <w:p w14:paraId="77379637"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B1FF5">
              <w:t>100.0%</w:t>
            </w:r>
          </w:p>
        </w:tc>
        <w:tc>
          <w:tcPr>
            <w:tcW w:w="1016" w:type="dxa"/>
            <w:noWrap/>
            <w:vAlign w:val="top"/>
            <w:hideMark/>
          </w:tcPr>
          <w:p w14:paraId="2A8AA09C"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B1FF5">
              <w:t>0.0%</w:t>
            </w:r>
          </w:p>
        </w:tc>
      </w:tr>
      <w:tr w:rsidR="00C66A34" w:rsidRPr="00AA5F31" w14:paraId="6C943A2F"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4622" w:type="dxa"/>
            <w:noWrap/>
            <w:hideMark/>
          </w:tcPr>
          <w:p w14:paraId="768CA8E1" w14:textId="77777777" w:rsidR="00C66A34" w:rsidRPr="00AA5F31" w:rsidRDefault="00C66A34" w:rsidP="00BE32C9">
            <w:pPr>
              <w:pStyle w:val="TableParagraph"/>
            </w:pPr>
            <w:r w:rsidRPr="00AA5F31">
              <w:t>BOSTON CHILDREN'S AT WALTHAM</w:t>
            </w:r>
          </w:p>
        </w:tc>
        <w:tc>
          <w:tcPr>
            <w:tcW w:w="1272" w:type="dxa"/>
            <w:noWrap/>
            <w:vAlign w:val="top"/>
            <w:hideMark/>
          </w:tcPr>
          <w:p w14:paraId="0D37BFCB"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B1FF5">
              <w:t>100.0%</w:t>
            </w:r>
          </w:p>
        </w:tc>
        <w:tc>
          <w:tcPr>
            <w:tcW w:w="1016" w:type="dxa"/>
            <w:noWrap/>
            <w:vAlign w:val="top"/>
            <w:hideMark/>
          </w:tcPr>
          <w:p w14:paraId="2EC5928F"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B1FF5">
              <w:t>0.0%</w:t>
            </w:r>
          </w:p>
        </w:tc>
      </w:tr>
      <w:tr w:rsidR="00C66A34" w:rsidRPr="00AA5F31" w14:paraId="46F0C345"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4622" w:type="dxa"/>
            <w:noWrap/>
            <w:hideMark/>
          </w:tcPr>
          <w:p w14:paraId="0D890CCC" w14:textId="77777777" w:rsidR="00C66A34" w:rsidRPr="00AA5F31" w:rsidRDefault="00C66A34" w:rsidP="00BE32C9">
            <w:pPr>
              <w:pStyle w:val="TableParagraph"/>
            </w:pPr>
            <w:r w:rsidRPr="00AA5F31">
              <w:t>BOSTON CHILDREN'S HOSPITAL</w:t>
            </w:r>
          </w:p>
        </w:tc>
        <w:tc>
          <w:tcPr>
            <w:tcW w:w="1272" w:type="dxa"/>
            <w:noWrap/>
            <w:vAlign w:val="top"/>
            <w:hideMark/>
          </w:tcPr>
          <w:p w14:paraId="5DBC9AFD"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B1FF5">
              <w:t>41.9%</w:t>
            </w:r>
          </w:p>
        </w:tc>
        <w:tc>
          <w:tcPr>
            <w:tcW w:w="1016" w:type="dxa"/>
            <w:noWrap/>
            <w:vAlign w:val="top"/>
            <w:hideMark/>
          </w:tcPr>
          <w:p w14:paraId="2792D48C"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B1FF5">
              <w:t>58.1%</w:t>
            </w:r>
          </w:p>
        </w:tc>
      </w:tr>
      <w:tr w:rsidR="00C66A34" w:rsidRPr="00AA5F31" w14:paraId="4254A24D"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4622" w:type="dxa"/>
            <w:noWrap/>
            <w:hideMark/>
          </w:tcPr>
          <w:p w14:paraId="1D8001B0" w14:textId="77777777" w:rsidR="00C66A34" w:rsidRPr="00AA5F31" w:rsidRDefault="00C66A34" w:rsidP="00BE32C9">
            <w:pPr>
              <w:pStyle w:val="TableParagraph"/>
            </w:pPr>
            <w:r w:rsidRPr="00AA5F31">
              <w:t>BOSTON CHILDREN'S at NORTH DARTMOUTH</w:t>
            </w:r>
          </w:p>
        </w:tc>
        <w:tc>
          <w:tcPr>
            <w:tcW w:w="1272" w:type="dxa"/>
            <w:noWrap/>
            <w:vAlign w:val="top"/>
            <w:hideMark/>
          </w:tcPr>
          <w:p w14:paraId="52CD8BB0"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B1FF5">
              <w:t>100.0%</w:t>
            </w:r>
          </w:p>
        </w:tc>
        <w:tc>
          <w:tcPr>
            <w:tcW w:w="1016" w:type="dxa"/>
            <w:noWrap/>
            <w:vAlign w:val="top"/>
            <w:hideMark/>
          </w:tcPr>
          <w:p w14:paraId="3274B51B"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BB1FF5">
              <w:t>0.0%</w:t>
            </w:r>
          </w:p>
        </w:tc>
      </w:tr>
    </w:tbl>
    <w:p w14:paraId="7F484A7E" w14:textId="77777777" w:rsidR="005B1ED8" w:rsidRPr="00A66616" w:rsidRDefault="005B1ED8" w:rsidP="005B1ED8">
      <w:pPr>
        <w:pStyle w:val="TableNotes"/>
        <w:ind w:left="1260"/>
      </w:pPr>
      <w:r>
        <w:t>Source:</w:t>
      </w:r>
      <w:r w:rsidRPr="00CB4F30">
        <w:t xml:space="preserve"> 2019 CHIA all-payer medical claim data.</w:t>
      </w:r>
    </w:p>
    <w:p w14:paraId="0139F58E" w14:textId="545B1797" w:rsidR="00C66A34" w:rsidRPr="00A66616" w:rsidRDefault="00C66A34" w:rsidP="005B1ED8">
      <w:pPr>
        <w:pStyle w:val="TableNotes"/>
        <w:ind w:left="1260"/>
      </w:pPr>
      <w:r w:rsidRPr="001429D3">
        <w:t xml:space="preserve">Note: The CHIA data does not accurately identify BCH providers for Medicaid patients. See </w:t>
      </w:r>
      <w:r w:rsidR="006D6D82">
        <w:t xml:space="preserve">paragraph </w:t>
      </w:r>
      <w:r w:rsidR="006D6D82">
        <w:fldChar w:fldCharType="begin"/>
      </w:r>
      <w:r w:rsidR="006D6D82">
        <w:instrText xml:space="preserve"> REF _Ref109821138 \r \h </w:instrText>
      </w:r>
      <w:r w:rsidR="006D6D82">
        <w:fldChar w:fldCharType="separate"/>
      </w:r>
      <w:r w:rsidR="006263D9">
        <w:t>144</w:t>
      </w:r>
      <w:r w:rsidR="006D6D82">
        <w:fldChar w:fldCharType="end"/>
      </w:r>
      <w:r>
        <w:t>.</w:t>
      </w:r>
    </w:p>
    <w:p w14:paraId="4B04B3E6" w14:textId="42FD4652" w:rsidR="00A5584E" w:rsidRDefault="00A5584E" w:rsidP="00BE32C9">
      <w:pPr>
        <w:pStyle w:val="Heading3"/>
      </w:pPr>
      <w:bookmarkStart w:id="171" w:name="_Toc106002906"/>
      <w:bookmarkStart w:id="172" w:name="_Toc109895510"/>
      <w:r>
        <w:t>Share</w:t>
      </w:r>
      <w:bookmarkEnd w:id="171"/>
      <w:r w:rsidR="00F01E29">
        <w:t xml:space="preserve"> of ASC Visits</w:t>
      </w:r>
      <w:bookmarkEnd w:id="172"/>
    </w:p>
    <w:p w14:paraId="0E764C42" w14:textId="075B5172" w:rsidR="00A5584E" w:rsidRPr="00882DE9" w:rsidRDefault="009462DE" w:rsidP="00BE32C9">
      <w:r>
        <w:t xml:space="preserve">All </w:t>
      </w:r>
      <w:r w:rsidRPr="00882DE9">
        <w:t xml:space="preserve">payer: </w:t>
      </w:r>
      <w:r w:rsidR="00A5584E" w:rsidRPr="00882DE9">
        <w:t xml:space="preserve">The six health systems with children’s hospitals (BCH and five health systems) accounted for around </w:t>
      </w:r>
      <w:r w:rsidR="00501C9B" w:rsidRPr="00882DE9">
        <w:t>35</w:t>
      </w:r>
      <w:r w:rsidR="00A5584E" w:rsidRPr="00882DE9">
        <w:t xml:space="preserve">% of all pediatric ASC visits for the combined service areas (BCH Waltham, BCH Weymouth, and BCH Needham). </w:t>
      </w:r>
      <w:r w:rsidR="0035036D" w:rsidRPr="00882DE9">
        <w:t xml:space="preserve">Mass General Brigham </w:t>
      </w:r>
      <w:r w:rsidR="00A5584E" w:rsidRPr="00882DE9">
        <w:t>facilities have the largest shares</w:t>
      </w:r>
      <w:r w:rsidR="0035036D" w:rsidRPr="00882DE9">
        <w:t xml:space="preserve"> and BCH facilities have the second largest shares</w:t>
      </w:r>
      <w:r w:rsidR="00A5584E" w:rsidRPr="00882DE9">
        <w:t xml:space="preserve"> in the combined 75% service areas, </w:t>
      </w:r>
    </w:p>
    <w:p w14:paraId="7DBE922E" w14:textId="02EAE996" w:rsidR="00A5584E" w:rsidRDefault="00A5584E" w:rsidP="00BE32C9">
      <w:r w:rsidRPr="00C5498F">
        <w:t xml:space="preserve">In the combined service area (shown in </w:t>
      </w:r>
      <w:r w:rsidR="00D35B95" w:rsidRPr="00C5498F">
        <w:fldChar w:fldCharType="begin"/>
      </w:r>
      <w:r w:rsidR="00D35B95" w:rsidRPr="00C5498F">
        <w:instrText xml:space="preserve"> REF _Ref106622190 \h </w:instrText>
      </w:r>
      <w:r w:rsidR="00C5498F">
        <w:instrText xml:space="preserve"> \* MERGEFORMAT </w:instrText>
      </w:r>
      <w:r w:rsidR="00D35B95" w:rsidRPr="00C5498F">
        <w:fldChar w:fldCharType="separate"/>
      </w:r>
      <w:r w:rsidR="00CE7C62" w:rsidRPr="00D340B7">
        <w:t xml:space="preserve">Table </w:t>
      </w:r>
      <w:r w:rsidR="00CE7C62">
        <w:rPr>
          <w:noProof/>
        </w:rPr>
        <w:t>11</w:t>
      </w:r>
      <w:r w:rsidR="00CE7C62">
        <w:t xml:space="preserve">: ASC Visits and Shares by System, 2019 </w:t>
      </w:r>
      <w:r w:rsidR="00D35B95" w:rsidRPr="00C5498F">
        <w:fldChar w:fldCharType="end"/>
      </w:r>
      <w:r w:rsidRPr="00C5498F">
        <w:t>), Mass General Brigham facilities accounted for the largest share (</w:t>
      </w:r>
      <w:r w:rsidR="00DC23DC" w:rsidRPr="00C5498F">
        <w:t>15.7</w:t>
      </w:r>
      <w:r w:rsidR="00BB6A7B" w:rsidRPr="00C5498F">
        <w:t>%</w:t>
      </w:r>
      <w:r w:rsidRPr="00C5498F">
        <w:t xml:space="preserve">). </w:t>
      </w:r>
      <w:r w:rsidR="00BB6A7B" w:rsidRPr="00C5498F">
        <w:t>BCH facilities accounted for the second largest share (</w:t>
      </w:r>
      <w:r w:rsidR="00DC23DC" w:rsidRPr="00C5498F">
        <w:t>12.5</w:t>
      </w:r>
      <w:r w:rsidR="00BB6A7B" w:rsidRPr="00C5498F">
        <w:t xml:space="preserve">% of total ASC visits). </w:t>
      </w:r>
      <w:r w:rsidRPr="00C5498F">
        <w:t xml:space="preserve">Tufts and UMASS respectively have </w:t>
      </w:r>
      <w:r w:rsidR="00DC23DC" w:rsidRPr="00C5498F">
        <w:t>2.8</w:t>
      </w:r>
      <w:r w:rsidRPr="00C5498F">
        <w:t xml:space="preserve"> and </w:t>
      </w:r>
      <w:r w:rsidR="00DC23DC" w:rsidRPr="00C5498F">
        <w:t>2.6</w:t>
      </w:r>
      <w:r w:rsidRPr="00C5498F">
        <w:t>%</w:t>
      </w:r>
      <w:r w:rsidR="00C9626D" w:rsidRPr="00C5498F">
        <w:t xml:space="preserve"> </w:t>
      </w:r>
      <w:r w:rsidRPr="00C5498F">
        <w:t>and combined</w:t>
      </w:r>
      <w:r w:rsidR="00F73967">
        <w:t>,</w:t>
      </w:r>
      <w:r w:rsidRPr="00C5498F">
        <w:t xml:space="preserve"> Boston Medical Center and Baystate Health have </w:t>
      </w:r>
      <w:r w:rsidR="00DC23DC" w:rsidRPr="00C5498F">
        <w:t>6.7</w:t>
      </w:r>
      <w:r w:rsidRPr="00C5498F">
        <w:t xml:space="preserve">%. </w:t>
      </w:r>
      <w:r w:rsidR="00E95CFF" w:rsidRPr="00C5498F">
        <w:t>The remaining share</w:t>
      </w:r>
      <w:r w:rsidR="00D67E44" w:rsidRPr="00C5498F">
        <w:t xml:space="preserve"> comprises more than 3,500 unique NPI numbers for providers.</w:t>
      </w:r>
      <w:r w:rsidR="00F73967">
        <w:rPr>
          <w:rStyle w:val="FootnoteReference"/>
        </w:rPr>
        <w:footnoteReference w:id="52"/>
      </w:r>
      <w:r w:rsidR="00D67E44" w:rsidRPr="00C5498F">
        <w:t xml:space="preserve"> </w:t>
      </w:r>
      <w:r w:rsidR="00D67E44">
        <w:t xml:space="preserve">For ASCs, the patients </w:t>
      </w:r>
      <w:r w:rsidR="00537AD1">
        <w:t>served by providers in</w:t>
      </w:r>
      <w:r w:rsidR="00D67E44">
        <w:t xml:space="preserve"> the Other category were </w:t>
      </w:r>
      <w:r w:rsidR="00537AD1">
        <w:t>distributed primarily at</w:t>
      </w:r>
      <w:r w:rsidR="00D67E44">
        <w:t xml:space="preserve"> the two ends of the age distribution (more in the youngest category as well as the oldest category of children, </w:t>
      </w:r>
      <w:r w:rsidR="00537AD1">
        <w:t>with</w:t>
      </w:r>
      <w:r w:rsidR="00D67E44">
        <w:t xml:space="preserve"> fewer in the middle ranges 6-15</w:t>
      </w:r>
      <w:r w:rsidR="00C5498F">
        <w:t xml:space="preserve">). </w:t>
      </w:r>
      <w:r w:rsidR="00D67E44">
        <w:t xml:space="preserve">This is not expected to have an effect on </w:t>
      </w:r>
      <w:r w:rsidR="00537AD1">
        <w:t xml:space="preserve">alternatives or the </w:t>
      </w:r>
      <w:r w:rsidR="00D67E44">
        <w:t>cost estimates.</w:t>
      </w:r>
    </w:p>
    <w:p w14:paraId="16313546" w14:textId="51F193D7" w:rsidR="00C66A34" w:rsidRPr="00D340B7" w:rsidRDefault="00C66A34" w:rsidP="007813FB">
      <w:pPr>
        <w:pStyle w:val="Caption"/>
      </w:pPr>
      <w:bookmarkStart w:id="173" w:name="_Ref105766515"/>
      <w:bookmarkStart w:id="174" w:name="_Ref106622190"/>
      <w:bookmarkStart w:id="175" w:name="_Toc106641186"/>
      <w:bookmarkStart w:id="176" w:name="_Toc106648890"/>
      <w:bookmarkStart w:id="177" w:name="_Toc109895442"/>
      <w:r w:rsidRPr="00D340B7">
        <w:lastRenderedPageBreak/>
        <w:t xml:space="preserve">Table </w:t>
      </w:r>
      <w:fldSimple w:instr=" SEQ Table \* ARABIC ">
        <w:r w:rsidR="00CE7C62">
          <w:rPr>
            <w:noProof/>
          </w:rPr>
          <w:t>11</w:t>
        </w:r>
      </w:fldSimple>
      <w:bookmarkEnd w:id="173"/>
      <w:r>
        <w:t xml:space="preserve">: ASC Visits and Shares by System, 2019 </w:t>
      </w:r>
      <w:bookmarkEnd w:id="174"/>
      <w:bookmarkEnd w:id="175"/>
      <w:bookmarkEnd w:id="176"/>
      <w:r w:rsidRPr="00146650">
        <w:t>(Combined Service Area, Patient</w:t>
      </w:r>
      <w:r>
        <w:t>s</w:t>
      </w:r>
      <w:r w:rsidRPr="00146650">
        <w:t xml:space="preserve"> </w:t>
      </w:r>
      <w:r>
        <w:t xml:space="preserve">Aged </w:t>
      </w:r>
      <w:r w:rsidRPr="00146650">
        <w:t>0 – 18)</w:t>
      </w:r>
      <w:bookmarkEnd w:id="177"/>
      <w:r w:rsidDel="0035036D">
        <w:t xml:space="preserve"> </w:t>
      </w:r>
    </w:p>
    <w:tbl>
      <w:tblPr>
        <w:tblStyle w:val="GridTable4-Accent11"/>
        <w:tblW w:w="0" w:type="auto"/>
        <w:tblLook w:val="04A0" w:firstRow="1" w:lastRow="0" w:firstColumn="1" w:lastColumn="0" w:noHBand="0" w:noVBand="1"/>
      </w:tblPr>
      <w:tblGrid>
        <w:gridCol w:w="1279"/>
        <w:gridCol w:w="1212"/>
        <w:gridCol w:w="1261"/>
        <w:gridCol w:w="1056"/>
      </w:tblGrid>
      <w:tr w:rsidR="0016038A" w:rsidRPr="00D340B7" w14:paraId="0538C994" w14:textId="77777777" w:rsidTr="000D567C">
        <w:trPr>
          <w:cnfStyle w:val="100000000000" w:firstRow="1" w:lastRow="0" w:firstColumn="0" w:lastColumn="0" w:oddVBand="0" w:evenVBand="0" w:oddHBand="0" w:evenHBand="0" w:firstRowFirstColumn="0" w:firstRowLastColumn="0" w:lastRowFirstColumn="0" w:lastRowLastColumn="0"/>
          <w:cantSplit/>
          <w:trHeight w:val="485"/>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8D56FBB" w14:textId="77777777" w:rsidR="0016038A" w:rsidRPr="009D3AA0" w:rsidRDefault="0016038A" w:rsidP="00BE32C9">
            <w:pPr>
              <w:pStyle w:val="TableParagraph"/>
            </w:pPr>
            <w:r w:rsidRPr="009D3AA0">
              <w:t>System</w:t>
            </w:r>
          </w:p>
        </w:tc>
        <w:tc>
          <w:tcPr>
            <w:tcW w:w="0" w:type="auto"/>
            <w:hideMark/>
          </w:tcPr>
          <w:p w14:paraId="4678A94B" w14:textId="77777777" w:rsidR="0016038A" w:rsidRPr="009D3AA0" w:rsidRDefault="0016038A" w:rsidP="00BE32C9">
            <w:pPr>
              <w:pStyle w:val="TableParagraph"/>
              <w:cnfStyle w:val="100000000000" w:firstRow="1" w:lastRow="0" w:firstColumn="0" w:lastColumn="0" w:oddVBand="0" w:evenVBand="0" w:oddHBand="0" w:evenHBand="0" w:firstRowFirstColumn="0" w:firstRowLastColumn="0" w:lastRowFirstColumn="0" w:lastRowLastColumn="0"/>
            </w:pPr>
            <w:r w:rsidRPr="009D3AA0">
              <w:t>Share of Visits</w:t>
            </w:r>
          </w:p>
        </w:tc>
        <w:tc>
          <w:tcPr>
            <w:tcW w:w="0" w:type="auto"/>
            <w:hideMark/>
          </w:tcPr>
          <w:p w14:paraId="1E0384B4" w14:textId="77777777" w:rsidR="0016038A" w:rsidRPr="009D3AA0" w:rsidRDefault="0016038A" w:rsidP="00BE32C9">
            <w:pPr>
              <w:pStyle w:val="TableParagraph"/>
              <w:cnfStyle w:val="100000000000" w:firstRow="1" w:lastRow="0" w:firstColumn="0" w:lastColumn="0" w:oddVBand="0" w:evenVBand="0" w:oddHBand="0" w:evenHBand="0" w:firstRowFirstColumn="0" w:firstRowLastColumn="0" w:lastRowFirstColumn="0" w:lastRowLastColumn="0"/>
            </w:pPr>
            <w:r w:rsidRPr="009D3AA0">
              <w:t>% Commercial</w:t>
            </w:r>
          </w:p>
        </w:tc>
        <w:tc>
          <w:tcPr>
            <w:tcW w:w="0" w:type="auto"/>
            <w:hideMark/>
          </w:tcPr>
          <w:p w14:paraId="0806BACC" w14:textId="77777777" w:rsidR="0016038A" w:rsidRPr="009D3AA0" w:rsidRDefault="0016038A" w:rsidP="00BE32C9">
            <w:pPr>
              <w:pStyle w:val="TableParagraph"/>
              <w:cnfStyle w:val="100000000000" w:firstRow="1" w:lastRow="0" w:firstColumn="0" w:lastColumn="0" w:oddVBand="0" w:evenVBand="0" w:oddHBand="0" w:evenHBand="0" w:firstRowFirstColumn="0" w:firstRowLastColumn="0" w:lastRowFirstColumn="0" w:lastRowLastColumn="0"/>
            </w:pPr>
            <w:r w:rsidRPr="009D3AA0">
              <w:t>% Medicaid</w:t>
            </w:r>
          </w:p>
        </w:tc>
      </w:tr>
      <w:tr w:rsidR="0016038A" w:rsidRPr="00D340B7" w14:paraId="0EC79362"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E99DF58" w14:textId="77777777" w:rsidR="0016038A" w:rsidRPr="00A56651" w:rsidRDefault="0016038A" w:rsidP="00BE32C9">
            <w:pPr>
              <w:pStyle w:val="TableParagraph"/>
            </w:pPr>
            <w:r w:rsidRPr="00A56651">
              <w:t>All Visits</w:t>
            </w:r>
          </w:p>
        </w:tc>
        <w:tc>
          <w:tcPr>
            <w:tcW w:w="0" w:type="auto"/>
            <w:noWrap/>
            <w:hideMark/>
          </w:tcPr>
          <w:p w14:paraId="091BA727"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100.0%</w:t>
            </w:r>
          </w:p>
        </w:tc>
        <w:tc>
          <w:tcPr>
            <w:tcW w:w="0" w:type="auto"/>
            <w:noWrap/>
            <w:hideMark/>
          </w:tcPr>
          <w:p w14:paraId="04E8396C"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39.4%</w:t>
            </w:r>
          </w:p>
        </w:tc>
        <w:tc>
          <w:tcPr>
            <w:tcW w:w="0" w:type="auto"/>
            <w:noWrap/>
            <w:hideMark/>
          </w:tcPr>
          <w:p w14:paraId="5BEF84D4"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60.6%</w:t>
            </w:r>
          </w:p>
        </w:tc>
      </w:tr>
      <w:tr w:rsidR="0016038A" w:rsidRPr="00D340B7" w14:paraId="5003521D"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96DCC54" w14:textId="77777777" w:rsidR="0016038A" w:rsidRPr="00A56651" w:rsidRDefault="0016038A" w:rsidP="00BE32C9">
            <w:pPr>
              <w:pStyle w:val="TableParagraph"/>
            </w:pPr>
            <w:r w:rsidRPr="00A56651">
              <w:t>BCH</w:t>
            </w:r>
          </w:p>
        </w:tc>
        <w:tc>
          <w:tcPr>
            <w:tcW w:w="0" w:type="auto"/>
            <w:noWrap/>
            <w:hideMark/>
          </w:tcPr>
          <w:p w14:paraId="029D9240" w14:textId="77777777" w:rsidR="0016038A" w:rsidRPr="00E31AC5"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12.5%</w:t>
            </w:r>
          </w:p>
        </w:tc>
        <w:tc>
          <w:tcPr>
            <w:tcW w:w="0" w:type="auto"/>
            <w:noWrap/>
            <w:hideMark/>
          </w:tcPr>
          <w:p w14:paraId="72005087"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44.9%</w:t>
            </w:r>
          </w:p>
        </w:tc>
        <w:tc>
          <w:tcPr>
            <w:tcW w:w="0" w:type="auto"/>
            <w:noWrap/>
            <w:hideMark/>
          </w:tcPr>
          <w:p w14:paraId="111E3C7D"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55.1%</w:t>
            </w:r>
          </w:p>
        </w:tc>
      </w:tr>
      <w:tr w:rsidR="0016038A" w:rsidRPr="00D340B7" w14:paraId="7D6D493F"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A72000C" w14:textId="77777777" w:rsidR="0016038A" w:rsidRPr="00A56651" w:rsidRDefault="0016038A" w:rsidP="00715CA7">
            <w:pPr>
              <w:pStyle w:val="TableParagraph"/>
            </w:pPr>
            <w:r w:rsidRPr="00A56651">
              <w:t>Baystate</w:t>
            </w:r>
          </w:p>
        </w:tc>
        <w:tc>
          <w:tcPr>
            <w:tcW w:w="0" w:type="auto"/>
            <w:noWrap/>
            <w:hideMark/>
          </w:tcPr>
          <w:p w14:paraId="24BCF1E6" w14:textId="08F8BFBE" w:rsidR="0016038A" w:rsidRPr="00E31AC5" w:rsidRDefault="00B36FEB" w:rsidP="00715CA7">
            <w:pPr>
              <w:pStyle w:val="TableParagraph"/>
              <w:cnfStyle w:val="000000000000" w:firstRow="0" w:lastRow="0" w:firstColumn="0" w:lastColumn="0" w:oddVBand="0" w:evenVBand="0" w:oddHBand="0" w:evenHBand="0" w:firstRowFirstColumn="0" w:firstRowLastColumn="0" w:lastRowFirstColumn="0" w:lastRowLastColumn="0"/>
            </w:pPr>
            <w:r>
              <w:t>--</w:t>
            </w:r>
          </w:p>
        </w:tc>
        <w:tc>
          <w:tcPr>
            <w:tcW w:w="0" w:type="auto"/>
            <w:noWrap/>
            <w:hideMark/>
          </w:tcPr>
          <w:p w14:paraId="7F98BC13" w14:textId="13A0E5D6" w:rsidR="0016038A" w:rsidRPr="00DC18EC" w:rsidRDefault="0016038A" w:rsidP="00715CA7">
            <w:pPr>
              <w:pStyle w:val="TableParagraph"/>
              <w:cnfStyle w:val="000000000000" w:firstRow="0" w:lastRow="0" w:firstColumn="0" w:lastColumn="0" w:oddVBand="0" w:evenVBand="0" w:oddHBand="0" w:evenHBand="0" w:firstRowFirstColumn="0" w:firstRowLastColumn="0" w:lastRowFirstColumn="0" w:lastRowLastColumn="0"/>
            </w:pPr>
            <w:r w:rsidRPr="0059299B">
              <w:t>-</w:t>
            </w:r>
          </w:p>
        </w:tc>
        <w:tc>
          <w:tcPr>
            <w:tcW w:w="0" w:type="auto"/>
            <w:noWrap/>
            <w:hideMark/>
          </w:tcPr>
          <w:p w14:paraId="21741599" w14:textId="2FD8930A" w:rsidR="0016038A" w:rsidRPr="00DC18EC" w:rsidRDefault="0016038A" w:rsidP="00715CA7">
            <w:pPr>
              <w:pStyle w:val="TableParagraph"/>
              <w:cnfStyle w:val="000000000000" w:firstRow="0" w:lastRow="0" w:firstColumn="0" w:lastColumn="0" w:oddVBand="0" w:evenVBand="0" w:oddHBand="0" w:evenHBand="0" w:firstRowFirstColumn="0" w:firstRowLastColumn="0" w:lastRowFirstColumn="0" w:lastRowLastColumn="0"/>
            </w:pPr>
            <w:r w:rsidRPr="0059299B">
              <w:t>-</w:t>
            </w:r>
          </w:p>
        </w:tc>
      </w:tr>
      <w:tr w:rsidR="0016038A" w:rsidRPr="00D340B7" w14:paraId="60B4A4C2"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49FFEB4" w14:textId="77777777" w:rsidR="0016038A" w:rsidRPr="00A56651" w:rsidRDefault="0016038A" w:rsidP="00BE32C9">
            <w:pPr>
              <w:pStyle w:val="TableParagraph"/>
            </w:pPr>
            <w:r w:rsidRPr="00A56651">
              <w:t>Boston Medical</w:t>
            </w:r>
          </w:p>
        </w:tc>
        <w:tc>
          <w:tcPr>
            <w:tcW w:w="0" w:type="auto"/>
            <w:noWrap/>
            <w:hideMark/>
          </w:tcPr>
          <w:p w14:paraId="1A28D851" w14:textId="77777777" w:rsidR="0016038A" w:rsidRPr="00E31AC5"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1.2%</w:t>
            </w:r>
          </w:p>
        </w:tc>
        <w:tc>
          <w:tcPr>
            <w:tcW w:w="0" w:type="auto"/>
            <w:noWrap/>
            <w:hideMark/>
          </w:tcPr>
          <w:p w14:paraId="2BFF6947"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6.8%</w:t>
            </w:r>
          </w:p>
        </w:tc>
        <w:tc>
          <w:tcPr>
            <w:tcW w:w="0" w:type="auto"/>
            <w:noWrap/>
            <w:hideMark/>
          </w:tcPr>
          <w:p w14:paraId="00769812"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93.2%</w:t>
            </w:r>
          </w:p>
        </w:tc>
      </w:tr>
      <w:tr w:rsidR="0016038A" w:rsidRPr="00D340B7" w14:paraId="3701C6C8"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D21857D" w14:textId="77777777" w:rsidR="0016038A" w:rsidRPr="00A56651" w:rsidRDefault="0016038A" w:rsidP="00BE32C9">
            <w:pPr>
              <w:pStyle w:val="TableParagraph"/>
            </w:pPr>
            <w:r w:rsidRPr="00A56651">
              <w:t>Mass General</w:t>
            </w:r>
          </w:p>
        </w:tc>
        <w:tc>
          <w:tcPr>
            <w:tcW w:w="0" w:type="auto"/>
            <w:noWrap/>
            <w:hideMark/>
          </w:tcPr>
          <w:p w14:paraId="5FE4A375" w14:textId="77777777" w:rsidR="0016038A" w:rsidRPr="00E31AC5"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15.7%</w:t>
            </w:r>
          </w:p>
        </w:tc>
        <w:tc>
          <w:tcPr>
            <w:tcW w:w="0" w:type="auto"/>
            <w:noWrap/>
            <w:hideMark/>
          </w:tcPr>
          <w:p w14:paraId="615FBBBC"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49.5%</w:t>
            </w:r>
          </w:p>
        </w:tc>
        <w:tc>
          <w:tcPr>
            <w:tcW w:w="0" w:type="auto"/>
            <w:noWrap/>
            <w:hideMark/>
          </w:tcPr>
          <w:p w14:paraId="30B1FB48"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50.5%</w:t>
            </w:r>
          </w:p>
        </w:tc>
      </w:tr>
      <w:tr w:rsidR="0016038A" w:rsidRPr="00D340B7" w14:paraId="48B84DD3"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A33C763" w14:textId="77777777" w:rsidR="0016038A" w:rsidRPr="00A56651" w:rsidRDefault="0016038A" w:rsidP="00BE32C9">
            <w:pPr>
              <w:pStyle w:val="TableParagraph"/>
            </w:pPr>
            <w:r w:rsidRPr="00A56651">
              <w:t>Tufts</w:t>
            </w:r>
          </w:p>
        </w:tc>
        <w:tc>
          <w:tcPr>
            <w:tcW w:w="0" w:type="auto"/>
            <w:noWrap/>
            <w:hideMark/>
          </w:tcPr>
          <w:p w14:paraId="3034F555" w14:textId="77777777" w:rsidR="0016038A" w:rsidRPr="00E31AC5"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2.8%</w:t>
            </w:r>
          </w:p>
        </w:tc>
        <w:tc>
          <w:tcPr>
            <w:tcW w:w="0" w:type="auto"/>
            <w:noWrap/>
            <w:hideMark/>
          </w:tcPr>
          <w:p w14:paraId="7AB479F8"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26.3%</w:t>
            </w:r>
          </w:p>
        </w:tc>
        <w:tc>
          <w:tcPr>
            <w:tcW w:w="0" w:type="auto"/>
            <w:noWrap/>
            <w:hideMark/>
          </w:tcPr>
          <w:p w14:paraId="78B812DB"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73.7%</w:t>
            </w:r>
          </w:p>
        </w:tc>
      </w:tr>
      <w:tr w:rsidR="0016038A" w:rsidRPr="00D340B7" w14:paraId="54CFE120"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18E71A4" w14:textId="77777777" w:rsidR="0016038A" w:rsidRPr="00A56651" w:rsidRDefault="0016038A" w:rsidP="00BE32C9">
            <w:pPr>
              <w:pStyle w:val="TableParagraph"/>
            </w:pPr>
            <w:r w:rsidRPr="00A56651">
              <w:t>UMASS</w:t>
            </w:r>
          </w:p>
        </w:tc>
        <w:tc>
          <w:tcPr>
            <w:tcW w:w="0" w:type="auto"/>
            <w:noWrap/>
            <w:hideMark/>
          </w:tcPr>
          <w:p w14:paraId="614A574D"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2.6%</w:t>
            </w:r>
          </w:p>
        </w:tc>
        <w:tc>
          <w:tcPr>
            <w:tcW w:w="0" w:type="auto"/>
            <w:noWrap/>
            <w:hideMark/>
          </w:tcPr>
          <w:p w14:paraId="7C041477"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18.4%</w:t>
            </w:r>
          </w:p>
        </w:tc>
        <w:tc>
          <w:tcPr>
            <w:tcW w:w="0" w:type="auto"/>
            <w:noWrap/>
            <w:hideMark/>
          </w:tcPr>
          <w:p w14:paraId="43920B7F"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81.6%</w:t>
            </w:r>
          </w:p>
        </w:tc>
      </w:tr>
      <w:tr w:rsidR="0016038A" w:rsidRPr="00D340B7" w14:paraId="65828BDA"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5FC683C" w14:textId="77777777" w:rsidR="0016038A" w:rsidRPr="00A56651" w:rsidRDefault="0016038A" w:rsidP="00BE32C9">
            <w:pPr>
              <w:pStyle w:val="TableParagraph"/>
            </w:pPr>
            <w:r w:rsidRPr="00A56651">
              <w:t>Other</w:t>
            </w:r>
          </w:p>
        </w:tc>
        <w:tc>
          <w:tcPr>
            <w:tcW w:w="0" w:type="auto"/>
            <w:noWrap/>
            <w:hideMark/>
          </w:tcPr>
          <w:p w14:paraId="7FC51A00"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65.1%</w:t>
            </w:r>
          </w:p>
        </w:tc>
        <w:tc>
          <w:tcPr>
            <w:tcW w:w="0" w:type="auto"/>
            <w:noWrap/>
            <w:hideMark/>
          </w:tcPr>
          <w:p w14:paraId="478374C0"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37.9%</w:t>
            </w:r>
          </w:p>
        </w:tc>
        <w:tc>
          <w:tcPr>
            <w:tcW w:w="0" w:type="auto"/>
            <w:noWrap/>
            <w:hideMark/>
          </w:tcPr>
          <w:p w14:paraId="1922C23E" w14:textId="77777777" w:rsidR="0016038A" w:rsidRPr="00DC18EC" w:rsidRDefault="0016038A" w:rsidP="00BE32C9">
            <w:pPr>
              <w:pStyle w:val="TableParagraph"/>
              <w:cnfStyle w:val="000000000000" w:firstRow="0" w:lastRow="0" w:firstColumn="0" w:lastColumn="0" w:oddVBand="0" w:evenVBand="0" w:oddHBand="0" w:evenHBand="0" w:firstRowFirstColumn="0" w:firstRowLastColumn="0" w:lastRowFirstColumn="0" w:lastRowLastColumn="0"/>
            </w:pPr>
            <w:r w:rsidRPr="007C2A4E">
              <w:t>62.1%</w:t>
            </w:r>
          </w:p>
        </w:tc>
      </w:tr>
    </w:tbl>
    <w:p w14:paraId="5C3C2766" w14:textId="22AF45B7" w:rsidR="00C66A34" w:rsidRPr="00A66616" w:rsidRDefault="00C66A34" w:rsidP="005B1ED8">
      <w:pPr>
        <w:pStyle w:val="TableNotes"/>
        <w:ind w:left="2250"/>
      </w:pPr>
      <w:r>
        <w:t>Source:</w:t>
      </w:r>
      <w:r w:rsidRPr="00CB4F30">
        <w:t xml:space="preserve"> 2019 CHIA all-payer medical claim data.</w:t>
      </w:r>
    </w:p>
    <w:p w14:paraId="600C9123" w14:textId="1C50B0B5" w:rsidR="00C9626D" w:rsidRPr="00C5498F" w:rsidRDefault="00C9626D" w:rsidP="00BE32C9">
      <w:r w:rsidRPr="00C5498F">
        <w:t xml:space="preserve">Commercial: In the combined service areas (shown in </w:t>
      </w:r>
      <w:r w:rsidRPr="00C5498F">
        <w:fldChar w:fldCharType="begin"/>
      </w:r>
      <w:r w:rsidRPr="00C5498F">
        <w:instrText xml:space="preserve"> REF _Ref106622202 \h </w:instrText>
      </w:r>
      <w:r w:rsidR="00C5498F">
        <w:instrText xml:space="preserve"> \* MERGEFORMAT </w:instrText>
      </w:r>
      <w:r w:rsidRPr="00C5498F">
        <w:fldChar w:fldCharType="separate"/>
      </w:r>
      <w:r w:rsidR="00CE7C62" w:rsidRPr="00D340B7">
        <w:t xml:space="preserve">Table </w:t>
      </w:r>
      <w:r w:rsidR="00CE7C62">
        <w:rPr>
          <w:noProof/>
        </w:rPr>
        <w:t>12</w:t>
      </w:r>
      <w:r w:rsidR="00CE7C62">
        <w:t>: ASC Visits and Shares by System, Commercial 2019</w:t>
      </w:r>
      <w:r w:rsidRPr="00C5498F">
        <w:fldChar w:fldCharType="end"/>
      </w:r>
      <w:r w:rsidRPr="00C5498F">
        <w:t xml:space="preserve">), BCH facilities accounted for </w:t>
      </w:r>
      <w:r w:rsidR="008F2D00" w:rsidRPr="00C5498F">
        <w:t>13.9</w:t>
      </w:r>
      <w:r w:rsidRPr="00C5498F">
        <w:t>% of commercial ASC visits. Mass General Brigham facilities accounted for the largest share (</w:t>
      </w:r>
      <w:r w:rsidR="008F2D00" w:rsidRPr="00C5498F">
        <w:t>19.6</w:t>
      </w:r>
      <w:r w:rsidRPr="00C5498F">
        <w:t>%). Tufts (</w:t>
      </w:r>
      <w:r w:rsidR="008F2D00" w:rsidRPr="00C5498F">
        <w:t>1.9</w:t>
      </w:r>
      <w:r w:rsidRPr="00C5498F">
        <w:t>%), UMass (</w:t>
      </w:r>
      <w:r w:rsidR="008F2D00" w:rsidRPr="00C5498F">
        <w:t>1.8</w:t>
      </w:r>
      <w:r w:rsidRPr="00C5498F">
        <w:t>%), Boston Medical Center</w:t>
      </w:r>
      <w:r w:rsidR="002F15F8">
        <w:t xml:space="preserve"> (0.2%)</w:t>
      </w:r>
      <w:r w:rsidRPr="00C5498F">
        <w:t xml:space="preserve"> and Baystate Health </w:t>
      </w:r>
      <w:r w:rsidR="002F15F8">
        <w:t>have</w:t>
      </w:r>
      <w:r w:rsidR="002F15F8" w:rsidRPr="00C5498F">
        <w:t xml:space="preserve"> </w:t>
      </w:r>
      <w:r w:rsidRPr="00C5498F">
        <w:t>very low volumes.</w:t>
      </w:r>
    </w:p>
    <w:p w14:paraId="16748DB1" w14:textId="30781F6A" w:rsidR="00C66A34" w:rsidRPr="00D340B7" w:rsidRDefault="00C66A34" w:rsidP="00BE32C9">
      <w:pPr>
        <w:pStyle w:val="Caption"/>
      </w:pPr>
      <w:bookmarkStart w:id="178" w:name="_Ref105766587"/>
      <w:bookmarkStart w:id="179" w:name="_Ref106622202"/>
      <w:bookmarkStart w:id="180" w:name="_Toc106641187"/>
      <w:bookmarkStart w:id="181" w:name="_Toc106648891"/>
      <w:bookmarkStart w:id="182" w:name="_Toc109895443"/>
      <w:r w:rsidRPr="00D340B7">
        <w:t xml:space="preserve">Table </w:t>
      </w:r>
      <w:fldSimple w:instr=" SEQ Table \* ARABIC ">
        <w:r w:rsidR="00CE7C62">
          <w:rPr>
            <w:noProof/>
          </w:rPr>
          <w:t>12</w:t>
        </w:r>
      </w:fldSimple>
      <w:bookmarkEnd w:id="178"/>
      <w:r>
        <w:t>: ASC Visits and Shares by System, Commercial 2019</w:t>
      </w:r>
      <w:bookmarkEnd w:id="179"/>
      <w:bookmarkEnd w:id="180"/>
      <w:bookmarkEnd w:id="181"/>
      <w:r>
        <w:t xml:space="preserve"> </w:t>
      </w:r>
      <w:r w:rsidRPr="00146650">
        <w:t>(Combined Service Area, Patient</w:t>
      </w:r>
      <w:r>
        <w:t>s</w:t>
      </w:r>
      <w:r w:rsidRPr="00146650">
        <w:t xml:space="preserve"> </w:t>
      </w:r>
      <w:r>
        <w:t xml:space="preserve">Aged </w:t>
      </w:r>
      <w:r w:rsidRPr="00146650">
        <w:t>0 – 18)</w:t>
      </w:r>
      <w:bookmarkEnd w:id="182"/>
    </w:p>
    <w:tbl>
      <w:tblPr>
        <w:tblStyle w:val="GridTable4-Accent11"/>
        <w:tblW w:w="2880" w:type="dxa"/>
        <w:tblLook w:val="04A0" w:firstRow="1" w:lastRow="0" w:firstColumn="1" w:lastColumn="0" w:noHBand="0" w:noVBand="1"/>
      </w:tblPr>
      <w:tblGrid>
        <w:gridCol w:w="1570"/>
        <w:gridCol w:w="1310"/>
      </w:tblGrid>
      <w:tr w:rsidR="00C66A34" w:rsidRPr="00D340B7" w14:paraId="527BE8A6" w14:textId="77777777" w:rsidTr="000D567C">
        <w:trPr>
          <w:cnfStyle w:val="100000000000" w:firstRow="1" w:lastRow="0" w:firstColumn="0" w:lastColumn="0" w:oddVBand="0" w:evenVBand="0" w:oddHBand="0" w:evenHBand="0" w:firstRowFirstColumn="0" w:firstRowLastColumn="0" w:lastRowFirstColumn="0" w:lastRowLastColumn="0"/>
          <w:cantSplit/>
          <w:trHeight w:val="377"/>
          <w:tblHeader/>
        </w:trPr>
        <w:tc>
          <w:tcPr>
            <w:cnfStyle w:val="001000000000" w:firstRow="0" w:lastRow="0" w:firstColumn="1" w:lastColumn="0" w:oddVBand="0" w:evenVBand="0" w:oddHBand="0" w:evenHBand="0" w:firstRowFirstColumn="0" w:firstRowLastColumn="0" w:lastRowFirstColumn="0" w:lastRowLastColumn="0"/>
            <w:tcW w:w="1570" w:type="dxa"/>
            <w:hideMark/>
          </w:tcPr>
          <w:p w14:paraId="106C8DD4" w14:textId="77777777" w:rsidR="00C66A34" w:rsidRPr="009D3AA0" w:rsidRDefault="00C66A34" w:rsidP="00BE32C9">
            <w:pPr>
              <w:pStyle w:val="TableParagraph"/>
            </w:pPr>
            <w:r w:rsidRPr="009D3AA0">
              <w:t>System</w:t>
            </w:r>
          </w:p>
        </w:tc>
        <w:tc>
          <w:tcPr>
            <w:tcW w:w="1310" w:type="dxa"/>
            <w:hideMark/>
          </w:tcPr>
          <w:p w14:paraId="2F89BF48" w14:textId="77777777" w:rsidR="00C66A34" w:rsidRPr="009D3AA0"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9D3AA0">
              <w:t>Share of Commercial Visits</w:t>
            </w:r>
          </w:p>
        </w:tc>
      </w:tr>
      <w:tr w:rsidR="00C66A34" w:rsidRPr="00D340B7" w14:paraId="5882B476"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1570" w:type="dxa"/>
            <w:noWrap/>
            <w:hideMark/>
          </w:tcPr>
          <w:p w14:paraId="76990AAF" w14:textId="77777777" w:rsidR="00C66A34" w:rsidRPr="00A56651" w:rsidRDefault="00C66A34" w:rsidP="00BE32C9">
            <w:pPr>
              <w:pStyle w:val="TableParagraph"/>
            </w:pPr>
            <w:r w:rsidRPr="00A56651">
              <w:t>All Visits</w:t>
            </w:r>
          </w:p>
        </w:tc>
        <w:tc>
          <w:tcPr>
            <w:tcW w:w="1310" w:type="dxa"/>
            <w:noWrap/>
            <w:hideMark/>
          </w:tcPr>
          <w:p w14:paraId="683BC85E"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927BA7">
              <w:t>100.0%</w:t>
            </w:r>
          </w:p>
        </w:tc>
      </w:tr>
      <w:tr w:rsidR="00C66A34" w:rsidRPr="00D340B7" w14:paraId="1E45E898"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1570" w:type="dxa"/>
            <w:noWrap/>
            <w:hideMark/>
          </w:tcPr>
          <w:p w14:paraId="2951E571" w14:textId="77777777" w:rsidR="00C66A34" w:rsidRPr="00A56651" w:rsidRDefault="00C66A34" w:rsidP="00BE32C9">
            <w:pPr>
              <w:pStyle w:val="TableParagraph"/>
            </w:pPr>
            <w:r w:rsidRPr="00A56651">
              <w:t>BCH</w:t>
            </w:r>
          </w:p>
        </w:tc>
        <w:tc>
          <w:tcPr>
            <w:tcW w:w="1310" w:type="dxa"/>
            <w:noWrap/>
            <w:hideMark/>
          </w:tcPr>
          <w:p w14:paraId="45DBD9F8" w14:textId="77777777" w:rsidR="00C66A34" w:rsidRPr="0016038A"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16038A">
              <w:t>13.9%</w:t>
            </w:r>
          </w:p>
        </w:tc>
      </w:tr>
      <w:tr w:rsidR="00C66A34" w:rsidRPr="00D340B7" w14:paraId="314FAACC"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1570" w:type="dxa"/>
            <w:noWrap/>
            <w:hideMark/>
          </w:tcPr>
          <w:p w14:paraId="7AF8DF77" w14:textId="77777777" w:rsidR="00C66A34" w:rsidRPr="00A56651" w:rsidRDefault="00C66A34" w:rsidP="00BE32C9">
            <w:pPr>
              <w:pStyle w:val="TableParagraph"/>
            </w:pPr>
            <w:r w:rsidRPr="00A56651">
              <w:t>Baystate</w:t>
            </w:r>
          </w:p>
        </w:tc>
        <w:tc>
          <w:tcPr>
            <w:tcW w:w="1310" w:type="dxa"/>
            <w:noWrap/>
            <w:hideMark/>
          </w:tcPr>
          <w:p w14:paraId="38A1C6AD" w14:textId="6641A818" w:rsidR="00C66A34" w:rsidRPr="0016038A" w:rsidRDefault="0016038A" w:rsidP="00BE32C9">
            <w:pPr>
              <w:pStyle w:val="TableParagraph"/>
              <w:cnfStyle w:val="000000000000" w:firstRow="0" w:lastRow="0" w:firstColumn="0" w:lastColumn="0" w:oddVBand="0" w:evenVBand="0" w:oddHBand="0" w:evenHBand="0" w:firstRowFirstColumn="0" w:firstRowLastColumn="0" w:lastRowFirstColumn="0" w:lastRowLastColumn="0"/>
              <w:rPr>
                <w:rFonts w:eastAsiaTheme="minorEastAsia"/>
              </w:rPr>
            </w:pPr>
            <w:r w:rsidRPr="0016038A">
              <w:rPr>
                <w:rFonts w:eastAsiaTheme="minorEastAsia"/>
              </w:rPr>
              <w:t>—</w:t>
            </w:r>
          </w:p>
        </w:tc>
      </w:tr>
      <w:tr w:rsidR="00C66A34" w:rsidRPr="00D340B7" w14:paraId="0B9BE847"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1570" w:type="dxa"/>
            <w:noWrap/>
            <w:hideMark/>
          </w:tcPr>
          <w:p w14:paraId="585826AE" w14:textId="77777777" w:rsidR="00C66A34" w:rsidRPr="00A56651" w:rsidRDefault="00C66A34" w:rsidP="00BE32C9">
            <w:pPr>
              <w:pStyle w:val="TableParagraph"/>
            </w:pPr>
            <w:r w:rsidRPr="00A56651">
              <w:t>Boston Medical</w:t>
            </w:r>
          </w:p>
        </w:tc>
        <w:tc>
          <w:tcPr>
            <w:tcW w:w="1310" w:type="dxa"/>
            <w:noWrap/>
            <w:hideMark/>
          </w:tcPr>
          <w:p w14:paraId="48D0C17E"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927BA7">
              <w:t>0.2%</w:t>
            </w:r>
          </w:p>
        </w:tc>
      </w:tr>
      <w:tr w:rsidR="00C66A34" w:rsidRPr="00D340B7" w14:paraId="68279931"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1570" w:type="dxa"/>
            <w:noWrap/>
            <w:hideMark/>
          </w:tcPr>
          <w:p w14:paraId="772A95AD" w14:textId="77777777" w:rsidR="00C66A34" w:rsidRPr="00A56651" w:rsidRDefault="00C66A34" w:rsidP="00BE32C9">
            <w:pPr>
              <w:pStyle w:val="TableParagraph"/>
            </w:pPr>
            <w:r w:rsidRPr="00A56651">
              <w:t>Mass General</w:t>
            </w:r>
          </w:p>
        </w:tc>
        <w:tc>
          <w:tcPr>
            <w:tcW w:w="1310" w:type="dxa"/>
            <w:noWrap/>
            <w:hideMark/>
          </w:tcPr>
          <w:p w14:paraId="37BCFC4B"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927BA7">
              <w:t>19.6%</w:t>
            </w:r>
          </w:p>
        </w:tc>
      </w:tr>
      <w:tr w:rsidR="00C66A34" w:rsidRPr="00D340B7" w14:paraId="16254044"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1570" w:type="dxa"/>
            <w:noWrap/>
            <w:hideMark/>
          </w:tcPr>
          <w:p w14:paraId="522CE5BC" w14:textId="77777777" w:rsidR="00C66A34" w:rsidRPr="00A56651" w:rsidRDefault="00C66A34" w:rsidP="00BE32C9">
            <w:pPr>
              <w:pStyle w:val="TableParagraph"/>
            </w:pPr>
            <w:r w:rsidRPr="00A56651">
              <w:t>Tufts</w:t>
            </w:r>
          </w:p>
        </w:tc>
        <w:tc>
          <w:tcPr>
            <w:tcW w:w="1310" w:type="dxa"/>
            <w:noWrap/>
            <w:hideMark/>
          </w:tcPr>
          <w:p w14:paraId="1F763D95"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927BA7">
              <w:t>1.9%</w:t>
            </w:r>
          </w:p>
        </w:tc>
      </w:tr>
      <w:tr w:rsidR="00C66A34" w:rsidRPr="00D340B7" w14:paraId="57EEC101"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1570" w:type="dxa"/>
            <w:noWrap/>
            <w:hideMark/>
          </w:tcPr>
          <w:p w14:paraId="2E1F40F4" w14:textId="77777777" w:rsidR="00C66A34" w:rsidRPr="00A56651" w:rsidRDefault="00C66A34" w:rsidP="00BE32C9">
            <w:pPr>
              <w:pStyle w:val="TableParagraph"/>
            </w:pPr>
            <w:r w:rsidRPr="00A56651">
              <w:t>UMASS</w:t>
            </w:r>
          </w:p>
        </w:tc>
        <w:tc>
          <w:tcPr>
            <w:tcW w:w="1310" w:type="dxa"/>
            <w:noWrap/>
            <w:hideMark/>
          </w:tcPr>
          <w:p w14:paraId="000B98BA"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927BA7">
              <w:t>1.8%</w:t>
            </w:r>
          </w:p>
        </w:tc>
      </w:tr>
      <w:tr w:rsidR="00C66A34" w:rsidRPr="00D340B7" w14:paraId="4F75C033" w14:textId="77777777" w:rsidTr="000D567C">
        <w:trPr>
          <w:cantSplit/>
          <w:trHeight w:val="288"/>
        </w:trPr>
        <w:tc>
          <w:tcPr>
            <w:cnfStyle w:val="001000000000" w:firstRow="0" w:lastRow="0" w:firstColumn="1" w:lastColumn="0" w:oddVBand="0" w:evenVBand="0" w:oddHBand="0" w:evenHBand="0" w:firstRowFirstColumn="0" w:firstRowLastColumn="0" w:lastRowFirstColumn="0" w:lastRowLastColumn="0"/>
            <w:tcW w:w="1570" w:type="dxa"/>
            <w:noWrap/>
            <w:hideMark/>
          </w:tcPr>
          <w:p w14:paraId="7D6F2E5C" w14:textId="77777777" w:rsidR="00C66A34" w:rsidRPr="00A56651" w:rsidRDefault="00C66A34" w:rsidP="00BE32C9">
            <w:pPr>
              <w:pStyle w:val="TableParagraph"/>
            </w:pPr>
            <w:r w:rsidRPr="00A56651">
              <w:t>Other</w:t>
            </w:r>
          </w:p>
        </w:tc>
        <w:tc>
          <w:tcPr>
            <w:tcW w:w="1310" w:type="dxa"/>
            <w:noWrap/>
            <w:hideMark/>
          </w:tcPr>
          <w:p w14:paraId="2D527596" w14:textId="77777777" w:rsidR="00C66A34" w:rsidRPr="00DC18EC"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927BA7">
              <w:t>62.6%</w:t>
            </w:r>
          </w:p>
        </w:tc>
      </w:tr>
    </w:tbl>
    <w:p w14:paraId="6D5BB3F4" w14:textId="77777777" w:rsidR="005B1ED8" w:rsidRPr="00A66616" w:rsidRDefault="005B1ED8" w:rsidP="005B1ED8">
      <w:pPr>
        <w:pStyle w:val="TableNotes"/>
        <w:ind w:left="3150"/>
      </w:pPr>
      <w:r>
        <w:t>Source:</w:t>
      </w:r>
      <w:r w:rsidRPr="00CB4F30">
        <w:t xml:space="preserve"> 2019 CHIA all-payer medical claim data.</w:t>
      </w:r>
    </w:p>
    <w:p w14:paraId="7CF87C85" w14:textId="569235FE" w:rsidR="00C9626D" w:rsidRPr="00C5498F" w:rsidRDefault="00C9626D" w:rsidP="00BE32C9">
      <w:r w:rsidRPr="00C5498F">
        <w:t>MassHealth</w:t>
      </w:r>
      <w:r w:rsidR="00F73967">
        <w:t>/Medicaid</w:t>
      </w:r>
      <w:r w:rsidRPr="00C5498F">
        <w:t xml:space="preserve">: In the combined service areas (shown in </w:t>
      </w:r>
      <w:r w:rsidRPr="00C5498F">
        <w:fldChar w:fldCharType="begin"/>
      </w:r>
      <w:r w:rsidRPr="00C5498F">
        <w:instrText xml:space="preserve"> REF _Ref106622215 \h </w:instrText>
      </w:r>
      <w:r w:rsidR="00C5498F">
        <w:instrText xml:space="preserve"> \* MERGEFORMAT </w:instrText>
      </w:r>
      <w:r w:rsidRPr="00C5498F">
        <w:fldChar w:fldCharType="separate"/>
      </w:r>
      <w:r w:rsidR="00CE7C62" w:rsidRPr="007813FB">
        <w:t xml:space="preserve">Table </w:t>
      </w:r>
      <w:r w:rsidR="00CE7C62">
        <w:rPr>
          <w:noProof/>
        </w:rPr>
        <w:t>13</w:t>
      </w:r>
      <w:r w:rsidR="00CE7C62" w:rsidRPr="007813FB">
        <w:t>: ASC Visits and Shares by System, Medicaid and MassHealth 2019</w:t>
      </w:r>
      <w:r w:rsidRPr="00C5498F">
        <w:fldChar w:fldCharType="end"/>
      </w:r>
      <w:r w:rsidRPr="00C5498F">
        <w:t xml:space="preserve">), BCH facilities accounted for </w:t>
      </w:r>
      <w:r w:rsidR="008F2D00" w:rsidRPr="00C5498F">
        <w:t>11.3%</w:t>
      </w:r>
      <w:r w:rsidRPr="00C5498F">
        <w:t xml:space="preserve"> of</w:t>
      </w:r>
      <w:r w:rsidR="008F2D00" w:rsidRPr="00C5498F">
        <w:t xml:space="preserve"> </w:t>
      </w:r>
      <w:r w:rsidR="008F2D00" w:rsidRPr="00882DE9">
        <w:t>Medicaid and</w:t>
      </w:r>
      <w:r w:rsidRPr="00882DE9">
        <w:t xml:space="preserve"> MassHealth ASC visits. Mass General Brigham facilities accounted for the largest share of Medicaid</w:t>
      </w:r>
      <w:r w:rsidR="00A920B6" w:rsidRPr="00882DE9">
        <w:t xml:space="preserve"> and MassHealth</w:t>
      </w:r>
      <w:r w:rsidRPr="00882DE9">
        <w:t xml:space="preserve"> (</w:t>
      </w:r>
      <w:r w:rsidR="008F2D00" w:rsidRPr="00882DE9">
        <w:t>13.1</w:t>
      </w:r>
      <w:r w:rsidRPr="00882DE9">
        <w:t xml:space="preserve">%). The share of </w:t>
      </w:r>
      <w:r w:rsidR="008F2D00" w:rsidRPr="00882DE9">
        <w:t>MassHealth</w:t>
      </w:r>
      <w:r w:rsidR="00F73967" w:rsidRPr="00882DE9">
        <w:t xml:space="preserve">/Medicaid </w:t>
      </w:r>
      <w:r w:rsidRPr="00882DE9">
        <w:t xml:space="preserve">visits </w:t>
      </w:r>
      <w:r w:rsidR="00F73967" w:rsidRPr="00882DE9">
        <w:t>at</w:t>
      </w:r>
      <w:r w:rsidRPr="00882DE9">
        <w:t xml:space="preserve"> Tufts (</w:t>
      </w:r>
      <w:r w:rsidR="008F2D00" w:rsidRPr="00882DE9">
        <w:t>3.4</w:t>
      </w:r>
      <w:r w:rsidRPr="00882DE9">
        <w:t>%), UMass (</w:t>
      </w:r>
      <w:r w:rsidR="008F2D00" w:rsidRPr="00882DE9">
        <w:t>3.5</w:t>
      </w:r>
      <w:r w:rsidRPr="00882DE9">
        <w:t>%), Boston Medical Center (</w:t>
      </w:r>
      <w:r w:rsidR="008F2D00" w:rsidRPr="00882DE9">
        <w:t>1.9</w:t>
      </w:r>
      <w:r w:rsidRPr="00882DE9">
        <w:t>%) and Baystate Health</w:t>
      </w:r>
      <w:r w:rsidR="001A70E3" w:rsidRPr="00882DE9">
        <w:t xml:space="preserve"> </w:t>
      </w:r>
      <w:r w:rsidRPr="00882DE9">
        <w:t xml:space="preserve">combined was </w:t>
      </w:r>
      <w:r w:rsidR="001A70E3" w:rsidRPr="00882DE9">
        <w:t>8.9</w:t>
      </w:r>
      <w:r w:rsidRPr="00882DE9">
        <w:t>%.</w:t>
      </w:r>
    </w:p>
    <w:p w14:paraId="09709EEF" w14:textId="03C11D58" w:rsidR="00C66A34" w:rsidRPr="00D340B7" w:rsidRDefault="00C66A34" w:rsidP="007813FB">
      <w:pPr>
        <w:pStyle w:val="Caption"/>
      </w:pPr>
      <w:bookmarkStart w:id="183" w:name="_Ref105766684"/>
      <w:bookmarkStart w:id="184" w:name="_Ref106622215"/>
      <w:bookmarkStart w:id="185" w:name="_Toc106641188"/>
      <w:bookmarkStart w:id="186" w:name="_Toc106648892"/>
      <w:bookmarkStart w:id="187" w:name="_Toc109895444"/>
      <w:r w:rsidRPr="007813FB">
        <w:lastRenderedPageBreak/>
        <w:t xml:space="preserve">Table </w:t>
      </w:r>
      <w:fldSimple w:instr=" SEQ Table \* ARABIC ">
        <w:r w:rsidR="00CE7C62">
          <w:rPr>
            <w:noProof/>
          </w:rPr>
          <w:t>13</w:t>
        </w:r>
      </w:fldSimple>
      <w:bookmarkEnd w:id="183"/>
      <w:r w:rsidRPr="007813FB">
        <w:t>: ASC Visits and Shares by System, Medicaid and MassHealth 2019</w:t>
      </w:r>
      <w:bookmarkEnd w:id="184"/>
      <w:bookmarkEnd w:id="185"/>
      <w:bookmarkEnd w:id="186"/>
      <w:r w:rsidRPr="007813FB">
        <w:t xml:space="preserve"> (Combined</w:t>
      </w:r>
      <w:r w:rsidRPr="00146650">
        <w:t xml:space="preserve"> Service Area, Patient</w:t>
      </w:r>
      <w:r>
        <w:t>s</w:t>
      </w:r>
      <w:r w:rsidRPr="00146650">
        <w:t xml:space="preserve"> </w:t>
      </w:r>
      <w:r>
        <w:t xml:space="preserve">Aged </w:t>
      </w:r>
      <w:r w:rsidRPr="00146650">
        <w:t>0 – 18)</w:t>
      </w:r>
      <w:bookmarkEnd w:id="187"/>
    </w:p>
    <w:tbl>
      <w:tblPr>
        <w:tblW w:w="3190" w:type="dxa"/>
        <w:jc w:val="center"/>
        <w:tblLayout w:type="fixed"/>
        <w:tblLook w:val="04A0" w:firstRow="1" w:lastRow="0" w:firstColumn="1" w:lastColumn="0" w:noHBand="0" w:noVBand="1"/>
      </w:tblPr>
      <w:tblGrid>
        <w:gridCol w:w="1570"/>
        <w:gridCol w:w="1620"/>
      </w:tblGrid>
      <w:tr w:rsidR="00C66A34" w:rsidRPr="00D340B7" w14:paraId="25700ADE" w14:textId="77777777" w:rsidTr="000D567C">
        <w:trPr>
          <w:cantSplit/>
          <w:trHeight w:val="20"/>
          <w:tblHeader/>
          <w:jc w:val="center"/>
        </w:trPr>
        <w:tc>
          <w:tcPr>
            <w:tcW w:w="1570" w:type="dxa"/>
            <w:tcBorders>
              <w:top w:val="single" w:sz="4" w:space="0" w:color="auto"/>
              <w:left w:val="nil"/>
              <w:bottom w:val="single" w:sz="4" w:space="0" w:color="auto"/>
              <w:right w:val="nil"/>
            </w:tcBorders>
            <w:shd w:val="clear" w:color="000000" w:fill="003763"/>
            <w:vAlign w:val="center"/>
            <w:hideMark/>
          </w:tcPr>
          <w:p w14:paraId="408DEE0C" w14:textId="77777777" w:rsidR="00C66A34" w:rsidRPr="009D3AA0" w:rsidRDefault="00C66A34" w:rsidP="00BE32C9">
            <w:pPr>
              <w:pStyle w:val="TableParagraph"/>
            </w:pPr>
            <w:r w:rsidRPr="009D3AA0">
              <w:t>System</w:t>
            </w:r>
          </w:p>
        </w:tc>
        <w:tc>
          <w:tcPr>
            <w:tcW w:w="1620" w:type="dxa"/>
            <w:tcBorders>
              <w:top w:val="single" w:sz="4" w:space="0" w:color="auto"/>
              <w:left w:val="nil"/>
              <w:bottom w:val="single" w:sz="4" w:space="0" w:color="auto"/>
              <w:right w:val="nil"/>
            </w:tcBorders>
            <w:shd w:val="clear" w:color="000000" w:fill="003763"/>
            <w:vAlign w:val="center"/>
            <w:hideMark/>
          </w:tcPr>
          <w:p w14:paraId="1FF2172E" w14:textId="77777777" w:rsidR="00C66A34" w:rsidRPr="009D3AA0" w:rsidRDefault="00C66A34" w:rsidP="00BE32C9">
            <w:pPr>
              <w:pStyle w:val="TableParagraph"/>
            </w:pPr>
            <w:r w:rsidRPr="009D3AA0">
              <w:t>Share of Medicaid Visits</w:t>
            </w:r>
          </w:p>
        </w:tc>
      </w:tr>
      <w:tr w:rsidR="00C66A34" w:rsidRPr="00D340B7" w14:paraId="4A1D7B9D" w14:textId="77777777" w:rsidTr="000D567C">
        <w:trPr>
          <w:cantSplit/>
          <w:trHeight w:val="20"/>
          <w:jc w:val="center"/>
        </w:trPr>
        <w:tc>
          <w:tcPr>
            <w:tcW w:w="1570" w:type="dxa"/>
            <w:tcBorders>
              <w:top w:val="nil"/>
              <w:left w:val="nil"/>
              <w:bottom w:val="single" w:sz="4" w:space="0" w:color="auto"/>
              <w:right w:val="nil"/>
            </w:tcBorders>
            <w:shd w:val="clear" w:color="auto" w:fill="auto"/>
            <w:noWrap/>
            <w:vAlign w:val="center"/>
            <w:hideMark/>
          </w:tcPr>
          <w:p w14:paraId="565DA13E" w14:textId="77777777" w:rsidR="00C66A34" w:rsidRPr="00CE0BFB" w:rsidRDefault="00C66A34" w:rsidP="00BE32C9">
            <w:pPr>
              <w:pStyle w:val="TableParagraph"/>
            </w:pPr>
            <w:r w:rsidRPr="00CE0BFB">
              <w:t>All Visits</w:t>
            </w:r>
          </w:p>
        </w:tc>
        <w:tc>
          <w:tcPr>
            <w:tcW w:w="1620" w:type="dxa"/>
            <w:tcBorders>
              <w:top w:val="nil"/>
              <w:left w:val="nil"/>
              <w:bottom w:val="single" w:sz="4" w:space="0" w:color="auto"/>
              <w:right w:val="nil"/>
            </w:tcBorders>
            <w:shd w:val="clear" w:color="auto" w:fill="auto"/>
            <w:noWrap/>
            <w:hideMark/>
          </w:tcPr>
          <w:p w14:paraId="60FFA302" w14:textId="77777777" w:rsidR="00C66A34" w:rsidRPr="00DC18EC" w:rsidRDefault="00C66A34" w:rsidP="00BE32C9">
            <w:pPr>
              <w:pStyle w:val="TableParagraph"/>
            </w:pPr>
            <w:r w:rsidRPr="00B92AC6">
              <w:t>100.0%</w:t>
            </w:r>
          </w:p>
        </w:tc>
      </w:tr>
      <w:tr w:rsidR="00C66A34" w:rsidRPr="00D340B7" w14:paraId="4EE5F8BE" w14:textId="77777777" w:rsidTr="000D567C">
        <w:trPr>
          <w:cantSplit/>
          <w:trHeight w:val="20"/>
          <w:jc w:val="center"/>
        </w:trPr>
        <w:tc>
          <w:tcPr>
            <w:tcW w:w="1570" w:type="dxa"/>
            <w:tcBorders>
              <w:top w:val="nil"/>
              <w:left w:val="nil"/>
              <w:bottom w:val="single" w:sz="4" w:space="0" w:color="auto"/>
              <w:right w:val="nil"/>
            </w:tcBorders>
            <w:shd w:val="clear" w:color="auto" w:fill="auto"/>
            <w:noWrap/>
            <w:vAlign w:val="center"/>
            <w:hideMark/>
          </w:tcPr>
          <w:p w14:paraId="681C017C" w14:textId="77777777" w:rsidR="00C66A34" w:rsidRPr="00CE0BFB" w:rsidRDefault="00C66A34" w:rsidP="00BE32C9">
            <w:pPr>
              <w:pStyle w:val="TableParagraph"/>
            </w:pPr>
            <w:r w:rsidRPr="00CE0BFB">
              <w:t>BCH</w:t>
            </w:r>
          </w:p>
        </w:tc>
        <w:tc>
          <w:tcPr>
            <w:tcW w:w="1620" w:type="dxa"/>
            <w:tcBorders>
              <w:top w:val="nil"/>
              <w:left w:val="nil"/>
              <w:bottom w:val="single" w:sz="4" w:space="0" w:color="auto"/>
              <w:right w:val="nil"/>
            </w:tcBorders>
            <w:shd w:val="clear" w:color="auto" w:fill="auto"/>
            <w:noWrap/>
            <w:hideMark/>
          </w:tcPr>
          <w:p w14:paraId="1571EEE1" w14:textId="77777777" w:rsidR="00C66A34" w:rsidRPr="00DC18EC" w:rsidRDefault="00C66A34" w:rsidP="00BE32C9">
            <w:pPr>
              <w:pStyle w:val="TableParagraph"/>
            </w:pPr>
            <w:r w:rsidRPr="00B92AC6">
              <w:t>11.3%</w:t>
            </w:r>
          </w:p>
        </w:tc>
      </w:tr>
      <w:tr w:rsidR="00C66A34" w:rsidRPr="00D340B7" w14:paraId="388CF958" w14:textId="77777777" w:rsidTr="000D567C">
        <w:trPr>
          <w:cantSplit/>
          <w:trHeight w:val="20"/>
          <w:jc w:val="center"/>
        </w:trPr>
        <w:tc>
          <w:tcPr>
            <w:tcW w:w="1570" w:type="dxa"/>
            <w:tcBorders>
              <w:top w:val="nil"/>
              <w:left w:val="nil"/>
              <w:bottom w:val="single" w:sz="4" w:space="0" w:color="auto"/>
              <w:right w:val="nil"/>
            </w:tcBorders>
            <w:shd w:val="clear" w:color="auto" w:fill="auto"/>
            <w:noWrap/>
            <w:vAlign w:val="center"/>
            <w:hideMark/>
          </w:tcPr>
          <w:p w14:paraId="6784640B" w14:textId="77777777" w:rsidR="00C66A34" w:rsidRPr="00CE0BFB" w:rsidRDefault="00C66A34" w:rsidP="00BE32C9">
            <w:pPr>
              <w:pStyle w:val="TableParagraph"/>
            </w:pPr>
            <w:r w:rsidRPr="00CE0BFB">
              <w:t>Baystate</w:t>
            </w:r>
          </w:p>
        </w:tc>
        <w:tc>
          <w:tcPr>
            <w:tcW w:w="1620" w:type="dxa"/>
            <w:tcBorders>
              <w:top w:val="nil"/>
              <w:left w:val="nil"/>
              <w:bottom w:val="single" w:sz="4" w:space="0" w:color="auto"/>
              <w:right w:val="nil"/>
            </w:tcBorders>
            <w:shd w:val="clear" w:color="auto" w:fill="auto"/>
            <w:noWrap/>
            <w:hideMark/>
          </w:tcPr>
          <w:p w14:paraId="5CFEDDB9" w14:textId="681F9F66" w:rsidR="00C66A34" w:rsidRPr="00CF2339" w:rsidRDefault="0016038A" w:rsidP="00BE32C9">
            <w:pPr>
              <w:pStyle w:val="TableParagraph"/>
              <w:rPr>
                <w:highlight w:val="red"/>
              </w:rPr>
            </w:pPr>
            <w:r>
              <w:t xml:space="preserve">— </w:t>
            </w:r>
          </w:p>
        </w:tc>
      </w:tr>
      <w:tr w:rsidR="00C66A34" w:rsidRPr="00D340B7" w14:paraId="7449671D" w14:textId="77777777" w:rsidTr="000D567C">
        <w:trPr>
          <w:cantSplit/>
          <w:trHeight w:val="20"/>
          <w:jc w:val="center"/>
        </w:trPr>
        <w:tc>
          <w:tcPr>
            <w:tcW w:w="1570" w:type="dxa"/>
            <w:tcBorders>
              <w:top w:val="nil"/>
              <w:left w:val="nil"/>
              <w:bottom w:val="single" w:sz="4" w:space="0" w:color="auto"/>
              <w:right w:val="nil"/>
            </w:tcBorders>
            <w:shd w:val="clear" w:color="auto" w:fill="auto"/>
            <w:noWrap/>
            <w:vAlign w:val="center"/>
            <w:hideMark/>
          </w:tcPr>
          <w:p w14:paraId="13467778" w14:textId="77777777" w:rsidR="00C66A34" w:rsidRPr="00CE0BFB" w:rsidRDefault="00C66A34" w:rsidP="00BE32C9">
            <w:pPr>
              <w:pStyle w:val="TableParagraph"/>
            </w:pPr>
            <w:r w:rsidRPr="00CE0BFB">
              <w:t>Boston Medical</w:t>
            </w:r>
          </w:p>
        </w:tc>
        <w:tc>
          <w:tcPr>
            <w:tcW w:w="1620" w:type="dxa"/>
            <w:tcBorders>
              <w:top w:val="nil"/>
              <w:left w:val="nil"/>
              <w:bottom w:val="single" w:sz="4" w:space="0" w:color="auto"/>
              <w:right w:val="nil"/>
            </w:tcBorders>
            <w:shd w:val="clear" w:color="auto" w:fill="auto"/>
            <w:noWrap/>
            <w:hideMark/>
          </w:tcPr>
          <w:p w14:paraId="1161E98C" w14:textId="77777777" w:rsidR="00C66A34" w:rsidRPr="00DC18EC" w:rsidRDefault="00C66A34" w:rsidP="00BE32C9">
            <w:pPr>
              <w:pStyle w:val="TableParagraph"/>
            </w:pPr>
            <w:r w:rsidRPr="00B92AC6">
              <w:t>1.9%</w:t>
            </w:r>
          </w:p>
        </w:tc>
      </w:tr>
      <w:tr w:rsidR="00C66A34" w:rsidRPr="00D340B7" w14:paraId="0351818E" w14:textId="77777777" w:rsidTr="000D567C">
        <w:trPr>
          <w:cantSplit/>
          <w:trHeight w:val="20"/>
          <w:jc w:val="center"/>
        </w:trPr>
        <w:tc>
          <w:tcPr>
            <w:tcW w:w="1570" w:type="dxa"/>
            <w:tcBorders>
              <w:top w:val="nil"/>
              <w:left w:val="nil"/>
              <w:bottom w:val="single" w:sz="4" w:space="0" w:color="auto"/>
              <w:right w:val="nil"/>
            </w:tcBorders>
            <w:shd w:val="clear" w:color="auto" w:fill="auto"/>
            <w:noWrap/>
            <w:vAlign w:val="center"/>
            <w:hideMark/>
          </w:tcPr>
          <w:p w14:paraId="3F05B9C6" w14:textId="77777777" w:rsidR="00C66A34" w:rsidRPr="00CE0BFB" w:rsidRDefault="00C66A34" w:rsidP="00BE32C9">
            <w:pPr>
              <w:pStyle w:val="TableParagraph"/>
            </w:pPr>
            <w:r w:rsidRPr="00CE0BFB">
              <w:t>Mass General</w:t>
            </w:r>
          </w:p>
        </w:tc>
        <w:tc>
          <w:tcPr>
            <w:tcW w:w="1620" w:type="dxa"/>
            <w:tcBorders>
              <w:top w:val="nil"/>
              <w:left w:val="nil"/>
              <w:bottom w:val="single" w:sz="4" w:space="0" w:color="auto"/>
              <w:right w:val="nil"/>
            </w:tcBorders>
            <w:shd w:val="clear" w:color="auto" w:fill="auto"/>
            <w:noWrap/>
            <w:hideMark/>
          </w:tcPr>
          <w:p w14:paraId="59B4ACAE" w14:textId="77777777" w:rsidR="00C66A34" w:rsidRPr="00DC18EC" w:rsidRDefault="00C66A34" w:rsidP="00BE32C9">
            <w:pPr>
              <w:pStyle w:val="TableParagraph"/>
            </w:pPr>
            <w:r w:rsidRPr="00B92AC6">
              <w:t>13.1%</w:t>
            </w:r>
          </w:p>
        </w:tc>
      </w:tr>
      <w:tr w:rsidR="00C66A34" w:rsidRPr="00D340B7" w14:paraId="6907FA29" w14:textId="77777777" w:rsidTr="000D567C">
        <w:trPr>
          <w:cantSplit/>
          <w:trHeight w:val="20"/>
          <w:jc w:val="center"/>
        </w:trPr>
        <w:tc>
          <w:tcPr>
            <w:tcW w:w="1570" w:type="dxa"/>
            <w:tcBorders>
              <w:top w:val="nil"/>
              <w:left w:val="nil"/>
              <w:bottom w:val="single" w:sz="4" w:space="0" w:color="auto"/>
              <w:right w:val="nil"/>
            </w:tcBorders>
            <w:shd w:val="clear" w:color="auto" w:fill="auto"/>
            <w:noWrap/>
            <w:vAlign w:val="center"/>
            <w:hideMark/>
          </w:tcPr>
          <w:p w14:paraId="68E3DF1A" w14:textId="77777777" w:rsidR="00C66A34" w:rsidRPr="00CE0BFB" w:rsidRDefault="00C66A34" w:rsidP="00BE32C9">
            <w:pPr>
              <w:pStyle w:val="TableParagraph"/>
            </w:pPr>
            <w:r w:rsidRPr="00CE0BFB">
              <w:t>Tufts</w:t>
            </w:r>
          </w:p>
        </w:tc>
        <w:tc>
          <w:tcPr>
            <w:tcW w:w="1620" w:type="dxa"/>
            <w:tcBorders>
              <w:top w:val="nil"/>
              <w:left w:val="nil"/>
              <w:bottom w:val="single" w:sz="4" w:space="0" w:color="auto"/>
              <w:right w:val="nil"/>
            </w:tcBorders>
            <w:shd w:val="clear" w:color="auto" w:fill="auto"/>
            <w:noWrap/>
            <w:hideMark/>
          </w:tcPr>
          <w:p w14:paraId="08F2E355" w14:textId="77777777" w:rsidR="00C66A34" w:rsidRPr="00DC18EC" w:rsidRDefault="00C66A34" w:rsidP="00BE32C9">
            <w:pPr>
              <w:pStyle w:val="TableParagraph"/>
            </w:pPr>
            <w:r w:rsidRPr="00B92AC6">
              <w:t>3.4%</w:t>
            </w:r>
          </w:p>
        </w:tc>
      </w:tr>
      <w:tr w:rsidR="00C66A34" w:rsidRPr="00D340B7" w14:paraId="3FE77B46" w14:textId="77777777" w:rsidTr="000D567C">
        <w:trPr>
          <w:cantSplit/>
          <w:trHeight w:val="20"/>
          <w:jc w:val="center"/>
        </w:trPr>
        <w:tc>
          <w:tcPr>
            <w:tcW w:w="1570" w:type="dxa"/>
            <w:tcBorders>
              <w:top w:val="nil"/>
              <w:left w:val="nil"/>
              <w:bottom w:val="single" w:sz="4" w:space="0" w:color="auto"/>
              <w:right w:val="nil"/>
            </w:tcBorders>
            <w:shd w:val="clear" w:color="auto" w:fill="auto"/>
            <w:noWrap/>
            <w:vAlign w:val="center"/>
            <w:hideMark/>
          </w:tcPr>
          <w:p w14:paraId="7214DF44" w14:textId="77777777" w:rsidR="00C66A34" w:rsidRPr="00CE0BFB" w:rsidRDefault="00C66A34" w:rsidP="00BE32C9">
            <w:pPr>
              <w:pStyle w:val="TableParagraph"/>
            </w:pPr>
            <w:r w:rsidRPr="00CE0BFB">
              <w:t>UMASS</w:t>
            </w:r>
          </w:p>
        </w:tc>
        <w:tc>
          <w:tcPr>
            <w:tcW w:w="1620" w:type="dxa"/>
            <w:tcBorders>
              <w:top w:val="nil"/>
              <w:left w:val="nil"/>
              <w:bottom w:val="single" w:sz="4" w:space="0" w:color="auto"/>
              <w:right w:val="nil"/>
            </w:tcBorders>
            <w:shd w:val="clear" w:color="auto" w:fill="auto"/>
            <w:noWrap/>
            <w:hideMark/>
          </w:tcPr>
          <w:p w14:paraId="25C634E2" w14:textId="77777777" w:rsidR="00C66A34" w:rsidRPr="00DC18EC" w:rsidRDefault="00C66A34" w:rsidP="00BE32C9">
            <w:pPr>
              <w:pStyle w:val="TableParagraph"/>
            </w:pPr>
            <w:r w:rsidRPr="00B92AC6">
              <w:t>3.5%</w:t>
            </w:r>
          </w:p>
        </w:tc>
      </w:tr>
      <w:tr w:rsidR="00C66A34" w:rsidRPr="00D340B7" w14:paraId="3D31F6E7" w14:textId="77777777" w:rsidTr="000D567C">
        <w:trPr>
          <w:cantSplit/>
          <w:trHeight w:val="20"/>
          <w:jc w:val="center"/>
        </w:trPr>
        <w:tc>
          <w:tcPr>
            <w:tcW w:w="1570" w:type="dxa"/>
            <w:tcBorders>
              <w:top w:val="nil"/>
              <w:left w:val="nil"/>
              <w:bottom w:val="single" w:sz="4" w:space="0" w:color="auto"/>
              <w:right w:val="nil"/>
            </w:tcBorders>
            <w:shd w:val="clear" w:color="auto" w:fill="auto"/>
            <w:noWrap/>
            <w:vAlign w:val="center"/>
            <w:hideMark/>
          </w:tcPr>
          <w:p w14:paraId="2E70F69C" w14:textId="77777777" w:rsidR="00C66A34" w:rsidRPr="00CE0BFB" w:rsidRDefault="00C66A34" w:rsidP="00BE32C9">
            <w:pPr>
              <w:pStyle w:val="TableParagraph"/>
            </w:pPr>
            <w:r w:rsidRPr="00CE0BFB">
              <w:t>Other</w:t>
            </w:r>
          </w:p>
        </w:tc>
        <w:tc>
          <w:tcPr>
            <w:tcW w:w="1620" w:type="dxa"/>
            <w:tcBorders>
              <w:top w:val="nil"/>
              <w:left w:val="nil"/>
              <w:bottom w:val="single" w:sz="4" w:space="0" w:color="auto"/>
              <w:right w:val="nil"/>
            </w:tcBorders>
            <w:shd w:val="clear" w:color="auto" w:fill="auto"/>
            <w:noWrap/>
            <w:hideMark/>
          </w:tcPr>
          <w:p w14:paraId="3EB191C5" w14:textId="77777777" w:rsidR="00C66A34" w:rsidRPr="00DC18EC" w:rsidRDefault="00C66A34" w:rsidP="00BE32C9">
            <w:pPr>
              <w:pStyle w:val="TableParagraph"/>
            </w:pPr>
            <w:r w:rsidRPr="00B92AC6">
              <w:t>66.7%</w:t>
            </w:r>
          </w:p>
        </w:tc>
      </w:tr>
    </w:tbl>
    <w:p w14:paraId="40D9C892" w14:textId="77777777" w:rsidR="00C66A34" w:rsidRPr="00A66616" w:rsidRDefault="00C66A34" w:rsidP="00AA5467">
      <w:pPr>
        <w:pStyle w:val="TableNotes"/>
      </w:pPr>
      <w:r w:rsidRPr="00AA5467">
        <w:t>Source: The result is based on ASC claims from the 2019 CHIA all-payer medical claim</w:t>
      </w:r>
      <w:r w:rsidRPr="00CB4F30">
        <w:t xml:space="preserve"> data. The data is restricted to visits from members younger than 19 years old. </w:t>
      </w:r>
    </w:p>
    <w:p w14:paraId="2C8175BB" w14:textId="136C9D79" w:rsidR="00A5584E" w:rsidRPr="00C5498F" w:rsidRDefault="00F73967" w:rsidP="00BE32C9">
      <w:pPr>
        <w:rPr>
          <w:i/>
          <w:iCs/>
        </w:rPr>
      </w:pPr>
      <w:r>
        <w:t>Of</w:t>
      </w:r>
      <w:r w:rsidR="00A5584E" w:rsidRPr="00C5498F">
        <w:t xml:space="preserve"> the</w:t>
      </w:r>
      <w:r>
        <w:t xml:space="preserve"> ASC</w:t>
      </w:r>
      <w:r w:rsidR="00A5584E" w:rsidRPr="00C5498F">
        <w:t xml:space="preserve"> visits, approximately </w:t>
      </w:r>
      <w:r w:rsidR="008F2D00" w:rsidRPr="00C5498F">
        <w:t>39.4</w:t>
      </w:r>
      <w:r w:rsidR="00A5584E" w:rsidRPr="00C5498F">
        <w:t xml:space="preserve">% were from commercial patients. </w:t>
      </w:r>
      <w:r w:rsidR="008F2D00" w:rsidRPr="00C5498F">
        <w:t>MassHealth</w:t>
      </w:r>
      <w:r>
        <w:t>/Medicaid</w:t>
      </w:r>
      <w:r w:rsidR="00A5584E" w:rsidRPr="00C5498F">
        <w:t xml:space="preserve"> patients represented </w:t>
      </w:r>
      <w:r w:rsidR="008F2D00" w:rsidRPr="00C5498F">
        <w:t>60.6</w:t>
      </w:r>
      <w:r w:rsidR="00A5584E" w:rsidRPr="00C5498F">
        <w:t xml:space="preserve">% of the visits. </w:t>
      </w:r>
    </w:p>
    <w:p w14:paraId="7D8E583A" w14:textId="327E1CCE" w:rsidR="00A5584E" w:rsidRPr="00C5498F" w:rsidRDefault="00A5584E" w:rsidP="00BE32C9">
      <w:pPr>
        <w:rPr>
          <w:i/>
          <w:iCs/>
        </w:rPr>
      </w:pPr>
      <w:r w:rsidRPr="00C5498F">
        <w:t xml:space="preserve">BCH’s payer mix is similar to the state-level payer mix, with over </w:t>
      </w:r>
      <w:r w:rsidR="008F2D00" w:rsidRPr="00C5498F">
        <w:t>44.9</w:t>
      </w:r>
      <w:r w:rsidRPr="00C5498F">
        <w:t>% of the visits from Commercial patients. Most of the BCH Medica</w:t>
      </w:r>
      <w:r w:rsidR="00C14241" w:rsidRPr="00C5498F">
        <w:t>id</w:t>
      </w:r>
      <w:r w:rsidR="00A920B6">
        <w:t>/MassHealth</w:t>
      </w:r>
      <w:r w:rsidRPr="00C5498F">
        <w:t xml:space="preserve"> visits are associated with the BCH main campus</w:t>
      </w:r>
      <w:r w:rsidR="00F73967">
        <w:t xml:space="preserve"> for reasons described elsewhere</w:t>
      </w:r>
      <w:r w:rsidR="00D35B95" w:rsidRPr="00C5498F">
        <w:t xml:space="preserve"> (shown in </w:t>
      </w:r>
      <w:r w:rsidR="00D35B95" w:rsidRPr="00C5498F">
        <w:fldChar w:fldCharType="begin"/>
      </w:r>
      <w:r w:rsidR="00D35B95" w:rsidRPr="00C5498F">
        <w:instrText xml:space="preserve"> REF _Ref106622252 \h </w:instrText>
      </w:r>
      <w:r w:rsidR="00C5498F">
        <w:instrText xml:space="preserve"> \* MERGEFORMAT </w:instrText>
      </w:r>
      <w:r w:rsidR="00D35B95" w:rsidRPr="00C5498F">
        <w:fldChar w:fldCharType="separate"/>
      </w:r>
      <w:r w:rsidR="00CE7C62" w:rsidRPr="00CE7C62">
        <w:t xml:space="preserve">Table </w:t>
      </w:r>
      <w:r w:rsidR="00CE7C62" w:rsidRPr="00CE7C62">
        <w:rPr>
          <w:noProof/>
        </w:rPr>
        <w:t>14</w:t>
      </w:r>
      <w:r w:rsidR="00CE7C62" w:rsidRPr="00CE7C62">
        <w:t>: BCH ASC Visits by Facility and Payer Mix, 2019</w:t>
      </w:r>
      <w:r w:rsidR="00D35B95" w:rsidRPr="00C5498F">
        <w:fldChar w:fldCharType="end"/>
      </w:r>
      <w:r w:rsidR="00D35B95" w:rsidRPr="00C5498F">
        <w:t>)</w:t>
      </w:r>
      <w:r w:rsidRPr="00C5498F">
        <w:t>.</w:t>
      </w:r>
    </w:p>
    <w:p w14:paraId="5E0A875A" w14:textId="430F0846" w:rsidR="00C66A34" w:rsidRPr="004E297D" w:rsidRDefault="00C66A34" w:rsidP="007813FB">
      <w:pPr>
        <w:pStyle w:val="Caption"/>
      </w:pPr>
      <w:bookmarkStart w:id="188" w:name="_Ref106622252"/>
      <w:bookmarkStart w:id="189" w:name="_Toc106641189"/>
      <w:bookmarkStart w:id="190" w:name="_Toc106648893"/>
      <w:bookmarkStart w:id="191" w:name="_Toc109895445"/>
      <w:r w:rsidRPr="00901E4E">
        <w:rPr>
          <w:rFonts w:ascii="Times New Roman Bold" w:hAnsi="Times New Roman Bold"/>
          <w:spacing w:val="-8"/>
        </w:rPr>
        <w:t xml:space="preserve">Table </w:t>
      </w:r>
      <w:r w:rsidR="001B2050" w:rsidRPr="00901E4E">
        <w:rPr>
          <w:rFonts w:ascii="Times New Roman Bold" w:hAnsi="Times New Roman Bold"/>
          <w:spacing w:val="-8"/>
        </w:rPr>
        <w:fldChar w:fldCharType="begin"/>
      </w:r>
      <w:r w:rsidR="001B2050" w:rsidRPr="00901E4E">
        <w:rPr>
          <w:rFonts w:ascii="Times New Roman Bold" w:hAnsi="Times New Roman Bold"/>
          <w:spacing w:val="-8"/>
        </w:rPr>
        <w:instrText xml:space="preserve"> SEQ Table \* ARABIC </w:instrText>
      </w:r>
      <w:r w:rsidR="001B2050" w:rsidRPr="00901E4E">
        <w:rPr>
          <w:rFonts w:ascii="Times New Roman Bold" w:hAnsi="Times New Roman Bold"/>
          <w:spacing w:val="-8"/>
        </w:rPr>
        <w:fldChar w:fldCharType="separate"/>
      </w:r>
      <w:r w:rsidR="00CE7C62">
        <w:rPr>
          <w:rFonts w:ascii="Times New Roman Bold" w:hAnsi="Times New Roman Bold"/>
          <w:noProof/>
          <w:spacing w:val="-8"/>
        </w:rPr>
        <w:t>14</w:t>
      </w:r>
      <w:r w:rsidR="001B2050" w:rsidRPr="00901E4E">
        <w:rPr>
          <w:rFonts w:ascii="Times New Roman Bold" w:hAnsi="Times New Roman Bold"/>
          <w:spacing w:val="-8"/>
        </w:rPr>
        <w:fldChar w:fldCharType="end"/>
      </w:r>
      <w:r w:rsidRPr="00901E4E">
        <w:rPr>
          <w:rFonts w:ascii="Times New Roman Bold" w:hAnsi="Times New Roman Bold"/>
          <w:spacing w:val="-8"/>
        </w:rPr>
        <w:t>: BCH ASC Visits by Facility and Payer Mix, 2019</w:t>
      </w:r>
      <w:bookmarkEnd w:id="188"/>
      <w:bookmarkEnd w:id="189"/>
      <w:bookmarkEnd w:id="190"/>
      <w:r w:rsidRPr="00901E4E">
        <w:rPr>
          <w:rFonts w:ascii="Times New Roman Bold" w:hAnsi="Times New Roman Bold"/>
          <w:spacing w:val="-8"/>
        </w:rPr>
        <w:t xml:space="preserve"> (Combined Service Area, Patients Aged 0 – 18</w:t>
      </w:r>
      <w:r w:rsidRPr="00146650">
        <w:t>)</w:t>
      </w:r>
      <w:bookmarkEnd w:id="191"/>
    </w:p>
    <w:tbl>
      <w:tblPr>
        <w:tblW w:w="0" w:type="auto"/>
        <w:jc w:val="center"/>
        <w:tblLook w:val="04A0" w:firstRow="1" w:lastRow="0" w:firstColumn="1" w:lastColumn="0" w:noHBand="0" w:noVBand="1"/>
      </w:tblPr>
      <w:tblGrid>
        <w:gridCol w:w="4873"/>
        <w:gridCol w:w="1272"/>
        <w:gridCol w:w="1016"/>
      </w:tblGrid>
      <w:tr w:rsidR="00C66A34" w:rsidRPr="00D340B7" w14:paraId="0CFC8A1E" w14:textId="77777777" w:rsidTr="00E024CC">
        <w:trPr>
          <w:cantSplit/>
          <w:trHeight w:val="485"/>
          <w:tblHeader/>
          <w:jc w:val="center"/>
        </w:trPr>
        <w:tc>
          <w:tcPr>
            <w:tcW w:w="4873" w:type="dxa"/>
            <w:tcBorders>
              <w:top w:val="single" w:sz="4" w:space="0" w:color="auto"/>
              <w:left w:val="nil"/>
              <w:bottom w:val="single" w:sz="4" w:space="0" w:color="auto"/>
              <w:right w:val="nil"/>
            </w:tcBorders>
            <w:shd w:val="clear" w:color="000000" w:fill="003763"/>
            <w:vAlign w:val="center"/>
            <w:hideMark/>
          </w:tcPr>
          <w:p w14:paraId="54F772D8" w14:textId="77777777" w:rsidR="00C66A34" w:rsidRPr="009D3AA0" w:rsidRDefault="00C66A34" w:rsidP="00BE32C9">
            <w:pPr>
              <w:pStyle w:val="TableParagraph"/>
            </w:pPr>
            <w:r w:rsidRPr="009D3AA0">
              <w:t>Standardized Name</w:t>
            </w:r>
          </w:p>
        </w:tc>
        <w:tc>
          <w:tcPr>
            <w:tcW w:w="1272" w:type="dxa"/>
            <w:tcBorders>
              <w:top w:val="single" w:sz="4" w:space="0" w:color="auto"/>
              <w:left w:val="nil"/>
              <w:bottom w:val="single" w:sz="4" w:space="0" w:color="auto"/>
              <w:right w:val="nil"/>
            </w:tcBorders>
            <w:shd w:val="clear" w:color="000000" w:fill="003763"/>
            <w:vAlign w:val="center"/>
            <w:hideMark/>
          </w:tcPr>
          <w:p w14:paraId="33FD9891" w14:textId="77777777" w:rsidR="00C66A34" w:rsidRPr="009D3AA0" w:rsidRDefault="00C66A34" w:rsidP="00BE32C9">
            <w:pPr>
              <w:pStyle w:val="TableParagraph"/>
            </w:pPr>
            <w:r w:rsidRPr="009D3AA0">
              <w:t>% Commercial</w:t>
            </w:r>
          </w:p>
        </w:tc>
        <w:tc>
          <w:tcPr>
            <w:tcW w:w="1016" w:type="dxa"/>
            <w:tcBorders>
              <w:top w:val="single" w:sz="4" w:space="0" w:color="auto"/>
              <w:left w:val="nil"/>
              <w:bottom w:val="single" w:sz="4" w:space="0" w:color="auto"/>
              <w:right w:val="nil"/>
            </w:tcBorders>
            <w:shd w:val="clear" w:color="000000" w:fill="003763"/>
            <w:vAlign w:val="center"/>
            <w:hideMark/>
          </w:tcPr>
          <w:p w14:paraId="22D2D32F" w14:textId="77777777" w:rsidR="00C66A34" w:rsidRPr="009D3AA0" w:rsidRDefault="00C66A34" w:rsidP="00BE32C9">
            <w:pPr>
              <w:pStyle w:val="TableParagraph"/>
            </w:pPr>
            <w:r w:rsidRPr="009D3AA0">
              <w:t>% Medicaid</w:t>
            </w:r>
          </w:p>
        </w:tc>
      </w:tr>
      <w:tr w:rsidR="00C66A34" w:rsidRPr="00D340B7" w14:paraId="19F97DE2" w14:textId="77777777" w:rsidTr="00E024CC">
        <w:trPr>
          <w:cantSplit/>
          <w:trHeight w:val="288"/>
          <w:jc w:val="center"/>
        </w:trPr>
        <w:tc>
          <w:tcPr>
            <w:tcW w:w="4873" w:type="dxa"/>
            <w:tcBorders>
              <w:top w:val="nil"/>
              <w:left w:val="nil"/>
              <w:bottom w:val="single" w:sz="4" w:space="0" w:color="auto"/>
              <w:right w:val="nil"/>
            </w:tcBorders>
            <w:shd w:val="clear" w:color="auto" w:fill="auto"/>
            <w:noWrap/>
            <w:vAlign w:val="center"/>
            <w:hideMark/>
          </w:tcPr>
          <w:p w14:paraId="4F4B64C8" w14:textId="77777777" w:rsidR="00C66A34" w:rsidRPr="00B66512" w:rsidRDefault="00C66A34" w:rsidP="00BE32C9">
            <w:pPr>
              <w:pStyle w:val="TableParagraph"/>
            </w:pPr>
            <w:r w:rsidRPr="00B66512">
              <w:t>BCH - Other - Entity</w:t>
            </w:r>
          </w:p>
        </w:tc>
        <w:tc>
          <w:tcPr>
            <w:tcW w:w="1272" w:type="dxa"/>
            <w:tcBorders>
              <w:top w:val="nil"/>
              <w:left w:val="nil"/>
              <w:bottom w:val="single" w:sz="4" w:space="0" w:color="auto"/>
              <w:right w:val="nil"/>
            </w:tcBorders>
            <w:shd w:val="clear" w:color="auto" w:fill="auto"/>
            <w:noWrap/>
            <w:hideMark/>
          </w:tcPr>
          <w:p w14:paraId="1A663C3A" w14:textId="77777777" w:rsidR="00C66A34" w:rsidRPr="00DC18EC" w:rsidRDefault="00C66A34" w:rsidP="00BE32C9">
            <w:pPr>
              <w:pStyle w:val="TableParagraph"/>
            </w:pPr>
            <w:r w:rsidRPr="004C65AD">
              <w:t>100.0%</w:t>
            </w:r>
          </w:p>
        </w:tc>
        <w:tc>
          <w:tcPr>
            <w:tcW w:w="1016" w:type="dxa"/>
            <w:tcBorders>
              <w:top w:val="nil"/>
              <w:left w:val="nil"/>
              <w:bottom w:val="single" w:sz="4" w:space="0" w:color="auto"/>
              <w:right w:val="nil"/>
            </w:tcBorders>
            <w:shd w:val="clear" w:color="auto" w:fill="auto"/>
            <w:noWrap/>
            <w:hideMark/>
          </w:tcPr>
          <w:p w14:paraId="5F21424D" w14:textId="77777777" w:rsidR="00C66A34" w:rsidRPr="00DC18EC" w:rsidRDefault="00C66A34" w:rsidP="00BE32C9">
            <w:pPr>
              <w:pStyle w:val="TableParagraph"/>
            </w:pPr>
          </w:p>
        </w:tc>
      </w:tr>
      <w:tr w:rsidR="00C66A34" w:rsidRPr="00D340B7" w14:paraId="6090A770" w14:textId="77777777" w:rsidTr="00E024CC">
        <w:trPr>
          <w:cantSplit/>
          <w:trHeight w:val="288"/>
          <w:jc w:val="center"/>
        </w:trPr>
        <w:tc>
          <w:tcPr>
            <w:tcW w:w="4873" w:type="dxa"/>
            <w:tcBorders>
              <w:top w:val="nil"/>
              <w:left w:val="nil"/>
              <w:bottom w:val="single" w:sz="4" w:space="0" w:color="auto"/>
              <w:right w:val="nil"/>
            </w:tcBorders>
            <w:shd w:val="clear" w:color="auto" w:fill="auto"/>
            <w:noWrap/>
            <w:vAlign w:val="center"/>
            <w:hideMark/>
          </w:tcPr>
          <w:p w14:paraId="135F0EE3" w14:textId="77777777" w:rsidR="00C66A34" w:rsidRPr="00B66512" w:rsidRDefault="00C66A34" w:rsidP="00BE32C9">
            <w:pPr>
              <w:pStyle w:val="TableParagraph"/>
            </w:pPr>
            <w:r w:rsidRPr="00B66512">
              <w:t>BCH - Other - Individual</w:t>
            </w:r>
          </w:p>
        </w:tc>
        <w:tc>
          <w:tcPr>
            <w:tcW w:w="1272" w:type="dxa"/>
            <w:tcBorders>
              <w:top w:val="nil"/>
              <w:left w:val="nil"/>
              <w:bottom w:val="single" w:sz="4" w:space="0" w:color="auto"/>
              <w:right w:val="nil"/>
            </w:tcBorders>
            <w:shd w:val="clear" w:color="auto" w:fill="auto"/>
            <w:noWrap/>
            <w:hideMark/>
          </w:tcPr>
          <w:p w14:paraId="40CACE64" w14:textId="77777777" w:rsidR="00C66A34" w:rsidRPr="00DC18EC" w:rsidRDefault="00C66A34" w:rsidP="00BE32C9">
            <w:pPr>
              <w:pStyle w:val="TableParagraph"/>
            </w:pPr>
            <w:r w:rsidRPr="004C65AD">
              <w:t>55.3%</w:t>
            </w:r>
          </w:p>
        </w:tc>
        <w:tc>
          <w:tcPr>
            <w:tcW w:w="1016" w:type="dxa"/>
            <w:tcBorders>
              <w:top w:val="nil"/>
              <w:left w:val="nil"/>
              <w:bottom w:val="single" w:sz="4" w:space="0" w:color="auto"/>
              <w:right w:val="nil"/>
            </w:tcBorders>
            <w:shd w:val="clear" w:color="auto" w:fill="auto"/>
            <w:noWrap/>
            <w:hideMark/>
          </w:tcPr>
          <w:p w14:paraId="3F5CA772" w14:textId="77777777" w:rsidR="00C66A34" w:rsidRPr="00DC18EC" w:rsidRDefault="00C66A34" w:rsidP="00BE32C9">
            <w:pPr>
              <w:pStyle w:val="TableParagraph"/>
            </w:pPr>
            <w:r w:rsidRPr="004C65AD">
              <w:t>44.7%</w:t>
            </w:r>
          </w:p>
        </w:tc>
      </w:tr>
      <w:tr w:rsidR="00C66A34" w:rsidRPr="00D340B7" w14:paraId="33A675B5" w14:textId="77777777" w:rsidTr="00E024CC">
        <w:trPr>
          <w:cantSplit/>
          <w:trHeight w:val="288"/>
          <w:jc w:val="center"/>
        </w:trPr>
        <w:tc>
          <w:tcPr>
            <w:tcW w:w="4873" w:type="dxa"/>
            <w:tcBorders>
              <w:top w:val="nil"/>
              <w:left w:val="nil"/>
              <w:bottom w:val="single" w:sz="4" w:space="0" w:color="auto"/>
              <w:right w:val="nil"/>
            </w:tcBorders>
            <w:shd w:val="clear" w:color="auto" w:fill="auto"/>
            <w:noWrap/>
            <w:vAlign w:val="center"/>
            <w:hideMark/>
          </w:tcPr>
          <w:p w14:paraId="28746A87" w14:textId="77777777" w:rsidR="00C66A34" w:rsidRPr="00B66512" w:rsidRDefault="00C66A34" w:rsidP="00BE32C9">
            <w:pPr>
              <w:pStyle w:val="TableParagraph"/>
            </w:pPr>
            <w:r w:rsidRPr="00B66512">
              <w:t>BOSTON CHILDREN'S AT LEXINGTON</w:t>
            </w:r>
          </w:p>
        </w:tc>
        <w:tc>
          <w:tcPr>
            <w:tcW w:w="1272" w:type="dxa"/>
            <w:tcBorders>
              <w:top w:val="nil"/>
              <w:left w:val="nil"/>
              <w:bottom w:val="single" w:sz="4" w:space="0" w:color="auto"/>
              <w:right w:val="nil"/>
            </w:tcBorders>
            <w:shd w:val="clear" w:color="auto" w:fill="auto"/>
            <w:noWrap/>
            <w:hideMark/>
          </w:tcPr>
          <w:p w14:paraId="152773AB" w14:textId="77777777" w:rsidR="00C66A34" w:rsidRPr="00E31AC5" w:rsidRDefault="00C66A34" w:rsidP="00BE32C9">
            <w:pPr>
              <w:pStyle w:val="TableParagraph"/>
            </w:pPr>
            <w:r w:rsidRPr="004C65AD">
              <w:t>100.0%</w:t>
            </w:r>
          </w:p>
        </w:tc>
        <w:tc>
          <w:tcPr>
            <w:tcW w:w="1016" w:type="dxa"/>
            <w:tcBorders>
              <w:top w:val="nil"/>
              <w:left w:val="nil"/>
              <w:bottom w:val="single" w:sz="4" w:space="0" w:color="auto"/>
              <w:right w:val="nil"/>
            </w:tcBorders>
            <w:shd w:val="clear" w:color="auto" w:fill="auto"/>
            <w:noWrap/>
            <w:hideMark/>
          </w:tcPr>
          <w:p w14:paraId="258D2A8F" w14:textId="77777777" w:rsidR="00C66A34" w:rsidRPr="00E31AC5" w:rsidRDefault="00C66A34" w:rsidP="00BE32C9">
            <w:pPr>
              <w:pStyle w:val="TableParagraph"/>
            </w:pPr>
          </w:p>
        </w:tc>
      </w:tr>
      <w:tr w:rsidR="00C66A34" w:rsidRPr="00D340B7" w14:paraId="6A999BB8" w14:textId="77777777" w:rsidTr="00E024CC">
        <w:trPr>
          <w:cantSplit/>
          <w:trHeight w:val="288"/>
          <w:jc w:val="center"/>
        </w:trPr>
        <w:tc>
          <w:tcPr>
            <w:tcW w:w="4873" w:type="dxa"/>
            <w:tcBorders>
              <w:top w:val="nil"/>
              <w:left w:val="nil"/>
              <w:bottom w:val="single" w:sz="4" w:space="0" w:color="auto"/>
              <w:right w:val="nil"/>
            </w:tcBorders>
            <w:shd w:val="clear" w:color="auto" w:fill="auto"/>
            <w:noWrap/>
            <w:vAlign w:val="center"/>
            <w:hideMark/>
          </w:tcPr>
          <w:p w14:paraId="13FE7EB8" w14:textId="77777777" w:rsidR="00C66A34" w:rsidRPr="00B66512" w:rsidRDefault="00C66A34" w:rsidP="00BE32C9">
            <w:pPr>
              <w:pStyle w:val="TableParagraph"/>
            </w:pPr>
            <w:r w:rsidRPr="00B66512">
              <w:t>BOSTON CHILDREN'S AT PEABODY</w:t>
            </w:r>
          </w:p>
        </w:tc>
        <w:tc>
          <w:tcPr>
            <w:tcW w:w="1272" w:type="dxa"/>
            <w:tcBorders>
              <w:top w:val="nil"/>
              <w:left w:val="nil"/>
              <w:bottom w:val="single" w:sz="4" w:space="0" w:color="auto"/>
              <w:right w:val="nil"/>
            </w:tcBorders>
            <w:shd w:val="clear" w:color="auto" w:fill="auto"/>
            <w:noWrap/>
            <w:hideMark/>
          </w:tcPr>
          <w:p w14:paraId="255003C8" w14:textId="77777777" w:rsidR="00C66A34" w:rsidRPr="00E31AC5" w:rsidRDefault="00C66A34" w:rsidP="00BE32C9">
            <w:pPr>
              <w:pStyle w:val="TableParagraph"/>
            </w:pPr>
            <w:r w:rsidRPr="004C65AD">
              <w:t>100.0%</w:t>
            </w:r>
          </w:p>
        </w:tc>
        <w:tc>
          <w:tcPr>
            <w:tcW w:w="1016" w:type="dxa"/>
            <w:tcBorders>
              <w:top w:val="nil"/>
              <w:left w:val="nil"/>
              <w:bottom w:val="single" w:sz="4" w:space="0" w:color="auto"/>
              <w:right w:val="nil"/>
            </w:tcBorders>
            <w:shd w:val="clear" w:color="auto" w:fill="auto"/>
            <w:noWrap/>
            <w:hideMark/>
          </w:tcPr>
          <w:p w14:paraId="09ADC635" w14:textId="77777777" w:rsidR="00C66A34" w:rsidRPr="00E31AC5" w:rsidRDefault="00C66A34" w:rsidP="00BE32C9">
            <w:pPr>
              <w:pStyle w:val="TableParagraph"/>
            </w:pPr>
          </w:p>
        </w:tc>
      </w:tr>
      <w:tr w:rsidR="00C66A34" w:rsidRPr="00D340B7" w14:paraId="4A034AA5" w14:textId="77777777" w:rsidTr="00E024CC">
        <w:trPr>
          <w:cantSplit/>
          <w:trHeight w:val="288"/>
          <w:jc w:val="center"/>
        </w:trPr>
        <w:tc>
          <w:tcPr>
            <w:tcW w:w="4873" w:type="dxa"/>
            <w:tcBorders>
              <w:top w:val="nil"/>
              <w:left w:val="nil"/>
              <w:bottom w:val="single" w:sz="4" w:space="0" w:color="auto"/>
              <w:right w:val="nil"/>
            </w:tcBorders>
            <w:shd w:val="clear" w:color="auto" w:fill="auto"/>
            <w:noWrap/>
            <w:vAlign w:val="center"/>
            <w:hideMark/>
          </w:tcPr>
          <w:p w14:paraId="21F7D217" w14:textId="77777777" w:rsidR="00C66A34" w:rsidRPr="00B66512" w:rsidRDefault="00C66A34" w:rsidP="00BE32C9">
            <w:pPr>
              <w:pStyle w:val="TableParagraph"/>
            </w:pPr>
            <w:r w:rsidRPr="00B66512">
              <w:t>BOSTON CHILDREN'S AT WALTHAM</w:t>
            </w:r>
          </w:p>
        </w:tc>
        <w:tc>
          <w:tcPr>
            <w:tcW w:w="1272" w:type="dxa"/>
            <w:tcBorders>
              <w:top w:val="nil"/>
              <w:left w:val="nil"/>
              <w:bottom w:val="single" w:sz="4" w:space="0" w:color="auto"/>
              <w:right w:val="nil"/>
            </w:tcBorders>
            <w:shd w:val="clear" w:color="auto" w:fill="auto"/>
            <w:noWrap/>
            <w:hideMark/>
          </w:tcPr>
          <w:p w14:paraId="3B437394" w14:textId="77777777" w:rsidR="00C66A34" w:rsidRPr="00E31AC5" w:rsidRDefault="00C66A34" w:rsidP="00BE32C9">
            <w:pPr>
              <w:pStyle w:val="TableParagraph"/>
            </w:pPr>
            <w:r w:rsidRPr="004C65AD">
              <w:t>100.0%</w:t>
            </w:r>
          </w:p>
        </w:tc>
        <w:tc>
          <w:tcPr>
            <w:tcW w:w="1016" w:type="dxa"/>
            <w:tcBorders>
              <w:top w:val="nil"/>
              <w:left w:val="nil"/>
              <w:bottom w:val="single" w:sz="4" w:space="0" w:color="auto"/>
              <w:right w:val="nil"/>
            </w:tcBorders>
            <w:shd w:val="clear" w:color="auto" w:fill="auto"/>
            <w:noWrap/>
            <w:hideMark/>
          </w:tcPr>
          <w:p w14:paraId="25B5C996" w14:textId="77777777" w:rsidR="00C66A34" w:rsidRPr="00E31AC5" w:rsidRDefault="00C66A34" w:rsidP="00BE32C9">
            <w:pPr>
              <w:pStyle w:val="TableParagraph"/>
            </w:pPr>
          </w:p>
        </w:tc>
      </w:tr>
      <w:tr w:rsidR="00C66A34" w:rsidRPr="00D340B7" w14:paraId="1FFF6BA4" w14:textId="77777777" w:rsidTr="00E024CC">
        <w:trPr>
          <w:cantSplit/>
          <w:trHeight w:val="288"/>
          <w:jc w:val="center"/>
        </w:trPr>
        <w:tc>
          <w:tcPr>
            <w:tcW w:w="4873" w:type="dxa"/>
            <w:tcBorders>
              <w:top w:val="nil"/>
              <w:left w:val="nil"/>
              <w:bottom w:val="single" w:sz="4" w:space="0" w:color="auto"/>
              <w:right w:val="nil"/>
            </w:tcBorders>
            <w:shd w:val="clear" w:color="auto" w:fill="auto"/>
            <w:noWrap/>
            <w:vAlign w:val="center"/>
            <w:hideMark/>
          </w:tcPr>
          <w:p w14:paraId="7B537CE5" w14:textId="77777777" w:rsidR="00C66A34" w:rsidRPr="00B66512" w:rsidRDefault="00C66A34" w:rsidP="00BE32C9">
            <w:pPr>
              <w:pStyle w:val="TableParagraph"/>
            </w:pPr>
            <w:r w:rsidRPr="00B66512">
              <w:t>BOSTON CHILDREN'S HOSPITAL</w:t>
            </w:r>
          </w:p>
        </w:tc>
        <w:tc>
          <w:tcPr>
            <w:tcW w:w="1272" w:type="dxa"/>
            <w:tcBorders>
              <w:top w:val="nil"/>
              <w:left w:val="nil"/>
              <w:bottom w:val="single" w:sz="4" w:space="0" w:color="auto"/>
              <w:right w:val="nil"/>
            </w:tcBorders>
            <w:shd w:val="clear" w:color="auto" w:fill="auto"/>
            <w:noWrap/>
            <w:hideMark/>
          </w:tcPr>
          <w:p w14:paraId="4CEB5F0B" w14:textId="77777777" w:rsidR="00C66A34" w:rsidRPr="00E31AC5" w:rsidRDefault="00C66A34" w:rsidP="00BE32C9">
            <w:pPr>
              <w:pStyle w:val="TableParagraph"/>
            </w:pPr>
            <w:r w:rsidRPr="004C65AD">
              <w:t>38.6%</w:t>
            </w:r>
          </w:p>
        </w:tc>
        <w:tc>
          <w:tcPr>
            <w:tcW w:w="1016" w:type="dxa"/>
            <w:tcBorders>
              <w:top w:val="nil"/>
              <w:left w:val="nil"/>
              <w:bottom w:val="single" w:sz="4" w:space="0" w:color="auto"/>
              <w:right w:val="nil"/>
            </w:tcBorders>
            <w:shd w:val="clear" w:color="auto" w:fill="auto"/>
            <w:noWrap/>
            <w:hideMark/>
          </w:tcPr>
          <w:p w14:paraId="7CA9FA97" w14:textId="77777777" w:rsidR="00C66A34" w:rsidRPr="00E31AC5" w:rsidRDefault="00C66A34" w:rsidP="00BE32C9">
            <w:pPr>
              <w:pStyle w:val="TableParagraph"/>
            </w:pPr>
            <w:r w:rsidRPr="004C65AD">
              <w:t>61.4%</w:t>
            </w:r>
          </w:p>
        </w:tc>
      </w:tr>
      <w:tr w:rsidR="00C66A34" w:rsidRPr="00D340B7" w14:paraId="4858FD6A" w14:textId="77777777" w:rsidTr="00E024CC">
        <w:trPr>
          <w:cantSplit/>
          <w:trHeight w:val="288"/>
          <w:jc w:val="center"/>
        </w:trPr>
        <w:tc>
          <w:tcPr>
            <w:tcW w:w="4873" w:type="dxa"/>
            <w:tcBorders>
              <w:top w:val="nil"/>
              <w:left w:val="nil"/>
              <w:bottom w:val="single" w:sz="4" w:space="0" w:color="auto"/>
              <w:right w:val="nil"/>
            </w:tcBorders>
            <w:shd w:val="clear" w:color="auto" w:fill="auto"/>
            <w:noWrap/>
            <w:vAlign w:val="center"/>
            <w:hideMark/>
          </w:tcPr>
          <w:p w14:paraId="24D144ED" w14:textId="77777777" w:rsidR="00C66A34" w:rsidRPr="00B66512" w:rsidRDefault="00C66A34" w:rsidP="00BE32C9">
            <w:pPr>
              <w:pStyle w:val="TableParagraph"/>
            </w:pPr>
            <w:r w:rsidRPr="00B66512">
              <w:t>BOSTON CHILDREN'S at NORTH DARTMOUTH</w:t>
            </w:r>
          </w:p>
        </w:tc>
        <w:tc>
          <w:tcPr>
            <w:tcW w:w="1272" w:type="dxa"/>
            <w:tcBorders>
              <w:top w:val="nil"/>
              <w:left w:val="nil"/>
              <w:bottom w:val="single" w:sz="4" w:space="0" w:color="auto"/>
              <w:right w:val="nil"/>
            </w:tcBorders>
            <w:shd w:val="clear" w:color="auto" w:fill="auto"/>
            <w:noWrap/>
            <w:hideMark/>
          </w:tcPr>
          <w:p w14:paraId="0B4E037B" w14:textId="77777777" w:rsidR="00C66A34" w:rsidRPr="00E31AC5" w:rsidRDefault="00C66A34" w:rsidP="00BE32C9">
            <w:pPr>
              <w:pStyle w:val="TableParagraph"/>
            </w:pPr>
            <w:r w:rsidRPr="004C65AD">
              <w:t>100.0%</w:t>
            </w:r>
          </w:p>
        </w:tc>
        <w:tc>
          <w:tcPr>
            <w:tcW w:w="1016" w:type="dxa"/>
            <w:tcBorders>
              <w:top w:val="nil"/>
              <w:left w:val="nil"/>
              <w:bottom w:val="single" w:sz="4" w:space="0" w:color="auto"/>
              <w:right w:val="nil"/>
            </w:tcBorders>
            <w:shd w:val="clear" w:color="auto" w:fill="auto"/>
            <w:noWrap/>
            <w:hideMark/>
          </w:tcPr>
          <w:p w14:paraId="4AE82ED2" w14:textId="77777777" w:rsidR="00C66A34" w:rsidRPr="00E31AC5" w:rsidRDefault="00C66A34" w:rsidP="00BE32C9">
            <w:pPr>
              <w:pStyle w:val="TableParagraph"/>
            </w:pPr>
          </w:p>
        </w:tc>
      </w:tr>
    </w:tbl>
    <w:p w14:paraId="18FE9E28" w14:textId="77777777" w:rsidR="00C66A34" w:rsidRDefault="00C66A34" w:rsidP="00AA5467">
      <w:pPr>
        <w:pStyle w:val="TableNotes"/>
      </w:pPr>
      <w:bookmarkStart w:id="192" w:name="_Toc94002337"/>
      <w:bookmarkStart w:id="193" w:name="_Toc106002907"/>
      <w:r>
        <w:t>Source:</w:t>
      </w:r>
      <w:r w:rsidRPr="00CB4F30">
        <w:t xml:space="preserve"> The result is based on </w:t>
      </w:r>
      <w:r>
        <w:t>ASC</w:t>
      </w:r>
      <w:r w:rsidRPr="00CB4F30">
        <w:t xml:space="preserve"> claims from the 2019 CHIA all-payer medical claim data. The data is restricted to visits from members younger than 19 years old. </w:t>
      </w:r>
    </w:p>
    <w:p w14:paraId="7B06256A" w14:textId="63CB8F9D" w:rsidR="00C66A34" w:rsidRPr="00A66616" w:rsidRDefault="00C66A34" w:rsidP="00AA5467">
      <w:pPr>
        <w:pStyle w:val="TableNotes"/>
      </w:pPr>
      <w:r w:rsidRPr="001429D3">
        <w:t xml:space="preserve">Note: The CHIA data does not accurately identify BCH providers for Medicaid patients. See </w:t>
      </w:r>
      <w:r w:rsidR="004D5F67">
        <w:t xml:space="preserve">paragraph </w:t>
      </w:r>
      <w:r w:rsidR="004D5F67">
        <w:fldChar w:fldCharType="begin"/>
      </w:r>
      <w:r w:rsidR="004D5F67">
        <w:instrText xml:space="preserve"> REF _Ref109821138 \r \h </w:instrText>
      </w:r>
      <w:r w:rsidR="004D5F67">
        <w:fldChar w:fldCharType="separate"/>
      </w:r>
      <w:r w:rsidR="006263D9">
        <w:t>144</w:t>
      </w:r>
      <w:r w:rsidR="004D5F67">
        <w:fldChar w:fldCharType="end"/>
      </w:r>
      <w:r>
        <w:t>.</w:t>
      </w:r>
    </w:p>
    <w:p w14:paraId="13722FDB" w14:textId="0B91D287" w:rsidR="00DC56C8" w:rsidRDefault="00DC56C8" w:rsidP="0051333A">
      <w:pPr>
        <w:pStyle w:val="Heading1"/>
        <w:rPr>
          <w:rFonts w:hint="eastAsia"/>
        </w:rPr>
      </w:pPr>
      <w:bookmarkStart w:id="194" w:name="_Ref106353535"/>
      <w:bookmarkStart w:id="195" w:name="_Ref106354951"/>
      <w:bookmarkStart w:id="196" w:name="_Toc109895511"/>
      <w:bookmarkStart w:id="197" w:name="_Toc94002345"/>
      <w:bookmarkStart w:id="198" w:name="_Toc106002919"/>
      <w:bookmarkEnd w:id="127"/>
      <w:bookmarkEnd w:id="192"/>
      <w:bookmarkEnd w:id="193"/>
      <w:r w:rsidRPr="00D705C0">
        <w:t>Forecasts of Future Demand for Pediatric Services in Relevant Service Lines</w:t>
      </w:r>
      <w:bookmarkEnd w:id="194"/>
      <w:bookmarkEnd w:id="195"/>
      <w:bookmarkEnd w:id="196"/>
    </w:p>
    <w:p w14:paraId="1EA2908C" w14:textId="77777777" w:rsidR="00DC56C8" w:rsidRPr="005B2678" w:rsidRDefault="00DC56C8" w:rsidP="00BE32C9">
      <w:pPr>
        <w:pStyle w:val="Heading2"/>
      </w:pPr>
      <w:bookmarkStart w:id="199" w:name="_Toc109895512"/>
      <w:r w:rsidRPr="005B2678">
        <w:t>Methodology and Overview</w:t>
      </w:r>
      <w:r>
        <w:t xml:space="preserve"> for Current and Projected Utilization of Services</w:t>
      </w:r>
      <w:bookmarkEnd w:id="199"/>
    </w:p>
    <w:p w14:paraId="1FD8F310" w14:textId="64EDD5F1" w:rsidR="00817F1F" w:rsidRDefault="00DC56C8" w:rsidP="00BE32C9">
      <w:r>
        <w:t>The ICA Report requires estimates of current as well as future demand for the service lines involved in the Proposed Project for evaluation of questions regarding capacity/utilization as well as pricing/competition. Independently derived estimates of current and projected utilization of services, by service areas, local geography or populations, which are developed in this section</w:t>
      </w:r>
      <w:r w:rsidR="00333A91">
        <w:t xml:space="preserve"> for those purposes (and which are applied in Section XII below</w:t>
      </w:r>
      <w:r>
        <w:t xml:space="preserve">, are also useful for assessing the reasonableness of BCH’s estimates of demand and need </w:t>
      </w:r>
      <w:r w:rsidR="006573D4">
        <w:t xml:space="preserve">for the new locations </w:t>
      </w:r>
      <w:r>
        <w:t>in the Application</w:t>
      </w:r>
      <w:r w:rsidR="006573D4">
        <w:t xml:space="preserve"> and in Responses to the DPH</w:t>
      </w:r>
      <w:r>
        <w:t>.</w:t>
      </w:r>
      <w:r w:rsidR="00817F1F">
        <w:t xml:space="preserve"> </w:t>
      </w:r>
    </w:p>
    <w:p w14:paraId="5D9006E0" w14:textId="13357C1D" w:rsidR="00DC56C8" w:rsidRPr="00817F1F" w:rsidRDefault="00817F1F" w:rsidP="00BE32C9">
      <w:r w:rsidRPr="00817F1F">
        <w:lastRenderedPageBreak/>
        <w:t xml:space="preserve">As detailed further, FTI’s analyses of CHIA utilization data for the state, by HSA, by payer (e.g., Medicaid) and/or for available demographic characteristics are </w:t>
      </w:r>
      <w:r>
        <w:t xml:space="preserve">generally </w:t>
      </w:r>
      <w:r w:rsidRPr="00817F1F">
        <w:t xml:space="preserve">consistent with BCH’s </w:t>
      </w:r>
      <w:r>
        <w:t xml:space="preserve">patient, visit, </w:t>
      </w:r>
      <w:r w:rsidRPr="00817F1F">
        <w:t>demographic</w:t>
      </w:r>
      <w:r>
        <w:t xml:space="preserve">, payer (e.g., Medicaid) or geographic characteristics </w:t>
      </w:r>
      <w:r w:rsidRPr="00817F1F">
        <w:t>set out in BCH’s responses to the D</w:t>
      </w:r>
      <w:r>
        <w:t>PH</w:t>
      </w:r>
      <w:r w:rsidRPr="00817F1F">
        <w:t>.</w:t>
      </w:r>
      <w:r w:rsidRPr="00817F1F">
        <w:rPr>
          <w:rStyle w:val="FootnoteReference"/>
        </w:rPr>
        <w:t xml:space="preserve"> </w:t>
      </w:r>
      <w:r>
        <w:rPr>
          <w:rStyle w:val="FootnoteReference"/>
        </w:rPr>
        <w:footnoteReference w:id="53"/>
      </w:r>
      <w:r>
        <w:t xml:space="preserve"> </w:t>
      </w:r>
      <w:r w:rsidRPr="00817F1F">
        <w:t xml:space="preserve">  </w:t>
      </w:r>
    </w:p>
    <w:p w14:paraId="7964AC2B" w14:textId="72FC5E3E" w:rsidR="00DC56C8" w:rsidRDefault="00DC56C8" w:rsidP="00BE32C9">
      <w:r w:rsidRPr="006C0788">
        <w:t xml:space="preserve">To estimate </w:t>
      </w:r>
      <w:r w:rsidR="00394BF8">
        <w:t xml:space="preserve">current as well as </w:t>
      </w:r>
      <w:r w:rsidRPr="009E7151">
        <w:rPr>
          <w:i/>
          <w:iCs/>
        </w:rPr>
        <w:t xml:space="preserve">future </w:t>
      </w:r>
      <w:r w:rsidRPr="006C0788">
        <w:t xml:space="preserve">demand for </w:t>
      </w:r>
      <w:r w:rsidR="00817F1F">
        <w:t xml:space="preserve">services – e.g., </w:t>
      </w:r>
      <w:r w:rsidRPr="006C0788">
        <w:t xml:space="preserve">imaging </w:t>
      </w:r>
      <w:r>
        <w:t xml:space="preserve">(both MRI and all imaging) </w:t>
      </w:r>
      <w:r w:rsidRPr="006C0788">
        <w:t>and ambulatory surgery</w:t>
      </w:r>
      <w:r>
        <w:t xml:space="preserve"> (ASC)</w:t>
      </w:r>
      <w:r w:rsidRPr="006C0788">
        <w:t xml:space="preserve"> services</w:t>
      </w:r>
      <w:r w:rsidR="00817F1F">
        <w:t xml:space="preserve"> -</w:t>
      </w:r>
      <w:r>
        <w:t>at the state or regional level</w:t>
      </w:r>
      <w:r w:rsidR="003119D5">
        <w:t xml:space="preserve"> as well as at the service area level</w:t>
      </w:r>
      <w:r w:rsidRPr="006C0788">
        <w:t xml:space="preserve">, </w:t>
      </w:r>
      <w:r>
        <w:t>the methodology</w:t>
      </w:r>
      <w:r w:rsidRPr="006C0788">
        <w:t xml:space="preserve"> combined </w:t>
      </w:r>
      <w:r>
        <w:t xml:space="preserve">current </w:t>
      </w:r>
      <w:r w:rsidRPr="006C0788">
        <w:t xml:space="preserve">population </w:t>
      </w:r>
      <w:r>
        <w:t xml:space="preserve">estimates and </w:t>
      </w:r>
      <w:r w:rsidRPr="006C0788">
        <w:t xml:space="preserve">projections from </w:t>
      </w:r>
      <w:r>
        <w:t xml:space="preserve">the </w:t>
      </w:r>
      <w:r w:rsidRPr="006C0788">
        <w:t xml:space="preserve">University of Massachusetts Donahue Institute (UMDI) with Massachusetts All-Payer Claims Database (APCD) </w:t>
      </w:r>
      <w:r>
        <w:t xml:space="preserve">utilization data </w:t>
      </w:r>
      <w:r w:rsidRPr="006C0788">
        <w:t>for imaging</w:t>
      </w:r>
      <w:r>
        <w:t>, MRI,</w:t>
      </w:r>
      <w:r w:rsidRPr="006C0788">
        <w:t xml:space="preserve"> and ambulatory surgery services.</w:t>
      </w:r>
    </w:p>
    <w:p w14:paraId="56B86855" w14:textId="3A559A2B" w:rsidR="00394BF8" w:rsidRDefault="00394BF8" w:rsidP="00BE32C9">
      <w:r>
        <w:t>To estimate</w:t>
      </w:r>
      <w:r w:rsidRPr="006C0788">
        <w:t xml:space="preserve"> </w:t>
      </w:r>
      <w:r w:rsidRPr="009E7151">
        <w:rPr>
          <w:i/>
          <w:iCs/>
        </w:rPr>
        <w:t>current</w:t>
      </w:r>
      <w:r w:rsidRPr="006C0788">
        <w:t xml:space="preserve"> demand</w:t>
      </w:r>
      <w:r>
        <w:t xml:space="preserve"> for relevant services</w:t>
      </w:r>
      <w:r w:rsidRPr="006C0788">
        <w:t xml:space="preserve">, </w:t>
      </w:r>
      <w:r>
        <w:t>FTI</w:t>
      </w:r>
      <w:r w:rsidRPr="006C0788">
        <w:t xml:space="preserve"> determined utilization by service</w:t>
      </w:r>
      <w:r>
        <w:t xml:space="preserve"> line (e.g., ASC)</w:t>
      </w:r>
      <w:r w:rsidRPr="006C0788">
        <w:t xml:space="preserve">, </w:t>
      </w:r>
      <w:r>
        <w:t>individual patient’s ZIP</w:t>
      </w:r>
      <w:r w:rsidRPr="006C0788">
        <w:t xml:space="preserve"> code, </w:t>
      </w:r>
      <w:r>
        <w:t xml:space="preserve">aggregated </w:t>
      </w:r>
      <w:r w:rsidRPr="006C0788">
        <w:t>payer category</w:t>
      </w:r>
      <w:r>
        <w:t xml:space="preserve"> (e.g., commercial insurance, Medicaid)</w:t>
      </w:r>
      <w:r w:rsidRPr="006C0788">
        <w:t>, age group (5-year age range), and sex. These</w:t>
      </w:r>
      <w:r>
        <w:t xml:space="preserve"> age combinations</w:t>
      </w:r>
      <w:r w:rsidRPr="006C0788">
        <w:t xml:space="preserve"> </w:t>
      </w:r>
      <w:r>
        <w:t xml:space="preserve">matched the population projections </w:t>
      </w:r>
      <w:r w:rsidRPr="006C0788">
        <w:t xml:space="preserve">provided </w:t>
      </w:r>
      <w:r>
        <w:t xml:space="preserve">by </w:t>
      </w:r>
      <w:r w:rsidRPr="006C0788">
        <w:t xml:space="preserve">the UMDI. </w:t>
      </w:r>
      <w:r>
        <w:t>C</w:t>
      </w:r>
      <w:r w:rsidRPr="006C0788">
        <w:t>urrent demand is determined based on 2016 – 2019</w:t>
      </w:r>
      <w:r>
        <w:t xml:space="preserve"> utilization data from CHIA</w:t>
      </w:r>
      <w:r w:rsidRPr="006C0788">
        <w:t xml:space="preserve">. </w:t>
      </w:r>
      <w:r>
        <w:t>Data for</w:t>
      </w:r>
      <w:r w:rsidRPr="006C0788">
        <w:t xml:space="preserve"> 2020 </w:t>
      </w:r>
      <w:r>
        <w:t xml:space="preserve">was excluded </w:t>
      </w:r>
      <w:r w:rsidRPr="006C0788">
        <w:t xml:space="preserve">because of partial-year data and the impact of COVID-19. </w:t>
      </w:r>
    </w:p>
    <w:p w14:paraId="262DE3EF" w14:textId="7AB4C75E" w:rsidR="00DC56C8" w:rsidRDefault="00394BF8" w:rsidP="00BE32C9">
      <w:r>
        <w:t>And, more</w:t>
      </w:r>
      <w:r w:rsidR="00F871E9">
        <w:t xml:space="preserve"> specifically</w:t>
      </w:r>
      <w:r w:rsidR="00DC56C8">
        <w:t>, to evaluate demand and utilization for services and changes in them for the areas to be served by BCH’s new facilities</w:t>
      </w:r>
      <w:r w:rsidR="003119D5">
        <w:t xml:space="preserve"> </w:t>
      </w:r>
      <w:r w:rsidR="003119D5" w:rsidRPr="00394BF8">
        <w:rPr>
          <w:i/>
          <w:iCs/>
        </w:rPr>
        <w:t>in the future</w:t>
      </w:r>
      <w:r w:rsidR="003119D5">
        <w:t xml:space="preserve"> (e.g., 2040)</w:t>
      </w:r>
      <w:r w:rsidR="00DC56C8">
        <w:t xml:space="preserve">, FTI’s methodology used UMDI current population estimates and population projections at the city level </w:t>
      </w:r>
      <w:r w:rsidR="00DE2DCA">
        <w:t>and applied</w:t>
      </w:r>
      <w:r w:rsidR="00DC56C8">
        <w:t xml:space="preserve"> them to Massachusetts APCD encounter data to develop </w:t>
      </w:r>
      <w:r w:rsidR="003119D5">
        <w:t xml:space="preserve">current and future </w:t>
      </w:r>
      <w:r w:rsidR="00DC56C8">
        <w:t>utilization estimates. To project population at the ZIP code level</w:t>
      </w:r>
      <w:r w:rsidR="003119D5">
        <w:t xml:space="preserve"> into the future</w:t>
      </w:r>
      <w:r w:rsidR="00DC56C8">
        <w:t>, the methodology</w:t>
      </w:r>
      <w:r w:rsidR="00DC56C8" w:rsidRPr="006C0788">
        <w:t xml:space="preserve"> </w:t>
      </w:r>
      <w:r w:rsidR="00DC56C8">
        <w:t xml:space="preserve">used </w:t>
      </w:r>
      <w:r w:rsidR="00DC56C8" w:rsidRPr="006C0788">
        <w:t>UMDI’s projections</w:t>
      </w:r>
      <w:r w:rsidR="00DC56C8">
        <w:t xml:space="preserve"> reported at the city level and mapped each city</w:t>
      </w:r>
      <w:r w:rsidR="00DC56C8" w:rsidRPr="006C0788">
        <w:t xml:space="preserve"> to </w:t>
      </w:r>
      <w:r w:rsidR="00DC56C8">
        <w:t xml:space="preserve">individual </w:t>
      </w:r>
      <w:r w:rsidR="00F871E9">
        <w:t>ZIP</w:t>
      </w:r>
      <w:r w:rsidR="00DC56C8" w:rsidRPr="006C0788">
        <w:t xml:space="preserve"> codes</w:t>
      </w:r>
      <w:r w:rsidR="00DC56C8">
        <w:t xml:space="preserve"> using a crosswalk available from the US Census</w:t>
      </w:r>
      <w:r w:rsidR="00DC56C8" w:rsidRPr="006C0788">
        <w:t xml:space="preserve">. </w:t>
      </w:r>
      <w:r w:rsidR="00DC56C8">
        <w:t>If a city spanned multiple ZIP codes, its projected population was distributed according to the ZIP codes’ populations.</w:t>
      </w:r>
      <w:r w:rsidR="00817F1F">
        <w:t xml:space="preserve"> These ZIP code level estimates provide for the ability to estimate demand and changes in future demand/utilization for the specific service areas for the new facilities.</w:t>
      </w:r>
    </w:p>
    <w:p w14:paraId="6B9A54D8" w14:textId="7EBC582F" w:rsidR="00DC56C8" w:rsidRDefault="00DC56C8" w:rsidP="00BE32C9">
      <w:r>
        <w:t xml:space="preserve">The </w:t>
      </w:r>
      <w:r w:rsidR="00F52021">
        <w:t xml:space="preserve">FTI </w:t>
      </w:r>
      <w:r>
        <w:t>methodology</w:t>
      </w:r>
      <w:r w:rsidRPr="006C0788">
        <w:t xml:space="preserve"> </w:t>
      </w:r>
      <w:r w:rsidR="003119D5">
        <w:t xml:space="preserve">for the projection of future utilization </w:t>
      </w:r>
      <w:r w:rsidRPr="006C0788">
        <w:t xml:space="preserve">assumed </w:t>
      </w:r>
      <w:r>
        <w:t xml:space="preserve">that service </w:t>
      </w:r>
      <w:r w:rsidRPr="006C0788">
        <w:t xml:space="preserve">utilization rates </w:t>
      </w:r>
      <w:r>
        <w:t xml:space="preserve">for each service within each demographic group do not change over time and that volume changes proportionally with population. Current </w:t>
      </w:r>
      <w:r w:rsidR="003119D5">
        <w:t xml:space="preserve">utilization </w:t>
      </w:r>
      <w:r>
        <w:t xml:space="preserve">estimates are provided for 2019 from the CHIA data. To account for demand and utilization at the point when new BCH facilities are open and operational, and then for 10 and 15 years from that </w:t>
      </w:r>
      <w:r>
        <w:lastRenderedPageBreak/>
        <w:t xml:space="preserve">point, we </w:t>
      </w:r>
      <w:r w:rsidRPr="006C0788">
        <w:t>projected utilization forward</w:t>
      </w:r>
      <w:r>
        <w:t xml:space="preserve"> through 2040 and provide projections for individual years of 2025, 2030, 2035, and 2040. Further, the methodology projects future utilization using the utilization rate of services from each year of the CHIA outpatient data (2016, 2017, 2018, and 2019) individually. This methodology creates four separate projection trends, which are then averaged</w:t>
      </w:r>
      <w:r w:rsidR="003119D5">
        <w:t>, to enhance the robustness of the estimates</w:t>
      </w:r>
      <w:r>
        <w:t>.</w:t>
      </w:r>
      <w:r>
        <w:rPr>
          <w:rStyle w:val="FootnoteReference"/>
          <w:rFonts w:cs="Times New Roman"/>
        </w:rPr>
        <w:footnoteReference w:id="54"/>
      </w:r>
      <w:r>
        <w:t xml:space="preserve"> </w:t>
      </w:r>
    </w:p>
    <w:p w14:paraId="41AA28FB" w14:textId="77777777" w:rsidR="00394BF8" w:rsidRDefault="00DC56C8" w:rsidP="00BE32C9">
      <w:r>
        <w:t>Around 10% of the visits were missing ZIP code information, and to avoid losing these patients in the projections, the methodology</w:t>
      </w:r>
      <w:r w:rsidRPr="006C0788">
        <w:t xml:space="preserve"> distributed </w:t>
      </w:r>
      <w:r>
        <w:t xml:space="preserve">their visits </w:t>
      </w:r>
      <w:r w:rsidRPr="006C0788">
        <w:t xml:space="preserve">proportionally within groups to ensure total utilization predictions would not </w:t>
      </w:r>
      <w:r>
        <w:t xml:space="preserve">be </w:t>
      </w:r>
      <w:r w:rsidRPr="006C0788">
        <w:t>underestimate</w:t>
      </w:r>
      <w:r>
        <w:t>d</w:t>
      </w:r>
      <w:r w:rsidRPr="006C0788">
        <w:t>.</w:t>
      </w:r>
      <w:r>
        <w:rPr>
          <w:rStyle w:val="FootnoteReference"/>
          <w:rFonts w:cs="Times New Roman"/>
        </w:rPr>
        <w:footnoteReference w:id="55"/>
      </w:r>
      <w:r>
        <w:t xml:space="preserve"> </w:t>
      </w:r>
    </w:p>
    <w:p w14:paraId="1AB5C7D9" w14:textId="7C82D173" w:rsidR="00DC56C8" w:rsidRPr="006C0788" w:rsidRDefault="00DC56C8" w:rsidP="00BE32C9">
      <w:r>
        <w:t>The projected utilization of services method is based solely on the expected changes in population and the current demand pattern. It does not account for potential changes in future demand that are driven by factors such as changes in disease prevalence, treatment patterns, care-seeking behaviors, and entry or expansion of local facilities.</w:t>
      </w:r>
      <w:r w:rsidR="00394BF8" w:rsidRPr="00394BF8">
        <w:rPr>
          <w:rStyle w:val="FootnoteReference"/>
          <w:rFonts w:cs="Times New Roman"/>
        </w:rPr>
        <w:t xml:space="preserve"> </w:t>
      </w:r>
      <w:r w:rsidR="00394BF8">
        <w:rPr>
          <w:rStyle w:val="FootnoteReference"/>
          <w:rFonts w:cs="Times New Roman"/>
        </w:rPr>
        <w:footnoteReference w:id="56"/>
      </w:r>
      <w:r>
        <w:t xml:space="preserve"> </w:t>
      </w:r>
    </w:p>
    <w:p w14:paraId="4AC0A088" w14:textId="08AABF33" w:rsidR="00DC56C8" w:rsidRPr="00DA04AB" w:rsidRDefault="00DC56C8" w:rsidP="00BE32C9">
      <w:pPr>
        <w:pStyle w:val="Heading2"/>
      </w:pPr>
      <w:bookmarkStart w:id="200" w:name="_Toc109895513"/>
      <w:r w:rsidRPr="00DA04AB">
        <w:t>Estimated Changes in Population and Demographics</w:t>
      </w:r>
      <w:r w:rsidR="00394BF8">
        <w:t xml:space="preserve"> </w:t>
      </w:r>
      <w:r w:rsidR="00CB4122">
        <w:t>f</w:t>
      </w:r>
      <w:r w:rsidR="00394BF8">
        <w:t>or Use in Estimating Change</w:t>
      </w:r>
      <w:bookmarkEnd w:id="200"/>
    </w:p>
    <w:p w14:paraId="5ADB4CEF" w14:textId="2E47A060" w:rsidR="00DC56C8" w:rsidRDefault="00DC56C8" w:rsidP="00BE32C9">
      <w:r w:rsidRPr="006C0788">
        <w:t xml:space="preserve">The </w:t>
      </w:r>
      <w:r w:rsidR="00F52021">
        <w:t xml:space="preserve">UMDI </w:t>
      </w:r>
      <w:r w:rsidRPr="006C0788">
        <w:t xml:space="preserve">population projections include projections by sex and age group at zip code level. In the state of Massachusetts, the population aged between </w:t>
      </w:r>
      <w:r>
        <w:t>0 – 18</w:t>
      </w:r>
      <w:r w:rsidRPr="006C0788">
        <w:t xml:space="preserve"> is projected to decline from 1.</w:t>
      </w:r>
      <w:r>
        <w:t>59</w:t>
      </w:r>
      <w:r w:rsidRPr="006C0788">
        <w:t xml:space="preserve"> million in 2020 to 1.48 million in 2040, a slight decrease of 2.</w:t>
      </w:r>
      <w:r>
        <w:t>9</w:t>
      </w:r>
      <w:r w:rsidRPr="006C0788">
        <w:t>%. During this period, the total population</w:t>
      </w:r>
      <w:r>
        <w:t xml:space="preserve"> (inclusive of adults)</w:t>
      </w:r>
      <w:r w:rsidRPr="006C0788">
        <w:t xml:space="preserve">, on the other hand, is expected to grow by 6.4%. </w:t>
      </w:r>
      <w:r w:rsidR="00D35B95">
        <w:fldChar w:fldCharType="begin"/>
      </w:r>
      <w:r w:rsidR="00D35B95">
        <w:instrText xml:space="preserve"> REF _Ref106622275 \h </w:instrText>
      </w:r>
      <w:r w:rsidR="00D35B95">
        <w:fldChar w:fldCharType="separate"/>
      </w:r>
      <w:r w:rsidR="00CE7C62" w:rsidRPr="006C0788">
        <w:t xml:space="preserve">Table </w:t>
      </w:r>
      <w:r w:rsidR="00CE7C62">
        <w:rPr>
          <w:noProof/>
        </w:rPr>
        <w:t>15</w:t>
      </w:r>
      <w:r w:rsidR="00CE7C62" w:rsidRPr="006C0788">
        <w:t xml:space="preserve">: Projected </w:t>
      </w:r>
      <w:r w:rsidR="00CE7C62" w:rsidRPr="003553E4">
        <w:t xml:space="preserve">Population in Massachusetts, </w:t>
      </w:r>
      <w:r w:rsidR="00CE7C62">
        <w:t>Ages 0</w:t>
      </w:r>
      <w:r w:rsidR="00CE7C62" w:rsidRPr="003553E4">
        <w:t xml:space="preserve"> – 18 (2020 – 2040)</w:t>
      </w:r>
      <w:r w:rsidR="00D35B95">
        <w:fldChar w:fldCharType="end"/>
      </w:r>
      <w:r>
        <w:t xml:space="preserve"> shows </w:t>
      </w:r>
      <w:r w:rsidR="00F52021">
        <w:t xml:space="preserve">the detail from the UMDI data to illustrate </w:t>
      </w:r>
      <w:r>
        <w:t xml:space="preserve">projected population by year and by age group for the pediatric population. These </w:t>
      </w:r>
      <w:r w:rsidR="00F52021">
        <w:t xml:space="preserve">detailed </w:t>
      </w:r>
      <w:r>
        <w:t xml:space="preserve">projections </w:t>
      </w:r>
      <w:r w:rsidR="00F52021">
        <w:t xml:space="preserve">were used to </w:t>
      </w:r>
      <w:r>
        <w:t>attempt to account for as many factors as available to estimate current and future demand for services by the relevant patient population, including by age, gender, utilization, and payer categories</w:t>
      </w:r>
      <w:r w:rsidR="003119D5">
        <w:t xml:space="preserve"> (e.g., Medicaid)</w:t>
      </w:r>
      <w:r>
        <w:t>.</w:t>
      </w:r>
      <w:r w:rsidR="000B3632">
        <w:t xml:space="preserve">  </w:t>
      </w:r>
    </w:p>
    <w:p w14:paraId="3D1A85AA" w14:textId="49286D4E" w:rsidR="00C66A34" w:rsidRPr="003553E4" w:rsidRDefault="00C66A34" w:rsidP="007813FB">
      <w:pPr>
        <w:pStyle w:val="Caption"/>
      </w:pPr>
      <w:bookmarkStart w:id="201" w:name="_Ref103842588"/>
      <w:bookmarkStart w:id="202" w:name="_Ref106622275"/>
      <w:bookmarkStart w:id="203" w:name="_Toc106641190"/>
      <w:bookmarkStart w:id="204" w:name="_Toc106648894"/>
      <w:bookmarkStart w:id="205" w:name="_Toc109895446"/>
      <w:r w:rsidRPr="006C0788">
        <w:lastRenderedPageBreak/>
        <w:t xml:space="preserve">Table </w:t>
      </w:r>
      <w:fldSimple w:instr=" SEQ Table \* ARABIC ">
        <w:r w:rsidR="00CE7C62">
          <w:rPr>
            <w:noProof/>
          </w:rPr>
          <w:t>15</w:t>
        </w:r>
      </w:fldSimple>
      <w:bookmarkEnd w:id="201"/>
      <w:r w:rsidRPr="006C0788">
        <w:t xml:space="preserve">: Projected </w:t>
      </w:r>
      <w:r w:rsidRPr="003553E4">
        <w:t xml:space="preserve">Population in Massachusetts, </w:t>
      </w:r>
      <w:r>
        <w:t>Ages 0</w:t>
      </w:r>
      <w:r w:rsidRPr="003553E4">
        <w:t xml:space="preserve"> – 18 (2020 – 2040)</w:t>
      </w:r>
      <w:bookmarkEnd w:id="202"/>
      <w:bookmarkEnd w:id="203"/>
      <w:bookmarkEnd w:id="204"/>
      <w:bookmarkEnd w:id="205"/>
    </w:p>
    <w:tbl>
      <w:tblPr>
        <w:tblStyle w:val="GridTable4-Accent11"/>
        <w:tblW w:w="0" w:type="auto"/>
        <w:tblLook w:val="04E0" w:firstRow="1" w:lastRow="1" w:firstColumn="1" w:lastColumn="0" w:noHBand="0" w:noVBand="1"/>
      </w:tblPr>
      <w:tblGrid>
        <w:gridCol w:w="805"/>
        <w:gridCol w:w="1392"/>
        <w:gridCol w:w="1392"/>
        <w:gridCol w:w="1392"/>
        <w:gridCol w:w="1392"/>
        <w:gridCol w:w="1392"/>
      </w:tblGrid>
      <w:tr w:rsidR="00C66A34" w:rsidRPr="003553E4" w14:paraId="42118105" w14:textId="77777777" w:rsidTr="006E60B7">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805" w:type="dxa"/>
            <w:noWrap/>
            <w:hideMark/>
          </w:tcPr>
          <w:p w14:paraId="3D869024" w14:textId="77777777" w:rsidR="00C66A34" w:rsidRPr="003553E4" w:rsidRDefault="00C66A34" w:rsidP="00BE32C9">
            <w:pPr>
              <w:pStyle w:val="TableParagraph"/>
            </w:pPr>
            <w:r w:rsidRPr="003553E4">
              <w:t>Age</w:t>
            </w:r>
          </w:p>
        </w:tc>
        <w:tc>
          <w:tcPr>
            <w:tcW w:w="1392" w:type="dxa"/>
          </w:tcPr>
          <w:p w14:paraId="6E54968F"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t>2025</w:t>
            </w:r>
          </w:p>
        </w:tc>
        <w:tc>
          <w:tcPr>
            <w:tcW w:w="1392" w:type="dxa"/>
          </w:tcPr>
          <w:p w14:paraId="3E20D1DA"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t>2030</w:t>
            </w:r>
          </w:p>
        </w:tc>
        <w:tc>
          <w:tcPr>
            <w:tcW w:w="1392" w:type="dxa"/>
          </w:tcPr>
          <w:p w14:paraId="0C1F733D"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t>2035</w:t>
            </w:r>
          </w:p>
        </w:tc>
        <w:tc>
          <w:tcPr>
            <w:tcW w:w="1392" w:type="dxa"/>
          </w:tcPr>
          <w:p w14:paraId="2D9492E0"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t>2040</w:t>
            </w:r>
          </w:p>
        </w:tc>
        <w:tc>
          <w:tcPr>
            <w:tcW w:w="1392" w:type="dxa"/>
            <w:hideMark/>
          </w:tcPr>
          <w:p w14:paraId="37D35931"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3553E4">
              <w:t>% Change (2025 - 2040)</w:t>
            </w:r>
          </w:p>
        </w:tc>
      </w:tr>
      <w:tr w:rsidR="00C66A34" w:rsidRPr="003553E4" w14:paraId="49A17BD4" w14:textId="77777777" w:rsidTr="00D16DB2">
        <w:trPr>
          <w:cantSplit/>
          <w:trHeight w:val="20"/>
        </w:trPr>
        <w:tc>
          <w:tcPr>
            <w:cnfStyle w:val="001000000000" w:firstRow="0" w:lastRow="0" w:firstColumn="1" w:lastColumn="0" w:oddVBand="0" w:evenVBand="0" w:oddHBand="0" w:evenHBand="0" w:firstRowFirstColumn="0" w:firstRowLastColumn="0" w:lastRowFirstColumn="0" w:lastRowLastColumn="0"/>
            <w:tcW w:w="805" w:type="dxa"/>
            <w:noWrap/>
            <w:hideMark/>
          </w:tcPr>
          <w:p w14:paraId="348F7CF3" w14:textId="77777777" w:rsidR="00C66A34" w:rsidRPr="003553E4" w:rsidRDefault="00C66A34" w:rsidP="00BE32C9">
            <w:pPr>
              <w:pStyle w:val="TableParagraph"/>
            </w:pPr>
            <w:r w:rsidRPr="003553E4">
              <w:t>0-4</w:t>
            </w:r>
          </w:p>
        </w:tc>
        <w:tc>
          <w:tcPr>
            <w:tcW w:w="1392" w:type="dxa"/>
            <w:vAlign w:val="top"/>
          </w:tcPr>
          <w:p w14:paraId="7FB951D6"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ED0039">
              <w:t xml:space="preserve"> 347,535 </w:t>
            </w:r>
          </w:p>
        </w:tc>
        <w:tc>
          <w:tcPr>
            <w:tcW w:w="1392" w:type="dxa"/>
            <w:vAlign w:val="top"/>
          </w:tcPr>
          <w:p w14:paraId="03857D9A"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ED0039">
              <w:t xml:space="preserve"> 343,599 </w:t>
            </w:r>
          </w:p>
        </w:tc>
        <w:tc>
          <w:tcPr>
            <w:tcW w:w="1392" w:type="dxa"/>
            <w:vAlign w:val="top"/>
          </w:tcPr>
          <w:p w14:paraId="33301DFD"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ED0039">
              <w:t xml:space="preserve"> 337,930 </w:t>
            </w:r>
          </w:p>
        </w:tc>
        <w:tc>
          <w:tcPr>
            <w:tcW w:w="1392" w:type="dxa"/>
            <w:vAlign w:val="top"/>
          </w:tcPr>
          <w:p w14:paraId="57FB50B8"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ED0039">
              <w:t xml:space="preserve"> 335,009 </w:t>
            </w:r>
          </w:p>
        </w:tc>
        <w:tc>
          <w:tcPr>
            <w:tcW w:w="1392" w:type="dxa"/>
            <w:noWrap/>
            <w:hideMark/>
          </w:tcPr>
          <w:p w14:paraId="5F548C91"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-2.7%</w:t>
            </w:r>
          </w:p>
        </w:tc>
      </w:tr>
      <w:tr w:rsidR="00C66A34" w:rsidRPr="003553E4" w14:paraId="6226239F" w14:textId="77777777" w:rsidTr="00D16DB2">
        <w:trPr>
          <w:cantSplit/>
          <w:trHeight w:val="20"/>
        </w:trPr>
        <w:tc>
          <w:tcPr>
            <w:cnfStyle w:val="001000000000" w:firstRow="0" w:lastRow="0" w:firstColumn="1" w:lastColumn="0" w:oddVBand="0" w:evenVBand="0" w:oddHBand="0" w:evenHBand="0" w:firstRowFirstColumn="0" w:firstRowLastColumn="0" w:lastRowFirstColumn="0" w:lastRowLastColumn="0"/>
            <w:tcW w:w="805" w:type="dxa"/>
            <w:noWrap/>
            <w:hideMark/>
          </w:tcPr>
          <w:p w14:paraId="53185619" w14:textId="77777777" w:rsidR="00C66A34" w:rsidRPr="003553E4" w:rsidRDefault="00C66A34" w:rsidP="00BE32C9">
            <w:pPr>
              <w:pStyle w:val="TableParagraph"/>
            </w:pPr>
            <w:r w:rsidRPr="003553E4">
              <w:t>5-9</w:t>
            </w:r>
          </w:p>
        </w:tc>
        <w:tc>
          <w:tcPr>
            <w:tcW w:w="1392" w:type="dxa"/>
            <w:vAlign w:val="top"/>
          </w:tcPr>
          <w:p w14:paraId="67ABCE01"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ED0039">
              <w:t xml:space="preserve"> 358,925 </w:t>
            </w:r>
          </w:p>
        </w:tc>
        <w:tc>
          <w:tcPr>
            <w:tcW w:w="1392" w:type="dxa"/>
            <w:vAlign w:val="top"/>
          </w:tcPr>
          <w:p w14:paraId="450ADCCC"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ED0039">
              <w:t xml:space="preserve"> 362,490 </w:t>
            </w:r>
          </w:p>
        </w:tc>
        <w:tc>
          <w:tcPr>
            <w:tcW w:w="1392" w:type="dxa"/>
            <w:vAlign w:val="top"/>
          </w:tcPr>
          <w:p w14:paraId="4CC54F2E"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ED0039">
              <w:t xml:space="preserve"> 359,562 </w:t>
            </w:r>
          </w:p>
        </w:tc>
        <w:tc>
          <w:tcPr>
            <w:tcW w:w="1392" w:type="dxa"/>
            <w:vAlign w:val="top"/>
          </w:tcPr>
          <w:p w14:paraId="487B8615"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ED0039">
              <w:t xml:space="preserve"> 354,652 </w:t>
            </w:r>
          </w:p>
        </w:tc>
        <w:tc>
          <w:tcPr>
            <w:tcW w:w="1392" w:type="dxa"/>
            <w:noWrap/>
            <w:hideMark/>
          </w:tcPr>
          <w:p w14:paraId="45D39C76"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-5.3%</w:t>
            </w:r>
          </w:p>
        </w:tc>
      </w:tr>
      <w:tr w:rsidR="00C66A34" w:rsidRPr="003553E4" w14:paraId="35813028" w14:textId="77777777" w:rsidTr="00D16DB2">
        <w:trPr>
          <w:cantSplit/>
          <w:trHeight w:val="20"/>
        </w:trPr>
        <w:tc>
          <w:tcPr>
            <w:cnfStyle w:val="001000000000" w:firstRow="0" w:lastRow="0" w:firstColumn="1" w:lastColumn="0" w:oddVBand="0" w:evenVBand="0" w:oddHBand="0" w:evenHBand="0" w:firstRowFirstColumn="0" w:firstRowLastColumn="0" w:lastRowFirstColumn="0" w:lastRowLastColumn="0"/>
            <w:tcW w:w="805" w:type="dxa"/>
            <w:noWrap/>
            <w:hideMark/>
          </w:tcPr>
          <w:p w14:paraId="6C3172E9" w14:textId="77777777" w:rsidR="00C66A34" w:rsidRPr="003553E4" w:rsidRDefault="00C66A34" w:rsidP="00BE32C9">
            <w:pPr>
              <w:pStyle w:val="TableParagraph"/>
            </w:pPr>
            <w:r w:rsidRPr="003553E4">
              <w:t>10-14</w:t>
            </w:r>
          </w:p>
        </w:tc>
        <w:tc>
          <w:tcPr>
            <w:tcW w:w="1392" w:type="dxa"/>
            <w:vAlign w:val="top"/>
          </w:tcPr>
          <w:p w14:paraId="401240EB"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ED0039">
              <w:t xml:space="preserve"> 389,270 </w:t>
            </w:r>
          </w:p>
        </w:tc>
        <w:tc>
          <w:tcPr>
            <w:tcW w:w="1392" w:type="dxa"/>
            <w:vAlign w:val="top"/>
          </w:tcPr>
          <w:p w14:paraId="17513CFB"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ED0039">
              <w:t xml:space="preserve"> 375,817 </w:t>
            </w:r>
          </w:p>
        </w:tc>
        <w:tc>
          <w:tcPr>
            <w:tcW w:w="1392" w:type="dxa"/>
            <w:vAlign w:val="top"/>
          </w:tcPr>
          <w:p w14:paraId="229D3936"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ED0039">
              <w:t xml:space="preserve"> 379,939 </w:t>
            </w:r>
          </w:p>
        </w:tc>
        <w:tc>
          <w:tcPr>
            <w:tcW w:w="1392" w:type="dxa"/>
            <w:vAlign w:val="top"/>
          </w:tcPr>
          <w:p w14:paraId="04A87FCC"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ED0039">
              <w:t xml:space="preserve"> 377,309 </w:t>
            </w:r>
          </w:p>
        </w:tc>
        <w:tc>
          <w:tcPr>
            <w:tcW w:w="1392" w:type="dxa"/>
            <w:noWrap/>
            <w:hideMark/>
          </w:tcPr>
          <w:p w14:paraId="4F3B6AE8"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-3.1%</w:t>
            </w:r>
          </w:p>
        </w:tc>
      </w:tr>
      <w:tr w:rsidR="00C66A34" w:rsidRPr="003553E4" w14:paraId="50EAF8F0" w14:textId="77777777" w:rsidTr="00D16DB2">
        <w:trPr>
          <w:cantSplit/>
          <w:trHeight w:val="20"/>
        </w:trPr>
        <w:tc>
          <w:tcPr>
            <w:cnfStyle w:val="001000000000" w:firstRow="0" w:lastRow="0" w:firstColumn="1" w:lastColumn="0" w:oddVBand="0" w:evenVBand="0" w:oddHBand="0" w:evenHBand="0" w:firstRowFirstColumn="0" w:firstRowLastColumn="0" w:lastRowFirstColumn="0" w:lastRowLastColumn="0"/>
            <w:tcW w:w="805" w:type="dxa"/>
            <w:noWrap/>
            <w:hideMark/>
          </w:tcPr>
          <w:p w14:paraId="38213B42" w14:textId="77777777" w:rsidR="00C66A34" w:rsidRPr="003553E4" w:rsidRDefault="00C66A34" w:rsidP="00BE32C9">
            <w:pPr>
              <w:pStyle w:val="TableParagraph"/>
            </w:pPr>
            <w:r w:rsidRPr="003553E4">
              <w:t>15-19</w:t>
            </w:r>
          </w:p>
        </w:tc>
        <w:tc>
          <w:tcPr>
            <w:tcW w:w="1392" w:type="dxa"/>
            <w:vAlign w:val="top"/>
          </w:tcPr>
          <w:p w14:paraId="6DEB2CD0"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ED0039">
              <w:t xml:space="preserve"> 415,715 </w:t>
            </w:r>
          </w:p>
        </w:tc>
        <w:tc>
          <w:tcPr>
            <w:tcW w:w="1392" w:type="dxa"/>
            <w:vAlign w:val="top"/>
          </w:tcPr>
          <w:p w14:paraId="72231F98"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ED0039">
              <w:t xml:space="preserve"> 414,021 </w:t>
            </w:r>
          </w:p>
        </w:tc>
        <w:tc>
          <w:tcPr>
            <w:tcW w:w="1392" w:type="dxa"/>
            <w:vAlign w:val="top"/>
          </w:tcPr>
          <w:p w14:paraId="48800A1F"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ED0039">
              <w:t xml:space="preserve"> 405,367 </w:t>
            </w:r>
          </w:p>
        </w:tc>
        <w:tc>
          <w:tcPr>
            <w:tcW w:w="1392" w:type="dxa"/>
            <w:vAlign w:val="top"/>
          </w:tcPr>
          <w:p w14:paraId="7311237F"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ED0039">
              <w:t xml:space="preserve"> 412,782 </w:t>
            </w:r>
          </w:p>
        </w:tc>
        <w:tc>
          <w:tcPr>
            <w:tcW w:w="1392" w:type="dxa"/>
            <w:noWrap/>
            <w:hideMark/>
          </w:tcPr>
          <w:p w14:paraId="738BAFFA"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-0.7%</w:t>
            </w:r>
          </w:p>
        </w:tc>
      </w:tr>
      <w:tr w:rsidR="00C66A34" w:rsidRPr="003553E4" w14:paraId="1F6E9796" w14:textId="77777777" w:rsidTr="00D16DB2">
        <w:trPr>
          <w:cnfStyle w:val="010000000000" w:firstRow="0" w:lastRow="1"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05" w:type="dxa"/>
            <w:noWrap/>
            <w:hideMark/>
          </w:tcPr>
          <w:p w14:paraId="615CF769" w14:textId="77777777" w:rsidR="00C66A34" w:rsidRPr="003553E4" w:rsidRDefault="00C66A34" w:rsidP="00BE32C9">
            <w:pPr>
              <w:pStyle w:val="TableParagraph"/>
              <w:rPr>
                <w:b w:val="0"/>
                <w:bCs w:val="0"/>
              </w:rPr>
            </w:pPr>
            <w:r w:rsidRPr="003553E4">
              <w:t>Total</w:t>
            </w:r>
          </w:p>
        </w:tc>
        <w:tc>
          <w:tcPr>
            <w:tcW w:w="1392" w:type="dxa"/>
            <w:vAlign w:val="top"/>
          </w:tcPr>
          <w:p w14:paraId="468C6A62"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ED0039">
              <w:t xml:space="preserve"> 1,511,445 </w:t>
            </w:r>
          </w:p>
        </w:tc>
        <w:tc>
          <w:tcPr>
            <w:tcW w:w="1392" w:type="dxa"/>
            <w:vAlign w:val="top"/>
          </w:tcPr>
          <w:p w14:paraId="13DA1961"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ED0039">
              <w:t xml:space="preserve"> 1,495,927 </w:t>
            </w:r>
          </w:p>
        </w:tc>
        <w:tc>
          <w:tcPr>
            <w:tcW w:w="1392" w:type="dxa"/>
            <w:vAlign w:val="top"/>
          </w:tcPr>
          <w:p w14:paraId="310C67AB"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ED0039">
              <w:t xml:space="preserve"> 1,482,798 </w:t>
            </w:r>
          </w:p>
        </w:tc>
        <w:tc>
          <w:tcPr>
            <w:tcW w:w="1392" w:type="dxa"/>
            <w:vAlign w:val="top"/>
          </w:tcPr>
          <w:p w14:paraId="43F1E543"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ED0039">
              <w:t xml:space="preserve"> 1,479,752 </w:t>
            </w:r>
          </w:p>
        </w:tc>
        <w:tc>
          <w:tcPr>
            <w:tcW w:w="1392" w:type="dxa"/>
            <w:noWrap/>
            <w:hideMark/>
          </w:tcPr>
          <w:p w14:paraId="31F50286"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rPr>
                <w:b w:val="0"/>
                <w:bCs w:val="0"/>
              </w:rPr>
            </w:pPr>
            <w:r w:rsidRPr="003553E4">
              <w:t>-2.9%</w:t>
            </w:r>
          </w:p>
        </w:tc>
      </w:tr>
    </w:tbl>
    <w:p w14:paraId="70BA2537" w14:textId="77777777" w:rsidR="00C66A34" w:rsidRPr="003553E4" w:rsidRDefault="00C66A34" w:rsidP="007813FB">
      <w:pPr>
        <w:pStyle w:val="TableNotes"/>
      </w:pPr>
      <w:r w:rsidRPr="003553E4">
        <w:t xml:space="preserve">Source: UMDI population projections </w:t>
      </w:r>
    </w:p>
    <w:p w14:paraId="39D20C8D" w14:textId="338F34D3" w:rsidR="00DC56C8" w:rsidRDefault="00DC56C8" w:rsidP="00BE32C9">
      <w:pPr>
        <w:pStyle w:val="Heading2"/>
        <w:numPr>
          <w:ilvl w:val="1"/>
          <w:numId w:val="11"/>
        </w:numPr>
      </w:pPr>
      <w:bookmarkStart w:id="206" w:name="_Toc106005394"/>
      <w:bookmarkStart w:id="207" w:name="_Toc109895514"/>
      <w:r>
        <w:t xml:space="preserve">Projected </w:t>
      </w:r>
      <w:r w:rsidRPr="007B351A">
        <w:t>Changes</w:t>
      </w:r>
      <w:r w:rsidRPr="00F34783">
        <w:t xml:space="preserve"> in </w:t>
      </w:r>
      <w:r>
        <w:t>Utilization of Services</w:t>
      </w:r>
      <w:bookmarkEnd w:id="206"/>
      <w:r>
        <w:t xml:space="preserve"> </w:t>
      </w:r>
      <w:r w:rsidR="00394BF8">
        <w:t>Over Time</w:t>
      </w:r>
      <w:bookmarkEnd w:id="207"/>
    </w:p>
    <w:p w14:paraId="7C9FA746" w14:textId="70EF4C99" w:rsidR="003119D5" w:rsidRPr="003119D5" w:rsidRDefault="003119D5" w:rsidP="00BE32C9">
      <w:r w:rsidRPr="00EB03AE">
        <w:t xml:space="preserve">The next sections </w:t>
      </w:r>
      <w:r>
        <w:t xml:space="preserve">make use of </w:t>
      </w:r>
      <w:r w:rsidRPr="00EB03AE">
        <w:t>these estimates and methodology to estimated current and future demand for (1) all imaging</w:t>
      </w:r>
      <w:r>
        <w:t xml:space="preserve"> services</w:t>
      </w:r>
      <w:r w:rsidRPr="00EB03AE">
        <w:t>; (2) ASC services, and (3) MRI</w:t>
      </w:r>
      <w:r>
        <w:t xml:space="preserve"> services. </w:t>
      </w:r>
      <w:r w:rsidR="00394BF8">
        <w:t>Future demand estimates are applied to forecast any additional changes in volume or share of facilities in a service area beyond the shifts due to opening of the new facilities.</w:t>
      </w:r>
      <w:r w:rsidR="00F24C0A">
        <w:rPr>
          <w:rStyle w:val="FootnoteReference"/>
        </w:rPr>
        <w:footnoteReference w:id="57"/>
      </w:r>
    </w:p>
    <w:p w14:paraId="4A38423B" w14:textId="4DA13221" w:rsidR="00DC56C8" w:rsidRPr="00F34783" w:rsidRDefault="00DC56C8" w:rsidP="00BE32C9">
      <w:pPr>
        <w:pStyle w:val="Heading3"/>
      </w:pPr>
      <w:bookmarkStart w:id="208" w:name="_Toc106005395"/>
      <w:bookmarkStart w:id="209" w:name="_Toc109895515"/>
      <w:r w:rsidRPr="00F34783">
        <w:t>Changes in Imaging Utilization</w:t>
      </w:r>
      <w:bookmarkEnd w:id="208"/>
      <w:bookmarkEnd w:id="209"/>
    </w:p>
    <w:p w14:paraId="45B3DE2E" w14:textId="61F5E6C8" w:rsidR="00394BF8" w:rsidRDefault="000B3632" w:rsidP="00BE32C9">
      <w:r>
        <w:t xml:space="preserve">Utilization projections were developed by area, service, and payer (e.g., Medicaid). </w:t>
      </w:r>
      <w:r w:rsidR="00DC56C8">
        <w:t xml:space="preserve">Application of the methodology results in </w:t>
      </w:r>
      <w:r w:rsidR="00F52021">
        <w:t xml:space="preserve">initial </w:t>
      </w:r>
      <w:r w:rsidR="00DC56C8" w:rsidRPr="006C0788">
        <w:t>project</w:t>
      </w:r>
      <w:r w:rsidR="00DC56C8">
        <w:t>ions</w:t>
      </w:r>
      <w:r w:rsidR="00DC56C8" w:rsidRPr="006C0788">
        <w:t xml:space="preserve"> that the total utilization of imaging service</w:t>
      </w:r>
      <w:r w:rsidR="00DC56C8">
        <w:t>s</w:t>
      </w:r>
      <w:r w:rsidR="00DC56C8" w:rsidRPr="006C0788">
        <w:t xml:space="preserve"> </w:t>
      </w:r>
      <w:r w:rsidR="00DC56C8">
        <w:t>by</w:t>
      </w:r>
      <w:r w:rsidR="00DC56C8" w:rsidRPr="006C0788">
        <w:t xml:space="preserve"> </w:t>
      </w:r>
      <w:r w:rsidR="00DC56C8">
        <w:t>pediatric patients</w:t>
      </w:r>
      <w:r w:rsidR="00DC56C8" w:rsidRPr="006C0788">
        <w:t xml:space="preserve"> </w:t>
      </w:r>
      <w:r w:rsidR="00F52021">
        <w:t xml:space="preserve">across all regions in the state </w:t>
      </w:r>
      <w:r w:rsidR="00DC56C8" w:rsidRPr="006C0788">
        <w:t>will decline by 2.</w:t>
      </w:r>
      <w:r w:rsidR="00DC56C8">
        <w:t>4</w:t>
      </w:r>
      <w:r w:rsidR="00DC56C8" w:rsidRPr="006C0788">
        <w:t>% between 2025 – 2040. The</w:t>
      </w:r>
      <w:r w:rsidR="00DC56C8">
        <w:t>se estimated</w:t>
      </w:r>
      <w:r w:rsidR="00DC56C8" w:rsidRPr="006C0788">
        <w:t xml:space="preserve"> changes in utilization of imaging services vary considerably across geographies. </w:t>
      </w:r>
      <w:r w:rsidR="00DC56C8">
        <w:t>For purposes of future demand projections, geographies are defined as one of the six HSAs used in Massachusetts.</w:t>
      </w:r>
      <w:r w:rsidR="00DC56C8">
        <w:rPr>
          <w:rStyle w:val="FootnoteReference"/>
          <w:rFonts w:cs="Times New Roman"/>
        </w:rPr>
        <w:footnoteReference w:id="58"/>
      </w:r>
      <w:r w:rsidR="00DC56C8">
        <w:t xml:space="preserve"> Geography is based on the patient’s location. </w:t>
      </w:r>
      <w:r w:rsidR="00D35B95">
        <w:fldChar w:fldCharType="begin"/>
      </w:r>
      <w:r w:rsidR="00D35B95">
        <w:instrText xml:space="preserve"> REF _Ref106622288 \h </w:instrText>
      </w:r>
      <w:r w:rsidR="00D35B95">
        <w:fldChar w:fldCharType="separate"/>
      </w:r>
      <w:r w:rsidR="00CE7C62" w:rsidRPr="003553E4">
        <w:t xml:space="preserve">Table </w:t>
      </w:r>
      <w:r w:rsidR="00CE7C62">
        <w:rPr>
          <w:noProof/>
        </w:rPr>
        <w:t>16</w:t>
      </w:r>
      <w:r w:rsidR="00CE7C62" w:rsidRPr="003553E4">
        <w:t xml:space="preserve">: Projected Utilization of Imaging Services by HSA, </w:t>
      </w:r>
      <w:r w:rsidR="00CE7C62">
        <w:t>Ages 0</w:t>
      </w:r>
      <w:r w:rsidR="00CE7C62" w:rsidRPr="003553E4">
        <w:t xml:space="preserve"> – 18 (2025 – 2040)</w:t>
      </w:r>
      <w:r w:rsidR="00D35B95">
        <w:fldChar w:fldCharType="end"/>
      </w:r>
      <w:r w:rsidR="00DC56C8">
        <w:t xml:space="preserve"> shows that Metro West, Northeast and Southeast</w:t>
      </w:r>
      <w:r w:rsidR="00F52021">
        <w:t xml:space="preserve"> HSAs</w:t>
      </w:r>
      <w:r w:rsidR="00DC56C8">
        <w:t xml:space="preserve">, which are areas in which BCH has most of its locations represent </w:t>
      </w:r>
      <w:r w:rsidR="00B96296">
        <w:t>nearly 60</w:t>
      </w:r>
      <w:r w:rsidR="00DC56C8">
        <w:t>% of total volumes in 2019.</w:t>
      </w:r>
    </w:p>
    <w:p w14:paraId="24B01AEC" w14:textId="1F7F80A7" w:rsidR="00C66A34" w:rsidRPr="003553E4" w:rsidRDefault="00C66A34" w:rsidP="007813FB">
      <w:pPr>
        <w:pStyle w:val="Caption"/>
      </w:pPr>
      <w:bookmarkStart w:id="210" w:name="_Ref103842658"/>
      <w:bookmarkStart w:id="211" w:name="_Ref106622288"/>
      <w:bookmarkStart w:id="212" w:name="_Ref106622296"/>
      <w:bookmarkStart w:id="213" w:name="_Toc106641191"/>
      <w:bookmarkStart w:id="214" w:name="_Toc106648895"/>
      <w:bookmarkStart w:id="215" w:name="_Toc109895447"/>
      <w:r w:rsidRPr="003553E4">
        <w:t xml:space="preserve">Table </w:t>
      </w:r>
      <w:fldSimple w:instr=" SEQ Table \* ARABIC ">
        <w:r w:rsidR="00CE7C62">
          <w:rPr>
            <w:noProof/>
          </w:rPr>
          <w:t>16</w:t>
        </w:r>
      </w:fldSimple>
      <w:bookmarkEnd w:id="210"/>
      <w:r w:rsidRPr="003553E4">
        <w:t xml:space="preserve">: Projected Utilization of Imaging Services by HSA, </w:t>
      </w:r>
      <w:r>
        <w:t>Ages 0</w:t>
      </w:r>
      <w:r w:rsidRPr="003553E4">
        <w:t xml:space="preserve"> – 18 (2025 – 2040)</w:t>
      </w:r>
      <w:bookmarkEnd w:id="211"/>
      <w:bookmarkEnd w:id="212"/>
      <w:bookmarkEnd w:id="213"/>
      <w:bookmarkEnd w:id="214"/>
      <w:bookmarkEnd w:id="215"/>
    </w:p>
    <w:tbl>
      <w:tblPr>
        <w:tblStyle w:val="GridTable4-Accent11"/>
        <w:tblW w:w="9350" w:type="dxa"/>
        <w:tblLook w:val="04E0" w:firstRow="1" w:lastRow="1" w:firstColumn="1" w:lastColumn="0" w:noHBand="0" w:noVBand="1"/>
      </w:tblPr>
      <w:tblGrid>
        <w:gridCol w:w="1234"/>
        <w:gridCol w:w="862"/>
        <w:gridCol w:w="1642"/>
        <w:gridCol w:w="1043"/>
        <w:gridCol w:w="1043"/>
        <w:gridCol w:w="1043"/>
        <w:gridCol w:w="1043"/>
        <w:gridCol w:w="1440"/>
      </w:tblGrid>
      <w:tr w:rsidR="00C66A34" w:rsidRPr="003553E4" w14:paraId="5C20A811" w14:textId="77777777" w:rsidTr="00CA0F88">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305A2D5" w14:textId="77777777" w:rsidR="00C66A34" w:rsidRPr="003553E4" w:rsidRDefault="00C66A34" w:rsidP="00BE32C9">
            <w:pPr>
              <w:pStyle w:val="TableParagraph"/>
            </w:pPr>
            <w:r w:rsidRPr="003553E4">
              <w:t>HSA</w:t>
            </w:r>
          </w:p>
        </w:tc>
        <w:tc>
          <w:tcPr>
            <w:tcW w:w="862" w:type="dxa"/>
            <w:vAlign w:val="top"/>
          </w:tcPr>
          <w:p w14:paraId="5A4489B6"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AA3434">
              <w:t>2019</w:t>
            </w:r>
          </w:p>
        </w:tc>
        <w:tc>
          <w:tcPr>
            <w:tcW w:w="1642" w:type="dxa"/>
            <w:hideMark/>
          </w:tcPr>
          <w:p w14:paraId="1263FE23"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3553E4">
              <w:t>2019 Share of Total</w:t>
            </w:r>
          </w:p>
        </w:tc>
        <w:tc>
          <w:tcPr>
            <w:tcW w:w="1043" w:type="dxa"/>
            <w:vAlign w:val="top"/>
          </w:tcPr>
          <w:p w14:paraId="21193139"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BC2B51">
              <w:t>2025</w:t>
            </w:r>
          </w:p>
        </w:tc>
        <w:tc>
          <w:tcPr>
            <w:tcW w:w="1043" w:type="dxa"/>
            <w:vAlign w:val="top"/>
          </w:tcPr>
          <w:p w14:paraId="5E822D80"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BC2B51">
              <w:t>2030</w:t>
            </w:r>
          </w:p>
        </w:tc>
        <w:tc>
          <w:tcPr>
            <w:tcW w:w="1043" w:type="dxa"/>
            <w:vAlign w:val="top"/>
          </w:tcPr>
          <w:p w14:paraId="43186084"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BC2B51">
              <w:t>2035</w:t>
            </w:r>
          </w:p>
        </w:tc>
        <w:tc>
          <w:tcPr>
            <w:tcW w:w="1043" w:type="dxa"/>
            <w:vAlign w:val="top"/>
          </w:tcPr>
          <w:p w14:paraId="193B79B4"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BC2B51">
              <w:t>2040</w:t>
            </w:r>
          </w:p>
        </w:tc>
        <w:tc>
          <w:tcPr>
            <w:tcW w:w="1440" w:type="dxa"/>
            <w:hideMark/>
          </w:tcPr>
          <w:p w14:paraId="19B8A863"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3553E4">
              <w:t>% Change (2025 - 2040)</w:t>
            </w:r>
          </w:p>
        </w:tc>
      </w:tr>
      <w:tr w:rsidR="00C66A34" w:rsidRPr="003553E4" w14:paraId="465E4873" w14:textId="77777777" w:rsidTr="00CA0F88">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6BDC86AA" w14:textId="77777777" w:rsidR="00C66A34" w:rsidRPr="003553E4" w:rsidRDefault="00C66A34" w:rsidP="00BE32C9">
            <w:pPr>
              <w:pStyle w:val="TableParagraph"/>
            </w:pPr>
            <w:r w:rsidRPr="003553E4">
              <w:t>Boston</w:t>
            </w:r>
          </w:p>
        </w:tc>
        <w:tc>
          <w:tcPr>
            <w:tcW w:w="862" w:type="dxa"/>
            <w:vAlign w:val="top"/>
          </w:tcPr>
          <w:p w14:paraId="06271695"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AA3434">
              <w:t xml:space="preserve"> 74,116 </w:t>
            </w:r>
          </w:p>
        </w:tc>
        <w:tc>
          <w:tcPr>
            <w:tcW w:w="1642" w:type="dxa"/>
            <w:noWrap/>
            <w:vAlign w:val="bottom"/>
          </w:tcPr>
          <w:p w14:paraId="2499F81F"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9.4%</w:t>
            </w:r>
          </w:p>
        </w:tc>
        <w:tc>
          <w:tcPr>
            <w:tcW w:w="1043" w:type="dxa"/>
            <w:vAlign w:val="top"/>
          </w:tcPr>
          <w:p w14:paraId="41D07442"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80,476 </w:t>
            </w:r>
          </w:p>
        </w:tc>
        <w:tc>
          <w:tcPr>
            <w:tcW w:w="1043" w:type="dxa"/>
            <w:vAlign w:val="top"/>
          </w:tcPr>
          <w:p w14:paraId="7508EE40"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84,654 </w:t>
            </w:r>
          </w:p>
        </w:tc>
        <w:tc>
          <w:tcPr>
            <w:tcW w:w="1043" w:type="dxa"/>
            <w:vAlign w:val="top"/>
          </w:tcPr>
          <w:p w14:paraId="72A90B20"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87,255 </w:t>
            </w:r>
          </w:p>
        </w:tc>
        <w:tc>
          <w:tcPr>
            <w:tcW w:w="1043" w:type="dxa"/>
            <w:vAlign w:val="top"/>
          </w:tcPr>
          <w:p w14:paraId="5A1CD0D2"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87,359 </w:t>
            </w:r>
          </w:p>
        </w:tc>
        <w:tc>
          <w:tcPr>
            <w:tcW w:w="1440" w:type="dxa"/>
            <w:noWrap/>
            <w:vAlign w:val="bottom"/>
            <w:hideMark/>
          </w:tcPr>
          <w:p w14:paraId="1E83EE6B"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8.6%</w:t>
            </w:r>
          </w:p>
        </w:tc>
      </w:tr>
      <w:tr w:rsidR="00C66A34" w:rsidRPr="003553E4" w14:paraId="72E00400" w14:textId="77777777" w:rsidTr="00CA0F88">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2A0E4BDB" w14:textId="77777777" w:rsidR="00C66A34" w:rsidRPr="003553E4" w:rsidRDefault="00C66A34" w:rsidP="00BE32C9">
            <w:pPr>
              <w:pStyle w:val="TableParagraph"/>
            </w:pPr>
            <w:r w:rsidRPr="003553E4">
              <w:t>Southeast</w:t>
            </w:r>
          </w:p>
        </w:tc>
        <w:tc>
          <w:tcPr>
            <w:tcW w:w="862" w:type="dxa"/>
            <w:vAlign w:val="top"/>
          </w:tcPr>
          <w:p w14:paraId="0180CF81"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AA3434">
              <w:t xml:space="preserve">161,279 </w:t>
            </w:r>
          </w:p>
        </w:tc>
        <w:tc>
          <w:tcPr>
            <w:tcW w:w="1642" w:type="dxa"/>
            <w:noWrap/>
            <w:vAlign w:val="bottom"/>
          </w:tcPr>
          <w:p w14:paraId="45A52B28"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20.5%</w:t>
            </w:r>
          </w:p>
        </w:tc>
        <w:tc>
          <w:tcPr>
            <w:tcW w:w="1043" w:type="dxa"/>
            <w:vAlign w:val="top"/>
          </w:tcPr>
          <w:p w14:paraId="6C756636"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153,981 </w:t>
            </w:r>
          </w:p>
        </w:tc>
        <w:tc>
          <w:tcPr>
            <w:tcW w:w="1043" w:type="dxa"/>
            <w:vAlign w:val="top"/>
          </w:tcPr>
          <w:p w14:paraId="6EDF1243"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150,177 </w:t>
            </w:r>
          </w:p>
        </w:tc>
        <w:tc>
          <w:tcPr>
            <w:tcW w:w="1043" w:type="dxa"/>
            <w:vAlign w:val="top"/>
          </w:tcPr>
          <w:p w14:paraId="7ECC7CDC"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145,789 </w:t>
            </w:r>
          </w:p>
        </w:tc>
        <w:tc>
          <w:tcPr>
            <w:tcW w:w="1043" w:type="dxa"/>
            <w:vAlign w:val="top"/>
          </w:tcPr>
          <w:p w14:paraId="05DF131D"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143,659 </w:t>
            </w:r>
          </w:p>
        </w:tc>
        <w:tc>
          <w:tcPr>
            <w:tcW w:w="1440" w:type="dxa"/>
            <w:noWrap/>
            <w:vAlign w:val="bottom"/>
            <w:hideMark/>
          </w:tcPr>
          <w:p w14:paraId="59ECF781"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-6.7%</w:t>
            </w:r>
          </w:p>
        </w:tc>
      </w:tr>
      <w:tr w:rsidR="00C66A34" w:rsidRPr="003553E4" w14:paraId="08414387" w14:textId="77777777" w:rsidTr="00CA0F88">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170662AC" w14:textId="77777777" w:rsidR="00C66A34" w:rsidRPr="003553E4" w:rsidRDefault="00C66A34" w:rsidP="00BE32C9">
            <w:pPr>
              <w:pStyle w:val="TableParagraph"/>
            </w:pPr>
            <w:r w:rsidRPr="003553E4">
              <w:t>Metro West</w:t>
            </w:r>
          </w:p>
        </w:tc>
        <w:tc>
          <w:tcPr>
            <w:tcW w:w="862" w:type="dxa"/>
            <w:vAlign w:val="top"/>
          </w:tcPr>
          <w:p w14:paraId="6B041EE6"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AA3434">
              <w:t xml:space="preserve">169,428 </w:t>
            </w:r>
          </w:p>
        </w:tc>
        <w:tc>
          <w:tcPr>
            <w:tcW w:w="1642" w:type="dxa"/>
            <w:noWrap/>
            <w:vAlign w:val="bottom"/>
          </w:tcPr>
          <w:p w14:paraId="18224329"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21.5%</w:t>
            </w:r>
          </w:p>
        </w:tc>
        <w:tc>
          <w:tcPr>
            <w:tcW w:w="1043" w:type="dxa"/>
            <w:vAlign w:val="top"/>
          </w:tcPr>
          <w:p w14:paraId="75773B0E"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163,438 </w:t>
            </w:r>
          </w:p>
        </w:tc>
        <w:tc>
          <w:tcPr>
            <w:tcW w:w="1043" w:type="dxa"/>
            <w:vAlign w:val="top"/>
          </w:tcPr>
          <w:p w14:paraId="7A218D01"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158,528 </w:t>
            </w:r>
          </w:p>
        </w:tc>
        <w:tc>
          <w:tcPr>
            <w:tcW w:w="1043" w:type="dxa"/>
            <w:vAlign w:val="top"/>
          </w:tcPr>
          <w:p w14:paraId="742B688E"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157,753 </w:t>
            </w:r>
          </w:p>
        </w:tc>
        <w:tc>
          <w:tcPr>
            <w:tcW w:w="1043" w:type="dxa"/>
            <w:vAlign w:val="top"/>
          </w:tcPr>
          <w:p w14:paraId="4056FFE7"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159,447 </w:t>
            </w:r>
          </w:p>
        </w:tc>
        <w:tc>
          <w:tcPr>
            <w:tcW w:w="1440" w:type="dxa"/>
            <w:noWrap/>
            <w:vAlign w:val="bottom"/>
            <w:hideMark/>
          </w:tcPr>
          <w:p w14:paraId="64A4258B"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-2.4%</w:t>
            </w:r>
          </w:p>
        </w:tc>
      </w:tr>
      <w:tr w:rsidR="00C66A34" w:rsidRPr="003553E4" w14:paraId="00F078D1" w14:textId="77777777" w:rsidTr="00CA0F88">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4AC85973" w14:textId="77777777" w:rsidR="00C66A34" w:rsidRPr="003553E4" w:rsidRDefault="00C66A34" w:rsidP="00BE32C9">
            <w:pPr>
              <w:pStyle w:val="TableParagraph"/>
            </w:pPr>
            <w:r w:rsidRPr="003553E4">
              <w:t>Northeast</w:t>
            </w:r>
          </w:p>
        </w:tc>
        <w:tc>
          <w:tcPr>
            <w:tcW w:w="862" w:type="dxa"/>
            <w:vAlign w:val="top"/>
          </w:tcPr>
          <w:p w14:paraId="031C6E97"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AA3434">
              <w:t xml:space="preserve">161,781 </w:t>
            </w:r>
          </w:p>
        </w:tc>
        <w:tc>
          <w:tcPr>
            <w:tcW w:w="1642" w:type="dxa"/>
            <w:noWrap/>
            <w:vAlign w:val="bottom"/>
          </w:tcPr>
          <w:p w14:paraId="74CB5A37"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20.6%</w:t>
            </w:r>
          </w:p>
        </w:tc>
        <w:tc>
          <w:tcPr>
            <w:tcW w:w="1043" w:type="dxa"/>
            <w:vAlign w:val="top"/>
          </w:tcPr>
          <w:p w14:paraId="3850D523"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155,749 </w:t>
            </w:r>
          </w:p>
        </w:tc>
        <w:tc>
          <w:tcPr>
            <w:tcW w:w="1043" w:type="dxa"/>
            <w:vAlign w:val="top"/>
          </w:tcPr>
          <w:p w14:paraId="100D7284"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153,761 </w:t>
            </w:r>
          </w:p>
        </w:tc>
        <w:tc>
          <w:tcPr>
            <w:tcW w:w="1043" w:type="dxa"/>
            <w:vAlign w:val="top"/>
          </w:tcPr>
          <w:p w14:paraId="6EEEDA69"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151,136 </w:t>
            </w:r>
          </w:p>
        </w:tc>
        <w:tc>
          <w:tcPr>
            <w:tcW w:w="1043" w:type="dxa"/>
            <w:vAlign w:val="top"/>
          </w:tcPr>
          <w:p w14:paraId="5C3DF1A4"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150,007 </w:t>
            </w:r>
          </w:p>
        </w:tc>
        <w:tc>
          <w:tcPr>
            <w:tcW w:w="1440" w:type="dxa"/>
            <w:noWrap/>
            <w:vAlign w:val="bottom"/>
            <w:hideMark/>
          </w:tcPr>
          <w:p w14:paraId="4F6C1863"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-3.7%</w:t>
            </w:r>
          </w:p>
        </w:tc>
      </w:tr>
      <w:tr w:rsidR="00C66A34" w:rsidRPr="003553E4" w14:paraId="4C87FD58" w14:textId="77777777" w:rsidTr="00CA0F88">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24579E27" w14:textId="77777777" w:rsidR="00C66A34" w:rsidRPr="003553E4" w:rsidRDefault="00C66A34" w:rsidP="00BE32C9">
            <w:pPr>
              <w:pStyle w:val="TableParagraph"/>
            </w:pPr>
            <w:r w:rsidRPr="003553E4">
              <w:t>Central</w:t>
            </w:r>
          </w:p>
        </w:tc>
        <w:tc>
          <w:tcPr>
            <w:tcW w:w="862" w:type="dxa"/>
            <w:vAlign w:val="top"/>
          </w:tcPr>
          <w:p w14:paraId="505B08CC"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AA3434">
              <w:t xml:space="preserve">120,777 </w:t>
            </w:r>
          </w:p>
        </w:tc>
        <w:tc>
          <w:tcPr>
            <w:tcW w:w="1642" w:type="dxa"/>
            <w:noWrap/>
            <w:vAlign w:val="bottom"/>
          </w:tcPr>
          <w:p w14:paraId="4F6D5C27"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15.3%</w:t>
            </w:r>
          </w:p>
        </w:tc>
        <w:tc>
          <w:tcPr>
            <w:tcW w:w="1043" w:type="dxa"/>
            <w:vAlign w:val="top"/>
          </w:tcPr>
          <w:p w14:paraId="317524D4"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115,532 </w:t>
            </w:r>
          </w:p>
        </w:tc>
        <w:tc>
          <w:tcPr>
            <w:tcW w:w="1043" w:type="dxa"/>
            <w:vAlign w:val="top"/>
          </w:tcPr>
          <w:p w14:paraId="761298A0"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112,889 </w:t>
            </w:r>
          </w:p>
        </w:tc>
        <w:tc>
          <w:tcPr>
            <w:tcW w:w="1043" w:type="dxa"/>
            <w:vAlign w:val="top"/>
          </w:tcPr>
          <w:p w14:paraId="42763A7F"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110,789 </w:t>
            </w:r>
          </w:p>
        </w:tc>
        <w:tc>
          <w:tcPr>
            <w:tcW w:w="1043" w:type="dxa"/>
            <w:vAlign w:val="top"/>
          </w:tcPr>
          <w:p w14:paraId="4CAEE417"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110,352 </w:t>
            </w:r>
          </w:p>
        </w:tc>
        <w:tc>
          <w:tcPr>
            <w:tcW w:w="1440" w:type="dxa"/>
            <w:noWrap/>
            <w:vAlign w:val="bottom"/>
            <w:hideMark/>
          </w:tcPr>
          <w:p w14:paraId="6C712AE8"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-4.5%</w:t>
            </w:r>
          </w:p>
        </w:tc>
      </w:tr>
      <w:tr w:rsidR="00C66A34" w:rsidRPr="003553E4" w14:paraId="125772E5" w14:textId="77777777" w:rsidTr="00CA0F88">
        <w:trPr>
          <w:cantSplit/>
          <w:trHeight w:val="20"/>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180EE493" w14:textId="77777777" w:rsidR="00C66A34" w:rsidRPr="003553E4" w:rsidRDefault="00C66A34" w:rsidP="00BE32C9">
            <w:pPr>
              <w:pStyle w:val="TableParagraph"/>
            </w:pPr>
            <w:r w:rsidRPr="003553E4">
              <w:t>Western</w:t>
            </w:r>
          </w:p>
        </w:tc>
        <w:tc>
          <w:tcPr>
            <w:tcW w:w="862" w:type="dxa"/>
            <w:vAlign w:val="top"/>
          </w:tcPr>
          <w:p w14:paraId="0E639972"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AA3434">
              <w:t xml:space="preserve"> 99,628 </w:t>
            </w:r>
          </w:p>
        </w:tc>
        <w:tc>
          <w:tcPr>
            <w:tcW w:w="1642" w:type="dxa"/>
            <w:noWrap/>
            <w:vAlign w:val="bottom"/>
          </w:tcPr>
          <w:p w14:paraId="1E026D2D"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12.7%</w:t>
            </w:r>
          </w:p>
        </w:tc>
        <w:tc>
          <w:tcPr>
            <w:tcW w:w="1043" w:type="dxa"/>
            <w:vAlign w:val="top"/>
          </w:tcPr>
          <w:p w14:paraId="5E232B1E"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95,157 </w:t>
            </w:r>
          </w:p>
        </w:tc>
        <w:tc>
          <w:tcPr>
            <w:tcW w:w="1043" w:type="dxa"/>
            <w:vAlign w:val="top"/>
          </w:tcPr>
          <w:p w14:paraId="0639FA97"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92,625 </w:t>
            </w:r>
          </w:p>
        </w:tc>
        <w:tc>
          <w:tcPr>
            <w:tcW w:w="1043" w:type="dxa"/>
            <w:vAlign w:val="top"/>
          </w:tcPr>
          <w:p w14:paraId="794F1A6A"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91,095 </w:t>
            </w:r>
          </w:p>
        </w:tc>
        <w:tc>
          <w:tcPr>
            <w:tcW w:w="1043" w:type="dxa"/>
            <w:vAlign w:val="top"/>
          </w:tcPr>
          <w:p w14:paraId="6AB5511C"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rPr>
                <w:rFonts w:cs="Times New Roman"/>
                <w:szCs w:val="16"/>
              </w:rPr>
            </w:pPr>
            <w:r w:rsidRPr="00BC2B51">
              <w:t xml:space="preserve"> 91,089 </w:t>
            </w:r>
          </w:p>
        </w:tc>
        <w:tc>
          <w:tcPr>
            <w:tcW w:w="1440" w:type="dxa"/>
            <w:noWrap/>
            <w:vAlign w:val="bottom"/>
            <w:hideMark/>
          </w:tcPr>
          <w:p w14:paraId="48F5A212"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-4.3%</w:t>
            </w:r>
          </w:p>
        </w:tc>
      </w:tr>
      <w:tr w:rsidR="00C66A34" w:rsidRPr="003553E4" w14:paraId="6A8EFA3A" w14:textId="77777777" w:rsidTr="00CA0F88">
        <w:trPr>
          <w:cnfStyle w:val="010000000000" w:firstRow="0" w:lastRow="1"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DF7350" w14:textId="77777777" w:rsidR="00C66A34" w:rsidRPr="003553E4" w:rsidRDefault="00C66A34" w:rsidP="00BE32C9">
            <w:pPr>
              <w:pStyle w:val="TableParagraph"/>
              <w:rPr>
                <w:b w:val="0"/>
                <w:bCs w:val="0"/>
              </w:rPr>
            </w:pPr>
            <w:r w:rsidRPr="003553E4">
              <w:t>Total</w:t>
            </w:r>
          </w:p>
        </w:tc>
        <w:tc>
          <w:tcPr>
            <w:tcW w:w="862" w:type="dxa"/>
            <w:vAlign w:val="top"/>
          </w:tcPr>
          <w:p w14:paraId="7A579FC6"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rPr>
                <w:rFonts w:cs="Times New Roman"/>
                <w:szCs w:val="16"/>
              </w:rPr>
            </w:pPr>
            <w:r w:rsidRPr="00AA3434">
              <w:t xml:space="preserve">787,010 </w:t>
            </w:r>
          </w:p>
        </w:tc>
        <w:tc>
          <w:tcPr>
            <w:tcW w:w="1642" w:type="dxa"/>
            <w:noWrap/>
            <w:vAlign w:val="bottom"/>
          </w:tcPr>
          <w:p w14:paraId="0E99555C"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3553E4">
              <w:t>100.0%</w:t>
            </w:r>
          </w:p>
        </w:tc>
        <w:tc>
          <w:tcPr>
            <w:tcW w:w="1043" w:type="dxa"/>
            <w:vAlign w:val="top"/>
          </w:tcPr>
          <w:p w14:paraId="2B6C6997"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rPr>
                <w:rFonts w:cs="Times New Roman"/>
                <w:szCs w:val="16"/>
              </w:rPr>
            </w:pPr>
            <w:r w:rsidRPr="00BC2B51">
              <w:t xml:space="preserve"> 764,333 </w:t>
            </w:r>
          </w:p>
        </w:tc>
        <w:tc>
          <w:tcPr>
            <w:tcW w:w="1043" w:type="dxa"/>
            <w:vAlign w:val="top"/>
          </w:tcPr>
          <w:p w14:paraId="791B7E0C"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rPr>
                <w:rFonts w:cs="Times New Roman"/>
                <w:szCs w:val="16"/>
              </w:rPr>
            </w:pPr>
            <w:r w:rsidRPr="00BC2B51">
              <w:t xml:space="preserve"> 752,634 </w:t>
            </w:r>
          </w:p>
        </w:tc>
        <w:tc>
          <w:tcPr>
            <w:tcW w:w="1043" w:type="dxa"/>
            <w:vAlign w:val="top"/>
          </w:tcPr>
          <w:p w14:paraId="2EBF9B68"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rPr>
                <w:rFonts w:cs="Times New Roman"/>
                <w:szCs w:val="16"/>
              </w:rPr>
            </w:pPr>
            <w:r w:rsidRPr="00BC2B51">
              <w:t xml:space="preserve"> 743,817 </w:t>
            </w:r>
          </w:p>
        </w:tc>
        <w:tc>
          <w:tcPr>
            <w:tcW w:w="1043" w:type="dxa"/>
            <w:vAlign w:val="top"/>
          </w:tcPr>
          <w:p w14:paraId="07B9A0CD"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rPr>
                <w:rFonts w:cs="Times New Roman"/>
                <w:szCs w:val="16"/>
              </w:rPr>
            </w:pPr>
            <w:r w:rsidRPr="00BC2B51">
              <w:t xml:space="preserve"> 741,913 </w:t>
            </w:r>
          </w:p>
        </w:tc>
        <w:tc>
          <w:tcPr>
            <w:tcW w:w="1440" w:type="dxa"/>
            <w:noWrap/>
            <w:vAlign w:val="bottom"/>
            <w:hideMark/>
          </w:tcPr>
          <w:p w14:paraId="775A9EE7"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3553E4">
              <w:t>-2.9%</w:t>
            </w:r>
          </w:p>
        </w:tc>
      </w:tr>
    </w:tbl>
    <w:p w14:paraId="0A227C15" w14:textId="77777777" w:rsidR="00C66A34" w:rsidRPr="003553E4" w:rsidRDefault="00C66A34" w:rsidP="007813FB">
      <w:pPr>
        <w:pStyle w:val="TableNotes"/>
      </w:pPr>
      <w:r w:rsidRPr="003553E4">
        <w:t xml:space="preserve">Source: The result is based on all imaging claims from the 2019 CHIA all-payer medical claim data. The data is restricted to visits from members younger than 19 years old residing in Massachusetts. </w:t>
      </w:r>
    </w:p>
    <w:p w14:paraId="38D0BAD5" w14:textId="034E6B3D" w:rsidR="00DC56C8" w:rsidRPr="00543454" w:rsidRDefault="00D35B95" w:rsidP="00BE32C9">
      <w:pPr>
        <w:rPr>
          <w:rFonts w:eastAsiaTheme="minorEastAsia"/>
          <w:lang w:eastAsia="zh-CN"/>
        </w:rPr>
      </w:pPr>
      <w:r>
        <w:fldChar w:fldCharType="begin"/>
      </w:r>
      <w:r>
        <w:instrText xml:space="preserve"> REF _Ref106622296 \h </w:instrText>
      </w:r>
      <w:r>
        <w:fldChar w:fldCharType="separate"/>
      </w:r>
      <w:r w:rsidR="00CE7C62" w:rsidRPr="003553E4">
        <w:t xml:space="preserve">Table </w:t>
      </w:r>
      <w:r w:rsidR="00CE7C62">
        <w:rPr>
          <w:noProof/>
        </w:rPr>
        <w:t>16</w:t>
      </w:r>
      <w:r w:rsidR="00CE7C62" w:rsidRPr="003553E4">
        <w:t xml:space="preserve">: Projected Utilization of Imaging Services by HSA, </w:t>
      </w:r>
      <w:r w:rsidR="00CE7C62">
        <w:t>Ages 0</w:t>
      </w:r>
      <w:r w:rsidR="00CE7C62" w:rsidRPr="003553E4">
        <w:t xml:space="preserve"> – 18 (2025 – 2040)</w:t>
      </w:r>
      <w:r>
        <w:fldChar w:fldCharType="end"/>
      </w:r>
      <w:r w:rsidR="00DC56C8">
        <w:t xml:space="preserve"> shows projected utilization of imaging by HSA and overall. </w:t>
      </w:r>
      <w:r w:rsidR="00DC56C8" w:rsidRPr="1025C662">
        <w:rPr>
          <w:b/>
          <w:bCs/>
          <w:i/>
          <w:iCs/>
        </w:rPr>
        <w:t xml:space="preserve">Overall demand for imaging is </w:t>
      </w:r>
      <w:r w:rsidR="0055292A" w:rsidRPr="1025C662">
        <w:rPr>
          <w:b/>
          <w:bCs/>
          <w:i/>
          <w:iCs/>
        </w:rPr>
        <w:t xml:space="preserve">high for the base year of 2019 across most regions, and is </w:t>
      </w:r>
      <w:r w:rsidR="00DC56C8" w:rsidRPr="1025C662">
        <w:rPr>
          <w:b/>
          <w:bCs/>
          <w:i/>
          <w:iCs/>
        </w:rPr>
        <w:t xml:space="preserve">projected to decline only </w:t>
      </w:r>
      <w:r w:rsidR="00DC56C8" w:rsidRPr="1025C662">
        <w:rPr>
          <w:b/>
          <w:bCs/>
          <w:i/>
          <w:iCs/>
        </w:rPr>
        <w:lastRenderedPageBreak/>
        <w:t>slightly by just under 3% over the 15-year period</w:t>
      </w:r>
      <w:r w:rsidR="00DC56C8" w:rsidRPr="00D66848">
        <w:rPr>
          <w:b/>
          <w:bCs/>
        </w:rPr>
        <w:t>.</w:t>
      </w:r>
      <w:r w:rsidR="00DC56C8" w:rsidRPr="00D66848">
        <w:rPr>
          <w:rStyle w:val="FootnoteReference"/>
          <w:rFonts w:cs="Times New Roman"/>
          <w:b/>
          <w:bCs/>
        </w:rPr>
        <w:footnoteReference w:id="59"/>
      </w:r>
      <w:r w:rsidR="00DC56C8" w:rsidRPr="00D66848">
        <w:rPr>
          <w:b/>
          <w:bCs/>
        </w:rPr>
        <w:t xml:space="preserve"> </w:t>
      </w:r>
      <w:r w:rsidR="00DC56C8">
        <w:t>Patients in the Boston HSA represent about 10% of imaging visits (across all providers), and the Boston HSA volume is less than half the volume of each of the Metro West, Northeast, or Southeast HSAs; yet the Boston HSA is</w:t>
      </w:r>
      <w:r w:rsidR="00DC56C8" w:rsidRPr="006C0788">
        <w:t xml:space="preserve"> </w:t>
      </w:r>
      <w:r w:rsidR="00DC56C8">
        <w:t>projected</w:t>
      </w:r>
      <w:r w:rsidR="00DC56C8" w:rsidRPr="006C0788">
        <w:t xml:space="preserve"> to </w:t>
      </w:r>
      <w:r w:rsidR="00DC56C8">
        <w:t xml:space="preserve">have </w:t>
      </w:r>
      <w:r w:rsidR="00DC56C8" w:rsidRPr="006C0788">
        <w:t xml:space="preserve">a </w:t>
      </w:r>
      <w:r w:rsidR="00DC56C8">
        <w:t xml:space="preserve">large demand </w:t>
      </w:r>
      <w:r w:rsidR="00DC56C8" w:rsidRPr="006C0788">
        <w:t>increase of 8</w:t>
      </w:r>
      <w:r w:rsidR="00DC56C8">
        <w:t>.6</w:t>
      </w:r>
      <w:r w:rsidR="00DC56C8" w:rsidRPr="006C0788">
        <w:t xml:space="preserve">%. </w:t>
      </w:r>
      <w:r w:rsidR="00F52021">
        <w:t>All</w:t>
      </w:r>
      <w:r w:rsidR="00DC56C8" w:rsidRPr="006C0788">
        <w:t xml:space="preserve"> other regions are expected to experience a decline, ranging from -2.4% in Metro West to -6.7% in </w:t>
      </w:r>
      <w:r w:rsidR="00DC56C8">
        <w:t xml:space="preserve">the </w:t>
      </w:r>
      <w:r w:rsidR="00DC56C8" w:rsidRPr="006C0788">
        <w:t>Southeast.</w:t>
      </w:r>
      <w:r w:rsidR="00DC56C8">
        <w:t xml:space="preserve"> </w:t>
      </w:r>
    </w:p>
    <w:p w14:paraId="61D33DC2" w14:textId="676BF671" w:rsidR="00543454" w:rsidRPr="00543454" w:rsidRDefault="00543454" w:rsidP="00BE32C9">
      <w:r>
        <w:t>We note that the estimates and forecasts are presented as total utilization estimates for the HSA for the specific service (e.g., MRI). BCH presents estimates of visits per 1,000 pediatric population for the HSAs in which the new BCH facilities are located, which indicate lower levels of utilization per population in some regions.</w:t>
      </w:r>
      <w:r>
        <w:rPr>
          <w:rStyle w:val="FootnoteReference"/>
        </w:rPr>
        <w:footnoteReference w:id="60"/>
      </w:r>
    </w:p>
    <w:p w14:paraId="4542A368" w14:textId="04CD9D2D" w:rsidR="00DC56C8" w:rsidRPr="00C5498F" w:rsidRDefault="00DC56C8" w:rsidP="00BE32C9">
      <w:pPr>
        <w:rPr>
          <w:b/>
          <w:bCs/>
        </w:rPr>
      </w:pPr>
      <w:r w:rsidRPr="00C5498F">
        <w:t xml:space="preserve">To address questions about utilization by various segments of the population, </w:t>
      </w:r>
      <w:r w:rsidR="00F52021" w:rsidRPr="00C5498F">
        <w:t xml:space="preserve">FTI also </w:t>
      </w:r>
      <w:r w:rsidRPr="00C5498F">
        <w:t>evaluated utilization by pay</w:t>
      </w:r>
      <w:r w:rsidR="00684AA7" w:rsidRPr="00C5498F">
        <w:t>e</w:t>
      </w:r>
      <w:r w:rsidRPr="00C5498F">
        <w:t>r type and projected that the utilization of imaging services for the 0 – 18 group will experience a decline across all pay</w:t>
      </w:r>
      <w:r w:rsidR="00684AA7" w:rsidRPr="00C5498F">
        <w:t>e</w:t>
      </w:r>
      <w:r w:rsidRPr="00C5498F">
        <w:t>r types. The rates of decline are consistent among pay</w:t>
      </w:r>
      <w:r w:rsidR="00684AA7" w:rsidRPr="00C5498F">
        <w:t>e</w:t>
      </w:r>
      <w:r w:rsidRPr="00C5498F">
        <w:t>r types, ranging from -2.</w:t>
      </w:r>
      <w:r w:rsidR="000B012B" w:rsidRPr="00C5498F">
        <w:t>8</w:t>
      </w:r>
      <w:r w:rsidRPr="00C5498F">
        <w:t>% for</w:t>
      </w:r>
      <w:r w:rsidR="000B012B" w:rsidRPr="00C5498F">
        <w:t xml:space="preserve"> Medicaid and</w:t>
      </w:r>
      <w:r w:rsidRPr="00C5498F">
        <w:t xml:space="preserve"> MassHealth to -3.1% for All Other. </w:t>
      </w:r>
      <w:r w:rsidR="00D35B95" w:rsidRPr="00C5498F">
        <w:fldChar w:fldCharType="begin"/>
      </w:r>
      <w:r w:rsidR="00D35B95" w:rsidRPr="00C5498F">
        <w:instrText xml:space="preserve"> REF _Ref106622313 \h </w:instrText>
      </w:r>
      <w:r w:rsidR="00C5498F">
        <w:instrText xml:space="preserve"> \* MERGEFORMAT </w:instrText>
      </w:r>
      <w:r w:rsidR="00D35B95" w:rsidRPr="00C5498F">
        <w:fldChar w:fldCharType="separate"/>
      </w:r>
      <w:r w:rsidR="00CE7C62" w:rsidRPr="003553E4">
        <w:t xml:space="preserve">Table </w:t>
      </w:r>
      <w:r w:rsidR="00CE7C62">
        <w:rPr>
          <w:noProof/>
        </w:rPr>
        <w:t>17</w:t>
      </w:r>
      <w:r w:rsidR="00CE7C62" w:rsidRPr="003553E4">
        <w:t xml:space="preserve">: Projected Utilization of Imaging Services by Payer, </w:t>
      </w:r>
      <w:r w:rsidR="00CE7C62">
        <w:t>Ages 0</w:t>
      </w:r>
      <w:r w:rsidR="00CE7C62" w:rsidRPr="003553E4">
        <w:t xml:space="preserve"> – 18 (2025 – 2040)</w:t>
      </w:r>
      <w:r w:rsidR="00D35B95" w:rsidRPr="00C5498F">
        <w:fldChar w:fldCharType="end"/>
      </w:r>
      <w:r w:rsidRPr="00C5498F">
        <w:t xml:space="preserve"> displays projected utilization by pay</w:t>
      </w:r>
      <w:r w:rsidR="00684AA7" w:rsidRPr="00C5498F">
        <w:t>e</w:t>
      </w:r>
      <w:r w:rsidRPr="00C5498F">
        <w:t xml:space="preserve">r category. </w:t>
      </w:r>
      <w:r w:rsidRPr="00C5498F">
        <w:rPr>
          <w:b/>
          <w:bCs/>
          <w:i/>
          <w:iCs/>
        </w:rPr>
        <w:t>Medicaid plus MassHealth (public payer) represents about 53.0% of total volumes in 2019 and commercial (private) represents 46.6%</w:t>
      </w:r>
      <w:r w:rsidR="00543454" w:rsidRPr="00C5498F">
        <w:rPr>
          <w:b/>
          <w:bCs/>
        </w:rPr>
        <w:t xml:space="preserve">. </w:t>
      </w:r>
      <w:r w:rsidR="00543454" w:rsidRPr="00C5498F">
        <w:t xml:space="preserve">These estimates are generally consistent with BCH estimates of payer mix, and as demonstrated below show </w:t>
      </w:r>
      <w:r w:rsidR="0055292A" w:rsidRPr="00C5498F">
        <w:t>substantial Medicaid/MassHealth volumes in the areas in which the new facilities are to be located</w:t>
      </w:r>
      <w:r w:rsidR="00543454" w:rsidRPr="00C5498F">
        <w:t>.</w:t>
      </w:r>
    </w:p>
    <w:p w14:paraId="2DA75F92" w14:textId="342930D3" w:rsidR="00C66A34" w:rsidRPr="003553E4" w:rsidRDefault="00C66A34" w:rsidP="007813FB">
      <w:pPr>
        <w:pStyle w:val="Caption"/>
      </w:pPr>
      <w:bookmarkStart w:id="216" w:name="_Ref103842789"/>
      <w:bookmarkStart w:id="217" w:name="_Ref106622313"/>
      <w:bookmarkStart w:id="218" w:name="_Toc106641192"/>
      <w:bookmarkStart w:id="219" w:name="_Toc106648896"/>
      <w:bookmarkStart w:id="220" w:name="_Toc109895448"/>
      <w:r w:rsidRPr="003553E4">
        <w:lastRenderedPageBreak/>
        <w:t xml:space="preserve">Table </w:t>
      </w:r>
      <w:fldSimple w:instr=" SEQ Table \* ARABIC ">
        <w:r w:rsidR="00CE7C62">
          <w:rPr>
            <w:noProof/>
          </w:rPr>
          <w:t>17</w:t>
        </w:r>
      </w:fldSimple>
      <w:bookmarkEnd w:id="216"/>
      <w:r w:rsidRPr="003553E4">
        <w:t xml:space="preserve">: Projected Utilization of Imaging Services by Payer, </w:t>
      </w:r>
      <w:r>
        <w:t>Ages 0</w:t>
      </w:r>
      <w:r w:rsidRPr="003553E4">
        <w:t xml:space="preserve"> – 18 (2025 – 2040)</w:t>
      </w:r>
      <w:bookmarkEnd w:id="217"/>
      <w:bookmarkEnd w:id="218"/>
      <w:bookmarkEnd w:id="219"/>
      <w:bookmarkEnd w:id="220"/>
    </w:p>
    <w:tbl>
      <w:tblPr>
        <w:tblStyle w:val="GridTable4-Accent11"/>
        <w:tblW w:w="2700" w:type="dxa"/>
        <w:tblLook w:val="04E0" w:firstRow="1" w:lastRow="1" w:firstColumn="1" w:lastColumn="0" w:noHBand="0" w:noVBand="1"/>
      </w:tblPr>
      <w:tblGrid>
        <w:gridCol w:w="1353"/>
        <w:gridCol w:w="1347"/>
      </w:tblGrid>
      <w:tr w:rsidR="00C66A34" w:rsidRPr="003553E4" w14:paraId="59DC0EBD" w14:textId="77777777" w:rsidTr="00CA0F88">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1353" w:type="dxa"/>
            <w:noWrap/>
            <w:hideMark/>
          </w:tcPr>
          <w:p w14:paraId="090A25C1" w14:textId="77777777" w:rsidR="00C66A34" w:rsidRPr="003553E4" w:rsidRDefault="00C66A34" w:rsidP="00BE32C9">
            <w:pPr>
              <w:pStyle w:val="TableParagraph"/>
            </w:pPr>
            <w:r w:rsidRPr="003553E4">
              <w:t>Payer Category</w:t>
            </w:r>
          </w:p>
        </w:tc>
        <w:tc>
          <w:tcPr>
            <w:tcW w:w="1347" w:type="dxa"/>
            <w:hideMark/>
          </w:tcPr>
          <w:p w14:paraId="65571C0D"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3553E4">
              <w:t>% Change (2025 - 2040)</w:t>
            </w:r>
          </w:p>
        </w:tc>
      </w:tr>
      <w:tr w:rsidR="00C66A34" w:rsidRPr="003553E4" w14:paraId="6096526E" w14:textId="77777777" w:rsidTr="00CA0F88">
        <w:trPr>
          <w:cantSplit/>
          <w:trHeight w:val="300"/>
        </w:trPr>
        <w:tc>
          <w:tcPr>
            <w:cnfStyle w:val="001000000000" w:firstRow="0" w:lastRow="0" w:firstColumn="1" w:lastColumn="0" w:oddVBand="0" w:evenVBand="0" w:oddHBand="0" w:evenHBand="0" w:firstRowFirstColumn="0" w:firstRowLastColumn="0" w:lastRowFirstColumn="0" w:lastRowLastColumn="0"/>
            <w:tcW w:w="1353" w:type="dxa"/>
            <w:noWrap/>
            <w:hideMark/>
          </w:tcPr>
          <w:p w14:paraId="6A2E57B4" w14:textId="77777777" w:rsidR="00C66A34" w:rsidRPr="003553E4" w:rsidRDefault="00C66A34" w:rsidP="00BE32C9">
            <w:pPr>
              <w:pStyle w:val="TableParagraph"/>
            </w:pPr>
            <w:r w:rsidRPr="003553E4">
              <w:t>Medicaid</w:t>
            </w:r>
          </w:p>
        </w:tc>
        <w:tc>
          <w:tcPr>
            <w:tcW w:w="1347" w:type="dxa"/>
            <w:hideMark/>
          </w:tcPr>
          <w:p w14:paraId="0EE77593"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D453E3">
              <w:t>-3.0%</w:t>
            </w:r>
          </w:p>
        </w:tc>
      </w:tr>
      <w:tr w:rsidR="00C66A34" w:rsidRPr="003553E4" w14:paraId="5F117C07" w14:textId="77777777" w:rsidTr="00CA0F88">
        <w:trPr>
          <w:cantSplit/>
          <w:trHeight w:val="300"/>
        </w:trPr>
        <w:tc>
          <w:tcPr>
            <w:cnfStyle w:val="001000000000" w:firstRow="0" w:lastRow="0" w:firstColumn="1" w:lastColumn="0" w:oddVBand="0" w:evenVBand="0" w:oddHBand="0" w:evenHBand="0" w:firstRowFirstColumn="0" w:firstRowLastColumn="0" w:lastRowFirstColumn="0" w:lastRowLastColumn="0"/>
            <w:tcW w:w="1353" w:type="dxa"/>
            <w:noWrap/>
            <w:hideMark/>
          </w:tcPr>
          <w:p w14:paraId="01E5317D" w14:textId="77777777" w:rsidR="00C66A34" w:rsidRPr="003553E4" w:rsidRDefault="00C66A34" w:rsidP="00BE32C9">
            <w:pPr>
              <w:pStyle w:val="TableParagraph"/>
            </w:pPr>
            <w:r w:rsidRPr="003553E4">
              <w:t>Commercial</w:t>
            </w:r>
          </w:p>
        </w:tc>
        <w:tc>
          <w:tcPr>
            <w:tcW w:w="1347" w:type="dxa"/>
            <w:hideMark/>
          </w:tcPr>
          <w:p w14:paraId="50A82E9F"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D453E3">
              <w:t>-2.8%</w:t>
            </w:r>
          </w:p>
        </w:tc>
      </w:tr>
      <w:tr w:rsidR="00C66A34" w:rsidRPr="003553E4" w14:paraId="08E19C26" w14:textId="77777777" w:rsidTr="00CA0F88">
        <w:trPr>
          <w:cantSplit/>
          <w:trHeight w:val="300"/>
        </w:trPr>
        <w:tc>
          <w:tcPr>
            <w:cnfStyle w:val="001000000000" w:firstRow="0" w:lastRow="0" w:firstColumn="1" w:lastColumn="0" w:oddVBand="0" w:evenVBand="0" w:oddHBand="0" w:evenHBand="0" w:firstRowFirstColumn="0" w:firstRowLastColumn="0" w:lastRowFirstColumn="0" w:lastRowLastColumn="0"/>
            <w:tcW w:w="1353" w:type="dxa"/>
            <w:noWrap/>
            <w:hideMark/>
          </w:tcPr>
          <w:p w14:paraId="3CD00976" w14:textId="77777777" w:rsidR="00C66A34" w:rsidRPr="003553E4" w:rsidRDefault="00C66A34" w:rsidP="00BE32C9">
            <w:pPr>
              <w:pStyle w:val="TableParagraph"/>
            </w:pPr>
            <w:r w:rsidRPr="003553E4">
              <w:t>Other</w:t>
            </w:r>
          </w:p>
        </w:tc>
        <w:tc>
          <w:tcPr>
            <w:tcW w:w="1347" w:type="dxa"/>
            <w:hideMark/>
          </w:tcPr>
          <w:p w14:paraId="1407C372"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D453E3">
              <w:t>-3.1%</w:t>
            </w:r>
          </w:p>
        </w:tc>
      </w:tr>
      <w:tr w:rsidR="00C66A34" w:rsidRPr="003553E4" w14:paraId="1B83D0EB" w14:textId="77777777" w:rsidTr="00CA0F88">
        <w:trPr>
          <w:cnfStyle w:val="010000000000" w:firstRow="0" w:lastRow="1"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53" w:type="dxa"/>
            <w:noWrap/>
            <w:hideMark/>
          </w:tcPr>
          <w:p w14:paraId="523005F7" w14:textId="77777777" w:rsidR="00C66A34" w:rsidRPr="003553E4" w:rsidRDefault="00C66A34" w:rsidP="00BE32C9">
            <w:pPr>
              <w:pStyle w:val="TableParagraph"/>
            </w:pPr>
            <w:r w:rsidRPr="003553E4">
              <w:t>Total</w:t>
            </w:r>
          </w:p>
        </w:tc>
        <w:tc>
          <w:tcPr>
            <w:tcW w:w="1347" w:type="dxa"/>
            <w:hideMark/>
          </w:tcPr>
          <w:p w14:paraId="1761BC5C"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D50532">
              <w:t>-2.9%</w:t>
            </w:r>
          </w:p>
        </w:tc>
      </w:tr>
    </w:tbl>
    <w:p w14:paraId="2AF28364" w14:textId="77777777" w:rsidR="00C66A34" w:rsidRPr="003553E4" w:rsidRDefault="00C66A34" w:rsidP="007813FB">
      <w:pPr>
        <w:pStyle w:val="TableNotes"/>
      </w:pPr>
      <w:r w:rsidRPr="003553E4">
        <w:t xml:space="preserve">Source: The result is based on all imaging claims from the 2019 CHIA all-payer medical claim data. The data is restricted to visits from members younger than 19 years old residing in Massachusetts. </w:t>
      </w:r>
    </w:p>
    <w:p w14:paraId="58A639D4" w14:textId="34B45E42" w:rsidR="0055292A" w:rsidRPr="00C5498F" w:rsidRDefault="00DC56C8" w:rsidP="00BE32C9">
      <w:r w:rsidRPr="00C5498F">
        <w:t>For greater detail by area, FTI projected utilization of imaging services by HSA and by pay</w:t>
      </w:r>
      <w:r w:rsidR="00684AA7" w:rsidRPr="00C5498F">
        <w:t>e</w:t>
      </w:r>
      <w:r w:rsidRPr="00C5498F">
        <w:t>r category for the 0 – 18 group.</w:t>
      </w:r>
      <w:r w:rsidR="00C5498F" w:rsidRPr="00C5498F">
        <w:t xml:space="preserve"> Table A1: Projected Utilization of Imaging Services by HSA and Payer, Age Group 0 – 18 (2025 – 2040)</w:t>
      </w:r>
      <w:r w:rsidRPr="00C5498F">
        <w:t xml:space="preserve"> shows projected utilization by HSA and by pay</w:t>
      </w:r>
      <w:r w:rsidR="00684AA7" w:rsidRPr="00C5498F">
        <w:t>e</w:t>
      </w:r>
      <w:r w:rsidRPr="00C5498F">
        <w:t>r type. While there is some projected decline across most of the regions, overall utilization and demand for pediatric MRI is projected to be high across all, with the largest volumes in the HSAs immediately outside of Boston. Boston remains the only area with</w:t>
      </w:r>
      <w:r w:rsidR="004A4C05" w:rsidRPr="00C5498F">
        <w:t xml:space="preserve"> </w:t>
      </w:r>
      <w:r w:rsidR="00F52021" w:rsidRPr="00C5498F">
        <w:t xml:space="preserve">projected </w:t>
      </w:r>
      <w:r w:rsidRPr="00C5498F">
        <w:t>growth, with all pay</w:t>
      </w:r>
      <w:r w:rsidR="00684AA7" w:rsidRPr="00C5498F">
        <w:t>e</w:t>
      </w:r>
      <w:r w:rsidRPr="00C5498F">
        <w:t xml:space="preserve">rs experiencing a growth rate of approximately </w:t>
      </w:r>
      <w:r w:rsidR="00D1094B">
        <w:t>8.3</w:t>
      </w:r>
      <w:r w:rsidRPr="00C5498F">
        <w:t>% or higher. The utilization for Medicaid</w:t>
      </w:r>
      <w:r w:rsidR="00F34123" w:rsidRPr="00C5498F">
        <w:t xml:space="preserve"> and MassHealth</w:t>
      </w:r>
      <w:r w:rsidRPr="00C5498F">
        <w:t xml:space="preserve"> population is projected to have some decline due to population change and mix in Central (-</w:t>
      </w:r>
      <w:r w:rsidR="00F34123" w:rsidRPr="00C5498F">
        <w:t>5.4</w:t>
      </w:r>
      <w:r w:rsidRPr="00C5498F">
        <w:t>%), Metro West (-</w:t>
      </w:r>
      <w:r w:rsidR="00F34123" w:rsidRPr="00C5498F">
        <w:t>2.8</w:t>
      </w:r>
      <w:r w:rsidRPr="00C5498F">
        <w:t>%), and Southeast (-</w:t>
      </w:r>
      <w:r w:rsidR="00F34123" w:rsidRPr="00C5498F">
        <w:t>7.9</w:t>
      </w:r>
      <w:r w:rsidRPr="00C5498F">
        <w:t>%). In the Western region, the Commercial population is projected to decline (-</w:t>
      </w:r>
      <w:r w:rsidR="00F34123" w:rsidRPr="00C5498F">
        <w:t>5.1</w:t>
      </w:r>
      <w:r w:rsidRPr="00C5498F">
        <w:t>%).</w:t>
      </w:r>
    </w:p>
    <w:p w14:paraId="63BCCAB5" w14:textId="30283DBD" w:rsidR="00DC56C8" w:rsidRDefault="00DC56C8" w:rsidP="00BE32C9">
      <w:r w:rsidRPr="0055292A">
        <w:t xml:space="preserve">In sum, the </w:t>
      </w:r>
      <w:r w:rsidR="0055292A" w:rsidRPr="0055292A">
        <w:t xml:space="preserve">utilization </w:t>
      </w:r>
      <w:r w:rsidRPr="0055292A">
        <w:t xml:space="preserve">results show </w:t>
      </w:r>
      <w:r w:rsidR="0055292A" w:rsidRPr="0055292A">
        <w:t xml:space="preserve">a high level of utilization demand in 2019 as the base year, and </w:t>
      </w:r>
      <w:r w:rsidRPr="0055292A">
        <w:t>a predicted slight decline in overall utilization of imaging services in the state of Massachusetts from 2025 – 2040</w:t>
      </w:r>
      <w:r w:rsidRPr="006C0788">
        <w:t xml:space="preserve">. This decline is driven </w:t>
      </w:r>
      <w:r>
        <w:t xml:space="preserve">primarily </w:t>
      </w:r>
      <w:r w:rsidRPr="006C0788">
        <w:t xml:space="preserve">by the projected population decline in Massachusetts for the </w:t>
      </w:r>
      <w:r>
        <w:t>0 – 18</w:t>
      </w:r>
      <w:r w:rsidRPr="006C0788">
        <w:t xml:space="preserve"> age group. Among the different regions in Massachusetts, Boston is the only region with an expected growth in utilization.</w:t>
      </w:r>
    </w:p>
    <w:p w14:paraId="5CB96688" w14:textId="77777777" w:rsidR="00DC56C8" w:rsidRPr="00DA04AB" w:rsidRDefault="00DC56C8" w:rsidP="00BE32C9">
      <w:pPr>
        <w:pStyle w:val="Heading3"/>
      </w:pPr>
      <w:bookmarkStart w:id="221" w:name="_Toc106005396"/>
      <w:bookmarkStart w:id="222" w:name="_Toc109895516"/>
      <w:r>
        <w:t xml:space="preserve">Projected </w:t>
      </w:r>
      <w:r w:rsidRPr="00DA04AB">
        <w:t>Changes in Ambulatory Surgery (ASC) Utilization</w:t>
      </w:r>
      <w:bookmarkEnd w:id="221"/>
      <w:bookmarkEnd w:id="222"/>
    </w:p>
    <w:p w14:paraId="4F9F5502" w14:textId="6DB566B9" w:rsidR="00DC56C8" w:rsidRDefault="00DC56C8" w:rsidP="00BE32C9">
      <w:r>
        <w:t>Total</w:t>
      </w:r>
      <w:r w:rsidRPr="006C0788">
        <w:t xml:space="preserve"> utilization of ambulatory surgery service for the </w:t>
      </w:r>
      <w:r>
        <w:t>0 – 18</w:t>
      </w:r>
      <w:r w:rsidRPr="006C0788">
        <w:t xml:space="preserve"> age group </w:t>
      </w:r>
      <w:r>
        <w:t xml:space="preserve">is </w:t>
      </w:r>
      <w:r w:rsidR="00333A91">
        <w:t xml:space="preserve">shown across the areas for 2019 and is </w:t>
      </w:r>
      <w:r>
        <w:t xml:space="preserve">projected to </w:t>
      </w:r>
      <w:r w:rsidRPr="006C0788">
        <w:t>decline by 3.0% between 2025 – 2040. The estimated slight rate of decline is similar to the</w:t>
      </w:r>
      <w:r>
        <w:t xml:space="preserve"> </w:t>
      </w:r>
      <w:r w:rsidRPr="006C0788">
        <w:t xml:space="preserve">decline in the </w:t>
      </w:r>
      <w:r>
        <w:t>0 – 18</w:t>
      </w:r>
      <w:r w:rsidRPr="006C0788">
        <w:t xml:space="preserve"> population. The changes in utilization of </w:t>
      </w:r>
      <w:r>
        <w:t>ambulatory surgery</w:t>
      </w:r>
      <w:r w:rsidRPr="006C0788">
        <w:t xml:space="preserve"> services vary across geographies. The </w:t>
      </w:r>
      <w:r>
        <w:t>Boston</w:t>
      </w:r>
      <w:r w:rsidRPr="006C0788">
        <w:t xml:space="preserve"> region is expected to experience an increase of 2.</w:t>
      </w:r>
      <w:r>
        <w:t>9</w:t>
      </w:r>
      <w:r w:rsidRPr="006C0788">
        <w:t>%. On the other hand, all the other regions are expected to experience a decline in utilization, ranging from -</w:t>
      </w:r>
      <w:r>
        <w:t>1.9</w:t>
      </w:r>
      <w:r w:rsidRPr="006C0788">
        <w:t xml:space="preserve">% in </w:t>
      </w:r>
      <w:r>
        <w:t>Metro West</w:t>
      </w:r>
      <w:r w:rsidRPr="006C0788">
        <w:t xml:space="preserve"> to -5.9% in Southeast.</w:t>
      </w:r>
      <w:r>
        <w:t xml:space="preserve"> </w:t>
      </w:r>
      <w:r w:rsidR="00D35B95">
        <w:fldChar w:fldCharType="begin"/>
      </w:r>
      <w:r w:rsidR="00D35B95">
        <w:instrText xml:space="preserve"> REF _Ref106622358 \h </w:instrText>
      </w:r>
      <w:r w:rsidR="00D35B95">
        <w:fldChar w:fldCharType="separate"/>
      </w:r>
      <w:r w:rsidR="00CE7C62" w:rsidRPr="00F73C6E">
        <w:t xml:space="preserve">Table </w:t>
      </w:r>
      <w:r w:rsidR="00CE7C62">
        <w:rPr>
          <w:noProof/>
        </w:rPr>
        <w:t>18</w:t>
      </w:r>
      <w:r w:rsidR="00CE7C62" w:rsidRPr="00F73C6E">
        <w:t xml:space="preserve">: </w:t>
      </w:r>
      <w:r w:rsidR="00CE7C62" w:rsidRPr="003553E4">
        <w:t>Projected Utilization of Ambulatory Su</w:t>
      </w:r>
      <w:r w:rsidR="00CE7C62" w:rsidRPr="007813FB">
        <w:t>rgery Services by HSA, Ages 0 – 18 (2025 – 2040</w:t>
      </w:r>
      <w:r w:rsidR="00CE7C62" w:rsidRPr="003553E4">
        <w:t>)</w:t>
      </w:r>
      <w:r w:rsidR="00D35B95">
        <w:fldChar w:fldCharType="end"/>
      </w:r>
      <w:r>
        <w:t xml:space="preserve"> shows projected utilization by HSA.</w:t>
      </w:r>
    </w:p>
    <w:p w14:paraId="5BCB206B" w14:textId="3A44F4DB" w:rsidR="00C66A34" w:rsidRPr="003553E4" w:rsidRDefault="00C66A34" w:rsidP="007813FB">
      <w:pPr>
        <w:pStyle w:val="Caption"/>
      </w:pPr>
      <w:bookmarkStart w:id="223" w:name="_Ref103842904"/>
      <w:bookmarkStart w:id="224" w:name="_Ref106622358"/>
      <w:bookmarkStart w:id="225" w:name="_Toc106641194"/>
      <w:bookmarkStart w:id="226" w:name="_Toc106648898"/>
      <w:bookmarkStart w:id="227" w:name="_Toc109895449"/>
      <w:r w:rsidRPr="00F73C6E">
        <w:lastRenderedPageBreak/>
        <w:t xml:space="preserve">Table </w:t>
      </w:r>
      <w:fldSimple w:instr=" SEQ Table \* ARABIC ">
        <w:r w:rsidR="00CE7C62">
          <w:rPr>
            <w:noProof/>
          </w:rPr>
          <w:t>18</w:t>
        </w:r>
      </w:fldSimple>
      <w:bookmarkEnd w:id="223"/>
      <w:r w:rsidRPr="00F73C6E">
        <w:t xml:space="preserve">: </w:t>
      </w:r>
      <w:r w:rsidRPr="003553E4">
        <w:t>Projected Utilization of Ambulatory Su</w:t>
      </w:r>
      <w:r w:rsidRPr="007813FB">
        <w:t>rgery Services by HSA, Ages 0 – 18 (2025 – 2040</w:t>
      </w:r>
      <w:r w:rsidRPr="003553E4">
        <w:t>)</w:t>
      </w:r>
      <w:bookmarkEnd w:id="224"/>
      <w:bookmarkEnd w:id="225"/>
      <w:bookmarkEnd w:id="226"/>
      <w:bookmarkEnd w:id="227"/>
    </w:p>
    <w:tbl>
      <w:tblPr>
        <w:tblStyle w:val="GridTable4-Accent11"/>
        <w:tblW w:w="9085" w:type="dxa"/>
        <w:tblLayout w:type="fixed"/>
        <w:tblLook w:val="04E0" w:firstRow="1" w:lastRow="1" w:firstColumn="1" w:lastColumn="0" w:noHBand="0" w:noVBand="1"/>
      </w:tblPr>
      <w:tblGrid>
        <w:gridCol w:w="1080"/>
        <w:gridCol w:w="1255"/>
        <w:gridCol w:w="1350"/>
        <w:gridCol w:w="1350"/>
        <w:gridCol w:w="1350"/>
        <w:gridCol w:w="1350"/>
        <w:gridCol w:w="1350"/>
      </w:tblGrid>
      <w:tr w:rsidR="00C66A34" w:rsidRPr="003553E4" w14:paraId="73395501" w14:textId="77777777" w:rsidTr="00CA0F88">
        <w:trPr>
          <w:cnfStyle w:val="100000000000" w:firstRow="1" w:lastRow="0" w:firstColumn="0" w:lastColumn="0" w:oddVBand="0" w:evenVBand="0" w:oddHBand="0" w:evenHBand="0" w:firstRowFirstColumn="0" w:firstRowLastColumn="0" w:lastRowFirstColumn="0" w:lastRowLastColumn="0"/>
          <w:cantSplit/>
          <w:trHeight w:val="576"/>
          <w:tblHeader/>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AA7954C" w14:textId="77777777" w:rsidR="00C66A34" w:rsidRPr="003553E4" w:rsidRDefault="00C66A34" w:rsidP="00BE32C9">
            <w:pPr>
              <w:pStyle w:val="TableParagraph"/>
            </w:pPr>
            <w:r w:rsidRPr="003553E4">
              <w:t>HSA No.</w:t>
            </w:r>
          </w:p>
        </w:tc>
        <w:tc>
          <w:tcPr>
            <w:tcW w:w="1255" w:type="dxa"/>
            <w:noWrap/>
            <w:hideMark/>
          </w:tcPr>
          <w:p w14:paraId="2A1731B8"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3553E4">
              <w:t>HSA</w:t>
            </w:r>
          </w:p>
        </w:tc>
        <w:tc>
          <w:tcPr>
            <w:tcW w:w="1350" w:type="dxa"/>
          </w:tcPr>
          <w:p w14:paraId="56DB20A8"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t>2025</w:t>
            </w:r>
          </w:p>
        </w:tc>
        <w:tc>
          <w:tcPr>
            <w:tcW w:w="1350" w:type="dxa"/>
          </w:tcPr>
          <w:p w14:paraId="2F80AB71"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t>2030</w:t>
            </w:r>
          </w:p>
        </w:tc>
        <w:tc>
          <w:tcPr>
            <w:tcW w:w="1350" w:type="dxa"/>
          </w:tcPr>
          <w:p w14:paraId="763DE2CB"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t>2035</w:t>
            </w:r>
          </w:p>
        </w:tc>
        <w:tc>
          <w:tcPr>
            <w:tcW w:w="1350" w:type="dxa"/>
          </w:tcPr>
          <w:p w14:paraId="3F32704B"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t>2040</w:t>
            </w:r>
          </w:p>
        </w:tc>
        <w:tc>
          <w:tcPr>
            <w:tcW w:w="1350" w:type="dxa"/>
            <w:hideMark/>
          </w:tcPr>
          <w:p w14:paraId="0D0AD27A"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3553E4">
              <w:t>% Change (2025 - 2040)</w:t>
            </w:r>
          </w:p>
        </w:tc>
      </w:tr>
      <w:tr w:rsidR="00C66A34" w:rsidRPr="003553E4" w14:paraId="450505D1" w14:textId="77777777" w:rsidTr="00CA0F88">
        <w:trPr>
          <w:cantSplit/>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97EFA86" w14:textId="77777777" w:rsidR="00C66A34" w:rsidRPr="003553E4" w:rsidRDefault="00C66A34" w:rsidP="00BE32C9">
            <w:pPr>
              <w:pStyle w:val="TableParagraph"/>
            </w:pPr>
            <w:r w:rsidRPr="003553E4">
              <w:t>6</w:t>
            </w:r>
          </w:p>
        </w:tc>
        <w:tc>
          <w:tcPr>
            <w:tcW w:w="1255" w:type="dxa"/>
            <w:noWrap/>
            <w:hideMark/>
          </w:tcPr>
          <w:p w14:paraId="175DEDEE"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Boston</w:t>
            </w:r>
          </w:p>
        </w:tc>
        <w:tc>
          <w:tcPr>
            <w:tcW w:w="1350" w:type="dxa"/>
          </w:tcPr>
          <w:p w14:paraId="097D71B2"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13,364 </w:t>
            </w:r>
          </w:p>
        </w:tc>
        <w:tc>
          <w:tcPr>
            <w:tcW w:w="1350" w:type="dxa"/>
          </w:tcPr>
          <w:p w14:paraId="2C7F6FEA"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13,621 </w:t>
            </w:r>
          </w:p>
        </w:tc>
        <w:tc>
          <w:tcPr>
            <w:tcW w:w="1350" w:type="dxa"/>
          </w:tcPr>
          <w:p w14:paraId="2FF52AF7"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13,731 </w:t>
            </w:r>
          </w:p>
        </w:tc>
        <w:tc>
          <w:tcPr>
            <w:tcW w:w="1350" w:type="dxa"/>
          </w:tcPr>
          <w:p w14:paraId="6B7E2017"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13,747 </w:t>
            </w:r>
          </w:p>
        </w:tc>
        <w:tc>
          <w:tcPr>
            <w:tcW w:w="1350" w:type="dxa"/>
            <w:noWrap/>
            <w:hideMark/>
          </w:tcPr>
          <w:p w14:paraId="60A214CE"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2.9%</w:t>
            </w:r>
          </w:p>
        </w:tc>
      </w:tr>
      <w:tr w:rsidR="00C66A34" w:rsidRPr="003553E4" w14:paraId="3B306B78" w14:textId="77777777" w:rsidTr="00CA0F88">
        <w:trPr>
          <w:cantSplit/>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CBCFABD" w14:textId="77777777" w:rsidR="00C66A34" w:rsidRPr="003553E4" w:rsidRDefault="00C66A34" w:rsidP="00BE32C9">
            <w:pPr>
              <w:pStyle w:val="TableParagraph"/>
            </w:pPr>
            <w:r w:rsidRPr="003553E4">
              <w:t>5</w:t>
            </w:r>
          </w:p>
        </w:tc>
        <w:tc>
          <w:tcPr>
            <w:tcW w:w="1255" w:type="dxa"/>
            <w:noWrap/>
            <w:hideMark/>
          </w:tcPr>
          <w:p w14:paraId="28EC205E"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Southeast</w:t>
            </w:r>
          </w:p>
        </w:tc>
        <w:tc>
          <w:tcPr>
            <w:tcW w:w="1350" w:type="dxa"/>
          </w:tcPr>
          <w:p w14:paraId="05A28BCC"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17,929 </w:t>
            </w:r>
          </w:p>
        </w:tc>
        <w:tc>
          <w:tcPr>
            <w:tcW w:w="1350" w:type="dxa"/>
          </w:tcPr>
          <w:p w14:paraId="47D9B5D3"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17,569 </w:t>
            </w:r>
          </w:p>
        </w:tc>
        <w:tc>
          <w:tcPr>
            <w:tcW w:w="1350" w:type="dxa"/>
          </w:tcPr>
          <w:p w14:paraId="062139A5"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17,163 </w:t>
            </w:r>
          </w:p>
        </w:tc>
        <w:tc>
          <w:tcPr>
            <w:tcW w:w="1350" w:type="dxa"/>
          </w:tcPr>
          <w:p w14:paraId="43AD2830"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16,881 </w:t>
            </w:r>
          </w:p>
        </w:tc>
        <w:tc>
          <w:tcPr>
            <w:tcW w:w="1350" w:type="dxa"/>
            <w:noWrap/>
            <w:hideMark/>
          </w:tcPr>
          <w:p w14:paraId="64EB8A95"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-5.9%</w:t>
            </w:r>
          </w:p>
        </w:tc>
      </w:tr>
      <w:tr w:rsidR="00C66A34" w:rsidRPr="003553E4" w14:paraId="621B2A34" w14:textId="77777777" w:rsidTr="00CA0F88">
        <w:trPr>
          <w:cantSplit/>
          <w:trHeight w:val="276"/>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B979F4D" w14:textId="77777777" w:rsidR="00C66A34" w:rsidRPr="003553E4" w:rsidRDefault="00C66A34" w:rsidP="00BE32C9">
            <w:pPr>
              <w:pStyle w:val="TableParagraph"/>
            </w:pPr>
            <w:r w:rsidRPr="003553E4">
              <w:t>4</w:t>
            </w:r>
          </w:p>
        </w:tc>
        <w:tc>
          <w:tcPr>
            <w:tcW w:w="1255" w:type="dxa"/>
            <w:noWrap/>
            <w:hideMark/>
          </w:tcPr>
          <w:p w14:paraId="12C73C78"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Metro West</w:t>
            </w:r>
          </w:p>
        </w:tc>
        <w:tc>
          <w:tcPr>
            <w:tcW w:w="1350" w:type="dxa"/>
          </w:tcPr>
          <w:p w14:paraId="006785DD"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19,544 </w:t>
            </w:r>
          </w:p>
        </w:tc>
        <w:tc>
          <w:tcPr>
            <w:tcW w:w="1350" w:type="dxa"/>
          </w:tcPr>
          <w:p w14:paraId="1E872097"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19,260 </w:t>
            </w:r>
          </w:p>
        </w:tc>
        <w:tc>
          <w:tcPr>
            <w:tcW w:w="1350" w:type="dxa"/>
          </w:tcPr>
          <w:p w14:paraId="40FA0844"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19,102 </w:t>
            </w:r>
          </w:p>
        </w:tc>
        <w:tc>
          <w:tcPr>
            <w:tcW w:w="1350" w:type="dxa"/>
          </w:tcPr>
          <w:p w14:paraId="531BDE89"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19,172 </w:t>
            </w:r>
          </w:p>
        </w:tc>
        <w:tc>
          <w:tcPr>
            <w:tcW w:w="1350" w:type="dxa"/>
            <w:noWrap/>
            <w:hideMark/>
          </w:tcPr>
          <w:p w14:paraId="6F3512B2"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-1.9%</w:t>
            </w:r>
          </w:p>
        </w:tc>
      </w:tr>
      <w:tr w:rsidR="00C66A34" w:rsidRPr="003553E4" w14:paraId="140E136D" w14:textId="77777777" w:rsidTr="00CA0F88">
        <w:trPr>
          <w:cantSplit/>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72EEA53" w14:textId="77777777" w:rsidR="00C66A34" w:rsidRPr="003553E4" w:rsidRDefault="00C66A34" w:rsidP="00BE32C9">
            <w:pPr>
              <w:pStyle w:val="TableParagraph"/>
            </w:pPr>
            <w:r w:rsidRPr="003553E4">
              <w:t>3</w:t>
            </w:r>
          </w:p>
        </w:tc>
        <w:tc>
          <w:tcPr>
            <w:tcW w:w="1255" w:type="dxa"/>
            <w:noWrap/>
            <w:hideMark/>
          </w:tcPr>
          <w:p w14:paraId="6DE05F65"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Northeast</w:t>
            </w:r>
          </w:p>
        </w:tc>
        <w:tc>
          <w:tcPr>
            <w:tcW w:w="1350" w:type="dxa"/>
          </w:tcPr>
          <w:p w14:paraId="53B89F73"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19,936 </w:t>
            </w:r>
          </w:p>
        </w:tc>
        <w:tc>
          <w:tcPr>
            <w:tcW w:w="1350" w:type="dxa"/>
          </w:tcPr>
          <w:p w14:paraId="6CC9DF0F"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19,622 </w:t>
            </w:r>
          </w:p>
        </w:tc>
        <w:tc>
          <w:tcPr>
            <w:tcW w:w="1350" w:type="dxa"/>
          </w:tcPr>
          <w:p w14:paraId="177F2BF3"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19,263 </w:t>
            </w:r>
          </w:p>
        </w:tc>
        <w:tc>
          <w:tcPr>
            <w:tcW w:w="1350" w:type="dxa"/>
          </w:tcPr>
          <w:p w14:paraId="04C5D988"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19,092 </w:t>
            </w:r>
          </w:p>
        </w:tc>
        <w:tc>
          <w:tcPr>
            <w:tcW w:w="1350" w:type="dxa"/>
            <w:noWrap/>
            <w:hideMark/>
          </w:tcPr>
          <w:p w14:paraId="3536D820"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-4.3%</w:t>
            </w:r>
          </w:p>
        </w:tc>
      </w:tr>
      <w:tr w:rsidR="00C66A34" w:rsidRPr="003553E4" w14:paraId="22ECAE43" w14:textId="77777777" w:rsidTr="00CA0F88">
        <w:trPr>
          <w:cantSplit/>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B0C013B" w14:textId="77777777" w:rsidR="00C66A34" w:rsidRPr="003553E4" w:rsidRDefault="00C66A34" w:rsidP="00BE32C9">
            <w:pPr>
              <w:pStyle w:val="TableParagraph"/>
            </w:pPr>
            <w:r w:rsidRPr="003553E4">
              <w:t>2</w:t>
            </w:r>
          </w:p>
        </w:tc>
        <w:tc>
          <w:tcPr>
            <w:tcW w:w="1255" w:type="dxa"/>
            <w:noWrap/>
            <w:hideMark/>
          </w:tcPr>
          <w:p w14:paraId="16981CF6"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Central</w:t>
            </w:r>
          </w:p>
        </w:tc>
        <w:tc>
          <w:tcPr>
            <w:tcW w:w="1350" w:type="dxa"/>
          </w:tcPr>
          <w:p w14:paraId="649BCBD4"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13,283 </w:t>
            </w:r>
          </w:p>
        </w:tc>
        <w:tc>
          <w:tcPr>
            <w:tcW w:w="1350" w:type="dxa"/>
          </w:tcPr>
          <w:p w14:paraId="47E76246"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12,948 </w:t>
            </w:r>
          </w:p>
        </w:tc>
        <w:tc>
          <w:tcPr>
            <w:tcW w:w="1350" w:type="dxa"/>
          </w:tcPr>
          <w:p w14:paraId="12B2049A"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12,698 </w:t>
            </w:r>
          </w:p>
        </w:tc>
        <w:tc>
          <w:tcPr>
            <w:tcW w:w="1350" w:type="dxa"/>
          </w:tcPr>
          <w:p w14:paraId="5267545F"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12,635 </w:t>
            </w:r>
          </w:p>
        </w:tc>
        <w:tc>
          <w:tcPr>
            <w:tcW w:w="1350" w:type="dxa"/>
            <w:noWrap/>
            <w:hideMark/>
          </w:tcPr>
          <w:p w14:paraId="611CA4D7"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-4.8%</w:t>
            </w:r>
          </w:p>
        </w:tc>
      </w:tr>
      <w:tr w:rsidR="00C66A34" w:rsidRPr="003553E4" w14:paraId="26E59596" w14:textId="77777777" w:rsidTr="00CA0F88">
        <w:trPr>
          <w:cantSplit/>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CE6183A" w14:textId="77777777" w:rsidR="00C66A34" w:rsidRPr="003553E4" w:rsidRDefault="00C66A34" w:rsidP="00BE32C9">
            <w:pPr>
              <w:pStyle w:val="TableParagraph"/>
            </w:pPr>
            <w:r w:rsidRPr="003553E4">
              <w:t>1</w:t>
            </w:r>
          </w:p>
        </w:tc>
        <w:tc>
          <w:tcPr>
            <w:tcW w:w="1255" w:type="dxa"/>
            <w:noWrap/>
            <w:hideMark/>
          </w:tcPr>
          <w:p w14:paraId="523C6BBF"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Western</w:t>
            </w:r>
          </w:p>
        </w:tc>
        <w:tc>
          <w:tcPr>
            <w:tcW w:w="1350" w:type="dxa"/>
          </w:tcPr>
          <w:p w14:paraId="72FE4FD5"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13,546 </w:t>
            </w:r>
          </w:p>
        </w:tc>
        <w:tc>
          <w:tcPr>
            <w:tcW w:w="1350" w:type="dxa"/>
          </w:tcPr>
          <w:p w14:paraId="2149893B"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13,305 </w:t>
            </w:r>
          </w:p>
        </w:tc>
        <w:tc>
          <w:tcPr>
            <w:tcW w:w="1350" w:type="dxa"/>
          </w:tcPr>
          <w:p w14:paraId="1D2250D0"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13,100 </w:t>
            </w:r>
          </w:p>
        </w:tc>
        <w:tc>
          <w:tcPr>
            <w:tcW w:w="1350" w:type="dxa"/>
          </w:tcPr>
          <w:p w14:paraId="4882EDC4"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14CAE">
              <w:t xml:space="preserve"> 13,092 </w:t>
            </w:r>
          </w:p>
        </w:tc>
        <w:tc>
          <w:tcPr>
            <w:tcW w:w="1350" w:type="dxa"/>
            <w:noWrap/>
            <w:hideMark/>
          </w:tcPr>
          <w:p w14:paraId="61E84680"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-3.2%</w:t>
            </w:r>
          </w:p>
        </w:tc>
      </w:tr>
      <w:tr w:rsidR="00C66A34" w:rsidRPr="003553E4" w14:paraId="5CC4EAD5" w14:textId="77777777" w:rsidTr="00CA0F88">
        <w:trPr>
          <w:cnfStyle w:val="010000000000" w:firstRow="0" w:lastRow="1" w:firstColumn="0" w:lastColumn="0" w:oddVBand="0" w:evenVBand="0" w:oddHBand="0"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0A86359" w14:textId="77777777" w:rsidR="00C66A34" w:rsidRPr="003553E4" w:rsidRDefault="00C66A34" w:rsidP="00BE32C9">
            <w:pPr>
              <w:pStyle w:val="TableParagraph"/>
            </w:pPr>
            <w:r w:rsidRPr="003553E4">
              <w:t>Total</w:t>
            </w:r>
          </w:p>
        </w:tc>
        <w:tc>
          <w:tcPr>
            <w:tcW w:w="1255" w:type="dxa"/>
            <w:noWrap/>
            <w:hideMark/>
          </w:tcPr>
          <w:p w14:paraId="66F82E96"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3553E4">
              <w:t> </w:t>
            </w:r>
          </w:p>
        </w:tc>
        <w:tc>
          <w:tcPr>
            <w:tcW w:w="1350" w:type="dxa"/>
          </w:tcPr>
          <w:p w14:paraId="5A2027DA"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A14CAE">
              <w:t xml:space="preserve"> 97,602 </w:t>
            </w:r>
          </w:p>
        </w:tc>
        <w:tc>
          <w:tcPr>
            <w:tcW w:w="1350" w:type="dxa"/>
          </w:tcPr>
          <w:p w14:paraId="1EA5BD99"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A14CAE">
              <w:t xml:space="preserve"> 96,325 </w:t>
            </w:r>
          </w:p>
        </w:tc>
        <w:tc>
          <w:tcPr>
            <w:tcW w:w="1350" w:type="dxa"/>
          </w:tcPr>
          <w:p w14:paraId="57676388"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A14CAE">
              <w:t xml:space="preserve"> 95,057 </w:t>
            </w:r>
          </w:p>
        </w:tc>
        <w:tc>
          <w:tcPr>
            <w:tcW w:w="1350" w:type="dxa"/>
          </w:tcPr>
          <w:p w14:paraId="34624727"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A14CAE">
              <w:t xml:space="preserve"> 94,619 </w:t>
            </w:r>
          </w:p>
        </w:tc>
        <w:tc>
          <w:tcPr>
            <w:tcW w:w="1350" w:type="dxa"/>
            <w:noWrap/>
            <w:hideMark/>
          </w:tcPr>
          <w:p w14:paraId="3950687A"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3553E4">
              <w:t>-3.0%</w:t>
            </w:r>
          </w:p>
        </w:tc>
      </w:tr>
    </w:tbl>
    <w:p w14:paraId="0971D768" w14:textId="77777777" w:rsidR="00C66A34" w:rsidRPr="003553E4" w:rsidRDefault="00C66A34" w:rsidP="007813FB">
      <w:pPr>
        <w:pStyle w:val="TableNotes"/>
      </w:pPr>
      <w:r w:rsidRPr="003553E4">
        <w:t xml:space="preserve">Source: The result is based on ASC claims from the 2019 CHIA all-payer medical claim data. The data is restricted to visits from members younger than 19 years old residing in Massachusetts. </w:t>
      </w:r>
    </w:p>
    <w:p w14:paraId="6DCC0305" w14:textId="03C6CA71" w:rsidR="00DC56C8" w:rsidRDefault="00DC56C8" w:rsidP="00BE32C9">
      <w:r w:rsidRPr="006C0788">
        <w:t xml:space="preserve">We projected the utilization of </w:t>
      </w:r>
      <w:r>
        <w:t>ambulatory surgery</w:t>
      </w:r>
      <w:r w:rsidRPr="006C0788">
        <w:t xml:space="preserve"> services for the </w:t>
      </w:r>
      <w:r>
        <w:t>0 – 18</w:t>
      </w:r>
      <w:r w:rsidRPr="006C0788">
        <w:t xml:space="preserve"> group will experience a decline across all pay</w:t>
      </w:r>
      <w:r w:rsidR="00684AA7">
        <w:t>e</w:t>
      </w:r>
      <w:r w:rsidRPr="006C0788">
        <w:t>r types. The rates of decline</w:t>
      </w:r>
      <w:r>
        <w:t xml:space="preserve"> across pay</w:t>
      </w:r>
      <w:r w:rsidR="00684AA7">
        <w:t>e</w:t>
      </w:r>
      <w:r>
        <w:t>rs</w:t>
      </w:r>
      <w:r w:rsidRPr="006C0788">
        <w:t xml:space="preserve"> vary. The utilization for </w:t>
      </w:r>
      <w:r w:rsidR="00F34123">
        <w:t xml:space="preserve">Medicaid and </w:t>
      </w:r>
      <w:r w:rsidRPr="00F3071C">
        <w:t>MassHealth group</w:t>
      </w:r>
      <w:r w:rsidRPr="006C0788">
        <w:t xml:space="preserve"> will experience the smallest decline (-</w:t>
      </w:r>
      <w:r w:rsidR="00F34123">
        <w:t>2,2</w:t>
      </w:r>
      <w:r w:rsidRPr="006C0788">
        <w:t>%), while the utilization for All Other group will experience the largest decline (-</w:t>
      </w:r>
      <w:r w:rsidR="00F34123">
        <w:t>5.0</w:t>
      </w:r>
      <w:r w:rsidRPr="006C0788">
        <w:t>%).</w:t>
      </w:r>
      <w:r>
        <w:t xml:space="preserve"> </w:t>
      </w:r>
      <w:r w:rsidR="00D35B95">
        <w:fldChar w:fldCharType="begin"/>
      </w:r>
      <w:r w:rsidR="00D35B95">
        <w:instrText xml:space="preserve"> REF _Ref106622367 \h </w:instrText>
      </w:r>
      <w:r w:rsidR="00D35B95">
        <w:fldChar w:fldCharType="separate"/>
      </w:r>
      <w:r w:rsidR="00CE7C62" w:rsidRPr="003553E4">
        <w:t xml:space="preserve">Table </w:t>
      </w:r>
      <w:r w:rsidR="00CE7C62">
        <w:rPr>
          <w:noProof/>
        </w:rPr>
        <w:t>19</w:t>
      </w:r>
      <w:r w:rsidR="00CE7C62" w:rsidRPr="003553E4">
        <w:t xml:space="preserve">: </w:t>
      </w:r>
      <w:r w:rsidR="00CE7C62" w:rsidRPr="00173109">
        <w:t xml:space="preserve">Projected Utilization of Ambulatory Surgery Services by Payer, </w:t>
      </w:r>
      <w:r w:rsidR="00CE7C62">
        <w:t>Ages 0</w:t>
      </w:r>
      <w:r w:rsidR="00CE7C62" w:rsidRPr="00173109">
        <w:t xml:space="preserve"> – 18 (2025 – 2040)</w:t>
      </w:r>
      <w:r w:rsidR="00D35B95">
        <w:fldChar w:fldCharType="end"/>
      </w:r>
      <w:r>
        <w:t xml:space="preserve"> shows projected utilization by pay</w:t>
      </w:r>
      <w:r w:rsidR="00684AA7">
        <w:t>e</w:t>
      </w:r>
      <w:r>
        <w:t xml:space="preserve">r category. </w:t>
      </w:r>
      <w:r w:rsidRPr="00544125">
        <w:t>The largest numeric declines are in commercial, although the overall reduction is modest.</w:t>
      </w:r>
      <w:r>
        <w:t xml:space="preserve"> The predicted utilization shows substantial volumes split between Medicaid</w:t>
      </w:r>
      <w:r w:rsidR="00A920B6">
        <w:t>/MassHealth</w:t>
      </w:r>
      <w:r>
        <w:t xml:space="preserve"> and Commercial, indicating ongoing demand for ASC services by Medicaid and MassHealth populations.</w:t>
      </w:r>
    </w:p>
    <w:p w14:paraId="737F7CB2" w14:textId="40B900F7" w:rsidR="00C66A34" w:rsidRPr="00173109" w:rsidRDefault="00C66A34" w:rsidP="007813FB">
      <w:pPr>
        <w:pStyle w:val="Caption"/>
      </w:pPr>
      <w:bookmarkStart w:id="228" w:name="_Ref103842923"/>
      <w:bookmarkStart w:id="229" w:name="_Ref106622367"/>
      <w:bookmarkStart w:id="230" w:name="_Toc106641195"/>
      <w:bookmarkStart w:id="231" w:name="_Toc106648899"/>
      <w:bookmarkStart w:id="232" w:name="_Toc109895450"/>
      <w:r w:rsidRPr="003553E4">
        <w:t xml:space="preserve">Table </w:t>
      </w:r>
      <w:fldSimple w:instr=" SEQ Table \* ARABIC ">
        <w:r w:rsidR="00CE7C62">
          <w:rPr>
            <w:noProof/>
          </w:rPr>
          <w:t>19</w:t>
        </w:r>
      </w:fldSimple>
      <w:bookmarkEnd w:id="228"/>
      <w:r w:rsidRPr="003553E4">
        <w:t xml:space="preserve">: </w:t>
      </w:r>
      <w:r w:rsidRPr="00173109">
        <w:t xml:space="preserve">Projected Utilization of Ambulatory Surgery Services by Payer, </w:t>
      </w:r>
      <w:r>
        <w:t>Ages 0</w:t>
      </w:r>
      <w:r w:rsidRPr="00173109">
        <w:t xml:space="preserve"> – 18 (2025 – 2040)</w:t>
      </w:r>
      <w:bookmarkEnd w:id="229"/>
      <w:bookmarkEnd w:id="230"/>
      <w:bookmarkEnd w:id="231"/>
      <w:bookmarkEnd w:id="232"/>
    </w:p>
    <w:tbl>
      <w:tblPr>
        <w:tblStyle w:val="GridTable4-Accent11"/>
        <w:tblW w:w="2695" w:type="dxa"/>
        <w:tblLook w:val="04E0" w:firstRow="1" w:lastRow="1" w:firstColumn="1" w:lastColumn="0" w:noHBand="0" w:noVBand="1"/>
      </w:tblPr>
      <w:tblGrid>
        <w:gridCol w:w="1323"/>
        <w:gridCol w:w="1372"/>
      </w:tblGrid>
      <w:tr w:rsidR="00C66A34" w:rsidRPr="003553E4" w14:paraId="7267FB7D" w14:textId="77777777" w:rsidTr="00CA0F88">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1323" w:type="dxa"/>
            <w:noWrap/>
            <w:hideMark/>
          </w:tcPr>
          <w:p w14:paraId="7CDFAC46" w14:textId="77777777" w:rsidR="00C66A34" w:rsidRPr="003553E4" w:rsidRDefault="00C66A34" w:rsidP="00BE32C9">
            <w:pPr>
              <w:pStyle w:val="TableParagraph"/>
            </w:pPr>
            <w:r w:rsidRPr="003553E4">
              <w:t>Payer Category</w:t>
            </w:r>
          </w:p>
        </w:tc>
        <w:tc>
          <w:tcPr>
            <w:tcW w:w="1372" w:type="dxa"/>
            <w:hideMark/>
          </w:tcPr>
          <w:p w14:paraId="2BE10420"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3553E4">
              <w:t>% Change (2025 - 2040)</w:t>
            </w:r>
          </w:p>
        </w:tc>
      </w:tr>
      <w:tr w:rsidR="00C66A34" w:rsidRPr="003553E4" w14:paraId="4FF8218F" w14:textId="77777777" w:rsidTr="00CA0F88">
        <w:trPr>
          <w:cantSplit/>
          <w:trHeight w:val="300"/>
        </w:trPr>
        <w:tc>
          <w:tcPr>
            <w:cnfStyle w:val="001000000000" w:firstRow="0" w:lastRow="0" w:firstColumn="1" w:lastColumn="0" w:oddVBand="0" w:evenVBand="0" w:oddHBand="0" w:evenHBand="0" w:firstRowFirstColumn="0" w:firstRowLastColumn="0" w:lastRowFirstColumn="0" w:lastRowLastColumn="0"/>
            <w:tcW w:w="1323" w:type="dxa"/>
            <w:noWrap/>
            <w:hideMark/>
          </w:tcPr>
          <w:p w14:paraId="1A27EFA3" w14:textId="77777777" w:rsidR="00C66A34" w:rsidRPr="003553E4" w:rsidRDefault="00C66A34" w:rsidP="00BE32C9">
            <w:pPr>
              <w:pStyle w:val="TableParagraph"/>
            </w:pPr>
            <w:r w:rsidRPr="003553E4">
              <w:t>Medicaid</w:t>
            </w:r>
          </w:p>
        </w:tc>
        <w:tc>
          <w:tcPr>
            <w:tcW w:w="1372" w:type="dxa"/>
            <w:noWrap/>
            <w:hideMark/>
          </w:tcPr>
          <w:p w14:paraId="0920F232"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46211">
              <w:t>-2.2%</w:t>
            </w:r>
          </w:p>
        </w:tc>
      </w:tr>
      <w:tr w:rsidR="00C66A34" w:rsidRPr="003553E4" w14:paraId="3856A5D3" w14:textId="77777777" w:rsidTr="00CA0F88">
        <w:trPr>
          <w:cantSplit/>
          <w:trHeight w:val="300"/>
        </w:trPr>
        <w:tc>
          <w:tcPr>
            <w:cnfStyle w:val="001000000000" w:firstRow="0" w:lastRow="0" w:firstColumn="1" w:lastColumn="0" w:oddVBand="0" w:evenVBand="0" w:oddHBand="0" w:evenHBand="0" w:firstRowFirstColumn="0" w:firstRowLastColumn="0" w:lastRowFirstColumn="0" w:lastRowLastColumn="0"/>
            <w:tcW w:w="1323" w:type="dxa"/>
            <w:noWrap/>
            <w:hideMark/>
          </w:tcPr>
          <w:p w14:paraId="7D2C4A08" w14:textId="77777777" w:rsidR="00C66A34" w:rsidRPr="003553E4" w:rsidRDefault="00C66A34" w:rsidP="00BE32C9">
            <w:pPr>
              <w:pStyle w:val="TableParagraph"/>
            </w:pPr>
            <w:r w:rsidRPr="003553E4">
              <w:t>Commercial</w:t>
            </w:r>
          </w:p>
        </w:tc>
        <w:tc>
          <w:tcPr>
            <w:tcW w:w="1372" w:type="dxa"/>
            <w:noWrap/>
            <w:hideMark/>
          </w:tcPr>
          <w:p w14:paraId="27210201"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46211">
              <w:t>-4.1%</w:t>
            </w:r>
          </w:p>
        </w:tc>
      </w:tr>
      <w:tr w:rsidR="00C66A34" w:rsidRPr="003553E4" w14:paraId="191E478A" w14:textId="77777777" w:rsidTr="00CA0F88">
        <w:trPr>
          <w:cantSplit/>
          <w:trHeight w:val="300"/>
        </w:trPr>
        <w:tc>
          <w:tcPr>
            <w:cnfStyle w:val="001000000000" w:firstRow="0" w:lastRow="0" w:firstColumn="1" w:lastColumn="0" w:oddVBand="0" w:evenVBand="0" w:oddHBand="0" w:evenHBand="0" w:firstRowFirstColumn="0" w:firstRowLastColumn="0" w:lastRowFirstColumn="0" w:lastRowLastColumn="0"/>
            <w:tcW w:w="1323" w:type="dxa"/>
            <w:noWrap/>
            <w:hideMark/>
          </w:tcPr>
          <w:p w14:paraId="6F2451BD" w14:textId="77777777" w:rsidR="00C66A34" w:rsidRPr="003553E4" w:rsidRDefault="00C66A34" w:rsidP="00BE32C9">
            <w:pPr>
              <w:pStyle w:val="TableParagraph"/>
            </w:pPr>
            <w:r w:rsidRPr="003553E4">
              <w:t>Other</w:t>
            </w:r>
          </w:p>
        </w:tc>
        <w:tc>
          <w:tcPr>
            <w:tcW w:w="1372" w:type="dxa"/>
            <w:noWrap/>
            <w:hideMark/>
          </w:tcPr>
          <w:p w14:paraId="5F60A171"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A46211">
              <w:t>-5.0%</w:t>
            </w:r>
          </w:p>
        </w:tc>
      </w:tr>
      <w:tr w:rsidR="00C66A34" w:rsidRPr="003553E4" w14:paraId="0DD99D84" w14:textId="77777777" w:rsidTr="00CA0F88">
        <w:trPr>
          <w:cnfStyle w:val="010000000000" w:firstRow="0" w:lastRow="1"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323" w:type="dxa"/>
            <w:noWrap/>
            <w:hideMark/>
          </w:tcPr>
          <w:p w14:paraId="39AB4AA8" w14:textId="77777777" w:rsidR="00C66A34" w:rsidRPr="003553E4" w:rsidRDefault="00C66A34" w:rsidP="00BE32C9">
            <w:pPr>
              <w:pStyle w:val="TableParagraph"/>
            </w:pPr>
            <w:r w:rsidRPr="003553E4">
              <w:t>Total</w:t>
            </w:r>
          </w:p>
        </w:tc>
        <w:tc>
          <w:tcPr>
            <w:tcW w:w="1372" w:type="dxa"/>
            <w:noWrap/>
            <w:hideMark/>
          </w:tcPr>
          <w:p w14:paraId="7B5BDA7B"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D50532">
              <w:t>-3.1%</w:t>
            </w:r>
          </w:p>
        </w:tc>
      </w:tr>
    </w:tbl>
    <w:p w14:paraId="707C9C1B" w14:textId="77777777" w:rsidR="00C66A34" w:rsidRPr="003553E4" w:rsidRDefault="00C66A34" w:rsidP="007813FB">
      <w:pPr>
        <w:pStyle w:val="TableNotes"/>
      </w:pPr>
      <w:r w:rsidRPr="003553E4">
        <w:t xml:space="preserve">Source: The result is based on ASC claims from the 2019 CHIA all-payer medical claim data. The data is restricted to visits from members younger than 19 years old residing in Massachusetts. </w:t>
      </w:r>
    </w:p>
    <w:p w14:paraId="0B9458AA" w14:textId="362C16E9" w:rsidR="00DC56C8" w:rsidRPr="006C0788" w:rsidRDefault="00DC56C8" w:rsidP="00BE32C9">
      <w:r>
        <w:t>Projected</w:t>
      </w:r>
      <w:r w:rsidRPr="006C0788">
        <w:t xml:space="preserve"> utilization of ambulatory surgery services </w:t>
      </w:r>
      <w:r>
        <w:t xml:space="preserve">was also estimated </w:t>
      </w:r>
      <w:r w:rsidRPr="006C0788">
        <w:t xml:space="preserve">by </w:t>
      </w:r>
      <w:r>
        <w:t xml:space="preserve">both </w:t>
      </w:r>
      <w:r w:rsidRPr="006C0788">
        <w:t>HSA and by pay</w:t>
      </w:r>
      <w:r w:rsidR="00684AA7">
        <w:t>e</w:t>
      </w:r>
      <w:r w:rsidRPr="006C0788">
        <w:t xml:space="preserve">r category for the </w:t>
      </w:r>
      <w:r>
        <w:t>0 – 18</w:t>
      </w:r>
      <w:r w:rsidRPr="006C0788">
        <w:t xml:space="preserve"> group. </w:t>
      </w:r>
      <w:r w:rsidR="007F7139">
        <w:t xml:space="preserve">Table A2: </w:t>
      </w:r>
      <w:r w:rsidR="007F7139" w:rsidRPr="00576AF8">
        <w:t>Projected Utilization of Ambulatory Surgery Services by HSA and Pay</w:t>
      </w:r>
      <w:r w:rsidR="007F7139">
        <w:t>e</w:t>
      </w:r>
      <w:r w:rsidR="007F7139" w:rsidRPr="00576AF8">
        <w:t>r, Age Group 0 – 18 (2025 – 2040)</w:t>
      </w:r>
      <w:r w:rsidR="007F7139">
        <w:t xml:space="preserve"> </w:t>
      </w:r>
      <w:r>
        <w:t>presents projected utilization by HSA and by pay</w:t>
      </w:r>
      <w:r w:rsidR="00684AA7">
        <w:t>e</w:t>
      </w:r>
      <w:r>
        <w:t xml:space="preserve">r category. </w:t>
      </w:r>
      <w:r w:rsidRPr="006C0788">
        <w:t xml:space="preserve">Within Boston, utilization for </w:t>
      </w:r>
      <w:r w:rsidR="00F3071C">
        <w:t>MassHealth/</w:t>
      </w:r>
      <w:r w:rsidRPr="00F3071C">
        <w:t>Medicaid</w:t>
      </w:r>
      <w:r w:rsidR="00F3071C">
        <w:t xml:space="preserve"> and </w:t>
      </w:r>
      <w:r w:rsidRPr="00F3071C">
        <w:t>Commercial are expected to increase. In the Central region</w:t>
      </w:r>
      <w:r w:rsidRPr="006C0788">
        <w:t>, all pay</w:t>
      </w:r>
      <w:r w:rsidR="00684AA7">
        <w:t>e</w:t>
      </w:r>
      <w:r w:rsidRPr="006C0788">
        <w:t xml:space="preserve">r categories </w:t>
      </w:r>
      <w:r>
        <w:t>are projected to</w:t>
      </w:r>
      <w:r w:rsidRPr="006C0788">
        <w:t xml:space="preserve"> decline ranging from </w:t>
      </w:r>
      <w:r>
        <w:t>-4.</w:t>
      </w:r>
      <w:r w:rsidR="00F34123">
        <w:t>4</w:t>
      </w:r>
      <w:r w:rsidRPr="006C0788">
        <w:t xml:space="preserve">% for </w:t>
      </w:r>
      <w:r>
        <w:t>MassHealth</w:t>
      </w:r>
      <w:r w:rsidRPr="006C0788">
        <w:t xml:space="preserve"> to </w:t>
      </w:r>
      <w:r>
        <w:t>–</w:t>
      </w:r>
      <w:r w:rsidR="00F34123">
        <w:t>8.4</w:t>
      </w:r>
      <w:r w:rsidRPr="006C0788">
        <w:t xml:space="preserve">% for </w:t>
      </w:r>
      <w:r>
        <w:t>All Other</w:t>
      </w:r>
      <w:r w:rsidRPr="006C0788">
        <w:t xml:space="preserve">. The Metro West region </w:t>
      </w:r>
      <w:r>
        <w:t>are projected to</w:t>
      </w:r>
      <w:r w:rsidRPr="006C0788">
        <w:t xml:space="preserve"> decline for all pay</w:t>
      </w:r>
      <w:r w:rsidR="00684AA7">
        <w:t>e</w:t>
      </w:r>
      <w:r w:rsidRPr="006C0788">
        <w:t xml:space="preserve">r categories except for </w:t>
      </w:r>
      <w:r w:rsidR="00F34123">
        <w:t>All Other</w:t>
      </w:r>
      <w:r w:rsidRPr="006C0788">
        <w:t xml:space="preserve"> (</w:t>
      </w:r>
      <w:r>
        <w:t>+</w:t>
      </w:r>
      <w:r w:rsidR="00F34123">
        <w:t>11.5</w:t>
      </w:r>
      <w:r w:rsidRPr="006C0788">
        <w:t xml:space="preserve">%). The Northeast region </w:t>
      </w:r>
      <w:r>
        <w:t>is projected to decline across all pay</w:t>
      </w:r>
      <w:r w:rsidR="00684AA7">
        <w:t>e</w:t>
      </w:r>
      <w:r>
        <w:t>r categories, with Medicaid</w:t>
      </w:r>
      <w:r w:rsidR="00F34123">
        <w:t xml:space="preserve"> and MassHealth</w:t>
      </w:r>
      <w:r>
        <w:t xml:space="preserve"> experiencing the smallest drop, only -</w:t>
      </w:r>
      <w:r w:rsidR="00F34123">
        <w:t>2.7</w:t>
      </w:r>
      <w:r>
        <w:t>%</w:t>
      </w:r>
      <w:r w:rsidRPr="006C0788">
        <w:t xml:space="preserve">. The Southeast region </w:t>
      </w:r>
      <w:r>
        <w:t>is also projected to</w:t>
      </w:r>
      <w:r w:rsidRPr="006C0788">
        <w:t xml:space="preserve"> decline for all pay</w:t>
      </w:r>
      <w:r w:rsidR="00684AA7">
        <w:t>e</w:t>
      </w:r>
      <w:r w:rsidRPr="006C0788">
        <w:t>r categories</w:t>
      </w:r>
      <w:r>
        <w:t>, ranging from -</w:t>
      </w:r>
      <w:r w:rsidR="00F34123">
        <w:t>5.3</w:t>
      </w:r>
      <w:r>
        <w:t xml:space="preserve">% for Medicaid </w:t>
      </w:r>
      <w:r w:rsidR="00F34123">
        <w:t xml:space="preserve">and </w:t>
      </w:r>
      <w:r w:rsidR="00C5498F">
        <w:t>MassHealth</w:t>
      </w:r>
      <w:r w:rsidR="00F34123">
        <w:t xml:space="preserve"> </w:t>
      </w:r>
      <w:r>
        <w:t>and -6.7% for Commercial</w:t>
      </w:r>
      <w:r w:rsidRPr="006C0788">
        <w:t xml:space="preserve">. The Western region </w:t>
      </w:r>
      <w:r>
        <w:t xml:space="preserve">is projected </w:t>
      </w:r>
      <w:r>
        <w:lastRenderedPageBreak/>
        <w:t>to have</w:t>
      </w:r>
      <w:r w:rsidRPr="006C0788">
        <w:t xml:space="preserve"> stable utilization for </w:t>
      </w:r>
      <w:r>
        <w:t>All Other</w:t>
      </w:r>
      <w:r w:rsidRPr="006C0788">
        <w:t xml:space="preserve"> (0.0%) </w:t>
      </w:r>
      <w:r>
        <w:t xml:space="preserve">and slight for Medicaid </w:t>
      </w:r>
      <w:r w:rsidR="00F34123">
        <w:t xml:space="preserve">and MassHealth </w:t>
      </w:r>
      <w:r>
        <w:t>(-</w:t>
      </w:r>
      <w:r w:rsidR="009C7964">
        <w:t>2,4</w:t>
      </w:r>
      <w:r>
        <w:t>%) and Commercial (-5.4%)</w:t>
      </w:r>
      <w:r w:rsidRPr="006C0788">
        <w:t xml:space="preserve">. </w:t>
      </w:r>
    </w:p>
    <w:p w14:paraId="6CE43593" w14:textId="194C09BE" w:rsidR="00364B25" w:rsidRDefault="00364B25" w:rsidP="00BE32C9">
      <w:bookmarkStart w:id="233" w:name="_Toc106005397"/>
      <w:r w:rsidRPr="00364B25">
        <w:t xml:space="preserve">In sum, the utilization results show a high level of utilization demand in 2019 as the base year, and a predicted slight decline in overall utilization </w:t>
      </w:r>
      <w:r>
        <w:t>of ASC service</w:t>
      </w:r>
      <w:r w:rsidRPr="00364B25">
        <w:t xml:space="preserve"> in the state of Massachusetts from 2025 – 2040</w:t>
      </w:r>
      <w:r w:rsidRPr="006C0788">
        <w:t xml:space="preserve">. This decline is driven </w:t>
      </w:r>
      <w:r>
        <w:t xml:space="preserve">primarily </w:t>
      </w:r>
      <w:r w:rsidRPr="006C0788">
        <w:t xml:space="preserve">by the projected population decline in Massachusetts for the </w:t>
      </w:r>
      <w:r>
        <w:t>0 – 18</w:t>
      </w:r>
      <w:r w:rsidRPr="006C0788">
        <w:t xml:space="preserve"> age group. Among the different regions in Massachusetts, Boston is the only region with an expected growth in utilization.</w:t>
      </w:r>
    </w:p>
    <w:p w14:paraId="59A75B17" w14:textId="68D9216D" w:rsidR="00DC56C8" w:rsidRPr="00DA04AB" w:rsidRDefault="00DC56C8" w:rsidP="00BE32C9">
      <w:pPr>
        <w:pStyle w:val="Heading3"/>
      </w:pPr>
      <w:bookmarkStart w:id="234" w:name="_Toc109895517"/>
      <w:r>
        <w:t xml:space="preserve">Projected </w:t>
      </w:r>
      <w:r w:rsidRPr="00DA04AB">
        <w:t>Changes in MRI Utilization</w:t>
      </w:r>
      <w:bookmarkEnd w:id="233"/>
      <w:bookmarkEnd w:id="234"/>
    </w:p>
    <w:p w14:paraId="045E799F" w14:textId="2675CE46" w:rsidR="00DC56C8" w:rsidRDefault="00DC56C8" w:rsidP="00BE32C9">
      <w:r>
        <w:t>T</w:t>
      </w:r>
      <w:r w:rsidRPr="006C0788">
        <w:t xml:space="preserve">otal utilization of </w:t>
      </w:r>
      <w:r>
        <w:t xml:space="preserve">MRI </w:t>
      </w:r>
      <w:r w:rsidRPr="006C0788">
        <w:t xml:space="preserve">service for the </w:t>
      </w:r>
      <w:r>
        <w:t>0 – 18</w:t>
      </w:r>
      <w:r w:rsidRPr="006C0788">
        <w:t xml:space="preserve"> age group </w:t>
      </w:r>
      <w:r>
        <w:t xml:space="preserve">is </w:t>
      </w:r>
      <w:r w:rsidR="00364B25">
        <w:t xml:space="preserve">shown for current demand (2019) and is </w:t>
      </w:r>
      <w:r>
        <w:t>projected to</w:t>
      </w:r>
      <w:r w:rsidRPr="006C0788">
        <w:t xml:space="preserve"> </w:t>
      </w:r>
      <w:r>
        <w:t xml:space="preserve">have a slight </w:t>
      </w:r>
      <w:r w:rsidRPr="006C0788">
        <w:t xml:space="preserve">decline by </w:t>
      </w:r>
      <w:r>
        <w:t>2.8</w:t>
      </w:r>
      <w:r w:rsidRPr="006C0788">
        <w:t xml:space="preserve">% between 2025 – 2040. The estimated slight rate of decline is similar to the decline in the </w:t>
      </w:r>
      <w:r>
        <w:t>0 – 18</w:t>
      </w:r>
      <w:r w:rsidRPr="006C0788">
        <w:t xml:space="preserve"> population.</w:t>
      </w:r>
      <w:r>
        <w:rPr>
          <w:rStyle w:val="FootnoteReference"/>
          <w:rFonts w:cs="Times New Roman"/>
        </w:rPr>
        <w:footnoteReference w:id="61"/>
      </w:r>
      <w:r w:rsidRPr="006C0788">
        <w:t xml:space="preserve"> The changes in utilization of </w:t>
      </w:r>
      <w:r>
        <w:t>MRI</w:t>
      </w:r>
      <w:r w:rsidRPr="006C0788">
        <w:t xml:space="preserve"> services vary across geographies. The </w:t>
      </w:r>
      <w:r>
        <w:t>Boston</w:t>
      </w:r>
      <w:r w:rsidRPr="006C0788">
        <w:t xml:space="preserve"> region is expected to experience </w:t>
      </w:r>
      <w:r>
        <w:t xml:space="preserve">a </w:t>
      </w:r>
      <w:r w:rsidR="00364B25">
        <w:t>large</w:t>
      </w:r>
      <w:r w:rsidRPr="006C0788">
        <w:t xml:space="preserve"> increase of </w:t>
      </w:r>
      <w:r>
        <w:t>9.1</w:t>
      </w:r>
      <w:r w:rsidRPr="006C0788">
        <w:t xml:space="preserve">%. On the other hand, all the other regions are expected to experience a decline in utilization, ranging from </w:t>
      </w:r>
      <w:r>
        <w:t>-3.3% in Northeast to -6.1% in Southeast</w:t>
      </w:r>
      <w:r w:rsidRPr="006C0788">
        <w:t>.</w:t>
      </w:r>
      <w:r>
        <w:t xml:space="preserve"> </w:t>
      </w:r>
      <w:r w:rsidR="00D35B95">
        <w:fldChar w:fldCharType="begin"/>
      </w:r>
      <w:r w:rsidR="00D35B95">
        <w:instrText xml:space="preserve"> REF _Ref106622452 \h </w:instrText>
      </w:r>
      <w:r w:rsidR="00D35B95">
        <w:fldChar w:fldCharType="separate"/>
      </w:r>
      <w:r w:rsidR="00CE7C62" w:rsidRPr="0072667F">
        <w:t xml:space="preserve">Table </w:t>
      </w:r>
      <w:r w:rsidR="00CE7C62">
        <w:rPr>
          <w:noProof/>
        </w:rPr>
        <w:t>20</w:t>
      </w:r>
      <w:r w:rsidR="00CE7C62" w:rsidRPr="0072667F">
        <w:t xml:space="preserve">: </w:t>
      </w:r>
      <w:r w:rsidR="00CE7C62" w:rsidRPr="00A154AC">
        <w:t>Projected Utilization of MRI Services by HSA</w:t>
      </w:r>
      <w:r w:rsidR="00CE7C62" w:rsidRPr="003553E4">
        <w:t xml:space="preserve">, </w:t>
      </w:r>
      <w:r w:rsidR="00CE7C62">
        <w:t>Ages 0</w:t>
      </w:r>
      <w:r w:rsidR="00CE7C62" w:rsidRPr="003553E4">
        <w:t xml:space="preserve"> – 18 (2025 – 2040)</w:t>
      </w:r>
      <w:r w:rsidR="00D35B95">
        <w:fldChar w:fldCharType="end"/>
      </w:r>
      <w:r>
        <w:t>shows projected utilization by HSA. Metro West is the area in which both Needham and Waltham are located; these are the two largest regions for MRIs.</w:t>
      </w:r>
    </w:p>
    <w:p w14:paraId="579BC4B1" w14:textId="0A2990FD" w:rsidR="00C66A34" w:rsidRPr="003553E4" w:rsidRDefault="00C66A34" w:rsidP="007813FB">
      <w:pPr>
        <w:pStyle w:val="Caption"/>
      </w:pPr>
      <w:bookmarkStart w:id="235" w:name="_Ref104927228"/>
      <w:bookmarkStart w:id="236" w:name="_Ref106622452"/>
      <w:bookmarkStart w:id="237" w:name="_Toc106641197"/>
      <w:bookmarkStart w:id="238" w:name="_Toc106648901"/>
      <w:bookmarkStart w:id="239" w:name="_Toc109895451"/>
      <w:r w:rsidRPr="0072667F">
        <w:t xml:space="preserve">Table </w:t>
      </w:r>
      <w:fldSimple w:instr=" SEQ Table \* ARABIC ">
        <w:r w:rsidR="00CE7C62">
          <w:rPr>
            <w:noProof/>
          </w:rPr>
          <w:t>20</w:t>
        </w:r>
      </w:fldSimple>
      <w:bookmarkEnd w:id="235"/>
      <w:r w:rsidRPr="0072667F">
        <w:t xml:space="preserve">: </w:t>
      </w:r>
      <w:r w:rsidRPr="00A154AC">
        <w:t>Projected Utilization of MRI Services by HSA</w:t>
      </w:r>
      <w:r w:rsidRPr="003553E4">
        <w:t xml:space="preserve">, </w:t>
      </w:r>
      <w:r>
        <w:t>Ages 0</w:t>
      </w:r>
      <w:r w:rsidRPr="003553E4">
        <w:t xml:space="preserve"> – 18 (2025 – 2040)</w:t>
      </w:r>
      <w:bookmarkEnd w:id="236"/>
      <w:bookmarkEnd w:id="237"/>
      <w:bookmarkEnd w:id="238"/>
      <w:bookmarkEnd w:id="239"/>
    </w:p>
    <w:tbl>
      <w:tblPr>
        <w:tblStyle w:val="GridTable4-Accent11"/>
        <w:tblW w:w="8905" w:type="dxa"/>
        <w:tblLook w:val="06E0" w:firstRow="1" w:lastRow="1" w:firstColumn="1" w:lastColumn="0" w:noHBand="1" w:noVBand="1"/>
      </w:tblPr>
      <w:tblGrid>
        <w:gridCol w:w="860"/>
        <w:gridCol w:w="1295"/>
        <w:gridCol w:w="1350"/>
        <w:gridCol w:w="1350"/>
        <w:gridCol w:w="1350"/>
        <w:gridCol w:w="1350"/>
        <w:gridCol w:w="1350"/>
      </w:tblGrid>
      <w:tr w:rsidR="00C66A34" w:rsidRPr="003553E4" w14:paraId="647A969F" w14:textId="77777777" w:rsidTr="00CA0F88">
        <w:trPr>
          <w:cnfStyle w:val="100000000000" w:firstRow="1" w:lastRow="0" w:firstColumn="0" w:lastColumn="0" w:oddVBand="0" w:evenVBand="0" w:oddHBand="0" w:evenHBand="0" w:firstRowFirstColumn="0" w:firstRowLastColumn="0" w:lastRowFirstColumn="0" w:lastRowLastColumn="0"/>
          <w:cantSplit/>
          <w:trHeight w:val="576"/>
          <w:tblHeader/>
        </w:trPr>
        <w:tc>
          <w:tcPr>
            <w:cnfStyle w:val="001000000000" w:firstRow="0" w:lastRow="0" w:firstColumn="1" w:lastColumn="0" w:oddVBand="0" w:evenVBand="0" w:oddHBand="0" w:evenHBand="0" w:firstRowFirstColumn="0" w:firstRowLastColumn="0" w:lastRowFirstColumn="0" w:lastRowLastColumn="0"/>
            <w:tcW w:w="860" w:type="dxa"/>
            <w:noWrap/>
            <w:hideMark/>
          </w:tcPr>
          <w:p w14:paraId="0DD5B064" w14:textId="77777777" w:rsidR="00C66A34" w:rsidRPr="003553E4" w:rsidRDefault="00C66A34" w:rsidP="00BE32C9">
            <w:pPr>
              <w:pStyle w:val="TableParagraph"/>
            </w:pPr>
            <w:r w:rsidRPr="003553E4">
              <w:t>HSA No.</w:t>
            </w:r>
          </w:p>
        </w:tc>
        <w:tc>
          <w:tcPr>
            <w:tcW w:w="1295" w:type="dxa"/>
            <w:noWrap/>
            <w:hideMark/>
          </w:tcPr>
          <w:p w14:paraId="59DCA9FE"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3553E4">
              <w:t>HSA</w:t>
            </w:r>
          </w:p>
        </w:tc>
        <w:tc>
          <w:tcPr>
            <w:tcW w:w="1350" w:type="dxa"/>
          </w:tcPr>
          <w:p w14:paraId="017261EC"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3E0618">
              <w:t>2025</w:t>
            </w:r>
          </w:p>
        </w:tc>
        <w:tc>
          <w:tcPr>
            <w:tcW w:w="1350" w:type="dxa"/>
          </w:tcPr>
          <w:p w14:paraId="1C235CC0"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3E0618">
              <w:t>2030</w:t>
            </w:r>
          </w:p>
        </w:tc>
        <w:tc>
          <w:tcPr>
            <w:tcW w:w="1350" w:type="dxa"/>
          </w:tcPr>
          <w:p w14:paraId="13A9E634"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3E0618">
              <w:t>2035</w:t>
            </w:r>
          </w:p>
        </w:tc>
        <w:tc>
          <w:tcPr>
            <w:tcW w:w="1350" w:type="dxa"/>
          </w:tcPr>
          <w:p w14:paraId="77F11D8F"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3E0618">
              <w:t>2040</w:t>
            </w:r>
          </w:p>
        </w:tc>
        <w:tc>
          <w:tcPr>
            <w:tcW w:w="1350" w:type="dxa"/>
            <w:hideMark/>
          </w:tcPr>
          <w:p w14:paraId="7807F623" w14:textId="77777777" w:rsidR="00C66A34" w:rsidRPr="003553E4" w:rsidRDefault="00C66A34" w:rsidP="00BE32C9">
            <w:pPr>
              <w:pStyle w:val="TableParagraph"/>
              <w:cnfStyle w:val="100000000000" w:firstRow="1" w:lastRow="0" w:firstColumn="0" w:lastColumn="0" w:oddVBand="0" w:evenVBand="0" w:oddHBand="0" w:evenHBand="0" w:firstRowFirstColumn="0" w:firstRowLastColumn="0" w:lastRowFirstColumn="0" w:lastRowLastColumn="0"/>
            </w:pPr>
            <w:r w:rsidRPr="003553E4">
              <w:t>% Change (2025 - 2040)</w:t>
            </w:r>
          </w:p>
        </w:tc>
      </w:tr>
      <w:tr w:rsidR="00C66A34" w:rsidRPr="003553E4" w14:paraId="511B6C03" w14:textId="77777777" w:rsidTr="00CA0F88">
        <w:trPr>
          <w:cantSplit/>
          <w:trHeight w:val="288"/>
        </w:trPr>
        <w:tc>
          <w:tcPr>
            <w:cnfStyle w:val="001000000000" w:firstRow="0" w:lastRow="0" w:firstColumn="1" w:lastColumn="0" w:oddVBand="0" w:evenVBand="0" w:oddHBand="0" w:evenHBand="0" w:firstRowFirstColumn="0" w:firstRowLastColumn="0" w:lastRowFirstColumn="0" w:lastRowLastColumn="0"/>
            <w:tcW w:w="860" w:type="dxa"/>
            <w:noWrap/>
            <w:hideMark/>
          </w:tcPr>
          <w:p w14:paraId="4DF13FFB" w14:textId="77777777" w:rsidR="00C66A34" w:rsidRPr="003553E4" w:rsidRDefault="00C66A34" w:rsidP="00BE32C9">
            <w:pPr>
              <w:pStyle w:val="TableParagraph"/>
            </w:pPr>
            <w:r w:rsidRPr="003553E4">
              <w:t>6</w:t>
            </w:r>
          </w:p>
        </w:tc>
        <w:tc>
          <w:tcPr>
            <w:tcW w:w="1295" w:type="dxa"/>
            <w:noWrap/>
            <w:hideMark/>
          </w:tcPr>
          <w:p w14:paraId="3B306171"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Boston</w:t>
            </w:r>
          </w:p>
        </w:tc>
        <w:tc>
          <w:tcPr>
            <w:tcW w:w="1350" w:type="dxa"/>
          </w:tcPr>
          <w:p w14:paraId="4A16FD0C"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6,981 </w:t>
            </w:r>
          </w:p>
        </w:tc>
        <w:tc>
          <w:tcPr>
            <w:tcW w:w="1350" w:type="dxa"/>
          </w:tcPr>
          <w:p w14:paraId="6EF69CC2"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7,342 </w:t>
            </w:r>
          </w:p>
        </w:tc>
        <w:tc>
          <w:tcPr>
            <w:tcW w:w="1350" w:type="dxa"/>
          </w:tcPr>
          <w:p w14:paraId="05E8B1CC"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7,600 </w:t>
            </w:r>
          </w:p>
        </w:tc>
        <w:tc>
          <w:tcPr>
            <w:tcW w:w="1350" w:type="dxa"/>
          </w:tcPr>
          <w:p w14:paraId="4AF98134"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7,619 </w:t>
            </w:r>
          </w:p>
        </w:tc>
        <w:tc>
          <w:tcPr>
            <w:tcW w:w="1350" w:type="dxa"/>
            <w:hideMark/>
          </w:tcPr>
          <w:p w14:paraId="60DE742A"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9.1%</w:t>
            </w:r>
          </w:p>
        </w:tc>
      </w:tr>
      <w:tr w:rsidR="00C66A34" w:rsidRPr="003553E4" w14:paraId="4CEDD1AC" w14:textId="77777777" w:rsidTr="00CA0F88">
        <w:trPr>
          <w:cantSplit/>
          <w:trHeight w:val="288"/>
        </w:trPr>
        <w:tc>
          <w:tcPr>
            <w:cnfStyle w:val="001000000000" w:firstRow="0" w:lastRow="0" w:firstColumn="1" w:lastColumn="0" w:oddVBand="0" w:evenVBand="0" w:oddHBand="0" w:evenHBand="0" w:firstRowFirstColumn="0" w:firstRowLastColumn="0" w:lastRowFirstColumn="0" w:lastRowLastColumn="0"/>
            <w:tcW w:w="860" w:type="dxa"/>
            <w:noWrap/>
            <w:hideMark/>
          </w:tcPr>
          <w:p w14:paraId="240B997D" w14:textId="77777777" w:rsidR="00C66A34" w:rsidRPr="003553E4" w:rsidRDefault="00C66A34" w:rsidP="00BE32C9">
            <w:pPr>
              <w:pStyle w:val="TableParagraph"/>
            </w:pPr>
            <w:r w:rsidRPr="003553E4">
              <w:t>5</w:t>
            </w:r>
          </w:p>
        </w:tc>
        <w:tc>
          <w:tcPr>
            <w:tcW w:w="1295" w:type="dxa"/>
            <w:noWrap/>
            <w:hideMark/>
          </w:tcPr>
          <w:p w14:paraId="6C0C278D"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Southeast</w:t>
            </w:r>
          </w:p>
        </w:tc>
        <w:tc>
          <w:tcPr>
            <w:tcW w:w="1350" w:type="dxa"/>
          </w:tcPr>
          <w:p w14:paraId="29562F94"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11,848 </w:t>
            </w:r>
          </w:p>
        </w:tc>
        <w:tc>
          <w:tcPr>
            <w:tcW w:w="1350" w:type="dxa"/>
          </w:tcPr>
          <w:p w14:paraId="6A6C1535"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11,557 </w:t>
            </w:r>
          </w:p>
        </w:tc>
        <w:tc>
          <w:tcPr>
            <w:tcW w:w="1350" w:type="dxa"/>
          </w:tcPr>
          <w:p w14:paraId="4F76874B"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11,250 </w:t>
            </w:r>
          </w:p>
        </w:tc>
        <w:tc>
          <w:tcPr>
            <w:tcW w:w="1350" w:type="dxa"/>
          </w:tcPr>
          <w:p w14:paraId="11311773"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11,127 </w:t>
            </w:r>
          </w:p>
        </w:tc>
        <w:tc>
          <w:tcPr>
            <w:tcW w:w="1350" w:type="dxa"/>
            <w:hideMark/>
          </w:tcPr>
          <w:p w14:paraId="235D4A08"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-6.1%</w:t>
            </w:r>
          </w:p>
        </w:tc>
      </w:tr>
      <w:tr w:rsidR="00C66A34" w:rsidRPr="003553E4" w14:paraId="49061931" w14:textId="77777777" w:rsidTr="00CA0F88">
        <w:trPr>
          <w:cantSplit/>
          <w:trHeight w:val="288"/>
        </w:trPr>
        <w:tc>
          <w:tcPr>
            <w:cnfStyle w:val="001000000000" w:firstRow="0" w:lastRow="0" w:firstColumn="1" w:lastColumn="0" w:oddVBand="0" w:evenVBand="0" w:oddHBand="0" w:evenHBand="0" w:firstRowFirstColumn="0" w:firstRowLastColumn="0" w:lastRowFirstColumn="0" w:lastRowLastColumn="0"/>
            <w:tcW w:w="860" w:type="dxa"/>
            <w:noWrap/>
            <w:hideMark/>
          </w:tcPr>
          <w:p w14:paraId="5A91993C" w14:textId="77777777" w:rsidR="00C66A34" w:rsidRPr="003553E4" w:rsidRDefault="00C66A34" w:rsidP="00BE32C9">
            <w:pPr>
              <w:pStyle w:val="TableParagraph"/>
            </w:pPr>
            <w:r w:rsidRPr="003553E4">
              <w:t>4</w:t>
            </w:r>
          </w:p>
        </w:tc>
        <w:tc>
          <w:tcPr>
            <w:tcW w:w="1295" w:type="dxa"/>
            <w:noWrap/>
            <w:hideMark/>
          </w:tcPr>
          <w:p w14:paraId="1EB08644"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Metro West</w:t>
            </w:r>
          </w:p>
        </w:tc>
        <w:tc>
          <w:tcPr>
            <w:tcW w:w="1350" w:type="dxa"/>
          </w:tcPr>
          <w:p w14:paraId="751B8EA8"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16,015 </w:t>
            </w:r>
          </w:p>
        </w:tc>
        <w:tc>
          <w:tcPr>
            <w:tcW w:w="1350" w:type="dxa"/>
          </w:tcPr>
          <w:p w14:paraId="3D3CA676"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15,201 </w:t>
            </w:r>
          </w:p>
        </w:tc>
        <w:tc>
          <w:tcPr>
            <w:tcW w:w="1350" w:type="dxa"/>
          </w:tcPr>
          <w:p w14:paraId="5ACAD834"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15,077 </w:t>
            </w:r>
          </w:p>
        </w:tc>
        <w:tc>
          <w:tcPr>
            <w:tcW w:w="1350" w:type="dxa"/>
          </w:tcPr>
          <w:p w14:paraId="32D52CD7"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15,387 </w:t>
            </w:r>
          </w:p>
        </w:tc>
        <w:tc>
          <w:tcPr>
            <w:tcW w:w="1350" w:type="dxa"/>
            <w:hideMark/>
          </w:tcPr>
          <w:p w14:paraId="372607CD"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-3.9%</w:t>
            </w:r>
          </w:p>
        </w:tc>
      </w:tr>
      <w:tr w:rsidR="00C66A34" w:rsidRPr="003553E4" w14:paraId="2F1A2C3A" w14:textId="77777777" w:rsidTr="00CA0F88">
        <w:trPr>
          <w:cantSplit/>
          <w:trHeight w:val="288"/>
        </w:trPr>
        <w:tc>
          <w:tcPr>
            <w:cnfStyle w:val="001000000000" w:firstRow="0" w:lastRow="0" w:firstColumn="1" w:lastColumn="0" w:oddVBand="0" w:evenVBand="0" w:oddHBand="0" w:evenHBand="0" w:firstRowFirstColumn="0" w:firstRowLastColumn="0" w:lastRowFirstColumn="0" w:lastRowLastColumn="0"/>
            <w:tcW w:w="860" w:type="dxa"/>
            <w:noWrap/>
            <w:hideMark/>
          </w:tcPr>
          <w:p w14:paraId="0A013EDA" w14:textId="77777777" w:rsidR="00C66A34" w:rsidRPr="003553E4" w:rsidRDefault="00C66A34" w:rsidP="00BE32C9">
            <w:pPr>
              <w:pStyle w:val="TableParagraph"/>
            </w:pPr>
            <w:r w:rsidRPr="003553E4">
              <w:t>3</w:t>
            </w:r>
          </w:p>
        </w:tc>
        <w:tc>
          <w:tcPr>
            <w:tcW w:w="1295" w:type="dxa"/>
            <w:noWrap/>
            <w:hideMark/>
          </w:tcPr>
          <w:p w14:paraId="6CD4E0B3"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Northeast</w:t>
            </w:r>
          </w:p>
        </w:tc>
        <w:tc>
          <w:tcPr>
            <w:tcW w:w="1350" w:type="dxa"/>
          </w:tcPr>
          <w:p w14:paraId="3DBD1303"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12,463 </w:t>
            </w:r>
          </w:p>
        </w:tc>
        <w:tc>
          <w:tcPr>
            <w:tcW w:w="1350" w:type="dxa"/>
          </w:tcPr>
          <w:p w14:paraId="198F27CB"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12,266 </w:t>
            </w:r>
          </w:p>
        </w:tc>
        <w:tc>
          <w:tcPr>
            <w:tcW w:w="1350" w:type="dxa"/>
          </w:tcPr>
          <w:p w14:paraId="23F65816"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12,090 </w:t>
            </w:r>
          </w:p>
        </w:tc>
        <w:tc>
          <w:tcPr>
            <w:tcW w:w="1350" w:type="dxa"/>
          </w:tcPr>
          <w:p w14:paraId="3C9E0674"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12,048 </w:t>
            </w:r>
          </w:p>
        </w:tc>
        <w:tc>
          <w:tcPr>
            <w:tcW w:w="1350" w:type="dxa"/>
            <w:hideMark/>
          </w:tcPr>
          <w:p w14:paraId="156A6E67"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-3.3%</w:t>
            </w:r>
          </w:p>
        </w:tc>
      </w:tr>
      <w:tr w:rsidR="00C66A34" w:rsidRPr="003553E4" w14:paraId="02B23C70" w14:textId="77777777" w:rsidTr="00CA0F88">
        <w:trPr>
          <w:cantSplit/>
          <w:trHeight w:val="288"/>
        </w:trPr>
        <w:tc>
          <w:tcPr>
            <w:cnfStyle w:val="001000000000" w:firstRow="0" w:lastRow="0" w:firstColumn="1" w:lastColumn="0" w:oddVBand="0" w:evenVBand="0" w:oddHBand="0" w:evenHBand="0" w:firstRowFirstColumn="0" w:firstRowLastColumn="0" w:lastRowFirstColumn="0" w:lastRowLastColumn="0"/>
            <w:tcW w:w="860" w:type="dxa"/>
            <w:noWrap/>
            <w:hideMark/>
          </w:tcPr>
          <w:p w14:paraId="1A1F7980" w14:textId="77777777" w:rsidR="00C66A34" w:rsidRPr="003553E4" w:rsidRDefault="00C66A34" w:rsidP="00BE32C9">
            <w:pPr>
              <w:pStyle w:val="TableParagraph"/>
            </w:pPr>
            <w:r w:rsidRPr="003553E4">
              <w:t>2</w:t>
            </w:r>
          </w:p>
        </w:tc>
        <w:tc>
          <w:tcPr>
            <w:tcW w:w="1295" w:type="dxa"/>
            <w:noWrap/>
            <w:hideMark/>
          </w:tcPr>
          <w:p w14:paraId="4484E177"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Central</w:t>
            </w:r>
          </w:p>
        </w:tc>
        <w:tc>
          <w:tcPr>
            <w:tcW w:w="1350" w:type="dxa"/>
          </w:tcPr>
          <w:p w14:paraId="38CA7463"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8,071 </w:t>
            </w:r>
          </w:p>
        </w:tc>
        <w:tc>
          <w:tcPr>
            <w:tcW w:w="1350" w:type="dxa"/>
          </w:tcPr>
          <w:p w14:paraId="49DFD1DB"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7,889 </w:t>
            </w:r>
          </w:p>
        </w:tc>
        <w:tc>
          <w:tcPr>
            <w:tcW w:w="1350" w:type="dxa"/>
          </w:tcPr>
          <w:p w14:paraId="2A829ADF"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7,757 </w:t>
            </w:r>
          </w:p>
        </w:tc>
        <w:tc>
          <w:tcPr>
            <w:tcW w:w="1350" w:type="dxa"/>
          </w:tcPr>
          <w:p w14:paraId="6F7C2E75"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7,748 </w:t>
            </w:r>
          </w:p>
        </w:tc>
        <w:tc>
          <w:tcPr>
            <w:tcW w:w="1350" w:type="dxa"/>
            <w:hideMark/>
          </w:tcPr>
          <w:p w14:paraId="0A0F295B"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-4.0%</w:t>
            </w:r>
          </w:p>
        </w:tc>
      </w:tr>
      <w:tr w:rsidR="00C66A34" w:rsidRPr="003553E4" w14:paraId="7772B64E" w14:textId="77777777" w:rsidTr="00CA0F88">
        <w:trPr>
          <w:cantSplit/>
          <w:trHeight w:val="288"/>
        </w:trPr>
        <w:tc>
          <w:tcPr>
            <w:cnfStyle w:val="001000000000" w:firstRow="0" w:lastRow="0" w:firstColumn="1" w:lastColumn="0" w:oddVBand="0" w:evenVBand="0" w:oddHBand="0" w:evenHBand="0" w:firstRowFirstColumn="0" w:firstRowLastColumn="0" w:lastRowFirstColumn="0" w:lastRowLastColumn="0"/>
            <w:tcW w:w="860" w:type="dxa"/>
            <w:noWrap/>
            <w:hideMark/>
          </w:tcPr>
          <w:p w14:paraId="0AC546E5" w14:textId="77777777" w:rsidR="00C66A34" w:rsidRPr="003553E4" w:rsidRDefault="00C66A34" w:rsidP="00BE32C9">
            <w:pPr>
              <w:pStyle w:val="TableParagraph"/>
            </w:pPr>
            <w:r w:rsidRPr="003553E4">
              <w:t>1</w:t>
            </w:r>
          </w:p>
        </w:tc>
        <w:tc>
          <w:tcPr>
            <w:tcW w:w="1295" w:type="dxa"/>
            <w:noWrap/>
            <w:hideMark/>
          </w:tcPr>
          <w:p w14:paraId="4D3D6721"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Western</w:t>
            </w:r>
          </w:p>
        </w:tc>
        <w:tc>
          <w:tcPr>
            <w:tcW w:w="1350" w:type="dxa"/>
          </w:tcPr>
          <w:p w14:paraId="47AA46B4"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6,760 </w:t>
            </w:r>
          </w:p>
        </w:tc>
        <w:tc>
          <w:tcPr>
            <w:tcW w:w="1350" w:type="dxa"/>
          </w:tcPr>
          <w:p w14:paraId="6A673D42"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6,574 </w:t>
            </w:r>
          </w:p>
        </w:tc>
        <w:tc>
          <w:tcPr>
            <w:tcW w:w="1350" w:type="dxa"/>
          </w:tcPr>
          <w:p w14:paraId="15A5ECF6"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6,473 </w:t>
            </w:r>
          </w:p>
        </w:tc>
        <w:tc>
          <w:tcPr>
            <w:tcW w:w="1350" w:type="dxa"/>
          </w:tcPr>
          <w:p w14:paraId="198066FF"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E0618">
              <w:t xml:space="preserve"> 6,479 </w:t>
            </w:r>
          </w:p>
        </w:tc>
        <w:tc>
          <w:tcPr>
            <w:tcW w:w="1350" w:type="dxa"/>
            <w:hideMark/>
          </w:tcPr>
          <w:p w14:paraId="6DFBFF01" w14:textId="77777777" w:rsidR="00C66A34" w:rsidRPr="003553E4" w:rsidRDefault="00C66A34" w:rsidP="00BE32C9">
            <w:pPr>
              <w:pStyle w:val="TableParagraph"/>
              <w:cnfStyle w:val="000000000000" w:firstRow="0" w:lastRow="0" w:firstColumn="0" w:lastColumn="0" w:oddVBand="0" w:evenVBand="0" w:oddHBand="0" w:evenHBand="0" w:firstRowFirstColumn="0" w:firstRowLastColumn="0" w:lastRowFirstColumn="0" w:lastRowLastColumn="0"/>
            </w:pPr>
            <w:r w:rsidRPr="003553E4">
              <w:t>-4.1%</w:t>
            </w:r>
          </w:p>
        </w:tc>
      </w:tr>
      <w:tr w:rsidR="00C66A34" w:rsidRPr="003553E4" w14:paraId="25AB2872" w14:textId="77777777" w:rsidTr="00CA0F88">
        <w:trPr>
          <w:cnfStyle w:val="010000000000" w:firstRow="0" w:lastRow="1" w:firstColumn="0" w:lastColumn="0" w:oddVBand="0" w:evenVBand="0" w:oddHBand="0"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60" w:type="dxa"/>
            <w:noWrap/>
            <w:hideMark/>
          </w:tcPr>
          <w:p w14:paraId="06C8D2BD" w14:textId="77777777" w:rsidR="00C66A34" w:rsidRPr="003553E4" w:rsidRDefault="00C66A34" w:rsidP="00BE32C9">
            <w:pPr>
              <w:pStyle w:val="TableParagraph"/>
            </w:pPr>
            <w:r w:rsidRPr="003553E4">
              <w:t>Total</w:t>
            </w:r>
          </w:p>
        </w:tc>
        <w:tc>
          <w:tcPr>
            <w:tcW w:w="1295" w:type="dxa"/>
            <w:noWrap/>
            <w:hideMark/>
          </w:tcPr>
          <w:p w14:paraId="61494EA3"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3553E4">
              <w:t> </w:t>
            </w:r>
          </w:p>
        </w:tc>
        <w:tc>
          <w:tcPr>
            <w:tcW w:w="1350" w:type="dxa"/>
          </w:tcPr>
          <w:p w14:paraId="545AA2F9"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3E0618">
              <w:t xml:space="preserve"> 62,138 </w:t>
            </w:r>
          </w:p>
        </w:tc>
        <w:tc>
          <w:tcPr>
            <w:tcW w:w="1350" w:type="dxa"/>
          </w:tcPr>
          <w:p w14:paraId="342B098B"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3E0618">
              <w:t xml:space="preserve"> 60,829 </w:t>
            </w:r>
          </w:p>
        </w:tc>
        <w:tc>
          <w:tcPr>
            <w:tcW w:w="1350" w:type="dxa"/>
          </w:tcPr>
          <w:p w14:paraId="7219E03A"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3E0618">
              <w:t xml:space="preserve"> 60,247 </w:t>
            </w:r>
          </w:p>
        </w:tc>
        <w:tc>
          <w:tcPr>
            <w:tcW w:w="1350" w:type="dxa"/>
          </w:tcPr>
          <w:p w14:paraId="65BBFCE4"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3E0618">
              <w:t xml:space="preserve"> 60,408 </w:t>
            </w:r>
          </w:p>
        </w:tc>
        <w:tc>
          <w:tcPr>
            <w:tcW w:w="1350" w:type="dxa"/>
            <w:hideMark/>
          </w:tcPr>
          <w:p w14:paraId="77E19F5A" w14:textId="77777777" w:rsidR="00C66A34" w:rsidRPr="003553E4" w:rsidRDefault="00C66A34" w:rsidP="00BE32C9">
            <w:pPr>
              <w:pStyle w:val="TableParagraph"/>
              <w:cnfStyle w:val="010000000000" w:firstRow="0" w:lastRow="1" w:firstColumn="0" w:lastColumn="0" w:oddVBand="0" w:evenVBand="0" w:oddHBand="0" w:evenHBand="0" w:firstRowFirstColumn="0" w:firstRowLastColumn="0" w:lastRowFirstColumn="0" w:lastRowLastColumn="0"/>
            </w:pPr>
            <w:r w:rsidRPr="003553E4">
              <w:t>-2.8%</w:t>
            </w:r>
          </w:p>
        </w:tc>
      </w:tr>
    </w:tbl>
    <w:p w14:paraId="323B74DB" w14:textId="77777777" w:rsidR="00C66A34" w:rsidRPr="003553E4" w:rsidRDefault="00C66A34" w:rsidP="007813FB">
      <w:pPr>
        <w:pStyle w:val="TableNotes"/>
      </w:pPr>
      <w:r w:rsidRPr="003553E4">
        <w:t xml:space="preserve">Source: The result is based on MRI claims from the 2019 CHIA all-payer medical claim data. The data is restricted to visits from members younger than 19 years old residing in Massachusetts. </w:t>
      </w:r>
    </w:p>
    <w:p w14:paraId="38FA2229" w14:textId="798F9F91" w:rsidR="00DC56C8" w:rsidRPr="007F7139" w:rsidRDefault="00DC56C8" w:rsidP="00BE32C9">
      <w:r w:rsidRPr="006C0788">
        <w:t xml:space="preserve">We projected that the utilization of </w:t>
      </w:r>
      <w:r>
        <w:t>MRI</w:t>
      </w:r>
      <w:r w:rsidRPr="006C0788">
        <w:t xml:space="preserve"> services for the </w:t>
      </w:r>
      <w:r>
        <w:t>0 – 18</w:t>
      </w:r>
      <w:r w:rsidRPr="006C0788">
        <w:t xml:space="preserve"> group will experience a decline across all pay</w:t>
      </w:r>
      <w:r w:rsidR="00684AA7">
        <w:t>e</w:t>
      </w:r>
      <w:r w:rsidRPr="006C0788">
        <w:t xml:space="preserve">r types. </w:t>
      </w:r>
      <w:r w:rsidR="00D35B95">
        <w:fldChar w:fldCharType="begin"/>
      </w:r>
      <w:r w:rsidR="00D35B95">
        <w:instrText xml:space="preserve"> REF _Ref106622459 \h </w:instrText>
      </w:r>
      <w:r w:rsidR="00D35B95">
        <w:fldChar w:fldCharType="separate"/>
      </w:r>
      <w:r w:rsidR="00CE7C62" w:rsidRPr="003553E4">
        <w:t xml:space="preserve">Table </w:t>
      </w:r>
      <w:r w:rsidR="00CE7C62">
        <w:rPr>
          <w:noProof/>
        </w:rPr>
        <w:t>21</w:t>
      </w:r>
      <w:r w:rsidR="00CE7C62" w:rsidRPr="003553E4">
        <w:t xml:space="preserve">: Projected Utilization of MRI by Payer, </w:t>
      </w:r>
      <w:r w:rsidR="00CE7C62">
        <w:t>Ages 0</w:t>
      </w:r>
      <w:r w:rsidR="00CE7C62" w:rsidRPr="003553E4">
        <w:t xml:space="preserve"> – 18 (2025 – 2040)</w:t>
      </w:r>
      <w:r w:rsidR="00D35B95">
        <w:fldChar w:fldCharType="end"/>
      </w:r>
      <w:r>
        <w:t xml:space="preserve"> shows projected </w:t>
      </w:r>
      <w:r w:rsidRPr="007F7139">
        <w:t>utilization by pay</w:t>
      </w:r>
      <w:r w:rsidR="00684AA7" w:rsidRPr="007F7139">
        <w:t>e</w:t>
      </w:r>
      <w:r w:rsidRPr="007F7139">
        <w:t>r category. Payer mix for MRIs is similar to imaging and to ASCs with about 50% in Medicaid/MassHealth</w:t>
      </w:r>
      <w:r w:rsidR="00B965BF" w:rsidRPr="007F7139">
        <w:t>.</w:t>
      </w:r>
      <w:r w:rsidRPr="007F7139">
        <w:t xml:space="preserve"> The rates of decline vary slightly across pay</w:t>
      </w:r>
      <w:r w:rsidR="00684AA7" w:rsidRPr="007F7139">
        <w:t>e</w:t>
      </w:r>
      <w:r w:rsidRPr="007F7139">
        <w:t xml:space="preserve">rs. The utilization for </w:t>
      </w:r>
      <w:r w:rsidR="00B965BF" w:rsidRPr="007F7139">
        <w:t xml:space="preserve">Medicaid and </w:t>
      </w:r>
      <w:r w:rsidRPr="007F7139">
        <w:t>MassHealth group is projected for the smallest decline (-</w:t>
      </w:r>
      <w:r w:rsidR="00B965BF" w:rsidRPr="007F7139">
        <w:t>2.4</w:t>
      </w:r>
      <w:r w:rsidRPr="007F7139">
        <w:t>%), while the utilization for Commercial is projected for a somewhat greater decline (-3.1%).</w:t>
      </w:r>
    </w:p>
    <w:p w14:paraId="4AA5B6C2" w14:textId="00ECF26A" w:rsidR="00EC5F95" w:rsidRPr="003553E4" w:rsidRDefault="00EC5F95" w:rsidP="007813FB">
      <w:pPr>
        <w:pStyle w:val="Caption"/>
      </w:pPr>
      <w:bookmarkStart w:id="240" w:name="_Ref104927692"/>
      <w:bookmarkStart w:id="241" w:name="_Ref106622459"/>
      <w:bookmarkStart w:id="242" w:name="_Toc106641198"/>
      <w:bookmarkStart w:id="243" w:name="_Toc106648902"/>
      <w:bookmarkStart w:id="244" w:name="_Toc109895452"/>
      <w:r w:rsidRPr="003553E4">
        <w:lastRenderedPageBreak/>
        <w:t xml:space="preserve">Table </w:t>
      </w:r>
      <w:fldSimple w:instr=" SEQ Table \* ARABIC ">
        <w:r w:rsidR="00CE7C62">
          <w:rPr>
            <w:noProof/>
          </w:rPr>
          <w:t>21</w:t>
        </w:r>
      </w:fldSimple>
      <w:bookmarkEnd w:id="240"/>
      <w:r w:rsidRPr="003553E4">
        <w:t xml:space="preserve">: Projected Utilization of MRI by Payer, </w:t>
      </w:r>
      <w:r>
        <w:t>Ages 0</w:t>
      </w:r>
      <w:r w:rsidRPr="003553E4">
        <w:t xml:space="preserve"> – 18 (2025 – 2040)</w:t>
      </w:r>
      <w:bookmarkEnd w:id="241"/>
      <w:bookmarkEnd w:id="242"/>
      <w:bookmarkEnd w:id="243"/>
      <w:bookmarkEnd w:id="244"/>
    </w:p>
    <w:tbl>
      <w:tblPr>
        <w:tblStyle w:val="GridTable4-Accent11"/>
        <w:tblW w:w="0" w:type="auto"/>
        <w:tblLook w:val="04E0" w:firstRow="1" w:lastRow="1" w:firstColumn="1" w:lastColumn="0" w:noHBand="0" w:noVBand="1"/>
      </w:tblPr>
      <w:tblGrid>
        <w:gridCol w:w="1426"/>
        <w:gridCol w:w="1359"/>
      </w:tblGrid>
      <w:tr w:rsidR="00EC5F95" w:rsidRPr="003553E4" w14:paraId="77CD20D5" w14:textId="77777777" w:rsidTr="00EF68B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426" w:type="dxa"/>
            <w:noWrap/>
            <w:hideMark/>
          </w:tcPr>
          <w:p w14:paraId="5261103C" w14:textId="77777777" w:rsidR="00EC5F95" w:rsidRPr="003553E4" w:rsidRDefault="00EC5F95" w:rsidP="00BE32C9">
            <w:pPr>
              <w:pStyle w:val="TableParagraph"/>
            </w:pPr>
            <w:r w:rsidRPr="003553E4">
              <w:t>Payer Category</w:t>
            </w:r>
          </w:p>
        </w:tc>
        <w:tc>
          <w:tcPr>
            <w:tcW w:w="1359" w:type="dxa"/>
            <w:noWrap/>
            <w:hideMark/>
          </w:tcPr>
          <w:p w14:paraId="70B8ACE1" w14:textId="77777777" w:rsidR="00EC5F95" w:rsidRPr="003553E4"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3553E4">
              <w:t>% Change (2025 - 2040)</w:t>
            </w:r>
          </w:p>
        </w:tc>
      </w:tr>
      <w:tr w:rsidR="00EC5F95" w:rsidRPr="003553E4" w14:paraId="50658379"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426" w:type="dxa"/>
            <w:noWrap/>
            <w:hideMark/>
          </w:tcPr>
          <w:p w14:paraId="13717734" w14:textId="77777777" w:rsidR="00EC5F95" w:rsidRPr="003553E4" w:rsidRDefault="00EC5F95" w:rsidP="00BE32C9">
            <w:pPr>
              <w:pStyle w:val="TableParagraph"/>
            </w:pPr>
            <w:r w:rsidRPr="003553E4">
              <w:t>Commercial</w:t>
            </w:r>
          </w:p>
        </w:tc>
        <w:tc>
          <w:tcPr>
            <w:tcW w:w="1359" w:type="dxa"/>
            <w:noWrap/>
            <w:hideMark/>
          </w:tcPr>
          <w:p w14:paraId="02F6C80E" w14:textId="77777777" w:rsidR="00EC5F95" w:rsidRPr="003553E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9B408D">
              <w:t>-3.1%</w:t>
            </w:r>
          </w:p>
        </w:tc>
      </w:tr>
      <w:tr w:rsidR="00EC5F95" w:rsidRPr="003553E4" w14:paraId="11ADD310"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426" w:type="dxa"/>
            <w:noWrap/>
            <w:hideMark/>
          </w:tcPr>
          <w:p w14:paraId="61719040" w14:textId="77777777" w:rsidR="00EC5F95" w:rsidRPr="003553E4" w:rsidRDefault="00EC5F95" w:rsidP="00BE32C9">
            <w:pPr>
              <w:pStyle w:val="TableParagraph"/>
            </w:pPr>
            <w:r w:rsidRPr="003553E4">
              <w:t>Medicaid</w:t>
            </w:r>
          </w:p>
        </w:tc>
        <w:tc>
          <w:tcPr>
            <w:tcW w:w="1359" w:type="dxa"/>
            <w:noWrap/>
            <w:hideMark/>
          </w:tcPr>
          <w:p w14:paraId="5CB7C92E" w14:textId="77777777" w:rsidR="00EC5F95" w:rsidRPr="003553E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9B408D">
              <w:t>-2.4%</w:t>
            </w:r>
          </w:p>
        </w:tc>
      </w:tr>
      <w:tr w:rsidR="00EC5F95" w:rsidRPr="003553E4" w14:paraId="63440F53"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426" w:type="dxa"/>
            <w:noWrap/>
            <w:hideMark/>
          </w:tcPr>
          <w:p w14:paraId="5486CF20" w14:textId="77777777" w:rsidR="00EC5F95" w:rsidRPr="003553E4" w:rsidRDefault="00EC5F95" w:rsidP="00BE32C9">
            <w:pPr>
              <w:pStyle w:val="TableParagraph"/>
            </w:pPr>
            <w:r w:rsidRPr="003553E4">
              <w:t>Other</w:t>
            </w:r>
          </w:p>
        </w:tc>
        <w:tc>
          <w:tcPr>
            <w:tcW w:w="1359" w:type="dxa"/>
            <w:noWrap/>
            <w:hideMark/>
          </w:tcPr>
          <w:p w14:paraId="52C4CEF3" w14:textId="77777777" w:rsidR="00EC5F95" w:rsidRPr="003553E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9B408D">
              <w:t>-4.5%</w:t>
            </w:r>
          </w:p>
        </w:tc>
      </w:tr>
      <w:tr w:rsidR="00EC5F95" w:rsidRPr="003553E4" w14:paraId="0EB610FE" w14:textId="77777777" w:rsidTr="00EF68B9">
        <w:trPr>
          <w:cnfStyle w:val="010000000000" w:firstRow="0" w:lastRow="1"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26" w:type="dxa"/>
            <w:noWrap/>
            <w:hideMark/>
          </w:tcPr>
          <w:p w14:paraId="450CD531" w14:textId="77777777" w:rsidR="00EC5F95" w:rsidRPr="003553E4" w:rsidRDefault="00EC5F95" w:rsidP="00BE32C9">
            <w:pPr>
              <w:pStyle w:val="TableParagraph"/>
            </w:pPr>
            <w:r w:rsidRPr="003553E4">
              <w:t>Total</w:t>
            </w:r>
          </w:p>
        </w:tc>
        <w:tc>
          <w:tcPr>
            <w:tcW w:w="1359" w:type="dxa"/>
            <w:noWrap/>
            <w:hideMark/>
          </w:tcPr>
          <w:p w14:paraId="185BA42D" w14:textId="77777777" w:rsidR="00EC5F95" w:rsidRPr="003553E4" w:rsidRDefault="00EC5F95" w:rsidP="00BE32C9">
            <w:pPr>
              <w:pStyle w:val="TableParagraph"/>
              <w:cnfStyle w:val="010000000000" w:firstRow="0" w:lastRow="1" w:firstColumn="0" w:lastColumn="0" w:oddVBand="0" w:evenVBand="0" w:oddHBand="0" w:evenHBand="0" w:firstRowFirstColumn="0" w:firstRowLastColumn="0" w:lastRowFirstColumn="0" w:lastRowLastColumn="0"/>
            </w:pPr>
            <w:r w:rsidRPr="003553E4">
              <w:t>-2.8%</w:t>
            </w:r>
          </w:p>
        </w:tc>
      </w:tr>
    </w:tbl>
    <w:p w14:paraId="79B68E0D" w14:textId="77777777" w:rsidR="00EC5F95" w:rsidRPr="003553E4" w:rsidRDefault="00EC5F95" w:rsidP="007813FB">
      <w:pPr>
        <w:pStyle w:val="TableNotes"/>
      </w:pPr>
      <w:r w:rsidRPr="003553E4">
        <w:t xml:space="preserve">Source: The result is based on MRI claims from the 2019 CHIA all-payer medical claim data. The data is restricted to visits from members younger than 19 years old residing in Massachusetts. </w:t>
      </w:r>
    </w:p>
    <w:p w14:paraId="53849F13" w14:textId="46FD7D7A" w:rsidR="00DC56C8" w:rsidRPr="007F7139" w:rsidRDefault="00DC56C8" w:rsidP="00BE32C9">
      <w:r w:rsidRPr="007F7139">
        <w:t>Projected utilization of MRI services is also provided by HSA and by pay</w:t>
      </w:r>
      <w:r w:rsidR="00684AA7" w:rsidRPr="007F7139">
        <w:t>e</w:t>
      </w:r>
      <w:r w:rsidRPr="007F7139">
        <w:t xml:space="preserve">r category for the 0 – 18 group. Boston is projected to have a large increase in utilization across all payer categories, ranging from </w:t>
      </w:r>
      <w:r w:rsidR="00B965BF" w:rsidRPr="007F7139">
        <w:t>8.9</w:t>
      </w:r>
      <w:r w:rsidRPr="007F7139">
        <w:t>% for Medicaid</w:t>
      </w:r>
      <w:r w:rsidR="00A920B6">
        <w:t>/MassHealth</w:t>
      </w:r>
      <w:r w:rsidRPr="007F7139">
        <w:t xml:space="preserve"> and </w:t>
      </w:r>
      <w:r w:rsidR="00B965BF" w:rsidRPr="007F7139">
        <w:t>9.5</w:t>
      </w:r>
      <w:r w:rsidRPr="007F7139">
        <w:t>% for Commercial. Other regions will experience a decline in utilization across all payer categories. In the Central region, all pay</w:t>
      </w:r>
      <w:r w:rsidR="00684AA7" w:rsidRPr="007F7139">
        <w:t>e</w:t>
      </w:r>
      <w:r w:rsidRPr="007F7139">
        <w:t>r categories will experience a decline ranging from -2.9% for Commercial to -</w:t>
      </w:r>
      <w:r w:rsidR="00B965BF" w:rsidRPr="007F7139">
        <w:t>5.4</w:t>
      </w:r>
      <w:r w:rsidRPr="007F7139">
        <w:t>% for Medicaid</w:t>
      </w:r>
      <w:r w:rsidR="00B965BF" w:rsidRPr="007F7139">
        <w:t xml:space="preserve"> and MassHealth</w:t>
      </w:r>
      <w:r w:rsidRPr="007F7139">
        <w:t>. The Metro West regions will also experience a decline for all pay</w:t>
      </w:r>
      <w:r w:rsidR="00684AA7" w:rsidRPr="007F7139">
        <w:t>e</w:t>
      </w:r>
      <w:r w:rsidRPr="007F7139">
        <w:t>r categories, from -</w:t>
      </w:r>
      <w:r w:rsidR="00B965BF" w:rsidRPr="007F7139">
        <w:t>3.2</w:t>
      </w:r>
      <w:r w:rsidRPr="007F7139">
        <w:t xml:space="preserve">% for </w:t>
      </w:r>
      <w:r w:rsidR="00E24E9A" w:rsidRPr="007F7139">
        <w:t>Medicaid</w:t>
      </w:r>
      <w:r w:rsidR="00B965BF" w:rsidRPr="007F7139">
        <w:t xml:space="preserve"> and MassHealth</w:t>
      </w:r>
      <w:r w:rsidR="00E24E9A" w:rsidRPr="007F7139">
        <w:t xml:space="preserve"> </w:t>
      </w:r>
      <w:r w:rsidRPr="007F7139">
        <w:t>to -</w:t>
      </w:r>
      <w:r w:rsidR="00E24E9A" w:rsidRPr="007F7139">
        <w:t>5.3</w:t>
      </w:r>
      <w:r w:rsidRPr="007F7139">
        <w:t xml:space="preserve">% for </w:t>
      </w:r>
      <w:r w:rsidR="00E24E9A" w:rsidRPr="007F7139">
        <w:t>All Other</w:t>
      </w:r>
      <w:r w:rsidRPr="007F7139">
        <w:t>. The decline in Northeast ranges from -</w:t>
      </w:r>
      <w:r w:rsidR="00B965BF" w:rsidRPr="007F7139">
        <w:t>2.3</w:t>
      </w:r>
      <w:r w:rsidRPr="007F7139">
        <w:t>% for Medicaid</w:t>
      </w:r>
      <w:r w:rsidR="00A920B6">
        <w:t>/MassHealth</w:t>
      </w:r>
      <w:r w:rsidRPr="007F7139">
        <w:t xml:space="preserve"> and -</w:t>
      </w:r>
      <w:r w:rsidR="00B965BF" w:rsidRPr="007F7139">
        <w:t>4.3</w:t>
      </w:r>
      <w:r w:rsidRPr="007F7139">
        <w:t>% for Commercial. The Southeast region will overall experience the sharpest decline, ranging from -4.4% for Commercial to -7.7% for Medicaid</w:t>
      </w:r>
      <w:r w:rsidR="004D163A" w:rsidRPr="007F7139">
        <w:t xml:space="preserve"> and MassHealth</w:t>
      </w:r>
      <w:r w:rsidRPr="007F7139">
        <w:t>. The decline in Western region ranges from -</w:t>
      </w:r>
      <w:r w:rsidR="004D163A" w:rsidRPr="007F7139">
        <w:t>3.8</w:t>
      </w:r>
      <w:r w:rsidRPr="007F7139">
        <w:t xml:space="preserve">% for </w:t>
      </w:r>
      <w:r w:rsidR="004D163A" w:rsidRPr="007F7139">
        <w:t xml:space="preserve">Medicaid and </w:t>
      </w:r>
      <w:r w:rsidRPr="007F7139">
        <w:t>MassHealth and -</w:t>
      </w:r>
      <w:r w:rsidR="004D163A" w:rsidRPr="007F7139">
        <w:t>4.6</w:t>
      </w:r>
      <w:r w:rsidRPr="007F7139">
        <w:t xml:space="preserve">% for Commercial. </w:t>
      </w:r>
      <w:r w:rsidR="007F7139">
        <w:t xml:space="preserve">Table A3: </w:t>
      </w:r>
      <w:r w:rsidR="007F7139" w:rsidRPr="007F7139">
        <w:t>Projected Utilization of MRI by HSA and Payer, Age Group 0 – 18 (2025 – 2040</w:t>
      </w:r>
      <w:r w:rsidR="007F7139">
        <w:t>)</w:t>
      </w:r>
      <w:r w:rsidRPr="007F7139">
        <w:t xml:space="preserve"> presents projected utilization by HSA and by pay</w:t>
      </w:r>
      <w:r w:rsidR="00684AA7" w:rsidRPr="007F7139">
        <w:t>e</w:t>
      </w:r>
      <w:r w:rsidRPr="007F7139">
        <w:t>r category</w:t>
      </w:r>
      <w:r w:rsidR="00D35B95" w:rsidRPr="007F7139">
        <w:t>.</w:t>
      </w:r>
    </w:p>
    <w:p w14:paraId="40C5D7DF" w14:textId="5389FE93" w:rsidR="00364B25" w:rsidRPr="00364B25" w:rsidRDefault="00364B25" w:rsidP="00BE32C9">
      <w:bookmarkStart w:id="245" w:name="_Toc106005398"/>
      <w:r w:rsidRPr="0055292A">
        <w:t>In sum, the utilization results show a high level of utilization demand in 2019 as the base year, and a predicted slight decline in overall utilization of imaging services in the state of Massachusetts from 2025 – 2040</w:t>
      </w:r>
      <w:r w:rsidRPr="006C0788">
        <w:t xml:space="preserve">. This decline is driven </w:t>
      </w:r>
      <w:r>
        <w:t xml:space="preserve">primarily </w:t>
      </w:r>
      <w:r w:rsidRPr="006C0788">
        <w:t xml:space="preserve">by the projected population decline in Massachusetts for the </w:t>
      </w:r>
      <w:r>
        <w:t>0 – 18</w:t>
      </w:r>
      <w:r w:rsidRPr="006C0788">
        <w:t xml:space="preserve"> age group. Among the different regions in Massachusetts, Boston is the only region with an expected growth in utilization</w:t>
      </w:r>
      <w:r>
        <w:t>. We note that the same caveats and assumptions apply to MRI as to imaging and ASCs.</w:t>
      </w:r>
    </w:p>
    <w:p w14:paraId="2B670060" w14:textId="0F225703" w:rsidR="00DC56C8" w:rsidRDefault="00DC56C8" w:rsidP="00BE32C9">
      <w:pPr>
        <w:pStyle w:val="Heading2"/>
      </w:pPr>
      <w:bookmarkStart w:id="246" w:name="_Toc109895518"/>
      <w:r w:rsidRPr="0096221E">
        <w:t>Discussion of Results</w:t>
      </w:r>
      <w:bookmarkEnd w:id="245"/>
      <w:r w:rsidRPr="0096221E">
        <w:t xml:space="preserve"> </w:t>
      </w:r>
      <w:r w:rsidR="00E037E7">
        <w:t>of Projected Demand/Utilization</w:t>
      </w:r>
      <w:bookmarkEnd w:id="246"/>
    </w:p>
    <w:p w14:paraId="29863E37" w14:textId="38F22530" w:rsidR="00DC56C8" w:rsidRPr="0096221E" w:rsidRDefault="00DC56C8" w:rsidP="00BE32C9">
      <w:r w:rsidRPr="00E037E7">
        <w:t>In sum, the projected demand by Massachusetts pediatric residents for imaging, ASC and MRI services at the regional (HSA), more local geographies, and the state level show high levels of</w:t>
      </w:r>
      <w:r w:rsidR="00364B25" w:rsidRPr="00E037E7">
        <w:t xml:space="preserve"> current and projected</w:t>
      </w:r>
      <w:r w:rsidRPr="00E037E7">
        <w:t xml:space="preserve"> future demand for these services</w:t>
      </w:r>
      <w:r w:rsidRPr="0096221E">
        <w:t>. The projected mix of demand by pay</w:t>
      </w:r>
      <w:r w:rsidR="00E037E7">
        <w:t>e</w:t>
      </w:r>
      <w:r w:rsidRPr="0096221E">
        <w:t xml:space="preserve">r shows that Medicaid/MassHealth will continue to account for about half of demand and utilization. These </w:t>
      </w:r>
      <w:r w:rsidR="00E037E7">
        <w:t xml:space="preserve">trend </w:t>
      </w:r>
      <w:r w:rsidRPr="0096221E">
        <w:t xml:space="preserve">projections </w:t>
      </w:r>
      <w:r w:rsidR="000B3632">
        <w:t xml:space="preserve">as well as levels </w:t>
      </w:r>
      <w:r w:rsidRPr="0096221E">
        <w:t>address the ICA questions that require consideration and projections of likely demand for services in future and for services from BCH (as well as other providers)</w:t>
      </w:r>
      <w:r w:rsidR="000B3632">
        <w:t xml:space="preserve"> including by payer</w:t>
      </w:r>
      <w:r w:rsidRPr="0096221E">
        <w:t xml:space="preserve">. The methods used in this section by FTI involved standard methods for estimating current utilization and demand and forecast models for future demand – and provide a basis for estimating the proportion </w:t>
      </w:r>
      <w:r w:rsidR="000B3632">
        <w:t xml:space="preserve">of the patient population </w:t>
      </w:r>
      <w:r w:rsidRPr="0096221E">
        <w:t>that likely will come to BCH for specific service</w:t>
      </w:r>
      <w:r w:rsidR="000B3632">
        <w:t>s at the new locations</w:t>
      </w:r>
      <w:r w:rsidRPr="0096221E">
        <w:t xml:space="preserve">. As noted, the projected utilization rates and growth rates in specific regions </w:t>
      </w:r>
      <w:r w:rsidR="00E037E7">
        <w:t xml:space="preserve">(e.g., a BCH service area) </w:t>
      </w:r>
      <w:r w:rsidRPr="0096221E">
        <w:t>may differ</w:t>
      </w:r>
      <w:r w:rsidR="00E037E7">
        <w:t xml:space="preserve"> from those based on other geographies</w:t>
      </w:r>
      <w:r w:rsidRPr="0096221E">
        <w:t xml:space="preserve"> and </w:t>
      </w:r>
      <w:r w:rsidRPr="0096221E">
        <w:lastRenderedPageBreak/>
        <w:t>do not account for trends such as increased migration of families between and among regions.</w:t>
      </w:r>
      <w:r w:rsidR="000B3632">
        <w:t xml:space="preserve"> </w:t>
      </w:r>
    </w:p>
    <w:p w14:paraId="284A547B" w14:textId="47C1B7A8" w:rsidR="00DC56C8" w:rsidRDefault="00DC56C8" w:rsidP="00BE32C9">
      <w:pPr>
        <w:pStyle w:val="Heading1"/>
        <w:rPr>
          <w:rFonts w:hint="eastAsia"/>
        </w:rPr>
      </w:pPr>
      <w:bookmarkStart w:id="247" w:name="_Toc94002338"/>
      <w:bookmarkStart w:id="248" w:name="_Toc106002908"/>
      <w:bookmarkStart w:id="249" w:name="_Toc106005399"/>
      <w:bookmarkStart w:id="250" w:name="_Ref106354955"/>
      <w:bookmarkStart w:id="251" w:name="_Ref106355058"/>
      <w:bookmarkStart w:id="252" w:name="_Toc109895519"/>
      <w:r w:rsidRPr="00D705C0">
        <w:t>Predicting Demand and Choice Modeling Patient Preferences for Pediatric Service Providers</w:t>
      </w:r>
      <w:bookmarkEnd w:id="247"/>
      <w:bookmarkEnd w:id="248"/>
      <w:bookmarkEnd w:id="249"/>
      <w:bookmarkEnd w:id="250"/>
      <w:bookmarkEnd w:id="251"/>
      <w:bookmarkEnd w:id="252"/>
    </w:p>
    <w:p w14:paraId="554227EF" w14:textId="77777777" w:rsidR="00E037E7" w:rsidRDefault="00DC56C8" w:rsidP="00BE32C9">
      <w:r w:rsidRPr="00B1234F">
        <w:t xml:space="preserve">The prior section developed estimated the projected demand for the relevant services currently and for years up to and including 2040. This section provides FTI’s econometric methodology and use of data to estimate patient choice of facility and location for care in the future when new facilities are available in addition to current facilities for each of these services. </w:t>
      </w:r>
    </w:p>
    <w:p w14:paraId="4697C88D" w14:textId="40989214" w:rsidR="00DC56C8" w:rsidRDefault="00DC56C8" w:rsidP="00BE32C9">
      <w:r w:rsidRPr="00B1234F">
        <w:t xml:space="preserve">To generate estimates </w:t>
      </w:r>
      <w:r>
        <w:t xml:space="preserve">of how the change in health care providers (e.g., </w:t>
      </w:r>
      <w:r w:rsidR="00E037E7">
        <w:t xml:space="preserve">the </w:t>
      </w:r>
      <w:r>
        <w:t xml:space="preserve">addition of Needham facility with its MRI and ORs and services) will affect patient volumes at these and current facilities, patient choice modeling commonly used in healthcare settings </w:t>
      </w:r>
      <w:r w:rsidR="00D9422C">
        <w:t xml:space="preserve">(and that FIT uses here) </w:t>
      </w:r>
      <w:r>
        <w:t xml:space="preserve">is applied to historic claims data. Patient choice modeling allows researchers to use past patient behavior to predict how patients will behave when faced with new choices. In merger review, these models are often used </w:t>
      </w:r>
      <w:r w:rsidR="008E4EE8">
        <w:t xml:space="preserve">as part of the economic analysis </w:t>
      </w:r>
      <w:r>
        <w:t>to elucidate mergers’ potential effects on prices, but these models can also be used to explore expansion or contraction of hospital systems or facilities.</w:t>
      </w:r>
      <w:r>
        <w:rPr>
          <w:rStyle w:val="FootnoteReference"/>
        </w:rPr>
        <w:footnoteReference w:id="62"/>
      </w:r>
    </w:p>
    <w:p w14:paraId="47F5A935" w14:textId="21B61622" w:rsidR="00DC56C8" w:rsidRPr="0078544E" w:rsidRDefault="00D9422C" w:rsidP="00BE32C9">
      <w:r w:rsidRPr="00D9422C">
        <w:rPr>
          <w:b/>
          <w:bCs/>
        </w:rPr>
        <w:t>Changes in Capacity</w:t>
      </w:r>
      <w:r>
        <w:rPr>
          <w:b/>
          <w:bCs/>
        </w:rPr>
        <w:t xml:space="preserve"> involved in the Proposed Project</w:t>
      </w:r>
      <w:r w:rsidRPr="00D9422C">
        <w:rPr>
          <w:b/>
          <w:bCs/>
        </w:rPr>
        <w:t>:</w:t>
      </w:r>
      <w:r w:rsidRPr="00D9422C">
        <w:t xml:space="preserve"> </w:t>
      </w:r>
      <w:r w:rsidR="00DC56C8">
        <w:t>For this analysis and response to the ICA questions, patient choice modeling is used to predict the effects of BCH’s proposed changes, closing outpatient ORs at Lexington, opening them at Needham, and then adding MRIs at Needham and Weymouth facilities. For ASCs, both the closure and opening of ORs in different geographic locations will potentially cause patients to shift their volumes among all the facilities offering ASC services. Similarly, for MRIs and other imaging services, the new options will likely appeal to patients living close to the new facilities and will draw from hospitals that currently serve them.</w:t>
      </w:r>
      <w:r w:rsidR="00DC56C8">
        <w:rPr>
          <w:rStyle w:val="FootnoteReference"/>
        </w:rPr>
        <w:footnoteReference w:id="63"/>
      </w:r>
      <w:r>
        <w:t xml:space="preserve"> </w:t>
      </w:r>
      <w:r w:rsidRPr="00A12D67">
        <w:t>As the analysis looks over time, this economic modeling approach predicts use of locations for “new” patient demand in an area based on the model.</w:t>
      </w:r>
      <w:r>
        <w:t xml:space="preserve"> </w:t>
      </w:r>
      <w:r w:rsidR="00DC56C8">
        <w:t>Below, the steps taken to undertake this analysis are described in detail.</w:t>
      </w:r>
    </w:p>
    <w:p w14:paraId="366923E1" w14:textId="77777777" w:rsidR="00DC56C8" w:rsidRDefault="00DC56C8" w:rsidP="00BE32C9">
      <w:pPr>
        <w:pStyle w:val="Heading2"/>
      </w:pPr>
      <w:bookmarkStart w:id="253" w:name="_Toc109895520"/>
      <w:r>
        <w:lastRenderedPageBreak/>
        <w:t>Methodology</w:t>
      </w:r>
      <w:bookmarkEnd w:id="253"/>
    </w:p>
    <w:p w14:paraId="7A924F78" w14:textId="15CB170A" w:rsidR="00DC56C8" w:rsidRDefault="00DC56C8" w:rsidP="00BE32C9">
      <w:r>
        <w:t>Using the CHIA All-Pay</w:t>
      </w:r>
      <w:r w:rsidR="00684AA7">
        <w:t>e</w:t>
      </w:r>
      <w:r>
        <w:t xml:space="preserve">r Claims database, the data is first restricted to CPT codes within the specified service line. The data is then further restricted to claims with a member and provider in Massachusetts from 2019 claims. Then, </w:t>
      </w:r>
      <w:r w:rsidR="00626A90">
        <w:t>claims that are indicated as an emergency visit are flagged</w:t>
      </w:r>
      <w:r>
        <w:t xml:space="preserve"> and assigned a pay</w:t>
      </w:r>
      <w:r w:rsidR="00684AA7">
        <w:t>e</w:t>
      </w:r>
      <w:r>
        <w:t>r category based on Insurance product type (“Pay</w:t>
      </w:r>
      <w:r w:rsidR="00684AA7">
        <w:t>e</w:t>
      </w:r>
      <w:r>
        <w:t>r Type”)</w:t>
      </w:r>
      <w:r>
        <w:rPr>
          <w:rStyle w:val="FootnoteReference"/>
        </w:rPr>
        <w:footnoteReference w:id="64"/>
      </w:r>
      <w:r>
        <w:t>. A procedure complexity weight determined by CPT code is then added to each claim</w:t>
      </w:r>
      <w:r>
        <w:rPr>
          <w:rStyle w:val="FootnoteReference"/>
        </w:rPr>
        <w:footnoteReference w:id="65"/>
      </w:r>
      <w:r>
        <w:t xml:space="preserve">. </w:t>
      </w:r>
    </w:p>
    <w:p w14:paraId="59FF9B8A" w14:textId="77777777" w:rsidR="00DC56C8" w:rsidRPr="001C2781" w:rsidRDefault="00DC56C8" w:rsidP="00BE32C9">
      <w:bookmarkStart w:id="254" w:name="_Ref109821138"/>
      <w:r w:rsidRPr="001C2781">
        <w:t xml:space="preserve">In the CHIA data, </w:t>
      </w:r>
      <w:r>
        <w:t xml:space="preserve">all </w:t>
      </w:r>
      <w:r w:rsidRPr="001C2781">
        <w:t xml:space="preserve">non-commercial BCH patients </w:t>
      </w:r>
      <w:r>
        <w:t xml:space="preserve">appear </w:t>
      </w:r>
      <w:r w:rsidRPr="001C2781">
        <w:t>to be recorded as going to BCH Longwood, which was considered inaccurate,</w:t>
      </w:r>
      <w:r>
        <w:t xml:space="preserve"> and</w:t>
      </w:r>
      <w:r w:rsidRPr="001C2781">
        <w:t xml:space="preserve"> not reflective of real</w:t>
      </w:r>
      <w:r>
        <w:t>-</w:t>
      </w:r>
      <w:r w:rsidRPr="001C2781">
        <w:t xml:space="preserve">world choices. Including these patients in the regression dataset according to the original data would bias the hospital effects for BCH facilities because BCH Longwood would appear much more appealing to these patients, and other BCH facilities would appear less so. To </w:t>
      </w:r>
      <w:r>
        <w:t>address</w:t>
      </w:r>
      <w:r w:rsidRPr="001C2781">
        <w:t xml:space="preserve"> this </w:t>
      </w:r>
      <w:r>
        <w:t>issue</w:t>
      </w:r>
      <w:r w:rsidRPr="001C2781">
        <w:t>, all patients for these payers who chose any BCH facility were excluded from the dataset that characterizes the model and generates the choice parameters. Additionally, all BCH facilities were removed from the choice sets for all patients who are members of these payer categories.</w:t>
      </w:r>
      <w:r w:rsidRPr="001C2781">
        <w:rPr>
          <w:rStyle w:val="FootnoteReference"/>
        </w:rPr>
        <w:footnoteReference w:id="66"/>
      </w:r>
      <w:r w:rsidRPr="001C2781">
        <w:t xml:space="preserve"> The effect of these changes is that the model parameters (the patient preferences) are estimated based on all commercial patients and all non-commercial, non-BCH patients but not on non-commercial BCH patients. These patient preferences are then applied to the patients who were removed from the dataset in order to predict which hospital they went to in the </w:t>
      </w:r>
      <w:r w:rsidRPr="1025C662">
        <w:rPr>
          <w:i/>
          <w:iCs/>
        </w:rPr>
        <w:t>actual world</w:t>
      </w:r>
      <w:r w:rsidRPr="001C2781">
        <w:t>. In this way, the patients whose choices were unrealistic (all having gone to the Longwood campus and none going to BCH hospital satellites), were re-apportioned according to preferences identified from all the other patients.</w:t>
      </w:r>
      <w:bookmarkEnd w:id="254"/>
    </w:p>
    <w:p w14:paraId="3DFEDB2B" w14:textId="2A3F6A03" w:rsidR="00DC56C8" w:rsidRDefault="00DC56C8" w:rsidP="00BE32C9">
      <w:r>
        <w:t xml:space="preserve">The diversion regression is a conditional logistic regression of the choice of hospital made on drive time, drivetime squared, drivetime interacted with CPT weight, drivetime interacted with emergency flag, facility fixed effects, facility-CPT weight interaction fixed effects. The resulting coefficients represent how patients weighed each of the factors and decided to which facility to go. For each patient-facility combination, drivetime to the facility is calculated by using the drivetime in minutes between the patient’s and facility’s </w:t>
      </w:r>
      <w:r w:rsidR="00626A90">
        <w:t>ZIP</w:t>
      </w:r>
      <w:r>
        <w:t xml:space="preserve"> code. Facility fixed effects and facility fixed effects interacted with CPT weights are also included in the model.</w:t>
      </w:r>
    </w:p>
    <w:p w14:paraId="752AD8E2" w14:textId="5DD2CEC7" w:rsidR="00DC56C8" w:rsidRDefault="00DC56C8" w:rsidP="00BE32C9">
      <w:r>
        <w:t xml:space="preserve">Because of the many locations presented in the CHIA data, an additional option beyond those in the choice set must be included (the “Outside Option”). To accommodate the </w:t>
      </w:r>
      <w:r>
        <w:lastRenderedPageBreak/>
        <w:t>outside option encapsulating multiple facilities, drivetimes to the outside option for the panel choice data set are calculated by taking the average drivetime from each ZIP code to all the outside option’s ZIP code weighed by the number of times that combination occurs in the data. A similar approach is used for facilities that did not have or had inconsistent facility location information in the CHIA data.</w:t>
      </w:r>
    </w:p>
    <w:p w14:paraId="07CF5542" w14:textId="22323223" w:rsidR="00DC56C8" w:rsidRDefault="00DC56C8" w:rsidP="00BE32C9">
      <w:r>
        <w:t>To predict volumes at facilities once the new facilities/services are added, the coefficients estimated in the previous step were applied to the same patient data but with two new choices added—representing the new services being provided at existing or new facilities. Because the new facilities would have no fixed effect, the fixed effects for the new facilities are imputed as the mid-point between the average fixed effect among all BCH facility fixed effects and the fixed effect for the BCH Longwood campus.</w:t>
      </w:r>
      <w:r>
        <w:rPr>
          <w:rStyle w:val="FootnoteReference"/>
        </w:rPr>
        <w:footnoteReference w:id="67"/>
      </w:r>
      <w:r>
        <w:t xml:space="preserve"> The </w:t>
      </w:r>
      <w:r w:rsidR="00626A90">
        <w:t>two</w:t>
      </w:r>
      <w:r>
        <w:t xml:space="preserve"> new BCH facilities are then added to the panel-choice data set. Using the coefficients generated from the model, visit probability predictions are calculated for each patient and each facility. </w:t>
      </w:r>
    </w:p>
    <w:p w14:paraId="380681E5" w14:textId="5D1E16C6" w:rsidR="00DC56C8" w:rsidRPr="00790227" w:rsidRDefault="00D90124" w:rsidP="00BE32C9">
      <w:pPr>
        <w:pStyle w:val="Heading2"/>
      </w:pPr>
      <w:bookmarkStart w:id="255" w:name="_Toc109895521"/>
      <w:r>
        <w:t>Predicted Volumes for ASC, MRI, and Imaging Services</w:t>
      </w:r>
      <w:bookmarkEnd w:id="255"/>
    </w:p>
    <w:p w14:paraId="6CB1FB84" w14:textId="43A17FDB" w:rsidR="00DC56C8" w:rsidRDefault="00DC56C8" w:rsidP="00BE32C9">
      <w:r>
        <w:t xml:space="preserve">The following tables show from which facilities the patients choosing to utilize the new facilities are drawn (e.g., the source of the shift or diversion). </w:t>
      </w:r>
      <w:r w:rsidRPr="00F73E46">
        <w:t xml:space="preserve">For ASC, Imaging and MRI services, respectively, </w:t>
      </w:r>
      <w:r w:rsidR="00E6294F" w:rsidRPr="00F73E46">
        <w:t>47</w:t>
      </w:r>
      <w:r w:rsidRPr="00F73E46">
        <w:t xml:space="preserve">%, 20%, and 29% of the proposed new BCH satellite outpatient facilities’ visits are taken from other BCH facilities. More specifically, </w:t>
      </w:r>
      <w:r w:rsidR="00F73E46" w:rsidRPr="00F73E46">
        <w:t>14</w:t>
      </w:r>
      <w:r w:rsidRPr="00F73E46">
        <w:t>%</w:t>
      </w:r>
      <w:r w:rsidR="00C35ED0">
        <w:rPr>
          <w:rStyle w:val="FootnoteReference"/>
        </w:rPr>
        <w:footnoteReference w:id="68"/>
      </w:r>
      <w:r w:rsidRPr="00F73E46">
        <w:t xml:space="preserve">, 16% and 24% of the new facility visits for the 3 service lines come from the BCH Longwood facility. These tables show shifts across all </w:t>
      </w:r>
      <w:r w:rsidRPr="008E7993">
        <w:t>payer categories and report the estimate volume of visits/procedures that are estimated to shift. Supplemental tables in the appendix show these diversion shares and volumes by payer category. Mass General (the location of MGfC) and the collection of facilities in the Outside Option represent the two next largest</w:t>
      </w:r>
      <w:r>
        <w:t xml:space="preserve"> sources of patients shifting to the new BCH facilities.</w:t>
      </w:r>
      <w:r>
        <w:rPr>
          <w:rStyle w:val="FootnoteReference"/>
        </w:rPr>
        <w:footnoteReference w:id="69"/>
      </w:r>
      <w:r>
        <w:t xml:space="preserve"> These estimated diversions or shifts provide estimates of the volume of patients</w:t>
      </w:r>
      <w:r w:rsidR="00C35ED0">
        <w:t>.</w:t>
      </w:r>
      <w:r w:rsidR="00A0755E">
        <w:t xml:space="preserve"> Specifically</w:t>
      </w:r>
      <w:r w:rsidR="00A0755E" w:rsidRPr="00347EE0">
        <w:t xml:space="preserve">, </w:t>
      </w:r>
      <w:r w:rsidR="00A0755E" w:rsidRPr="00347EE0">
        <w:fldChar w:fldCharType="begin"/>
      </w:r>
      <w:r w:rsidR="00A0755E" w:rsidRPr="00347EE0">
        <w:instrText xml:space="preserve"> REF _Ref106622501 \h  \* MERGEFORMAT </w:instrText>
      </w:r>
      <w:r w:rsidR="00A0755E" w:rsidRPr="00347EE0">
        <w:fldChar w:fldCharType="separate"/>
      </w:r>
      <w:r w:rsidR="00CE7C62">
        <w:t xml:space="preserve">Table </w:t>
      </w:r>
      <w:r w:rsidR="00CE7C62">
        <w:rPr>
          <w:noProof/>
        </w:rPr>
        <w:t>22</w:t>
      </w:r>
      <w:r w:rsidR="00CE7C62">
        <w:t>: Diversions to New BCH Facilities for Ambulatory Surgery Center Services</w:t>
      </w:r>
      <w:r w:rsidR="00A0755E" w:rsidRPr="00347EE0">
        <w:fldChar w:fldCharType="end"/>
      </w:r>
      <w:r w:rsidR="00A0755E" w:rsidRPr="00347EE0">
        <w:t xml:space="preserve">, </w:t>
      </w:r>
      <w:r w:rsidR="00A0755E" w:rsidRPr="00347EE0">
        <w:fldChar w:fldCharType="begin"/>
      </w:r>
      <w:r w:rsidR="00A0755E" w:rsidRPr="00347EE0">
        <w:instrText xml:space="preserve"> REF _Ref106622509 \h  \* MERGEFORMAT </w:instrText>
      </w:r>
      <w:r w:rsidR="00A0755E" w:rsidRPr="00347EE0">
        <w:fldChar w:fldCharType="separate"/>
      </w:r>
      <w:r w:rsidR="00CE7C62">
        <w:t xml:space="preserve">Table </w:t>
      </w:r>
      <w:r w:rsidR="00CE7C62">
        <w:rPr>
          <w:noProof/>
        </w:rPr>
        <w:t>23</w:t>
      </w:r>
      <w:r w:rsidR="00CE7C62">
        <w:t>: Diversions to New BCH Facilities for Imaging Services</w:t>
      </w:r>
      <w:r w:rsidR="00A0755E" w:rsidRPr="00347EE0">
        <w:fldChar w:fldCharType="end"/>
      </w:r>
      <w:r w:rsidR="00A0755E" w:rsidRPr="00347EE0">
        <w:t xml:space="preserve">, and </w:t>
      </w:r>
      <w:r w:rsidR="00A0755E" w:rsidRPr="00347EE0">
        <w:fldChar w:fldCharType="begin"/>
      </w:r>
      <w:r w:rsidR="00A0755E" w:rsidRPr="00347EE0">
        <w:instrText xml:space="preserve"> REF _Ref106622519 \h  \* MERGEFORMAT </w:instrText>
      </w:r>
      <w:r w:rsidR="00A0755E" w:rsidRPr="00347EE0">
        <w:fldChar w:fldCharType="separate"/>
      </w:r>
      <w:r w:rsidR="00CE7C62">
        <w:t xml:space="preserve">Table </w:t>
      </w:r>
      <w:r w:rsidR="00CE7C62">
        <w:rPr>
          <w:noProof/>
        </w:rPr>
        <w:t>24</w:t>
      </w:r>
      <w:r w:rsidR="00CE7C62">
        <w:t>:</w:t>
      </w:r>
      <w:r w:rsidR="00CE7C62" w:rsidRPr="002F33B5">
        <w:t xml:space="preserve"> </w:t>
      </w:r>
      <w:r w:rsidR="00CE7C62">
        <w:t>Diversions to New BCH Facilities for MRI Services</w:t>
      </w:r>
      <w:r w:rsidR="00A0755E" w:rsidRPr="00347EE0">
        <w:fldChar w:fldCharType="end"/>
      </w:r>
      <w:r w:rsidR="00A0755E" w:rsidRPr="00347EE0">
        <w:t xml:space="preserve"> show the diversion to the new facilities for 2019 patient data.</w:t>
      </w:r>
    </w:p>
    <w:p w14:paraId="5E4C1244" w14:textId="1F29C746" w:rsidR="00EC5F95" w:rsidRPr="007A01A4" w:rsidRDefault="00EC5F95" w:rsidP="007813FB">
      <w:pPr>
        <w:pStyle w:val="Caption"/>
      </w:pPr>
      <w:bookmarkStart w:id="256" w:name="_Ref106622501"/>
      <w:bookmarkStart w:id="257" w:name="_Toc106641200"/>
      <w:bookmarkStart w:id="258" w:name="_Toc106648904"/>
      <w:bookmarkStart w:id="259" w:name="_Toc109895453"/>
      <w:bookmarkStart w:id="260" w:name="_Hlk109726931"/>
      <w:r>
        <w:lastRenderedPageBreak/>
        <w:t xml:space="preserve">Table </w:t>
      </w:r>
      <w:fldSimple w:instr=" SEQ Table \* ARABIC ">
        <w:r w:rsidR="00CE7C62">
          <w:rPr>
            <w:noProof/>
          </w:rPr>
          <w:t>22</w:t>
        </w:r>
      </w:fldSimple>
      <w:r>
        <w:t>: Diversions to New BCH Facilities for Ambulatory Surgery Center Services</w:t>
      </w:r>
      <w:bookmarkEnd w:id="256"/>
      <w:bookmarkEnd w:id="257"/>
      <w:bookmarkEnd w:id="258"/>
      <w:r>
        <w:t xml:space="preserve"> </w:t>
      </w:r>
      <w:r w:rsidRPr="00834DFF">
        <w:t>(MA, Patient</w:t>
      </w:r>
      <w:r>
        <w:t>s Aged</w:t>
      </w:r>
      <w:r w:rsidRPr="00834DFF">
        <w:t xml:space="preserve"> 0 – 18)</w:t>
      </w:r>
      <w:bookmarkEnd w:id="259"/>
    </w:p>
    <w:tbl>
      <w:tblPr>
        <w:tblStyle w:val="GridTable4-Accent11"/>
        <w:tblW w:w="3330" w:type="dxa"/>
        <w:tblLook w:val="04A0" w:firstRow="1" w:lastRow="0" w:firstColumn="1" w:lastColumn="0" w:noHBand="0" w:noVBand="1"/>
      </w:tblPr>
      <w:tblGrid>
        <w:gridCol w:w="1615"/>
        <w:gridCol w:w="1715"/>
      </w:tblGrid>
      <w:tr w:rsidR="00EC5F95" w:rsidRPr="002F33B5" w14:paraId="10EF4037" w14:textId="77777777" w:rsidTr="00EF68B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76593B8" w14:textId="77777777" w:rsidR="00EC5F95" w:rsidRPr="002F33B5" w:rsidRDefault="00EC5F95" w:rsidP="00BE32C9">
            <w:pPr>
              <w:pStyle w:val="TableParagraph"/>
            </w:pPr>
            <w:r w:rsidRPr="00AC55F0">
              <w:t>System</w:t>
            </w:r>
          </w:p>
        </w:tc>
        <w:tc>
          <w:tcPr>
            <w:tcW w:w="1715" w:type="dxa"/>
            <w:noWrap/>
            <w:vAlign w:val="top"/>
            <w:hideMark/>
          </w:tcPr>
          <w:p w14:paraId="7EE0CB96" w14:textId="77777777" w:rsidR="00EC5F95" w:rsidRPr="002F33B5"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C93247">
              <w:t>Share of Net New Visits Diverted to New Facilities</w:t>
            </w:r>
          </w:p>
        </w:tc>
      </w:tr>
      <w:tr w:rsidR="00EC5F95" w:rsidRPr="002F33B5" w14:paraId="711E817F"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57F483C" w14:textId="77777777" w:rsidR="00EC5F95" w:rsidRPr="002F33B5" w:rsidRDefault="00EC5F95" w:rsidP="00BE32C9">
            <w:pPr>
              <w:pStyle w:val="TableParagraph"/>
            </w:pPr>
            <w:r w:rsidRPr="00AC55F0">
              <w:t>BCH</w:t>
            </w:r>
          </w:p>
        </w:tc>
        <w:tc>
          <w:tcPr>
            <w:tcW w:w="1715" w:type="dxa"/>
            <w:noWrap/>
            <w:vAlign w:val="top"/>
            <w:hideMark/>
          </w:tcPr>
          <w:p w14:paraId="3F02FFDC"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C93247">
              <w:t>47%</w:t>
            </w:r>
          </w:p>
        </w:tc>
      </w:tr>
      <w:tr w:rsidR="00EC5F95" w:rsidRPr="002F33B5" w14:paraId="68641DE0"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A5AD887" w14:textId="77777777" w:rsidR="00EC5F95" w:rsidRPr="002F33B5" w:rsidRDefault="00EC5F95" w:rsidP="00BE32C9">
            <w:pPr>
              <w:pStyle w:val="TableParagraph"/>
            </w:pPr>
            <w:r w:rsidRPr="00AC55F0">
              <w:t>Baystate</w:t>
            </w:r>
          </w:p>
        </w:tc>
        <w:tc>
          <w:tcPr>
            <w:tcW w:w="1715" w:type="dxa"/>
            <w:noWrap/>
            <w:vAlign w:val="top"/>
            <w:hideMark/>
          </w:tcPr>
          <w:p w14:paraId="4A318264"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C93247">
              <w:t>2%</w:t>
            </w:r>
          </w:p>
        </w:tc>
      </w:tr>
      <w:tr w:rsidR="00EC5F95" w:rsidRPr="002F33B5" w14:paraId="3FC1798C"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3DB1BA0" w14:textId="77777777" w:rsidR="00EC5F95" w:rsidRPr="002F33B5" w:rsidRDefault="00EC5F95" w:rsidP="00BE32C9">
            <w:pPr>
              <w:pStyle w:val="TableParagraph"/>
            </w:pPr>
            <w:r w:rsidRPr="00AC55F0">
              <w:t>Boston Medical</w:t>
            </w:r>
          </w:p>
        </w:tc>
        <w:tc>
          <w:tcPr>
            <w:tcW w:w="1715" w:type="dxa"/>
            <w:noWrap/>
            <w:vAlign w:val="top"/>
            <w:hideMark/>
          </w:tcPr>
          <w:p w14:paraId="67BFAFA0"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C93247">
              <w:t>1%</w:t>
            </w:r>
          </w:p>
        </w:tc>
      </w:tr>
      <w:tr w:rsidR="00EC5F95" w:rsidRPr="002F33B5" w14:paraId="50E7E8C9"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C60C353" w14:textId="77777777" w:rsidR="00EC5F95" w:rsidRPr="002F33B5" w:rsidRDefault="00EC5F95" w:rsidP="00BE32C9">
            <w:pPr>
              <w:pStyle w:val="TableParagraph"/>
            </w:pPr>
            <w:r w:rsidRPr="00AC55F0">
              <w:t>Mass General</w:t>
            </w:r>
          </w:p>
        </w:tc>
        <w:tc>
          <w:tcPr>
            <w:tcW w:w="1715" w:type="dxa"/>
            <w:noWrap/>
            <w:vAlign w:val="top"/>
            <w:hideMark/>
          </w:tcPr>
          <w:p w14:paraId="273254B2"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C93247">
              <w:t>9%</w:t>
            </w:r>
          </w:p>
        </w:tc>
      </w:tr>
      <w:tr w:rsidR="00EC5F95" w:rsidRPr="002F33B5" w14:paraId="1B183CF4"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BDA42BB" w14:textId="77777777" w:rsidR="00EC5F95" w:rsidRPr="002F33B5" w:rsidRDefault="00EC5F95" w:rsidP="00BE32C9">
            <w:pPr>
              <w:pStyle w:val="TableParagraph"/>
            </w:pPr>
            <w:r w:rsidRPr="00AC55F0">
              <w:t>Tufts</w:t>
            </w:r>
          </w:p>
        </w:tc>
        <w:tc>
          <w:tcPr>
            <w:tcW w:w="1715" w:type="dxa"/>
            <w:noWrap/>
            <w:vAlign w:val="top"/>
            <w:hideMark/>
          </w:tcPr>
          <w:p w14:paraId="2F3EE65D"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C93247">
              <w:t>2%</w:t>
            </w:r>
          </w:p>
        </w:tc>
      </w:tr>
      <w:tr w:rsidR="00EC5F95" w:rsidRPr="002F33B5" w14:paraId="04DC698B"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BE714D7" w14:textId="77777777" w:rsidR="00EC5F95" w:rsidRPr="002F33B5" w:rsidRDefault="00EC5F95" w:rsidP="00BE32C9">
            <w:pPr>
              <w:pStyle w:val="TableParagraph"/>
            </w:pPr>
            <w:r w:rsidRPr="00AC55F0">
              <w:t>UMASS</w:t>
            </w:r>
          </w:p>
        </w:tc>
        <w:tc>
          <w:tcPr>
            <w:tcW w:w="1715" w:type="dxa"/>
            <w:noWrap/>
            <w:vAlign w:val="top"/>
            <w:hideMark/>
          </w:tcPr>
          <w:p w14:paraId="3B17386C"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C93247">
              <w:t>3%</w:t>
            </w:r>
          </w:p>
        </w:tc>
      </w:tr>
      <w:tr w:rsidR="00EC5F95" w:rsidRPr="002F33B5" w14:paraId="75AA5FE2"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6C9B8F7" w14:textId="77777777" w:rsidR="00EC5F95" w:rsidRPr="002F33B5" w:rsidRDefault="00EC5F95" w:rsidP="00BE32C9">
            <w:pPr>
              <w:pStyle w:val="TableParagraph"/>
            </w:pPr>
            <w:r w:rsidRPr="00AC55F0">
              <w:t>Outside Option</w:t>
            </w:r>
          </w:p>
        </w:tc>
        <w:tc>
          <w:tcPr>
            <w:tcW w:w="1715" w:type="dxa"/>
            <w:noWrap/>
            <w:vAlign w:val="top"/>
            <w:hideMark/>
          </w:tcPr>
          <w:p w14:paraId="53C98970"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C93247">
              <w:t>36%</w:t>
            </w:r>
          </w:p>
        </w:tc>
      </w:tr>
      <w:tr w:rsidR="00EC5F95" w:rsidRPr="002F33B5" w14:paraId="1B3FC48F"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tcPr>
          <w:p w14:paraId="242D44E8" w14:textId="64194C7C" w:rsidR="00EC5F95" w:rsidRPr="00AC55F0" w:rsidRDefault="00EC5F95" w:rsidP="00BE32C9">
            <w:pPr>
              <w:pStyle w:val="TableParagraph"/>
            </w:pPr>
            <w:r w:rsidRPr="00B33C12">
              <w:t xml:space="preserve">Total </w:t>
            </w:r>
          </w:p>
        </w:tc>
        <w:tc>
          <w:tcPr>
            <w:tcW w:w="1715" w:type="dxa"/>
            <w:noWrap/>
            <w:vAlign w:val="top"/>
          </w:tcPr>
          <w:p w14:paraId="77B95005" w14:textId="4F05A800" w:rsidR="00EC5F95" w:rsidRPr="00C93247" w:rsidRDefault="00917C95" w:rsidP="00BE32C9">
            <w:pPr>
              <w:pStyle w:val="TableParagraph"/>
              <w:cnfStyle w:val="000000000000" w:firstRow="0" w:lastRow="0" w:firstColumn="0" w:lastColumn="0" w:oddVBand="0" w:evenVBand="0" w:oddHBand="0" w:evenHBand="0" w:firstRowFirstColumn="0" w:firstRowLastColumn="0" w:lastRowFirstColumn="0" w:lastRowLastColumn="0"/>
            </w:pPr>
            <w:r>
              <w:t>~800</w:t>
            </w:r>
          </w:p>
        </w:tc>
      </w:tr>
    </w:tbl>
    <w:bookmarkEnd w:id="260"/>
    <w:p w14:paraId="7864556C" w14:textId="77777777" w:rsidR="00EC5F95" w:rsidRPr="009A6CC6" w:rsidRDefault="00EC5F95" w:rsidP="007813FB">
      <w:pPr>
        <w:pStyle w:val="TableNotes"/>
      </w:pPr>
      <w:r>
        <w:t>Source:</w:t>
      </w:r>
      <w:r w:rsidRPr="00CB4F30">
        <w:t xml:space="preserve"> The result is based on </w:t>
      </w:r>
      <w:r>
        <w:t>ASC</w:t>
      </w:r>
      <w:r w:rsidRPr="00CB4F30">
        <w:t xml:space="preserve"> claims from the 2019 CHIA all-payer medical claim data. The data is restricted to visits from members younger than 19 years old</w:t>
      </w:r>
      <w:r>
        <w:t xml:space="preserve"> residing in Massachusetts</w:t>
      </w:r>
      <w:r w:rsidRPr="00CB4F30">
        <w:t xml:space="preserve">. </w:t>
      </w:r>
    </w:p>
    <w:p w14:paraId="3C2E0845" w14:textId="010F4142" w:rsidR="00EC5F95" w:rsidRDefault="00EC5F95" w:rsidP="007813FB">
      <w:pPr>
        <w:pStyle w:val="Caption"/>
      </w:pPr>
      <w:bookmarkStart w:id="261" w:name="_Ref106622509"/>
      <w:bookmarkStart w:id="262" w:name="_Toc106641201"/>
      <w:bookmarkStart w:id="263" w:name="_Toc106648905"/>
      <w:bookmarkStart w:id="264" w:name="_Toc109895454"/>
      <w:r>
        <w:t xml:space="preserve">Table </w:t>
      </w:r>
      <w:fldSimple w:instr=" SEQ Table \* ARABIC ">
        <w:r w:rsidR="00CE7C62">
          <w:rPr>
            <w:noProof/>
          </w:rPr>
          <w:t>23</w:t>
        </w:r>
      </w:fldSimple>
      <w:r>
        <w:t>: Diversions to New BCH Facilities for Imaging Services</w:t>
      </w:r>
      <w:bookmarkEnd w:id="261"/>
      <w:bookmarkEnd w:id="262"/>
      <w:bookmarkEnd w:id="263"/>
      <w:r>
        <w:t xml:space="preserve"> </w:t>
      </w:r>
      <w:r w:rsidRPr="00834DFF">
        <w:t>(MA, Patient</w:t>
      </w:r>
      <w:r>
        <w:t>s Aged</w:t>
      </w:r>
      <w:r w:rsidRPr="00834DFF">
        <w:t xml:space="preserve"> 0 – 18)</w:t>
      </w:r>
      <w:bookmarkEnd w:id="264"/>
    </w:p>
    <w:tbl>
      <w:tblPr>
        <w:tblStyle w:val="GridTable4-Accent11"/>
        <w:tblW w:w="3495" w:type="dxa"/>
        <w:tblLook w:val="04A0" w:firstRow="1" w:lastRow="0" w:firstColumn="1" w:lastColumn="0" w:noHBand="0" w:noVBand="1"/>
      </w:tblPr>
      <w:tblGrid>
        <w:gridCol w:w="1615"/>
        <w:gridCol w:w="1880"/>
      </w:tblGrid>
      <w:tr w:rsidR="00EC5F95" w:rsidRPr="002F33B5" w14:paraId="4149BB78" w14:textId="77777777" w:rsidTr="00EF68B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D00189B" w14:textId="77777777" w:rsidR="00EC5F95" w:rsidRPr="002F33B5" w:rsidRDefault="00EC5F95" w:rsidP="00BE32C9">
            <w:pPr>
              <w:pStyle w:val="TableParagraph"/>
            </w:pPr>
            <w:r>
              <w:t>System</w:t>
            </w:r>
          </w:p>
        </w:tc>
        <w:tc>
          <w:tcPr>
            <w:tcW w:w="1880" w:type="dxa"/>
            <w:noWrap/>
            <w:hideMark/>
          </w:tcPr>
          <w:p w14:paraId="17BCCE79" w14:textId="77777777" w:rsidR="00EC5F95" w:rsidRPr="002F33B5"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C93247">
              <w:t>Share of Net New Visits Diverted to New Facilities</w:t>
            </w:r>
          </w:p>
        </w:tc>
      </w:tr>
      <w:tr w:rsidR="00EC5F95" w:rsidRPr="002F33B5" w14:paraId="6CD45828"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4A9B752" w14:textId="77777777" w:rsidR="00EC5F95" w:rsidRPr="002F33B5" w:rsidRDefault="00EC5F95" w:rsidP="00BE32C9">
            <w:pPr>
              <w:pStyle w:val="TableParagraph"/>
            </w:pPr>
            <w:r w:rsidRPr="002F33B5">
              <w:t>BCH</w:t>
            </w:r>
          </w:p>
        </w:tc>
        <w:tc>
          <w:tcPr>
            <w:tcW w:w="1880" w:type="dxa"/>
            <w:noWrap/>
            <w:hideMark/>
          </w:tcPr>
          <w:p w14:paraId="3DEA9EA1"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190E79">
              <w:t>20%</w:t>
            </w:r>
          </w:p>
        </w:tc>
      </w:tr>
      <w:tr w:rsidR="00EC5F95" w:rsidRPr="002F33B5" w14:paraId="4F557702"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946F649" w14:textId="77777777" w:rsidR="00EC5F95" w:rsidRPr="002F33B5" w:rsidRDefault="00EC5F95" w:rsidP="00BE32C9">
            <w:pPr>
              <w:pStyle w:val="TableParagraph"/>
            </w:pPr>
            <w:r w:rsidRPr="002F33B5">
              <w:t>Baystate</w:t>
            </w:r>
          </w:p>
        </w:tc>
        <w:tc>
          <w:tcPr>
            <w:tcW w:w="1880" w:type="dxa"/>
            <w:noWrap/>
            <w:hideMark/>
          </w:tcPr>
          <w:p w14:paraId="22631CD2"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190E79">
              <w:t>0%</w:t>
            </w:r>
          </w:p>
        </w:tc>
      </w:tr>
      <w:tr w:rsidR="00EC5F95" w:rsidRPr="002F33B5" w14:paraId="7543B6FB"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CC375F3" w14:textId="77777777" w:rsidR="00EC5F95" w:rsidRPr="002F33B5" w:rsidRDefault="00EC5F95" w:rsidP="00BE32C9">
            <w:pPr>
              <w:pStyle w:val="TableParagraph"/>
            </w:pPr>
            <w:r w:rsidRPr="002F33B5">
              <w:t>Boston Medical</w:t>
            </w:r>
          </w:p>
        </w:tc>
        <w:tc>
          <w:tcPr>
            <w:tcW w:w="1880" w:type="dxa"/>
            <w:noWrap/>
            <w:hideMark/>
          </w:tcPr>
          <w:p w14:paraId="1190A62D"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190E79">
              <w:t>2%</w:t>
            </w:r>
          </w:p>
        </w:tc>
      </w:tr>
      <w:tr w:rsidR="00EC5F95" w:rsidRPr="002F33B5" w14:paraId="0818DACC"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1CFA296" w14:textId="77777777" w:rsidR="00EC5F95" w:rsidRPr="002F33B5" w:rsidRDefault="00EC5F95" w:rsidP="00BE32C9">
            <w:pPr>
              <w:pStyle w:val="TableParagraph"/>
            </w:pPr>
            <w:r w:rsidRPr="002F33B5">
              <w:t>Mass General</w:t>
            </w:r>
          </w:p>
        </w:tc>
        <w:tc>
          <w:tcPr>
            <w:tcW w:w="1880" w:type="dxa"/>
            <w:noWrap/>
            <w:hideMark/>
          </w:tcPr>
          <w:p w14:paraId="559D2171"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190E79">
              <w:t>10%</w:t>
            </w:r>
          </w:p>
        </w:tc>
      </w:tr>
      <w:tr w:rsidR="00EC5F95" w:rsidRPr="002F33B5" w14:paraId="3C5AA1A0"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C8E896B" w14:textId="77777777" w:rsidR="00EC5F95" w:rsidRPr="002F33B5" w:rsidRDefault="00EC5F95" w:rsidP="00BE32C9">
            <w:pPr>
              <w:pStyle w:val="TableParagraph"/>
            </w:pPr>
            <w:r w:rsidRPr="002F33B5">
              <w:t>Tufts</w:t>
            </w:r>
          </w:p>
        </w:tc>
        <w:tc>
          <w:tcPr>
            <w:tcW w:w="1880" w:type="dxa"/>
            <w:noWrap/>
            <w:hideMark/>
          </w:tcPr>
          <w:p w14:paraId="433AA862"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190E79">
              <w:t>2%</w:t>
            </w:r>
          </w:p>
        </w:tc>
      </w:tr>
      <w:tr w:rsidR="00EC5F95" w:rsidRPr="002F33B5" w14:paraId="3A1906AE"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BF751C9" w14:textId="77777777" w:rsidR="00EC5F95" w:rsidRPr="002F33B5" w:rsidRDefault="00EC5F95" w:rsidP="00BE32C9">
            <w:pPr>
              <w:pStyle w:val="TableParagraph"/>
            </w:pPr>
            <w:r w:rsidRPr="002F33B5">
              <w:t>UMASS</w:t>
            </w:r>
          </w:p>
        </w:tc>
        <w:tc>
          <w:tcPr>
            <w:tcW w:w="1880" w:type="dxa"/>
            <w:noWrap/>
            <w:hideMark/>
          </w:tcPr>
          <w:p w14:paraId="5A0983FA"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190E79">
              <w:t>4%</w:t>
            </w:r>
          </w:p>
        </w:tc>
      </w:tr>
      <w:tr w:rsidR="00EC5F95" w:rsidRPr="002F33B5" w14:paraId="1F5A7DEC"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D221A86" w14:textId="77777777" w:rsidR="00EC5F95" w:rsidRPr="002F33B5" w:rsidRDefault="00EC5F95" w:rsidP="00BE32C9">
            <w:pPr>
              <w:pStyle w:val="TableParagraph"/>
            </w:pPr>
            <w:r w:rsidRPr="002F33B5">
              <w:t>Outside Option</w:t>
            </w:r>
          </w:p>
        </w:tc>
        <w:tc>
          <w:tcPr>
            <w:tcW w:w="1880" w:type="dxa"/>
            <w:noWrap/>
            <w:hideMark/>
          </w:tcPr>
          <w:p w14:paraId="5060744D"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190E79">
              <w:t>62%</w:t>
            </w:r>
          </w:p>
        </w:tc>
      </w:tr>
      <w:tr w:rsidR="00EC5F95" w:rsidRPr="002F33B5" w14:paraId="2A2307F9"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tcPr>
          <w:p w14:paraId="6D9D994E" w14:textId="61354646" w:rsidR="00EC5F95" w:rsidRPr="009D16B7" w:rsidRDefault="00EC5F95" w:rsidP="00BE32C9">
            <w:pPr>
              <w:pStyle w:val="TableParagraph"/>
              <w:rPr>
                <w:b w:val="0"/>
                <w:bCs w:val="0"/>
              </w:rPr>
            </w:pPr>
            <w:r>
              <w:t>Total</w:t>
            </w:r>
          </w:p>
        </w:tc>
        <w:tc>
          <w:tcPr>
            <w:tcW w:w="1880" w:type="dxa"/>
            <w:noWrap/>
          </w:tcPr>
          <w:p w14:paraId="520F259E" w14:textId="1F3F0149" w:rsidR="00EC5F95" w:rsidRPr="00190E79" w:rsidRDefault="00917C95" w:rsidP="00BE32C9">
            <w:pPr>
              <w:pStyle w:val="TableParagraph"/>
              <w:cnfStyle w:val="000000000000" w:firstRow="0" w:lastRow="0" w:firstColumn="0" w:lastColumn="0" w:oddVBand="0" w:evenVBand="0" w:oddHBand="0" w:evenHBand="0" w:firstRowFirstColumn="0" w:firstRowLastColumn="0" w:lastRowFirstColumn="0" w:lastRowLastColumn="0"/>
            </w:pPr>
            <w:r>
              <w:t>~12,400</w:t>
            </w:r>
          </w:p>
        </w:tc>
      </w:tr>
    </w:tbl>
    <w:p w14:paraId="1CF5B2AD" w14:textId="77777777" w:rsidR="00EC5F95" w:rsidRPr="009A6CC6" w:rsidRDefault="00EC5F95" w:rsidP="007813FB">
      <w:pPr>
        <w:pStyle w:val="TableNotes"/>
      </w:pPr>
      <w:r>
        <w:t>Source:</w:t>
      </w:r>
      <w:r w:rsidRPr="00CB4F30">
        <w:t xml:space="preserve"> The result is based on </w:t>
      </w:r>
      <w:r>
        <w:t>all imaging</w:t>
      </w:r>
      <w:r w:rsidRPr="00CB4F30">
        <w:t xml:space="preserve"> claims from the 2019 CHIA all-payer medical claim data. The data is restricted to visits from members younger than 19 years old</w:t>
      </w:r>
      <w:r>
        <w:t xml:space="preserve"> residing in Massachusetts</w:t>
      </w:r>
      <w:r w:rsidRPr="00CB4F30">
        <w:t xml:space="preserve">. </w:t>
      </w:r>
    </w:p>
    <w:p w14:paraId="18D45ACF" w14:textId="71482E34" w:rsidR="00EC5F95" w:rsidRDefault="00EC5F95" w:rsidP="007813FB">
      <w:pPr>
        <w:pStyle w:val="Caption"/>
      </w:pPr>
      <w:bookmarkStart w:id="265" w:name="_Ref106622519"/>
      <w:bookmarkStart w:id="266" w:name="_Toc106641202"/>
      <w:bookmarkStart w:id="267" w:name="_Toc106648906"/>
      <w:bookmarkStart w:id="268" w:name="_Toc109895455"/>
      <w:r>
        <w:t xml:space="preserve">Table </w:t>
      </w:r>
      <w:fldSimple w:instr=" SEQ Table \* ARABIC ">
        <w:r w:rsidR="00CE7C62">
          <w:rPr>
            <w:noProof/>
          </w:rPr>
          <w:t>24</w:t>
        </w:r>
      </w:fldSimple>
      <w:r>
        <w:t>:</w:t>
      </w:r>
      <w:r w:rsidRPr="002F33B5">
        <w:t xml:space="preserve"> </w:t>
      </w:r>
      <w:r>
        <w:t>Diversions to New BCH Facilities for MRI Services</w:t>
      </w:r>
      <w:bookmarkEnd w:id="265"/>
      <w:bookmarkEnd w:id="266"/>
      <w:bookmarkEnd w:id="267"/>
      <w:r>
        <w:t xml:space="preserve"> </w:t>
      </w:r>
      <w:r w:rsidRPr="00834DFF">
        <w:t>(MA, Patient</w:t>
      </w:r>
      <w:r>
        <w:t>s Aged</w:t>
      </w:r>
      <w:r w:rsidRPr="00834DFF">
        <w:t xml:space="preserve"> 0 – 18)</w:t>
      </w:r>
      <w:bookmarkEnd w:id="268"/>
    </w:p>
    <w:tbl>
      <w:tblPr>
        <w:tblStyle w:val="GridTable4-Accent11"/>
        <w:tblW w:w="3680" w:type="dxa"/>
        <w:tblLook w:val="04A0" w:firstRow="1" w:lastRow="0" w:firstColumn="1" w:lastColumn="0" w:noHBand="0" w:noVBand="1"/>
      </w:tblPr>
      <w:tblGrid>
        <w:gridCol w:w="1615"/>
        <w:gridCol w:w="2065"/>
      </w:tblGrid>
      <w:tr w:rsidR="00EC5F95" w:rsidRPr="002F33B5" w14:paraId="286173D5" w14:textId="77777777" w:rsidTr="00EF68B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5AC8760" w14:textId="77777777" w:rsidR="00EC5F95" w:rsidRPr="002F33B5" w:rsidRDefault="00EC5F95" w:rsidP="00BE32C9">
            <w:pPr>
              <w:pStyle w:val="TableParagraph"/>
            </w:pPr>
            <w:r w:rsidRPr="002F33B5">
              <w:t>System</w:t>
            </w:r>
          </w:p>
        </w:tc>
        <w:tc>
          <w:tcPr>
            <w:tcW w:w="2065" w:type="dxa"/>
            <w:noWrap/>
            <w:hideMark/>
          </w:tcPr>
          <w:p w14:paraId="66D22EFC" w14:textId="77777777" w:rsidR="00EC5F95" w:rsidRPr="002F33B5"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0D282A">
              <w:t>Share of Net New Visits Diverted to New Facilities</w:t>
            </w:r>
          </w:p>
        </w:tc>
      </w:tr>
      <w:tr w:rsidR="00EC5F95" w:rsidRPr="002F33B5" w14:paraId="1BE5DC56"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DA576A4" w14:textId="77777777" w:rsidR="00EC5F95" w:rsidRPr="002F33B5" w:rsidRDefault="00EC5F95" w:rsidP="00BE32C9">
            <w:pPr>
              <w:pStyle w:val="TableParagraph"/>
            </w:pPr>
            <w:r w:rsidRPr="002F33B5">
              <w:t>BCH</w:t>
            </w:r>
          </w:p>
        </w:tc>
        <w:tc>
          <w:tcPr>
            <w:tcW w:w="2065" w:type="dxa"/>
            <w:noWrap/>
            <w:hideMark/>
          </w:tcPr>
          <w:p w14:paraId="0FC53744"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0D282A">
              <w:t>29%</w:t>
            </w:r>
          </w:p>
        </w:tc>
      </w:tr>
      <w:tr w:rsidR="00EC5F95" w:rsidRPr="002F33B5" w14:paraId="159C9FCC"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C427E4C" w14:textId="77777777" w:rsidR="00EC5F95" w:rsidRPr="002F33B5" w:rsidRDefault="00EC5F95" w:rsidP="00BE32C9">
            <w:pPr>
              <w:pStyle w:val="TableParagraph"/>
            </w:pPr>
            <w:r w:rsidRPr="002F33B5">
              <w:t>Baystate</w:t>
            </w:r>
          </w:p>
        </w:tc>
        <w:tc>
          <w:tcPr>
            <w:tcW w:w="2065" w:type="dxa"/>
            <w:noWrap/>
            <w:hideMark/>
          </w:tcPr>
          <w:p w14:paraId="7DF40624"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0D282A">
              <w:t>1%</w:t>
            </w:r>
          </w:p>
        </w:tc>
      </w:tr>
      <w:tr w:rsidR="00EC5F95" w:rsidRPr="002F33B5" w14:paraId="5CF981A6"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4AB0D62" w14:textId="77777777" w:rsidR="00EC5F95" w:rsidRPr="002F33B5" w:rsidRDefault="00EC5F95" w:rsidP="00BE32C9">
            <w:pPr>
              <w:pStyle w:val="TableParagraph"/>
            </w:pPr>
            <w:r w:rsidRPr="002F33B5">
              <w:t>Boston Medical</w:t>
            </w:r>
          </w:p>
        </w:tc>
        <w:tc>
          <w:tcPr>
            <w:tcW w:w="2065" w:type="dxa"/>
            <w:noWrap/>
            <w:hideMark/>
          </w:tcPr>
          <w:p w14:paraId="212D2BE4"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0D282A">
              <w:t>2%</w:t>
            </w:r>
          </w:p>
        </w:tc>
      </w:tr>
      <w:tr w:rsidR="00EC5F95" w:rsidRPr="002F33B5" w14:paraId="3F85C9F6"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AEFA381" w14:textId="77777777" w:rsidR="00EC5F95" w:rsidRPr="002F33B5" w:rsidRDefault="00EC5F95" w:rsidP="00BE32C9">
            <w:pPr>
              <w:pStyle w:val="TableParagraph"/>
            </w:pPr>
            <w:r w:rsidRPr="002F33B5">
              <w:t>Mass General</w:t>
            </w:r>
          </w:p>
        </w:tc>
        <w:tc>
          <w:tcPr>
            <w:tcW w:w="2065" w:type="dxa"/>
            <w:noWrap/>
            <w:hideMark/>
          </w:tcPr>
          <w:p w14:paraId="066082C7"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0D282A">
              <w:t>9%</w:t>
            </w:r>
          </w:p>
        </w:tc>
      </w:tr>
      <w:tr w:rsidR="00EC5F95" w:rsidRPr="002F33B5" w14:paraId="1D857E07"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AA1A8A7" w14:textId="77777777" w:rsidR="00EC5F95" w:rsidRPr="002F33B5" w:rsidRDefault="00EC5F95" w:rsidP="00BE32C9">
            <w:pPr>
              <w:pStyle w:val="TableParagraph"/>
            </w:pPr>
            <w:r w:rsidRPr="002F33B5">
              <w:t>Tufts</w:t>
            </w:r>
          </w:p>
        </w:tc>
        <w:tc>
          <w:tcPr>
            <w:tcW w:w="2065" w:type="dxa"/>
            <w:noWrap/>
            <w:hideMark/>
          </w:tcPr>
          <w:p w14:paraId="76CFD0AD"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0D282A">
              <w:t>2%</w:t>
            </w:r>
          </w:p>
        </w:tc>
      </w:tr>
      <w:tr w:rsidR="00EC5F95" w:rsidRPr="002F33B5" w14:paraId="0C11E77E"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5408BB7" w14:textId="77777777" w:rsidR="00EC5F95" w:rsidRPr="002F33B5" w:rsidRDefault="00EC5F95" w:rsidP="00BE32C9">
            <w:pPr>
              <w:pStyle w:val="TableParagraph"/>
            </w:pPr>
            <w:r w:rsidRPr="002F33B5">
              <w:t>UMASS</w:t>
            </w:r>
          </w:p>
        </w:tc>
        <w:tc>
          <w:tcPr>
            <w:tcW w:w="2065" w:type="dxa"/>
            <w:noWrap/>
            <w:hideMark/>
          </w:tcPr>
          <w:p w14:paraId="383CB5A9"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0D282A">
              <w:t>4%</w:t>
            </w:r>
          </w:p>
        </w:tc>
      </w:tr>
      <w:tr w:rsidR="00EC5F95" w:rsidRPr="002F33B5" w14:paraId="17459087"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5EA911C" w14:textId="77777777" w:rsidR="00EC5F95" w:rsidRPr="002F33B5" w:rsidRDefault="00EC5F95" w:rsidP="00BE32C9">
            <w:pPr>
              <w:pStyle w:val="TableParagraph"/>
            </w:pPr>
            <w:r w:rsidRPr="002F33B5">
              <w:t>Outside Option</w:t>
            </w:r>
          </w:p>
        </w:tc>
        <w:tc>
          <w:tcPr>
            <w:tcW w:w="2065" w:type="dxa"/>
            <w:noWrap/>
            <w:hideMark/>
          </w:tcPr>
          <w:p w14:paraId="32CDABD3" w14:textId="77777777" w:rsidR="00EC5F95" w:rsidRPr="002F33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0D282A">
              <w:t>53%</w:t>
            </w:r>
          </w:p>
        </w:tc>
      </w:tr>
      <w:tr w:rsidR="00EC5F95" w:rsidRPr="002F33B5" w14:paraId="3B047E34" w14:textId="77777777" w:rsidTr="00EF68B9">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tcPr>
          <w:p w14:paraId="62C63A79" w14:textId="6C4D0F6B" w:rsidR="00EC5F95" w:rsidRPr="002F33B5" w:rsidRDefault="00EC5F95" w:rsidP="00BE32C9">
            <w:pPr>
              <w:pStyle w:val="TableParagraph"/>
            </w:pPr>
            <w:r w:rsidRPr="009D16B7">
              <w:t>Total</w:t>
            </w:r>
          </w:p>
        </w:tc>
        <w:tc>
          <w:tcPr>
            <w:tcW w:w="2065" w:type="dxa"/>
            <w:noWrap/>
          </w:tcPr>
          <w:p w14:paraId="69BE0CF8" w14:textId="33CCA5C5" w:rsidR="00EC5F95" w:rsidRPr="000D282A" w:rsidRDefault="00917C95" w:rsidP="00BE32C9">
            <w:pPr>
              <w:pStyle w:val="TableParagraph"/>
              <w:cnfStyle w:val="000000000000" w:firstRow="0" w:lastRow="0" w:firstColumn="0" w:lastColumn="0" w:oddVBand="0" w:evenVBand="0" w:oddHBand="0" w:evenHBand="0" w:firstRowFirstColumn="0" w:firstRowLastColumn="0" w:lastRowFirstColumn="0" w:lastRowLastColumn="0"/>
            </w:pPr>
            <w:r>
              <w:t>~</w:t>
            </w:r>
            <w:r w:rsidR="00EC5F95" w:rsidRPr="009D16B7">
              <w:t>2</w:t>
            </w:r>
            <w:r w:rsidR="00EC5F95">
              <w:t>,</w:t>
            </w:r>
            <w:r>
              <w:t>400</w:t>
            </w:r>
          </w:p>
        </w:tc>
      </w:tr>
    </w:tbl>
    <w:p w14:paraId="366A7140" w14:textId="77777777" w:rsidR="00EC5F95" w:rsidRPr="009A6CC6" w:rsidRDefault="00EC5F95" w:rsidP="007813FB">
      <w:pPr>
        <w:pStyle w:val="TableNotes"/>
      </w:pPr>
      <w:r>
        <w:t>Source:</w:t>
      </w:r>
      <w:r w:rsidRPr="00CB4F30">
        <w:t xml:space="preserve"> The result is based on </w:t>
      </w:r>
      <w:r>
        <w:t>MRI</w:t>
      </w:r>
      <w:r w:rsidRPr="00CB4F30">
        <w:t xml:space="preserve"> claims from the 2019 CHIA all-payer medical claim data. The data is restricted to visits from members younger than 19 years old</w:t>
      </w:r>
      <w:r>
        <w:t xml:space="preserve"> residing in Massachusetts</w:t>
      </w:r>
      <w:r w:rsidRPr="00CB4F30">
        <w:t xml:space="preserve">. </w:t>
      </w:r>
    </w:p>
    <w:p w14:paraId="617FF322" w14:textId="69BC9D04" w:rsidR="00DC56C8" w:rsidRDefault="00DC56C8" w:rsidP="00BE32C9">
      <w:r>
        <w:t xml:space="preserve">To project how these diversions change over time in order to respond to questions concerning future utilization and capacity, as well as medical spending, the results above were combined with the population projections from Section </w:t>
      </w:r>
      <w:r w:rsidR="00A147AB">
        <w:rPr>
          <w:color w:val="FF0000"/>
          <w:highlight w:val="yellow"/>
        </w:rPr>
        <w:fldChar w:fldCharType="begin"/>
      </w:r>
      <w:r w:rsidR="00A147AB">
        <w:instrText xml:space="preserve"> REF _Ref106353535 \r \h </w:instrText>
      </w:r>
      <w:r w:rsidR="00A147AB">
        <w:rPr>
          <w:color w:val="FF0000"/>
          <w:highlight w:val="yellow"/>
        </w:rPr>
      </w:r>
      <w:r w:rsidR="00A147AB">
        <w:rPr>
          <w:color w:val="FF0000"/>
          <w:highlight w:val="yellow"/>
        </w:rPr>
        <w:fldChar w:fldCharType="separate"/>
      </w:r>
      <w:r w:rsidR="00CE7C62">
        <w:t>IX</w:t>
      </w:r>
      <w:r w:rsidR="00A147AB">
        <w:rPr>
          <w:color w:val="FF0000"/>
          <w:highlight w:val="yellow"/>
        </w:rPr>
        <w:fldChar w:fldCharType="end"/>
      </w:r>
      <w:r>
        <w:rPr>
          <w:color w:val="FF0000"/>
        </w:rPr>
        <w:t xml:space="preserve"> </w:t>
      </w:r>
      <w:r w:rsidRPr="0049030C">
        <w:t xml:space="preserve">to generate estimates of </w:t>
      </w:r>
      <w:r w:rsidRPr="0049030C">
        <w:lastRenderedPageBreak/>
        <w:t xml:space="preserve">diversion through 2040. </w:t>
      </w:r>
      <w:r w:rsidR="00A0755E">
        <w:t xml:space="preserve">The results are reported in </w:t>
      </w:r>
      <w:r w:rsidR="00BD1148">
        <w:fldChar w:fldCharType="begin"/>
      </w:r>
      <w:r w:rsidR="00BD1148">
        <w:instrText xml:space="preserve"> REF _Ref106625523 \h </w:instrText>
      </w:r>
      <w:r w:rsidR="00BD1148">
        <w:fldChar w:fldCharType="separate"/>
      </w:r>
      <w:r w:rsidR="00CE7C62" w:rsidRPr="0041555A">
        <w:t xml:space="preserve">Table </w:t>
      </w:r>
      <w:r w:rsidR="00CE7C62">
        <w:rPr>
          <w:noProof/>
        </w:rPr>
        <w:t>25</w:t>
      </w:r>
      <w:r w:rsidR="00CE7C62" w:rsidRPr="0041555A">
        <w:t>: Projected Diversions to New BCH Facilities for Ambulatory Surgery Services</w:t>
      </w:r>
      <w:r w:rsidR="00BD1148">
        <w:fldChar w:fldCharType="end"/>
      </w:r>
      <w:r w:rsidR="00A0755E">
        <w:t xml:space="preserve">, </w:t>
      </w:r>
      <w:r w:rsidR="00BD1148">
        <w:fldChar w:fldCharType="begin"/>
      </w:r>
      <w:r w:rsidR="00BD1148">
        <w:instrText xml:space="preserve"> REF _Ref106625529 \h </w:instrText>
      </w:r>
      <w:r w:rsidR="00BD1148">
        <w:fldChar w:fldCharType="separate"/>
      </w:r>
      <w:r w:rsidR="00CE7C62">
        <w:t xml:space="preserve">Table </w:t>
      </w:r>
      <w:r w:rsidR="00CE7C62">
        <w:rPr>
          <w:noProof/>
        </w:rPr>
        <w:t>26</w:t>
      </w:r>
      <w:r w:rsidR="00CE7C62">
        <w:t>:</w:t>
      </w:r>
      <w:r w:rsidR="00CE7C62" w:rsidRPr="009722AB">
        <w:t xml:space="preserve">Projected Diversions to New BCH Facilities for </w:t>
      </w:r>
      <w:r w:rsidR="00CE7C62">
        <w:t>Imaging</w:t>
      </w:r>
      <w:r w:rsidR="00CE7C62" w:rsidRPr="009722AB">
        <w:t xml:space="preserve"> Services</w:t>
      </w:r>
      <w:r w:rsidR="00BD1148">
        <w:fldChar w:fldCharType="end"/>
      </w:r>
      <w:r w:rsidR="00A0755E">
        <w:t xml:space="preserve">), and </w:t>
      </w:r>
      <w:r w:rsidR="00BD1148">
        <w:fldChar w:fldCharType="begin"/>
      </w:r>
      <w:r w:rsidR="00BD1148">
        <w:instrText xml:space="preserve"> REF _Ref106625542 \h </w:instrText>
      </w:r>
      <w:r w:rsidR="00BD1148">
        <w:fldChar w:fldCharType="separate"/>
      </w:r>
      <w:r w:rsidR="00CE7C62">
        <w:t xml:space="preserve">Table </w:t>
      </w:r>
      <w:r w:rsidR="00CE7C62">
        <w:rPr>
          <w:noProof/>
        </w:rPr>
        <w:t>27</w:t>
      </w:r>
      <w:r w:rsidR="00CE7C62">
        <w:t xml:space="preserve">: </w:t>
      </w:r>
      <w:r w:rsidR="00CE7C62" w:rsidRPr="007D4524">
        <w:t xml:space="preserve">Projected Diversions to New BCH Facilities for </w:t>
      </w:r>
      <w:r w:rsidR="00CE7C62">
        <w:t>MRI</w:t>
      </w:r>
      <w:r w:rsidR="00CE7C62" w:rsidRPr="007D4524">
        <w:t xml:space="preserve"> Services</w:t>
      </w:r>
      <w:r w:rsidR="00BD1148">
        <w:fldChar w:fldCharType="end"/>
      </w:r>
      <w:r w:rsidR="00A0755E">
        <w:t xml:space="preserve">, respectively. </w:t>
      </w:r>
      <w:r w:rsidRPr="0049030C">
        <w:t xml:space="preserve">These </w:t>
      </w:r>
      <w:r>
        <w:t>shares stay consistent when combining the diversion results with the geographic changes modelled in the projections data. BCH has a slightly increasing trend in the projected diversion shares to the new facilities. These results are consistent by payer category as well.</w:t>
      </w:r>
      <w:r>
        <w:rPr>
          <w:rStyle w:val="FootnoteReference"/>
        </w:rPr>
        <w:footnoteReference w:id="70"/>
      </w:r>
    </w:p>
    <w:p w14:paraId="393690A3" w14:textId="088A6C53" w:rsidR="00EC5F95" w:rsidRPr="0041555A" w:rsidRDefault="00EC5F95" w:rsidP="0041555A">
      <w:pPr>
        <w:pStyle w:val="Caption"/>
      </w:pPr>
      <w:bookmarkStart w:id="269" w:name="_Ref106625523"/>
      <w:bookmarkStart w:id="270" w:name="_Toc106641203"/>
      <w:bookmarkStart w:id="271" w:name="_Toc106648907"/>
      <w:bookmarkStart w:id="272" w:name="_Toc109895456"/>
      <w:r w:rsidRPr="0041555A">
        <w:t xml:space="preserve">Table </w:t>
      </w:r>
      <w:fldSimple w:instr=" SEQ Table \* ARABIC ">
        <w:r w:rsidR="00CE7C62">
          <w:rPr>
            <w:noProof/>
          </w:rPr>
          <w:t>25</w:t>
        </w:r>
      </w:fldSimple>
      <w:r w:rsidRPr="0041555A">
        <w:t>: Projected Diversions to New BCH Facilities for Ambulatory Surgery Services</w:t>
      </w:r>
      <w:bookmarkEnd w:id="269"/>
      <w:bookmarkEnd w:id="270"/>
      <w:bookmarkEnd w:id="271"/>
      <w:r w:rsidRPr="0041555A">
        <w:t xml:space="preserve"> (MA, Patients Aged 0 – 18)</w:t>
      </w:r>
      <w:bookmarkEnd w:id="272"/>
    </w:p>
    <w:tbl>
      <w:tblPr>
        <w:tblStyle w:val="GridTable4-Accent11"/>
        <w:tblW w:w="6546" w:type="dxa"/>
        <w:tblLook w:val="04A0" w:firstRow="1" w:lastRow="0" w:firstColumn="1" w:lastColumn="0" w:noHBand="0" w:noVBand="1"/>
      </w:tblPr>
      <w:tblGrid>
        <w:gridCol w:w="1615"/>
        <w:gridCol w:w="983"/>
        <w:gridCol w:w="987"/>
        <w:gridCol w:w="987"/>
        <w:gridCol w:w="987"/>
        <w:gridCol w:w="987"/>
      </w:tblGrid>
      <w:tr w:rsidR="00EC5F95" w:rsidRPr="001E370C" w14:paraId="5E0EEAA3" w14:textId="77777777" w:rsidTr="00B4015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D577D33" w14:textId="77777777" w:rsidR="00EC5F95" w:rsidRPr="00173109" w:rsidRDefault="00EC5F95" w:rsidP="00BE32C9">
            <w:pPr>
              <w:pStyle w:val="TableParagraph"/>
              <w:rPr>
                <w:rFonts w:eastAsia="Times New Roman"/>
              </w:rPr>
            </w:pPr>
            <w:r w:rsidRPr="00173109">
              <w:t>System</w:t>
            </w:r>
          </w:p>
        </w:tc>
        <w:tc>
          <w:tcPr>
            <w:tcW w:w="983" w:type="dxa"/>
            <w:noWrap/>
            <w:hideMark/>
          </w:tcPr>
          <w:p w14:paraId="206B1261" w14:textId="77777777" w:rsidR="00EC5F95" w:rsidRPr="00173109" w:rsidRDefault="00EC5F95" w:rsidP="00BE32C9">
            <w:pPr>
              <w:pStyle w:val="TableParagraph"/>
              <w:cnfStyle w:val="100000000000" w:firstRow="1" w:lastRow="0" w:firstColumn="0" w:lastColumn="0" w:oddVBand="0" w:evenVBand="0" w:oddHBand="0" w:evenHBand="0" w:firstRowFirstColumn="0" w:firstRowLastColumn="0" w:lastRowFirstColumn="0" w:lastRowLastColumn="0"/>
              <w:rPr>
                <w:rFonts w:eastAsia="Times New Roman"/>
              </w:rPr>
            </w:pPr>
            <w:r w:rsidRPr="00173109">
              <w:t>Visits Diverted to New Facilities 2019</w:t>
            </w:r>
          </w:p>
        </w:tc>
        <w:tc>
          <w:tcPr>
            <w:tcW w:w="987" w:type="dxa"/>
            <w:noWrap/>
            <w:hideMark/>
          </w:tcPr>
          <w:p w14:paraId="46ACC8A9" w14:textId="77777777" w:rsidR="00EC5F95" w:rsidRPr="00173109" w:rsidRDefault="00EC5F95" w:rsidP="00BE32C9">
            <w:pPr>
              <w:pStyle w:val="TableParagraph"/>
              <w:cnfStyle w:val="100000000000" w:firstRow="1" w:lastRow="0" w:firstColumn="0" w:lastColumn="0" w:oddVBand="0" w:evenVBand="0" w:oddHBand="0" w:evenHBand="0" w:firstRowFirstColumn="0" w:firstRowLastColumn="0" w:lastRowFirstColumn="0" w:lastRowLastColumn="0"/>
              <w:rPr>
                <w:rFonts w:eastAsia="Times New Roman"/>
              </w:rPr>
            </w:pPr>
            <w:r w:rsidRPr="00173109">
              <w:t>Visits Diverted to New Facilities 2025</w:t>
            </w:r>
          </w:p>
        </w:tc>
        <w:tc>
          <w:tcPr>
            <w:tcW w:w="987" w:type="dxa"/>
            <w:noWrap/>
            <w:hideMark/>
          </w:tcPr>
          <w:p w14:paraId="6D9AE8CA" w14:textId="77777777" w:rsidR="00EC5F95" w:rsidRPr="00173109" w:rsidRDefault="00EC5F95" w:rsidP="00BE32C9">
            <w:pPr>
              <w:pStyle w:val="TableParagraph"/>
              <w:cnfStyle w:val="100000000000" w:firstRow="1" w:lastRow="0" w:firstColumn="0" w:lastColumn="0" w:oddVBand="0" w:evenVBand="0" w:oddHBand="0" w:evenHBand="0" w:firstRowFirstColumn="0" w:firstRowLastColumn="0" w:lastRowFirstColumn="0" w:lastRowLastColumn="0"/>
              <w:rPr>
                <w:rFonts w:eastAsia="Times New Roman"/>
              </w:rPr>
            </w:pPr>
            <w:r w:rsidRPr="00173109">
              <w:t>Visits Diverted to New Facilities 2030</w:t>
            </w:r>
          </w:p>
        </w:tc>
        <w:tc>
          <w:tcPr>
            <w:tcW w:w="987" w:type="dxa"/>
            <w:noWrap/>
            <w:hideMark/>
          </w:tcPr>
          <w:p w14:paraId="6AE16EB6" w14:textId="77777777" w:rsidR="00EC5F95" w:rsidRPr="00173109" w:rsidRDefault="00EC5F95" w:rsidP="00BE32C9">
            <w:pPr>
              <w:pStyle w:val="TableParagraph"/>
              <w:cnfStyle w:val="100000000000" w:firstRow="1" w:lastRow="0" w:firstColumn="0" w:lastColumn="0" w:oddVBand="0" w:evenVBand="0" w:oddHBand="0" w:evenHBand="0" w:firstRowFirstColumn="0" w:firstRowLastColumn="0" w:lastRowFirstColumn="0" w:lastRowLastColumn="0"/>
              <w:rPr>
                <w:rFonts w:eastAsia="Times New Roman"/>
              </w:rPr>
            </w:pPr>
            <w:r w:rsidRPr="00173109">
              <w:t>Visits Diverted to New Facilities 2035</w:t>
            </w:r>
          </w:p>
        </w:tc>
        <w:tc>
          <w:tcPr>
            <w:tcW w:w="987" w:type="dxa"/>
            <w:noWrap/>
            <w:hideMark/>
          </w:tcPr>
          <w:p w14:paraId="65613A85" w14:textId="77777777" w:rsidR="00EC5F95" w:rsidRPr="00173109" w:rsidRDefault="00EC5F95" w:rsidP="00BE32C9">
            <w:pPr>
              <w:pStyle w:val="TableParagraph"/>
              <w:cnfStyle w:val="100000000000" w:firstRow="1" w:lastRow="0" w:firstColumn="0" w:lastColumn="0" w:oddVBand="0" w:evenVBand="0" w:oddHBand="0" w:evenHBand="0" w:firstRowFirstColumn="0" w:firstRowLastColumn="0" w:lastRowFirstColumn="0" w:lastRowLastColumn="0"/>
              <w:rPr>
                <w:rFonts w:eastAsia="Times New Roman"/>
              </w:rPr>
            </w:pPr>
            <w:r w:rsidRPr="00173109">
              <w:t>Visits Diverted to New Facilities 2040</w:t>
            </w:r>
          </w:p>
        </w:tc>
      </w:tr>
      <w:tr w:rsidR="00EC5F95" w:rsidRPr="001E370C" w14:paraId="2DE02D6B" w14:textId="77777777" w:rsidTr="00B40154">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D4C65BF" w14:textId="77777777" w:rsidR="00EC5F95" w:rsidRPr="001E370C" w:rsidRDefault="00EC5F95" w:rsidP="00BE32C9">
            <w:pPr>
              <w:pStyle w:val="TableParagraph"/>
              <w:rPr>
                <w:rFonts w:eastAsia="Times New Roman"/>
              </w:rPr>
            </w:pPr>
            <w:r w:rsidRPr="00C107E6">
              <w:t>BCH</w:t>
            </w:r>
          </w:p>
        </w:tc>
        <w:tc>
          <w:tcPr>
            <w:tcW w:w="983" w:type="dxa"/>
            <w:noWrap/>
            <w:hideMark/>
          </w:tcPr>
          <w:p w14:paraId="76E85E39"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47.1%</w:t>
            </w:r>
          </w:p>
        </w:tc>
        <w:tc>
          <w:tcPr>
            <w:tcW w:w="987" w:type="dxa"/>
            <w:noWrap/>
            <w:hideMark/>
          </w:tcPr>
          <w:p w14:paraId="4B73AB11"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47.2%</w:t>
            </w:r>
          </w:p>
        </w:tc>
        <w:tc>
          <w:tcPr>
            <w:tcW w:w="987" w:type="dxa"/>
            <w:noWrap/>
            <w:hideMark/>
          </w:tcPr>
          <w:p w14:paraId="2F76767B"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47.3%</w:t>
            </w:r>
          </w:p>
        </w:tc>
        <w:tc>
          <w:tcPr>
            <w:tcW w:w="987" w:type="dxa"/>
            <w:noWrap/>
            <w:hideMark/>
          </w:tcPr>
          <w:p w14:paraId="6EAC1536"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47.2%</w:t>
            </w:r>
          </w:p>
        </w:tc>
        <w:tc>
          <w:tcPr>
            <w:tcW w:w="987" w:type="dxa"/>
            <w:noWrap/>
            <w:hideMark/>
          </w:tcPr>
          <w:p w14:paraId="5AB6B239"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47.2%</w:t>
            </w:r>
          </w:p>
        </w:tc>
      </w:tr>
      <w:tr w:rsidR="00EC5F95" w:rsidRPr="001E370C" w14:paraId="4108DF36" w14:textId="77777777" w:rsidTr="00B40154">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C3B2D41" w14:textId="77777777" w:rsidR="00EC5F95" w:rsidRPr="001E370C" w:rsidRDefault="00EC5F95" w:rsidP="00BE32C9">
            <w:pPr>
              <w:pStyle w:val="TableParagraph"/>
              <w:rPr>
                <w:rFonts w:eastAsia="Times New Roman"/>
              </w:rPr>
            </w:pPr>
            <w:r w:rsidRPr="00C107E6">
              <w:t>Baystate</w:t>
            </w:r>
          </w:p>
        </w:tc>
        <w:tc>
          <w:tcPr>
            <w:tcW w:w="983" w:type="dxa"/>
            <w:noWrap/>
            <w:hideMark/>
          </w:tcPr>
          <w:p w14:paraId="5543BFBF"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1.8%</w:t>
            </w:r>
          </w:p>
        </w:tc>
        <w:tc>
          <w:tcPr>
            <w:tcW w:w="987" w:type="dxa"/>
            <w:noWrap/>
            <w:hideMark/>
          </w:tcPr>
          <w:p w14:paraId="231FF7E0"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1.8%</w:t>
            </w:r>
          </w:p>
        </w:tc>
        <w:tc>
          <w:tcPr>
            <w:tcW w:w="987" w:type="dxa"/>
            <w:noWrap/>
            <w:hideMark/>
          </w:tcPr>
          <w:p w14:paraId="1C751F06"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1.7%</w:t>
            </w:r>
          </w:p>
        </w:tc>
        <w:tc>
          <w:tcPr>
            <w:tcW w:w="987" w:type="dxa"/>
            <w:noWrap/>
            <w:hideMark/>
          </w:tcPr>
          <w:p w14:paraId="5433EA11"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1.7%</w:t>
            </w:r>
          </w:p>
        </w:tc>
        <w:tc>
          <w:tcPr>
            <w:tcW w:w="987" w:type="dxa"/>
            <w:noWrap/>
            <w:hideMark/>
          </w:tcPr>
          <w:p w14:paraId="66A7738D"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1.7%</w:t>
            </w:r>
          </w:p>
        </w:tc>
      </w:tr>
      <w:tr w:rsidR="00EC5F95" w:rsidRPr="001E370C" w14:paraId="0A5CCBF6" w14:textId="77777777" w:rsidTr="00B40154">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C67DF2E" w14:textId="77777777" w:rsidR="00EC5F95" w:rsidRPr="001E370C" w:rsidRDefault="00EC5F95" w:rsidP="00BE32C9">
            <w:pPr>
              <w:pStyle w:val="TableParagraph"/>
              <w:rPr>
                <w:rFonts w:eastAsia="Times New Roman"/>
              </w:rPr>
            </w:pPr>
            <w:r w:rsidRPr="00C107E6">
              <w:t>Boston Medical</w:t>
            </w:r>
          </w:p>
        </w:tc>
        <w:tc>
          <w:tcPr>
            <w:tcW w:w="983" w:type="dxa"/>
            <w:noWrap/>
            <w:hideMark/>
          </w:tcPr>
          <w:p w14:paraId="07E9A2E8"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0.7%</w:t>
            </w:r>
          </w:p>
        </w:tc>
        <w:tc>
          <w:tcPr>
            <w:tcW w:w="987" w:type="dxa"/>
            <w:noWrap/>
            <w:hideMark/>
          </w:tcPr>
          <w:p w14:paraId="291B64CA"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0.7%</w:t>
            </w:r>
          </w:p>
        </w:tc>
        <w:tc>
          <w:tcPr>
            <w:tcW w:w="987" w:type="dxa"/>
            <w:noWrap/>
            <w:hideMark/>
          </w:tcPr>
          <w:p w14:paraId="1AF6704D"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0.7%</w:t>
            </w:r>
          </w:p>
        </w:tc>
        <w:tc>
          <w:tcPr>
            <w:tcW w:w="987" w:type="dxa"/>
            <w:noWrap/>
            <w:hideMark/>
          </w:tcPr>
          <w:p w14:paraId="7B3F086B"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0.7%</w:t>
            </w:r>
          </w:p>
        </w:tc>
        <w:tc>
          <w:tcPr>
            <w:tcW w:w="987" w:type="dxa"/>
            <w:noWrap/>
            <w:hideMark/>
          </w:tcPr>
          <w:p w14:paraId="3C32F7E4"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0.7%</w:t>
            </w:r>
          </w:p>
        </w:tc>
      </w:tr>
      <w:tr w:rsidR="00EC5F95" w:rsidRPr="001E370C" w14:paraId="21423291" w14:textId="77777777" w:rsidTr="00B40154">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5093F96" w14:textId="77777777" w:rsidR="00EC5F95" w:rsidRPr="001E370C" w:rsidRDefault="00EC5F95" w:rsidP="00BE32C9">
            <w:pPr>
              <w:pStyle w:val="TableParagraph"/>
              <w:rPr>
                <w:rFonts w:eastAsia="Times New Roman"/>
              </w:rPr>
            </w:pPr>
            <w:r w:rsidRPr="00C107E6">
              <w:t>Mass General</w:t>
            </w:r>
          </w:p>
        </w:tc>
        <w:tc>
          <w:tcPr>
            <w:tcW w:w="983" w:type="dxa"/>
            <w:noWrap/>
            <w:hideMark/>
          </w:tcPr>
          <w:p w14:paraId="6ED91F34"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9.4%</w:t>
            </w:r>
          </w:p>
        </w:tc>
        <w:tc>
          <w:tcPr>
            <w:tcW w:w="987" w:type="dxa"/>
            <w:noWrap/>
            <w:hideMark/>
          </w:tcPr>
          <w:p w14:paraId="1A8EF332"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9.5%</w:t>
            </w:r>
          </w:p>
        </w:tc>
        <w:tc>
          <w:tcPr>
            <w:tcW w:w="987" w:type="dxa"/>
            <w:noWrap/>
            <w:hideMark/>
          </w:tcPr>
          <w:p w14:paraId="79148ED1"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9.5%</w:t>
            </w:r>
          </w:p>
        </w:tc>
        <w:tc>
          <w:tcPr>
            <w:tcW w:w="987" w:type="dxa"/>
            <w:noWrap/>
            <w:hideMark/>
          </w:tcPr>
          <w:p w14:paraId="24B7D6F9"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9.6%</w:t>
            </w:r>
          </w:p>
        </w:tc>
        <w:tc>
          <w:tcPr>
            <w:tcW w:w="987" w:type="dxa"/>
            <w:noWrap/>
            <w:hideMark/>
          </w:tcPr>
          <w:p w14:paraId="3BBEC96D"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9.6%</w:t>
            </w:r>
          </w:p>
        </w:tc>
      </w:tr>
      <w:tr w:rsidR="00EC5F95" w:rsidRPr="001E370C" w14:paraId="56052784" w14:textId="77777777" w:rsidTr="00B40154">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39AA199" w14:textId="77777777" w:rsidR="00EC5F95" w:rsidRPr="001E370C" w:rsidRDefault="00EC5F95" w:rsidP="00BE32C9">
            <w:pPr>
              <w:pStyle w:val="TableParagraph"/>
              <w:rPr>
                <w:rFonts w:eastAsia="Times New Roman"/>
              </w:rPr>
            </w:pPr>
            <w:r w:rsidRPr="00C107E6">
              <w:t>Tufts</w:t>
            </w:r>
          </w:p>
        </w:tc>
        <w:tc>
          <w:tcPr>
            <w:tcW w:w="983" w:type="dxa"/>
            <w:noWrap/>
            <w:hideMark/>
          </w:tcPr>
          <w:p w14:paraId="5E36118B"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1.7%</w:t>
            </w:r>
          </w:p>
        </w:tc>
        <w:tc>
          <w:tcPr>
            <w:tcW w:w="987" w:type="dxa"/>
            <w:noWrap/>
            <w:hideMark/>
          </w:tcPr>
          <w:p w14:paraId="5B4BECB8"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1.8%</w:t>
            </w:r>
          </w:p>
        </w:tc>
        <w:tc>
          <w:tcPr>
            <w:tcW w:w="987" w:type="dxa"/>
            <w:noWrap/>
            <w:hideMark/>
          </w:tcPr>
          <w:p w14:paraId="0AC525EA"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1.8%</w:t>
            </w:r>
          </w:p>
        </w:tc>
        <w:tc>
          <w:tcPr>
            <w:tcW w:w="987" w:type="dxa"/>
            <w:noWrap/>
            <w:hideMark/>
          </w:tcPr>
          <w:p w14:paraId="484C3808"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1.8%</w:t>
            </w:r>
          </w:p>
        </w:tc>
        <w:tc>
          <w:tcPr>
            <w:tcW w:w="987" w:type="dxa"/>
            <w:noWrap/>
            <w:hideMark/>
          </w:tcPr>
          <w:p w14:paraId="2F0E6353"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1.8%</w:t>
            </w:r>
          </w:p>
        </w:tc>
      </w:tr>
      <w:tr w:rsidR="00EC5F95" w:rsidRPr="001E370C" w14:paraId="039B3A64" w14:textId="77777777" w:rsidTr="00B40154">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EC9CDEB" w14:textId="77777777" w:rsidR="00EC5F95" w:rsidRPr="001E370C" w:rsidRDefault="00EC5F95" w:rsidP="00BE32C9">
            <w:pPr>
              <w:pStyle w:val="TableParagraph"/>
              <w:rPr>
                <w:rFonts w:eastAsia="Times New Roman"/>
              </w:rPr>
            </w:pPr>
            <w:r w:rsidRPr="00C107E6">
              <w:t>UMASS</w:t>
            </w:r>
          </w:p>
        </w:tc>
        <w:tc>
          <w:tcPr>
            <w:tcW w:w="983" w:type="dxa"/>
            <w:noWrap/>
            <w:hideMark/>
          </w:tcPr>
          <w:p w14:paraId="3EED777A"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3.0%</w:t>
            </w:r>
          </w:p>
        </w:tc>
        <w:tc>
          <w:tcPr>
            <w:tcW w:w="987" w:type="dxa"/>
            <w:noWrap/>
            <w:hideMark/>
          </w:tcPr>
          <w:p w14:paraId="370D6B9F"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3.0%</w:t>
            </w:r>
          </w:p>
        </w:tc>
        <w:tc>
          <w:tcPr>
            <w:tcW w:w="987" w:type="dxa"/>
            <w:noWrap/>
            <w:hideMark/>
          </w:tcPr>
          <w:p w14:paraId="18E6869C"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3.0%</w:t>
            </w:r>
          </w:p>
        </w:tc>
        <w:tc>
          <w:tcPr>
            <w:tcW w:w="987" w:type="dxa"/>
            <w:noWrap/>
            <w:hideMark/>
          </w:tcPr>
          <w:p w14:paraId="5EC6CBF6"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3.0%</w:t>
            </w:r>
          </w:p>
        </w:tc>
        <w:tc>
          <w:tcPr>
            <w:tcW w:w="987" w:type="dxa"/>
            <w:noWrap/>
            <w:hideMark/>
          </w:tcPr>
          <w:p w14:paraId="0B8B8C8A"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3.0%</w:t>
            </w:r>
          </w:p>
        </w:tc>
      </w:tr>
      <w:tr w:rsidR="00EC5F95" w:rsidRPr="001E370C" w14:paraId="494F023F" w14:textId="77777777" w:rsidTr="00B40154">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51BC0E7" w14:textId="77777777" w:rsidR="00EC5F95" w:rsidRPr="001E370C" w:rsidRDefault="00EC5F95" w:rsidP="00BE32C9">
            <w:pPr>
              <w:pStyle w:val="TableParagraph"/>
              <w:rPr>
                <w:rFonts w:eastAsia="Times New Roman"/>
              </w:rPr>
            </w:pPr>
            <w:r w:rsidRPr="00C107E6">
              <w:t>Outside Option</w:t>
            </w:r>
          </w:p>
        </w:tc>
        <w:tc>
          <w:tcPr>
            <w:tcW w:w="983" w:type="dxa"/>
            <w:noWrap/>
            <w:hideMark/>
          </w:tcPr>
          <w:p w14:paraId="44C44F0F"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36.3%</w:t>
            </w:r>
          </w:p>
        </w:tc>
        <w:tc>
          <w:tcPr>
            <w:tcW w:w="987" w:type="dxa"/>
            <w:noWrap/>
            <w:hideMark/>
          </w:tcPr>
          <w:p w14:paraId="3A19D714"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36.0%</w:t>
            </w:r>
          </w:p>
        </w:tc>
        <w:tc>
          <w:tcPr>
            <w:tcW w:w="987" w:type="dxa"/>
            <w:noWrap/>
            <w:hideMark/>
          </w:tcPr>
          <w:p w14:paraId="0C5CF1EF"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36.0%</w:t>
            </w:r>
          </w:p>
        </w:tc>
        <w:tc>
          <w:tcPr>
            <w:tcW w:w="987" w:type="dxa"/>
            <w:noWrap/>
            <w:hideMark/>
          </w:tcPr>
          <w:p w14:paraId="64BA253B"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36.0%</w:t>
            </w:r>
          </w:p>
        </w:tc>
        <w:tc>
          <w:tcPr>
            <w:tcW w:w="987" w:type="dxa"/>
            <w:noWrap/>
            <w:hideMark/>
          </w:tcPr>
          <w:p w14:paraId="5433263E" w14:textId="77777777" w:rsidR="00EC5F95" w:rsidRPr="001E370C"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3C7E1E">
              <w:t>36.0%</w:t>
            </w:r>
          </w:p>
        </w:tc>
      </w:tr>
    </w:tbl>
    <w:p w14:paraId="77161009" w14:textId="77777777" w:rsidR="00EC5F95" w:rsidRPr="009A6CC6" w:rsidRDefault="00EC5F95" w:rsidP="007813FB">
      <w:pPr>
        <w:pStyle w:val="TableNotes"/>
      </w:pPr>
      <w:r>
        <w:t>Source:</w:t>
      </w:r>
      <w:r w:rsidRPr="00CB4F30">
        <w:t xml:space="preserve"> The result is based on </w:t>
      </w:r>
      <w:r>
        <w:t>ASC</w:t>
      </w:r>
      <w:r w:rsidRPr="00CB4F30">
        <w:t xml:space="preserve"> claims from the 2019 CHIA all-payer medical claim data. The data is restricted to visits from </w:t>
      </w:r>
      <w:r>
        <w:t xml:space="preserve">commercial </w:t>
      </w:r>
      <w:r w:rsidRPr="00CB4F30">
        <w:t>members younger than 19 years old</w:t>
      </w:r>
      <w:r>
        <w:t xml:space="preserve"> residing in Massachusetts</w:t>
      </w:r>
      <w:r w:rsidRPr="00CB4F30">
        <w:t xml:space="preserve">. </w:t>
      </w:r>
    </w:p>
    <w:p w14:paraId="247231B7" w14:textId="775D7DE7" w:rsidR="00EC5F95" w:rsidRDefault="00EC5F95" w:rsidP="007813FB">
      <w:pPr>
        <w:pStyle w:val="Caption"/>
      </w:pPr>
      <w:bookmarkStart w:id="273" w:name="_Ref106625529"/>
      <w:bookmarkStart w:id="274" w:name="_Toc106641204"/>
      <w:bookmarkStart w:id="275" w:name="_Toc106648908"/>
      <w:bookmarkStart w:id="276" w:name="_Toc109895457"/>
      <w:r>
        <w:t xml:space="preserve">Table </w:t>
      </w:r>
      <w:fldSimple w:instr=" SEQ Table \* ARABIC ">
        <w:r w:rsidR="00CE7C62">
          <w:rPr>
            <w:noProof/>
          </w:rPr>
          <w:t>26</w:t>
        </w:r>
      </w:fldSimple>
      <w:r>
        <w:t>:</w:t>
      </w:r>
      <w:r w:rsidRPr="009722AB">
        <w:t xml:space="preserve">Projected Diversions to New BCH Facilities for </w:t>
      </w:r>
      <w:r>
        <w:t>Imaging</w:t>
      </w:r>
      <w:r w:rsidRPr="009722AB">
        <w:t xml:space="preserve"> Services</w:t>
      </w:r>
      <w:bookmarkEnd w:id="273"/>
      <w:bookmarkEnd w:id="274"/>
      <w:bookmarkEnd w:id="275"/>
      <w:r>
        <w:t xml:space="preserve"> </w:t>
      </w:r>
      <w:r w:rsidRPr="00834DFF">
        <w:t>(MA, Patient</w:t>
      </w:r>
      <w:r>
        <w:t>s Aged</w:t>
      </w:r>
      <w:r w:rsidRPr="00834DFF">
        <w:t xml:space="preserve"> 0 – 18)</w:t>
      </w:r>
      <w:bookmarkEnd w:id="276"/>
    </w:p>
    <w:tbl>
      <w:tblPr>
        <w:tblStyle w:val="GridTable4-Accent11"/>
        <w:tblW w:w="6355" w:type="dxa"/>
        <w:tblLook w:val="04A0" w:firstRow="1" w:lastRow="0" w:firstColumn="1" w:lastColumn="0" w:noHBand="0" w:noVBand="1"/>
      </w:tblPr>
      <w:tblGrid>
        <w:gridCol w:w="1615"/>
        <w:gridCol w:w="830"/>
        <w:gridCol w:w="987"/>
        <w:gridCol w:w="987"/>
        <w:gridCol w:w="987"/>
        <w:gridCol w:w="987"/>
      </w:tblGrid>
      <w:tr w:rsidR="00EC5F95" w:rsidRPr="008D46A4" w14:paraId="5D009311" w14:textId="77777777" w:rsidTr="001530B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BEA0A7A" w14:textId="77777777" w:rsidR="00EC5F95" w:rsidRPr="00173109" w:rsidRDefault="00EC5F95" w:rsidP="00BE32C9">
            <w:pPr>
              <w:pStyle w:val="TableParagraph"/>
              <w:rPr>
                <w:rFonts w:eastAsia="Times New Roman"/>
              </w:rPr>
            </w:pPr>
            <w:r w:rsidRPr="00173109">
              <w:t>System</w:t>
            </w:r>
          </w:p>
        </w:tc>
        <w:tc>
          <w:tcPr>
            <w:tcW w:w="792" w:type="dxa"/>
            <w:noWrap/>
            <w:hideMark/>
          </w:tcPr>
          <w:p w14:paraId="6CA0D1B8" w14:textId="77777777" w:rsidR="00EC5F95" w:rsidRPr="00173109" w:rsidRDefault="00EC5F95" w:rsidP="00BE32C9">
            <w:pPr>
              <w:pStyle w:val="TableParagraph"/>
              <w:cnfStyle w:val="100000000000" w:firstRow="1" w:lastRow="0" w:firstColumn="0" w:lastColumn="0" w:oddVBand="0" w:evenVBand="0" w:oddHBand="0" w:evenHBand="0" w:firstRowFirstColumn="0" w:firstRowLastColumn="0" w:lastRowFirstColumn="0" w:lastRowLastColumn="0"/>
              <w:rPr>
                <w:rFonts w:eastAsia="Times New Roman"/>
              </w:rPr>
            </w:pPr>
            <w:r w:rsidRPr="00173109">
              <w:t>Visits Diverted to New Facilities 2019</w:t>
            </w:r>
          </w:p>
        </w:tc>
        <w:tc>
          <w:tcPr>
            <w:tcW w:w="987" w:type="dxa"/>
            <w:noWrap/>
            <w:hideMark/>
          </w:tcPr>
          <w:p w14:paraId="709A7328" w14:textId="77777777" w:rsidR="00EC5F95" w:rsidRPr="00173109" w:rsidRDefault="00EC5F95" w:rsidP="00BE32C9">
            <w:pPr>
              <w:pStyle w:val="TableParagraph"/>
              <w:cnfStyle w:val="100000000000" w:firstRow="1" w:lastRow="0" w:firstColumn="0" w:lastColumn="0" w:oddVBand="0" w:evenVBand="0" w:oddHBand="0" w:evenHBand="0" w:firstRowFirstColumn="0" w:firstRowLastColumn="0" w:lastRowFirstColumn="0" w:lastRowLastColumn="0"/>
              <w:rPr>
                <w:rFonts w:eastAsia="Times New Roman"/>
              </w:rPr>
            </w:pPr>
            <w:r w:rsidRPr="00173109">
              <w:t>Visits Diverted to New Facilities 2025</w:t>
            </w:r>
          </w:p>
        </w:tc>
        <w:tc>
          <w:tcPr>
            <w:tcW w:w="987" w:type="dxa"/>
            <w:noWrap/>
            <w:hideMark/>
          </w:tcPr>
          <w:p w14:paraId="7040B459" w14:textId="77777777" w:rsidR="00EC5F95" w:rsidRPr="00173109" w:rsidRDefault="00EC5F95" w:rsidP="00BE32C9">
            <w:pPr>
              <w:pStyle w:val="TableParagraph"/>
              <w:cnfStyle w:val="100000000000" w:firstRow="1" w:lastRow="0" w:firstColumn="0" w:lastColumn="0" w:oddVBand="0" w:evenVBand="0" w:oddHBand="0" w:evenHBand="0" w:firstRowFirstColumn="0" w:firstRowLastColumn="0" w:lastRowFirstColumn="0" w:lastRowLastColumn="0"/>
              <w:rPr>
                <w:rFonts w:eastAsia="Times New Roman"/>
              </w:rPr>
            </w:pPr>
            <w:r w:rsidRPr="00173109">
              <w:t>Visits Diverted to New Facilities 2030</w:t>
            </w:r>
          </w:p>
        </w:tc>
        <w:tc>
          <w:tcPr>
            <w:tcW w:w="987" w:type="dxa"/>
            <w:noWrap/>
            <w:hideMark/>
          </w:tcPr>
          <w:p w14:paraId="7D53AD0B" w14:textId="77777777" w:rsidR="00EC5F95" w:rsidRPr="00173109" w:rsidRDefault="00EC5F95" w:rsidP="00BE32C9">
            <w:pPr>
              <w:pStyle w:val="TableParagraph"/>
              <w:cnfStyle w:val="100000000000" w:firstRow="1" w:lastRow="0" w:firstColumn="0" w:lastColumn="0" w:oddVBand="0" w:evenVBand="0" w:oddHBand="0" w:evenHBand="0" w:firstRowFirstColumn="0" w:firstRowLastColumn="0" w:lastRowFirstColumn="0" w:lastRowLastColumn="0"/>
              <w:rPr>
                <w:rFonts w:eastAsia="Times New Roman"/>
              </w:rPr>
            </w:pPr>
            <w:r w:rsidRPr="00173109">
              <w:t>Visits Diverted to New Facilities 2035</w:t>
            </w:r>
          </w:p>
        </w:tc>
        <w:tc>
          <w:tcPr>
            <w:tcW w:w="987" w:type="dxa"/>
            <w:noWrap/>
            <w:hideMark/>
          </w:tcPr>
          <w:p w14:paraId="0E2282CC" w14:textId="77777777" w:rsidR="00EC5F95" w:rsidRPr="00173109" w:rsidRDefault="00EC5F95" w:rsidP="00BE32C9">
            <w:pPr>
              <w:pStyle w:val="TableParagraph"/>
              <w:cnfStyle w:val="100000000000" w:firstRow="1" w:lastRow="0" w:firstColumn="0" w:lastColumn="0" w:oddVBand="0" w:evenVBand="0" w:oddHBand="0" w:evenHBand="0" w:firstRowFirstColumn="0" w:firstRowLastColumn="0" w:lastRowFirstColumn="0" w:lastRowLastColumn="0"/>
              <w:rPr>
                <w:rFonts w:eastAsia="Times New Roman"/>
              </w:rPr>
            </w:pPr>
            <w:r w:rsidRPr="00173109">
              <w:t>Visits Diverted to New Facilities 2040</w:t>
            </w:r>
          </w:p>
        </w:tc>
      </w:tr>
      <w:tr w:rsidR="00EC5F95" w:rsidRPr="008D46A4" w14:paraId="35E66616"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A16CD89" w14:textId="77777777" w:rsidR="00EC5F95" w:rsidRPr="008D46A4" w:rsidRDefault="00EC5F95" w:rsidP="00BE32C9">
            <w:pPr>
              <w:pStyle w:val="TableParagraph"/>
              <w:rPr>
                <w:rFonts w:eastAsia="Times New Roman"/>
              </w:rPr>
            </w:pPr>
            <w:r>
              <w:t>BCH</w:t>
            </w:r>
          </w:p>
        </w:tc>
        <w:tc>
          <w:tcPr>
            <w:tcW w:w="792" w:type="dxa"/>
            <w:noWrap/>
            <w:hideMark/>
          </w:tcPr>
          <w:p w14:paraId="57D80338"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19.6%</w:t>
            </w:r>
          </w:p>
        </w:tc>
        <w:tc>
          <w:tcPr>
            <w:tcW w:w="987" w:type="dxa"/>
            <w:noWrap/>
            <w:hideMark/>
          </w:tcPr>
          <w:p w14:paraId="15005E54"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19.9%</w:t>
            </w:r>
          </w:p>
        </w:tc>
        <w:tc>
          <w:tcPr>
            <w:tcW w:w="987" w:type="dxa"/>
            <w:noWrap/>
            <w:hideMark/>
          </w:tcPr>
          <w:p w14:paraId="4A2F6DF8"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19.9%</w:t>
            </w:r>
          </w:p>
        </w:tc>
        <w:tc>
          <w:tcPr>
            <w:tcW w:w="987" w:type="dxa"/>
            <w:noWrap/>
            <w:hideMark/>
          </w:tcPr>
          <w:p w14:paraId="189A9871"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20.0%</w:t>
            </w:r>
          </w:p>
        </w:tc>
        <w:tc>
          <w:tcPr>
            <w:tcW w:w="987" w:type="dxa"/>
            <w:noWrap/>
            <w:hideMark/>
          </w:tcPr>
          <w:p w14:paraId="7DD6D641"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20.0%</w:t>
            </w:r>
          </w:p>
        </w:tc>
      </w:tr>
      <w:tr w:rsidR="00EC5F95" w:rsidRPr="008D46A4" w14:paraId="176D84CA"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2E7382D" w14:textId="77777777" w:rsidR="00EC5F95" w:rsidRPr="008D46A4" w:rsidRDefault="00EC5F95" w:rsidP="00BE32C9">
            <w:pPr>
              <w:pStyle w:val="TableParagraph"/>
              <w:rPr>
                <w:rFonts w:eastAsia="Times New Roman"/>
              </w:rPr>
            </w:pPr>
            <w:r>
              <w:t>Baystate</w:t>
            </w:r>
          </w:p>
        </w:tc>
        <w:tc>
          <w:tcPr>
            <w:tcW w:w="792" w:type="dxa"/>
            <w:noWrap/>
            <w:hideMark/>
          </w:tcPr>
          <w:p w14:paraId="5B62FC8C"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0.4%</w:t>
            </w:r>
          </w:p>
        </w:tc>
        <w:tc>
          <w:tcPr>
            <w:tcW w:w="987" w:type="dxa"/>
            <w:noWrap/>
            <w:hideMark/>
          </w:tcPr>
          <w:p w14:paraId="7F7F7DC4"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0.4%</w:t>
            </w:r>
          </w:p>
        </w:tc>
        <w:tc>
          <w:tcPr>
            <w:tcW w:w="987" w:type="dxa"/>
            <w:noWrap/>
            <w:hideMark/>
          </w:tcPr>
          <w:p w14:paraId="5908D285"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0.4%</w:t>
            </w:r>
          </w:p>
        </w:tc>
        <w:tc>
          <w:tcPr>
            <w:tcW w:w="987" w:type="dxa"/>
            <w:noWrap/>
            <w:hideMark/>
          </w:tcPr>
          <w:p w14:paraId="42811E25"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0.4%</w:t>
            </w:r>
          </w:p>
        </w:tc>
        <w:tc>
          <w:tcPr>
            <w:tcW w:w="987" w:type="dxa"/>
            <w:noWrap/>
            <w:hideMark/>
          </w:tcPr>
          <w:p w14:paraId="6E6E4582"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0.4%</w:t>
            </w:r>
          </w:p>
        </w:tc>
      </w:tr>
      <w:tr w:rsidR="00EC5F95" w:rsidRPr="008D46A4" w14:paraId="7C187E6D"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F8BF6E6" w14:textId="77777777" w:rsidR="00EC5F95" w:rsidRPr="008D46A4" w:rsidRDefault="00EC5F95" w:rsidP="00BE32C9">
            <w:pPr>
              <w:pStyle w:val="TableParagraph"/>
              <w:rPr>
                <w:rFonts w:eastAsia="Times New Roman"/>
              </w:rPr>
            </w:pPr>
            <w:r>
              <w:t>Boston Medical</w:t>
            </w:r>
          </w:p>
        </w:tc>
        <w:tc>
          <w:tcPr>
            <w:tcW w:w="792" w:type="dxa"/>
            <w:noWrap/>
            <w:hideMark/>
          </w:tcPr>
          <w:p w14:paraId="178BB444"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1.6%</w:t>
            </w:r>
          </w:p>
        </w:tc>
        <w:tc>
          <w:tcPr>
            <w:tcW w:w="987" w:type="dxa"/>
            <w:noWrap/>
            <w:hideMark/>
          </w:tcPr>
          <w:p w14:paraId="658F5EF5"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1.7%</w:t>
            </w:r>
          </w:p>
        </w:tc>
        <w:tc>
          <w:tcPr>
            <w:tcW w:w="987" w:type="dxa"/>
            <w:noWrap/>
            <w:hideMark/>
          </w:tcPr>
          <w:p w14:paraId="483AB711"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1.7%</w:t>
            </w:r>
          </w:p>
        </w:tc>
        <w:tc>
          <w:tcPr>
            <w:tcW w:w="987" w:type="dxa"/>
            <w:noWrap/>
            <w:hideMark/>
          </w:tcPr>
          <w:p w14:paraId="0F8DEDC2"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1.7%</w:t>
            </w:r>
          </w:p>
        </w:tc>
        <w:tc>
          <w:tcPr>
            <w:tcW w:w="987" w:type="dxa"/>
            <w:noWrap/>
            <w:hideMark/>
          </w:tcPr>
          <w:p w14:paraId="52E6D224"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1.7%</w:t>
            </w:r>
          </w:p>
        </w:tc>
      </w:tr>
      <w:tr w:rsidR="00EC5F95" w:rsidRPr="008D46A4" w14:paraId="25344C27"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2B70326" w14:textId="77777777" w:rsidR="00EC5F95" w:rsidRPr="008D46A4" w:rsidRDefault="00EC5F95" w:rsidP="00BE32C9">
            <w:pPr>
              <w:pStyle w:val="TableParagraph"/>
              <w:rPr>
                <w:rFonts w:eastAsia="Times New Roman"/>
              </w:rPr>
            </w:pPr>
            <w:r>
              <w:t>Mass General</w:t>
            </w:r>
          </w:p>
        </w:tc>
        <w:tc>
          <w:tcPr>
            <w:tcW w:w="792" w:type="dxa"/>
            <w:noWrap/>
            <w:hideMark/>
          </w:tcPr>
          <w:p w14:paraId="5200A3D7"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10.0%</w:t>
            </w:r>
          </w:p>
        </w:tc>
        <w:tc>
          <w:tcPr>
            <w:tcW w:w="987" w:type="dxa"/>
            <w:noWrap/>
            <w:hideMark/>
          </w:tcPr>
          <w:p w14:paraId="7D9A638A"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10.1%</w:t>
            </w:r>
          </w:p>
        </w:tc>
        <w:tc>
          <w:tcPr>
            <w:tcW w:w="987" w:type="dxa"/>
            <w:noWrap/>
            <w:hideMark/>
          </w:tcPr>
          <w:p w14:paraId="26E9AFAD"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10.2%</w:t>
            </w:r>
          </w:p>
        </w:tc>
        <w:tc>
          <w:tcPr>
            <w:tcW w:w="987" w:type="dxa"/>
            <w:noWrap/>
            <w:hideMark/>
          </w:tcPr>
          <w:p w14:paraId="6E055424"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10.2%</w:t>
            </w:r>
          </w:p>
        </w:tc>
        <w:tc>
          <w:tcPr>
            <w:tcW w:w="987" w:type="dxa"/>
            <w:noWrap/>
            <w:hideMark/>
          </w:tcPr>
          <w:p w14:paraId="5D79D02E"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10.2%</w:t>
            </w:r>
          </w:p>
        </w:tc>
      </w:tr>
      <w:tr w:rsidR="00EC5F95" w:rsidRPr="008D46A4" w14:paraId="05028470"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25A4D08" w14:textId="77777777" w:rsidR="00EC5F95" w:rsidRPr="008D46A4" w:rsidRDefault="00EC5F95" w:rsidP="00BE32C9">
            <w:pPr>
              <w:pStyle w:val="TableParagraph"/>
              <w:rPr>
                <w:rFonts w:eastAsia="Times New Roman"/>
              </w:rPr>
            </w:pPr>
            <w:r>
              <w:t>Tufts</w:t>
            </w:r>
          </w:p>
        </w:tc>
        <w:tc>
          <w:tcPr>
            <w:tcW w:w="792" w:type="dxa"/>
            <w:noWrap/>
            <w:hideMark/>
          </w:tcPr>
          <w:p w14:paraId="3D4A1615"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1.4%</w:t>
            </w:r>
          </w:p>
        </w:tc>
        <w:tc>
          <w:tcPr>
            <w:tcW w:w="987" w:type="dxa"/>
            <w:noWrap/>
            <w:hideMark/>
          </w:tcPr>
          <w:p w14:paraId="5E3DE5DD"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1.5%</w:t>
            </w:r>
          </w:p>
        </w:tc>
        <w:tc>
          <w:tcPr>
            <w:tcW w:w="987" w:type="dxa"/>
            <w:noWrap/>
            <w:hideMark/>
          </w:tcPr>
          <w:p w14:paraId="07A83F02"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1.5%</w:t>
            </w:r>
          </w:p>
        </w:tc>
        <w:tc>
          <w:tcPr>
            <w:tcW w:w="987" w:type="dxa"/>
            <w:noWrap/>
            <w:hideMark/>
          </w:tcPr>
          <w:p w14:paraId="5C85DC88"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1.5%</w:t>
            </w:r>
          </w:p>
        </w:tc>
        <w:tc>
          <w:tcPr>
            <w:tcW w:w="987" w:type="dxa"/>
            <w:noWrap/>
            <w:hideMark/>
          </w:tcPr>
          <w:p w14:paraId="166A3F13"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1.5%</w:t>
            </w:r>
          </w:p>
        </w:tc>
      </w:tr>
      <w:tr w:rsidR="00EC5F95" w:rsidRPr="008D46A4" w14:paraId="21370EC2"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C9F6992" w14:textId="77777777" w:rsidR="00EC5F95" w:rsidRPr="008D46A4" w:rsidRDefault="00EC5F95" w:rsidP="00BE32C9">
            <w:pPr>
              <w:pStyle w:val="TableParagraph"/>
              <w:rPr>
                <w:rFonts w:eastAsia="Times New Roman"/>
              </w:rPr>
            </w:pPr>
            <w:r>
              <w:t>UMASS</w:t>
            </w:r>
          </w:p>
        </w:tc>
        <w:tc>
          <w:tcPr>
            <w:tcW w:w="792" w:type="dxa"/>
            <w:noWrap/>
            <w:hideMark/>
          </w:tcPr>
          <w:p w14:paraId="1AA1D850"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4.0%</w:t>
            </w:r>
          </w:p>
        </w:tc>
        <w:tc>
          <w:tcPr>
            <w:tcW w:w="987" w:type="dxa"/>
            <w:noWrap/>
            <w:hideMark/>
          </w:tcPr>
          <w:p w14:paraId="4DF43979"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4.0%</w:t>
            </w:r>
          </w:p>
        </w:tc>
        <w:tc>
          <w:tcPr>
            <w:tcW w:w="987" w:type="dxa"/>
            <w:noWrap/>
            <w:hideMark/>
          </w:tcPr>
          <w:p w14:paraId="2D4DAA94"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3.9%</w:t>
            </w:r>
          </w:p>
        </w:tc>
        <w:tc>
          <w:tcPr>
            <w:tcW w:w="987" w:type="dxa"/>
            <w:noWrap/>
            <w:hideMark/>
          </w:tcPr>
          <w:p w14:paraId="1795BE85"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3.9%</w:t>
            </w:r>
          </w:p>
        </w:tc>
        <w:tc>
          <w:tcPr>
            <w:tcW w:w="987" w:type="dxa"/>
            <w:noWrap/>
            <w:hideMark/>
          </w:tcPr>
          <w:p w14:paraId="66BAA41E"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3.9%</w:t>
            </w:r>
          </w:p>
        </w:tc>
      </w:tr>
      <w:tr w:rsidR="00EC5F95" w:rsidRPr="008D46A4" w14:paraId="47CC9700"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83DE59E" w14:textId="77777777" w:rsidR="00EC5F95" w:rsidRPr="008D46A4" w:rsidRDefault="00EC5F95" w:rsidP="00BE32C9">
            <w:pPr>
              <w:pStyle w:val="TableParagraph"/>
              <w:rPr>
                <w:rFonts w:eastAsia="Times New Roman"/>
              </w:rPr>
            </w:pPr>
            <w:r>
              <w:t>Outside Option</w:t>
            </w:r>
          </w:p>
        </w:tc>
        <w:tc>
          <w:tcPr>
            <w:tcW w:w="792" w:type="dxa"/>
            <w:noWrap/>
            <w:hideMark/>
          </w:tcPr>
          <w:p w14:paraId="599EC0A1"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62.8%</w:t>
            </w:r>
          </w:p>
        </w:tc>
        <w:tc>
          <w:tcPr>
            <w:tcW w:w="987" w:type="dxa"/>
            <w:noWrap/>
            <w:hideMark/>
          </w:tcPr>
          <w:p w14:paraId="3A50BF59"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62.4%</w:t>
            </w:r>
          </w:p>
        </w:tc>
        <w:tc>
          <w:tcPr>
            <w:tcW w:w="987" w:type="dxa"/>
            <w:noWrap/>
            <w:hideMark/>
          </w:tcPr>
          <w:p w14:paraId="46C99186"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62.4%</w:t>
            </w:r>
          </w:p>
        </w:tc>
        <w:tc>
          <w:tcPr>
            <w:tcW w:w="987" w:type="dxa"/>
            <w:noWrap/>
            <w:hideMark/>
          </w:tcPr>
          <w:p w14:paraId="3DE09380"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62.3%</w:t>
            </w:r>
          </w:p>
        </w:tc>
        <w:tc>
          <w:tcPr>
            <w:tcW w:w="987" w:type="dxa"/>
            <w:noWrap/>
            <w:hideMark/>
          </w:tcPr>
          <w:p w14:paraId="6B877CD3"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rPr>
                <w:rFonts w:eastAsia="Times New Roman"/>
              </w:rPr>
            </w:pPr>
            <w:r w:rsidRPr="00817FE7">
              <w:t>62.2%</w:t>
            </w:r>
          </w:p>
        </w:tc>
      </w:tr>
    </w:tbl>
    <w:p w14:paraId="0EC9A7A8" w14:textId="77777777" w:rsidR="00EC5F95" w:rsidRPr="00CD4B61" w:rsidRDefault="00EC5F95" w:rsidP="007813FB">
      <w:pPr>
        <w:pStyle w:val="TableNotes"/>
      </w:pPr>
      <w:r>
        <w:t>Source:</w:t>
      </w:r>
      <w:r w:rsidRPr="00CB4F30">
        <w:t xml:space="preserve"> The result is based on </w:t>
      </w:r>
      <w:r>
        <w:t>all imaging</w:t>
      </w:r>
      <w:r w:rsidRPr="00CB4F30">
        <w:t xml:space="preserve"> claims from the 2019 CHIA all-payer medical claim data. The data is restricted to visits from </w:t>
      </w:r>
      <w:r>
        <w:t xml:space="preserve">commercial </w:t>
      </w:r>
      <w:r w:rsidRPr="00CB4F30">
        <w:t>members younger than 19 years old</w:t>
      </w:r>
      <w:r>
        <w:t xml:space="preserve"> residing in Massachusetts</w:t>
      </w:r>
      <w:r w:rsidRPr="00CB4F30">
        <w:t xml:space="preserve">. </w:t>
      </w:r>
    </w:p>
    <w:p w14:paraId="69318489" w14:textId="21C29BC5" w:rsidR="00EC5F95" w:rsidRDefault="00EC5F95" w:rsidP="007813FB">
      <w:pPr>
        <w:pStyle w:val="Caption"/>
      </w:pPr>
      <w:bookmarkStart w:id="277" w:name="_Ref106625542"/>
      <w:bookmarkStart w:id="278" w:name="_Toc106641205"/>
      <w:bookmarkStart w:id="279" w:name="_Toc106648909"/>
      <w:bookmarkStart w:id="280" w:name="_Toc109895458"/>
      <w:r>
        <w:lastRenderedPageBreak/>
        <w:t xml:space="preserve">Table </w:t>
      </w:r>
      <w:fldSimple w:instr=" SEQ Table \* ARABIC ">
        <w:r w:rsidR="00CE7C62">
          <w:rPr>
            <w:noProof/>
          </w:rPr>
          <w:t>27</w:t>
        </w:r>
      </w:fldSimple>
      <w:r>
        <w:t xml:space="preserve">: </w:t>
      </w:r>
      <w:r w:rsidRPr="007D4524">
        <w:t xml:space="preserve">Projected Diversions to New BCH Facilities for </w:t>
      </w:r>
      <w:r>
        <w:t>MRI</w:t>
      </w:r>
      <w:r w:rsidRPr="007D4524">
        <w:t xml:space="preserve"> Services</w:t>
      </w:r>
      <w:bookmarkEnd w:id="277"/>
      <w:bookmarkEnd w:id="278"/>
      <w:bookmarkEnd w:id="279"/>
      <w:r>
        <w:t xml:space="preserve"> </w:t>
      </w:r>
      <w:r w:rsidRPr="00834DFF">
        <w:t>(MA, Patient</w:t>
      </w:r>
      <w:r>
        <w:t>s Aged</w:t>
      </w:r>
      <w:r w:rsidRPr="00834DFF">
        <w:t xml:space="preserve"> 0 – 18)</w:t>
      </w:r>
      <w:bookmarkEnd w:id="280"/>
    </w:p>
    <w:tbl>
      <w:tblPr>
        <w:tblStyle w:val="GridTable4-Accent11"/>
        <w:tblW w:w="6335" w:type="dxa"/>
        <w:tblLook w:val="04A0" w:firstRow="1" w:lastRow="0" w:firstColumn="1" w:lastColumn="0" w:noHBand="0" w:noVBand="1"/>
      </w:tblPr>
      <w:tblGrid>
        <w:gridCol w:w="1615"/>
        <w:gridCol w:w="830"/>
        <w:gridCol w:w="983"/>
        <w:gridCol w:w="983"/>
        <w:gridCol w:w="983"/>
        <w:gridCol w:w="983"/>
      </w:tblGrid>
      <w:tr w:rsidR="00EC5F95" w:rsidRPr="008D46A4" w14:paraId="6FE8BF00" w14:textId="77777777" w:rsidTr="001530B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BB677ED" w14:textId="77777777" w:rsidR="00EC5F95" w:rsidRPr="00173109" w:rsidRDefault="00EC5F95" w:rsidP="00BE32C9">
            <w:pPr>
              <w:pStyle w:val="TableParagraph"/>
            </w:pPr>
            <w:r w:rsidRPr="00173109">
              <w:t>System</w:t>
            </w:r>
          </w:p>
        </w:tc>
        <w:tc>
          <w:tcPr>
            <w:tcW w:w="788" w:type="dxa"/>
            <w:noWrap/>
            <w:hideMark/>
          </w:tcPr>
          <w:p w14:paraId="1223981E" w14:textId="77777777" w:rsidR="00EC5F95" w:rsidRPr="00173109"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173109">
              <w:t>Visits Diverted to New Facilities 2019</w:t>
            </w:r>
          </w:p>
        </w:tc>
        <w:tc>
          <w:tcPr>
            <w:tcW w:w="983" w:type="dxa"/>
            <w:noWrap/>
            <w:hideMark/>
          </w:tcPr>
          <w:p w14:paraId="7A8F6247" w14:textId="77777777" w:rsidR="00EC5F95" w:rsidRPr="00173109"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173109">
              <w:t>Visits Diverted to New Facilities 2025</w:t>
            </w:r>
          </w:p>
        </w:tc>
        <w:tc>
          <w:tcPr>
            <w:tcW w:w="983" w:type="dxa"/>
            <w:noWrap/>
            <w:hideMark/>
          </w:tcPr>
          <w:p w14:paraId="69BA4483" w14:textId="77777777" w:rsidR="00EC5F95" w:rsidRPr="00173109"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173109">
              <w:t>Visits Diverted to New Facilities 2030</w:t>
            </w:r>
          </w:p>
        </w:tc>
        <w:tc>
          <w:tcPr>
            <w:tcW w:w="983" w:type="dxa"/>
            <w:noWrap/>
            <w:hideMark/>
          </w:tcPr>
          <w:p w14:paraId="29E34635" w14:textId="77777777" w:rsidR="00EC5F95" w:rsidRPr="00173109"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173109">
              <w:t>Visits Diverted to New Facilities 2035</w:t>
            </w:r>
          </w:p>
        </w:tc>
        <w:tc>
          <w:tcPr>
            <w:tcW w:w="983" w:type="dxa"/>
            <w:noWrap/>
            <w:hideMark/>
          </w:tcPr>
          <w:p w14:paraId="0F093952" w14:textId="77777777" w:rsidR="00EC5F95" w:rsidRPr="00173109"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173109">
              <w:t>Visits Diverted to New Facilities 2040</w:t>
            </w:r>
          </w:p>
        </w:tc>
      </w:tr>
      <w:tr w:rsidR="00EC5F95" w:rsidRPr="008D46A4" w14:paraId="35729DEA"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EF45664" w14:textId="77777777" w:rsidR="00EC5F95" w:rsidRPr="008D46A4" w:rsidRDefault="00EC5F95" w:rsidP="00BE32C9">
            <w:pPr>
              <w:pStyle w:val="TableParagraph"/>
            </w:pPr>
            <w:r w:rsidRPr="008D46A4">
              <w:t>BCH</w:t>
            </w:r>
          </w:p>
        </w:tc>
        <w:tc>
          <w:tcPr>
            <w:tcW w:w="788" w:type="dxa"/>
            <w:noWrap/>
            <w:hideMark/>
          </w:tcPr>
          <w:p w14:paraId="0EA309AE"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28.9%</w:t>
            </w:r>
          </w:p>
        </w:tc>
        <w:tc>
          <w:tcPr>
            <w:tcW w:w="983" w:type="dxa"/>
            <w:noWrap/>
            <w:hideMark/>
          </w:tcPr>
          <w:p w14:paraId="1FB71967"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29.2%</w:t>
            </w:r>
          </w:p>
        </w:tc>
        <w:tc>
          <w:tcPr>
            <w:tcW w:w="983" w:type="dxa"/>
            <w:noWrap/>
            <w:hideMark/>
          </w:tcPr>
          <w:p w14:paraId="4E5638F1"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29.2%</w:t>
            </w:r>
          </w:p>
        </w:tc>
        <w:tc>
          <w:tcPr>
            <w:tcW w:w="983" w:type="dxa"/>
            <w:noWrap/>
            <w:hideMark/>
          </w:tcPr>
          <w:p w14:paraId="5CD35C0D"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29.3%</w:t>
            </w:r>
          </w:p>
        </w:tc>
        <w:tc>
          <w:tcPr>
            <w:tcW w:w="983" w:type="dxa"/>
            <w:noWrap/>
            <w:hideMark/>
          </w:tcPr>
          <w:p w14:paraId="337F4B25"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29.4%</w:t>
            </w:r>
          </w:p>
        </w:tc>
      </w:tr>
      <w:tr w:rsidR="00EC5F95" w:rsidRPr="008D46A4" w14:paraId="5CD574D9"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920DAD3" w14:textId="77777777" w:rsidR="00EC5F95" w:rsidRPr="008D46A4" w:rsidRDefault="00EC5F95" w:rsidP="00BE32C9">
            <w:pPr>
              <w:pStyle w:val="TableParagraph"/>
            </w:pPr>
            <w:r w:rsidRPr="008D46A4">
              <w:t>Baystate</w:t>
            </w:r>
          </w:p>
        </w:tc>
        <w:tc>
          <w:tcPr>
            <w:tcW w:w="788" w:type="dxa"/>
            <w:noWrap/>
            <w:hideMark/>
          </w:tcPr>
          <w:p w14:paraId="4C7788B3"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1.1%</w:t>
            </w:r>
          </w:p>
        </w:tc>
        <w:tc>
          <w:tcPr>
            <w:tcW w:w="983" w:type="dxa"/>
            <w:noWrap/>
            <w:hideMark/>
          </w:tcPr>
          <w:p w14:paraId="20C40FC6"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1.1%</w:t>
            </w:r>
          </w:p>
        </w:tc>
        <w:tc>
          <w:tcPr>
            <w:tcW w:w="983" w:type="dxa"/>
            <w:noWrap/>
            <w:hideMark/>
          </w:tcPr>
          <w:p w14:paraId="1C9DE31E"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1.1%</w:t>
            </w:r>
          </w:p>
        </w:tc>
        <w:tc>
          <w:tcPr>
            <w:tcW w:w="983" w:type="dxa"/>
            <w:noWrap/>
            <w:hideMark/>
          </w:tcPr>
          <w:p w14:paraId="701EB49C"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1.1%</w:t>
            </w:r>
          </w:p>
        </w:tc>
        <w:tc>
          <w:tcPr>
            <w:tcW w:w="983" w:type="dxa"/>
            <w:noWrap/>
            <w:hideMark/>
          </w:tcPr>
          <w:p w14:paraId="6503C625"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1.1%</w:t>
            </w:r>
          </w:p>
        </w:tc>
      </w:tr>
      <w:tr w:rsidR="00EC5F95" w:rsidRPr="008D46A4" w14:paraId="5391D7DD"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3F088E5" w14:textId="77777777" w:rsidR="00EC5F95" w:rsidRPr="008D46A4" w:rsidRDefault="00EC5F95" w:rsidP="00BE32C9">
            <w:pPr>
              <w:pStyle w:val="TableParagraph"/>
            </w:pPr>
            <w:r w:rsidRPr="008D46A4">
              <w:t>Boston Medical</w:t>
            </w:r>
          </w:p>
        </w:tc>
        <w:tc>
          <w:tcPr>
            <w:tcW w:w="788" w:type="dxa"/>
            <w:noWrap/>
            <w:hideMark/>
          </w:tcPr>
          <w:p w14:paraId="3DC0676C"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1.7%</w:t>
            </w:r>
          </w:p>
        </w:tc>
        <w:tc>
          <w:tcPr>
            <w:tcW w:w="983" w:type="dxa"/>
            <w:noWrap/>
            <w:hideMark/>
          </w:tcPr>
          <w:p w14:paraId="194C76D9"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1.7%</w:t>
            </w:r>
          </w:p>
        </w:tc>
        <w:tc>
          <w:tcPr>
            <w:tcW w:w="983" w:type="dxa"/>
            <w:noWrap/>
            <w:hideMark/>
          </w:tcPr>
          <w:p w14:paraId="257829CB"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1.7%</w:t>
            </w:r>
          </w:p>
        </w:tc>
        <w:tc>
          <w:tcPr>
            <w:tcW w:w="983" w:type="dxa"/>
            <w:noWrap/>
            <w:hideMark/>
          </w:tcPr>
          <w:p w14:paraId="0DE804C0"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1.7%</w:t>
            </w:r>
          </w:p>
        </w:tc>
        <w:tc>
          <w:tcPr>
            <w:tcW w:w="983" w:type="dxa"/>
            <w:noWrap/>
            <w:hideMark/>
          </w:tcPr>
          <w:p w14:paraId="190AEF7A"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1.7%</w:t>
            </w:r>
          </w:p>
        </w:tc>
      </w:tr>
      <w:tr w:rsidR="00EC5F95" w:rsidRPr="008D46A4" w14:paraId="31B28DEE"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D130A23" w14:textId="77777777" w:rsidR="00EC5F95" w:rsidRPr="008D46A4" w:rsidRDefault="00EC5F95" w:rsidP="00BE32C9">
            <w:pPr>
              <w:pStyle w:val="TableParagraph"/>
            </w:pPr>
            <w:r w:rsidRPr="008D46A4">
              <w:t>Mass General</w:t>
            </w:r>
          </w:p>
        </w:tc>
        <w:tc>
          <w:tcPr>
            <w:tcW w:w="788" w:type="dxa"/>
            <w:noWrap/>
            <w:hideMark/>
          </w:tcPr>
          <w:p w14:paraId="7E7893D0"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8.8%</w:t>
            </w:r>
          </w:p>
        </w:tc>
        <w:tc>
          <w:tcPr>
            <w:tcW w:w="983" w:type="dxa"/>
            <w:noWrap/>
            <w:hideMark/>
          </w:tcPr>
          <w:p w14:paraId="72CB8E1E"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8.9%</w:t>
            </w:r>
          </w:p>
        </w:tc>
        <w:tc>
          <w:tcPr>
            <w:tcW w:w="983" w:type="dxa"/>
            <w:noWrap/>
            <w:hideMark/>
          </w:tcPr>
          <w:p w14:paraId="061802F9"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8.9%</w:t>
            </w:r>
          </w:p>
        </w:tc>
        <w:tc>
          <w:tcPr>
            <w:tcW w:w="983" w:type="dxa"/>
            <w:noWrap/>
            <w:hideMark/>
          </w:tcPr>
          <w:p w14:paraId="6236B77D"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8.9%</w:t>
            </w:r>
          </w:p>
        </w:tc>
        <w:tc>
          <w:tcPr>
            <w:tcW w:w="983" w:type="dxa"/>
            <w:noWrap/>
            <w:hideMark/>
          </w:tcPr>
          <w:p w14:paraId="682A169E"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8.9%</w:t>
            </w:r>
          </w:p>
        </w:tc>
      </w:tr>
      <w:tr w:rsidR="00EC5F95" w:rsidRPr="008D46A4" w14:paraId="5993B361"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9FBB7D5" w14:textId="77777777" w:rsidR="00EC5F95" w:rsidRPr="008D46A4" w:rsidRDefault="00EC5F95" w:rsidP="00BE32C9">
            <w:pPr>
              <w:pStyle w:val="TableParagraph"/>
            </w:pPr>
            <w:r w:rsidRPr="008D46A4">
              <w:t>Tufts</w:t>
            </w:r>
          </w:p>
        </w:tc>
        <w:tc>
          <w:tcPr>
            <w:tcW w:w="788" w:type="dxa"/>
            <w:noWrap/>
            <w:hideMark/>
          </w:tcPr>
          <w:p w14:paraId="38C82E16"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2.0%</w:t>
            </w:r>
          </w:p>
        </w:tc>
        <w:tc>
          <w:tcPr>
            <w:tcW w:w="983" w:type="dxa"/>
            <w:noWrap/>
            <w:hideMark/>
          </w:tcPr>
          <w:p w14:paraId="729CD54F"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2.0%</w:t>
            </w:r>
          </w:p>
        </w:tc>
        <w:tc>
          <w:tcPr>
            <w:tcW w:w="983" w:type="dxa"/>
            <w:noWrap/>
            <w:hideMark/>
          </w:tcPr>
          <w:p w14:paraId="05B0374E"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2.0%</w:t>
            </w:r>
          </w:p>
        </w:tc>
        <w:tc>
          <w:tcPr>
            <w:tcW w:w="983" w:type="dxa"/>
            <w:noWrap/>
            <w:hideMark/>
          </w:tcPr>
          <w:p w14:paraId="54466BB3"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2.1%</w:t>
            </w:r>
          </w:p>
        </w:tc>
        <w:tc>
          <w:tcPr>
            <w:tcW w:w="983" w:type="dxa"/>
            <w:noWrap/>
            <w:hideMark/>
          </w:tcPr>
          <w:p w14:paraId="2C9E8CFE"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2.1%</w:t>
            </w:r>
          </w:p>
        </w:tc>
      </w:tr>
      <w:tr w:rsidR="00EC5F95" w:rsidRPr="008D46A4" w14:paraId="28428C4F"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255788B" w14:textId="77777777" w:rsidR="00EC5F95" w:rsidRPr="008D46A4" w:rsidRDefault="00EC5F95" w:rsidP="00BE32C9">
            <w:pPr>
              <w:pStyle w:val="TableParagraph"/>
            </w:pPr>
            <w:r w:rsidRPr="008D46A4">
              <w:t>UMASS</w:t>
            </w:r>
          </w:p>
        </w:tc>
        <w:tc>
          <w:tcPr>
            <w:tcW w:w="788" w:type="dxa"/>
            <w:noWrap/>
            <w:hideMark/>
          </w:tcPr>
          <w:p w14:paraId="73FE19FA"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4.0%</w:t>
            </w:r>
          </w:p>
        </w:tc>
        <w:tc>
          <w:tcPr>
            <w:tcW w:w="983" w:type="dxa"/>
            <w:noWrap/>
            <w:hideMark/>
          </w:tcPr>
          <w:p w14:paraId="76376F79"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4.0%</w:t>
            </w:r>
          </w:p>
        </w:tc>
        <w:tc>
          <w:tcPr>
            <w:tcW w:w="983" w:type="dxa"/>
            <w:noWrap/>
            <w:hideMark/>
          </w:tcPr>
          <w:p w14:paraId="47BC6546"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4.0%</w:t>
            </w:r>
          </w:p>
        </w:tc>
        <w:tc>
          <w:tcPr>
            <w:tcW w:w="983" w:type="dxa"/>
            <w:noWrap/>
            <w:hideMark/>
          </w:tcPr>
          <w:p w14:paraId="21861310"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4.0%</w:t>
            </w:r>
          </w:p>
        </w:tc>
        <w:tc>
          <w:tcPr>
            <w:tcW w:w="983" w:type="dxa"/>
            <w:noWrap/>
            <w:hideMark/>
          </w:tcPr>
          <w:p w14:paraId="2F95FE1E"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4.0%</w:t>
            </w:r>
          </w:p>
        </w:tc>
      </w:tr>
      <w:tr w:rsidR="00EC5F95" w:rsidRPr="008D46A4" w14:paraId="38D35AD4"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C0D6A26" w14:textId="77777777" w:rsidR="00EC5F95" w:rsidRPr="008D46A4" w:rsidRDefault="00EC5F95" w:rsidP="00BE32C9">
            <w:pPr>
              <w:pStyle w:val="TableParagraph"/>
            </w:pPr>
            <w:r w:rsidRPr="008D46A4">
              <w:t>Outside Option</w:t>
            </w:r>
          </w:p>
        </w:tc>
        <w:tc>
          <w:tcPr>
            <w:tcW w:w="788" w:type="dxa"/>
            <w:noWrap/>
            <w:hideMark/>
          </w:tcPr>
          <w:p w14:paraId="49ADF72A"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53.5%</w:t>
            </w:r>
          </w:p>
        </w:tc>
        <w:tc>
          <w:tcPr>
            <w:tcW w:w="983" w:type="dxa"/>
            <w:noWrap/>
            <w:hideMark/>
          </w:tcPr>
          <w:p w14:paraId="31EFEB6A"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53.1%</w:t>
            </w:r>
          </w:p>
        </w:tc>
        <w:tc>
          <w:tcPr>
            <w:tcW w:w="983" w:type="dxa"/>
            <w:noWrap/>
            <w:hideMark/>
          </w:tcPr>
          <w:p w14:paraId="5C26FD39"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53.1%</w:t>
            </w:r>
          </w:p>
        </w:tc>
        <w:tc>
          <w:tcPr>
            <w:tcW w:w="983" w:type="dxa"/>
            <w:noWrap/>
            <w:hideMark/>
          </w:tcPr>
          <w:p w14:paraId="5ECD6AFE"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53.0%</w:t>
            </w:r>
          </w:p>
        </w:tc>
        <w:tc>
          <w:tcPr>
            <w:tcW w:w="983" w:type="dxa"/>
            <w:noWrap/>
            <w:hideMark/>
          </w:tcPr>
          <w:p w14:paraId="098E72B6" w14:textId="77777777" w:rsidR="00EC5F95" w:rsidRPr="008D46A4"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26A3E">
              <w:t>52.9%</w:t>
            </w:r>
          </w:p>
        </w:tc>
      </w:tr>
    </w:tbl>
    <w:p w14:paraId="1F503F06" w14:textId="77777777" w:rsidR="00EC5F95" w:rsidRPr="00BD1148" w:rsidRDefault="00EC5F95" w:rsidP="007813FB">
      <w:pPr>
        <w:pStyle w:val="TableNotes"/>
      </w:pPr>
      <w:r>
        <w:t>Source:</w:t>
      </w:r>
      <w:r w:rsidRPr="00CB4F30">
        <w:t xml:space="preserve"> The result is based on </w:t>
      </w:r>
      <w:r>
        <w:t xml:space="preserve">MRI </w:t>
      </w:r>
      <w:r w:rsidRPr="00CB4F30">
        <w:t xml:space="preserve">claims from the 2019 CHIA all-payer medical claim data. The data is restricted to visits from </w:t>
      </w:r>
      <w:r>
        <w:t xml:space="preserve">commercial </w:t>
      </w:r>
      <w:r w:rsidRPr="00CB4F30">
        <w:t>members younger than 19 years old</w:t>
      </w:r>
      <w:r>
        <w:t xml:space="preserve"> residing in </w:t>
      </w:r>
      <w:r w:rsidRPr="00BD1148">
        <w:t xml:space="preserve">Massachusetts. </w:t>
      </w:r>
    </w:p>
    <w:p w14:paraId="129848AF" w14:textId="0A088534" w:rsidR="003F14AA" w:rsidRPr="00744A10" w:rsidRDefault="00BD1148" w:rsidP="00744A10">
      <w:r w:rsidRPr="00BD1148">
        <w:rPr>
          <w:b/>
          <w:bCs/>
        </w:rPr>
        <w:t>Consistency with BCH Analyses:</w:t>
      </w:r>
      <w:r w:rsidRPr="00BD1148">
        <w:t xml:space="preserve"> We find that these predicted shifts are generally consistent with the analysis and assessment in the BCH submissions to the DPH, including the recent April 4, 2022 submission of the expected draw of the new locations and the likelihood that they could serve patients from Longwood or broader areas. That submission examined the current patient draw of facilities, the overall population in the area, and the location of patients relative to the current or proposed new site. Limited analysis could be conducted for Needham by BCH given that it is a completely new site. FTI’s independent analysis of service areas, and econometric modeling providing projections of changes in patient choice and shifts among facilities that use empirically sound estimates of patient preferences provides a more robust way to predict sources of diversion. </w:t>
      </w:r>
      <w:bookmarkStart w:id="281" w:name="_Toc106002909"/>
      <w:bookmarkStart w:id="282" w:name="_Toc106005400"/>
      <w:bookmarkStart w:id="283" w:name="_Ref106347107"/>
      <w:bookmarkStart w:id="284" w:name="_Ref106354860"/>
      <w:bookmarkStart w:id="285" w:name="_Ref106354970"/>
      <w:bookmarkStart w:id="286" w:name="_Toc94002339"/>
    </w:p>
    <w:p w14:paraId="1A8CCB01" w14:textId="01D990E5" w:rsidR="00DC56C8" w:rsidRPr="00D705C0" w:rsidRDefault="00DC56C8" w:rsidP="00BE32C9">
      <w:pPr>
        <w:pStyle w:val="Heading1"/>
        <w:rPr>
          <w:rFonts w:hint="eastAsia"/>
        </w:rPr>
      </w:pPr>
      <w:bookmarkStart w:id="287" w:name="_Toc109895522"/>
      <w:bookmarkStart w:id="288" w:name="_Ref109900243"/>
      <w:r w:rsidRPr="00D705C0">
        <w:t>Prices of Pediatric Services in Relevant Service Lines</w:t>
      </w:r>
      <w:bookmarkEnd w:id="281"/>
      <w:bookmarkEnd w:id="282"/>
      <w:bookmarkEnd w:id="283"/>
      <w:bookmarkEnd w:id="284"/>
      <w:bookmarkEnd w:id="285"/>
      <w:bookmarkEnd w:id="287"/>
      <w:bookmarkEnd w:id="288"/>
    </w:p>
    <w:p w14:paraId="2654B22B" w14:textId="77777777" w:rsidR="00DC56C8" w:rsidRPr="00D705C0" w:rsidRDefault="00DC56C8" w:rsidP="00BE32C9">
      <w:pPr>
        <w:pStyle w:val="Heading2"/>
      </w:pPr>
      <w:bookmarkStart w:id="289" w:name="_Toc94002334"/>
      <w:bookmarkStart w:id="290" w:name="_Toc106002910"/>
      <w:bookmarkStart w:id="291" w:name="_Toc106005401"/>
      <w:bookmarkStart w:id="292" w:name="_Toc109895523"/>
      <w:r w:rsidRPr="00D705C0">
        <w:t>Overview of Pricing Analyses</w:t>
      </w:r>
      <w:bookmarkEnd w:id="289"/>
      <w:bookmarkEnd w:id="290"/>
      <w:bookmarkEnd w:id="291"/>
      <w:bookmarkEnd w:id="292"/>
      <w:r w:rsidRPr="00D705C0">
        <w:t xml:space="preserve"> </w:t>
      </w:r>
    </w:p>
    <w:p w14:paraId="1A43D611" w14:textId="0F431798" w:rsidR="00DC56C8" w:rsidRDefault="00DC56C8" w:rsidP="00BE32C9">
      <w:r w:rsidRPr="00D705C0">
        <w:t xml:space="preserve">The ICA assessment </w:t>
      </w:r>
      <w:r>
        <w:t xml:space="preserve">and questions </w:t>
      </w:r>
      <w:r w:rsidRPr="00D705C0">
        <w:t>involves evaluation of current pricing by service line and potential impact of the Proposed Project</w:t>
      </w:r>
      <w:r>
        <w:t xml:space="preserve"> on prices and medical spending</w:t>
      </w:r>
      <w:r w:rsidRPr="00D705C0">
        <w:t>. Th</w:t>
      </w:r>
      <w:r>
        <w:t>is section of the ICA</w:t>
      </w:r>
      <w:r w:rsidRPr="00D705C0">
        <w:t xml:space="preserve"> Report evaluates estimates of pricin</w:t>
      </w:r>
      <w:bookmarkStart w:id="293" w:name="_Toc94002335"/>
      <w:r>
        <w:t xml:space="preserve">g for commercial claims for BCH and other major facilities that offer a similar suite of </w:t>
      </w:r>
      <w:r w:rsidRPr="00347EE0">
        <w:t>services</w:t>
      </w:r>
      <w:r w:rsidR="008E7993">
        <w:t>.</w:t>
      </w:r>
      <w:r w:rsidRPr="00CF5DBF">
        <w:t xml:space="preserve">                                                                                                               </w:t>
      </w:r>
    </w:p>
    <w:p w14:paraId="377817BA" w14:textId="0F66295F" w:rsidR="00DC56C8" w:rsidRPr="00CF5DBF" w:rsidRDefault="00DC56C8" w:rsidP="00BE32C9">
      <w:r>
        <w:t>For this analysis, where the proposed changes are for hospitals offering pediatric services, the payers considered were commercial, Medicaid and Massachusetts Health. Prices were estimated for all three categories of payers, but primarily for commercial payers, as those would be the most likely to be affected by changes in shares and</w:t>
      </w:r>
      <w:r w:rsidR="00514445">
        <w:t>,</w:t>
      </w:r>
      <w:r w:rsidR="007D3F93">
        <w:t xml:space="preserve"> if any</w:t>
      </w:r>
      <w:r w:rsidR="00514445">
        <w:t>,</w:t>
      </w:r>
      <w:r w:rsidR="007D3F93">
        <w:t xml:space="preserve"> in </w:t>
      </w:r>
      <w:r>
        <w:t xml:space="preserve">bargaining power. These prices are used in conjunction with the volume predictions to project total health care costs in Section </w:t>
      </w:r>
      <w:r w:rsidR="00B95A2E" w:rsidRPr="004E0FF5">
        <w:t>XIII</w:t>
      </w:r>
      <w:r w:rsidRPr="00B95A2E">
        <w:t>.</w:t>
      </w:r>
      <w:r w:rsidR="00347EE0" w:rsidRPr="00B95A2E">
        <w:t xml:space="preserve"> </w:t>
      </w:r>
    </w:p>
    <w:p w14:paraId="15331456" w14:textId="001871E1" w:rsidR="00DC56C8" w:rsidRDefault="00DC56C8" w:rsidP="00BE32C9">
      <w:r>
        <w:t xml:space="preserve">To </w:t>
      </w:r>
      <w:r w:rsidRPr="00B1234F">
        <w:t xml:space="preserve">isolate relevant </w:t>
      </w:r>
      <w:r>
        <w:t>prices, a number of restrictions were implemented in accordance with previous empirical work using CHIA’s claims data. Claims fitting these following criteria were dropped:</w:t>
      </w:r>
      <w:r w:rsidR="00EA69A5">
        <w:t xml:space="preserve"> </w:t>
      </w:r>
    </w:p>
    <w:p w14:paraId="639FF1F2" w14:textId="77777777" w:rsidR="00DC56C8" w:rsidRDefault="00DC56C8" w:rsidP="00D90124">
      <w:pPr>
        <w:pStyle w:val="ListParagraph"/>
        <w:numPr>
          <w:ilvl w:val="0"/>
          <w:numId w:val="20"/>
        </w:numPr>
        <w:ind w:left="1080"/>
      </w:pPr>
      <w:r>
        <w:t>denied claims</w:t>
      </w:r>
    </w:p>
    <w:p w14:paraId="0A11AE6E" w14:textId="77777777" w:rsidR="00DC56C8" w:rsidRDefault="00DC56C8" w:rsidP="00D90124">
      <w:pPr>
        <w:pStyle w:val="ListParagraph"/>
        <w:numPr>
          <w:ilvl w:val="0"/>
          <w:numId w:val="20"/>
        </w:numPr>
        <w:ind w:left="1080"/>
      </w:pPr>
      <w:r>
        <w:lastRenderedPageBreak/>
        <w:t>payments made on capitated, bundled, per-episode basis (among others)</w:t>
      </w:r>
    </w:p>
    <w:p w14:paraId="635D5972" w14:textId="77777777" w:rsidR="00DC56C8" w:rsidRDefault="00DC56C8" w:rsidP="00D90124">
      <w:pPr>
        <w:pStyle w:val="ListParagraph"/>
        <w:numPr>
          <w:ilvl w:val="0"/>
          <w:numId w:val="20"/>
        </w:numPr>
        <w:ind w:left="1080"/>
      </w:pPr>
      <w:r>
        <w:t>duplicate claims</w:t>
      </w:r>
    </w:p>
    <w:p w14:paraId="0F3D600E" w14:textId="77777777" w:rsidR="00DC56C8" w:rsidRDefault="00DC56C8" w:rsidP="00D90124">
      <w:pPr>
        <w:pStyle w:val="ListParagraph"/>
        <w:numPr>
          <w:ilvl w:val="0"/>
          <w:numId w:val="20"/>
        </w:numPr>
        <w:ind w:left="1080"/>
      </w:pPr>
      <w:r>
        <w:t>claims with negative or zero allowed amount</w:t>
      </w:r>
    </w:p>
    <w:p w14:paraId="409AB34E" w14:textId="77777777" w:rsidR="00DC56C8" w:rsidRDefault="00DC56C8" w:rsidP="00D90124">
      <w:pPr>
        <w:pStyle w:val="ListParagraph"/>
        <w:numPr>
          <w:ilvl w:val="0"/>
          <w:numId w:val="20"/>
        </w:numPr>
        <w:ind w:left="1080"/>
      </w:pPr>
      <w:r>
        <w:t>claims where the allowed amount was less than 10% or more than 100% of the charged amount</w:t>
      </w:r>
    </w:p>
    <w:p w14:paraId="09DD9659" w14:textId="614F6D7B" w:rsidR="00DC56C8" w:rsidRDefault="00DC56C8" w:rsidP="00BE32C9">
      <w:r>
        <w:t>Once the restrictions had been applied, allowed amounts were used to determine prices. Relative prices are based on Medicaid prices.</w:t>
      </w:r>
      <w:r w:rsidR="00744A10">
        <w:rPr>
          <w:rStyle w:val="FootnoteReference"/>
        </w:rPr>
        <w:footnoteReference w:id="71"/>
      </w:r>
      <w:r>
        <w:t xml:space="preserve"> To estimate relative prices, the average allowed amount for Medicaid claims </w:t>
      </w:r>
      <w:r w:rsidR="00514445">
        <w:t>across all providers in state</w:t>
      </w:r>
      <w:r w:rsidR="007D3F93">
        <w:t xml:space="preserve"> </w:t>
      </w:r>
      <w:r>
        <w:t xml:space="preserve">for that service was determined in each year. The allowed amounts were then divided by </w:t>
      </w:r>
      <w:r w:rsidR="00FA51B8">
        <w:t>the</w:t>
      </w:r>
      <w:r>
        <w:t xml:space="preserve"> average Medicaid allowed amount.</w:t>
      </w:r>
    </w:p>
    <w:p w14:paraId="14DD9419" w14:textId="0CE61DDF" w:rsidR="00DC56C8" w:rsidRDefault="00DC56C8" w:rsidP="00BE32C9">
      <w:r>
        <w:t xml:space="preserve">Second, these prices relative to Medicaid were then divided by the average across all commercial claims </w:t>
      </w:r>
      <w:r w:rsidRPr="00B1234F">
        <w:t xml:space="preserve">to compare facilities and systems to each other. By taking prices relative to Medicaid at the service level, differences in case mix among facilities should be controlled for, however, we note that these do represent </w:t>
      </w:r>
      <w:r>
        <w:t>averages across systems, combining satellite facilities with major campuses.</w:t>
      </w:r>
      <w:r>
        <w:rPr>
          <w:rStyle w:val="FootnoteReference"/>
        </w:rPr>
        <w:footnoteReference w:id="72"/>
      </w:r>
      <w:r>
        <w:t xml:space="preserve"> Across all three service lines at the system level, </w:t>
      </w:r>
      <w:r w:rsidR="00B95A2E">
        <w:t xml:space="preserve">based on this methodology, </w:t>
      </w:r>
      <w:r>
        <w:t>BCH, has the highest estimated average price of the six systems. UMASS and Other both have the lowest relative prices for MRIs</w:t>
      </w:r>
      <w:r w:rsidR="0094033F">
        <w:t>, although we note that the Other category is a composite of many individual MRI providers</w:t>
      </w:r>
      <w:r>
        <w:t xml:space="preserve">. For all imaging services </w:t>
      </w:r>
      <w:r w:rsidR="007D3F93">
        <w:t xml:space="preserve">the </w:t>
      </w:r>
      <w:r>
        <w:t xml:space="preserve">systems not expressly identified </w:t>
      </w:r>
      <w:r w:rsidR="0094033F">
        <w:t xml:space="preserve">and in the Other category in the aggregate </w:t>
      </w:r>
      <w:r>
        <w:t>have the lowest relative prices. Baystate has the lowest average relative price for ASC services.</w:t>
      </w:r>
    </w:p>
    <w:p w14:paraId="6571EB75" w14:textId="2F9B4595" w:rsidR="00DC56C8" w:rsidRDefault="00DC56C8" w:rsidP="00BE32C9">
      <w:r>
        <w:t xml:space="preserve">Looking at individual hospitals, </w:t>
      </w:r>
      <w:r w:rsidR="00EA69A5">
        <w:t xml:space="preserve">based on this methodology, </w:t>
      </w:r>
      <w:r>
        <w:t xml:space="preserve">Boston Children’s Longwood campus’s relative prices are consistently higher than Waltham’s, but lower than BCH Peabody’s. Longwood’s prices are higher than at the </w:t>
      </w:r>
      <w:r w:rsidRPr="00921C1C">
        <w:t xml:space="preserve">Lexington campus. BCH Longwood’s ASC prices are higher than the UMASS University campus, but lower than </w:t>
      </w:r>
      <w:r w:rsidR="006263D9">
        <w:t>Tufts</w:t>
      </w:r>
      <w:r w:rsidRPr="00921C1C">
        <w:t xml:space="preserve">. Its MRI and imaging average relative price is higher than </w:t>
      </w:r>
      <w:r w:rsidR="006263D9">
        <w:t>Tufts</w:t>
      </w:r>
      <w:r w:rsidRPr="00921C1C">
        <w:t xml:space="preserve"> and UMASS.</w:t>
      </w:r>
      <w:r w:rsidRPr="00921C1C">
        <w:rPr>
          <w:rStyle w:val="FootnoteReference"/>
        </w:rPr>
        <w:footnoteReference w:id="73"/>
      </w:r>
    </w:p>
    <w:p w14:paraId="5E62C23E" w14:textId="18102CE1" w:rsidR="00DC56C8" w:rsidRPr="00B1234F" w:rsidRDefault="00DC56C8" w:rsidP="00BE32C9">
      <w:r w:rsidRPr="00B1234F">
        <w:t xml:space="preserve">We also conducted analysis of relative pricing within the BCH system for MRI and Imaging services using the BCH payments data, which are publicly available on BCH’s website. </w:t>
      </w:r>
      <w:r w:rsidRPr="00B1234F">
        <w:rPr>
          <w:rFonts w:eastAsia="Times New Roman"/>
        </w:rPr>
        <w:t xml:space="preserve">Gross charges and payments were available for commercial payers, (e.g., BCBSMA, Harvard Pilgrim, Tufts) that permitted estimation of differences by CPT code </w:t>
      </w:r>
      <w:r w:rsidRPr="00B1234F">
        <w:rPr>
          <w:rFonts w:eastAsia="Times New Roman"/>
        </w:rPr>
        <w:lastRenderedPageBreak/>
        <w:t xml:space="preserve">between </w:t>
      </w:r>
      <w:r w:rsidR="006F0F5A">
        <w:rPr>
          <w:rFonts w:eastAsia="Times New Roman"/>
        </w:rPr>
        <w:t>Longwood</w:t>
      </w:r>
      <w:r w:rsidR="006F0F5A" w:rsidRPr="00B1234F">
        <w:rPr>
          <w:rFonts w:eastAsia="Times New Roman"/>
        </w:rPr>
        <w:t xml:space="preserve"> </w:t>
      </w:r>
      <w:r w:rsidRPr="00B1234F">
        <w:rPr>
          <w:rFonts w:eastAsia="Times New Roman"/>
        </w:rPr>
        <w:t>and SAT for imaging and MRI codes for outpatient services. The estimates average differences across all CPT codes in the service line as well as for individual CPT codes indicate that BCH offers lower payments at the satellite locations compared to the Longwood campus for both MRI and Imaging services. The FTI calculated results are similar to the estimated differences provided by BCH for various services for the top commercial payers in the BCH Response of April 4, 2022 to DPH.</w:t>
      </w:r>
      <w:r w:rsidRPr="00B1234F">
        <w:rPr>
          <w:rStyle w:val="FootnoteReference"/>
          <w:rFonts w:eastAsia="Times New Roman"/>
        </w:rPr>
        <w:footnoteReference w:id="74"/>
      </w:r>
      <w:r w:rsidR="0094033F">
        <w:rPr>
          <w:rFonts w:eastAsia="Times New Roman"/>
        </w:rPr>
        <w:t xml:space="preserve"> These results are consistent with a view that shifts of volumes from BCH Longwood to BCH satellite facilities should reduce costs for the specific services.</w:t>
      </w:r>
    </w:p>
    <w:p w14:paraId="2D9193A5" w14:textId="72942C03" w:rsidR="006F0F5A" w:rsidRDefault="006F0F5A" w:rsidP="006F0F5A">
      <w:pPr>
        <w:pStyle w:val="Caption"/>
      </w:pPr>
      <w:bookmarkStart w:id="294" w:name="_Toc106641206"/>
      <w:bookmarkStart w:id="295" w:name="_Toc106648910"/>
      <w:bookmarkStart w:id="296" w:name="_Toc109895459"/>
      <w:bookmarkStart w:id="297" w:name="_Toc106002914"/>
      <w:bookmarkStart w:id="298" w:name="_Toc106005403"/>
      <w:bookmarkStart w:id="299" w:name="_Ref106347244"/>
      <w:bookmarkStart w:id="300" w:name="_Ref106353746"/>
      <w:bookmarkEnd w:id="293"/>
      <w:r>
        <w:t xml:space="preserve">Table </w:t>
      </w:r>
      <w:fldSimple w:instr=" SEQ Table \* ARABIC ">
        <w:r w:rsidR="00CE7C62">
          <w:rPr>
            <w:noProof/>
          </w:rPr>
          <w:t>28</w:t>
        </w:r>
      </w:fldSimple>
      <w:r>
        <w:rPr>
          <w:noProof/>
        </w:rPr>
        <w:t>:</w:t>
      </w:r>
      <w:r>
        <w:t xml:space="preserve"> Relative Prices for Systems in Analysis</w:t>
      </w:r>
      <w:bookmarkEnd w:id="294"/>
      <w:bookmarkEnd w:id="295"/>
      <w:bookmarkEnd w:id="296"/>
      <w:r>
        <w:t xml:space="preserve"> </w:t>
      </w:r>
    </w:p>
    <w:tbl>
      <w:tblPr>
        <w:tblStyle w:val="GridTable4-Accent11"/>
        <w:tblW w:w="0" w:type="auto"/>
        <w:tblLook w:val="04A0" w:firstRow="1" w:lastRow="0" w:firstColumn="1" w:lastColumn="0" w:noHBand="0" w:noVBand="1"/>
      </w:tblPr>
      <w:tblGrid>
        <w:gridCol w:w="1705"/>
        <w:gridCol w:w="1375"/>
        <w:gridCol w:w="960"/>
        <w:gridCol w:w="960"/>
        <w:gridCol w:w="960"/>
      </w:tblGrid>
      <w:tr w:rsidR="006F0F5A" w:rsidRPr="00AF705D" w14:paraId="01CA96BC" w14:textId="77777777" w:rsidTr="001530B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05" w:type="dxa"/>
            <w:noWrap/>
            <w:hideMark/>
          </w:tcPr>
          <w:p w14:paraId="44D9FE27" w14:textId="77777777" w:rsidR="006F0F5A" w:rsidRPr="00AF705D" w:rsidRDefault="006F0F5A" w:rsidP="00D7700E">
            <w:pPr>
              <w:pStyle w:val="TableParagraph"/>
            </w:pPr>
            <w:r w:rsidRPr="00AF705D">
              <w:t>System</w:t>
            </w:r>
          </w:p>
        </w:tc>
        <w:tc>
          <w:tcPr>
            <w:tcW w:w="1375" w:type="dxa"/>
            <w:noWrap/>
            <w:hideMark/>
          </w:tcPr>
          <w:p w14:paraId="79F7F681" w14:textId="77777777" w:rsidR="006F0F5A" w:rsidRPr="00AF705D" w:rsidRDefault="006F0F5A" w:rsidP="00D7700E">
            <w:pPr>
              <w:pStyle w:val="TableParagraph"/>
              <w:cnfStyle w:val="100000000000" w:firstRow="1" w:lastRow="0" w:firstColumn="0" w:lastColumn="0" w:oddVBand="0" w:evenVBand="0" w:oddHBand="0" w:evenHBand="0" w:firstRowFirstColumn="0" w:firstRowLastColumn="0" w:lastRowFirstColumn="0" w:lastRowLastColumn="0"/>
            </w:pPr>
            <w:r w:rsidRPr="00AF705D">
              <w:t>Facility</w:t>
            </w:r>
          </w:p>
        </w:tc>
        <w:tc>
          <w:tcPr>
            <w:tcW w:w="960" w:type="dxa"/>
            <w:noWrap/>
            <w:hideMark/>
          </w:tcPr>
          <w:p w14:paraId="38B8B8FC" w14:textId="77777777" w:rsidR="006F0F5A" w:rsidRPr="00AF705D" w:rsidRDefault="006F0F5A" w:rsidP="00D7700E">
            <w:pPr>
              <w:pStyle w:val="TableParagraph"/>
              <w:cnfStyle w:val="100000000000" w:firstRow="1" w:lastRow="0" w:firstColumn="0" w:lastColumn="0" w:oddVBand="0" w:evenVBand="0" w:oddHBand="0" w:evenHBand="0" w:firstRowFirstColumn="0" w:firstRowLastColumn="0" w:lastRowFirstColumn="0" w:lastRowLastColumn="0"/>
            </w:pPr>
            <w:r w:rsidRPr="00AF705D">
              <w:t>MRI</w:t>
            </w:r>
          </w:p>
        </w:tc>
        <w:tc>
          <w:tcPr>
            <w:tcW w:w="960" w:type="dxa"/>
            <w:noWrap/>
            <w:hideMark/>
          </w:tcPr>
          <w:p w14:paraId="219D7AC8" w14:textId="77777777" w:rsidR="006F0F5A" w:rsidRPr="00AF705D" w:rsidRDefault="006F0F5A" w:rsidP="00D7700E">
            <w:pPr>
              <w:pStyle w:val="TableParagraph"/>
              <w:cnfStyle w:val="100000000000" w:firstRow="1" w:lastRow="0" w:firstColumn="0" w:lastColumn="0" w:oddVBand="0" w:evenVBand="0" w:oddHBand="0" w:evenHBand="0" w:firstRowFirstColumn="0" w:firstRowLastColumn="0" w:lastRowFirstColumn="0" w:lastRowLastColumn="0"/>
            </w:pPr>
            <w:r w:rsidRPr="00AF705D">
              <w:t>ASC</w:t>
            </w:r>
          </w:p>
        </w:tc>
        <w:tc>
          <w:tcPr>
            <w:tcW w:w="960" w:type="dxa"/>
            <w:noWrap/>
            <w:hideMark/>
          </w:tcPr>
          <w:p w14:paraId="317C1F54" w14:textId="77777777" w:rsidR="006F0F5A" w:rsidRPr="00AF705D" w:rsidRDefault="006F0F5A" w:rsidP="00D7700E">
            <w:pPr>
              <w:pStyle w:val="TableParagraph"/>
              <w:cnfStyle w:val="100000000000" w:firstRow="1" w:lastRow="0" w:firstColumn="0" w:lastColumn="0" w:oddVBand="0" w:evenVBand="0" w:oddHBand="0" w:evenHBand="0" w:firstRowFirstColumn="0" w:firstRowLastColumn="0" w:lastRowFirstColumn="0" w:lastRowLastColumn="0"/>
            </w:pPr>
            <w:r w:rsidRPr="00AF705D">
              <w:t>Imaging</w:t>
            </w:r>
          </w:p>
        </w:tc>
      </w:tr>
      <w:tr w:rsidR="006F0F5A" w:rsidRPr="00AF705D" w14:paraId="76735944"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54056D22" w14:textId="77777777" w:rsidR="006F0F5A" w:rsidRPr="00AF705D" w:rsidRDefault="006F0F5A" w:rsidP="00D7700E">
            <w:pPr>
              <w:pStyle w:val="TableParagraph"/>
            </w:pPr>
            <w:r w:rsidRPr="00AF705D">
              <w:t>BCH</w:t>
            </w:r>
          </w:p>
        </w:tc>
        <w:tc>
          <w:tcPr>
            <w:tcW w:w="1375" w:type="dxa"/>
            <w:noWrap/>
            <w:hideMark/>
          </w:tcPr>
          <w:p w14:paraId="6F388C17"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All Visits</w:t>
            </w:r>
          </w:p>
        </w:tc>
        <w:tc>
          <w:tcPr>
            <w:tcW w:w="960" w:type="dxa"/>
            <w:noWrap/>
            <w:hideMark/>
          </w:tcPr>
          <w:p w14:paraId="67633DEC"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1.97</w:t>
            </w:r>
          </w:p>
        </w:tc>
        <w:tc>
          <w:tcPr>
            <w:tcW w:w="960" w:type="dxa"/>
            <w:noWrap/>
            <w:hideMark/>
          </w:tcPr>
          <w:p w14:paraId="654B7268"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1.36</w:t>
            </w:r>
          </w:p>
        </w:tc>
        <w:tc>
          <w:tcPr>
            <w:tcW w:w="960" w:type="dxa"/>
            <w:noWrap/>
            <w:hideMark/>
          </w:tcPr>
          <w:p w14:paraId="1A70DA4C"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2.02</w:t>
            </w:r>
          </w:p>
        </w:tc>
      </w:tr>
      <w:tr w:rsidR="006F0F5A" w:rsidRPr="00AF705D" w14:paraId="2C35AF47"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423486BB" w14:textId="77777777" w:rsidR="006F0F5A" w:rsidRPr="00AF705D" w:rsidRDefault="006F0F5A" w:rsidP="00D7700E">
            <w:pPr>
              <w:pStyle w:val="TableParagraph"/>
            </w:pPr>
            <w:r w:rsidRPr="00AF705D">
              <w:t>Baystate</w:t>
            </w:r>
          </w:p>
        </w:tc>
        <w:tc>
          <w:tcPr>
            <w:tcW w:w="1375" w:type="dxa"/>
            <w:noWrap/>
            <w:hideMark/>
          </w:tcPr>
          <w:p w14:paraId="742185AD"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All Visits</w:t>
            </w:r>
          </w:p>
        </w:tc>
        <w:tc>
          <w:tcPr>
            <w:tcW w:w="960" w:type="dxa"/>
            <w:noWrap/>
            <w:hideMark/>
          </w:tcPr>
          <w:p w14:paraId="45124492"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0.91</w:t>
            </w:r>
          </w:p>
        </w:tc>
        <w:tc>
          <w:tcPr>
            <w:tcW w:w="960" w:type="dxa"/>
            <w:noWrap/>
            <w:hideMark/>
          </w:tcPr>
          <w:p w14:paraId="68DD5F4A"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0.58</w:t>
            </w:r>
          </w:p>
        </w:tc>
        <w:tc>
          <w:tcPr>
            <w:tcW w:w="960" w:type="dxa"/>
            <w:noWrap/>
            <w:hideMark/>
          </w:tcPr>
          <w:p w14:paraId="0F9D9A50"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1.47</w:t>
            </w:r>
          </w:p>
        </w:tc>
      </w:tr>
      <w:tr w:rsidR="006F0F5A" w:rsidRPr="00AF705D" w14:paraId="3699A1FB"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29203D2" w14:textId="77777777" w:rsidR="006F0F5A" w:rsidRPr="00AF705D" w:rsidRDefault="006F0F5A" w:rsidP="00D7700E">
            <w:pPr>
              <w:pStyle w:val="TableParagraph"/>
            </w:pPr>
            <w:r w:rsidRPr="00AF705D">
              <w:t>Boston Medical</w:t>
            </w:r>
          </w:p>
        </w:tc>
        <w:tc>
          <w:tcPr>
            <w:tcW w:w="1375" w:type="dxa"/>
            <w:noWrap/>
            <w:hideMark/>
          </w:tcPr>
          <w:p w14:paraId="56A95EA3"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All Visits</w:t>
            </w:r>
          </w:p>
        </w:tc>
        <w:tc>
          <w:tcPr>
            <w:tcW w:w="960" w:type="dxa"/>
            <w:noWrap/>
            <w:hideMark/>
          </w:tcPr>
          <w:p w14:paraId="3AA07AC4"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1.27</w:t>
            </w:r>
          </w:p>
        </w:tc>
        <w:tc>
          <w:tcPr>
            <w:tcW w:w="960" w:type="dxa"/>
            <w:noWrap/>
            <w:hideMark/>
          </w:tcPr>
          <w:p w14:paraId="39928C18"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1.14</w:t>
            </w:r>
          </w:p>
        </w:tc>
        <w:tc>
          <w:tcPr>
            <w:tcW w:w="960" w:type="dxa"/>
            <w:noWrap/>
            <w:hideMark/>
          </w:tcPr>
          <w:p w14:paraId="461534DB"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1.26</w:t>
            </w:r>
          </w:p>
        </w:tc>
      </w:tr>
      <w:tr w:rsidR="006F0F5A" w:rsidRPr="00AF705D" w14:paraId="496D0F83"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3EE7EDA7" w14:textId="77777777" w:rsidR="006F0F5A" w:rsidRPr="00AF705D" w:rsidRDefault="006F0F5A" w:rsidP="00D7700E">
            <w:pPr>
              <w:pStyle w:val="TableParagraph"/>
            </w:pPr>
            <w:r w:rsidRPr="00AF705D">
              <w:t>Mass General</w:t>
            </w:r>
          </w:p>
        </w:tc>
        <w:tc>
          <w:tcPr>
            <w:tcW w:w="1375" w:type="dxa"/>
            <w:noWrap/>
            <w:hideMark/>
          </w:tcPr>
          <w:p w14:paraId="629506D8"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All Visits</w:t>
            </w:r>
          </w:p>
        </w:tc>
        <w:tc>
          <w:tcPr>
            <w:tcW w:w="960" w:type="dxa"/>
            <w:noWrap/>
            <w:hideMark/>
          </w:tcPr>
          <w:p w14:paraId="0A346AE2"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0.93</w:t>
            </w:r>
          </w:p>
        </w:tc>
        <w:tc>
          <w:tcPr>
            <w:tcW w:w="960" w:type="dxa"/>
            <w:noWrap/>
            <w:hideMark/>
          </w:tcPr>
          <w:p w14:paraId="17F50E7C"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1.01</w:t>
            </w:r>
          </w:p>
        </w:tc>
        <w:tc>
          <w:tcPr>
            <w:tcW w:w="960" w:type="dxa"/>
            <w:noWrap/>
            <w:hideMark/>
          </w:tcPr>
          <w:p w14:paraId="2F396F3C"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1.06</w:t>
            </w:r>
          </w:p>
        </w:tc>
      </w:tr>
      <w:tr w:rsidR="006F0F5A" w:rsidRPr="00AF705D" w14:paraId="0CC43A75"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7F8EFB3" w14:textId="77777777" w:rsidR="006F0F5A" w:rsidRPr="00AF705D" w:rsidRDefault="006F0F5A" w:rsidP="00D7700E">
            <w:pPr>
              <w:pStyle w:val="TableParagraph"/>
            </w:pPr>
            <w:r w:rsidRPr="00AF705D">
              <w:t>Tufts</w:t>
            </w:r>
          </w:p>
        </w:tc>
        <w:tc>
          <w:tcPr>
            <w:tcW w:w="1375" w:type="dxa"/>
            <w:noWrap/>
            <w:hideMark/>
          </w:tcPr>
          <w:p w14:paraId="2410A170"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All Visits</w:t>
            </w:r>
          </w:p>
        </w:tc>
        <w:tc>
          <w:tcPr>
            <w:tcW w:w="960" w:type="dxa"/>
            <w:noWrap/>
            <w:hideMark/>
          </w:tcPr>
          <w:p w14:paraId="2D0DFF75"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1.43</w:t>
            </w:r>
          </w:p>
        </w:tc>
        <w:tc>
          <w:tcPr>
            <w:tcW w:w="960" w:type="dxa"/>
            <w:noWrap/>
            <w:hideMark/>
          </w:tcPr>
          <w:p w14:paraId="0D0E0712"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1.58</w:t>
            </w:r>
          </w:p>
        </w:tc>
        <w:tc>
          <w:tcPr>
            <w:tcW w:w="960" w:type="dxa"/>
            <w:noWrap/>
            <w:hideMark/>
          </w:tcPr>
          <w:p w14:paraId="6E31EFAA"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1.82</w:t>
            </w:r>
          </w:p>
        </w:tc>
      </w:tr>
      <w:tr w:rsidR="006F0F5A" w:rsidRPr="00AF705D" w14:paraId="2C4F061F"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5F034AFB" w14:textId="77777777" w:rsidR="006F0F5A" w:rsidRPr="00AF705D" w:rsidRDefault="006F0F5A" w:rsidP="00D7700E">
            <w:pPr>
              <w:pStyle w:val="TableParagraph"/>
            </w:pPr>
            <w:r w:rsidRPr="00AF705D">
              <w:t>UMASS</w:t>
            </w:r>
          </w:p>
        </w:tc>
        <w:tc>
          <w:tcPr>
            <w:tcW w:w="1375" w:type="dxa"/>
            <w:noWrap/>
            <w:hideMark/>
          </w:tcPr>
          <w:p w14:paraId="1C606D08"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All Visits</w:t>
            </w:r>
          </w:p>
        </w:tc>
        <w:tc>
          <w:tcPr>
            <w:tcW w:w="960" w:type="dxa"/>
            <w:noWrap/>
            <w:hideMark/>
          </w:tcPr>
          <w:p w14:paraId="3A438A52"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0.66</w:t>
            </w:r>
          </w:p>
        </w:tc>
        <w:tc>
          <w:tcPr>
            <w:tcW w:w="960" w:type="dxa"/>
            <w:noWrap/>
            <w:hideMark/>
          </w:tcPr>
          <w:p w14:paraId="4C1E5164"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0.84</w:t>
            </w:r>
          </w:p>
        </w:tc>
        <w:tc>
          <w:tcPr>
            <w:tcW w:w="960" w:type="dxa"/>
            <w:noWrap/>
            <w:hideMark/>
          </w:tcPr>
          <w:p w14:paraId="42254EDB"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1.56</w:t>
            </w:r>
          </w:p>
        </w:tc>
      </w:tr>
      <w:tr w:rsidR="006F0F5A" w:rsidRPr="00AF705D" w14:paraId="7CC654EF"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6EAA8F94" w14:textId="77777777" w:rsidR="006F0F5A" w:rsidRPr="00AF705D" w:rsidRDefault="006F0F5A" w:rsidP="00D7700E">
            <w:pPr>
              <w:pStyle w:val="TableParagraph"/>
            </w:pPr>
            <w:r w:rsidRPr="00AF705D">
              <w:t>Other</w:t>
            </w:r>
          </w:p>
        </w:tc>
        <w:tc>
          <w:tcPr>
            <w:tcW w:w="1375" w:type="dxa"/>
            <w:noWrap/>
            <w:hideMark/>
          </w:tcPr>
          <w:p w14:paraId="20530313"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All Visits</w:t>
            </w:r>
          </w:p>
        </w:tc>
        <w:tc>
          <w:tcPr>
            <w:tcW w:w="960" w:type="dxa"/>
            <w:noWrap/>
            <w:hideMark/>
          </w:tcPr>
          <w:p w14:paraId="2BA9AF5E"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0.67</w:t>
            </w:r>
          </w:p>
        </w:tc>
        <w:tc>
          <w:tcPr>
            <w:tcW w:w="960" w:type="dxa"/>
            <w:noWrap/>
            <w:hideMark/>
          </w:tcPr>
          <w:p w14:paraId="27B97D38"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0.94</w:t>
            </w:r>
          </w:p>
        </w:tc>
        <w:tc>
          <w:tcPr>
            <w:tcW w:w="960" w:type="dxa"/>
            <w:noWrap/>
            <w:hideMark/>
          </w:tcPr>
          <w:p w14:paraId="12059F8B" w14:textId="77777777" w:rsidR="006F0F5A" w:rsidRPr="00AF705D"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AF705D">
              <w:t>0.72</w:t>
            </w:r>
          </w:p>
        </w:tc>
      </w:tr>
    </w:tbl>
    <w:p w14:paraId="5FB552ED" w14:textId="77777777" w:rsidR="006F0F5A" w:rsidRDefault="006F0F5A" w:rsidP="006F0F5A">
      <w:pPr>
        <w:pStyle w:val="TableNotes"/>
      </w:pPr>
      <w:r>
        <w:t>Source: Massachusetts All-Payer Claims Database. Statewide claims, commercial, 2019.</w:t>
      </w:r>
    </w:p>
    <w:p w14:paraId="4A3B42E9" w14:textId="5DCA684C" w:rsidR="006F0F5A" w:rsidRPr="00B87A60" w:rsidRDefault="006F0F5A" w:rsidP="006F0F5A">
      <w:pPr>
        <w:pStyle w:val="Caption"/>
      </w:pPr>
      <w:bookmarkStart w:id="301" w:name="_Toc106641207"/>
      <w:bookmarkStart w:id="302" w:name="_Toc106648911"/>
      <w:bookmarkStart w:id="303" w:name="_Toc109895460"/>
      <w:r>
        <w:t xml:space="preserve">Table </w:t>
      </w:r>
      <w:fldSimple w:instr=" SEQ Table \* ARABIC ">
        <w:r w:rsidR="00CE7C62">
          <w:rPr>
            <w:noProof/>
          </w:rPr>
          <w:t>29</w:t>
        </w:r>
      </w:fldSimple>
      <w:r>
        <w:t xml:space="preserve">: </w:t>
      </w:r>
      <w:r w:rsidRPr="00B87A60">
        <w:t>Relative Prices for Selected Facilities</w:t>
      </w:r>
      <w:bookmarkEnd w:id="301"/>
      <w:bookmarkEnd w:id="302"/>
      <w:bookmarkEnd w:id="303"/>
    </w:p>
    <w:tbl>
      <w:tblPr>
        <w:tblStyle w:val="GridTable4-Accent11"/>
        <w:tblW w:w="7995" w:type="dxa"/>
        <w:tblLook w:val="04A0" w:firstRow="1" w:lastRow="0" w:firstColumn="1" w:lastColumn="0" w:noHBand="0" w:noVBand="1"/>
      </w:tblPr>
      <w:tblGrid>
        <w:gridCol w:w="5226"/>
        <w:gridCol w:w="923"/>
        <w:gridCol w:w="923"/>
        <w:gridCol w:w="923"/>
      </w:tblGrid>
      <w:tr w:rsidR="006F0F5A" w:rsidRPr="00B87A60" w14:paraId="6C624482" w14:textId="77777777" w:rsidTr="001530BC">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5226" w:type="dxa"/>
            <w:noWrap/>
            <w:hideMark/>
          </w:tcPr>
          <w:p w14:paraId="5E82C54D" w14:textId="77777777" w:rsidR="006F0F5A" w:rsidRPr="00B87A60" w:rsidRDefault="006F0F5A" w:rsidP="00D7700E">
            <w:pPr>
              <w:pStyle w:val="TableParagraph"/>
            </w:pPr>
            <w:bookmarkStart w:id="304" w:name="_Toc94002336"/>
            <w:bookmarkStart w:id="305" w:name="_Toc106002913"/>
            <w:bookmarkStart w:id="306" w:name="_Toc106005402"/>
            <w:r w:rsidRPr="00B87A60">
              <w:t>Facility</w:t>
            </w:r>
          </w:p>
        </w:tc>
        <w:tc>
          <w:tcPr>
            <w:tcW w:w="923" w:type="dxa"/>
            <w:noWrap/>
            <w:hideMark/>
          </w:tcPr>
          <w:p w14:paraId="59D800F3" w14:textId="77777777" w:rsidR="006F0F5A" w:rsidRPr="00B87A60" w:rsidRDefault="006F0F5A" w:rsidP="00D7700E">
            <w:pPr>
              <w:pStyle w:val="TableParagraph"/>
              <w:cnfStyle w:val="100000000000" w:firstRow="1" w:lastRow="0" w:firstColumn="0" w:lastColumn="0" w:oddVBand="0" w:evenVBand="0" w:oddHBand="0" w:evenHBand="0" w:firstRowFirstColumn="0" w:firstRowLastColumn="0" w:lastRowFirstColumn="0" w:lastRowLastColumn="0"/>
            </w:pPr>
            <w:r w:rsidRPr="00B87A60">
              <w:t>MRI</w:t>
            </w:r>
          </w:p>
        </w:tc>
        <w:tc>
          <w:tcPr>
            <w:tcW w:w="923" w:type="dxa"/>
            <w:noWrap/>
            <w:hideMark/>
          </w:tcPr>
          <w:p w14:paraId="4EA94C48" w14:textId="77777777" w:rsidR="006F0F5A" w:rsidRPr="00B87A60" w:rsidRDefault="006F0F5A" w:rsidP="00D7700E">
            <w:pPr>
              <w:pStyle w:val="TableParagraph"/>
              <w:cnfStyle w:val="100000000000" w:firstRow="1" w:lastRow="0" w:firstColumn="0" w:lastColumn="0" w:oddVBand="0" w:evenVBand="0" w:oddHBand="0" w:evenHBand="0" w:firstRowFirstColumn="0" w:firstRowLastColumn="0" w:lastRowFirstColumn="0" w:lastRowLastColumn="0"/>
            </w:pPr>
            <w:r w:rsidRPr="00B87A60">
              <w:t>ASC</w:t>
            </w:r>
          </w:p>
        </w:tc>
        <w:tc>
          <w:tcPr>
            <w:tcW w:w="923" w:type="dxa"/>
            <w:noWrap/>
            <w:hideMark/>
          </w:tcPr>
          <w:p w14:paraId="4FE05679" w14:textId="77777777" w:rsidR="006F0F5A" w:rsidRPr="00B87A60" w:rsidRDefault="006F0F5A" w:rsidP="00D7700E">
            <w:pPr>
              <w:pStyle w:val="TableParagraph"/>
              <w:cnfStyle w:val="100000000000" w:firstRow="1" w:lastRow="0" w:firstColumn="0" w:lastColumn="0" w:oddVBand="0" w:evenVBand="0" w:oddHBand="0" w:evenHBand="0" w:firstRowFirstColumn="0" w:firstRowLastColumn="0" w:lastRowFirstColumn="0" w:lastRowLastColumn="0"/>
            </w:pPr>
            <w:r w:rsidRPr="00B87A60">
              <w:t>Imaging</w:t>
            </w:r>
          </w:p>
        </w:tc>
      </w:tr>
      <w:tr w:rsidR="006F0F5A" w:rsidRPr="00B87A60" w14:paraId="5FD0F6B0"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226" w:type="dxa"/>
            <w:noWrap/>
            <w:hideMark/>
          </w:tcPr>
          <w:p w14:paraId="10EB264A" w14:textId="77777777" w:rsidR="006F0F5A" w:rsidRPr="00B87A60" w:rsidRDefault="006F0F5A" w:rsidP="00D7700E">
            <w:pPr>
              <w:pStyle w:val="TableParagraph"/>
            </w:pPr>
            <w:r w:rsidRPr="00B87A60">
              <w:t>BOSTON CHILDREN'S HOSPITAL</w:t>
            </w:r>
          </w:p>
        </w:tc>
        <w:tc>
          <w:tcPr>
            <w:tcW w:w="923" w:type="dxa"/>
            <w:noWrap/>
            <w:hideMark/>
          </w:tcPr>
          <w:p w14:paraId="2828B07D"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2.09</w:t>
            </w:r>
          </w:p>
        </w:tc>
        <w:tc>
          <w:tcPr>
            <w:tcW w:w="923" w:type="dxa"/>
            <w:noWrap/>
            <w:hideMark/>
          </w:tcPr>
          <w:p w14:paraId="3C076974"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1.41</w:t>
            </w:r>
          </w:p>
        </w:tc>
        <w:tc>
          <w:tcPr>
            <w:tcW w:w="923" w:type="dxa"/>
            <w:noWrap/>
            <w:hideMark/>
          </w:tcPr>
          <w:p w14:paraId="036549E8"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2.09</w:t>
            </w:r>
          </w:p>
        </w:tc>
      </w:tr>
      <w:tr w:rsidR="006F0F5A" w:rsidRPr="00B87A60" w14:paraId="30F54130"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226" w:type="dxa"/>
            <w:noWrap/>
            <w:hideMark/>
          </w:tcPr>
          <w:p w14:paraId="6E949A9F" w14:textId="77777777" w:rsidR="006F0F5A" w:rsidRPr="00B87A60" w:rsidRDefault="006F0F5A" w:rsidP="00D7700E">
            <w:pPr>
              <w:pStyle w:val="TableParagraph"/>
            </w:pPr>
            <w:r w:rsidRPr="00B87A60">
              <w:t>BOSTON CHILDREN'S AT WALTHAM</w:t>
            </w:r>
          </w:p>
        </w:tc>
        <w:tc>
          <w:tcPr>
            <w:tcW w:w="923" w:type="dxa"/>
            <w:noWrap/>
            <w:hideMark/>
          </w:tcPr>
          <w:p w14:paraId="55FCBA0D"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1.67</w:t>
            </w:r>
          </w:p>
        </w:tc>
        <w:tc>
          <w:tcPr>
            <w:tcW w:w="923" w:type="dxa"/>
            <w:noWrap/>
            <w:hideMark/>
          </w:tcPr>
          <w:p w14:paraId="5B7A5AF7"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1.08</w:t>
            </w:r>
          </w:p>
        </w:tc>
        <w:tc>
          <w:tcPr>
            <w:tcW w:w="923" w:type="dxa"/>
            <w:noWrap/>
            <w:hideMark/>
          </w:tcPr>
          <w:p w14:paraId="00009232"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2.02</w:t>
            </w:r>
          </w:p>
        </w:tc>
      </w:tr>
      <w:tr w:rsidR="006F0F5A" w:rsidRPr="00B87A60" w14:paraId="42119838"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226" w:type="dxa"/>
            <w:noWrap/>
            <w:hideMark/>
          </w:tcPr>
          <w:p w14:paraId="4BD28AAE" w14:textId="77777777" w:rsidR="006F0F5A" w:rsidRPr="00B87A60" w:rsidRDefault="006F0F5A" w:rsidP="00D7700E">
            <w:pPr>
              <w:pStyle w:val="TableParagraph"/>
            </w:pPr>
            <w:r w:rsidRPr="00B87A60">
              <w:t>BOSTON CHILDREN'S AT LEXINGTON</w:t>
            </w:r>
          </w:p>
        </w:tc>
        <w:tc>
          <w:tcPr>
            <w:tcW w:w="923" w:type="dxa"/>
            <w:noWrap/>
            <w:hideMark/>
          </w:tcPr>
          <w:p w14:paraId="671F1E55"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2.48</w:t>
            </w:r>
          </w:p>
        </w:tc>
        <w:tc>
          <w:tcPr>
            <w:tcW w:w="923" w:type="dxa"/>
            <w:noWrap/>
            <w:hideMark/>
          </w:tcPr>
          <w:p w14:paraId="2FDB9D03"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0.97</w:t>
            </w:r>
          </w:p>
        </w:tc>
        <w:tc>
          <w:tcPr>
            <w:tcW w:w="923" w:type="dxa"/>
            <w:noWrap/>
            <w:hideMark/>
          </w:tcPr>
          <w:p w14:paraId="172358C7"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2.38</w:t>
            </w:r>
          </w:p>
        </w:tc>
      </w:tr>
      <w:tr w:rsidR="006F0F5A" w:rsidRPr="00B87A60" w14:paraId="35D2525C"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226" w:type="dxa"/>
            <w:noWrap/>
            <w:hideMark/>
          </w:tcPr>
          <w:p w14:paraId="38097296" w14:textId="77777777" w:rsidR="006F0F5A" w:rsidRPr="00B87A60" w:rsidRDefault="006F0F5A" w:rsidP="00D7700E">
            <w:pPr>
              <w:pStyle w:val="TableParagraph"/>
            </w:pPr>
            <w:r w:rsidRPr="00B87A60">
              <w:t>BOSTON CHILDREN'S at NORTH DARTMOUTH</w:t>
            </w:r>
          </w:p>
        </w:tc>
        <w:tc>
          <w:tcPr>
            <w:tcW w:w="923" w:type="dxa"/>
            <w:noWrap/>
            <w:hideMark/>
          </w:tcPr>
          <w:p w14:paraId="5D7DC0F4"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3.73</w:t>
            </w:r>
          </w:p>
        </w:tc>
        <w:tc>
          <w:tcPr>
            <w:tcW w:w="923" w:type="dxa"/>
            <w:noWrap/>
            <w:hideMark/>
          </w:tcPr>
          <w:p w14:paraId="3C603006"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2.16</w:t>
            </w:r>
          </w:p>
        </w:tc>
        <w:tc>
          <w:tcPr>
            <w:tcW w:w="923" w:type="dxa"/>
            <w:noWrap/>
            <w:hideMark/>
          </w:tcPr>
          <w:p w14:paraId="511F38C9"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3.98</w:t>
            </w:r>
          </w:p>
        </w:tc>
      </w:tr>
      <w:tr w:rsidR="006F0F5A" w:rsidRPr="00B87A60" w14:paraId="1DF79ACF"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226" w:type="dxa"/>
            <w:noWrap/>
            <w:hideMark/>
          </w:tcPr>
          <w:p w14:paraId="60AE5701" w14:textId="77777777" w:rsidR="006F0F5A" w:rsidRPr="00B87A60" w:rsidRDefault="006F0F5A" w:rsidP="00D7700E">
            <w:pPr>
              <w:pStyle w:val="TableParagraph"/>
            </w:pPr>
            <w:r w:rsidRPr="00B87A60">
              <w:t>BOSTON CHILDREN'S AT PEABODY</w:t>
            </w:r>
          </w:p>
        </w:tc>
        <w:tc>
          <w:tcPr>
            <w:tcW w:w="923" w:type="dxa"/>
            <w:noWrap/>
            <w:hideMark/>
          </w:tcPr>
          <w:p w14:paraId="1B4CBB6D"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2.14</w:t>
            </w:r>
          </w:p>
        </w:tc>
        <w:tc>
          <w:tcPr>
            <w:tcW w:w="923" w:type="dxa"/>
            <w:noWrap/>
            <w:hideMark/>
          </w:tcPr>
          <w:p w14:paraId="69BEF3F3"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1.43</w:t>
            </w:r>
          </w:p>
        </w:tc>
        <w:tc>
          <w:tcPr>
            <w:tcW w:w="923" w:type="dxa"/>
            <w:noWrap/>
            <w:hideMark/>
          </w:tcPr>
          <w:p w14:paraId="5DA1A9B0"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2.44</w:t>
            </w:r>
          </w:p>
        </w:tc>
      </w:tr>
      <w:tr w:rsidR="006F0F5A" w:rsidRPr="00B87A60" w14:paraId="694A3D31"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226" w:type="dxa"/>
            <w:noWrap/>
            <w:hideMark/>
          </w:tcPr>
          <w:p w14:paraId="3EFAB0D2" w14:textId="671037AD" w:rsidR="006F0F5A" w:rsidRPr="00B87A60" w:rsidRDefault="006F0F5A" w:rsidP="00D7700E">
            <w:pPr>
              <w:pStyle w:val="TableParagraph"/>
            </w:pPr>
            <w:r w:rsidRPr="00B87A60">
              <w:t xml:space="preserve">BCH - Other </w:t>
            </w:r>
            <w:r w:rsidR="0048402A">
              <w:t>–</w:t>
            </w:r>
            <w:r w:rsidRPr="00B87A60">
              <w:t xml:space="preserve"> Entity</w:t>
            </w:r>
          </w:p>
        </w:tc>
        <w:tc>
          <w:tcPr>
            <w:tcW w:w="923" w:type="dxa"/>
            <w:noWrap/>
            <w:hideMark/>
          </w:tcPr>
          <w:p w14:paraId="325E35EA"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1.63</w:t>
            </w:r>
          </w:p>
        </w:tc>
        <w:tc>
          <w:tcPr>
            <w:tcW w:w="923" w:type="dxa"/>
            <w:noWrap/>
            <w:hideMark/>
          </w:tcPr>
          <w:p w14:paraId="634732BD"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 </w:t>
            </w:r>
          </w:p>
        </w:tc>
        <w:tc>
          <w:tcPr>
            <w:tcW w:w="923" w:type="dxa"/>
            <w:noWrap/>
            <w:hideMark/>
          </w:tcPr>
          <w:p w14:paraId="3D72699B"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0.94</w:t>
            </w:r>
          </w:p>
        </w:tc>
      </w:tr>
      <w:tr w:rsidR="006F0F5A" w:rsidRPr="00B87A60" w14:paraId="1C76A1F3"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226" w:type="dxa"/>
            <w:noWrap/>
            <w:hideMark/>
          </w:tcPr>
          <w:p w14:paraId="601A717E" w14:textId="7434D8E9" w:rsidR="006F0F5A" w:rsidRPr="00B87A60" w:rsidRDefault="006F0F5A" w:rsidP="00D7700E">
            <w:pPr>
              <w:pStyle w:val="TableParagraph"/>
            </w:pPr>
            <w:r w:rsidRPr="00B87A60">
              <w:t xml:space="preserve">BCH - Other </w:t>
            </w:r>
            <w:r w:rsidR="0048402A">
              <w:t>–</w:t>
            </w:r>
            <w:r w:rsidRPr="00B87A60">
              <w:t xml:space="preserve"> Individual</w:t>
            </w:r>
          </w:p>
        </w:tc>
        <w:tc>
          <w:tcPr>
            <w:tcW w:w="923" w:type="dxa"/>
            <w:noWrap/>
            <w:hideMark/>
          </w:tcPr>
          <w:p w14:paraId="7180CFCE"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0.70</w:t>
            </w:r>
          </w:p>
        </w:tc>
        <w:tc>
          <w:tcPr>
            <w:tcW w:w="923" w:type="dxa"/>
            <w:noWrap/>
            <w:hideMark/>
          </w:tcPr>
          <w:p w14:paraId="75B0F44A"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0.89</w:t>
            </w:r>
          </w:p>
        </w:tc>
        <w:tc>
          <w:tcPr>
            <w:tcW w:w="923" w:type="dxa"/>
            <w:noWrap/>
            <w:hideMark/>
          </w:tcPr>
          <w:p w14:paraId="2098AECD"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0.87</w:t>
            </w:r>
          </w:p>
        </w:tc>
      </w:tr>
      <w:tr w:rsidR="006F0F5A" w:rsidRPr="00B87A60" w14:paraId="1C48570C"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226" w:type="dxa"/>
            <w:noWrap/>
          </w:tcPr>
          <w:p w14:paraId="0E2FB8F4" w14:textId="77777777" w:rsidR="006F0F5A" w:rsidRPr="00B87A60" w:rsidRDefault="006F0F5A" w:rsidP="00D7700E">
            <w:pPr>
              <w:pStyle w:val="TableParagraph"/>
            </w:pPr>
            <w:r w:rsidRPr="00B87A60">
              <w:t>Massachusetts General Hospital</w:t>
            </w:r>
          </w:p>
        </w:tc>
        <w:tc>
          <w:tcPr>
            <w:tcW w:w="923" w:type="dxa"/>
            <w:noWrap/>
          </w:tcPr>
          <w:p w14:paraId="57D71BAA"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1.4</w:t>
            </w:r>
          </w:p>
        </w:tc>
        <w:tc>
          <w:tcPr>
            <w:tcW w:w="923" w:type="dxa"/>
            <w:noWrap/>
          </w:tcPr>
          <w:p w14:paraId="724D3D58"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0.93</w:t>
            </w:r>
          </w:p>
        </w:tc>
        <w:tc>
          <w:tcPr>
            <w:tcW w:w="923" w:type="dxa"/>
            <w:noWrap/>
          </w:tcPr>
          <w:p w14:paraId="18374B16"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1.14</w:t>
            </w:r>
          </w:p>
        </w:tc>
      </w:tr>
      <w:tr w:rsidR="006F0F5A" w:rsidRPr="00B87A60" w14:paraId="4AB3A369"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226" w:type="dxa"/>
            <w:noWrap/>
            <w:hideMark/>
          </w:tcPr>
          <w:p w14:paraId="1E4028D9" w14:textId="77777777" w:rsidR="006F0F5A" w:rsidRPr="00B87A60" w:rsidRDefault="006F0F5A" w:rsidP="00D7700E">
            <w:pPr>
              <w:pStyle w:val="TableParagraph"/>
            </w:pPr>
            <w:r w:rsidRPr="00B87A60">
              <w:t>TUFTS MEDICAL CENTER</w:t>
            </w:r>
          </w:p>
        </w:tc>
        <w:tc>
          <w:tcPr>
            <w:tcW w:w="923" w:type="dxa"/>
            <w:noWrap/>
            <w:hideMark/>
          </w:tcPr>
          <w:p w14:paraId="1E6BDD3C"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1.43</w:t>
            </w:r>
          </w:p>
        </w:tc>
        <w:tc>
          <w:tcPr>
            <w:tcW w:w="923" w:type="dxa"/>
            <w:noWrap/>
            <w:hideMark/>
          </w:tcPr>
          <w:p w14:paraId="2B12F674"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1.62</w:t>
            </w:r>
          </w:p>
        </w:tc>
        <w:tc>
          <w:tcPr>
            <w:tcW w:w="923" w:type="dxa"/>
            <w:noWrap/>
            <w:hideMark/>
          </w:tcPr>
          <w:p w14:paraId="118587B3"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1.82</w:t>
            </w:r>
          </w:p>
        </w:tc>
      </w:tr>
      <w:tr w:rsidR="006F0F5A" w:rsidRPr="006A10B6" w14:paraId="229ADC12"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226" w:type="dxa"/>
            <w:noWrap/>
            <w:hideMark/>
          </w:tcPr>
          <w:p w14:paraId="6890D4A0" w14:textId="77777777" w:rsidR="006F0F5A" w:rsidRPr="00B87A60" w:rsidRDefault="006F0F5A" w:rsidP="00D7700E">
            <w:pPr>
              <w:pStyle w:val="TableParagraph"/>
            </w:pPr>
            <w:r w:rsidRPr="00B87A60">
              <w:t>UMASS MEMORIAL MED CTR/UNIV CAMPUS</w:t>
            </w:r>
          </w:p>
        </w:tc>
        <w:tc>
          <w:tcPr>
            <w:tcW w:w="923" w:type="dxa"/>
            <w:noWrap/>
            <w:hideMark/>
          </w:tcPr>
          <w:p w14:paraId="1739E408"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0.33</w:t>
            </w:r>
          </w:p>
        </w:tc>
        <w:tc>
          <w:tcPr>
            <w:tcW w:w="923" w:type="dxa"/>
            <w:noWrap/>
            <w:hideMark/>
          </w:tcPr>
          <w:p w14:paraId="22EDBB95" w14:textId="77777777" w:rsidR="006F0F5A" w:rsidRPr="00B87A60"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0.77</w:t>
            </w:r>
          </w:p>
        </w:tc>
        <w:tc>
          <w:tcPr>
            <w:tcW w:w="923" w:type="dxa"/>
            <w:noWrap/>
            <w:hideMark/>
          </w:tcPr>
          <w:p w14:paraId="15421135" w14:textId="77777777" w:rsidR="006F0F5A" w:rsidRPr="006A10B6" w:rsidRDefault="006F0F5A" w:rsidP="00D7700E">
            <w:pPr>
              <w:pStyle w:val="TableParagraph"/>
              <w:cnfStyle w:val="000000000000" w:firstRow="0" w:lastRow="0" w:firstColumn="0" w:lastColumn="0" w:oddVBand="0" w:evenVBand="0" w:oddHBand="0" w:evenHBand="0" w:firstRowFirstColumn="0" w:firstRowLastColumn="0" w:lastRowFirstColumn="0" w:lastRowLastColumn="0"/>
            </w:pPr>
            <w:r w:rsidRPr="00B87A60">
              <w:t>1.57</w:t>
            </w:r>
          </w:p>
        </w:tc>
      </w:tr>
    </w:tbl>
    <w:p w14:paraId="29F972C3" w14:textId="77777777" w:rsidR="006F0F5A" w:rsidRDefault="006F0F5A" w:rsidP="006F0F5A">
      <w:pPr>
        <w:pStyle w:val="TableNotes"/>
      </w:pPr>
      <w:r>
        <w:t>Source: Massachusetts All-Payer Claims Database. Statewide claims, commercial, 2019.</w:t>
      </w:r>
    </w:p>
    <w:p w14:paraId="28C51AF6" w14:textId="77290A7C" w:rsidR="00DC56C8" w:rsidRDefault="00DC56C8" w:rsidP="00BE32C9">
      <w:pPr>
        <w:pStyle w:val="Heading1"/>
        <w:rPr>
          <w:rFonts w:hint="eastAsia"/>
        </w:rPr>
      </w:pPr>
      <w:bookmarkStart w:id="307" w:name="_Toc109895524"/>
      <w:bookmarkEnd w:id="304"/>
      <w:bookmarkEnd w:id="305"/>
      <w:bookmarkEnd w:id="306"/>
      <w:r w:rsidRPr="00D705C0">
        <w:t>Forecasted Impacts of Proposed Project on Shares, Prices, and Spending</w:t>
      </w:r>
      <w:bookmarkEnd w:id="286"/>
      <w:bookmarkEnd w:id="297"/>
      <w:bookmarkEnd w:id="298"/>
      <w:bookmarkEnd w:id="299"/>
      <w:bookmarkEnd w:id="300"/>
      <w:bookmarkEnd w:id="307"/>
    </w:p>
    <w:p w14:paraId="2CA810B5" w14:textId="1E5A2585" w:rsidR="00DC56C8" w:rsidRDefault="00DC56C8" w:rsidP="00BE32C9">
      <w:pPr>
        <w:pStyle w:val="Heading2"/>
      </w:pPr>
      <w:bookmarkStart w:id="308" w:name="_Toc109895525"/>
      <w:bookmarkStart w:id="309" w:name="_Toc94002341"/>
      <w:bookmarkStart w:id="310" w:name="_Toc106002915"/>
      <w:bookmarkStart w:id="311" w:name="_Toc106005405"/>
      <w:r>
        <w:t>Change in Shares</w:t>
      </w:r>
      <w:bookmarkEnd w:id="308"/>
    </w:p>
    <w:p w14:paraId="4695B237" w14:textId="0CDA6DC9" w:rsidR="00DC56C8" w:rsidRPr="004C1361" w:rsidRDefault="00DC56C8" w:rsidP="00BE32C9">
      <w:r>
        <w:t>The next step in the empirical analysis of impact on pricing/competition and well as capacity/utilization, and evaluation of impact on cost containment goals is estimating the change in market share for BCH compared to other entities</w:t>
      </w:r>
      <w:r w:rsidR="007D3F93">
        <w:t xml:space="preserve"> for current shares due to the estimated diversion of patients</w:t>
      </w:r>
      <w:r>
        <w:t>. These estimates are provided for the service areas for the specific services.</w:t>
      </w:r>
    </w:p>
    <w:p w14:paraId="522275FF" w14:textId="341797A4" w:rsidR="00D16974" w:rsidRDefault="00D35B95" w:rsidP="00BE32C9">
      <w:r>
        <w:lastRenderedPageBreak/>
        <w:fldChar w:fldCharType="begin"/>
      </w:r>
      <w:r>
        <w:instrText xml:space="preserve"> REF _Ref106622613 \h </w:instrText>
      </w:r>
      <w:r>
        <w:fldChar w:fldCharType="separate"/>
      </w:r>
      <w:r w:rsidR="00CE7C62" w:rsidRPr="00181639">
        <w:t xml:space="preserve">Table </w:t>
      </w:r>
      <w:r w:rsidR="00CE7C62">
        <w:rPr>
          <w:noProof/>
        </w:rPr>
        <w:t>30</w:t>
      </w:r>
      <w:r w:rsidR="00CE7C62" w:rsidRPr="00181639">
        <w:t>: Change in Shares for ASC, Commercial</w:t>
      </w:r>
      <w:r>
        <w:fldChar w:fldCharType="end"/>
      </w:r>
      <w:r>
        <w:t xml:space="preserve">, </w:t>
      </w:r>
      <w:r>
        <w:fldChar w:fldCharType="begin"/>
      </w:r>
      <w:r>
        <w:instrText xml:space="preserve"> REF _Ref106622622 \h </w:instrText>
      </w:r>
      <w:r>
        <w:fldChar w:fldCharType="separate"/>
      </w:r>
      <w:r w:rsidR="00CE7C62">
        <w:t xml:space="preserve">Table </w:t>
      </w:r>
      <w:r w:rsidR="00CE7C62">
        <w:rPr>
          <w:noProof/>
        </w:rPr>
        <w:t>31</w:t>
      </w:r>
      <w:r w:rsidR="00CE7C62">
        <w:t>: Change in Shares, MRI, Commercial</w:t>
      </w:r>
      <w:r>
        <w:fldChar w:fldCharType="end"/>
      </w:r>
      <w:r>
        <w:t xml:space="preserve">, and </w:t>
      </w:r>
      <w:r>
        <w:fldChar w:fldCharType="begin"/>
      </w:r>
      <w:r>
        <w:instrText xml:space="preserve"> REF _Ref106622632 \h </w:instrText>
      </w:r>
      <w:r>
        <w:fldChar w:fldCharType="separate"/>
      </w:r>
      <w:r w:rsidR="00CE7C62">
        <w:t xml:space="preserve">Table </w:t>
      </w:r>
      <w:r w:rsidR="00CE7C62">
        <w:rPr>
          <w:noProof/>
        </w:rPr>
        <w:t>32</w:t>
      </w:r>
      <w:r w:rsidR="00CE7C62">
        <w:t>: Change in Shares, IMG, Commercial</w:t>
      </w:r>
      <w:r>
        <w:fldChar w:fldCharType="end"/>
      </w:r>
      <w:r w:rsidR="00DC56C8" w:rsidRPr="00E420ED">
        <w:t xml:space="preserve"> report current and projected service area shares for each service line</w:t>
      </w:r>
      <w:r w:rsidR="00EA69A5" w:rsidRPr="00E420ED">
        <w:t xml:space="preserve"> for commercially-insured visits</w:t>
      </w:r>
      <w:r w:rsidR="00DC56C8" w:rsidRPr="00E420ED">
        <w:t xml:space="preserve">. </w:t>
      </w:r>
      <w:r w:rsidR="00DC56C8" w:rsidRPr="00E420ED">
        <w:rPr>
          <w:b/>
          <w:bCs/>
          <w:i/>
          <w:iCs/>
        </w:rPr>
        <w:t>For ASC</w:t>
      </w:r>
      <w:r w:rsidR="00514445" w:rsidRPr="00E420ED">
        <w:rPr>
          <w:b/>
          <w:bCs/>
          <w:i/>
          <w:iCs/>
        </w:rPr>
        <w:t>, BCH’s share of visits increases by less than 1 perc</w:t>
      </w:r>
      <w:r w:rsidR="00A0755E">
        <w:rPr>
          <w:b/>
          <w:bCs/>
          <w:i/>
          <w:iCs/>
        </w:rPr>
        <w:t>e</w:t>
      </w:r>
      <w:r w:rsidR="00514445" w:rsidRPr="00E420ED">
        <w:rPr>
          <w:b/>
          <w:bCs/>
          <w:i/>
          <w:iCs/>
        </w:rPr>
        <w:t xml:space="preserve">ntage point and for </w:t>
      </w:r>
      <w:r w:rsidR="00EA69A5" w:rsidRPr="00E420ED">
        <w:rPr>
          <w:b/>
          <w:bCs/>
          <w:i/>
          <w:iCs/>
        </w:rPr>
        <w:t>Imaging (inclusive of MRI</w:t>
      </w:r>
      <w:r w:rsidR="00514445" w:rsidRPr="00E420ED">
        <w:rPr>
          <w:b/>
          <w:bCs/>
          <w:i/>
          <w:iCs/>
        </w:rPr>
        <w:t xml:space="preserve"> services</w:t>
      </w:r>
      <w:r w:rsidR="00EA69A5" w:rsidRPr="00E420ED">
        <w:rPr>
          <w:b/>
          <w:bCs/>
          <w:i/>
          <w:iCs/>
        </w:rPr>
        <w:t>)</w:t>
      </w:r>
      <w:r w:rsidR="00514445" w:rsidRPr="00E420ED">
        <w:rPr>
          <w:b/>
          <w:bCs/>
          <w:i/>
          <w:iCs/>
        </w:rPr>
        <w:t>, by 2 percentage points.</w:t>
      </w:r>
      <w:r w:rsidR="00EA69A5" w:rsidRPr="00E420ED">
        <w:rPr>
          <w:b/>
          <w:bCs/>
          <w:i/>
          <w:iCs/>
        </w:rPr>
        <w:t xml:space="preserve"> The largest change in shares is for MRI, where BCH’s new facilities increase BCH’s total share of MRI visits, yet by less than 4 percentage points.</w:t>
      </w:r>
      <w:r w:rsidR="00EA69A5" w:rsidRPr="00E420ED">
        <w:t xml:space="preserve"> These shifts of patients mostly come from the Outside Option, as described above.</w:t>
      </w:r>
    </w:p>
    <w:p w14:paraId="3E794078" w14:textId="1BFD8EAE" w:rsidR="00EC5F95" w:rsidRPr="0049030C" w:rsidRDefault="00EC5F95" w:rsidP="007813FB">
      <w:pPr>
        <w:pStyle w:val="Caption"/>
      </w:pPr>
      <w:bookmarkStart w:id="312" w:name="_Ref105995630"/>
      <w:bookmarkStart w:id="313" w:name="_Ref106622613"/>
      <w:bookmarkStart w:id="314" w:name="_Toc106641208"/>
      <w:bookmarkStart w:id="315" w:name="_Toc106648912"/>
      <w:bookmarkStart w:id="316" w:name="_Toc109895461"/>
      <w:r w:rsidRPr="00181639">
        <w:t xml:space="preserve">Table </w:t>
      </w:r>
      <w:fldSimple w:instr=" SEQ Table \* ARABIC ">
        <w:r w:rsidR="00CE7C62">
          <w:rPr>
            <w:noProof/>
          </w:rPr>
          <w:t>30</w:t>
        </w:r>
      </w:fldSimple>
      <w:bookmarkEnd w:id="312"/>
      <w:r w:rsidRPr="00181639">
        <w:t>: Change in Shares for ASC, Commercial</w:t>
      </w:r>
      <w:bookmarkEnd w:id="313"/>
      <w:bookmarkEnd w:id="314"/>
      <w:bookmarkEnd w:id="315"/>
      <w:r>
        <w:t xml:space="preserve"> </w:t>
      </w:r>
      <w:r w:rsidRPr="00146650">
        <w:t>(Combined Service Area, Patient</w:t>
      </w:r>
      <w:r>
        <w:t>s</w:t>
      </w:r>
      <w:r w:rsidRPr="00146650">
        <w:t xml:space="preserve"> </w:t>
      </w:r>
      <w:r>
        <w:t xml:space="preserve">Aged </w:t>
      </w:r>
      <w:r w:rsidRPr="00146650">
        <w:t>0 – 18)</w:t>
      </w:r>
      <w:bookmarkEnd w:id="316"/>
    </w:p>
    <w:tbl>
      <w:tblPr>
        <w:tblStyle w:val="GridTable4-Accent11"/>
        <w:tblW w:w="8455" w:type="dxa"/>
        <w:tblLook w:val="04A0" w:firstRow="1" w:lastRow="0" w:firstColumn="1" w:lastColumn="0" w:noHBand="0" w:noVBand="1"/>
      </w:tblPr>
      <w:tblGrid>
        <w:gridCol w:w="4675"/>
        <w:gridCol w:w="1440"/>
        <w:gridCol w:w="1170"/>
        <w:gridCol w:w="1170"/>
      </w:tblGrid>
      <w:tr w:rsidR="00EC5F95" w:rsidRPr="001E258C" w14:paraId="5C9FAFE8" w14:textId="77777777" w:rsidTr="001530BC">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4675" w:type="dxa"/>
            <w:noWrap/>
            <w:hideMark/>
          </w:tcPr>
          <w:p w14:paraId="4CAB0FAA" w14:textId="77777777" w:rsidR="00EC5F95" w:rsidRPr="001E258C" w:rsidRDefault="00EC5F95" w:rsidP="00BE32C9">
            <w:pPr>
              <w:pStyle w:val="TableParagraph"/>
            </w:pPr>
            <w:r w:rsidRPr="001E258C">
              <w:t>System</w:t>
            </w:r>
          </w:p>
        </w:tc>
        <w:tc>
          <w:tcPr>
            <w:tcW w:w="1440" w:type="dxa"/>
            <w:noWrap/>
            <w:hideMark/>
          </w:tcPr>
          <w:p w14:paraId="5984BEF4" w14:textId="77777777" w:rsidR="00EC5F95" w:rsidRPr="001E258C"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1E258C">
              <w:t>Original 2019 Visits Share</w:t>
            </w:r>
          </w:p>
        </w:tc>
        <w:tc>
          <w:tcPr>
            <w:tcW w:w="1170" w:type="dxa"/>
            <w:noWrap/>
            <w:hideMark/>
          </w:tcPr>
          <w:p w14:paraId="549E7A72" w14:textId="77777777" w:rsidR="00EC5F95" w:rsidRPr="001E258C"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1E258C">
              <w:t>New 2019 Visits Share</w:t>
            </w:r>
          </w:p>
        </w:tc>
        <w:tc>
          <w:tcPr>
            <w:tcW w:w="1170" w:type="dxa"/>
            <w:noWrap/>
            <w:hideMark/>
          </w:tcPr>
          <w:p w14:paraId="5ECC3F27" w14:textId="77777777" w:rsidR="00EC5F95" w:rsidRPr="001E258C"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1E258C">
              <w:t>Change in Share</w:t>
            </w:r>
          </w:p>
        </w:tc>
      </w:tr>
      <w:tr w:rsidR="00EC5F95" w:rsidRPr="001E258C" w14:paraId="1F4A3345"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4675" w:type="dxa"/>
            <w:noWrap/>
            <w:hideMark/>
          </w:tcPr>
          <w:p w14:paraId="752C30F8" w14:textId="77777777" w:rsidR="00EC5F95" w:rsidRPr="0078544E" w:rsidRDefault="00EC5F95" w:rsidP="00BE32C9">
            <w:pPr>
              <w:pStyle w:val="TableParagraph"/>
              <w:rPr>
                <w:b w:val="0"/>
                <w:bCs w:val="0"/>
              </w:rPr>
            </w:pPr>
            <w:r w:rsidRPr="0078544E">
              <w:t>BCH</w:t>
            </w:r>
          </w:p>
        </w:tc>
        <w:tc>
          <w:tcPr>
            <w:tcW w:w="1440" w:type="dxa"/>
            <w:noWrap/>
            <w:hideMark/>
          </w:tcPr>
          <w:p w14:paraId="3B5F8431"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13.20%</w:t>
            </w:r>
          </w:p>
        </w:tc>
        <w:tc>
          <w:tcPr>
            <w:tcW w:w="1170" w:type="dxa"/>
            <w:noWrap/>
          </w:tcPr>
          <w:p w14:paraId="5A5F2D6E"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13.83%</w:t>
            </w:r>
          </w:p>
        </w:tc>
        <w:tc>
          <w:tcPr>
            <w:tcW w:w="1170" w:type="dxa"/>
            <w:noWrap/>
            <w:hideMark/>
          </w:tcPr>
          <w:p w14:paraId="105EC8CE"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0.63%</w:t>
            </w:r>
          </w:p>
        </w:tc>
      </w:tr>
      <w:tr w:rsidR="00EC5F95" w:rsidRPr="001E258C" w14:paraId="230089C1"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4675" w:type="dxa"/>
            <w:noWrap/>
            <w:hideMark/>
          </w:tcPr>
          <w:p w14:paraId="7C9DACE3" w14:textId="77777777" w:rsidR="00EC5F95" w:rsidRPr="001E258C" w:rsidRDefault="00EC5F95" w:rsidP="00BE32C9">
            <w:pPr>
              <w:pStyle w:val="TableParagraph"/>
            </w:pPr>
            <w:r>
              <w:t xml:space="preserve">     </w:t>
            </w:r>
            <w:r w:rsidRPr="001E258C">
              <w:t>BOSTON CHILDREN'S HOSPITAL</w:t>
            </w:r>
          </w:p>
        </w:tc>
        <w:tc>
          <w:tcPr>
            <w:tcW w:w="1440" w:type="dxa"/>
            <w:noWrap/>
            <w:hideMark/>
          </w:tcPr>
          <w:p w14:paraId="47FE83F7"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11.18%</w:t>
            </w:r>
          </w:p>
        </w:tc>
        <w:tc>
          <w:tcPr>
            <w:tcW w:w="1170" w:type="dxa"/>
            <w:noWrap/>
          </w:tcPr>
          <w:p w14:paraId="0A196C2E"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11.07%</w:t>
            </w:r>
          </w:p>
        </w:tc>
        <w:tc>
          <w:tcPr>
            <w:tcW w:w="1170" w:type="dxa"/>
            <w:noWrap/>
            <w:hideMark/>
          </w:tcPr>
          <w:p w14:paraId="0C57E533"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-0.11%</w:t>
            </w:r>
          </w:p>
        </w:tc>
      </w:tr>
      <w:tr w:rsidR="00EC5F95" w:rsidRPr="001E258C" w14:paraId="5D2423FE"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4675" w:type="dxa"/>
            <w:noWrap/>
            <w:hideMark/>
          </w:tcPr>
          <w:p w14:paraId="66B17BBD" w14:textId="2A726685" w:rsidR="00EC5F95" w:rsidRPr="001E258C" w:rsidRDefault="00EC5F95" w:rsidP="00BE32C9">
            <w:pPr>
              <w:pStyle w:val="TableParagraph"/>
            </w:pPr>
            <w:r>
              <w:t xml:space="preserve">     </w:t>
            </w:r>
            <w:r w:rsidRPr="001E258C">
              <w:t xml:space="preserve">BCH </w:t>
            </w:r>
            <w:r w:rsidR="00B95A2E">
              <w:t>–</w:t>
            </w:r>
            <w:r w:rsidRPr="001E258C">
              <w:t xml:space="preserve"> Other</w:t>
            </w:r>
          </w:p>
        </w:tc>
        <w:tc>
          <w:tcPr>
            <w:tcW w:w="1440" w:type="dxa"/>
            <w:noWrap/>
            <w:hideMark/>
          </w:tcPr>
          <w:p w14:paraId="41E4FE91"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0.98%</w:t>
            </w:r>
          </w:p>
        </w:tc>
        <w:tc>
          <w:tcPr>
            <w:tcW w:w="1170" w:type="dxa"/>
            <w:noWrap/>
          </w:tcPr>
          <w:p w14:paraId="0906D2A7"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0.97%</w:t>
            </w:r>
          </w:p>
        </w:tc>
        <w:tc>
          <w:tcPr>
            <w:tcW w:w="1170" w:type="dxa"/>
            <w:noWrap/>
            <w:hideMark/>
          </w:tcPr>
          <w:p w14:paraId="65CBF934"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-0.01%</w:t>
            </w:r>
          </w:p>
        </w:tc>
      </w:tr>
      <w:tr w:rsidR="00EC5F95" w:rsidRPr="001E258C" w14:paraId="5183C92E"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4675" w:type="dxa"/>
            <w:noWrap/>
            <w:hideMark/>
          </w:tcPr>
          <w:p w14:paraId="4E85BAE3" w14:textId="77777777" w:rsidR="00EC5F95" w:rsidRPr="001E258C" w:rsidRDefault="00EC5F95" w:rsidP="00BE32C9">
            <w:pPr>
              <w:pStyle w:val="TableParagraph"/>
            </w:pPr>
            <w:r>
              <w:t xml:space="preserve">     </w:t>
            </w:r>
            <w:r w:rsidRPr="001E258C">
              <w:t>BOSTON CHILDREN'S AT WALTHAM</w:t>
            </w:r>
          </w:p>
        </w:tc>
        <w:tc>
          <w:tcPr>
            <w:tcW w:w="1440" w:type="dxa"/>
            <w:noWrap/>
            <w:hideMark/>
          </w:tcPr>
          <w:p w14:paraId="7B5F7AB7"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0.53%</w:t>
            </w:r>
          </w:p>
        </w:tc>
        <w:tc>
          <w:tcPr>
            <w:tcW w:w="1170" w:type="dxa"/>
            <w:noWrap/>
          </w:tcPr>
          <w:p w14:paraId="18F3C009"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0.52%</w:t>
            </w:r>
          </w:p>
        </w:tc>
        <w:tc>
          <w:tcPr>
            <w:tcW w:w="1170" w:type="dxa"/>
            <w:noWrap/>
            <w:hideMark/>
          </w:tcPr>
          <w:p w14:paraId="5A1ACEFE"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-0.01%</w:t>
            </w:r>
          </w:p>
        </w:tc>
      </w:tr>
      <w:tr w:rsidR="00EC5F95" w:rsidRPr="001E258C" w14:paraId="3E75BB88"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4675" w:type="dxa"/>
            <w:noWrap/>
            <w:hideMark/>
          </w:tcPr>
          <w:p w14:paraId="47C9BA8F" w14:textId="77777777" w:rsidR="00EC5F95" w:rsidRPr="001E258C" w:rsidRDefault="00EC5F95" w:rsidP="00BE32C9">
            <w:pPr>
              <w:pStyle w:val="TableParagraph"/>
            </w:pPr>
            <w:r>
              <w:t xml:space="preserve">     </w:t>
            </w:r>
            <w:r w:rsidRPr="001E258C">
              <w:t>BOSTON CHILDREN'S AT LEXINGTON</w:t>
            </w:r>
          </w:p>
        </w:tc>
        <w:tc>
          <w:tcPr>
            <w:tcW w:w="1440" w:type="dxa"/>
            <w:noWrap/>
            <w:hideMark/>
          </w:tcPr>
          <w:p w14:paraId="2106D96A"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0.45%</w:t>
            </w:r>
          </w:p>
        </w:tc>
        <w:tc>
          <w:tcPr>
            <w:tcW w:w="1170" w:type="dxa"/>
            <w:noWrap/>
          </w:tcPr>
          <w:p w14:paraId="1ECF8CB4"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0.00%</w:t>
            </w:r>
          </w:p>
        </w:tc>
        <w:tc>
          <w:tcPr>
            <w:tcW w:w="1170" w:type="dxa"/>
            <w:noWrap/>
            <w:hideMark/>
          </w:tcPr>
          <w:p w14:paraId="1B559D06"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-0.45%</w:t>
            </w:r>
          </w:p>
        </w:tc>
      </w:tr>
      <w:tr w:rsidR="00EC5F95" w:rsidRPr="001E258C" w14:paraId="2E85AF7A"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4675" w:type="dxa"/>
            <w:noWrap/>
            <w:hideMark/>
          </w:tcPr>
          <w:p w14:paraId="45A82DC4" w14:textId="77777777" w:rsidR="00EC5F95" w:rsidRPr="001E258C" w:rsidRDefault="00EC5F95" w:rsidP="00BE32C9">
            <w:pPr>
              <w:pStyle w:val="TableParagraph"/>
            </w:pPr>
            <w:r>
              <w:t xml:space="preserve">     </w:t>
            </w:r>
            <w:r w:rsidRPr="001E258C">
              <w:t>BOSTON CHILDREN'S AT PEABODY</w:t>
            </w:r>
          </w:p>
        </w:tc>
        <w:tc>
          <w:tcPr>
            <w:tcW w:w="1440" w:type="dxa"/>
            <w:noWrap/>
            <w:hideMark/>
          </w:tcPr>
          <w:p w14:paraId="5FF09E7B"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0.05%</w:t>
            </w:r>
          </w:p>
        </w:tc>
        <w:tc>
          <w:tcPr>
            <w:tcW w:w="1170" w:type="dxa"/>
            <w:noWrap/>
          </w:tcPr>
          <w:p w14:paraId="2CFCAC34"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0.05%</w:t>
            </w:r>
          </w:p>
        </w:tc>
        <w:tc>
          <w:tcPr>
            <w:tcW w:w="1170" w:type="dxa"/>
            <w:noWrap/>
            <w:hideMark/>
          </w:tcPr>
          <w:p w14:paraId="7467005C"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0.00%</w:t>
            </w:r>
          </w:p>
        </w:tc>
      </w:tr>
      <w:tr w:rsidR="00EC5F95" w:rsidRPr="001E258C" w14:paraId="33E19685"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4675" w:type="dxa"/>
            <w:noWrap/>
            <w:hideMark/>
          </w:tcPr>
          <w:p w14:paraId="59A99E15" w14:textId="752E36A3" w:rsidR="00EC5F95" w:rsidRPr="001E258C" w:rsidRDefault="002D17B0" w:rsidP="002D17B0">
            <w:pPr>
              <w:pStyle w:val="TableParagraph"/>
            </w:pPr>
            <w:r>
              <w:t xml:space="preserve">     </w:t>
            </w:r>
            <w:r w:rsidR="00EC5F95" w:rsidRPr="001E258C">
              <w:t>BOSTON CHILDREN'S at NORTH DARTMOUTH</w:t>
            </w:r>
          </w:p>
        </w:tc>
        <w:tc>
          <w:tcPr>
            <w:tcW w:w="1440" w:type="dxa"/>
            <w:noWrap/>
            <w:hideMark/>
          </w:tcPr>
          <w:p w14:paraId="5B225F66"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0.01%</w:t>
            </w:r>
          </w:p>
        </w:tc>
        <w:tc>
          <w:tcPr>
            <w:tcW w:w="1170" w:type="dxa"/>
            <w:noWrap/>
          </w:tcPr>
          <w:p w14:paraId="50B2A8BE"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0.01%</w:t>
            </w:r>
          </w:p>
        </w:tc>
        <w:tc>
          <w:tcPr>
            <w:tcW w:w="1170" w:type="dxa"/>
            <w:noWrap/>
            <w:hideMark/>
          </w:tcPr>
          <w:p w14:paraId="71004EF2"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0.00%</w:t>
            </w:r>
          </w:p>
        </w:tc>
      </w:tr>
      <w:tr w:rsidR="00EC5F95" w:rsidRPr="001E258C" w14:paraId="40CACA6B"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4675" w:type="dxa"/>
            <w:noWrap/>
            <w:hideMark/>
          </w:tcPr>
          <w:p w14:paraId="705848DA" w14:textId="77777777" w:rsidR="00EC5F95" w:rsidRPr="001E258C" w:rsidRDefault="00EC5F95" w:rsidP="00BE32C9">
            <w:pPr>
              <w:pStyle w:val="TableParagraph"/>
            </w:pPr>
            <w:r>
              <w:t xml:space="preserve">     </w:t>
            </w:r>
            <w:r w:rsidRPr="001E258C">
              <w:t>BCH Needham</w:t>
            </w:r>
          </w:p>
        </w:tc>
        <w:tc>
          <w:tcPr>
            <w:tcW w:w="1440" w:type="dxa"/>
            <w:noWrap/>
            <w:hideMark/>
          </w:tcPr>
          <w:p w14:paraId="05EFB98D"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0.00%</w:t>
            </w:r>
          </w:p>
        </w:tc>
        <w:tc>
          <w:tcPr>
            <w:tcW w:w="1170" w:type="dxa"/>
            <w:noWrap/>
          </w:tcPr>
          <w:p w14:paraId="58AE0E7E"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1.21%</w:t>
            </w:r>
          </w:p>
        </w:tc>
        <w:tc>
          <w:tcPr>
            <w:tcW w:w="1170" w:type="dxa"/>
            <w:noWrap/>
            <w:hideMark/>
          </w:tcPr>
          <w:p w14:paraId="286EE16D" w14:textId="77777777" w:rsidR="00EC5F95" w:rsidRPr="001E258C"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1.21%</w:t>
            </w:r>
          </w:p>
        </w:tc>
      </w:tr>
      <w:tr w:rsidR="00EC5F95" w:rsidRPr="001E258C" w14:paraId="1DA0712C"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4675" w:type="dxa"/>
            <w:noWrap/>
            <w:hideMark/>
          </w:tcPr>
          <w:p w14:paraId="3EC45113" w14:textId="77777777" w:rsidR="00EC5F95" w:rsidRPr="0078544E" w:rsidRDefault="00EC5F95" w:rsidP="00BE32C9">
            <w:pPr>
              <w:pStyle w:val="TableParagraph"/>
              <w:rPr>
                <w:b w:val="0"/>
                <w:bCs w:val="0"/>
              </w:rPr>
            </w:pPr>
            <w:r w:rsidRPr="0078544E">
              <w:t>Baystate</w:t>
            </w:r>
          </w:p>
        </w:tc>
        <w:tc>
          <w:tcPr>
            <w:tcW w:w="1440" w:type="dxa"/>
            <w:noWrap/>
            <w:hideMark/>
          </w:tcPr>
          <w:p w14:paraId="0C671674"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2.38%</w:t>
            </w:r>
          </w:p>
        </w:tc>
        <w:tc>
          <w:tcPr>
            <w:tcW w:w="1170" w:type="dxa"/>
            <w:noWrap/>
          </w:tcPr>
          <w:p w14:paraId="69D51DBB"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2.36%</w:t>
            </w:r>
          </w:p>
        </w:tc>
        <w:tc>
          <w:tcPr>
            <w:tcW w:w="1170" w:type="dxa"/>
            <w:noWrap/>
            <w:hideMark/>
          </w:tcPr>
          <w:p w14:paraId="2FE2749D"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-0.02%</w:t>
            </w:r>
          </w:p>
        </w:tc>
      </w:tr>
      <w:tr w:rsidR="00EC5F95" w:rsidRPr="001E258C" w14:paraId="7BBCBBFB"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4675" w:type="dxa"/>
            <w:noWrap/>
            <w:hideMark/>
          </w:tcPr>
          <w:p w14:paraId="2F225910" w14:textId="77777777" w:rsidR="00EC5F95" w:rsidRPr="0078544E" w:rsidRDefault="00EC5F95" w:rsidP="00BE32C9">
            <w:pPr>
              <w:pStyle w:val="TableParagraph"/>
              <w:rPr>
                <w:b w:val="0"/>
                <w:bCs w:val="0"/>
              </w:rPr>
            </w:pPr>
            <w:r w:rsidRPr="0078544E">
              <w:t>Boston Medical</w:t>
            </w:r>
          </w:p>
        </w:tc>
        <w:tc>
          <w:tcPr>
            <w:tcW w:w="1440" w:type="dxa"/>
            <w:noWrap/>
            <w:hideMark/>
          </w:tcPr>
          <w:p w14:paraId="53BF7781"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1.00%</w:t>
            </w:r>
          </w:p>
        </w:tc>
        <w:tc>
          <w:tcPr>
            <w:tcW w:w="1170" w:type="dxa"/>
            <w:noWrap/>
          </w:tcPr>
          <w:p w14:paraId="73586EA5"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0.99%</w:t>
            </w:r>
          </w:p>
        </w:tc>
        <w:tc>
          <w:tcPr>
            <w:tcW w:w="1170" w:type="dxa"/>
            <w:noWrap/>
            <w:hideMark/>
          </w:tcPr>
          <w:p w14:paraId="2299A787"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-0.01%</w:t>
            </w:r>
          </w:p>
        </w:tc>
      </w:tr>
      <w:tr w:rsidR="00EC5F95" w:rsidRPr="001E258C" w14:paraId="27729A81"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4675" w:type="dxa"/>
            <w:noWrap/>
            <w:hideMark/>
          </w:tcPr>
          <w:p w14:paraId="12849980" w14:textId="77777777" w:rsidR="00EC5F95" w:rsidRPr="0078544E" w:rsidRDefault="00EC5F95" w:rsidP="00BE32C9">
            <w:pPr>
              <w:pStyle w:val="TableParagraph"/>
              <w:rPr>
                <w:b w:val="0"/>
                <w:bCs w:val="0"/>
              </w:rPr>
            </w:pPr>
            <w:r w:rsidRPr="0078544E">
              <w:t>Mass General</w:t>
            </w:r>
          </w:p>
        </w:tc>
        <w:tc>
          <w:tcPr>
            <w:tcW w:w="1440" w:type="dxa"/>
            <w:noWrap/>
            <w:hideMark/>
          </w:tcPr>
          <w:p w14:paraId="04018D29"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14.39%</w:t>
            </w:r>
          </w:p>
        </w:tc>
        <w:tc>
          <w:tcPr>
            <w:tcW w:w="1170" w:type="dxa"/>
            <w:noWrap/>
          </w:tcPr>
          <w:p w14:paraId="4A910036"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14.27%</w:t>
            </w:r>
          </w:p>
        </w:tc>
        <w:tc>
          <w:tcPr>
            <w:tcW w:w="1170" w:type="dxa"/>
            <w:noWrap/>
            <w:hideMark/>
          </w:tcPr>
          <w:p w14:paraId="37C1F8CD"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-0.12%</w:t>
            </w:r>
          </w:p>
        </w:tc>
      </w:tr>
      <w:tr w:rsidR="00EC5F95" w:rsidRPr="001E258C" w14:paraId="5A3A0F97"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4675" w:type="dxa"/>
            <w:noWrap/>
            <w:hideMark/>
          </w:tcPr>
          <w:p w14:paraId="729E0C05" w14:textId="77777777" w:rsidR="00EC5F95" w:rsidRPr="0078544E" w:rsidRDefault="00EC5F95" w:rsidP="00BE32C9">
            <w:pPr>
              <w:pStyle w:val="TableParagraph"/>
              <w:rPr>
                <w:b w:val="0"/>
                <w:bCs w:val="0"/>
              </w:rPr>
            </w:pPr>
            <w:r w:rsidRPr="0078544E">
              <w:t>Tufts</w:t>
            </w:r>
          </w:p>
        </w:tc>
        <w:tc>
          <w:tcPr>
            <w:tcW w:w="1440" w:type="dxa"/>
            <w:noWrap/>
            <w:hideMark/>
          </w:tcPr>
          <w:p w14:paraId="34400EC2"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2.65%</w:t>
            </w:r>
          </w:p>
        </w:tc>
        <w:tc>
          <w:tcPr>
            <w:tcW w:w="1170" w:type="dxa"/>
            <w:noWrap/>
          </w:tcPr>
          <w:p w14:paraId="1882F488"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2.63%</w:t>
            </w:r>
          </w:p>
        </w:tc>
        <w:tc>
          <w:tcPr>
            <w:tcW w:w="1170" w:type="dxa"/>
            <w:noWrap/>
            <w:hideMark/>
          </w:tcPr>
          <w:p w14:paraId="72EBC6E4"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-0.02%</w:t>
            </w:r>
          </w:p>
        </w:tc>
      </w:tr>
      <w:tr w:rsidR="00EC5F95" w:rsidRPr="001E258C" w14:paraId="00FC26AF"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4675" w:type="dxa"/>
            <w:noWrap/>
            <w:hideMark/>
          </w:tcPr>
          <w:p w14:paraId="0074E9F4" w14:textId="77777777" w:rsidR="00EC5F95" w:rsidRPr="0078544E" w:rsidRDefault="00EC5F95" w:rsidP="00BE32C9">
            <w:pPr>
              <w:pStyle w:val="TableParagraph"/>
              <w:rPr>
                <w:b w:val="0"/>
                <w:bCs w:val="0"/>
              </w:rPr>
            </w:pPr>
            <w:r w:rsidRPr="0078544E">
              <w:t>UMASS</w:t>
            </w:r>
          </w:p>
        </w:tc>
        <w:tc>
          <w:tcPr>
            <w:tcW w:w="1440" w:type="dxa"/>
            <w:noWrap/>
            <w:hideMark/>
          </w:tcPr>
          <w:p w14:paraId="203FDDCE"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5.20%</w:t>
            </w:r>
          </w:p>
        </w:tc>
        <w:tc>
          <w:tcPr>
            <w:tcW w:w="1170" w:type="dxa"/>
            <w:noWrap/>
          </w:tcPr>
          <w:p w14:paraId="4D2CE919"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5.16%</w:t>
            </w:r>
          </w:p>
        </w:tc>
        <w:tc>
          <w:tcPr>
            <w:tcW w:w="1170" w:type="dxa"/>
            <w:noWrap/>
            <w:hideMark/>
          </w:tcPr>
          <w:p w14:paraId="4EF75170"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-0.04%</w:t>
            </w:r>
          </w:p>
        </w:tc>
      </w:tr>
      <w:tr w:rsidR="00EC5F95" w:rsidRPr="001E258C" w14:paraId="0263845A"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4675" w:type="dxa"/>
            <w:noWrap/>
            <w:hideMark/>
          </w:tcPr>
          <w:p w14:paraId="6464B7C0" w14:textId="77777777" w:rsidR="00EC5F95" w:rsidRPr="0078544E" w:rsidRDefault="00EC5F95" w:rsidP="00BE32C9">
            <w:pPr>
              <w:pStyle w:val="TableParagraph"/>
              <w:rPr>
                <w:b w:val="0"/>
                <w:bCs w:val="0"/>
              </w:rPr>
            </w:pPr>
            <w:r w:rsidRPr="0078544E">
              <w:t>Outside Option</w:t>
            </w:r>
          </w:p>
        </w:tc>
        <w:tc>
          <w:tcPr>
            <w:tcW w:w="1440" w:type="dxa"/>
            <w:noWrap/>
            <w:hideMark/>
          </w:tcPr>
          <w:p w14:paraId="06EA3917"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61.19%</w:t>
            </w:r>
          </w:p>
        </w:tc>
        <w:tc>
          <w:tcPr>
            <w:tcW w:w="1170" w:type="dxa"/>
            <w:noWrap/>
          </w:tcPr>
          <w:p w14:paraId="629CDB5B"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60.76%</w:t>
            </w:r>
          </w:p>
        </w:tc>
        <w:tc>
          <w:tcPr>
            <w:tcW w:w="1170" w:type="dxa"/>
            <w:noWrap/>
            <w:hideMark/>
          </w:tcPr>
          <w:p w14:paraId="36980E25"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EE546B">
              <w:t>-0.43%</w:t>
            </w:r>
          </w:p>
        </w:tc>
      </w:tr>
    </w:tbl>
    <w:p w14:paraId="29F48D2E" w14:textId="285B6C5A" w:rsidR="00EC5F95" w:rsidRDefault="00EC5F95" w:rsidP="007813FB">
      <w:pPr>
        <w:pStyle w:val="TableNotes"/>
      </w:pPr>
      <w:r>
        <w:t>Source: Massachusetts All-Payer Claims Database. Combined service area claims, commercial, 2019.</w:t>
      </w:r>
    </w:p>
    <w:p w14:paraId="25D8E38C" w14:textId="3BDDC9D0" w:rsidR="00EC5F95" w:rsidRDefault="00EC5F95" w:rsidP="007813FB">
      <w:pPr>
        <w:pStyle w:val="Caption"/>
      </w:pPr>
      <w:bookmarkStart w:id="317" w:name="_Ref106622622"/>
      <w:bookmarkStart w:id="318" w:name="_Toc106641209"/>
      <w:bookmarkStart w:id="319" w:name="_Toc106648913"/>
      <w:bookmarkStart w:id="320" w:name="_Toc109895462"/>
      <w:r>
        <w:t xml:space="preserve">Table </w:t>
      </w:r>
      <w:fldSimple w:instr=" SEQ Table \* ARABIC ">
        <w:r w:rsidR="00CE7C62">
          <w:rPr>
            <w:noProof/>
          </w:rPr>
          <w:t>31</w:t>
        </w:r>
      </w:fldSimple>
      <w:r>
        <w:t>: Change in Shares, MRI, Commercial</w:t>
      </w:r>
      <w:bookmarkEnd w:id="317"/>
      <w:bookmarkEnd w:id="318"/>
      <w:bookmarkEnd w:id="319"/>
      <w:r>
        <w:t xml:space="preserve"> </w:t>
      </w:r>
      <w:r w:rsidRPr="00146650">
        <w:t>(Combined Service Area, Patient</w:t>
      </w:r>
      <w:r>
        <w:t>s</w:t>
      </w:r>
      <w:r w:rsidRPr="00146650">
        <w:t xml:space="preserve"> </w:t>
      </w:r>
      <w:r>
        <w:t xml:space="preserve">Aged </w:t>
      </w:r>
      <w:r w:rsidRPr="00146650">
        <w:t>0 – 18)</w:t>
      </w:r>
      <w:bookmarkEnd w:id="320"/>
    </w:p>
    <w:tbl>
      <w:tblPr>
        <w:tblStyle w:val="GridTable4-Accent11"/>
        <w:tblW w:w="8365" w:type="dxa"/>
        <w:tblLook w:val="04A0" w:firstRow="1" w:lastRow="0" w:firstColumn="1" w:lastColumn="0" w:noHBand="0" w:noVBand="1"/>
      </w:tblPr>
      <w:tblGrid>
        <w:gridCol w:w="5040"/>
        <w:gridCol w:w="1255"/>
        <w:gridCol w:w="1080"/>
        <w:gridCol w:w="990"/>
      </w:tblGrid>
      <w:tr w:rsidR="00EC5F95" w:rsidRPr="005E11C8" w14:paraId="4932E685" w14:textId="77777777" w:rsidTr="001530BC">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5040" w:type="dxa"/>
            <w:noWrap/>
            <w:hideMark/>
          </w:tcPr>
          <w:p w14:paraId="0C9E306E" w14:textId="77777777" w:rsidR="00EC5F95" w:rsidRPr="005E11C8" w:rsidRDefault="00EC5F95" w:rsidP="00BE32C9">
            <w:pPr>
              <w:pStyle w:val="TableParagraph"/>
            </w:pPr>
            <w:r w:rsidRPr="005E11C8">
              <w:t>System</w:t>
            </w:r>
          </w:p>
        </w:tc>
        <w:tc>
          <w:tcPr>
            <w:tcW w:w="1255" w:type="dxa"/>
            <w:noWrap/>
            <w:hideMark/>
          </w:tcPr>
          <w:p w14:paraId="2BB492C6" w14:textId="77777777" w:rsidR="00EC5F95" w:rsidRPr="005E11C8"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5E11C8">
              <w:t>Original 2019 Visits Share</w:t>
            </w:r>
          </w:p>
        </w:tc>
        <w:tc>
          <w:tcPr>
            <w:tcW w:w="1080" w:type="dxa"/>
            <w:noWrap/>
            <w:hideMark/>
          </w:tcPr>
          <w:p w14:paraId="496F9337" w14:textId="77777777" w:rsidR="00EC5F95" w:rsidRPr="005E11C8"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5E11C8">
              <w:t>New 2019 Visits Share</w:t>
            </w:r>
          </w:p>
        </w:tc>
        <w:tc>
          <w:tcPr>
            <w:tcW w:w="990" w:type="dxa"/>
            <w:noWrap/>
            <w:hideMark/>
          </w:tcPr>
          <w:p w14:paraId="586F844A" w14:textId="77777777" w:rsidR="00EC5F95" w:rsidRPr="005E11C8"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5E11C8">
              <w:t>Change in Share</w:t>
            </w:r>
          </w:p>
        </w:tc>
      </w:tr>
      <w:tr w:rsidR="00EC5F95" w:rsidRPr="005E11C8" w14:paraId="39C5D608"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040" w:type="dxa"/>
            <w:noWrap/>
            <w:hideMark/>
          </w:tcPr>
          <w:p w14:paraId="40C25BC6" w14:textId="77777777" w:rsidR="00EC5F95" w:rsidRPr="0078544E" w:rsidRDefault="00EC5F95" w:rsidP="00BE32C9">
            <w:pPr>
              <w:pStyle w:val="TableParagraph"/>
              <w:rPr>
                <w:b w:val="0"/>
                <w:bCs w:val="0"/>
              </w:rPr>
            </w:pPr>
            <w:r w:rsidRPr="0078544E">
              <w:t>BCH</w:t>
            </w:r>
          </w:p>
        </w:tc>
        <w:tc>
          <w:tcPr>
            <w:tcW w:w="1255" w:type="dxa"/>
            <w:noWrap/>
            <w:hideMark/>
          </w:tcPr>
          <w:p w14:paraId="7B47A480"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29.9%</w:t>
            </w:r>
          </w:p>
        </w:tc>
        <w:tc>
          <w:tcPr>
            <w:tcW w:w="1080" w:type="dxa"/>
            <w:noWrap/>
            <w:hideMark/>
          </w:tcPr>
          <w:p w14:paraId="067EC015"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33.6%</w:t>
            </w:r>
          </w:p>
        </w:tc>
        <w:tc>
          <w:tcPr>
            <w:tcW w:w="990" w:type="dxa"/>
            <w:noWrap/>
            <w:hideMark/>
          </w:tcPr>
          <w:p w14:paraId="479BA997"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3.66%</w:t>
            </w:r>
          </w:p>
        </w:tc>
      </w:tr>
      <w:tr w:rsidR="00EC5F95" w:rsidRPr="005E11C8" w14:paraId="6B470DDC"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040" w:type="dxa"/>
            <w:noWrap/>
            <w:hideMark/>
          </w:tcPr>
          <w:p w14:paraId="75B0B204" w14:textId="77777777" w:rsidR="00EC5F95" w:rsidRPr="005E11C8" w:rsidRDefault="00EC5F95" w:rsidP="00BE32C9">
            <w:pPr>
              <w:pStyle w:val="TableParagraph"/>
            </w:pPr>
            <w:r>
              <w:t xml:space="preserve">     </w:t>
            </w:r>
            <w:r w:rsidRPr="005E11C8">
              <w:t>BOSTON CHILDREN'S HOSPITAL</w:t>
            </w:r>
          </w:p>
        </w:tc>
        <w:tc>
          <w:tcPr>
            <w:tcW w:w="1255" w:type="dxa"/>
            <w:noWrap/>
            <w:hideMark/>
          </w:tcPr>
          <w:p w14:paraId="16AA3DBD"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24.6%</w:t>
            </w:r>
          </w:p>
        </w:tc>
        <w:tc>
          <w:tcPr>
            <w:tcW w:w="1080" w:type="dxa"/>
            <w:noWrap/>
            <w:hideMark/>
          </w:tcPr>
          <w:p w14:paraId="1C0F3FEC"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23.3%</w:t>
            </w:r>
          </w:p>
        </w:tc>
        <w:tc>
          <w:tcPr>
            <w:tcW w:w="990" w:type="dxa"/>
            <w:noWrap/>
            <w:hideMark/>
          </w:tcPr>
          <w:p w14:paraId="1014066C"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-1.38%</w:t>
            </w:r>
          </w:p>
        </w:tc>
      </w:tr>
      <w:tr w:rsidR="00EC5F95" w:rsidRPr="005E11C8" w14:paraId="30F2270E"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040" w:type="dxa"/>
            <w:noWrap/>
            <w:hideMark/>
          </w:tcPr>
          <w:p w14:paraId="1FEBACB5" w14:textId="77777777" w:rsidR="00EC5F95" w:rsidRPr="005E11C8" w:rsidRDefault="00EC5F95" w:rsidP="00BE32C9">
            <w:pPr>
              <w:pStyle w:val="TableParagraph"/>
            </w:pPr>
            <w:r>
              <w:t xml:space="preserve">     </w:t>
            </w:r>
            <w:r w:rsidRPr="005E11C8">
              <w:t>BOSTON CHILDREN'S AT WALTHAM</w:t>
            </w:r>
          </w:p>
        </w:tc>
        <w:tc>
          <w:tcPr>
            <w:tcW w:w="1255" w:type="dxa"/>
            <w:noWrap/>
            <w:hideMark/>
          </w:tcPr>
          <w:p w14:paraId="2F4D51EE"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3.1%</w:t>
            </w:r>
          </w:p>
        </w:tc>
        <w:tc>
          <w:tcPr>
            <w:tcW w:w="1080" w:type="dxa"/>
            <w:noWrap/>
            <w:hideMark/>
          </w:tcPr>
          <w:p w14:paraId="444CD773"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3.0%</w:t>
            </w:r>
          </w:p>
        </w:tc>
        <w:tc>
          <w:tcPr>
            <w:tcW w:w="990" w:type="dxa"/>
            <w:noWrap/>
            <w:hideMark/>
          </w:tcPr>
          <w:p w14:paraId="52F23543"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-0.17%</w:t>
            </w:r>
          </w:p>
        </w:tc>
      </w:tr>
      <w:tr w:rsidR="00EC5F95" w:rsidRPr="005E11C8" w14:paraId="06199120"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040" w:type="dxa"/>
            <w:noWrap/>
            <w:hideMark/>
          </w:tcPr>
          <w:p w14:paraId="54D10426" w14:textId="01D3CA2C" w:rsidR="00EC5F95" w:rsidRPr="005E11C8" w:rsidRDefault="00EC5F95" w:rsidP="00BE32C9">
            <w:pPr>
              <w:pStyle w:val="TableParagraph"/>
            </w:pPr>
            <w:r>
              <w:t xml:space="preserve">     </w:t>
            </w:r>
            <w:r w:rsidRPr="005E11C8">
              <w:t xml:space="preserve">BCH </w:t>
            </w:r>
            <w:r w:rsidR="00B95A2E">
              <w:t>–</w:t>
            </w:r>
            <w:r w:rsidRPr="005E11C8">
              <w:t xml:space="preserve"> Other</w:t>
            </w:r>
          </w:p>
        </w:tc>
        <w:tc>
          <w:tcPr>
            <w:tcW w:w="1255" w:type="dxa"/>
            <w:noWrap/>
            <w:hideMark/>
          </w:tcPr>
          <w:p w14:paraId="71990B41"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1.3%</w:t>
            </w:r>
          </w:p>
        </w:tc>
        <w:tc>
          <w:tcPr>
            <w:tcW w:w="1080" w:type="dxa"/>
            <w:noWrap/>
            <w:hideMark/>
          </w:tcPr>
          <w:p w14:paraId="1751BA92"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1.2%</w:t>
            </w:r>
          </w:p>
        </w:tc>
        <w:tc>
          <w:tcPr>
            <w:tcW w:w="990" w:type="dxa"/>
            <w:noWrap/>
            <w:hideMark/>
          </w:tcPr>
          <w:p w14:paraId="356F338E"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-0.09%</w:t>
            </w:r>
          </w:p>
        </w:tc>
      </w:tr>
      <w:tr w:rsidR="00EC5F95" w:rsidRPr="005E11C8" w14:paraId="0DA7A604"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040" w:type="dxa"/>
            <w:noWrap/>
            <w:hideMark/>
          </w:tcPr>
          <w:p w14:paraId="1DE1377E" w14:textId="77777777" w:rsidR="00EC5F95" w:rsidRPr="005E11C8" w:rsidRDefault="00EC5F95" w:rsidP="00BE32C9">
            <w:pPr>
              <w:pStyle w:val="TableParagraph"/>
            </w:pPr>
            <w:r>
              <w:t xml:space="preserve">     </w:t>
            </w:r>
            <w:r w:rsidRPr="005E11C8">
              <w:t>BOSTON CHILDREN'S AT PEABODY</w:t>
            </w:r>
          </w:p>
        </w:tc>
        <w:tc>
          <w:tcPr>
            <w:tcW w:w="1255" w:type="dxa"/>
            <w:noWrap/>
            <w:hideMark/>
          </w:tcPr>
          <w:p w14:paraId="641A9F75"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0.8%</w:t>
            </w:r>
          </w:p>
        </w:tc>
        <w:tc>
          <w:tcPr>
            <w:tcW w:w="1080" w:type="dxa"/>
            <w:noWrap/>
            <w:hideMark/>
          </w:tcPr>
          <w:p w14:paraId="6C643EAB"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0.7%</w:t>
            </w:r>
          </w:p>
        </w:tc>
        <w:tc>
          <w:tcPr>
            <w:tcW w:w="990" w:type="dxa"/>
            <w:noWrap/>
            <w:hideMark/>
          </w:tcPr>
          <w:p w14:paraId="5CC506ED"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-0.03%</w:t>
            </w:r>
          </w:p>
        </w:tc>
      </w:tr>
      <w:tr w:rsidR="00EC5F95" w:rsidRPr="005E11C8" w14:paraId="72A61F85"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040" w:type="dxa"/>
            <w:noWrap/>
            <w:hideMark/>
          </w:tcPr>
          <w:p w14:paraId="73989ADA" w14:textId="77777777" w:rsidR="00EC5F95" w:rsidRPr="005E11C8" w:rsidRDefault="00EC5F95" w:rsidP="00BE32C9">
            <w:pPr>
              <w:pStyle w:val="TableParagraph"/>
            </w:pPr>
            <w:r>
              <w:t xml:space="preserve">     </w:t>
            </w:r>
            <w:r w:rsidRPr="005E11C8">
              <w:t>BOSTON CHILDREN'S AT LEXINGTON</w:t>
            </w:r>
          </w:p>
        </w:tc>
        <w:tc>
          <w:tcPr>
            <w:tcW w:w="1255" w:type="dxa"/>
            <w:noWrap/>
            <w:hideMark/>
          </w:tcPr>
          <w:p w14:paraId="40798E43"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0.1%</w:t>
            </w:r>
          </w:p>
        </w:tc>
        <w:tc>
          <w:tcPr>
            <w:tcW w:w="1080" w:type="dxa"/>
            <w:noWrap/>
            <w:hideMark/>
          </w:tcPr>
          <w:p w14:paraId="12537DEE"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0.1%</w:t>
            </w:r>
          </w:p>
        </w:tc>
        <w:tc>
          <w:tcPr>
            <w:tcW w:w="990" w:type="dxa"/>
            <w:noWrap/>
            <w:hideMark/>
          </w:tcPr>
          <w:p w14:paraId="2812C1EB"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-0.01%</w:t>
            </w:r>
          </w:p>
        </w:tc>
      </w:tr>
      <w:tr w:rsidR="00EC5F95" w:rsidRPr="005E11C8" w14:paraId="4225CBD1"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040" w:type="dxa"/>
            <w:noWrap/>
            <w:hideMark/>
          </w:tcPr>
          <w:p w14:paraId="6A1438A2" w14:textId="7A00DB42" w:rsidR="00EC5F95" w:rsidRPr="005E11C8" w:rsidRDefault="002D17B0" w:rsidP="002D17B0">
            <w:pPr>
              <w:pStyle w:val="TableParagraph"/>
            </w:pPr>
            <w:r>
              <w:t xml:space="preserve">     </w:t>
            </w:r>
            <w:r w:rsidR="00EC5F95" w:rsidRPr="005E11C8">
              <w:t>BOSTON CHILDREN'S at NORTH DARTMOUTH</w:t>
            </w:r>
          </w:p>
        </w:tc>
        <w:tc>
          <w:tcPr>
            <w:tcW w:w="1255" w:type="dxa"/>
            <w:noWrap/>
            <w:hideMark/>
          </w:tcPr>
          <w:p w14:paraId="24CDA0DB"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0.05%</w:t>
            </w:r>
          </w:p>
        </w:tc>
        <w:tc>
          <w:tcPr>
            <w:tcW w:w="1080" w:type="dxa"/>
            <w:noWrap/>
            <w:hideMark/>
          </w:tcPr>
          <w:p w14:paraId="7FA0AAA7"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0.04%</w:t>
            </w:r>
          </w:p>
        </w:tc>
        <w:tc>
          <w:tcPr>
            <w:tcW w:w="990" w:type="dxa"/>
            <w:noWrap/>
            <w:hideMark/>
          </w:tcPr>
          <w:p w14:paraId="51BFB23E"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0.00%</w:t>
            </w:r>
          </w:p>
        </w:tc>
      </w:tr>
      <w:tr w:rsidR="00EC5F95" w:rsidRPr="005E11C8" w14:paraId="20896A49"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040" w:type="dxa"/>
            <w:noWrap/>
            <w:hideMark/>
          </w:tcPr>
          <w:p w14:paraId="3F08DBDB" w14:textId="77777777" w:rsidR="00EC5F95" w:rsidRPr="005E11C8" w:rsidRDefault="00EC5F95" w:rsidP="00BE32C9">
            <w:pPr>
              <w:pStyle w:val="TableParagraph"/>
            </w:pPr>
            <w:r>
              <w:t xml:space="preserve">     </w:t>
            </w:r>
            <w:r w:rsidRPr="005E11C8">
              <w:t>BCH Needham</w:t>
            </w:r>
          </w:p>
        </w:tc>
        <w:tc>
          <w:tcPr>
            <w:tcW w:w="1255" w:type="dxa"/>
            <w:noWrap/>
            <w:hideMark/>
          </w:tcPr>
          <w:p w14:paraId="51E72C9C"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0.0%</w:t>
            </w:r>
          </w:p>
        </w:tc>
        <w:tc>
          <w:tcPr>
            <w:tcW w:w="1080" w:type="dxa"/>
            <w:noWrap/>
            <w:hideMark/>
          </w:tcPr>
          <w:p w14:paraId="2CA74486"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2.9%</w:t>
            </w:r>
          </w:p>
        </w:tc>
        <w:tc>
          <w:tcPr>
            <w:tcW w:w="990" w:type="dxa"/>
            <w:noWrap/>
            <w:hideMark/>
          </w:tcPr>
          <w:p w14:paraId="27FC9914"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2.91%</w:t>
            </w:r>
          </w:p>
        </w:tc>
      </w:tr>
      <w:tr w:rsidR="00EC5F95" w:rsidRPr="005E11C8" w14:paraId="2E6D63C6"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040" w:type="dxa"/>
            <w:noWrap/>
            <w:hideMark/>
          </w:tcPr>
          <w:p w14:paraId="52BF3A13" w14:textId="77777777" w:rsidR="00EC5F95" w:rsidRPr="005E11C8" w:rsidRDefault="00EC5F95" w:rsidP="00BE32C9">
            <w:pPr>
              <w:pStyle w:val="TableParagraph"/>
            </w:pPr>
            <w:r>
              <w:t xml:space="preserve">     </w:t>
            </w:r>
            <w:r w:rsidRPr="005E11C8">
              <w:t>BCH Weymouth</w:t>
            </w:r>
          </w:p>
        </w:tc>
        <w:tc>
          <w:tcPr>
            <w:tcW w:w="1255" w:type="dxa"/>
            <w:noWrap/>
            <w:hideMark/>
          </w:tcPr>
          <w:p w14:paraId="0D23D6A7"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0.0%</w:t>
            </w:r>
          </w:p>
        </w:tc>
        <w:tc>
          <w:tcPr>
            <w:tcW w:w="1080" w:type="dxa"/>
            <w:noWrap/>
            <w:hideMark/>
          </w:tcPr>
          <w:p w14:paraId="32EE7FCA"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2.4%</w:t>
            </w:r>
          </w:p>
        </w:tc>
        <w:tc>
          <w:tcPr>
            <w:tcW w:w="990" w:type="dxa"/>
            <w:noWrap/>
            <w:hideMark/>
          </w:tcPr>
          <w:p w14:paraId="02A927ED" w14:textId="77777777" w:rsidR="00EC5F95" w:rsidRPr="005E11C8"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5E11C8">
              <w:t>2.42%</w:t>
            </w:r>
          </w:p>
        </w:tc>
      </w:tr>
      <w:tr w:rsidR="00EC5F95" w:rsidRPr="005E11C8" w14:paraId="7AD687D8"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040" w:type="dxa"/>
            <w:noWrap/>
            <w:hideMark/>
          </w:tcPr>
          <w:p w14:paraId="35997102" w14:textId="77777777" w:rsidR="00EC5F95" w:rsidRPr="0078544E" w:rsidRDefault="00EC5F95" w:rsidP="00BE32C9">
            <w:pPr>
              <w:pStyle w:val="TableParagraph"/>
              <w:rPr>
                <w:b w:val="0"/>
                <w:bCs w:val="0"/>
              </w:rPr>
            </w:pPr>
            <w:r w:rsidRPr="0078544E">
              <w:t>Baystate</w:t>
            </w:r>
          </w:p>
        </w:tc>
        <w:tc>
          <w:tcPr>
            <w:tcW w:w="1255" w:type="dxa"/>
            <w:noWrap/>
            <w:hideMark/>
          </w:tcPr>
          <w:p w14:paraId="5A912E8B"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0.9%</w:t>
            </w:r>
          </w:p>
        </w:tc>
        <w:tc>
          <w:tcPr>
            <w:tcW w:w="1080" w:type="dxa"/>
            <w:noWrap/>
            <w:hideMark/>
          </w:tcPr>
          <w:p w14:paraId="0EB37C04"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0.9%</w:t>
            </w:r>
          </w:p>
        </w:tc>
        <w:tc>
          <w:tcPr>
            <w:tcW w:w="990" w:type="dxa"/>
            <w:noWrap/>
            <w:hideMark/>
          </w:tcPr>
          <w:p w14:paraId="16A9600D"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-0.05%</w:t>
            </w:r>
          </w:p>
        </w:tc>
      </w:tr>
      <w:tr w:rsidR="00EC5F95" w:rsidRPr="005E11C8" w14:paraId="02F7662A"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040" w:type="dxa"/>
            <w:noWrap/>
            <w:hideMark/>
          </w:tcPr>
          <w:p w14:paraId="1326615B" w14:textId="77777777" w:rsidR="00EC5F95" w:rsidRPr="0078544E" w:rsidRDefault="00EC5F95" w:rsidP="00BE32C9">
            <w:pPr>
              <w:pStyle w:val="TableParagraph"/>
              <w:rPr>
                <w:b w:val="0"/>
                <w:bCs w:val="0"/>
              </w:rPr>
            </w:pPr>
            <w:r w:rsidRPr="0078544E">
              <w:t>Boston Medical</w:t>
            </w:r>
          </w:p>
        </w:tc>
        <w:tc>
          <w:tcPr>
            <w:tcW w:w="1255" w:type="dxa"/>
            <w:noWrap/>
            <w:hideMark/>
          </w:tcPr>
          <w:p w14:paraId="4271AB83"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1.8%</w:t>
            </w:r>
          </w:p>
        </w:tc>
        <w:tc>
          <w:tcPr>
            <w:tcW w:w="1080" w:type="dxa"/>
            <w:noWrap/>
            <w:hideMark/>
          </w:tcPr>
          <w:p w14:paraId="1DCD970F"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1.7%</w:t>
            </w:r>
          </w:p>
        </w:tc>
        <w:tc>
          <w:tcPr>
            <w:tcW w:w="990" w:type="dxa"/>
            <w:noWrap/>
            <w:hideMark/>
          </w:tcPr>
          <w:p w14:paraId="7328E573"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-0.10%</w:t>
            </w:r>
          </w:p>
        </w:tc>
      </w:tr>
      <w:tr w:rsidR="00EC5F95" w:rsidRPr="005E11C8" w14:paraId="20256153"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040" w:type="dxa"/>
            <w:noWrap/>
            <w:hideMark/>
          </w:tcPr>
          <w:p w14:paraId="6817169F" w14:textId="77777777" w:rsidR="00EC5F95" w:rsidRPr="0078544E" w:rsidRDefault="00EC5F95" w:rsidP="00BE32C9">
            <w:pPr>
              <w:pStyle w:val="TableParagraph"/>
              <w:rPr>
                <w:b w:val="0"/>
                <w:bCs w:val="0"/>
              </w:rPr>
            </w:pPr>
            <w:r w:rsidRPr="0078544E">
              <w:t>Mass General</w:t>
            </w:r>
          </w:p>
        </w:tc>
        <w:tc>
          <w:tcPr>
            <w:tcW w:w="1255" w:type="dxa"/>
            <w:noWrap/>
            <w:hideMark/>
          </w:tcPr>
          <w:p w14:paraId="58CBC8E6"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9.7%</w:t>
            </w:r>
          </w:p>
        </w:tc>
        <w:tc>
          <w:tcPr>
            <w:tcW w:w="1080" w:type="dxa"/>
            <w:noWrap/>
            <w:hideMark/>
          </w:tcPr>
          <w:p w14:paraId="1CE7090E"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9.2%</w:t>
            </w:r>
          </w:p>
        </w:tc>
        <w:tc>
          <w:tcPr>
            <w:tcW w:w="990" w:type="dxa"/>
            <w:noWrap/>
            <w:hideMark/>
          </w:tcPr>
          <w:p w14:paraId="66532E55"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-0.50%</w:t>
            </w:r>
          </w:p>
        </w:tc>
      </w:tr>
      <w:tr w:rsidR="00EC5F95" w:rsidRPr="005E11C8" w14:paraId="2724FA9F"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040" w:type="dxa"/>
            <w:noWrap/>
            <w:hideMark/>
          </w:tcPr>
          <w:p w14:paraId="55137CF3" w14:textId="77777777" w:rsidR="00EC5F95" w:rsidRPr="0078544E" w:rsidRDefault="00EC5F95" w:rsidP="00BE32C9">
            <w:pPr>
              <w:pStyle w:val="TableParagraph"/>
              <w:rPr>
                <w:b w:val="0"/>
                <w:bCs w:val="0"/>
              </w:rPr>
            </w:pPr>
            <w:r w:rsidRPr="0078544E">
              <w:t>Tufts</w:t>
            </w:r>
          </w:p>
        </w:tc>
        <w:tc>
          <w:tcPr>
            <w:tcW w:w="1255" w:type="dxa"/>
            <w:noWrap/>
            <w:hideMark/>
          </w:tcPr>
          <w:p w14:paraId="67AD6146"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2.3%</w:t>
            </w:r>
          </w:p>
        </w:tc>
        <w:tc>
          <w:tcPr>
            <w:tcW w:w="1080" w:type="dxa"/>
            <w:noWrap/>
            <w:hideMark/>
          </w:tcPr>
          <w:p w14:paraId="0179A2F5"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2.2%</w:t>
            </w:r>
          </w:p>
        </w:tc>
        <w:tc>
          <w:tcPr>
            <w:tcW w:w="990" w:type="dxa"/>
            <w:noWrap/>
            <w:hideMark/>
          </w:tcPr>
          <w:p w14:paraId="326D5364"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-0.12%</w:t>
            </w:r>
          </w:p>
        </w:tc>
      </w:tr>
      <w:tr w:rsidR="00EC5F95" w:rsidRPr="005E11C8" w14:paraId="55BF5F14"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040" w:type="dxa"/>
            <w:noWrap/>
            <w:hideMark/>
          </w:tcPr>
          <w:p w14:paraId="50AF7C31" w14:textId="77777777" w:rsidR="00EC5F95" w:rsidRPr="0078544E" w:rsidRDefault="00EC5F95" w:rsidP="00BE32C9">
            <w:pPr>
              <w:pStyle w:val="TableParagraph"/>
              <w:rPr>
                <w:b w:val="0"/>
                <w:bCs w:val="0"/>
              </w:rPr>
            </w:pPr>
            <w:r w:rsidRPr="0078544E">
              <w:t>UMASS</w:t>
            </w:r>
          </w:p>
        </w:tc>
        <w:tc>
          <w:tcPr>
            <w:tcW w:w="1255" w:type="dxa"/>
            <w:noWrap/>
            <w:hideMark/>
          </w:tcPr>
          <w:p w14:paraId="773C3E80"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4.3%</w:t>
            </w:r>
          </w:p>
        </w:tc>
        <w:tc>
          <w:tcPr>
            <w:tcW w:w="1080" w:type="dxa"/>
            <w:noWrap/>
            <w:hideMark/>
          </w:tcPr>
          <w:p w14:paraId="5D369CCC"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4.1%</w:t>
            </w:r>
          </w:p>
        </w:tc>
        <w:tc>
          <w:tcPr>
            <w:tcW w:w="990" w:type="dxa"/>
            <w:noWrap/>
            <w:hideMark/>
          </w:tcPr>
          <w:p w14:paraId="132A3852"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-0.20%</w:t>
            </w:r>
          </w:p>
        </w:tc>
      </w:tr>
      <w:tr w:rsidR="00EC5F95" w:rsidRPr="005E11C8" w14:paraId="06A811B5" w14:textId="77777777" w:rsidTr="001530BC">
        <w:trPr>
          <w:cantSplit/>
          <w:trHeight w:val="144"/>
        </w:trPr>
        <w:tc>
          <w:tcPr>
            <w:cnfStyle w:val="001000000000" w:firstRow="0" w:lastRow="0" w:firstColumn="1" w:lastColumn="0" w:oddVBand="0" w:evenVBand="0" w:oddHBand="0" w:evenHBand="0" w:firstRowFirstColumn="0" w:firstRowLastColumn="0" w:lastRowFirstColumn="0" w:lastRowLastColumn="0"/>
            <w:tcW w:w="5040" w:type="dxa"/>
            <w:noWrap/>
            <w:hideMark/>
          </w:tcPr>
          <w:p w14:paraId="29AF726F" w14:textId="77777777" w:rsidR="00EC5F95" w:rsidRPr="0078544E" w:rsidRDefault="00EC5F95" w:rsidP="00BE32C9">
            <w:pPr>
              <w:pStyle w:val="TableParagraph"/>
              <w:rPr>
                <w:b w:val="0"/>
                <w:bCs w:val="0"/>
              </w:rPr>
            </w:pPr>
            <w:r w:rsidRPr="0078544E">
              <w:t>Outside Option</w:t>
            </w:r>
          </w:p>
        </w:tc>
        <w:tc>
          <w:tcPr>
            <w:tcW w:w="1255" w:type="dxa"/>
            <w:noWrap/>
            <w:hideMark/>
          </w:tcPr>
          <w:p w14:paraId="4AC5E2F1"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51.0%</w:t>
            </w:r>
          </w:p>
        </w:tc>
        <w:tc>
          <w:tcPr>
            <w:tcW w:w="1080" w:type="dxa"/>
            <w:noWrap/>
            <w:hideMark/>
          </w:tcPr>
          <w:p w14:paraId="24A0107E"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48.3%</w:t>
            </w:r>
          </w:p>
        </w:tc>
        <w:tc>
          <w:tcPr>
            <w:tcW w:w="990" w:type="dxa"/>
            <w:noWrap/>
            <w:hideMark/>
          </w:tcPr>
          <w:p w14:paraId="2BA57C8E" w14:textId="77777777" w:rsidR="00EC5F95" w:rsidRPr="0078544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78544E">
              <w:t>-2.70%</w:t>
            </w:r>
          </w:p>
        </w:tc>
      </w:tr>
    </w:tbl>
    <w:p w14:paraId="78BBF01E" w14:textId="77777777" w:rsidR="00EC5F95" w:rsidRDefault="00EC5F95" w:rsidP="007813FB">
      <w:pPr>
        <w:pStyle w:val="TableNotes"/>
      </w:pPr>
      <w:r>
        <w:t>Source: Massachusetts All-Payer Claims Database. Combined service area claims, commercial, 2019.</w:t>
      </w:r>
    </w:p>
    <w:p w14:paraId="5CF7A4E9" w14:textId="34F2D241" w:rsidR="00EC5F95" w:rsidRDefault="00EC5F95" w:rsidP="007813FB">
      <w:pPr>
        <w:pStyle w:val="Caption"/>
      </w:pPr>
      <w:bookmarkStart w:id="321" w:name="_Ref105995633"/>
      <w:bookmarkStart w:id="322" w:name="_Ref106622632"/>
      <w:bookmarkStart w:id="323" w:name="_Toc106641210"/>
      <w:bookmarkStart w:id="324" w:name="_Toc106648914"/>
      <w:bookmarkStart w:id="325" w:name="_Toc109895463"/>
      <w:r>
        <w:lastRenderedPageBreak/>
        <w:t xml:space="preserve">Table </w:t>
      </w:r>
      <w:fldSimple w:instr=" SEQ Table \* ARABIC ">
        <w:r w:rsidR="00CE7C62">
          <w:rPr>
            <w:noProof/>
          </w:rPr>
          <w:t>32</w:t>
        </w:r>
      </w:fldSimple>
      <w:bookmarkEnd w:id="321"/>
      <w:r>
        <w:t>: Change in Shares, IMG, Commercial</w:t>
      </w:r>
      <w:bookmarkEnd w:id="322"/>
      <w:bookmarkEnd w:id="323"/>
      <w:bookmarkEnd w:id="324"/>
      <w:r>
        <w:t xml:space="preserve"> </w:t>
      </w:r>
      <w:r w:rsidRPr="00146650">
        <w:t>(Combined Service Area, Patient</w:t>
      </w:r>
      <w:r>
        <w:t>s</w:t>
      </w:r>
      <w:r w:rsidRPr="00146650">
        <w:t xml:space="preserve"> </w:t>
      </w:r>
      <w:r>
        <w:t xml:space="preserve">Aged </w:t>
      </w:r>
      <w:r w:rsidRPr="00146650">
        <w:t>0 – 18)</w:t>
      </w:r>
      <w:bookmarkEnd w:id="325"/>
    </w:p>
    <w:tbl>
      <w:tblPr>
        <w:tblStyle w:val="GridTable4-Accent11"/>
        <w:tblW w:w="8280" w:type="dxa"/>
        <w:tblLook w:val="04A0" w:firstRow="1" w:lastRow="0" w:firstColumn="1" w:lastColumn="0" w:noHBand="0" w:noVBand="1"/>
      </w:tblPr>
      <w:tblGrid>
        <w:gridCol w:w="4950"/>
        <w:gridCol w:w="1170"/>
        <w:gridCol w:w="1080"/>
        <w:gridCol w:w="1080"/>
      </w:tblGrid>
      <w:tr w:rsidR="00EC5F95" w:rsidRPr="005E11C8" w14:paraId="0139742C" w14:textId="77777777" w:rsidTr="001530B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950" w:type="dxa"/>
            <w:noWrap/>
            <w:hideMark/>
          </w:tcPr>
          <w:p w14:paraId="237E5BC8" w14:textId="77777777" w:rsidR="00EC5F95" w:rsidRPr="005E11C8" w:rsidRDefault="00EC5F95" w:rsidP="00D90124">
            <w:pPr>
              <w:pStyle w:val="TableParagraph"/>
            </w:pPr>
            <w:r w:rsidRPr="005E11C8">
              <w:t>System</w:t>
            </w:r>
          </w:p>
        </w:tc>
        <w:tc>
          <w:tcPr>
            <w:tcW w:w="1170" w:type="dxa"/>
            <w:noWrap/>
            <w:hideMark/>
          </w:tcPr>
          <w:p w14:paraId="4193D907" w14:textId="77777777" w:rsidR="00EC5F95" w:rsidRPr="005E11C8" w:rsidRDefault="00EC5F95" w:rsidP="00D90124">
            <w:pPr>
              <w:pStyle w:val="TableParagraph"/>
              <w:cnfStyle w:val="100000000000" w:firstRow="1" w:lastRow="0" w:firstColumn="0" w:lastColumn="0" w:oddVBand="0" w:evenVBand="0" w:oddHBand="0" w:evenHBand="0" w:firstRowFirstColumn="0" w:firstRowLastColumn="0" w:lastRowFirstColumn="0" w:lastRowLastColumn="0"/>
            </w:pPr>
            <w:r w:rsidRPr="005E11C8">
              <w:t>Original 2019 Visits Share</w:t>
            </w:r>
          </w:p>
        </w:tc>
        <w:tc>
          <w:tcPr>
            <w:tcW w:w="1080" w:type="dxa"/>
            <w:noWrap/>
            <w:hideMark/>
          </w:tcPr>
          <w:p w14:paraId="5FF9C56C" w14:textId="77777777" w:rsidR="00EC5F95" w:rsidRPr="005E11C8" w:rsidRDefault="00EC5F95" w:rsidP="00D90124">
            <w:pPr>
              <w:pStyle w:val="TableParagraph"/>
              <w:cnfStyle w:val="100000000000" w:firstRow="1" w:lastRow="0" w:firstColumn="0" w:lastColumn="0" w:oddVBand="0" w:evenVBand="0" w:oddHBand="0" w:evenHBand="0" w:firstRowFirstColumn="0" w:firstRowLastColumn="0" w:lastRowFirstColumn="0" w:lastRowLastColumn="0"/>
            </w:pPr>
            <w:r w:rsidRPr="005E11C8">
              <w:t>New 2019 Visits Share</w:t>
            </w:r>
          </w:p>
        </w:tc>
        <w:tc>
          <w:tcPr>
            <w:tcW w:w="1080" w:type="dxa"/>
            <w:noWrap/>
            <w:hideMark/>
          </w:tcPr>
          <w:p w14:paraId="0C179EF2" w14:textId="77777777" w:rsidR="00EC5F95" w:rsidRPr="005E11C8" w:rsidRDefault="00EC5F95" w:rsidP="00D90124">
            <w:pPr>
              <w:pStyle w:val="TableParagraph"/>
              <w:cnfStyle w:val="100000000000" w:firstRow="1" w:lastRow="0" w:firstColumn="0" w:lastColumn="0" w:oddVBand="0" w:evenVBand="0" w:oddHBand="0" w:evenHBand="0" w:firstRowFirstColumn="0" w:firstRowLastColumn="0" w:lastRowFirstColumn="0" w:lastRowLastColumn="0"/>
            </w:pPr>
            <w:r w:rsidRPr="005E11C8">
              <w:t>Change in Share</w:t>
            </w:r>
          </w:p>
        </w:tc>
      </w:tr>
      <w:tr w:rsidR="00EC5F95" w:rsidRPr="005E11C8" w14:paraId="16AB5C6D"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142A6FB0" w14:textId="77777777" w:rsidR="00EC5F95" w:rsidRPr="0078544E" w:rsidRDefault="00EC5F95" w:rsidP="00D90124">
            <w:pPr>
              <w:pStyle w:val="TableParagraph"/>
              <w:rPr>
                <w:b w:val="0"/>
                <w:bCs w:val="0"/>
              </w:rPr>
            </w:pPr>
            <w:r w:rsidRPr="0078544E">
              <w:t>BCH</w:t>
            </w:r>
          </w:p>
        </w:tc>
        <w:tc>
          <w:tcPr>
            <w:tcW w:w="1170" w:type="dxa"/>
            <w:noWrap/>
            <w:hideMark/>
          </w:tcPr>
          <w:p w14:paraId="3B0B7327"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19.0%</w:t>
            </w:r>
          </w:p>
        </w:tc>
        <w:tc>
          <w:tcPr>
            <w:tcW w:w="1080" w:type="dxa"/>
            <w:noWrap/>
            <w:hideMark/>
          </w:tcPr>
          <w:p w14:paraId="414D77B2"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21.2%</w:t>
            </w:r>
          </w:p>
        </w:tc>
        <w:tc>
          <w:tcPr>
            <w:tcW w:w="1080" w:type="dxa"/>
            <w:noWrap/>
            <w:hideMark/>
          </w:tcPr>
          <w:p w14:paraId="53F5C5A0"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2.14%</w:t>
            </w:r>
          </w:p>
        </w:tc>
      </w:tr>
      <w:tr w:rsidR="00EC5F95" w:rsidRPr="005E11C8" w14:paraId="51860657"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47057825" w14:textId="77777777" w:rsidR="00EC5F95" w:rsidRPr="005E11C8" w:rsidRDefault="00EC5F95" w:rsidP="00D90124">
            <w:pPr>
              <w:pStyle w:val="TableParagraph"/>
            </w:pPr>
            <w:r>
              <w:t xml:space="preserve">     </w:t>
            </w:r>
            <w:r w:rsidRPr="005E11C8">
              <w:t>BOSTON CHILDREN'S HOSPITAL</w:t>
            </w:r>
          </w:p>
        </w:tc>
        <w:tc>
          <w:tcPr>
            <w:tcW w:w="1170" w:type="dxa"/>
            <w:noWrap/>
            <w:hideMark/>
          </w:tcPr>
          <w:p w14:paraId="37DF0646"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14.9%</w:t>
            </w:r>
          </w:p>
        </w:tc>
        <w:tc>
          <w:tcPr>
            <w:tcW w:w="1080" w:type="dxa"/>
            <w:noWrap/>
            <w:hideMark/>
          </w:tcPr>
          <w:p w14:paraId="02007550"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14.5%</w:t>
            </w:r>
          </w:p>
        </w:tc>
        <w:tc>
          <w:tcPr>
            <w:tcW w:w="1080" w:type="dxa"/>
            <w:noWrap/>
            <w:hideMark/>
          </w:tcPr>
          <w:p w14:paraId="66A13548"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-0.46%</w:t>
            </w:r>
          </w:p>
        </w:tc>
      </w:tr>
      <w:tr w:rsidR="00EC5F95" w:rsidRPr="005E11C8" w14:paraId="5B72CCBA"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1DAE19C4" w14:textId="34FFA2E5" w:rsidR="00EC5F95" w:rsidRPr="005E11C8" w:rsidRDefault="00EC5F95" w:rsidP="00D90124">
            <w:pPr>
              <w:pStyle w:val="TableParagraph"/>
              <w:ind w:left="428"/>
            </w:pPr>
            <w:r>
              <w:t xml:space="preserve">     </w:t>
            </w:r>
            <w:r w:rsidRPr="005E11C8">
              <w:t xml:space="preserve">BCH </w:t>
            </w:r>
            <w:r w:rsidR="00B95A2E">
              <w:t>–</w:t>
            </w:r>
            <w:r w:rsidRPr="005E11C8">
              <w:t xml:space="preserve"> Other</w:t>
            </w:r>
          </w:p>
        </w:tc>
        <w:tc>
          <w:tcPr>
            <w:tcW w:w="1170" w:type="dxa"/>
            <w:noWrap/>
            <w:hideMark/>
          </w:tcPr>
          <w:p w14:paraId="3B1F25BB"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2.3%</w:t>
            </w:r>
          </w:p>
        </w:tc>
        <w:tc>
          <w:tcPr>
            <w:tcW w:w="1080" w:type="dxa"/>
            <w:noWrap/>
            <w:hideMark/>
          </w:tcPr>
          <w:p w14:paraId="34F7533F"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2.2%</w:t>
            </w:r>
          </w:p>
        </w:tc>
        <w:tc>
          <w:tcPr>
            <w:tcW w:w="1080" w:type="dxa"/>
            <w:noWrap/>
            <w:hideMark/>
          </w:tcPr>
          <w:p w14:paraId="0F416956"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-0.07%</w:t>
            </w:r>
          </w:p>
        </w:tc>
      </w:tr>
      <w:tr w:rsidR="00EC5F95" w:rsidRPr="005E11C8" w14:paraId="4A2C321C"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5E24D628" w14:textId="77777777" w:rsidR="00EC5F95" w:rsidRPr="005E11C8" w:rsidRDefault="00EC5F95" w:rsidP="00D90124">
            <w:pPr>
              <w:pStyle w:val="TableParagraph"/>
              <w:ind w:left="428"/>
            </w:pPr>
            <w:r>
              <w:t xml:space="preserve">     </w:t>
            </w:r>
            <w:r w:rsidRPr="005E11C8">
              <w:t>BOSTON CHILDREN'S AT WALTHAM</w:t>
            </w:r>
          </w:p>
        </w:tc>
        <w:tc>
          <w:tcPr>
            <w:tcW w:w="1170" w:type="dxa"/>
            <w:noWrap/>
            <w:hideMark/>
          </w:tcPr>
          <w:p w14:paraId="4638AD86"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1.3%</w:t>
            </w:r>
          </w:p>
        </w:tc>
        <w:tc>
          <w:tcPr>
            <w:tcW w:w="1080" w:type="dxa"/>
            <w:noWrap/>
            <w:hideMark/>
          </w:tcPr>
          <w:p w14:paraId="0765C43A"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1.3%</w:t>
            </w:r>
          </w:p>
        </w:tc>
        <w:tc>
          <w:tcPr>
            <w:tcW w:w="1080" w:type="dxa"/>
            <w:noWrap/>
            <w:hideMark/>
          </w:tcPr>
          <w:p w14:paraId="662590AD"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-0.04%</w:t>
            </w:r>
          </w:p>
        </w:tc>
      </w:tr>
      <w:tr w:rsidR="00EC5F95" w:rsidRPr="005E11C8" w14:paraId="06A9DDB4"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1C8B4047" w14:textId="77777777" w:rsidR="00EC5F95" w:rsidRPr="005E11C8" w:rsidRDefault="00EC5F95" w:rsidP="00D90124">
            <w:pPr>
              <w:pStyle w:val="TableParagraph"/>
              <w:ind w:left="428"/>
            </w:pPr>
            <w:r>
              <w:t xml:space="preserve">     </w:t>
            </w:r>
            <w:r w:rsidRPr="005E11C8">
              <w:t>BOSTON CHILDREN'S AT PEABODY</w:t>
            </w:r>
          </w:p>
        </w:tc>
        <w:tc>
          <w:tcPr>
            <w:tcW w:w="1170" w:type="dxa"/>
            <w:noWrap/>
            <w:hideMark/>
          </w:tcPr>
          <w:p w14:paraId="252DB10C"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0.3%</w:t>
            </w:r>
          </w:p>
        </w:tc>
        <w:tc>
          <w:tcPr>
            <w:tcW w:w="1080" w:type="dxa"/>
            <w:noWrap/>
            <w:hideMark/>
          </w:tcPr>
          <w:p w14:paraId="64EDD740"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0.3%</w:t>
            </w:r>
          </w:p>
        </w:tc>
        <w:tc>
          <w:tcPr>
            <w:tcW w:w="1080" w:type="dxa"/>
            <w:noWrap/>
            <w:hideMark/>
          </w:tcPr>
          <w:p w14:paraId="13678D71"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-0.01%</w:t>
            </w:r>
          </w:p>
        </w:tc>
      </w:tr>
      <w:tr w:rsidR="00EC5F95" w:rsidRPr="005E11C8" w14:paraId="762AE945"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3DAAF7F7" w14:textId="77777777" w:rsidR="00EC5F95" w:rsidRPr="005E11C8" w:rsidRDefault="00EC5F95" w:rsidP="00D90124">
            <w:pPr>
              <w:pStyle w:val="TableParagraph"/>
              <w:ind w:left="428"/>
            </w:pPr>
            <w:r>
              <w:t xml:space="preserve">     </w:t>
            </w:r>
            <w:r w:rsidRPr="005E11C8">
              <w:t>BOSTON CHILDREN'S AT LEXINGTON</w:t>
            </w:r>
          </w:p>
        </w:tc>
        <w:tc>
          <w:tcPr>
            <w:tcW w:w="1170" w:type="dxa"/>
            <w:noWrap/>
            <w:hideMark/>
          </w:tcPr>
          <w:p w14:paraId="62F793B3"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0.2%</w:t>
            </w:r>
          </w:p>
        </w:tc>
        <w:tc>
          <w:tcPr>
            <w:tcW w:w="1080" w:type="dxa"/>
            <w:noWrap/>
            <w:hideMark/>
          </w:tcPr>
          <w:p w14:paraId="4EEA131E"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0.2%</w:t>
            </w:r>
          </w:p>
        </w:tc>
        <w:tc>
          <w:tcPr>
            <w:tcW w:w="1080" w:type="dxa"/>
            <w:noWrap/>
            <w:hideMark/>
          </w:tcPr>
          <w:p w14:paraId="04EC3E9E"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-0.01%</w:t>
            </w:r>
          </w:p>
        </w:tc>
      </w:tr>
      <w:tr w:rsidR="00EC5F95" w:rsidRPr="005E11C8" w14:paraId="24412FCB"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6743ECE8" w14:textId="77777777" w:rsidR="00EC5F95" w:rsidRPr="005E11C8" w:rsidRDefault="00EC5F95" w:rsidP="00D90124">
            <w:pPr>
              <w:pStyle w:val="TableParagraph"/>
              <w:ind w:left="428"/>
            </w:pPr>
            <w:r>
              <w:t xml:space="preserve">     </w:t>
            </w:r>
            <w:r w:rsidRPr="005E11C8">
              <w:t>BOSTON CHILDREN'S at NORTH DARTMOUTH</w:t>
            </w:r>
          </w:p>
        </w:tc>
        <w:tc>
          <w:tcPr>
            <w:tcW w:w="1170" w:type="dxa"/>
            <w:noWrap/>
            <w:hideMark/>
          </w:tcPr>
          <w:p w14:paraId="33E46F67"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0.01%</w:t>
            </w:r>
          </w:p>
        </w:tc>
        <w:tc>
          <w:tcPr>
            <w:tcW w:w="1080" w:type="dxa"/>
            <w:noWrap/>
            <w:hideMark/>
          </w:tcPr>
          <w:p w14:paraId="5D928434"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0.01%</w:t>
            </w:r>
          </w:p>
        </w:tc>
        <w:tc>
          <w:tcPr>
            <w:tcW w:w="1080" w:type="dxa"/>
            <w:noWrap/>
            <w:hideMark/>
          </w:tcPr>
          <w:p w14:paraId="58E6AB29"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0.00%</w:t>
            </w:r>
          </w:p>
        </w:tc>
      </w:tr>
      <w:tr w:rsidR="00EC5F95" w:rsidRPr="005E11C8" w14:paraId="36145C49"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73D347CC" w14:textId="77777777" w:rsidR="00EC5F95" w:rsidRPr="005E11C8" w:rsidRDefault="00EC5F95" w:rsidP="00D90124">
            <w:pPr>
              <w:pStyle w:val="TableParagraph"/>
              <w:ind w:left="428"/>
            </w:pPr>
            <w:r>
              <w:t xml:space="preserve">     </w:t>
            </w:r>
            <w:r w:rsidRPr="005E11C8">
              <w:t>BOSTON CHILDREN'S AT BROOKLINE PLAC</w:t>
            </w:r>
          </w:p>
        </w:tc>
        <w:tc>
          <w:tcPr>
            <w:tcW w:w="1170" w:type="dxa"/>
            <w:noWrap/>
            <w:hideMark/>
          </w:tcPr>
          <w:p w14:paraId="0B766123"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0.01%</w:t>
            </w:r>
          </w:p>
        </w:tc>
        <w:tc>
          <w:tcPr>
            <w:tcW w:w="1080" w:type="dxa"/>
            <w:noWrap/>
            <w:hideMark/>
          </w:tcPr>
          <w:p w14:paraId="5779314A"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0.01%</w:t>
            </w:r>
          </w:p>
        </w:tc>
        <w:tc>
          <w:tcPr>
            <w:tcW w:w="1080" w:type="dxa"/>
            <w:noWrap/>
            <w:hideMark/>
          </w:tcPr>
          <w:p w14:paraId="5F64B8DA"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0.00%</w:t>
            </w:r>
          </w:p>
        </w:tc>
      </w:tr>
      <w:tr w:rsidR="00EC5F95" w:rsidRPr="005E11C8" w14:paraId="13A81546"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4625353C" w14:textId="77777777" w:rsidR="00EC5F95" w:rsidRPr="005E11C8" w:rsidRDefault="00EC5F95" w:rsidP="00D90124">
            <w:pPr>
              <w:pStyle w:val="TableParagraph"/>
            </w:pPr>
            <w:r>
              <w:t xml:space="preserve">     </w:t>
            </w:r>
            <w:r w:rsidRPr="005E11C8">
              <w:t>BCH Weymouth</w:t>
            </w:r>
          </w:p>
        </w:tc>
        <w:tc>
          <w:tcPr>
            <w:tcW w:w="1170" w:type="dxa"/>
            <w:noWrap/>
            <w:hideMark/>
          </w:tcPr>
          <w:p w14:paraId="1C781B09"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0.0%</w:t>
            </w:r>
          </w:p>
        </w:tc>
        <w:tc>
          <w:tcPr>
            <w:tcW w:w="1080" w:type="dxa"/>
            <w:noWrap/>
            <w:hideMark/>
          </w:tcPr>
          <w:p w14:paraId="46B1F2C0"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1.2%</w:t>
            </w:r>
          </w:p>
        </w:tc>
        <w:tc>
          <w:tcPr>
            <w:tcW w:w="1080" w:type="dxa"/>
            <w:noWrap/>
            <w:hideMark/>
          </w:tcPr>
          <w:p w14:paraId="33BA785B"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1.23%</w:t>
            </w:r>
          </w:p>
        </w:tc>
      </w:tr>
      <w:tr w:rsidR="00EC5F95" w:rsidRPr="005E11C8" w14:paraId="03A38478"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3244EC95" w14:textId="77777777" w:rsidR="00EC5F95" w:rsidRPr="005E11C8" w:rsidRDefault="00EC5F95" w:rsidP="00D90124">
            <w:pPr>
              <w:pStyle w:val="TableParagraph"/>
            </w:pPr>
            <w:r>
              <w:t xml:space="preserve">     </w:t>
            </w:r>
            <w:r w:rsidRPr="005E11C8">
              <w:t>BCH Needham</w:t>
            </w:r>
          </w:p>
        </w:tc>
        <w:tc>
          <w:tcPr>
            <w:tcW w:w="1170" w:type="dxa"/>
            <w:noWrap/>
            <w:hideMark/>
          </w:tcPr>
          <w:p w14:paraId="1934D4EA"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0.0%</w:t>
            </w:r>
          </w:p>
        </w:tc>
        <w:tc>
          <w:tcPr>
            <w:tcW w:w="1080" w:type="dxa"/>
            <w:noWrap/>
            <w:hideMark/>
          </w:tcPr>
          <w:p w14:paraId="1AD8E51C"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1.5%</w:t>
            </w:r>
          </w:p>
        </w:tc>
        <w:tc>
          <w:tcPr>
            <w:tcW w:w="1080" w:type="dxa"/>
            <w:noWrap/>
            <w:hideMark/>
          </w:tcPr>
          <w:p w14:paraId="0DDA1D52" w14:textId="77777777" w:rsidR="00EC5F95" w:rsidRPr="005E11C8"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5E11C8">
              <w:t>1.50%</w:t>
            </w:r>
          </w:p>
        </w:tc>
      </w:tr>
      <w:tr w:rsidR="00EC5F95" w:rsidRPr="005E11C8" w14:paraId="0EFAEC35"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331DB37B" w14:textId="77777777" w:rsidR="00EC5F95" w:rsidRPr="0078544E" w:rsidRDefault="00EC5F95" w:rsidP="00D90124">
            <w:pPr>
              <w:pStyle w:val="TableParagraph"/>
              <w:rPr>
                <w:b w:val="0"/>
                <w:bCs w:val="0"/>
              </w:rPr>
            </w:pPr>
            <w:r w:rsidRPr="0078544E">
              <w:t>Baystate</w:t>
            </w:r>
          </w:p>
        </w:tc>
        <w:tc>
          <w:tcPr>
            <w:tcW w:w="1170" w:type="dxa"/>
            <w:noWrap/>
            <w:hideMark/>
          </w:tcPr>
          <w:p w14:paraId="157B3EE4"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0.3%</w:t>
            </w:r>
          </w:p>
        </w:tc>
        <w:tc>
          <w:tcPr>
            <w:tcW w:w="1080" w:type="dxa"/>
            <w:noWrap/>
            <w:hideMark/>
          </w:tcPr>
          <w:p w14:paraId="34287610"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0.3%</w:t>
            </w:r>
          </w:p>
        </w:tc>
        <w:tc>
          <w:tcPr>
            <w:tcW w:w="1080" w:type="dxa"/>
            <w:noWrap/>
            <w:hideMark/>
          </w:tcPr>
          <w:p w14:paraId="0F46175C"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-0.01%</w:t>
            </w:r>
          </w:p>
        </w:tc>
      </w:tr>
      <w:tr w:rsidR="00EC5F95" w:rsidRPr="005E11C8" w14:paraId="3AB79095"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4B44612E" w14:textId="77777777" w:rsidR="00EC5F95" w:rsidRPr="0078544E" w:rsidRDefault="00EC5F95" w:rsidP="00D90124">
            <w:pPr>
              <w:pStyle w:val="TableParagraph"/>
              <w:rPr>
                <w:b w:val="0"/>
                <w:bCs w:val="0"/>
              </w:rPr>
            </w:pPr>
            <w:r w:rsidRPr="0078544E">
              <w:t>Boston Medical</w:t>
            </w:r>
          </w:p>
        </w:tc>
        <w:tc>
          <w:tcPr>
            <w:tcW w:w="1170" w:type="dxa"/>
            <w:noWrap/>
            <w:hideMark/>
          </w:tcPr>
          <w:p w14:paraId="1950F6D5"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1.7%</w:t>
            </w:r>
          </w:p>
        </w:tc>
        <w:tc>
          <w:tcPr>
            <w:tcW w:w="1080" w:type="dxa"/>
            <w:noWrap/>
            <w:hideMark/>
          </w:tcPr>
          <w:p w14:paraId="521A0A0B"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1.6%</w:t>
            </w:r>
          </w:p>
        </w:tc>
        <w:tc>
          <w:tcPr>
            <w:tcW w:w="1080" w:type="dxa"/>
            <w:noWrap/>
            <w:hideMark/>
          </w:tcPr>
          <w:p w14:paraId="4C001878"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-0.05%</w:t>
            </w:r>
          </w:p>
        </w:tc>
      </w:tr>
      <w:tr w:rsidR="00EC5F95" w:rsidRPr="005E11C8" w14:paraId="366062D6"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2F326791" w14:textId="77777777" w:rsidR="00EC5F95" w:rsidRPr="0078544E" w:rsidRDefault="00EC5F95" w:rsidP="00D90124">
            <w:pPr>
              <w:pStyle w:val="TableParagraph"/>
              <w:rPr>
                <w:b w:val="0"/>
                <w:bCs w:val="0"/>
              </w:rPr>
            </w:pPr>
            <w:r w:rsidRPr="0078544E">
              <w:t>Mass General</w:t>
            </w:r>
          </w:p>
        </w:tc>
        <w:tc>
          <w:tcPr>
            <w:tcW w:w="1170" w:type="dxa"/>
            <w:noWrap/>
            <w:hideMark/>
          </w:tcPr>
          <w:p w14:paraId="3BBBEB6F"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10.2%</w:t>
            </w:r>
          </w:p>
        </w:tc>
        <w:tc>
          <w:tcPr>
            <w:tcW w:w="1080" w:type="dxa"/>
            <w:noWrap/>
            <w:hideMark/>
          </w:tcPr>
          <w:p w14:paraId="3343DF49"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9.9%</w:t>
            </w:r>
          </w:p>
        </w:tc>
        <w:tc>
          <w:tcPr>
            <w:tcW w:w="1080" w:type="dxa"/>
            <w:noWrap/>
            <w:hideMark/>
          </w:tcPr>
          <w:p w14:paraId="4DD9C4D1"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-0.29%</w:t>
            </w:r>
          </w:p>
        </w:tc>
      </w:tr>
      <w:tr w:rsidR="00EC5F95" w:rsidRPr="005E11C8" w14:paraId="6E81449F"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2ABC8E93" w14:textId="77777777" w:rsidR="00EC5F95" w:rsidRPr="0078544E" w:rsidRDefault="00EC5F95" w:rsidP="00D90124">
            <w:pPr>
              <w:pStyle w:val="TableParagraph"/>
              <w:rPr>
                <w:b w:val="0"/>
                <w:bCs w:val="0"/>
              </w:rPr>
            </w:pPr>
            <w:r w:rsidRPr="0078544E">
              <w:t>Tufts</w:t>
            </w:r>
          </w:p>
        </w:tc>
        <w:tc>
          <w:tcPr>
            <w:tcW w:w="1170" w:type="dxa"/>
            <w:noWrap/>
            <w:hideMark/>
          </w:tcPr>
          <w:p w14:paraId="1EB66749"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1.5%</w:t>
            </w:r>
          </w:p>
        </w:tc>
        <w:tc>
          <w:tcPr>
            <w:tcW w:w="1080" w:type="dxa"/>
            <w:noWrap/>
            <w:hideMark/>
          </w:tcPr>
          <w:p w14:paraId="56A512BE"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1.4%</w:t>
            </w:r>
          </w:p>
        </w:tc>
        <w:tc>
          <w:tcPr>
            <w:tcW w:w="1080" w:type="dxa"/>
            <w:noWrap/>
            <w:hideMark/>
          </w:tcPr>
          <w:p w14:paraId="15CCD7D8"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-0.04%</w:t>
            </w:r>
          </w:p>
        </w:tc>
      </w:tr>
      <w:tr w:rsidR="00EC5F95" w:rsidRPr="005E11C8" w14:paraId="5989E9C6"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703268B7" w14:textId="77777777" w:rsidR="00EC5F95" w:rsidRPr="0078544E" w:rsidRDefault="00EC5F95" w:rsidP="00D90124">
            <w:pPr>
              <w:pStyle w:val="TableParagraph"/>
              <w:rPr>
                <w:b w:val="0"/>
                <w:bCs w:val="0"/>
              </w:rPr>
            </w:pPr>
            <w:r w:rsidRPr="0078544E">
              <w:t>UMASS</w:t>
            </w:r>
          </w:p>
        </w:tc>
        <w:tc>
          <w:tcPr>
            <w:tcW w:w="1170" w:type="dxa"/>
            <w:noWrap/>
            <w:hideMark/>
          </w:tcPr>
          <w:p w14:paraId="58E8367B"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4.7%</w:t>
            </w:r>
          </w:p>
        </w:tc>
        <w:tc>
          <w:tcPr>
            <w:tcW w:w="1080" w:type="dxa"/>
            <w:noWrap/>
            <w:hideMark/>
          </w:tcPr>
          <w:p w14:paraId="5F7EEC37"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4.6%</w:t>
            </w:r>
          </w:p>
        </w:tc>
        <w:tc>
          <w:tcPr>
            <w:tcW w:w="1080" w:type="dxa"/>
            <w:noWrap/>
            <w:hideMark/>
          </w:tcPr>
          <w:p w14:paraId="2338EA86"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-0.10%</w:t>
            </w:r>
          </w:p>
        </w:tc>
      </w:tr>
      <w:tr w:rsidR="00EC5F95" w:rsidRPr="005E11C8" w14:paraId="5A23C68D"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1ADA3BA1" w14:textId="77777777" w:rsidR="00EC5F95" w:rsidRPr="0078544E" w:rsidRDefault="00EC5F95" w:rsidP="00D90124">
            <w:pPr>
              <w:pStyle w:val="TableParagraph"/>
              <w:rPr>
                <w:b w:val="0"/>
                <w:bCs w:val="0"/>
              </w:rPr>
            </w:pPr>
            <w:r w:rsidRPr="0078544E">
              <w:t>Outside Option</w:t>
            </w:r>
          </w:p>
        </w:tc>
        <w:tc>
          <w:tcPr>
            <w:tcW w:w="1170" w:type="dxa"/>
            <w:noWrap/>
            <w:hideMark/>
          </w:tcPr>
          <w:p w14:paraId="412E5C24"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62.7%</w:t>
            </w:r>
          </w:p>
        </w:tc>
        <w:tc>
          <w:tcPr>
            <w:tcW w:w="1080" w:type="dxa"/>
            <w:noWrap/>
            <w:hideMark/>
          </w:tcPr>
          <w:p w14:paraId="2A91A3F3"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61.1%</w:t>
            </w:r>
          </w:p>
        </w:tc>
        <w:tc>
          <w:tcPr>
            <w:tcW w:w="1080" w:type="dxa"/>
            <w:noWrap/>
            <w:hideMark/>
          </w:tcPr>
          <w:p w14:paraId="304B7712" w14:textId="77777777" w:rsidR="00EC5F95" w:rsidRPr="0078544E" w:rsidRDefault="00EC5F95" w:rsidP="00D90124">
            <w:pPr>
              <w:pStyle w:val="TableParagraph"/>
              <w:cnfStyle w:val="000000000000" w:firstRow="0" w:lastRow="0" w:firstColumn="0" w:lastColumn="0" w:oddVBand="0" w:evenVBand="0" w:oddHBand="0" w:evenHBand="0" w:firstRowFirstColumn="0" w:firstRowLastColumn="0" w:lastRowFirstColumn="0" w:lastRowLastColumn="0"/>
            </w:pPr>
            <w:r w:rsidRPr="0078544E">
              <w:t>-1.66%</w:t>
            </w:r>
          </w:p>
        </w:tc>
      </w:tr>
    </w:tbl>
    <w:p w14:paraId="29850756" w14:textId="77777777" w:rsidR="00EC5F95" w:rsidRPr="00491A77" w:rsidRDefault="00EC5F95" w:rsidP="007813FB">
      <w:pPr>
        <w:pStyle w:val="TableNotes"/>
      </w:pPr>
      <w:r>
        <w:t xml:space="preserve">Source: Massachusetts All-Payer Claims Database. Combined service area claims, </w:t>
      </w:r>
      <w:r w:rsidRPr="00491A77">
        <w:t>commercial, 2019.</w:t>
      </w:r>
    </w:p>
    <w:p w14:paraId="27107382" w14:textId="3EAB26BA" w:rsidR="00DC56C8" w:rsidRPr="00491A77" w:rsidRDefault="00DC56C8" w:rsidP="00BE32C9">
      <w:pPr>
        <w:pStyle w:val="Heading2"/>
      </w:pPr>
      <w:bookmarkStart w:id="326" w:name="_Toc109895526"/>
      <w:r w:rsidRPr="00491A77">
        <w:t>Projected Shares</w:t>
      </w:r>
      <w:bookmarkEnd w:id="326"/>
    </w:p>
    <w:p w14:paraId="3D2C12ED" w14:textId="43D906E9" w:rsidR="00DC56C8" w:rsidRPr="004E2B5A" w:rsidRDefault="00335BA9" w:rsidP="00BE32C9">
      <w:r>
        <w:fldChar w:fldCharType="begin"/>
      </w:r>
      <w:r>
        <w:instrText xml:space="preserve"> REF _Ref106556714 \h </w:instrText>
      </w:r>
      <w:r>
        <w:fldChar w:fldCharType="separate"/>
      </w:r>
      <w:r w:rsidR="00CE7C62" w:rsidRPr="00491A77">
        <w:t xml:space="preserve">Table </w:t>
      </w:r>
      <w:r w:rsidR="00CE7C62">
        <w:rPr>
          <w:noProof/>
        </w:rPr>
        <w:t>33</w:t>
      </w:r>
      <w:r w:rsidR="00CE7C62">
        <w:t>:</w:t>
      </w:r>
      <w:r w:rsidR="00CE7C62" w:rsidRPr="00491A77">
        <w:t xml:space="preserve"> Projected Shares for </w:t>
      </w:r>
      <w:r w:rsidR="00CE7C62">
        <w:t>BCH by Year</w:t>
      </w:r>
      <w:r>
        <w:fldChar w:fldCharType="end"/>
      </w:r>
      <w:r w:rsidR="00DC56C8" w:rsidRPr="00491A77">
        <w:t xml:space="preserve"> show</w:t>
      </w:r>
      <w:r w:rsidR="0076661C">
        <w:t>s</w:t>
      </w:r>
      <w:r w:rsidR="00DC56C8" w:rsidRPr="00491A77">
        <w:t xml:space="preserve"> the projected market shares to 2040 within the combined service areas for each service line. </w:t>
      </w:r>
      <w:r w:rsidR="00DC56C8" w:rsidRPr="1025C662">
        <w:rPr>
          <w:b/>
          <w:bCs/>
          <w:i/>
          <w:iCs/>
        </w:rPr>
        <w:t>The visit shares do not change significantly</w:t>
      </w:r>
      <w:r w:rsidR="005D7EED" w:rsidRPr="1025C662">
        <w:rPr>
          <w:b/>
          <w:bCs/>
          <w:i/>
          <w:iCs/>
        </w:rPr>
        <w:t xml:space="preserve"> from those projected for 2019 based on diversion estimates</w:t>
      </w:r>
      <w:r w:rsidR="00DC56C8" w:rsidRPr="1025C662">
        <w:rPr>
          <w:b/>
          <w:bCs/>
          <w:i/>
          <w:iCs/>
        </w:rPr>
        <w:t xml:space="preserve">, with the change in total BCH’s visits share only increasing </w:t>
      </w:r>
      <w:r w:rsidR="00EA69A5" w:rsidRPr="1025C662">
        <w:rPr>
          <w:b/>
          <w:bCs/>
          <w:i/>
          <w:iCs/>
        </w:rPr>
        <w:t xml:space="preserve">less than 1 percentage point - </w:t>
      </w:r>
      <w:r w:rsidR="00DC56C8" w:rsidRPr="1025C662">
        <w:rPr>
          <w:b/>
          <w:bCs/>
          <w:i/>
          <w:iCs/>
        </w:rPr>
        <w:t>between 0.2 and 0.3 percentage points across all 3 service lines.</w:t>
      </w:r>
      <w:r w:rsidR="00DC56C8" w:rsidRPr="00491A77">
        <w:t xml:space="preserve"> These </w:t>
      </w:r>
      <w:r w:rsidR="005D7EED">
        <w:t xml:space="preserve">“out-year” </w:t>
      </w:r>
      <w:r w:rsidR="00DC56C8" w:rsidRPr="00491A77">
        <w:t xml:space="preserve">estimated changes are driven by changes in patient population, not utilization or facility location. This implies that the estimated population shifts taking place in Massachusetts </w:t>
      </w:r>
      <w:r w:rsidR="005D7EED">
        <w:t xml:space="preserve">between 2019 and 2040 </w:t>
      </w:r>
      <w:r w:rsidR="00DC56C8" w:rsidRPr="00491A77">
        <w:t xml:space="preserve">are distributed geographically and in other dimensions in ways that lead to </w:t>
      </w:r>
      <w:r w:rsidR="005D7EED">
        <w:t xml:space="preserve">some </w:t>
      </w:r>
      <w:r w:rsidR="00DC56C8" w:rsidRPr="00491A77">
        <w:t xml:space="preserve">increased utilization of the Longwood campus. </w:t>
      </w:r>
      <w:r w:rsidR="00DC56C8" w:rsidRPr="004E2B5A">
        <w:t>A simple example is that population growth around the Longwood campus is growing faster (or declining less slowly) than in other areas.</w:t>
      </w:r>
      <w:r w:rsidR="00DC56C8" w:rsidRPr="004E2B5A">
        <w:rPr>
          <w:rStyle w:val="FootnoteReference"/>
        </w:rPr>
        <w:footnoteReference w:id="75"/>
      </w:r>
      <w:r w:rsidR="00DC56C8" w:rsidRPr="004E2B5A">
        <w:t xml:space="preserve"> We note that the projected market shares provide estimates for the share of the new locations at Needham and Weymouth for the services that are added there, consistent with their ability conveniently to serve populations.</w:t>
      </w:r>
      <w:r w:rsidR="009E75DA">
        <w:t xml:space="preserve"> </w:t>
      </w:r>
    </w:p>
    <w:p w14:paraId="43DAE628" w14:textId="14B89ACD" w:rsidR="004E2B5A" w:rsidRDefault="00335BA9" w:rsidP="00BE32C9">
      <w:r>
        <w:fldChar w:fldCharType="begin"/>
      </w:r>
      <w:r>
        <w:instrText xml:space="preserve"> REF _Ref106556714 \h </w:instrText>
      </w:r>
      <w:r>
        <w:fldChar w:fldCharType="separate"/>
      </w:r>
      <w:r w:rsidR="00CE7C62" w:rsidRPr="00491A77">
        <w:t xml:space="preserve">Table </w:t>
      </w:r>
      <w:r w:rsidR="00CE7C62">
        <w:rPr>
          <w:noProof/>
        </w:rPr>
        <w:t>33</w:t>
      </w:r>
      <w:r w:rsidR="00CE7C62">
        <w:t>:</w:t>
      </w:r>
      <w:r w:rsidR="00CE7C62" w:rsidRPr="00491A77">
        <w:t xml:space="preserve"> Projected Shares for </w:t>
      </w:r>
      <w:r w:rsidR="00CE7C62">
        <w:t>BCH by Year</w:t>
      </w:r>
      <w:r>
        <w:fldChar w:fldCharType="end"/>
      </w:r>
      <w:r w:rsidR="00A7501B">
        <w:t xml:space="preserve"> </w:t>
      </w:r>
      <w:r w:rsidR="004E2B5A">
        <w:t>focus</w:t>
      </w:r>
      <w:r w:rsidR="00A7501B">
        <w:t>es</w:t>
      </w:r>
      <w:r w:rsidR="004E2B5A">
        <w:t xml:space="preserve"> on the diversions and projected market shares for commercial patients as these shares would be the most relevant when assessing impacts on changes in health expenditures both through redistribution among differently priced facilities and through</w:t>
      </w:r>
      <w:r w:rsidR="009E75DA">
        <w:t xml:space="preserve"> </w:t>
      </w:r>
      <w:r w:rsidR="004E2B5A">
        <w:t>change</w:t>
      </w:r>
      <w:r w:rsidR="005D7EED">
        <w:t>s, if any</w:t>
      </w:r>
      <w:r w:rsidR="004E2B5A">
        <w:t xml:space="preserve"> in negotiating power for hospitals</w:t>
      </w:r>
      <w:r w:rsidR="0022119E">
        <w:t xml:space="preserve">. </w:t>
      </w:r>
      <w:r w:rsidR="004E2B5A">
        <w:t xml:space="preserve"> </w:t>
      </w:r>
      <w:r w:rsidR="0022119E">
        <w:t>These</w:t>
      </w:r>
      <w:r w:rsidR="004E2B5A">
        <w:t xml:space="preserve"> same analyses were conducted for patients </w:t>
      </w:r>
      <w:r w:rsidR="0022119E">
        <w:t>covered by</w:t>
      </w:r>
      <w:r w:rsidR="004E2B5A">
        <w:t xml:space="preserve"> Medicaid and Mass Health. </w:t>
      </w:r>
      <w:r w:rsidR="004E2B5A">
        <w:lastRenderedPageBreak/>
        <w:t>The projected shares were substantially similar to those for commercial, suggesting that the effect of the new facilities would be similar for these patients as for commercial patients.</w:t>
      </w:r>
    </w:p>
    <w:p w14:paraId="6C441CF1" w14:textId="47621EFB" w:rsidR="00EC5F95" w:rsidRPr="00491A77" w:rsidRDefault="00EC5F95" w:rsidP="007813FB">
      <w:pPr>
        <w:pStyle w:val="Caption"/>
      </w:pPr>
      <w:bookmarkStart w:id="327" w:name="_Ref106028191"/>
      <w:bookmarkStart w:id="328" w:name="_Ref106556714"/>
      <w:bookmarkStart w:id="329" w:name="_Toc106641211"/>
      <w:bookmarkStart w:id="330" w:name="_Toc106648915"/>
      <w:bookmarkStart w:id="331" w:name="_Toc109895464"/>
      <w:r w:rsidRPr="00491A77">
        <w:t xml:space="preserve">Table </w:t>
      </w:r>
      <w:fldSimple w:instr=" SEQ Table \* ARABIC ">
        <w:r w:rsidR="00CE7C62">
          <w:rPr>
            <w:noProof/>
          </w:rPr>
          <w:t>33</w:t>
        </w:r>
      </w:fldSimple>
      <w:bookmarkEnd w:id="327"/>
      <w:r>
        <w:t>:</w:t>
      </w:r>
      <w:r w:rsidRPr="00491A77">
        <w:t xml:space="preserve"> Projected Shares for </w:t>
      </w:r>
      <w:r>
        <w:t>BCH by Year</w:t>
      </w:r>
      <w:bookmarkEnd w:id="328"/>
      <w:bookmarkEnd w:id="329"/>
      <w:bookmarkEnd w:id="330"/>
      <w:r>
        <w:t xml:space="preserve"> </w:t>
      </w:r>
      <w:r w:rsidRPr="00146650">
        <w:t>(Combined Service Area, Patient</w:t>
      </w:r>
      <w:r>
        <w:t>s</w:t>
      </w:r>
      <w:r w:rsidRPr="00146650">
        <w:t xml:space="preserve"> </w:t>
      </w:r>
      <w:r>
        <w:t xml:space="preserve">Aged </w:t>
      </w:r>
      <w:r w:rsidRPr="00146650">
        <w:t>0 – 18)</w:t>
      </w:r>
      <w:bookmarkEnd w:id="331"/>
    </w:p>
    <w:tbl>
      <w:tblPr>
        <w:tblStyle w:val="GridTable4-Accent11"/>
        <w:tblW w:w="8330" w:type="dxa"/>
        <w:tblLook w:val="04A0" w:firstRow="1" w:lastRow="0" w:firstColumn="1" w:lastColumn="0" w:noHBand="0" w:noVBand="1"/>
      </w:tblPr>
      <w:tblGrid>
        <w:gridCol w:w="1272"/>
        <w:gridCol w:w="883"/>
        <w:gridCol w:w="939"/>
        <w:gridCol w:w="1080"/>
        <w:gridCol w:w="1038"/>
        <w:gridCol w:w="1038"/>
        <w:gridCol w:w="1038"/>
        <w:gridCol w:w="1042"/>
      </w:tblGrid>
      <w:tr w:rsidR="00EC5F95" w:rsidRPr="005E11C8" w14:paraId="2C8AB841" w14:textId="77777777" w:rsidTr="001530B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272" w:type="dxa"/>
          </w:tcPr>
          <w:p w14:paraId="0C173FDE" w14:textId="77777777" w:rsidR="00EC5F95" w:rsidRPr="005E11C8" w:rsidRDefault="00EC5F95" w:rsidP="00BE32C9">
            <w:pPr>
              <w:pStyle w:val="TableParagraph"/>
            </w:pPr>
          </w:p>
        </w:tc>
        <w:tc>
          <w:tcPr>
            <w:tcW w:w="883" w:type="dxa"/>
          </w:tcPr>
          <w:p w14:paraId="72F9EADB" w14:textId="77777777" w:rsidR="00EC5F95" w:rsidRPr="005E11C8"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t>Service</w:t>
            </w:r>
          </w:p>
        </w:tc>
        <w:tc>
          <w:tcPr>
            <w:tcW w:w="939" w:type="dxa"/>
            <w:noWrap/>
            <w:hideMark/>
          </w:tcPr>
          <w:p w14:paraId="78B3D123" w14:textId="77777777" w:rsidR="00EC5F95" w:rsidRPr="005E11C8"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5E11C8">
              <w:t xml:space="preserve">Original 2019 </w:t>
            </w:r>
            <w:r>
              <w:t>Share</w:t>
            </w:r>
          </w:p>
        </w:tc>
        <w:tc>
          <w:tcPr>
            <w:tcW w:w="1080" w:type="dxa"/>
            <w:noWrap/>
            <w:hideMark/>
          </w:tcPr>
          <w:p w14:paraId="256B160A" w14:textId="77777777" w:rsidR="00EC5F95" w:rsidRPr="005E11C8"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5E11C8">
              <w:t xml:space="preserve">New 2019 </w:t>
            </w:r>
            <w:r>
              <w:t>Share</w:t>
            </w:r>
          </w:p>
        </w:tc>
        <w:tc>
          <w:tcPr>
            <w:tcW w:w="1038" w:type="dxa"/>
            <w:noWrap/>
            <w:hideMark/>
          </w:tcPr>
          <w:p w14:paraId="18394DE2" w14:textId="77777777" w:rsidR="00EC5F95" w:rsidRPr="005E11C8"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5E11C8">
              <w:t xml:space="preserve">Projected 2025 </w:t>
            </w:r>
            <w:r>
              <w:t>Share</w:t>
            </w:r>
          </w:p>
        </w:tc>
        <w:tc>
          <w:tcPr>
            <w:tcW w:w="1038" w:type="dxa"/>
            <w:noWrap/>
            <w:hideMark/>
          </w:tcPr>
          <w:p w14:paraId="696D9F2E" w14:textId="77777777" w:rsidR="00EC5F95" w:rsidRPr="005E11C8"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5E11C8">
              <w:t xml:space="preserve">Projected 2030 </w:t>
            </w:r>
            <w:r>
              <w:t>Share</w:t>
            </w:r>
          </w:p>
        </w:tc>
        <w:tc>
          <w:tcPr>
            <w:tcW w:w="1038" w:type="dxa"/>
            <w:noWrap/>
            <w:hideMark/>
          </w:tcPr>
          <w:p w14:paraId="2D809DE0" w14:textId="77777777" w:rsidR="00EC5F95" w:rsidRPr="005E11C8"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5E11C8">
              <w:t xml:space="preserve">Projected 2035 </w:t>
            </w:r>
            <w:r>
              <w:t>Share</w:t>
            </w:r>
          </w:p>
        </w:tc>
        <w:tc>
          <w:tcPr>
            <w:tcW w:w="1042" w:type="dxa"/>
            <w:noWrap/>
            <w:hideMark/>
          </w:tcPr>
          <w:p w14:paraId="3A355F03" w14:textId="77777777" w:rsidR="00EC5F95" w:rsidRPr="005E11C8" w:rsidRDefault="00EC5F95" w:rsidP="00BE32C9">
            <w:pPr>
              <w:pStyle w:val="TableParagraph"/>
              <w:cnfStyle w:val="100000000000" w:firstRow="1" w:lastRow="0" w:firstColumn="0" w:lastColumn="0" w:oddVBand="0" w:evenVBand="0" w:oddHBand="0" w:evenHBand="0" w:firstRowFirstColumn="0" w:firstRowLastColumn="0" w:lastRowFirstColumn="0" w:lastRowLastColumn="0"/>
            </w:pPr>
            <w:r w:rsidRPr="005E11C8">
              <w:t xml:space="preserve">Projected 2040 </w:t>
            </w:r>
            <w:r>
              <w:t>Share</w:t>
            </w:r>
          </w:p>
        </w:tc>
      </w:tr>
      <w:tr w:rsidR="00EC5F95" w:rsidRPr="005E11C8" w14:paraId="6AA3CFF3"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272" w:type="dxa"/>
            <w:vMerge w:val="restart"/>
          </w:tcPr>
          <w:p w14:paraId="60CB5800" w14:textId="77777777" w:rsidR="00EC5F95" w:rsidRPr="00C67FB5" w:rsidRDefault="00EC5F95" w:rsidP="00BE32C9">
            <w:pPr>
              <w:pStyle w:val="TableParagraph"/>
            </w:pPr>
            <w:r>
              <w:t>Commercial</w:t>
            </w:r>
          </w:p>
        </w:tc>
        <w:tc>
          <w:tcPr>
            <w:tcW w:w="883" w:type="dxa"/>
          </w:tcPr>
          <w:p w14:paraId="73FBCF4A" w14:textId="77777777" w:rsidR="00EC5F95" w:rsidRPr="00C67FB5"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t>ASC</w:t>
            </w:r>
          </w:p>
        </w:tc>
        <w:tc>
          <w:tcPr>
            <w:tcW w:w="939" w:type="dxa"/>
            <w:noWrap/>
            <w:vAlign w:val="top"/>
            <w:hideMark/>
          </w:tcPr>
          <w:p w14:paraId="1E4C3B2D"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14.3%</w:t>
            </w:r>
          </w:p>
        </w:tc>
        <w:tc>
          <w:tcPr>
            <w:tcW w:w="1080" w:type="dxa"/>
            <w:noWrap/>
            <w:vAlign w:val="top"/>
            <w:hideMark/>
          </w:tcPr>
          <w:p w14:paraId="6D86F966"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14.9%</w:t>
            </w:r>
          </w:p>
        </w:tc>
        <w:tc>
          <w:tcPr>
            <w:tcW w:w="1038" w:type="dxa"/>
            <w:noWrap/>
            <w:vAlign w:val="top"/>
            <w:hideMark/>
          </w:tcPr>
          <w:p w14:paraId="6E1AA5E7"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15.2%</w:t>
            </w:r>
          </w:p>
        </w:tc>
        <w:tc>
          <w:tcPr>
            <w:tcW w:w="1038" w:type="dxa"/>
            <w:noWrap/>
            <w:vAlign w:val="top"/>
            <w:hideMark/>
          </w:tcPr>
          <w:p w14:paraId="0F5B85D5"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15.2%</w:t>
            </w:r>
          </w:p>
        </w:tc>
        <w:tc>
          <w:tcPr>
            <w:tcW w:w="1038" w:type="dxa"/>
            <w:noWrap/>
            <w:vAlign w:val="top"/>
            <w:hideMark/>
          </w:tcPr>
          <w:p w14:paraId="4529FA0B"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15.3%</w:t>
            </w:r>
          </w:p>
        </w:tc>
        <w:tc>
          <w:tcPr>
            <w:tcW w:w="1042" w:type="dxa"/>
            <w:noWrap/>
            <w:vAlign w:val="top"/>
            <w:hideMark/>
          </w:tcPr>
          <w:p w14:paraId="766A64A4"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15.3%</w:t>
            </w:r>
          </w:p>
        </w:tc>
      </w:tr>
      <w:tr w:rsidR="00EC5F95" w:rsidRPr="009F3112" w14:paraId="3B186ADB"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272" w:type="dxa"/>
            <w:vMerge/>
          </w:tcPr>
          <w:p w14:paraId="296D9E88" w14:textId="77777777" w:rsidR="00EC5F95" w:rsidRPr="006952D0" w:rsidRDefault="00EC5F95" w:rsidP="00BE32C9">
            <w:pPr>
              <w:pStyle w:val="TableParagraph"/>
            </w:pPr>
          </w:p>
        </w:tc>
        <w:tc>
          <w:tcPr>
            <w:tcW w:w="883" w:type="dxa"/>
          </w:tcPr>
          <w:p w14:paraId="6D67878B" w14:textId="77777777" w:rsidR="00EC5F95" w:rsidRPr="006952D0"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t>Imaging</w:t>
            </w:r>
          </w:p>
        </w:tc>
        <w:tc>
          <w:tcPr>
            <w:tcW w:w="939" w:type="dxa"/>
            <w:noWrap/>
            <w:vAlign w:val="top"/>
            <w:hideMark/>
          </w:tcPr>
          <w:p w14:paraId="37C7CBEB"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19.1%</w:t>
            </w:r>
          </w:p>
        </w:tc>
        <w:tc>
          <w:tcPr>
            <w:tcW w:w="1080" w:type="dxa"/>
            <w:noWrap/>
            <w:vAlign w:val="top"/>
            <w:hideMark/>
          </w:tcPr>
          <w:p w14:paraId="06E6C9EC"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21.2%</w:t>
            </w:r>
          </w:p>
        </w:tc>
        <w:tc>
          <w:tcPr>
            <w:tcW w:w="1038" w:type="dxa"/>
            <w:noWrap/>
            <w:vAlign w:val="top"/>
            <w:hideMark/>
          </w:tcPr>
          <w:p w14:paraId="5EDD0427"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21.6%</w:t>
            </w:r>
          </w:p>
        </w:tc>
        <w:tc>
          <w:tcPr>
            <w:tcW w:w="1038" w:type="dxa"/>
            <w:noWrap/>
            <w:vAlign w:val="top"/>
            <w:hideMark/>
          </w:tcPr>
          <w:p w14:paraId="5FF52674"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21.6%</w:t>
            </w:r>
          </w:p>
        </w:tc>
        <w:tc>
          <w:tcPr>
            <w:tcW w:w="1038" w:type="dxa"/>
            <w:noWrap/>
            <w:vAlign w:val="top"/>
            <w:hideMark/>
          </w:tcPr>
          <w:p w14:paraId="5AD12B9F"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21.7%</w:t>
            </w:r>
          </w:p>
        </w:tc>
        <w:tc>
          <w:tcPr>
            <w:tcW w:w="1042" w:type="dxa"/>
            <w:noWrap/>
            <w:vAlign w:val="top"/>
            <w:hideMark/>
          </w:tcPr>
          <w:p w14:paraId="258359CA"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21.7%</w:t>
            </w:r>
          </w:p>
        </w:tc>
      </w:tr>
      <w:tr w:rsidR="00EC5F95" w:rsidRPr="005E11C8" w14:paraId="767F1405"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272" w:type="dxa"/>
            <w:vMerge/>
          </w:tcPr>
          <w:p w14:paraId="32C8308C" w14:textId="77777777" w:rsidR="00EC5F95" w:rsidRPr="001C5A2E" w:rsidRDefault="00EC5F95" w:rsidP="00BE32C9">
            <w:pPr>
              <w:pStyle w:val="TableParagraph"/>
            </w:pPr>
          </w:p>
        </w:tc>
        <w:tc>
          <w:tcPr>
            <w:tcW w:w="883" w:type="dxa"/>
          </w:tcPr>
          <w:p w14:paraId="44FB2E4B"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t>MRI</w:t>
            </w:r>
          </w:p>
        </w:tc>
        <w:tc>
          <w:tcPr>
            <w:tcW w:w="939" w:type="dxa"/>
            <w:noWrap/>
            <w:vAlign w:val="top"/>
            <w:hideMark/>
          </w:tcPr>
          <w:p w14:paraId="732BDF5D"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30.2%</w:t>
            </w:r>
          </w:p>
        </w:tc>
        <w:tc>
          <w:tcPr>
            <w:tcW w:w="1080" w:type="dxa"/>
            <w:noWrap/>
            <w:vAlign w:val="top"/>
            <w:hideMark/>
          </w:tcPr>
          <w:p w14:paraId="7524F71B"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33.9%</w:t>
            </w:r>
          </w:p>
        </w:tc>
        <w:tc>
          <w:tcPr>
            <w:tcW w:w="1038" w:type="dxa"/>
            <w:noWrap/>
            <w:vAlign w:val="top"/>
            <w:hideMark/>
          </w:tcPr>
          <w:p w14:paraId="2628BE9F"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34.2%</w:t>
            </w:r>
          </w:p>
        </w:tc>
        <w:tc>
          <w:tcPr>
            <w:tcW w:w="1038" w:type="dxa"/>
            <w:noWrap/>
            <w:vAlign w:val="top"/>
            <w:hideMark/>
          </w:tcPr>
          <w:p w14:paraId="04259E53"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34.2%</w:t>
            </w:r>
          </w:p>
        </w:tc>
        <w:tc>
          <w:tcPr>
            <w:tcW w:w="1038" w:type="dxa"/>
            <w:noWrap/>
            <w:vAlign w:val="top"/>
            <w:hideMark/>
          </w:tcPr>
          <w:p w14:paraId="32379159"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34.3%</w:t>
            </w:r>
          </w:p>
        </w:tc>
        <w:tc>
          <w:tcPr>
            <w:tcW w:w="1042" w:type="dxa"/>
            <w:noWrap/>
            <w:vAlign w:val="top"/>
            <w:hideMark/>
          </w:tcPr>
          <w:p w14:paraId="18CFC9D8" w14:textId="77777777" w:rsidR="00EC5F95" w:rsidRPr="009F3112"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34.3%</w:t>
            </w:r>
          </w:p>
        </w:tc>
      </w:tr>
      <w:tr w:rsidR="00EC5F95" w:rsidRPr="005E11C8" w14:paraId="568C291D"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272" w:type="dxa"/>
            <w:vMerge w:val="restart"/>
          </w:tcPr>
          <w:p w14:paraId="042FF8A2" w14:textId="1316C927" w:rsidR="00EC5F95" w:rsidRPr="00C00CFA" w:rsidRDefault="00EC5F95" w:rsidP="00BE32C9">
            <w:pPr>
              <w:pStyle w:val="TableParagraph"/>
            </w:pPr>
            <w:r>
              <w:t>Medicaid</w:t>
            </w:r>
          </w:p>
        </w:tc>
        <w:tc>
          <w:tcPr>
            <w:tcW w:w="883" w:type="dxa"/>
          </w:tcPr>
          <w:p w14:paraId="3F621939" w14:textId="77777777" w:rsidR="00EC5F95" w:rsidRPr="00C00CFA"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t>ASC</w:t>
            </w:r>
          </w:p>
        </w:tc>
        <w:tc>
          <w:tcPr>
            <w:tcW w:w="939" w:type="dxa"/>
            <w:noWrap/>
            <w:vAlign w:val="top"/>
          </w:tcPr>
          <w:p w14:paraId="316E664A"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14.9%</w:t>
            </w:r>
          </w:p>
        </w:tc>
        <w:tc>
          <w:tcPr>
            <w:tcW w:w="1080" w:type="dxa"/>
            <w:noWrap/>
            <w:vAlign w:val="top"/>
          </w:tcPr>
          <w:p w14:paraId="735702C4"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15.5%</w:t>
            </w:r>
          </w:p>
        </w:tc>
        <w:tc>
          <w:tcPr>
            <w:tcW w:w="1038" w:type="dxa"/>
            <w:noWrap/>
            <w:vAlign w:val="top"/>
          </w:tcPr>
          <w:p w14:paraId="6C1209E5"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15.7%</w:t>
            </w:r>
          </w:p>
        </w:tc>
        <w:tc>
          <w:tcPr>
            <w:tcW w:w="1038" w:type="dxa"/>
            <w:noWrap/>
            <w:vAlign w:val="top"/>
          </w:tcPr>
          <w:p w14:paraId="0B12773A"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15.9%</w:t>
            </w:r>
          </w:p>
        </w:tc>
        <w:tc>
          <w:tcPr>
            <w:tcW w:w="1038" w:type="dxa"/>
            <w:noWrap/>
            <w:vAlign w:val="top"/>
          </w:tcPr>
          <w:p w14:paraId="5E74A83C"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16.0%</w:t>
            </w:r>
          </w:p>
        </w:tc>
        <w:tc>
          <w:tcPr>
            <w:tcW w:w="1042" w:type="dxa"/>
            <w:noWrap/>
            <w:vAlign w:val="top"/>
          </w:tcPr>
          <w:p w14:paraId="3C670088"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16.0%</w:t>
            </w:r>
          </w:p>
        </w:tc>
      </w:tr>
      <w:tr w:rsidR="00EC5F95" w:rsidRPr="005E11C8" w14:paraId="42D4A5AC"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272" w:type="dxa"/>
            <w:vMerge/>
          </w:tcPr>
          <w:p w14:paraId="5A1210DB" w14:textId="77777777" w:rsidR="00EC5F95" w:rsidRPr="00C00CFA" w:rsidRDefault="00EC5F95" w:rsidP="00BE32C9">
            <w:pPr>
              <w:pStyle w:val="TableParagraph"/>
            </w:pPr>
          </w:p>
        </w:tc>
        <w:tc>
          <w:tcPr>
            <w:tcW w:w="883" w:type="dxa"/>
          </w:tcPr>
          <w:p w14:paraId="021D7ACD" w14:textId="77777777" w:rsidR="00EC5F95" w:rsidRPr="00C00CFA"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t>Imaging</w:t>
            </w:r>
          </w:p>
        </w:tc>
        <w:tc>
          <w:tcPr>
            <w:tcW w:w="939" w:type="dxa"/>
            <w:noWrap/>
            <w:vAlign w:val="top"/>
          </w:tcPr>
          <w:p w14:paraId="3FFCCAC3"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20.5%</w:t>
            </w:r>
          </w:p>
        </w:tc>
        <w:tc>
          <w:tcPr>
            <w:tcW w:w="1080" w:type="dxa"/>
            <w:noWrap/>
            <w:vAlign w:val="top"/>
          </w:tcPr>
          <w:p w14:paraId="5FFB6ED6"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22.5%</w:t>
            </w:r>
          </w:p>
        </w:tc>
        <w:tc>
          <w:tcPr>
            <w:tcW w:w="1038" w:type="dxa"/>
            <w:noWrap/>
            <w:vAlign w:val="top"/>
          </w:tcPr>
          <w:p w14:paraId="4BD7E9F9"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22.8%</w:t>
            </w:r>
          </w:p>
        </w:tc>
        <w:tc>
          <w:tcPr>
            <w:tcW w:w="1038" w:type="dxa"/>
            <w:noWrap/>
            <w:vAlign w:val="top"/>
          </w:tcPr>
          <w:p w14:paraId="3537D451"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23.0%</w:t>
            </w:r>
          </w:p>
        </w:tc>
        <w:tc>
          <w:tcPr>
            <w:tcW w:w="1038" w:type="dxa"/>
            <w:noWrap/>
            <w:vAlign w:val="top"/>
          </w:tcPr>
          <w:p w14:paraId="39D8FF9E"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23.2%</w:t>
            </w:r>
          </w:p>
        </w:tc>
        <w:tc>
          <w:tcPr>
            <w:tcW w:w="1042" w:type="dxa"/>
            <w:noWrap/>
            <w:vAlign w:val="top"/>
          </w:tcPr>
          <w:p w14:paraId="54D32238"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23.2%</w:t>
            </w:r>
          </w:p>
        </w:tc>
      </w:tr>
      <w:tr w:rsidR="00EC5F95" w:rsidRPr="005E11C8" w14:paraId="602E1CD1" w14:textId="77777777" w:rsidTr="001530BC">
        <w:trPr>
          <w:cantSplit/>
          <w:trHeight w:val="300"/>
        </w:trPr>
        <w:tc>
          <w:tcPr>
            <w:cnfStyle w:val="001000000000" w:firstRow="0" w:lastRow="0" w:firstColumn="1" w:lastColumn="0" w:oddVBand="0" w:evenVBand="0" w:oddHBand="0" w:evenHBand="0" w:firstRowFirstColumn="0" w:firstRowLastColumn="0" w:lastRowFirstColumn="0" w:lastRowLastColumn="0"/>
            <w:tcW w:w="1272" w:type="dxa"/>
            <w:vMerge/>
          </w:tcPr>
          <w:p w14:paraId="72E47D77" w14:textId="77777777" w:rsidR="00EC5F95" w:rsidRPr="00C00CFA" w:rsidRDefault="00EC5F95" w:rsidP="00BE32C9">
            <w:pPr>
              <w:pStyle w:val="TableParagraph"/>
            </w:pPr>
          </w:p>
        </w:tc>
        <w:tc>
          <w:tcPr>
            <w:tcW w:w="883" w:type="dxa"/>
          </w:tcPr>
          <w:p w14:paraId="42AE3119" w14:textId="77777777" w:rsidR="00EC5F95" w:rsidRPr="00C00CFA"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t>MRI</w:t>
            </w:r>
          </w:p>
        </w:tc>
        <w:tc>
          <w:tcPr>
            <w:tcW w:w="939" w:type="dxa"/>
            <w:noWrap/>
            <w:vAlign w:val="top"/>
          </w:tcPr>
          <w:p w14:paraId="2F9E5118"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31.8%</w:t>
            </w:r>
          </w:p>
        </w:tc>
        <w:tc>
          <w:tcPr>
            <w:tcW w:w="1080" w:type="dxa"/>
            <w:noWrap/>
            <w:vAlign w:val="top"/>
          </w:tcPr>
          <w:p w14:paraId="6799C45B"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35.2%</w:t>
            </w:r>
          </w:p>
        </w:tc>
        <w:tc>
          <w:tcPr>
            <w:tcW w:w="1038" w:type="dxa"/>
            <w:noWrap/>
            <w:vAlign w:val="top"/>
          </w:tcPr>
          <w:p w14:paraId="110ED192"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35.7%</w:t>
            </w:r>
          </w:p>
        </w:tc>
        <w:tc>
          <w:tcPr>
            <w:tcW w:w="1038" w:type="dxa"/>
            <w:noWrap/>
            <w:vAlign w:val="top"/>
          </w:tcPr>
          <w:p w14:paraId="008A80D8"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35.9%</w:t>
            </w:r>
          </w:p>
        </w:tc>
        <w:tc>
          <w:tcPr>
            <w:tcW w:w="1038" w:type="dxa"/>
            <w:noWrap/>
            <w:vAlign w:val="top"/>
          </w:tcPr>
          <w:p w14:paraId="5C7D97CA"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36.0%</w:t>
            </w:r>
          </w:p>
        </w:tc>
        <w:tc>
          <w:tcPr>
            <w:tcW w:w="1042" w:type="dxa"/>
            <w:noWrap/>
            <w:vAlign w:val="top"/>
          </w:tcPr>
          <w:p w14:paraId="5934F880" w14:textId="77777777" w:rsidR="00EC5F95" w:rsidRPr="001C5A2E" w:rsidRDefault="00EC5F95"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36.0%</w:t>
            </w:r>
          </w:p>
        </w:tc>
      </w:tr>
    </w:tbl>
    <w:p w14:paraId="6414615B" w14:textId="77777777" w:rsidR="00EC5F95" w:rsidRDefault="00EC5F95" w:rsidP="007813FB">
      <w:pPr>
        <w:pStyle w:val="TableNotes"/>
      </w:pPr>
      <w:r>
        <w:t>Source: Massachusetts All-Payer Claims Database. Combined service area claims, 2019.</w:t>
      </w:r>
    </w:p>
    <w:p w14:paraId="5A77D407" w14:textId="6094B46F" w:rsidR="00DC56C8" w:rsidRPr="00C02A55" w:rsidRDefault="00DC56C8" w:rsidP="00BE32C9">
      <w:pPr>
        <w:pStyle w:val="Heading2"/>
      </w:pPr>
      <w:bookmarkStart w:id="332" w:name="_Toc109895527"/>
      <w:r w:rsidRPr="00C02A55">
        <w:t>Change in Prices</w:t>
      </w:r>
      <w:bookmarkEnd w:id="309"/>
      <w:bookmarkEnd w:id="310"/>
      <w:bookmarkEnd w:id="311"/>
      <w:bookmarkEnd w:id="332"/>
    </w:p>
    <w:p w14:paraId="420E0150" w14:textId="1F767433" w:rsidR="00DC56C8" w:rsidRPr="00D705C0" w:rsidRDefault="00DC56C8" w:rsidP="00BE32C9">
      <w:r>
        <w:t xml:space="preserve">The ICA requests include estimated or predicted </w:t>
      </w:r>
      <w:r w:rsidRPr="00D705C0">
        <w:t>changes in prices</w:t>
      </w:r>
      <w:r>
        <w:t>, which are</w:t>
      </w:r>
      <w:r w:rsidRPr="00D705C0">
        <w:t xml:space="preserve"> set out above based on forecasted changes in site of care. </w:t>
      </w:r>
    </w:p>
    <w:p w14:paraId="2E55272A" w14:textId="5BFA4501" w:rsidR="00DC56C8" w:rsidRPr="00242759" w:rsidRDefault="00DC56C8" w:rsidP="00BE32C9">
      <w:pPr>
        <w:pStyle w:val="Heading3"/>
      </w:pPr>
      <w:bookmarkStart w:id="333" w:name="_Toc106005406"/>
      <w:bookmarkStart w:id="334" w:name="_Toc109895528"/>
      <w:r w:rsidRPr="00242759">
        <w:t xml:space="preserve">Effect of </w:t>
      </w:r>
      <w:r w:rsidR="003D3426">
        <w:t>C</w:t>
      </w:r>
      <w:r w:rsidRPr="00242759">
        <w:t xml:space="preserve">hanges in </w:t>
      </w:r>
      <w:r w:rsidR="003D3426">
        <w:t>S</w:t>
      </w:r>
      <w:r w:rsidRPr="00242759">
        <w:t xml:space="preserve">hares on </w:t>
      </w:r>
      <w:r w:rsidR="003D3426">
        <w:t>B</w:t>
      </w:r>
      <w:r w:rsidRPr="00242759">
        <w:t xml:space="preserve">argaining </w:t>
      </w:r>
      <w:r w:rsidR="003D3426">
        <w:t>L</w:t>
      </w:r>
      <w:r w:rsidRPr="00242759">
        <w:t xml:space="preserve">everage and </w:t>
      </w:r>
      <w:r w:rsidR="003D3426">
        <w:t>P</w:t>
      </w:r>
      <w:r w:rsidRPr="00242759">
        <w:t>rices</w:t>
      </w:r>
      <w:bookmarkEnd w:id="333"/>
      <w:bookmarkEnd w:id="334"/>
    </w:p>
    <w:p w14:paraId="13CC4C94" w14:textId="4E190BC7" w:rsidR="00DC56C8" w:rsidRPr="00744A10" w:rsidRDefault="00DC56C8" w:rsidP="00BE32C9">
      <w:r w:rsidRPr="00B1234F">
        <w:t>In order to respond to the ICA questions concerning the impact of changes in market share on price, we referred to the economic literature on healthcare and that associates price increases due to changes in market shares with the Herfindahl-Hirschman Index (HHI) measure of concentration. This literature</w:t>
      </w:r>
      <w:r w:rsidR="00095CDC">
        <w:t xml:space="preserve"> covers a wide range of factors involved in assessing bargaining power in healthcare but provides a means to</w:t>
      </w:r>
      <w:r w:rsidRPr="00B1234F">
        <w:t xml:space="preserve"> </w:t>
      </w:r>
      <w:r w:rsidR="00095CDC">
        <w:t>construct</w:t>
      </w:r>
      <w:r w:rsidRPr="00B1234F">
        <w:t xml:space="preserve"> </w:t>
      </w:r>
      <w:r w:rsidR="00095CDC">
        <w:t xml:space="preserve">empirical </w:t>
      </w:r>
      <w:r w:rsidRPr="00B1234F">
        <w:t>estimates of the relationship between changes in HHI and price for purposes of evaluation</w:t>
      </w:r>
      <w:r w:rsidR="00095CDC">
        <w:t xml:space="preserve"> of the ICA questions</w:t>
      </w:r>
      <w:r w:rsidRPr="00B1234F">
        <w:t>.</w:t>
      </w:r>
      <w:r w:rsidRPr="00B1234F">
        <w:rPr>
          <w:rStyle w:val="FootnoteReference"/>
        </w:rPr>
        <w:footnoteReference w:id="76"/>
      </w:r>
      <w:r>
        <w:t xml:space="preserve"> </w:t>
      </w:r>
      <w:r>
        <w:fldChar w:fldCharType="begin"/>
      </w:r>
      <w:r>
        <w:instrText xml:space="preserve"> REF _Ref106042914 \h </w:instrText>
      </w:r>
      <w:r>
        <w:fldChar w:fldCharType="separate"/>
      </w:r>
      <w:r w:rsidR="00CE7C62">
        <w:t xml:space="preserve">Table </w:t>
      </w:r>
      <w:r w:rsidR="00CE7C62">
        <w:rPr>
          <w:noProof/>
        </w:rPr>
        <w:t>34</w:t>
      </w:r>
      <w:r>
        <w:fldChar w:fldCharType="end"/>
      </w:r>
      <w:r>
        <w:t xml:space="preserve"> reports the changes in HHI by service type for the service area</w:t>
      </w:r>
      <w:r w:rsidR="00E206CF">
        <w:t xml:space="preserve"> based on the projected market shares found in previous section.</w:t>
      </w:r>
      <w:r>
        <w:t xml:space="preserve"> For these HHIs, since it would be inappropriate to count the outside option as either a single competitor or as individual competitors, the outside option was split evenly to be </w:t>
      </w:r>
      <w:r w:rsidR="0048402A">
        <w:t xml:space="preserve">a number of individual firms each with </w:t>
      </w:r>
      <w:r>
        <w:t xml:space="preserve">slightly under 5%. HHIs were then calculated based on the 6 major systems </w:t>
      </w:r>
      <w:r>
        <w:lastRenderedPageBreak/>
        <w:t xml:space="preserve">plus </w:t>
      </w:r>
      <w:r w:rsidR="0048402A">
        <w:t xml:space="preserve">an assumed </w:t>
      </w:r>
      <w:r>
        <w:t xml:space="preserve">11 to 13 </w:t>
      </w:r>
      <w:r w:rsidR="001216A7">
        <w:t>providers</w:t>
      </w:r>
      <w:r>
        <w:t xml:space="preserve"> representing the providers that comprise the outside option. Consequently, the numbers in </w:t>
      </w:r>
      <w:r w:rsidR="00335BA9">
        <w:fldChar w:fldCharType="begin"/>
      </w:r>
      <w:r w:rsidR="00335BA9">
        <w:instrText xml:space="preserve"> REF _Ref106042909 \h </w:instrText>
      </w:r>
      <w:r w:rsidR="00335BA9">
        <w:fldChar w:fldCharType="separate"/>
      </w:r>
      <w:r w:rsidR="00CE7C62">
        <w:t xml:space="preserve">Table </w:t>
      </w:r>
      <w:r w:rsidR="00CE7C62">
        <w:rPr>
          <w:noProof/>
        </w:rPr>
        <w:t>34</w:t>
      </w:r>
      <w:r w:rsidR="00CE7C62">
        <w:t>: HHIs and Changes in HHI</w:t>
      </w:r>
      <w:r w:rsidR="00335BA9">
        <w:fldChar w:fldCharType="end"/>
      </w:r>
      <w:r>
        <w:t xml:space="preserve"> should be considered overestimates of actual concentration and changes in concentration. Even so, the highest change is for MRI which increases by </w:t>
      </w:r>
      <w:r w:rsidR="00501C9B">
        <w:t>214</w:t>
      </w:r>
      <w:r>
        <w:t xml:space="preserve">. </w:t>
      </w:r>
      <w:r w:rsidRPr="1025C662">
        <w:rPr>
          <w:b/>
          <w:bCs/>
          <w:i/>
          <w:iCs/>
        </w:rPr>
        <w:t>Because the HHIs and changes in HHIs determined for ASC and all imaging services are below the Department of Justice’s thresholds,</w:t>
      </w:r>
      <w:r w:rsidRPr="1025C662">
        <w:rPr>
          <w:rStyle w:val="FootnoteReference"/>
          <w:b/>
          <w:bCs/>
          <w:i/>
          <w:iCs/>
        </w:rPr>
        <w:footnoteReference w:id="77"/>
      </w:r>
      <w:r w:rsidRPr="1025C662">
        <w:rPr>
          <w:b/>
          <w:bCs/>
          <w:i/>
          <w:iCs/>
        </w:rPr>
        <w:t xml:space="preserve"> modifications to price due to changes in concentration were not undertaken and changes in health care costs are assumed to be entirely driven by patient redistribution among facilities whose prices may differ.</w:t>
      </w:r>
      <w:r w:rsidR="0022119E" w:rsidRPr="1025C662">
        <w:rPr>
          <w:b/>
          <w:bCs/>
          <w:i/>
          <w:iCs/>
        </w:rPr>
        <w:t xml:space="preserve"> Stated alternatively, the changes in share and concentration levels do not demonstrate a concentration/share basis of concern about increased pricing or bargaining power by BCH.</w:t>
      </w:r>
    </w:p>
    <w:p w14:paraId="683B0DEA" w14:textId="4D0893DB" w:rsidR="00673279" w:rsidRDefault="00673279" w:rsidP="007813FB">
      <w:pPr>
        <w:pStyle w:val="Caption"/>
      </w:pPr>
      <w:bookmarkStart w:id="336" w:name="_Ref106042914"/>
      <w:bookmarkStart w:id="337" w:name="_Ref106042909"/>
      <w:bookmarkStart w:id="338" w:name="_Toc106641212"/>
      <w:bookmarkStart w:id="339" w:name="_Toc106648916"/>
      <w:bookmarkStart w:id="340" w:name="_Toc109895465"/>
      <w:r>
        <w:t xml:space="preserve">Table </w:t>
      </w:r>
      <w:fldSimple w:instr=" SEQ Table \* ARABIC ">
        <w:r w:rsidR="00CE7C62">
          <w:rPr>
            <w:noProof/>
          </w:rPr>
          <w:t>34</w:t>
        </w:r>
      </w:fldSimple>
      <w:bookmarkEnd w:id="336"/>
      <w:r>
        <w:t>: HHIs and Changes in HHI</w:t>
      </w:r>
      <w:bookmarkEnd w:id="337"/>
      <w:bookmarkEnd w:id="338"/>
      <w:bookmarkEnd w:id="339"/>
      <w:bookmarkEnd w:id="340"/>
    </w:p>
    <w:tbl>
      <w:tblPr>
        <w:tblStyle w:val="GridTable4-Accent11"/>
        <w:tblW w:w="0" w:type="auto"/>
        <w:tblLook w:val="04A0" w:firstRow="1" w:lastRow="0" w:firstColumn="1" w:lastColumn="0" w:noHBand="0" w:noVBand="1"/>
      </w:tblPr>
      <w:tblGrid>
        <w:gridCol w:w="1558"/>
        <w:gridCol w:w="1008"/>
        <w:gridCol w:w="1008"/>
        <w:gridCol w:w="1008"/>
        <w:gridCol w:w="1008"/>
        <w:gridCol w:w="1008"/>
      </w:tblGrid>
      <w:tr w:rsidR="00673279" w14:paraId="693AC10F" w14:textId="77777777" w:rsidTr="002F55C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58" w:type="dxa"/>
          </w:tcPr>
          <w:p w14:paraId="3C91B78E" w14:textId="77777777" w:rsidR="00673279" w:rsidRDefault="00673279" w:rsidP="00BE32C9">
            <w:pPr>
              <w:pStyle w:val="TableParagraph"/>
            </w:pPr>
            <w:r>
              <w:t>Service</w:t>
            </w:r>
          </w:p>
        </w:tc>
        <w:tc>
          <w:tcPr>
            <w:tcW w:w="1008" w:type="dxa"/>
          </w:tcPr>
          <w:p w14:paraId="3D3B8B7E" w14:textId="77777777" w:rsidR="00673279" w:rsidRDefault="00673279" w:rsidP="00BE32C9">
            <w:pPr>
              <w:pStyle w:val="TableParagraph"/>
              <w:cnfStyle w:val="100000000000" w:firstRow="1" w:lastRow="0" w:firstColumn="0" w:lastColumn="0" w:oddVBand="0" w:evenVBand="0" w:oddHBand="0" w:evenHBand="0" w:firstRowFirstColumn="0" w:firstRowLastColumn="0" w:lastRowFirstColumn="0" w:lastRowLastColumn="0"/>
            </w:pPr>
            <w:r>
              <w:t>HHI (2019)</w:t>
            </w:r>
          </w:p>
        </w:tc>
        <w:tc>
          <w:tcPr>
            <w:tcW w:w="1008" w:type="dxa"/>
          </w:tcPr>
          <w:p w14:paraId="30633080" w14:textId="77777777" w:rsidR="00673279" w:rsidRDefault="00673279" w:rsidP="00BE32C9">
            <w:pPr>
              <w:pStyle w:val="TableParagraph"/>
              <w:cnfStyle w:val="100000000000" w:firstRow="1" w:lastRow="0" w:firstColumn="0" w:lastColumn="0" w:oddVBand="0" w:evenVBand="0" w:oddHBand="0" w:evenHBand="0" w:firstRowFirstColumn="0" w:firstRowLastColumn="0" w:lastRowFirstColumn="0" w:lastRowLastColumn="0"/>
            </w:pPr>
            <w:r>
              <w:t>HHI (2025)</w:t>
            </w:r>
          </w:p>
        </w:tc>
        <w:tc>
          <w:tcPr>
            <w:tcW w:w="1008" w:type="dxa"/>
          </w:tcPr>
          <w:p w14:paraId="68485C2A" w14:textId="77777777" w:rsidR="00673279" w:rsidRDefault="00673279" w:rsidP="00BE32C9">
            <w:pPr>
              <w:pStyle w:val="TableParagraph"/>
              <w:cnfStyle w:val="100000000000" w:firstRow="1" w:lastRow="0" w:firstColumn="0" w:lastColumn="0" w:oddVBand="0" w:evenVBand="0" w:oddHBand="0" w:evenHBand="0" w:firstRowFirstColumn="0" w:firstRowLastColumn="0" w:lastRowFirstColumn="0" w:lastRowLastColumn="0"/>
            </w:pPr>
            <w:r>
              <w:t>2019-2025 change in HHI</w:t>
            </w:r>
          </w:p>
        </w:tc>
        <w:tc>
          <w:tcPr>
            <w:tcW w:w="1008" w:type="dxa"/>
          </w:tcPr>
          <w:p w14:paraId="3B04A3E8" w14:textId="77777777" w:rsidR="00673279" w:rsidRDefault="00673279" w:rsidP="00BE32C9">
            <w:pPr>
              <w:pStyle w:val="TableParagraph"/>
              <w:cnfStyle w:val="100000000000" w:firstRow="1" w:lastRow="0" w:firstColumn="0" w:lastColumn="0" w:oddVBand="0" w:evenVBand="0" w:oddHBand="0" w:evenHBand="0" w:firstRowFirstColumn="0" w:firstRowLastColumn="0" w:lastRowFirstColumn="0" w:lastRowLastColumn="0"/>
            </w:pPr>
            <w:r>
              <w:t>HHI (2040)</w:t>
            </w:r>
          </w:p>
        </w:tc>
        <w:tc>
          <w:tcPr>
            <w:tcW w:w="1008" w:type="dxa"/>
          </w:tcPr>
          <w:p w14:paraId="3C10BD4B" w14:textId="77777777" w:rsidR="00673279" w:rsidRDefault="00673279" w:rsidP="00BE32C9">
            <w:pPr>
              <w:pStyle w:val="TableParagraph"/>
              <w:cnfStyle w:val="100000000000" w:firstRow="1" w:lastRow="0" w:firstColumn="0" w:lastColumn="0" w:oddVBand="0" w:evenVBand="0" w:oddHBand="0" w:evenHBand="0" w:firstRowFirstColumn="0" w:firstRowLastColumn="0" w:lastRowFirstColumn="0" w:lastRowLastColumn="0"/>
            </w:pPr>
            <w:r>
              <w:t>2019-2040 change in HHI</w:t>
            </w:r>
          </w:p>
        </w:tc>
      </w:tr>
      <w:tr w:rsidR="00673279" w14:paraId="7DD48135" w14:textId="77777777" w:rsidTr="002F55CD">
        <w:trPr>
          <w:cantSplit/>
        </w:trPr>
        <w:tc>
          <w:tcPr>
            <w:cnfStyle w:val="001000000000" w:firstRow="0" w:lastRow="0" w:firstColumn="1" w:lastColumn="0" w:oddVBand="0" w:evenVBand="0" w:oddHBand="0" w:evenHBand="0" w:firstRowFirstColumn="0" w:firstRowLastColumn="0" w:lastRowFirstColumn="0" w:lastRowLastColumn="0"/>
            <w:tcW w:w="1558" w:type="dxa"/>
          </w:tcPr>
          <w:p w14:paraId="0E0D3BFC" w14:textId="77777777" w:rsidR="00673279" w:rsidRDefault="00673279" w:rsidP="00BE32C9">
            <w:pPr>
              <w:pStyle w:val="TableParagraph"/>
            </w:pPr>
            <w:r>
              <w:t>ASC</w:t>
            </w:r>
          </w:p>
        </w:tc>
        <w:tc>
          <w:tcPr>
            <w:tcW w:w="1008" w:type="dxa"/>
          </w:tcPr>
          <w:p w14:paraId="2CC2FCBA" w14:textId="77777777" w:rsidR="00673279"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710</w:t>
            </w:r>
          </w:p>
        </w:tc>
        <w:tc>
          <w:tcPr>
            <w:tcW w:w="1008" w:type="dxa"/>
          </w:tcPr>
          <w:p w14:paraId="4F663EAA" w14:textId="77777777" w:rsidR="00673279"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726</w:t>
            </w:r>
          </w:p>
        </w:tc>
        <w:tc>
          <w:tcPr>
            <w:tcW w:w="1008" w:type="dxa"/>
          </w:tcPr>
          <w:p w14:paraId="207EEA75" w14:textId="77777777" w:rsidR="00673279"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+16</w:t>
            </w:r>
          </w:p>
        </w:tc>
        <w:tc>
          <w:tcPr>
            <w:tcW w:w="1008" w:type="dxa"/>
          </w:tcPr>
          <w:p w14:paraId="3FF55728" w14:textId="77777777" w:rsidR="00673279"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729</w:t>
            </w:r>
          </w:p>
        </w:tc>
        <w:tc>
          <w:tcPr>
            <w:tcW w:w="1008" w:type="dxa"/>
          </w:tcPr>
          <w:p w14:paraId="421D6C67" w14:textId="77777777" w:rsidR="00673279"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+19</w:t>
            </w:r>
          </w:p>
        </w:tc>
      </w:tr>
      <w:tr w:rsidR="00673279" w14:paraId="25CE6032" w14:textId="77777777" w:rsidTr="002F55CD">
        <w:trPr>
          <w:cantSplit/>
        </w:trPr>
        <w:tc>
          <w:tcPr>
            <w:cnfStyle w:val="001000000000" w:firstRow="0" w:lastRow="0" w:firstColumn="1" w:lastColumn="0" w:oddVBand="0" w:evenVBand="0" w:oddHBand="0" w:evenHBand="0" w:firstRowFirstColumn="0" w:firstRowLastColumn="0" w:lastRowFirstColumn="0" w:lastRowLastColumn="0"/>
            <w:tcW w:w="1558" w:type="dxa"/>
          </w:tcPr>
          <w:p w14:paraId="5C6DCDA1" w14:textId="77777777" w:rsidR="00673279" w:rsidRDefault="00673279" w:rsidP="00BE32C9">
            <w:pPr>
              <w:pStyle w:val="TableParagraph"/>
            </w:pPr>
            <w:r>
              <w:t>MRI</w:t>
            </w:r>
          </w:p>
        </w:tc>
        <w:tc>
          <w:tcPr>
            <w:tcW w:w="1008" w:type="dxa"/>
          </w:tcPr>
          <w:p w14:paraId="7B769198" w14:textId="77777777" w:rsidR="00673279"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1278</w:t>
            </w:r>
          </w:p>
        </w:tc>
        <w:tc>
          <w:tcPr>
            <w:tcW w:w="1008" w:type="dxa"/>
          </w:tcPr>
          <w:p w14:paraId="0EBC7AF1" w14:textId="77777777" w:rsidR="00673279"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1492</w:t>
            </w:r>
          </w:p>
        </w:tc>
        <w:tc>
          <w:tcPr>
            <w:tcW w:w="1008" w:type="dxa"/>
          </w:tcPr>
          <w:p w14:paraId="6FC539CD" w14:textId="77777777" w:rsidR="00673279"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+214</w:t>
            </w:r>
          </w:p>
        </w:tc>
        <w:tc>
          <w:tcPr>
            <w:tcW w:w="1008" w:type="dxa"/>
          </w:tcPr>
          <w:p w14:paraId="7C476DE5" w14:textId="77777777" w:rsidR="00673279"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1497</w:t>
            </w:r>
          </w:p>
        </w:tc>
        <w:tc>
          <w:tcPr>
            <w:tcW w:w="1008" w:type="dxa"/>
          </w:tcPr>
          <w:p w14:paraId="5B4FF748" w14:textId="77777777" w:rsidR="00673279"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+220</w:t>
            </w:r>
          </w:p>
        </w:tc>
      </w:tr>
      <w:tr w:rsidR="00673279" w14:paraId="314A4F77" w14:textId="77777777" w:rsidTr="002F55CD">
        <w:trPr>
          <w:cantSplit/>
        </w:trPr>
        <w:tc>
          <w:tcPr>
            <w:cnfStyle w:val="001000000000" w:firstRow="0" w:lastRow="0" w:firstColumn="1" w:lastColumn="0" w:oddVBand="0" w:evenVBand="0" w:oddHBand="0" w:evenHBand="0" w:firstRowFirstColumn="0" w:firstRowLastColumn="0" w:lastRowFirstColumn="0" w:lastRowLastColumn="0"/>
            <w:tcW w:w="1558" w:type="dxa"/>
          </w:tcPr>
          <w:p w14:paraId="794D2C3C" w14:textId="77777777" w:rsidR="00673279" w:rsidRDefault="00673279" w:rsidP="00BE32C9">
            <w:pPr>
              <w:pStyle w:val="TableParagraph"/>
            </w:pPr>
            <w:r>
              <w:t>All Imaging</w:t>
            </w:r>
          </w:p>
        </w:tc>
        <w:tc>
          <w:tcPr>
            <w:tcW w:w="1008" w:type="dxa"/>
          </w:tcPr>
          <w:p w14:paraId="20A70457" w14:textId="77777777" w:rsidR="00673279"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794</w:t>
            </w:r>
          </w:p>
        </w:tc>
        <w:tc>
          <w:tcPr>
            <w:tcW w:w="1008" w:type="dxa"/>
          </w:tcPr>
          <w:p w14:paraId="425E51E6" w14:textId="77777777" w:rsidR="00673279"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871</w:t>
            </w:r>
          </w:p>
        </w:tc>
        <w:tc>
          <w:tcPr>
            <w:tcW w:w="1008" w:type="dxa"/>
          </w:tcPr>
          <w:p w14:paraId="3778CBA8" w14:textId="77777777" w:rsidR="00673279"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+77</w:t>
            </w:r>
          </w:p>
        </w:tc>
        <w:tc>
          <w:tcPr>
            <w:tcW w:w="1008" w:type="dxa"/>
          </w:tcPr>
          <w:p w14:paraId="3029C379" w14:textId="77777777" w:rsidR="00673279"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876</w:t>
            </w:r>
          </w:p>
        </w:tc>
        <w:tc>
          <w:tcPr>
            <w:tcW w:w="1008" w:type="dxa"/>
          </w:tcPr>
          <w:p w14:paraId="4D3CD1D2" w14:textId="77777777" w:rsidR="00673279"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+82</w:t>
            </w:r>
          </w:p>
        </w:tc>
      </w:tr>
    </w:tbl>
    <w:p w14:paraId="0AD74A78" w14:textId="77777777" w:rsidR="00673279" w:rsidRPr="004A3554" w:rsidRDefault="00673279" w:rsidP="007813FB">
      <w:pPr>
        <w:pStyle w:val="TableNotes"/>
      </w:pPr>
      <w:r>
        <w:t>Source: Massachusetts All-Payer Claims Database. Statewide claims, commercial, 2019.</w:t>
      </w:r>
    </w:p>
    <w:p w14:paraId="05260173" w14:textId="52A0A870" w:rsidR="00DC56C8" w:rsidRDefault="00DC56C8" w:rsidP="00BE32C9">
      <w:pPr>
        <w:pStyle w:val="Heading2"/>
      </w:pPr>
      <w:bookmarkStart w:id="341" w:name="_Toc94002343"/>
      <w:bookmarkStart w:id="342" w:name="_Toc106002917"/>
      <w:bookmarkStart w:id="343" w:name="_Toc106005407"/>
      <w:bookmarkStart w:id="344" w:name="_Toc109895529"/>
      <w:r w:rsidRPr="00D705C0">
        <w:t>Total Medical Spending</w:t>
      </w:r>
      <w:bookmarkEnd w:id="341"/>
      <w:bookmarkEnd w:id="342"/>
      <w:bookmarkEnd w:id="343"/>
      <w:bookmarkEnd w:id="344"/>
    </w:p>
    <w:p w14:paraId="786AB2D7" w14:textId="1BC431A8" w:rsidR="00617FB3" w:rsidRPr="00617FB3" w:rsidRDefault="00617FB3" w:rsidP="00BE32C9">
      <w:pPr>
        <w:pStyle w:val="Heading3"/>
      </w:pPr>
      <w:bookmarkStart w:id="345" w:name="_Toc109895530"/>
      <w:r>
        <w:t>Estimated Impact on Medical Spending</w:t>
      </w:r>
      <w:bookmarkEnd w:id="345"/>
    </w:p>
    <w:p w14:paraId="1E12510D" w14:textId="19876E18" w:rsidR="00DC56C8" w:rsidRPr="0022119E" w:rsidRDefault="00E206CF" w:rsidP="00BE32C9">
      <w:r>
        <w:t xml:space="preserve">The </w:t>
      </w:r>
      <w:r w:rsidR="00DC56C8">
        <w:t xml:space="preserve">estimated utilization demand from Sections </w:t>
      </w:r>
      <w:r>
        <w:fldChar w:fldCharType="begin"/>
      </w:r>
      <w:r>
        <w:instrText xml:space="preserve"> REF _Ref106354951 \r \h </w:instrText>
      </w:r>
      <w:r>
        <w:fldChar w:fldCharType="separate"/>
      </w:r>
      <w:r w:rsidR="00CE7C62">
        <w:t>IX</w:t>
      </w:r>
      <w:r>
        <w:fldChar w:fldCharType="end"/>
      </w:r>
      <w:r>
        <w:t xml:space="preserve"> and </w:t>
      </w:r>
      <w:r>
        <w:fldChar w:fldCharType="begin"/>
      </w:r>
      <w:r>
        <w:instrText xml:space="preserve"> REF _Ref106354955 \r \h </w:instrText>
      </w:r>
      <w:r>
        <w:fldChar w:fldCharType="separate"/>
      </w:r>
      <w:r w:rsidR="00CE7C62">
        <w:t>X</w:t>
      </w:r>
      <w:r>
        <w:fldChar w:fldCharType="end"/>
      </w:r>
      <w:r w:rsidR="00DC56C8">
        <w:t xml:space="preserve"> and the price analysis described in </w:t>
      </w:r>
      <w:r w:rsidR="00380304">
        <w:t xml:space="preserve">Section </w:t>
      </w:r>
      <w:r w:rsidR="00380304">
        <w:fldChar w:fldCharType="begin"/>
      </w:r>
      <w:r w:rsidR="00380304">
        <w:instrText xml:space="preserve"> REF _Ref109900243 \r \h </w:instrText>
      </w:r>
      <w:r w:rsidR="00380304">
        <w:fldChar w:fldCharType="separate"/>
      </w:r>
      <w:r w:rsidR="00380304">
        <w:t>XI</w:t>
      </w:r>
      <w:r w:rsidR="00380304">
        <w:fldChar w:fldCharType="end"/>
      </w:r>
      <w:r w:rsidR="00380304">
        <w:t xml:space="preserve"> </w:t>
      </w:r>
      <w:r w:rsidR="00DC56C8" w:rsidRPr="00E57E95">
        <w:t>were combined to project the total health care costs under the changes outlined by BCH.</w:t>
      </w:r>
      <w:r w:rsidR="00DC56C8">
        <w:t xml:space="preserve"> The following tables isolate the changes in health care costs for commercial only in each of the service lines. Commercial was isolated because it is for these patients that changes in market shares might affect prices</w:t>
      </w:r>
      <w:r w:rsidR="00DE0ED5">
        <w:t xml:space="preserve"> or that shifts in location of care may affect </w:t>
      </w:r>
      <w:r>
        <w:t>total health care expenditures.</w:t>
      </w:r>
      <w:r w:rsidR="00DC56C8">
        <w:t xml:space="preserve"> While Medicaid and MassHealth patients will also shift, as shown in Section X, total health care costs for these patients </w:t>
      </w:r>
      <w:r w:rsidR="005D7EED">
        <w:t>are less like to</w:t>
      </w:r>
      <w:r w:rsidR="00DC56C8">
        <w:t xml:space="preserve"> be</w:t>
      </w:r>
      <w:r w:rsidR="00392A24">
        <w:t xml:space="preserve"> </w:t>
      </w:r>
      <w:r w:rsidR="00DC56C8">
        <w:t xml:space="preserve">affected due to </w:t>
      </w:r>
      <w:r w:rsidR="00DC56C8" w:rsidRPr="0022119E">
        <w:t>patient choice.</w:t>
      </w:r>
    </w:p>
    <w:p w14:paraId="3FBC2302" w14:textId="717F4A02" w:rsidR="00DC56C8" w:rsidRPr="0022119E" w:rsidRDefault="005D7EED" w:rsidP="00BE32C9">
      <w:r w:rsidRPr="0022119E">
        <w:t xml:space="preserve">While there are predicted </w:t>
      </w:r>
      <w:r w:rsidR="00595D29" w:rsidRPr="0022119E">
        <w:t xml:space="preserve">volume changes for public payers, </w:t>
      </w:r>
      <w:r w:rsidRPr="0022119E">
        <w:t xml:space="preserve">healthcare cost trend analyses tend to focus on </w:t>
      </w:r>
      <w:r w:rsidR="00595D29" w:rsidRPr="0022119E">
        <w:t xml:space="preserve">commercial payers </w:t>
      </w:r>
      <w:r w:rsidRPr="0022119E">
        <w:t>because these are the payers for whom there may be</w:t>
      </w:r>
      <w:r w:rsidR="00595D29" w:rsidRPr="0022119E">
        <w:t xml:space="preserve"> </w:t>
      </w:r>
      <w:r w:rsidR="00467CF3" w:rsidRPr="0022119E">
        <w:t xml:space="preserve">potentially </w:t>
      </w:r>
      <w:r w:rsidR="00595D29" w:rsidRPr="0022119E">
        <w:t xml:space="preserve">significant changes in health care expenditures due to larger </w:t>
      </w:r>
      <w:r w:rsidR="00467CF3" w:rsidRPr="0022119E">
        <w:t xml:space="preserve">current </w:t>
      </w:r>
      <w:r w:rsidR="00595D29" w:rsidRPr="0022119E">
        <w:t>differences in prices between facilities. Consequently, we focus on commercial patients in the analysis below.</w:t>
      </w:r>
    </w:p>
    <w:p w14:paraId="2F97E1EA" w14:textId="33852810" w:rsidR="00DC56C8" w:rsidRDefault="00DC56C8" w:rsidP="00BE32C9">
      <w:r>
        <w:t xml:space="preserve">For this analysis, commercial prices were determined by first isolating payments based on the same restrictions described above in </w:t>
      </w:r>
      <w:r w:rsidRPr="00595D29">
        <w:t xml:space="preserve">Section </w:t>
      </w:r>
      <w:r w:rsidR="00E206CF" w:rsidRPr="00595D29">
        <w:rPr>
          <w:highlight w:val="yellow"/>
        </w:rPr>
        <w:fldChar w:fldCharType="begin"/>
      </w:r>
      <w:r w:rsidR="00E206CF" w:rsidRPr="00595D29">
        <w:instrText xml:space="preserve"> REF _Ref106355058 \r \h </w:instrText>
      </w:r>
      <w:r w:rsidR="00E206CF" w:rsidRPr="00595D29">
        <w:rPr>
          <w:highlight w:val="yellow"/>
        </w:rPr>
      </w:r>
      <w:r w:rsidR="00E206CF" w:rsidRPr="00595D29">
        <w:rPr>
          <w:highlight w:val="yellow"/>
        </w:rPr>
        <w:fldChar w:fldCharType="separate"/>
      </w:r>
      <w:r w:rsidR="00CE7C62">
        <w:t>X</w:t>
      </w:r>
      <w:r w:rsidR="00E206CF" w:rsidRPr="00595D29">
        <w:rPr>
          <w:highlight w:val="yellow"/>
        </w:rPr>
        <w:fldChar w:fldCharType="end"/>
      </w:r>
      <w:r w:rsidRPr="00595D29">
        <w:t>. Further</w:t>
      </w:r>
      <w:r w:rsidRPr="00805A9A">
        <w:t xml:space="preserve">, commercial prices were averaged within a facility and procedure when there were </w:t>
      </w:r>
      <w:r w:rsidRPr="00E206CF">
        <w:t xml:space="preserve">more than ten visits for that procedure in 2019. If there were fewer than ten in 2019, then an inflation-adjusted average price was determined using 2016-2019 data as long as there were at least 10 visits across </w:t>
      </w:r>
      <w:r w:rsidRPr="00E206CF">
        <w:lastRenderedPageBreak/>
        <w:t>the four years. In the event that there were ten or fewer visits for a procedure across</w:t>
      </w:r>
      <w:r w:rsidRPr="00805A9A">
        <w:t xml:space="preserve"> all four years in a facility, the average commercial price for that procedure was determined for all facilities in that year and then it was multiplied by the relative price of that facility. For example, if Mass General’s commercial prices, on average were 120% higher than all commercial prices, and on average, across all facilities a service cost $100, then Mass General’s price for that service would be estimated to be $120.</w:t>
      </w:r>
    </w:p>
    <w:p w14:paraId="70C28DD8" w14:textId="52129A62" w:rsidR="00DC56C8" w:rsidRPr="00C40F29" w:rsidRDefault="00DC56C8" w:rsidP="00BE32C9">
      <w:r>
        <w:t xml:space="preserve">This methodology produced prices for each service provided in the claims data. For the new facilities, the </w:t>
      </w:r>
      <w:r w:rsidRPr="00C40F29">
        <w:t>price was estimated to be the average price of that service across the BCH hospital satellites that offer it.</w:t>
      </w:r>
    </w:p>
    <w:p w14:paraId="72C88E61" w14:textId="77777777" w:rsidR="00DC56C8" w:rsidRPr="00C40F29" w:rsidRDefault="00DC56C8" w:rsidP="00BE32C9">
      <w:r w:rsidRPr="00C40F29">
        <w:t>These prices were then matched to each of the visits in the results of the diversion model. With the projected visits already available, the prices were applied to the visits to determine how total commercial costs would change under the new provision of health services.</w:t>
      </w:r>
    </w:p>
    <w:p w14:paraId="130B0345" w14:textId="079C5AFD" w:rsidR="00DC56C8" w:rsidRPr="00B1234F" w:rsidRDefault="00DC56C8" w:rsidP="00BE32C9">
      <w:bookmarkStart w:id="346" w:name="_Hlk106645773"/>
      <w:r w:rsidRPr="00C40F29">
        <w:t xml:space="preserve">As of 2025, the change in health care costs (spending) for MRI services is projected to be an increase of 4%. This is </w:t>
      </w:r>
      <w:r w:rsidRPr="00B1234F">
        <w:t xml:space="preserve">caused by the new facilities estimated to be drawing disproportionately from hospitals and other providers that have lower prices than the new facilities. This </w:t>
      </w:r>
      <w:r w:rsidR="00A56048">
        <w:t>increase</w:t>
      </w:r>
      <w:r w:rsidR="00A56048" w:rsidRPr="00B1234F">
        <w:t xml:space="preserve"> </w:t>
      </w:r>
      <w:r w:rsidRPr="00B1234F">
        <w:t>will not materially change by 2040 due to assumed demographic shifts. We note that this is not risk or health adjusted by payer.</w:t>
      </w:r>
      <w:r w:rsidR="005D7EED">
        <w:t xml:space="preserve"> </w:t>
      </w:r>
      <w:r w:rsidR="00E60AC8">
        <w:t xml:space="preserve">This projection includes changes in volumes both at hospital outpatient providers and office-based physicians. </w:t>
      </w:r>
    </w:p>
    <w:p w14:paraId="2889346D" w14:textId="43CB2FDA" w:rsidR="00DC56C8" w:rsidRPr="00735BCF" w:rsidRDefault="00DC56C8" w:rsidP="00BE32C9">
      <w:r w:rsidRPr="00735BCF">
        <w:t>ASCs are predicted to have a</w:t>
      </w:r>
      <w:r w:rsidR="00A56048">
        <w:t xml:space="preserve">n increase </w:t>
      </w:r>
      <w:r w:rsidRPr="00735BCF">
        <w:t xml:space="preserve">in healthcare costs for the </w:t>
      </w:r>
      <w:r w:rsidR="00A56048">
        <w:t>same reason</w:t>
      </w:r>
      <w:r w:rsidR="00A56048" w:rsidRPr="00735BCF">
        <w:t xml:space="preserve"> </w:t>
      </w:r>
      <w:r w:rsidRPr="00735BCF">
        <w:t xml:space="preserve">reason—patients that currently go to </w:t>
      </w:r>
      <w:r w:rsidR="00A56048">
        <w:t xml:space="preserve">less </w:t>
      </w:r>
      <w:r w:rsidRPr="00735BCF">
        <w:t xml:space="preserve">expensive facilities will shift to the new facilities that are </w:t>
      </w:r>
      <w:r w:rsidR="00A56048">
        <w:t>higher</w:t>
      </w:r>
      <w:r w:rsidR="00A56048" w:rsidRPr="00735BCF">
        <w:t xml:space="preserve"> </w:t>
      </w:r>
      <w:r w:rsidRPr="00735BCF">
        <w:t xml:space="preserve">cost. Like MRI, the change due to the proposed changes in healthcare providers will not shift substantially over time according to population trends. </w:t>
      </w:r>
    </w:p>
    <w:bookmarkEnd w:id="346"/>
    <w:p w14:paraId="32AD0294" w14:textId="4B9FA31F" w:rsidR="00DC56C8" w:rsidRPr="00735BCF" w:rsidRDefault="00DC56C8" w:rsidP="00BE32C9">
      <w:r w:rsidRPr="00735BCF">
        <w:t>Like MRIs, total commercial spend on imaging services is estimated to increase, though by not as much as MRIs—less than 2%.</w:t>
      </w:r>
    </w:p>
    <w:p w14:paraId="58810EF4" w14:textId="738BC28E" w:rsidR="00830842" w:rsidRDefault="00B90938" w:rsidP="00BE32C9">
      <w:r w:rsidRPr="00735BCF">
        <w:t xml:space="preserve">In dollar figures, the change in </w:t>
      </w:r>
      <w:r w:rsidR="007F4E52" w:rsidRPr="00735BCF">
        <w:t xml:space="preserve">commercial spending on </w:t>
      </w:r>
      <w:r w:rsidRPr="00735BCF">
        <w:t>ASC is approximately $1.32/visit; for imaging services, approximately $3.50/visit; and for MRI approximately $32.70/visit, going from average of $773 to $806.</w:t>
      </w:r>
    </w:p>
    <w:p w14:paraId="3248BE75" w14:textId="475DC02C" w:rsidR="00DC56C8" w:rsidRDefault="00DC56C8" w:rsidP="00BE32C9">
      <w:r>
        <w:t xml:space="preserve">Conclusion: </w:t>
      </w:r>
      <w:r w:rsidR="00BD1148" w:rsidRPr="00BD1148">
        <w:t xml:space="preserve">As shown in </w:t>
      </w:r>
      <w:r w:rsidR="00BD1148" w:rsidRPr="00BD1148">
        <w:fldChar w:fldCharType="begin"/>
      </w:r>
      <w:r w:rsidR="00BD1148" w:rsidRPr="00BD1148">
        <w:instrText xml:space="preserve"> REF _Ref106625616 \h  \* MERGEFORMAT </w:instrText>
      </w:r>
      <w:r w:rsidR="00BD1148" w:rsidRPr="00BD1148">
        <w:fldChar w:fldCharType="separate"/>
      </w:r>
      <w:r w:rsidR="00CE7C62" w:rsidRPr="00BD1148">
        <w:t xml:space="preserve">Table </w:t>
      </w:r>
      <w:r w:rsidR="00CE7C62">
        <w:rPr>
          <w:noProof/>
        </w:rPr>
        <w:t>35</w:t>
      </w:r>
      <w:r w:rsidR="00CE7C62" w:rsidRPr="00BD1148">
        <w:t>: Estimated Changes</w:t>
      </w:r>
      <w:r w:rsidR="00CE7C62">
        <w:t xml:space="preserve"> in Healthcare Costs</w:t>
      </w:r>
      <w:r w:rsidR="00BD1148" w:rsidRPr="00BD1148">
        <w:fldChar w:fldCharType="end"/>
      </w:r>
      <w:r w:rsidR="00BD1148" w:rsidRPr="00BD1148">
        <w:t>, w</w:t>
      </w:r>
      <w:r w:rsidRPr="00BD1148">
        <w:t>hen</w:t>
      </w:r>
      <w:r w:rsidRPr="0022119E">
        <w:t xml:space="preserve"> taken together, the overall change in healthcare costs (spending) due to the proposed changes will be an increase in costs of </w:t>
      </w:r>
      <w:r w:rsidR="00595D29" w:rsidRPr="0022119E">
        <w:t>1.25</w:t>
      </w:r>
      <w:r w:rsidRPr="0022119E">
        <w:t>%</w:t>
      </w:r>
      <w:r w:rsidR="000D3254">
        <w:t xml:space="preserve">, </w:t>
      </w:r>
      <w:r w:rsidRPr="0022119E">
        <w:t>combined</w:t>
      </w:r>
      <w:r w:rsidR="000D3254">
        <w:t>,</w:t>
      </w:r>
      <w:r w:rsidRPr="0022119E">
        <w:t xml:space="preserve"> </w:t>
      </w:r>
      <w:r w:rsidR="000D3254">
        <w:t xml:space="preserve">for </w:t>
      </w:r>
      <w:r w:rsidRPr="0022119E">
        <w:t>both imaging and ASC services. This is well below the cost-containment goals set out above.</w:t>
      </w:r>
      <w:r w:rsidR="0022119E" w:rsidRPr="1025C662">
        <w:rPr>
          <w:rStyle w:val="FootnoteReference"/>
          <w:b/>
          <w:bCs/>
          <w:i/>
          <w:iCs/>
        </w:rPr>
        <w:footnoteReference w:id="78"/>
      </w:r>
      <w:r w:rsidRPr="0022119E">
        <w:t xml:space="preserve"> </w:t>
      </w:r>
    </w:p>
    <w:p w14:paraId="5629DAD6" w14:textId="611D8DA3" w:rsidR="00673279" w:rsidRPr="007813FB" w:rsidRDefault="00673279" w:rsidP="007813FB">
      <w:pPr>
        <w:pStyle w:val="Caption"/>
      </w:pPr>
      <w:bookmarkStart w:id="347" w:name="_Ref106625616"/>
      <w:bookmarkStart w:id="348" w:name="_Toc106641213"/>
      <w:bookmarkStart w:id="349" w:name="_Toc106648917"/>
      <w:bookmarkStart w:id="350" w:name="_Toc109895466"/>
      <w:r w:rsidRPr="00BD1148">
        <w:lastRenderedPageBreak/>
        <w:t xml:space="preserve">Table </w:t>
      </w:r>
      <w:fldSimple w:instr=" SEQ Table \* ARABIC ">
        <w:r w:rsidR="00CE7C62">
          <w:rPr>
            <w:noProof/>
          </w:rPr>
          <w:t>35</w:t>
        </w:r>
      </w:fldSimple>
      <w:r w:rsidRPr="00BD1148">
        <w:t>: Estimated Changes</w:t>
      </w:r>
      <w:r>
        <w:t xml:space="preserve"> in Healthcare Costs</w:t>
      </w:r>
      <w:bookmarkEnd w:id="347"/>
      <w:bookmarkEnd w:id="348"/>
      <w:bookmarkEnd w:id="349"/>
      <w:bookmarkEnd w:id="350"/>
    </w:p>
    <w:tbl>
      <w:tblPr>
        <w:tblStyle w:val="GridTable4-Accent11"/>
        <w:tblW w:w="4804" w:type="dxa"/>
        <w:tblLook w:val="04A0" w:firstRow="1" w:lastRow="0" w:firstColumn="1" w:lastColumn="0" w:noHBand="0" w:noVBand="1"/>
      </w:tblPr>
      <w:tblGrid>
        <w:gridCol w:w="960"/>
        <w:gridCol w:w="972"/>
        <w:gridCol w:w="972"/>
        <w:gridCol w:w="972"/>
        <w:gridCol w:w="928"/>
      </w:tblGrid>
      <w:tr w:rsidR="00673279" w:rsidRPr="00D837FD" w14:paraId="246FC3F3" w14:textId="77777777" w:rsidTr="002F55C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BD1D95" w14:textId="77777777" w:rsidR="00673279" w:rsidRPr="00D837FD" w:rsidRDefault="00673279" w:rsidP="00BE32C9">
            <w:pPr>
              <w:pStyle w:val="TableParagraph"/>
            </w:pPr>
            <w:r>
              <w:t>Year</w:t>
            </w:r>
          </w:p>
        </w:tc>
        <w:tc>
          <w:tcPr>
            <w:tcW w:w="972" w:type="dxa"/>
            <w:noWrap/>
            <w:hideMark/>
          </w:tcPr>
          <w:p w14:paraId="5824AECD" w14:textId="77777777" w:rsidR="00673279" w:rsidRPr="00D837FD" w:rsidRDefault="00673279" w:rsidP="00BE32C9">
            <w:pPr>
              <w:pStyle w:val="TableParagraph"/>
              <w:cnfStyle w:val="100000000000" w:firstRow="1" w:lastRow="0" w:firstColumn="0" w:lastColumn="0" w:oddVBand="0" w:evenVBand="0" w:oddHBand="0" w:evenHBand="0" w:firstRowFirstColumn="0" w:firstRowLastColumn="0" w:lastRowFirstColumn="0" w:lastRowLastColumn="0"/>
            </w:pPr>
            <w:r>
              <w:t>Change in Healthcare costs – MRI Services</w:t>
            </w:r>
          </w:p>
        </w:tc>
        <w:tc>
          <w:tcPr>
            <w:tcW w:w="972" w:type="dxa"/>
          </w:tcPr>
          <w:p w14:paraId="1252C7DD" w14:textId="77777777" w:rsidR="00673279" w:rsidRDefault="00673279" w:rsidP="00BE32C9">
            <w:pPr>
              <w:pStyle w:val="TableParagraph"/>
              <w:cnfStyle w:val="100000000000" w:firstRow="1" w:lastRow="0" w:firstColumn="0" w:lastColumn="0" w:oddVBand="0" w:evenVBand="0" w:oddHBand="0" w:evenHBand="0" w:firstRowFirstColumn="0" w:firstRowLastColumn="0" w:lastRowFirstColumn="0" w:lastRowLastColumn="0"/>
            </w:pPr>
            <w:r>
              <w:t>Change in Healthcare costs – ASC Services</w:t>
            </w:r>
          </w:p>
        </w:tc>
        <w:tc>
          <w:tcPr>
            <w:tcW w:w="972" w:type="dxa"/>
          </w:tcPr>
          <w:p w14:paraId="0CCA3784" w14:textId="77777777" w:rsidR="00673279" w:rsidRDefault="00673279" w:rsidP="00BE32C9">
            <w:pPr>
              <w:pStyle w:val="TableParagraph"/>
              <w:cnfStyle w:val="100000000000" w:firstRow="1" w:lastRow="0" w:firstColumn="0" w:lastColumn="0" w:oddVBand="0" w:evenVBand="0" w:oddHBand="0" w:evenHBand="0" w:firstRowFirstColumn="0" w:firstRowLastColumn="0" w:lastRowFirstColumn="0" w:lastRowLastColumn="0"/>
            </w:pPr>
            <w:r>
              <w:t>Change in Healthcare costs – All Imaging Services</w:t>
            </w:r>
          </w:p>
        </w:tc>
        <w:tc>
          <w:tcPr>
            <w:tcW w:w="928" w:type="dxa"/>
          </w:tcPr>
          <w:p w14:paraId="44C06858" w14:textId="77777777" w:rsidR="00673279" w:rsidRDefault="00673279" w:rsidP="00BE32C9">
            <w:pPr>
              <w:pStyle w:val="TableParagraph"/>
              <w:cnfStyle w:val="100000000000" w:firstRow="1" w:lastRow="0" w:firstColumn="0" w:lastColumn="0" w:oddVBand="0" w:evenVBand="0" w:oddHBand="0" w:evenHBand="0" w:firstRowFirstColumn="0" w:firstRowLastColumn="0" w:lastRowFirstColumn="0" w:lastRowLastColumn="0"/>
            </w:pPr>
            <w:r>
              <w:t>Combined Change – Imaging + ASC Services</w:t>
            </w:r>
          </w:p>
        </w:tc>
      </w:tr>
      <w:tr w:rsidR="00673279" w:rsidRPr="00D837FD" w14:paraId="17C2D8E3" w14:textId="77777777" w:rsidTr="002F55CD">
        <w:trPr>
          <w:cantSplit/>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BCFBCB" w14:textId="77777777" w:rsidR="00673279" w:rsidRPr="00D837FD" w:rsidRDefault="00673279" w:rsidP="00BE32C9">
            <w:pPr>
              <w:pStyle w:val="TableParagraph"/>
            </w:pPr>
            <w:r w:rsidRPr="00D837FD">
              <w:t>2025</w:t>
            </w:r>
          </w:p>
        </w:tc>
        <w:tc>
          <w:tcPr>
            <w:tcW w:w="972" w:type="dxa"/>
            <w:noWrap/>
            <w:hideMark/>
          </w:tcPr>
          <w:p w14:paraId="631495A0" w14:textId="77777777" w:rsidR="00673279" w:rsidRPr="00D837FD"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786F">
              <w:t>+4.26%</w:t>
            </w:r>
          </w:p>
        </w:tc>
        <w:tc>
          <w:tcPr>
            <w:tcW w:w="972" w:type="dxa"/>
          </w:tcPr>
          <w:p w14:paraId="27BD1722" w14:textId="77777777" w:rsidR="00673279" w:rsidRPr="00D837FD"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786F">
              <w:t>+0.12%</w:t>
            </w:r>
          </w:p>
        </w:tc>
        <w:tc>
          <w:tcPr>
            <w:tcW w:w="972" w:type="dxa"/>
          </w:tcPr>
          <w:p w14:paraId="1C2D3E6F" w14:textId="77777777" w:rsidR="00673279" w:rsidRPr="008230A1"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786F">
              <w:t>+1.92%</w:t>
            </w:r>
          </w:p>
        </w:tc>
        <w:tc>
          <w:tcPr>
            <w:tcW w:w="928" w:type="dxa"/>
          </w:tcPr>
          <w:p w14:paraId="0EC0DBF4" w14:textId="77777777" w:rsidR="00673279" w:rsidRPr="008230A1"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786F">
              <w:t>+1.25%</w:t>
            </w:r>
          </w:p>
        </w:tc>
      </w:tr>
      <w:tr w:rsidR="00673279" w:rsidRPr="00D837FD" w14:paraId="6535D211" w14:textId="77777777" w:rsidTr="002F55CD">
        <w:trPr>
          <w:cantSplit/>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074D9D" w14:textId="77777777" w:rsidR="00673279" w:rsidRPr="00D837FD" w:rsidRDefault="00673279" w:rsidP="00BE32C9">
            <w:pPr>
              <w:pStyle w:val="TableParagraph"/>
            </w:pPr>
            <w:r w:rsidRPr="00D837FD">
              <w:t>2030</w:t>
            </w:r>
          </w:p>
        </w:tc>
        <w:tc>
          <w:tcPr>
            <w:tcW w:w="972" w:type="dxa"/>
            <w:noWrap/>
            <w:hideMark/>
          </w:tcPr>
          <w:p w14:paraId="18394F03" w14:textId="77777777" w:rsidR="00673279" w:rsidRPr="00D837FD"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786F">
              <w:t>+4.26%</w:t>
            </w:r>
          </w:p>
        </w:tc>
        <w:tc>
          <w:tcPr>
            <w:tcW w:w="972" w:type="dxa"/>
          </w:tcPr>
          <w:p w14:paraId="6998EACC" w14:textId="77777777" w:rsidR="00673279" w:rsidRPr="00D837FD"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786F">
              <w:t>+0.12%</w:t>
            </w:r>
          </w:p>
        </w:tc>
        <w:tc>
          <w:tcPr>
            <w:tcW w:w="972" w:type="dxa"/>
          </w:tcPr>
          <w:p w14:paraId="2A74839B" w14:textId="77777777" w:rsidR="00673279" w:rsidRPr="008230A1"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786F">
              <w:t>+1.92%</w:t>
            </w:r>
          </w:p>
        </w:tc>
        <w:tc>
          <w:tcPr>
            <w:tcW w:w="928" w:type="dxa"/>
          </w:tcPr>
          <w:p w14:paraId="52E98F93" w14:textId="77777777" w:rsidR="00673279" w:rsidRPr="008230A1"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786F">
              <w:t>+1.25%</w:t>
            </w:r>
          </w:p>
        </w:tc>
      </w:tr>
      <w:tr w:rsidR="00673279" w:rsidRPr="00D837FD" w14:paraId="05635DD3" w14:textId="77777777" w:rsidTr="002F55CD">
        <w:trPr>
          <w:cantSplit/>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CC8C3F2" w14:textId="77777777" w:rsidR="00673279" w:rsidRPr="00D837FD" w:rsidRDefault="00673279" w:rsidP="00BE32C9">
            <w:pPr>
              <w:pStyle w:val="TableParagraph"/>
            </w:pPr>
            <w:r w:rsidRPr="00D837FD">
              <w:t>2035</w:t>
            </w:r>
          </w:p>
        </w:tc>
        <w:tc>
          <w:tcPr>
            <w:tcW w:w="972" w:type="dxa"/>
            <w:noWrap/>
            <w:hideMark/>
          </w:tcPr>
          <w:p w14:paraId="1D11F8BA" w14:textId="77777777" w:rsidR="00673279" w:rsidRPr="00D837FD"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786F">
              <w:t>+4.24%</w:t>
            </w:r>
          </w:p>
        </w:tc>
        <w:tc>
          <w:tcPr>
            <w:tcW w:w="972" w:type="dxa"/>
          </w:tcPr>
          <w:p w14:paraId="557FBAEE" w14:textId="77777777" w:rsidR="00673279" w:rsidRPr="00D837FD"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786F">
              <w:t>+0.12%</w:t>
            </w:r>
          </w:p>
        </w:tc>
        <w:tc>
          <w:tcPr>
            <w:tcW w:w="972" w:type="dxa"/>
          </w:tcPr>
          <w:p w14:paraId="2033219E" w14:textId="77777777" w:rsidR="00673279" w:rsidRPr="008230A1"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786F">
              <w:t>+1.91%</w:t>
            </w:r>
          </w:p>
        </w:tc>
        <w:tc>
          <w:tcPr>
            <w:tcW w:w="928" w:type="dxa"/>
          </w:tcPr>
          <w:p w14:paraId="649D661D" w14:textId="77777777" w:rsidR="00673279" w:rsidRPr="008230A1"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786F">
              <w:t>+1.24%</w:t>
            </w:r>
          </w:p>
        </w:tc>
      </w:tr>
      <w:tr w:rsidR="00673279" w:rsidRPr="00D837FD" w14:paraId="3B8D4E53" w14:textId="77777777" w:rsidTr="002F55CD">
        <w:trPr>
          <w:cantSplit/>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01321B9" w14:textId="77777777" w:rsidR="00673279" w:rsidRPr="00D837FD" w:rsidRDefault="00673279" w:rsidP="00BE32C9">
            <w:pPr>
              <w:pStyle w:val="TableParagraph"/>
            </w:pPr>
            <w:r w:rsidRPr="00D837FD">
              <w:t>2040</w:t>
            </w:r>
          </w:p>
        </w:tc>
        <w:tc>
          <w:tcPr>
            <w:tcW w:w="972" w:type="dxa"/>
            <w:noWrap/>
            <w:hideMark/>
          </w:tcPr>
          <w:p w14:paraId="09018748" w14:textId="77777777" w:rsidR="00673279" w:rsidRPr="00D837FD"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786F">
              <w:t>+4.22%</w:t>
            </w:r>
          </w:p>
        </w:tc>
        <w:tc>
          <w:tcPr>
            <w:tcW w:w="972" w:type="dxa"/>
          </w:tcPr>
          <w:p w14:paraId="1AAF9D2A" w14:textId="77777777" w:rsidR="00673279" w:rsidRPr="00D837FD"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786F">
              <w:t>+0.12%</w:t>
            </w:r>
          </w:p>
        </w:tc>
        <w:tc>
          <w:tcPr>
            <w:tcW w:w="972" w:type="dxa"/>
          </w:tcPr>
          <w:p w14:paraId="5E2D1D16" w14:textId="77777777" w:rsidR="00673279" w:rsidRPr="008230A1"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786F">
              <w:t>+1.89%</w:t>
            </w:r>
          </w:p>
        </w:tc>
        <w:tc>
          <w:tcPr>
            <w:tcW w:w="928" w:type="dxa"/>
          </w:tcPr>
          <w:p w14:paraId="03C1C41D" w14:textId="77777777" w:rsidR="00673279" w:rsidRPr="008230A1"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786F">
              <w:t>+1.23%</w:t>
            </w:r>
          </w:p>
        </w:tc>
      </w:tr>
    </w:tbl>
    <w:p w14:paraId="37028C10" w14:textId="77777777" w:rsidR="00673279" w:rsidRDefault="00673279" w:rsidP="007813FB">
      <w:pPr>
        <w:pStyle w:val="TableNotes"/>
      </w:pPr>
      <w:r>
        <w:t>Source: Massachusetts All-Payer Claims Database. Statewide claims, commercial, 2019.</w:t>
      </w:r>
    </w:p>
    <w:p w14:paraId="3025ABB8" w14:textId="7179B3CD" w:rsidR="00617FB3" w:rsidRPr="00617FB3" w:rsidRDefault="00617FB3" w:rsidP="00BE32C9">
      <w:pPr>
        <w:pStyle w:val="Heading3"/>
      </w:pPr>
      <w:bookmarkStart w:id="351" w:name="_Toc109895531"/>
      <w:r>
        <w:t xml:space="preserve">Impact on </w:t>
      </w:r>
      <w:r w:rsidR="003D3426">
        <w:t>S</w:t>
      </w:r>
      <w:r>
        <w:t xml:space="preserve">takeholders from </w:t>
      </w:r>
      <w:r w:rsidR="003D3426">
        <w:t>C</w:t>
      </w:r>
      <w:r>
        <w:t xml:space="preserve">hange in </w:t>
      </w:r>
      <w:r w:rsidR="003D3426">
        <w:t>C</w:t>
      </w:r>
      <w:r>
        <w:t xml:space="preserve">osts or </w:t>
      </w:r>
      <w:r w:rsidR="003D3426">
        <w:t>R</w:t>
      </w:r>
      <w:r>
        <w:t xml:space="preserve">ealized </w:t>
      </w:r>
      <w:r w:rsidR="003D3426">
        <w:t>S</w:t>
      </w:r>
      <w:r>
        <w:t>avings</w:t>
      </w:r>
      <w:bookmarkEnd w:id="351"/>
    </w:p>
    <w:p w14:paraId="179EFC5C" w14:textId="22AECF6D" w:rsidR="00617FB3" w:rsidRPr="0022119E" w:rsidRDefault="00617FB3" w:rsidP="00BE32C9">
      <w:pPr>
        <w:rPr>
          <w:b/>
          <w:bCs/>
        </w:rPr>
      </w:pPr>
      <w:r w:rsidRPr="00E27BBE">
        <w:t>The empirical analyses indicate a low increase in medical spending for commercial payer</w:t>
      </w:r>
      <w:r w:rsidR="00A95FA0">
        <w:t>s</w:t>
      </w:r>
      <w:r w:rsidR="005B2CCF">
        <w:t xml:space="preserve">. This section </w:t>
      </w:r>
      <w:r w:rsidR="001216A7">
        <w:t>considers</w:t>
      </w:r>
      <w:r w:rsidR="005B2CCF">
        <w:t xml:space="preserve"> the potential impacts across stakeholders in Massachusetts from this change</w:t>
      </w:r>
      <w:r w:rsidR="001216A7">
        <w:t xml:space="preserve"> and concludes that the allocation among stakeholders and the overall impact depends on several factors</w:t>
      </w:r>
      <w:r w:rsidR="00A95FA0">
        <w:t>. The economics and healthcare</w:t>
      </w:r>
      <w:r w:rsidR="00F142DF">
        <w:t xml:space="preserve"> literature</w:t>
      </w:r>
      <w:r w:rsidR="00A95FA0">
        <w:t>, including the extensive industry and government studies on impact and allocation of healthcare expenditure increase</w:t>
      </w:r>
      <w:r w:rsidR="001216A7">
        <w:t>s</w:t>
      </w:r>
      <w:r w:rsidR="00A95FA0">
        <w:t>,</w:t>
      </w:r>
      <w:r w:rsidR="00F142DF">
        <w:t xml:space="preserve"> </w:t>
      </w:r>
      <w:r w:rsidRPr="00E27BBE">
        <w:t xml:space="preserve">indicate </w:t>
      </w:r>
      <w:r w:rsidR="00A95FA0">
        <w:t xml:space="preserve">some </w:t>
      </w:r>
      <w:r w:rsidRPr="00E27BBE">
        <w:t xml:space="preserve">difficulty in assigning with any precision the specific impact on </w:t>
      </w:r>
      <w:r w:rsidR="00A95FA0">
        <w:t xml:space="preserve">each of </w:t>
      </w:r>
      <w:r w:rsidR="00F142DF">
        <w:t xml:space="preserve">the </w:t>
      </w:r>
      <w:r w:rsidRPr="00E27BBE">
        <w:t>stakeholders</w:t>
      </w:r>
      <w:r w:rsidR="00F142DF">
        <w:t xml:space="preserve"> involved in commercial </w:t>
      </w:r>
      <w:r w:rsidR="00A95FA0">
        <w:t>insured care</w:t>
      </w:r>
      <w:r w:rsidRPr="00E27BBE">
        <w:t>. Standard economic literature on commercial health plans indicate that</w:t>
      </w:r>
      <w:r w:rsidR="00A95FA0">
        <w:t xml:space="preserve"> increased healthcare costs </w:t>
      </w:r>
      <w:r w:rsidRPr="00E27BBE">
        <w:t xml:space="preserve">can impact commercial health plans, employers, employees or enrollees; and </w:t>
      </w:r>
      <w:r w:rsidR="001216A7">
        <w:t xml:space="preserve">these </w:t>
      </w:r>
      <w:r w:rsidR="00A95FA0">
        <w:t>can be reflected in increased</w:t>
      </w:r>
      <w:r w:rsidRPr="00E27BBE">
        <w:t xml:space="preserve"> premiums, out-of-pocket (deductibles, co-pays) and co-insurance, as well as </w:t>
      </w:r>
      <w:r w:rsidR="00A95FA0">
        <w:t>other costs</w:t>
      </w:r>
      <w:r w:rsidRPr="00E27BBE">
        <w:t>.</w:t>
      </w:r>
      <w:r w:rsidR="001216A7">
        <w:rPr>
          <w:rStyle w:val="FootnoteReference"/>
        </w:rPr>
        <w:footnoteReference w:id="79"/>
      </w:r>
      <w:r w:rsidRPr="00E27BBE">
        <w:t xml:space="preserve">  </w:t>
      </w:r>
      <w:r w:rsidR="00A95FA0">
        <w:t>Cost effects can be direct or indirect, including compensation or other effects</w:t>
      </w:r>
      <w:r w:rsidR="005B2CCF">
        <w:t xml:space="preserve">; and </w:t>
      </w:r>
      <w:r w:rsidR="001216A7">
        <w:t xml:space="preserve">vary by </w:t>
      </w:r>
      <w:r w:rsidR="005B2CCF">
        <w:t xml:space="preserve">the nature and mechanisms affecting </w:t>
      </w:r>
      <w:r w:rsidR="001216A7">
        <w:t xml:space="preserve">any </w:t>
      </w:r>
      <w:r w:rsidR="005B2CCF">
        <w:t xml:space="preserve">cost-pass through. </w:t>
      </w:r>
      <w:r w:rsidRPr="00E27BBE">
        <w:t>Cost increases may result in shorter or longer</w:t>
      </w:r>
      <w:r w:rsidR="00F142DF">
        <w:t>-</w:t>
      </w:r>
      <w:r w:rsidRPr="00E27BBE">
        <w:t xml:space="preserve">term impact, depending on specific structures of plans and benefits, and whether and where cost changes are absorbed, and these affect the impact across </w:t>
      </w:r>
      <w:r w:rsidR="005B2CCF">
        <w:t>stakeholders.</w:t>
      </w:r>
      <w:r>
        <w:t xml:space="preserve">    </w:t>
      </w:r>
    </w:p>
    <w:p w14:paraId="5E1697C8" w14:textId="75FDD2CB" w:rsidR="00700135" w:rsidRPr="004629FE" w:rsidRDefault="00700135" w:rsidP="00BE32C9">
      <w:pPr>
        <w:pStyle w:val="Heading1"/>
        <w:rPr>
          <w:rFonts w:hint="eastAsia"/>
        </w:rPr>
      </w:pPr>
      <w:bookmarkStart w:id="352" w:name="_Toc109895532"/>
      <w:r w:rsidRPr="004629FE">
        <w:t>Additional Questions</w:t>
      </w:r>
      <w:bookmarkEnd w:id="197"/>
      <w:bookmarkEnd w:id="198"/>
      <w:bookmarkEnd w:id="352"/>
    </w:p>
    <w:p w14:paraId="500EF03F" w14:textId="017B86D1" w:rsidR="00B91DEF" w:rsidRDefault="00B91DEF" w:rsidP="00BE32C9">
      <w:r>
        <w:t xml:space="preserve">DPH has also asked FTI to consider several additional questions specific to this particular proposed project. We address those in the following sections. </w:t>
      </w:r>
    </w:p>
    <w:p w14:paraId="4ED013C7" w14:textId="77777777" w:rsidR="00B54E8E" w:rsidRPr="00AF10F5" w:rsidRDefault="00B54E8E" w:rsidP="00BE32C9">
      <w:pPr>
        <w:pStyle w:val="Heading2"/>
      </w:pPr>
      <w:bookmarkStart w:id="353" w:name="_Toc109398062"/>
      <w:bookmarkStart w:id="354" w:name="_Toc109895533"/>
      <w:r w:rsidRPr="00AF10F5">
        <w:t>Questions on the Impact of the Proposed Project</w:t>
      </w:r>
      <w:bookmarkEnd w:id="353"/>
      <w:bookmarkEnd w:id="354"/>
    </w:p>
    <w:p w14:paraId="1F9390E3" w14:textId="344F3DB7" w:rsidR="00B54E8E" w:rsidRDefault="00B54E8E" w:rsidP="00BE32C9">
      <w:r w:rsidRPr="00790227">
        <w:t xml:space="preserve">Specifically, this ICA Report considered the impact of the Proposed Project on: </w:t>
      </w:r>
    </w:p>
    <w:p w14:paraId="7B2A14E6" w14:textId="04FA497D" w:rsidR="00B54E8E" w:rsidRDefault="00B54E8E" w:rsidP="00BE32C9">
      <w:r w:rsidRPr="00F34788">
        <w:t xml:space="preserve">(1) </w:t>
      </w:r>
      <w:r w:rsidRPr="00F34788">
        <w:rPr>
          <w:i/>
          <w:iCs/>
        </w:rPr>
        <w:t>Current and post-project patient panel race/ethnicity breakdown</w:t>
      </w:r>
      <w:r w:rsidRPr="00F34788">
        <w:t xml:space="preserve">: The CHIA outpatient data do not include data on race/ethnicity to use to address the impact of the Proposed Project on BCH’s current and post-project patient panel. To evaluate this question, FTI </w:t>
      </w:r>
      <w:r w:rsidRPr="00F34788">
        <w:lastRenderedPageBreak/>
        <w:t xml:space="preserve">used Census and other demographic data on the BCH patient population for the defined service areas </w:t>
      </w:r>
      <w:r w:rsidR="00E13B00">
        <w:t xml:space="preserve">and for the overall population </w:t>
      </w:r>
      <w:r w:rsidRPr="00F34788">
        <w:t xml:space="preserve">for the </w:t>
      </w:r>
      <w:r w:rsidR="00E13B00">
        <w:t xml:space="preserve">area to be served by the </w:t>
      </w:r>
      <w:r w:rsidRPr="00F34788">
        <w:t>new facilities/locations. These data</w:t>
      </w:r>
      <w:r w:rsidR="00E13B00">
        <w:t xml:space="preserve">, which are reported above in Figure 12 and the supporting analyses, show that approximately 62% of children in the combined service areas for the new facilities are white, 13% are African American, 10% are Asian. </w:t>
      </w:r>
      <w:r w:rsidRPr="00F34788">
        <w:t xml:space="preserve"> </w:t>
      </w:r>
      <w:r w:rsidR="00E13B00">
        <w:t>These are consistent with and further supported by the</w:t>
      </w:r>
      <w:r w:rsidRPr="00F34788">
        <w:t xml:space="preserve"> BCH Application </w:t>
      </w:r>
      <w:r w:rsidR="00E13B00">
        <w:t xml:space="preserve">data which </w:t>
      </w:r>
      <w:r w:rsidRPr="00F34788">
        <w:t xml:space="preserve">included detailed data by race/ethnicity and other characteristics of the current patient panel served by BCH including at the satellite locations.  </w:t>
      </w:r>
    </w:p>
    <w:p w14:paraId="1C401756" w14:textId="01FA2BC9" w:rsidR="00F34788" w:rsidRPr="00F34788" w:rsidRDefault="00B54E8E" w:rsidP="00BE32C9">
      <w:r w:rsidRPr="00F34788">
        <w:t xml:space="preserve">(2) </w:t>
      </w:r>
      <w:r w:rsidRPr="00F34788">
        <w:rPr>
          <w:i/>
          <w:iCs/>
        </w:rPr>
        <w:t>Effect on patient panel acuity level</w:t>
      </w:r>
      <w:r w:rsidRPr="00F34788">
        <w:t xml:space="preserve">: The CHIA data have limitations on available data on patient acuity for outpatient services (e.g., no direct acuity information for the facilities/procedures proposed or for the patients), which meant that </w:t>
      </w:r>
      <w:r w:rsidR="00E13B00">
        <w:t>FTI</w:t>
      </w:r>
      <w:r w:rsidRPr="00F34788">
        <w:t xml:space="preserve"> could not provide direct measurement or predictions of changes in acuity level. (This contrasts to some extent with inpatient claims data where DRGs provide some proxy for acuity of service (yet not necessarily of patient)). Reviewing the additions of capacity and the types of services to be provided, it does not appear that patient acuity for the BCH patient panel overall would change substantially either with substantially higher or lesser acuity. The BCH application narrative sets out that the Proposed Project seeks to provide capacity and access to services at the most convenient and appropriate locations. The </w:t>
      </w:r>
      <w:r w:rsidR="00D04771">
        <w:t>Longwood</w:t>
      </w:r>
      <w:r w:rsidRPr="00F34788">
        <w:t xml:space="preserve"> facility will continue to serve a large patient population from a broad service area and will continue to provide some services that are not available at the satellite facilities. While overall acuity may not change significantly, the additional facilities provide BCH with more capacity to shift procedures to lower cost settings when appropriate</w:t>
      </w:r>
      <w:r w:rsidR="00E13B00">
        <w:t>.</w:t>
      </w:r>
    </w:p>
    <w:p w14:paraId="4BD33A2D" w14:textId="1D62B5F2" w:rsidR="00F34788" w:rsidRDefault="00B54E8E" w:rsidP="00BE32C9">
      <w:r w:rsidRPr="00F34788">
        <w:t xml:space="preserve">(3) </w:t>
      </w:r>
      <w:r w:rsidRPr="00F34788">
        <w:rPr>
          <w:i/>
          <w:iCs/>
        </w:rPr>
        <w:t>Effect on staffing/recruitment</w:t>
      </w:r>
      <w:r w:rsidRPr="00F34788">
        <w:t xml:space="preserve">: </w:t>
      </w:r>
      <w:r w:rsidR="00B2130C">
        <w:t xml:space="preserve">Available information on the Proposed Project in the Application Narrative and review of the BCH responses on staffing  at the new locations or for expanded services do not indicate any significant economic </w:t>
      </w:r>
      <w:r w:rsidRPr="00F34788">
        <w:t xml:space="preserve"> </w:t>
      </w:r>
      <w:r w:rsidR="00B2130C">
        <w:t xml:space="preserve">impact on overall recruitment or staffing; and with plans in place consistent with prior expansions of BCH satellite locations to attract sufficient staff to enable services to be </w:t>
      </w:r>
      <w:r w:rsidR="00DD6C90">
        <w:t>provided.</w:t>
      </w:r>
    </w:p>
    <w:p w14:paraId="1C0D925C" w14:textId="22C7EDCF" w:rsidR="00F34788" w:rsidRDefault="00B54E8E" w:rsidP="00BE32C9">
      <w:r w:rsidRPr="00F34788">
        <w:t xml:space="preserve">(4) </w:t>
      </w:r>
      <w:r w:rsidRPr="00F34788">
        <w:rPr>
          <w:i/>
          <w:iCs/>
        </w:rPr>
        <w:t>Accessibility of the project to members of MassHealth ACOs and subsidized ConnectorCare plans</w:t>
      </w:r>
      <w:r w:rsidRPr="00F34788">
        <w:t xml:space="preserve">: While the CHIA data provide sufficient data to identify MassHealth plans and patients covered by MassHealth, the data do not provide sufficient data and information to differentiate and reliably identify ACO patients as distinct from other MassHealth patients. The data do show substantial coverage of MassHealth patients in the service areas for the new facilities and services. To further develop information on the ACO participant access question, we evaluated information on the ACO plans in which BCH participates, and their service areas as identified in MassHealth ACO enrollment guides.  These demonstrated substantial overlap between the BCH ACO service areas and the service areas defined for the relevant services. </w:t>
      </w:r>
    </w:p>
    <w:p w14:paraId="5E068770" w14:textId="0E9E3F3B" w:rsidR="00F34788" w:rsidRDefault="00F34788" w:rsidP="00BE32C9">
      <w:r>
        <w:t xml:space="preserve">The </w:t>
      </w:r>
      <w:r w:rsidRPr="00841D85">
        <w:t>Tufts Health Together with Boston Children’s ACO</w:t>
      </w:r>
      <w:r>
        <w:t xml:space="preserve"> (THT with BCH ACO) is one of 13 MassHealth ACO health plans</w:t>
      </w:r>
      <w:r w:rsidR="00B2130C">
        <w:t xml:space="preserve"> and </w:t>
      </w:r>
      <w:r>
        <w:t xml:space="preserve">a large number of providers, including numerous </w:t>
      </w:r>
      <w:r>
        <w:lastRenderedPageBreak/>
        <w:t>hospitals and other service</w:t>
      </w:r>
      <w:r w:rsidR="00B2130C">
        <w:t xml:space="preserve"> providers.</w:t>
      </w:r>
      <w:r w:rsidR="00B2130C">
        <w:rPr>
          <w:rStyle w:val="FootnoteReference"/>
        </w:rPr>
        <w:footnoteReference w:id="80"/>
      </w:r>
      <w:r>
        <w:t xml:space="preserve"> The </w:t>
      </w:r>
      <w:r w:rsidR="00B2130C">
        <w:t xml:space="preserve">defined </w:t>
      </w:r>
      <w:r>
        <w:t>service areas</w:t>
      </w:r>
      <w:r w:rsidR="00B2130C">
        <w:t xml:space="preserve"> for this ACO</w:t>
      </w:r>
      <w:r>
        <w:t xml:space="preserve"> include 34 </w:t>
      </w:r>
      <w:r>
        <w:br/>
        <w:t>“service areas” (cities) spanning almost all of HSAs 2 – 6 (Central, Northeast, Metro West, Southeast, and Boston), and the northwest and southeast regions of HSA 1 (Western).</w:t>
      </w:r>
      <w:r>
        <w:rPr>
          <w:rStyle w:val="FootnoteReference"/>
        </w:rPr>
        <w:footnoteReference w:id="81"/>
      </w:r>
      <w:r>
        <w:t xml:space="preserve"> The service areas </w:t>
      </w:r>
      <w:r w:rsidR="00B2130C">
        <w:t>defined as part of the economic analysis of</w:t>
      </w:r>
      <w:r>
        <w:t xml:space="preserve"> the new BCH facilities described in Section VII, overlap almost entirely with the service areas of </w:t>
      </w:r>
      <w:r w:rsidR="00B2130C">
        <w:t>the</w:t>
      </w:r>
      <w:r>
        <w:t xml:space="preserve"> ACO. Furthermore, the 34 listed “service areas” of THT with BCH ACO includes </w:t>
      </w:r>
      <w:r w:rsidR="00B2130C">
        <w:t xml:space="preserve">each of </w:t>
      </w:r>
      <w:r>
        <w:t xml:space="preserve">three new BCH facilities. BCH Needham and BCH Waltham is included in the Waltham “service area”. BCH Weymouth is included in the Quincy “service area”. </w:t>
      </w:r>
      <w:r w:rsidR="00B2130C">
        <w:t>These factors support a conclusion that the</w:t>
      </w:r>
      <w:r>
        <w:t xml:space="preserve"> Proposed Project supports access for ACO participants.</w:t>
      </w:r>
    </w:p>
    <w:p w14:paraId="68238284" w14:textId="463934D7" w:rsidR="00B91DEF" w:rsidRDefault="00B91DEF" w:rsidP="00BE32C9">
      <w:pPr>
        <w:pStyle w:val="Heading2"/>
      </w:pPr>
      <w:bookmarkStart w:id="355" w:name="_Toc94002346"/>
      <w:bookmarkStart w:id="356" w:name="_Toc97638792"/>
      <w:bookmarkStart w:id="357" w:name="_Toc109895534"/>
      <w:r>
        <w:t>Needham Facility Reimbursement Rates</w:t>
      </w:r>
      <w:bookmarkEnd w:id="355"/>
      <w:bookmarkEnd w:id="356"/>
      <w:bookmarkEnd w:id="357"/>
    </w:p>
    <w:p w14:paraId="3552F5CB" w14:textId="53B3ABD5" w:rsidR="00B91DEF" w:rsidRDefault="00B91DEF" w:rsidP="00BE32C9">
      <w:r>
        <w:t>The DPH posed two questions concerning the Needham facility’s reimbursement rates for services: “While the application states the Needham facility will provide a more accessible and less costly location for certain procedures currently performed in the Longwood Medical Area, it does not cite any specific cost savings by having the services performed at this or other satellite locations. Can these locations be established as entities that are reimbursed at a lower rate? What would the differential (if applicable) between functioning under the hospital license or (1) Contract rate for a free-standing ASC? (2) Differential between potential physician rates to be used for the ASC physicians? “</w:t>
      </w:r>
      <w:r w:rsidRPr="0068057A">
        <w:t>The Application states the Hospital’s rate for MRI is 20% lower than Boston rates – Confirm the statement about BCH’s rate being 20% lower is accurate.”</w:t>
      </w:r>
    </w:p>
    <w:p w14:paraId="4AAC3F8B" w14:textId="3C60D9E7" w:rsidR="00B91DEF" w:rsidRDefault="00B91DEF" w:rsidP="00BE32C9">
      <w:r>
        <w:t>In addressing these questions, FTI reviewed the recent submission by BCH of April 4, 2022 and responses to these questions,</w:t>
      </w:r>
      <w:r w:rsidR="00416393">
        <w:t xml:space="preserve"> </w:t>
      </w:r>
      <w:r>
        <w:t xml:space="preserve">and concludes that these responses provide BCH’s proposed approaches with regard to the Needham facility as a satellite facility and also its current reimbursement or rate practices with regard to relative rates at Longwood as compared to satellites. In addition, FTI used the BCH payments data that are publicly available for MRI for </w:t>
      </w:r>
      <w:r w:rsidR="00092414">
        <w:t>Longwood</w:t>
      </w:r>
      <w:r>
        <w:t xml:space="preserve"> vs. SAT and concluded that the 20% difference is supported by this analysis. The assessment using CHIA data further support the conclusion. </w:t>
      </w:r>
    </w:p>
    <w:p w14:paraId="4D0E8652" w14:textId="77777777" w:rsidR="00B91DEF" w:rsidRDefault="00B91DEF" w:rsidP="00BE32C9">
      <w:pPr>
        <w:pStyle w:val="Heading2"/>
      </w:pPr>
      <w:bookmarkStart w:id="358" w:name="_Toc94002347"/>
      <w:bookmarkStart w:id="359" w:name="_Toc97638793"/>
      <w:bookmarkStart w:id="360" w:name="_Toc109895535"/>
      <w:r>
        <w:lastRenderedPageBreak/>
        <w:t>Sources of Demand for New Facilities and Shifts in Site of Care</w:t>
      </w:r>
      <w:bookmarkEnd w:id="358"/>
      <w:bookmarkEnd w:id="359"/>
      <w:bookmarkEnd w:id="360"/>
    </w:p>
    <w:p w14:paraId="4143D4ED" w14:textId="77777777" w:rsidR="00B91DEF" w:rsidRDefault="00B91DEF" w:rsidP="00BE32C9">
      <w:r>
        <w:t>DPH also posed two questions concerning the sources and cost impact of shifts in the location of care provided at the new facilities “By service line / areas (as BCH has identified by location), to what extent will volume generated at BCH be new volume, or be a shift from current BCH facilities, versus a shift in volume from other providers, taking into account expected demographic changes and existing service capacity at BCH and other regional providers? And what are the cost implications of any shifts? Analyze shift from inpatient or hospital-based facility to outpatient setting for the following: (1) Shift from non-BCH hospital-based providers to BCH clinics; (2) Shift from other outpatient sites to BCH clinics; and (3) Shift from other community hospitals to new sites.  And “What are the cost implications of all shifts (short term and long term)?”</w:t>
      </w:r>
    </w:p>
    <w:p w14:paraId="624C5978" w14:textId="5ECDEB4B" w:rsidR="00B91DEF" w:rsidRPr="00735BCF" w:rsidRDefault="00B91DEF" w:rsidP="00BE32C9">
      <w:r w:rsidRPr="00735BCF">
        <w:t xml:space="preserve">The detailed analysis provided in this ICA report indicates that the estimated volumes at the new facilities will be a combination of shift in volumes from BCH facilities, particularly Longwood, and some shift from other facilities </w:t>
      </w:r>
      <w:r w:rsidR="00735BCF">
        <w:t xml:space="preserve">already </w:t>
      </w:r>
      <w:r w:rsidRPr="00735BCF">
        <w:t>serving the service areas of the new facilities</w:t>
      </w:r>
      <w:r w:rsidR="00735BCF">
        <w:t>; some demand and patient population for the new facilities come from projected new demand for the service area</w:t>
      </w:r>
      <w:r w:rsidRPr="00735BCF">
        <w:t>. The cost implication is addressed in the following section.</w:t>
      </w:r>
    </w:p>
    <w:p w14:paraId="2611347A" w14:textId="77777777" w:rsidR="00B91DEF" w:rsidRDefault="00B91DEF" w:rsidP="00BE32C9">
      <w:pPr>
        <w:pStyle w:val="Heading2"/>
      </w:pPr>
      <w:bookmarkStart w:id="361" w:name="_Toc94002348"/>
      <w:bookmarkStart w:id="362" w:name="_Toc97638794"/>
      <w:bookmarkStart w:id="363" w:name="_Toc109895536"/>
      <w:r>
        <w:t>Relative Prices of New Locations to Existing Pediatric Providers</w:t>
      </w:r>
      <w:bookmarkEnd w:id="361"/>
      <w:bookmarkEnd w:id="362"/>
      <w:bookmarkEnd w:id="363"/>
    </w:p>
    <w:p w14:paraId="7D16E4AA" w14:textId="77777777" w:rsidR="00B91DEF" w:rsidRDefault="00B91DEF" w:rsidP="00BE32C9">
      <w:r>
        <w:t xml:space="preserve">The DPH posed the question of “How will the overall prices of these locations compare with those of existing pediatric providers and how would any change in prices be anticipated </w:t>
      </w:r>
      <w:r w:rsidRPr="0032536E">
        <w:t>to impact Massachusetts’ health care cost containment goals</w:t>
      </w:r>
      <w:r>
        <w:t xml:space="preserve"> (factoring in potential shifts identified in questions 2 and 3)?”</w:t>
      </w:r>
    </w:p>
    <w:p w14:paraId="724F3E5F" w14:textId="018C0857" w:rsidR="00B91DEF" w:rsidRPr="00735BCF" w:rsidRDefault="00B91DEF" w:rsidP="00BE32C9">
      <w:r w:rsidRPr="00735BCF">
        <w:t>The detailed analysis sets out the comparison of relative prices for these locations, which depending on the comparator are sometimes above and sometimes below the comparator.  Taking into consideration all new services and the aggregate impact, the cost implications in terms of medical spend are for a small increase in overall average spend for commercial insurers in the shorter term a</w:t>
      </w:r>
      <w:r w:rsidR="00735BCF">
        <w:t>s well as</w:t>
      </w:r>
      <w:r w:rsidRPr="00735BCF">
        <w:t xml:space="preserve"> projected over the longer term (through 2040) yet below the current estimated cost-containment goal.</w:t>
      </w:r>
    </w:p>
    <w:p w14:paraId="6518C303" w14:textId="77777777" w:rsidR="00B91DEF" w:rsidRDefault="00B91DEF" w:rsidP="00BE32C9">
      <w:pPr>
        <w:pStyle w:val="Heading2"/>
      </w:pPr>
      <w:bookmarkStart w:id="364" w:name="_Toc94002349"/>
      <w:bookmarkStart w:id="365" w:name="_Toc97638795"/>
      <w:bookmarkStart w:id="366" w:name="_Toc109895537"/>
      <w:r>
        <w:t>Impact on BCH Payer Mix</w:t>
      </w:r>
      <w:bookmarkEnd w:id="364"/>
      <w:bookmarkEnd w:id="365"/>
      <w:bookmarkEnd w:id="366"/>
    </w:p>
    <w:p w14:paraId="2FD26DBF" w14:textId="77777777" w:rsidR="00BB5103" w:rsidRDefault="00B91DEF" w:rsidP="00BE32C9">
      <w:r>
        <w:t>The DPH expressly asked “How is the Payer Mix at BCH projected to change as a result of the Proposed Project, particularly distribution of Commercial/Medicaid/Medicare mix (as appropriate)?”</w:t>
      </w:r>
    </w:p>
    <w:p w14:paraId="3B98A8A6" w14:textId="2586F7DA" w:rsidR="00B209D5" w:rsidRDefault="00BB5103" w:rsidP="00BE32C9">
      <w:r w:rsidRPr="00BB5103">
        <w:t>FTI has reviewed the BCH answers to these questions including its April 4, 2022 response (II) to the DPH. The analyses set out in this ICA report indicate that payer mix is not anticipated to change substantially or adversely and that there will continue to be a mix of Medicaid/MassHealth and commercial patients at BCH across both the HSAs and service areas</w:t>
      </w:r>
      <w:r>
        <w:t xml:space="preserve">. </w:t>
      </w:r>
      <w:r w:rsidRPr="000C22F6">
        <w:t xml:space="preserve">Analysis in this report reaches the same conclusions based on the similar shares of diversions between public payers and commercial payers. These are provided in Section XII B including the analyses provided in </w:t>
      </w:r>
      <w:r w:rsidRPr="000C22F6">
        <w:fldChar w:fldCharType="begin"/>
      </w:r>
      <w:r w:rsidRPr="000C22F6">
        <w:instrText xml:space="preserve"> REF _Ref106028191 \h </w:instrText>
      </w:r>
      <w:r w:rsidR="000C22F6" w:rsidRPr="000C22F6">
        <w:instrText xml:space="preserve"> \* MERGEFORMAT </w:instrText>
      </w:r>
      <w:r w:rsidRPr="000C22F6">
        <w:fldChar w:fldCharType="separate"/>
      </w:r>
      <w:r w:rsidR="00CE7C62" w:rsidRPr="00491A77">
        <w:t xml:space="preserve">Table </w:t>
      </w:r>
      <w:r w:rsidR="00CE7C62">
        <w:rPr>
          <w:noProof/>
        </w:rPr>
        <w:t>33</w:t>
      </w:r>
      <w:r w:rsidRPr="000C22F6">
        <w:fldChar w:fldCharType="end"/>
      </w:r>
      <w:r>
        <w:t>.</w:t>
      </w:r>
    </w:p>
    <w:p w14:paraId="4BAF2E95" w14:textId="5D42C619" w:rsidR="00673279" w:rsidRPr="00491A77" w:rsidRDefault="006203C6" w:rsidP="006203C6">
      <w:pPr>
        <w:pStyle w:val="Caption"/>
      </w:pPr>
      <w:bookmarkStart w:id="367" w:name="_Toc109895467"/>
      <w:bookmarkStart w:id="368" w:name="_Hlk109738229"/>
      <w:r>
        <w:lastRenderedPageBreak/>
        <w:t xml:space="preserve">Table </w:t>
      </w:r>
      <w:fldSimple w:instr=" SEQ Table \* ARABIC ">
        <w:r w:rsidR="00CE7C62">
          <w:rPr>
            <w:noProof/>
          </w:rPr>
          <w:t>36</w:t>
        </w:r>
      </w:fldSimple>
      <w:r w:rsidR="00673279">
        <w:t>:</w:t>
      </w:r>
      <w:r w:rsidR="00673279" w:rsidRPr="00491A77">
        <w:t xml:space="preserve"> Projected Shares for </w:t>
      </w:r>
      <w:r w:rsidR="00673279">
        <w:t xml:space="preserve">BCH by Year </w:t>
      </w:r>
      <w:r w:rsidR="00673279" w:rsidRPr="00146650">
        <w:t>(Combined Service Area, Patient</w:t>
      </w:r>
      <w:r w:rsidR="00673279">
        <w:t>s</w:t>
      </w:r>
      <w:r w:rsidR="00673279" w:rsidRPr="00146650">
        <w:t xml:space="preserve"> </w:t>
      </w:r>
      <w:r w:rsidR="00673279">
        <w:t xml:space="preserve">Aged </w:t>
      </w:r>
      <w:r w:rsidR="00673279" w:rsidRPr="00146650">
        <w:t>0 – 18)</w:t>
      </w:r>
      <w:bookmarkEnd w:id="367"/>
    </w:p>
    <w:tbl>
      <w:tblPr>
        <w:tblStyle w:val="GridTable4-Accent11"/>
        <w:tblW w:w="8330" w:type="dxa"/>
        <w:tblLook w:val="04A0" w:firstRow="1" w:lastRow="0" w:firstColumn="1" w:lastColumn="0" w:noHBand="0" w:noVBand="1"/>
      </w:tblPr>
      <w:tblGrid>
        <w:gridCol w:w="1272"/>
        <w:gridCol w:w="883"/>
        <w:gridCol w:w="939"/>
        <w:gridCol w:w="1080"/>
        <w:gridCol w:w="1038"/>
        <w:gridCol w:w="1038"/>
        <w:gridCol w:w="1038"/>
        <w:gridCol w:w="1042"/>
      </w:tblGrid>
      <w:tr w:rsidR="00B926F9" w:rsidRPr="005E11C8" w14:paraId="3735A47D" w14:textId="77777777" w:rsidTr="00AF6EF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272" w:type="dxa"/>
          </w:tcPr>
          <w:p w14:paraId="1A9AF55B" w14:textId="77777777" w:rsidR="00673279" w:rsidRPr="005E11C8" w:rsidRDefault="00673279" w:rsidP="00BE32C9">
            <w:pPr>
              <w:pStyle w:val="TableParagraph"/>
            </w:pPr>
          </w:p>
        </w:tc>
        <w:tc>
          <w:tcPr>
            <w:tcW w:w="883" w:type="dxa"/>
          </w:tcPr>
          <w:p w14:paraId="45C354C3" w14:textId="77777777" w:rsidR="00673279" w:rsidRPr="005E11C8" w:rsidRDefault="00673279" w:rsidP="00BE32C9">
            <w:pPr>
              <w:pStyle w:val="TableParagraph"/>
              <w:cnfStyle w:val="100000000000" w:firstRow="1" w:lastRow="0" w:firstColumn="0" w:lastColumn="0" w:oddVBand="0" w:evenVBand="0" w:oddHBand="0" w:evenHBand="0" w:firstRowFirstColumn="0" w:firstRowLastColumn="0" w:lastRowFirstColumn="0" w:lastRowLastColumn="0"/>
            </w:pPr>
            <w:r>
              <w:t>Service</w:t>
            </w:r>
          </w:p>
        </w:tc>
        <w:tc>
          <w:tcPr>
            <w:tcW w:w="939" w:type="dxa"/>
            <w:noWrap/>
            <w:hideMark/>
          </w:tcPr>
          <w:p w14:paraId="71979939" w14:textId="77777777" w:rsidR="00673279" w:rsidRPr="005E11C8" w:rsidRDefault="00673279" w:rsidP="00BE32C9">
            <w:pPr>
              <w:pStyle w:val="TableParagraph"/>
              <w:cnfStyle w:val="100000000000" w:firstRow="1" w:lastRow="0" w:firstColumn="0" w:lastColumn="0" w:oddVBand="0" w:evenVBand="0" w:oddHBand="0" w:evenHBand="0" w:firstRowFirstColumn="0" w:firstRowLastColumn="0" w:lastRowFirstColumn="0" w:lastRowLastColumn="0"/>
            </w:pPr>
            <w:r w:rsidRPr="005E11C8">
              <w:t xml:space="preserve">Original 2019 </w:t>
            </w:r>
            <w:r>
              <w:t>Share</w:t>
            </w:r>
          </w:p>
        </w:tc>
        <w:tc>
          <w:tcPr>
            <w:tcW w:w="1080" w:type="dxa"/>
            <w:noWrap/>
            <w:hideMark/>
          </w:tcPr>
          <w:p w14:paraId="5FDE1E7C" w14:textId="77777777" w:rsidR="00673279" w:rsidRPr="005E11C8" w:rsidRDefault="00673279" w:rsidP="00BE32C9">
            <w:pPr>
              <w:pStyle w:val="TableParagraph"/>
              <w:cnfStyle w:val="100000000000" w:firstRow="1" w:lastRow="0" w:firstColumn="0" w:lastColumn="0" w:oddVBand="0" w:evenVBand="0" w:oddHBand="0" w:evenHBand="0" w:firstRowFirstColumn="0" w:firstRowLastColumn="0" w:lastRowFirstColumn="0" w:lastRowLastColumn="0"/>
            </w:pPr>
            <w:r w:rsidRPr="005E11C8">
              <w:t xml:space="preserve">New 2019 </w:t>
            </w:r>
            <w:r>
              <w:t>Share</w:t>
            </w:r>
          </w:p>
        </w:tc>
        <w:tc>
          <w:tcPr>
            <w:tcW w:w="1038" w:type="dxa"/>
            <w:noWrap/>
            <w:hideMark/>
          </w:tcPr>
          <w:p w14:paraId="674461C6" w14:textId="77777777" w:rsidR="00673279" w:rsidRPr="005E11C8" w:rsidRDefault="00673279" w:rsidP="00BE32C9">
            <w:pPr>
              <w:pStyle w:val="TableParagraph"/>
              <w:cnfStyle w:val="100000000000" w:firstRow="1" w:lastRow="0" w:firstColumn="0" w:lastColumn="0" w:oddVBand="0" w:evenVBand="0" w:oddHBand="0" w:evenHBand="0" w:firstRowFirstColumn="0" w:firstRowLastColumn="0" w:lastRowFirstColumn="0" w:lastRowLastColumn="0"/>
            </w:pPr>
            <w:r w:rsidRPr="005E11C8">
              <w:t xml:space="preserve">Projected 2025 </w:t>
            </w:r>
            <w:r>
              <w:t>Share</w:t>
            </w:r>
          </w:p>
        </w:tc>
        <w:tc>
          <w:tcPr>
            <w:tcW w:w="1038" w:type="dxa"/>
            <w:noWrap/>
            <w:hideMark/>
          </w:tcPr>
          <w:p w14:paraId="4567C3E5" w14:textId="77777777" w:rsidR="00673279" w:rsidRPr="005E11C8" w:rsidRDefault="00673279" w:rsidP="00BE32C9">
            <w:pPr>
              <w:pStyle w:val="TableParagraph"/>
              <w:cnfStyle w:val="100000000000" w:firstRow="1" w:lastRow="0" w:firstColumn="0" w:lastColumn="0" w:oddVBand="0" w:evenVBand="0" w:oddHBand="0" w:evenHBand="0" w:firstRowFirstColumn="0" w:firstRowLastColumn="0" w:lastRowFirstColumn="0" w:lastRowLastColumn="0"/>
            </w:pPr>
            <w:r w:rsidRPr="005E11C8">
              <w:t xml:space="preserve">Projected 2030 </w:t>
            </w:r>
            <w:r>
              <w:t>Share</w:t>
            </w:r>
          </w:p>
        </w:tc>
        <w:tc>
          <w:tcPr>
            <w:tcW w:w="1038" w:type="dxa"/>
            <w:noWrap/>
            <w:hideMark/>
          </w:tcPr>
          <w:p w14:paraId="38D2EF4D" w14:textId="77777777" w:rsidR="00673279" w:rsidRPr="005E11C8" w:rsidRDefault="00673279" w:rsidP="00BE32C9">
            <w:pPr>
              <w:pStyle w:val="TableParagraph"/>
              <w:cnfStyle w:val="100000000000" w:firstRow="1" w:lastRow="0" w:firstColumn="0" w:lastColumn="0" w:oddVBand="0" w:evenVBand="0" w:oddHBand="0" w:evenHBand="0" w:firstRowFirstColumn="0" w:firstRowLastColumn="0" w:lastRowFirstColumn="0" w:lastRowLastColumn="0"/>
            </w:pPr>
            <w:r w:rsidRPr="005E11C8">
              <w:t xml:space="preserve">Projected 2035 </w:t>
            </w:r>
            <w:r>
              <w:t>Share</w:t>
            </w:r>
          </w:p>
        </w:tc>
        <w:tc>
          <w:tcPr>
            <w:tcW w:w="1042" w:type="dxa"/>
            <w:noWrap/>
            <w:hideMark/>
          </w:tcPr>
          <w:p w14:paraId="0F331EEA" w14:textId="77777777" w:rsidR="00673279" w:rsidRPr="005E11C8" w:rsidRDefault="00673279" w:rsidP="00BE32C9">
            <w:pPr>
              <w:pStyle w:val="TableParagraph"/>
              <w:cnfStyle w:val="100000000000" w:firstRow="1" w:lastRow="0" w:firstColumn="0" w:lastColumn="0" w:oddVBand="0" w:evenVBand="0" w:oddHBand="0" w:evenHBand="0" w:firstRowFirstColumn="0" w:firstRowLastColumn="0" w:lastRowFirstColumn="0" w:lastRowLastColumn="0"/>
            </w:pPr>
            <w:r w:rsidRPr="005E11C8">
              <w:t xml:space="preserve">Projected 2040 </w:t>
            </w:r>
            <w:r>
              <w:t>Share</w:t>
            </w:r>
          </w:p>
        </w:tc>
      </w:tr>
      <w:tr w:rsidR="00673279" w:rsidRPr="005E11C8" w14:paraId="18304D31" w14:textId="77777777" w:rsidTr="00AF6EF5">
        <w:trPr>
          <w:cantSplit/>
          <w:trHeight w:val="300"/>
        </w:trPr>
        <w:tc>
          <w:tcPr>
            <w:cnfStyle w:val="001000000000" w:firstRow="0" w:lastRow="0" w:firstColumn="1" w:lastColumn="0" w:oddVBand="0" w:evenVBand="0" w:oddHBand="0" w:evenHBand="0" w:firstRowFirstColumn="0" w:firstRowLastColumn="0" w:lastRowFirstColumn="0" w:lastRowLastColumn="0"/>
            <w:tcW w:w="1272" w:type="dxa"/>
            <w:vMerge w:val="restart"/>
          </w:tcPr>
          <w:p w14:paraId="1FF43311" w14:textId="77777777" w:rsidR="00673279" w:rsidRPr="00C67FB5" w:rsidRDefault="00673279" w:rsidP="00BE32C9">
            <w:pPr>
              <w:pStyle w:val="TableParagraph"/>
            </w:pPr>
            <w:r>
              <w:t>Commercial</w:t>
            </w:r>
          </w:p>
        </w:tc>
        <w:tc>
          <w:tcPr>
            <w:tcW w:w="883" w:type="dxa"/>
          </w:tcPr>
          <w:p w14:paraId="7657DCFA" w14:textId="77777777" w:rsidR="00673279" w:rsidRPr="00C67FB5"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ASC</w:t>
            </w:r>
          </w:p>
        </w:tc>
        <w:tc>
          <w:tcPr>
            <w:tcW w:w="939" w:type="dxa"/>
            <w:noWrap/>
            <w:hideMark/>
          </w:tcPr>
          <w:p w14:paraId="23C55FCE"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14.3%</w:t>
            </w:r>
          </w:p>
        </w:tc>
        <w:tc>
          <w:tcPr>
            <w:tcW w:w="1080" w:type="dxa"/>
            <w:noWrap/>
            <w:hideMark/>
          </w:tcPr>
          <w:p w14:paraId="65F91469"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14.9%</w:t>
            </w:r>
          </w:p>
        </w:tc>
        <w:tc>
          <w:tcPr>
            <w:tcW w:w="1038" w:type="dxa"/>
            <w:noWrap/>
            <w:hideMark/>
          </w:tcPr>
          <w:p w14:paraId="1F90F14A"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15.2%</w:t>
            </w:r>
          </w:p>
        </w:tc>
        <w:tc>
          <w:tcPr>
            <w:tcW w:w="1038" w:type="dxa"/>
            <w:noWrap/>
            <w:hideMark/>
          </w:tcPr>
          <w:p w14:paraId="16856200"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15.2%</w:t>
            </w:r>
          </w:p>
        </w:tc>
        <w:tc>
          <w:tcPr>
            <w:tcW w:w="1038" w:type="dxa"/>
            <w:noWrap/>
            <w:hideMark/>
          </w:tcPr>
          <w:p w14:paraId="160D63BB"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15.3%</w:t>
            </w:r>
          </w:p>
        </w:tc>
        <w:tc>
          <w:tcPr>
            <w:tcW w:w="1042" w:type="dxa"/>
            <w:noWrap/>
            <w:hideMark/>
          </w:tcPr>
          <w:p w14:paraId="1AB7CC96"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15.3%</w:t>
            </w:r>
          </w:p>
        </w:tc>
      </w:tr>
      <w:tr w:rsidR="00673279" w:rsidRPr="009F3112" w14:paraId="0F33EB16" w14:textId="77777777" w:rsidTr="00AF6EF5">
        <w:trPr>
          <w:cantSplit/>
          <w:trHeight w:val="300"/>
        </w:trPr>
        <w:tc>
          <w:tcPr>
            <w:cnfStyle w:val="001000000000" w:firstRow="0" w:lastRow="0" w:firstColumn="1" w:lastColumn="0" w:oddVBand="0" w:evenVBand="0" w:oddHBand="0" w:evenHBand="0" w:firstRowFirstColumn="0" w:firstRowLastColumn="0" w:lastRowFirstColumn="0" w:lastRowLastColumn="0"/>
            <w:tcW w:w="1272" w:type="dxa"/>
            <w:vMerge/>
          </w:tcPr>
          <w:p w14:paraId="100E1B35" w14:textId="77777777" w:rsidR="00673279" w:rsidRPr="006952D0" w:rsidRDefault="00673279" w:rsidP="00BE32C9">
            <w:pPr>
              <w:pStyle w:val="TableParagraph"/>
            </w:pPr>
          </w:p>
        </w:tc>
        <w:tc>
          <w:tcPr>
            <w:tcW w:w="883" w:type="dxa"/>
          </w:tcPr>
          <w:p w14:paraId="083681E5" w14:textId="77777777" w:rsidR="00673279" w:rsidRPr="006952D0"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Imaging</w:t>
            </w:r>
          </w:p>
        </w:tc>
        <w:tc>
          <w:tcPr>
            <w:tcW w:w="939" w:type="dxa"/>
            <w:noWrap/>
            <w:hideMark/>
          </w:tcPr>
          <w:p w14:paraId="2E21E62A"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19.1%</w:t>
            </w:r>
          </w:p>
        </w:tc>
        <w:tc>
          <w:tcPr>
            <w:tcW w:w="1080" w:type="dxa"/>
            <w:noWrap/>
            <w:hideMark/>
          </w:tcPr>
          <w:p w14:paraId="6587A708"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21.2%</w:t>
            </w:r>
          </w:p>
        </w:tc>
        <w:tc>
          <w:tcPr>
            <w:tcW w:w="1038" w:type="dxa"/>
            <w:noWrap/>
            <w:hideMark/>
          </w:tcPr>
          <w:p w14:paraId="201FCC94"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21.6%</w:t>
            </w:r>
          </w:p>
        </w:tc>
        <w:tc>
          <w:tcPr>
            <w:tcW w:w="1038" w:type="dxa"/>
            <w:noWrap/>
            <w:hideMark/>
          </w:tcPr>
          <w:p w14:paraId="7EF8081A"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21.6%</w:t>
            </w:r>
          </w:p>
        </w:tc>
        <w:tc>
          <w:tcPr>
            <w:tcW w:w="1038" w:type="dxa"/>
            <w:noWrap/>
            <w:hideMark/>
          </w:tcPr>
          <w:p w14:paraId="0C5BD272"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21.7%</w:t>
            </w:r>
          </w:p>
        </w:tc>
        <w:tc>
          <w:tcPr>
            <w:tcW w:w="1042" w:type="dxa"/>
            <w:noWrap/>
            <w:hideMark/>
          </w:tcPr>
          <w:p w14:paraId="39A522C6"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21.7%</w:t>
            </w:r>
          </w:p>
        </w:tc>
      </w:tr>
      <w:tr w:rsidR="00673279" w:rsidRPr="005E11C8" w14:paraId="5C2C2BA7" w14:textId="77777777" w:rsidTr="00AF6EF5">
        <w:trPr>
          <w:cantSplit/>
          <w:trHeight w:val="300"/>
        </w:trPr>
        <w:tc>
          <w:tcPr>
            <w:cnfStyle w:val="001000000000" w:firstRow="0" w:lastRow="0" w:firstColumn="1" w:lastColumn="0" w:oddVBand="0" w:evenVBand="0" w:oddHBand="0" w:evenHBand="0" w:firstRowFirstColumn="0" w:firstRowLastColumn="0" w:lastRowFirstColumn="0" w:lastRowLastColumn="0"/>
            <w:tcW w:w="1272" w:type="dxa"/>
            <w:vMerge/>
          </w:tcPr>
          <w:p w14:paraId="55CE66B6" w14:textId="77777777" w:rsidR="00673279" w:rsidRPr="001C5A2E" w:rsidRDefault="00673279" w:rsidP="00BE32C9">
            <w:pPr>
              <w:pStyle w:val="TableParagraph"/>
            </w:pPr>
          </w:p>
        </w:tc>
        <w:tc>
          <w:tcPr>
            <w:tcW w:w="883" w:type="dxa"/>
          </w:tcPr>
          <w:p w14:paraId="6A47250A"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MRI</w:t>
            </w:r>
          </w:p>
        </w:tc>
        <w:tc>
          <w:tcPr>
            <w:tcW w:w="939" w:type="dxa"/>
            <w:noWrap/>
            <w:hideMark/>
          </w:tcPr>
          <w:p w14:paraId="4664D111"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30.2%</w:t>
            </w:r>
          </w:p>
        </w:tc>
        <w:tc>
          <w:tcPr>
            <w:tcW w:w="1080" w:type="dxa"/>
            <w:noWrap/>
            <w:hideMark/>
          </w:tcPr>
          <w:p w14:paraId="24B54A40"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33.9%</w:t>
            </w:r>
          </w:p>
        </w:tc>
        <w:tc>
          <w:tcPr>
            <w:tcW w:w="1038" w:type="dxa"/>
            <w:noWrap/>
            <w:hideMark/>
          </w:tcPr>
          <w:p w14:paraId="59EE4141"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34.2%</w:t>
            </w:r>
          </w:p>
        </w:tc>
        <w:tc>
          <w:tcPr>
            <w:tcW w:w="1038" w:type="dxa"/>
            <w:noWrap/>
            <w:hideMark/>
          </w:tcPr>
          <w:p w14:paraId="244A49CF"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34.2%</w:t>
            </w:r>
          </w:p>
        </w:tc>
        <w:tc>
          <w:tcPr>
            <w:tcW w:w="1038" w:type="dxa"/>
            <w:noWrap/>
            <w:hideMark/>
          </w:tcPr>
          <w:p w14:paraId="50FE52F4"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34.3%</w:t>
            </w:r>
          </w:p>
        </w:tc>
        <w:tc>
          <w:tcPr>
            <w:tcW w:w="1042" w:type="dxa"/>
            <w:noWrap/>
            <w:hideMark/>
          </w:tcPr>
          <w:p w14:paraId="47C142CA" w14:textId="77777777" w:rsidR="00673279" w:rsidRPr="009F3112"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303FB2">
              <w:t>34.3%</w:t>
            </w:r>
          </w:p>
        </w:tc>
      </w:tr>
      <w:tr w:rsidR="00673279" w:rsidRPr="005E11C8" w14:paraId="0509FA76" w14:textId="77777777" w:rsidTr="00AF6EF5">
        <w:trPr>
          <w:cantSplit/>
          <w:trHeight w:val="300"/>
        </w:trPr>
        <w:tc>
          <w:tcPr>
            <w:cnfStyle w:val="001000000000" w:firstRow="0" w:lastRow="0" w:firstColumn="1" w:lastColumn="0" w:oddVBand="0" w:evenVBand="0" w:oddHBand="0" w:evenHBand="0" w:firstRowFirstColumn="0" w:firstRowLastColumn="0" w:lastRowFirstColumn="0" w:lastRowLastColumn="0"/>
            <w:tcW w:w="1272" w:type="dxa"/>
            <w:vMerge w:val="restart"/>
          </w:tcPr>
          <w:p w14:paraId="25939191" w14:textId="6C2FA4F2" w:rsidR="00673279" w:rsidRPr="00C00CFA" w:rsidRDefault="00673279" w:rsidP="00BE32C9">
            <w:pPr>
              <w:pStyle w:val="TableParagraph"/>
            </w:pPr>
            <w:r>
              <w:t>Medicaid</w:t>
            </w:r>
          </w:p>
        </w:tc>
        <w:tc>
          <w:tcPr>
            <w:tcW w:w="883" w:type="dxa"/>
          </w:tcPr>
          <w:p w14:paraId="294430BC" w14:textId="77777777" w:rsidR="00673279" w:rsidRPr="00C00CFA"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ASC</w:t>
            </w:r>
          </w:p>
        </w:tc>
        <w:tc>
          <w:tcPr>
            <w:tcW w:w="939" w:type="dxa"/>
            <w:noWrap/>
          </w:tcPr>
          <w:p w14:paraId="380E5398"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14.9%</w:t>
            </w:r>
          </w:p>
        </w:tc>
        <w:tc>
          <w:tcPr>
            <w:tcW w:w="1080" w:type="dxa"/>
            <w:noWrap/>
          </w:tcPr>
          <w:p w14:paraId="18A9CA02"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15.5%</w:t>
            </w:r>
          </w:p>
        </w:tc>
        <w:tc>
          <w:tcPr>
            <w:tcW w:w="1038" w:type="dxa"/>
            <w:noWrap/>
          </w:tcPr>
          <w:p w14:paraId="44B775C2"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15.7%</w:t>
            </w:r>
          </w:p>
        </w:tc>
        <w:tc>
          <w:tcPr>
            <w:tcW w:w="1038" w:type="dxa"/>
            <w:noWrap/>
          </w:tcPr>
          <w:p w14:paraId="4D2D74CF"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15.9%</w:t>
            </w:r>
          </w:p>
        </w:tc>
        <w:tc>
          <w:tcPr>
            <w:tcW w:w="1038" w:type="dxa"/>
            <w:noWrap/>
          </w:tcPr>
          <w:p w14:paraId="63E7012A"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16.0%</w:t>
            </w:r>
          </w:p>
        </w:tc>
        <w:tc>
          <w:tcPr>
            <w:tcW w:w="1042" w:type="dxa"/>
            <w:noWrap/>
          </w:tcPr>
          <w:p w14:paraId="30248B8A"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16.0%</w:t>
            </w:r>
          </w:p>
        </w:tc>
      </w:tr>
      <w:tr w:rsidR="00673279" w:rsidRPr="005E11C8" w14:paraId="2261B12D" w14:textId="77777777" w:rsidTr="00AF6EF5">
        <w:trPr>
          <w:cantSplit/>
          <w:trHeight w:val="300"/>
        </w:trPr>
        <w:tc>
          <w:tcPr>
            <w:cnfStyle w:val="001000000000" w:firstRow="0" w:lastRow="0" w:firstColumn="1" w:lastColumn="0" w:oddVBand="0" w:evenVBand="0" w:oddHBand="0" w:evenHBand="0" w:firstRowFirstColumn="0" w:firstRowLastColumn="0" w:lastRowFirstColumn="0" w:lastRowLastColumn="0"/>
            <w:tcW w:w="1272" w:type="dxa"/>
            <w:vMerge/>
          </w:tcPr>
          <w:p w14:paraId="6ADA45B9" w14:textId="77777777" w:rsidR="00673279" w:rsidRPr="00C00CFA" w:rsidRDefault="00673279" w:rsidP="00BE32C9">
            <w:pPr>
              <w:pStyle w:val="TableParagraph"/>
            </w:pPr>
          </w:p>
        </w:tc>
        <w:tc>
          <w:tcPr>
            <w:tcW w:w="883" w:type="dxa"/>
          </w:tcPr>
          <w:p w14:paraId="52B1C7A3" w14:textId="77777777" w:rsidR="00673279" w:rsidRPr="00C00CFA"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Imaging</w:t>
            </w:r>
          </w:p>
        </w:tc>
        <w:tc>
          <w:tcPr>
            <w:tcW w:w="939" w:type="dxa"/>
            <w:noWrap/>
          </w:tcPr>
          <w:p w14:paraId="094494C1"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20.5%</w:t>
            </w:r>
          </w:p>
        </w:tc>
        <w:tc>
          <w:tcPr>
            <w:tcW w:w="1080" w:type="dxa"/>
            <w:noWrap/>
          </w:tcPr>
          <w:p w14:paraId="270B701B"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22.5%</w:t>
            </w:r>
          </w:p>
        </w:tc>
        <w:tc>
          <w:tcPr>
            <w:tcW w:w="1038" w:type="dxa"/>
            <w:noWrap/>
          </w:tcPr>
          <w:p w14:paraId="7CD873ED"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22.8%</w:t>
            </w:r>
          </w:p>
        </w:tc>
        <w:tc>
          <w:tcPr>
            <w:tcW w:w="1038" w:type="dxa"/>
            <w:noWrap/>
          </w:tcPr>
          <w:p w14:paraId="16E44D2D"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23.0%</w:t>
            </w:r>
          </w:p>
        </w:tc>
        <w:tc>
          <w:tcPr>
            <w:tcW w:w="1038" w:type="dxa"/>
            <w:noWrap/>
          </w:tcPr>
          <w:p w14:paraId="4F717769"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23.2%</w:t>
            </w:r>
          </w:p>
        </w:tc>
        <w:tc>
          <w:tcPr>
            <w:tcW w:w="1042" w:type="dxa"/>
            <w:noWrap/>
          </w:tcPr>
          <w:p w14:paraId="4EFEDC99"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23.2%</w:t>
            </w:r>
          </w:p>
        </w:tc>
      </w:tr>
      <w:tr w:rsidR="00673279" w:rsidRPr="005E11C8" w14:paraId="0F6BB0A3" w14:textId="77777777" w:rsidTr="00AF6EF5">
        <w:trPr>
          <w:cantSplit/>
          <w:trHeight w:val="300"/>
        </w:trPr>
        <w:tc>
          <w:tcPr>
            <w:cnfStyle w:val="001000000000" w:firstRow="0" w:lastRow="0" w:firstColumn="1" w:lastColumn="0" w:oddVBand="0" w:evenVBand="0" w:oddHBand="0" w:evenHBand="0" w:firstRowFirstColumn="0" w:firstRowLastColumn="0" w:lastRowFirstColumn="0" w:lastRowLastColumn="0"/>
            <w:tcW w:w="1272" w:type="dxa"/>
            <w:vMerge/>
          </w:tcPr>
          <w:p w14:paraId="18D6CBCA" w14:textId="77777777" w:rsidR="00673279" w:rsidRPr="00C00CFA" w:rsidRDefault="00673279" w:rsidP="00BE32C9">
            <w:pPr>
              <w:pStyle w:val="TableParagraph"/>
            </w:pPr>
          </w:p>
        </w:tc>
        <w:tc>
          <w:tcPr>
            <w:tcW w:w="883" w:type="dxa"/>
          </w:tcPr>
          <w:p w14:paraId="0354BFF4" w14:textId="77777777" w:rsidR="00673279" w:rsidRPr="00C00CFA"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t>MRI</w:t>
            </w:r>
          </w:p>
        </w:tc>
        <w:tc>
          <w:tcPr>
            <w:tcW w:w="939" w:type="dxa"/>
            <w:noWrap/>
          </w:tcPr>
          <w:p w14:paraId="6554B6A0"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31.8%</w:t>
            </w:r>
          </w:p>
        </w:tc>
        <w:tc>
          <w:tcPr>
            <w:tcW w:w="1080" w:type="dxa"/>
            <w:noWrap/>
          </w:tcPr>
          <w:p w14:paraId="7DEF00CC"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35.2%</w:t>
            </w:r>
          </w:p>
        </w:tc>
        <w:tc>
          <w:tcPr>
            <w:tcW w:w="1038" w:type="dxa"/>
            <w:noWrap/>
          </w:tcPr>
          <w:p w14:paraId="54FE9FCC"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35.7%</w:t>
            </w:r>
          </w:p>
        </w:tc>
        <w:tc>
          <w:tcPr>
            <w:tcW w:w="1038" w:type="dxa"/>
            <w:noWrap/>
          </w:tcPr>
          <w:p w14:paraId="47454188"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35.9%</w:t>
            </w:r>
          </w:p>
        </w:tc>
        <w:tc>
          <w:tcPr>
            <w:tcW w:w="1038" w:type="dxa"/>
            <w:noWrap/>
          </w:tcPr>
          <w:p w14:paraId="46EFD1E0"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36.0%</w:t>
            </w:r>
          </w:p>
        </w:tc>
        <w:tc>
          <w:tcPr>
            <w:tcW w:w="1042" w:type="dxa"/>
            <w:noWrap/>
          </w:tcPr>
          <w:p w14:paraId="7953658C" w14:textId="77777777" w:rsidR="00673279" w:rsidRPr="001C5A2E" w:rsidRDefault="00673279" w:rsidP="00BE32C9">
            <w:pPr>
              <w:pStyle w:val="TableParagraph"/>
              <w:cnfStyle w:val="000000000000" w:firstRow="0" w:lastRow="0" w:firstColumn="0" w:lastColumn="0" w:oddVBand="0" w:evenVBand="0" w:oddHBand="0" w:evenHBand="0" w:firstRowFirstColumn="0" w:firstRowLastColumn="0" w:lastRowFirstColumn="0" w:lastRowLastColumn="0"/>
            </w:pPr>
            <w:r w:rsidRPr="00477AC9">
              <w:t>36.0%</w:t>
            </w:r>
          </w:p>
        </w:tc>
      </w:tr>
    </w:tbl>
    <w:p w14:paraId="31640B99" w14:textId="77777777" w:rsidR="00673279" w:rsidRDefault="00673279" w:rsidP="007813FB">
      <w:pPr>
        <w:pStyle w:val="TableNotes"/>
      </w:pPr>
      <w:r>
        <w:t>Source: Massachusetts All-Payer Claims Database. Combined service area claims, 2019.</w:t>
      </w:r>
    </w:p>
    <w:p w14:paraId="50C34E74" w14:textId="5648E089" w:rsidR="00812A95" w:rsidRPr="00744A10" w:rsidRDefault="00812A95" w:rsidP="00BE32C9">
      <w:pPr>
        <w:pStyle w:val="Heading1"/>
        <w:rPr>
          <w:rFonts w:hint="eastAsia"/>
        </w:rPr>
      </w:pPr>
      <w:bookmarkStart w:id="369" w:name="_Toc109895538"/>
      <w:bookmarkEnd w:id="368"/>
      <w:r w:rsidRPr="00744A10">
        <w:rPr>
          <w:rFonts w:hint="eastAsia"/>
        </w:rPr>
        <w:t xml:space="preserve">Additional Analyses of Service Lines (Partial Hospitalization, Sleep </w:t>
      </w:r>
      <w:r w:rsidR="00CE0B6A" w:rsidRPr="00744A10">
        <w:rPr>
          <w:rFonts w:hint="eastAsia"/>
        </w:rPr>
        <w:t>S</w:t>
      </w:r>
      <w:r w:rsidRPr="00744A10">
        <w:rPr>
          <w:rFonts w:hint="eastAsia"/>
        </w:rPr>
        <w:t>ervices, GI)</w:t>
      </w:r>
      <w:bookmarkEnd w:id="369"/>
    </w:p>
    <w:p w14:paraId="164F50D1" w14:textId="31E5A0F1" w:rsidR="00B54E8E" w:rsidRPr="00B926F9" w:rsidRDefault="00F41190" w:rsidP="00BE32C9">
      <w:r w:rsidRPr="00744A10">
        <w:t xml:space="preserve">In addition to the services analyzed in the sections above (ASC, MRI, and Imaging), three services were identified in BCH’s </w:t>
      </w:r>
      <w:r w:rsidR="006C37FF" w:rsidRPr="00744A10">
        <w:t>A</w:t>
      </w:r>
      <w:r w:rsidRPr="00744A10">
        <w:t xml:space="preserve">pplication </w:t>
      </w:r>
      <w:r w:rsidR="00A46629">
        <w:t>as</w:t>
      </w:r>
      <w:r w:rsidRPr="00744A10">
        <w:t xml:space="preserve"> </w:t>
      </w:r>
      <w:r w:rsidR="003A7761">
        <w:t>important</w:t>
      </w:r>
      <w:r w:rsidR="003A7761" w:rsidRPr="00744A10">
        <w:t xml:space="preserve"> </w:t>
      </w:r>
      <w:r w:rsidRPr="00744A10">
        <w:t xml:space="preserve">additions to healthcare </w:t>
      </w:r>
      <w:r w:rsidR="003A7761">
        <w:t xml:space="preserve">service </w:t>
      </w:r>
      <w:r w:rsidRPr="00744A10">
        <w:t xml:space="preserve">provision </w:t>
      </w:r>
      <w:r w:rsidR="003A7761">
        <w:t xml:space="preserve">for pediatric patients </w:t>
      </w:r>
      <w:r w:rsidR="006C37FF" w:rsidRPr="00744A10">
        <w:t>in the BCH service areas</w:t>
      </w:r>
      <w:r w:rsidR="003A7761">
        <w:t xml:space="preserve"> (see Section II above for more detail)</w:t>
      </w:r>
      <w:r w:rsidRPr="00744A10">
        <w:t>. Unlike the services above, however, these services are described more as expansions of current service provision than addition of new services</w:t>
      </w:r>
      <w:r w:rsidR="003A7761">
        <w:t xml:space="preserve"> or locations</w:t>
      </w:r>
      <w:r w:rsidRPr="00744A10">
        <w:t xml:space="preserve">, </w:t>
      </w:r>
      <w:r w:rsidR="006C37FF" w:rsidRPr="00744A10">
        <w:t xml:space="preserve">or ones that </w:t>
      </w:r>
      <w:r w:rsidRPr="00744A10">
        <w:t xml:space="preserve">do not include significant and definitive additions of space or equipment </w:t>
      </w:r>
      <w:r w:rsidR="006C37FF" w:rsidRPr="00744A10">
        <w:t>or</w:t>
      </w:r>
      <w:r w:rsidRPr="00744A10">
        <w:t xml:space="preserve"> were not accompanied by projections from BCH on additional volumes. Consequently, different methods were applied </w:t>
      </w:r>
      <w:r w:rsidR="006C37FF" w:rsidRPr="00744A10">
        <w:t xml:space="preserve">to these services </w:t>
      </w:r>
      <w:r w:rsidRPr="00744A10">
        <w:t>to estimate the effect on Massachusetts healthcare costs</w:t>
      </w:r>
      <w:r w:rsidR="006C37FF">
        <w:t xml:space="preserve"> and consistency with its goals</w:t>
      </w:r>
      <w:r w:rsidRPr="00B926F9">
        <w:t>.</w:t>
      </w:r>
    </w:p>
    <w:p w14:paraId="3803CE04" w14:textId="2708F441" w:rsidR="00F41190" w:rsidRDefault="00F41190" w:rsidP="00BE32C9">
      <w:pPr>
        <w:pStyle w:val="Heading2"/>
      </w:pPr>
      <w:bookmarkStart w:id="370" w:name="_Toc109895539"/>
      <w:r>
        <w:t>Sleep Medicine</w:t>
      </w:r>
      <w:bookmarkEnd w:id="370"/>
    </w:p>
    <w:p w14:paraId="754AEB55" w14:textId="0EA749D6" w:rsidR="00F131A7" w:rsidRDefault="00F41190" w:rsidP="00BE32C9">
      <w:r>
        <w:t xml:space="preserve">BCH indicates in its application that it plans to expand the </w:t>
      </w:r>
      <w:r w:rsidR="00DE4B8B">
        <w:t xml:space="preserve">existing </w:t>
      </w:r>
      <w:r>
        <w:t xml:space="preserve">sleep </w:t>
      </w:r>
      <w:r w:rsidR="006C37FF">
        <w:t xml:space="preserve">services </w:t>
      </w:r>
      <w:r>
        <w:t xml:space="preserve">program currently offered at BCH </w:t>
      </w:r>
      <w:r w:rsidR="00DE4B8B">
        <w:t xml:space="preserve">Waltham. </w:t>
      </w:r>
      <w:r w:rsidR="006C37FF">
        <w:t>The Application</w:t>
      </w:r>
      <w:r w:rsidR="00F131A7">
        <w:t xml:space="preserve"> identifies a small number of providers that offer sleep services and stresses the importance of expanding capacity for both commercial and </w:t>
      </w:r>
      <w:r w:rsidR="006C37FF">
        <w:t>MassHealth/</w:t>
      </w:r>
      <w:r w:rsidR="00F131A7">
        <w:t>Medicaid patients</w:t>
      </w:r>
      <w:r w:rsidR="006C37FF">
        <w:t xml:space="preserve"> to provide closer and more convenient locations and to meet needs, including for broader patient populations</w:t>
      </w:r>
      <w:r w:rsidR="003A7761">
        <w:t xml:space="preserve"> for these services</w:t>
      </w:r>
      <w:r w:rsidR="00F131A7">
        <w:t xml:space="preserve">. </w:t>
      </w:r>
    </w:p>
    <w:p w14:paraId="28BE04C4" w14:textId="0E1C19BA" w:rsidR="00F131A7" w:rsidRDefault="003A7761" w:rsidP="00BE32C9">
      <w:r>
        <w:t xml:space="preserve">FTI attempted to investigate providers and alternatives for these services using the CHIA data.  </w:t>
      </w:r>
      <w:r w:rsidR="00DE4B8B">
        <w:t>In 2019,</w:t>
      </w:r>
      <w:r>
        <w:t xml:space="preserve"> however, </w:t>
      </w:r>
      <w:r w:rsidR="006C37FF">
        <w:t xml:space="preserve">based on the available CHIA data and the defined service line, </w:t>
      </w:r>
      <w:r w:rsidR="00DE4B8B">
        <w:t xml:space="preserve">there </w:t>
      </w:r>
      <w:r>
        <w:t>were only very small volumes of</w:t>
      </w:r>
      <w:r w:rsidR="00DE4B8B">
        <w:t xml:space="preserve"> pediatric visits for sleep services in the combined service area.</w:t>
      </w:r>
      <w:r w:rsidR="00DE4B8B">
        <w:rPr>
          <w:rStyle w:val="FootnoteReference"/>
        </w:rPr>
        <w:footnoteReference w:id="82"/>
      </w:r>
      <w:r w:rsidR="00DE4B8B">
        <w:t xml:space="preserve"> </w:t>
      </w:r>
      <w:r w:rsidR="0008711F">
        <w:t>Most of the providers’</w:t>
      </w:r>
      <w:r w:rsidR="00DE4B8B">
        <w:t xml:space="preserve"> volumes were too </w:t>
      </w:r>
      <w:r w:rsidR="0008711F">
        <w:t xml:space="preserve">low </w:t>
      </w:r>
      <w:r w:rsidR="00DE4B8B">
        <w:t xml:space="preserve">to report. </w:t>
      </w:r>
      <w:r>
        <w:t>The data</w:t>
      </w:r>
      <w:r w:rsidR="00F131A7">
        <w:t xml:space="preserve"> indicate existence of </w:t>
      </w:r>
      <w:r w:rsidR="006C37FF">
        <w:t xml:space="preserve">some </w:t>
      </w:r>
      <w:r w:rsidR="00F131A7">
        <w:t xml:space="preserve">competition for these services both for commercial and </w:t>
      </w:r>
      <w:r w:rsidR="006C37FF">
        <w:t>MassHealth/</w:t>
      </w:r>
      <w:r w:rsidR="00F131A7">
        <w:t>Medicaid patients</w:t>
      </w:r>
      <w:r w:rsidR="006C37FF">
        <w:t xml:space="preserve"> from providers</w:t>
      </w:r>
      <w:r>
        <w:t xml:space="preserve"> </w:t>
      </w:r>
      <w:r w:rsidR="0008711F">
        <w:t xml:space="preserve">other </w:t>
      </w:r>
      <w:r>
        <w:t>than BCH</w:t>
      </w:r>
      <w:r w:rsidR="0008711F">
        <w:t xml:space="preserve">, and that BCH provides services to MassHealth/Medicaid patients. </w:t>
      </w:r>
    </w:p>
    <w:p w14:paraId="1D8F3875" w14:textId="33504C3C" w:rsidR="00F41190" w:rsidRDefault="00DE4B8B" w:rsidP="00BE32C9">
      <w:r>
        <w:t>Volumes are sufficiently small that FTI does not expect expansion of the</w:t>
      </w:r>
      <w:r w:rsidR="006C37FF">
        <w:t>se</w:t>
      </w:r>
      <w:r>
        <w:t xml:space="preserve"> services </w:t>
      </w:r>
      <w:r w:rsidR="006C37FF">
        <w:t xml:space="preserve">at the Waltham location as part of its program expansion </w:t>
      </w:r>
      <w:r>
        <w:t xml:space="preserve">to </w:t>
      </w:r>
      <w:r w:rsidR="007A448A">
        <w:t xml:space="preserve">have a significant impact on costs, and without definitive descriptions of expansion, </w:t>
      </w:r>
      <w:r w:rsidR="00F131A7">
        <w:t xml:space="preserve">changes in cost would be due to </w:t>
      </w:r>
      <w:r w:rsidR="007A448A">
        <w:lastRenderedPageBreak/>
        <w:t xml:space="preserve">geographic and demographic population trends. </w:t>
      </w:r>
      <w:r w:rsidR="00F131A7">
        <w:t>These are not provided here as they are not illustrative of the cost effects due specifically to the project described in the D</w:t>
      </w:r>
      <w:r w:rsidR="006C37FF">
        <w:t>o</w:t>
      </w:r>
      <w:r w:rsidR="00F131A7">
        <w:t>N.</w:t>
      </w:r>
    </w:p>
    <w:p w14:paraId="576AF7CE" w14:textId="2858B501" w:rsidR="00F41190" w:rsidRPr="007813FB" w:rsidRDefault="00EB6420" w:rsidP="00BE32C9">
      <w:pPr>
        <w:pStyle w:val="Heading2"/>
      </w:pPr>
      <w:bookmarkStart w:id="371" w:name="_Toc109895540"/>
      <w:r w:rsidRPr="007813FB">
        <w:t xml:space="preserve">Gastroenterology </w:t>
      </w:r>
      <w:r w:rsidR="006C37FF" w:rsidRPr="007813FB">
        <w:t>(GI) Services</w:t>
      </w:r>
      <w:bookmarkEnd w:id="371"/>
    </w:p>
    <w:p w14:paraId="11D3E7A6" w14:textId="6223F980" w:rsidR="00F131A7" w:rsidRDefault="00F131A7" w:rsidP="00BE32C9">
      <w:r>
        <w:t>BCH also describes its plan</w:t>
      </w:r>
      <w:r w:rsidR="0008711F">
        <w:t>s</w:t>
      </w:r>
      <w:r>
        <w:t xml:space="preserve"> to add </w:t>
      </w:r>
      <w:r w:rsidR="006C37FF">
        <w:t>GI</w:t>
      </w:r>
      <w:r>
        <w:t xml:space="preserve"> services at its new Needham facility</w:t>
      </w:r>
      <w:r w:rsidR="00A46629">
        <w:t xml:space="preserve"> with expanded specialty care and services</w:t>
      </w:r>
      <w:r>
        <w:t xml:space="preserve">. BCH’s application indicates there are a small number of providers that offer these services and stresses the importance of expanding capacity for both commercial and </w:t>
      </w:r>
      <w:r w:rsidR="00A46629">
        <w:t>MassHealth/</w:t>
      </w:r>
      <w:r>
        <w:t>Medicaid patients</w:t>
      </w:r>
      <w:r w:rsidR="00A46629">
        <w:t xml:space="preserve"> </w:t>
      </w:r>
      <w:r w:rsidR="0008711F">
        <w:t xml:space="preserve">and </w:t>
      </w:r>
      <w:r w:rsidR="00A46629">
        <w:t>patients typically underserved or with access issues in some of the communities around Boston</w:t>
      </w:r>
      <w:r>
        <w:t>.</w:t>
      </w:r>
      <w:r w:rsidR="00A46629">
        <w:t xml:space="preserve"> Goals of the expansion include potentially increasing availability at the Needham location as an alternative to </w:t>
      </w:r>
      <w:r w:rsidR="0008711F">
        <w:t xml:space="preserve">the BCH </w:t>
      </w:r>
      <w:r w:rsidR="00A46629">
        <w:t>Longwood</w:t>
      </w:r>
      <w:r w:rsidR="0008711F">
        <w:t xml:space="preserve"> facility.</w:t>
      </w:r>
    </w:p>
    <w:p w14:paraId="096A811B" w14:textId="69EF835F" w:rsidR="00F131A7" w:rsidRDefault="0008711F" w:rsidP="00BE32C9">
      <w:r>
        <w:t>FTI attempted to investigate providers and alternatives for GI services using the CHIA data</w:t>
      </w:r>
      <w:r w:rsidR="002C599D">
        <w:t>, which also had somewhat limited volumes</w:t>
      </w:r>
      <w:r>
        <w:t xml:space="preserve">.  </w:t>
      </w:r>
      <w:r w:rsidR="00F131A7">
        <w:t xml:space="preserve">In 2019, </w:t>
      </w:r>
      <w:r w:rsidR="00A46629">
        <w:t>based on the available CHIA data</w:t>
      </w:r>
      <w:r w:rsidR="006E4A54">
        <w:t xml:space="preserve"> and across the full range of CPT</w:t>
      </w:r>
      <w:r w:rsidR="00A46629">
        <w:t xml:space="preserve">, </w:t>
      </w:r>
      <w:r w:rsidR="00F131A7">
        <w:t xml:space="preserve">there were </w:t>
      </w:r>
      <w:r w:rsidR="006102E5">
        <w:t>more than 4,000</w:t>
      </w:r>
      <w:r w:rsidR="00F131A7">
        <w:t xml:space="preserve"> pediatric visits for </w:t>
      </w:r>
      <w:r w:rsidR="006102E5">
        <w:t>gastroenterology</w:t>
      </w:r>
      <w:r w:rsidR="00F131A7">
        <w:t xml:space="preserve"> in the combined service area.</w:t>
      </w:r>
      <w:r w:rsidR="00F131A7">
        <w:rPr>
          <w:rStyle w:val="FootnoteReference"/>
        </w:rPr>
        <w:footnoteReference w:id="83"/>
      </w:r>
      <w:r w:rsidR="00F131A7">
        <w:t xml:space="preserve"> </w:t>
      </w:r>
      <w:r>
        <w:t>Most provider’s volumes were too low to report; the data confirm that BCH provides these services to both commercial and MassHealth/Medicaid patients</w:t>
      </w:r>
      <w:r w:rsidR="00F131A7">
        <w:t xml:space="preserve">. </w:t>
      </w:r>
      <w:r w:rsidR="006102E5">
        <w:t xml:space="preserve">Facilities that were not </w:t>
      </w:r>
      <w:r>
        <w:t xml:space="preserve">specifically </w:t>
      </w:r>
      <w:r w:rsidR="006102E5">
        <w:t xml:space="preserve">identified made up </w:t>
      </w:r>
      <w:r>
        <w:t xml:space="preserve">under 40% </w:t>
      </w:r>
      <w:r w:rsidR="006102E5">
        <w:t>of gastroenterology procedures</w:t>
      </w:r>
      <w:r w:rsidR="002C599D">
        <w:t>, and the largest other provider than BCH was Mass General</w:t>
      </w:r>
      <w:r w:rsidR="006102E5">
        <w:t xml:space="preserve">. </w:t>
      </w:r>
      <w:r w:rsidR="00F131A7">
        <w:t xml:space="preserve">These results indicate existence of competition for these services both for commercial and </w:t>
      </w:r>
      <w:r w:rsidR="00A46629">
        <w:t>MassHealth/</w:t>
      </w:r>
      <w:r w:rsidR="00F131A7">
        <w:t>Medicaid patients.</w:t>
      </w:r>
    </w:p>
    <w:p w14:paraId="47BFCD1A" w14:textId="0F9B2AF7" w:rsidR="00D90124" w:rsidRDefault="00A46629" w:rsidP="00BE32C9">
      <w:r>
        <w:t xml:space="preserve">FTI applied the same methodology for estimating diversion and sources of diversion to the new </w:t>
      </w:r>
      <w:r w:rsidR="002C599D">
        <w:t xml:space="preserve">Needham </w:t>
      </w:r>
      <w:r>
        <w:t xml:space="preserve">facility for GI services as used for ASC services. The analysis shows that </w:t>
      </w:r>
      <w:r w:rsidR="0008711F">
        <w:t>about a quarter of</w:t>
      </w:r>
      <w:r w:rsidR="006102E5">
        <w:t xml:space="preserve"> Needham’s gastroenterology visits are expected to come </w:t>
      </w:r>
      <w:r w:rsidR="00967574">
        <w:t xml:space="preserve">from BCH, </w:t>
      </w:r>
      <w:r w:rsidR="0008711F">
        <w:t>primarily from</w:t>
      </w:r>
      <w:r w:rsidR="00967574">
        <w:t xml:space="preserve"> Longwood</w:t>
      </w:r>
      <w:r w:rsidR="0008711F">
        <w:t>, reflecting the opportunity to serve patients at the Needham location potentially at lower cost</w:t>
      </w:r>
      <w:r w:rsidR="00967574">
        <w:t xml:space="preserve">. </w:t>
      </w:r>
      <w:r w:rsidR="002C599D">
        <w:t>Of the other sources of diversion, approximately 20% of</w:t>
      </w:r>
      <w:r w:rsidR="00967574">
        <w:t xml:space="preserve"> new visits are expected to be drawn from Mass General and </w:t>
      </w:r>
      <w:r w:rsidR="002C599D">
        <w:t>about 36%</w:t>
      </w:r>
      <w:r w:rsidR="00967574">
        <w:t xml:space="preserve"> from </w:t>
      </w:r>
      <w:r w:rsidR="002C599D">
        <w:t xml:space="preserve">the several </w:t>
      </w:r>
      <w:r w:rsidR="00967574">
        <w:t xml:space="preserve">provider systems </w:t>
      </w:r>
      <w:r w:rsidR="0008711F">
        <w:t>in the Other category.</w:t>
      </w:r>
    </w:p>
    <w:p w14:paraId="0C8CF6F1" w14:textId="4A846AF0" w:rsidR="006102E5" w:rsidRDefault="006102E5" w:rsidP="00BE32C9">
      <w:r>
        <w:t xml:space="preserve">The </w:t>
      </w:r>
      <w:r w:rsidR="00F96984">
        <w:t xml:space="preserve">estimated </w:t>
      </w:r>
      <w:r>
        <w:t xml:space="preserve">diversion </w:t>
      </w:r>
      <w:r w:rsidR="00F96984">
        <w:t>would predict reduced</w:t>
      </w:r>
      <w:r>
        <w:t xml:space="preserve"> costs for gastroenterology services, by virtue of attracting patients </w:t>
      </w:r>
      <w:r w:rsidR="00F96984">
        <w:t xml:space="preserve">to Needham </w:t>
      </w:r>
      <w:r>
        <w:t>from higher cost providers, by approximately 0.66% by 2040.</w:t>
      </w:r>
      <w:r w:rsidR="00967574">
        <w:t xml:space="preserve"> Th</w:t>
      </w:r>
      <w:r w:rsidR="00F96984">
        <w:t xml:space="preserve">e resulting </w:t>
      </w:r>
      <w:r w:rsidR="002C599D">
        <w:t xml:space="preserve">estimated </w:t>
      </w:r>
      <w:r w:rsidR="008C6EE0">
        <w:t>changes</w:t>
      </w:r>
      <w:r w:rsidR="00967574">
        <w:t xml:space="preserve"> </w:t>
      </w:r>
      <w:r w:rsidR="002C599D">
        <w:t xml:space="preserve">in share </w:t>
      </w:r>
      <w:r w:rsidR="00F96984">
        <w:t xml:space="preserve">are </w:t>
      </w:r>
      <w:r w:rsidR="00967574">
        <w:t xml:space="preserve">not </w:t>
      </w:r>
      <w:r w:rsidR="00F96984">
        <w:t>large</w:t>
      </w:r>
      <w:r w:rsidR="00967574">
        <w:t xml:space="preserve"> enough</w:t>
      </w:r>
      <w:r w:rsidR="00F96984">
        <w:t xml:space="preserve"> to have an</w:t>
      </w:r>
      <w:r w:rsidR="00967574">
        <w:t xml:space="preserve"> impact on concentration t</w:t>
      </w:r>
      <w:r w:rsidR="00F96984">
        <w:t xml:space="preserve">hat </w:t>
      </w:r>
      <w:r w:rsidR="002C599D">
        <w:t>c</w:t>
      </w:r>
      <w:r w:rsidR="00F96984">
        <w:t>ould be associated with potential</w:t>
      </w:r>
      <w:r w:rsidR="00967574">
        <w:t xml:space="preserve"> </w:t>
      </w:r>
      <w:r w:rsidR="00F96984">
        <w:t>e</w:t>
      </w:r>
      <w:r w:rsidR="00967574">
        <w:t xml:space="preserve">ffect </w:t>
      </w:r>
      <w:r w:rsidR="00F96984">
        <w:t xml:space="preserve">on </w:t>
      </w:r>
      <w:r w:rsidR="00967574">
        <w:t>prices.</w:t>
      </w:r>
    </w:p>
    <w:p w14:paraId="60D1E051" w14:textId="041C2545" w:rsidR="00EA0CA1" w:rsidRDefault="00F96984" w:rsidP="00BE32C9">
      <w:pPr>
        <w:pStyle w:val="Heading2"/>
      </w:pPr>
      <w:bookmarkStart w:id="372" w:name="_Toc109895541"/>
      <w:r>
        <w:t>Partial Hospitalization Program</w:t>
      </w:r>
      <w:bookmarkEnd w:id="372"/>
    </w:p>
    <w:p w14:paraId="27977595" w14:textId="5997F215" w:rsidR="002C599D" w:rsidRDefault="00EA0CA1" w:rsidP="00BE32C9">
      <w:r w:rsidRPr="00071DEA">
        <w:t xml:space="preserve">BCH’s </w:t>
      </w:r>
      <w:r w:rsidR="00F96984" w:rsidRPr="00071DEA">
        <w:t>A</w:t>
      </w:r>
      <w:r w:rsidRPr="00071DEA">
        <w:t>pplication include</w:t>
      </w:r>
      <w:r w:rsidR="00F96984" w:rsidRPr="00071DEA">
        <w:t>s</w:t>
      </w:r>
      <w:r w:rsidRPr="00071DEA">
        <w:t xml:space="preserve"> expansion of </w:t>
      </w:r>
      <w:r w:rsidR="00EB6420" w:rsidRPr="00071DEA">
        <w:t xml:space="preserve">specialized </w:t>
      </w:r>
      <w:r w:rsidRPr="00071DEA">
        <w:t xml:space="preserve">psychiatric services, including </w:t>
      </w:r>
      <w:r w:rsidR="00F96984" w:rsidRPr="00071DEA">
        <w:t xml:space="preserve">specifically the addition of </w:t>
      </w:r>
      <w:r w:rsidRPr="00071DEA">
        <w:t xml:space="preserve">a partial hospitalization program </w:t>
      </w:r>
      <w:r w:rsidR="00F96984" w:rsidRPr="00071DEA">
        <w:t xml:space="preserve">(PHP) </w:t>
      </w:r>
      <w:r w:rsidRPr="00071DEA">
        <w:t>at Waltham</w:t>
      </w:r>
      <w:r w:rsidR="00EB6420" w:rsidRPr="00071DEA">
        <w:t xml:space="preserve"> to complement the inpatient behavioral health program there</w:t>
      </w:r>
      <w:r w:rsidRPr="00071DEA">
        <w:t xml:space="preserve">. Through research, FTI was unable to identify </w:t>
      </w:r>
      <w:r w:rsidR="00F96984" w:rsidRPr="00071DEA">
        <w:t xml:space="preserve">in the CHIA data </w:t>
      </w:r>
      <w:r w:rsidRPr="00071DEA">
        <w:t xml:space="preserve">a specific set of procedures that </w:t>
      </w:r>
      <w:r w:rsidR="00EB6420" w:rsidRPr="00071DEA">
        <w:t xml:space="preserve">uniquely </w:t>
      </w:r>
      <w:r w:rsidRPr="00071DEA">
        <w:t xml:space="preserve">characterize a Partial Hospitalization Program as it did for the other services, </w:t>
      </w:r>
      <w:r w:rsidR="00F96984" w:rsidRPr="00071DEA">
        <w:t xml:space="preserve">such as ASCs and </w:t>
      </w:r>
      <w:r w:rsidR="00F96984" w:rsidRPr="00071DEA">
        <w:lastRenderedPageBreak/>
        <w:t>Imaging.  As an alternative, FTI</w:t>
      </w:r>
      <w:r w:rsidRPr="00071DEA">
        <w:t xml:space="preserve"> identified </w:t>
      </w:r>
      <w:r w:rsidR="00F96984" w:rsidRPr="00071DEA">
        <w:t xml:space="preserve">a set of </w:t>
      </w:r>
      <w:r w:rsidRPr="00071DEA">
        <w:t xml:space="preserve">providers in the greater Boston area that </w:t>
      </w:r>
      <w:r w:rsidR="002C599D">
        <w:t xml:space="preserve">based on the research appear to </w:t>
      </w:r>
      <w:r w:rsidRPr="00071DEA">
        <w:t xml:space="preserve">offer such </w:t>
      </w:r>
      <w:r w:rsidR="00F96984" w:rsidRPr="00071DEA">
        <w:t>a PHP</w:t>
      </w:r>
      <w:r w:rsidRPr="00071DEA">
        <w:t>.</w:t>
      </w:r>
      <w:r w:rsidRPr="00071DEA">
        <w:rPr>
          <w:rStyle w:val="FootnoteReference"/>
        </w:rPr>
        <w:footnoteReference w:id="84"/>
      </w:r>
      <w:r w:rsidRPr="00071DEA">
        <w:t xml:space="preserve"> </w:t>
      </w:r>
      <w:r w:rsidR="002C599D">
        <w:t>FTI used the 2019</w:t>
      </w:r>
      <w:r w:rsidRPr="00071DEA">
        <w:t xml:space="preserve"> CHIA data </w:t>
      </w:r>
      <w:r w:rsidR="00EB6420" w:rsidRPr="00071DEA">
        <w:t xml:space="preserve">and CPT codes </w:t>
      </w:r>
      <w:r w:rsidRPr="00071DEA">
        <w:t xml:space="preserve">for all psych procedures, </w:t>
      </w:r>
      <w:r w:rsidR="002C599D">
        <w:t>and attempted to match t</w:t>
      </w:r>
      <w:r w:rsidRPr="00071DEA">
        <w:t xml:space="preserve">hese providers’ </w:t>
      </w:r>
      <w:r w:rsidR="002C599D">
        <w:t xml:space="preserve">in the data; their associated </w:t>
      </w:r>
      <w:r w:rsidRPr="00071DEA">
        <w:t xml:space="preserve">procedures made up less than 0.1% of all outpatient behavioral procedures for pediatric patients in the area. </w:t>
      </w:r>
    </w:p>
    <w:p w14:paraId="4E04BCEB" w14:textId="2357269B" w:rsidR="00EA0CA1" w:rsidRPr="00071DEA" w:rsidRDefault="00EA0CA1" w:rsidP="00BE32C9">
      <w:r w:rsidRPr="00071DEA">
        <w:t>Consequently</w:t>
      </w:r>
      <w:r w:rsidR="00EB6420" w:rsidRPr="00071DEA">
        <w:t xml:space="preserve"> and consistent with the other research evidence</w:t>
      </w:r>
      <w:r w:rsidRPr="00071DEA">
        <w:t xml:space="preserve">, these programs were determined to be </w:t>
      </w:r>
      <w:r w:rsidR="00EB6420" w:rsidRPr="00071DEA">
        <w:t>very</w:t>
      </w:r>
      <w:r w:rsidRPr="00071DEA">
        <w:t xml:space="preserve"> small and the addition of another provider </w:t>
      </w:r>
      <w:r w:rsidR="00EB6420" w:rsidRPr="00071DEA">
        <w:t xml:space="preserve">(BCH at Waltham) </w:t>
      </w:r>
      <w:r w:rsidRPr="00071DEA">
        <w:t>would be unlikely to have a consequential impact on costs.</w:t>
      </w:r>
      <w:r w:rsidR="007B1FD0" w:rsidRPr="00071DEA">
        <w:t xml:space="preserve"> </w:t>
      </w:r>
      <w:r w:rsidR="00EB6420" w:rsidRPr="00071DEA">
        <w:t>Moreover, based on the literature, p</w:t>
      </w:r>
      <w:r w:rsidR="007B1FD0" w:rsidRPr="00071DEA">
        <w:t xml:space="preserve">atients for a PHP could come from </w:t>
      </w:r>
      <w:r w:rsidR="00EB6420" w:rsidRPr="00071DEA">
        <w:t xml:space="preserve">different </w:t>
      </w:r>
      <w:r w:rsidR="007B1FD0" w:rsidRPr="00071DEA">
        <w:t>sources</w:t>
      </w:r>
      <w:r w:rsidR="00EB6420" w:rsidRPr="00071DEA">
        <w:t xml:space="preserve"> that could have cost reducing as well as possible neutral or increasing effects</w:t>
      </w:r>
      <w:r w:rsidR="007B1FD0" w:rsidRPr="00071DEA">
        <w:t>—</w:t>
      </w:r>
      <w:r w:rsidR="002C599D">
        <w:t>i</w:t>
      </w:r>
      <w:r w:rsidR="007B1FD0" w:rsidRPr="00071DEA">
        <w:t>npatient visits</w:t>
      </w:r>
      <w:r w:rsidR="004E0FF5">
        <w:t xml:space="preserve"> or</w:t>
      </w:r>
      <w:r w:rsidR="00EB6420" w:rsidRPr="00071DEA">
        <w:t xml:space="preserve"> ED visits</w:t>
      </w:r>
      <w:r w:rsidR="004E0FF5">
        <w:t xml:space="preserve"> </w:t>
      </w:r>
      <w:r w:rsidR="00EB6420" w:rsidRPr="00071DEA">
        <w:t>which</w:t>
      </w:r>
      <w:r w:rsidR="004E0FF5">
        <w:t xml:space="preserve"> </w:t>
      </w:r>
      <w:r w:rsidR="00EB6420" w:rsidRPr="00071DEA">
        <w:t xml:space="preserve">would tend to lower costs </w:t>
      </w:r>
      <w:r w:rsidR="007B1FD0" w:rsidRPr="00071DEA">
        <w:t xml:space="preserve">or other outpatient providers of similar programs </w:t>
      </w:r>
      <w:r w:rsidR="00EB6420" w:rsidRPr="00071DEA">
        <w:t xml:space="preserve">or alternative types of care </w:t>
      </w:r>
      <w:r w:rsidR="007B1FD0" w:rsidRPr="00071DEA">
        <w:t xml:space="preserve">which </w:t>
      </w:r>
      <w:r w:rsidR="004E0FF5">
        <w:t>might</w:t>
      </w:r>
      <w:r w:rsidR="007B1FD0" w:rsidRPr="00071DEA">
        <w:t xml:space="preserve"> increase costs.</w:t>
      </w:r>
      <w:r w:rsidR="00EB6420" w:rsidRPr="00071DEA">
        <w:t xml:space="preserve">  It is </w:t>
      </w:r>
      <w:r w:rsidR="002C599D">
        <w:t xml:space="preserve">also </w:t>
      </w:r>
      <w:r w:rsidR="00EB6420" w:rsidRPr="00071DEA">
        <w:t>somewhat difficult to determine which services are close substitutes for the PHP.</w:t>
      </w:r>
      <w:r w:rsidR="007B1FD0" w:rsidRPr="00071DEA">
        <w:t xml:space="preserve"> Some studies have shown PHPs are effective treatment programs for adolescents.</w:t>
      </w:r>
      <w:r w:rsidR="007B1FD0" w:rsidRPr="00071DEA">
        <w:rPr>
          <w:rStyle w:val="FootnoteReference"/>
        </w:rPr>
        <w:footnoteReference w:id="85"/>
      </w:r>
      <w:r w:rsidR="007B1FD0" w:rsidRPr="00071DEA">
        <w:t xml:space="preserve"> Cost estimates are difficult to make because the program itself would be new to BCH. It is FTI’s expectation that the small size of programs would </w:t>
      </w:r>
      <w:r w:rsidR="00A92EDD">
        <w:t xml:space="preserve">on balance </w:t>
      </w:r>
      <w:r w:rsidR="007B1FD0" w:rsidRPr="00071DEA">
        <w:t>not materially increase costs of treating patients</w:t>
      </w:r>
      <w:r w:rsidR="00A92EDD">
        <w:t xml:space="preserve"> and could provide benefits for patients including those covered by commercial and MassHealth/Medicaid</w:t>
      </w:r>
      <w:r w:rsidR="007B1FD0" w:rsidRPr="00071DEA">
        <w:t>.</w:t>
      </w:r>
    </w:p>
    <w:p w14:paraId="29572CC9" w14:textId="283D48C5" w:rsidR="001030A9" w:rsidRPr="00D705C0" w:rsidRDefault="001030A9" w:rsidP="00BE32C9">
      <w:pPr>
        <w:numPr>
          <w:ilvl w:val="0"/>
          <w:numId w:val="0"/>
        </w:numPr>
      </w:pPr>
    </w:p>
    <w:sectPr w:rsidR="001030A9" w:rsidRPr="00D705C0" w:rsidSect="009A4FC6">
      <w:headerReference w:type="default" r:id="rId26"/>
      <w:footerReference w:type="default" r:id="rId27"/>
      <w:head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BA5F8" w14:textId="77777777" w:rsidR="00CE4369" w:rsidRDefault="00CE4369" w:rsidP="00BE32C9">
      <w:r>
        <w:separator/>
      </w:r>
    </w:p>
  </w:endnote>
  <w:endnote w:type="continuationSeparator" w:id="0">
    <w:p w14:paraId="6AC19B72" w14:textId="77777777" w:rsidR="00CE4369" w:rsidRDefault="00CE4369" w:rsidP="00BE3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412269"/>
      <w:docPartObj>
        <w:docPartGallery w:val="Page Numbers (Bottom of Page)"/>
        <w:docPartUnique/>
      </w:docPartObj>
    </w:sdtPr>
    <w:sdtEndPr>
      <w:rPr>
        <w:noProof/>
      </w:rPr>
    </w:sdtEndPr>
    <w:sdtContent>
      <w:p w14:paraId="681EE214" w14:textId="29729B98" w:rsidR="00497049" w:rsidRDefault="009A4FC6" w:rsidP="00CC3C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8146E" w14:textId="77777777" w:rsidR="00CE4369" w:rsidRDefault="00CE4369" w:rsidP="00BE32C9">
      <w:pPr>
        <w:numPr>
          <w:ilvl w:val="0"/>
          <w:numId w:val="0"/>
        </w:numPr>
        <w:ind w:left="360"/>
      </w:pPr>
      <w:r>
        <w:separator/>
      </w:r>
    </w:p>
  </w:footnote>
  <w:footnote w:type="continuationSeparator" w:id="0">
    <w:p w14:paraId="26B41E1D" w14:textId="77777777" w:rsidR="00CE4369" w:rsidRDefault="00CE4369" w:rsidP="00BE32C9">
      <w:r>
        <w:continuationSeparator/>
      </w:r>
    </w:p>
  </w:footnote>
  <w:footnote w:id="1">
    <w:p w14:paraId="59688072" w14:textId="679A3B65" w:rsidR="00EE5ECC" w:rsidRPr="002260EE" w:rsidRDefault="00EE5ECC" w:rsidP="002260EE">
      <w:pPr>
        <w:pStyle w:val="FootnoteText"/>
        <w:spacing w:before="0"/>
        <w:contextualSpacing/>
        <w:rPr>
          <w:rFonts w:cs="Times New Roman"/>
        </w:rPr>
      </w:pPr>
      <w:r w:rsidRPr="002260EE">
        <w:rPr>
          <w:rStyle w:val="FootnoteReference"/>
          <w:rFonts w:cs="Times New Roman"/>
        </w:rPr>
        <w:footnoteRef/>
      </w:r>
      <w:r w:rsidR="00CF0F9E" w:rsidRPr="002260EE">
        <w:rPr>
          <w:rFonts w:cs="Times New Roman"/>
        </w:rPr>
        <w:t xml:space="preserve"> </w:t>
      </w:r>
      <w:hyperlink r:id="rId1" w:history="1">
        <w:r w:rsidR="00A5580F" w:rsidRPr="009A4706">
          <w:rPr>
            <w:rStyle w:val="Hyperlink"/>
            <w:rFonts w:cs="Times New Roman"/>
            <w:color w:val="000000" w:themeColor="text1"/>
            <w:u w:val="none"/>
          </w:rPr>
          <w:t>The Children’s Medical Center Corporation – Hospital/Clinic Substantial Capital Expenditure. Determination of Need application materials</w:t>
        </w:r>
      </w:hyperlink>
      <w:r w:rsidR="00A5580F" w:rsidRPr="009A4706">
        <w:rPr>
          <w:rFonts w:cs="Times New Roman"/>
          <w:color w:val="000000" w:themeColor="text1"/>
        </w:rPr>
        <w:t xml:space="preserve"> </w:t>
      </w:r>
      <w:r w:rsidR="00A5580F" w:rsidRPr="002260EE">
        <w:rPr>
          <w:rFonts w:cs="Times New Roman"/>
        </w:rPr>
        <w:t xml:space="preserve">received by the Department of Public Health for The Children’s Medical Center Corporation — Hospital/Clinic Substantial Capital Expenditure.” </w:t>
      </w:r>
      <w:r w:rsidR="00A5580F" w:rsidRPr="002260EE">
        <w:rPr>
          <w:rFonts w:cs="Times New Roman"/>
          <w:i/>
          <w:iCs/>
        </w:rPr>
        <w:t>Commonwealth of Massachusetts.</w:t>
      </w:r>
      <w:r w:rsidR="00A5580F" w:rsidRPr="002260EE">
        <w:rPr>
          <w:rFonts w:cs="Times New Roman"/>
        </w:rPr>
        <w:t xml:space="preserve"> </w:t>
      </w:r>
      <w:hyperlink r:id="rId2" w:history="1">
        <w:r w:rsidR="00A5580F" w:rsidRPr="002260EE">
          <w:rPr>
            <w:rStyle w:val="Hyperlink"/>
            <w:rFonts w:cs="Times New Roman"/>
            <w:color w:val="auto"/>
          </w:rPr>
          <w:t>https://www.mass.gov/lists/the-childrens-medical-center-corporation-hospitalclinic-substantial-capital-expenditure</w:t>
        </w:r>
      </w:hyperlink>
      <w:r w:rsidR="00A5580F" w:rsidRPr="002260EE">
        <w:rPr>
          <w:rFonts w:cs="Times New Roman"/>
        </w:rPr>
        <w:t>.</w:t>
      </w:r>
    </w:p>
  </w:footnote>
  <w:footnote w:id="2">
    <w:p w14:paraId="19146AC3" w14:textId="24D9D2BB" w:rsidR="00EE5ECC" w:rsidRPr="002260EE" w:rsidRDefault="00EE5ECC"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S</w:t>
      </w:r>
      <w:r w:rsidR="00E66730" w:rsidRPr="002260EE">
        <w:rPr>
          <w:rFonts w:cs="Times New Roman"/>
        </w:rPr>
        <w:t xml:space="preserve">ee </w:t>
      </w:r>
      <w:r w:rsidRPr="002260EE">
        <w:rPr>
          <w:rFonts w:cs="Times New Roman"/>
        </w:rPr>
        <w:t xml:space="preserve">Section </w:t>
      </w:r>
      <w:r w:rsidR="00A5580F" w:rsidRPr="002260EE">
        <w:rPr>
          <w:rFonts w:cs="Times New Roman"/>
        </w:rPr>
        <w:t>II below</w:t>
      </w:r>
      <w:r w:rsidRPr="002260EE">
        <w:rPr>
          <w:rFonts w:cs="Times New Roman"/>
        </w:rPr>
        <w:t xml:space="preserve"> for detailed summary of the Proposed Project. One of the locations (Weymouth) involves a new facility into which existing services will be re-located</w:t>
      </w:r>
      <w:r w:rsidR="0014030F" w:rsidRPr="002260EE">
        <w:rPr>
          <w:rFonts w:cs="Times New Roman"/>
        </w:rPr>
        <w:t xml:space="preserve"> along with new capacity and services</w:t>
      </w:r>
      <w:r w:rsidRPr="002260EE">
        <w:rPr>
          <w:rFonts w:cs="Times New Roman"/>
        </w:rPr>
        <w:t>. According to the Application, the Proposed Project was designed to ensure it was the most cost-effective approach to achieving the objectives of BCH</w:t>
      </w:r>
      <w:r w:rsidR="00642007" w:rsidRPr="002260EE">
        <w:rPr>
          <w:rFonts w:cs="Times New Roman"/>
        </w:rPr>
        <w:t xml:space="preserve"> and the</w:t>
      </w:r>
      <w:r w:rsidRPr="002260EE">
        <w:rPr>
          <w:rFonts w:cs="Times New Roman"/>
        </w:rPr>
        <w:t xml:space="preserve"> proposed components each depend on the approval of the other components and are non-severable. See,</w:t>
      </w:r>
      <w:r w:rsidR="00A5580F" w:rsidRPr="002260EE">
        <w:rPr>
          <w:rFonts w:cs="Times New Roman"/>
        </w:rPr>
        <w:t xml:space="preserve"> “</w:t>
      </w:r>
      <w:hyperlink r:id="rId3" w:history="1">
        <w:r w:rsidR="00A5580F" w:rsidRPr="009A4706">
          <w:rPr>
            <w:rStyle w:val="Hyperlink"/>
            <w:rFonts w:cs="Times New Roman"/>
            <w:color w:val="000000" w:themeColor="text1"/>
            <w:u w:val="none"/>
          </w:rPr>
          <w:t>The Children’s Medical Center Corporation DoN Application No. BCH-20171411-HE Attachments</w:t>
        </w:r>
      </w:hyperlink>
      <w:r w:rsidR="00A5580F" w:rsidRPr="009A4706">
        <w:rPr>
          <w:rFonts w:cs="Times New Roman"/>
          <w:color w:val="000000" w:themeColor="text1"/>
        </w:rPr>
        <w:t xml:space="preserve">, </w:t>
      </w:r>
      <w:r w:rsidR="00A5580F" w:rsidRPr="002260EE">
        <w:rPr>
          <w:rFonts w:cs="Times New Roman"/>
        </w:rPr>
        <w:t xml:space="preserve">Substantial Capital Expenditure Ambulatory Surgery Center &amp; DoN Required Equipment Boston Children’s Hospital.” Submitted By The Children’s Medical Center Corporation. July 15, 2021. </w:t>
      </w:r>
      <w:hyperlink r:id="rId4" w:history="1">
        <w:r w:rsidR="00A5580F" w:rsidRPr="002260EE">
          <w:rPr>
            <w:rStyle w:val="Hyperlink"/>
            <w:rFonts w:cs="Times New Roman"/>
            <w:color w:val="auto"/>
          </w:rPr>
          <w:t>https://www.mass.gov/doc/application-narrative-0/download</w:t>
        </w:r>
      </w:hyperlink>
      <w:r w:rsidR="00A5580F" w:rsidRPr="002260EE">
        <w:rPr>
          <w:rFonts w:cs="Times New Roman"/>
        </w:rPr>
        <w:t>. (Application Narrative), herein</w:t>
      </w:r>
      <w:r w:rsidR="00FF2A49" w:rsidRPr="002260EE">
        <w:rPr>
          <w:rFonts w:cs="Times New Roman"/>
        </w:rPr>
        <w:t>a</w:t>
      </w:r>
      <w:r w:rsidR="00A5580F" w:rsidRPr="002260EE">
        <w:rPr>
          <w:rFonts w:cs="Times New Roman"/>
        </w:rPr>
        <w:t>fter, CMCC DoN Application Narrative</w:t>
      </w:r>
      <w:r w:rsidR="008A1DEA" w:rsidRPr="002260EE">
        <w:rPr>
          <w:rFonts w:cs="Times New Roman"/>
        </w:rPr>
        <w:t>.</w:t>
      </w:r>
      <w:r w:rsidR="00266A39" w:rsidRPr="002260EE">
        <w:rPr>
          <w:rFonts w:cs="Times New Roman"/>
        </w:rPr>
        <w:t xml:space="preserve"> </w:t>
      </w:r>
    </w:p>
  </w:footnote>
  <w:footnote w:id="3">
    <w:p w14:paraId="3F506A0C" w14:textId="77777777" w:rsidR="00EE5ECC" w:rsidRPr="002260EE" w:rsidRDefault="00EE5ECC"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See, Letter to Donna Casey, Vice President, Strategic Business Planning &amp; Analysis &amp; Budget, Boston Children’s Hospital, from Lara Szent-Gyorgyi, Director, Determination of Need, Letter Dated September 9, 2021. </w:t>
      </w:r>
    </w:p>
  </w:footnote>
  <w:footnote w:id="4">
    <w:p w14:paraId="33470AEE" w14:textId="08A43953" w:rsidR="001E2954" w:rsidRPr="002260EE" w:rsidRDefault="00EE5ECC" w:rsidP="002260EE">
      <w:pPr>
        <w:numPr>
          <w:ilvl w:val="0"/>
          <w:numId w:val="0"/>
        </w:numPr>
        <w:spacing w:before="0" w:after="0" w:line="240" w:lineRule="auto"/>
        <w:contextualSpacing/>
        <w:rPr>
          <w:rFonts w:cs="Times New Roman"/>
          <w:sz w:val="20"/>
          <w:szCs w:val="20"/>
        </w:rPr>
      </w:pPr>
      <w:r w:rsidRPr="002260EE">
        <w:rPr>
          <w:rStyle w:val="FootnoteReference"/>
          <w:rFonts w:cs="Times New Roman"/>
          <w:sz w:val="20"/>
          <w:szCs w:val="20"/>
        </w:rPr>
        <w:footnoteRef/>
      </w:r>
      <w:r w:rsidRPr="002260EE">
        <w:rPr>
          <w:rFonts w:cs="Times New Roman"/>
          <w:sz w:val="20"/>
          <w:szCs w:val="20"/>
        </w:rPr>
        <w:t xml:space="preserve"> Specifically, the Boston Children’s Hospital (BCH) has filed a Determination of Need (DoN) Application for which an Independent Cost Analysis (ICA) is being required to assess whether the Proposed Project will be consistent with the health care cost containment goals of Massachusetts. See, </w:t>
      </w:r>
      <w:r w:rsidR="001E2954" w:rsidRPr="002260EE">
        <w:rPr>
          <w:rFonts w:cs="Times New Roman"/>
          <w:sz w:val="20"/>
          <w:szCs w:val="20"/>
        </w:rPr>
        <w:t>“Boston Children’s Hospital Independent Cost Analysis for Determination of Need Proposed Project.” DRAFT January 14, 2021.</w:t>
      </w:r>
    </w:p>
  </w:footnote>
  <w:footnote w:id="5">
    <w:p w14:paraId="65B3CF9F" w14:textId="3B85BD89" w:rsidR="00EE5ECC" w:rsidRPr="002260EE" w:rsidRDefault="00EE5ECC"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In conducting our review of the BCH Application, we considered the documents and information provided </w:t>
      </w:r>
      <w:r w:rsidR="00634573" w:rsidRPr="002260EE">
        <w:rPr>
          <w:rFonts w:cs="Times New Roman"/>
        </w:rPr>
        <w:t xml:space="preserve">by BCH or others </w:t>
      </w:r>
      <w:r w:rsidRPr="002260EE">
        <w:rPr>
          <w:rFonts w:cs="Times New Roman"/>
        </w:rPr>
        <w:t>to the DPH</w:t>
      </w:r>
      <w:r w:rsidR="0014030F" w:rsidRPr="002260EE">
        <w:rPr>
          <w:rFonts w:cs="Times New Roman"/>
        </w:rPr>
        <w:t xml:space="preserve"> as part of the DoN application process</w:t>
      </w:r>
      <w:r w:rsidRPr="002260EE">
        <w:rPr>
          <w:rFonts w:cs="Times New Roman"/>
        </w:rPr>
        <w:t>, including publicly available information</w:t>
      </w:r>
      <w:r w:rsidR="00634573" w:rsidRPr="002260EE">
        <w:rPr>
          <w:rFonts w:cs="Times New Roman"/>
        </w:rPr>
        <w:t>.</w:t>
      </w:r>
      <w:r w:rsidRPr="002260EE">
        <w:rPr>
          <w:rFonts w:cs="Times New Roman"/>
        </w:rPr>
        <w:t xml:space="preserve"> </w:t>
      </w:r>
      <w:r w:rsidR="00634573" w:rsidRPr="002260EE">
        <w:rPr>
          <w:rFonts w:cs="Times New Roman"/>
        </w:rPr>
        <w:t xml:space="preserve">The Report or the </w:t>
      </w:r>
      <w:r w:rsidR="0014030F" w:rsidRPr="002260EE">
        <w:rPr>
          <w:rFonts w:cs="Times New Roman"/>
        </w:rPr>
        <w:t xml:space="preserve">Report </w:t>
      </w:r>
      <w:r w:rsidR="00634573" w:rsidRPr="002260EE">
        <w:rPr>
          <w:rFonts w:cs="Times New Roman"/>
        </w:rPr>
        <w:t xml:space="preserve">Appendix </w:t>
      </w:r>
      <w:r w:rsidRPr="002260EE">
        <w:rPr>
          <w:rFonts w:cs="Times New Roman"/>
        </w:rPr>
        <w:t>provide a complete source of data and information in this Report.</w:t>
      </w:r>
      <w:r w:rsidR="005B6E73" w:rsidRPr="002260EE">
        <w:rPr>
          <w:rFonts w:cs="Times New Roman"/>
        </w:rPr>
        <w:t xml:space="preserve"> Among the materials considered were several submissions by BCH to</w:t>
      </w:r>
      <w:r w:rsidR="005B6E73" w:rsidRPr="00252FA2">
        <w:rPr>
          <w:rFonts w:cs="Times New Roman"/>
          <w:color w:val="000000" w:themeColor="text1"/>
        </w:rPr>
        <w:t xml:space="preserve"> the DPH</w:t>
      </w:r>
      <w:r w:rsidR="00270DF5" w:rsidRPr="00252FA2">
        <w:rPr>
          <w:rFonts w:cs="Times New Roman"/>
          <w:color w:val="000000" w:themeColor="text1"/>
        </w:rPr>
        <w:t xml:space="preserve"> </w:t>
      </w:r>
      <w:r w:rsidR="0014030F" w:rsidRPr="00252FA2">
        <w:rPr>
          <w:rFonts w:cs="Times New Roman"/>
          <w:color w:val="000000" w:themeColor="text1"/>
        </w:rPr>
        <w:t>such as</w:t>
      </w:r>
      <w:r w:rsidR="00682AF5" w:rsidRPr="00252FA2">
        <w:rPr>
          <w:rFonts w:cs="Times New Roman"/>
          <w:color w:val="000000" w:themeColor="text1"/>
        </w:rPr>
        <w:t xml:space="preserve"> "</w:t>
      </w:r>
      <w:hyperlink r:id="rId5" w:history="1">
        <w:r w:rsidR="00682AF5" w:rsidRPr="00252FA2">
          <w:rPr>
            <w:rStyle w:val="Hyperlink"/>
            <w:rFonts w:cs="Times New Roman"/>
            <w:color w:val="000000" w:themeColor="text1"/>
            <w:u w:val="none"/>
          </w:rPr>
          <w:t>The Children’s Medical Center Corporation – Multisite, # BCH-21071411-HE Application."</w:t>
        </w:r>
      </w:hyperlink>
      <w:r w:rsidR="00682AF5" w:rsidRPr="00252FA2">
        <w:rPr>
          <w:rFonts w:cs="Times New Roman"/>
          <w:color w:val="000000" w:themeColor="text1"/>
        </w:rPr>
        <w:t xml:space="preserve"> Draft</w:t>
      </w:r>
      <w:r w:rsidR="00682AF5" w:rsidRPr="002260EE">
        <w:rPr>
          <w:rFonts w:cs="Times New Roman"/>
        </w:rPr>
        <w:t xml:space="preserve">, April 4, 2022. </w:t>
      </w:r>
      <w:hyperlink r:id="rId6" w:history="1">
        <w:r w:rsidR="00682AF5" w:rsidRPr="002260EE">
          <w:rPr>
            <w:rStyle w:val="Hyperlink"/>
            <w:rFonts w:cs="Times New Roman"/>
            <w:color w:val="auto"/>
          </w:rPr>
          <w:t>https://www.mass.gov/doc/the-childrens-medical-center-corporation-hospitalclinic-substantial-capital-expenditure-responses-ii/download</w:t>
        </w:r>
      </w:hyperlink>
      <w:r w:rsidR="00682AF5" w:rsidRPr="002260EE">
        <w:rPr>
          <w:rFonts w:cs="Times New Roman"/>
        </w:rPr>
        <w:t>.</w:t>
      </w:r>
    </w:p>
  </w:footnote>
  <w:footnote w:id="6">
    <w:p w14:paraId="353511A8" w14:textId="77777777" w:rsidR="0014030F" w:rsidRPr="002260EE" w:rsidRDefault="0014030F"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“Boston Children’s Hospital Independent Cost Analysis for Determination of Need Proposed Project.” DRAFT January 14, 2021.</w:t>
      </w:r>
    </w:p>
  </w:footnote>
  <w:footnote w:id="7">
    <w:p w14:paraId="1AAB3936" w14:textId="190B5AC9" w:rsidR="00914DF6" w:rsidRPr="002260EE" w:rsidRDefault="00914DF6"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r w:rsidR="00642007" w:rsidRPr="002260EE">
        <w:rPr>
          <w:rFonts w:cs="Times New Roman"/>
        </w:rPr>
        <w:t xml:space="preserve">This </w:t>
      </w:r>
      <w:r w:rsidRPr="002260EE">
        <w:rPr>
          <w:rFonts w:cs="Times New Roman"/>
        </w:rPr>
        <w:t xml:space="preserve">ICA Report provides empirical and/or qualitative assessment of new services where </w:t>
      </w:r>
      <w:r w:rsidR="006928B2" w:rsidRPr="002260EE">
        <w:rPr>
          <w:rFonts w:cs="Times New Roman"/>
        </w:rPr>
        <w:t xml:space="preserve">specific </w:t>
      </w:r>
      <w:r w:rsidRPr="002260EE">
        <w:rPr>
          <w:rFonts w:cs="Times New Roman"/>
        </w:rPr>
        <w:t xml:space="preserve">facility capacity is added (e.g., ASC, </w:t>
      </w:r>
      <w:r w:rsidR="00266A39" w:rsidRPr="002260EE">
        <w:rPr>
          <w:rFonts w:cs="Times New Roman"/>
        </w:rPr>
        <w:t>I</w:t>
      </w:r>
      <w:r w:rsidRPr="002260EE">
        <w:rPr>
          <w:rFonts w:cs="Times New Roman"/>
        </w:rPr>
        <w:t>maging, and MRI</w:t>
      </w:r>
      <w:r w:rsidR="006928B2" w:rsidRPr="002260EE">
        <w:rPr>
          <w:rFonts w:cs="Times New Roman"/>
        </w:rPr>
        <w:t xml:space="preserve">) </w:t>
      </w:r>
      <w:r w:rsidRPr="002260EE">
        <w:rPr>
          <w:rFonts w:cs="Times New Roman"/>
        </w:rPr>
        <w:t>as well as</w:t>
      </w:r>
      <w:r w:rsidR="004474E3" w:rsidRPr="002260EE">
        <w:rPr>
          <w:rFonts w:cs="Times New Roman"/>
        </w:rPr>
        <w:t xml:space="preserve"> for</w:t>
      </w:r>
      <w:r w:rsidRPr="002260EE">
        <w:rPr>
          <w:rFonts w:cs="Times New Roman"/>
        </w:rPr>
        <w:t xml:space="preserve"> new </w:t>
      </w:r>
      <w:r w:rsidR="006928B2" w:rsidRPr="002260EE">
        <w:rPr>
          <w:rFonts w:cs="Times New Roman"/>
        </w:rPr>
        <w:t xml:space="preserve">or expanded </w:t>
      </w:r>
      <w:r w:rsidRPr="002260EE">
        <w:rPr>
          <w:rFonts w:cs="Times New Roman"/>
        </w:rPr>
        <w:t>services</w:t>
      </w:r>
      <w:r w:rsidR="006928B2" w:rsidRPr="002260EE">
        <w:rPr>
          <w:rFonts w:cs="Times New Roman"/>
        </w:rPr>
        <w:t xml:space="preserve"> such as partial hospitalization, gastroenterology</w:t>
      </w:r>
      <w:r w:rsidR="00254A83" w:rsidRPr="002260EE">
        <w:rPr>
          <w:rFonts w:cs="Times New Roman"/>
        </w:rPr>
        <w:t xml:space="preserve"> (“GI”)</w:t>
      </w:r>
      <w:r w:rsidR="006928B2" w:rsidRPr="002260EE">
        <w:rPr>
          <w:rFonts w:cs="Times New Roman"/>
        </w:rPr>
        <w:t>, and sleep services.</w:t>
      </w:r>
      <w:r w:rsidR="00266A39" w:rsidRPr="002260EE">
        <w:rPr>
          <w:rFonts w:cs="Times New Roman"/>
        </w:rPr>
        <w:t xml:space="preserve"> Each service line is defined by reference to specific CPT codes </w:t>
      </w:r>
      <w:r w:rsidR="00C04DE2" w:rsidRPr="002260EE">
        <w:rPr>
          <w:rFonts w:cs="Times New Roman"/>
        </w:rPr>
        <w:t xml:space="preserve">where feasible </w:t>
      </w:r>
      <w:r w:rsidR="00266A39" w:rsidRPr="002260EE">
        <w:rPr>
          <w:rFonts w:cs="Times New Roman"/>
        </w:rPr>
        <w:t xml:space="preserve">and </w:t>
      </w:r>
      <w:r w:rsidR="00642007" w:rsidRPr="002260EE">
        <w:rPr>
          <w:rFonts w:cs="Times New Roman"/>
        </w:rPr>
        <w:t xml:space="preserve">applies </w:t>
      </w:r>
      <w:r w:rsidR="00266A39" w:rsidRPr="002260EE">
        <w:rPr>
          <w:rFonts w:cs="Times New Roman"/>
        </w:rPr>
        <w:t>methods used in healthcare economics</w:t>
      </w:r>
      <w:r w:rsidR="00642007" w:rsidRPr="002260EE">
        <w:rPr>
          <w:rFonts w:cs="Times New Roman"/>
        </w:rPr>
        <w:t xml:space="preserve"> to evaluate relevant questions</w:t>
      </w:r>
      <w:r w:rsidR="00266A39" w:rsidRPr="002260EE">
        <w:rPr>
          <w:rFonts w:cs="Times New Roman"/>
        </w:rPr>
        <w:t xml:space="preserve">; these </w:t>
      </w:r>
      <w:r w:rsidR="00642007" w:rsidRPr="002260EE">
        <w:rPr>
          <w:rFonts w:cs="Times New Roman"/>
        </w:rPr>
        <w:t xml:space="preserve">service line </w:t>
      </w:r>
      <w:r w:rsidR="00266A39" w:rsidRPr="002260EE">
        <w:rPr>
          <w:rFonts w:cs="Times New Roman"/>
        </w:rPr>
        <w:t>definitions are detailed in the Report and in the Report Appendix</w:t>
      </w:r>
      <w:r w:rsidR="00642007" w:rsidRPr="002260EE">
        <w:rPr>
          <w:rFonts w:cs="Times New Roman"/>
        </w:rPr>
        <w:t xml:space="preserve"> (see, e.g., Sections VI-X)</w:t>
      </w:r>
    </w:p>
  </w:footnote>
  <w:footnote w:id="8">
    <w:p w14:paraId="7CD092EE" w14:textId="7500BDB9" w:rsidR="00AC55AC" w:rsidRPr="002260EE" w:rsidRDefault="00AC55AC"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r w:rsidR="008512C9" w:rsidRPr="002260EE">
        <w:rPr>
          <w:rFonts w:cs="Times New Roman"/>
        </w:rPr>
        <w:t xml:space="preserve">For clarity, the analyses combine data </w:t>
      </w:r>
      <w:r w:rsidR="0027211F" w:rsidRPr="002260EE">
        <w:rPr>
          <w:rFonts w:cs="Times New Roman"/>
        </w:rPr>
        <w:t>from the CHIA All-Payer Claims Database (APCD</w:t>
      </w:r>
      <w:r w:rsidR="0027211F" w:rsidRPr="002260EE">
        <w:rPr>
          <w:rFonts w:cs="Times New Roman"/>
          <w:i/>
          <w:iCs/>
        </w:rPr>
        <w:t>)</w:t>
      </w:r>
      <w:r w:rsidR="0027211F" w:rsidRPr="002260EE">
        <w:rPr>
          <w:rFonts w:cs="Times New Roman"/>
        </w:rPr>
        <w:t xml:space="preserve"> f</w:t>
      </w:r>
      <w:r w:rsidR="008512C9" w:rsidRPr="002260EE">
        <w:rPr>
          <w:rFonts w:cs="Times New Roman"/>
        </w:rPr>
        <w:t>or payers identified either as</w:t>
      </w:r>
      <w:r w:rsidRPr="002260EE">
        <w:rPr>
          <w:rFonts w:cs="Times New Roman"/>
        </w:rPr>
        <w:t xml:space="preserve"> “Medicaid” </w:t>
      </w:r>
      <w:r w:rsidR="008656B6" w:rsidRPr="002260EE">
        <w:rPr>
          <w:rFonts w:cs="Times New Roman"/>
        </w:rPr>
        <w:t>or</w:t>
      </w:r>
      <w:r w:rsidRPr="002260EE">
        <w:rPr>
          <w:rFonts w:cs="Times New Roman"/>
        </w:rPr>
        <w:t xml:space="preserve"> </w:t>
      </w:r>
      <w:r w:rsidR="008512C9" w:rsidRPr="002260EE">
        <w:rPr>
          <w:rFonts w:cs="Times New Roman"/>
        </w:rPr>
        <w:t>“</w:t>
      </w:r>
      <w:r w:rsidRPr="002260EE">
        <w:rPr>
          <w:rFonts w:cs="Times New Roman"/>
        </w:rPr>
        <w:t>MassHealth</w:t>
      </w:r>
      <w:r w:rsidR="008512C9" w:rsidRPr="002260EE">
        <w:rPr>
          <w:rFonts w:cs="Times New Roman"/>
        </w:rPr>
        <w:t xml:space="preserve">” into a single category, which is referenced </w:t>
      </w:r>
      <w:r w:rsidR="008656B6" w:rsidRPr="002260EE">
        <w:rPr>
          <w:rFonts w:cs="Times New Roman"/>
        </w:rPr>
        <w:t xml:space="preserve">in the report </w:t>
      </w:r>
      <w:r w:rsidR="008512C9" w:rsidRPr="002260EE">
        <w:rPr>
          <w:rFonts w:cs="Times New Roman"/>
        </w:rPr>
        <w:t>as MassHealth/Medicaid</w:t>
      </w:r>
      <w:r w:rsidR="00254A83" w:rsidRPr="002260EE">
        <w:rPr>
          <w:rFonts w:cs="Times New Roman"/>
        </w:rPr>
        <w:t>.</w:t>
      </w:r>
      <w:r w:rsidR="008512C9" w:rsidRPr="002260EE">
        <w:rPr>
          <w:rFonts w:cs="Times New Roman"/>
        </w:rPr>
        <w:t xml:space="preserve"> For convenience and brevity, in some tables this category is labeled as “Medicaid” yet is inclusive of any data identified as Mass</w:t>
      </w:r>
      <w:r w:rsidR="0027211F" w:rsidRPr="002260EE">
        <w:rPr>
          <w:rFonts w:cs="Times New Roman"/>
        </w:rPr>
        <w:t>H</w:t>
      </w:r>
      <w:r w:rsidR="008512C9" w:rsidRPr="002260EE">
        <w:rPr>
          <w:rFonts w:cs="Times New Roman"/>
        </w:rPr>
        <w:t>ealth</w:t>
      </w:r>
      <w:r w:rsidR="008656B6" w:rsidRPr="002260EE">
        <w:rPr>
          <w:rFonts w:cs="Times New Roman"/>
        </w:rPr>
        <w:t xml:space="preserve"> unless otherwise stated</w:t>
      </w:r>
      <w:r w:rsidR="00462788" w:rsidRPr="002260EE">
        <w:rPr>
          <w:rFonts w:cs="Times New Roman"/>
        </w:rPr>
        <w:t>.</w:t>
      </w:r>
      <w:r w:rsidR="00254A83" w:rsidRPr="002260EE">
        <w:rPr>
          <w:rFonts w:cs="Times New Roman"/>
        </w:rPr>
        <w:t xml:space="preserve"> As </w:t>
      </w:r>
      <w:r w:rsidR="00CC36A3" w:rsidRPr="002260EE">
        <w:rPr>
          <w:rFonts w:cs="Times New Roman"/>
        </w:rPr>
        <w:t>explained below</w:t>
      </w:r>
      <w:r w:rsidR="00254A83" w:rsidRPr="002260EE">
        <w:rPr>
          <w:rFonts w:cs="Times New Roman"/>
        </w:rPr>
        <w:t>,</w:t>
      </w:r>
      <w:r w:rsidR="008512C9" w:rsidRPr="002260EE">
        <w:rPr>
          <w:rFonts w:cs="Times New Roman"/>
        </w:rPr>
        <w:t xml:space="preserve"> however,</w:t>
      </w:r>
      <w:r w:rsidR="00254A83" w:rsidRPr="002260EE">
        <w:rPr>
          <w:rFonts w:cs="Times New Roman"/>
        </w:rPr>
        <w:t xml:space="preserve"> </w:t>
      </w:r>
      <w:r w:rsidR="00CC36A3" w:rsidRPr="002260EE">
        <w:rPr>
          <w:rFonts w:cs="Times New Roman"/>
        </w:rPr>
        <w:t xml:space="preserve">CHIA </w:t>
      </w:r>
      <w:r w:rsidR="00254A83" w:rsidRPr="002260EE">
        <w:rPr>
          <w:rFonts w:cs="Times New Roman"/>
        </w:rPr>
        <w:t xml:space="preserve">data limitations preclude detailed quantitative evaluation of MassHealth ACOs populations; </w:t>
      </w:r>
      <w:r w:rsidR="00CC36A3" w:rsidRPr="002260EE">
        <w:rPr>
          <w:rFonts w:cs="Times New Roman"/>
        </w:rPr>
        <w:t xml:space="preserve">thus, the </w:t>
      </w:r>
      <w:r w:rsidR="00254A83" w:rsidRPr="002260EE">
        <w:rPr>
          <w:rFonts w:cs="Times New Roman"/>
        </w:rPr>
        <w:t xml:space="preserve">ICA Report evaluates access </w:t>
      </w:r>
      <w:r w:rsidR="00CC36A3" w:rsidRPr="002260EE">
        <w:rPr>
          <w:rFonts w:cs="Times New Roman"/>
        </w:rPr>
        <w:t xml:space="preserve">to the Proposed Project </w:t>
      </w:r>
      <w:r w:rsidR="00254A83" w:rsidRPr="002260EE">
        <w:rPr>
          <w:rFonts w:cs="Times New Roman"/>
        </w:rPr>
        <w:t xml:space="preserve">for such populations using information on </w:t>
      </w:r>
      <w:r w:rsidR="008512C9" w:rsidRPr="002260EE">
        <w:rPr>
          <w:rFonts w:cs="Times New Roman"/>
        </w:rPr>
        <w:t xml:space="preserve">MassHealth </w:t>
      </w:r>
      <w:r w:rsidR="00254A83" w:rsidRPr="002260EE">
        <w:rPr>
          <w:rFonts w:cs="Times New Roman"/>
        </w:rPr>
        <w:t xml:space="preserve">ACO service areas </w:t>
      </w:r>
      <w:r w:rsidR="008512C9" w:rsidRPr="002260EE">
        <w:rPr>
          <w:rFonts w:cs="Times New Roman"/>
        </w:rPr>
        <w:t>or</w:t>
      </w:r>
      <w:r w:rsidR="00254A83" w:rsidRPr="002260EE">
        <w:rPr>
          <w:rFonts w:cs="Times New Roman"/>
        </w:rPr>
        <w:t xml:space="preserve"> other sources.</w:t>
      </w:r>
    </w:p>
  </w:footnote>
  <w:footnote w:id="9">
    <w:p w14:paraId="4CD9013F" w14:textId="5CC0E0C3" w:rsidR="00CE7C33" w:rsidRPr="002260EE" w:rsidRDefault="00CE7C33"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r w:rsidR="003B78C8" w:rsidRPr="002260EE">
        <w:rPr>
          <w:rFonts w:cs="Times New Roman"/>
        </w:rPr>
        <w:t>Section XIII</w:t>
      </w:r>
      <w:r w:rsidR="0097196E" w:rsidRPr="002260EE">
        <w:rPr>
          <w:rFonts w:cs="Times New Roman"/>
        </w:rPr>
        <w:t xml:space="preserve"> include</w:t>
      </w:r>
      <w:r w:rsidR="003B78C8" w:rsidRPr="002260EE">
        <w:rPr>
          <w:rFonts w:cs="Times New Roman"/>
        </w:rPr>
        <w:t>s</w:t>
      </w:r>
      <w:r w:rsidRPr="002260EE">
        <w:rPr>
          <w:rFonts w:cs="Times New Roman"/>
        </w:rPr>
        <w:t xml:space="preserve"> FTI’s </w:t>
      </w:r>
      <w:r w:rsidR="0097196E" w:rsidRPr="002260EE">
        <w:rPr>
          <w:rFonts w:cs="Times New Roman"/>
        </w:rPr>
        <w:t xml:space="preserve">independent </w:t>
      </w:r>
      <w:r w:rsidRPr="002260EE">
        <w:rPr>
          <w:rFonts w:cs="Times New Roman"/>
        </w:rPr>
        <w:t>assessment of these issues.</w:t>
      </w:r>
    </w:p>
  </w:footnote>
  <w:footnote w:id="10">
    <w:p w14:paraId="7639DBE7" w14:textId="63A680F9" w:rsidR="0097196E" w:rsidRPr="002260EE" w:rsidRDefault="0097196E"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For clarity, urban location</w:t>
      </w:r>
      <w:r w:rsidR="000C2310" w:rsidRPr="002260EE">
        <w:rPr>
          <w:rFonts w:cs="Times New Roman"/>
        </w:rPr>
        <w:t xml:space="preserve">s is used to refer to the immediate Boston metro area, which is the location of several facilities, including BCH </w:t>
      </w:r>
      <w:r w:rsidR="00092414" w:rsidRPr="002260EE">
        <w:rPr>
          <w:rFonts w:cs="Times New Roman"/>
        </w:rPr>
        <w:t>Longwood</w:t>
      </w:r>
      <w:r w:rsidR="000C2310" w:rsidRPr="002260EE">
        <w:rPr>
          <w:rFonts w:cs="Times New Roman"/>
        </w:rPr>
        <w:t xml:space="preserve">. The term suburban locations are used to refer to the many towns and communities in areas outside of the immediate Boston area; these include many smaller urban areas including those with diverse populations covered by both commercial and public payers. </w:t>
      </w:r>
    </w:p>
  </w:footnote>
  <w:footnote w:id="11">
    <w:p w14:paraId="791EAC53" w14:textId="06F54D21" w:rsidR="00EE5ECC" w:rsidRPr="002260EE" w:rsidRDefault="00EE5ECC" w:rsidP="002260EE">
      <w:pPr>
        <w:numPr>
          <w:ilvl w:val="0"/>
          <w:numId w:val="0"/>
        </w:numPr>
        <w:spacing w:before="0" w:after="0" w:line="240" w:lineRule="auto"/>
        <w:contextualSpacing/>
        <w:rPr>
          <w:rFonts w:cs="Times New Roman"/>
          <w:sz w:val="20"/>
          <w:szCs w:val="20"/>
        </w:rPr>
      </w:pPr>
      <w:r w:rsidRPr="002260EE">
        <w:rPr>
          <w:rStyle w:val="FootnoteReference"/>
          <w:rFonts w:cs="Times New Roman"/>
          <w:sz w:val="20"/>
          <w:szCs w:val="20"/>
        </w:rPr>
        <w:footnoteRef/>
      </w:r>
      <w:r w:rsidRPr="002260EE">
        <w:rPr>
          <w:rFonts w:cs="Times New Roman"/>
          <w:sz w:val="20"/>
          <w:szCs w:val="20"/>
        </w:rPr>
        <w:t xml:space="preserve"> </w:t>
      </w:r>
      <w:r w:rsidR="00F33AFA" w:rsidRPr="002260EE">
        <w:rPr>
          <w:rFonts w:cs="Times New Roman"/>
          <w:sz w:val="20"/>
          <w:szCs w:val="20"/>
        </w:rPr>
        <w:t>“</w:t>
      </w:r>
      <w:hyperlink r:id="rId7" w:history="1">
        <w:r w:rsidR="00F33AFA" w:rsidRPr="00F96245">
          <w:rPr>
            <w:rStyle w:val="Hyperlink"/>
            <w:rFonts w:cs="Times New Roman"/>
            <w:color w:val="000000" w:themeColor="text1"/>
            <w:sz w:val="20"/>
            <w:szCs w:val="20"/>
            <w:u w:val="none"/>
          </w:rPr>
          <w:t>The Children’s Medical Center Corporation DoN Application No. BCH-20171411-HE Attachments</w:t>
        </w:r>
      </w:hyperlink>
      <w:r w:rsidR="00F33AFA" w:rsidRPr="00F96245">
        <w:rPr>
          <w:rFonts w:cs="Times New Roman"/>
          <w:color w:val="000000" w:themeColor="text1"/>
          <w:sz w:val="20"/>
          <w:szCs w:val="20"/>
        </w:rPr>
        <w:t xml:space="preserve">, Substantial </w:t>
      </w:r>
      <w:r w:rsidR="00F33AFA" w:rsidRPr="002260EE">
        <w:rPr>
          <w:rFonts w:cs="Times New Roman"/>
          <w:sz w:val="20"/>
          <w:szCs w:val="20"/>
        </w:rPr>
        <w:t xml:space="preserve">Capital Expenditure Ambulatory Surgery Center &amp; DoN Required Equipment Boston Children’s Hospital.” Submitted By The Children’s Medical Center Corporation. July 15, 2021. </w:t>
      </w:r>
      <w:hyperlink r:id="rId8" w:history="1">
        <w:r w:rsidR="00F33AFA" w:rsidRPr="002260EE">
          <w:rPr>
            <w:rStyle w:val="Hyperlink"/>
            <w:rFonts w:cs="Times New Roman"/>
            <w:color w:val="auto"/>
            <w:sz w:val="20"/>
            <w:szCs w:val="20"/>
          </w:rPr>
          <w:t>https://www.mass.gov/doc/application-narrative-0/download</w:t>
        </w:r>
      </w:hyperlink>
      <w:r w:rsidR="00F33AFA" w:rsidRPr="002260EE">
        <w:rPr>
          <w:rFonts w:cs="Times New Roman"/>
          <w:sz w:val="20"/>
          <w:szCs w:val="20"/>
        </w:rPr>
        <w:t xml:space="preserve">. (Application Narrative). Hereinafter, </w:t>
      </w:r>
      <w:r w:rsidR="006B496C" w:rsidRPr="002260EE">
        <w:rPr>
          <w:rFonts w:cs="Times New Roman"/>
          <w:sz w:val="20"/>
          <w:szCs w:val="20"/>
        </w:rPr>
        <w:t>CMCC DoN Application Narrative</w:t>
      </w:r>
      <w:r w:rsidR="00F33AFA" w:rsidRPr="002260EE">
        <w:rPr>
          <w:rFonts w:cs="Times New Roman"/>
          <w:sz w:val="20"/>
          <w:szCs w:val="20"/>
        </w:rPr>
        <w:t>.</w:t>
      </w:r>
    </w:p>
  </w:footnote>
  <w:footnote w:id="12">
    <w:p w14:paraId="1660BDD6" w14:textId="2E7EDE51" w:rsidR="00CF6627" w:rsidRPr="002260EE" w:rsidRDefault="00CF6627" w:rsidP="002260EE">
      <w:pPr>
        <w:numPr>
          <w:ilvl w:val="0"/>
          <w:numId w:val="0"/>
        </w:numPr>
        <w:spacing w:before="0" w:after="0" w:line="240" w:lineRule="auto"/>
        <w:contextualSpacing/>
        <w:rPr>
          <w:rFonts w:cs="Times New Roman"/>
          <w:sz w:val="20"/>
          <w:szCs w:val="20"/>
        </w:rPr>
      </w:pPr>
      <w:r w:rsidRPr="002260EE">
        <w:rPr>
          <w:rStyle w:val="FootnoteReference"/>
          <w:rFonts w:cs="Times New Roman"/>
          <w:sz w:val="20"/>
          <w:szCs w:val="20"/>
        </w:rPr>
        <w:footnoteRef/>
      </w:r>
      <w:r w:rsidR="00ED276E" w:rsidRPr="002260EE">
        <w:rPr>
          <w:rFonts w:cs="Times New Roman"/>
          <w:sz w:val="20"/>
          <w:szCs w:val="20"/>
        </w:rPr>
        <w:t xml:space="preserve"> See also the responses of BCH about expanded or new services</w:t>
      </w:r>
      <w:r w:rsidR="003A6EA2" w:rsidRPr="002260EE">
        <w:rPr>
          <w:rFonts w:cs="Times New Roman"/>
          <w:sz w:val="20"/>
          <w:szCs w:val="20"/>
        </w:rPr>
        <w:t xml:space="preserve"> </w:t>
      </w:r>
      <w:r w:rsidR="00ED276E" w:rsidRPr="002260EE">
        <w:rPr>
          <w:rFonts w:cs="Times New Roman"/>
          <w:sz w:val="20"/>
          <w:szCs w:val="20"/>
        </w:rPr>
        <w:t>and</w:t>
      </w:r>
      <w:r w:rsidRPr="002260EE">
        <w:rPr>
          <w:rFonts w:cs="Times New Roman"/>
          <w:sz w:val="20"/>
          <w:szCs w:val="20"/>
        </w:rPr>
        <w:t xml:space="preserve"> </w:t>
      </w:r>
      <w:r w:rsidR="006B496C" w:rsidRPr="002260EE">
        <w:rPr>
          <w:rFonts w:cs="Times New Roman"/>
          <w:sz w:val="20"/>
          <w:szCs w:val="20"/>
        </w:rPr>
        <w:t>"</w:t>
      </w:r>
      <w:hyperlink r:id="rId9" w:history="1">
        <w:r w:rsidR="006B496C" w:rsidRPr="00F96245">
          <w:rPr>
            <w:rStyle w:val="Hyperlink"/>
            <w:rFonts w:cs="Times New Roman"/>
            <w:color w:val="000000" w:themeColor="text1"/>
            <w:sz w:val="20"/>
            <w:szCs w:val="20"/>
            <w:u w:val="none"/>
          </w:rPr>
          <w:t>The Children’s Medical Center Corporation – Multisite, # BCH-21071411-HE Application."</w:t>
        </w:r>
      </w:hyperlink>
      <w:r w:rsidR="006B496C" w:rsidRPr="002260EE">
        <w:rPr>
          <w:rFonts w:cs="Times New Roman"/>
          <w:sz w:val="20"/>
          <w:szCs w:val="20"/>
        </w:rPr>
        <w:t xml:space="preserve"> Draft, April 4, 2022. </w:t>
      </w:r>
      <w:hyperlink r:id="rId10" w:history="1">
        <w:r w:rsidR="006B496C" w:rsidRPr="002260EE">
          <w:rPr>
            <w:rStyle w:val="Hyperlink"/>
            <w:rFonts w:cs="Times New Roman"/>
            <w:color w:val="auto"/>
            <w:sz w:val="20"/>
            <w:szCs w:val="20"/>
          </w:rPr>
          <w:t>https://www.mass.gov/doc/the-childrens-medical-center-corporation-hospitalclinic-substantial-capital-expenditure-responses-ii/download</w:t>
        </w:r>
      </w:hyperlink>
      <w:r w:rsidR="006B496C" w:rsidRPr="002260EE">
        <w:rPr>
          <w:rFonts w:cs="Times New Roman"/>
          <w:sz w:val="20"/>
          <w:szCs w:val="20"/>
        </w:rPr>
        <w:t>. (The Children’s Medical Center Corporation – Hospital/Clinic Substantial Capital Expenditure – Responses II)</w:t>
      </w:r>
      <w:r w:rsidR="00ED276E" w:rsidRPr="002260EE">
        <w:rPr>
          <w:rFonts w:cs="Times New Roman"/>
          <w:sz w:val="20"/>
          <w:szCs w:val="20"/>
        </w:rPr>
        <w:t xml:space="preserve"> These responses </w:t>
      </w:r>
      <w:r w:rsidR="003A6EA2" w:rsidRPr="002260EE">
        <w:rPr>
          <w:rFonts w:cs="Times New Roman"/>
          <w:sz w:val="20"/>
          <w:szCs w:val="20"/>
        </w:rPr>
        <w:t>address</w:t>
      </w:r>
      <w:r w:rsidR="00ED276E" w:rsidRPr="002260EE">
        <w:rPr>
          <w:rFonts w:cs="Times New Roman"/>
          <w:sz w:val="20"/>
          <w:szCs w:val="20"/>
        </w:rPr>
        <w:t xml:space="preserve"> detailed questions on MRI, Imaging, and ASCs, and provide further information and responses, for example, with regard to GI at Needham, and the partial hospitalization and sleep services at Waltham.</w:t>
      </w:r>
    </w:p>
  </w:footnote>
  <w:footnote w:id="13">
    <w:p w14:paraId="28C5D55A" w14:textId="72B0E473" w:rsidR="00EE5ECC" w:rsidRPr="002260EE" w:rsidRDefault="00EE5ECC"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CMCC DoN Application Narrative. In conducting our review of the BCH Application, we considered the documents and information provided to the DPH, including publicly available information. </w:t>
      </w:r>
      <w:r w:rsidR="006B496C" w:rsidRPr="002260EE">
        <w:rPr>
          <w:rFonts w:cs="Times New Roman"/>
        </w:rPr>
        <w:t xml:space="preserve">The Appendix provides a listing of documents and materials; and we include by reference any cited </w:t>
      </w:r>
      <w:r w:rsidR="00807F39" w:rsidRPr="002260EE">
        <w:rPr>
          <w:rFonts w:cs="Times New Roman"/>
        </w:rPr>
        <w:t>in this Report</w:t>
      </w:r>
      <w:r w:rsidR="006B496C" w:rsidRPr="002260EE">
        <w:rPr>
          <w:rFonts w:cs="Times New Roman"/>
        </w:rPr>
        <w:t>.</w:t>
      </w:r>
      <w:r w:rsidRPr="002260EE">
        <w:rPr>
          <w:rFonts w:cs="Times New Roman"/>
        </w:rPr>
        <w:t xml:space="preserve"> With regard to the Weymouth facility, a new location is proposed for consolidation of current and proposed services. “Such</w:t>
      </w:r>
      <w:r w:rsidRPr="002260EE">
        <w:rPr>
          <w:rFonts w:cs="Times New Roman"/>
          <w:spacing w:val="-5"/>
        </w:rPr>
        <w:t xml:space="preserve"> </w:t>
      </w:r>
      <w:r w:rsidRPr="002260EE">
        <w:rPr>
          <w:rFonts w:cs="Times New Roman"/>
        </w:rPr>
        <w:t>diagnostic</w:t>
      </w:r>
      <w:r w:rsidRPr="002260EE">
        <w:rPr>
          <w:rFonts w:cs="Times New Roman"/>
          <w:spacing w:val="-3"/>
        </w:rPr>
        <w:t xml:space="preserve"> </w:t>
      </w:r>
      <w:r w:rsidRPr="002260EE">
        <w:rPr>
          <w:rFonts w:cs="Times New Roman"/>
        </w:rPr>
        <w:t>and</w:t>
      </w:r>
      <w:r w:rsidRPr="002260EE">
        <w:rPr>
          <w:rFonts w:cs="Times New Roman"/>
          <w:spacing w:val="-3"/>
        </w:rPr>
        <w:t xml:space="preserve"> </w:t>
      </w:r>
      <w:r w:rsidRPr="002260EE">
        <w:rPr>
          <w:rFonts w:cs="Times New Roman"/>
        </w:rPr>
        <w:t>therapeutic</w:t>
      </w:r>
      <w:r w:rsidRPr="002260EE">
        <w:rPr>
          <w:rFonts w:cs="Times New Roman"/>
          <w:spacing w:val="-3"/>
        </w:rPr>
        <w:t xml:space="preserve"> </w:t>
      </w:r>
      <w:r w:rsidRPr="002260EE">
        <w:rPr>
          <w:rFonts w:cs="Times New Roman"/>
        </w:rPr>
        <w:t>hospital</w:t>
      </w:r>
      <w:r w:rsidRPr="002260EE">
        <w:rPr>
          <w:rFonts w:cs="Times New Roman"/>
          <w:spacing w:val="-4"/>
        </w:rPr>
        <w:t xml:space="preserve"> </w:t>
      </w:r>
      <w:r w:rsidRPr="002260EE">
        <w:rPr>
          <w:rFonts w:cs="Times New Roman"/>
        </w:rPr>
        <w:t>services</w:t>
      </w:r>
      <w:r w:rsidRPr="002260EE">
        <w:rPr>
          <w:rFonts w:cs="Times New Roman"/>
          <w:spacing w:val="-2"/>
        </w:rPr>
        <w:t xml:space="preserve"> </w:t>
      </w:r>
      <w:r w:rsidRPr="002260EE">
        <w:rPr>
          <w:rFonts w:cs="Times New Roman"/>
        </w:rPr>
        <w:t>will</w:t>
      </w:r>
      <w:r w:rsidRPr="002260EE">
        <w:rPr>
          <w:rFonts w:cs="Times New Roman"/>
          <w:spacing w:val="-3"/>
        </w:rPr>
        <w:t xml:space="preserve"> </w:t>
      </w:r>
      <w:r w:rsidRPr="002260EE">
        <w:rPr>
          <w:rFonts w:cs="Times New Roman"/>
        </w:rPr>
        <w:t>be</w:t>
      </w:r>
      <w:r w:rsidRPr="002260EE">
        <w:rPr>
          <w:rFonts w:cs="Times New Roman"/>
          <w:spacing w:val="-4"/>
        </w:rPr>
        <w:t xml:space="preserve"> </w:t>
      </w:r>
      <w:r w:rsidRPr="002260EE">
        <w:rPr>
          <w:rFonts w:cs="Times New Roman"/>
        </w:rPr>
        <w:t>co-located with</w:t>
      </w:r>
      <w:r w:rsidRPr="002260EE">
        <w:rPr>
          <w:rFonts w:cs="Times New Roman"/>
          <w:spacing w:val="-4"/>
        </w:rPr>
        <w:t xml:space="preserve"> </w:t>
      </w:r>
      <w:r w:rsidRPr="002260EE">
        <w:rPr>
          <w:rFonts w:cs="Times New Roman"/>
        </w:rPr>
        <w:t>physician</w:t>
      </w:r>
      <w:r w:rsidRPr="002260EE">
        <w:rPr>
          <w:rFonts w:cs="Times New Roman"/>
          <w:spacing w:val="-5"/>
        </w:rPr>
        <w:t xml:space="preserve"> </w:t>
      </w:r>
      <w:r w:rsidRPr="002260EE">
        <w:rPr>
          <w:rFonts w:cs="Times New Roman"/>
        </w:rPr>
        <w:t>office</w:t>
      </w:r>
      <w:r w:rsidRPr="002260EE">
        <w:rPr>
          <w:rFonts w:cs="Times New Roman"/>
          <w:spacing w:val="-3"/>
        </w:rPr>
        <w:t xml:space="preserve"> </w:t>
      </w:r>
      <w:r w:rsidRPr="002260EE">
        <w:rPr>
          <w:rFonts w:cs="Times New Roman"/>
        </w:rPr>
        <w:t>space</w:t>
      </w:r>
      <w:r w:rsidRPr="002260EE">
        <w:rPr>
          <w:rFonts w:cs="Times New Roman"/>
          <w:spacing w:val="-4"/>
        </w:rPr>
        <w:t xml:space="preserve"> </w:t>
      </w:r>
      <w:r w:rsidRPr="002260EE">
        <w:rPr>
          <w:rFonts w:cs="Times New Roman"/>
        </w:rPr>
        <w:t>that</w:t>
      </w:r>
      <w:r w:rsidRPr="002260EE">
        <w:rPr>
          <w:rFonts w:cs="Times New Roman"/>
          <w:spacing w:val="-2"/>
        </w:rPr>
        <w:t xml:space="preserve"> </w:t>
      </w:r>
      <w:r w:rsidRPr="002260EE">
        <w:rPr>
          <w:rFonts w:cs="Times New Roman"/>
        </w:rPr>
        <w:t>will</w:t>
      </w:r>
      <w:r w:rsidRPr="002260EE">
        <w:rPr>
          <w:rFonts w:cs="Times New Roman"/>
          <w:spacing w:val="-3"/>
        </w:rPr>
        <w:t xml:space="preserve"> </w:t>
      </w:r>
      <w:r w:rsidRPr="002260EE">
        <w:rPr>
          <w:rFonts w:cs="Times New Roman"/>
        </w:rPr>
        <w:t>house</w:t>
      </w:r>
      <w:r w:rsidRPr="002260EE">
        <w:rPr>
          <w:rFonts w:cs="Times New Roman"/>
          <w:spacing w:val="1"/>
        </w:rPr>
        <w:t xml:space="preserve"> </w:t>
      </w:r>
      <w:r w:rsidRPr="002260EE">
        <w:rPr>
          <w:rFonts w:cs="Times New Roman"/>
        </w:rPr>
        <w:t>offices</w:t>
      </w:r>
      <w:r w:rsidRPr="002260EE">
        <w:rPr>
          <w:rFonts w:cs="Times New Roman"/>
          <w:spacing w:val="-2"/>
        </w:rPr>
        <w:t xml:space="preserve"> </w:t>
      </w:r>
      <w:r w:rsidRPr="002260EE">
        <w:rPr>
          <w:rFonts w:cs="Times New Roman"/>
        </w:rPr>
        <w:t>relocated</w:t>
      </w:r>
      <w:r w:rsidRPr="002260EE">
        <w:rPr>
          <w:rFonts w:cs="Times New Roman"/>
          <w:spacing w:val="-1"/>
        </w:rPr>
        <w:t xml:space="preserve"> </w:t>
      </w:r>
      <w:r w:rsidRPr="002260EE">
        <w:rPr>
          <w:rFonts w:cs="Times New Roman"/>
        </w:rPr>
        <w:t>from</w:t>
      </w:r>
      <w:r w:rsidRPr="002260EE">
        <w:rPr>
          <w:rFonts w:cs="Times New Roman"/>
          <w:spacing w:val="-4"/>
        </w:rPr>
        <w:t xml:space="preserve"> </w:t>
      </w:r>
      <w:r w:rsidRPr="002260EE">
        <w:rPr>
          <w:rFonts w:cs="Times New Roman"/>
        </w:rPr>
        <w:t>541 Main</w:t>
      </w:r>
      <w:r w:rsidRPr="002260EE">
        <w:rPr>
          <w:rFonts w:cs="Times New Roman"/>
          <w:spacing w:val="-2"/>
        </w:rPr>
        <w:t xml:space="preserve"> </w:t>
      </w:r>
      <w:r w:rsidRPr="002260EE">
        <w:rPr>
          <w:rFonts w:cs="Times New Roman"/>
        </w:rPr>
        <w:t>Street</w:t>
      </w:r>
      <w:r w:rsidRPr="002260EE">
        <w:rPr>
          <w:rFonts w:cs="Times New Roman"/>
          <w:spacing w:val="-1"/>
        </w:rPr>
        <w:t xml:space="preserve"> </w:t>
      </w:r>
      <w:r w:rsidRPr="002260EE">
        <w:rPr>
          <w:rFonts w:cs="Times New Roman"/>
        </w:rPr>
        <w:t>in</w:t>
      </w:r>
      <w:r w:rsidRPr="002260EE">
        <w:rPr>
          <w:rFonts w:cs="Times New Roman"/>
          <w:spacing w:val="-2"/>
        </w:rPr>
        <w:t xml:space="preserve"> </w:t>
      </w:r>
      <w:r w:rsidRPr="002260EE">
        <w:rPr>
          <w:rFonts w:cs="Times New Roman"/>
        </w:rPr>
        <w:t>Weymouth,</w:t>
      </w:r>
      <w:r w:rsidRPr="002260EE">
        <w:rPr>
          <w:rFonts w:cs="Times New Roman"/>
          <w:spacing w:val="-1"/>
        </w:rPr>
        <w:t xml:space="preserve"> </w:t>
      </w:r>
      <w:r w:rsidRPr="002260EE">
        <w:rPr>
          <w:rFonts w:cs="Times New Roman"/>
        </w:rPr>
        <w:t>the</w:t>
      </w:r>
      <w:r w:rsidRPr="002260EE">
        <w:rPr>
          <w:rFonts w:cs="Times New Roman"/>
          <w:spacing w:val="-1"/>
        </w:rPr>
        <w:t xml:space="preserve"> </w:t>
      </w:r>
      <w:r w:rsidRPr="002260EE">
        <w:rPr>
          <w:rFonts w:cs="Times New Roman"/>
        </w:rPr>
        <w:t>lease</w:t>
      </w:r>
      <w:r w:rsidRPr="002260EE">
        <w:rPr>
          <w:rFonts w:cs="Times New Roman"/>
          <w:spacing w:val="-1"/>
        </w:rPr>
        <w:t xml:space="preserve"> </w:t>
      </w:r>
      <w:r w:rsidRPr="002260EE">
        <w:rPr>
          <w:rFonts w:cs="Times New Roman"/>
        </w:rPr>
        <w:t>for</w:t>
      </w:r>
      <w:r w:rsidRPr="002260EE">
        <w:rPr>
          <w:rFonts w:cs="Times New Roman"/>
          <w:spacing w:val="2"/>
        </w:rPr>
        <w:t xml:space="preserve"> </w:t>
      </w:r>
      <w:r w:rsidRPr="002260EE">
        <w:rPr>
          <w:rFonts w:cs="Times New Roman"/>
        </w:rPr>
        <w:t>which</w:t>
      </w:r>
      <w:r w:rsidRPr="002260EE">
        <w:rPr>
          <w:rFonts w:cs="Times New Roman"/>
          <w:spacing w:val="-2"/>
        </w:rPr>
        <w:t xml:space="preserve"> </w:t>
      </w:r>
      <w:r w:rsidRPr="002260EE">
        <w:rPr>
          <w:rFonts w:cs="Times New Roman"/>
        </w:rPr>
        <w:t>space</w:t>
      </w:r>
      <w:r w:rsidRPr="002260EE">
        <w:rPr>
          <w:rFonts w:cs="Times New Roman"/>
          <w:spacing w:val="-1"/>
        </w:rPr>
        <w:t xml:space="preserve"> </w:t>
      </w:r>
      <w:r w:rsidRPr="002260EE">
        <w:rPr>
          <w:rFonts w:cs="Times New Roman"/>
        </w:rPr>
        <w:t>is</w:t>
      </w:r>
      <w:r w:rsidRPr="002260EE">
        <w:rPr>
          <w:rFonts w:cs="Times New Roman"/>
          <w:spacing w:val="-2"/>
        </w:rPr>
        <w:t xml:space="preserve"> </w:t>
      </w:r>
      <w:r w:rsidRPr="002260EE">
        <w:rPr>
          <w:rFonts w:cs="Times New Roman"/>
        </w:rPr>
        <w:t>expiring in</w:t>
      </w:r>
      <w:r w:rsidRPr="002260EE">
        <w:rPr>
          <w:rFonts w:cs="Times New Roman"/>
          <w:spacing w:val="-2"/>
        </w:rPr>
        <w:t xml:space="preserve"> </w:t>
      </w:r>
      <w:r w:rsidRPr="002260EE">
        <w:rPr>
          <w:rFonts w:cs="Times New Roman"/>
        </w:rPr>
        <w:t>2024.”</w:t>
      </w:r>
    </w:p>
  </w:footnote>
  <w:footnote w:id="14">
    <w:p w14:paraId="4896B86F" w14:textId="28DC0A3A" w:rsidR="00EE5ECC" w:rsidRPr="002260EE" w:rsidRDefault="00EE5ECC" w:rsidP="002260EE">
      <w:pPr>
        <w:numPr>
          <w:ilvl w:val="0"/>
          <w:numId w:val="0"/>
        </w:numPr>
        <w:spacing w:before="0" w:after="0" w:line="240" w:lineRule="auto"/>
        <w:contextualSpacing/>
        <w:rPr>
          <w:rFonts w:cs="Times New Roman"/>
          <w:sz w:val="20"/>
          <w:szCs w:val="20"/>
        </w:rPr>
      </w:pPr>
      <w:r w:rsidRPr="002260EE">
        <w:rPr>
          <w:rStyle w:val="FootnoteReference"/>
          <w:rFonts w:cs="Times New Roman"/>
          <w:sz w:val="20"/>
          <w:szCs w:val="20"/>
        </w:rPr>
        <w:footnoteRef/>
      </w:r>
      <w:r w:rsidRPr="002260EE">
        <w:rPr>
          <w:rFonts w:cs="Times New Roman"/>
          <w:sz w:val="20"/>
          <w:szCs w:val="20"/>
        </w:rPr>
        <w:t xml:space="preserve"> </w:t>
      </w:r>
      <w:bookmarkStart w:id="27" w:name="_Hlk106375853"/>
      <w:r w:rsidRPr="002260EE">
        <w:rPr>
          <w:rFonts w:cs="Times New Roman"/>
          <w:sz w:val="20"/>
          <w:szCs w:val="20"/>
        </w:rPr>
        <w:t xml:space="preserve">Massachusetts Department of Public Health: Determination of Need: Change in Service (dated 7/15/2021 6:44am) </w:t>
      </w:r>
      <w:bookmarkEnd w:id="27"/>
    </w:p>
  </w:footnote>
  <w:footnote w:id="15">
    <w:p w14:paraId="592E52E3" w14:textId="05AEB3E4" w:rsidR="00EE5ECC" w:rsidRPr="002260EE" w:rsidRDefault="00EE5ECC"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HSAs are defined by the state; FTI undertook independent development of zip code and crosswalks to these HSA </w:t>
      </w:r>
      <w:r w:rsidRPr="00FB1338">
        <w:rPr>
          <w:rFonts w:cs="Times New Roman"/>
          <w:spacing w:val="-4"/>
        </w:rPr>
        <w:t>and to evaluate data on utilization of pediatric services by</w:t>
      </w:r>
      <w:r w:rsidR="00ED276E" w:rsidRPr="00FB1338">
        <w:rPr>
          <w:rFonts w:cs="Times New Roman"/>
          <w:spacing w:val="-4"/>
        </w:rPr>
        <w:t xml:space="preserve"> populations in </w:t>
      </w:r>
      <w:r w:rsidRPr="00FB1338">
        <w:rPr>
          <w:rFonts w:cs="Times New Roman"/>
          <w:spacing w:val="-4"/>
        </w:rPr>
        <w:t>HSA or other areas. See Appendix</w:t>
      </w:r>
      <w:r w:rsidR="00CF1796" w:rsidRPr="00FB1338">
        <w:rPr>
          <w:rFonts w:cs="Times New Roman"/>
          <w:spacing w:val="-4"/>
        </w:rPr>
        <w:t xml:space="preserve"> for further detail</w:t>
      </w:r>
      <w:r w:rsidRPr="00FB1338">
        <w:rPr>
          <w:rFonts w:cs="Times New Roman"/>
          <w:spacing w:val="-4"/>
        </w:rPr>
        <w:t>.</w:t>
      </w:r>
    </w:p>
  </w:footnote>
  <w:footnote w:id="16">
    <w:p w14:paraId="612EC320" w14:textId="74D8E6EF" w:rsidR="00EE5ECC" w:rsidRPr="002260EE" w:rsidRDefault="00EE5ECC" w:rsidP="002260EE">
      <w:pPr>
        <w:pStyle w:val="BodyText"/>
        <w:spacing w:before="0"/>
        <w:contextualSpacing/>
        <w:jc w:val="both"/>
        <w:rPr>
          <w:sz w:val="20"/>
          <w:szCs w:val="20"/>
        </w:rPr>
      </w:pPr>
      <w:r w:rsidRPr="002260EE">
        <w:rPr>
          <w:rStyle w:val="FootnoteReference"/>
          <w:sz w:val="20"/>
          <w:szCs w:val="20"/>
        </w:rPr>
        <w:footnoteRef/>
      </w:r>
      <w:r w:rsidRPr="002260EE">
        <w:rPr>
          <w:sz w:val="20"/>
          <w:szCs w:val="20"/>
        </w:rPr>
        <w:t xml:space="preserve"> </w:t>
      </w:r>
      <w:r w:rsidR="00B63B78" w:rsidRPr="002260EE">
        <w:rPr>
          <w:sz w:val="20"/>
          <w:szCs w:val="20"/>
        </w:rPr>
        <w:t>See, e.g., DoN Application No. BCH-20171411-HE Attachments: Substantial Capital Expenditure Ambulatory Surgery Center &amp; DoN Required Equipment Boston Children’s Hospital Table 2, page 11 provides Ambulatory Visits, Ambulatory Surgeries, and MRI Encounters for Massachusetts residents at BCH facilities in FY 2017 – FY 2019. As detailed below these were compared with data/information from the CHIA data for overall patient populations for these services and use</w:t>
      </w:r>
      <w:r w:rsidR="008C2968">
        <w:rPr>
          <w:sz w:val="20"/>
          <w:szCs w:val="20"/>
        </w:rPr>
        <w:t>d</w:t>
      </w:r>
      <w:r w:rsidR="00B63B78" w:rsidRPr="002260EE">
        <w:rPr>
          <w:sz w:val="20"/>
          <w:szCs w:val="20"/>
        </w:rPr>
        <w:t xml:space="preserve"> in comparing BCH utilization and FTI estimates from the CHIA data. FTI also evaluated additional responses by BCH to DPH questions; see, e.g., BCH Response II, April 4, 2022</w:t>
      </w:r>
      <w:r w:rsidR="00ED276E" w:rsidRPr="002260EE">
        <w:rPr>
          <w:sz w:val="20"/>
          <w:szCs w:val="20"/>
        </w:rPr>
        <w:t>, and conducted independent analysis of patient populations using Census data or other sources as detailed herein given CHIA data limitations.</w:t>
      </w:r>
    </w:p>
  </w:footnote>
  <w:footnote w:id="17">
    <w:p w14:paraId="5A009BB5" w14:textId="27F540DD" w:rsidR="00EE5ECC" w:rsidRPr="002260EE" w:rsidRDefault="00EE5ECC"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r w:rsidR="00ED276E" w:rsidRPr="002260EE">
        <w:rPr>
          <w:rFonts w:cs="Times New Roman"/>
        </w:rPr>
        <w:t>As noted in the Application and supporting materials: “In</w:t>
      </w:r>
      <w:r w:rsidR="00ED276E" w:rsidRPr="002260EE">
        <w:rPr>
          <w:rFonts w:cs="Times New Roman"/>
          <w:spacing w:val="1"/>
        </w:rPr>
        <w:t xml:space="preserve"> </w:t>
      </w:r>
      <w:r w:rsidR="00ED276E" w:rsidRPr="002260EE">
        <w:rPr>
          <w:rFonts w:cs="Times New Roman"/>
        </w:rPr>
        <w:t>addition,</w:t>
      </w:r>
      <w:r w:rsidR="00ED276E" w:rsidRPr="002260EE">
        <w:rPr>
          <w:rFonts w:cs="Times New Roman"/>
          <w:spacing w:val="1"/>
        </w:rPr>
        <w:t xml:space="preserve"> </w:t>
      </w:r>
      <w:r w:rsidR="00ED276E" w:rsidRPr="002260EE">
        <w:rPr>
          <w:rFonts w:cs="Times New Roman"/>
        </w:rPr>
        <w:t>the</w:t>
      </w:r>
      <w:r w:rsidR="00ED276E" w:rsidRPr="002260EE">
        <w:rPr>
          <w:rFonts w:cs="Times New Roman"/>
          <w:spacing w:val="1"/>
        </w:rPr>
        <w:t xml:space="preserve"> </w:t>
      </w:r>
      <w:r w:rsidR="00ED276E" w:rsidRPr="002260EE">
        <w:rPr>
          <w:rFonts w:cs="Times New Roman"/>
        </w:rPr>
        <w:t>planned</w:t>
      </w:r>
      <w:r w:rsidR="00ED276E" w:rsidRPr="002260EE">
        <w:rPr>
          <w:rFonts w:cs="Times New Roman"/>
          <w:spacing w:val="1"/>
        </w:rPr>
        <w:t xml:space="preserve"> </w:t>
      </w:r>
      <w:r w:rsidR="00ED276E" w:rsidRPr="002260EE">
        <w:rPr>
          <w:rFonts w:cs="Times New Roman"/>
        </w:rPr>
        <w:t>med-psych</w:t>
      </w:r>
      <w:r w:rsidR="00ED276E" w:rsidRPr="002260EE">
        <w:rPr>
          <w:rFonts w:cs="Times New Roman"/>
          <w:spacing w:val="1"/>
        </w:rPr>
        <w:t xml:space="preserve"> </w:t>
      </w:r>
      <w:r w:rsidR="00ED276E" w:rsidRPr="002260EE">
        <w:rPr>
          <w:rFonts w:cs="Times New Roman"/>
        </w:rPr>
        <w:t>partial</w:t>
      </w:r>
      <w:r w:rsidR="00ED276E" w:rsidRPr="002260EE">
        <w:rPr>
          <w:rFonts w:cs="Times New Roman"/>
          <w:spacing w:val="1"/>
        </w:rPr>
        <w:t xml:space="preserve"> </w:t>
      </w:r>
      <w:r w:rsidR="00ED276E" w:rsidRPr="002260EE">
        <w:rPr>
          <w:rFonts w:cs="Times New Roman"/>
        </w:rPr>
        <w:t>hospitalization</w:t>
      </w:r>
      <w:r w:rsidR="00ED276E" w:rsidRPr="002260EE">
        <w:rPr>
          <w:rFonts w:cs="Times New Roman"/>
          <w:spacing w:val="1"/>
        </w:rPr>
        <w:t xml:space="preserve"> </w:t>
      </w:r>
      <w:r w:rsidR="00ED276E" w:rsidRPr="002260EE">
        <w:rPr>
          <w:rFonts w:cs="Times New Roman"/>
        </w:rPr>
        <w:t>program</w:t>
      </w:r>
      <w:r w:rsidR="00ED276E" w:rsidRPr="002260EE">
        <w:rPr>
          <w:rFonts w:cs="Times New Roman"/>
          <w:spacing w:val="1"/>
        </w:rPr>
        <w:t xml:space="preserve"> </w:t>
      </w:r>
      <w:r w:rsidR="00ED276E" w:rsidRPr="002260EE">
        <w:rPr>
          <w:rFonts w:cs="Times New Roman"/>
        </w:rPr>
        <w:t>is</w:t>
      </w:r>
      <w:r w:rsidR="00ED276E" w:rsidRPr="002260EE">
        <w:rPr>
          <w:rFonts w:cs="Times New Roman"/>
          <w:spacing w:val="1"/>
        </w:rPr>
        <w:t xml:space="preserve"> </w:t>
      </w:r>
      <w:r w:rsidR="00ED276E" w:rsidRPr="002260EE">
        <w:rPr>
          <w:rFonts w:cs="Times New Roman"/>
        </w:rPr>
        <w:t>envisioned to treat conditions such as somatic symptom and related disorders, eating disorders,</w:t>
      </w:r>
      <w:r w:rsidR="00ED276E" w:rsidRPr="002260EE">
        <w:rPr>
          <w:rFonts w:cs="Times New Roman"/>
          <w:spacing w:val="1"/>
        </w:rPr>
        <w:t xml:space="preserve"> </w:t>
      </w:r>
      <w:r w:rsidR="00ED276E" w:rsidRPr="002260EE">
        <w:rPr>
          <w:rFonts w:cs="Times New Roman"/>
        </w:rPr>
        <w:t>and chronic medical illnesses (diabetes, seizures, etc.) complicated by psychiatric conditions like</w:t>
      </w:r>
      <w:r w:rsidR="00ED276E" w:rsidRPr="002260EE">
        <w:rPr>
          <w:rFonts w:cs="Times New Roman"/>
          <w:spacing w:val="1"/>
        </w:rPr>
        <w:t xml:space="preserve"> </w:t>
      </w:r>
      <w:r w:rsidR="00ED276E" w:rsidRPr="002260EE">
        <w:rPr>
          <w:rFonts w:cs="Times New Roman"/>
        </w:rPr>
        <w:t>depression,</w:t>
      </w:r>
      <w:r w:rsidR="00ED276E" w:rsidRPr="002260EE">
        <w:rPr>
          <w:rFonts w:cs="Times New Roman"/>
          <w:spacing w:val="-1"/>
        </w:rPr>
        <w:t xml:space="preserve"> </w:t>
      </w:r>
      <w:r w:rsidR="00ED276E" w:rsidRPr="002260EE">
        <w:rPr>
          <w:rFonts w:cs="Times New Roman"/>
        </w:rPr>
        <w:t>anxiety,</w:t>
      </w:r>
      <w:r w:rsidR="00ED276E" w:rsidRPr="002260EE">
        <w:rPr>
          <w:rFonts w:cs="Times New Roman"/>
          <w:spacing w:val="-1"/>
        </w:rPr>
        <w:t xml:space="preserve"> </w:t>
      </w:r>
      <w:r w:rsidR="00ED276E" w:rsidRPr="002260EE">
        <w:rPr>
          <w:rFonts w:cs="Times New Roman"/>
        </w:rPr>
        <w:t>or</w:t>
      </w:r>
      <w:r w:rsidR="00ED276E" w:rsidRPr="002260EE">
        <w:rPr>
          <w:rFonts w:cs="Times New Roman"/>
          <w:spacing w:val="-2"/>
        </w:rPr>
        <w:t xml:space="preserve"> </w:t>
      </w:r>
      <w:r w:rsidR="00ED276E" w:rsidRPr="002260EE">
        <w:rPr>
          <w:rFonts w:cs="Times New Roman"/>
        </w:rPr>
        <w:t>non-adherence</w:t>
      </w:r>
      <w:r w:rsidR="00ED276E" w:rsidRPr="002260EE">
        <w:rPr>
          <w:rFonts w:cs="Times New Roman"/>
          <w:spacing w:val="-2"/>
        </w:rPr>
        <w:t xml:space="preserve"> </w:t>
      </w:r>
      <w:r w:rsidR="00ED276E" w:rsidRPr="002260EE">
        <w:rPr>
          <w:rFonts w:cs="Times New Roman"/>
        </w:rPr>
        <w:t>(commonly</w:t>
      </w:r>
      <w:r w:rsidR="00ED276E" w:rsidRPr="002260EE">
        <w:rPr>
          <w:rFonts w:cs="Times New Roman"/>
          <w:spacing w:val="-4"/>
        </w:rPr>
        <w:t xml:space="preserve"> </w:t>
      </w:r>
      <w:r w:rsidR="00ED276E" w:rsidRPr="002260EE">
        <w:rPr>
          <w:rFonts w:cs="Times New Roman"/>
        </w:rPr>
        <w:t>experienced</w:t>
      </w:r>
      <w:r w:rsidR="00ED276E" w:rsidRPr="002260EE">
        <w:rPr>
          <w:rFonts w:cs="Times New Roman"/>
          <w:spacing w:val="-1"/>
        </w:rPr>
        <w:t xml:space="preserve"> </w:t>
      </w:r>
      <w:r w:rsidR="00ED276E" w:rsidRPr="002260EE">
        <w:rPr>
          <w:rFonts w:cs="Times New Roman"/>
        </w:rPr>
        <w:t>by</w:t>
      </w:r>
      <w:r w:rsidR="00ED276E" w:rsidRPr="002260EE">
        <w:rPr>
          <w:rFonts w:cs="Times New Roman"/>
          <w:spacing w:val="-1"/>
        </w:rPr>
        <w:t xml:space="preserve"> </w:t>
      </w:r>
      <w:r w:rsidR="00ED276E" w:rsidRPr="002260EE">
        <w:rPr>
          <w:rFonts w:cs="Times New Roman"/>
        </w:rPr>
        <w:t>youth</w:t>
      </w:r>
      <w:r w:rsidR="00ED276E" w:rsidRPr="002260EE">
        <w:rPr>
          <w:rFonts w:cs="Times New Roman"/>
          <w:spacing w:val="-1"/>
        </w:rPr>
        <w:t xml:space="preserve"> </w:t>
      </w:r>
      <w:r w:rsidR="00ED276E" w:rsidRPr="002260EE">
        <w:rPr>
          <w:rFonts w:cs="Times New Roman"/>
        </w:rPr>
        <w:t>ages</w:t>
      </w:r>
      <w:r w:rsidR="00ED276E" w:rsidRPr="002260EE">
        <w:rPr>
          <w:rFonts w:cs="Times New Roman"/>
          <w:spacing w:val="-1"/>
        </w:rPr>
        <w:t xml:space="preserve"> </w:t>
      </w:r>
      <w:r w:rsidR="00ED276E" w:rsidRPr="002260EE">
        <w:rPr>
          <w:rFonts w:cs="Times New Roman"/>
        </w:rPr>
        <w:t>12-17</w:t>
      </w:r>
      <w:r w:rsidR="00ED276E" w:rsidRPr="002260EE">
        <w:rPr>
          <w:rFonts w:cs="Times New Roman"/>
          <w:spacing w:val="3"/>
        </w:rPr>
        <w:t xml:space="preserve"> </w:t>
      </w:r>
      <w:r w:rsidR="00ED276E" w:rsidRPr="00E64547">
        <w:rPr>
          <w:rFonts w:cs="Times New Roman"/>
          <w:color w:val="000000" w:themeColor="text1"/>
        </w:rPr>
        <w:t xml:space="preserve">years).” </w:t>
      </w:r>
      <w:hyperlink r:id="rId11" w:history="1">
        <w:r w:rsidRPr="00E64547">
          <w:rPr>
            <w:rStyle w:val="Hyperlink"/>
            <w:rFonts w:cs="Times New Roman"/>
            <w:color w:val="000000" w:themeColor="text1"/>
            <w:u w:val="none"/>
          </w:rPr>
          <w:t>The</w:t>
        </w:r>
        <w:r w:rsidRPr="00E64547">
          <w:rPr>
            <w:rStyle w:val="Hyperlink"/>
            <w:rFonts w:cs="Times New Roman"/>
            <w:color w:val="000000" w:themeColor="text1"/>
            <w:spacing w:val="-4"/>
            <w:u w:val="none"/>
          </w:rPr>
          <w:t xml:space="preserve"> </w:t>
        </w:r>
        <w:r w:rsidRPr="00E64547">
          <w:rPr>
            <w:rStyle w:val="Hyperlink"/>
            <w:rFonts w:cs="Times New Roman"/>
            <w:color w:val="000000" w:themeColor="text1"/>
            <w:u w:val="none"/>
          </w:rPr>
          <w:t>Children’s</w:t>
        </w:r>
        <w:r w:rsidRPr="00E64547">
          <w:rPr>
            <w:rStyle w:val="Hyperlink"/>
            <w:rFonts w:cs="Times New Roman"/>
            <w:color w:val="000000" w:themeColor="text1"/>
            <w:spacing w:val="-2"/>
            <w:u w:val="none"/>
          </w:rPr>
          <w:t xml:space="preserve"> </w:t>
        </w:r>
        <w:r w:rsidRPr="00E64547">
          <w:rPr>
            <w:rStyle w:val="Hyperlink"/>
            <w:rFonts w:cs="Times New Roman"/>
            <w:color w:val="000000" w:themeColor="text1"/>
            <w:u w:val="none"/>
          </w:rPr>
          <w:t>Medical</w:t>
        </w:r>
        <w:r w:rsidRPr="00E64547">
          <w:rPr>
            <w:rStyle w:val="Hyperlink"/>
            <w:rFonts w:cs="Times New Roman"/>
            <w:color w:val="000000" w:themeColor="text1"/>
            <w:spacing w:val="-3"/>
            <w:u w:val="none"/>
          </w:rPr>
          <w:t xml:space="preserve"> </w:t>
        </w:r>
        <w:r w:rsidRPr="00E64547">
          <w:rPr>
            <w:rStyle w:val="Hyperlink"/>
            <w:rFonts w:cs="Times New Roman"/>
            <w:color w:val="000000" w:themeColor="text1"/>
            <w:u w:val="none"/>
          </w:rPr>
          <w:t>Center</w:t>
        </w:r>
        <w:r w:rsidRPr="00E64547">
          <w:rPr>
            <w:rStyle w:val="Hyperlink"/>
            <w:rFonts w:cs="Times New Roman"/>
            <w:color w:val="000000" w:themeColor="text1"/>
            <w:spacing w:val="-3"/>
            <w:u w:val="none"/>
          </w:rPr>
          <w:t xml:space="preserve"> </w:t>
        </w:r>
        <w:r w:rsidRPr="00E64547">
          <w:rPr>
            <w:rStyle w:val="Hyperlink"/>
            <w:rFonts w:cs="Times New Roman"/>
            <w:color w:val="000000" w:themeColor="text1"/>
            <w:u w:val="none"/>
          </w:rPr>
          <w:t>Corporation</w:t>
        </w:r>
        <w:r w:rsidRPr="00E64547">
          <w:rPr>
            <w:rStyle w:val="Hyperlink"/>
            <w:rFonts w:cs="Times New Roman"/>
            <w:color w:val="000000" w:themeColor="text1"/>
            <w:spacing w:val="-57"/>
            <w:u w:val="none"/>
          </w:rPr>
          <w:t xml:space="preserve"> </w:t>
        </w:r>
        <w:r w:rsidRPr="00E64547">
          <w:rPr>
            <w:rStyle w:val="Hyperlink"/>
            <w:rFonts w:cs="Times New Roman"/>
            <w:color w:val="000000" w:themeColor="text1"/>
            <w:u w:val="none"/>
          </w:rPr>
          <w:t>DoN Application No. BCH-20171411-HE”</w:t>
        </w:r>
      </w:hyperlink>
      <w:r w:rsidRPr="00E64547">
        <w:rPr>
          <w:rFonts w:cs="Times New Roman"/>
          <w:color w:val="000000" w:themeColor="text1"/>
        </w:rPr>
        <w:t xml:space="preserve"> Substantial Capital Expenditure</w:t>
      </w:r>
      <w:r w:rsidRPr="00E64547">
        <w:rPr>
          <w:rFonts w:cs="Times New Roman"/>
          <w:color w:val="000000" w:themeColor="text1"/>
          <w:spacing w:val="-57"/>
        </w:rPr>
        <w:t xml:space="preserve"> </w:t>
      </w:r>
      <w:r w:rsidRPr="00E64547">
        <w:rPr>
          <w:rFonts w:cs="Times New Roman"/>
          <w:color w:val="000000" w:themeColor="text1"/>
        </w:rPr>
        <w:t>Ambulatory Surgery Center &amp;</w:t>
      </w:r>
      <w:r w:rsidRPr="00E64547">
        <w:rPr>
          <w:rFonts w:cs="Times New Roman"/>
          <w:color w:val="000000" w:themeColor="text1"/>
          <w:spacing w:val="1"/>
        </w:rPr>
        <w:t xml:space="preserve"> </w:t>
      </w:r>
      <w:r w:rsidRPr="00E64547">
        <w:rPr>
          <w:rFonts w:cs="Times New Roman"/>
          <w:color w:val="000000" w:themeColor="text1"/>
        </w:rPr>
        <w:t>DoN Required Equipment</w:t>
      </w:r>
      <w:r w:rsidRPr="00E64547">
        <w:rPr>
          <w:rFonts w:cs="Times New Roman"/>
          <w:color w:val="000000" w:themeColor="text1"/>
          <w:spacing w:val="1"/>
        </w:rPr>
        <w:t xml:space="preserve"> </w:t>
      </w:r>
      <w:r w:rsidRPr="00E64547">
        <w:rPr>
          <w:rFonts w:cs="Times New Roman"/>
          <w:color w:val="000000" w:themeColor="text1"/>
        </w:rPr>
        <w:t>Boston</w:t>
      </w:r>
      <w:r w:rsidRPr="00E64547">
        <w:rPr>
          <w:rFonts w:cs="Times New Roman"/>
          <w:color w:val="000000" w:themeColor="text1"/>
          <w:spacing w:val="-1"/>
        </w:rPr>
        <w:t xml:space="preserve"> </w:t>
      </w:r>
      <w:r w:rsidRPr="00E64547">
        <w:rPr>
          <w:rFonts w:cs="Times New Roman"/>
          <w:color w:val="000000" w:themeColor="text1"/>
        </w:rPr>
        <w:t>Children’s</w:t>
      </w:r>
      <w:r w:rsidRPr="00E64547">
        <w:rPr>
          <w:rFonts w:cs="Times New Roman"/>
          <w:color w:val="000000" w:themeColor="text1"/>
          <w:spacing w:val="-1"/>
        </w:rPr>
        <w:t xml:space="preserve"> </w:t>
      </w:r>
      <w:r w:rsidRPr="00E64547">
        <w:rPr>
          <w:rFonts w:cs="Times New Roman"/>
          <w:color w:val="000000" w:themeColor="text1"/>
        </w:rPr>
        <w:t xml:space="preserve">Hospital; submitted </w:t>
      </w:r>
      <w:r w:rsidRPr="002260EE">
        <w:rPr>
          <w:rFonts w:cs="Times New Roman"/>
        </w:rPr>
        <w:t xml:space="preserve">July 15, 2021 (hereafter, “CMCC DoN Application”) See “Application Narrative” at </w:t>
      </w:r>
      <w:hyperlink r:id="rId12" w:history="1">
        <w:r w:rsidRPr="002260EE">
          <w:rPr>
            <w:rStyle w:val="Hyperlink"/>
            <w:rFonts w:cs="Times New Roman"/>
            <w:color w:val="auto"/>
          </w:rPr>
          <w:t>https://www.mass.gov/lists/the-childrens-medical-center-corporation-hospitalclinic-substantial-capital-expenditure</w:t>
        </w:r>
      </w:hyperlink>
      <w:r w:rsidRPr="002260EE">
        <w:rPr>
          <w:rFonts w:cs="Times New Roman"/>
        </w:rPr>
        <w:t>.</w:t>
      </w:r>
    </w:p>
  </w:footnote>
  <w:footnote w:id="18">
    <w:p w14:paraId="23BB2185" w14:textId="2B240E6F" w:rsidR="00323EEE" w:rsidRPr="002260EE" w:rsidRDefault="00323EEE"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Bailit Health. Recommendations for Boston Children’s Hospital’s 2021 DON Application. March 22, 2021</w:t>
      </w:r>
      <w:r w:rsidR="003F09C3" w:rsidRPr="002260EE">
        <w:rPr>
          <w:rFonts w:cs="Times New Roman"/>
        </w:rPr>
        <w:t>. FTI’s evaluation of the Proposed Project focuse</w:t>
      </w:r>
      <w:r w:rsidR="003A6EA2" w:rsidRPr="002260EE">
        <w:rPr>
          <w:rFonts w:cs="Times New Roman"/>
        </w:rPr>
        <w:t>s</w:t>
      </w:r>
      <w:r w:rsidR="003F09C3" w:rsidRPr="002260EE">
        <w:rPr>
          <w:rFonts w:cs="Times New Roman"/>
        </w:rPr>
        <w:t xml:space="preserve"> on empirical assessment of the proposed new services of MRI, imaging, and ASC services, which represent the major sources of capital and service expansion at the new facilities. FTI also analyz</w:t>
      </w:r>
      <w:r w:rsidR="003A6EA2" w:rsidRPr="002260EE">
        <w:rPr>
          <w:rFonts w:cs="Times New Roman"/>
        </w:rPr>
        <w:t>es</w:t>
      </w:r>
      <w:r w:rsidR="003F09C3" w:rsidRPr="002260EE">
        <w:rPr>
          <w:rFonts w:cs="Times New Roman"/>
        </w:rPr>
        <w:t xml:space="preserve"> the impact of the Proposed Project’s services at the Waltham facility, including the development of a new partial hospitalization program and sleep services, using available data and information.</w:t>
      </w:r>
    </w:p>
  </w:footnote>
  <w:footnote w:id="19">
    <w:p w14:paraId="741915AD" w14:textId="3BD4B1EB" w:rsidR="003F09C3" w:rsidRPr="002260EE" w:rsidRDefault="003F09C3"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r w:rsidR="00FB28B8" w:rsidRPr="002260EE">
        <w:rPr>
          <w:rFonts w:cs="Times New Roman"/>
        </w:rPr>
        <w:t xml:space="preserve">See, e.g., BCH Response II, April 4, 2022 for more detailed description of services; and the Application Narrative. </w:t>
      </w:r>
      <w:r w:rsidRPr="002260EE">
        <w:rPr>
          <w:rFonts w:cs="Times New Roman"/>
        </w:rPr>
        <w:t xml:space="preserve">The proposed GI services include new services intended to provide improved access for patients including </w:t>
      </w:r>
      <w:r w:rsidR="003A6EA2" w:rsidRPr="002260EE">
        <w:rPr>
          <w:rFonts w:cs="Times New Roman"/>
        </w:rPr>
        <w:t xml:space="preserve">those </w:t>
      </w:r>
      <w:r w:rsidRPr="002260EE">
        <w:rPr>
          <w:rFonts w:cs="Times New Roman"/>
        </w:rPr>
        <w:t>in the area served by Needham, and underserved populations. FTI conducted independent analysis set out below of the potential impact of these expanded services at the new Needham facility</w:t>
      </w:r>
      <w:r w:rsidR="003A6EA2" w:rsidRPr="002260EE">
        <w:rPr>
          <w:rFonts w:cs="Times New Roman"/>
        </w:rPr>
        <w:t xml:space="preserve"> on relevant cost containment goals</w:t>
      </w:r>
      <w:r w:rsidRPr="002260EE">
        <w:rPr>
          <w:rFonts w:cs="Times New Roman"/>
        </w:rPr>
        <w:t>.</w:t>
      </w:r>
    </w:p>
  </w:footnote>
  <w:footnote w:id="20">
    <w:p w14:paraId="25017630" w14:textId="0ACC8A4B" w:rsidR="00B60383" w:rsidRPr="002260EE" w:rsidRDefault="00B60383"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See, Section </w:t>
      </w:r>
      <w:r w:rsidR="003B78C8" w:rsidRPr="002260EE">
        <w:rPr>
          <w:rFonts w:cs="Times New Roman"/>
        </w:rPr>
        <w:t>VII</w:t>
      </w:r>
      <w:r w:rsidRPr="002260EE">
        <w:rPr>
          <w:rFonts w:cs="Times New Roman"/>
        </w:rPr>
        <w:t xml:space="preserve"> below for a more detailed </w:t>
      </w:r>
      <w:r w:rsidR="00CE2BD4" w:rsidRPr="002260EE">
        <w:rPr>
          <w:rFonts w:cs="Times New Roman"/>
        </w:rPr>
        <w:t>description of FTI’s methodology for defining service areas.</w:t>
      </w:r>
    </w:p>
  </w:footnote>
  <w:footnote w:id="21">
    <w:p w14:paraId="0B2C9DBA" w14:textId="52DF09FD" w:rsidR="00EE5ECC" w:rsidRPr="002260EE" w:rsidRDefault="00EE5ECC" w:rsidP="00911E08">
      <w:pPr>
        <w:pStyle w:val="FootnoteText"/>
        <w:spacing w:before="0"/>
        <w:ind w:left="360"/>
        <w:contextualSpacing/>
        <w:rPr>
          <w:rFonts w:cs="Times New Roman"/>
          <w:spacing w:val="-4"/>
        </w:rPr>
      </w:pPr>
      <w:r w:rsidRPr="002260EE">
        <w:rPr>
          <w:rStyle w:val="FootnoteReference"/>
          <w:rFonts w:cs="Times New Roman"/>
        </w:rPr>
        <w:footnoteRef/>
      </w:r>
      <w:r w:rsidRPr="002260EE">
        <w:rPr>
          <w:rFonts w:cs="Times New Roman"/>
        </w:rPr>
        <w:t xml:space="preserve"> Letter from Lara Szent-Gyorgyi to Donna Casey, 9 September 2021.</w:t>
      </w:r>
      <w:r w:rsidRPr="00CC24E2">
        <w:rPr>
          <w:rFonts w:cs="Times New Roman"/>
          <w:color w:val="000000" w:themeColor="text1"/>
        </w:rPr>
        <w:t xml:space="preserve"> See “</w:t>
      </w:r>
      <w:hyperlink r:id="rId13" w:history="1">
        <w:r w:rsidRPr="00CC24E2">
          <w:rPr>
            <w:rStyle w:val="Hyperlink"/>
            <w:rFonts w:cs="Times New Roman"/>
            <w:color w:val="000000" w:themeColor="text1"/>
            <w:u w:val="none"/>
          </w:rPr>
          <w:t>ICA Request Letter</w:t>
        </w:r>
      </w:hyperlink>
      <w:r w:rsidRPr="00CC24E2">
        <w:rPr>
          <w:rFonts w:cs="Times New Roman"/>
          <w:color w:val="000000" w:themeColor="text1"/>
        </w:rPr>
        <w:t xml:space="preserve">” at </w:t>
      </w:r>
      <w:hyperlink r:id="rId14" w:history="1">
        <w:r w:rsidRPr="002260EE">
          <w:rPr>
            <w:rStyle w:val="Hyperlink"/>
            <w:rFonts w:cs="Times New Roman"/>
            <w:color w:val="auto"/>
          </w:rPr>
          <w:t>https://www.mass.gov/lists/the-childrens-medical-center-corporation-hospitalclinic-substantial-capital-expenditure</w:t>
        </w:r>
      </w:hyperlink>
      <w:r w:rsidRPr="002260EE">
        <w:rPr>
          <w:rFonts w:cs="Times New Roman"/>
          <w:spacing w:val="-4"/>
        </w:rPr>
        <w:t>.</w:t>
      </w:r>
    </w:p>
  </w:footnote>
  <w:footnote w:id="22">
    <w:p w14:paraId="58593FCF" w14:textId="7E3A1C9C" w:rsidR="1025C662" w:rsidRDefault="1025C662" w:rsidP="00911E08">
      <w:pPr>
        <w:numPr>
          <w:ilvl w:val="0"/>
          <w:numId w:val="0"/>
        </w:numPr>
        <w:ind w:left="360"/>
      </w:pPr>
      <w:r w:rsidRPr="1025C662">
        <w:rPr>
          <w:rStyle w:val="FootnoteReference"/>
        </w:rPr>
        <w:footnoteRef/>
      </w:r>
      <w:r>
        <w:t xml:space="preserve"> 105 CMR 100.405 (D)</w:t>
      </w:r>
    </w:p>
  </w:footnote>
  <w:footnote w:id="23">
    <w:p w14:paraId="7FB5E033" w14:textId="501B5DB3" w:rsidR="00EE5ECC" w:rsidRPr="002260EE" w:rsidRDefault="00EE5ECC"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As part of the Proposed Project, BCH would close 4 ORs at Lexington.</w:t>
      </w:r>
      <w:r w:rsidR="00B5561F" w:rsidRPr="002260EE">
        <w:rPr>
          <w:rFonts w:cs="Times New Roman"/>
        </w:rPr>
        <w:t xml:space="preserve"> </w:t>
      </w:r>
    </w:p>
  </w:footnote>
  <w:footnote w:id="24">
    <w:p w14:paraId="7F67119D" w14:textId="44E681C8" w:rsidR="00EE5ECC" w:rsidRPr="002260EE" w:rsidRDefault="00EE5ECC"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BCH DoN Application, Section 12, p 4.</w:t>
      </w:r>
      <w:r w:rsidR="00B5561F" w:rsidRPr="002260EE">
        <w:rPr>
          <w:rFonts w:cs="Times New Roman"/>
        </w:rPr>
        <w:t xml:space="preserve"> </w:t>
      </w:r>
    </w:p>
  </w:footnote>
  <w:footnote w:id="25">
    <w:p w14:paraId="1E9297E4" w14:textId="77777777" w:rsidR="00EE5ECC" w:rsidRPr="002260EE" w:rsidRDefault="00EE5ECC"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Moreover, predicting future prices and volumes are complicated by factors such as changes in supply as well as changes in demand.</w:t>
      </w:r>
    </w:p>
  </w:footnote>
  <w:footnote w:id="26">
    <w:p w14:paraId="315E538F" w14:textId="16B7DE6B" w:rsidR="00D25547" w:rsidRPr="002260EE" w:rsidRDefault="00D25547"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hyperlink r:id="rId15" w:history="1">
        <w:r w:rsidRPr="00BF5C37">
          <w:rPr>
            <w:rStyle w:val="Hyperlink"/>
            <w:rFonts w:cs="Times New Roman"/>
            <w:color w:val="000000" w:themeColor="text1"/>
            <w:u w:val="none"/>
          </w:rPr>
          <w:t>Massachusetts Health Policy Commission. 2021 Cost Trends Report</w:t>
        </w:r>
      </w:hyperlink>
      <w:r w:rsidRPr="00BF5C37">
        <w:rPr>
          <w:rFonts w:cs="Times New Roman"/>
          <w:color w:val="000000" w:themeColor="text1"/>
        </w:rPr>
        <w:t>. Sept</w:t>
      </w:r>
      <w:r w:rsidRPr="002260EE">
        <w:rPr>
          <w:rFonts w:cs="Times New Roman"/>
        </w:rPr>
        <w:t xml:space="preserve">. 2021. </w:t>
      </w:r>
      <w:hyperlink r:id="rId16" w:history="1">
        <w:r w:rsidRPr="002260EE">
          <w:rPr>
            <w:rStyle w:val="Hyperlink"/>
            <w:rFonts w:cs="Times New Roman"/>
            <w:color w:val="auto"/>
          </w:rPr>
          <w:t>https://www.mass.gov/doc/2021-health-care-cost-trends-report/download</w:t>
        </w:r>
      </w:hyperlink>
      <w:r w:rsidRPr="002260EE">
        <w:rPr>
          <w:rFonts w:cs="Times New Roman"/>
        </w:rPr>
        <w:t xml:space="preserve">. </w:t>
      </w:r>
    </w:p>
  </w:footnote>
  <w:footnote w:id="27">
    <w:p w14:paraId="5D267398" w14:textId="6A38E8B6" w:rsidR="00D25547" w:rsidRPr="002260EE" w:rsidRDefault="00D25547"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r w:rsidR="00385576" w:rsidRPr="002260EE">
        <w:rPr>
          <w:rFonts w:cs="Times New Roman"/>
        </w:rPr>
        <w:t>Ibid.</w:t>
      </w:r>
    </w:p>
  </w:footnote>
  <w:footnote w:id="28">
    <w:p w14:paraId="13FDD920" w14:textId="63E63A99" w:rsidR="00D25547" w:rsidRPr="002260EE" w:rsidRDefault="00D25547"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r w:rsidR="006208FD" w:rsidRPr="002260EE">
        <w:rPr>
          <w:rFonts w:cs="Times New Roman"/>
        </w:rPr>
        <w:t>Ibid.</w:t>
      </w:r>
    </w:p>
  </w:footnote>
  <w:footnote w:id="29">
    <w:p w14:paraId="0C7F53A8" w14:textId="77777777" w:rsidR="00D25547" w:rsidRPr="002260EE" w:rsidRDefault="00D25547"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Health Policy Commission. Mass General Brigham Incorporated Determination of Need Applications - Massachusetts General Hospital # MGB-20121612-HE, Brigham and Women’s Faulkner Hospital # MGB-20121716-HE, and Multisite # Multisite-21012113-AS Independent Cost-Analysis Comment, January 25, 2022.</w:t>
      </w:r>
    </w:p>
  </w:footnote>
  <w:footnote w:id="30">
    <w:p w14:paraId="0BB8FBE6" w14:textId="77777777" w:rsidR="00D25547" w:rsidRPr="002260EE" w:rsidRDefault="00D25547"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Ibid. The HPC also considered, but did not model expressly, the impact of outpatient expansion on increased referrals or inpatient utilization at the Applicant’s hospitals and the relevant pricing impact of diversion if any from other providers. The HPC noted that it measured impacts in both absolute amounts and percent changes to attempt to compare the extent to which increases in one area may or may not be offset by decreases in another.</w:t>
      </w:r>
    </w:p>
  </w:footnote>
  <w:footnote w:id="31">
    <w:p w14:paraId="52A44BF1" w14:textId="1CD3D940" w:rsidR="00D25547" w:rsidRPr="002260EE" w:rsidRDefault="00D25547"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hyperlink r:id="rId17" w:history="1">
        <w:r w:rsidRPr="00895E7B">
          <w:rPr>
            <w:rStyle w:val="Hyperlink"/>
            <w:rFonts w:cs="Times New Roman"/>
            <w:color w:val="000000" w:themeColor="text1"/>
            <w:u w:val="none"/>
          </w:rPr>
          <w:t>Massachusetts Health Policy Commission. 2021 Cost Trends Report</w:t>
        </w:r>
      </w:hyperlink>
      <w:r w:rsidRPr="002260EE">
        <w:rPr>
          <w:rFonts w:cs="Times New Roman"/>
        </w:rPr>
        <w:t>. Sept. 2021. Available</w:t>
      </w:r>
    </w:p>
    <w:p w14:paraId="04024EE5" w14:textId="259B6918" w:rsidR="00D25547" w:rsidRPr="002260EE" w:rsidRDefault="00D25547" w:rsidP="002260EE">
      <w:pPr>
        <w:pStyle w:val="FootnoteText"/>
        <w:spacing w:before="0"/>
        <w:contextualSpacing/>
        <w:rPr>
          <w:rFonts w:cs="Times New Roman"/>
        </w:rPr>
      </w:pPr>
      <w:r w:rsidRPr="002260EE">
        <w:rPr>
          <w:rFonts w:cs="Times New Roman"/>
        </w:rPr>
        <w:t xml:space="preserve">at: </w:t>
      </w:r>
      <w:hyperlink r:id="rId18" w:history="1">
        <w:r w:rsidRPr="002260EE">
          <w:rPr>
            <w:rStyle w:val="Hyperlink"/>
            <w:rFonts w:cs="Times New Roman"/>
            <w:color w:val="auto"/>
          </w:rPr>
          <w:t>https://www.mass.gov/doc/2021-health-care-cost-trends-report/download</w:t>
        </w:r>
      </w:hyperlink>
      <w:r w:rsidRPr="002260EE">
        <w:rPr>
          <w:rFonts w:cs="Times New Roman"/>
        </w:rPr>
        <w:t>.</w:t>
      </w:r>
    </w:p>
  </w:footnote>
  <w:footnote w:id="32">
    <w:p w14:paraId="64B853E7" w14:textId="39CE100A" w:rsidR="00B54E8E" w:rsidRPr="002260EE" w:rsidRDefault="00B54E8E" w:rsidP="002260EE">
      <w:pPr>
        <w:numPr>
          <w:ilvl w:val="0"/>
          <w:numId w:val="0"/>
        </w:numPr>
        <w:spacing w:before="0" w:after="0" w:line="240" w:lineRule="auto"/>
        <w:contextualSpacing/>
        <w:rPr>
          <w:rFonts w:cs="Times New Roman"/>
          <w:sz w:val="20"/>
          <w:szCs w:val="20"/>
        </w:rPr>
      </w:pPr>
      <w:r w:rsidRPr="002260EE">
        <w:rPr>
          <w:rStyle w:val="FootnoteReference"/>
          <w:rFonts w:cs="Times New Roman"/>
          <w:sz w:val="20"/>
          <w:szCs w:val="20"/>
        </w:rPr>
        <w:footnoteRef/>
      </w:r>
      <w:r w:rsidRPr="002260EE">
        <w:rPr>
          <w:rFonts w:cs="Times New Roman"/>
          <w:sz w:val="20"/>
          <w:szCs w:val="20"/>
        </w:rPr>
        <w:t xml:space="preserve"> See </w:t>
      </w:r>
      <w:r w:rsidRPr="002260EE">
        <w:rPr>
          <w:rFonts w:eastAsia="Times New Roman" w:cs="Times New Roman"/>
          <w:sz w:val="20"/>
          <w:szCs w:val="20"/>
        </w:rPr>
        <w:t xml:space="preserve">Bailit Health. </w:t>
      </w:r>
      <w:hyperlink r:id="rId19" w:history="1">
        <w:r w:rsidRPr="009515B5">
          <w:rPr>
            <w:rStyle w:val="Hyperlink"/>
            <w:rFonts w:eastAsia="Times New Roman" w:cs="Times New Roman"/>
            <w:color w:val="000000" w:themeColor="text1"/>
            <w:sz w:val="20"/>
            <w:szCs w:val="20"/>
            <w:u w:val="none"/>
          </w:rPr>
          <w:t>Recommendations for Boston Children’s Hospital’s 2021 DON Application.</w:t>
        </w:r>
      </w:hyperlink>
      <w:r w:rsidRPr="009515B5">
        <w:rPr>
          <w:rFonts w:eastAsia="Times New Roman" w:cs="Times New Roman"/>
          <w:color w:val="000000" w:themeColor="text1"/>
          <w:sz w:val="20"/>
          <w:szCs w:val="20"/>
        </w:rPr>
        <w:t xml:space="preserve"> March 22, 2021. </w:t>
      </w:r>
      <w:r w:rsidRPr="009515B5">
        <w:rPr>
          <w:rFonts w:cs="Times New Roman"/>
          <w:color w:val="000000" w:themeColor="text1"/>
          <w:sz w:val="20"/>
          <w:szCs w:val="20"/>
        </w:rPr>
        <w:t xml:space="preserve">Pediatric services in Massachusetts as in other states also are differentiated from adult healthcare services by </w:t>
      </w:r>
      <w:r w:rsidRPr="002260EE">
        <w:rPr>
          <w:rFonts w:cs="Times New Roman"/>
          <w:sz w:val="20"/>
          <w:szCs w:val="20"/>
        </w:rPr>
        <w:t>their higher proportion of Medicaid, including managed or capitated care models</w:t>
      </w:r>
      <w:r w:rsidR="00581318" w:rsidRPr="002260EE">
        <w:rPr>
          <w:rFonts w:cs="Times New Roman"/>
          <w:sz w:val="20"/>
          <w:szCs w:val="20"/>
        </w:rPr>
        <w:t xml:space="preserve">. </w:t>
      </w:r>
      <w:hyperlink r:id="rId20" w:history="1">
        <w:r w:rsidR="00581318" w:rsidRPr="002260EE">
          <w:rPr>
            <w:rStyle w:val="Hyperlink"/>
            <w:rFonts w:cs="Times New Roman"/>
            <w:color w:val="auto"/>
            <w:sz w:val="20"/>
            <w:szCs w:val="20"/>
          </w:rPr>
          <w:t>https://bmchealthservres.biomedcentral.com/articles/10.1186/s12913-020-05409-w</w:t>
        </w:r>
      </w:hyperlink>
      <w:r w:rsidRPr="002260EE">
        <w:rPr>
          <w:rFonts w:cs="Times New Roman"/>
          <w:sz w:val="20"/>
          <w:szCs w:val="20"/>
        </w:rPr>
        <w:t>.</w:t>
      </w:r>
    </w:p>
  </w:footnote>
  <w:footnote w:id="33">
    <w:p w14:paraId="07A4CDBE" w14:textId="28499DB7" w:rsidR="00970F23" w:rsidRPr="002260EE" w:rsidRDefault="00970F23"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The tables include all other providers in the reported results of analyses; although for relevant service lines, these are reported as “</w:t>
      </w:r>
      <w:r w:rsidR="002939DD" w:rsidRPr="002260EE">
        <w:rPr>
          <w:rFonts w:cs="Times New Roman"/>
        </w:rPr>
        <w:t>Other” or “</w:t>
      </w:r>
      <w:r w:rsidRPr="002260EE">
        <w:rPr>
          <w:rFonts w:cs="Times New Roman"/>
        </w:rPr>
        <w:t xml:space="preserve">All Other” because these </w:t>
      </w:r>
      <w:r w:rsidR="002939DD" w:rsidRPr="002260EE">
        <w:rPr>
          <w:rFonts w:cs="Times New Roman"/>
        </w:rPr>
        <w:t xml:space="preserve">individual </w:t>
      </w:r>
      <w:r w:rsidRPr="002260EE">
        <w:rPr>
          <w:rFonts w:cs="Times New Roman"/>
        </w:rPr>
        <w:t xml:space="preserve">providers </w:t>
      </w:r>
      <w:r w:rsidR="007D6C06" w:rsidRPr="002260EE">
        <w:rPr>
          <w:rFonts w:cs="Times New Roman"/>
        </w:rPr>
        <w:t>have low volumes and</w:t>
      </w:r>
      <w:r w:rsidRPr="002260EE">
        <w:rPr>
          <w:rFonts w:cs="Times New Roman"/>
        </w:rPr>
        <w:t xml:space="preserve"> often less than 1% share</w:t>
      </w:r>
      <w:r w:rsidR="002939DD" w:rsidRPr="002260EE">
        <w:rPr>
          <w:rFonts w:cs="Times New Roman"/>
        </w:rPr>
        <w:t xml:space="preserve"> in a service line</w:t>
      </w:r>
      <w:r w:rsidRPr="002260EE">
        <w:rPr>
          <w:rFonts w:cs="Times New Roman"/>
        </w:rPr>
        <w:t>.</w:t>
      </w:r>
      <w:r w:rsidR="002939DD" w:rsidRPr="002260EE">
        <w:rPr>
          <w:rFonts w:cs="Times New Roman"/>
        </w:rPr>
        <w:t xml:space="preserve"> The economic analyses account for the alternative provided by these entities.</w:t>
      </w:r>
      <w:r w:rsidR="00AE6FC9" w:rsidRPr="002260EE">
        <w:rPr>
          <w:rFonts w:cs="Times New Roman"/>
        </w:rPr>
        <w:t xml:space="preserve"> </w:t>
      </w:r>
    </w:p>
  </w:footnote>
  <w:footnote w:id="34">
    <w:p w14:paraId="1F0F3EC5" w14:textId="1109D136" w:rsidR="00B54E8E" w:rsidRPr="002260EE" w:rsidRDefault="00B54E8E" w:rsidP="002260EE">
      <w:pPr>
        <w:numPr>
          <w:ilvl w:val="0"/>
          <w:numId w:val="0"/>
        </w:numPr>
        <w:spacing w:before="0" w:after="0" w:line="240" w:lineRule="auto"/>
        <w:contextualSpacing/>
        <w:rPr>
          <w:rFonts w:cs="Times New Roman"/>
          <w:sz w:val="20"/>
          <w:szCs w:val="20"/>
        </w:rPr>
      </w:pPr>
      <w:r w:rsidRPr="002260EE">
        <w:rPr>
          <w:rStyle w:val="FootnoteReference"/>
          <w:rFonts w:cs="Times New Roman"/>
          <w:sz w:val="20"/>
          <w:szCs w:val="20"/>
        </w:rPr>
        <w:footnoteRef/>
      </w:r>
      <w:r w:rsidR="006F3E51" w:rsidRPr="002260EE">
        <w:rPr>
          <w:rFonts w:cs="Times New Roman"/>
          <w:sz w:val="20"/>
          <w:szCs w:val="20"/>
        </w:rPr>
        <w:t xml:space="preserve"> These facilities and health systems</w:t>
      </w:r>
      <w:r w:rsidR="00A747A5" w:rsidRPr="002260EE">
        <w:rPr>
          <w:rFonts w:cs="Times New Roman"/>
          <w:sz w:val="20"/>
          <w:szCs w:val="20"/>
        </w:rPr>
        <w:t>, for example,</w:t>
      </w:r>
      <w:r w:rsidR="006F3E51" w:rsidRPr="002260EE">
        <w:rPr>
          <w:rFonts w:cs="Times New Roman"/>
          <w:sz w:val="20"/>
          <w:szCs w:val="20"/>
        </w:rPr>
        <w:t xml:space="preserve"> are designated as locations to which </w:t>
      </w:r>
      <w:r w:rsidR="004120AF" w:rsidRPr="002260EE">
        <w:rPr>
          <w:rFonts w:cs="Times New Roman"/>
          <w:sz w:val="20"/>
          <w:szCs w:val="20"/>
        </w:rPr>
        <w:t>pediatric patients can be referred or transferred after stabilization at</w:t>
      </w:r>
      <w:r w:rsidR="00A747A5" w:rsidRPr="002260EE">
        <w:rPr>
          <w:rFonts w:cs="Times New Roman"/>
          <w:sz w:val="20"/>
          <w:szCs w:val="20"/>
        </w:rPr>
        <w:t xml:space="preserve"> the emergency department of a </w:t>
      </w:r>
      <w:r w:rsidR="004120AF" w:rsidRPr="002260EE">
        <w:rPr>
          <w:rFonts w:cs="Times New Roman"/>
          <w:sz w:val="20"/>
          <w:szCs w:val="20"/>
        </w:rPr>
        <w:t>local hospital</w:t>
      </w:r>
      <w:r w:rsidR="006F3E51" w:rsidRPr="002260EE">
        <w:rPr>
          <w:rFonts w:cs="Times New Roman"/>
          <w:sz w:val="20"/>
          <w:szCs w:val="20"/>
        </w:rPr>
        <w:t xml:space="preserve"> “Children and their families of both Massachusetts and surrounding states are fortunate enough to have six renowned children’s hospitals </w:t>
      </w:r>
      <w:r w:rsidR="006F3E51" w:rsidRPr="002260EE">
        <w:rPr>
          <w:rFonts w:cs="Times New Roman"/>
          <w:spacing w:val="-8"/>
          <w:sz w:val="20"/>
          <w:szCs w:val="20"/>
        </w:rPr>
        <w:t>strategically located across The Commonwealth.”</w:t>
      </w:r>
      <w:r w:rsidRPr="002260EE">
        <w:rPr>
          <w:rFonts w:cs="Times New Roman"/>
          <w:spacing w:val="-8"/>
          <w:sz w:val="20"/>
          <w:szCs w:val="20"/>
        </w:rPr>
        <w:t xml:space="preserve"> </w:t>
      </w:r>
      <w:hyperlink r:id="rId21" w:history="1">
        <w:r w:rsidRPr="002260EE">
          <w:rPr>
            <w:rStyle w:val="Hyperlink"/>
            <w:rFonts w:cs="Times New Roman"/>
            <w:color w:val="auto"/>
            <w:spacing w:val="-8"/>
            <w:sz w:val="20"/>
            <w:szCs w:val="20"/>
          </w:rPr>
          <w:t>https://www.mass.gov/service-details/hospitals-for-children-in-massachusetts</w:t>
        </w:r>
      </w:hyperlink>
      <w:r w:rsidRPr="002260EE">
        <w:rPr>
          <w:rFonts w:cs="Times New Roman"/>
          <w:spacing w:val="-8"/>
          <w:sz w:val="20"/>
          <w:szCs w:val="20"/>
        </w:rPr>
        <w:t>.</w:t>
      </w:r>
    </w:p>
  </w:footnote>
  <w:footnote w:id="35">
    <w:p w14:paraId="015344C9" w14:textId="77777777" w:rsidR="00EE0872" w:rsidRPr="002260EE" w:rsidRDefault="00EE0872"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See, e.g., </w:t>
      </w:r>
      <w:hyperlink r:id="rId22" w:history="1">
        <w:r w:rsidRPr="002260EE">
          <w:rPr>
            <w:rStyle w:val="Hyperlink"/>
            <w:rFonts w:cs="Times New Roman"/>
            <w:color w:val="auto"/>
          </w:rPr>
          <w:t>https://sites.tufts.edu/chsp/2022/04/08/end-of-an-era-the-closing-of-tufts-childrens-hospital-putting-inpatient-pediatric-care-in-context/</w:t>
        </w:r>
      </w:hyperlink>
      <w:r w:rsidRPr="002260EE">
        <w:rPr>
          <w:rFonts w:cs="Times New Roman"/>
        </w:rPr>
        <w:t xml:space="preserve">. </w:t>
      </w:r>
    </w:p>
  </w:footnote>
  <w:footnote w:id="36">
    <w:p w14:paraId="707A22C0" w14:textId="193A2986" w:rsidR="0047467F" w:rsidRPr="002260EE" w:rsidRDefault="0047467F" w:rsidP="002260EE">
      <w:pPr>
        <w:pStyle w:val="NoSpacing"/>
        <w:contextualSpacing/>
        <w:rPr>
          <w:rFonts w:cs="Times New Roman"/>
          <w:sz w:val="20"/>
          <w:szCs w:val="20"/>
        </w:rPr>
      </w:pPr>
      <w:r w:rsidRPr="002260EE">
        <w:rPr>
          <w:rStyle w:val="FootnoteReference"/>
          <w:rFonts w:cs="Times New Roman"/>
          <w:sz w:val="20"/>
          <w:szCs w:val="20"/>
        </w:rPr>
        <w:footnoteRef/>
      </w:r>
      <w:r w:rsidRPr="002260EE">
        <w:rPr>
          <w:rFonts w:cs="Times New Roman"/>
          <w:sz w:val="20"/>
          <w:szCs w:val="20"/>
        </w:rPr>
        <w:t xml:space="preserve"> </w:t>
      </w:r>
      <w:bookmarkStart w:id="66" w:name="_Toc94002322"/>
      <w:r w:rsidR="00BB3830" w:rsidRPr="002260EE">
        <w:rPr>
          <w:rFonts w:cs="Times New Roman"/>
          <w:sz w:val="20"/>
          <w:szCs w:val="20"/>
        </w:rPr>
        <w:t>These services include</w:t>
      </w:r>
      <w:r w:rsidR="00BC03B9" w:rsidRPr="002260EE">
        <w:rPr>
          <w:rFonts w:cs="Times New Roman"/>
          <w:sz w:val="20"/>
          <w:szCs w:val="20"/>
        </w:rPr>
        <w:t xml:space="preserve">: </w:t>
      </w:r>
      <w:r w:rsidRPr="002260EE">
        <w:rPr>
          <w:rFonts w:cs="Times New Roman"/>
          <w:sz w:val="20"/>
          <w:szCs w:val="20"/>
        </w:rPr>
        <w:t>Outpatient (Ambulatory) Surgery</w:t>
      </w:r>
      <w:bookmarkEnd w:id="66"/>
      <w:r w:rsidRPr="002260EE">
        <w:rPr>
          <w:rFonts w:cs="Times New Roman"/>
          <w:sz w:val="20"/>
          <w:szCs w:val="20"/>
        </w:rPr>
        <w:t xml:space="preserve"> - Includes all relevant surgeries contemplated in the DoN application (medical subspecialties, anesthesia, dental, ophthalmology, orthopedic/sports, otolaryngology, plastic, general surgery, and urology).Imaging – Including diagnostic and interventional for ultrasound, MRI, and fluoroscopy (not CT).</w:t>
      </w:r>
      <w:r w:rsidR="00C45FD9" w:rsidRPr="002260EE">
        <w:rPr>
          <w:rFonts w:cs="Times New Roman"/>
          <w:sz w:val="20"/>
          <w:szCs w:val="20"/>
        </w:rPr>
        <w:t xml:space="preserve"> See,</w:t>
      </w:r>
      <w:r w:rsidRPr="002260EE">
        <w:rPr>
          <w:rFonts w:cs="Times New Roman"/>
          <w:sz w:val="20"/>
          <w:szCs w:val="20"/>
        </w:rPr>
        <w:t xml:space="preserve"> </w:t>
      </w:r>
      <w:hyperlink r:id="rId23" w:history="1">
        <w:r w:rsidR="00C45FD9" w:rsidRPr="00347344">
          <w:rPr>
            <w:rStyle w:val="Hyperlink"/>
            <w:rFonts w:cs="Times New Roman"/>
            <w:color w:val="000000" w:themeColor="text1"/>
            <w:sz w:val="20"/>
            <w:szCs w:val="20"/>
            <w:u w:val="none"/>
          </w:rPr>
          <w:t>“# BCH-21071411-HE. The Children’s Medical Center Corporation</w:t>
        </w:r>
      </w:hyperlink>
      <w:r w:rsidR="00C45FD9" w:rsidRPr="00347344">
        <w:rPr>
          <w:rFonts w:cs="Times New Roman"/>
          <w:color w:val="000000" w:themeColor="text1"/>
          <w:sz w:val="20"/>
          <w:szCs w:val="20"/>
        </w:rPr>
        <w:t xml:space="preserve">.” </w:t>
      </w:r>
      <w:r w:rsidR="00C45FD9" w:rsidRPr="002260EE">
        <w:rPr>
          <w:rFonts w:cs="Times New Roman"/>
          <w:sz w:val="20"/>
          <w:szCs w:val="20"/>
        </w:rPr>
        <w:t xml:space="preserve">October 8, 2021. </w:t>
      </w:r>
      <w:hyperlink r:id="rId24" w:history="1">
        <w:r w:rsidR="00C45FD9" w:rsidRPr="002260EE">
          <w:rPr>
            <w:rStyle w:val="Hyperlink"/>
            <w:rFonts w:cs="Times New Roman"/>
            <w:color w:val="auto"/>
            <w:spacing w:val="-10"/>
            <w:sz w:val="20"/>
            <w:szCs w:val="20"/>
          </w:rPr>
          <w:t>https://www.mass.gov/doc/the-childrens-medical-center-corporation-hospitalclinic-substantial-capital-expenditure-responses/download</w:t>
        </w:r>
      </w:hyperlink>
      <w:r w:rsidR="00C45FD9" w:rsidRPr="002260EE">
        <w:rPr>
          <w:rFonts w:cs="Times New Roman"/>
          <w:spacing w:val="-10"/>
          <w:sz w:val="20"/>
          <w:szCs w:val="20"/>
        </w:rPr>
        <w:t>. (The Children’s Medical Center Corporation – Hospital/Clinic Substantial Capital Expenditure – Responses).</w:t>
      </w:r>
    </w:p>
  </w:footnote>
  <w:footnote w:id="37">
    <w:p w14:paraId="757F9597" w14:textId="2487D792" w:rsidR="00535662" w:rsidRPr="002260EE" w:rsidRDefault="00535662" w:rsidP="002260EE">
      <w:pPr>
        <w:numPr>
          <w:ilvl w:val="0"/>
          <w:numId w:val="0"/>
        </w:numPr>
        <w:spacing w:before="0" w:after="0" w:line="240" w:lineRule="auto"/>
        <w:contextualSpacing/>
        <w:rPr>
          <w:rFonts w:cs="Times New Roman"/>
          <w:sz w:val="20"/>
          <w:szCs w:val="20"/>
        </w:rPr>
      </w:pPr>
      <w:r w:rsidRPr="002260EE">
        <w:rPr>
          <w:rStyle w:val="FootnoteReference"/>
          <w:rFonts w:cs="Times New Roman"/>
          <w:sz w:val="20"/>
          <w:szCs w:val="20"/>
        </w:rPr>
        <w:footnoteRef/>
      </w:r>
      <w:r w:rsidRPr="002260EE">
        <w:rPr>
          <w:rFonts w:cs="Times New Roman"/>
          <w:sz w:val="20"/>
          <w:szCs w:val="20"/>
        </w:rPr>
        <w:t xml:space="preserve"> For example, </w:t>
      </w:r>
      <w:r w:rsidR="00640B89" w:rsidRPr="002260EE">
        <w:rPr>
          <w:rFonts w:cs="Times New Roman"/>
          <w:sz w:val="20"/>
          <w:szCs w:val="20"/>
        </w:rPr>
        <w:t>some</w:t>
      </w:r>
      <w:r w:rsidRPr="002260EE">
        <w:rPr>
          <w:rFonts w:cs="Times New Roman"/>
          <w:sz w:val="20"/>
          <w:szCs w:val="20"/>
        </w:rPr>
        <w:t xml:space="preserve"> agency screening </w:t>
      </w:r>
      <w:r w:rsidR="00640B89" w:rsidRPr="002260EE">
        <w:rPr>
          <w:rFonts w:cs="Times New Roman"/>
          <w:sz w:val="20"/>
          <w:szCs w:val="20"/>
        </w:rPr>
        <w:t>methods for</w:t>
      </w:r>
      <w:r w:rsidRPr="002260EE">
        <w:rPr>
          <w:rFonts w:cs="Times New Roman"/>
          <w:sz w:val="20"/>
          <w:szCs w:val="20"/>
        </w:rPr>
        <w:t xml:space="preserve"> healthcare and hospital transactions involve construction of PSAs for each of the parties to a transaction using discharge or visit data. There are different methodologies employed, yet the general concept </w:t>
      </w:r>
      <w:r w:rsidR="00640B89" w:rsidRPr="002260EE">
        <w:rPr>
          <w:rFonts w:cs="Times New Roman"/>
          <w:sz w:val="20"/>
          <w:szCs w:val="20"/>
        </w:rPr>
        <w:t>includes defining the</w:t>
      </w:r>
      <w:r w:rsidRPr="002260EE">
        <w:rPr>
          <w:rFonts w:cs="Times New Roman"/>
          <w:sz w:val="20"/>
          <w:szCs w:val="20"/>
        </w:rPr>
        <w:t xml:space="preserve"> scope of the PSA based on the patient population of the entity (using zip codes and counts of patients), and identification of alternative providers based on their provision of services to patients within that geographic scope. </w:t>
      </w:r>
      <w:r w:rsidR="00640B89" w:rsidRPr="002260EE">
        <w:rPr>
          <w:rFonts w:cs="Times New Roman"/>
          <w:sz w:val="20"/>
          <w:szCs w:val="20"/>
        </w:rPr>
        <w:t>S</w:t>
      </w:r>
      <w:r w:rsidRPr="002260EE">
        <w:rPr>
          <w:rFonts w:cs="Times New Roman"/>
          <w:sz w:val="20"/>
          <w:szCs w:val="20"/>
        </w:rPr>
        <w:t>ome providers may be physically located outside of the area, although their share</w:t>
      </w:r>
      <w:r w:rsidR="00640B89" w:rsidRPr="002260EE">
        <w:rPr>
          <w:rFonts w:cs="Times New Roman"/>
          <w:sz w:val="20"/>
          <w:szCs w:val="20"/>
        </w:rPr>
        <w:t>s typically</w:t>
      </w:r>
      <w:r w:rsidRPr="002260EE">
        <w:rPr>
          <w:rFonts w:cs="Times New Roman"/>
          <w:sz w:val="20"/>
          <w:szCs w:val="20"/>
        </w:rPr>
        <w:t xml:space="preserve"> will be based on patient volumes in the area. </w:t>
      </w:r>
      <w:r w:rsidR="00640B89" w:rsidRPr="002260EE">
        <w:rPr>
          <w:rFonts w:cs="Times New Roman"/>
          <w:sz w:val="20"/>
          <w:szCs w:val="20"/>
        </w:rPr>
        <w:t>PSAs are used for screening purposes and do not necessarily define antitrust markets</w:t>
      </w:r>
      <w:bookmarkStart w:id="72" w:name="_Hlk106627010"/>
      <w:r w:rsidR="00640B89" w:rsidRPr="002260EE">
        <w:rPr>
          <w:rFonts w:cs="Times New Roman"/>
          <w:sz w:val="20"/>
          <w:szCs w:val="20"/>
        </w:rPr>
        <w:t>. For more detail, see</w:t>
      </w:r>
      <w:r w:rsidR="00640B89" w:rsidRPr="00347344">
        <w:rPr>
          <w:rFonts w:cs="Times New Roman"/>
          <w:color w:val="000000" w:themeColor="text1"/>
          <w:sz w:val="20"/>
          <w:szCs w:val="20"/>
        </w:rPr>
        <w:t xml:space="preserve">, e.g., </w:t>
      </w:r>
      <w:hyperlink r:id="rId25" w:history="1">
        <w:r w:rsidR="00640B89" w:rsidRPr="00347344">
          <w:rPr>
            <w:rStyle w:val="Hyperlink"/>
            <w:rFonts w:cs="Times New Roman"/>
            <w:color w:val="000000" w:themeColor="text1"/>
            <w:sz w:val="20"/>
            <w:szCs w:val="20"/>
            <w:u w:val="none"/>
          </w:rPr>
          <w:t xml:space="preserve">U.S. </w:t>
        </w:r>
        <w:r w:rsidR="00051FAE" w:rsidRPr="00347344">
          <w:rPr>
            <w:rStyle w:val="Hyperlink"/>
            <w:rFonts w:cs="Times New Roman"/>
            <w:color w:val="000000" w:themeColor="text1"/>
            <w:sz w:val="20"/>
            <w:szCs w:val="20"/>
            <w:u w:val="none"/>
          </w:rPr>
          <w:t>Dept.</w:t>
        </w:r>
        <w:r w:rsidR="00640B89" w:rsidRPr="00347344">
          <w:rPr>
            <w:rStyle w:val="Hyperlink"/>
            <w:rFonts w:cs="Times New Roman"/>
            <w:color w:val="000000" w:themeColor="text1"/>
            <w:sz w:val="20"/>
            <w:szCs w:val="20"/>
            <w:u w:val="none"/>
          </w:rPr>
          <w:t xml:space="preserve"> of Justice &amp; Fed. Trade Comm’n Statements of Antitrust Enforcement Policy in Health Care</w:t>
        </w:r>
      </w:hyperlink>
      <w:r w:rsidR="00640B89" w:rsidRPr="00347344">
        <w:rPr>
          <w:rFonts w:cs="Times New Roman"/>
          <w:color w:val="000000" w:themeColor="text1"/>
          <w:sz w:val="20"/>
          <w:szCs w:val="20"/>
        </w:rPr>
        <w:t xml:space="preserve"> (1996</w:t>
      </w:r>
      <w:r w:rsidR="00640B89" w:rsidRPr="002260EE">
        <w:rPr>
          <w:rFonts w:cs="Times New Roman"/>
          <w:sz w:val="20"/>
          <w:szCs w:val="20"/>
        </w:rPr>
        <w:t xml:space="preserve">), </w:t>
      </w:r>
      <w:r w:rsidR="00640B89" w:rsidRPr="002260EE">
        <w:rPr>
          <w:rStyle w:val="Hyperlink"/>
          <w:rFonts w:cs="Times New Roman"/>
          <w:color w:val="auto"/>
          <w:sz w:val="20"/>
          <w:szCs w:val="20"/>
        </w:rPr>
        <w:t>http://www.justice.gov/atr/public/guidelines/0000.htm</w:t>
      </w:r>
      <w:r w:rsidR="00640B89" w:rsidRPr="002260EE">
        <w:rPr>
          <w:rFonts w:cs="Times New Roman"/>
          <w:sz w:val="20"/>
          <w:szCs w:val="20"/>
        </w:rPr>
        <w:t xml:space="preserve"> for a summary of methods, which have been used as part of its screening process of transactions. The methodology therein makes use of a Primary Service Area or PSA, which is defined using discharge data at the zip code level and constructing areas based on a proportion of a hospital’s total discharges. See, Final ACO Antitrust Policy Statement at 67028. Service areas may be defined using 75% or 90% of discharges. The Statement notes these areas are used for screening and are not necessarily antitrust markets</w:t>
      </w:r>
      <w:bookmarkEnd w:id="72"/>
      <w:r w:rsidR="00640B89" w:rsidRPr="002260EE">
        <w:rPr>
          <w:rFonts w:cs="Times New Roman"/>
          <w:sz w:val="20"/>
          <w:szCs w:val="20"/>
        </w:rPr>
        <w:t>.</w:t>
      </w:r>
    </w:p>
  </w:footnote>
  <w:footnote w:id="38">
    <w:p w14:paraId="59676D36" w14:textId="77777777" w:rsidR="00963F0B" w:rsidRPr="002260EE" w:rsidRDefault="00963F0B"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See CMCC DoN Application.</w:t>
      </w:r>
    </w:p>
  </w:footnote>
  <w:footnote w:id="39">
    <w:p w14:paraId="6FD5A1FB" w14:textId="2C789417" w:rsidR="00963F0B" w:rsidRPr="002260EE" w:rsidRDefault="00963F0B"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hyperlink r:id="rId26" w:history="1">
        <w:r w:rsidRPr="00A824BE">
          <w:rPr>
            <w:rStyle w:val="Hyperlink"/>
            <w:rFonts w:cs="Times New Roman"/>
            <w:color w:val="000000" w:themeColor="text1"/>
            <w:u w:val="none"/>
          </w:rPr>
          <w:t>The</w:t>
        </w:r>
        <w:r w:rsidRPr="00A824BE">
          <w:rPr>
            <w:rStyle w:val="Hyperlink"/>
            <w:rFonts w:cs="Times New Roman"/>
            <w:color w:val="000000" w:themeColor="text1"/>
            <w:spacing w:val="-4"/>
            <w:u w:val="none"/>
          </w:rPr>
          <w:t xml:space="preserve"> </w:t>
        </w:r>
        <w:r w:rsidRPr="00A824BE">
          <w:rPr>
            <w:rStyle w:val="Hyperlink"/>
            <w:rFonts w:cs="Times New Roman"/>
            <w:color w:val="000000" w:themeColor="text1"/>
            <w:u w:val="none"/>
          </w:rPr>
          <w:t>Children’s</w:t>
        </w:r>
        <w:r w:rsidRPr="00A824BE">
          <w:rPr>
            <w:rStyle w:val="Hyperlink"/>
            <w:rFonts w:cs="Times New Roman"/>
            <w:color w:val="000000" w:themeColor="text1"/>
            <w:spacing w:val="-2"/>
            <w:u w:val="none"/>
          </w:rPr>
          <w:t xml:space="preserve"> </w:t>
        </w:r>
        <w:r w:rsidRPr="00A824BE">
          <w:rPr>
            <w:rStyle w:val="Hyperlink"/>
            <w:rFonts w:cs="Times New Roman"/>
            <w:color w:val="000000" w:themeColor="text1"/>
            <w:u w:val="none"/>
          </w:rPr>
          <w:t>Medical</w:t>
        </w:r>
        <w:r w:rsidRPr="00A824BE">
          <w:rPr>
            <w:rStyle w:val="Hyperlink"/>
            <w:rFonts w:cs="Times New Roman"/>
            <w:color w:val="000000" w:themeColor="text1"/>
            <w:spacing w:val="-3"/>
            <w:u w:val="none"/>
          </w:rPr>
          <w:t xml:space="preserve"> </w:t>
        </w:r>
        <w:r w:rsidRPr="00A824BE">
          <w:rPr>
            <w:rStyle w:val="Hyperlink"/>
            <w:rFonts w:cs="Times New Roman"/>
            <w:color w:val="000000" w:themeColor="text1"/>
            <w:u w:val="none"/>
          </w:rPr>
          <w:t>Center</w:t>
        </w:r>
        <w:r w:rsidRPr="00A824BE">
          <w:rPr>
            <w:rStyle w:val="Hyperlink"/>
            <w:rFonts w:cs="Times New Roman"/>
            <w:color w:val="000000" w:themeColor="text1"/>
            <w:spacing w:val="-3"/>
            <w:u w:val="none"/>
          </w:rPr>
          <w:t xml:space="preserve"> </w:t>
        </w:r>
        <w:r w:rsidRPr="00A824BE">
          <w:rPr>
            <w:rStyle w:val="Hyperlink"/>
            <w:rFonts w:cs="Times New Roman"/>
            <w:color w:val="000000" w:themeColor="text1"/>
            <w:u w:val="none"/>
          </w:rPr>
          <w:t>Corporation</w:t>
        </w:r>
        <w:r w:rsidRPr="00A824BE">
          <w:rPr>
            <w:rStyle w:val="Hyperlink"/>
            <w:rFonts w:cs="Times New Roman"/>
            <w:color w:val="000000" w:themeColor="text1"/>
            <w:spacing w:val="-57"/>
            <w:u w:val="none"/>
          </w:rPr>
          <w:t xml:space="preserve"> </w:t>
        </w:r>
        <w:r w:rsidRPr="00A824BE">
          <w:rPr>
            <w:rStyle w:val="Hyperlink"/>
            <w:rFonts w:cs="Times New Roman"/>
            <w:color w:val="000000" w:themeColor="text1"/>
            <w:u w:val="none"/>
          </w:rPr>
          <w:t>DoN Application No. BCH-20171411-HE” Responses to DoN Questions</w:t>
        </w:r>
      </w:hyperlink>
      <w:r w:rsidRPr="002260EE">
        <w:rPr>
          <w:rFonts w:cs="Times New Roman"/>
        </w:rPr>
        <w:t xml:space="preserve">; submitted October 8, 2021 (hereafter, “CMCC Responses”). See “Responses to DoN questions” at </w:t>
      </w:r>
      <w:hyperlink r:id="rId27" w:history="1">
        <w:r w:rsidRPr="002260EE">
          <w:rPr>
            <w:rStyle w:val="Hyperlink"/>
            <w:rFonts w:cs="Times New Roman"/>
            <w:color w:val="auto"/>
          </w:rPr>
          <w:t>https://www.mass.gov/lists/the-childrens-medical-center-corporation-hospitalclinic-substantial-capital-expenditure</w:t>
        </w:r>
      </w:hyperlink>
      <w:r w:rsidR="004A4C05" w:rsidRPr="002260EE">
        <w:rPr>
          <w:rFonts w:cs="Times New Roman"/>
        </w:rPr>
        <w:t xml:space="preserve"> a</w:t>
      </w:r>
      <w:r w:rsidR="00C45FD9" w:rsidRPr="002260EE">
        <w:rPr>
          <w:rFonts w:cs="Times New Roman"/>
        </w:rPr>
        <w:t>nd see, "</w:t>
      </w:r>
      <w:hyperlink r:id="rId28" w:history="1">
        <w:r w:rsidR="00C45FD9" w:rsidRPr="00A824BE">
          <w:rPr>
            <w:rStyle w:val="Hyperlink"/>
            <w:rFonts w:cs="Times New Roman"/>
            <w:color w:val="000000" w:themeColor="text1"/>
            <w:u w:val="none"/>
          </w:rPr>
          <w:t>The Children’s Medical Center Corporation – Multisite, # BCH-21071411-HE Application</w:t>
        </w:r>
      </w:hyperlink>
      <w:r w:rsidR="00C45FD9" w:rsidRPr="00A824BE">
        <w:rPr>
          <w:rFonts w:cs="Times New Roman"/>
          <w:color w:val="000000" w:themeColor="text1"/>
        </w:rPr>
        <w:t xml:space="preserve">." </w:t>
      </w:r>
      <w:r w:rsidR="00C45FD9" w:rsidRPr="002260EE">
        <w:rPr>
          <w:rFonts w:cs="Times New Roman"/>
        </w:rPr>
        <w:t xml:space="preserve">Draft, April 4, 2022. </w:t>
      </w:r>
      <w:hyperlink r:id="rId29" w:history="1">
        <w:r w:rsidR="00C45FD9" w:rsidRPr="002260EE">
          <w:rPr>
            <w:rStyle w:val="Hyperlink"/>
            <w:rFonts w:cs="Times New Roman"/>
            <w:color w:val="auto"/>
          </w:rPr>
          <w:t>https://www.mass.gov/doc/the-childrens-medical-center-corporation-hospitalclinic-substantial-capital-expenditure-responses-ii/download</w:t>
        </w:r>
      </w:hyperlink>
      <w:r w:rsidR="00385576" w:rsidRPr="002260EE">
        <w:rPr>
          <w:rFonts w:cs="Times New Roman"/>
        </w:rPr>
        <w:t>.</w:t>
      </w:r>
    </w:p>
  </w:footnote>
  <w:footnote w:id="40">
    <w:p w14:paraId="71B41391" w14:textId="0BED41D3" w:rsidR="00963F0B" w:rsidRPr="002260EE" w:rsidRDefault="00963F0B"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hyperlink r:id="rId30" w:history="1">
        <w:r w:rsidRPr="002260EE">
          <w:rPr>
            <w:rStyle w:val="Hyperlink"/>
            <w:rFonts w:cs="Times New Roman"/>
            <w:color w:val="auto"/>
          </w:rPr>
          <w:t>https://matracking.ehs.state.ma.us/eohhs_regions/eohhs_regions.html</w:t>
        </w:r>
      </w:hyperlink>
      <w:r w:rsidR="00385576" w:rsidRPr="002260EE">
        <w:rPr>
          <w:rFonts w:cs="Times New Roman"/>
        </w:rPr>
        <w:t>.</w:t>
      </w:r>
      <w:r w:rsidRPr="002260EE">
        <w:rPr>
          <w:rFonts w:cs="Times New Roman"/>
        </w:rPr>
        <w:t xml:space="preserve"> </w:t>
      </w:r>
      <w:r w:rsidR="00EF4DD3" w:rsidRPr="002260EE">
        <w:rPr>
          <w:rFonts w:cs="Times New Roman"/>
        </w:rPr>
        <w:t xml:space="preserve">FTI considered these service areas and the </w:t>
      </w:r>
      <w:r w:rsidR="00EF4DD3" w:rsidRPr="002260EE">
        <w:rPr>
          <w:rFonts w:cs="Times New Roman"/>
          <w:spacing w:val="-10"/>
        </w:rPr>
        <w:t>information provided for other areas by BCH and found these were consistent with those reached by FTI using the PSA analyses.</w:t>
      </w:r>
      <w:r w:rsidR="00EF4DD3" w:rsidRPr="002260EE">
        <w:rPr>
          <w:rFonts w:cs="Times New Roman"/>
        </w:rPr>
        <w:t xml:space="preserve">  </w:t>
      </w:r>
    </w:p>
  </w:footnote>
  <w:footnote w:id="41">
    <w:p w14:paraId="3A9AC9C7" w14:textId="5DCDCB58" w:rsidR="00535662" w:rsidRPr="002260EE" w:rsidRDefault="00535662"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Note that this map includes locations for use in the analyses of services, such as ASC and MRI, using the CHIA data, and does not include the physician office locations or some pediatric clinics or centers that do not provide ASC or MRI services or are designated as physician offices. The</w:t>
      </w:r>
      <w:r w:rsidR="00C0106C" w:rsidRPr="002260EE">
        <w:rPr>
          <w:rFonts w:cs="Times New Roman"/>
        </w:rPr>
        <w:t xml:space="preserve"> </w:t>
      </w:r>
      <w:r w:rsidRPr="002260EE">
        <w:rPr>
          <w:rFonts w:cs="Times New Roman"/>
        </w:rPr>
        <w:t xml:space="preserve">locations are depicted for each of the 6 health systems with children’s hospitals </w:t>
      </w:r>
      <w:r w:rsidR="00C0106C" w:rsidRPr="002260EE">
        <w:rPr>
          <w:rFonts w:cs="Times New Roman"/>
        </w:rPr>
        <w:t xml:space="preserve">are based on independent research on these health systems and their facilities described in </w:t>
      </w:r>
      <w:r w:rsidR="00CF1796" w:rsidRPr="002260EE">
        <w:rPr>
          <w:rFonts w:cs="Times New Roman"/>
        </w:rPr>
        <w:t xml:space="preserve">the </w:t>
      </w:r>
      <w:r w:rsidR="00C0106C" w:rsidRPr="002260EE">
        <w:rPr>
          <w:rFonts w:cs="Times New Roman"/>
        </w:rPr>
        <w:t>Appendix</w:t>
      </w:r>
      <w:r w:rsidRPr="002260EE">
        <w:rPr>
          <w:rFonts w:cs="Times New Roman"/>
        </w:rPr>
        <w:t xml:space="preserve">. </w:t>
      </w:r>
      <w:r w:rsidR="00B222B5" w:rsidRPr="00B222B5">
        <w:rPr>
          <w:rFonts w:cs="Times New Roman"/>
        </w:rPr>
        <w:t>Larger maps are in Appendix.</w:t>
      </w:r>
    </w:p>
  </w:footnote>
  <w:footnote w:id="42">
    <w:p w14:paraId="4F091576" w14:textId="7A6E0909" w:rsidR="008A5E2B" w:rsidRPr="002260EE" w:rsidRDefault="008A5E2B"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r w:rsidR="007D6C06" w:rsidRPr="002260EE">
        <w:rPr>
          <w:rFonts w:cs="Times New Roman"/>
        </w:rPr>
        <w:t>Analyses</w:t>
      </w:r>
      <w:r w:rsidRPr="002260EE">
        <w:rPr>
          <w:rFonts w:cs="Times New Roman"/>
        </w:rPr>
        <w:t xml:space="preserve"> of each of the services (e.g., MRI) included use of data on these and all other alternative providers for the specific service. These are reported on tables as “Other;” and not reported separately</w:t>
      </w:r>
      <w:r w:rsidR="007D6C06" w:rsidRPr="002260EE">
        <w:rPr>
          <w:rFonts w:cs="Times New Roman"/>
        </w:rPr>
        <w:t xml:space="preserve"> - the</w:t>
      </w:r>
      <w:r w:rsidRPr="002260EE">
        <w:rPr>
          <w:rFonts w:cs="Times New Roman"/>
        </w:rPr>
        <w:t xml:space="preserve"> vast majority of these other providers have low volumes of the relevant service and less than one percent share.</w:t>
      </w:r>
    </w:p>
  </w:footnote>
  <w:footnote w:id="43">
    <w:p w14:paraId="11706CC5" w14:textId="412F953D" w:rsidR="00EF4DD3" w:rsidRPr="002260EE" w:rsidRDefault="00EF4DD3" w:rsidP="002260EE">
      <w:pPr>
        <w:numPr>
          <w:ilvl w:val="0"/>
          <w:numId w:val="0"/>
        </w:numPr>
        <w:spacing w:before="0" w:after="0" w:line="240" w:lineRule="auto"/>
        <w:contextualSpacing/>
        <w:rPr>
          <w:rFonts w:cs="Times New Roman"/>
          <w:sz w:val="20"/>
          <w:szCs w:val="20"/>
        </w:rPr>
      </w:pPr>
      <w:r w:rsidRPr="002260EE">
        <w:rPr>
          <w:rStyle w:val="FootnoteReference"/>
          <w:rFonts w:cs="Times New Roman"/>
          <w:sz w:val="20"/>
          <w:szCs w:val="20"/>
        </w:rPr>
        <w:footnoteRef/>
      </w:r>
      <w:r w:rsidRPr="002260EE">
        <w:rPr>
          <w:rFonts w:cs="Times New Roman"/>
          <w:sz w:val="20"/>
          <w:szCs w:val="20"/>
        </w:rPr>
        <w:t xml:space="preserve"> Market share analyses will include all such facilities, including those physically located in the area, as well as providers other than the specific health systems with children’s hospitals or specialized pediatric departments. See, e.g., </w:t>
      </w:r>
      <w:r w:rsidRPr="002260EE">
        <w:rPr>
          <w:rFonts w:cs="Times New Roman"/>
          <w:sz w:val="20"/>
          <w:szCs w:val="20"/>
          <w:lang w:val="en-IE"/>
        </w:rPr>
        <w:t xml:space="preserve">American Bar Association, Section of Antitrust Law, “Health Care Mergers and Acquisitions Handbook, Second Edition,” </w:t>
      </w:r>
      <w:r w:rsidRPr="002260EE">
        <w:rPr>
          <w:rFonts w:cs="Times New Roman"/>
          <w:i/>
          <w:iCs/>
          <w:sz w:val="20"/>
          <w:szCs w:val="20"/>
          <w:lang w:val="en-IE"/>
        </w:rPr>
        <w:t>American Bar Association</w:t>
      </w:r>
      <w:r w:rsidRPr="002260EE">
        <w:rPr>
          <w:rFonts w:cs="Times New Roman"/>
          <w:sz w:val="20"/>
          <w:szCs w:val="20"/>
          <w:lang w:val="en-IE"/>
        </w:rPr>
        <w:t xml:space="preserve"> (2018) and </w:t>
      </w:r>
      <w:r w:rsidRPr="002260EE">
        <w:rPr>
          <w:rFonts w:cs="Times New Roman"/>
          <w:sz w:val="20"/>
          <w:szCs w:val="20"/>
        </w:rPr>
        <w:t xml:space="preserve">approaches for defining the relevant geographic aspects for market definition to include locations of providers. </w:t>
      </w:r>
    </w:p>
  </w:footnote>
  <w:footnote w:id="44">
    <w:p w14:paraId="0515D975" w14:textId="43657F32" w:rsidR="00E037E7" w:rsidRPr="002260EE" w:rsidRDefault="00E037E7" w:rsidP="002260EE">
      <w:pPr>
        <w:numPr>
          <w:ilvl w:val="0"/>
          <w:numId w:val="0"/>
        </w:numPr>
        <w:spacing w:before="0" w:after="0" w:line="240" w:lineRule="auto"/>
        <w:contextualSpacing/>
        <w:rPr>
          <w:rFonts w:cs="Times New Roman"/>
          <w:sz w:val="20"/>
          <w:szCs w:val="20"/>
        </w:rPr>
      </w:pPr>
      <w:r w:rsidRPr="002260EE">
        <w:rPr>
          <w:rStyle w:val="FootnoteReference"/>
          <w:rFonts w:cs="Times New Roman"/>
          <w:sz w:val="20"/>
          <w:szCs w:val="20"/>
        </w:rPr>
        <w:footnoteRef/>
      </w:r>
      <w:r w:rsidRPr="002260EE">
        <w:rPr>
          <w:rFonts w:cs="Times New Roman"/>
          <w:sz w:val="20"/>
          <w:szCs w:val="20"/>
        </w:rPr>
        <w:t xml:space="preserve"> </w:t>
      </w:r>
      <w:r w:rsidRPr="002260EE">
        <w:rPr>
          <w:rStyle w:val="Hyperlink"/>
          <w:rFonts w:cs="Times New Roman"/>
          <w:color w:val="auto"/>
          <w:sz w:val="20"/>
          <w:szCs w:val="20"/>
          <w:u w:val="none"/>
        </w:rPr>
        <w:t xml:space="preserve">Tables 2 and 3 of the April 4, 2022 Response provides statistics from BCH data on patients for relevant services at Weymouth and Waltham. See, </w:t>
      </w:r>
      <w:r w:rsidRPr="002260EE">
        <w:rPr>
          <w:rFonts w:cs="Times New Roman"/>
          <w:sz w:val="20"/>
          <w:szCs w:val="20"/>
        </w:rPr>
        <w:t xml:space="preserve">"The Children’s Medical Center Corporation – Multisite, # BCH-21071411-HE Application." Draft, April 4, 2022. </w:t>
      </w:r>
      <w:hyperlink r:id="rId31" w:history="1">
        <w:r w:rsidRPr="002260EE">
          <w:rPr>
            <w:rStyle w:val="Hyperlink"/>
            <w:rFonts w:cs="Times New Roman"/>
            <w:color w:val="auto"/>
            <w:sz w:val="20"/>
            <w:szCs w:val="20"/>
          </w:rPr>
          <w:t>https://www.mass.gov/doc/the-childrens-medical-center-corporation-hospitalclinic-substantial-capital-expenditure-responses-ii/download</w:t>
        </w:r>
      </w:hyperlink>
      <w:r w:rsidRPr="002260EE">
        <w:rPr>
          <w:rStyle w:val="Hyperlink"/>
          <w:rFonts w:cs="Times New Roman"/>
          <w:color w:val="auto"/>
          <w:sz w:val="20"/>
          <w:szCs w:val="20"/>
          <w:u w:val="none"/>
        </w:rPr>
        <w:t>. FTI has evaluated these and compared them with the FTI service areas and utilization volumes in the estimated service areas and finds they are consistent in scope and relative levels, although actual estimates vary due to the data issues with the CHIA data set out above and the differences in methodology for defining service areas for the ICA report.</w:t>
      </w:r>
    </w:p>
  </w:footnote>
  <w:footnote w:id="45">
    <w:p w14:paraId="0D275822" w14:textId="7134C9F0" w:rsidR="00535662" w:rsidRPr="002260EE" w:rsidRDefault="00535662"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This area is generally inclusive of HSA 4 (Metro West) and 6 (Boston)</w:t>
      </w:r>
      <w:r w:rsidR="00E765D8" w:rsidRPr="002260EE">
        <w:rPr>
          <w:rFonts w:cs="Times New Roman"/>
        </w:rPr>
        <w:t xml:space="preserve"> and some of HSA 3 (Northeast).</w:t>
      </w:r>
    </w:p>
  </w:footnote>
  <w:footnote w:id="46">
    <w:p w14:paraId="41DADD5D" w14:textId="605A56D6" w:rsidR="00083FF7" w:rsidRPr="002260EE" w:rsidRDefault="00083FF7"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Weymouth service areas for ASC and imaging services were newly defined using the methodology for new facilities or services described above.</w:t>
      </w:r>
    </w:p>
  </w:footnote>
  <w:footnote w:id="47">
    <w:p w14:paraId="642A3F0E" w14:textId="2079A928" w:rsidR="007C2FA5" w:rsidRPr="002260EE" w:rsidRDefault="007C2FA5"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BCH’s </w:t>
      </w:r>
      <w:r w:rsidR="009444D9" w:rsidRPr="002260EE">
        <w:rPr>
          <w:rFonts w:cs="Times New Roman"/>
        </w:rPr>
        <w:t>Application Narrative</w:t>
      </w:r>
      <w:r w:rsidRPr="002260EE">
        <w:rPr>
          <w:rFonts w:cs="Times New Roman"/>
        </w:rPr>
        <w:t xml:space="preserve"> provided information on its patient population in </w:t>
      </w:r>
      <w:r w:rsidR="00BD215C" w:rsidRPr="002260EE">
        <w:rPr>
          <w:rFonts w:cs="Times New Roman"/>
        </w:rPr>
        <w:t xml:space="preserve">its </w:t>
      </w:r>
      <w:r w:rsidRPr="002260EE">
        <w:rPr>
          <w:rFonts w:cs="Times New Roman"/>
        </w:rPr>
        <w:t xml:space="preserve">Table 1. According to BCH’s data, in fiscal year 2019, approximately 60.4% of patients were white, non-Hispanic; 10.2% were Black, non-Hispanic, 4.2% were Asian, non-Hispanic. While White and Black proportions are similar to FTI </w:t>
      </w:r>
      <w:r w:rsidR="009444D9" w:rsidRPr="002260EE">
        <w:rPr>
          <w:rFonts w:cs="Times New Roman"/>
        </w:rPr>
        <w:t xml:space="preserve">estimates developed from </w:t>
      </w:r>
      <w:r w:rsidRPr="002260EE">
        <w:rPr>
          <w:rFonts w:cs="Times New Roman"/>
        </w:rPr>
        <w:t xml:space="preserve">Census based on the </w:t>
      </w:r>
      <w:r w:rsidR="009444D9" w:rsidRPr="002260EE">
        <w:rPr>
          <w:rFonts w:cs="Times New Roman"/>
        </w:rPr>
        <w:t xml:space="preserve">combined </w:t>
      </w:r>
      <w:r w:rsidRPr="002260EE">
        <w:rPr>
          <w:rFonts w:cs="Times New Roman"/>
        </w:rPr>
        <w:t xml:space="preserve">service area, BCH’s patient population also seems to have disproportionately fewer Asian patients than the </w:t>
      </w:r>
      <w:r w:rsidR="009444D9" w:rsidRPr="002260EE">
        <w:rPr>
          <w:rFonts w:cs="Times New Roman"/>
        </w:rPr>
        <w:t xml:space="preserve">population in the </w:t>
      </w:r>
      <w:r w:rsidRPr="002260EE">
        <w:rPr>
          <w:rFonts w:cs="Times New Roman"/>
        </w:rPr>
        <w:t>service area.</w:t>
      </w:r>
    </w:p>
  </w:footnote>
  <w:footnote w:id="48">
    <w:p w14:paraId="10DF1E5E" w14:textId="06974CE7" w:rsidR="00A5584E" w:rsidRPr="002260EE" w:rsidRDefault="00A5584E"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While the share analysis accounts for all providers offering the relevant service in a specific area in the share calculation (including as “all other”), the share analysis expressly calculates and shows the share of health systems with children’s </w:t>
      </w:r>
      <w:r w:rsidR="00B82A65" w:rsidRPr="002260EE">
        <w:rPr>
          <w:rFonts w:cs="Times New Roman"/>
        </w:rPr>
        <w:t xml:space="preserve">services </w:t>
      </w:r>
      <w:r w:rsidRPr="002260EE">
        <w:rPr>
          <w:rFonts w:cs="Times New Roman"/>
        </w:rPr>
        <w:t xml:space="preserve">defined in Section III above. The shares for UMASS for example, will include any outpatient visits in the specific service line provided at any UMASS facility, although a larger proportion may be at the dedicated facility’s outpatient. </w:t>
      </w:r>
      <w:r w:rsidR="00B82A65" w:rsidRPr="002260EE">
        <w:rPr>
          <w:rFonts w:cs="Times New Roman"/>
        </w:rPr>
        <w:t xml:space="preserve">The “all-Other” category includes each other provider, whether community hospital or outpatient facility. </w:t>
      </w:r>
      <w:r w:rsidRPr="002260EE">
        <w:rPr>
          <w:rFonts w:cs="Times New Roman"/>
        </w:rPr>
        <w:t xml:space="preserve">As noted in the overview section, for convenience, these three BCH facilities are designated as “new” because one (Needham) is a new facility; Weymouth is a facility to be re-located and with new MRI capacity; and Waltham is to be expanded with some new services. </w:t>
      </w:r>
    </w:p>
  </w:footnote>
  <w:footnote w:id="49">
    <w:p w14:paraId="5591CFC1" w14:textId="1D368868" w:rsidR="002D6FBB" w:rsidRPr="002260EE" w:rsidRDefault="002D6FBB" w:rsidP="002260EE">
      <w:pPr>
        <w:numPr>
          <w:ilvl w:val="0"/>
          <w:numId w:val="0"/>
        </w:numPr>
        <w:spacing w:before="0" w:after="0" w:line="240" w:lineRule="auto"/>
        <w:contextualSpacing/>
        <w:rPr>
          <w:rFonts w:cs="Times New Roman"/>
          <w:sz w:val="20"/>
          <w:szCs w:val="20"/>
        </w:rPr>
      </w:pPr>
      <w:r w:rsidRPr="002260EE">
        <w:rPr>
          <w:rStyle w:val="FootnoteReference"/>
          <w:rFonts w:cs="Times New Roman"/>
          <w:sz w:val="20"/>
          <w:szCs w:val="20"/>
        </w:rPr>
        <w:footnoteRef/>
      </w:r>
      <w:r w:rsidRPr="002260EE">
        <w:rPr>
          <w:rFonts w:cs="Times New Roman"/>
          <w:sz w:val="20"/>
          <w:szCs w:val="20"/>
        </w:rPr>
        <w:t xml:space="preserve"> We note that the academic literature uses similar standards or time frames/travel distance for convenience (note these are more </w:t>
      </w:r>
      <w:r w:rsidR="00230A52" w:rsidRPr="002260EE">
        <w:rPr>
          <w:rFonts w:cs="Times New Roman"/>
          <w:sz w:val="20"/>
          <w:szCs w:val="20"/>
        </w:rPr>
        <w:t xml:space="preserve">customarily applied to </w:t>
      </w:r>
      <w:r w:rsidRPr="002260EE">
        <w:rPr>
          <w:rFonts w:cs="Times New Roman"/>
          <w:sz w:val="20"/>
          <w:szCs w:val="20"/>
        </w:rPr>
        <w:t>inpatient</w:t>
      </w:r>
      <w:r w:rsidR="00230A52" w:rsidRPr="002260EE">
        <w:rPr>
          <w:rFonts w:cs="Times New Roman"/>
          <w:sz w:val="20"/>
          <w:szCs w:val="20"/>
        </w:rPr>
        <w:t xml:space="preserve"> claims</w:t>
      </w:r>
      <w:r w:rsidRPr="002260EE">
        <w:rPr>
          <w:rFonts w:cs="Times New Roman"/>
          <w:sz w:val="20"/>
          <w:szCs w:val="20"/>
        </w:rPr>
        <w:t>)</w:t>
      </w:r>
      <w:r w:rsidR="00230A52" w:rsidRPr="002260EE">
        <w:rPr>
          <w:rFonts w:cs="Times New Roman"/>
          <w:sz w:val="20"/>
          <w:szCs w:val="20"/>
        </w:rPr>
        <w:t>.</w:t>
      </w:r>
      <w:r w:rsidRPr="002260EE">
        <w:rPr>
          <w:rFonts w:cs="Times New Roman"/>
          <w:sz w:val="20"/>
          <w:szCs w:val="20"/>
        </w:rPr>
        <w:t xml:space="preserve"> </w:t>
      </w:r>
    </w:p>
    <w:p w14:paraId="55DC077D" w14:textId="3B0AF1FB" w:rsidR="002D6FBB" w:rsidRPr="002260EE" w:rsidRDefault="003171FA" w:rsidP="002260EE">
      <w:pPr>
        <w:numPr>
          <w:ilvl w:val="0"/>
          <w:numId w:val="0"/>
        </w:numPr>
        <w:spacing w:before="0" w:after="0" w:line="240" w:lineRule="auto"/>
        <w:contextualSpacing/>
        <w:rPr>
          <w:rFonts w:cs="Times New Roman"/>
          <w:spacing w:val="-4"/>
          <w:sz w:val="20"/>
          <w:szCs w:val="20"/>
        </w:rPr>
      </w:pPr>
      <w:hyperlink r:id="rId32" w:history="1">
        <w:r w:rsidR="002D6FBB" w:rsidRPr="002260EE">
          <w:rPr>
            <w:rStyle w:val="Hyperlink"/>
            <w:rFonts w:cs="Times New Roman"/>
            <w:color w:val="auto"/>
            <w:spacing w:val="-4"/>
            <w:sz w:val="20"/>
            <w:szCs w:val="20"/>
          </w:rPr>
          <w:t>https://publications.aap.org/pediatrics/article/146/5/e20201724/75358/Pediatric-Hospital-Services-Within-a-OneHour?searchresult=1&amp;utm_source=TrendMD&amp;utm_medium=TrendMD&amp;utm_campaign=Pediatrics_TrendMD_0</w:t>
        </w:r>
      </w:hyperlink>
      <w:r w:rsidR="00385576" w:rsidRPr="002260EE">
        <w:rPr>
          <w:rFonts w:cs="Times New Roman"/>
          <w:spacing w:val="-4"/>
          <w:sz w:val="20"/>
          <w:szCs w:val="20"/>
        </w:rPr>
        <w:t>.</w:t>
      </w:r>
    </w:p>
  </w:footnote>
  <w:footnote w:id="50">
    <w:p w14:paraId="6EA8852C" w14:textId="7330EB05" w:rsidR="009444D9" w:rsidRPr="002260EE" w:rsidRDefault="009444D9" w:rsidP="002260EE">
      <w:pPr>
        <w:pStyle w:val="FootnoteText"/>
        <w:spacing w:before="0"/>
        <w:rPr>
          <w:rFonts w:cs="Times New Roman"/>
        </w:rPr>
      </w:pPr>
      <w:r w:rsidRPr="002260EE">
        <w:rPr>
          <w:rStyle w:val="FootnoteReference"/>
          <w:rFonts w:cs="Times New Roman"/>
        </w:rPr>
        <w:footnoteRef/>
      </w:r>
      <w:r w:rsidRPr="002260EE">
        <w:rPr>
          <w:rFonts w:cs="Times New Roman"/>
        </w:rPr>
        <w:t xml:space="preserve"> The largest individual provider </w:t>
      </w:r>
      <w:r w:rsidR="00A30D6A" w:rsidRPr="002260EE">
        <w:rPr>
          <w:rFonts w:cs="Times New Roman"/>
        </w:rPr>
        <w:t xml:space="preserve">in the Other category </w:t>
      </w:r>
      <w:r w:rsidRPr="002260EE">
        <w:rPr>
          <w:rFonts w:cs="Times New Roman"/>
        </w:rPr>
        <w:t xml:space="preserve">has less than 3% share - South Shore </w:t>
      </w:r>
      <w:r w:rsidR="00A30D6A" w:rsidRPr="002260EE">
        <w:rPr>
          <w:rFonts w:cs="Times New Roman"/>
        </w:rPr>
        <w:t>Health, and other individual providers have low share</w:t>
      </w:r>
      <w:r w:rsidR="008C2968">
        <w:rPr>
          <w:rFonts w:cs="Times New Roman"/>
        </w:rPr>
        <w:t xml:space="preserve"> and volumes</w:t>
      </w:r>
      <w:r w:rsidR="00A30D6A" w:rsidRPr="002260EE">
        <w:rPr>
          <w:rFonts w:cs="Times New Roman"/>
        </w:rPr>
        <w:t xml:space="preserve">. </w:t>
      </w:r>
      <w:r w:rsidR="008C2968">
        <w:rPr>
          <w:rFonts w:cs="Times New Roman"/>
        </w:rPr>
        <w:t>We</w:t>
      </w:r>
      <w:r w:rsidR="00A30D6A" w:rsidRPr="002260EE">
        <w:rPr>
          <w:rFonts w:cs="Times New Roman"/>
        </w:rPr>
        <w:t xml:space="preserve"> note that several locations in the CHIA data with separate NPIs and locations that appear to be associated or affiliated with the </w:t>
      </w:r>
      <w:r w:rsidRPr="002260EE">
        <w:rPr>
          <w:rFonts w:cs="Times New Roman"/>
        </w:rPr>
        <w:t xml:space="preserve">Shields Healthcare Group. </w:t>
      </w:r>
      <w:r w:rsidR="00A30D6A" w:rsidRPr="002260EE">
        <w:rPr>
          <w:rFonts w:cs="Times New Roman"/>
        </w:rPr>
        <w:t>Based on the available information these are located across the state including in the service area.  As detailed elsewhere, providers in the Other category are included in the economic analyses of diversion and alternatives</w:t>
      </w:r>
      <w:r w:rsidR="00657A7D" w:rsidRPr="002260EE">
        <w:rPr>
          <w:rFonts w:cs="Times New Roman"/>
        </w:rPr>
        <w:t xml:space="preserve">, and in share calculations for purposes of concentration (HHI) calculations. </w:t>
      </w:r>
    </w:p>
  </w:footnote>
  <w:footnote w:id="51">
    <w:p w14:paraId="361A20E5" w14:textId="7AE1C201" w:rsidR="00C4580F" w:rsidRPr="002260EE" w:rsidRDefault="00C4580F" w:rsidP="002260EE">
      <w:pPr>
        <w:pStyle w:val="FootnoteText"/>
        <w:spacing w:before="0"/>
        <w:rPr>
          <w:rFonts w:cs="Times New Roman"/>
        </w:rPr>
      </w:pPr>
      <w:r w:rsidRPr="002260EE">
        <w:rPr>
          <w:rStyle w:val="FootnoteReference"/>
          <w:rFonts w:cs="Times New Roman"/>
        </w:rPr>
        <w:footnoteRef/>
      </w:r>
      <w:r w:rsidRPr="002260EE">
        <w:rPr>
          <w:rFonts w:cs="Times New Roman"/>
        </w:rPr>
        <w:t xml:space="preserve"> </w:t>
      </w:r>
      <w:r w:rsidR="00621402" w:rsidRPr="002260EE">
        <w:rPr>
          <w:rFonts w:cs="Times New Roman"/>
        </w:rPr>
        <w:t>There are over</w:t>
      </w:r>
      <w:r w:rsidRPr="002260EE">
        <w:rPr>
          <w:rFonts w:cs="Times New Roman"/>
        </w:rPr>
        <w:t xml:space="preserve"> 5,000 </w:t>
      </w:r>
      <w:r w:rsidR="00621402" w:rsidRPr="002260EE">
        <w:rPr>
          <w:rFonts w:cs="Times New Roman"/>
        </w:rPr>
        <w:t xml:space="preserve">individual </w:t>
      </w:r>
      <w:r w:rsidRPr="002260EE">
        <w:rPr>
          <w:rFonts w:cs="Times New Roman"/>
        </w:rPr>
        <w:t xml:space="preserve">providers </w:t>
      </w:r>
      <w:r w:rsidR="00621402" w:rsidRPr="002260EE">
        <w:rPr>
          <w:rFonts w:cs="Times New Roman"/>
        </w:rPr>
        <w:t xml:space="preserve">in the Other category, the vast majority of which have very low volumes and share.  As with MRI, </w:t>
      </w:r>
      <w:r w:rsidRPr="002260EE">
        <w:rPr>
          <w:rFonts w:cs="Times New Roman"/>
        </w:rPr>
        <w:t xml:space="preserve">South Shore </w:t>
      </w:r>
      <w:r w:rsidR="00621402" w:rsidRPr="002260EE">
        <w:rPr>
          <w:rFonts w:cs="Times New Roman"/>
        </w:rPr>
        <w:t>Health</w:t>
      </w:r>
      <w:r w:rsidRPr="002260EE">
        <w:rPr>
          <w:rFonts w:cs="Times New Roman"/>
        </w:rPr>
        <w:t xml:space="preserve"> </w:t>
      </w:r>
      <w:r w:rsidR="00621402" w:rsidRPr="002260EE">
        <w:rPr>
          <w:rFonts w:cs="Times New Roman"/>
        </w:rPr>
        <w:t>has less than 3% share</w:t>
      </w:r>
      <w:r w:rsidR="00657A7D" w:rsidRPr="002260EE">
        <w:rPr>
          <w:rFonts w:cs="Times New Roman"/>
        </w:rPr>
        <w:t xml:space="preserve">; and there are few other providers designated by common NPIs that have 1% or more. We note there are several locations in the CHIA data with separate NPIs and locations that appear to be associated or affiliated with the Shields Healthcare Group that are included in the Other category. Based on the available information these are located across the state including in the service area.  As detailed elsewhere, providers in the Other category are included in the economic analyses of diversion and alternatives; and in the share calculations for purposes of concentration (HHIs) calculations. </w:t>
      </w:r>
    </w:p>
  </w:footnote>
  <w:footnote w:id="52">
    <w:p w14:paraId="7D0D6362" w14:textId="3D2BDB8B" w:rsidR="00F73967" w:rsidRPr="002260EE" w:rsidRDefault="00F73967" w:rsidP="002260EE">
      <w:pPr>
        <w:pStyle w:val="FootnoteText"/>
        <w:spacing w:before="0"/>
        <w:rPr>
          <w:rFonts w:cs="Times New Roman"/>
        </w:rPr>
      </w:pPr>
      <w:r w:rsidRPr="002260EE">
        <w:rPr>
          <w:rStyle w:val="FootnoteReference"/>
          <w:rFonts w:cs="Times New Roman"/>
        </w:rPr>
        <w:footnoteRef/>
      </w:r>
      <w:r w:rsidRPr="002260EE">
        <w:rPr>
          <w:rFonts w:cs="Times New Roman"/>
        </w:rPr>
        <w:t xml:space="preserve"> The Shriner’s Hospital for Children has less than 3% share of pediatric ASC visits and is the largest individual entity as measured by unique NPI and location; all other such designated entities </w:t>
      </w:r>
      <w:r w:rsidR="008C2968">
        <w:rPr>
          <w:rFonts w:cs="Times New Roman"/>
        </w:rPr>
        <w:t xml:space="preserve">have shares at 2% or below with most </w:t>
      </w:r>
      <w:r w:rsidR="00B36FEB">
        <w:rPr>
          <w:rFonts w:cs="Times New Roman"/>
        </w:rPr>
        <w:t xml:space="preserve">having well below </w:t>
      </w:r>
      <w:r w:rsidR="008C2968">
        <w:rPr>
          <w:rFonts w:cs="Times New Roman"/>
        </w:rPr>
        <w:t>1%</w:t>
      </w:r>
      <w:r w:rsidRPr="002260EE">
        <w:rPr>
          <w:rFonts w:cs="Times New Roman"/>
        </w:rPr>
        <w:t>.  As detailed elsewhere, providers in the Other category are included in the economic analyses of diversion and alternatives; and in the share calculations for purposes of concentration (HHIs) calculations.</w:t>
      </w:r>
    </w:p>
  </w:footnote>
  <w:footnote w:id="53">
    <w:p w14:paraId="192BD51E" w14:textId="03602879" w:rsidR="00817F1F" w:rsidRPr="002260EE" w:rsidRDefault="00817F1F" w:rsidP="002260EE">
      <w:pPr>
        <w:numPr>
          <w:ilvl w:val="0"/>
          <w:numId w:val="0"/>
        </w:numPr>
        <w:spacing w:before="0" w:after="0" w:line="240" w:lineRule="auto"/>
        <w:contextualSpacing/>
        <w:rPr>
          <w:rFonts w:cs="Times New Roman"/>
          <w:sz w:val="20"/>
          <w:szCs w:val="20"/>
        </w:rPr>
      </w:pPr>
      <w:r w:rsidRPr="002260EE">
        <w:rPr>
          <w:rStyle w:val="FootnoteReference"/>
          <w:rFonts w:cs="Times New Roman"/>
          <w:sz w:val="20"/>
          <w:szCs w:val="20"/>
        </w:rPr>
        <w:footnoteRef/>
      </w:r>
      <w:r w:rsidRPr="002260EE">
        <w:rPr>
          <w:rFonts w:cs="Times New Roman"/>
          <w:sz w:val="20"/>
          <w:szCs w:val="20"/>
        </w:rPr>
        <w:t xml:space="preserve"> FTI’s estimates, which are based on visits for the specific services, show largely similar distributions although specific estimates vary some from the BCH estimates, which are based on cases or patients. Differences in volumes may be due either to differences in measures or to data issues described herein with assigning visits to facilities in working with the CHIA data. BCH patient profiles are set out in the responses, as are the need assessments. See, for example, Tables 1 and 1 A in each of </w:t>
      </w:r>
      <w:hyperlink r:id="rId33" w:history="1">
        <w:r w:rsidRPr="00ED535E">
          <w:rPr>
            <w:rStyle w:val="Hyperlink"/>
            <w:rFonts w:cs="Times New Roman"/>
            <w:color w:val="000000" w:themeColor="text1"/>
            <w:sz w:val="20"/>
            <w:szCs w:val="20"/>
            <w:u w:val="none"/>
          </w:rPr>
          <w:t>“# BCH-21071411-HE. The Children’s Medical Center Corporation</w:t>
        </w:r>
      </w:hyperlink>
      <w:r w:rsidRPr="00ED535E">
        <w:rPr>
          <w:rFonts w:cs="Times New Roman"/>
          <w:color w:val="000000" w:themeColor="text1"/>
          <w:sz w:val="20"/>
          <w:szCs w:val="20"/>
        </w:rPr>
        <w:t xml:space="preserve">.” </w:t>
      </w:r>
      <w:r w:rsidRPr="002260EE">
        <w:rPr>
          <w:rFonts w:cs="Times New Roman"/>
          <w:sz w:val="20"/>
          <w:szCs w:val="20"/>
        </w:rPr>
        <w:t xml:space="preserve">October 8, 2021. </w:t>
      </w:r>
      <w:hyperlink r:id="rId34" w:history="1">
        <w:r w:rsidRPr="002260EE">
          <w:rPr>
            <w:rStyle w:val="Hyperlink"/>
            <w:rFonts w:cs="Times New Roman"/>
            <w:color w:val="auto"/>
            <w:sz w:val="20"/>
            <w:szCs w:val="20"/>
          </w:rPr>
          <w:t>https://www.mass.gov/doc/the-childrens-medical-center-corporation-hospitalclinic-substantial-capital-expenditure-responses/download</w:t>
        </w:r>
      </w:hyperlink>
      <w:r w:rsidRPr="002260EE">
        <w:rPr>
          <w:rFonts w:cs="Times New Roman"/>
          <w:sz w:val="20"/>
          <w:szCs w:val="20"/>
        </w:rPr>
        <w:t>. (The Children’s Medical Center Corporation – Hospital/Clinic Substantial Capital Expenditure – Responses</w:t>
      </w:r>
      <w:r w:rsidRPr="00ED535E">
        <w:rPr>
          <w:rFonts w:cs="Times New Roman"/>
          <w:color w:val="000000" w:themeColor="text1"/>
          <w:sz w:val="20"/>
          <w:szCs w:val="20"/>
        </w:rPr>
        <w:t>) and "</w:t>
      </w:r>
      <w:hyperlink r:id="rId35" w:history="1">
        <w:r w:rsidRPr="00ED535E">
          <w:rPr>
            <w:rStyle w:val="Hyperlink"/>
            <w:rFonts w:cs="Times New Roman"/>
            <w:color w:val="000000" w:themeColor="text1"/>
            <w:sz w:val="20"/>
            <w:szCs w:val="20"/>
            <w:u w:val="none"/>
          </w:rPr>
          <w:t>The Children’s Medical Center Corporation – Multisite, # BCH-21071411-HE Application</w:t>
        </w:r>
      </w:hyperlink>
      <w:r w:rsidRPr="00ED535E">
        <w:rPr>
          <w:rFonts w:cs="Times New Roman"/>
          <w:color w:val="000000" w:themeColor="text1"/>
          <w:sz w:val="20"/>
          <w:szCs w:val="20"/>
        </w:rPr>
        <w:t xml:space="preserve">." </w:t>
      </w:r>
      <w:r w:rsidRPr="002260EE">
        <w:rPr>
          <w:rFonts w:cs="Times New Roman"/>
          <w:sz w:val="20"/>
          <w:szCs w:val="20"/>
        </w:rPr>
        <w:t xml:space="preserve">Draft, April 4, 2022. </w:t>
      </w:r>
      <w:hyperlink r:id="rId36" w:history="1">
        <w:r w:rsidRPr="002260EE">
          <w:rPr>
            <w:rStyle w:val="Hyperlink"/>
            <w:rFonts w:cs="Times New Roman"/>
            <w:color w:val="auto"/>
            <w:sz w:val="20"/>
            <w:szCs w:val="20"/>
          </w:rPr>
          <w:t>https://www.mass.gov/doc/the-childrens-medical-center-corporation-hospitalclinic-substantial-capital-expenditure-responses-ii/download</w:t>
        </w:r>
      </w:hyperlink>
      <w:r w:rsidRPr="002260EE">
        <w:rPr>
          <w:rStyle w:val="Hyperlink"/>
          <w:rFonts w:cs="Times New Roman"/>
          <w:color w:val="auto"/>
          <w:sz w:val="20"/>
          <w:szCs w:val="20"/>
        </w:rPr>
        <w:t>.</w:t>
      </w:r>
    </w:p>
  </w:footnote>
  <w:footnote w:id="54">
    <w:p w14:paraId="487EB02D" w14:textId="62348473"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This is not exactly the same as taking the average utilization rate for 2016-2019 and then projecting that single utilization rate forward. This is because the utilization values fall between the population numbers provided by UMBI (only 2015 and 2020) so to extrapolate projections, the starting population for each of the years 2016-2019 had to be interpolated. To provide the most robust projections and estimates, FTI decided</w:t>
      </w:r>
      <w:r w:rsidR="00DE2DCA" w:rsidRPr="002260EE">
        <w:rPr>
          <w:rFonts w:cs="Times New Roman"/>
        </w:rPr>
        <w:t xml:space="preserve"> that in order</w:t>
      </w:r>
      <w:r w:rsidRPr="002260EE">
        <w:rPr>
          <w:rFonts w:cs="Times New Roman"/>
        </w:rPr>
        <w:t xml:space="preserve"> to use as much data as possible</w:t>
      </w:r>
      <w:r w:rsidR="00DE2DCA" w:rsidRPr="002260EE">
        <w:rPr>
          <w:rFonts w:cs="Times New Roman"/>
        </w:rPr>
        <w:t>,</w:t>
      </w:r>
      <w:r w:rsidRPr="002260EE">
        <w:rPr>
          <w:rFonts w:cs="Times New Roman"/>
        </w:rPr>
        <w:t xml:space="preserve"> we would apply this approach to all years we had available.</w:t>
      </w:r>
    </w:p>
  </w:footnote>
  <w:footnote w:id="55">
    <w:p w14:paraId="3F39985F" w14:textId="62C4FECB"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Utilization was limited to Massachusetts residents as best as possible.</w:t>
      </w:r>
    </w:p>
  </w:footnote>
  <w:footnote w:id="56">
    <w:p w14:paraId="1E81F315" w14:textId="6051F7DB" w:rsidR="00394BF8" w:rsidRPr="002260EE" w:rsidRDefault="00394BF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We note that this assumption may differ to some extent from BCH’s assumption about the specific mix of imaging modalities, specifically use of MRIs vs. CT for pediatric care at BCH, and the rates of change historically in MRI use vs. CT use for its patient population. In its response to DPH questions, BCH noted that it has historically increased the use of MRIs over CT for specific pediatric care circumstances, and that it projects likely increased utilization of its MRI services relative to CT. As a result, FTI’s projected MRI utilization/demand estimates for the entire population may differ to some extent from those in the BCH response. FTI projections yield continued high predicted demand and utilization across the regions, particularly those in the HSAs 4 and 5, which have large pediatric populations relative to the Boston HSA population. See pp 22-23 of BCH Response for detailed summary of the literature and discussion of clinical indications for MRI use. </w:t>
      </w:r>
      <w:hyperlink r:id="rId37" w:history="1">
        <w:r w:rsidRPr="00D6798C">
          <w:rPr>
            <w:rStyle w:val="Hyperlink"/>
            <w:rFonts w:cs="Times New Roman"/>
            <w:color w:val="000000" w:themeColor="text1"/>
            <w:u w:val="none"/>
          </w:rPr>
          <w:t>The Children’s Medical Center Corporation – Multisite, # BCH-21071411-HE Application</w:t>
        </w:r>
      </w:hyperlink>
      <w:r w:rsidRPr="00D6798C">
        <w:rPr>
          <w:rFonts w:cs="Times New Roman"/>
          <w:color w:val="000000" w:themeColor="text1"/>
        </w:rPr>
        <w:t xml:space="preserve">." </w:t>
      </w:r>
      <w:r w:rsidRPr="002260EE">
        <w:rPr>
          <w:rFonts w:cs="Times New Roman"/>
        </w:rPr>
        <w:t xml:space="preserve">Draft, April 4, 2022. </w:t>
      </w:r>
      <w:hyperlink r:id="rId38" w:history="1">
        <w:r w:rsidRPr="002260EE">
          <w:rPr>
            <w:rStyle w:val="Hyperlink"/>
            <w:rFonts w:cs="Times New Roman"/>
            <w:color w:val="auto"/>
          </w:rPr>
          <w:t>https://www.mass.gov/doc/the-childrens-medical-center-corporation-hospitalclinic-substantial-capital-expenditure-responses-ii/download</w:t>
        </w:r>
      </w:hyperlink>
      <w:r w:rsidRPr="002260EE">
        <w:rPr>
          <w:rFonts w:cs="Times New Roman"/>
        </w:rPr>
        <w:t xml:space="preserve">.  </w:t>
      </w:r>
    </w:p>
  </w:footnote>
  <w:footnote w:id="57">
    <w:p w14:paraId="275A8DE8" w14:textId="4B5291A0" w:rsidR="00F24C0A" w:rsidRPr="002260EE" w:rsidRDefault="00F24C0A"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Note that changes in patient acuity are not determined or reported. Patient acuity, while a standard metric in inpatient analysis and readily available through DRG weights has no standard definition in outpatient services. Because there was no standard value provided in CHIA, and no broadly accepted method of determining this for outpatients, estimated changes in patient acuity are not considered here.</w:t>
      </w:r>
    </w:p>
  </w:footnote>
  <w:footnote w:id="58">
    <w:p w14:paraId="1F974F2D" w14:textId="6A5D99F9"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See, </w:t>
      </w:r>
      <w:r w:rsidR="00CB4122" w:rsidRPr="002260EE">
        <w:rPr>
          <w:rFonts w:cs="Times New Roman"/>
        </w:rPr>
        <w:t>above</w:t>
      </w:r>
      <w:r w:rsidRPr="002260EE">
        <w:rPr>
          <w:rFonts w:cs="Times New Roman"/>
        </w:rPr>
        <w:t xml:space="preserve"> for discussion of HSAs and Appendix for further information on HSA definition. New facilities are added for example in </w:t>
      </w:r>
      <w:r w:rsidR="00CB4122" w:rsidRPr="002260EE">
        <w:rPr>
          <w:rFonts w:cs="Times New Roman"/>
        </w:rPr>
        <w:t xml:space="preserve">HSA 4, </w:t>
      </w:r>
      <w:r w:rsidRPr="002260EE">
        <w:rPr>
          <w:rFonts w:cs="Times New Roman"/>
        </w:rPr>
        <w:t>Metro West.</w:t>
      </w:r>
    </w:p>
  </w:footnote>
  <w:footnote w:id="59">
    <w:p w14:paraId="0AC542F3" w14:textId="77777777"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This estimate, which covers all populations, differs to some extent from the projections in the BCH Narrative and Response to DPH questions; the BCH projections for individual facilities appear well-supported and reasonable for the assumptions and support provided by BCH.</w:t>
      </w:r>
    </w:p>
  </w:footnote>
  <w:footnote w:id="60">
    <w:p w14:paraId="7AF1770E" w14:textId="50200BC6" w:rsidR="00543454" w:rsidRPr="002260EE" w:rsidRDefault="00543454" w:rsidP="002260EE">
      <w:pPr>
        <w:numPr>
          <w:ilvl w:val="0"/>
          <w:numId w:val="0"/>
        </w:numPr>
        <w:spacing w:before="0" w:after="0" w:line="240" w:lineRule="auto"/>
        <w:contextualSpacing/>
        <w:rPr>
          <w:rFonts w:cs="Times New Roman"/>
          <w:sz w:val="20"/>
          <w:szCs w:val="20"/>
        </w:rPr>
      </w:pPr>
      <w:r w:rsidRPr="002260EE">
        <w:rPr>
          <w:rStyle w:val="FootnoteReference"/>
          <w:rFonts w:cs="Times New Roman"/>
          <w:sz w:val="20"/>
          <w:szCs w:val="20"/>
        </w:rPr>
        <w:footnoteRef/>
      </w:r>
      <w:r w:rsidRPr="002260EE">
        <w:rPr>
          <w:rFonts w:cs="Times New Roman"/>
          <w:sz w:val="20"/>
          <w:szCs w:val="20"/>
        </w:rPr>
        <w:t xml:space="preserve"> </w:t>
      </w:r>
      <w:r w:rsidRPr="002260EE">
        <w:rPr>
          <w:rStyle w:val="Hyperlink"/>
          <w:rFonts w:cs="Times New Roman"/>
          <w:color w:val="auto"/>
          <w:sz w:val="20"/>
          <w:szCs w:val="20"/>
          <w:u w:val="none"/>
        </w:rPr>
        <w:t>With regard to access and the need for services (and the location of additional service locations), FTI considered BCH’s response to the DPH: “</w:t>
      </w:r>
      <w:r w:rsidRPr="002260EE">
        <w:rPr>
          <w:rFonts w:cs="Times New Roman"/>
          <w:sz w:val="20"/>
          <w:szCs w:val="20"/>
        </w:rPr>
        <w:t>The siting of the proposed Project is in HSA 4: Metro West with utilization markedly lower than Boston… Underserved areas like Framingham will have easier access to BCH’s our proposed sites in Waltham and Needham. Underserved residents in Quincy, Brockton and Randolph will have improved access to BCH services in both Weymouth and Needham. Table 4 demonstrates that residents of nearby underserved communities of Brockton, Quincy, and Randolph access both locations. 30% of the existing patients who reside in these communities seek care in Waltham. Expansion of services in nearby Weymouth is designed to improve access to these communities.”</w:t>
      </w:r>
      <w:r w:rsidR="00333A91" w:rsidRPr="002260EE">
        <w:rPr>
          <w:rFonts w:cs="Times New Roman"/>
          <w:sz w:val="20"/>
          <w:szCs w:val="20"/>
        </w:rPr>
        <w:t xml:space="preserve"> The FTI utilization projections are based on total volumes per zip code or HSA or other region. We note that BCH reports estimated visits per population across all services and concludes that HSA 6 has a higher average utilization per 1,000 pediatric population. “The highest utilization per 1,000 is HSA 6: Boston at 926.4 visits per 1,000. While there is no reason to expect that the disease burden or need for the specialized pediatric care provided by the Hospital varies across HSAs, the data reflect that patients outside of Boston face increased burdens accessing care from Boston Children’s due to geographic barriers. Furthermore, as demonstrated by the response to Question 2, BCH’s Satellites service patients across the State.”</w:t>
      </w:r>
      <w:r w:rsidRPr="002260EE">
        <w:rPr>
          <w:rFonts w:cs="Times New Roman"/>
          <w:sz w:val="20"/>
          <w:szCs w:val="20"/>
        </w:rPr>
        <w:t xml:space="preserve"> FTI’s assessment of overall population estimates by age and by zip code, current utilization of ASC, MRI, and Imaging services for both BCH and total pediatric utilization of these services use different measures of patient volumes</w:t>
      </w:r>
      <w:r w:rsidR="00CB4122" w:rsidRPr="002260EE">
        <w:rPr>
          <w:rFonts w:cs="Times New Roman"/>
          <w:sz w:val="20"/>
          <w:szCs w:val="20"/>
        </w:rPr>
        <w:t xml:space="preserve">. </w:t>
      </w:r>
      <w:r w:rsidRPr="002260EE">
        <w:rPr>
          <w:rFonts w:cs="Times New Roman"/>
          <w:sz w:val="20"/>
          <w:szCs w:val="20"/>
        </w:rPr>
        <w:t xml:space="preserve">FTI </w:t>
      </w:r>
      <w:r w:rsidR="00CB4122" w:rsidRPr="002260EE">
        <w:rPr>
          <w:rFonts w:cs="Times New Roman"/>
          <w:sz w:val="20"/>
          <w:szCs w:val="20"/>
        </w:rPr>
        <w:t xml:space="preserve">evaluated these measures and compared with the pediatric population and found that for MRI and imaging the estimated </w:t>
      </w:r>
      <w:r w:rsidRPr="002260EE">
        <w:rPr>
          <w:rFonts w:cs="Times New Roman"/>
          <w:sz w:val="20"/>
          <w:szCs w:val="20"/>
        </w:rPr>
        <w:t>utilization/1000 pediatric population</w:t>
      </w:r>
      <w:r w:rsidR="00CB4122" w:rsidRPr="002260EE">
        <w:rPr>
          <w:rFonts w:cs="Times New Roman"/>
          <w:sz w:val="20"/>
          <w:szCs w:val="20"/>
        </w:rPr>
        <w:t xml:space="preserve"> were consistent with the BCH calculations.</w:t>
      </w:r>
    </w:p>
  </w:footnote>
  <w:footnote w:id="61">
    <w:p w14:paraId="4CA61056" w14:textId="77777777"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As assumed above, the projections assume no additional changes in treatment modalities for imaging between 2019 and future years.</w:t>
      </w:r>
    </w:p>
  </w:footnote>
  <w:footnote w:id="62">
    <w:p w14:paraId="19CD8597" w14:textId="382DB7F2"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r w:rsidR="008E4EE8" w:rsidRPr="002260EE">
        <w:rPr>
          <w:rFonts w:cs="Times New Roman"/>
        </w:rPr>
        <w:t xml:space="preserve">See, e.g., </w:t>
      </w:r>
      <w:r w:rsidR="00491A77" w:rsidRPr="002260EE">
        <w:rPr>
          <w:rFonts w:cs="Times New Roman"/>
        </w:rPr>
        <w:t>Capps, Cory, David Dranove, and Mark Satterthwaite. "Competition and market power in option demand markets." RAND Journal of Economics (2003): 737-763.</w:t>
      </w:r>
    </w:p>
  </w:footnote>
  <w:footnote w:id="63">
    <w:p w14:paraId="7C8ABD3B" w14:textId="78709CF8"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r w:rsidR="00D9422C" w:rsidRPr="002260EE">
        <w:rPr>
          <w:rFonts w:cs="Times New Roman"/>
        </w:rPr>
        <w:t xml:space="preserve">The patient choice modeling, also called discrete choice modeling or CDC </w:t>
      </w:r>
      <w:r w:rsidR="008E4EE8" w:rsidRPr="002260EE">
        <w:rPr>
          <w:rFonts w:cs="Times New Roman"/>
        </w:rPr>
        <w:t>has become</w:t>
      </w:r>
      <w:r w:rsidR="00D9422C" w:rsidRPr="002260EE">
        <w:rPr>
          <w:rFonts w:cs="Times New Roman"/>
        </w:rPr>
        <w:t xml:space="preserve"> standard </w:t>
      </w:r>
      <w:r w:rsidR="008E4EE8" w:rsidRPr="002260EE">
        <w:rPr>
          <w:rFonts w:cs="Times New Roman"/>
        </w:rPr>
        <w:t>approach in many</w:t>
      </w:r>
      <w:r w:rsidR="00D9422C" w:rsidRPr="002260EE">
        <w:rPr>
          <w:rFonts w:cs="Times New Roman"/>
        </w:rPr>
        <w:t xml:space="preserve"> healthcare analyses</w:t>
      </w:r>
      <w:r w:rsidR="008E4EE8" w:rsidRPr="002260EE">
        <w:rPr>
          <w:rFonts w:cs="Times New Roman"/>
        </w:rPr>
        <w:t xml:space="preserve"> as part of the overall economic analysis</w:t>
      </w:r>
      <w:r w:rsidR="00D9422C" w:rsidRPr="002260EE">
        <w:rPr>
          <w:rFonts w:cs="Times New Roman"/>
        </w:rPr>
        <w:t xml:space="preserve"> and makes specific assumptions for tractability. While these assumptions, including ones about network configurations, are ones that may be explored and modeled more extensively in specific hospital transactions or matters, for purpose of the modeling with the CHIA data for the ICA questions, we make the standard assumptions, and detail them in the Methodology section. </w:t>
      </w:r>
      <w:r w:rsidR="004B14E9" w:rsidRPr="002260EE">
        <w:rPr>
          <w:rFonts w:cs="Times New Roman"/>
        </w:rPr>
        <w:t>Similarly, we did not model additional downstream or secondary effects of shifts or of changes in referral patterns from the new outpatient locations to BCH inpatient or of demand at existing locations. We note that BCH reports high levels of capacity utilization at BCH Longwood and long wait times for MRI and BCH predicts that some capacity could go for improved times including for high acuity services (e.g., sedated MRIs) not offered at the satellites. See, BCH Response II.</w:t>
      </w:r>
    </w:p>
  </w:footnote>
  <w:footnote w:id="64">
    <w:p w14:paraId="718A764B" w14:textId="4357D605"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These pay</w:t>
      </w:r>
      <w:r w:rsidR="00684AA7" w:rsidRPr="002260EE">
        <w:rPr>
          <w:rFonts w:cs="Times New Roman"/>
        </w:rPr>
        <w:t>e</w:t>
      </w:r>
      <w:r w:rsidRPr="002260EE">
        <w:rPr>
          <w:rFonts w:cs="Times New Roman"/>
        </w:rPr>
        <w:t>r types are “Commercial”, “Medicaid”, “Mass Health”, and “All Other”.</w:t>
      </w:r>
    </w:p>
  </w:footnote>
  <w:footnote w:id="65">
    <w:p w14:paraId="67E910CE" w14:textId="40B81F5F"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For inpatient diversions analyses, DRG-Weights calculated by the CMS would typically be used. Since the data used in this analysis is outpatient, DRG codes are typically not reported and hence DRG-weights cannot be used. CPT-Weights are calculated by taking the average charged amount for each CPT code in each facility and then averaging the charged amount for the relevant CPT code among all the facilities in Massachusetts</w:t>
      </w:r>
      <w:r w:rsidR="00CB4122" w:rsidRPr="002260EE">
        <w:rPr>
          <w:rFonts w:cs="Times New Roman"/>
        </w:rPr>
        <w:t>.</w:t>
      </w:r>
    </w:p>
  </w:footnote>
  <w:footnote w:id="66">
    <w:p w14:paraId="7336AEE3" w14:textId="77777777"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While these patients are not included in estimating regression coefficients, they are included in the prediction step. Additionally, BCH facilities are presented as a choice in the prediction step for non-commercial patients as well.</w:t>
      </w:r>
    </w:p>
  </w:footnote>
  <w:footnote w:id="67">
    <w:p w14:paraId="13E02491" w14:textId="685930FE"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This calculation is used because the expected quality of service (among other factors that influence patient choice that aren’t included in the model) from the new facilities are expected to be similar to the other BCH facilities.</w:t>
      </w:r>
    </w:p>
  </w:footnote>
  <w:footnote w:id="68">
    <w:p w14:paraId="0F86AF89" w14:textId="2D4529AD" w:rsidR="00C35ED0" w:rsidRPr="002260EE" w:rsidRDefault="00C35ED0"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r w:rsidR="00EA3450" w:rsidRPr="002260EE">
        <w:rPr>
          <w:rFonts w:cs="Times New Roman"/>
        </w:rPr>
        <w:t xml:space="preserve">Because BCH Lexington’s ORs are being closed, the tables below show the net diversion including patients diverted from BCH Lexington. 14% refers to the share of visits to the new facilities </w:t>
      </w:r>
      <w:r w:rsidR="002D6028" w:rsidRPr="002260EE">
        <w:rPr>
          <w:rFonts w:cs="Times New Roman"/>
        </w:rPr>
        <w:t>from BCH L</w:t>
      </w:r>
      <w:r w:rsidR="00400663" w:rsidRPr="002260EE">
        <w:rPr>
          <w:rFonts w:cs="Times New Roman"/>
        </w:rPr>
        <w:t>ongwood</w:t>
      </w:r>
      <w:r w:rsidR="002D6028" w:rsidRPr="002260EE">
        <w:rPr>
          <w:rFonts w:cs="Times New Roman"/>
        </w:rPr>
        <w:t xml:space="preserve"> </w:t>
      </w:r>
      <w:r w:rsidR="00EA3450" w:rsidRPr="002260EE">
        <w:rPr>
          <w:rFonts w:cs="Times New Roman"/>
        </w:rPr>
        <w:t>excluding BCH Lexington.</w:t>
      </w:r>
    </w:p>
  </w:footnote>
  <w:footnote w:id="69">
    <w:p w14:paraId="18E789F2" w14:textId="1342C178"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008C6276" w:rsidRPr="002260EE">
        <w:rPr>
          <w:rFonts w:cs="Times New Roman"/>
        </w:rPr>
        <w:t xml:space="preserve"> </w:t>
      </w:r>
      <w:r w:rsidRPr="002260EE">
        <w:rPr>
          <w:rFonts w:cs="Times New Roman"/>
        </w:rPr>
        <w:t>We note that these econometrically derived projections of diversion from across BCH to the new facilities are consistent with projections made by BCH in its Application Narrative and its Response about expected shifts of patients from Longwood to the new facilities. The FTI estimates are more robust and complete in that they account for services used, demand factors and patient preferences including travel time, and account for shifts from other health systems. FTI projections also provide estimates by populations (e.g., Medicaid) though these are not reported.</w:t>
      </w:r>
    </w:p>
  </w:footnote>
  <w:footnote w:id="70">
    <w:p w14:paraId="05A3D665" w14:textId="48328809"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Additional Payer tables are provided in the Appendix</w:t>
      </w:r>
      <w:r w:rsidR="00CF1796" w:rsidRPr="002260EE">
        <w:rPr>
          <w:rFonts w:cs="Times New Roman"/>
        </w:rPr>
        <w:t>.</w:t>
      </w:r>
    </w:p>
  </w:footnote>
  <w:footnote w:id="71">
    <w:p w14:paraId="4C76C02B" w14:textId="5D4DDA9B" w:rsidR="00744A10" w:rsidRPr="002260EE" w:rsidRDefault="00744A10"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While there is also a Managed Medicaid category in CHIA data, they represented </w:t>
      </w:r>
      <w:r w:rsidR="00F73967" w:rsidRPr="002260EE">
        <w:rPr>
          <w:rFonts w:cs="Times New Roman"/>
        </w:rPr>
        <w:t>a very</w:t>
      </w:r>
      <w:r w:rsidRPr="002260EE">
        <w:rPr>
          <w:rFonts w:cs="Times New Roman"/>
        </w:rPr>
        <w:t xml:space="preserve"> small percentage of claims and were not included in price determination</w:t>
      </w:r>
      <w:r w:rsidR="00F73967" w:rsidRPr="002260EE">
        <w:rPr>
          <w:rFonts w:cs="Times New Roman"/>
        </w:rPr>
        <w:t xml:space="preserve"> analysis</w:t>
      </w:r>
      <w:r w:rsidRPr="002260EE">
        <w:rPr>
          <w:rFonts w:cs="Times New Roman"/>
        </w:rPr>
        <w:t>.</w:t>
      </w:r>
    </w:p>
  </w:footnote>
  <w:footnote w:id="72">
    <w:p w14:paraId="79648D1F" w14:textId="578312E9"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Differences in the product mix within the services line or in the health/complexity of the patient</w:t>
      </w:r>
      <w:r w:rsidR="003D502B">
        <w:rPr>
          <w:rFonts w:cs="Times New Roman"/>
        </w:rPr>
        <w:t xml:space="preserve"> </w:t>
      </w:r>
      <w:r w:rsidRPr="002260EE">
        <w:rPr>
          <w:rFonts w:cs="Times New Roman"/>
        </w:rPr>
        <w:t xml:space="preserve">are </w:t>
      </w:r>
      <w:r w:rsidR="003D502B">
        <w:rPr>
          <w:rFonts w:cs="Times New Roman"/>
        </w:rPr>
        <w:t xml:space="preserve">among the several </w:t>
      </w:r>
      <w:r w:rsidRPr="002260EE">
        <w:rPr>
          <w:rFonts w:cs="Times New Roman"/>
        </w:rPr>
        <w:t>factors that could influence the average and relative prices of services at specific locations</w:t>
      </w:r>
      <w:r w:rsidR="0048402A" w:rsidRPr="002260EE">
        <w:rPr>
          <w:rFonts w:cs="Times New Roman"/>
        </w:rPr>
        <w:t xml:space="preserve"> and the comparison of prices</w:t>
      </w:r>
      <w:r w:rsidRPr="002260EE">
        <w:rPr>
          <w:rFonts w:cs="Times New Roman"/>
        </w:rPr>
        <w:t>.</w:t>
      </w:r>
      <w:r w:rsidR="003D502B">
        <w:rPr>
          <w:rFonts w:cs="Times New Roman"/>
        </w:rPr>
        <w:t xml:space="preserve"> </w:t>
      </w:r>
      <w:r w:rsidR="00F142DF" w:rsidRPr="002260EE">
        <w:rPr>
          <w:rFonts w:cs="Times New Roman"/>
        </w:rPr>
        <w:t xml:space="preserve">See, Geweke, John, Gautam Gowrisankaran, and Robert J Town. "Bayesian Inference for Hospital Quality in a Selection Model." </w:t>
      </w:r>
      <w:r w:rsidR="00F142DF" w:rsidRPr="002260EE">
        <w:rPr>
          <w:rFonts w:cs="Times New Roman"/>
          <w:i/>
          <w:iCs/>
        </w:rPr>
        <w:t>Econometrica</w:t>
      </w:r>
      <w:r w:rsidR="00F142DF" w:rsidRPr="002260EE">
        <w:rPr>
          <w:rFonts w:cs="Times New Roman"/>
        </w:rPr>
        <w:t xml:space="preserve"> 71, no. 4 (2003): 1215-38</w:t>
      </w:r>
      <w:r w:rsidR="00181639" w:rsidRPr="002260EE">
        <w:rPr>
          <w:rFonts w:cs="Times New Roman"/>
        </w:rPr>
        <w:t>.</w:t>
      </w:r>
    </w:p>
  </w:footnote>
  <w:footnote w:id="73">
    <w:p w14:paraId="2186D374" w14:textId="207C2673"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r w:rsidR="003D502B">
        <w:rPr>
          <w:rFonts w:cs="Times New Roman"/>
        </w:rPr>
        <w:t xml:space="preserve">These estimates are based on the available data. </w:t>
      </w:r>
      <w:r w:rsidRPr="002260EE">
        <w:rPr>
          <w:rFonts w:cs="Times New Roman"/>
        </w:rPr>
        <w:t>We note that BCH estimated differences between charges at the BCH satellites and two community hospitals in the BCH Response of April 4, 2022, which directionally showed that the BCH satellites were lower cost. The FTI results reflect a broader range of hospitals and locations and indicate that there are some that are estimated as lower cost and others that are higher cost</w:t>
      </w:r>
      <w:r w:rsidR="00EA69A5" w:rsidRPr="002260EE">
        <w:rPr>
          <w:rFonts w:cs="Times New Roman"/>
        </w:rPr>
        <w:t xml:space="preserve">, </w:t>
      </w:r>
      <w:r w:rsidR="003D502B">
        <w:rPr>
          <w:rFonts w:cs="Times New Roman"/>
        </w:rPr>
        <w:t xml:space="preserve">and for a variety of factors, </w:t>
      </w:r>
      <w:r w:rsidR="00EA69A5" w:rsidRPr="002260EE">
        <w:rPr>
          <w:rFonts w:cs="Times New Roman"/>
        </w:rPr>
        <w:t>as shown in this section.</w:t>
      </w:r>
      <w:r w:rsidR="002378EF" w:rsidRPr="002260EE">
        <w:rPr>
          <w:rFonts w:cs="Times New Roman"/>
        </w:rPr>
        <w:t xml:space="preserve"> </w:t>
      </w:r>
      <w:r w:rsidR="003D502B">
        <w:rPr>
          <w:rFonts w:cs="Times New Roman"/>
        </w:rPr>
        <w:t xml:space="preserve"> </w:t>
      </w:r>
    </w:p>
  </w:footnote>
  <w:footnote w:id="74">
    <w:p w14:paraId="4C6ABFEA" w14:textId="2C29CCE2"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We were not able to make direct extensive comparisons on CPT codes for ASC services between Longwood and Satellites yet note that for many CPT codes in the </w:t>
      </w:r>
      <w:r w:rsidR="0094033F" w:rsidRPr="002260EE">
        <w:rPr>
          <w:rFonts w:cs="Times New Roman"/>
        </w:rPr>
        <w:t xml:space="preserve">BCH </w:t>
      </w:r>
      <w:r w:rsidRPr="002260EE">
        <w:rPr>
          <w:rFonts w:cs="Times New Roman"/>
        </w:rPr>
        <w:t xml:space="preserve">public data, that BCH appears </w:t>
      </w:r>
      <w:r w:rsidR="00AF0B5D">
        <w:rPr>
          <w:rFonts w:cs="Times New Roman"/>
        </w:rPr>
        <w:t>to have</w:t>
      </w:r>
      <w:r w:rsidRPr="002260EE">
        <w:rPr>
          <w:rFonts w:cs="Times New Roman"/>
        </w:rPr>
        <w:t xml:space="preserve"> lower </w:t>
      </w:r>
      <w:r w:rsidR="00AF0B5D">
        <w:rPr>
          <w:rFonts w:cs="Times New Roman"/>
        </w:rPr>
        <w:t xml:space="preserve">listed </w:t>
      </w:r>
      <w:r w:rsidRPr="002260EE">
        <w:rPr>
          <w:rFonts w:cs="Times New Roman"/>
        </w:rPr>
        <w:t>payments at satellite locations compared to Longwood</w:t>
      </w:r>
      <w:r w:rsidR="0094033F" w:rsidRPr="002260EE">
        <w:rPr>
          <w:rFonts w:cs="Times New Roman"/>
        </w:rPr>
        <w:t>.</w:t>
      </w:r>
    </w:p>
  </w:footnote>
  <w:footnote w:id="75">
    <w:p w14:paraId="36514561" w14:textId="77777777" w:rsidR="00DC56C8" w:rsidRPr="002260EE" w:rsidRDefault="00DC56C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We note that the estimated changes however are small.</w:t>
      </w:r>
    </w:p>
  </w:footnote>
  <w:footnote w:id="76">
    <w:p w14:paraId="66DF7E1E" w14:textId="33A8876A" w:rsidR="00DC56C8" w:rsidRPr="002260EE" w:rsidRDefault="00DC56C8" w:rsidP="002260EE">
      <w:pPr>
        <w:numPr>
          <w:ilvl w:val="0"/>
          <w:numId w:val="0"/>
        </w:numPr>
        <w:spacing w:before="0" w:after="0" w:line="240" w:lineRule="auto"/>
        <w:contextualSpacing/>
        <w:rPr>
          <w:rFonts w:cs="Times New Roman"/>
          <w:sz w:val="20"/>
          <w:szCs w:val="20"/>
        </w:rPr>
      </w:pPr>
      <w:r w:rsidRPr="002260EE">
        <w:rPr>
          <w:rStyle w:val="FootnoteReference"/>
          <w:rFonts w:cs="Times New Roman"/>
          <w:sz w:val="20"/>
          <w:szCs w:val="20"/>
        </w:rPr>
        <w:footnoteRef/>
      </w:r>
      <w:r w:rsidRPr="002260EE">
        <w:rPr>
          <w:rFonts w:cs="Times New Roman"/>
          <w:sz w:val="20"/>
          <w:szCs w:val="20"/>
        </w:rPr>
        <w:t xml:space="preserve"> There are many caveats to this literature,</w:t>
      </w:r>
      <w:r w:rsidR="00046627" w:rsidRPr="002260EE">
        <w:rPr>
          <w:rFonts w:cs="Times New Roman"/>
          <w:sz w:val="20"/>
          <w:szCs w:val="20"/>
        </w:rPr>
        <w:t xml:space="preserve"> including</w:t>
      </w:r>
      <w:r w:rsidR="00095CDC" w:rsidRPr="002260EE">
        <w:rPr>
          <w:rFonts w:cs="Times New Roman"/>
          <w:sz w:val="20"/>
          <w:szCs w:val="20"/>
        </w:rPr>
        <w:t xml:space="preserve"> about</w:t>
      </w:r>
      <w:r w:rsidR="00046627" w:rsidRPr="002260EE">
        <w:rPr>
          <w:rFonts w:cs="Times New Roman"/>
          <w:sz w:val="20"/>
          <w:szCs w:val="20"/>
        </w:rPr>
        <w:t xml:space="preserve"> estimating effects from concentration and share measures, or</w:t>
      </w:r>
      <w:r w:rsidR="00095CDC" w:rsidRPr="002260EE">
        <w:rPr>
          <w:rFonts w:cs="Times New Roman"/>
          <w:sz w:val="20"/>
          <w:szCs w:val="20"/>
        </w:rPr>
        <w:t xml:space="preserve"> about</w:t>
      </w:r>
      <w:r w:rsidR="00046627" w:rsidRPr="002260EE">
        <w:rPr>
          <w:rFonts w:cs="Times New Roman"/>
          <w:sz w:val="20"/>
          <w:szCs w:val="20"/>
        </w:rPr>
        <w:t xml:space="preserve"> inferences </w:t>
      </w:r>
      <w:r w:rsidR="00095CDC" w:rsidRPr="002260EE">
        <w:rPr>
          <w:rFonts w:cs="Times New Roman"/>
          <w:sz w:val="20"/>
          <w:szCs w:val="20"/>
        </w:rPr>
        <w:t xml:space="preserve">to be </w:t>
      </w:r>
      <w:r w:rsidR="00046627" w:rsidRPr="002260EE">
        <w:rPr>
          <w:rFonts w:cs="Times New Roman"/>
          <w:sz w:val="20"/>
          <w:szCs w:val="20"/>
        </w:rPr>
        <w:t>drawn about bargaining power or price effects from changes in structural measures</w:t>
      </w:r>
      <w:r w:rsidR="00FA0AF5" w:rsidRPr="002260EE">
        <w:rPr>
          <w:rFonts w:cs="Times New Roman"/>
          <w:sz w:val="20"/>
          <w:szCs w:val="20"/>
        </w:rPr>
        <w:t xml:space="preserve"> for the services subject to negotiation</w:t>
      </w:r>
      <w:r w:rsidR="00046627" w:rsidRPr="002260EE">
        <w:rPr>
          <w:rFonts w:cs="Times New Roman"/>
          <w:sz w:val="20"/>
          <w:szCs w:val="20"/>
        </w:rPr>
        <w:t>.</w:t>
      </w:r>
      <w:r w:rsidR="00095CDC" w:rsidRPr="002260EE">
        <w:rPr>
          <w:rFonts w:cs="Times New Roman"/>
          <w:sz w:val="20"/>
          <w:szCs w:val="20"/>
        </w:rPr>
        <w:t xml:space="preserve"> </w:t>
      </w:r>
      <w:r w:rsidR="00027B71" w:rsidRPr="002260EE">
        <w:rPr>
          <w:rFonts w:cs="Times New Roman"/>
          <w:sz w:val="20"/>
          <w:szCs w:val="20"/>
        </w:rPr>
        <w:t xml:space="preserve">See, e.g., </w:t>
      </w:r>
      <w:r w:rsidR="00F142DF" w:rsidRPr="002260EE">
        <w:rPr>
          <w:rFonts w:cs="Times New Roman"/>
          <w:sz w:val="20"/>
          <w:szCs w:val="20"/>
        </w:rPr>
        <w:t xml:space="preserve">Garmon, Christopher. "The accuracy of hospital merger screening methods." </w:t>
      </w:r>
      <w:r w:rsidR="00F142DF" w:rsidRPr="002260EE">
        <w:rPr>
          <w:rFonts w:cs="Times New Roman"/>
          <w:i/>
          <w:iCs/>
          <w:sz w:val="20"/>
          <w:szCs w:val="20"/>
        </w:rPr>
        <w:t xml:space="preserve">The RAND Journal of Economics </w:t>
      </w:r>
      <w:r w:rsidR="00F142DF" w:rsidRPr="002260EE">
        <w:rPr>
          <w:rFonts w:cs="Times New Roman"/>
          <w:sz w:val="20"/>
          <w:szCs w:val="20"/>
        </w:rPr>
        <w:t>48, no. 4 (2017): 1068-1102</w:t>
      </w:r>
      <w:r w:rsidR="00046627" w:rsidRPr="002260EE">
        <w:rPr>
          <w:rFonts w:cs="Times New Roman"/>
          <w:sz w:val="20"/>
          <w:szCs w:val="20"/>
        </w:rPr>
        <w:t>.</w:t>
      </w:r>
      <w:bookmarkStart w:id="335" w:name="_Hlk106627704"/>
      <w:r w:rsidR="00095CDC" w:rsidRPr="002260EE">
        <w:rPr>
          <w:rFonts w:cs="Times New Roman"/>
          <w:sz w:val="20"/>
          <w:szCs w:val="20"/>
        </w:rPr>
        <w:t xml:space="preserve"> </w:t>
      </w:r>
      <w:r w:rsidR="00046627" w:rsidRPr="002260EE">
        <w:rPr>
          <w:rFonts w:cs="Times New Roman"/>
          <w:sz w:val="20"/>
          <w:szCs w:val="20"/>
        </w:rPr>
        <w:t>Healthcare also is characterized by differentiated products, and where many factors make price comparisons complex</w:t>
      </w:r>
      <w:r w:rsidR="00FA0AF5" w:rsidRPr="002260EE">
        <w:rPr>
          <w:rFonts w:cs="Times New Roman"/>
          <w:sz w:val="20"/>
          <w:szCs w:val="20"/>
        </w:rPr>
        <w:t xml:space="preserve">. </w:t>
      </w:r>
      <w:r w:rsidR="00046627" w:rsidRPr="002260EE">
        <w:rPr>
          <w:rFonts w:cs="Times New Roman"/>
          <w:sz w:val="20"/>
          <w:szCs w:val="20"/>
        </w:rPr>
        <w:t>As noted by Haas-Wilson and Garmon “</w:t>
      </w:r>
      <w:r w:rsidR="00046627" w:rsidRPr="002260EE">
        <w:rPr>
          <w:rFonts w:cs="Times New Roman"/>
          <w:i/>
          <w:iCs/>
          <w:sz w:val="20"/>
          <w:szCs w:val="20"/>
        </w:rPr>
        <w:t>In a market with differentiated products, different price levels are neither necessary, nor</w:t>
      </w:r>
      <w:r w:rsidR="00046627" w:rsidRPr="002260EE">
        <w:rPr>
          <w:rFonts w:cs="Times New Roman"/>
          <w:sz w:val="20"/>
          <w:szCs w:val="20"/>
        </w:rPr>
        <w:t xml:space="preserve"> </w:t>
      </w:r>
      <w:r w:rsidR="00046627" w:rsidRPr="002260EE">
        <w:rPr>
          <w:rFonts w:cs="Times New Roman"/>
          <w:i/>
          <w:iCs/>
          <w:sz w:val="20"/>
          <w:szCs w:val="20"/>
        </w:rPr>
        <w:t xml:space="preserve">sufficient, to demonstrate the exercise of market power.” </w:t>
      </w:r>
      <w:r w:rsidR="00046627" w:rsidRPr="002260EE">
        <w:rPr>
          <w:rFonts w:cs="Times New Roman"/>
          <w:sz w:val="20"/>
          <w:szCs w:val="20"/>
        </w:rPr>
        <w:t xml:space="preserve">See Deborah Haas-Wilson and Christopher Garmon, “Hospital Mergers and Competitive Effects: Two Retrospective Analyses,” </w:t>
      </w:r>
      <w:r w:rsidR="00046627" w:rsidRPr="002260EE">
        <w:rPr>
          <w:rFonts w:cs="Times New Roman"/>
          <w:i/>
          <w:iCs/>
          <w:sz w:val="20"/>
          <w:szCs w:val="20"/>
        </w:rPr>
        <w:t xml:space="preserve">International Journal of the Economics of Business </w:t>
      </w:r>
      <w:r w:rsidR="00046627" w:rsidRPr="002260EE">
        <w:rPr>
          <w:rFonts w:cs="Times New Roman"/>
          <w:sz w:val="20"/>
          <w:szCs w:val="20"/>
        </w:rPr>
        <w:t>18, no. 1 (2011): 17-32.</w:t>
      </w:r>
      <w:bookmarkEnd w:id="335"/>
      <w:r w:rsidR="00B63B78" w:rsidRPr="002260EE">
        <w:rPr>
          <w:rFonts w:cs="Times New Roman"/>
          <w:sz w:val="20"/>
          <w:szCs w:val="20"/>
        </w:rPr>
        <w:t xml:space="preserve"> Additional discussion of competitive effects modeling in healthcare provided at: Guerin-Calvert, Margaret E. "Competitive effects analyses of hospital mergers: Are we keeping pace with dynamic healthcare markets?" The Antitrust Bulletin 59, no. 3 (2014): 505-513; and two other articles in the same volume, Capps, Cory S. "From Rockford to Joplin and back again: The impact of economics on hospital merger enforcement." </w:t>
      </w:r>
      <w:r w:rsidR="00B63B78" w:rsidRPr="002260EE">
        <w:rPr>
          <w:rFonts w:cs="Times New Roman"/>
          <w:i/>
          <w:iCs/>
          <w:sz w:val="20"/>
          <w:szCs w:val="20"/>
        </w:rPr>
        <w:t>The Antitrust Bulletin</w:t>
      </w:r>
      <w:r w:rsidR="00B63B78" w:rsidRPr="002260EE">
        <w:rPr>
          <w:rFonts w:cs="Times New Roman"/>
          <w:sz w:val="20"/>
          <w:szCs w:val="20"/>
        </w:rPr>
        <w:t xml:space="preserve"> 59, no. 3 (2014): 443-478; and May, Sean, and Monica Noether. "Unresolved questions relating to market definition in hospital mergers." </w:t>
      </w:r>
      <w:r w:rsidR="00B63B78" w:rsidRPr="002260EE">
        <w:rPr>
          <w:rFonts w:cs="Times New Roman"/>
          <w:i/>
          <w:iCs/>
          <w:sz w:val="20"/>
          <w:szCs w:val="20"/>
        </w:rPr>
        <w:t>The Antitrust Bulletin</w:t>
      </w:r>
      <w:r w:rsidR="00B63B78" w:rsidRPr="002260EE">
        <w:rPr>
          <w:rFonts w:cs="Times New Roman"/>
          <w:sz w:val="20"/>
          <w:szCs w:val="20"/>
        </w:rPr>
        <w:t xml:space="preserve"> 59, no. 3 (2014): 479-503.</w:t>
      </w:r>
    </w:p>
  </w:footnote>
  <w:footnote w:id="77">
    <w:p w14:paraId="4BC0E1ED" w14:textId="745519F5" w:rsidR="00DC56C8" w:rsidRPr="002260EE" w:rsidRDefault="00DC56C8" w:rsidP="002260EE">
      <w:pPr>
        <w:numPr>
          <w:ilvl w:val="0"/>
          <w:numId w:val="0"/>
        </w:numPr>
        <w:spacing w:before="0" w:after="0" w:line="240" w:lineRule="auto"/>
        <w:contextualSpacing/>
        <w:rPr>
          <w:rFonts w:cs="Times New Roman"/>
          <w:sz w:val="20"/>
          <w:szCs w:val="20"/>
        </w:rPr>
      </w:pPr>
      <w:r w:rsidRPr="002260EE">
        <w:rPr>
          <w:rStyle w:val="FootnoteReference"/>
          <w:rFonts w:cs="Times New Roman"/>
          <w:sz w:val="20"/>
          <w:szCs w:val="20"/>
        </w:rPr>
        <w:footnoteRef/>
      </w:r>
      <w:r w:rsidRPr="002260EE">
        <w:rPr>
          <w:rFonts w:cs="Times New Roman"/>
          <w:sz w:val="20"/>
          <w:szCs w:val="20"/>
        </w:rPr>
        <w:t>“Mergers involving an increase in the HHI of less than 100 points are unlikely to have adverse competitive effects and ordinarily require no further analysis.” Horizontal Merger Guidelines. U.S. Department of Justice and the Federal Trade Commission. Issued August 19, 2010.</w:t>
      </w:r>
    </w:p>
  </w:footnote>
  <w:footnote w:id="78">
    <w:p w14:paraId="64D8A95C" w14:textId="4EA91239" w:rsidR="0022119E" w:rsidRPr="002260EE" w:rsidRDefault="0022119E"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w:t>
      </w:r>
      <w:r w:rsidR="00955500" w:rsidRPr="002260EE">
        <w:rPr>
          <w:rFonts w:cs="Times New Roman"/>
          <w:shd w:val="clear" w:color="auto" w:fill="FFFFFF"/>
        </w:rPr>
        <w:t>We note that the cost containment goals are set out on a per capita basis. At the service area level, demand is predicted to be relatively steady through 2040 across the patient population. For imaging services, utilization will fall for a period and then start rising while for ASC services utilization will decline slightly, which suggests that the per capita estimates for the service area population would vary only slightly from these estimates. We note that Medicaid utilization of imaging services is projected to increase through 2040.</w:t>
      </w:r>
    </w:p>
  </w:footnote>
  <w:footnote w:id="79">
    <w:p w14:paraId="1F5D5675" w14:textId="50130163" w:rsidR="001216A7" w:rsidRPr="002260EE" w:rsidRDefault="001216A7" w:rsidP="002260EE">
      <w:pPr>
        <w:numPr>
          <w:ilvl w:val="0"/>
          <w:numId w:val="0"/>
        </w:numPr>
        <w:spacing w:before="0" w:after="0" w:line="240" w:lineRule="auto"/>
        <w:contextualSpacing/>
        <w:rPr>
          <w:rFonts w:cs="Times New Roman"/>
          <w:sz w:val="20"/>
          <w:szCs w:val="20"/>
        </w:rPr>
      </w:pPr>
      <w:r w:rsidRPr="002260EE">
        <w:rPr>
          <w:rStyle w:val="FootnoteReference"/>
          <w:rFonts w:cs="Times New Roman"/>
          <w:sz w:val="20"/>
          <w:szCs w:val="20"/>
        </w:rPr>
        <w:footnoteRef/>
      </w:r>
      <w:r w:rsidRPr="002260EE">
        <w:rPr>
          <w:rFonts w:cs="Times New Roman"/>
          <w:sz w:val="20"/>
          <w:szCs w:val="20"/>
        </w:rPr>
        <w:t xml:space="preserve"> Among other sources</w:t>
      </w:r>
      <w:r w:rsidR="00F7192D" w:rsidRPr="002260EE">
        <w:rPr>
          <w:rFonts w:cs="Times New Roman"/>
          <w:sz w:val="20"/>
          <w:szCs w:val="20"/>
        </w:rPr>
        <w:t xml:space="preserve"> of </w:t>
      </w:r>
      <w:r w:rsidR="00F7192D" w:rsidRPr="0032096B">
        <w:rPr>
          <w:rFonts w:cs="Times New Roman"/>
          <w:color w:val="000000" w:themeColor="text1"/>
          <w:sz w:val="20"/>
          <w:szCs w:val="20"/>
        </w:rPr>
        <w:t>information on healthcare expenditures, premiums and out-of-pocket costs and other trends in employer-based and other coverage of healthcare</w:t>
      </w:r>
      <w:r w:rsidRPr="0032096B">
        <w:rPr>
          <w:rFonts w:cs="Times New Roman"/>
          <w:color w:val="000000" w:themeColor="text1"/>
          <w:sz w:val="20"/>
          <w:szCs w:val="20"/>
        </w:rPr>
        <w:t>, see, e.g., the 2021 Kaiser Family Foundation annual health benefits survey, “</w:t>
      </w:r>
      <w:hyperlink r:id="rId39" w:history="1">
        <w:r w:rsidRPr="0032096B">
          <w:rPr>
            <w:rStyle w:val="Hyperlink"/>
            <w:rFonts w:cs="Times New Roman"/>
            <w:color w:val="000000" w:themeColor="text1"/>
            <w:sz w:val="20"/>
            <w:szCs w:val="20"/>
            <w:u w:val="none"/>
          </w:rPr>
          <w:t>Employer Health Benefits: 2021 Annual Survey</w:t>
        </w:r>
      </w:hyperlink>
      <w:r w:rsidRPr="0032096B">
        <w:rPr>
          <w:rFonts w:cs="Times New Roman"/>
          <w:color w:val="000000" w:themeColor="text1"/>
          <w:sz w:val="20"/>
          <w:szCs w:val="20"/>
        </w:rPr>
        <w:t xml:space="preserve">.” </w:t>
      </w:r>
      <w:r w:rsidRPr="002260EE">
        <w:rPr>
          <w:rFonts w:cs="Times New Roman"/>
          <w:i/>
          <w:iCs/>
          <w:sz w:val="20"/>
          <w:szCs w:val="20"/>
        </w:rPr>
        <w:t xml:space="preserve">Kaiser Family Foundation </w:t>
      </w:r>
      <w:r w:rsidRPr="002260EE">
        <w:rPr>
          <w:rFonts w:cs="Times New Roman"/>
          <w:sz w:val="20"/>
          <w:szCs w:val="20"/>
        </w:rPr>
        <w:t xml:space="preserve">(November 2021). </w:t>
      </w:r>
      <w:hyperlink r:id="rId40" w:history="1">
        <w:r w:rsidRPr="002260EE">
          <w:rPr>
            <w:rStyle w:val="Hyperlink"/>
            <w:rFonts w:cs="Times New Roman"/>
            <w:color w:val="auto"/>
            <w:sz w:val="20"/>
            <w:szCs w:val="20"/>
          </w:rPr>
          <w:t>https://files.kff.org/attachment/Summary-of-Findings- Employer-Health-Benefits-2021.pdf</w:t>
        </w:r>
      </w:hyperlink>
      <w:r w:rsidRPr="002260EE">
        <w:rPr>
          <w:rFonts w:cs="Times New Roman"/>
          <w:sz w:val="20"/>
          <w:szCs w:val="20"/>
        </w:rPr>
        <w:t xml:space="preserve">. </w:t>
      </w:r>
    </w:p>
    <w:p w14:paraId="508E73A5" w14:textId="5ACA988D" w:rsidR="001216A7" w:rsidRPr="002260EE" w:rsidRDefault="001216A7" w:rsidP="002260EE">
      <w:pPr>
        <w:pStyle w:val="FootnoteText"/>
        <w:spacing w:before="0"/>
        <w:contextualSpacing/>
        <w:rPr>
          <w:rFonts w:cs="Times New Roman"/>
        </w:rPr>
      </w:pPr>
    </w:p>
  </w:footnote>
  <w:footnote w:id="80">
    <w:p w14:paraId="7AE48921" w14:textId="21EA9ACF" w:rsidR="00B2130C" w:rsidRPr="002260EE" w:rsidRDefault="00B2130C"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The </w:t>
      </w:r>
      <w:hyperlink r:id="rId41" w:history="1">
        <w:r w:rsidRPr="0032096B">
          <w:rPr>
            <w:rStyle w:val="Hyperlink"/>
            <w:rFonts w:cs="Times New Roman"/>
            <w:color w:val="000000" w:themeColor="text1"/>
            <w:u w:val="none"/>
          </w:rPr>
          <w:t>list of 13 MassHealth ACO health plans</w:t>
        </w:r>
      </w:hyperlink>
      <w:r w:rsidRPr="0032096B">
        <w:rPr>
          <w:rFonts w:cs="Times New Roman"/>
          <w:color w:val="000000" w:themeColor="text1"/>
        </w:rPr>
        <w:t xml:space="preserve"> </w:t>
      </w:r>
      <w:r w:rsidRPr="002260EE">
        <w:rPr>
          <w:rFonts w:cs="Times New Roman"/>
        </w:rPr>
        <w:t xml:space="preserve">is available on Mass.gov/MassHealth at </w:t>
      </w:r>
      <w:hyperlink r:id="rId42" w:history="1">
        <w:r w:rsidRPr="002260EE">
          <w:rPr>
            <w:rStyle w:val="Hyperlink"/>
            <w:rFonts w:cs="Times New Roman"/>
            <w:color w:val="auto"/>
          </w:rPr>
          <w:t>https://www.mass.gov/service-details/accountable-care-partnership-plan</w:t>
        </w:r>
      </w:hyperlink>
      <w:r w:rsidRPr="002260EE">
        <w:rPr>
          <w:rFonts w:cs="Times New Roman"/>
        </w:rPr>
        <w:t>. Network provider are from the Enrollment Guide  and</w:t>
      </w:r>
      <w:r w:rsidR="00517BBF" w:rsidRPr="002260EE">
        <w:rPr>
          <w:rFonts w:cs="Times New Roman"/>
        </w:rPr>
        <w:t xml:space="preserve"> </w:t>
      </w:r>
      <w:r w:rsidRPr="002260EE">
        <w:rPr>
          <w:rFonts w:cs="Times New Roman"/>
        </w:rPr>
        <w:t xml:space="preserve">January 1, 2022 the </w:t>
      </w:r>
      <w:hyperlink r:id="rId43" w:history="1">
        <w:r w:rsidRPr="0032096B">
          <w:rPr>
            <w:rStyle w:val="Hyperlink"/>
            <w:rFonts w:cs="Times New Roman"/>
            <w:color w:val="000000" w:themeColor="text1"/>
            <w:u w:val="none"/>
          </w:rPr>
          <w:t>Tufts Health Together with Boston Children’s ACO Provider Directory</w:t>
        </w:r>
      </w:hyperlink>
      <w:r w:rsidRPr="002260EE">
        <w:rPr>
          <w:rFonts w:cs="Times New Roman"/>
        </w:rPr>
        <w:t xml:space="preserve">, available at: </w:t>
      </w:r>
      <w:hyperlink r:id="rId44" w:history="1">
        <w:r w:rsidRPr="002260EE">
          <w:rPr>
            <w:rStyle w:val="Hyperlink"/>
            <w:rFonts w:cs="Times New Roman"/>
            <w:color w:val="auto"/>
          </w:rPr>
          <w:t>https://tuftshealthplan.com/documents/microsites/tufts-health-together-with-boston-children-s/tufts-health-together-with-boston-childrens-provid</w:t>
        </w:r>
      </w:hyperlink>
      <w:r w:rsidRPr="002260EE">
        <w:rPr>
          <w:rStyle w:val="Hyperlink"/>
          <w:rFonts w:cs="Times New Roman"/>
          <w:color w:val="auto"/>
        </w:rPr>
        <w:t xml:space="preserve">. </w:t>
      </w:r>
      <w:hyperlink r:id="rId45" w:history="1">
        <w:r w:rsidRPr="0032096B">
          <w:rPr>
            <w:rStyle w:val="Hyperlink"/>
            <w:rFonts w:cs="Times New Roman"/>
            <w:color w:val="000000" w:themeColor="text1"/>
            <w:u w:val="none"/>
          </w:rPr>
          <w:t>A summary of covered benefits and programs is available on the website of Tufts Health Together</w:t>
        </w:r>
      </w:hyperlink>
      <w:r w:rsidRPr="002260EE">
        <w:rPr>
          <w:rFonts w:cs="Times New Roman"/>
        </w:rPr>
        <w:t xml:space="preserve"> with Boston Children’s ACO at: </w:t>
      </w:r>
      <w:hyperlink r:id="rId46" w:history="1">
        <w:r w:rsidRPr="002260EE">
          <w:rPr>
            <w:rStyle w:val="Hyperlink"/>
            <w:rFonts w:cs="Times New Roman"/>
            <w:color w:val="auto"/>
          </w:rPr>
          <w:t>https://tuftshealthplan.com/public-plan/childrens-aco/visitor/whats-covered</w:t>
        </w:r>
      </w:hyperlink>
      <w:r w:rsidRPr="002260EE">
        <w:rPr>
          <w:rStyle w:val="Hyperlink"/>
          <w:rFonts w:cs="Times New Roman"/>
          <w:color w:val="auto"/>
        </w:rPr>
        <w:t xml:space="preserve">. </w:t>
      </w:r>
    </w:p>
  </w:footnote>
  <w:footnote w:id="81">
    <w:p w14:paraId="345DA230" w14:textId="410DFDAE" w:rsidR="00F34788" w:rsidRPr="002260EE" w:rsidRDefault="00F34788"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The 34 service areas of the Tufts Health Together with Boston Children’s ACO Provider Directory are identified in the </w:t>
      </w:r>
      <w:hyperlink r:id="rId47" w:history="1">
        <w:r w:rsidRPr="0032096B">
          <w:rPr>
            <w:rStyle w:val="Hyperlink"/>
            <w:rFonts w:cs="Times New Roman"/>
            <w:b/>
            <w:bCs/>
            <w:i/>
            <w:iCs/>
            <w:color w:val="000000" w:themeColor="text1"/>
            <w:u w:val="none"/>
          </w:rPr>
          <w:t>2021 MassHealth Enrollment Guide</w:t>
        </w:r>
      </w:hyperlink>
      <w:r w:rsidRPr="002260EE">
        <w:rPr>
          <w:rFonts w:cs="Times New Roman"/>
        </w:rPr>
        <w:t xml:space="preserve">, as of January 1, 2022 available at </w:t>
      </w:r>
      <w:hyperlink r:id="rId48" w:history="1">
        <w:r w:rsidRPr="002260EE">
          <w:rPr>
            <w:rStyle w:val="Hyperlink"/>
            <w:rFonts w:cs="Times New Roman"/>
            <w:color w:val="auto"/>
          </w:rPr>
          <w:t>https://www.mass.gov/doc/masshealth-enrollment-guide-2/download</w:t>
        </w:r>
      </w:hyperlink>
      <w:r w:rsidRPr="002260EE">
        <w:rPr>
          <w:rFonts w:cs="Times New Roman"/>
        </w:rPr>
        <w:t xml:space="preserve"> (p.20). This page (p. 20) lists these 34 service areas for this ACO:</w:t>
      </w:r>
      <w:r w:rsidR="00517BBF" w:rsidRPr="002260EE">
        <w:rPr>
          <w:rFonts w:cs="Times New Roman"/>
        </w:rPr>
        <w:t xml:space="preserve"> </w:t>
      </w:r>
      <w:r w:rsidRPr="002260EE">
        <w:rPr>
          <w:rFonts w:cs="Times New Roman"/>
        </w:rPr>
        <w:t>Adams Attleboro Barnstable Beverly Boston Brockton Fall River Falmouth Framingham Gardner-Fitchburg Haverhill Holyoke Lawrence Lowell Lynn Malden Nantucket New Bedford Northampton Oak Bluffs Orleans Plymouth Quincy Revere Salem Somerville Southbridge Springfield Taunton Waltham Wareham Westfield Woburn Worcester, and a more detailed lists of the individual cities that are included within these 34 service areas is provided at page 36.</w:t>
      </w:r>
    </w:p>
  </w:footnote>
  <w:footnote w:id="82">
    <w:p w14:paraId="5E7DD3DC" w14:textId="1B47ED26" w:rsidR="00DE4B8B" w:rsidRPr="002260EE" w:rsidRDefault="00DE4B8B"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See appendix for list of CPT codes used to identify Sleep Medicine visits. </w:t>
      </w:r>
    </w:p>
  </w:footnote>
  <w:footnote w:id="83">
    <w:p w14:paraId="33CA9284" w14:textId="2F0EC2D7" w:rsidR="00F131A7" w:rsidRPr="002260EE" w:rsidRDefault="00F131A7" w:rsidP="002260EE">
      <w:pPr>
        <w:pStyle w:val="FootnoteText"/>
        <w:spacing w:before="0"/>
        <w:contextualSpacing/>
        <w:rPr>
          <w:rFonts w:cs="Times New Roman"/>
        </w:rPr>
      </w:pPr>
      <w:r w:rsidRPr="002260EE">
        <w:rPr>
          <w:rStyle w:val="FootnoteReference"/>
          <w:rFonts w:cs="Times New Roman"/>
        </w:rPr>
        <w:footnoteRef/>
      </w:r>
      <w:r w:rsidRPr="002260EE">
        <w:rPr>
          <w:rFonts w:cs="Times New Roman"/>
        </w:rPr>
        <w:t xml:space="preserve"> See appendix for list of CPT codes used to identify </w:t>
      </w:r>
      <w:r w:rsidR="00A46629" w:rsidRPr="002260EE">
        <w:rPr>
          <w:rFonts w:cs="Times New Roman"/>
        </w:rPr>
        <w:t>GI</w:t>
      </w:r>
      <w:r w:rsidRPr="002260EE">
        <w:rPr>
          <w:rFonts w:cs="Times New Roman"/>
        </w:rPr>
        <w:t xml:space="preserve"> visits</w:t>
      </w:r>
      <w:r w:rsidR="00A46629" w:rsidRPr="002260EE">
        <w:rPr>
          <w:rFonts w:cs="Times New Roman"/>
        </w:rPr>
        <w:t xml:space="preserve"> in the service area; these codes were used to approximate </w:t>
      </w:r>
      <w:r w:rsidR="0008711F" w:rsidRPr="002260EE">
        <w:rPr>
          <w:rFonts w:cs="Times New Roman"/>
        </w:rPr>
        <w:t>GI services potentially to be offered at</w:t>
      </w:r>
      <w:r w:rsidR="00A46629" w:rsidRPr="002260EE">
        <w:rPr>
          <w:rFonts w:cs="Times New Roman"/>
        </w:rPr>
        <w:t xml:space="preserve"> Needham.</w:t>
      </w:r>
    </w:p>
  </w:footnote>
  <w:footnote w:id="84">
    <w:p w14:paraId="0E6115ED" w14:textId="4D94922D" w:rsidR="00EA0CA1" w:rsidRPr="002260EE" w:rsidRDefault="00EA0CA1" w:rsidP="002260EE">
      <w:pPr>
        <w:pStyle w:val="Bullet"/>
        <w:numPr>
          <w:ilvl w:val="0"/>
          <w:numId w:val="0"/>
        </w:numPr>
        <w:spacing w:before="0" w:after="0"/>
        <w:contextualSpacing/>
        <w:jc w:val="both"/>
        <w:rPr>
          <w:rFonts w:ascii="Times New Roman" w:hAnsi="Times New Roman" w:cs="Times New Roman"/>
          <w:color w:val="auto"/>
          <w:sz w:val="20"/>
          <w:szCs w:val="20"/>
        </w:rPr>
      </w:pPr>
      <w:r w:rsidRPr="002260EE">
        <w:rPr>
          <w:rStyle w:val="FootnoteReference"/>
          <w:rFonts w:ascii="Times New Roman" w:hAnsi="Times New Roman" w:cs="Times New Roman"/>
          <w:color w:val="auto"/>
          <w:sz w:val="20"/>
          <w:szCs w:val="20"/>
        </w:rPr>
        <w:footnoteRef/>
      </w:r>
      <w:r w:rsidRPr="002260EE">
        <w:rPr>
          <w:rFonts w:ascii="Times New Roman" w:hAnsi="Times New Roman" w:cs="Times New Roman"/>
          <w:color w:val="auto"/>
          <w:sz w:val="20"/>
          <w:szCs w:val="20"/>
        </w:rPr>
        <w:t xml:space="preserve"> </w:t>
      </w:r>
      <w:r w:rsidR="002C599D" w:rsidRPr="002260EE">
        <w:rPr>
          <w:rFonts w:ascii="Times New Roman" w:hAnsi="Times New Roman" w:cs="Times New Roman"/>
          <w:color w:val="auto"/>
          <w:sz w:val="20"/>
          <w:szCs w:val="20"/>
        </w:rPr>
        <w:t>More detail on the</w:t>
      </w:r>
      <w:r w:rsidRPr="002260EE">
        <w:rPr>
          <w:rFonts w:ascii="Times New Roman" w:hAnsi="Times New Roman" w:cs="Times New Roman"/>
          <w:color w:val="auto"/>
          <w:sz w:val="20"/>
          <w:szCs w:val="20"/>
        </w:rPr>
        <w:t xml:space="preserve"> Partial Hospitalization Programs is provided in the Appendix.</w:t>
      </w:r>
      <w:r w:rsidR="007B1FD0" w:rsidRPr="002260EE">
        <w:rPr>
          <w:rFonts w:ascii="Times New Roman" w:hAnsi="Times New Roman" w:cs="Times New Roman"/>
          <w:color w:val="auto"/>
          <w:sz w:val="20"/>
          <w:szCs w:val="20"/>
        </w:rPr>
        <w:t xml:space="preserve"> We note that these programs are few in number</w:t>
      </w:r>
      <w:r w:rsidR="002A3D0C" w:rsidRPr="002260EE">
        <w:rPr>
          <w:rFonts w:ascii="Times New Roman" w:hAnsi="Times New Roman" w:cs="Times New Roman"/>
          <w:color w:val="auto"/>
          <w:sz w:val="20"/>
          <w:szCs w:val="20"/>
        </w:rPr>
        <w:t>,</w:t>
      </w:r>
      <w:r w:rsidR="007B1FD0" w:rsidRPr="002260EE">
        <w:rPr>
          <w:rFonts w:ascii="Times New Roman" w:hAnsi="Times New Roman" w:cs="Times New Roman"/>
          <w:color w:val="auto"/>
          <w:sz w:val="20"/>
          <w:szCs w:val="20"/>
        </w:rPr>
        <w:t xml:space="preserve"> especially those that work with adolescents and that they do not seem to be large in scale.</w:t>
      </w:r>
      <w:r w:rsidR="00F96984" w:rsidRPr="002260EE">
        <w:rPr>
          <w:rFonts w:ascii="Times New Roman" w:hAnsi="Times New Roman" w:cs="Times New Roman"/>
          <w:color w:val="auto"/>
          <w:sz w:val="20"/>
          <w:szCs w:val="20"/>
        </w:rPr>
        <w:t xml:space="preserve"> Additional research of the Regional Guides for the Massachusetts Behavioral Partnership identified Adolescent Partial Hospitalization Programs; these are limited in number, and for example include Baystate Medical Center (Western Region); Arbour Counseling Services, Henry Heywood Hospital, Walden Behavioral Care, and Wayside Youth and Family Support (Central Region); Boston Center HRI Clinics, Inc., Bournewood Hospital, and Walden Behavioral Care (Metro Boston Region); Salem Hospital and Walden (Northeast Region); and Justice Resource Institute, McLean, and Pembroke Hospital (Southeast Region). </w:t>
      </w:r>
    </w:p>
  </w:footnote>
  <w:footnote w:id="85">
    <w:p w14:paraId="51351522" w14:textId="3770599A" w:rsidR="007B1FD0" w:rsidRPr="002260EE" w:rsidRDefault="007B1FD0" w:rsidP="002260EE">
      <w:pPr>
        <w:pStyle w:val="FootnoteText"/>
        <w:spacing w:before="0"/>
        <w:contextualSpacing/>
        <w:rPr>
          <w:rFonts w:cs="Times New Roman"/>
        </w:rPr>
      </w:pPr>
      <w:r w:rsidRPr="002260EE">
        <w:rPr>
          <w:rStyle w:val="FootnoteReference"/>
          <w:rFonts w:cs="Times New Roman"/>
        </w:rPr>
        <w:footnoteRef/>
      </w:r>
      <w:r w:rsidR="00E86764" w:rsidRPr="002260EE">
        <w:rPr>
          <w:rFonts w:cs="Times New Roman"/>
        </w:rPr>
        <w:t xml:space="preserve"> A. Stephen Lenz, et. al. “</w:t>
      </w:r>
      <w:hyperlink r:id="rId49" w:history="1">
        <w:r w:rsidR="00E86764" w:rsidRPr="00BC50C4">
          <w:rPr>
            <w:rStyle w:val="Hyperlink"/>
            <w:rFonts w:cs="Times New Roman"/>
            <w:color w:val="000000" w:themeColor="text1"/>
            <w:u w:val="none"/>
          </w:rPr>
          <w:t>Evaluation of a Partial Hospitalization Program for Adolescents</w:t>
        </w:r>
      </w:hyperlink>
      <w:r w:rsidR="00E86764" w:rsidRPr="002260EE">
        <w:rPr>
          <w:rFonts w:cs="Times New Roman"/>
        </w:rPr>
        <w:t xml:space="preserve">.” </w:t>
      </w:r>
      <w:r w:rsidR="00E86764" w:rsidRPr="002260EE">
        <w:rPr>
          <w:rFonts w:cs="Times New Roman"/>
          <w:i/>
          <w:iCs/>
        </w:rPr>
        <w:t>Counseling Outcome Research and Evaluation</w:t>
      </w:r>
      <w:r w:rsidR="00E86764" w:rsidRPr="002260EE">
        <w:rPr>
          <w:rFonts w:cs="Times New Roman"/>
        </w:rPr>
        <w:t xml:space="preserve"> (2014). DOI: 10.1177/2150137813518063. </w:t>
      </w:r>
      <w:hyperlink r:id="rId50" w:history="1">
        <w:r w:rsidRPr="002260EE">
          <w:rPr>
            <w:rStyle w:val="Hyperlink"/>
            <w:rFonts w:cs="Times New Roman"/>
            <w:color w:val="auto"/>
          </w:rPr>
          <w:t>https://www.researchgate.net/profile/A-Lenz/publication/274468465_Evaluation_of_a_Partial_Hospitalization_Program_for_Adolescents/links/553d814a0cf2c415bb0f66d1/Evaluation-of-a-Partial-Hospitalization-Program-for-Adolescents.pdf</w:t>
        </w:r>
      </w:hyperlink>
      <w:r w:rsidR="005B7062" w:rsidRPr="002260EE">
        <w:rPr>
          <w:rFonts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CC731" w14:textId="75F0FF67" w:rsidR="00753B77" w:rsidRPr="00445502" w:rsidRDefault="00FA782E" w:rsidP="00BE32C9">
    <w:pPr>
      <w:pStyle w:val="Header"/>
      <w:numPr>
        <w:ilvl w:val="0"/>
        <w:numId w:val="0"/>
      </w:numPr>
    </w:pPr>
    <w:r w:rsidRPr="00445502">
      <w:t>Independent Cost Analysis for Boston Children’s Hospital DoN Application #BCH 20171411-HE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AA1E" w14:textId="5D899AEF" w:rsidR="009A4FC6" w:rsidRPr="00FA782E" w:rsidRDefault="00FA782E" w:rsidP="00BE32C9">
    <w:pPr>
      <w:pStyle w:val="Header"/>
      <w:numPr>
        <w:ilvl w:val="0"/>
        <w:numId w:val="0"/>
      </w:numPr>
      <w:ind w:left="633"/>
    </w:pPr>
    <w:r>
      <w:rPr>
        <w:noProof/>
      </w:rPr>
      <w:drawing>
        <wp:inline distT="0" distB="0" distL="0" distR="0" wp14:anchorId="0309A9C8" wp14:editId="526A87EE">
          <wp:extent cx="1920240" cy="640080"/>
          <wp:effectExtent l="0" t="0" r="3810" b="7620"/>
          <wp:docPr id="26" name="Picture 26" descr="FTI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TI Consulting"/>
                  <pic:cNvPicPr/>
                </pic:nvPicPr>
                <pic:blipFill>
                  <a:blip r:embed="rId1">
                    <a:extLst>
                      <a:ext uri="{28A0092B-C50C-407E-A947-70E740481C1C}">
                        <a14:useLocalDpi xmlns:a14="http://schemas.microsoft.com/office/drawing/2010/main" val="0"/>
                      </a:ext>
                    </a:extLst>
                  </a:blip>
                  <a:stretch>
                    <a:fillRect/>
                  </a:stretch>
                </pic:blipFill>
                <pic:spPr>
                  <a:xfrm>
                    <a:off x="0" y="0"/>
                    <a:ext cx="1920240" cy="6400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AF20CCC"/>
    <w:lvl w:ilvl="0">
      <w:start w:val="1"/>
      <w:numFmt w:val="decimal"/>
      <w:pStyle w:val="ListNumber"/>
      <w:lvlText w:val="%1."/>
      <w:lvlJc w:val="left"/>
      <w:pPr>
        <w:tabs>
          <w:tab w:val="num" w:pos="360"/>
        </w:tabs>
        <w:ind w:left="360" w:hanging="360"/>
      </w:pPr>
    </w:lvl>
  </w:abstractNum>
  <w:abstractNum w:abstractNumId="1" w15:restartNumberingAfterBreak="0">
    <w:nsid w:val="02760A7B"/>
    <w:multiLevelType w:val="hybridMultilevel"/>
    <w:tmpl w:val="668EE7CC"/>
    <w:lvl w:ilvl="0" w:tplc="1EE47AF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66E92"/>
    <w:multiLevelType w:val="hybridMultilevel"/>
    <w:tmpl w:val="28F6A84A"/>
    <w:lvl w:ilvl="0" w:tplc="68C86114">
      <w:start w:val="1"/>
      <w:numFmt w:val="decimal"/>
      <w:lvlText w:val="%1."/>
      <w:lvlJc w:val="left"/>
      <w:pPr>
        <w:ind w:left="810" w:hanging="360"/>
      </w:pPr>
      <w:rPr>
        <w:b w:val="0"/>
        <w:bCs/>
      </w:rPr>
    </w:lvl>
    <w:lvl w:ilvl="1" w:tplc="04090001">
      <w:start w:val="1"/>
      <w:numFmt w:val="bullet"/>
      <w:lvlText w:val=""/>
      <w:lvlJc w:val="left"/>
      <w:pPr>
        <w:ind w:left="450" w:hanging="360"/>
      </w:pPr>
      <w:rPr>
        <w:rFonts w:ascii="Symbol" w:hAnsi="Symbol" w:hint="default"/>
      </w:rPr>
    </w:lvl>
    <w:lvl w:ilvl="2" w:tplc="04090003">
      <w:start w:val="1"/>
      <w:numFmt w:val="bullet"/>
      <w:lvlText w:val="o"/>
      <w:lvlJc w:val="left"/>
      <w:pPr>
        <w:ind w:left="630" w:hanging="180"/>
      </w:pPr>
      <w:rPr>
        <w:rFonts w:ascii="Courier New" w:hAnsi="Courier New" w:cs="Courier New" w:hint="default"/>
      </w:rPr>
    </w:lvl>
    <w:lvl w:ilvl="3" w:tplc="38AA5EA8">
      <w:numFmt w:val="bullet"/>
      <w:lvlText w:val="-"/>
      <w:lvlJc w:val="left"/>
      <w:pPr>
        <w:ind w:left="2520" w:hanging="360"/>
      </w:pPr>
      <w:rPr>
        <w:rFonts w:ascii="Calibri" w:eastAsiaTheme="minorHAnsi" w:hAnsi="Calibri" w:cs="Calibri" w:hint="default"/>
      </w:rPr>
    </w:lvl>
    <w:lvl w:ilvl="4" w:tplc="E1F2A980">
      <w:start w:val="2"/>
      <w:numFmt w:val="upperLetter"/>
      <w:lvlText w:val="%5."/>
      <w:lvlJc w:val="left"/>
      <w:pPr>
        <w:ind w:left="63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746090"/>
    <w:multiLevelType w:val="hybridMultilevel"/>
    <w:tmpl w:val="9A762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00729"/>
    <w:multiLevelType w:val="hybridMultilevel"/>
    <w:tmpl w:val="C0FE7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955B12"/>
    <w:multiLevelType w:val="hybridMultilevel"/>
    <w:tmpl w:val="95E60004"/>
    <w:lvl w:ilvl="0" w:tplc="DC22B674">
      <w:start w:val="1"/>
      <w:numFmt w:val="decimal"/>
      <w:pStyle w:val="Normal"/>
      <w:lvlText w:val="%1."/>
      <w:lvlJc w:val="left"/>
      <w:pPr>
        <w:ind w:left="810" w:hanging="360"/>
      </w:pPr>
      <w:rPr>
        <w:b w:val="0"/>
        <w:bCs/>
        <w:i w:val="0"/>
        <w:iCs w:val="0"/>
      </w:rPr>
    </w:lvl>
    <w:lvl w:ilvl="1" w:tplc="04090001">
      <w:start w:val="1"/>
      <w:numFmt w:val="bullet"/>
      <w:lvlText w:val=""/>
      <w:lvlJc w:val="left"/>
      <w:pPr>
        <w:ind w:left="450" w:hanging="360"/>
      </w:pPr>
      <w:rPr>
        <w:rFonts w:ascii="Symbol" w:hAnsi="Symbol" w:hint="default"/>
      </w:rPr>
    </w:lvl>
    <w:lvl w:ilvl="2" w:tplc="04090003">
      <w:start w:val="1"/>
      <w:numFmt w:val="bullet"/>
      <w:lvlText w:val="o"/>
      <w:lvlJc w:val="left"/>
      <w:pPr>
        <w:ind w:left="630" w:hanging="180"/>
      </w:pPr>
      <w:rPr>
        <w:rFonts w:ascii="Courier New" w:hAnsi="Courier New" w:cs="Courier New" w:hint="default"/>
      </w:rPr>
    </w:lvl>
    <w:lvl w:ilvl="3" w:tplc="38AA5EA8">
      <w:numFmt w:val="bullet"/>
      <w:lvlText w:val="-"/>
      <w:lvlJc w:val="left"/>
      <w:pPr>
        <w:ind w:left="2520" w:hanging="360"/>
      </w:pPr>
      <w:rPr>
        <w:rFonts w:ascii="Calibri" w:eastAsiaTheme="minorHAnsi" w:hAnsi="Calibri" w:cs="Calibri" w:hint="default"/>
      </w:rPr>
    </w:lvl>
    <w:lvl w:ilvl="4" w:tplc="31E47576">
      <w:start w:val="1"/>
      <w:numFmt w:val="upperLetter"/>
      <w:lvlText w:val="%5."/>
      <w:lvlJc w:val="left"/>
      <w:pPr>
        <w:ind w:left="63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A6F7B34"/>
    <w:multiLevelType w:val="hybridMultilevel"/>
    <w:tmpl w:val="8F94A07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4AD5331"/>
    <w:multiLevelType w:val="hybridMultilevel"/>
    <w:tmpl w:val="7C2E8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62E20"/>
    <w:multiLevelType w:val="multilevel"/>
    <w:tmpl w:val="9444754A"/>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color w:val="auto"/>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9" w15:restartNumberingAfterBreak="0">
    <w:nsid w:val="266A76D1"/>
    <w:multiLevelType w:val="hybridMultilevel"/>
    <w:tmpl w:val="2666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854FCA"/>
    <w:multiLevelType w:val="hybridMultilevel"/>
    <w:tmpl w:val="676E5A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A15626"/>
    <w:multiLevelType w:val="multilevel"/>
    <w:tmpl w:val="7A6ABE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C315724"/>
    <w:multiLevelType w:val="hybridMultilevel"/>
    <w:tmpl w:val="C22A36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38A43F7"/>
    <w:multiLevelType w:val="multilevel"/>
    <w:tmpl w:val="4FE68D6A"/>
    <w:lvl w:ilvl="0">
      <w:start w:val="1"/>
      <w:numFmt w:val="bullet"/>
      <w:pStyle w:val="Bullet"/>
      <w:lvlText w:val="■"/>
      <w:lvlJc w:val="left"/>
      <w:pPr>
        <w:ind w:left="288" w:hanging="288"/>
      </w:pPr>
      <w:rPr>
        <w:rFonts w:ascii="Arial Black" w:hAnsi="Arial Black" w:hint="default"/>
        <w:b/>
        <w:i w:val="0"/>
        <w:color w:val="ED7D31" w:themeColor="accent2"/>
      </w:rPr>
    </w:lvl>
    <w:lvl w:ilvl="1">
      <w:start w:val="1"/>
      <w:numFmt w:val="bullet"/>
      <w:pStyle w:val="BulletSub"/>
      <w:lvlText w:val="—"/>
      <w:lvlJc w:val="left"/>
      <w:pPr>
        <w:ind w:left="634" w:hanging="346"/>
      </w:pPr>
      <w:rPr>
        <w:rFonts w:ascii="Calibri" w:hAnsi="Calibri" w:hint="default"/>
        <w:b w:val="0"/>
        <w:i w:val="0"/>
        <w:color w:val="ED7D31" w:themeColor="accent2"/>
      </w:rPr>
    </w:lvl>
    <w:lvl w:ilvl="2">
      <w:start w:val="1"/>
      <w:numFmt w:val="bullet"/>
      <w:lvlText w:val="○"/>
      <w:lvlJc w:val="left"/>
      <w:pPr>
        <w:ind w:left="907" w:hanging="273"/>
      </w:pPr>
      <w:rPr>
        <w:rFonts w:ascii="Calibri" w:hAnsi="Calibri" w:hint="default"/>
        <w:b/>
        <w:i w:val="0"/>
        <w:color w:val="ED7D31" w:themeColor="accent2"/>
      </w:rPr>
    </w:lvl>
    <w:lvl w:ilvl="3">
      <w:start w:val="1"/>
      <w:numFmt w:val="bullet"/>
      <w:lvlText w:val="○"/>
      <w:lvlJc w:val="left"/>
      <w:pPr>
        <w:ind w:left="1181" w:hanging="274"/>
      </w:pPr>
      <w:rPr>
        <w:rFonts w:ascii="Calibri" w:hAnsi="Calibri" w:hint="default"/>
        <w:b/>
        <w:i w:val="0"/>
        <w:color w:val="ED7D31" w:themeColor="accent2"/>
      </w:rPr>
    </w:lvl>
    <w:lvl w:ilvl="4">
      <w:start w:val="1"/>
      <w:numFmt w:val="bullet"/>
      <w:lvlText w:val="○"/>
      <w:lvlJc w:val="left"/>
      <w:pPr>
        <w:ind w:left="1454" w:hanging="273"/>
      </w:pPr>
      <w:rPr>
        <w:rFonts w:ascii="Calibri" w:hAnsi="Calibri" w:hint="default"/>
        <w:b/>
        <w:i w:val="0"/>
        <w:color w:val="ED7D31" w:themeColor="accent2"/>
      </w:rPr>
    </w:lvl>
    <w:lvl w:ilvl="5">
      <w:start w:val="1"/>
      <w:numFmt w:val="bullet"/>
      <w:lvlText w:val="○"/>
      <w:lvlJc w:val="left"/>
      <w:pPr>
        <w:ind w:left="1728" w:hanging="274"/>
      </w:pPr>
      <w:rPr>
        <w:rFonts w:ascii="Calibri" w:hAnsi="Calibri" w:hint="default"/>
        <w:b/>
        <w:i w:val="0"/>
        <w:color w:val="ED7D31" w:themeColor="accent2"/>
      </w:rPr>
    </w:lvl>
    <w:lvl w:ilvl="6">
      <w:start w:val="1"/>
      <w:numFmt w:val="bullet"/>
      <w:lvlText w:val="○"/>
      <w:lvlJc w:val="left"/>
      <w:pPr>
        <w:ind w:left="2002" w:hanging="274"/>
      </w:pPr>
      <w:rPr>
        <w:rFonts w:ascii="Calibri" w:hAnsi="Calibri" w:hint="default"/>
        <w:b/>
        <w:i w:val="0"/>
        <w:color w:val="ED7D31" w:themeColor="accent2"/>
      </w:rPr>
    </w:lvl>
    <w:lvl w:ilvl="7">
      <w:start w:val="1"/>
      <w:numFmt w:val="bullet"/>
      <w:lvlText w:val="○"/>
      <w:lvlJc w:val="left"/>
      <w:pPr>
        <w:ind w:left="2275" w:hanging="273"/>
      </w:pPr>
      <w:rPr>
        <w:rFonts w:ascii="Calibri" w:hAnsi="Calibri" w:hint="default"/>
        <w:b/>
        <w:i w:val="0"/>
        <w:color w:val="ED7D31" w:themeColor="accent2"/>
      </w:rPr>
    </w:lvl>
    <w:lvl w:ilvl="8">
      <w:start w:val="1"/>
      <w:numFmt w:val="bullet"/>
      <w:lvlText w:val="○"/>
      <w:lvlJc w:val="left"/>
      <w:pPr>
        <w:ind w:left="2549" w:hanging="274"/>
      </w:pPr>
      <w:rPr>
        <w:rFonts w:ascii="Calibri" w:hAnsi="Calibri" w:hint="default"/>
        <w:b/>
        <w:i w:val="0"/>
        <w:color w:val="ED7D31" w:themeColor="accent2"/>
      </w:rPr>
    </w:lvl>
  </w:abstractNum>
  <w:abstractNum w:abstractNumId="14" w15:restartNumberingAfterBreak="0">
    <w:nsid w:val="44A11B4F"/>
    <w:multiLevelType w:val="hybridMultilevel"/>
    <w:tmpl w:val="C2D6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DF7990"/>
    <w:multiLevelType w:val="hybridMultilevel"/>
    <w:tmpl w:val="297849D2"/>
    <w:lvl w:ilvl="0" w:tplc="2E70EC8E">
      <w:start w:val="4"/>
      <w:numFmt w:val="upperLetter"/>
      <w:lvlText w:val="%1."/>
      <w:lvlJc w:val="left"/>
      <w:pPr>
        <w:ind w:left="993" w:hanging="360"/>
      </w:pPr>
      <w:rPr>
        <w:rFonts w:hint="default"/>
      </w:rPr>
    </w:lvl>
    <w:lvl w:ilvl="1" w:tplc="04090019" w:tentative="1">
      <w:start w:val="1"/>
      <w:numFmt w:val="lowerLetter"/>
      <w:lvlText w:val="%2."/>
      <w:lvlJc w:val="left"/>
      <w:pPr>
        <w:ind w:left="1713" w:hanging="360"/>
      </w:pPr>
    </w:lvl>
    <w:lvl w:ilvl="2" w:tplc="0409001B">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6" w15:restartNumberingAfterBreak="0">
    <w:nsid w:val="5DF966D7"/>
    <w:multiLevelType w:val="hybridMultilevel"/>
    <w:tmpl w:val="67C446AE"/>
    <w:lvl w:ilvl="0" w:tplc="E42AC598">
      <w:start w:val="1"/>
      <w:numFmt w:val="decimal"/>
      <w:pStyle w:val="NumberedParagraphs"/>
      <w:lvlText w:val="%1."/>
      <w:lvlJc w:val="left"/>
      <w:pPr>
        <w:ind w:left="360" w:hanging="360"/>
      </w:pPr>
      <w:rPr>
        <w:rFonts w:ascii="Times New Roman" w:hAnsi="Times New Roman" w:cs="Times New Roman" w:hint="default"/>
        <w:sz w:val="24"/>
        <w:szCs w:val="24"/>
        <w:vertAlign w:val="baseline"/>
      </w:rPr>
    </w:lvl>
    <w:lvl w:ilvl="1" w:tplc="04090001">
      <w:start w:val="1"/>
      <w:numFmt w:val="bullet"/>
      <w:lvlText w:val=""/>
      <w:lvlJc w:val="left"/>
      <w:pPr>
        <w:ind w:left="1440" w:hanging="360"/>
      </w:pPr>
      <w:rPr>
        <w:rFonts w:ascii="SimSun" w:hAnsi="SimSu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5A6CB4"/>
    <w:multiLevelType w:val="hybridMultilevel"/>
    <w:tmpl w:val="2DA22332"/>
    <w:lvl w:ilvl="0" w:tplc="8DD48C3E">
      <w:start w:val="3"/>
      <w:numFmt w:val="upperLetter"/>
      <w:lvlText w:val="%1."/>
      <w:lvlJc w:val="left"/>
      <w:pPr>
        <w:ind w:left="99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304DE1"/>
    <w:multiLevelType w:val="multilevel"/>
    <w:tmpl w:val="FDB4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362A53"/>
    <w:multiLevelType w:val="multilevel"/>
    <w:tmpl w:val="0409001D"/>
    <w:styleLink w:val="BulletPoints"/>
    <w:lvl w:ilvl="0">
      <w:start w:val="1"/>
      <w:numFmt w:val="bullet"/>
      <w:lvlText w:val="­"/>
      <w:lvlJc w:val="left"/>
      <w:pPr>
        <w:ind w:left="360" w:hanging="360"/>
      </w:pPr>
      <w:rPr>
        <w:rFonts w:ascii="Courier New" w:hAnsi="Courier New" w:hint="default"/>
        <w:sz w:val="24"/>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Courier New" w:hAnsi="Courier New" w:hint="default"/>
      </w:rPr>
    </w:lvl>
    <w:lvl w:ilvl="3">
      <w:start w:val="1"/>
      <w:numFmt w:val="bullet"/>
      <w:lvlText w:val="­"/>
      <w:lvlJc w:val="left"/>
      <w:pPr>
        <w:ind w:left="1440" w:hanging="360"/>
      </w:pPr>
      <w:rPr>
        <w:rFonts w:ascii="Courier New" w:hAnsi="Courier New" w:hint="default"/>
      </w:rPr>
    </w:lvl>
    <w:lvl w:ilvl="4">
      <w:start w:val="1"/>
      <w:numFmt w:val="bullet"/>
      <w:lvlText w:val="­"/>
      <w:lvlJc w:val="left"/>
      <w:pPr>
        <w:ind w:left="1800" w:hanging="360"/>
      </w:pPr>
      <w:rPr>
        <w:rFonts w:ascii="Courier New" w:hAnsi="Courier New" w:hint="default"/>
      </w:rPr>
    </w:lvl>
    <w:lvl w:ilvl="5">
      <w:start w:val="1"/>
      <w:numFmt w:val="bullet"/>
      <w:lvlText w:val="­"/>
      <w:lvlJc w:val="left"/>
      <w:pPr>
        <w:ind w:left="2160" w:hanging="360"/>
      </w:pPr>
      <w:rPr>
        <w:rFonts w:ascii="Courier New" w:hAnsi="Courier New" w:hint="default"/>
      </w:rPr>
    </w:lvl>
    <w:lvl w:ilvl="6">
      <w:start w:val="1"/>
      <w:numFmt w:val="bullet"/>
      <w:lvlText w:val="­"/>
      <w:lvlJc w:val="left"/>
      <w:pPr>
        <w:ind w:left="2520" w:hanging="360"/>
      </w:pPr>
      <w:rPr>
        <w:rFonts w:ascii="Courier New" w:hAnsi="Courier New" w:hint="default"/>
      </w:rPr>
    </w:lvl>
    <w:lvl w:ilvl="7">
      <w:start w:val="1"/>
      <w:numFmt w:val="bullet"/>
      <w:lvlText w:val="­"/>
      <w:lvlJc w:val="left"/>
      <w:pPr>
        <w:ind w:left="2880" w:hanging="360"/>
      </w:pPr>
      <w:rPr>
        <w:rFonts w:ascii="Courier New" w:hAnsi="Courier New" w:hint="default"/>
      </w:rPr>
    </w:lvl>
    <w:lvl w:ilvl="8">
      <w:start w:val="1"/>
      <w:numFmt w:val="bullet"/>
      <w:lvlText w:val="­"/>
      <w:lvlJc w:val="left"/>
      <w:pPr>
        <w:ind w:left="3240" w:hanging="360"/>
      </w:pPr>
      <w:rPr>
        <w:rFonts w:ascii="Courier New" w:hAnsi="Courier New" w:hint="default"/>
      </w:rPr>
    </w:lvl>
  </w:abstractNum>
  <w:abstractNum w:abstractNumId="20" w15:restartNumberingAfterBreak="0">
    <w:nsid w:val="704F5331"/>
    <w:multiLevelType w:val="hybridMultilevel"/>
    <w:tmpl w:val="809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1C14936"/>
    <w:multiLevelType w:val="multilevel"/>
    <w:tmpl w:val="70EA4FE0"/>
    <w:lvl w:ilvl="0">
      <w:start w:val="1"/>
      <w:numFmt w:val="decimal"/>
      <w:pStyle w:val="Heading1Numbered"/>
      <w:lvlText w:val="%1."/>
      <w:lvlJc w:val="left"/>
      <w:pPr>
        <w:ind w:left="288" w:hanging="288"/>
      </w:pPr>
      <w:rPr>
        <w:rFonts w:hint="default"/>
      </w:rPr>
    </w:lvl>
    <w:lvl w:ilvl="1">
      <w:start w:val="1"/>
      <w:numFmt w:val="decimal"/>
      <w:pStyle w:val="BodyTextNumbered"/>
      <w:lvlText w:val="%1.%2."/>
      <w:lvlJc w:val="left"/>
      <w:pPr>
        <w:ind w:left="634" w:hanging="634"/>
      </w:pPr>
      <w:rPr>
        <w:rFonts w:ascii="Calibri" w:hAnsi="Calibri" w:hint="default"/>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odyTextNumberedLevel2"/>
      <w:lvlText w:val="%1.%2.%3."/>
      <w:lvlJc w:val="left"/>
      <w:pPr>
        <w:tabs>
          <w:tab w:val="num" w:pos="634"/>
        </w:tabs>
        <w:ind w:left="634" w:hanging="28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odyTextNumberedLevel3"/>
      <w:lvlText w:val="%1.%2.%3.%4."/>
      <w:lvlJc w:val="left"/>
      <w:pPr>
        <w:ind w:left="2160" w:hanging="125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3D1656E"/>
    <w:multiLevelType w:val="multilevel"/>
    <w:tmpl w:val="E8AEF2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4064EF2"/>
    <w:multiLevelType w:val="hybridMultilevel"/>
    <w:tmpl w:val="D90674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30924398">
    <w:abstractNumId w:val="8"/>
  </w:num>
  <w:num w:numId="2" w16cid:durableId="1755278253">
    <w:abstractNumId w:val="5"/>
  </w:num>
  <w:num w:numId="3" w16cid:durableId="805781689">
    <w:abstractNumId w:val="23"/>
  </w:num>
  <w:num w:numId="4" w16cid:durableId="45106876">
    <w:abstractNumId w:val="19"/>
  </w:num>
  <w:num w:numId="5" w16cid:durableId="395200588">
    <w:abstractNumId w:val="13"/>
  </w:num>
  <w:num w:numId="6" w16cid:durableId="1425035028">
    <w:abstractNumId w:val="21"/>
  </w:num>
  <w:num w:numId="7" w16cid:durableId="668218982">
    <w:abstractNumId w:val="15"/>
  </w:num>
  <w:num w:numId="8" w16cid:durableId="679746196">
    <w:abstractNumId w:val="1"/>
  </w:num>
  <w:num w:numId="9" w16cid:durableId="96490897">
    <w:abstractNumId w:val="2"/>
  </w:num>
  <w:num w:numId="10" w16cid:durableId="599528036">
    <w:abstractNumId w:val="17"/>
  </w:num>
  <w:num w:numId="11" w16cid:durableId="496313667">
    <w:abstractNumId w:val="8"/>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3587775">
    <w:abstractNumId w:val="3"/>
  </w:num>
  <w:num w:numId="13" w16cid:durableId="972566211">
    <w:abstractNumId w:val="10"/>
  </w:num>
  <w:num w:numId="14" w16cid:durableId="1426997546">
    <w:abstractNumId w:val="14"/>
  </w:num>
  <w:num w:numId="15" w16cid:durableId="611863660">
    <w:abstractNumId w:val="5"/>
    <w:lvlOverride w:ilvl="0">
      <w:startOverride w:val="1"/>
    </w:lvlOverride>
  </w:num>
  <w:num w:numId="16" w16cid:durableId="484978366">
    <w:abstractNumId w:val="5"/>
    <w:lvlOverride w:ilvl="0">
      <w:startOverride w:val="2"/>
    </w:lvlOverride>
  </w:num>
  <w:num w:numId="17" w16cid:durableId="949701039">
    <w:abstractNumId w:val="5"/>
    <w:lvlOverride w:ilvl="0">
      <w:startOverride w:val="1"/>
    </w:lvlOverride>
  </w:num>
  <w:num w:numId="18" w16cid:durableId="484395540">
    <w:abstractNumId w:val="5"/>
    <w:lvlOverride w:ilvl="0">
      <w:startOverride w:val="1"/>
    </w:lvlOverride>
  </w:num>
  <w:num w:numId="19" w16cid:durableId="486868450">
    <w:abstractNumId w:val="5"/>
    <w:lvlOverride w:ilvl="0">
      <w:startOverride w:val="1"/>
    </w:lvlOverride>
  </w:num>
  <w:num w:numId="20" w16cid:durableId="1044405026">
    <w:abstractNumId w:val="6"/>
  </w:num>
  <w:num w:numId="21" w16cid:durableId="1724525414">
    <w:abstractNumId w:val="7"/>
  </w:num>
  <w:num w:numId="22" w16cid:durableId="1318650941">
    <w:abstractNumId w:val="18"/>
  </w:num>
  <w:num w:numId="23" w16cid:durableId="139621564">
    <w:abstractNumId w:val="20"/>
  </w:num>
  <w:num w:numId="24" w16cid:durableId="306937791">
    <w:abstractNumId w:val="5"/>
    <w:lvlOverride w:ilvl="0">
      <w:startOverride w:val="1"/>
    </w:lvlOverride>
  </w:num>
  <w:num w:numId="25" w16cid:durableId="972637808">
    <w:abstractNumId w:val="5"/>
    <w:lvlOverride w:ilvl="0">
      <w:startOverride w:val="1"/>
    </w:lvlOverride>
  </w:num>
  <w:num w:numId="26" w16cid:durableId="1458066786">
    <w:abstractNumId w:val="4"/>
  </w:num>
  <w:num w:numId="27" w16cid:durableId="1411659389">
    <w:abstractNumId w:val="0"/>
  </w:num>
  <w:num w:numId="28" w16cid:durableId="959460601">
    <w:abstractNumId w:val="16"/>
  </w:num>
  <w:num w:numId="29" w16cid:durableId="4887911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275389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4155530">
    <w:abstractNumId w:val="11"/>
  </w:num>
  <w:num w:numId="32" w16cid:durableId="1082139546">
    <w:abstractNumId w:val="5"/>
    <w:lvlOverride w:ilvl="0">
      <w:startOverride w:val="1"/>
    </w:lvlOverride>
  </w:num>
  <w:num w:numId="33" w16cid:durableId="185676979">
    <w:abstractNumId w:val="9"/>
  </w:num>
  <w:num w:numId="34" w16cid:durableId="1128206893">
    <w:abstractNumId w:val="5"/>
    <w:lvlOverride w:ilvl="0">
      <w:startOverride w:val="1"/>
    </w:lvlOverride>
  </w:num>
  <w:num w:numId="35" w16cid:durableId="1566525625">
    <w:abstractNumId w:val="5"/>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revisionView w:markup="0"/>
  <w:documentProtection w:edit="readOnly" w:enforcement="0"/>
  <w:defaultTabStop w:val="720"/>
  <w:defaultTableStyle w:val="GridTable4-Accent1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A37"/>
    <w:rsid w:val="00000A86"/>
    <w:rsid w:val="00014CD3"/>
    <w:rsid w:val="00014F93"/>
    <w:rsid w:val="00017A50"/>
    <w:rsid w:val="00021175"/>
    <w:rsid w:val="000235F2"/>
    <w:rsid w:val="000257B5"/>
    <w:rsid w:val="00027B71"/>
    <w:rsid w:val="00033616"/>
    <w:rsid w:val="00036C32"/>
    <w:rsid w:val="00042472"/>
    <w:rsid w:val="00045F3A"/>
    <w:rsid w:val="00046627"/>
    <w:rsid w:val="00047F58"/>
    <w:rsid w:val="00051FAE"/>
    <w:rsid w:val="00053F0A"/>
    <w:rsid w:val="0006093C"/>
    <w:rsid w:val="00063DBD"/>
    <w:rsid w:val="00063DC3"/>
    <w:rsid w:val="0006423A"/>
    <w:rsid w:val="00065056"/>
    <w:rsid w:val="0006632F"/>
    <w:rsid w:val="00066F60"/>
    <w:rsid w:val="00071DEA"/>
    <w:rsid w:val="00071F0C"/>
    <w:rsid w:val="000732CF"/>
    <w:rsid w:val="00080FD5"/>
    <w:rsid w:val="00083FF7"/>
    <w:rsid w:val="0008711F"/>
    <w:rsid w:val="00092414"/>
    <w:rsid w:val="00095CDC"/>
    <w:rsid w:val="000A21DE"/>
    <w:rsid w:val="000A4765"/>
    <w:rsid w:val="000A4BFB"/>
    <w:rsid w:val="000A6158"/>
    <w:rsid w:val="000B012B"/>
    <w:rsid w:val="000B0467"/>
    <w:rsid w:val="000B0A87"/>
    <w:rsid w:val="000B3632"/>
    <w:rsid w:val="000B3680"/>
    <w:rsid w:val="000B4611"/>
    <w:rsid w:val="000B4E11"/>
    <w:rsid w:val="000B4EA8"/>
    <w:rsid w:val="000B6683"/>
    <w:rsid w:val="000C22F6"/>
    <w:rsid w:val="000C2310"/>
    <w:rsid w:val="000C2B65"/>
    <w:rsid w:val="000D3254"/>
    <w:rsid w:val="000D5425"/>
    <w:rsid w:val="000D567C"/>
    <w:rsid w:val="000D74A6"/>
    <w:rsid w:val="000D7CE1"/>
    <w:rsid w:val="000E2A83"/>
    <w:rsid w:val="000E3A9B"/>
    <w:rsid w:val="000E737C"/>
    <w:rsid w:val="000F1B3A"/>
    <w:rsid w:val="000F3A35"/>
    <w:rsid w:val="000F5B01"/>
    <w:rsid w:val="000F62B8"/>
    <w:rsid w:val="00100BEB"/>
    <w:rsid w:val="001030A9"/>
    <w:rsid w:val="00120849"/>
    <w:rsid w:val="001216A7"/>
    <w:rsid w:val="00124DEA"/>
    <w:rsid w:val="001272FC"/>
    <w:rsid w:val="00132A95"/>
    <w:rsid w:val="00132E56"/>
    <w:rsid w:val="001365A7"/>
    <w:rsid w:val="0014030F"/>
    <w:rsid w:val="001411C8"/>
    <w:rsid w:val="00142056"/>
    <w:rsid w:val="00150E21"/>
    <w:rsid w:val="001530BC"/>
    <w:rsid w:val="001538C6"/>
    <w:rsid w:val="0016038A"/>
    <w:rsid w:val="00161A5B"/>
    <w:rsid w:val="001657D3"/>
    <w:rsid w:val="00165D30"/>
    <w:rsid w:val="0017068E"/>
    <w:rsid w:val="0017428E"/>
    <w:rsid w:val="0017664D"/>
    <w:rsid w:val="00176BA0"/>
    <w:rsid w:val="00181639"/>
    <w:rsid w:val="00181736"/>
    <w:rsid w:val="0018239C"/>
    <w:rsid w:val="00182A0E"/>
    <w:rsid w:val="00182ACF"/>
    <w:rsid w:val="00182DB2"/>
    <w:rsid w:val="00186C0F"/>
    <w:rsid w:val="00193ABD"/>
    <w:rsid w:val="001946D3"/>
    <w:rsid w:val="0019606E"/>
    <w:rsid w:val="001962E4"/>
    <w:rsid w:val="001968F4"/>
    <w:rsid w:val="00197906"/>
    <w:rsid w:val="001A2EC5"/>
    <w:rsid w:val="001A3C2C"/>
    <w:rsid w:val="001A4ADD"/>
    <w:rsid w:val="001A70E3"/>
    <w:rsid w:val="001B2050"/>
    <w:rsid w:val="001B6D47"/>
    <w:rsid w:val="001B75BE"/>
    <w:rsid w:val="001C0571"/>
    <w:rsid w:val="001C318D"/>
    <w:rsid w:val="001C7363"/>
    <w:rsid w:val="001D06AC"/>
    <w:rsid w:val="001D1144"/>
    <w:rsid w:val="001D2815"/>
    <w:rsid w:val="001E0E64"/>
    <w:rsid w:val="001E2954"/>
    <w:rsid w:val="001E2DF2"/>
    <w:rsid w:val="001E5C89"/>
    <w:rsid w:val="001E69E1"/>
    <w:rsid w:val="001F1582"/>
    <w:rsid w:val="001F3D89"/>
    <w:rsid w:val="001F5499"/>
    <w:rsid w:val="001F662D"/>
    <w:rsid w:val="00200A44"/>
    <w:rsid w:val="00202EF8"/>
    <w:rsid w:val="00206E37"/>
    <w:rsid w:val="00214BA4"/>
    <w:rsid w:val="00221146"/>
    <w:rsid w:val="0022119E"/>
    <w:rsid w:val="00221BFD"/>
    <w:rsid w:val="00222F3C"/>
    <w:rsid w:val="00223D0D"/>
    <w:rsid w:val="002260EE"/>
    <w:rsid w:val="00230A52"/>
    <w:rsid w:val="00231B6D"/>
    <w:rsid w:val="002326D4"/>
    <w:rsid w:val="00233783"/>
    <w:rsid w:val="002378EF"/>
    <w:rsid w:val="00240C96"/>
    <w:rsid w:val="00242759"/>
    <w:rsid w:val="0024438B"/>
    <w:rsid w:val="00251E6C"/>
    <w:rsid w:val="00252C14"/>
    <w:rsid w:val="00252FA2"/>
    <w:rsid w:val="00254A83"/>
    <w:rsid w:val="002616D5"/>
    <w:rsid w:val="0026455D"/>
    <w:rsid w:val="00266A39"/>
    <w:rsid w:val="002676F8"/>
    <w:rsid w:val="00270DF5"/>
    <w:rsid w:val="00271BD6"/>
    <w:rsid w:val="0027211F"/>
    <w:rsid w:val="00272768"/>
    <w:rsid w:val="00274BE1"/>
    <w:rsid w:val="0027633D"/>
    <w:rsid w:val="0027772B"/>
    <w:rsid w:val="00277DAD"/>
    <w:rsid w:val="002825FB"/>
    <w:rsid w:val="002939DD"/>
    <w:rsid w:val="002941F3"/>
    <w:rsid w:val="002A00D6"/>
    <w:rsid w:val="002A3D0C"/>
    <w:rsid w:val="002A5CE6"/>
    <w:rsid w:val="002A5E20"/>
    <w:rsid w:val="002B15F5"/>
    <w:rsid w:val="002C599D"/>
    <w:rsid w:val="002C7C11"/>
    <w:rsid w:val="002D150D"/>
    <w:rsid w:val="002D17B0"/>
    <w:rsid w:val="002D2B38"/>
    <w:rsid w:val="002D2C08"/>
    <w:rsid w:val="002D4C2C"/>
    <w:rsid w:val="002D6028"/>
    <w:rsid w:val="002D6FBB"/>
    <w:rsid w:val="002D781D"/>
    <w:rsid w:val="002E3ED9"/>
    <w:rsid w:val="002E6504"/>
    <w:rsid w:val="002F0846"/>
    <w:rsid w:val="002F08C6"/>
    <w:rsid w:val="002F0E51"/>
    <w:rsid w:val="002F15F8"/>
    <w:rsid w:val="002F48C1"/>
    <w:rsid w:val="002F55CD"/>
    <w:rsid w:val="002F567B"/>
    <w:rsid w:val="00300D5E"/>
    <w:rsid w:val="003119D5"/>
    <w:rsid w:val="003171FA"/>
    <w:rsid w:val="0032096B"/>
    <w:rsid w:val="00323EEE"/>
    <w:rsid w:val="0033043E"/>
    <w:rsid w:val="00330C59"/>
    <w:rsid w:val="00330C78"/>
    <w:rsid w:val="00333A91"/>
    <w:rsid w:val="00333AB4"/>
    <w:rsid w:val="00333CF3"/>
    <w:rsid w:val="00335BA9"/>
    <w:rsid w:val="00336C87"/>
    <w:rsid w:val="00340280"/>
    <w:rsid w:val="00347344"/>
    <w:rsid w:val="00347EE0"/>
    <w:rsid w:val="0035036D"/>
    <w:rsid w:val="003512FD"/>
    <w:rsid w:val="00351BDB"/>
    <w:rsid w:val="0036000C"/>
    <w:rsid w:val="00363347"/>
    <w:rsid w:val="003635E6"/>
    <w:rsid w:val="00364B25"/>
    <w:rsid w:val="0036592E"/>
    <w:rsid w:val="00365FBF"/>
    <w:rsid w:val="003742A7"/>
    <w:rsid w:val="00374DF9"/>
    <w:rsid w:val="00374F70"/>
    <w:rsid w:val="00380304"/>
    <w:rsid w:val="003808B6"/>
    <w:rsid w:val="00385291"/>
    <w:rsid w:val="00385576"/>
    <w:rsid w:val="003926A2"/>
    <w:rsid w:val="00392A24"/>
    <w:rsid w:val="00394610"/>
    <w:rsid w:val="00394BF8"/>
    <w:rsid w:val="003963DD"/>
    <w:rsid w:val="00397823"/>
    <w:rsid w:val="003A1596"/>
    <w:rsid w:val="003A1981"/>
    <w:rsid w:val="003A41DF"/>
    <w:rsid w:val="003A658F"/>
    <w:rsid w:val="003A6EA2"/>
    <w:rsid w:val="003A7761"/>
    <w:rsid w:val="003A79DA"/>
    <w:rsid w:val="003B334C"/>
    <w:rsid w:val="003B78C8"/>
    <w:rsid w:val="003C0C7E"/>
    <w:rsid w:val="003C1B45"/>
    <w:rsid w:val="003C2C77"/>
    <w:rsid w:val="003C3AF5"/>
    <w:rsid w:val="003D00B7"/>
    <w:rsid w:val="003D3426"/>
    <w:rsid w:val="003D3489"/>
    <w:rsid w:val="003D3AE5"/>
    <w:rsid w:val="003D3CD2"/>
    <w:rsid w:val="003D502B"/>
    <w:rsid w:val="003E2FEF"/>
    <w:rsid w:val="003E465F"/>
    <w:rsid w:val="003E4BDD"/>
    <w:rsid w:val="003F09C3"/>
    <w:rsid w:val="003F14AA"/>
    <w:rsid w:val="003F2F69"/>
    <w:rsid w:val="003F4E49"/>
    <w:rsid w:val="003F6A91"/>
    <w:rsid w:val="003F6CD5"/>
    <w:rsid w:val="00400663"/>
    <w:rsid w:val="004021E5"/>
    <w:rsid w:val="00403C21"/>
    <w:rsid w:val="00405DEE"/>
    <w:rsid w:val="004120AF"/>
    <w:rsid w:val="00412AAF"/>
    <w:rsid w:val="00413E4E"/>
    <w:rsid w:val="0041555A"/>
    <w:rsid w:val="00416393"/>
    <w:rsid w:val="00417A55"/>
    <w:rsid w:val="00421013"/>
    <w:rsid w:val="0042257F"/>
    <w:rsid w:val="004254FC"/>
    <w:rsid w:val="0043693C"/>
    <w:rsid w:val="00437ED4"/>
    <w:rsid w:val="0044085D"/>
    <w:rsid w:val="0044281E"/>
    <w:rsid w:val="00445502"/>
    <w:rsid w:val="004474E3"/>
    <w:rsid w:val="00451DBE"/>
    <w:rsid w:val="0045387A"/>
    <w:rsid w:val="004549D2"/>
    <w:rsid w:val="00456F31"/>
    <w:rsid w:val="00462788"/>
    <w:rsid w:val="004629FE"/>
    <w:rsid w:val="00464B40"/>
    <w:rsid w:val="00467CF3"/>
    <w:rsid w:val="004711B5"/>
    <w:rsid w:val="0047222D"/>
    <w:rsid w:val="004736BB"/>
    <w:rsid w:val="0047467F"/>
    <w:rsid w:val="00475EC7"/>
    <w:rsid w:val="00477986"/>
    <w:rsid w:val="00480CF5"/>
    <w:rsid w:val="004826C3"/>
    <w:rsid w:val="0048290F"/>
    <w:rsid w:val="0048402A"/>
    <w:rsid w:val="00491A77"/>
    <w:rsid w:val="00493005"/>
    <w:rsid w:val="00497049"/>
    <w:rsid w:val="00497567"/>
    <w:rsid w:val="004A1C95"/>
    <w:rsid w:val="004A2F87"/>
    <w:rsid w:val="004A4C05"/>
    <w:rsid w:val="004A6D36"/>
    <w:rsid w:val="004B14E9"/>
    <w:rsid w:val="004B41C6"/>
    <w:rsid w:val="004C192B"/>
    <w:rsid w:val="004D163A"/>
    <w:rsid w:val="004D503E"/>
    <w:rsid w:val="004D5F67"/>
    <w:rsid w:val="004E0FF5"/>
    <w:rsid w:val="004E2B5A"/>
    <w:rsid w:val="004E3CF6"/>
    <w:rsid w:val="004E6F51"/>
    <w:rsid w:val="004F6DFB"/>
    <w:rsid w:val="00501C9B"/>
    <w:rsid w:val="00501FAC"/>
    <w:rsid w:val="00506D17"/>
    <w:rsid w:val="0051333A"/>
    <w:rsid w:val="00514445"/>
    <w:rsid w:val="0051690D"/>
    <w:rsid w:val="00517792"/>
    <w:rsid w:val="00517BBF"/>
    <w:rsid w:val="005238B7"/>
    <w:rsid w:val="00523CE6"/>
    <w:rsid w:val="00527EE7"/>
    <w:rsid w:val="0053137E"/>
    <w:rsid w:val="00535662"/>
    <w:rsid w:val="00537AD1"/>
    <w:rsid w:val="00543454"/>
    <w:rsid w:val="00543F00"/>
    <w:rsid w:val="0054767B"/>
    <w:rsid w:val="00547D1F"/>
    <w:rsid w:val="00551E89"/>
    <w:rsid w:val="0055292A"/>
    <w:rsid w:val="00554033"/>
    <w:rsid w:val="005546EC"/>
    <w:rsid w:val="005605AF"/>
    <w:rsid w:val="00560890"/>
    <w:rsid w:val="005627E1"/>
    <w:rsid w:val="005634E2"/>
    <w:rsid w:val="0056723E"/>
    <w:rsid w:val="00570268"/>
    <w:rsid w:val="00570687"/>
    <w:rsid w:val="005749E9"/>
    <w:rsid w:val="005764C7"/>
    <w:rsid w:val="00576AF8"/>
    <w:rsid w:val="00577B6C"/>
    <w:rsid w:val="00580DDF"/>
    <w:rsid w:val="00581318"/>
    <w:rsid w:val="005820B9"/>
    <w:rsid w:val="00591371"/>
    <w:rsid w:val="00592F52"/>
    <w:rsid w:val="00595D29"/>
    <w:rsid w:val="0059639B"/>
    <w:rsid w:val="005A18DC"/>
    <w:rsid w:val="005A276D"/>
    <w:rsid w:val="005A483A"/>
    <w:rsid w:val="005A4906"/>
    <w:rsid w:val="005A5DC2"/>
    <w:rsid w:val="005B111B"/>
    <w:rsid w:val="005B117F"/>
    <w:rsid w:val="005B1ED8"/>
    <w:rsid w:val="005B2678"/>
    <w:rsid w:val="005B2CCF"/>
    <w:rsid w:val="005B6E73"/>
    <w:rsid w:val="005B7062"/>
    <w:rsid w:val="005C08A1"/>
    <w:rsid w:val="005C17F9"/>
    <w:rsid w:val="005D0D21"/>
    <w:rsid w:val="005D7EED"/>
    <w:rsid w:val="005E1811"/>
    <w:rsid w:val="005E3B01"/>
    <w:rsid w:val="005E4884"/>
    <w:rsid w:val="005F6CB0"/>
    <w:rsid w:val="00604E88"/>
    <w:rsid w:val="00605A14"/>
    <w:rsid w:val="006102E5"/>
    <w:rsid w:val="006112CD"/>
    <w:rsid w:val="00612F8F"/>
    <w:rsid w:val="006146DE"/>
    <w:rsid w:val="00616B7B"/>
    <w:rsid w:val="00617E70"/>
    <w:rsid w:val="00617FB3"/>
    <w:rsid w:val="006201E6"/>
    <w:rsid w:val="006203C6"/>
    <w:rsid w:val="006208FD"/>
    <w:rsid w:val="00621320"/>
    <w:rsid w:val="00621402"/>
    <w:rsid w:val="006263D9"/>
    <w:rsid w:val="00626A90"/>
    <w:rsid w:val="006334DE"/>
    <w:rsid w:val="00634573"/>
    <w:rsid w:val="00634628"/>
    <w:rsid w:val="00640B89"/>
    <w:rsid w:val="00642007"/>
    <w:rsid w:val="00643D06"/>
    <w:rsid w:val="00644105"/>
    <w:rsid w:val="006441B8"/>
    <w:rsid w:val="00644CD4"/>
    <w:rsid w:val="006520EB"/>
    <w:rsid w:val="006570E6"/>
    <w:rsid w:val="006573D4"/>
    <w:rsid w:val="006576B1"/>
    <w:rsid w:val="00657A7D"/>
    <w:rsid w:val="00662863"/>
    <w:rsid w:val="00664FCC"/>
    <w:rsid w:val="00667C98"/>
    <w:rsid w:val="00673279"/>
    <w:rsid w:val="00675FAB"/>
    <w:rsid w:val="0068057A"/>
    <w:rsid w:val="00682AF5"/>
    <w:rsid w:val="00684AA7"/>
    <w:rsid w:val="006860CC"/>
    <w:rsid w:val="00692043"/>
    <w:rsid w:val="006928B2"/>
    <w:rsid w:val="00693C6F"/>
    <w:rsid w:val="00694B10"/>
    <w:rsid w:val="00697C29"/>
    <w:rsid w:val="006A1CE2"/>
    <w:rsid w:val="006A43F9"/>
    <w:rsid w:val="006A4E36"/>
    <w:rsid w:val="006A7DE4"/>
    <w:rsid w:val="006B3A21"/>
    <w:rsid w:val="006B4558"/>
    <w:rsid w:val="006B496C"/>
    <w:rsid w:val="006C37FF"/>
    <w:rsid w:val="006C582C"/>
    <w:rsid w:val="006D6D82"/>
    <w:rsid w:val="006E301F"/>
    <w:rsid w:val="006E4A54"/>
    <w:rsid w:val="006E5F6F"/>
    <w:rsid w:val="006E60B7"/>
    <w:rsid w:val="006E6698"/>
    <w:rsid w:val="006E6B14"/>
    <w:rsid w:val="006F0F5A"/>
    <w:rsid w:val="006F2C7C"/>
    <w:rsid w:val="006F3CE3"/>
    <w:rsid w:val="006F3E51"/>
    <w:rsid w:val="006F5331"/>
    <w:rsid w:val="006F64AF"/>
    <w:rsid w:val="006F723F"/>
    <w:rsid w:val="006F7E01"/>
    <w:rsid w:val="006F7F44"/>
    <w:rsid w:val="00700135"/>
    <w:rsid w:val="007036D3"/>
    <w:rsid w:val="00704799"/>
    <w:rsid w:val="00706023"/>
    <w:rsid w:val="00710B77"/>
    <w:rsid w:val="00711D56"/>
    <w:rsid w:val="00712199"/>
    <w:rsid w:val="007132DD"/>
    <w:rsid w:val="00715970"/>
    <w:rsid w:val="00715CA7"/>
    <w:rsid w:val="0072027B"/>
    <w:rsid w:val="007224FE"/>
    <w:rsid w:val="0072361D"/>
    <w:rsid w:val="00731F29"/>
    <w:rsid w:val="00732FA6"/>
    <w:rsid w:val="007336D0"/>
    <w:rsid w:val="00735BCF"/>
    <w:rsid w:val="00737C94"/>
    <w:rsid w:val="00743C3A"/>
    <w:rsid w:val="00744A10"/>
    <w:rsid w:val="00747ACA"/>
    <w:rsid w:val="00753B77"/>
    <w:rsid w:val="00754E38"/>
    <w:rsid w:val="00755CB2"/>
    <w:rsid w:val="00762535"/>
    <w:rsid w:val="00763C52"/>
    <w:rsid w:val="00764FF3"/>
    <w:rsid w:val="00765825"/>
    <w:rsid w:val="0076589D"/>
    <w:rsid w:val="0076661C"/>
    <w:rsid w:val="0077357A"/>
    <w:rsid w:val="00774E38"/>
    <w:rsid w:val="007762D8"/>
    <w:rsid w:val="00781291"/>
    <w:rsid w:val="007813FB"/>
    <w:rsid w:val="00790227"/>
    <w:rsid w:val="00791754"/>
    <w:rsid w:val="00794F9B"/>
    <w:rsid w:val="007A07B2"/>
    <w:rsid w:val="007A448A"/>
    <w:rsid w:val="007A7415"/>
    <w:rsid w:val="007B02BB"/>
    <w:rsid w:val="007B0F12"/>
    <w:rsid w:val="007B1FD0"/>
    <w:rsid w:val="007B351A"/>
    <w:rsid w:val="007B46CD"/>
    <w:rsid w:val="007B4EA0"/>
    <w:rsid w:val="007B691F"/>
    <w:rsid w:val="007C1053"/>
    <w:rsid w:val="007C2FA5"/>
    <w:rsid w:val="007C4482"/>
    <w:rsid w:val="007D1418"/>
    <w:rsid w:val="007D3F93"/>
    <w:rsid w:val="007D48D2"/>
    <w:rsid w:val="007D6C06"/>
    <w:rsid w:val="007E00BA"/>
    <w:rsid w:val="007F179E"/>
    <w:rsid w:val="007F17FC"/>
    <w:rsid w:val="007F27DB"/>
    <w:rsid w:val="007F46EC"/>
    <w:rsid w:val="007F4E52"/>
    <w:rsid w:val="007F7139"/>
    <w:rsid w:val="008006D0"/>
    <w:rsid w:val="00800A4A"/>
    <w:rsid w:val="0080179F"/>
    <w:rsid w:val="00804207"/>
    <w:rsid w:val="00805464"/>
    <w:rsid w:val="00807F39"/>
    <w:rsid w:val="0081155B"/>
    <w:rsid w:val="008126FF"/>
    <w:rsid w:val="00812A95"/>
    <w:rsid w:val="0081620F"/>
    <w:rsid w:val="00816213"/>
    <w:rsid w:val="00817167"/>
    <w:rsid w:val="00817B22"/>
    <w:rsid w:val="00817F1F"/>
    <w:rsid w:val="00820097"/>
    <w:rsid w:val="00822EB2"/>
    <w:rsid w:val="008259EF"/>
    <w:rsid w:val="00830842"/>
    <w:rsid w:val="008401AE"/>
    <w:rsid w:val="00841D7F"/>
    <w:rsid w:val="00842FB6"/>
    <w:rsid w:val="00843185"/>
    <w:rsid w:val="008454E5"/>
    <w:rsid w:val="008512C9"/>
    <w:rsid w:val="00851A82"/>
    <w:rsid w:val="00856849"/>
    <w:rsid w:val="00860B31"/>
    <w:rsid w:val="008656B6"/>
    <w:rsid w:val="00867DD2"/>
    <w:rsid w:val="00870D59"/>
    <w:rsid w:val="00872D2C"/>
    <w:rsid w:val="00876612"/>
    <w:rsid w:val="008775F3"/>
    <w:rsid w:val="00882701"/>
    <w:rsid w:val="008827B3"/>
    <w:rsid w:val="00882DE9"/>
    <w:rsid w:val="00883A2F"/>
    <w:rsid w:val="008906E3"/>
    <w:rsid w:val="008921E6"/>
    <w:rsid w:val="008925FD"/>
    <w:rsid w:val="00895E7B"/>
    <w:rsid w:val="00896720"/>
    <w:rsid w:val="008A128E"/>
    <w:rsid w:val="008A1DEA"/>
    <w:rsid w:val="008A22D7"/>
    <w:rsid w:val="008A5E2B"/>
    <w:rsid w:val="008B0133"/>
    <w:rsid w:val="008B11EB"/>
    <w:rsid w:val="008B16EB"/>
    <w:rsid w:val="008B2F2F"/>
    <w:rsid w:val="008C0164"/>
    <w:rsid w:val="008C0514"/>
    <w:rsid w:val="008C1045"/>
    <w:rsid w:val="008C2968"/>
    <w:rsid w:val="008C3C29"/>
    <w:rsid w:val="008C6276"/>
    <w:rsid w:val="008C6EE0"/>
    <w:rsid w:val="008C75DC"/>
    <w:rsid w:val="008D1102"/>
    <w:rsid w:val="008E2BB1"/>
    <w:rsid w:val="008E35EA"/>
    <w:rsid w:val="008E3DCE"/>
    <w:rsid w:val="008E4EE8"/>
    <w:rsid w:val="008E7285"/>
    <w:rsid w:val="008E7993"/>
    <w:rsid w:val="008E7E48"/>
    <w:rsid w:val="008F2D00"/>
    <w:rsid w:val="008F2E72"/>
    <w:rsid w:val="008F2F8B"/>
    <w:rsid w:val="008F6886"/>
    <w:rsid w:val="00901560"/>
    <w:rsid w:val="00901E4E"/>
    <w:rsid w:val="0090379B"/>
    <w:rsid w:val="00904B99"/>
    <w:rsid w:val="00905DDA"/>
    <w:rsid w:val="00911E08"/>
    <w:rsid w:val="00914DF6"/>
    <w:rsid w:val="00915201"/>
    <w:rsid w:val="009174AF"/>
    <w:rsid w:val="00917C95"/>
    <w:rsid w:val="0092425A"/>
    <w:rsid w:val="00925170"/>
    <w:rsid w:val="0092578C"/>
    <w:rsid w:val="00931191"/>
    <w:rsid w:val="00931502"/>
    <w:rsid w:val="00932399"/>
    <w:rsid w:val="00935142"/>
    <w:rsid w:val="00935ACC"/>
    <w:rsid w:val="009368EF"/>
    <w:rsid w:val="0094033F"/>
    <w:rsid w:val="00941F65"/>
    <w:rsid w:val="0094231E"/>
    <w:rsid w:val="009444D9"/>
    <w:rsid w:val="009462DE"/>
    <w:rsid w:val="00946304"/>
    <w:rsid w:val="009515B5"/>
    <w:rsid w:val="009537F0"/>
    <w:rsid w:val="00955500"/>
    <w:rsid w:val="009566D0"/>
    <w:rsid w:val="009573B3"/>
    <w:rsid w:val="0096221E"/>
    <w:rsid w:val="00963F0B"/>
    <w:rsid w:val="00964D4F"/>
    <w:rsid w:val="00967574"/>
    <w:rsid w:val="00970F23"/>
    <w:rsid w:val="0097196E"/>
    <w:rsid w:val="00980746"/>
    <w:rsid w:val="00984BCD"/>
    <w:rsid w:val="00985074"/>
    <w:rsid w:val="00987DE8"/>
    <w:rsid w:val="0099136C"/>
    <w:rsid w:val="00994448"/>
    <w:rsid w:val="00995963"/>
    <w:rsid w:val="009A09F1"/>
    <w:rsid w:val="009A16D5"/>
    <w:rsid w:val="009A1A7D"/>
    <w:rsid w:val="009A219A"/>
    <w:rsid w:val="009A2590"/>
    <w:rsid w:val="009A293F"/>
    <w:rsid w:val="009A456E"/>
    <w:rsid w:val="009A4706"/>
    <w:rsid w:val="009A4FC6"/>
    <w:rsid w:val="009A6336"/>
    <w:rsid w:val="009A674B"/>
    <w:rsid w:val="009A6CC6"/>
    <w:rsid w:val="009A79C1"/>
    <w:rsid w:val="009B08EA"/>
    <w:rsid w:val="009B1560"/>
    <w:rsid w:val="009B34E1"/>
    <w:rsid w:val="009C0266"/>
    <w:rsid w:val="009C0922"/>
    <w:rsid w:val="009C0E4E"/>
    <w:rsid w:val="009C1D96"/>
    <w:rsid w:val="009C3B20"/>
    <w:rsid w:val="009C3C5B"/>
    <w:rsid w:val="009C3DD3"/>
    <w:rsid w:val="009C486F"/>
    <w:rsid w:val="009C7964"/>
    <w:rsid w:val="009D3340"/>
    <w:rsid w:val="009D47F3"/>
    <w:rsid w:val="009D5070"/>
    <w:rsid w:val="009D79FA"/>
    <w:rsid w:val="009E2CAC"/>
    <w:rsid w:val="009E31D4"/>
    <w:rsid w:val="009E4FBF"/>
    <w:rsid w:val="009E61C2"/>
    <w:rsid w:val="009E75DA"/>
    <w:rsid w:val="009F2173"/>
    <w:rsid w:val="009F48C1"/>
    <w:rsid w:val="009F49E1"/>
    <w:rsid w:val="009F6E30"/>
    <w:rsid w:val="009F717C"/>
    <w:rsid w:val="00A02074"/>
    <w:rsid w:val="00A02AF1"/>
    <w:rsid w:val="00A03C7C"/>
    <w:rsid w:val="00A0755E"/>
    <w:rsid w:val="00A116B7"/>
    <w:rsid w:val="00A11A37"/>
    <w:rsid w:val="00A12647"/>
    <w:rsid w:val="00A12D67"/>
    <w:rsid w:val="00A147AB"/>
    <w:rsid w:val="00A148A7"/>
    <w:rsid w:val="00A1542E"/>
    <w:rsid w:val="00A15B98"/>
    <w:rsid w:val="00A16BE4"/>
    <w:rsid w:val="00A17595"/>
    <w:rsid w:val="00A208EC"/>
    <w:rsid w:val="00A225B0"/>
    <w:rsid w:val="00A22820"/>
    <w:rsid w:val="00A25F02"/>
    <w:rsid w:val="00A27DB2"/>
    <w:rsid w:val="00A30285"/>
    <w:rsid w:val="00A30D6A"/>
    <w:rsid w:val="00A40211"/>
    <w:rsid w:val="00A41D84"/>
    <w:rsid w:val="00A41F0D"/>
    <w:rsid w:val="00A42436"/>
    <w:rsid w:val="00A46629"/>
    <w:rsid w:val="00A508FE"/>
    <w:rsid w:val="00A52FDC"/>
    <w:rsid w:val="00A53425"/>
    <w:rsid w:val="00A535D9"/>
    <w:rsid w:val="00A53A83"/>
    <w:rsid w:val="00A5580F"/>
    <w:rsid w:val="00A5584E"/>
    <w:rsid w:val="00A56048"/>
    <w:rsid w:val="00A66616"/>
    <w:rsid w:val="00A66C9F"/>
    <w:rsid w:val="00A72670"/>
    <w:rsid w:val="00A747A5"/>
    <w:rsid w:val="00A7501B"/>
    <w:rsid w:val="00A753E3"/>
    <w:rsid w:val="00A80407"/>
    <w:rsid w:val="00A822CB"/>
    <w:rsid w:val="00A824BE"/>
    <w:rsid w:val="00A84848"/>
    <w:rsid w:val="00A920B6"/>
    <w:rsid w:val="00A92EDD"/>
    <w:rsid w:val="00A943D6"/>
    <w:rsid w:val="00A94459"/>
    <w:rsid w:val="00A95FA0"/>
    <w:rsid w:val="00A97984"/>
    <w:rsid w:val="00AA5467"/>
    <w:rsid w:val="00AA5F31"/>
    <w:rsid w:val="00AB0B4D"/>
    <w:rsid w:val="00AB4FB5"/>
    <w:rsid w:val="00AB601D"/>
    <w:rsid w:val="00AB6F0E"/>
    <w:rsid w:val="00AC55AC"/>
    <w:rsid w:val="00AD227E"/>
    <w:rsid w:val="00AD4000"/>
    <w:rsid w:val="00AD4CAD"/>
    <w:rsid w:val="00AD79B5"/>
    <w:rsid w:val="00AE0155"/>
    <w:rsid w:val="00AE2412"/>
    <w:rsid w:val="00AE2D05"/>
    <w:rsid w:val="00AE39C1"/>
    <w:rsid w:val="00AE56D1"/>
    <w:rsid w:val="00AE6FC9"/>
    <w:rsid w:val="00AF0B5D"/>
    <w:rsid w:val="00AF1313"/>
    <w:rsid w:val="00AF36B6"/>
    <w:rsid w:val="00AF4032"/>
    <w:rsid w:val="00AF4134"/>
    <w:rsid w:val="00AF6EF5"/>
    <w:rsid w:val="00B012E9"/>
    <w:rsid w:val="00B02B61"/>
    <w:rsid w:val="00B044D2"/>
    <w:rsid w:val="00B0465F"/>
    <w:rsid w:val="00B066DD"/>
    <w:rsid w:val="00B11ECB"/>
    <w:rsid w:val="00B132A8"/>
    <w:rsid w:val="00B209D5"/>
    <w:rsid w:val="00B20B0B"/>
    <w:rsid w:val="00B2130C"/>
    <w:rsid w:val="00B222B5"/>
    <w:rsid w:val="00B22BFD"/>
    <w:rsid w:val="00B2310A"/>
    <w:rsid w:val="00B308CD"/>
    <w:rsid w:val="00B32DB3"/>
    <w:rsid w:val="00B36AFD"/>
    <w:rsid w:val="00B36FEB"/>
    <w:rsid w:val="00B40154"/>
    <w:rsid w:val="00B402A4"/>
    <w:rsid w:val="00B40939"/>
    <w:rsid w:val="00B41A81"/>
    <w:rsid w:val="00B41F34"/>
    <w:rsid w:val="00B45F92"/>
    <w:rsid w:val="00B45FF2"/>
    <w:rsid w:val="00B53BD0"/>
    <w:rsid w:val="00B53F89"/>
    <w:rsid w:val="00B54E8E"/>
    <w:rsid w:val="00B5561F"/>
    <w:rsid w:val="00B60383"/>
    <w:rsid w:val="00B63B78"/>
    <w:rsid w:val="00B65C97"/>
    <w:rsid w:val="00B66512"/>
    <w:rsid w:val="00B749D5"/>
    <w:rsid w:val="00B77761"/>
    <w:rsid w:val="00B82A65"/>
    <w:rsid w:val="00B85514"/>
    <w:rsid w:val="00B8561B"/>
    <w:rsid w:val="00B906C6"/>
    <w:rsid w:val="00B90938"/>
    <w:rsid w:val="00B91DEF"/>
    <w:rsid w:val="00B926F9"/>
    <w:rsid w:val="00B95A2E"/>
    <w:rsid w:val="00B96296"/>
    <w:rsid w:val="00B965BF"/>
    <w:rsid w:val="00B97D88"/>
    <w:rsid w:val="00BA639C"/>
    <w:rsid w:val="00BB1DD4"/>
    <w:rsid w:val="00BB3830"/>
    <w:rsid w:val="00BB3BD8"/>
    <w:rsid w:val="00BB5103"/>
    <w:rsid w:val="00BB541F"/>
    <w:rsid w:val="00BB6A7B"/>
    <w:rsid w:val="00BC03B9"/>
    <w:rsid w:val="00BC50C4"/>
    <w:rsid w:val="00BC5FE6"/>
    <w:rsid w:val="00BD1148"/>
    <w:rsid w:val="00BD215C"/>
    <w:rsid w:val="00BD2FCA"/>
    <w:rsid w:val="00BD4B41"/>
    <w:rsid w:val="00BE32C9"/>
    <w:rsid w:val="00BE5C9A"/>
    <w:rsid w:val="00BF44F4"/>
    <w:rsid w:val="00BF5C37"/>
    <w:rsid w:val="00C0106C"/>
    <w:rsid w:val="00C02A55"/>
    <w:rsid w:val="00C02DF3"/>
    <w:rsid w:val="00C03620"/>
    <w:rsid w:val="00C04DE2"/>
    <w:rsid w:val="00C14241"/>
    <w:rsid w:val="00C14355"/>
    <w:rsid w:val="00C16780"/>
    <w:rsid w:val="00C17CB8"/>
    <w:rsid w:val="00C20AA8"/>
    <w:rsid w:val="00C232B8"/>
    <w:rsid w:val="00C25F32"/>
    <w:rsid w:val="00C260A2"/>
    <w:rsid w:val="00C318EC"/>
    <w:rsid w:val="00C32B60"/>
    <w:rsid w:val="00C32FA4"/>
    <w:rsid w:val="00C344FF"/>
    <w:rsid w:val="00C35ED0"/>
    <w:rsid w:val="00C37AAB"/>
    <w:rsid w:val="00C402C4"/>
    <w:rsid w:val="00C414E3"/>
    <w:rsid w:val="00C42CA5"/>
    <w:rsid w:val="00C44B73"/>
    <w:rsid w:val="00C452EF"/>
    <w:rsid w:val="00C4580F"/>
    <w:rsid w:val="00C45FD9"/>
    <w:rsid w:val="00C46927"/>
    <w:rsid w:val="00C46CE8"/>
    <w:rsid w:val="00C53D91"/>
    <w:rsid w:val="00C5498F"/>
    <w:rsid w:val="00C55F53"/>
    <w:rsid w:val="00C57B54"/>
    <w:rsid w:val="00C61DE4"/>
    <w:rsid w:val="00C6394E"/>
    <w:rsid w:val="00C64428"/>
    <w:rsid w:val="00C66A34"/>
    <w:rsid w:val="00C66B7C"/>
    <w:rsid w:val="00C66EAF"/>
    <w:rsid w:val="00C71550"/>
    <w:rsid w:val="00C74B90"/>
    <w:rsid w:val="00C74EAC"/>
    <w:rsid w:val="00C818B3"/>
    <w:rsid w:val="00C826B4"/>
    <w:rsid w:val="00C85A05"/>
    <w:rsid w:val="00C9626D"/>
    <w:rsid w:val="00CA0F88"/>
    <w:rsid w:val="00CB1481"/>
    <w:rsid w:val="00CB4122"/>
    <w:rsid w:val="00CB4F30"/>
    <w:rsid w:val="00CB7636"/>
    <w:rsid w:val="00CB7A6F"/>
    <w:rsid w:val="00CC00FC"/>
    <w:rsid w:val="00CC24E2"/>
    <w:rsid w:val="00CC36A3"/>
    <w:rsid w:val="00CC3C8B"/>
    <w:rsid w:val="00CC411B"/>
    <w:rsid w:val="00CD4B61"/>
    <w:rsid w:val="00CD6E98"/>
    <w:rsid w:val="00CD6FE3"/>
    <w:rsid w:val="00CD7AD2"/>
    <w:rsid w:val="00CE0B6A"/>
    <w:rsid w:val="00CE0BFB"/>
    <w:rsid w:val="00CE2BD4"/>
    <w:rsid w:val="00CE3653"/>
    <w:rsid w:val="00CE37FB"/>
    <w:rsid w:val="00CE4112"/>
    <w:rsid w:val="00CE4369"/>
    <w:rsid w:val="00CE44EF"/>
    <w:rsid w:val="00CE7C33"/>
    <w:rsid w:val="00CE7C62"/>
    <w:rsid w:val="00CF0F9E"/>
    <w:rsid w:val="00CF1796"/>
    <w:rsid w:val="00CF2339"/>
    <w:rsid w:val="00CF235F"/>
    <w:rsid w:val="00CF5DBF"/>
    <w:rsid w:val="00CF6627"/>
    <w:rsid w:val="00D00C1B"/>
    <w:rsid w:val="00D040CE"/>
    <w:rsid w:val="00D04771"/>
    <w:rsid w:val="00D0518D"/>
    <w:rsid w:val="00D06C2F"/>
    <w:rsid w:val="00D1094B"/>
    <w:rsid w:val="00D11027"/>
    <w:rsid w:val="00D1137D"/>
    <w:rsid w:val="00D1230A"/>
    <w:rsid w:val="00D1354E"/>
    <w:rsid w:val="00D13D59"/>
    <w:rsid w:val="00D16974"/>
    <w:rsid w:val="00D16DB2"/>
    <w:rsid w:val="00D16E3C"/>
    <w:rsid w:val="00D2534E"/>
    <w:rsid w:val="00D25547"/>
    <w:rsid w:val="00D26A05"/>
    <w:rsid w:val="00D31A62"/>
    <w:rsid w:val="00D35AB5"/>
    <w:rsid w:val="00D35B95"/>
    <w:rsid w:val="00D36ADC"/>
    <w:rsid w:val="00D379BD"/>
    <w:rsid w:val="00D424EB"/>
    <w:rsid w:val="00D47475"/>
    <w:rsid w:val="00D548E3"/>
    <w:rsid w:val="00D5588B"/>
    <w:rsid w:val="00D60434"/>
    <w:rsid w:val="00D64A44"/>
    <w:rsid w:val="00D66848"/>
    <w:rsid w:val="00D6703B"/>
    <w:rsid w:val="00D6798C"/>
    <w:rsid w:val="00D67E44"/>
    <w:rsid w:val="00D705C0"/>
    <w:rsid w:val="00D73B79"/>
    <w:rsid w:val="00D81D24"/>
    <w:rsid w:val="00D84FA3"/>
    <w:rsid w:val="00D871EF"/>
    <w:rsid w:val="00D90124"/>
    <w:rsid w:val="00D916A7"/>
    <w:rsid w:val="00D91E54"/>
    <w:rsid w:val="00D921E9"/>
    <w:rsid w:val="00D93D39"/>
    <w:rsid w:val="00D941C4"/>
    <w:rsid w:val="00D9422C"/>
    <w:rsid w:val="00D97B9E"/>
    <w:rsid w:val="00DA04AB"/>
    <w:rsid w:val="00DA4368"/>
    <w:rsid w:val="00DB013F"/>
    <w:rsid w:val="00DB02E2"/>
    <w:rsid w:val="00DB2A7F"/>
    <w:rsid w:val="00DB566D"/>
    <w:rsid w:val="00DB63EA"/>
    <w:rsid w:val="00DB6B15"/>
    <w:rsid w:val="00DB700C"/>
    <w:rsid w:val="00DB7F46"/>
    <w:rsid w:val="00DC0820"/>
    <w:rsid w:val="00DC0A6C"/>
    <w:rsid w:val="00DC18EC"/>
    <w:rsid w:val="00DC23DC"/>
    <w:rsid w:val="00DC357F"/>
    <w:rsid w:val="00DC3E65"/>
    <w:rsid w:val="00DC4426"/>
    <w:rsid w:val="00DC56C8"/>
    <w:rsid w:val="00DD18C8"/>
    <w:rsid w:val="00DD6C90"/>
    <w:rsid w:val="00DE0E8A"/>
    <w:rsid w:val="00DE0ED5"/>
    <w:rsid w:val="00DE2DCA"/>
    <w:rsid w:val="00DE4B8B"/>
    <w:rsid w:val="00DF056E"/>
    <w:rsid w:val="00DF0E63"/>
    <w:rsid w:val="00DF28AC"/>
    <w:rsid w:val="00DF3156"/>
    <w:rsid w:val="00DF4B1E"/>
    <w:rsid w:val="00E024CC"/>
    <w:rsid w:val="00E037E7"/>
    <w:rsid w:val="00E03FB2"/>
    <w:rsid w:val="00E0416A"/>
    <w:rsid w:val="00E0448D"/>
    <w:rsid w:val="00E05864"/>
    <w:rsid w:val="00E11402"/>
    <w:rsid w:val="00E13B00"/>
    <w:rsid w:val="00E15420"/>
    <w:rsid w:val="00E15BBC"/>
    <w:rsid w:val="00E206CF"/>
    <w:rsid w:val="00E20FB0"/>
    <w:rsid w:val="00E218DE"/>
    <w:rsid w:val="00E22315"/>
    <w:rsid w:val="00E2390E"/>
    <w:rsid w:val="00E24E9A"/>
    <w:rsid w:val="00E25E81"/>
    <w:rsid w:val="00E277BC"/>
    <w:rsid w:val="00E27BBE"/>
    <w:rsid w:val="00E325F7"/>
    <w:rsid w:val="00E32CC7"/>
    <w:rsid w:val="00E349FA"/>
    <w:rsid w:val="00E368B2"/>
    <w:rsid w:val="00E36946"/>
    <w:rsid w:val="00E41D22"/>
    <w:rsid w:val="00E420ED"/>
    <w:rsid w:val="00E4464B"/>
    <w:rsid w:val="00E44A3C"/>
    <w:rsid w:val="00E50360"/>
    <w:rsid w:val="00E51118"/>
    <w:rsid w:val="00E51A53"/>
    <w:rsid w:val="00E60AC8"/>
    <w:rsid w:val="00E6107E"/>
    <w:rsid w:val="00E6294F"/>
    <w:rsid w:val="00E63695"/>
    <w:rsid w:val="00E643A5"/>
    <w:rsid w:val="00E64547"/>
    <w:rsid w:val="00E66730"/>
    <w:rsid w:val="00E66A23"/>
    <w:rsid w:val="00E709B8"/>
    <w:rsid w:val="00E765D8"/>
    <w:rsid w:val="00E807A0"/>
    <w:rsid w:val="00E842AA"/>
    <w:rsid w:val="00E85411"/>
    <w:rsid w:val="00E86764"/>
    <w:rsid w:val="00E95CFF"/>
    <w:rsid w:val="00EA0CA1"/>
    <w:rsid w:val="00EA15B2"/>
    <w:rsid w:val="00EA1D96"/>
    <w:rsid w:val="00EA3450"/>
    <w:rsid w:val="00EA69A5"/>
    <w:rsid w:val="00EA7232"/>
    <w:rsid w:val="00EB5756"/>
    <w:rsid w:val="00EB6420"/>
    <w:rsid w:val="00EB7E8C"/>
    <w:rsid w:val="00EC1E11"/>
    <w:rsid w:val="00EC2925"/>
    <w:rsid w:val="00EC2C18"/>
    <w:rsid w:val="00EC3173"/>
    <w:rsid w:val="00EC5F95"/>
    <w:rsid w:val="00ED0356"/>
    <w:rsid w:val="00ED180D"/>
    <w:rsid w:val="00ED20F4"/>
    <w:rsid w:val="00ED276E"/>
    <w:rsid w:val="00ED535E"/>
    <w:rsid w:val="00ED659E"/>
    <w:rsid w:val="00ED78D8"/>
    <w:rsid w:val="00EE0872"/>
    <w:rsid w:val="00EE21D2"/>
    <w:rsid w:val="00EE3378"/>
    <w:rsid w:val="00EE3AA0"/>
    <w:rsid w:val="00EE3AFF"/>
    <w:rsid w:val="00EE5ECC"/>
    <w:rsid w:val="00EE6905"/>
    <w:rsid w:val="00EF1421"/>
    <w:rsid w:val="00EF28C1"/>
    <w:rsid w:val="00EF38A1"/>
    <w:rsid w:val="00EF4DD3"/>
    <w:rsid w:val="00EF68B9"/>
    <w:rsid w:val="00F00FB0"/>
    <w:rsid w:val="00F0107E"/>
    <w:rsid w:val="00F01E29"/>
    <w:rsid w:val="00F131A7"/>
    <w:rsid w:val="00F13BD1"/>
    <w:rsid w:val="00F142DF"/>
    <w:rsid w:val="00F24C0A"/>
    <w:rsid w:val="00F26D4A"/>
    <w:rsid w:val="00F27AB8"/>
    <w:rsid w:val="00F3071C"/>
    <w:rsid w:val="00F32641"/>
    <w:rsid w:val="00F3314C"/>
    <w:rsid w:val="00F33AFA"/>
    <w:rsid w:val="00F34123"/>
    <w:rsid w:val="00F34783"/>
    <w:rsid w:val="00F34788"/>
    <w:rsid w:val="00F355F3"/>
    <w:rsid w:val="00F360D1"/>
    <w:rsid w:val="00F36F53"/>
    <w:rsid w:val="00F41190"/>
    <w:rsid w:val="00F41C0B"/>
    <w:rsid w:val="00F43EEA"/>
    <w:rsid w:val="00F446BA"/>
    <w:rsid w:val="00F50A1E"/>
    <w:rsid w:val="00F52021"/>
    <w:rsid w:val="00F52E06"/>
    <w:rsid w:val="00F56AA5"/>
    <w:rsid w:val="00F62BA8"/>
    <w:rsid w:val="00F7192D"/>
    <w:rsid w:val="00F73967"/>
    <w:rsid w:val="00F73E46"/>
    <w:rsid w:val="00F7663A"/>
    <w:rsid w:val="00F826F9"/>
    <w:rsid w:val="00F871E9"/>
    <w:rsid w:val="00F93416"/>
    <w:rsid w:val="00F93914"/>
    <w:rsid w:val="00F93CF5"/>
    <w:rsid w:val="00F96245"/>
    <w:rsid w:val="00F96984"/>
    <w:rsid w:val="00F96DC4"/>
    <w:rsid w:val="00F97A97"/>
    <w:rsid w:val="00FA0AF5"/>
    <w:rsid w:val="00FA51B8"/>
    <w:rsid w:val="00FA782E"/>
    <w:rsid w:val="00FA7E51"/>
    <w:rsid w:val="00FB0E6A"/>
    <w:rsid w:val="00FB1338"/>
    <w:rsid w:val="00FB136E"/>
    <w:rsid w:val="00FB28B8"/>
    <w:rsid w:val="00FB42E7"/>
    <w:rsid w:val="00FB7116"/>
    <w:rsid w:val="00FC1162"/>
    <w:rsid w:val="00FC12D8"/>
    <w:rsid w:val="00FC16FF"/>
    <w:rsid w:val="00FC239F"/>
    <w:rsid w:val="00FC3B6E"/>
    <w:rsid w:val="00FC4424"/>
    <w:rsid w:val="00FD7417"/>
    <w:rsid w:val="00FE04C2"/>
    <w:rsid w:val="00FE1423"/>
    <w:rsid w:val="00FF2A49"/>
    <w:rsid w:val="00FF2E03"/>
    <w:rsid w:val="00FF3CD4"/>
    <w:rsid w:val="00FF55AA"/>
    <w:rsid w:val="00FF6607"/>
    <w:rsid w:val="00FF6620"/>
    <w:rsid w:val="03687040"/>
    <w:rsid w:val="1025C662"/>
    <w:rsid w:val="11EA48BF"/>
    <w:rsid w:val="158269F6"/>
    <w:rsid w:val="1F1BAAF6"/>
    <w:rsid w:val="26FC3950"/>
    <w:rsid w:val="2DDA5A37"/>
    <w:rsid w:val="2E0482A5"/>
    <w:rsid w:val="33BA4E3A"/>
    <w:rsid w:val="3A10CFD1"/>
    <w:rsid w:val="435C46F1"/>
    <w:rsid w:val="493AB5BE"/>
    <w:rsid w:val="53BC329A"/>
    <w:rsid w:val="54AED135"/>
    <w:rsid w:val="59E999C5"/>
    <w:rsid w:val="6550449E"/>
    <w:rsid w:val="67B9F21A"/>
    <w:rsid w:val="693319FC"/>
    <w:rsid w:val="6A17CC2C"/>
    <w:rsid w:val="6B374881"/>
    <w:rsid w:val="6D9FB023"/>
    <w:rsid w:val="6EB78CCA"/>
    <w:rsid w:val="722522E8"/>
    <w:rsid w:val="7CB044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CEF77"/>
  <w15:chartTrackingRefBased/>
  <w15:docId w15:val="{B40C3C7B-96E1-4A1E-9A00-4D966BEAB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2C9"/>
    <w:pPr>
      <w:numPr>
        <w:numId w:val="2"/>
      </w:numPr>
      <w:spacing w:before="120" w:after="180"/>
      <w:ind w:left="720" w:hanging="540"/>
      <w:jc w:val="both"/>
    </w:pPr>
    <w:rPr>
      <w:rFonts w:ascii="Times New Roman" w:hAnsi="Times New Roman"/>
      <w:sz w:val="24"/>
    </w:rPr>
  </w:style>
  <w:style w:type="paragraph" w:styleId="Heading1">
    <w:name w:val="heading 1"/>
    <w:basedOn w:val="Normal"/>
    <w:next w:val="Normal"/>
    <w:link w:val="Heading1Char"/>
    <w:uiPriority w:val="9"/>
    <w:qFormat/>
    <w:rsid w:val="00DF0E63"/>
    <w:pPr>
      <w:keepNext/>
      <w:keepLines/>
      <w:numPr>
        <w:numId w:val="1"/>
      </w:numPr>
      <w:spacing w:before="240" w:after="120"/>
      <w:ind w:left="634" w:hanging="634"/>
      <w:outlineLvl w:val="0"/>
    </w:pPr>
    <w:rPr>
      <w:rFonts w:ascii="Times New Roman Bold" w:eastAsiaTheme="majorEastAsia" w:hAnsi="Times New Roman Bold" w:cstheme="majorBidi"/>
      <w:b/>
      <w:caps/>
      <w:szCs w:val="32"/>
    </w:rPr>
  </w:style>
  <w:style w:type="paragraph" w:styleId="Heading2">
    <w:name w:val="heading 2"/>
    <w:basedOn w:val="Normal"/>
    <w:next w:val="Normal"/>
    <w:link w:val="Heading2Char"/>
    <w:uiPriority w:val="9"/>
    <w:unhideWhenUsed/>
    <w:qFormat/>
    <w:rsid w:val="006C582C"/>
    <w:pPr>
      <w:keepNext/>
      <w:keepLines/>
      <w:numPr>
        <w:ilvl w:val="1"/>
        <w:numId w:val="1"/>
      </w:numPr>
      <w:spacing w:after="120" w:line="276" w:lineRule="auto"/>
      <w:ind w:left="634" w:hanging="634"/>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B0A87"/>
    <w:pPr>
      <w:keepNext/>
      <w:keepLines/>
      <w:numPr>
        <w:ilvl w:val="2"/>
        <w:numId w:val="1"/>
      </w:numPr>
      <w:spacing w:before="180" w:line="240" w:lineRule="auto"/>
      <w:ind w:left="634" w:hanging="634"/>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11A3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11A3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11A37"/>
    <w:pPr>
      <w:keepNext/>
      <w:keepLines/>
      <w:numPr>
        <w:ilvl w:val="5"/>
        <w:numId w:val="1"/>
      </w:numPr>
      <w:spacing w:before="40" w:after="0"/>
      <w:ind w:left="3960" w:hanging="18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11A37"/>
    <w:pPr>
      <w:keepNext/>
      <w:keepLines/>
      <w:numPr>
        <w:ilvl w:val="6"/>
        <w:numId w:val="1"/>
      </w:numPr>
      <w:spacing w:before="40" w:after="0"/>
      <w:ind w:left="468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11A37"/>
    <w:pPr>
      <w:keepNext/>
      <w:keepLines/>
      <w:numPr>
        <w:ilvl w:val="7"/>
        <w:numId w:val="1"/>
      </w:numPr>
      <w:spacing w:before="40" w:after="0"/>
      <w:ind w:left="540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1A37"/>
    <w:pPr>
      <w:keepNext/>
      <w:keepLines/>
      <w:numPr>
        <w:ilvl w:val="8"/>
        <w:numId w:val="1"/>
      </w:numPr>
      <w:spacing w:before="40" w:after="0"/>
      <w:ind w:left="6120" w:hanging="1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E63"/>
    <w:rPr>
      <w:rFonts w:ascii="Times New Roman Bold" w:eastAsiaTheme="majorEastAsia" w:hAnsi="Times New Roman Bold" w:cstheme="majorBidi"/>
      <w:b/>
      <w:caps/>
      <w:sz w:val="24"/>
      <w:szCs w:val="32"/>
    </w:rPr>
  </w:style>
  <w:style w:type="character" w:customStyle="1" w:styleId="Heading2Char">
    <w:name w:val="Heading 2 Char"/>
    <w:basedOn w:val="DefaultParagraphFont"/>
    <w:link w:val="Heading2"/>
    <w:uiPriority w:val="9"/>
    <w:rsid w:val="006C582C"/>
    <w:rPr>
      <w:rFonts w:ascii="Times New Roman" w:eastAsiaTheme="majorEastAsia" w:hAnsi="Times New Roman" w:cstheme="majorBidi"/>
      <w:b/>
      <w:sz w:val="24"/>
      <w:szCs w:val="26"/>
    </w:rPr>
  </w:style>
  <w:style w:type="paragraph" w:styleId="Title">
    <w:name w:val="Title"/>
    <w:aliases w:val="Title (White)"/>
    <w:basedOn w:val="Normal"/>
    <w:next w:val="Normal"/>
    <w:link w:val="TitleChar"/>
    <w:uiPriority w:val="39"/>
    <w:qFormat/>
    <w:rsid w:val="00A11A37"/>
    <w:pPr>
      <w:numPr>
        <w:numId w:val="0"/>
      </w:numPr>
      <w:spacing w:after="0" w:line="240" w:lineRule="auto"/>
      <w:contextualSpacing/>
      <w:jc w:val="center"/>
    </w:pPr>
    <w:rPr>
      <w:rFonts w:eastAsiaTheme="majorEastAsia" w:cstheme="majorBidi"/>
      <w:b/>
      <w:spacing w:val="-10"/>
      <w:kern w:val="28"/>
      <w:szCs w:val="56"/>
    </w:rPr>
  </w:style>
  <w:style w:type="character" w:customStyle="1" w:styleId="TitleChar">
    <w:name w:val="Title Char"/>
    <w:aliases w:val="Title (White) Char"/>
    <w:basedOn w:val="DefaultParagraphFont"/>
    <w:link w:val="Title"/>
    <w:uiPriority w:val="39"/>
    <w:rsid w:val="00A11A37"/>
    <w:rPr>
      <w:rFonts w:ascii="Times New Roman" w:eastAsiaTheme="majorEastAsia" w:hAnsi="Times New Roman" w:cstheme="majorBidi"/>
      <w:b/>
      <w:spacing w:val="-10"/>
      <w:kern w:val="28"/>
      <w:sz w:val="24"/>
      <w:szCs w:val="56"/>
    </w:rPr>
  </w:style>
  <w:style w:type="paragraph" w:styleId="Header">
    <w:name w:val="header"/>
    <w:basedOn w:val="Normal"/>
    <w:link w:val="HeaderChar"/>
    <w:uiPriority w:val="99"/>
    <w:unhideWhenUsed/>
    <w:rsid w:val="00A11A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A37"/>
    <w:rPr>
      <w:rFonts w:ascii="Times New Roman" w:hAnsi="Times New Roman"/>
      <w:sz w:val="24"/>
    </w:rPr>
  </w:style>
  <w:style w:type="paragraph" w:styleId="Footer">
    <w:name w:val="footer"/>
    <w:basedOn w:val="Normal"/>
    <w:link w:val="FooterChar"/>
    <w:uiPriority w:val="99"/>
    <w:unhideWhenUsed/>
    <w:qFormat/>
    <w:rsid w:val="00644105"/>
    <w:pPr>
      <w:numPr>
        <w:numId w:val="0"/>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A11A37"/>
    <w:rPr>
      <w:rFonts w:ascii="Times New Roman" w:hAnsi="Times New Roman"/>
      <w:sz w:val="24"/>
    </w:rPr>
  </w:style>
  <w:style w:type="character" w:customStyle="1" w:styleId="Heading3Char">
    <w:name w:val="Heading 3 Char"/>
    <w:basedOn w:val="DefaultParagraphFont"/>
    <w:link w:val="Heading3"/>
    <w:uiPriority w:val="9"/>
    <w:rsid w:val="000B0A87"/>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11A37"/>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A11A37"/>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A11A37"/>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A11A37"/>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A11A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11A37"/>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D90124"/>
    <w:pPr>
      <w:spacing w:after="0" w:line="240" w:lineRule="auto"/>
      <w:jc w:val="both"/>
    </w:pPr>
    <w:rPr>
      <w:rFonts w:ascii="Times New Roman" w:hAnsi="Times New Roman"/>
      <w:sz w:val="24"/>
    </w:rPr>
  </w:style>
  <w:style w:type="paragraph" w:styleId="FootnoteText">
    <w:name w:val="footnote text"/>
    <w:aliases w:val="Footnote Text Char Char Char,Footnote Text Char Char Char Char Char,Footnote Text Char Char1 Char,Footnote Text Char1 Char,Footnote Text Char1 Char Char Char,fn Char Char Char,fn Char Char Char Char Char"/>
    <w:basedOn w:val="Normal"/>
    <w:link w:val="FootnoteTextChar"/>
    <w:uiPriority w:val="99"/>
    <w:unhideWhenUsed/>
    <w:rsid w:val="00644105"/>
    <w:pPr>
      <w:numPr>
        <w:numId w:val="0"/>
      </w:numPr>
      <w:spacing w:after="0" w:line="240" w:lineRule="auto"/>
    </w:pPr>
    <w:rPr>
      <w:sz w:val="20"/>
      <w:szCs w:val="20"/>
    </w:rPr>
  </w:style>
  <w:style w:type="character" w:customStyle="1" w:styleId="FootnoteTextChar">
    <w:name w:val="Footnote Text Char"/>
    <w:aliases w:val="Footnote Text Char Char Char Char,Footnote Text Char Char Char Char Char Char,Footnote Text Char Char1 Char Char,Footnote Text Char1 Char Char,Footnote Text Char1 Char Char Char Char,fn Char Char Char Char"/>
    <w:basedOn w:val="DefaultParagraphFont"/>
    <w:link w:val="FootnoteText"/>
    <w:uiPriority w:val="99"/>
    <w:rsid w:val="00644105"/>
    <w:rPr>
      <w:rFonts w:ascii="Times New Roman" w:hAnsi="Times New Roman"/>
      <w:sz w:val="20"/>
      <w:szCs w:val="20"/>
    </w:rPr>
  </w:style>
  <w:style w:type="character" w:styleId="FootnoteReference">
    <w:name w:val="footnote reference"/>
    <w:basedOn w:val="DefaultParagraphFont"/>
    <w:uiPriority w:val="99"/>
    <w:unhideWhenUsed/>
    <w:rsid w:val="00644105"/>
    <w:rPr>
      <w:vertAlign w:val="superscript"/>
    </w:rPr>
  </w:style>
  <w:style w:type="character" w:styleId="Hyperlink">
    <w:name w:val="Hyperlink"/>
    <w:basedOn w:val="DefaultParagraphFont"/>
    <w:uiPriority w:val="99"/>
    <w:unhideWhenUsed/>
    <w:rsid w:val="00A15B98"/>
    <w:rPr>
      <w:color w:val="0563C1" w:themeColor="hyperlink"/>
      <w:u w:val="single"/>
    </w:rPr>
  </w:style>
  <w:style w:type="character" w:styleId="UnresolvedMention">
    <w:name w:val="Unresolved Mention"/>
    <w:basedOn w:val="DefaultParagraphFont"/>
    <w:uiPriority w:val="99"/>
    <w:semiHidden/>
    <w:unhideWhenUsed/>
    <w:rsid w:val="00A15B98"/>
    <w:rPr>
      <w:color w:val="605E5C"/>
      <w:shd w:val="clear" w:color="auto" w:fill="E1DFDD"/>
    </w:rPr>
  </w:style>
  <w:style w:type="paragraph" w:styleId="TOCHeading">
    <w:name w:val="TOC Heading"/>
    <w:basedOn w:val="Heading1"/>
    <w:next w:val="Normal"/>
    <w:uiPriority w:val="39"/>
    <w:unhideWhenUsed/>
    <w:qFormat/>
    <w:rsid w:val="00DF0E63"/>
    <w:pPr>
      <w:numPr>
        <w:numId w:val="0"/>
      </w:numPr>
      <w:spacing w:after="240"/>
      <w:jc w:val="left"/>
      <w:outlineLvl w:val="9"/>
    </w:pPr>
  </w:style>
  <w:style w:type="paragraph" w:styleId="TOC1">
    <w:name w:val="toc 1"/>
    <w:basedOn w:val="Normal"/>
    <w:next w:val="Normal"/>
    <w:autoRedefine/>
    <w:uiPriority w:val="39"/>
    <w:unhideWhenUsed/>
    <w:qFormat/>
    <w:rsid w:val="00842FB6"/>
    <w:pPr>
      <w:numPr>
        <w:numId w:val="0"/>
      </w:numPr>
      <w:tabs>
        <w:tab w:val="right" w:leader="dot" w:pos="9350"/>
      </w:tabs>
      <w:spacing w:before="100" w:after="100"/>
      <w:ind w:left="720" w:hanging="619"/>
      <w:jc w:val="left"/>
    </w:pPr>
    <w:rPr>
      <w:rFonts w:ascii="Times New Roman Bold" w:hAnsi="Times New Roman Bold"/>
      <w:b/>
      <w:caps/>
      <w:noProof/>
    </w:rPr>
  </w:style>
  <w:style w:type="paragraph" w:styleId="TOC2">
    <w:name w:val="toc 2"/>
    <w:basedOn w:val="Normal"/>
    <w:next w:val="Normal"/>
    <w:autoRedefine/>
    <w:uiPriority w:val="39"/>
    <w:unhideWhenUsed/>
    <w:qFormat/>
    <w:rsid w:val="00D81D24"/>
    <w:pPr>
      <w:numPr>
        <w:numId w:val="0"/>
      </w:numPr>
      <w:tabs>
        <w:tab w:val="left" w:pos="810"/>
        <w:tab w:val="right" w:leader="dot" w:pos="9350"/>
      </w:tabs>
      <w:spacing w:after="0"/>
      <w:ind w:left="432"/>
      <w:jc w:val="left"/>
    </w:pPr>
    <w:rPr>
      <w:rFonts w:eastAsiaTheme="majorEastAsia" w:cstheme="majorBidi"/>
      <w:bCs/>
      <w:noProof/>
    </w:rPr>
  </w:style>
  <w:style w:type="paragraph" w:styleId="ListParagraph">
    <w:name w:val="List Paragraph"/>
    <w:basedOn w:val="Normal"/>
    <w:uiPriority w:val="34"/>
    <w:qFormat/>
    <w:rsid w:val="00AB4FB5"/>
    <w:pPr>
      <w:numPr>
        <w:numId w:val="0"/>
      </w:numPr>
      <w:ind w:left="720"/>
      <w:contextualSpacing/>
      <w:jc w:val="left"/>
    </w:pPr>
    <w:rPr>
      <w:rFonts w:eastAsia="Calibri" w:cs="Calibri"/>
    </w:rPr>
  </w:style>
  <w:style w:type="character" w:styleId="SubtleEmphasis">
    <w:name w:val="Subtle Emphasis"/>
    <w:basedOn w:val="DefaultParagraphFont"/>
    <w:uiPriority w:val="19"/>
    <w:qFormat/>
    <w:rsid w:val="002D2C08"/>
    <w:rPr>
      <w:i/>
      <w:iCs/>
      <w:color w:val="404040" w:themeColor="text1" w:themeTint="BF"/>
    </w:rPr>
  </w:style>
  <w:style w:type="character" w:styleId="Emphasis">
    <w:name w:val="Emphasis"/>
    <w:basedOn w:val="DefaultParagraphFont"/>
    <w:uiPriority w:val="20"/>
    <w:qFormat/>
    <w:rsid w:val="002D2C08"/>
    <w:rPr>
      <w:i/>
      <w:iCs/>
    </w:rPr>
  </w:style>
  <w:style w:type="character" w:styleId="FollowedHyperlink">
    <w:name w:val="FollowedHyperlink"/>
    <w:basedOn w:val="DefaultParagraphFont"/>
    <w:uiPriority w:val="99"/>
    <w:semiHidden/>
    <w:unhideWhenUsed/>
    <w:rsid w:val="009A4FC6"/>
    <w:rPr>
      <w:color w:val="954F72" w:themeColor="followedHyperlink"/>
      <w:u w:val="single"/>
    </w:rPr>
  </w:style>
  <w:style w:type="character" w:styleId="CommentReference">
    <w:name w:val="annotation reference"/>
    <w:basedOn w:val="DefaultParagraphFont"/>
    <w:uiPriority w:val="99"/>
    <w:semiHidden/>
    <w:unhideWhenUsed/>
    <w:rsid w:val="00272768"/>
    <w:rPr>
      <w:sz w:val="16"/>
      <w:szCs w:val="16"/>
    </w:rPr>
  </w:style>
  <w:style w:type="paragraph" w:styleId="CommentText">
    <w:name w:val="annotation text"/>
    <w:basedOn w:val="Normal"/>
    <w:link w:val="CommentTextChar"/>
    <w:uiPriority w:val="99"/>
    <w:unhideWhenUsed/>
    <w:rsid w:val="00272768"/>
    <w:pPr>
      <w:spacing w:line="240" w:lineRule="auto"/>
    </w:pPr>
    <w:rPr>
      <w:sz w:val="20"/>
      <w:szCs w:val="20"/>
    </w:rPr>
  </w:style>
  <w:style w:type="character" w:customStyle="1" w:styleId="CommentTextChar">
    <w:name w:val="Comment Text Char"/>
    <w:basedOn w:val="DefaultParagraphFont"/>
    <w:link w:val="CommentText"/>
    <w:uiPriority w:val="99"/>
    <w:rsid w:val="0027276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72768"/>
    <w:rPr>
      <w:b/>
      <w:bCs/>
    </w:rPr>
  </w:style>
  <w:style w:type="character" w:customStyle="1" w:styleId="CommentSubjectChar">
    <w:name w:val="Comment Subject Char"/>
    <w:basedOn w:val="CommentTextChar"/>
    <w:link w:val="CommentSubject"/>
    <w:uiPriority w:val="99"/>
    <w:semiHidden/>
    <w:rsid w:val="00272768"/>
    <w:rPr>
      <w:rFonts w:ascii="Times New Roman" w:hAnsi="Times New Roman"/>
      <w:b/>
      <w:bCs/>
      <w:sz w:val="20"/>
      <w:szCs w:val="20"/>
    </w:rPr>
  </w:style>
  <w:style w:type="table" w:styleId="TableGrid">
    <w:name w:val="Table Grid"/>
    <w:basedOn w:val="TableNormal"/>
    <w:uiPriority w:val="39"/>
    <w:rsid w:val="008E3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8E3DC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8E3D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qFormat/>
    <w:rsid w:val="0018239C"/>
    <w:pPr>
      <w:numPr>
        <w:numId w:val="0"/>
      </w:numPr>
      <w:tabs>
        <w:tab w:val="left" w:pos="1170"/>
        <w:tab w:val="left" w:pos="1620"/>
        <w:tab w:val="right" w:leader="dot" w:pos="9350"/>
      </w:tabs>
      <w:spacing w:after="100"/>
      <w:ind w:left="810"/>
    </w:pPr>
  </w:style>
  <w:style w:type="paragraph" w:styleId="BodyText">
    <w:name w:val="Body Text"/>
    <w:basedOn w:val="Normal"/>
    <w:link w:val="BodyTextChar"/>
    <w:uiPriority w:val="1"/>
    <w:unhideWhenUsed/>
    <w:qFormat/>
    <w:rsid w:val="00B749D5"/>
    <w:pPr>
      <w:widowControl w:val="0"/>
      <w:numPr>
        <w:numId w:val="0"/>
      </w:numPr>
      <w:autoSpaceDE w:val="0"/>
      <w:autoSpaceDN w:val="0"/>
      <w:spacing w:after="0" w:line="240" w:lineRule="auto"/>
      <w:jc w:val="left"/>
    </w:pPr>
    <w:rPr>
      <w:rFonts w:eastAsia="Times New Roman" w:cs="Times New Roman"/>
      <w:szCs w:val="24"/>
    </w:rPr>
  </w:style>
  <w:style w:type="character" w:customStyle="1" w:styleId="BodyTextChar">
    <w:name w:val="Body Text Char"/>
    <w:basedOn w:val="DefaultParagraphFont"/>
    <w:link w:val="BodyText"/>
    <w:uiPriority w:val="1"/>
    <w:rsid w:val="00B749D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42056"/>
    <w:pPr>
      <w:keepNext/>
      <w:keepLines/>
      <w:widowControl w:val="0"/>
      <w:numPr>
        <w:numId w:val="0"/>
      </w:numPr>
      <w:autoSpaceDE w:val="0"/>
      <w:autoSpaceDN w:val="0"/>
      <w:spacing w:before="0" w:after="0" w:line="240" w:lineRule="auto"/>
      <w:jc w:val="left"/>
    </w:pPr>
    <w:rPr>
      <w:rFonts w:eastAsia="Calibri" w:cs="Calibri"/>
      <w:sz w:val="16"/>
    </w:rPr>
  </w:style>
  <w:style w:type="paragraph" w:styleId="Caption">
    <w:name w:val="caption"/>
    <w:basedOn w:val="Normal"/>
    <w:next w:val="Normal"/>
    <w:uiPriority w:val="35"/>
    <w:unhideWhenUsed/>
    <w:qFormat/>
    <w:rsid w:val="00E03FB2"/>
    <w:pPr>
      <w:keepNext/>
      <w:numPr>
        <w:numId w:val="0"/>
      </w:numPr>
      <w:spacing w:after="60" w:line="240" w:lineRule="auto"/>
      <w:jc w:val="center"/>
    </w:pPr>
    <w:rPr>
      <w:b/>
      <w:i/>
      <w:iCs/>
      <w:sz w:val="22"/>
      <w:szCs w:val="18"/>
    </w:rPr>
  </w:style>
  <w:style w:type="paragraph" w:customStyle="1" w:styleId="TableNotes">
    <w:name w:val="Table Notes"/>
    <w:basedOn w:val="Normal"/>
    <w:link w:val="TableNotesChar"/>
    <w:qFormat/>
    <w:rsid w:val="005B1ED8"/>
    <w:pPr>
      <w:numPr>
        <w:numId w:val="0"/>
      </w:numPr>
      <w:spacing w:before="0" w:after="120"/>
      <w:ind w:left="216" w:right="274"/>
      <w:contextualSpacing/>
    </w:pPr>
    <w:rPr>
      <w:i/>
      <w:sz w:val="20"/>
    </w:rPr>
  </w:style>
  <w:style w:type="character" w:customStyle="1" w:styleId="TableNotesChar">
    <w:name w:val="Table Notes Char"/>
    <w:basedOn w:val="DefaultParagraphFont"/>
    <w:link w:val="TableNotes"/>
    <w:rsid w:val="005B1ED8"/>
    <w:rPr>
      <w:rFonts w:ascii="Times New Roman" w:hAnsi="Times New Roman"/>
      <w:i/>
      <w:sz w:val="20"/>
    </w:rPr>
  </w:style>
  <w:style w:type="character" w:styleId="PlaceholderText">
    <w:name w:val="Placeholder Text"/>
    <w:basedOn w:val="DefaultParagraphFont"/>
    <w:uiPriority w:val="99"/>
    <w:semiHidden/>
    <w:rsid w:val="005B2678"/>
    <w:rPr>
      <w:color w:val="808080"/>
    </w:rPr>
  </w:style>
  <w:style w:type="paragraph" w:customStyle="1" w:styleId="RunningHeadReportTitle">
    <w:name w:val="Running Head Report Title"/>
    <w:basedOn w:val="Normal"/>
    <w:link w:val="RunningHeadReportTitleChar"/>
    <w:uiPriority w:val="42"/>
    <w:qFormat/>
    <w:rsid w:val="005B2678"/>
    <w:pPr>
      <w:numPr>
        <w:numId w:val="0"/>
      </w:numPr>
      <w:tabs>
        <w:tab w:val="left" w:pos="1089"/>
        <w:tab w:val="right" w:pos="10080"/>
      </w:tabs>
      <w:spacing w:before="0" w:after="120" w:line="276" w:lineRule="auto"/>
      <w:jc w:val="left"/>
    </w:pPr>
    <w:rPr>
      <w:rFonts w:asciiTheme="minorHAnsi" w:hAnsiTheme="minorHAnsi"/>
      <w:color w:val="0067B1"/>
      <w:sz w:val="20"/>
      <w:szCs w:val="24"/>
    </w:rPr>
  </w:style>
  <w:style w:type="character" w:customStyle="1" w:styleId="RunningHeadReportTitleChar">
    <w:name w:val="Running Head Report Title Char"/>
    <w:basedOn w:val="DefaultParagraphFont"/>
    <w:link w:val="RunningHeadReportTitle"/>
    <w:uiPriority w:val="42"/>
    <w:rsid w:val="005B2678"/>
    <w:rPr>
      <w:color w:val="0067B1"/>
      <w:sz w:val="20"/>
      <w:szCs w:val="24"/>
    </w:rPr>
  </w:style>
  <w:style w:type="paragraph" w:customStyle="1" w:styleId="HeaderDate">
    <w:name w:val="Header Date"/>
    <w:basedOn w:val="Normal"/>
    <w:link w:val="HeaderDateChar"/>
    <w:uiPriority w:val="48"/>
    <w:qFormat/>
    <w:rsid w:val="005B2678"/>
    <w:pPr>
      <w:numPr>
        <w:numId w:val="0"/>
      </w:numPr>
      <w:spacing w:before="180" w:after="0" w:line="276" w:lineRule="auto"/>
      <w:jc w:val="left"/>
    </w:pPr>
    <w:rPr>
      <w:rFonts w:asciiTheme="minorHAnsi" w:hAnsiTheme="minorHAnsi"/>
      <w:caps/>
      <w:color w:val="58595B"/>
      <w:sz w:val="20"/>
      <w:szCs w:val="24"/>
    </w:rPr>
  </w:style>
  <w:style w:type="character" w:customStyle="1" w:styleId="HeaderDateChar">
    <w:name w:val="Header Date Char"/>
    <w:basedOn w:val="DefaultParagraphFont"/>
    <w:link w:val="HeaderDate"/>
    <w:uiPriority w:val="48"/>
    <w:rsid w:val="005B2678"/>
    <w:rPr>
      <w:caps/>
      <w:color w:val="58595B"/>
      <w:sz w:val="20"/>
      <w:szCs w:val="24"/>
    </w:rPr>
  </w:style>
  <w:style w:type="character" w:styleId="PageNumber">
    <w:name w:val="page number"/>
    <w:basedOn w:val="DefaultParagraphFont"/>
    <w:uiPriority w:val="99"/>
    <w:semiHidden/>
    <w:unhideWhenUsed/>
    <w:rsid w:val="005B2678"/>
  </w:style>
  <w:style w:type="paragraph" w:customStyle="1" w:styleId="AbstractText">
    <w:name w:val="Abstract Text"/>
    <w:link w:val="AbstractTextChar"/>
    <w:uiPriority w:val="43"/>
    <w:qFormat/>
    <w:rsid w:val="005B2678"/>
    <w:pPr>
      <w:spacing w:before="576" w:after="0" w:line="276" w:lineRule="auto"/>
      <w:contextualSpacing/>
    </w:pPr>
    <w:rPr>
      <w:rFonts w:ascii="Calibri" w:hAnsi="Calibri"/>
      <w:caps/>
      <w:color w:val="FFFFFF"/>
      <w:sz w:val="24"/>
      <w:szCs w:val="20"/>
    </w:rPr>
  </w:style>
  <w:style w:type="character" w:customStyle="1" w:styleId="AbstractTextChar">
    <w:name w:val="Abstract Text Char"/>
    <w:basedOn w:val="DefaultParagraphFont"/>
    <w:link w:val="AbstractText"/>
    <w:uiPriority w:val="43"/>
    <w:rsid w:val="005B2678"/>
    <w:rPr>
      <w:rFonts w:ascii="Calibri" w:hAnsi="Calibri"/>
      <w:caps/>
      <w:color w:val="FFFFFF"/>
      <w:sz w:val="24"/>
      <w:szCs w:val="20"/>
    </w:rPr>
  </w:style>
  <w:style w:type="paragraph" w:styleId="BalloonText">
    <w:name w:val="Balloon Text"/>
    <w:basedOn w:val="Normal"/>
    <w:link w:val="BalloonTextChar"/>
    <w:uiPriority w:val="99"/>
    <w:semiHidden/>
    <w:unhideWhenUsed/>
    <w:rsid w:val="005B2678"/>
    <w:pPr>
      <w:numPr>
        <w:numId w:val="0"/>
      </w:numPr>
      <w:spacing w:before="0" w:after="0" w:line="240" w:lineRule="auto"/>
      <w:jc w:val="left"/>
    </w:pPr>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5B2678"/>
    <w:rPr>
      <w:rFonts w:ascii="Segoe UI" w:hAnsi="Segoe UI" w:cs="Segoe UI"/>
      <w:color w:val="000000" w:themeColor="text1"/>
      <w:sz w:val="18"/>
      <w:szCs w:val="18"/>
    </w:rPr>
  </w:style>
  <w:style w:type="paragraph" w:customStyle="1" w:styleId="BarPlaceholder">
    <w:name w:val="Bar Placeholder"/>
    <w:basedOn w:val="Normal"/>
    <w:uiPriority w:val="44"/>
    <w:qFormat/>
    <w:rsid w:val="005B2678"/>
    <w:pPr>
      <w:numPr>
        <w:numId w:val="0"/>
      </w:numPr>
      <w:spacing w:before="0" w:after="0" w:line="240" w:lineRule="auto"/>
      <w:jc w:val="left"/>
    </w:pPr>
    <w:rPr>
      <w:rFonts w:asciiTheme="minorHAnsi" w:hAnsiTheme="minorHAnsi" w:cs="Calibri"/>
      <w:b/>
      <w:color w:val="000000" w:themeColor="text1"/>
      <w:sz w:val="14"/>
      <w:szCs w:val="14"/>
    </w:rPr>
  </w:style>
  <w:style w:type="character" w:styleId="BookTitle">
    <w:name w:val="Book Title"/>
    <w:basedOn w:val="DefaultParagraphFont"/>
    <w:uiPriority w:val="33"/>
    <w:qFormat/>
    <w:rsid w:val="005B2678"/>
    <w:rPr>
      <w:b/>
      <w:bCs/>
      <w:i/>
      <w:iCs/>
      <w:color w:val="AFB2B3"/>
      <w:spacing w:val="5"/>
    </w:rPr>
  </w:style>
  <w:style w:type="paragraph" w:customStyle="1" w:styleId="ContactInformation">
    <w:name w:val="Contact Information"/>
    <w:basedOn w:val="Normal"/>
    <w:link w:val="ContactInformationChar"/>
    <w:uiPriority w:val="45"/>
    <w:qFormat/>
    <w:rsid w:val="005B2678"/>
    <w:pPr>
      <w:numPr>
        <w:numId w:val="0"/>
      </w:numPr>
      <w:spacing w:before="29" w:after="0" w:line="240" w:lineRule="auto"/>
      <w:jc w:val="left"/>
    </w:pPr>
    <w:rPr>
      <w:rFonts w:asciiTheme="minorHAnsi" w:hAnsiTheme="minorHAnsi" w:cs="Calibri"/>
      <w:color w:val="58595B"/>
      <w:sz w:val="15"/>
      <w:szCs w:val="14"/>
    </w:rPr>
  </w:style>
  <w:style w:type="character" w:customStyle="1" w:styleId="ContactInformationChar">
    <w:name w:val="Contact Information Char"/>
    <w:basedOn w:val="DefaultParagraphFont"/>
    <w:link w:val="ContactInformation"/>
    <w:uiPriority w:val="45"/>
    <w:rsid w:val="005B2678"/>
    <w:rPr>
      <w:rFonts w:cs="Calibri"/>
      <w:color w:val="58595B"/>
      <w:sz w:val="15"/>
      <w:szCs w:val="14"/>
    </w:rPr>
  </w:style>
  <w:style w:type="paragraph" w:customStyle="1" w:styleId="CoverDate">
    <w:name w:val="Cover Date"/>
    <w:link w:val="CoverDateChar"/>
    <w:uiPriority w:val="47"/>
    <w:qFormat/>
    <w:rsid w:val="005B2678"/>
    <w:pPr>
      <w:spacing w:after="0" w:line="240" w:lineRule="auto"/>
    </w:pPr>
    <w:rPr>
      <w:rFonts w:ascii="Calibri" w:hAnsi="Calibri"/>
      <w:color w:val="FFFFFF"/>
      <w:sz w:val="24"/>
      <w:szCs w:val="24"/>
    </w:rPr>
  </w:style>
  <w:style w:type="character" w:customStyle="1" w:styleId="CoverDateChar">
    <w:name w:val="Cover Date Char"/>
    <w:basedOn w:val="DefaultParagraphFont"/>
    <w:link w:val="CoverDate"/>
    <w:uiPriority w:val="47"/>
    <w:rsid w:val="005B2678"/>
    <w:rPr>
      <w:rFonts w:ascii="Calibri" w:hAnsi="Calibri"/>
      <w:color w:val="FFFFFF"/>
      <w:sz w:val="24"/>
      <w:szCs w:val="24"/>
    </w:rPr>
  </w:style>
  <w:style w:type="paragraph" w:customStyle="1" w:styleId="Disclaimer">
    <w:name w:val="Disclaimer"/>
    <w:basedOn w:val="Footer"/>
    <w:uiPriority w:val="99"/>
    <w:qFormat/>
    <w:rsid w:val="005B2678"/>
  </w:style>
  <w:style w:type="paragraph" w:customStyle="1" w:styleId="FirstnameLastname">
    <w:name w:val="Firstname Lastname"/>
    <w:basedOn w:val="Normal"/>
    <w:uiPriority w:val="46"/>
    <w:qFormat/>
    <w:rsid w:val="005B2678"/>
    <w:pPr>
      <w:numPr>
        <w:numId w:val="0"/>
      </w:numPr>
      <w:spacing w:before="30" w:after="0" w:line="240" w:lineRule="auto"/>
      <w:jc w:val="left"/>
    </w:pPr>
    <w:rPr>
      <w:rFonts w:asciiTheme="minorHAnsi" w:hAnsiTheme="minorHAnsi" w:cs="Calibri"/>
      <w:b/>
      <w:color w:val="003763"/>
      <w:sz w:val="16"/>
      <w:szCs w:val="16"/>
    </w:rPr>
  </w:style>
  <w:style w:type="character" w:styleId="IntenseEmphasis">
    <w:name w:val="Intense Emphasis"/>
    <w:basedOn w:val="DefaultParagraphFont"/>
    <w:uiPriority w:val="21"/>
    <w:qFormat/>
    <w:rsid w:val="005B2678"/>
    <w:rPr>
      <w:i/>
      <w:iCs/>
      <w:color w:val="0067B1"/>
    </w:rPr>
  </w:style>
  <w:style w:type="paragraph" w:styleId="IntenseQuote">
    <w:name w:val="Intense Quote"/>
    <w:basedOn w:val="Normal"/>
    <w:next w:val="Normal"/>
    <w:link w:val="IntenseQuoteChar"/>
    <w:uiPriority w:val="30"/>
    <w:qFormat/>
    <w:rsid w:val="005B2678"/>
    <w:pPr>
      <w:numPr>
        <w:numId w:val="0"/>
      </w:numPr>
      <w:pBdr>
        <w:top w:val="single" w:sz="4" w:space="10" w:color="0067B1"/>
        <w:bottom w:val="single" w:sz="4" w:space="10" w:color="0067B1"/>
      </w:pBdr>
      <w:spacing w:before="360" w:after="360" w:line="276" w:lineRule="auto"/>
      <w:ind w:left="864" w:right="864"/>
      <w:jc w:val="center"/>
    </w:pPr>
    <w:rPr>
      <w:rFonts w:asciiTheme="minorHAnsi" w:hAnsiTheme="minorHAnsi"/>
      <w:i/>
      <w:iCs/>
      <w:color w:val="0067B1"/>
      <w:szCs w:val="24"/>
    </w:rPr>
  </w:style>
  <w:style w:type="character" w:customStyle="1" w:styleId="IntenseQuoteChar">
    <w:name w:val="Intense Quote Char"/>
    <w:basedOn w:val="DefaultParagraphFont"/>
    <w:link w:val="IntenseQuote"/>
    <w:uiPriority w:val="30"/>
    <w:rsid w:val="005B2678"/>
    <w:rPr>
      <w:i/>
      <w:iCs/>
      <w:color w:val="0067B1"/>
      <w:sz w:val="24"/>
      <w:szCs w:val="24"/>
    </w:rPr>
  </w:style>
  <w:style w:type="character" w:styleId="IntenseReference">
    <w:name w:val="Intense Reference"/>
    <w:basedOn w:val="DefaultParagraphFont"/>
    <w:uiPriority w:val="32"/>
    <w:qFormat/>
    <w:rsid w:val="005B2678"/>
    <w:rPr>
      <w:b/>
      <w:bCs/>
      <w:smallCaps/>
      <w:color w:val="0067B1"/>
      <w:spacing w:val="5"/>
    </w:rPr>
  </w:style>
  <w:style w:type="paragraph" w:styleId="Quote">
    <w:name w:val="Quote"/>
    <w:basedOn w:val="Normal"/>
    <w:next w:val="Normal"/>
    <w:link w:val="QuoteChar"/>
    <w:uiPriority w:val="29"/>
    <w:qFormat/>
    <w:rsid w:val="005B2678"/>
    <w:pPr>
      <w:numPr>
        <w:numId w:val="0"/>
      </w:numPr>
      <w:spacing w:before="200" w:after="120" w:line="276" w:lineRule="auto"/>
      <w:ind w:left="864" w:right="864"/>
      <w:jc w:val="center"/>
    </w:pPr>
    <w:rPr>
      <w:rFonts w:asciiTheme="minorHAnsi" w:hAnsiTheme="minorHAnsi"/>
      <w:i/>
      <w:iCs/>
      <w:color w:val="58595B"/>
      <w:szCs w:val="24"/>
    </w:rPr>
  </w:style>
  <w:style w:type="character" w:customStyle="1" w:styleId="QuoteChar">
    <w:name w:val="Quote Char"/>
    <w:basedOn w:val="DefaultParagraphFont"/>
    <w:link w:val="Quote"/>
    <w:uiPriority w:val="29"/>
    <w:rsid w:val="005B2678"/>
    <w:rPr>
      <w:i/>
      <w:iCs/>
      <w:color w:val="58595B"/>
      <w:sz w:val="24"/>
      <w:szCs w:val="24"/>
    </w:rPr>
  </w:style>
  <w:style w:type="character" w:styleId="Strong">
    <w:name w:val="Strong"/>
    <w:basedOn w:val="DefaultParagraphFont"/>
    <w:uiPriority w:val="22"/>
    <w:qFormat/>
    <w:rsid w:val="005B2678"/>
    <w:rPr>
      <w:b/>
      <w:bCs/>
      <w:color w:val="58595B"/>
    </w:rPr>
  </w:style>
  <w:style w:type="paragraph" w:styleId="Subtitle">
    <w:name w:val="Subtitle"/>
    <w:basedOn w:val="Normal"/>
    <w:next w:val="Normal"/>
    <w:link w:val="SubtitleChar"/>
    <w:uiPriority w:val="11"/>
    <w:qFormat/>
    <w:rsid w:val="005B2678"/>
    <w:pPr>
      <w:numPr>
        <w:ilvl w:val="1"/>
        <w:numId w:val="0"/>
      </w:numPr>
      <w:spacing w:before="0" w:after="120" w:line="240" w:lineRule="auto"/>
      <w:jc w:val="left"/>
    </w:pPr>
    <w:rPr>
      <w:rFonts w:asciiTheme="minorHAnsi" w:hAnsiTheme="minorHAnsi"/>
      <w:color w:val="58595B"/>
      <w:szCs w:val="24"/>
    </w:rPr>
  </w:style>
  <w:style w:type="character" w:customStyle="1" w:styleId="SubtitleChar">
    <w:name w:val="Subtitle Char"/>
    <w:basedOn w:val="DefaultParagraphFont"/>
    <w:link w:val="Subtitle"/>
    <w:uiPriority w:val="11"/>
    <w:rsid w:val="005B2678"/>
    <w:rPr>
      <w:color w:val="58595B"/>
      <w:sz w:val="24"/>
      <w:szCs w:val="24"/>
    </w:rPr>
  </w:style>
  <w:style w:type="character" w:styleId="SubtleReference">
    <w:name w:val="Subtle Reference"/>
    <w:basedOn w:val="DefaultParagraphFont"/>
    <w:uiPriority w:val="31"/>
    <w:qFormat/>
    <w:rsid w:val="005B2678"/>
    <w:rPr>
      <w:smallCaps/>
      <w:color w:val="58595B"/>
    </w:rPr>
  </w:style>
  <w:style w:type="paragraph" w:customStyle="1" w:styleId="TitleBlue">
    <w:name w:val="Title (Blue)"/>
    <w:basedOn w:val="Title"/>
    <w:uiPriority w:val="39"/>
    <w:qFormat/>
    <w:rsid w:val="005B2678"/>
    <w:pPr>
      <w:spacing w:before="0" w:line="680" w:lineRule="exact"/>
      <w:contextualSpacing w:val="0"/>
      <w:jc w:val="left"/>
    </w:pPr>
    <w:rPr>
      <w:rFonts w:asciiTheme="minorHAnsi" w:eastAsiaTheme="minorHAnsi" w:hAnsiTheme="minorHAnsi" w:cstheme="minorBidi"/>
      <w:b w:val="0"/>
      <w:color w:val="0067B1"/>
      <w:spacing w:val="0"/>
      <w:kern w:val="0"/>
      <w:sz w:val="66"/>
      <w:szCs w:val="68"/>
    </w:rPr>
  </w:style>
  <w:style w:type="paragraph" w:customStyle="1" w:styleId="TOCTitle">
    <w:name w:val="TOC Title"/>
    <w:basedOn w:val="Normal"/>
    <w:uiPriority w:val="40"/>
    <w:qFormat/>
    <w:rsid w:val="005B2678"/>
    <w:pPr>
      <w:numPr>
        <w:numId w:val="0"/>
      </w:numPr>
      <w:spacing w:before="0" w:after="120" w:line="276" w:lineRule="auto"/>
      <w:jc w:val="left"/>
    </w:pPr>
    <w:rPr>
      <w:rFonts w:asciiTheme="minorHAnsi" w:hAnsiTheme="minorHAnsi"/>
      <w:noProof/>
      <w:color w:val="0067B1"/>
      <w:sz w:val="28"/>
      <w:szCs w:val="28"/>
    </w:rPr>
  </w:style>
  <w:style w:type="numbering" w:customStyle="1" w:styleId="BulletPoints">
    <w:name w:val="Bullet Points"/>
    <w:basedOn w:val="NoList"/>
    <w:uiPriority w:val="99"/>
    <w:rsid w:val="005B2678"/>
    <w:pPr>
      <w:numPr>
        <w:numId w:val="4"/>
      </w:numPr>
    </w:pPr>
  </w:style>
  <w:style w:type="paragraph" w:customStyle="1" w:styleId="Bullet">
    <w:name w:val="Bullet"/>
    <w:basedOn w:val="ListParagraph"/>
    <w:qFormat/>
    <w:rsid w:val="005B2678"/>
    <w:pPr>
      <w:numPr>
        <w:numId w:val="5"/>
      </w:numPr>
      <w:spacing w:before="90" w:after="90" w:line="240" w:lineRule="auto"/>
      <w:contextualSpacing w:val="0"/>
    </w:pPr>
    <w:rPr>
      <w:rFonts w:asciiTheme="minorHAnsi" w:eastAsiaTheme="minorHAnsi" w:hAnsiTheme="minorHAnsi" w:cstheme="minorBidi"/>
      <w:color w:val="AFB2B3"/>
      <w:szCs w:val="24"/>
    </w:rPr>
  </w:style>
  <w:style w:type="paragraph" w:customStyle="1" w:styleId="BulletSub">
    <w:name w:val="Bullet_Sub"/>
    <w:basedOn w:val="Bullet"/>
    <w:qFormat/>
    <w:rsid w:val="005B2678"/>
    <w:pPr>
      <w:numPr>
        <w:ilvl w:val="1"/>
      </w:numPr>
      <w:spacing w:before="0"/>
    </w:pPr>
  </w:style>
  <w:style w:type="table" w:customStyle="1" w:styleId="FTITable">
    <w:name w:val="FTI Table"/>
    <w:basedOn w:val="TableNormal"/>
    <w:uiPriority w:val="99"/>
    <w:rsid w:val="00374DF9"/>
    <w:pPr>
      <w:spacing w:after="0" w:line="240" w:lineRule="auto"/>
    </w:pPr>
    <w:rPr>
      <w:rFonts w:ascii="Times New Roman" w:hAnsi="Times New Roman"/>
      <w:color w:val="000000" w:themeColor="text1"/>
      <w:sz w:val="24"/>
      <w:szCs w:val="24"/>
    </w:rPr>
    <w:tblPr>
      <w:tblStyleRowBandSize w:val="1"/>
      <w:tblStyleColBandSize w:val="1"/>
      <w:tblBorders>
        <w:insideV w:val="single" w:sz="8" w:space="0" w:color="CFCFD1"/>
      </w:tblBorders>
    </w:tblPr>
    <w:tcPr>
      <w:shd w:val="clear" w:color="auto" w:fill="auto"/>
      <w:vAlign w:val="center"/>
    </w:tcPr>
    <w:tblStylePr w:type="firstRow">
      <w:pPr>
        <w:jc w:val="center"/>
      </w:pPr>
      <w:rPr>
        <w:rFonts w:ascii="Calibri" w:hAnsi="Calibri"/>
        <w:b/>
        <w:i w:val="0"/>
        <w:color w:val="ED7D31" w:themeColor="accent2"/>
        <w:sz w:val="28"/>
      </w:rPr>
      <w:tblPr/>
      <w:tcPr>
        <w:tcBorders>
          <w:top w:val="nil"/>
          <w:left w:val="nil"/>
          <w:bottom w:val="single" w:sz="4" w:space="0" w:color="CFCFD1"/>
          <w:right w:val="nil"/>
          <w:insideH w:val="nil"/>
          <w:insideV w:val="nil"/>
        </w:tcBorders>
        <w:shd w:val="clear" w:color="auto" w:fill="auto"/>
      </w:tcPr>
    </w:tblStylePr>
    <w:tblStylePr w:type="band1Vert">
      <w:tblPr/>
      <w:tcPr>
        <w:tcBorders>
          <w:right w:val="single" w:sz="4" w:space="0" w:color="000000" w:themeColor="text1"/>
        </w:tcBorders>
        <w:shd w:val="clear" w:color="auto" w:fill="auto"/>
      </w:tcPr>
    </w:tblStylePr>
    <w:tblStylePr w:type="band2Vert">
      <w:tblPr/>
      <w:tcPr>
        <w:tcBorders>
          <w:right w:val="nil"/>
        </w:tcBorders>
        <w:shd w:val="clear" w:color="auto" w:fill="auto"/>
      </w:tcPr>
    </w:tblStylePr>
    <w:tblStylePr w:type="band1Horz">
      <w:pPr>
        <w:wordWrap/>
        <w:spacing w:line="240" w:lineRule="auto"/>
        <w:jc w:val="left"/>
      </w:pPr>
      <w:rPr>
        <w:rFonts w:asciiTheme="minorHAnsi" w:hAnsiTheme="minorHAnsi"/>
        <w:color w:val="auto"/>
        <w:sz w:val="24"/>
      </w:rPr>
      <w:tblPr/>
      <w:tcPr>
        <w:shd w:val="clear" w:color="auto" w:fill="FFFFFF" w:themeFill="background1"/>
        <w:vAlign w:val="bottom"/>
      </w:tcPr>
    </w:tblStylePr>
    <w:tblStylePr w:type="band2Horz">
      <w:pPr>
        <w:wordWrap/>
        <w:spacing w:line="240" w:lineRule="auto"/>
        <w:jc w:val="left"/>
      </w:pPr>
      <w:tblPr/>
      <w:tcPr>
        <w:shd w:val="clear" w:color="auto" w:fill="F3F3F4"/>
      </w:tcPr>
    </w:tblStylePr>
  </w:style>
  <w:style w:type="table" w:styleId="PlainTable1">
    <w:name w:val="Plain Table 1"/>
    <w:basedOn w:val="TableNormal"/>
    <w:uiPriority w:val="41"/>
    <w:rsid w:val="005B2678"/>
    <w:pPr>
      <w:spacing w:after="0" w:line="240" w:lineRule="auto"/>
    </w:pPr>
    <w:rPr>
      <w:color w:val="000000" w:themeColor="text1"/>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B2678"/>
    <w:pPr>
      <w:spacing w:after="0" w:line="240" w:lineRule="auto"/>
    </w:pPr>
    <w:rPr>
      <w:color w:val="000000" w:themeColor="text1"/>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NumberedChar">
    <w:name w:val="Body Text (Numbered) Char"/>
    <w:basedOn w:val="DefaultParagraphFont"/>
    <w:link w:val="BodyTextNumbered"/>
    <w:uiPriority w:val="11"/>
    <w:locked/>
    <w:rsid w:val="005B2678"/>
    <w:rPr>
      <w:rFonts w:ascii="Calibri" w:hAnsi="Calibri" w:cs="Calibri"/>
      <w:color w:val="000000" w:themeColor="text1"/>
      <w:sz w:val="24"/>
      <w:szCs w:val="24"/>
    </w:rPr>
  </w:style>
  <w:style w:type="paragraph" w:customStyle="1" w:styleId="BodyTextNumbered">
    <w:name w:val="Body Text (Numbered)"/>
    <w:basedOn w:val="Normal"/>
    <w:link w:val="BodyTextNumberedChar"/>
    <w:uiPriority w:val="11"/>
    <w:qFormat/>
    <w:rsid w:val="005B2678"/>
    <w:pPr>
      <w:numPr>
        <w:ilvl w:val="1"/>
        <w:numId w:val="6"/>
      </w:numPr>
      <w:tabs>
        <w:tab w:val="left" w:pos="346"/>
        <w:tab w:val="left" w:pos="540"/>
      </w:tabs>
      <w:spacing w:before="90" w:after="90" w:line="276" w:lineRule="auto"/>
      <w:contextualSpacing/>
      <w:jc w:val="left"/>
    </w:pPr>
    <w:rPr>
      <w:rFonts w:ascii="Calibri" w:hAnsi="Calibri" w:cs="Calibri"/>
      <w:color w:val="000000" w:themeColor="text1"/>
      <w:szCs w:val="24"/>
    </w:rPr>
  </w:style>
  <w:style w:type="character" w:customStyle="1" w:styleId="Heading1NumberedChar">
    <w:name w:val="Heading 1 (Numbered) Char"/>
    <w:basedOn w:val="DefaultParagraphFont"/>
    <w:link w:val="Heading1Numbered"/>
    <w:uiPriority w:val="10"/>
    <w:locked/>
    <w:rsid w:val="005B2678"/>
    <w:rPr>
      <w:rFonts w:ascii="Calibri" w:hAnsi="Calibri" w:cs="Calibri"/>
      <w:b/>
      <w:color w:val="4472C4" w:themeColor="accent1"/>
      <w:sz w:val="32"/>
      <w:szCs w:val="24"/>
    </w:rPr>
  </w:style>
  <w:style w:type="paragraph" w:customStyle="1" w:styleId="Heading1Numbered">
    <w:name w:val="Heading 1 (Numbered)"/>
    <w:basedOn w:val="ListParagraph"/>
    <w:link w:val="Heading1NumberedChar"/>
    <w:uiPriority w:val="10"/>
    <w:qFormat/>
    <w:rsid w:val="005B2678"/>
    <w:pPr>
      <w:numPr>
        <w:numId w:val="6"/>
      </w:numPr>
      <w:tabs>
        <w:tab w:val="left" w:pos="540"/>
      </w:tabs>
      <w:spacing w:before="0" w:after="120" w:line="276" w:lineRule="auto"/>
    </w:pPr>
    <w:rPr>
      <w:rFonts w:ascii="Calibri" w:eastAsiaTheme="minorHAnsi" w:hAnsi="Calibri"/>
      <w:b/>
      <w:color w:val="4472C4" w:themeColor="accent1"/>
      <w:sz w:val="32"/>
      <w:szCs w:val="24"/>
    </w:rPr>
  </w:style>
  <w:style w:type="paragraph" w:customStyle="1" w:styleId="BodyTextNumberedLevel2">
    <w:name w:val="Body Text (Numbered Level 2)"/>
    <w:basedOn w:val="BodyTextNumbered"/>
    <w:link w:val="BodyTextNumberedLevel2Char"/>
    <w:rsid w:val="005B2678"/>
    <w:pPr>
      <w:numPr>
        <w:ilvl w:val="2"/>
      </w:numPr>
    </w:pPr>
  </w:style>
  <w:style w:type="paragraph" w:customStyle="1" w:styleId="BodyTextNumberedLevel3">
    <w:name w:val="Body Text (Numbered Level 3)"/>
    <w:basedOn w:val="BodyTextNumbered"/>
    <w:rsid w:val="005B2678"/>
    <w:pPr>
      <w:numPr>
        <w:ilvl w:val="3"/>
      </w:numPr>
      <w:ind w:left="2880" w:hanging="360"/>
    </w:pPr>
  </w:style>
  <w:style w:type="character" w:customStyle="1" w:styleId="BodyTextNumberedLevel2Char">
    <w:name w:val="Body Text (Numbered Level 2) Char"/>
    <w:basedOn w:val="BodyTextNumberedChar"/>
    <w:link w:val="BodyTextNumberedLevel2"/>
    <w:rsid w:val="005B2678"/>
    <w:rPr>
      <w:rFonts w:ascii="Calibri" w:hAnsi="Calibri" w:cs="Calibri"/>
      <w:color w:val="000000" w:themeColor="text1"/>
      <w:sz w:val="24"/>
      <w:szCs w:val="24"/>
    </w:rPr>
  </w:style>
  <w:style w:type="table" w:styleId="ListTable3-Accent1">
    <w:name w:val="List Table 3 Accent 1"/>
    <w:basedOn w:val="TableNormal"/>
    <w:uiPriority w:val="48"/>
    <w:rsid w:val="005B2678"/>
    <w:pPr>
      <w:spacing w:after="0" w:line="240" w:lineRule="auto"/>
    </w:pPr>
    <w:rPr>
      <w:rFonts w:eastAsiaTheme="minorEastAsia"/>
      <w:lang w:eastAsia="zh-CN"/>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Style1">
    <w:name w:val="Style1"/>
    <w:basedOn w:val="TableNormal"/>
    <w:uiPriority w:val="99"/>
    <w:rsid w:val="005B2678"/>
    <w:pPr>
      <w:spacing w:after="0" w:line="240" w:lineRule="auto"/>
    </w:pPr>
    <w:rPr>
      <w:rFonts w:ascii="Times New Roman" w:eastAsiaTheme="minorEastAsia" w:hAnsi="Times New Roman"/>
      <w:sz w:val="24"/>
      <w:lang w:eastAsia="zh-CN"/>
    </w:rPr>
    <w:tblPr/>
  </w:style>
  <w:style w:type="table" w:customStyle="1" w:styleId="Style2">
    <w:name w:val="Style2"/>
    <w:basedOn w:val="TableNormal"/>
    <w:uiPriority w:val="99"/>
    <w:rsid w:val="005B2678"/>
    <w:pPr>
      <w:spacing w:after="0" w:line="240" w:lineRule="auto"/>
    </w:pPr>
    <w:rPr>
      <w:rFonts w:ascii="Times New Roman" w:eastAsiaTheme="minorEastAsia" w:hAnsi="Times New Roman"/>
      <w:sz w:val="24"/>
      <w:lang w:eastAsia="zh-CN"/>
    </w:rPr>
    <w:tblPr>
      <w:jc w:val="center"/>
    </w:tblPr>
    <w:trPr>
      <w:cantSplit/>
      <w:tblHeader/>
      <w:jc w:val="center"/>
    </w:trPr>
    <w:tcPr>
      <w:vAlign w:val="center"/>
    </w:tcPr>
  </w:style>
  <w:style w:type="paragraph" w:styleId="Revision">
    <w:name w:val="Revision"/>
    <w:hidden/>
    <w:uiPriority w:val="99"/>
    <w:semiHidden/>
    <w:rsid w:val="005B2678"/>
    <w:pPr>
      <w:spacing w:after="0" w:line="240" w:lineRule="auto"/>
    </w:pPr>
    <w:rPr>
      <w:color w:val="000000" w:themeColor="text1"/>
      <w:sz w:val="24"/>
      <w:szCs w:val="24"/>
    </w:rPr>
  </w:style>
  <w:style w:type="table" w:styleId="GridTable4-Accent1">
    <w:name w:val="Grid Table 4 Accent 1"/>
    <w:basedOn w:val="TableNormal"/>
    <w:uiPriority w:val="49"/>
    <w:rsid w:val="00535662"/>
    <w:pPr>
      <w:spacing w:after="0" w:line="240" w:lineRule="auto"/>
    </w:pPr>
    <w:rPr>
      <w:rFonts w:eastAsiaTheme="minorEastAsia"/>
      <w:lang w:eastAsia="zh-C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
    <w:name w:val="Grid Table 4 - Accent 11"/>
    <w:basedOn w:val="TableNormal"/>
    <w:uiPriority w:val="49"/>
    <w:rsid w:val="00374DF9"/>
    <w:pPr>
      <w:keepNext/>
      <w:spacing w:after="0" w:line="240" w:lineRule="auto"/>
      <w:jc w:val="center"/>
    </w:pPr>
    <w:rPr>
      <w:rFonts w:eastAsia="SimSun"/>
      <w:lang w:eastAsia="zh-CN"/>
    </w:rPr>
    <w:tblPr>
      <w:tblStyleRowBandSize w:val="1"/>
      <w:tblStyleColBandSize w:val="1"/>
      <w:jc w:val="center"/>
      <w:tblBorders>
        <w:top w:val="single" w:sz="4" w:space="0" w:color="002060"/>
        <w:bottom w:val="single" w:sz="4" w:space="0" w:color="002060"/>
        <w:insideH w:val="single" w:sz="4" w:space="0" w:color="002060"/>
      </w:tblBorders>
    </w:tblPr>
    <w:trPr>
      <w:jc w:val="center"/>
    </w:trPr>
    <w:tcPr>
      <w:vAlign w:val="center"/>
    </w:tcPr>
    <w:tblStylePr w:type="firstRow">
      <w:pPr>
        <w:jc w:val="center"/>
      </w:pPr>
      <w:rPr>
        <w:b/>
        <w:bCs/>
        <w:color w:val="FFFFFF"/>
      </w:rPr>
      <w:tblPr/>
      <w:tcPr>
        <w:tcBorders>
          <w:top w:val="single" w:sz="4" w:space="0" w:color="003763"/>
          <w:left w:val="single" w:sz="4" w:space="0" w:color="003763"/>
          <w:bottom w:val="single" w:sz="4" w:space="0" w:color="003763"/>
          <w:right w:val="single" w:sz="4" w:space="0" w:color="003763"/>
          <w:insideH w:val="nil"/>
          <w:insideV w:val="nil"/>
        </w:tcBorders>
        <w:shd w:val="clear" w:color="auto" w:fill="003763"/>
      </w:tcPr>
    </w:tblStylePr>
    <w:tblStylePr w:type="lastRow">
      <w:rPr>
        <w:b/>
        <w:bCs/>
      </w:rPr>
      <w:tblPr/>
      <w:tcPr>
        <w:tcBorders>
          <w:top w:val="double" w:sz="4" w:space="0" w:color="003763"/>
        </w:tcBorders>
      </w:tcPr>
    </w:tblStylePr>
    <w:tblStylePr w:type="firstCol">
      <w:pPr>
        <w:jc w:val="left"/>
      </w:pPr>
      <w:rPr>
        <w:rFonts w:ascii="Times New Roman" w:hAnsi="Times New Roman"/>
        <w:b/>
        <w:bCs/>
      </w:rPr>
    </w:tblStylePr>
    <w:tblStylePr w:type="lastCol">
      <w:rPr>
        <w:b/>
        <w:bCs/>
      </w:rPr>
    </w:tblStylePr>
  </w:style>
  <w:style w:type="numbering" w:customStyle="1" w:styleId="BulletPoints1">
    <w:name w:val="Bullet Points1"/>
    <w:basedOn w:val="NoList"/>
    <w:uiPriority w:val="99"/>
    <w:rsid w:val="0024438B"/>
  </w:style>
  <w:style w:type="table" w:styleId="GridTable4-Accent5">
    <w:name w:val="Grid Table 4 Accent 5"/>
    <w:basedOn w:val="TableNormal"/>
    <w:uiPriority w:val="49"/>
    <w:rsid w:val="0024438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Style3">
    <w:name w:val="Style3"/>
    <w:basedOn w:val="TableNormal"/>
    <w:uiPriority w:val="99"/>
    <w:rsid w:val="007762D8"/>
    <w:pPr>
      <w:spacing w:after="0" w:line="240" w:lineRule="auto"/>
    </w:pPr>
    <w:rPr>
      <w:rFonts w:ascii="Times New Roman" w:hAnsi="Times New Roman"/>
    </w:rPr>
    <w:tblPr>
      <w:tblBorders>
        <w:top w:val="single" w:sz="4" w:space="0" w:color="auto"/>
        <w:bottom w:val="single" w:sz="4" w:space="0" w:color="auto"/>
        <w:insideH w:val="single" w:sz="4" w:space="0" w:color="auto"/>
      </w:tblBorders>
    </w:tblPr>
    <w:tblStylePr w:type="firstRow">
      <w:tblPr/>
      <w:tcPr>
        <w:shd w:val="clear" w:color="auto" w:fill="003763"/>
      </w:tcPr>
    </w:tblStylePr>
  </w:style>
  <w:style w:type="paragraph" w:styleId="TableofFigures">
    <w:name w:val="table of figures"/>
    <w:basedOn w:val="Normal"/>
    <w:next w:val="Normal"/>
    <w:uiPriority w:val="99"/>
    <w:unhideWhenUsed/>
    <w:rsid w:val="00445502"/>
    <w:pPr>
      <w:spacing w:after="0"/>
      <w:ind w:left="0"/>
    </w:pPr>
  </w:style>
  <w:style w:type="paragraph" w:styleId="ListNumber">
    <w:name w:val="List Number"/>
    <w:basedOn w:val="Normal"/>
    <w:uiPriority w:val="99"/>
    <w:unhideWhenUsed/>
    <w:rsid w:val="00E66730"/>
    <w:pPr>
      <w:numPr>
        <w:numId w:val="27"/>
      </w:numPr>
      <w:tabs>
        <w:tab w:val="clear" w:pos="360"/>
      </w:tabs>
      <w:spacing w:before="0" w:after="240" w:line="360" w:lineRule="auto"/>
      <w:ind w:left="0" w:firstLine="720"/>
      <w:contextualSpacing/>
    </w:pPr>
    <w:rPr>
      <w:rFonts w:ascii="Georgia" w:eastAsiaTheme="minorEastAsia" w:hAnsi="Georgia" w:cs="Times New Roman"/>
      <w:szCs w:val="24"/>
    </w:rPr>
  </w:style>
  <w:style w:type="paragraph" w:customStyle="1" w:styleId="NumberedParagraphs">
    <w:name w:val="Numbered Paragraphs"/>
    <w:basedOn w:val="Normal"/>
    <w:link w:val="NumberedParagraphsChar"/>
    <w:qFormat/>
    <w:rsid w:val="00E66730"/>
    <w:pPr>
      <w:numPr>
        <w:numId w:val="28"/>
      </w:numPr>
      <w:spacing w:before="0" w:after="120" w:line="360" w:lineRule="auto"/>
      <w:ind w:left="0" w:firstLine="0"/>
    </w:pPr>
    <w:rPr>
      <w:rFonts w:eastAsia="Times New Roman" w:cs="Times New Roman"/>
      <w:szCs w:val="24"/>
    </w:rPr>
  </w:style>
  <w:style w:type="character" w:customStyle="1" w:styleId="NumberedParagraphsChar">
    <w:name w:val="Numbered Paragraphs Char"/>
    <w:basedOn w:val="DefaultParagraphFont"/>
    <w:link w:val="NumberedParagraphs"/>
    <w:rsid w:val="00E6673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573">
      <w:bodyDiv w:val="1"/>
      <w:marLeft w:val="0"/>
      <w:marRight w:val="0"/>
      <w:marTop w:val="0"/>
      <w:marBottom w:val="0"/>
      <w:divBdr>
        <w:top w:val="none" w:sz="0" w:space="0" w:color="auto"/>
        <w:left w:val="none" w:sz="0" w:space="0" w:color="auto"/>
        <w:bottom w:val="none" w:sz="0" w:space="0" w:color="auto"/>
        <w:right w:val="none" w:sz="0" w:space="0" w:color="auto"/>
      </w:divBdr>
    </w:div>
    <w:div w:id="42684413">
      <w:bodyDiv w:val="1"/>
      <w:marLeft w:val="0"/>
      <w:marRight w:val="0"/>
      <w:marTop w:val="0"/>
      <w:marBottom w:val="0"/>
      <w:divBdr>
        <w:top w:val="none" w:sz="0" w:space="0" w:color="auto"/>
        <w:left w:val="none" w:sz="0" w:space="0" w:color="auto"/>
        <w:bottom w:val="none" w:sz="0" w:space="0" w:color="auto"/>
        <w:right w:val="none" w:sz="0" w:space="0" w:color="auto"/>
      </w:divBdr>
    </w:div>
    <w:div w:id="55401221">
      <w:bodyDiv w:val="1"/>
      <w:marLeft w:val="0"/>
      <w:marRight w:val="0"/>
      <w:marTop w:val="0"/>
      <w:marBottom w:val="0"/>
      <w:divBdr>
        <w:top w:val="none" w:sz="0" w:space="0" w:color="auto"/>
        <w:left w:val="none" w:sz="0" w:space="0" w:color="auto"/>
        <w:bottom w:val="none" w:sz="0" w:space="0" w:color="auto"/>
        <w:right w:val="none" w:sz="0" w:space="0" w:color="auto"/>
      </w:divBdr>
    </w:div>
    <w:div w:id="80219862">
      <w:bodyDiv w:val="1"/>
      <w:marLeft w:val="0"/>
      <w:marRight w:val="0"/>
      <w:marTop w:val="0"/>
      <w:marBottom w:val="0"/>
      <w:divBdr>
        <w:top w:val="none" w:sz="0" w:space="0" w:color="auto"/>
        <w:left w:val="none" w:sz="0" w:space="0" w:color="auto"/>
        <w:bottom w:val="none" w:sz="0" w:space="0" w:color="auto"/>
        <w:right w:val="none" w:sz="0" w:space="0" w:color="auto"/>
      </w:divBdr>
    </w:div>
    <w:div w:id="114062011">
      <w:bodyDiv w:val="1"/>
      <w:marLeft w:val="0"/>
      <w:marRight w:val="0"/>
      <w:marTop w:val="0"/>
      <w:marBottom w:val="0"/>
      <w:divBdr>
        <w:top w:val="none" w:sz="0" w:space="0" w:color="auto"/>
        <w:left w:val="none" w:sz="0" w:space="0" w:color="auto"/>
        <w:bottom w:val="none" w:sz="0" w:space="0" w:color="auto"/>
        <w:right w:val="none" w:sz="0" w:space="0" w:color="auto"/>
      </w:divBdr>
    </w:div>
    <w:div w:id="178201906">
      <w:bodyDiv w:val="1"/>
      <w:marLeft w:val="0"/>
      <w:marRight w:val="0"/>
      <w:marTop w:val="0"/>
      <w:marBottom w:val="0"/>
      <w:divBdr>
        <w:top w:val="none" w:sz="0" w:space="0" w:color="auto"/>
        <w:left w:val="none" w:sz="0" w:space="0" w:color="auto"/>
        <w:bottom w:val="none" w:sz="0" w:space="0" w:color="auto"/>
        <w:right w:val="none" w:sz="0" w:space="0" w:color="auto"/>
      </w:divBdr>
    </w:div>
    <w:div w:id="246689743">
      <w:bodyDiv w:val="1"/>
      <w:marLeft w:val="0"/>
      <w:marRight w:val="0"/>
      <w:marTop w:val="0"/>
      <w:marBottom w:val="0"/>
      <w:divBdr>
        <w:top w:val="none" w:sz="0" w:space="0" w:color="auto"/>
        <w:left w:val="none" w:sz="0" w:space="0" w:color="auto"/>
        <w:bottom w:val="none" w:sz="0" w:space="0" w:color="auto"/>
        <w:right w:val="none" w:sz="0" w:space="0" w:color="auto"/>
      </w:divBdr>
    </w:div>
    <w:div w:id="287977162">
      <w:bodyDiv w:val="1"/>
      <w:marLeft w:val="0"/>
      <w:marRight w:val="0"/>
      <w:marTop w:val="0"/>
      <w:marBottom w:val="0"/>
      <w:divBdr>
        <w:top w:val="none" w:sz="0" w:space="0" w:color="auto"/>
        <w:left w:val="none" w:sz="0" w:space="0" w:color="auto"/>
        <w:bottom w:val="none" w:sz="0" w:space="0" w:color="auto"/>
        <w:right w:val="none" w:sz="0" w:space="0" w:color="auto"/>
      </w:divBdr>
    </w:div>
    <w:div w:id="374277139">
      <w:bodyDiv w:val="1"/>
      <w:marLeft w:val="0"/>
      <w:marRight w:val="0"/>
      <w:marTop w:val="0"/>
      <w:marBottom w:val="0"/>
      <w:divBdr>
        <w:top w:val="none" w:sz="0" w:space="0" w:color="auto"/>
        <w:left w:val="none" w:sz="0" w:space="0" w:color="auto"/>
        <w:bottom w:val="none" w:sz="0" w:space="0" w:color="auto"/>
        <w:right w:val="none" w:sz="0" w:space="0" w:color="auto"/>
      </w:divBdr>
    </w:div>
    <w:div w:id="542330700">
      <w:bodyDiv w:val="1"/>
      <w:marLeft w:val="0"/>
      <w:marRight w:val="0"/>
      <w:marTop w:val="0"/>
      <w:marBottom w:val="0"/>
      <w:divBdr>
        <w:top w:val="none" w:sz="0" w:space="0" w:color="auto"/>
        <w:left w:val="none" w:sz="0" w:space="0" w:color="auto"/>
        <w:bottom w:val="none" w:sz="0" w:space="0" w:color="auto"/>
        <w:right w:val="none" w:sz="0" w:space="0" w:color="auto"/>
      </w:divBdr>
    </w:div>
    <w:div w:id="546721222">
      <w:bodyDiv w:val="1"/>
      <w:marLeft w:val="0"/>
      <w:marRight w:val="0"/>
      <w:marTop w:val="0"/>
      <w:marBottom w:val="0"/>
      <w:divBdr>
        <w:top w:val="none" w:sz="0" w:space="0" w:color="auto"/>
        <w:left w:val="none" w:sz="0" w:space="0" w:color="auto"/>
        <w:bottom w:val="none" w:sz="0" w:space="0" w:color="auto"/>
        <w:right w:val="none" w:sz="0" w:space="0" w:color="auto"/>
      </w:divBdr>
    </w:div>
    <w:div w:id="629168824">
      <w:bodyDiv w:val="1"/>
      <w:marLeft w:val="0"/>
      <w:marRight w:val="0"/>
      <w:marTop w:val="0"/>
      <w:marBottom w:val="0"/>
      <w:divBdr>
        <w:top w:val="none" w:sz="0" w:space="0" w:color="auto"/>
        <w:left w:val="none" w:sz="0" w:space="0" w:color="auto"/>
        <w:bottom w:val="none" w:sz="0" w:space="0" w:color="auto"/>
        <w:right w:val="none" w:sz="0" w:space="0" w:color="auto"/>
      </w:divBdr>
    </w:div>
    <w:div w:id="650983118">
      <w:bodyDiv w:val="1"/>
      <w:marLeft w:val="0"/>
      <w:marRight w:val="0"/>
      <w:marTop w:val="0"/>
      <w:marBottom w:val="0"/>
      <w:divBdr>
        <w:top w:val="none" w:sz="0" w:space="0" w:color="auto"/>
        <w:left w:val="none" w:sz="0" w:space="0" w:color="auto"/>
        <w:bottom w:val="none" w:sz="0" w:space="0" w:color="auto"/>
        <w:right w:val="none" w:sz="0" w:space="0" w:color="auto"/>
      </w:divBdr>
    </w:div>
    <w:div w:id="677541030">
      <w:bodyDiv w:val="1"/>
      <w:marLeft w:val="0"/>
      <w:marRight w:val="0"/>
      <w:marTop w:val="0"/>
      <w:marBottom w:val="0"/>
      <w:divBdr>
        <w:top w:val="none" w:sz="0" w:space="0" w:color="auto"/>
        <w:left w:val="none" w:sz="0" w:space="0" w:color="auto"/>
        <w:bottom w:val="none" w:sz="0" w:space="0" w:color="auto"/>
        <w:right w:val="none" w:sz="0" w:space="0" w:color="auto"/>
      </w:divBdr>
    </w:div>
    <w:div w:id="689794436">
      <w:bodyDiv w:val="1"/>
      <w:marLeft w:val="0"/>
      <w:marRight w:val="0"/>
      <w:marTop w:val="0"/>
      <w:marBottom w:val="0"/>
      <w:divBdr>
        <w:top w:val="none" w:sz="0" w:space="0" w:color="auto"/>
        <w:left w:val="none" w:sz="0" w:space="0" w:color="auto"/>
        <w:bottom w:val="none" w:sz="0" w:space="0" w:color="auto"/>
        <w:right w:val="none" w:sz="0" w:space="0" w:color="auto"/>
      </w:divBdr>
    </w:div>
    <w:div w:id="769931420">
      <w:bodyDiv w:val="1"/>
      <w:marLeft w:val="0"/>
      <w:marRight w:val="0"/>
      <w:marTop w:val="0"/>
      <w:marBottom w:val="0"/>
      <w:divBdr>
        <w:top w:val="none" w:sz="0" w:space="0" w:color="auto"/>
        <w:left w:val="none" w:sz="0" w:space="0" w:color="auto"/>
        <w:bottom w:val="none" w:sz="0" w:space="0" w:color="auto"/>
        <w:right w:val="none" w:sz="0" w:space="0" w:color="auto"/>
      </w:divBdr>
    </w:div>
    <w:div w:id="792140360">
      <w:bodyDiv w:val="1"/>
      <w:marLeft w:val="0"/>
      <w:marRight w:val="0"/>
      <w:marTop w:val="0"/>
      <w:marBottom w:val="0"/>
      <w:divBdr>
        <w:top w:val="none" w:sz="0" w:space="0" w:color="auto"/>
        <w:left w:val="none" w:sz="0" w:space="0" w:color="auto"/>
        <w:bottom w:val="none" w:sz="0" w:space="0" w:color="auto"/>
        <w:right w:val="none" w:sz="0" w:space="0" w:color="auto"/>
      </w:divBdr>
    </w:div>
    <w:div w:id="802576991">
      <w:bodyDiv w:val="1"/>
      <w:marLeft w:val="0"/>
      <w:marRight w:val="0"/>
      <w:marTop w:val="0"/>
      <w:marBottom w:val="0"/>
      <w:divBdr>
        <w:top w:val="none" w:sz="0" w:space="0" w:color="auto"/>
        <w:left w:val="none" w:sz="0" w:space="0" w:color="auto"/>
        <w:bottom w:val="none" w:sz="0" w:space="0" w:color="auto"/>
        <w:right w:val="none" w:sz="0" w:space="0" w:color="auto"/>
      </w:divBdr>
    </w:div>
    <w:div w:id="829638928">
      <w:bodyDiv w:val="1"/>
      <w:marLeft w:val="0"/>
      <w:marRight w:val="0"/>
      <w:marTop w:val="0"/>
      <w:marBottom w:val="0"/>
      <w:divBdr>
        <w:top w:val="none" w:sz="0" w:space="0" w:color="auto"/>
        <w:left w:val="none" w:sz="0" w:space="0" w:color="auto"/>
        <w:bottom w:val="none" w:sz="0" w:space="0" w:color="auto"/>
        <w:right w:val="none" w:sz="0" w:space="0" w:color="auto"/>
      </w:divBdr>
    </w:div>
    <w:div w:id="922565129">
      <w:bodyDiv w:val="1"/>
      <w:marLeft w:val="0"/>
      <w:marRight w:val="0"/>
      <w:marTop w:val="0"/>
      <w:marBottom w:val="0"/>
      <w:divBdr>
        <w:top w:val="none" w:sz="0" w:space="0" w:color="auto"/>
        <w:left w:val="none" w:sz="0" w:space="0" w:color="auto"/>
        <w:bottom w:val="none" w:sz="0" w:space="0" w:color="auto"/>
        <w:right w:val="none" w:sz="0" w:space="0" w:color="auto"/>
      </w:divBdr>
    </w:div>
    <w:div w:id="1139616781">
      <w:bodyDiv w:val="1"/>
      <w:marLeft w:val="0"/>
      <w:marRight w:val="0"/>
      <w:marTop w:val="0"/>
      <w:marBottom w:val="0"/>
      <w:divBdr>
        <w:top w:val="none" w:sz="0" w:space="0" w:color="auto"/>
        <w:left w:val="none" w:sz="0" w:space="0" w:color="auto"/>
        <w:bottom w:val="none" w:sz="0" w:space="0" w:color="auto"/>
        <w:right w:val="none" w:sz="0" w:space="0" w:color="auto"/>
      </w:divBdr>
    </w:div>
    <w:div w:id="1162505479">
      <w:bodyDiv w:val="1"/>
      <w:marLeft w:val="0"/>
      <w:marRight w:val="0"/>
      <w:marTop w:val="0"/>
      <w:marBottom w:val="0"/>
      <w:divBdr>
        <w:top w:val="none" w:sz="0" w:space="0" w:color="auto"/>
        <w:left w:val="none" w:sz="0" w:space="0" w:color="auto"/>
        <w:bottom w:val="none" w:sz="0" w:space="0" w:color="auto"/>
        <w:right w:val="none" w:sz="0" w:space="0" w:color="auto"/>
      </w:divBdr>
    </w:div>
    <w:div w:id="1169829861">
      <w:bodyDiv w:val="1"/>
      <w:marLeft w:val="0"/>
      <w:marRight w:val="0"/>
      <w:marTop w:val="0"/>
      <w:marBottom w:val="0"/>
      <w:divBdr>
        <w:top w:val="none" w:sz="0" w:space="0" w:color="auto"/>
        <w:left w:val="none" w:sz="0" w:space="0" w:color="auto"/>
        <w:bottom w:val="none" w:sz="0" w:space="0" w:color="auto"/>
        <w:right w:val="none" w:sz="0" w:space="0" w:color="auto"/>
      </w:divBdr>
    </w:div>
    <w:div w:id="1212576839">
      <w:bodyDiv w:val="1"/>
      <w:marLeft w:val="0"/>
      <w:marRight w:val="0"/>
      <w:marTop w:val="0"/>
      <w:marBottom w:val="0"/>
      <w:divBdr>
        <w:top w:val="none" w:sz="0" w:space="0" w:color="auto"/>
        <w:left w:val="none" w:sz="0" w:space="0" w:color="auto"/>
        <w:bottom w:val="none" w:sz="0" w:space="0" w:color="auto"/>
        <w:right w:val="none" w:sz="0" w:space="0" w:color="auto"/>
      </w:divBdr>
    </w:div>
    <w:div w:id="1322461889">
      <w:bodyDiv w:val="1"/>
      <w:marLeft w:val="0"/>
      <w:marRight w:val="0"/>
      <w:marTop w:val="0"/>
      <w:marBottom w:val="0"/>
      <w:divBdr>
        <w:top w:val="none" w:sz="0" w:space="0" w:color="auto"/>
        <w:left w:val="none" w:sz="0" w:space="0" w:color="auto"/>
        <w:bottom w:val="none" w:sz="0" w:space="0" w:color="auto"/>
        <w:right w:val="none" w:sz="0" w:space="0" w:color="auto"/>
      </w:divBdr>
    </w:div>
    <w:div w:id="1340741435">
      <w:bodyDiv w:val="1"/>
      <w:marLeft w:val="0"/>
      <w:marRight w:val="0"/>
      <w:marTop w:val="0"/>
      <w:marBottom w:val="0"/>
      <w:divBdr>
        <w:top w:val="none" w:sz="0" w:space="0" w:color="auto"/>
        <w:left w:val="none" w:sz="0" w:space="0" w:color="auto"/>
        <w:bottom w:val="none" w:sz="0" w:space="0" w:color="auto"/>
        <w:right w:val="none" w:sz="0" w:space="0" w:color="auto"/>
      </w:divBdr>
    </w:div>
    <w:div w:id="1365978045">
      <w:bodyDiv w:val="1"/>
      <w:marLeft w:val="0"/>
      <w:marRight w:val="0"/>
      <w:marTop w:val="0"/>
      <w:marBottom w:val="0"/>
      <w:divBdr>
        <w:top w:val="none" w:sz="0" w:space="0" w:color="auto"/>
        <w:left w:val="none" w:sz="0" w:space="0" w:color="auto"/>
        <w:bottom w:val="none" w:sz="0" w:space="0" w:color="auto"/>
        <w:right w:val="none" w:sz="0" w:space="0" w:color="auto"/>
      </w:divBdr>
    </w:div>
    <w:div w:id="1390611776">
      <w:bodyDiv w:val="1"/>
      <w:marLeft w:val="0"/>
      <w:marRight w:val="0"/>
      <w:marTop w:val="0"/>
      <w:marBottom w:val="0"/>
      <w:divBdr>
        <w:top w:val="none" w:sz="0" w:space="0" w:color="auto"/>
        <w:left w:val="none" w:sz="0" w:space="0" w:color="auto"/>
        <w:bottom w:val="none" w:sz="0" w:space="0" w:color="auto"/>
        <w:right w:val="none" w:sz="0" w:space="0" w:color="auto"/>
      </w:divBdr>
    </w:div>
    <w:div w:id="1405302565">
      <w:bodyDiv w:val="1"/>
      <w:marLeft w:val="0"/>
      <w:marRight w:val="0"/>
      <w:marTop w:val="0"/>
      <w:marBottom w:val="0"/>
      <w:divBdr>
        <w:top w:val="none" w:sz="0" w:space="0" w:color="auto"/>
        <w:left w:val="none" w:sz="0" w:space="0" w:color="auto"/>
        <w:bottom w:val="none" w:sz="0" w:space="0" w:color="auto"/>
        <w:right w:val="none" w:sz="0" w:space="0" w:color="auto"/>
      </w:divBdr>
    </w:div>
    <w:div w:id="1426414522">
      <w:bodyDiv w:val="1"/>
      <w:marLeft w:val="0"/>
      <w:marRight w:val="0"/>
      <w:marTop w:val="0"/>
      <w:marBottom w:val="0"/>
      <w:divBdr>
        <w:top w:val="none" w:sz="0" w:space="0" w:color="auto"/>
        <w:left w:val="none" w:sz="0" w:space="0" w:color="auto"/>
        <w:bottom w:val="none" w:sz="0" w:space="0" w:color="auto"/>
        <w:right w:val="none" w:sz="0" w:space="0" w:color="auto"/>
      </w:divBdr>
    </w:div>
    <w:div w:id="1526292069">
      <w:bodyDiv w:val="1"/>
      <w:marLeft w:val="0"/>
      <w:marRight w:val="0"/>
      <w:marTop w:val="0"/>
      <w:marBottom w:val="0"/>
      <w:divBdr>
        <w:top w:val="none" w:sz="0" w:space="0" w:color="auto"/>
        <w:left w:val="none" w:sz="0" w:space="0" w:color="auto"/>
        <w:bottom w:val="none" w:sz="0" w:space="0" w:color="auto"/>
        <w:right w:val="none" w:sz="0" w:space="0" w:color="auto"/>
      </w:divBdr>
    </w:div>
    <w:div w:id="1695425289">
      <w:bodyDiv w:val="1"/>
      <w:marLeft w:val="0"/>
      <w:marRight w:val="0"/>
      <w:marTop w:val="0"/>
      <w:marBottom w:val="0"/>
      <w:divBdr>
        <w:top w:val="none" w:sz="0" w:space="0" w:color="auto"/>
        <w:left w:val="none" w:sz="0" w:space="0" w:color="auto"/>
        <w:bottom w:val="none" w:sz="0" w:space="0" w:color="auto"/>
        <w:right w:val="none" w:sz="0" w:space="0" w:color="auto"/>
      </w:divBdr>
    </w:div>
    <w:div w:id="1748722322">
      <w:bodyDiv w:val="1"/>
      <w:marLeft w:val="0"/>
      <w:marRight w:val="0"/>
      <w:marTop w:val="0"/>
      <w:marBottom w:val="0"/>
      <w:divBdr>
        <w:top w:val="none" w:sz="0" w:space="0" w:color="auto"/>
        <w:left w:val="none" w:sz="0" w:space="0" w:color="auto"/>
        <w:bottom w:val="none" w:sz="0" w:space="0" w:color="auto"/>
        <w:right w:val="none" w:sz="0" w:space="0" w:color="auto"/>
      </w:divBdr>
    </w:div>
    <w:div w:id="1798375436">
      <w:bodyDiv w:val="1"/>
      <w:marLeft w:val="0"/>
      <w:marRight w:val="0"/>
      <w:marTop w:val="0"/>
      <w:marBottom w:val="0"/>
      <w:divBdr>
        <w:top w:val="none" w:sz="0" w:space="0" w:color="auto"/>
        <w:left w:val="none" w:sz="0" w:space="0" w:color="auto"/>
        <w:bottom w:val="none" w:sz="0" w:space="0" w:color="auto"/>
        <w:right w:val="none" w:sz="0" w:space="0" w:color="auto"/>
      </w:divBdr>
    </w:div>
    <w:div w:id="1833059891">
      <w:bodyDiv w:val="1"/>
      <w:marLeft w:val="0"/>
      <w:marRight w:val="0"/>
      <w:marTop w:val="0"/>
      <w:marBottom w:val="0"/>
      <w:divBdr>
        <w:top w:val="none" w:sz="0" w:space="0" w:color="auto"/>
        <w:left w:val="none" w:sz="0" w:space="0" w:color="auto"/>
        <w:bottom w:val="none" w:sz="0" w:space="0" w:color="auto"/>
        <w:right w:val="none" w:sz="0" w:space="0" w:color="auto"/>
      </w:divBdr>
    </w:div>
    <w:div w:id="1953197725">
      <w:bodyDiv w:val="1"/>
      <w:marLeft w:val="0"/>
      <w:marRight w:val="0"/>
      <w:marTop w:val="0"/>
      <w:marBottom w:val="0"/>
      <w:divBdr>
        <w:top w:val="none" w:sz="0" w:space="0" w:color="auto"/>
        <w:left w:val="none" w:sz="0" w:space="0" w:color="auto"/>
        <w:bottom w:val="none" w:sz="0" w:space="0" w:color="auto"/>
        <w:right w:val="none" w:sz="0" w:space="0" w:color="auto"/>
      </w:divBdr>
    </w:div>
    <w:div w:id="2018455559">
      <w:bodyDiv w:val="1"/>
      <w:marLeft w:val="0"/>
      <w:marRight w:val="0"/>
      <w:marTop w:val="0"/>
      <w:marBottom w:val="0"/>
      <w:divBdr>
        <w:top w:val="none" w:sz="0" w:space="0" w:color="auto"/>
        <w:left w:val="none" w:sz="0" w:space="0" w:color="auto"/>
        <w:bottom w:val="none" w:sz="0" w:space="0" w:color="auto"/>
        <w:right w:val="none" w:sz="0" w:space="0" w:color="auto"/>
      </w:divBdr>
    </w:div>
    <w:div w:id="2022855560">
      <w:bodyDiv w:val="1"/>
      <w:marLeft w:val="0"/>
      <w:marRight w:val="0"/>
      <w:marTop w:val="0"/>
      <w:marBottom w:val="0"/>
      <w:divBdr>
        <w:top w:val="none" w:sz="0" w:space="0" w:color="auto"/>
        <w:left w:val="none" w:sz="0" w:space="0" w:color="auto"/>
        <w:bottom w:val="none" w:sz="0" w:space="0" w:color="auto"/>
        <w:right w:val="none" w:sz="0" w:space="0" w:color="auto"/>
      </w:divBdr>
    </w:div>
    <w:div w:id="2036073332">
      <w:bodyDiv w:val="1"/>
      <w:marLeft w:val="0"/>
      <w:marRight w:val="0"/>
      <w:marTop w:val="0"/>
      <w:marBottom w:val="0"/>
      <w:divBdr>
        <w:top w:val="none" w:sz="0" w:space="0" w:color="auto"/>
        <w:left w:val="none" w:sz="0" w:space="0" w:color="auto"/>
        <w:bottom w:val="none" w:sz="0" w:space="0" w:color="auto"/>
        <w:right w:val="none" w:sz="0" w:space="0" w:color="auto"/>
      </w:divBdr>
    </w:div>
    <w:div w:id="2042706373">
      <w:bodyDiv w:val="1"/>
      <w:marLeft w:val="0"/>
      <w:marRight w:val="0"/>
      <w:marTop w:val="0"/>
      <w:marBottom w:val="0"/>
      <w:divBdr>
        <w:top w:val="none" w:sz="0" w:space="0" w:color="auto"/>
        <w:left w:val="none" w:sz="0" w:space="0" w:color="auto"/>
        <w:bottom w:val="none" w:sz="0" w:space="0" w:color="auto"/>
        <w:right w:val="none" w:sz="0" w:space="0" w:color="auto"/>
      </w:divBdr>
    </w:div>
    <w:div w:id="2104573619">
      <w:bodyDiv w:val="1"/>
      <w:marLeft w:val="0"/>
      <w:marRight w:val="0"/>
      <w:marTop w:val="0"/>
      <w:marBottom w:val="0"/>
      <w:divBdr>
        <w:top w:val="none" w:sz="0" w:space="0" w:color="auto"/>
        <w:left w:val="none" w:sz="0" w:space="0" w:color="auto"/>
        <w:bottom w:val="none" w:sz="0" w:space="0" w:color="auto"/>
        <w:right w:val="none" w:sz="0" w:space="0" w:color="auto"/>
      </w:divBdr>
    </w:div>
    <w:div w:id="212372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file:///Q:\Clients\BCH%20DON\Documents\BCH%20Application%20Filings\tcmcc-application-narrative.docx"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mass.gov/lists/the-childrens-medical-center-corporation-hospitalclinic-substantial-capital-expenditure" TargetMode="External"/><Relationship Id="rId18" Type="http://schemas.openxmlformats.org/officeDocument/2006/relationships/hyperlink" Target="https://www.mass.gov/doc/2021-health-care-cost-trends-report/download" TargetMode="External"/><Relationship Id="rId26" Type="http://schemas.openxmlformats.org/officeDocument/2006/relationships/hyperlink" Target="https://www.mass.gov/lists/the-childrens-medical-center-corporation-hospitalclinic-substantial-capital-expenditure" TargetMode="External"/><Relationship Id="rId39" Type="http://schemas.openxmlformats.org/officeDocument/2006/relationships/hyperlink" Target="https://files.kff.org/attachment/Summary-of-Findings-%20Employer-Health-Benefits-2021.pdf" TargetMode="External"/><Relationship Id="rId21" Type="http://schemas.openxmlformats.org/officeDocument/2006/relationships/hyperlink" Target="https://www.mass.gov/service-details/hospitals-for-children-in-massachusetts" TargetMode="External"/><Relationship Id="rId34" Type="http://schemas.openxmlformats.org/officeDocument/2006/relationships/hyperlink" Target="https://www.mass.gov/doc/the-childrens-medical-center-corporation-hospitalclinic-substantial-capital-expenditure-responses/download" TargetMode="External"/><Relationship Id="rId42" Type="http://schemas.openxmlformats.org/officeDocument/2006/relationships/hyperlink" Target="https://www.mass.gov/service-details/accountable-care-partnership-plan" TargetMode="External"/><Relationship Id="rId47" Type="http://schemas.openxmlformats.org/officeDocument/2006/relationships/hyperlink" Target="https://www.mass.gov/doc/masshealth-enrollment-guide-2/download" TargetMode="External"/><Relationship Id="rId50" Type="http://schemas.openxmlformats.org/officeDocument/2006/relationships/hyperlink" Target="https://www.researchgate.net/profile/A-Lenz/publication/274468465_Evaluation_of_a_Partial_Hospitalization_Program_for_Adolescents/links/553d814a0cf2c415bb0f66d1/Evaluation-of-a-Partial-Hospitalization-Program-for-Adolescents.pdf" TargetMode="External"/><Relationship Id="rId7" Type="http://schemas.openxmlformats.org/officeDocument/2006/relationships/hyperlink" Target="https://www.mass.gov/doc/application-narrative-0/download" TargetMode="External"/><Relationship Id="rId2" Type="http://schemas.openxmlformats.org/officeDocument/2006/relationships/hyperlink" Target="https://www.mass.gov/lists/the-childrens-medical-center-corporation-hospitalclinic-substantial-capital-expenditure" TargetMode="External"/><Relationship Id="rId16" Type="http://schemas.openxmlformats.org/officeDocument/2006/relationships/hyperlink" Target="https://www.mass.gov/doc/2021-health-care-cost-trends-report/download" TargetMode="External"/><Relationship Id="rId29" Type="http://schemas.openxmlformats.org/officeDocument/2006/relationships/hyperlink" Target="https://www.mass.gov/doc/the-childrens-medical-center-corporation-hospitalclinic-substantial-capital-expenditure-responses-ii/download" TargetMode="External"/><Relationship Id="rId11" Type="http://schemas.openxmlformats.org/officeDocument/2006/relationships/hyperlink" Target="https://www.mass.gov/lists/the-childrens-medical-center-corporation-hospitalclinic-substantial-capital-expenditure" TargetMode="External"/><Relationship Id="rId24" Type="http://schemas.openxmlformats.org/officeDocument/2006/relationships/hyperlink" Target="https://www.mass.gov/doc/the-childrens-medical-center-corporation-hospitalclinic-substantial-capital-expenditure-responses/download" TargetMode="External"/><Relationship Id="rId32" Type="http://schemas.openxmlformats.org/officeDocument/2006/relationships/hyperlink" Target="https://publications.aap.org/pediatrics/article/146/5/e20201724/75358/Pediatric-Hospital-Services-Within-a-OneHour?searchresult=1&amp;utm_source=TrendMD&amp;utm_medium=TrendMD&amp;utm_campaign=Pediatrics_TrendMD_0" TargetMode="External"/><Relationship Id="rId37" Type="http://schemas.openxmlformats.org/officeDocument/2006/relationships/hyperlink" Target="https://www.mass.gov/doc/the-childrens-medical-center-corporation-hospitalclinic-substantial-capital-expenditure-responses-ii/download." TargetMode="External"/><Relationship Id="rId40" Type="http://schemas.openxmlformats.org/officeDocument/2006/relationships/hyperlink" Target="https://files.kff.org/attachment/Summary-of-Findings-%20Employer-Health-Benefits-2021.pdf" TargetMode="External"/><Relationship Id="rId45" Type="http://schemas.openxmlformats.org/officeDocument/2006/relationships/hyperlink" Target="https://tuftshealthplan.com/public-plan/childrens-aco/visitor/whats-covered" TargetMode="External"/><Relationship Id="rId5" Type="http://schemas.openxmlformats.org/officeDocument/2006/relationships/hyperlink" Target="https://www.mass.gov/doc/the-childrens-medical-center-corporation-hospitalclinic-substantial-capital-expenditure-responses-ii/download" TargetMode="External"/><Relationship Id="rId15" Type="http://schemas.openxmlformats.org/officeDocument/2006/relationships/hyperlink" Target="https://www.mass.gov/doc/2021-health-care-cost-trends-report/download" TargetMode="External"/><Relationship Id="rId23" Type="http://schemas.openxmlformats.org/officeDocument/2006/relationships/hyperlink" Target="https://www.mass.gov/doc/the-childrens-medical-center-corporation-hospitalclinic-substantial-capital-expenditure-responses/download" TargetMode="External"/><Relationship Id="rId28" Type="http://schemas.openxmlformats.org/officeDocument/2006/relationships/hyperlink" Target="https://www.mass.gov/doc/the-childrens-medical-center-corporation-hospitalclinic-substantial-capital-expenditure-responses-ii/download" TargetMode="External"/><Relationship Id="rId36" Type="http://schemas.openxmlformats.org/officeDocument/2006/relationships/hyperlink" Target="https://www.mass.gov/doc/the-childrens-medical-center-corporation-hospitalclinic-substantial-capital-expenditure-responses-ii/download" TargetMode="External"/><Relationship Id="rId49" Type="http://schemas.openxmlformats.org/officeDocument/2006/relationships/hyperlink" Target="https://www.researchgate.net/profile/A-Lenz/publication/274468465_Evaluation_of_a_Partial_Hospitalization_Program_for_Adolescents/links/553d814a0cf2c415bb0f66d1/Evaluation-of-a-Partial-Hospitalization-Program-for-Adolescents.pdf" TargetMode="External"/><Relationship Id="rId10" Type="http://schemas.openxmlformats.org/officeDocument/2006/relationships/hyperlink" Target="https://www.mass.gov/doc/the-childrens-medical-center-corporation-hospitalclinic-substantial-capital-expenditure-responses-ii/download" TargetMode="External"/><Relationship Id="rId19" Type="http://schemas.openxmlformats.org/officeDocument/2006/relationships/hyperlink" Target="https://bmchealthservres.biomedcentral.com/articles/10.1186/s12913-020-05409-w" TargetMode="External"/><Relationship Id="rId31" Type="http://schemas.openxmlformats.org/officeDocument/2006/relationships/hyperlink" Target="https://www.mass.gov/doc/the-childrens-medical-center-corporation-hospitalclinic-substantial-capital-expenditure-responses-ii/download" TargetMode="External"/><Relationship Id="rId44" Type="http://schemas.openxmlformats.org/officeDocument/2006/relationships/hyperlink" Target="https://tuftshealthplan.com/documents/microsites/tufts-health-together-with-boston-children-s/tufts-health-together-with-boston-childrens-provid" TargetMode="External"/><Relationship Id="rId4" Type="http://schemas.openxmlformats.org/officeDocument/2006/relationships/hyperlink" Target="https://www.mass.gov/doc/application-narrative-0/download" TargetMode="External"/><Relationship Id="rId9" Type="http://schemas.openxmlformats.org/officeDocument/2006/relationships/hyperlink" Target="https://www.mass.gov/doc/the-childrens-medical-center-corporation-hospitalclinic-substantial-capital-expenditure-responses-ii/download" TargetMode="External"/><Relationship Id="rId14" Type="http://schemas.openxmlformats.org/officeDocument/2006/relationships/hyperlink" Target="https://www.mass.gov/lists/the-childrens-medical-center-corporation-hospitalclinic-substantial-capital-expenditure" TargetMode="External"/><Relationship Id="rId22" Type="http://schemas.openxmlformats.org/officeDocument/2006/relationships/hyperlink" Target="https://sites.tufts.edu/chsp/2022/04/08/end-of-an-era-the-closing-of-tufts-childrens-hospital-putting-inpatient-pediatric-care-in-context/" TargetMode="External"/><Relationship Id="rId27" Type="http://schemas.openxmlformats.org/officeDocument/2006/relationships/hyperlink" Target="https://www.mass.gov/lists/the-childrens-medical-center-corporation-hospitalclinic-substantial-capital-expenditure" TargetMode="External"/><Relationship Id="rId30" Type="http://schemas.openxmlformats.org/officeDocument/2006/relationships/hyperlink" Target="https://matracking.ehs.state.ma.us/eohhs_regions/eohhs_regions.html" TargetMode="External"/><Relationship Id="rId35" Type="http://schemas.openxmlformats.org/officeDocument/2006/relationships/hyperlink" Target="https://www.mass.gov/doc/the-childrens-medical-center-corporation-hospitalclinic-substantial-capital-expenditure-responses-ii/download." TargetMode="External"/><Relationship Id="rId43" Type="http://schemas.openxmlformats.org/officeDocument/2006/relationships/hyperlink" Target="https://tuftshealthplan.com/documents/microsites/tufts-health-together-with-boston-children-s/tufts-health-together-with-boston-childrens-provid" TargetMode="External"/><Relationship Id="rId48" Type="http://schemas.openxmlformats.org/officeDocument/2006/relationships/hyperlink" Target="https://www.mass.gov/doc/masshealth-enrollment-guide-2/download" TargetMode="External"/><Relationship Id="rId8" Type="http://schemas.openxmlformats.org/officeDocument/2006/relationships/hyperlink" Target="https://www.mass.gov/doc/application-narrative-0/download" TargetMode="External"/><Relationship Id="rId3" Type="http://schemas.openxmlformats.org/officeDocument/2006/relationships/hyperlink" Target="https://www.mass.gov/doc/application-narrative-0/download" TargetMode="External"/><Relationship Id="rId12" Type="http://schemas.openxmlformats.org/officeDocument/2006/relationships/hyperlink" Target="https://www.mass.gov/lists/the-childrens-medical-center-corporation-hospitalclinic-substantial-capital-expenditure" TargetMode="External"/><Relationship Id="rId17" Type="http://schemas.openxmlformats.org/officeDocument/2006/relationships/hyperlink" Target="https://www.mass.gov/doc/2021-health-care-cost-trends-report/download" TargetMode="External"/><Relationship Id="rId25" Type="http://schemas.openxmlformats.org/officeDocument/2006/relationships/hyperlink" Target="http://www.justice.gov/atr/public/guidelines/0000.htm" TargetMode="External"/><Relationship Id="rId33" Type="http://schemas.openxmlformats.org/officeDocument/2006/relationships/hyperlink" Target="https://www.mass.gov/doc/the-childrens-medical-center-corporation-hospitalclinic-substantial-capital-expenditure-responses/download" TargetMode="External"/><Relationship Id="rId38" Type="http://schemas.openxmlformats.org/officeDocument/2006/relationships/hyperlink" Target="https://www.mass.gov/doc/the-childrens-medical-center-corporation-hospitalclinic-substantial-capital-expenditure-responses-ii/download" TargetMode="External"/><Relationship Id="rId46" Type="http://schemas.openxmlformats.org/officeDocument/2006/relationships/hyperlink" Target="https://tuftshealthplan.com/public-plan/childrens-aco/visitor/whats-covered" TargetMode="External"/><Relationship Id="rId20" Type="http://schemas.openxmlformats.org/officeDocument/2006/relationships/hyperlink" Target="https://bmchealthservres.biomedcentral.com/articles/10.1186/s12913-020-05409-w" TargetMode="External"/><Relationship Id="rId41" Type="http://schemas.openxmlformats.org/officeDocument/2006/relationships/hyperlink" Target="https://www.mass.gov/service-details/accountable-care-partnership-plan" TargetMode="External"/><Relationship Id="rId1" Type="http://schemas.openxmlformats.org/officeDocument/2006/relationships/hyperlink" Target="https://www.mass.gov/lists/the-childrens-medical-center-corporation-hospitalclinic-substantial-capital-expenditure" TargetMode="External"/><Relationship Id="rId6" Type="http://schemas.openxmlformats.org/officeDocument/2006/relationships/hyperlink" Target="https://www.mass.gov/doc/the-childrens-medical-center-corporation-hospitalclinic-substantial-capital-expenditure-responses-ii/downloa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1FCC5F2C8880F45B59EA6BBBA4E1A66" ma:contentTypeVersion="9" ma:contentTypeDescription="Create a new document." ma:contentTypeScope="" ma:versionID="6034ed3ccd04fd089959b9760f1bf6e4">
  <xsd:schema xmlns:xsd="http://www.w3.org/2001/XMLSchema" xmlns:xs="http://www.w3.org/2001/XMLSchema" xmlns:p="http://schemas.microsoft.com/office/2006/metadata/properties" xmlns:ns2="fb1e1941-e971-4fcd-9647-5c92aa44abc0" xmlns:ns3="c5e887a9-3264-4a11-98fe-00f96354db3e" targetNamespace="http://schemas.microsoft.com/office/2006/metadata/properties" ma:root="true" ma:fieldsID="e1569c82de055a1f5a51e24a78a393fd" ns2:_="" ns3:_="">
    <xsd:import namespace="fb1e1941-e971-4fcd-9647-5c92aa44abc0"/>
    <xsd:import namespace="c5e887a9-3264-4a11-98fe-00f96354db3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1e1941-e971-4fcd-9647-5c92aa44abc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e887a9-3264-4a11-98fe-00f96354db3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FF716D-E4B9-4639-86B7-7ABF104222D7}">
  <ds:schemaRefs>
    <ds:schemaRef ds:uri="http://schemas.openxmlformats.org/officeDocument/2006/bibliography"/>
  </ds:schemaRefs>
</ds:datastoreItem>
</file>

<file path=customXml/itemProps2.xml><?xml version="1.0" encoding="utf-8"?>
<ds:datastoreItem xmlns:ds="http://schemas.openxmlformats.org/officeDocument/2006/customXml" ds:itemID="{42C0EF07-FFED-4E3A-919E-3E818EAA6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1e1941-e971-4fcd-9647-5c92aa44abc0"/>
    <ds:schemaRef ds:uri="c5e887a9-3264-4a11-98fe-00f96354db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59B9B3-8BF6-4F6C-89B3-3C9D9ABAF222}">
  <ds:schemaRefs>
    <ds:schemaRef ds:uri="http://schemas.microsoft.com/sharepoint/v3/contenttype/forms"/>
  </ds:schemaRefs>
</ds:datastoreItem>
</file>

<file path=customXml/itemProps4.xml><?xml version="1.0" encoding="utf-8"?>
<ds:datastoreItem xmlns:ds="http://schemas.openxmlformats.org/officeDocument/2006/customXml" ds:itemID="{75CFDBE2-8041-4F3E-B8EF-6628AC7AF6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52</Pages>
  <Words>25720</Words>
  <Characters>146606</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Bryan</dc:creator>
  <cp:keywords/>
  <dc:description/>
  <cp:lastModifiedBy>Marks, Brett (DPH)</cp:lastModifiedBy>
  <cp:revision>6</cp:revision>
  <cp:lastPrinted>2022-07-27T21:56:00Z</cp:lastPrinted>
  <dcterms:created xsi:type="dcterms:W3CDTF">2022-09-06T13:37:00Z</dcterms:created>
  <dcterms:modified xsi:type="dcterms:W3CDTF">2022-09-06T21:02:00Z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0x01010041FCC5F2C8880F45B59EA6BBBA4E1A66</vt:lpwstr>
  </property>
</Properties>
</file>