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2295"/>
        <w:gridCol w:w="7265"/>
      </w:tblGrid>
      <w:tr w:rsidR="00603405" w:rsidRPr="009D4FC2" w14:paraId="78136654" w14:textId="77777777" w:rsidTr="003F1EE3">
        <w:trPr>
          <w:trHeight w:val="375"/>
        </w:trPr>
        <w:tc>
          <w:tcPr>
            <w:tcW w:w="2295" w:type="dxa"/>
            <w:hideMark/>
          </w:tcPr>
          <w:p w14:paraId="24553D34" w14:textId="77777777" w:rsidR="00603405" w:rsidRPr="009D4FC2" w:rsidRDefault="00603405" w:rsidP="00603405">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7265" w:type="dxa"/>
          </w:tcPr>
          <w:p w14:paraId="7519C124" w14:textId="6BFC53B7" w:rsidR="00603405" w:rsidRPr="009D4FC2" w:rsidRDefault="00603405" w:rsidP="00603405">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Innovative Care Partners, LLC</w:t>
            </w:r>
          </w:p>
        </w:tc>
      </w:tr>
      <w:tr w:rsidR="00603405" w:rsidRPr="009D4FC2" w14:paraId="3C0DDF07" w14:textId="77777777" w:rsidTr="003F1EE3">
        <w:trPr>
          <w:trHeight w:val="375"/>
        </w:trPr>
        <w:tc>
          <w:tcPr>
            <w:tcW w:w="2295" w:type="dxa"/>
            <w:hideMark/>
          </w:tcPr>
          <w:p w14:paraId="1B49A638" w14:textId="77777777" w:rsidR="00603405" w:rsidRPr="009D4FC2" w:rsidRDefault="00603405" w:rsidP="00603405">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7265" w:type="dxa"/>
          </w:tcPr>
          <w:p w14:paraId="737A7600" w14:textId="4A2476AF" w:rsidR="00603405" w:rsidRPr="009D4FC2" w:rsidRDefault="00603405" w:rsidP="00603405">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200 Hillside Circle, Suite 7. West Springfield, MA 01089</w:t>
            </w:r>
          </w:p>
        </w:tc>
      </w:tr>
    </w:tbl>
    <w:p w14:paraId="4D346742" w14:textId="47BB4258"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50B466FD" w14:textId="3B88C4D4" w:rsidR="00497384" w:rsidRPr="00AA27A6" w:rsidRDefault="00497384" w:rsidP="00497384">
      <w:pPr>
        <w:pStyle w:val="Default"/>
        <w:rPr>
          <w:rFonts w:ascii="Times New Roman" w:hAnsi="Times New Roman" w:cs="Times New Roman"/>
          <w:bCs/>
          <w:iCs/>
          <w:sz w:val="22"/>
          <w:szCs w:val="22"/>
        </w:rPr>
      </w:pPr>
      <w:r w:rsidRPr="00AA27A6">
        <w:rPr>
          <w:rFonts w:ascii="Times New Roman" w:hAnsi="Times New Roman" w:cs="Times New Roman"/>
          <w:bCs/>
          <w:iCs/>
          <w:sz w:val="22"/>
          <w:szCs w:val="22"/>
        </w:rPr>
        <w:t xml:space="preserve">Regarding technology, in BP3 Innovative Care Partners (ICP) engaged a Technical Assistance consultant, Health Management Associates (HMA), to evaluate ICP’s analytic platform and to recommend future enhancements to the platform. HMA provided a positive analysis of ICP’s current analytic platform. HMA also recommended several enhancements including a risk stratification algorithm, a concise ACO dashboard, and health equity analytics. DSRIP funds were utilized to have ICP’s data analytic vendor provide a variety of analyses of MassHealth and </w:t>
      </w:r>
      <w:proofErr w:type="spellStart"/>
      <w:r w:rsidRPr="00AA27A6">
        <w:rPr>
          <w:rFonts w:ascii="Times New Roman" w:hAnsi="Times New Roman" w:cs="Times New Roman"/>
          <w:bCs/>
          <w:iCs/>
          <w:sz w:val="22"/>
          <w:szCs w:val="22"/>
        </w:rPr>
        <w:t>eHana</w:t>
      </w:r>
      <w:proofErr w:type="spellEnd"/>
      <w:r w:rsidRPr="00AA27A6">
        <w:rPr>
          <w:rFonts w:ascii="Times New Roman" w:hAnsi="Times New Roman" w:cs="Times New Roman"/>
          <w:bCs/>
          <w:iCs/>
          <w:sz w:val="22"/>
          <w:szCs w:val="22"/>
        </w:rPr>
        <w:t xml:space="preserve"> EMR data for use by HMA in their analyses. ICP’s data analytics vendor, </w:t>
      </w:r>
      <w:proofErr w:type="spellStart"/>
      <w:r w:rsidRPr="00AA27A6">
        <w:rPr>
          <w:rFonts w:ascii="Times New Roman" w:hAnsi="Times New Roman" w:cs="Times New Roman"/>
          <w:bCs/>
          <w:iCs/>
          <w:sz w:val="22"/>
          <w:szCs w:val="22"/>
        </w:rPr>
        <w:t>Hexplora</w:t>
      </w:r>
      <w:proofErr w:type="spellEnd"/>
      <w:r w:rsidRPr="00AA27A6">
        <w:rPr>
          <w:rFonts w:ascii="Times New Roman" w:hAnsi="Times New Roman" w:cs="Times New Roman"/>
          <w:bCs/>
          <w:iCs/>
          <w:sz w:val="22"/>
          <w:szCs w:val="22"/>
        </w:rPr>
        <w:t xml:space="preserve">, developed the risk stratification algorithm and the concise ACO dashboard as recommended by HMA. ICP also developed an artificial intelligence readmission predictor. HMA was supportive of ICP developing this capability. The development of health equity analytics is being planned for BP4. </w:t>
      </w:r>
    </w:p>
    <w:p w14:paraId="33DFDF50" w14:textId="77777777" w:rsidR="00497384" w:rsidRPr="00AA27A6" w:rsidRDefault="00497384" w:rsidP="00497384">
      <w:pPr>
        <w:pStyle w:val="Default"/>
        <w:rPr>
          <w:rFonts w:ascii="Times New Roman" w:hAnsi="Times New Roman" w:cs="Times New Roman"/>
          <w:bCs/>
          <w:iCs/>
          <w:sz w:val="22"/>
          <w:szCs w:val="22"/>
        </w:rPr>
      </w:pPr>
    </w:p>
    <w:p w14:paraId="2E86CD04" w14:textId="77777777" w:rsidR="00497384" w:rsidRPr="00AA27A6" w:rsidRDefault="00497384" w:rsidP="00497384">
      <w:pPr>
        <w:pStyle w:val="Default"/>
        <w:rPr>
          <w:rFonts w:ascii="Times New Roman" w:hAnsi="Times New Roman" w:cs="Times New Roman"/>
          <w:bCs/>
          <w:iCs/>
          <w:sz w:val="22"/>
          <w:szCs w:val="22"/>
        </w:rPr>
      </w:pPr>
      <w:r w:rsidRPr="00AA27A6">
        <w:rPr>
          <w:rFonts w:ascii="Times New Roman" w:hAnsi="Times New Roman" w:cs="Times New Roman"/>
          <w:bCs/>
          <w:iCs/>
          <w:sz w:val="22"/>
          <w:szCs w:val="22"/>
        </w:rPr>
        <w:t>ICP also used Operational Infrastructure to hire a Data Analyst/Software Developer to enhance its internal data production capacity. This position was recruited and started work in June. The analytics produced by this position allows ICP to be more responsive to ACO’s and MassHealth regarding a variety of data requests.</w:t>
      </w:r>
    </w:p>
    <w:p w14:paraId="0473DAD6" w14:textId="77777777" w:rsidR="00497384" w:rsidRPr="00AA27A6" w:rsidRDefault="00497384" w:rsidP="00497384">
      <w:pPr>
        <w:pStyle w:val="Default"/>
        <w:rPr>
          <w:rFonts w:ascii="Times New Roman" w:hAnsi="Times New Roman" w:cs="Times New Roman"/>
          <w:bCs/>
          <w:iCs/>
          <w:sz w:val="22"/>
          <w:szCs w:val="22"/>
        </w:rPr>
      </w:pPr>
    </w:p>
    <w:p w14:paraId="6B9F090C" w14:textId="77777777" w:rsidR="00497384" w:rsidRPr="00AA27A6" w:rsidRDefault="00497384" w:rsidP="00497384">
      <w:pPr>
        <w:pStyle w:val="Default"/>
        <w:rPr>
          <w:rFonts w:ascii="Times New Roman" w:hAnsi="Times New Roman" w:cs="Times New Roman"/>
          <w:bCs/>
          <w:iCs/>
          <w:sz w:val="22"/>
          <w:szCs w:val="22"/>
        </w:rPr>
      </w:pPr>
      <w:proofErr w:type="gramStart"/>
      <w:r w:rsidRPr="00AA27A6">
        <w:rPr>
          <w:rFonts w:ascii="Times New Roman" w:hAnsi="Times New Roman" w:cs="Times New Roman"/>
          <w:bCs/>
          <w:iCs/>
          <w:sz w:val="22"/>
          <w:szCs w:val="22"/>
        </w:rPr>
        <w:t>In spite of</w:t>
      </w:r>
      <w:proofErr w:type="gramEnd"/>
      <w:r w:rsidRPr="00AA27A6">
        <w:rPr>
          <w:rFonts w:ascii="Times New Roman" w:hAnsi="Times New Roman" w:cs="Times New Roman"/>
          <w:bCs/>
          <w:iCs/>
          <w:sz w:val="22"/>
          <w:szCs w:val="22"/>
        </w:rPr>
        <w:t xml:space="preserve"> the Covid-19 pandemic, in March ICP staff training and development activities, with a few exceptions, were generally uninterrupted. All twenty-one trainings on the calendar for the first half of the year occurred on schedule, either in a live or remote format, with anywhere from 75 to 100 percent attendance. Also, ICP was able to maintain a live, in-person orientation format for twelve new employees in a socially distanced environment. Other successful adaptations include remote job shadowing and remote on-the-job training by supervisors. </w:t>
      </w:r>
    </w:p>
    <w:p w14:paraId="4F2B123C" w14:textId="77777777" w:rsidR="00497384" w:rsidRPr="00AA27A6" w:rsidRDefault="00497384" w:rsidP="00497384">
      <w:pPr>
        <w:pStyle w:val="Default"/>
        <w:rPr>
          <w:rFonts w:ascii="Times New Roman" w:hAnsi="Times New Roman" w:cs="Times New Roman"/>
          <w:bCs/>
          <w:iCs/>
          <w:sz w:val="22"/>
          <w:szCs w:val="22"/>
        </w:rPr>
      </w:pPr>
    </w:p>
    <w:p w14:paraId="426771D2" w14:textId="77777777" w:rsidR="00497384" w:rsidRPr="00AA27A6" w:rsidRDefault="00497384" w:rsidP="00497384">
      <w:pPr>
        <w:pStyle w:val="Default"/>
        <w:rPr>
          <w:rFonts w:ascii="Times New Roman" w:hAnsi="Times New Roman" w:cs="Times New Roman"/>
          <w:bCs/>
          <w:iCs/>
          <w:sz w:val="22"/>
          <w:szCs w:val="22"/>
        </w:rPr>
      </w:pPr>
      <w:r w:rsidRPr="00AA27A6">
        <w:rPr>
          <w:rFonts w:ascii="Times New Roman" w:hAnsi="Times New Roman" w:cs="Times New Roman"/>
          <w:bCs/>
          <w:iCs/>
          <w:sz w:val="22"/>
          <w:szCs w:val="22"/>
        </w:rPr>
        <w:t xml:space="preserve">The ICP Quality Management Committee met quarterly during this time frame. Attendees have included: ICP Quality Director, the ICP VP of Health Care Integration, the </w:t>
      </w:r>
      <w:proofErr w:type="spellStart"/>
      <w:r w:rsidRPr="00AA27A6">
        <w:rPr>
          <w:rFonts w:ascii="Times New Roman" w:hAnsi="Times New Roman" w:cs="Times New Roman"/>
          <w:bCs/>
          <w:iCs/>
          <w:sz w:val="22"/>
          <w:szCs w:val="22"/>
        </w:rPr>
        <w:t>ServiceNet</w:t>
      </w:r>
      <w:proofErr w:type="spellEnd"/>
      <w:r w:rsidRPr="00AA27A6">
        <w:rPr>
          <w:rFonts w:ascii="Times New Roman" w:hAnsi="Times New Roman" w:cs="Times New Roman"/>
          <w:bCs/>
          <w:iCs/>
          <w:sz w:val="22"/>
          <w:szCs w:val="22"/>
        </w:rPr>
        <w:t xml:space="preserve"> Chief Information Officer, the CHD Director of Compliance, the BMC HealthNet Plan/Well Sense Health Plan BH and LTSS Community Partner Program Managers, the C3</w:t>
      </w:r>
      <w:r w:rsidRPr="00AA27A6">
        <w:rPr>
          <w:rFonts w:ascii="Times New Roman" w:hAnsi="Times New Roman" w:cs="Times New Roman"/>
          <w:b/>
          <w:bCs/>
          <w:iCs/>
          <w:sz w:val="22"/>
          <w:szCs w:val="22"/>
        </w:rPr>
        <w:t xml:space="preserve"> </w:t>
      </w:r>
      <w:r w:rsidRPr="00AA27A6">
        <w:rPr>
          <w:rFonts w:ascii="Times New Roman" w:hAnsi="Times New Roman" w:cs="Times New Roman"/>
          <w:bCs/>
          <w:iCs/>
          <w:sz w:val="22"/>
          <w:szCs w:val="22"/>
        </w:rPr>
        <w:t>Director of Behavioral Health Programs and the BMC Health Systems/Mercy Alliance Senior Manager of Accountable Care Transformation.</w:t>
      </w:r>
    </w:p>
    <w:p w14:paraId="15865FF5" w14:textId="77777777" w:rsidR="00497384" w:rsidRPr="00AA27A6" w:rsidRDefault="00497384" w:rsidP="00497384">
      <w:pPr>
        <w:pStyle w:val="Default"/>
        <w:rPr>
          <w:rFonts w:ascii="Times New Roman" w:hAnsi="Times New Roman" w:cs="Times New Roman"/>
          <w:bCs/>
          <w:iCs/>
          <w:sz w:val="22"/>
          <w:szCs w:val="22"/>
        </w:rPr>
      </w:pPr>
    </w:p>
    <w:p w14:paraId="5F1BE53C" w14:textId="77777777" w:rsidR="00497384" w:rsidRPr="00AA27A6" w:rsidRDefault="00497384" w:rsidP="00497384">
      <w:pPr>
        <w:pStyle w:val="Default"/>
        <w:rPr>
          <w:rFonts w:ascii="Times New Roman" w:hAnsi="Times New Roman" w:cs="Times New Roman"/>
          <w:bCs/>
          <w:iCs/>
          <w:sz w:val="22"/>
          <w:szCs w:val="22"/>
        </w:rPr>
      </w:pPr>
      <w:r w:rsidRPr="00AA27A6">
        <w:rPr>
          <w:rFonts w:ascii="Times New Roman" w:hAnsi="Times New Roman" w:cs="Times New Roman"/>
          <w:bCs/>
          <w:iCs/>
          <w:sz w:val="22"/>
          <w:szCs w:val="22"/>
        </w:rPr>
        <w:t>Discussions during these Committee Meetings have included:</w:t>
      </w:r>
    </w:p>
    <w:p w14:paraId="4C362795" w14:textId="77777777" w:rsidR="00497384" w:rsidRPr="00AA27A6" w:rsidRDefault="00497384" w:rsidP="00497384">
      <w:pPr>
        <w:pStyle w:val="Default"/>
        <w:numPr>
          <w:ilvl w:val="0"/>
          <w:numId w:val="27"/>
        </w:numPr>
        <w:rPr>
          <w:rFonts w:ascii="Times New Roman" w:hAnsi="Times New Roman" w:cs="Times New Roman"/>
          <w:bCs/>
          <w:iCs/>
          <w:sz w:val="22"/>
          <w:szCs w:val="22"/>
        </w:rPr>
      </w:pPr>
      <w:r w:rsidRPr="00AA27A6">
        <w:rPr>
          <w:rFonts w:ascii="Times New Roman" w:hAnsi="Times New Roman" w:cs="Times New Roman"/>
          <w:bCs/>
          <w:iCs/>
          <w:sz w:val="22"/>
          <w:szCs w:val="22"/>
        </w:rPr>
        <w:t>Review of most recent data analytics related to tracking Quality Metrics</w:t>
      </w:r>
    </w:p>
    <w:p w14:paraId="54995179" w14:textId="77777777" w:rsidR="00497384" w:rsidRPr="00AA27A6" w:rsidRDefault="00497384" w:rsidP="00497384">
      <w:pPr>
        <w:pStyle w:val="Default"/>
        <w:numPr>
          <w:ilvl w:val="0"/>
          <w:numId w:val="27"/>
        </w:numPr>
        <w:rPr>
          <w:rFonts w:ascii="Times New Roman" w:hAnsi="Times New Roman" w:cs="Times New Roman"/>
          <w:bCs/>
          <w:iCs/>
          <w:sz w:val="22"/>
          <w:szCs w:val="22"/>
        </w:rPr>
      </w:pPr>
      <w:r w:rsidRPr="00AA27A6">
        <w:rPr>
          <w:rFonts w:ascii="Times New Roman" w:hAnsi="Times New Roman" w:cs="Times New Roman"/>
          <w:bCs/>
          <w:iCs/>
          <w:sz w:val="22"/>
          <w:szCs w:val="22"/>
        </w:rPr>
        <w:t xml:space="preserve">Review of other dashboard data including: </w:t>
      </w:r>
    </w:p>
    <w:p w14:paraId="18D780B3" w14:textId="77777777" w:rsidR="00497384" w:rsidRPr="00AA27A6" w:rsidRDefault="00497384" w:rsidP="00497384">
      <w:pPr>
        <w:pStyle w:val="Default"/>
        <w:numPr>
          <w:ilvl w:val="1"/>
          <w:numId w:val="27"/>
        </w:numPr>
        <w:rPr>
          <w:rFonts w:ascii="Times New Roman" w:hAnsi="Times New Roman" w:cs="Times New Roman"/>
          <w:bCs/>
          <w:iCs/>
          <w:sz w:val="22"/>
          <w:szCs w:val="22"/>
        </w:rPr>
      </w:pPr>
      <w:r w:rsidRPr="00AA27A6">
        <w:rPr>
          <w:rFonts w:ascii="Times New Roman" w:hAnsi="Times New Roman" w:cs="Times New Roman"/>
          <w:bCs/>
          <w:iCs/>
          <w:sz w:val="22"/>
          <w:szCs w:val="22"/>
        </w:rPr>
        <w:t>Psychiatric admissions by quarter</w:t>
      </w:r>
    </w:p>
    <w:p w14:paraId="1E712287" w14:textId="77777777" w:rsidR="00497384" w:rsidRPr="00AA27A6" w:rsidRDefault="00497384" w:rsidP="00497384">
      <w:pPr>
        <w:pStyle w:val="Default"/>
        <w:numPr>
          <w:ilvl w:val="1"/>
          <w:numId w:val="27"/>
        </w:numPr>
        <w:rPr>
          <w:rFonts w:ascii="Times New Roman" w:hAnsi="Times New Roman" w:cs="Times New Roman"/>
          <w:bCs/>
          <w:iCs/>
          <w:sz w:val="22"/>
          <w:szCs w:val="22"/>
        </w:rPr>
      </w:pPr>
      <w:r w:rsidRPr="00AA27A6">
        <w:rPr>
          <w:rFonts w:ascii="Times New Roman" w:hAnsi="Times New Roman" w:cs="Times New Roman"/>
          <w:bCs/>
          <w:iCs/>
          <w:sz w:val="22"/>
          <w:szCs w:val="22"/>
        </w:rPr>
        <w:lastRenderedPageBreak/>
        <w:t>ED Visits</w:t>
      </w:r>
    </w:p>
    <w:p w14:paraId="7546642A" w14:textId="77777777" w:rsidR="00497384" w:rsidRPr="00AA27A6" w:rsidRDefault="00497384" w:rsidP="00497384">
      <w:pPr>
        <w:pStyle w:val="Default"/>
        <w:numPr>
          <w:ilvl w:val="1"/>
          <w:numId w:val="27"/>
        </w:numPr>
        <w:rPr>
          <w:rFonts w:ascii="Times New Roman" w:hAnsi="Times New Roman" w:cs="Times New Roman"/>
          <w:bCs/>
          <w:iCs/>
          <w:sz w:val="22"/>
          <w:szCs w:val="22"/>
        </w:rPr>
      </w:pPr>
      <w:r w:rsidRPr="00AA27A6">
        <w:rPr>
          <w:rFonts w:ascii="Times New Roman" w:hAnsi="Times New Roman" w:cs="Times New Roman"/>
          <w:bCs/>
          <w:iCs/>
          <w:sz w:val="22"/>
          <w:szCs w:val="22"/>
        </w:rPr>
        <w:t>Rehab Admits</w:t>
      </w:r>
    </w:p>
    <w:p w14:paraId="287D9845" w14:textId="77777777" w:rsidR="00497384" w:rsidRPr="00AA27A6" w:rsidRDefault="00497384" w:rsidP="00497384">
      <w:pPr>
        <w:pStyle w:val="Default"/>
        <w:numPr>
          <w:ilvl w:val="1"/>
          <w:numId w:val="27"/>
        </w:numPr>
        <w:rPr>
          <w:rFonts w:ascii="Times New Roman" w:hAnsi="Times New Roman" w:cs="Times New Roman"/>
          <w:bCs/>
          <w:iCs/>
          <w:sz w:val="22"/>
          <w:szCs w:val="22"/>
        </w:rPr>
      </w:pPr>
      <w:r w:rsidRPr="00AA27A6">
        <w:rPr>
          <w:rFonts w:ascii="Times New Roman" w:hAnsi="Times New Roman" w:cs="Times New Roman"/>
          <w:bCs/>
          <w:iCs/>
          <w:sz w:val="22"/>
          <w:szCs w:val="22"/>
        </w:rPr>
        <w:t>Readmissions Trends</w:t>
      </w:r>
    </w:p>
    <w:p w14:paraId="75475007" w14:textId="77777777" w:rsidR="00497384" w:rsidRPr="00AA27A6" w:rsidRDefault="00497384" w:rsidP="00497384">
      <w:pPr>
        <w:pStyle w:val="Default"/>
        <w:numPr>
          <w:ilvl w:val="1"/>
          <w:numId w:val="27"/>
        </w:numPr>
        <w:rPr>
          <w:rFonts w:ascii="Times New Roman" w:hAnsi="Times New Roman" w:cs="Times New Roman"/>
          <w:bCs/>
          <w:iCs/>
          <w:sz w:val="22"/>
          <w:szCs w:val="22"/>
        </w:rPr>
      </w:pPr>
      <w:r w:rsidRPr="00AA27A6">
        <w:rPr>
          <w:rFonts w:ascii="Times New Roman" w:hAnsi="Times New Roman" w:cs="Times New Roman"/>
          <w:bCs/>
          <w:iCs/>
          <w:sz w:val="22"/>
          <w:szCs w:val="22"/>
        </w:rPr>
        <w:t>Hierarchical Condition Categories Member Count</w:t>
      </w:r>
    </w:p>
    <w:p w14:paraId="08F3BA22" w14:textId="509098E6" w:rsidR="00497384" w:rsidRPr="00AA27A6" w:rsidRDefault="00497384" w:rsidP="00497384">
      <w:pPr>
        <w:pStyle w:val="Default"/>
        <w:numPr>
          <w:ilvl w:val="1"/>
          <w:numId w:val="27"/>
        </w:numPr>
        <w:rPr>
          <w:rFonts w:ascii="Times New Roman" w:hAnsi="Times New Roman" w:cs="Times New Roman"/>
          <w:bCs/>
          <w:iCs/>
          <w:sz w:val="22"/>
          <w:szCs w:val="22"/>
        </w:rPr>
      </w:pPr>
      <w:r w:rsidRPr="00AA27A6">
        <w:rPr>
          <w:rFonts w:ascii="Times New Roman" w:hAnsi="Times New Roman" w:cs="Times New Roman"/>
          <w:bCs/>
          <w:iCs/>
          <w:sz w:val="22"/>
          <w:szCs w:val="22"/>
        </w:rPr>
        <w:t>Risk Stratification Analytic</w:t>
      </w:r>
    </w:p>
    <w:p w14:paraId="0AC206EE" w14:textId="27B5AA5E" w:rsidR="00497384" w:rsidRPr="00AA27A6" w:rsidRDefault="00497384" w:rsidP="00497384">
      <w:pPr>
        <w:pStyle w:val="Default"/>
        <w:numPr>
          <w:ilvl w:val="1"/>
          <w:numId w:val="27"/>
        </w:numPr>
        <w:rPr>
          <w:rFonts w:ascii="Times New Roman" w:hAnsi="Times New Roman" w:cs="Times New Roman"/>
          <w:bCs/>
          <w:iCs/>
          <w:sz w:val="22"/>
          <w:szCs w:val="22"/>
        </w:rPr>
      </w:pPr>
      <w:r w:rsidRPr="00AA27A6">
        <w:rPr>
          <w:rFonts w:ascii="Times New Roman" w:hAnsi="Times New Roman" w:cs="Times New Roman"/>
          <w:bCs/>
          <w:iCs/>
          <w:sz w:val="22"/>
          <w:szCs w:val="22"/>
        </w:rPr>
        <w:t>Artificial Intelligence Readmission Predictor</w:t>
      </w:r>
    </w:p>
    <w:p w14:paraId="4BD608E4" w14:textId="77777777" w:rsidR="00497384" w:rsidRPr="00AA27A6" w:rsidRDefault="00497384" w:rsidP="00497384">
      <w:pPr>
        <w:pStyle w:val="Default"/>
        <w:numPr>
          <w:ilvl w:val="0"/>
          <w:numId w:val="27"/>
        </w:numPr>
        <w:rPr>
          <w:rFonts w:ascii="Times New Roman" w:hAnsi="Times New Roman" w:cs="Times New Roman"/>
          <w:bCs/>
          <w:iCs/>
          <w:sz w:val="22"/>
          <w:szCs w:val="22"/>
        </w:rPr>
      </w:pPr>
      <w:r w:rsidRPr="00AA27A6">
        <w:rPr>
          <w:rFonts w:ascii="Times New Roman" w:hAnsi="Times New Roman" w:cs="Times New Roman"/>
          <w:bCs/>
          <w:iCs/>
          <w:sz w:val="22"/>
          <w:szCs w:val="22"/>
        </w:rPr>
        <w:t>Discussion of ICP’s plan to meet BH and LTSS Quality Metrics</w:t>
      </w:r>
    </w:p>
    <w:p w14:paraId="6D1FDF7A" w14:textId="77777777" w:rsidR="00497384" w:rsidRPr="00AA27A6" w:rsidRDefault="00497384" w:rsidP="00497384">
      <w:pPr>
        <w:pStyle w:val="Default"/>
        <w:numPr>
          <w:ilvl w:val="0"/>
          <w:numId w:val="27"/>
        </w:numPr>
        <w:rPr>
          <w:rFonts w:ascii="Times New Roman" w:hAnsi="Times New Roman" w:cs="Times New Roman"/>
          <w:bCs/>
          <w:iCs/>
          <w:sz w:val="22"/>
          <w:szCs w:val="22"/>
        </w:rPr>
      </w:pPr>
      <w:r w:rsidRPr="00AA27A6">
        <w:rPr>
          <w:rFonts w:ascii="Times New Roman" w:hAnsi="Times New Roman" w:cs="Times New Roman"/>
          <w:bCs/>
          <w:iCs/>
          <w:sz w:val="22"/>
          <w:szCs w:val="22"/>
        </w:rPr>
        <w:t xml:space="preserve">Ongoing review of </w:t>
      </w:r>
      <w:proofErr w:type="spellStart"/>
      <w:r w:rsidRPr="00AA27A6">
        <w:rPr>
          <w:rFonts w:ascii="Times New Roman" w:hAnsi="Times New Roman" w:cs="Times New Roman"/>
          <w:bCs/>
          <w:iCs/>
          <w:sz w:val="22"/>
          <w:szCs w:val="22"/>
        </w:rPr>
        <w:t>eHana</w:t>
      </w:r>
      <w:proofErr w:type="spellEnd"/>
      <w:r w:rsidRPr="00AA27A6">
        <w:rPr>
          <w:rFonts w:ascii="Times New Roman" w:hAnsi="Times New Roman" w:cs="Times New Roman"/>
          <w:bCs/>
          <w:iCs/>
          <w:sz w:val="22"/>
          <w:szCs w:val="22"/>
        </w:rPr>
        <w:t xml:space="preserve"> data generated from enrollment and care coordination activities</w:t>
      </w:r>
    </w:p>
    <w:p w14:paraId="7ACD448D" w14:textId="77777777" w:rsidR="00497384" w:rsidRPr="00AA27A6" w:rsidRDefault="00497384" w:rsidP="00497384">
      <w:pPr>
        <w:pStyle w:val="Default"/>
        <w:numPr>
          <w:ilvl w:val="0"/>
          <w:numId w:val="27"/>
        </w:numPr>
        <w:rPr>
          <w:rFonts w:ascii="Times New Roman" w:hAnsi="Times New Roman" w:cs="Times New Roman"/>
          <w:bCs/>
          <w:iCs/>
          <w:sz w:val="22"/>
          <w:szCs w:val="22"/>
        </w:rPr>
      </w:pPr>
      <w:r w:rsidRPr="00AA27A6">
        <w:rPr>
          <w:rFonts w:ascii="Times New Roman" w:hAnsi="Times New Roman" w:cs="Times New Roman"/>
          <w:bCs/>
          <w:iCs/>
          <w:sz w:val="22"/>
          <w:szCs w:val="22"/>
        </w:rPr>
        <w:t xml:space="preserve">Discussion of how ICP and MCOs/ACOs can improve collaboration </w:t>
      </w:r>
      <w:proofErr w:type="gramStart"/>
      <w:r w:rsidRPr="00AA27A6">
        <w:rPr>
          <w:rFonts w:ascii="Times New Roman" w:hAnsi="Times New Roman" w:cs="Times New Roman"/>
          <w:bCs/>
          <w:iCs/>
          <w:sz w:val="22"/>
          <w:szCs w:val="22"/>
        </w:rPr>
        <w:t>in order to</w:t>
      </w:r>
      <w:proofErr w:type="gramEnd"/>
      <w:r w:rsidRPr="00AA27A6">
        <w:rPr>
          <w:rFonts w:ascii="Times New Roman" w:hAnsi="Times New Roman" w:cs="Times New Roman"/>
          <w:bCs/>
          <w:iCs/>
          <w:sz w:val="22"/>
          <w:szCs w:val="22"/>
        </w:rPr>
        <w:t xml:space="preserve"> meet contract and quality metric requirements. </w:t>
      </w:r>
    </w:p>
    <w:p w14:paraId="2FCBD188" w14:textId="77777777" w:rsidR="00497384" w:rsidRPr="00AA27A6" w:rsidRDefault="00497384" w:rsidP="00497384">
      <w:pPr>
        <w:pStyle w:val="Default"/>
        <w:numPr>
          <w:ilvl w:val="0"/>
          <w:numId w:val="27"/>
        </w:numPr>
        <w:rPr>
          <w:rFonts w:ascii="Times New Roman" w:hAnsi="Times New Roman" w:cs="Times New Roman"/>
          <w:bCs/>
          <w:iCs/>
          <w:sz w:val="22"/>
          <w:szCs w:val="22"/>
        </w:rPr>
      </w:pPr>
      <w:r w:rsidRPr="00AA27A6">
        <w:rPr>
          <w:rFonts w:ascii="Times New Roman" w:hAnsi="Times New Roman" w:cs="Times New Roman"/>
          <w:bCs/>
          <w:iCs/>
          <w:sz w:val="22"/>
          <w:szCs w:val="22"/>
        </w:rPr>
        <w:t>Discussion of Technical Assistance Projects launched during this reporting period</w:t>
      </w:r>
    </w:p>
    <w:p w14:paraId="39320F12" w14:textId="77777777" w:rsidR="00497384" w:rsidRPr="00AA27A6" w:rsidRDefault="00497384" w:rsidP="00497384">
      <w:pPr>
        <w:pStyle w:val="Default"/>
        <w:numPr>
          <w:ilvl w:val="0"/>
          <w:numId w:val="27"/>
        </w:numPr>
        <w:rPr>
          <w:rFonts w:ascii="Times New Roman" w:hAnsi="Times New Roman" w:cs="Times New Roman"/>
          <w:bCs/>
          <w:iCs/>
          <w:sz w:val="22"/>
          <w:szCs w:val="22"/>
        </w:rPr>
      </w:pPr>
      <w:r w:rsidRPr="00AA27A6">
        <w:rPr>
          <w:rFonts w:ascii="Times New Roman" w:hAnsi="Times New Roman" w:cs="Times New Roman"/>
          <w:bCs/>
          <w:iCs/>
          <w:sz w:val="22"/>
          <w:szCs w:val="22"/>
        </w:rPr>
        <w:t xml:space="preserve">ICP’s response to Covid-19 and EOHHS guidance; working from home. </w:t>
      </w:r>
    </w:p>
    <w:p w14:paraId="5078F603" w14:textId="77777777" w:rsidR="00497384" w:rsidRPr="00AA27A6" w:rsidRDefault="00497384" w:rsidP="00497384">
      <w:pPr>
        <w:pStyle w:val="Default"/>
        <w:rPr>
          <w:rFonts w:ascii="Times New Roman" w:hAnsi="Times New Roman" w:cs="Times New Roman"/>
          <w:bCs/>
          <w:iCs/>
          <w:sz w:val="22"/>
          <w:szCs w:val="22"/>
        </w:rPr>
      </w:pPr>
    </w:p>
    <w:p w14:paraId="0024A497" w14:textId="7F55A88B" w:rsidR="0070208F" w:rsidRPr="00AA27A6" w:rsidRDefault="00497384" w:rsidP="00497384">
      <w:pPr>
        <w:contextualSpacing/>
        <w:rPr>
          <w:rFonts w:cs="Times New Roman"/>
        </w:rPr>
      </w:pPr>
      <w:bookmarkStart w:id="0" w:name="_Toc11665856"/>
      <w:bookmarkStart w:id="1" w:name="_Toc863237"/>
      <w:bookmarkStart w:id="2" w:name="_Toc439600"/>
      <w:bookmarkEnd w:id="0"/>
      <w:bookmarkEnd w:id="1"/>
      <w:bookmarkEnd w:id="2"/>
      <w:r w:rsidRPr="00AA27A6">
        <w:rPr>
          <w:rFonts w:cs="Times New Roman"/>
        </w:rPr>
        <w:t xml:space="preserve">It is important to note that the Covid-19 pandemic occurred during this budget period. The combination of MassHealth’s Covid-19 accommodations and ICP’s operational response resulted in enrollees receiving uninterrupted and comprehensive services. In fact, ICP operational analytics indicate strong performance in Outreach, Engagement, Care </w:t>
      </w:r>
      <w:proofErr w:type="gramStart"/>
      <w:r w:rsidRPr="00AA27A6">
        <w:rPr>
          <w:rFonts w:cs="Times New Roman"/>
        </w:rPr>
        <w:t>Coordination</w:t>
      </w:r>
      <w:proofErr w:type="gramEnd"/>
      <w:r w:rsidRPr="00AA27A6">
        <w:rPr>
          <w:rFonts w:cs="Times New Roman"/>
        </w:rPr>
        <w:t xml:space="preserve"> and quality metrics.</w:t>
      </w:r>
    </w:p>
    <w:p w14:paraId="2A30E10B" w14:textId="77777777" w:rsidR="00272DD3" w:rsidRPr="00AA27A6" w:rsidRDefault="00272DD3" w:rsidP="00497384">
      <w:pPr>
        <w:contextualSpacing/>
        <w:rPr>
          <w:rFonts w:cs="Times New Roman"/>
        </w:rPr>
      </w:pPr>
    </w:p>
    <w:p w14:paraId="1FFB2E7E" w14:textId="66470D75" w:rsidR="00595BA5" w:rsidRDefault="00272DD3" w:rsidP="005E4BF3">
      <w:pPr>
        <w:contextualSpacing/>
        <w:rPr>
          <w:rFonts w:cs="Times New Roman"/>
        </w:rPr>
      </w:pPr>
      <w:r w:rsidRPr="00AA27A6">
        <w:rPr>
          <w:rFonts w:cs="Times New Roman"/>
        </w:rPr>
        <w:t>ICP is also pleased report improved health outcomes for e</w:t>
      </w:r>
      <w:r w:rsidR="004A495A" w:rsidRPr="00AA27A6">
        <w:rPr>
          <w:rFonts w:cs="Times New Roman"/>
        </w:rPr>
        <w:t>nr</w:t>
      </w:r>
      <w:r w:rsidRPr="00AA27A6">
        <w:rPr>
          <w:rFonts w:cs="Times New Roman"/>
        </w:rPr>
        <w:t xml:space="preserve">ollees who decided to participate in the program. An </w:t>
      </w:r>
      <w:r w:rsidR="00070CA1" w:rsidRPr="00AA27A6">
        <w:rPr>
          <w:rFonts w:cs="Times New Roman"/>
        </w:rPr>
        <w:t>analysis</w:t>
      </w:r>
      <w:r w:rsidRPr="00AA27A6">
        <w:rPr>
          <w:rFonts w:cs="Times New Roman"/>
        </w:rPr>
        <w:t xml:space="preserve"> of medical claims 12-months pre-post signing a Participation Form show</w:t>
      </w:r>
      <w:r w:rsidR="00016C29" w:rsidRPr="00AA27A6">
        <w:rPr>
          <w:rFonts w:cs="Times New Roman"/>
        </w:rPr>
        <w:t>s</w:t>
      </w:r>
      <w:r w:rsidRPr="00AA27A6">
        <w:rPr>
          <w:rFonts w:cs="Times New Roman"/>
        </w:rPr>
        <w:t xml:space="preserve"> reductions in inpatient admissions and emergency department visits.</w:t>
      </w:r>
    </w:p>
    <w:p w14:paraId="7AAE3115" w14:textId="77777777" w:rsidR="00595BA5" w:rsidRDefault="00595BA5" w:rsidP="002C551F">
      <w:pPr>
        <w:spacing w:after="160" w:line="259" w:lineRule="auto"/>
        <w:rPr>
          <w:rFonts w:eastAsia="Times New Roman" w:cs="Times New Roman"/>
        </w:rPr>
      </w:pPr>
    </w:p>
    <w:sectPr w:rsidR="00595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1D61"/>
    <w:multiLevelType w:val="hybridMultilevel"/>
    <w:tmpl w:val="2062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3676"/>
    <w:multiLevelType w:val="hybridMultilevel"/>
    <w:tmpl w:val="0514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956D7"/>
    <w:multiLevelType w:val="hybridMultilevel"/>
    <w:tmpl w:val="1116F90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74A08"/>
    <w:multiLevelType w:val="hybridMultilevel"/>
    <w:tmpl w:val="A32C6AB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143973C1"/>
    <w:multiLevelType w:val="hybridMultilevel"/>
    <w:tmpl w:val="FC701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3C665C"/>
    <w:multiLevelType w:val="hybridMultilevel"/>
    <w:tmpl w:val="5F442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04F34"/>
    <w:multiLevelType w:val="hybridMultilevel"/>
    <w:tmpl w:val="79321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9A3A61"/>
    <w:multiLevelType w:val="hybridMultilevel"/>
    <w:tmpl w:val="AF8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85221"/>
    <w:multiLevelType w:val="hybridMultilevel"/>
    <w:tmpl w:val="0F9E826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238B52A7"/>
    <w:multiLevelType w:val="hybridMultilevel"/>
    <w:tmpl w:val="363E60A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4" w15:restartNumberingAfterBreak="0">
    <w:nsid w:val="2461562A"/>
    <w:multiLevelType w:val="hybridMultilevel"/>
    <w:tmpl w:val="BEA663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6" w15:restartNumberingAfterBreak="0">
    <w:nsid w:val="28BD20DD"/>
    <w:multiLevelType w:val="hybridMultilevel"/>
    <w:tmpl w:val="F9E2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64A5C"/>
    <w:multiLevelType w:val="hybridMultilevel"/>
    <w:tmpl w:val="0564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C13A8"/>
    <w:multiLevelType w:val="hybridMultilevel"/>
    <w:tmpl w:val="895E74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FD5B4A"/>
    <w:multiLevelType w:val="hybridMultilevel"/>
    <w:tmpl w:val="E9E4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C57F1"/>
    <w:multiLevelType w:val="hybridMultilevel"/>
    <w:tmpl w:val="E2B0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F7206"/>
    <w:multiLevelType w:val="hybridMultilevel"/>
    <w:tmpl w:val="601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C4B1E"/>
    <w:multiLevelType w:val="hybridMultilevel"/>
    <w:tmpl w:val="EE62D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606B8"/>
    <w:multiLevelType w:val="hybridMultilevel"/>
    <w:tmpl w:val="04F0B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1D3D99"/>
    <w:multiLevelType w:val="hybridMultilevel"/>
    <w:tmpl w:val="BB2CF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A54"/>
    <w:multiLevelType w:val="hybridMultilevel"/>
    <w:tmpl w:val="56B8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F6622A"/>
    <w:multiLevelType w:val="hybridMultilevel"/>
    <w:tmpl w:val="F028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57596"/>
    <w:multiLevelType w:val="hybridMultilevel"/>
    <w:tmpl w:val="C0226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848F9"/>
    <w:multiLevelType w:val="hybridMultilevel"/>
    <w:tmpl w:val="7C72AF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892315"/>
    <w:multiLevelType w:val="hybridMultilevel"/>
    <w:tmpl w:val="2F54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DE0285"/>
    <w:multiLevelType w:val="hybridMultilevel"/>
    <w:tmpl w:val="C4E4F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FA27D2"/>
    <w:multiLevelType w:val="hybridMultilevel"/>
    <w:tmpl w:val="039C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345D49"/>
    <w:multiLevelType w:val="hybridMultilevel"/>
    <w:tmpl w:val="E9D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D61880"/>
    <w:multiLevelType w:val="hybridMultilevel"/>
    <w:tmpl w:val="1F16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8807FA"/>
    <w:multiLevelType w:val="hybridMultilevel"/>
    <w:tmpl w:val="76C4A0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ADD424D"/>
    <w:multiLevelType w:val="hybridMultilevel"/>
    <w:tmpl w:val="AA94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91F53"/>
    <w:multiLevelType w:val="hybridMultilevel"/>
    <w:tmpl w:val="B83E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7C1B2A"/>
    <w:multiLevelType w:val="hybridMultilevel"/>
    <w:tmpl w:val="F9608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28"/>
  </w:num>
  <w:num w:numId="9">
    <w:abstractNumId w:val="49"/>
  </w:num>
  <w:num w:numId="10">
    <w:abstractNumId w:val="5"/>
  </w:num>
  <w:num w:numId="11">
    <w:abstractNumId w:val="40"/>
  </w:num>
  <w:num w:numId="12">
    <w:abstractNumId w:val="29"/>
  </w:num>
  <w:num w:numId="13">
    <w:abstractNumId w:val="45"/>
  </w:num>
  <w:num w:numId="14">
    <w:abstractNumId w:val="9"/>
  </w:num>
  <w:num w:numId="15">
    <w:abstractNumId w:val="15"/>
  </w:num>
  <w:num w:numId="16">
    <w:abstractNumId w:val="35"/>
    <w:lvlOverride w:ilvl="0">
      <w:startOverride w:val="1"/>
    </w:lvlOverride>
  </w:num>
  <w:num w:numId="17">
    <w:abstractNumId w:val="38"/>
  </w:num>
  <w:num w:numId="18">
    <w:abstractNumId w:val="1"/>
  </w:num>
  <w:num w:numId="19">
    <w:abstractNumId w:val="30"/>
  </w:num>
  <w:num w:numId="20">
    <w:abstractNumId w:val="37"/>
  </w:num>
  <w:num w:numId="21">
    <w:abstractNumId w:val="31"/>
  </w:num>
  <w:num w:numId="22">
    <w:abstractNumId w:val="4"/>
  </w:num>
  <w:num w:numId="23">
    <w:abstractNumId w:val="19"/>
  </w:num>
  <w:num w:numId="24">
    <w:abstractNumId w:val="27"/>
  </w:num>
  <w:num w:numId="25">
    <w:abstractNumId w:val="34"/>
  </w:num>
  <w:num w:numId="26">
    <w:abstractNumId w:val="36"/>
  </w:num>
  <w:num w:numId="27">
    <w:abstractNumId w:val="47"/>
  </w:num>
  <w:num w:numId="28">
    <w:abstractNumId w:val="53"/>
  </w:num>
  <w:num w:numId="29">
    <w:abstractNumId w:val="24"/>
  </w:num>
  <w:num w:numId="30">
    <w:abstractNumId w:val="50"/>
  </w:num>
  <w:num w:numId="31">
    <w:abstractNumId w:val="41"/>
  </w:num>
  <w:num w:numId="32">
    <w:abstractNumId w:val="16"/>
  </w:num>
  <w:num w:numId="33">
    <w:abstractNumId w:val="14"/>
  </w:num>
  <w:num w:numId="34">
    <w:abstractNumId w:val="33"/>
  </w:num>
  <w:num w:numId="35">
    <w:abstractNumId w:val="20"/>
  </w:num>
  <w:num w:numId="36">
    <w:abstractNumId w:val="21"/>
  </w:num>
  <w:num w:numId="37">
    <w:abstractNumId w:val="10"/>
  </w:num>
  <w:num w:numId="38">
    <w:abstractNumId w:val="51"/>
  </w:num>
  <w:num w:numId="39">
    <w:abstractNumId w:val="0"/>
  </w:num>
  <w:num w:numId="40">
    <w:abstractNumId w:val="7"/>
  </w:num>
  <w:num w:numId="41">
    <w:abstractNumId w:val="8"/>
  </w:num>
  <w:num w:numId="42">
    <w:abstractNumId w:val="39"/>
  </w:num>
  <w:num w:numId="43">
    <w:abstractNumId w:val="25"/>
  </w:num>
  <w:num w:numId="44">
    <w:abstractNumId w:val="23"/>
  </w:num>
  <w:num w:numId="45">
    <w:abstractNumId w:val="22"/>
  </w:num>
  <w:num w:numId="46">
    <w:abstractNumId w:val="46"/>
  </w:num>
  <w:num w:numId="47">
    <w:abstractNumId w:val="32"/>
  </w:num>
  <w:num w:numId="48">
    <w:abstractNumId w:val="13"/>
  </w:num>
  <w:num w:numId="49">
    <w:abstractNumId w:val="6"/>
  </w:num>
  <w:num w:numId="50">
    <w:abstractNumId w:val="17"/>
  </w:num>
  <w:num w:numId="51">
    <w:abstractNumId w:val="11"/>
  </w:num>
  <w:num w:numId="52">
    <w:abstractNumId w:val="43"/>
  </w:num>
  <w:num w:numId="53">
    <w:abstractNumId w:val="52"/>
  </w:num>
  <w:num w:numId="54">
    <w:abstractNumId w:val="26"/>
  </w:num>
  <w:num w:numId="55">
    <w:abstractNumId w:val="44"/>
  </w:num>
  <w:num w:numId="56">
    <w:abstractNumId w:val="2"/>
  </w:num>
  <w:num w:numId="57">
    <w:abstractNumId w:val="12"/>
  </w:num>
  <w:num w:numId="58">
    <w:abstractNumId w:val="48"/>
  </w:num>
  <w:num w:numId="5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16C29"/>
    <w:rsid w:val="000206E0"/>
    <w:rsid w:val="0002722F"/>
    <w:rsid w:val="00070CA1"/>
    <w:rsid w:val="000822CF"/>
    <w:rsid w:val="000839C1"/>
    <w:rsid w:val="0009566E"/>
    <w:rsid w:val="000A4B28"/>
    <w:rsid w:val="000B54F1"/>
    <w:rsid w:val="000D76B3"/>
    <w:rsid w:val="000E5F21"/>
    <w:rsid w:val="000E7920"/>
    <w:rsid w:val="000F6239"/>
    <w:rsid w:val="00121A34"/>
    <w:rsid w:val="00144EC9"/>
    <w:rsid w:val="001A2B2E"/>
    <w:rsid w:val="001A4875"/>
    <w:rsid w:val="001E6009"/>
    <w:rsid w:val="001E7E48"/>
    <w:rsid w:val="002055CF"/>
    <w:rsid w:val="00225879"/>
    <w:rsid w:val="00226D41"/>
    <w:rsid w:val="00240D97"/>
    <w:rsid w:val="00272DD3"/>
    <w:rsid w:val="00275549"/>
    <w:rsid w:val="00276DFD"/>
    <w:rsid w:val="00292818"/>
    <w:rsid w:val="0029710B"/>
    <w:rsid w:val="002A42F4"/>
    <w:rsid w:val="002B2683"/>
    <w:rsid w:val="002B7E92"/>
    <w:rsid w:val="002C14E3"/>
    <w:rsid w:val="002C271C"/>
    <w:rsid w:val="002C551F"/>
    <w:rsid w:val="002E3564"/>
    <w:rsid w:val="002E7401"/>
    <w:rsid w:val="00300C35"/>
    <w:rsid w:val="00335DE2"/>
    <w:rsid w:val="00343DE0"/>
    <w:rsid w:val="00361F80"/>
    <w:rsid w:val="0037484D"/>
    <w:rsid w:val="00394DF6"/>
    <w:rsid w:val="0039585C"/>
    <w:rsid w:val="003A582B"/>
    <w:rsid w:val="003B0780"/>
    <w:rsid w:val="003C4EE6"/>
    <w:rsid w:val="003C64F9"/>
    <w:rsid w:val="003D2D28"/>
    <w:rsid w:val="003E381E"/>
    <w:rsid w:val="003F145A"/>
    <w:rsid w:val="003F1EE3"/>
    <w:rsid w:val="00407D86"/>
    <w:rsid w:val="00417A0B"/>
    <w:rsid w:val="00427CA9"/>
    <w:rsid w:val="004418F6"/>
    <w:rsid w:val="0044466E"/>
    <w:rsid w:val="00453E08"/>
    <w:rsid w:val="00461D55"/>
    <w:rsid w:val="004659A7"/>
    <w:rsid w:val="0047487E"/>
    <w:rsid w:val="004957FD"/>
    <w:rsid w:val="00497384"/>
    <w:rsid w:val="00497F61"/>
    <w:rsid w:val="004A495A"/>
    <w:rsid w:val="004B158E"/>
    <w:rsid w:val="004B595B"/>
    <w:rsid w:val="004C741A"/>
    <w:rsid w:val="004C792D"/>
    <w:rsid w:val="004E0296"/>
    <w:rsid w:val="004F71F6"/>
    <w:rsid w:val="00506262"/>
    <w:rsid w:val="00514EE1"/>
    <w:rsid w:val="00522EEE"/>
    <w:rsid w:val="00535ADB"/>
    <w:rsid w:val="005951E7"/>
    <w:rsid w:val="0059574D"/>
    <w:rsid w:val="00595BA5"/>
    <w:rsid w:val="00595BD4"/>
    <w:rsid w:val="005A1337"/>
    <w:rsid w:val="005B31E0"/>
    <w:rsid w:val="005E4BF3"/>
    <w:rsid w:val="00603405"/>
    <w:rsid w:val="00615BBA"/>
    <w:rsid w:val="00645474"/>
    <w:rsid w:val="00662194"/>
    <w:rsid w:val="00676D3D"/>
    <w:rsid w:val="00682A5E"/>
    <w:rsid w:val="00691F3B"/>
    <w:rsid w:val="006A2543"/>
    <w:rsid w:val="006B0474"/>
    <w:rsid w:val="006B61D8"/>
    <w:rsid w:val="006B6EC7"/>
    <w:rsid w:val="006D2F33"/>
    <w:rsid w:val="006D5E74"/>
    <w:rsid w:val="0070208F"/>
    <w:rsid w:val="00703FF2"/>
    <w:rsid w:val="00727D4C"/>
    <w:rsid w:val="00760481"/>
    <w:rsid w:val="00766846"/>
    <w:rsid w:val="00774F57"/>
    <w:rsid w:val="007923D1"/>
    <w:rsid w:val="007A1BE0"/>
    <w:rsid w:val="007A5D0B"/>
    <w:rsid w:val="007B2797"/>
    <w:rsid w:val="007C1606"/>
    <w:rsid w:val="007C2F88"/>
    <w:rsid w:val="007D0DFD"/>
    <w:rsid w:val="007D6D8A"/>
    <w:rsid w:val="007F18FD"/>
    <w:rsid w:val="00801050"/>
    <w:rsid w:val="0083507E"/>
    <w:rsid w:val="00892E4E"/>
    <w:rsid w:val="008A4ED9"/>
    <w:rsid w:val="008B26A1"/>
    <w:rsid w:val="008C1D78"/>
    <w:rsid w:val="008E527B"/>
    <w:rsid w:val="009017F0"/>
    <w:rsid w:val="0090311D"/>
    <w:rsid w:val="00922598"/>
    <w:rsid w:val="00925B2D"/>
    <w:rsid w:val="0093745C"/>
    <w:rsid w:val="009633E3"/>
    <w:rsid w:val="009654D7"/>
    <w:rsid w:val="009720C9"/>
    <w:rsid w:val="009736DF"/>
    <w:rsid w:val="009A1FB7"/>
    <w:rsid w:val="009C0C0D"/>
    <w:rsid w:val="009D3717"/>
    <w:rsid w:val="00A1386B"/>
    <w:rsid w:val="00A21D3F"/>
    <w:rsid w:val="00A415B8"/>
    <w:rsid w:val="00A51B0E"/>
    <w:rsid w:val="00A905C4"/>
    <w:rsid w:val="00AA27A6"/>
    <w:rsid w:val="00AA3039"/>
    <w:rsid w:val="00AD330B"/>
    <w:rsid w:val="00B07F50"/>
    <w:rsid w:val="00B16AF5"/>
    <w:rsid w:val="00B17F05"/>
    <w:rsid w:val="00B22768"/>
    <w:rsid w:val="00B328D1"/>
    <w:rsid w:val="00B36478"/>
    <w:rsid w:val="00B377AF"/>
    <w:rsid w:val="00B66CFD"/>
    <w:rsid w:val="00B70116"/>
    <w:rsid w:val="00B755EA"/>
    <w:rsid w:val="00BA5DEF"/>
    <w:rsid w:val="00BC0125"/>
    <w:rsid w:val="00BD434D"/>
    <w:rsid w:val="00C04921"/>
    <w:rsid w:val="00C14C85"/>
    <w:rsid w:val="00C31358"/>
    <w:rsid w:val="00C36193"/>
    <w:rsid w:val="00C71D4F"/>
    <w:rsid w:val="00C7469C"/>
    <w:rsid w:val="00C75F19"/>
    <w:rsid w:val="00CA65B5"/>
    <w:rsid w:val="00CB2D19"/>
    <w:rsid w:val="00CC21E9"/>
    <w:rsid w:val="00CC4D43"/>
    <w:rsid w:val="00CE4397"/>
    <w:rsid w:val="00CF0604"/>
    <w:rsid w:val="00D204A7"/>
    <w:rsid w:val="00D24FE0"/>
    <w:rsid w:val="00D43A06"/>
    <w:rsid w:val="00D46D22"/>
    <w:rsid w:val="00D777DA"/>
    <w:rsid w:val="00D801E2"/>
    <w:rsid w:val="00DA0752"/>
    <w:rsid w:val="00DC273B"/>
    <w:rsid w:val="00DC5475"/>
    <w:rsid w:val="00DD694D"/>
    <w:rsid w:val="00DE0344"/>
    <w:rsid w:val="00DE42DC"/>
    <w:rsid w:val="00E06927"/>
    <w:rsid w:val="00E1159A"/>
    <w:rsid w:val="00E12516"/>
    <w:rsid w:val="00E162B2"/>
    <w:rsid w:val="00E16780"/>
    <w:rsid w:val="00E3162D"/>
    <w:rsid w:val="00E46A0B"/>
    <w:rsid w:val="00E62CAF"/>
    <w:rsid w:val="00E82AEB"/>
    <w:rsid w:val="00E917B7"/>
    <w:rsid w:val="00EA42C3"/>
    <w:rsid w:val="00EB4A8C"/>
    <w:rsid w:val="00EC5272"/>
    <w:rsid w:val="00ED1CB3"/>
    <w:rsid w:val="00EE0292"/>
    <w:rsid w:val="00EF501B"/>
    <w:rsid w:val="00EF5C33"/>
    <w:rsid w:val="00F11BFE"/>
    <w:rsid w:val="00F14E9A"/>
    <w:rsid w:val="00F158C6"/>
    <w:rsid w:val="00F21088"/>
    <w:rsid w:val="00F243A4"/>
    <w:rsid w:val="00F4300A"/>
    <w:rsid w:val="00F51273"/>
    <w:rsid w:val="00F5193A"/>
    <w:rsid w:val="00F635E2"/>
    <w:rsid w:val="00F71CC5"/>
    <w:rsid w:val="00F77030"/>
    <w:rsid w:val="00F7764A"/>
    <w:rsid w:val="00F932A4"/>
    <w:rsid w:val="00FA54A4"/>
    <w:rsid w:val="00FA6FCA"/>
    <w:rsid w:val="00FB65F8"/>
    <w:rsid w:val="00FD40ED"/>
    <w:rsid w:val="00FE15FE"/>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customStyle="1" w:styleId="Default">
    <w:name w:val="Default"/>
    <w:rsid w:val="00497384"/>
    <w:pPr>
      <w:autoSpaceDE w:val="0"/>
      <w:autoSpaceDN w:val="0"/>
      <w:adjustRightInd w:val="0"/>
      <w:spacing w:line="240" w:lineRule="auto"/>
    </w:pPr>
    <w:rPr>
      <w:rFonts w:ascii="Cambria" w:hAnsi="Cambria" w:cs="Cambria"/>
      <w:color w:val="000000"/>
      <w:sz w:val="24"/>
      <w:szCs w:val="24"/>
    </w:rPr>
  </w:style>
  <w:style w:type="paragraph" w:styleId="NormalWeb">
    <w:name w:val="Normal (Web)"/>
    <w:basedOn w:val="Normal"/>
    <w:uiPriority w:val="99"/>
    <w:semiHidden/>
    <w:unhideWhenUsed/>
    <w:rsid w:val="00144EC9"/>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3F1E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4042">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835877296">
      <w:bodyDiv w:val="1"/>
      <w:marLeft w:val="0"/>
      <w:marRight w:val="0"/>
      <w:marTop w:val="0"/>
      <w:marBottom w:val="0"/>
      <w:divBdr>
        <w:top w:val="none" w:sz="0" w:space="0" w:color="auto"/>
        <w:left w:val="none" w:sz="0" w:space="0" w:color="auto"/>
        <w:bottom w:val="none" w:sz="0" w:space="0" w:color="auto"/>
        <w:right w:val="none" w:sz="0" w:space="0" w:color="auto"/>
      </w:divBdr>
    </w:div>
    <w:div w:id="1046182033">
      <w:bodyDiv w:val="1"/>
      <w:marLeft w:val="0"/>
      <w:marRight w:val="0"/>
      <w:marTop w:val="0"/>
      <w:marBottom w:val="0"/>
      <w:divBdr>
        <w:top w:val="none" w:sz="0" w:space="0" w:color="auto"/>
        <w:left w:val="none" w:sz="0" w:space="0" w:color="auto"/>
        <w:bottom w:val="none" w:sz="0" w:space="0" w:color="auto"/>
        <w:right w:val="none" w:sz="0" w:space="0" w:color="auto"/>
      </w:divBdr>
    </w:div>
    <w:div w:id="1128084600">
      <w:bodyDiv w:val="1"/>
      <w:marLeft w:val="0"/>
      <w:marRight w:val="0"/>
      <w:marTop w:val="0"/>
      <w:marBottom w:val="0"/>
      <w:divBdr>
        <w:top w:val="none" w:sz="0" w:space="0" w:color="auto"/>
        <w:left w:val="none" w:sz="0" w:space="0" w:color="auto"/>
        <w:bottom w:val="none" w:sz="0" w:space="0" w:color="auto"/>
        <w:right w:val="none" w:sz="0" w:space="0" w:color="auto"/>
      </w:divBdr>
    </w:div>
    <w:div w:id="1140002956">
      <w:bodyDiv w:val="1"/>
      <w:marLeft w:val="0"/>
      <w:marRight w:val="0"/>
      <w:marTop w:val="0"/>
      <w:marBottom w:val="0"/>
      <w:divBdr>
        <w:top w:val="none" w:sz="0" w:space="0" w:color="auto"/>
        <w:left w:val="none" w:sz="0" w:space="0" w:color="auto"/>
        <w:bottom w:val="none" w:sz="0" w:space="0" w:color="auto"/>
        <w:right w:val="none" w:sz="0" w:space="0" w:color="auto"/>
      </w:divBdr>
    </w:div>
    <w:div w:id="1189683601">
      <w:bodyDiv w:val="1"/>
      <w:marLeft w:val="0"/>
      <w:marRight w:val="0"/>
      <w:marTop w:val="0"/>
      <w:marBottom w:val="0"/>
      <w:divBdr>
        <w:top w:val="none" w:sz="0" w:space="0" w:color="auto"/>
        <w:left w:val="none" w:sz="0" w:space="0" w:color="auto"/>
        <w:bottom w:val="none" w:sz="0" w:space="0" w:color="auto"/>
        <w:right w:val="none" w:sz="0" w:space="0" w:color="auto"/>
      </w:divBdr>
    </w:div>
    <w:div w:id="1312515249">
      <w:bodyDiv w:val="1"/>
      <w:marLeft w:val="0"/>
      <w:marRight w:val="0"/>
      <w:marTop w:val="0"/>
      <w:marBottom w:val="0"/>
      <w:divBdr>
        <w:top w:val="none" w:sz="0" w:space="0" w:color="auto"/>
        <w:left w:val="none" w:sz="0" w:space="0" w:color="auto"/>
        <w:bottom w:val="none" w:sz="0" w:space="0" w:color="auto"/>
        <w:right w:val="none" w:sz="0" w:space="0" w:color="auto"/>
      </w:divBdr>
    </w:div>
    <w:div w:id="1524513154">
      <w:bodyDiv w:val="1"/>
      <w:marLeft w:val="0"/>
      <w:marRight w:val="0"/>
      <w:marTop w:val="0"/>
      <w:marBottom w:val="0"/>
      <w:divBdr>
        <w:top w:val="none" w:sz="0" w:space="0" w:color="auto"/>
        <w:left w:val="none" w:sz="0" w:space="0" w:color="auto"/>
        <w:bottom w:val="none" w:sz="0" w:space="0" w:color="auto"/>
        <w:right w:val="none" w:sz="0" w:space="0" w:color="auto"/>
      </w:divBdr>
    </w:div>
    <w:div w:id="1694264230">
      <w:bodyDiv w:val="1"/>
      <w:marLeft w:val="0"/>
      <w:marRight w:val="0"/>
      <w:marTop w:val="0"/>
      <w:marBottom w:val="0"/>
      <w:divBdr>
        <w:top w:val="none" w:sz="0" w:space="0" w:color="auto"/>
        <w:left w:val="none" w:sz="0" w:space="0" w:color="auto"/>
        <w:bottom w:val="none" w:sz="0" w:space="0" w:color="auto"/>
        <w:right w:val="none" w:sz="0" w:space="0" w:color="auto"/>
      </w:divBdr>
    </w:div>
    <w:div w:id="2000376535">
      <w:bodyDiv w:val="1"/>
      <w:marLeft w:val="0"/>
      <w:marRight w:val="0"/>
      <w:marTop w:val="0"/>
      <w:marBottom w:val="0"/>
      <w:divBdr>
        <w:top w:val="none" w:sz="0" w:space="0" w:color="auto"/>
        <w:left w:val="none" w:sz="0" w:space="0" w:color="auto"/>
        <w:bottom w:val="none" w:sz="0" w:space="0" w:color="auto"/>
        <w:right w:val="none" w:sz="0" w:space="0" w:color="auto"/>
      </w:divBdr>
    </w:div>
    <w:div w:id="20672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4509D-6F08-4CDC-94AB-D3097A546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02D6B-AE4B-4408-BF0E-DDD4F7251C9A}">
  <ds:schemaRefs>
    <ds:schemaRef ds:uri="http://schemas.openxmlformats.org/officeDocument/2006/bibliography"/>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2022-09-28T21:08:00Z</dcterms:created>
  <dcterms:modified xsi:type="dcterms:W3CDTF">2022-09-28T21:08:00Z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